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12"/>
        <w:rPr>
          <w:rFonts w:hint="default" w:ascii="Times New Roman" w:hAnsi="Times New Roman" w:cs="Times New Roman"/>
          <w:color w:val="000000" w:themeColor="text1"/>
          <w14:textFill>
            <w14:solidFill>
              <w14:schemeClr w14:val="tx1"/>
            </w14:solidFill>
          </w14:textFill>
        </w:rPr>
      </w:pPr>
    </w:p>
    <w:p>
      <w:pPr>
        <w:pStyle w:val="13"/>
        <w:ind w:firstLine="210"/>
        <w:rPr>
          <w:rFonts w:hint="default" w:ascii="Times New Roman" w:hAnsi="Times New Roman" w:cs="Times New Roman"/>
          <w:color w:val="auto"/>
        </w:rPr>
      </w:pPr>
    </w:p>
    <w:p>
      <w:pPr>
        <w:pStyle w:val="12"/>
        <w:jc w:val="center"/>
        <w:rPr>
          <w:rFonts w:hint="default" w:ascii="Times New Roman" w:hAnsi="Times New Roman" w:eastAsia="宋体" w:cs="Times New Roman"/>
          <w:b/>
          <w:bCs/>
          <w:color w:val="000000" w:themeColor="text1"/>
          <w:kern w:val="2"/>
          <w:sz w:val="52"/>
          <w:szCs w:val="52"/>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52"/>
          <w:szCs w:val="52"/>
          <w:highlight w:val="none"/>
          <w:lang w:val="en-US" w:eastAsia="zh-CN" w:bidi="ar-SA"/>
          <w14:textFill>
            <w14:solidFill>
              <w14:schemeClr w14:val="tx1"/>
            </w14:solidFill>
          </w14:textFill>
        </w:rPr>
        <w:t>定海区城镇房屋结构监测及装修巡查</w:t>
      </w:r>
    </w:p>
    <w:p>
      <w:pPr>
        <w:pStyle w:val="12"/>
        <w:jc w:val="center"/>
        <w:rPr>
          <w:rFonts w:hint="default" w:ascii="Times New Roman" w:hAnsi="Times New Roman" w:eastAsia="宋体" w:cs="Times New Roman"/>
          <w:b/>
          <w:bCs/>
          <w:color w:val="000000" w:themeColor="text1"/>
          <w:kern w:val="2"/>
          <w:sz w:val="52"/>
          <w:szCs w:val="52"/>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52"/>
          <w:szCs w:val="52"/>
          <w:highlight w:val="none"/>
          <w:lang w:val="en-US" w:eastAsia="zh-CN" w:bidi="ar-SA"/>
          <w14:textFill>
            <w14:solidFill>
              <w14:schemeClr w14:val="tx1"/>
            </w14:solidFill>
          </w14:textFill>
        </w:rPr>
        <w:t>技术服务项目</w:t>
      </w:r>
    </w:p>
    <w:p>
      <w:pPr>
        <w:pStyle w:val="12"/>
        <w:jc w:val="center"/>
        <w:rPr>
          <w:rFonts w:hint="default" w:ascii="Times New Roman" w:hAnsi="Times New Roman" w:eastAsia="宋体" w:cs="Times New Roman"/>
          <w:b/>
          <w:bCs/>
          <w:color w:val="000000" w:themeColor="text1"/>
          <w:kern w:val="2"/>
          <w:sz w:val="52"/>
          <w:szCs w:val="52"/>
          <w:lang w:val="en-US" w:eastAsia="zh-CN" w:bidi="ar-SA"/>
          <w14:textFill>
            <w14:solidFill>
              <w14:schemeClr w14:val="tx1"/>
            </w14:solidFill>
          </w14:textFill>
        </w:rPr>
      </w:pPr>
    </w:p>
    <w:p>
      <w:pPr>
        <w:pStyle w:val="12"/>
        <w:rPr>
          <w:rFonts w:hint="default" w:ascii="Times New Roman" w:hAnsi="Times New Roman" w:cs="Times New Roman"/>
          <w:b/>
          <w:bCs/>
          <w:color w:val="000000" w:themeColor="text1"/>
          <w:spacing w:val="12"/>
          <w:sz w:val="44"/>
          <w:szCs w:val="44"/>
          <w14:textFill>
            <w14:solidFill>
              <w14:schemeClr w14:val="tx1"/>
            </w14:solidFill>
          </w14:textFill>
        </w:rPr>
      </w:pPr>
    </w:p>
    <w:p>
      <w:pPr>
        <w:pStyle w:val="12"/>
        <w:rPr>
          <w:rFonts w:hint="default" w:ascii="Times New Roman" w:hAnsi="Times New Roman" w:cs="Times New Roman"/>
          <w:b/>
          <w:bCs/>
          <w:color w:val="000000" w:themeColor="text1"/>
          <w:spacing w:val="12"/>
          <w:sz w:val="44"/>
          <w:szCs w:val="44"/>
          <w14:textFill>
            <w14:solidFill>
              <w14:schemeClr w14:val="tx1"/>
            </w14:solidFill>
          </w14:textFill>
        </w:rPr>
      </w:pPr>
    </w:p>
    <w:p>
      <w:pPr>
        <w:spacing w:after="156"/>
        <w:outlineLvl w:val="0"/>
        <w:rPr>
          <w:rFonts w:hint="default" w:ascii="Times New Roman" w:hAnsi="Times New Roman" w:cs="Times New Roman"/>
          <w:b/>
          <w:bCs/>
          <w:color w:val="000000" w:themeColor="text1"/>
          <w:spacing w:val="12"/>
          <w:sz w:val="44"/>
          <w:szCs w:val="44"/>
          <w14:textFill>
            <w14:solidFill>
              <w14:schemeClr w14:val="tx1"/>
            </w14:solidFill>
          </w14:textFill>
        </w:rPr>
      </w:pPr>
    </w:p>
    <w:p>
      <w:pPr>
        <w:spacing w:beforeLines="50"/>
        <w:jc w:val="center"/>
        <w:rPr>
          <w:rFonts w:hint="default" w:ascii="Times New Roman" w:hAnsi="Times New Roman" w:cs="Times New Roman"/>
          <w:b/>
          <w:bCs/>
          <w:color w:val="000000" w:themeColor="text1"/>
          <w:sz w:val="52"/>
          <w:szCs w:val="52"/>
          <w14:textFill>
            <w14:solidFill>
              <w14:schemeClr w14:val="tx1"/>
            </w14:solidFill>
          </w14:textFill>
        </w:rPr>
      </w:pPr>
      <w:r>
        <w:rPr>
          <w:rFonts w:hint="default" w:ascii="Times New Roman" w:hAnsi="Times New Roman" w:cs="Times New Roman"/>
          <w:b/>
          <w:bCs/>
          <w:color w:val="000000" w:themeColor="text1"/>
          <w:sz w:val="52"/>
          <w:szCs w:val="52"/>
          <w14:textFill>
            <w14:solidFill>
              <w14:schemeClr w14:val="tx1"/>
            </w14:solidFill>
          </w14:textFill>
        </w:rPr>
        <w:t>公开招标采购文件</w:t>
      </w:r>
    </w:p>
    <w:p>
      <w:pPr>
        <w:jc w:val="center"/>
        <w:outlineLvl w:val="0"/>
        <w:rPr>
          <w:rFonts w:hint="default" w:ascii="Times New Roman" w:hAnsi="Times New Roman" w:cs="Times New Roman"/>
          <w:b/>
          <w:bCs/>
          <w:color w:val="000000" w:themeColor="text1"/>
          <w14:textFill>
            <w14:solidFill>
              <w14:schemeClr w14:val="tx1"/>
            </w14:solidFill>
          </w14:textFill>
        </w:rPr>
      </w:pPr>
    </w:p>
    <w:p>
      <w:pPr>
        <w:jc w:val="center"/>
        <w:outlineLvl w:val="0"/>
        <w:rPr>
          <w:rFonts w:hint="default" w:ascii="Times New Roman" w:hAnsi="Times New Roman" w:cs="Times New Roman"/>
          <w:b/>
          <w:bCs/>
          <w:color w:val="000000" w:themeColor="text1"/>
          <w14:textFill>
            <w14:solidFill>
              <w14:schemeClr w14:val="tx1"/>
            </w14:solidFill>
          </w14:textFill>
        </w:rPr>
      </w:pPr>
    </w:p>
    <w:p>
      <w:pPr>
        <w:jc w:val="center"/>
        <w:outlineLvl w:val="0"/>
        <w:rPr>
          <w:rFonts w:hint="default" w:ascii="Times New Roman" w:hAnsi="Times New Roman" w:cs="Times New Roman"/>
          <w:b/>
          <w:bCs/>
          <w:color w:val="000000" w:themeColor="text1"/>
          <w14:textFill>
            <w14:solidFill>
              <w14:schemeClr w14:val="tx1"/>
            </w14:solidFill>
          </w14:textFill>
        </w:rPr>
      </w:pPr>
    </w:p>
    <w:p>
      <w:pPr>
        <w:outlineLvl w:val="0"/>
        <w:rPr>
          <w:rFonts w:hint="default" w:ascii="Times New Roman" w:hAnsi="Times New Roman" w:cs="Times New Roman"/>
          <w:b/>
          <w:bCs/>
          <w:color w:val="000000" w:themeColor="text1"/>
          <w14:textFill>
            <w14:solidFill>
              <w14:schemeClr w14:val="tx1"/>
            </w14:solidFill>
          </w14:textFill>
        </w:rPr>
      </w:pPr>
    </w:p>
    <w:p>
      <w:pPr>
        <w:pStyle w:val="12"/>
        <w:rPr>
          <w:rFonts w:hint="default" w:ascii="Times New Roman" w:hAnsi="Times New Roman" w:cs="Times New Roman"/>
          <w:color w:val="000000" w:themeColor="text1"/>
          <w14:textFill>
            <w14:solidFill>
              <w14:schemeClr w14:val="tx1"/>
            </w14:solidFill>
          </w14:textFill>
        </w:rPr>
      </w:pPr>
    </w:p>
    <w:p>
      <w:pPr>
        <w:pStyle w:val="13"/>
        <w:ind w:firstLine="210"/>
        <w:rPr>
          <w:rFonts w:hint="default" w:ascii="Times New Roman" w:hAnsi="Times New Roman" w:cs="Times New Roman"/>
          <w:color w:val="000000" w:themeColor="text1"/>
          <w14:textFill>
            <w14:solidFill>
              <w14:schemeClr w14:val="tx1"/>
            </w14:solidFill>
          </w14:textFill>
        </w:rPr>
      </w:pPr>
    </w:p>
    <w:p>
      <w:pPr>
        <w:snapToGrid w:val="0"/>
        <w:spacing w:beforeLines="50" w:line="360" w:lineRule="auto"/>
        <w:rPr>
          <w:rFonts w:hint="default" w:ascii="Times New Roman" w:hAnsi="Times New Roman" w:cs="Times New Roman"/>
          <w:b/>
          <w:bCs/>
          <w:color w:val="000000" w:themeColor="text1"/>
          <w:sz w:val="30"/>
          <w:szCs w:val="30"/>
          <w14:textFill>
            <w14:solidFill>
              <w14:schemeClr w14:val="tx1"/>
            </w14:solidFill>
          </w14:textFill>
        </w:rPr>
      </w:pPr>
    </w:p>
    <w:p>
      <w:pPr>
        <w:spacing w:beforeLines="50" w:line="360" w:lineRule="auto"/>
        <w:rPr>
          <w:rFonts w:hint="default" w:ascii="Times New Roman" w:hAnsi="Times New Roman" w:cs="Times New Roman"/>
          <w:b/>
          <w:bCs/>
          <w:color w:val="000000" w:themeColor="text1"/>
          <w:sz w:val="30"/>
          <w:szCs w:val="30"/>
          <w14:textFill>
            <w14:solidFill>
              <w14:schemeClr w14:val="tx1"/>
            </w14:solidFill>
          </w14:textFill>
        </w:rPr>
      </w:pPr>
    </w:p>
    <w:p>
      <w:pPr>
        <w:pStyle w:val="12"/>
        <w:rPr>
          <w:rFonts w:hint="default" w:ascii="Times New Roman" w:hAnsi="Times New Roman" w:cs="Times New Roman"/>
          <w:color w:val="000000" w:themeColor="text1"/>
          <w14:textFill>
            <w14:solidFill>
              <w14:schemeClr w14:val="tx1"/>
            </w14:solidFill>
          </w14:textFill>
        </w:rPr>
      </w:pPr>
    </w:p>
    <w:p>
      <w:pPr>
        <w:spacing w:beforeLines="50" w:line="360" w:lineRule="auto"/>
        <w:rPr>
          <w:rFonts w:hint="default" w:ascii="Times New Roman" w:hAnsi="Times New Roman" w:eastAsia="宋体" w:cs="Times New Roman"/>
          <w:b/>
          <w:bCs/>
          <w:color w:val="000000" w:themeColor="text1"/>
          <w:sz w:val="30"/>
          <w:szCs w:val="30"/>
          <w:lang w:eastAsia="zh-CN"/>
          <w14:textFill>
            <w14:solidFill>
              <w14:schemeClr w14:val="tx1"/>
            </w14:solidFill>
          </w14:textFill>
        </w:rPr>
      </w:pPr>
      <w:r>
        <w:rPr>
          <w:rFonts w:hint="default" w:ascii="Times New Roman" w:hAnsi="Times New Roman" w:cs="Times New Roman"/>
          <w:b/>
          <w:bCs/>
          <w:color w:val="000000" w:themeColor="text1"/>
          <w:sz w:val="30"/>
          <w:szCs w:val="30"/>
          <w14:textFill>
            <w14:solidFill>
              <w14:schemeClr w14:val="tx1"/>
            </w14:solidFill>
          </w14:textFill>
        </w:rPr>
        <w:t>项目编号：</w:t>
      </w:r>
      <w:r>
        <w:rPr>
          <w:rFonts w:hint="default" w:ascii="Times New Roman" w:hAnsi="Times New Roman" w:cs="Times New Roman"/>
          <w:b/>
          <w:bCs/>
          <w:color w:val="000000" w:themeColor="text1"/>
          <w:spacing w:val="-11"/>
          <w:sz w:val="30"/>
          <w:szCs w:val="30"/>
          <w:lang w:eastAsia="zh-CN"/>
          <w14:textFill>
            <w14:solidFill>
              <w14:schemeClr w14:val="tx1"/>
            </w14:solidFill>
          </w14:textFill>
        </w:rPr>
        <w:t>ZHCG2022-30</w:t>
      </w:r>
    </w:p>
    <w:p>
      <w:pPr>
        <w:snapToGrid w:val="0"/>
        <w:spacing w:beforeLines="50" w:line="360" w:lineRule="auto"/>
        <w:rPr>
          <w:rFonts w:hint="default" w:ascii="Times New Roman" w:hAnsi="Times New Roman" w:cs="Times New Roman"/>
          <w:b/>
          <w:bCs/>
          <w:color w:val="auto"/>
          <w:sz w:val="30"/>
          <w:szCs w:val="30"/>
          <w:highlight w:val="none"/>
          <w:lang w:val="en-US" w:eastAsia="zh-CN"/>
        </w:rPr>
      </w:pPr>
      <w:r>
        <w:rPr>
          <w:rFonts w:hint="default" w:ascii="Times New Roman" w:hAnsi="Times New Roman" w:cs="Times New Roman"/>
          <w:b/>
          <w:bCs/>
          <w:color w:val="auto"/>
          <w:sz w:val="30"/>
          <w:szCs w:val="30"/>
        </w:rPr>
        <w:t>项目名称：</w:t>
      </w:r>
      <w:r>
        <w:rPr>
          <w:rFonts w:hint="default" w:ascii="Times New Roman" w:hAnsi="Times New Roman" w:cs="Times New Roman"/>
          <w:b/>
          <w:bCs/>
          <w:color w:val="auto"/>
          <w:sz w:val="30"/>
          <w:szCs w:val="30"/>
          <w:highlight w:val="none"/>
          <w:lang w:val="en-US" w:eastAsia="zh-CN"/>
        </w:rPr>
        <w:t>定海区城镇房屋结构监测及装修巡查技术服务项目</w:t>
      </w:r>
    </w:p>
    <w:p>
      <w:pPr>
        <w:snapToGrid w:val="0"/>
        <w:spacing w:beforeLines="50" w:line="360" w:lineRule="auto"/>
        <w:rPr>
          <w:rFonts w:hint="default" w:ascii="Times New Roman" w:hAnsi="Times New Roman" w:eastAsia="宋体" w:cs="Times New Roman"/>
          <w:b/>
          <w:bCs/>
          <w:color w:val="000000" w:themeColor="text1"/>
          <w:sz w:val="30"/>
          <w:szCs w:val="30"/>
          <w:lang w:eastAsia="zh-CN"/>
          <w14:textFill>
            <w14:solidFill>
              <w14:schemeClr w14:val="tx1"/>
            </w14:solidFill>
          </w14:textFill>
        </w:rPr>
      </w:pPr>
      <w:r>
        <w:rPr>
          <w:rFonts w:hint="default" w:ascii="Times New Roman" w:hAnsi="Times New Roman" w:cs="Times New Roman"/>
          <w:b/>
          <w:bCs/>
          <w:color w:val="000000" w:themeColor="text1"/>
          <w:sz w:val="30"/>
          <w:szCs w:val="30"/>
          <w14:textFill>
            <w14:solidFill>
              <w14:schemeClr w14:val="tx1"/>
            </w14:solidFill>
          </w14:textFill>
        </w:rPr>
        <w:t>采购人：</w:t>
      </w:r>
      <w:r>
        <w:rPr>
          <w:rFonts w:hint="eastAsia" w:ascii="Times New Roman" w:hAnsi="Times New Roman" w:cs="Times New Roman"/>
          <w:b/>
          <w:bCs/>
          <w:color w:val="000000" w:themeColor="text1"/>
          <w:sz w:val="30"/>
          <w:szCs w:val="30"/>
          <w:lang w:eastAsia="zh-CN"/>
          <w14:textFill>
            <w14:solidFill>
              <w14:schemeClr w14:val="tx1"/>
            </w14:solidFill>
          </w14:textFill>
        </w:rPr>
        <w:t>舟山市定海区住房和城乡建设局</w:t>
      </w:r>
    </w:p>
    <w:p>
      <w:pPr>
        <w:snapToGrid w:val="0"/>
        <w:spacing w:beforeLines="50" w:line="360" w:lineRule="auto"/>
        <w:rPr>
          <w:rFonts w:hint="default" w:ascii="Times New Roman" w:hAnsi="Times New Roman" w:cs="Times New Roman"/>
          <w:b/>
          <w:bCs/>
          <w:color w:val="000000" w:themeColor="text1"/>
          <w:sz w:val="30"/>
          <w:szCs w:val="30"/>
          <w14:textFill>
            <w14:solidFill>
              <w14:schemeClr w14:val="tx1"/>
            </w14:solidFill>
          </w14:textFill>
        </w:rPr>
      </w:pPr>
      <w:r>
        <w:rPr>
          <w:rFonts w:hint="default" w:ascii="Times New Roman" w:hAnsi="Times New Roman" w:cs="Times New Roman"/>
          <w:b/>
          <w:bCs/>
          <w:color w:val="000000" w:themeColor="text1"/>
          <w:sz w:val="30"/>
          <w:szCs w:val="30"/>
          <w14:textFill>
            <w14:solidFill>
              <w14:schemeClr w14:val="tx1"/>
            </w14:solidFill>
          </w14:textFill>
        </w:rPr>
        <w:t>采购代理机构：浙江自贸区中昊工程管理有限公司</w:t>
      </w:r>
    </w:p>
    <w:p>
      <w:pPr>
        <w:pStyle w:val="12"/>
        <w:spacing w:line="360" w:lineRule="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0"/>
          <w:szCs w:val="30"/>
          <w14:textFill>
            <w14:solidFill>
              <w14:schemeClr w14:val="tx1"/>
            </w14:solidFill>
          </w14:textFill>
        </w:rPr>
        <w:t>时间：二〇二二年</w:t>
      </w:r>
      <w:r>
        <w:rPr>
          <w:rFonts w:hint="eastAsia" w:ascii="Times New Roman" w:hAnsi="Times New Roman" w:cs="Times New Roman"/>
          <w:b/>
          <w:bCs/>
          <w:color w:val="000000" w:themeColor="text1"/>
          <w:sz w:val="30"/>
          <w:szCs w:val="30"/>
          <w:lang w:val="en-US" w:eastAsia="zh-CN"/>
          <w14:textFill>
            <w14:solidFill>
              <w14:schemeClr w14:val="tx1"/>
            </w14:solidFill>
          </w14:textFill>
        </w:rPr>
        <w:t>七</w:t>
      </w:r>
      <w:r>
        <w:rPr>
          <w:rFonts w:hint="default" w:ascii="Times New Roman" w:hAnsi="Times New Roman" w:cs="Times New Roman"/>
          <w:b/>
          <w:bCs/>
          <w:color w:val="000000" w:themeColor="text1"/>
          <w:sz w:val="30"/>
          <w:szCs w:val="30"/>
          <w14:textFill>
            <w14:solidFill>
              <w14:schemeClr w14:val="tx1"/>
            </w14:solidFill>
          </w14:textFill>
        </w:rPr>
        <w:t>月</w:t>
      </w:r>
    </w:p>
    <w:p>
      <w:pPr>
        <w:pStyle w:val="59"/>
        <w:spacing w:before="120" w:after="120" w:line="360" w:lineRule="auto"/>
        <w:jc w:val="center"/>
        <w:rPr>
          <w:rFonts w:hint="default" w:ascii="Times New Roman" w:hAnsi="Times New Roman" w:cs="Times New Roman"/>
          <w:color w:val="000000" w:themeColor="text1"/>
          <w14:textFill>
            <w14:solidFill>
              <w14:schemeClr w14:val="tx1"/>
            </w14:solidFill>
          </w14:textFill>
        </w:rPr>
        <w:sectPr>
          <w:pgSz w:w="11906" w:h="16838"/>
          <w:pgMar w:top="1304" w:right="1106" w:bottom="1304" w:left="1531" w:header="1304" w:footer="1304" w:gutter="0"/>
          <w:pgNumType w:start="1"/>
          <w:cols w:space="720" w:num="1"/>
        </w:sectPr>
      </w:pPr>
    </w:p>
    <w:p>
      <w:pPr>
        <w:pStyle w:val="59"/>
        <w:spacing w:before="120" w:after="120" w:line="360" w:lineRule="auto"/>
        <w:jc w:val="center"/>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目录</w:t>
      </w:r>
    </w:p>
    <w:p>
      <w:pPr>
        <w:spacing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第一章采购公告</w:t>
      </w:r>
    </w:p>
    <w:p>
      <w:pPr>
        <w:spacing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第二章采购需求</w:t>
      </w:r>
    </w:p>
    <w:p>
      <w:pPr>
        <w:spacing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第三章投标人须知</w:t>
      </w:r>
    </w:p>
    <w:p>
      <w:pPr>
        <w:spacing w:before="120" w:line="360" w:lineRule="auto"/>
        <w:ind w:firstLine="1120" w:firstLineChars="4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前附表</w:t>
      </w:r>
    </w:p>
    <w:p>
      <w:pPr>
        <w:spacing w:before="120"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一、总则</w:t>
      </w:r>
    </w:p>
    <w:p>
      <w:pPr>
        <w:spacing w:before="120"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二、采购文件</w:t>
      </w:r>
    </w:p>
    <w:p>
      <w:pPr>
        <w:spacing w:before="120"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三、投标文件的编制</w:t>
      </w:r>
    </w:p>
    <w:p>
      <w:pPr>
        <w:spacing w:before="120"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四、开标</w:t>
      </w:r>
    </w:p>
    <w:p>
      <w:pPr>
        <w:spacing w:before="120" w:line="360" w:lineRule="auto"/>
        <w:ind w:firstLine="56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五、评标</w:t>
      </w:r>
    </w:p>
    <w:p>
      <w:pPr>
        <w:spacing w:before="120"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六、定标</w:t>
      </w:r>
    </w:p>
    <w:p>
      <w:pPr>
        <w:tabs>
          <w:tab w:val="left" w:pos="6112"/>
        </w:tabs>
        <w:spacing w:before="120"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七、合同授予</w:t>
      </w:r>
      <w:r>
        <w:rPr>
          <w:rFonts w:hint="default" w:ascii="Times New Roman" w:hAnsi="Times New Roman" w:cs="Times New Roman"/>
          <w:color w:val="000000" w:themeColor="text1"/>
          <w:sz w:val="28"/>
          <w:szCs w:val="28"/>
          <w14:textFill>
            <w14:solidFill>
              <w14:schemeClr w14:val="tx1"/>
            </w14:solidFill>
          </w14:textFill>
        </w:rPr>
        <w:tab/>
      </w:r>
    </w:p>
    <w:p>
      <w:pPr>
        <w:spacing w:before="120"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八、招标代理费</w:t>
      </w:r>
    </w:p>
    <w:p>
      <w:pPr>
        <w:spacing w:before="120"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九、政府采购政策</w:t>
      </w:r>
    </w:p>
    <w:p>
      <w:pPr>
        <w:spacing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第四章评分办法及评分标准</w:t>
      </w:r>
    </w:p>
    <w:p>
      <w:pPr>
        <w:spacing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第五章合同主要条款</w:t>
      </w:r>
    </w:p>
    <w:p>
      <w:pPr>
        <w:spacing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第六章投标文件相关格式</w:t>
      </w:r>
    </w:p>
    <w:p>
      <w:pPr>
        <w:pStyle w:val="12"/>
        <w:rPr>
          <w:rFonts w:hint="default" w:ascii="Times New Roman" w:hAnsi="Times New Roman" w:cs="Times New Roman"/>
          <w:color w:val="000000" w:themeColor="text1"/>
          <w:sz w:val="28"/>
          <w:szCs w:val="28"/>
          <w14:textFill>
            <w14:solidFill>
              <w14:schemeClr w14:val="tx1"/>
            </w14:solidFill>
          </w14:textFill>
        </w:rPr>
      </w:pPr>
    </w:p>
    <w:p>
      <w:pPr>
        <w:pStyle w:val="13"/>
        <w:ind w:firstLine="280"/>
        <w:rPr>
          <w:rFonts w:hint="default" w:ascii="Times New Roman" w:hAnsi="Times New Roman" w:cs="Times New Roman"/>
          <w:color w:val="000000" w:themeColor="text1"/>
          <w:sz w:val="28"/>
          <w:szCs w:val="28"/>
          <w14:textFill>
            <w14:solidFill>
              <w14:schemeClr w14:val="tx1"/>
            </w14:solidFill>
          </w14:textFill>
        </w:rPr>
      </w:pPr>
    </w:p>
    <w:p>
      <w:pPr>
        <w:rPr>
          <w:rFonts w:hint="default" w:ascii="Times New Roman" w:hAnsi="Times New Roman" w:cs="Times New Roman"/>
        </w:rPr>
      </w:pPr>
    </w:p>
    <w:p>
      <w:pPr>
        <w:spacing w:line="360" w:lineRule="auto"/>
        <w:jc w:val="center"/>
        <w:rPr>
          <w:rFonts w:hint="default" w:ascii="Times New Roman" w:hAnsi="Times New Roman" w:eastAsia="仿宋" w:cs="Times New Roman"/>
          <w:color w:val="000000" w:themeColor="text1"/>
          <w:sz w:val="27"/>
          <w:szCs w:val="27"/>
          <w14:textFill>
            <w14:solidFill>
              <w14:schemeClr w14:val="tx1"/>
            </w14:solidFill>
          </w14:textFill>
        </w:rPr>
      </w:pPr>
      <w:bookmarkStart w:id="0" w:name="OLE_LINK1"/>
      <w:r>
        <w:rPr>
          <w:rFonts w:hint="default" w:ascii="Times New Roman" w:hAnsi="Times New Roman" w:cs="Times New Roman"/>
          <w:b/>
          <w:bCs/>
          <w:color w:val="000000" w:themeColor="text1"/>
          <w:sz w:val="30"/>
          <w:szCs w:val="30"/>
          <w14:textFill>
            <w14:solidFill>
              <w14:schemeClr w14:val="tx1"/>
            </w14:solidFill>
          </w14:textFill>
        </w:rPr>
        <w:t>第一章采购公告</w:t>
      </w:r>
      <w:bookmarkEnd w:id="0"/>
    </w:p>
    <w:tbl>
      <w:tblPr>
        <w:tblStyle w:val="27"/>
        <w:tblW w:w="85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0" w:type="dxa"/>
          </w:tcPr>
          <w:p>
            <w:pPr>
              <w:pStyle w:val="24"/>
              <w:widowControl/>
              <w:spacing w:before="0" w:beforeAutospacing="0" w:after="0" w:afterAutospacing="0" w:line="360" w:lineRule="auto"/>
              <w:ind w:firstLine="420" w:firstLineChars="20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项目概况</w:t>
            </w:r>
          </w:p>
          <w:p>
            <w:pPr>
              <w:pStyle w:val="24"/>
              <w:widowControl/>
              <w:spacing w:before="0" w:beforeAutospacing="0" w:after="0" w:afterAutospacing="0" w:line="360" w:lineRule="auto"/>
              <w:ind w:firstLine="420" w:firstLineChars="200"/>
              <w:jc w:val="both"/>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w:t>
            </w:r>
            <w:r>
              <w:rPr>
                <w:rFonts w:hint="default" w:ascii="Times New Roman" w:hAnsi="Times New Roman" w:cs="Times New Roman"/>
                <w:b w:val="0"/>
                <w:bCs w:val="0"/>
                <w:color w:val="auto"/>
                <w:sz w:val="21"/>
                <w:szCs w:val="21"/>
                <w:highlight w:val="none"/>
                <w:lang w:val="en-US" w:eastAsia="zh-CN"/>
              </w:rPr>
              <w:t>定海区城镇房屋结构监测及装修巡查技术服务项目</w:t>
            </w:r>
            <w:r>
              <w:rPr>
                <w:rFonts w:hint="default" w:ascii="Times New Roman" w:hAnsi="Times New Roman" w:cs="Times New Roman"/>
                <w:b w:val="0"/>
                <w:bCs w:val="0"/>
                <w:color w:val="000000" w:themeColor="text1"/>
                <w:sz w:val="21"/>
                <w:szCs w:val="21"/>
                <w:highlight w:val="none"/>
                <w14:textFill>
                  <w14:solidFill>
                    <w14:schemeClr w14:val="tx1"/>
                  </w14:solidFill>
                </w14:textFill>
              </w:rPr>
              <w:t>招</w:t>
            </w:r>
            <w:r>
              <w:rPr>
                <w:rFonts w:hint="default" w:ascii="Times New Roman" w:hAnsi="Times New Roman" w:cs="Times New Roman"/>
                <w:color w:val="000000" w:themeColor="text1"/>
                <w:sz w:val="21"/>
                <w:szCs w:val="21"/>
                <w:highlight w:val="none"/>
                <w14:textFill>
                  <w14:solidFill>
                    <w14:schemeClr w14:val="tx1"/>
                  </w14:solidFill>
                </w14:textFill>
              </w:rPr>
              <w:t>标项目的潜在投标人应在浙江政府采购网http://zfcg.czt.zj.gov.cn/（用“政采云”注册账号、密码登录系统后获取招标文件）  获取（下载）招标文件，并于 2022年</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月</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日 14:30（北京时间）前递交（上传）投标文件。</w:t>
            </w:r>
          </w:p>
        </w:tc>
      </w:tr>
    </w:tbl>
    <w:p>
      <w:pPr>
        <w:pStyle w:val="24"/>
        <w:widowControl/>
        <w:spacing w:before="0" w:beforeAutospacing="0" w:after="0" w:afterAutospacing="0" w:line="360" w:lineRule="auto"/>
        <w:jc w:val="both"/>
        <w:rPr>
          <w:rFonts w:hint="default" w:ascii="Times New Roman" w:hAnsi="Times New Roman" w:cs="Times New Roman"/>
          <w:color w:val="000000" w:themeColor="text1"/>
          <w:sz w:val="21"/>
          <w:szCs w:val="21"/>
          <w14:textFill>
            <w14:solidFill>
              <w14:schemeClr w14:val="tx1"/>
            </w14:solidFill>
          </w14:textFill>
        </w:rPr>
      </w:pPr>
      <w:r>
        <w:rPr>
          <w:rStyle w:val="30"/>
          <w:rFonts w:hint="default" w:ascii="Times New Roman" w:hAnsi="Times New Roman" w:cs="Times New Roman"/>
          <w:color w:val="000000" w:themeColor="text1"/>
          <w:sz w:val="21"/>
          <w:szCs w:val="21"/>
          <w14:textFill>
            <w14:solidFill>
              <w14:schemeClr w14:val="tx1"/>
            </w14:solidFill>
          </w14:textFill>
        </w:rPr>
        <w:t>一、项目基本情况</w:t>
      </w:r>
    </w:p>
    <w:p>
      <w:pPr>
        <w:pStyle w:val="24"/>
        <w:widowControl/>
        <w:spacing w:before="0" w:beforeAutospacing="0" w:after="0" w:afterAutospacing="0" w:line="360" w:lineRule="auto"/>
        <w:ind w:firstLine="420" w:firstLineChars="200"/>
        <w:jc w:val="both"/>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项目编号：</w:t>
      </w:r>
      <w:r>
        <w:rPr>
          <w:rFonts w:hint="default" w:ascii="Times New Roman" w:hAnsi="Times New Roman" w:cs="Times New Roman"/>
          <w:color w:val="000000" w:themeColor="text1"/>
          <w:sz w:val="21"/>
          <w:szCs w:val="21"/>
          <w:lang w:eastAsia="zh-CN"/>
          <w14:textFill>
            <w14:solidFill>
              <w14:schemeClr w14:val="tx1"/>
            </w14:solidFill>
          </w14:textFill>
        </w:rPr>
        <w:t>ZHCG2022-30</w:t>
      </w:r>
    </w:p>
    <w:p>
      <w:pPr>
        <w:pStyle w:val="24"/>
        <w:widowControl/>
        <w:spacing w:before="0" w:beforeAutospacing="0" w:after="0" w:afterAutospacing="0" w:line="360" w:lineRule="auto"/>
        <w:ind w:firstLine="420" w:firstLineChars="20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项目名称</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b w:val="0"/>
          <w:bCs w:val="0"/>
          <w:color w:val="auto"/>
          <w:sz w:val="21"/>
          <w:szCs w:val="21"/>
          <w:highlight w:val="none"/>
          <w:lang w:val="en-US" w:eastAsia="zh-CN"/>
        </w:rPr>
        <w:t>定海区城镇房屋结构监测及装修巡查技术服务项目</w:t>
      </w:r>
    </w:p>
    <w:p>
      <w:pPr>
        <w:pStyle w:val="24"/>
        <w:widowControl/>
        <w:spacing w:before="0" w:beforeAutospacing="0" w:after="0" w:afterAutospacing="0" w:line="360" w:lineRule="auto"/>
        <w:ind w:firstLine="420" w:firstLineChars="200"/>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预算金额（元）：</w:t>
      </w:r>
      <w:r>
        <w:rPr>
          <w:rFonts w:hint="eastAsia" w:ascii="Times New Roman" w:hAnsi="Times New Roman" w:cs="Times New Roman"/>
          <w:color w:val="auto"/>
          <w:sz w:val="21"/>
          <w:szCs w:val="21"/>
          <w:highlight w:val="none"/>
          <w:lang w:val="en-US" w:eastAsia="zh-CN"/>
        </w:rPr>
        <w:t>5496000</w:t>
      </w:r>
    </w:p>
    <w:p>
      <w:pPr>
        <w:pStyle w:val="24"/>
        <w:widowControl/>
        <w:spacing w:before="0" w:beforeAutospacing="0" w:after="0" w:afterAutospacing="0" w:line="360" w:lineRule="auto"/>
        <w:ind w:firstLine="420" w:firstLineChars="200"/>
        <w:jc w:val="both"/>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auto"/>
          <w:sz w:val="21"/>
          <w:szCs w:val="21"/>
          <w:highlight w:val="none"/>
        </w:rPr>
        <w:t>最高限价（元）：</w:t>
      </w:r>
      <w:r>
        <w:rPr>
          <w:rFonts w:hint="eastAsia" w:ascii="Times New Roman" w:hAnsi="Times New Roman" w:cs="Times New Roman"/>
          <w:color w:val="auto"/>
          <w:sz w:val="21"/>
          <w:szCs w:val="21"/>
          <w:highlight w:val="none"/>
          <w:lang w:val="en-US" w:eastAsia="zh-CN"/>
        </w:rPr>
        <w:t>5496000</w:t>
      </w:r>
    </w:p>
    <w:p>
      <w:pPr>
        <w:pStyle w:val="24"/>
        <w:widowControl/>
        <w:spacing w:before="0" w:beforeAutospacing="0" w:after="0" w:afterAutospacing="0" w:line="360" w:lineRule="auto"/>
        <w:ind w:firstLine="420" w:firstLineChars="20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采购需求：</w:t>
      </w:r>
    </w:p>
    <w:p>
      <w:pPr>
        <w:pStyle w:val="24"/>
        <w:widowControl/>
        <w:spacing w:before="0" w:beforeAutospacing="0" w:after="0" w:afterAutospacing="0" w:line="360" w:lineRule="auto"/>
        <w:ind w:firstLine="420" w:firstLineChars="200"/>
        <w:jc w:val="both"/>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标项名称：</w:t>
      </w:r>
      <w:r>
        <w:rPr>
          <w:rFonts w:hint="default" w:ascii="Times New Roman" w:hAnsi="Times New Roman" w:cs="Times New Roman"/>
          <w:b w:val="0"/>
          <w:bCs w:val="0"/>
          <w:color w:val="auto"/>
          <w:sz w:val="21"/>
          <w:szCs w:val="21"/>
          <w:highlight w:val="none"/>
          <w:lang w:val="en-US" w:eastAsia="zh-CN"/>
        </w:rPr>
        <w:t>定海区城镇房屋结构监测及装修巡查技术服务项目</w:t>
      </w:r>
    </w:p>
    <w:p>
      <w:pPr>
        <w:pStyle w:val="24"/>
        <w:widowControl/>
        <w:spacing w:before="0" w:beforeAutospacing="0" w:after="0" w:afterAutospacing="0" w:line="360" w:lineRule="auto"/>
        <w:ind w:firstLine="420" w:firstLineChars="20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数量</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1</w:t>
      </w:r>
    </w:p>
    <w:p>
      <w:pPr>
        <w:pStyle w:val="24"/>
        <w:widowControl/>
        <w:spacing w:before="0" w:beforeAutospacing="0" w:after="0" w:afterAutospacing="0" w:line="360" w:lineRule="auto"/>
        <w:ind w:firstLine="420" w:firstLineChars="200"/>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预算金额（元）：</w:t>
      </w:r>
      <w:r>
        <w:rPr>
          <w:rFonts w:hint="eastAsia" w:ascii="Times New Roman" w:hAnsi="Times New Roman" w:cs="Times New Roman"/>
          <w:color w:val="auto"/>
          <w:sz w:val="21"/>
          <w:szCs w:val="21"/>
          <w:highlight w:val="none"/>
          <w:lang w:val="en-US" w:eastAsia="zh-CN"/>
        </w:rPr>
        <w:t>5496000</w:t>
      </w:r>
    </w:p>
    <w:p>
      <w:pPr>
        <w:pStyle w:val="24"/>
        <w:widowControl/>
        <w:spacing w:before="0" w:beforeAutospacing="0" w:after="0" w:afterAutospacing="0" w:line="360" w:lineRule="auto"/>
        <w:ind w:firstLine="420" w:firstLineChars="200"/>
        <w:jc w:val="both"/>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简要规格描述或项目基本概况介绍、用途：具体详见采购需求</w:t>
      </w:r>
      <w:r>
        <w:rPr>
          <w:rFonts w:hint="default" w:ascii="Times New Roman" w:hAnsi="Times New Roman" w:cs="Times New Roman"/>
          <w:color w:val="000000" w:themeColor="text1"/>
          <w:sz w:val="21"/>
          <w:szCs w:val="21"/>
          <w:lang w:eastAsia="zh-CN"/>
          <w14:textFill>
            <w14:solidFill>
              <w14:schemeClr w14:val="tx1"/>
            </w14:solidFill>
          </w14:textFill>
        </w:rPr>
        <w:t>。</w:t>
      </w:r>
    </w:p>
    <w:p>
      <w:pPr>
        <w:pStyle w:val="24"/>
        <w:widowControl/>
        <w:spacing w:before="0" w:beforeAutospacing="0" w:after="0" w:afterAutospacing="0" w:line="360" w:lineRule="auto"/>
        <w:ind w:firstLine="420" w:firstLineChars="20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备注：</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24"/>
        <w:widowControl/>
        <w:spacing w:before="0" w:beforeAutospacing="0" w:after="0" w:afterAutospacing="0" w:line="360" w:lineRule="auto"/>
        <w:ind w:firstLine="420" w:firstLineChars="200"/>
        <w:jc w:val="both"/>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合同履约期限：标项 1，本项目</w:t>
      </w:r>
      <w:r>
        <w:rPr>
          <w:rFonts w:hint="eastAsia" w:ascii="Times New Roman" w:hAnsi="Times New Roman" w:cs="Times New Roman"/>
          <w:color w:val="000000" w:themeColor="text1"/>
          <w:sz w:val="21"/>
          <w:szCs w:val="21"/>
          <w:highlight w:val="none"/>
          <w14:textFill>
            <w14:solidFill>
              <w14:schemeClr w14:val="tx1"/>
            </w14:solidFill>
          </w14:textFill>
        </w:rPr>
        <w:t>总</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服务</w:t>
      </w:r>
      <w:r>
        <w:rPr>
          <w:rFonts w:hint="eastAsia" w:ascii="Times New Roman" w:hAnsi="Times New Roman" w:cs="Times New Roman"/>
          <w:color w:val="000000" w:themeColor="text1"/>
          <w:sz w:val="21"/>
          <w:szCs w:val="21"/>
          <w:highlight w:val="none"/>
          <w14:textFill>
            <w14:solidFill>
              <w14:schemeClr w14:val="tx1"/>
            </w14:solidFill>
          </w14:textFill>
        </w:rPr>
        <w:t>期限三年，合同一年一签</w:t>
      </w:r>
      <w:r>
        <w:rPr>
          <w:rFonts w:hint="default" w:ascii="Times New Roman" w:hAnsi="Times New Roman" w:cs="Times New Roman"/>
          <w:color w:val="000000" w:themeColor="text1"/>
          <w:sz w:val="21"/>
          <w:szCs w:val="21"/>
          <w:highlight w:val="none"/>
          <w14:textFill>
            <w14:solidFill>
              <w14:schemeClr w14:val="tx1"/>
            </w14:solidFill>
          </w14:textFill>
        </w:rPr>
        <w:t>。</w:t>
      </w:r>
    </w:p>
    <w:p>
      <w:pPr>
        <w:pStyle w:val="24"/>
        <w:widowControl/>
        <w:spacing w:before="0" w:beforeAutospacing="0" w:after="0" w:afterAutospacing="0" w:line="360" w:lineRule="auto"/>
        <w:ind w:firstLine="420" w:firstLineChars="20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本项目（否）接受联合体投标。</w:t>
      </w:r>
    </w:p>
    <w:p>
      <w:pPr>
        <w:pStyle w:val="24"/>
        <w:widowControl/>
        <w:spacing w:before="0" w:beforeAutospacing="0" w:after="0" w:afterAutospacing="0" w:line="360" w:lineRule="auto"/>
        <w:jc w:val="both"/>
        <w:rPr>
          <w:rStyle w:val="30"/>
          <w:rFonts w:hint="default" w:ascii="Times New Roman" w:hAnsi="Times New Roman" w:cs="Times New Roman"/>
          <w:color w:val="000000" w:themeColor="text1"/>
          <w:sz w:val="21"/>
          <w:szCs w:val="21"/>
          <w14:textFill>
            <w14:solidFill>
              <w14:schemeClr w14:val="tx1"/>
            </w14:solidFill>
          </w14:textFill>
        </w:rPr>
      </w:pPr>
      <w:r>
        <w:rPr>
          <w:rStyle w:val="30"/>
          <w:rFonts w:hint="default" w:ascii="Times New Roman" w:hAnsi="Times New Roman" w:cs="Times New Roman"/>
          <w:color w:val="000000" w:themeColor="text1"/>
          <w:sz w:val="21"/>
          <w:szCs w:val="21"/>
          <w14:textFill>
            <w14:solidFill>
              <w14:schemeClr w14:val="tx1"/>
            </w14:solidFill>
          </w14:textFill>
        </w:rPr>
        <w:t>二、申请人的资格要求：</w:t>
      </w:r>
    </w:p>
    <w:p>
      <w:pPr>
        <w:pStyle w:val="24"/>
        <w:widowControl/>
        <w:spacing w:before="0" w:beforeAutospacing="0" w:after="0" w:afterAutospacing="0" w:line="288" w:lineRule="auto"/>
        <w:ind w:firstLine="315"/>
        <w:rPr>
          <w:rFonts w:ascii="Times New Roman" w:hAnsi="Times New Roman"/>
          <w:sz w:val="21"/>
          <w:szCs w:val="21"/>
        </w:rPr>
      </w:pPr>
      <w:r>
        <w:rPr>
          <w:rFonts w:ascii="Times New Roman" w:hAnsi="Times New Roman"/>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4"/>
        <w:widowControl/>
        <w:spacing w:before="0" w:beforeAutospacing="0" w:after="0" w:afterAutospacing="0" w:line="288" w:lineRule="auto"/>
        <w:ind w:firstLine="315"/>
        <w:rPr>
          <w:rFonts w:ascii="Times New Roman" w:hAnsi="Times New Roman"/>
          <w:sz w:val="21"/>
          <w:szCs w:val="21"/>
        </w:rPr>
      </w:pPr>
      <w:r>
        <w:rPr>
          <w:rFonts w:ascii="Times New Roman" w:hAnsi="Times New Roman"/>
          <w:sz w:val="21"/>
          <w:szCs w:val="21"/>
        </w:rPr>
        <w:t>2.落实政府采购政策需满足的资格要求：标项1：供应商为中小企业/小微企业</w:t>
      </w:r>
      <w:r>
        <w:rPr>
          <w:rFonts w:hint="eastAsia" w:ascii="Times New Roman" w:hAnsi="Times New Roman"/>
          <w:sz w:val="21"/>
          <w:szCs w:val="21"/>
        </w:rPr>
        <w:t>。 </w:t>
      </w:r>
      <w:r>
        <w:rPr>
          <w:rFonts w:ascii="Times New Roman" w:hAnsi="Times New Roman"/>
          <w:sz w:val="21"/>
          <w:szCs w:val="21"/>
        </w:rPr>
        <w:t>  </w:t>
      </w:r>
    </w:p>
    <w:p>
      <w:pPr>
        <w:spacing w:line="360" w:lineRule="auto"/>
        <w:ind w:firstLine="420" w:firstLineChars="200"/>
        <w:rPr>
          <w:rFonts w:ascii="Times New Roman" w:hAnsi="Times New Roman"/>
          <w:kern w:val="0"/>
          <w:szCs w:val="21"/>
          <w:lang w:bidi="ar"/>
        </w:rPr>
      </w:pPr>
      <w:r>
        <w:rPr>
          <w:rFonts w:hint="eastAsia" w:ascii="Times New Roman" w:hAnsi="Times New Roman"/>
          <w:kern w:val="0"/>
          <w:szCs w:val="21"/>
          <w:lang w:bidi="ar"/>
        </w:rPr>
        <w:sym w:font="Wingdings" w:char="00FE"/>
      </w:r>
      <w:r>
        <w:rPr>
          <w:rFonts w:hint="eastAsia" w:ascii="Times New Roman" w:hAnsi="Times New Roman"/>
          <w:kern w:val="0"/>
          <w:szCs w:val="21"/>
          <w:lang w:bidi="ar"/>
        </w:rPr>
        <w:t>专门面向中小企业</w:t>
      </w:r>
      <w:r>
        <w:rPr>
          <w:rFonts w:ascii="Times New Roman" w:hAnsi="Times New Roman"/>
          <w:kern w:val="0"/>
          <w:szCs w:val="21"/>
          <w:lang w:bidi="ar"/>
        </w:rPr>
        <w:t>/小微企业</w:t>
      </w:r>
    </w:p>
    <w:p>
      <w:pPr>
        <w:spacing w:line="360" w:lineRule="auto"/>
        <w:ind w:firstLine="785" w:firstLineChars="374"/>
        <w:rPr>
          <w:rFonts w:ascii="Times New Roman" w:hAnsi="Times New Roman"/>
          <w:kern w:val="0"/>
          <w:szCs w:val="21"/>
          <w:lang w:bidi="ar"/>
        </w:rPr>
      </w:pPr>
      <w:r>
        <w:rPr>
          <w:rFonts w:hint="eastAsia" w:ascii="Times New Roman" w:hAnsi="Times New Roman"/>
          <w:kern w:val="0"/>
          <w:szCs w:val="21"/>
          <w:lang w:bidi="ar"/>
        </w:rPr>
        <w:sym w:font="Wingdings" w:char="00A8"/>
      </w:r>
      <w:r>
        <w:rPr>
          <w:rFonts w:hint="eastAsia" w:ascii="Times New Roman" w:hAnsi="Times New Roman"/>
          <w:kern w:val="0"/>
          <w:szCs w:val="21"/>
          <w:lang w:bidi="ar"/>
        </w:rPr>
        <w:t>货物全部由符合政策要求的中小企业制造，提供中小企业声明函；</w:t>
      </w:r>
    </w:p>
    <w:p>
      <w:pPr>
        <w:spacing w:line="360" w:lineRule="auto"/>
        <w:ind w:firstLine="785" w:firstLineChars="374"/>
        <w:rPr>
          <w:rFonts w:ascii="Times New Roman" w:hAnsi="Times New Roman"/>
          <w:kern w:val="0"/>
          <w:szCs w:val="21"/>
          <w:lang w:bidi="ar"/>
        </w:rPr>
      </w:pPr>
      <w:r>
        <w:rPr>
          <w:rFonts w:hint="eastAsia" w:ascii="Times New Roman" w:hAnsi="Times New Roman"/>
          <w:kern w:val="0"/>
          <w:szCs w:val="21"/>
          <w:lang w:bidi="ar"/>
        </w:rPr>
        <w:sym w:font="Wingdings" w:char="00A8"/>
      </w:r>
      <w:r>
        <w:rPr>
          <w:rFonts w:hint="eastAsia" w:ascii="Times New Roman" w:hAnsi="Times New Roman"/>
          <w:kern w:val="0"/>
          <w:szCs w:val="21"/>
          <w:lang w:bidi="ar"/>
        </w:rPr>
        <w:t>货物全部由符合政策要求的小微企业制造，提供中小企业声明函；</w:t>
      </w:r>
    </w:p>
    <w:p>
      <w:pPr>
        <w:spacing w:line="360" w:lineRule="auto"/>
        <w:ind w:firstLine="785" w:firstLineChars="374"/>
        <w:rPr>
          <w:rFonts w:ascii="Times New Roman" w:hAnsi="Times New Roman"/>
          <w:kern w:val="0"/>
          <w:szCs w:val="21"/>
          <w:lang w:bidi="ar"/>
        </w:rPr>
      </w:pPr>
      <w:r>
        <w:rPr>
          <w:rFonts w:hint="eastAsia" w:ascii="Times New Roman" w:hAnsi="Times New Roman"/>
          <w:kern w:val="0"/>
          <w:szCs w:val="21"/>
          <w:lang w:bidi="ar"/>
        </w:rPr>
        <w:sym w:font="Wingdings" w:char="00FE"/>
      </w:r>
      <w:r>
        <w:rPr>
          <w:rFonts w:hint="eastAsia" w:ascii="Times New Roman" w:hAnsi="Times New Roman"/>
          <w:kern w:val="0"/>
          <w:szCs w:val="21"/>
          <w:lang w:bidi="ar"/>
        </w:rPr>
        <w:t>服务全部由符合政策要求的中小企业承接，提供中小企业声明函；</w:t>
      </w:r>
    </w:p>
    <w:p>
      <w:pPr>
        <w:spacing w:line="360" w:lineRule="auto"/>
        <w:ind w:firstLine="785" w:firstLineChars="374"/>
        <w:rPr>
          <w:rFonts w:ascii="Times New Roman" w:hAnsi="Times New Roman"/>
          <w:kern w:val="0"/>
          <w:szCs w:val="21"/>
          <w:lang w:bidi="ar"/>
        </w:rPr>
      </w:pPr>
      <w:r>
        <w:rPr>
          <w:rFonts w:hint="eastAsia" w:ascii="Times New Roman" w:hAnsi="Times New Roman"/>
          <w:kern w:val="0"/>
          <w:szCs w:val="21"/>
          <w:lang w:bidi="ar"/>
        </w:rPr>
        <w:sym w:font="Wingdings" w:char="00FE"/>
      </w:r>
      <w:r>
        <w:rPr>
          <w:rFonts w:hint="eastAsia" w:ascii="Times New Roman" w:hAnsi="Times New Roman"/>
          <w:kern w:val="0"/>
          <w:szCs w:val="21"/>
          <w:lang w:bidi="ar"/>
        </w:rPr>
        <w:t>服务全部由符合政策要求的小微企业承接，提供中小企业声明函；</w:t>
      </w:r>
    </w:p>
    <w:p>
      <w:pPr>
        <w:spacing w:line="360" w:lineRule="auto"/>
        <w:ind w:firstLine="420" w:firstLineChars="200"/>
        <w:rPr>
          <w:rFonts w:ascii="Times New Roman" w:hAnsi="Times New Roman"/>
          <w:kern w:val="0"/>
          <w:szCs w:val="21"/>
          <w:lang w:bidi="ar"/>
        </w:rPr>
      </w:pPr>
      <w:r>
        <w:rPr>
          <w:rFonts w:hint="eastAsia" w:ascii="Times New Roman" w:hAnsi="Times New Roman"/>
          <w:kern w:val="0"/>
          <w:szCs w:val="21"/>
          <w:lang w:bidi="ar"/>
        </w:rPr>
        <w:sym w:font="Wingdings" w:char="00A8"/>
      </w:r>
      <w:r>
        <w:rPr>
          <w:rFonts w:hint="eastAsia" w:ascii="Times New Roman" w:hAnsi="Times New Roman"/>
          <w:kern w:val="0"/>
          <w:szCs w:val="21"/>
          <w:lang w:bidi="ar"/>
        </w:rPr>
        <w:t>要求以联合体形式参加，提供联合协议和中小企业声明函，联合协议中中小企业合同金额应当达到</w:t>
      </w:r>
      <w:r>
        <w:rPr>
          <w:rFonts w:hint="eastAsia" w:ascii="Times New Roman" w:hAnsi="Times New Roman"/>
          <w:kern w:val="0"/>
          <w:szCs w:val="21"/>
          <w:u w:val="single"/>
          <w:lang w:bidi="ar"/>
        </w:rPr>
        <w:t xml:space="preserve">  </w:t>
      </w:r>
      <w:r>
        <w:rPr>
          <w:rFonts w:hint="eastAsia" w:ascii="Times New Roman" w:hAnsi="Times New Roman"/>
          <w:kern w:val="0"/>
          <w:szCs w:val="21"/>
          <w:lang w:bidi="ar"/>
        </w:rPr>
        <w:t>%，小微企业合同金额应当达到</w:t>
      </w:r>
      <w:r>
        <w:rPr>
          <w:rFonts w:hint="eastAsia" w:ascii="Times New Roman" w:hAnsi="Times New Roman"/>
          <w:kern w:val="0"/>
          <w:szCs w:val="21"/>
          <w:u w:val="single"/>
          <w:lang w:bidi="ar"/>
        </w:rPr>
        <w:t xml:space="preserve">   </w:t>
      </w:r>
      <w:r>
        <w:rPr>
          <w:rFonts w:hint="eastAsia" w:ascii="Times New Roman" w:hAnsi="Times New Roman"/>
          <w:kern w:val="0"/>
          <w:szCs w:val="21"/>
          <w:lang w:bidi="ar"/>
        </w:rPr>
        <w:t>%;如果供应商本身提供所有标的均由中小企业制造、承建或承接，视同符合了资格条件，无需再与其他中小企业组成联合体参加政府采购活动，无需提供联合协议；</w:t>
      </w:r>
    </w:p>
    <w:p>
      <w:pPr>
        <w:spacing w:line="360" w:lineRule="auto"/>
        <w:ind w:firstLine="420" w:firstLineChars="200"/>
        <w:rPr>
          <w:rFonts w:ascii="Times New Roman" w:hAnsi="Times New Roman"/>
          <w:szCs w:val="21"/>
        </w:rPr>
      </w:pPr>
      <w:r>
        <w:rPr>
          <w:rFonts w:hint="eastAsia" w:ascii="Times New Roman" w:hAnsi="Times New Roman"/>
          <w:kern w:val="0"/>
          <w:szCs w:val="21"/>
          <w:lang w:bidi="ar"/>
        </w:rPr>
        <w:sym w:font="Wingdings" w:char="00A8"/>
      </w:r>
      <w:r>
        <w:rPr>
          <w:rFonts w:hint="eastAsia" w:ascii="Times New Roman" w:hAnsi="Times New Roman"/>
          <w:kern w:val="0"/>
          <w:szCs w:val="21"/>
          <w:lang w:bidi="ar"/>
        </w:rPr>
        <w:t>要求合同分包，提供分包意向协议和中小企业声明函，分包意向协议中中小企业合同金额应当达到达到</w:t>
      </w:r>
      <w:r>
        <w:rPr>
          <w:rFonts w:hint="eastAsia" w:ascii="Times New Roman" w:hAnsi="Times New Roman"/>
          <w:kern w:val="0"/>
          <w:szCs w:val="21"/>
          <w:u w:val="single"/>
          <w:lang w:bidi="ar"/>
        </w:rPr>
        <w:t xml:space="preserve">   </w:t>
      </w:r>
      <w:r>
        <w:rPr>
          <w:rFonts w:hint="eastAsia" w:ascii="Times New Roman" w:hAnsi="Times New Roman"/>
          <w:kern w:val="0"/>
          <w:szCs w:val="21"/>
          <w:lang w:bidi="ar"/>
        </w:rPr>
        <w:t>% ，其中小微企业合同金额应当达到</w:t>
      </w:r>
      <w:r>
        <w:rPr>
          <w:rFonts w:hint="eastAsia" w:ascii="Times New Roman" w:hAnsi="Times New Roman"/>
          <w:kern w:val="0"/>
          <w:szCs w:val="21"/>
          <w:u w:val="single"/>
          <w:lang w:bidi="ar"/>
        </w:rPr>
        <w:t xml:space="preserve">   </w:t>
      </w:r>
      <w:r>
        <w:rPr>
          <w:rFonts w:hint="eastAsia" w:ascii="Times New Roman" w:hAnsi="Times New Roman"/>
          <w:kern w:val="0"/>
          <w:szCs w:val="21"/>
          <w:lang w:bidi="ar"/>
        </w:rPr>
        <w:t>% ;如果供应商本身提供所有标的均由中小企业制造、承建或承接，视同符合了资格条件，无需再向中小企业分包，无需提供分包意向协议；</w:t>
      </w:r>
    </w:p>
    <w:p>
      <w:pPr>
        <w:keepNext w:val="0"/>
        <w:keepLines w:val="0"/>
        <w:widowControl/>
        <w:suppressLineNumbers w:val="0"/>
        <w:spacing w:line="360" w:lineRule="auto"/>
        <w:jc w:val="left"/>
        <w:rPr>
          <w:rFonts w:hint="default" w:ascii="Times New Roman" w:hAnsi="Times New Roman" w:cs="Times New Roman"/>
          <w:b/>
          <w:bCs/>
          <w:i w:val="0"/>
          <w:iCs w:val="0"/>
          <w:color w:val="000000" w:themeColor="text1"/>
          <w:sz w:val="21"/>
          <w:szCs w:val="21"/>
          <w:highlight w:val="yellow"/>
          <w14:textFill>
            <w14:solidFill>
              <w14:schemeClr w14:val="tx1"/>
            </w14:solidFill>
          </w14:textFill>
        </w:rPr>
      </w:pPr>
      <w:r>
        <w:rPr>
          <w:rFonts w:hint="default" w:ascii="Times New Roman" w:hAnsi="Times New Roman" w:cs="Times New Roman"/>
          <w:b/>
          <w:bCs/>
          <w:color w:val="000000" w:themeColor="text1"/>
          <w:sz w:val="21"/>
          <w:szCs w:val="21"/>
          <w:highlight w:val="yellow"/>
          <w14:textFill>
            <w14:solidFill>
              <w14:schemeClr w14:val="tx1"/>
            </w14:solidFill>
          </w14:textFill>
        </w:rPr>
        <w:t>3、本项目的特定资格要求：</w:t>
      </w:r>
      <w:r>
        <w:rPr>
          <w:rFonts w:hint="default" w:ascii="Times New Roman" w:hAnsi="Times New Roman" w:cs="Times New Roman"/>
          <w:b/>
          <w:bCs/>
          <w:i w:val="0"/>
          <w:iCs w:val="0"/>
          <w:strike w:val="0"/>
          <w:dstrike w:val="0"/>
          <w:color w:val="000000" w:themeColor="text1"/>
          <w:sz w:val="21"/>
          <w:szCs w:val="21"/>
          <w:highlight w:val="yellow"/>
          <w14:textFill>
            <w14:solidFill>
              <w14:schemeClr w14:val="tx1"/>
            </w14:solidFill>
          </w14:textFill>
        </w:rPr>
        <w:t>具备</w:t>
      </w:r>
      <w:r>
        <w:rPr>
          <w:rFonts w:hint="eastAsia" w:ascii="Times New Roman" w:hAnsi="Times New Roman" w:cs="Times New Roman"/>
          <w:b/>
          <w:bCs/>
          <w:i w:val="0"/>
          <w:iCs w:val="0"/>
          <w:strike w:val="0"/>
          <w:dstrike w:val="0"/>
          <w:color w:val="000000" w:themeColor="text1"/>
          <w:sz w:val="21"/>
          <w:szCs w:val="21"/>
          <w:highlight w:val="yellow"/>
          <w:lang w:val="en-US" w:eastAsia="zh-CN"/>
          <w14:textFill>
            <w14:solidFill>
              <w14:schemeClr w14:val="tx1"/>
            </w14:solidFill>
          </w14:textFill>
        </w:rPr>
        <w:t>相应勘察、设计资质</w:t>
      </w:r>
      <w:r>
        <w:rPr>
          <w:rFonts w:hint="default" w:ascii="Times New Roman" w:hAnsi="Times New Roman" w:cs="Times New Roman"/>
          <w:b/>
          <w:bCs/>
          <w:i w:val="0"/>
          <w:iCs w:val="0"/>
          <w:strike w:val="0"/>
          <w:dstrike w:val="0"/>
          <w:color w:val="000000" w:themeColor="text1"/>
          <w:sz w:val="21"/>
          <w:szCs w:val="21"/>
          <w:highlight w:val="yellow"/>
          <w14:textFill>
            <w14:solidFill>
              <w14:schemeClr w14:val="tx1"/>
            </w14:solidFill>
          </w14:textFill>
        </w:rPr>
        <w:t>。</w:t>
      </w:r>
    </w:p>
    <w:p>
      <w:pPr>
        <w:pStyle w:val="24"/>
        <w:widowControl/>
        <w:spacing w:before="0" w:beforeAutospacing="0" w:after="0" w:afterAutospacing="0" w:line="360" w:lineRule="auto"/>
        <w:jc w:val="both"/>
        <w:rPr>
          <w:rStyle w:val="30"/>
          <w:rFonts w:hint="default" w:ascii="Times New Roman" w:hAnsi="Times New Roman" w:cs="Times New Roman"/>
          <w:color w:val="000000" w:themeColor="text1"/>
          <w:sz w:val="21"/>
          <w:szCs w:val="21"/>
          <w14:textFill>
            <w14:solidFill>
              <w14:schemeClr w14:val="tx1"/>
            </w14:solidFill>
          </w14:textFill>
        </w:rPr>
      </w:pPr>
      <w:r>
        <w:rPr>
          <w:rStyle w:val="30"/>
          <w:rFonts w:hint="default" w:ascii="Times New Roman" w:hAnsi="Times New Roman" w:cs="Times New Roman"/>
          <w:color w:val="000000" w:themeColor="text1"/>
          <w:sz w:val="21"/>
          <w:szCs w:val="21"/>
          <w14:textFill>
            <w14:solidFill>
              <w14:schemeClr w14:val="tx1"/>
            </w14:solidFill>
          </w14:textFill>
        </w:rPr>
        <w:t>三、获取招标文件 </w:t>
      </w:r>
    </w:p>
    <w:p>
      <w:pPr>
        <w:pStyle w:val="24"/>
        <w:widowControl/>
        <w:spacing w:before="0" w:beforeAutospacing="0" w:after="0" w:afterAutospacing="0" w:line="360" w:lineRule="auto"/>
        <w:ind w:firstLine="420" w:firstLineChars="20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时间：/至</w:t>
      </w:r>
      <w:r>
        <w:rPr>
          <w:rFonts w:hint="default" w:ascii="Times New Roman" w:hAnsi="Times New Roman" w:cs="Times New Roman"/>
          <w:color w:val="000000" w:themeColor="text1"/>
          <w:sz w:val="21"/>
          <w:szCs w:val="21"/>
          <w:highlight w:val="none"/>
          <w14:textFill>
            <w14:solidFill>
              <w14:schemeClr w14:val="tx1"/>
            </w14:solidFill>
          </w14:textFill>
        </w:rPr>
        <w:t>2022年</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月</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日14:30 ，</w:t>
      </w:r>
      <w:r>
        <w:rPr>
          <w:rFonts w:hint="default" w:ascii="Times New Roman" w:hAnsi="Times New Roman" w:cs="Times New Roman"/>
          <w:color w:val="000000" w:themeColor="text1"/>
          <w:sz w:val="21"/>
          <w:szCs w:val="21"/>
          <w14:textFill>
            <w14:solidFill>
              <w14:schemeClr w14:val="tx1"/>
            </w14:solidFill>
          </w14:textFill>
        </w:rPr>
        <w:t>每天上午00:00至12:00 ，下午12:00至23:59（北京时间，线上获取法定节假日均可，线下获取文件法定节假日除外）</w:t>
      </w:r>
    </w:p>
    <w:p>
      <w:pPr>
        <w:pStyle w:val="24"/>
        <w:widowControl/>
        <w:spacing w:before="0" w:beforeAutospacing="0" w:after="0" w:afterAutospacing="0" w:line="360" w:lineRule="auto"/>
        <w:ind w:firstLine="420" w:firstLineChars="20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地点（网址）：浙江政府采购网http://zfcg.czt.zj.gov.cn/（用“政采云”注册账号、密码登录系统后获取招标文件）   </w:t>
      </w:r>
    </w:p>
    <w:p>
      <w:pPr>
        <w:pStyle w:val="24"/>
        <w:widowControl/>
        <w:spacing w:before="0" w:beforeAutospacing="0" w:after="0" w:afterAutospacing="0" w:line="360" w:lineRule="auto"/>
        <w:ind w:firstLine="420" w:firstLineChars="20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w:t>
      </w:r>
    </w:p>
    <w:p>
      <w:pPr>
        <w:pStyle w:val="24"/>
        <w:widowControl/>
        <w:spacing w:before="0" w:beforeAutospacing="0" w:after="0" w:afterAutospacing="0" w:line="360" w:lineRule="auto"/>
        <w:ind w:firstLine="420" w:firstLineChars="20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售价（元）：0</w:t>
      </w:r>
    </w:p>
    <w:p>
      <w:pPr>
        <w:pStyle w:val="24"/>
        <w:widowControl/>
        <w:spacing w:before="0" w:beforeAutospacing="0" w:after="0" w:afterAutospacing="0" w:line="360" w:lineRule="auto"/>
        <w:jc w:val="both"/>
        <w:rPr>
          <w:rStyle w:val="30"/>
          <w:rFonts w:hint="default" w:ascii="Times New Roman" w:hAnsi="Times New Roman" w:cs="Times New Roman"/>
          <w:color w:val="000000" w:themeColor="text1"/>
          <w:sz w:val="21"/>
          <w:szCs w:val="21"/>
          <w14:textFill>
            <w14:solidFill>
              <w14:schemeClr w14:val="tx1"/>
            </w14:solidFill>
          </w14:textFill>
        </w:rPr>
      </w:pPr>
      <w:r>
        <w:rPr>
          <w:rStyle w:val="30"/>
          <w:rFonts w:hint="default" w:ascii="Times New Roman" w:hAnsi="Times New Roman" w:cs="Times New Roman"/>
          <w:color w:val="000000" w:themeColor="text1"/>
          <w:sz w:val="21"/>
          <w:szCs w:val="21"/>
          <w14:textFill>
            <w14:solidFill>
              <w14:schemeClr w14:val="tx1"/>
            </w14:solidFill>
          </w14:textFill>
        </w:rPr>
        <w:t>四、提交投标文件截止时间、开标时间和地点</w:t>
      </w:r>
    </w:p>
    <w:p>
      <w:pPr>
        <w:pStyle w:val="24"/>
        <w:widowControl/>
        <w:spacing w:before="75" w:beforeAutospacing="0" w:after="75" w:afterAutospacing="0" w:line="360" w:lineRule="auto"/>
        <w:ind w:firstLine="42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提交投标文件截止</w:t>
      </w:r>
      <w:r>
        <w:rPr>
          <w:rFonts w:hint="default" w:ascii="Times New Roman" w:hAnsi="Times New Roman" w:cs="Times New Roman"/>
          <w:color w:val="000000" w:themeColor="text1"/>
          <w:sz w:val="21"/>
          <w:szCs w:val="21"/>
          <w:highlight w:val="none"/>
          <w14:textFill>
            <w14:solidFill>
              <w14:schemeClr w14:val="tx1"/>
            </w14:solidFill>
          </w14:textFill>
        </w:rPr>
        <w:t>时间：2022年</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月</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日 14:30（北京时间）</w:t>
      </w:r>
    </w:p>
    <w:p>
      <w:pPr>
        <w:pStyle w:val="24"/>
        <w:widowControl/>
        <w:spacing w:before="75" w:beforeAutospacing="0" w:after="75" w:afterAutospacing="0" w:line="36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投标地点（网址）：政采云平台（https://www.zcygov.cn/） </w:t>
      </w:r>
    </w:p>
    <w:p>
      <w:pPr>
        <w:pStyle w:val="24"/>
        <w:widowControl/>
        <w:spacing w:before="75" w:beforeAutospacing="0" w:after="75" w:afterAutospacing="0" w:line="360" w:lineRule="auto"/>
        <w:ind w:firstLine="420"/>
        <w:rPr>
          <w:rFonts w:hint="default" w:ascii="Times New Roman" w:hAnsi="Times New Roman" w:cs="Times New Roman"/>
          <w:color w:val="000000" w:themeColor="text1"/>
          <w:sz w:val="21"/>
          <w:szCs w:val="21"/>
          <w:highlight w:val="yellow"/>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开标时间</w:t>
      </w:r>
      <w:r>
        <w:rPr>
          <w:rFonts w:hint="default" w:ascii="Times New Roman" w:hAnsi="Times New Roman" w:cs="Times New Roman"/>
          <w:color w:val="000000" w:themeColor="text1"/>
          <w:sz w:val="21"/>
          <w:szCs w:val="21"/>
          <w:highlight w:val="none"/>
          <w14:textFill>
            <w14:solidFill>
              <w14:schemeClr w14:val="tx1"/>
            </w14:solidFill>
          </w14:textFill>
        </w:rPr>
        <w:t>：2022年</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月</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日 14:30</w:t>
      </w:r>
    </w:p>
    <w:p>
      <w:pPr>
        <w:pStyle w:val="24"/>
        <w:widowControl/>
        <w:spacing w:before="75" w:beforeAutospacing="0" w:after="75" w:afterAutospacing="0" w:line="36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开标地点（网址）：政采云平台（https://www.zcygov.cn/）</w:t>
      </w:r>
    </w:p>
    <w:p>
      <w:pPr>
        <w:numPr>
          <w:ilvl w:val="0"/>
          <w:numId w:val="4"/>
        </w:numPr>
        <w:rPr>
          <w:rStyle w:val="30"/>
          <w:rFonts w:hint="default" w:ascii="Times New Roman" w:hAnsi="Times New Roman" w:cs="Times New Roman"/>
          <w:kern w:val="0"/>
        </w:rPr>
      </w:pPr>
      <w:r>
        <w:rPr>
          <w:rStyle w:val="30"/>
          <w:rFonts w:hint="default" w:ascii="Times New Roman" w:hAnsi="Times New Roman" w:cs="Times New Roman"/>
          <w:kern w:val="0"/>
        </w:rPr>
        <w:t>采购意向公开链接</w:t>
      </w:r>
    </w:p>
    <w:p>
      <w:pPr>
        <w:pStyle w:val="12"/>
        <w:rPr>
          <w:rFonts w:hint="default" w:ascii="Times New Roman" w:hAnsi="Times New Roman" w:cs="Times New Roman"/>
          <w:highlight w:val="none"/>
        </w:rPr>
      </w:pPr>
      <w:r>
        <w:rPr>
          <w:rFonts w:hint="default" w:ascii="Times New Roman" w:hAnsi="Times New Roman" w:cs="Times New Roman"/>
          <w:highlight w:val="none"/>
        </w:rPr>
        <w:t>https://zfcg.czt.zj.gov.cn/innerUsed_noticeDetails/index.html?noticeId=8703170&amp;utm=web-government-front.2e418808.0.0.9292d0c0040b11ed8a23c37886d756b1</w:t>
      </w:r>
    </w:p>
    <w:p>
      <w:pPr>
        <w:pStyle w:val="24"/>
        <w:widowControl/>
        <w:spacing w:before="0" w:beforeAutospacing="0" w:after="0" w:afterAutospacing="0" w:line="360" w:lineRule="auto"/>
        <w:jc w:val="both"/>
        <w:rPr>
          <w:rStyle w:val="30"/>
          <w:rFonts w:hint="default" w:ascii="Times New Roman" w:hAnsi="Times New Roman" w:cs="Times New Roman"/>
          <w:color w:val="000000" w:themeColor="text1"/>
          <w:sz w:val="21"/>
          <w:szCs w:val="21"/>
          <w14:textFill>
            <w14:solidFill>
              <w14:schemeClr w14:val="tx1"/>
            </w14:solidFill>
          </w14:textFill>
        </w:rPr>
      </w:pPr>
      <w:r>
        <w:rPr>
          <w:rStyle w:val="30"/>
          <w:rFonts w:hint="default" w:ascii="Times New Roman" w:hAnsi="Times New Roman" w:cs="Times New Roman"/>
          <w:color w:val="000000" w:themeColor="text1"/>
          <w:sz w:val="21"/>
          <w:szCs w:val="21"/>
          <w14:textFill>
            <w14:solidFill>
              <w14:schemeClr w14:val="tx1"/>
            </w14:solidFill>
          </w14:textFill>
        </w:rPr>
        <w:t>六、公告期限 </w:t>
      </w:r>
    </w:p>
    <w:p>
      <w:pPr>
        <w:pStyle w:val="24"/>
        <w:widowControl/>
        <w:spacing w:before="0" w:beforeAutospacing="0" w:after="0" w:afterAutospacing="0" w:line="360" w:lineRule="auto"/>
        <w:ind w:firstLine="420" w:firstLineChars="20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自本公告发布之日起5个工作日。</w:t>
      </w:r>
    </w:p>
    <w:p>
      <w:pPr>
        <w:pStyle w:val="24"/>
        <w:widowControl/>
        <w:spacing w:before="0" w:beforeAutospacing="0" w:after="0" w:afterAutospacing="0" w:line="360" w:lineRule="auto"/>
        <w:jc w:val="both"/>
        <w:rPr>
          <w:rStyle w:val="30"/>
          <w:rFonts w:hint="default" w:ascii="Times New Roman" w:hAnsi="Times New Roman" w:cs="Times New Roman"/>
          <w:color w:val="000000" w:themeColor="text1"/>
          <w:sz w:val="21"/>
          <w:szCs w:val="21"/>
          <w:highlight w:val="none"/>
          <w14:textFill>
            <w14:solidFill>
              <w14:schemeClr w14:val="tx1"/>
            </w14:solidFill>
          </w14:textFill>
        </w:rPr>
      </w:pPr>
      <w:r>
        <w:rPr>
          <w:rStyle w:val="30"/>
          <w:rFonts w:hint="default" w:ascii="Times New Roman" w:hAnsi="Times New Roman" w:cs="Times New Roman"/>
          <w:color w:val="000000" w:themeColor="text1"/>
          <w:sz w:val="21"/>
          <w:szCs w:val="21"/>
          <w:highlight w:val="none"/>
          <w14:textFill>
            <w14:solidFill>
              <w14:schemeClr w14:val="tx1"/>
            </w14:solidFill>
          </w14:textFill>
        </w:rPr>
        <w:t>七、其他补充事宜</w:t>
      </w:r>
      <w:bookmarkStart w:id="5" w:name="_GoBack"/>
      <w:bookmarkEnd w:id="5"/>
    </w:p>
    <w:p>
      <w:pPr>
        <w:pStyle w:val="24"/>
        <w:widowControl/>
        <w:spacing w:before="75" w:beforeAutospacing="0" w:after="75" w:afterAutospacing="0" w:line="360" w:lineRule="auto"/>
        <w:ind w:firstLine="420"/>
      </w:pPr>
      <w:r>
        <w:rPr>
          <w:rFonts w:ascii="Times New Roman" w:hAnsi="Times New Roman"/>
          <w:sz w:val="21"/>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Times New Roman" w:hAnsi="Times New Roman"/>
          <w:sz w:val="21"/>
          <w:szCs w:val="21"/>
        </w:rPr>
        <w:br w:type="textWrapping"/>
      </w:r>
      <w:r>
        <w:rPr>
          <w:rFonts w:ascii="Times New Roman" w:hAnsi="Times New Roman"/>
          <w:sz w:val="21"/>
          <w:szCs w:val="21"/>
        </w:rPr>
        <w:t>    2.其他事项：（</w:t>
      </w:r>
      <w:r>
        <w:rPr>
          <w:rFonts w:hint="eastAsia" w:ascii="Times New Roman" w:hAnsi="Times New Roman"/>
          <w:sz w:val="21"/>
          <w:szCs w:val="21"/>
        </w:rPr>
        <w:t>1</w:t>
      </w:r>
      <w:r>
        <w:rPr>
          <w:rFonts w:ascii="Times New Roman" w:hAnsi="Times New Roman"/>
          <w:sz w:val="21"/>
          <w:szCs w:val="21"/>
        </w:rPr>
        <w:t>）本项目执行促进中小企业发展（监狱企业、残疾人福利性单位视同小型、微型企业）、优先采购节能产品、优先采购环境标志产品政策。（</w:t>
      </w:r>
      <w:r>
        <w:rPr>
          <w:rFonts w:hint="eastAsia" w:ascii="Times New Roman" w:hAnsi="Times New Roman"/>
          <w:sz w:val="21"/>
          <w:szCs w:val="21"/>
        </w:rPr>
        <w:t>2</w:t>
      </w:r>
      <w:r>
        <w:rPr>
          <w:rFonts w:ascii="Times New Roman" w:hAnsi="Times New Roman"/>
          <w:sz w:val="21"/>
          <w:szCs w:val="21"/>
        </w:rPr>
        <w:t>）为支持和促进中小企业发展，舟山市财政局出台了政府采购信用融资政策，具体详见采购文件。</w:t>
      </w:r>
    </w:p>
    <w:p>
      <w:pPr>
        <w:pStyle w:val="24"/>
        <w:widowControl/>
        <w:spacing w:before="0" w:beforeAutospacing="0" w:after="0" w:afterAutospacing="0" w:line="360" w:lineRule="auto"/>
        <w:jc w:val="both"/>
        <w:rPr>
          <w:rStyle w:val="30"/>
          <w:rFonts w:hint="default" w:ascii="Times New Roman" w:hAnsi="Times New Roman" w:cs="Times New Roman"/>
          <w:color w:val="000000" w:themeColor="text1"/>
          <w:sz w:val="21"/>
          <w:szCs w:val="21"/>
          <w14:textFill>
            <w14:solidFill>
              <w14:schemeClr w14:val="tx1"/>
            </w14:solidFill>
          </w14:textFill>
        </w:rPr>
      </w:pPr>
      <w:r>
        <w:rPr>
          <w:rStyle w:val="30"/>
          <w:rFonts w:hint="eastAsia" w:ascii="Times New Roman" w:hAnsi="Times New Roman" w:cs="Times New Roman"/>
          <w:color w:val="000000" w:themeColor="text1"/>
          <w:sz w:val="21"/>
          <w:szCs w:val="21"/>
          <w:lang w:val="en-US" w:eastAsia="zh-CN"/>
          <w14:textFill>
            <w14:solidFill>
              <w14:schemeClr w14:val="tx1"/>
            </w14:solidFill>
          </w14:textFill>
        </w:rPr>
        <w:t>八</w:t>
      </w:r>
      <w:r>
        <w:rPr>
          <w:rStyle w:val="30"/>
          <w:rFonts w:hint="default" w:ascii="Times New Roman" w:hAnsi="Times New Roman" w:cs="Times New Roman"/>
          <w:color w:val="000000" w:themeColor="text1"/>
          <w:sz w:val="21"/>
          <w:szCs w:val="21"/>
          <w14:textFill>
            <w14:solidFill>
              <w14:schemeClr w14:val="tx1"/>
            </w14:solidFill>
          </w14:textFill>
        </w:rPr>
        <w:t>、对本次采购提出询问、质疑、投诉，请按以下方式联系</w:t>
      </w:r>
    </w:p>
    <w:p>
      <w:pPr>
        <w:pStyle w:val="24"/>
        <w:widowControl/>
        <w:spacing w:before="50" w:beforeAutospacing="0" w:after="50" w:afterAutospacing="0" w:line="36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 xml:space="preserve"> 1.采购人信息</w:t>
      </w:r>
    </w:p>
    <w:p>
      <w:pPr>
        <w:pStyle w:val="24"/>
        <w:widowControl/>
        <w:spacing w:before="50" w:beforeAutospacing="0" w:after="50" w:afterAutospacing="0" w:line="36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名    称：</w:t>
      </w:r>
      <w:r>
        <w:rPr>
          <w:rFonts w:hint="eastAsia" w:ascii="Times New Roman" w:hAnsi="Times New Roman" w:cs="Times New Roman"/>
          <w:color w:val="000000" w:themeColor="text1"/>
          <w:sz w:val="21"/>
          <w:szCs w:val="21"/>
          <w:lang w:eastAsia="zh-CN"/>
          <w14:textFill>
            <w14:solidFill>
              <w14:schemeClr w14:val="tx1"/>
            </w14:solidFill>
          </w14:textFill>
        </w:rPr>
        <w:t>舟山市定海区住房和城乡建设局</w:t>
      </w:r>
      <w:r>
        <w:rPr>
          <w:rFonts w:hint="default" w:ascii="Times New Roman" w:hAnsi="Times New Roman" w:cs="Times New Roman"/>
          <w:color w:val="000000" w:themeColor="text1"/>
          <w:sz w:val="21"/>
          <w:szCs w:val="21"/>
          <w14:textFill>
            <w14:solidFill>
              <w14:schemeClr w14:val="tx1"/>
            </w14:solidFill>
          </w14:textFill>
        </w:rPr>
        <w:t> </w:t>
      </w:r>
    </w:p>
    <w:p>
      <w:pPr>
        <w:pStyle w:val="24"/>
        <w:widowControl/>
        <w:spacing w:before="50" w:beforeAutospacing="0" w:after="50" w:afterAutospacing="0" w:line="360" w:lineRule="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    地    址：定海区东山路289号</w:t>
      </w:r>
    </w:p>
    <w:p>
      <w:pPr>
        <w:pStyle w:val="24"/>
        <w:widowControl/>
        <w:spacing w:before="50" w:beforeAutospacing="0" w:after="50" w:afterAutospacing="0" w:line="360" w:lineRule="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    项目联系人（询问）：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孙</w:t>
      </w:r>
      <w:r>
        <w:rPr>
          <w:rFonts w:hint="default" w:ascii="Times New Roman" w:hAnsi="Times New Roman" w:eastAsia="宋体" w:cs="Times New Roman"/>
          <w:color w:val="000000" w:themeColor="text1"/>
          <w:sz w:val="21"/>
          <w:szCs w:val="21"/>
          <w:lang w:eastAsia="zh-CN"/>
          <w14:textFill>
            <w14:solidFill>
              <w14:schemeClr w14:val="tx1"/>
            </w14:solidFill>
          </w14:textFill>
        </w:rPr>
        <w:t>先生</w:t>
      </w:r>
    </w:p>
    <w:p>
      <w:pPr>
        <w:pStyle w:val="24"/>
        <w:widowControl/>
        <w:spacing w:before="50" w:beforeAutospacing="0" w:after="50" w:afterAutospacing="0" w:line="360" w:lineRule="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    项目联系方式（询问）：0580-2586022</w:t>
      </w:r>
    </w:p>
    <w:p>
      <w:pPr>
        <w:pStyle w:val="24"/>
        <w:widowControl/>
        <w:spacing w:before="50" w:beforeAutospacing="0" w:after="50" w:afterAutospacing="0" w:line="360" w:lineRule="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    质疑联系人：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金</w:t>
      </w:r>
      <w:r>
        <w:rPr>
          <w:rFonts w:hint="default" w:ascii="Times New Roman" w:hAnsi="Times New Roman" w:eastAsia="宋体" w:cs="Times New Roman"/>
          <w:color w:val="000000" w:themeColor="text1"/>
          <w:sz w:val="21"/>
          <w:szCs w:val="21"/>
          <w:lang w:eastAsia="zh-CN"/>
          <w14:textFill>
            <w14:solidFill>
              <w14:schemeClr w14:val="tx1"/>
            </w14:solidFill>
          </w14:textFill>
        </w:rPr>
        <w:t>先生   </w:t>
      </w:r>
    </w:p>
    <w:p>
      <w:pPr>
        <w:pStyle w:val="24"/>
        <w:widowControl/>
        <w:spacing w:before="50" w:beforeAutospacing="0" w:after="50" w:afterAutospacing="0" w:line="360" w:lineRule="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    质疑联系方式：0580-2586004</w:t>
      </w:r>
    </w:p>
    <w:p>
      <w:pPr>
        <w:pStyle w:val="24"/>
        <w:widowControl/>
        <w:spacing w:before="50" w:beforeAutospacing="0" w:after="50" w:afterAutospacing="0" w:line="36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p>
    <w:p>
      <w:pPr>
        <w:pStyle w:val="24"/>
        <w:widowControl/>
        <w:spacing w:before="50" w:beforeAutospacing="0" w:after="50" w:afterAutospacing="0" w:line="36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2.采购代理机构信息</w:t>
      </w:r>
    </w:p>
    <w:p>
      <w:pPr>
        <w:pStyle w:val="24"/>
        <w:widowControl/>
        <w:spacing w:before="50" w:beforeAutospacing="0" w:after="50" w:afterAutospacing="0" w:line="36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名称：浙江自贸区中昊工程管理有限公司 </w:t>
      </w:r>
    </w:p>
    <w:p>
      <w:pPr>
        <w:pStyle w:val="24"/>
        <w:widowControl/>
        <w:spacing w:before="50" w:beforeAutospacing="0" w:after="50" w:afterAutospacing="0" w:line="36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地址：舟山市定海区临城街道百川道9号海洋科学城A12号楼910室 </w:t>
      </w:r>
    </w:p>
    <w:p>
      <w:pPr>
        <w:pStyle w:val="24"/>
        <w:widowControl/>
        <w:spacing w:before="50" w:beforeAutospacing="0" w:after="50" w:afterAutospacing="0" w:line="36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传真：0580-2119100  </w:t>
      </w:r>
    </w:p>
    <w:p>
      <w:pPr>
        <w:pStyle w:val="24"/>
        <w:widowControl/>
        <w:spacing w:before="50" w:beforeAutospacing="0" w:after="50" w:afterAutospacing="0" w:line="360" w:lineRule="auto"/>
        <w:ind w:firstLine="315"/>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项目联系人（询问）：张璐</w:t>
      </w:r>
    </w:p>
    <w:p>
      <w:pPr>
        <w:pStyle w:val="24"/>
        <w:widowControl/>
        <w:spacing w:before="50" w:beforeAutospacing="0" w:after="50" w:afterAutospacing="0" w:line="360" w:lineRule="auto"/>
        <w:ind w:firstLine="315"/>
        <w:rPr>
          <w:rFonts w:hint="default" w:ascii="Times New Roman" w:hAnsi="Times New Roman" w:cs="Times New Roman"/>
          <w:b/>
          <w:bCs/>
          <w:color w:val="FF0000"/>
          <w:sz w:val="21"/>
          <w:szCs w:val="21"/>
        </w:rPr>
      </w:pPr>
      <w:r>
        <w:rPr>
          <w:rFonts w:hint="default" w:ascii="Times New Roman" w:hAnsi="Times New Roman" w:cs="Times New Roman"/>
          <w:color w:val="000000" w:themeColor="text1"/>
          <w:sz w:val="21"/>
          <w:szCs w:val="21"/>
          <w14:textFill>
            <w14:solidFill>
              <w14:schemeClr w14:val="tx1"/>
            </w14:solidFill>
          </w14:textFill>
        </w:rPr>
        <w:t>项目联系方式（询问）：0580-2119100 </w:t>
      </w:r>
    </w:p>
    <w:p>
      <w:pPr>
        <w:pStyle w:val="24"/>
        <w:widowControl/>
        <w:spacing w:before="50" w:beforeAutospacing="0" w:after="50" w:afterAutospacing="0" w:line="36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质疑联系人：</w:t>
      </w:r>
      <w:r>
        <w:rPr>
          <w:rFonts w:hint="default" w:ascii="Times New Roman" w:hAnsi="Times New Roman" w:cs="Times New Roman"/>
          <w:color w:val="000000" w:themeColor="text1"/>
          <w:sz w:val="21"/>
          <w:szCs w:val="21"/>
          <w:lang w:val="en-US" w:eastAsia="zh-CN"/>
          <w14:textFill>
            <w14:solidFill>
              <w14:schemeClr w14:val="tx1"/>
            </w14:solidFill>
          </w14:textFill>
        </w:rPr>
        <w:t>丁洁</w:t>
      </w:r>
    </w:p>
    <w:p>
      <w:pPr>
        <w:pStyle w:val="24"/>
        <w:widowControl/>
        <w:spacing w:before="50" w:beforeAutospacing="0" w:after="50" w:afterAutospacing="0" w:line="36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质疑联系方式：0580-2119100 </w:t>
      </w:r>
    </w:p>
    <w:p>
      <w:pPr>
        <w:pStyle w:val="24"/>
        <w:widowControl/>
        <w:spacing w:before="50" w:beforeAutospacing="0" w:after="50" w:afterAutospacing="0" w:line="36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w:t>
      </w:r>
      <w:r>
        <w:rPr>
          <w:rFonts w:hint="default" w:ascii="Times New Roman" w:hAnsi="Times New Roman" w:cs="Times New Roman"/>
          <w:color w:val="000000" w:themeColor="text1"/>
          <w:sz w:val="21"/>
          <w:szCs w:val="21"/>
          <w14:textFill>
            <w14:solidFill>
              <w14:schemeClr w14:val="tx1"/>
            </w14:solidFill>
          </w14:textFill>
        </w:rPr>
        <w:br w:type="textWrapping"/>
      </w:r>
      <w:r>
        <w:rPr>
          <w:rFonts w:hint="default" w:ascii="Times New Roman" w:hAnsi="Times New Roman" w:cs="Times New Roman"/>
          <w:color w:val="000000" w:themeColor="text1"/>
          <w:sz w:val="21"/>
          <w:szCs w:val="21"/>
          <w14:textFill>
            <w14:solidFill>
              <w14:schemeClr w14:val="tx1"/>
            </w14:solidFill>
          </w14:textFill>
        </w:rPr>
        <w:t>  3.同级政府采购监督管理部门</w:t>
      </w:r>
    </w:p>
    <w:p>
      <w:pPr>
        <w:pStyle w:val="24"/>
        <w:widowControl/>
        <w:spacing w:before="50" w:beforeAutospacing="0" w:after="50" w:afterAutospacing="0" w:line="36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名    称：</w:t>
      </w:r>
      <w:r>
        <w:rPr>
          <w:rFonts w:hint="default" w:ascii="Times New Roman" w:hAnsi="Times New Roman" w:cs="Times New Roman"/>
          <w:color w:val="000000" w:themeColor="text1"/>
          <w:sz w:val="21"/>
          <w:szCs w:val="21"/>
          <w:highlight w:val="none"/>
          <w14:textFill>
            <w14:solidFill>
              <w14:schemeClr w14:val="tx1"/>
            </w14:solidFill>
          </w14:textFill>
        </w:rPr>
        <w:t>定海区财政局政府采购监管科</w:t>
      </w:r>
      <w:r>
        <w:rPr>
          <w:rFonts w:hint="default" w:ascii="Times New Roman" w:hAnsi="Times New Roman" w:cs="Times New Roman"/>
          <w:color w:val="000000" w:themeColor="text1"/>
          <w:sz w:val="21"/>
          <w:szCs w:val="21"/>
          <w14:textFill>
            <w14:solidFill>
              <w14:schemeClr w14:val="tx1"/>
            </w14:solidFill>
          </w14:textFill>
        </w:rPr>
        <w:t>             </w:t>
      </w:r>
    </w:p>
    <w:p>
      <w:pPr>
        <w:pStyle w:val="24"/>
        <w:widowControl/>
        <w:spacing w:before="50" w:beforeAutospacing="0" w:after="50" w:afterAutospacing="0" w:line="36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地    址：</w:t>
      </w:r>
      <w:r>
        <w:rPr>
          <w:rFonts w:hint="default" w:ascii="Times New Roman" w:hAnsi="Times New Roman" w:cs="Times New Roman"/>
          <w:color w:val="000000" w:themeColor="text1"/>
          <w:sz w:val="21"/>
          <w:szCs w:val="21"/>
          <w:highlight w:val="none"/>
          <w14:textFill>
            <w14:solidFill>
              <w14:schemeClr w14:val="tx1"/>
            </w14:solidFill>
          </w14:textFill>
        </w:rPr>
        <w:t>舟山市定海港务大楼六楼</w:t>
      </w:r>
      <w:r>
        <w:rPr>
          <w:rFonts w:hint="default" w:ascii="Times New Roman" w:hAnsi="Times New Roman" w:cs="Times New Roman"/>
          <w:color w:val="000000" w:themeColor="text1"/>
          <w:sz w:val="21"/>
          <w:szCs w:val="21"/>
          <w14:textFill>
            <w14:solidFill>
              <w14:schemeClr w14:val="tx1"/>
            </w14:solidFill>
          </w14:textFill>
        </w:rPr>
        <w:t>                      </w:t>
      </w:r>
    </w:p>
    <w:p>
      <w:pPr>
        <w:pStyle w:val="24"/>
        <w:widowControl/>
        <w:spacing w:before="50" w:beforeAutospacing="0" w:after="50" w:afterAutospacing="0" w:line="36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联系人：</w:t>
      </w:r>
      <w:r>
        <w:rPr>
          <w:rFonts w:hint="default" w:ascii="Times New Roman" w:hAnsi="Times New Roman" w:cs="Times New Roman"/>
          <w:color w:val="000000" w:themeColor="text1"/>
          <w:sz w:val="21"/>
          <w:szCs w:val="21"/>
          <w:lang w:val="en-US" w:eastAsia="zh-CN"/>
          <w14:textFill>
            <w14:solidFill>
              <w14:schemeClr w14:val="tx1"/>
            </w14:solidFill>
          </w14:textFill>
        </w:rPr>
        <w:t>林先生</w:t>
      </w:r>
      <w:r>
        <w:rPr>
          <w:rFonts w:hint="default" w:ascii="Times New Roman" w:hAnsi="Times New Roman" w:cs="Times New Roman"/>
          <w:color w:val="000000" w:themeColor="text1"/>
          <w:sz w:val="21"/>
          <w:szCs w:val="21"/>
          <w14:textFill>
            <w14:solidFill>
              <w14:schemeClr w14:val="tx1"/>
            </w14:solidFill>
          </w14:textFill>
        </w:rPr>
        <w:t>            </w:t>
      </w:r>
    </w:p>
    <w:p>
      <w:pPr>
        <w:pStyle w:val="24"/>
        <w:widowControl/>
        <w:spacing w:before="50" w:beforeAutospacing="0" w:after="50" w:afterAutospacing="0" w:line="36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监督投诉电话：</w:t>
      </w:r>
      <w:r>
        <w:rPr>
          <w:rFonts w:hint="default" w:ascii="Times New Roman" w:hAnsi="Times New Roman" w:cs="Times New Roman"/>
          <w:color w:val="000000" w:themeColor="text1"/>
          <w:sz w:val="21"/>
          <w:szCs w:val="21"/>
          <w:highlight w:val="none"/>
          <w14:textFill>
            <w14:solidFill>
              <w14:schemeClr w14:val="tx1"/>
            </w14:solidFill>
          </w14:textFill>
        </w:rPr>
        <w:t>0580-2027798</w:t>
      </w:r>
      <w:r>
        <w:rPr>
          <w:rFonts w:hint="default" w:ascii="Times New Roman" w:hAnsi="Times New Roman" w:cs="Times New Roman"/>
          <w:color w:val="000000" w:themeColor="text1"/>
          <w:sz w:val="21"/>
          <w:szCs w:val="21"/>
          <w14:textFill>
            <w14:solidFill>
              <w14:schemeClr w14:val="tx1"/>
            </w14:solidFill>
          </w14:textFill>
        </w:rPr>
        <w:t> </w:t>
      </w:r>
    </w:p>
    <w:p>
      <w:pPr>
        <w:pStyle w:val="24"/>
        <w:widowControl/>
        <w:spacing w:before="75" w:beforeAutospacing="0" w:after="75" w:afterAutospacing="0" w:line="36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 xml:space="preserve">    </w:t>
      </w:r>
    </w:p>
    <w:p>
      <w:pPr>
        <w:pStyle w:val="24"/>
        <w:widowControl/>
        <w:spacing w:before="50" w:beforeAutospacing="0" w:after="50" w:afterAutospacing="0" w:line="36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       </w:t>
      </w:r>
    </w:p>
    <w:p>
      <w:pPr>
        <w:pStyle w:val="24"/>
        <w:widowControl/>
        <w:spacing w:before="50" w:beforeAutospacing="0" w:after="50" w:afterAutospacing="0" w:line="36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CA问题联系电话（人工）：汇信CA 400-888-4636；天谷CA 400-087-8198。</w:t>
      </w:r>
    </w:p>
    <w:p>
      <w:pPr>
        <w:rPr>
          <w:rFonts w:hint="default" w:ascii="Times New Roman" w:hAnsi="Times New Roman" w:cs="Times New Roman"/>
          <w:b/>
          <w:bCs/>
          <w:color w:val="000000" w:themeColor="text1"/>
          <w:kern w:val="2"/>
          <w:sz w:val="30"/>
          <w:szCs w:val="30"/>
          <w14:textFill>
            <w14:solidFill>
              <w14:schemeClr w14:val="tx1"/>
            </w14:solidFill>
          </w14:textFill>
        </w:rPr>
      </w:pPr>
      <w:r>
        <w:rPr>
          <w:rFonts w:hint="default" w:ascii="Times New Roman" w:hAnsi="Times New Roman" w:cs="Times New Roman"/>
          <w:b/>
          <w:bCs/>
          <w:color w:val="000000" w:themeColor="text1"/>
          <w:kern w:val="2"/>
          <w:sz w:val="30"/>
          <w:szCs w:val="30"/>
          <w14:textFill>
            <w14:solidFill>
              <w14:schemeClr w14:val="tx1"/>
            </w14:solidFill>
          </w14:textFill>
        </w:rPr>
        <w:br w:type="page"/>
      </w:r>
    </w:p>
    <w:p>
      <w:pPr>
        <w:pStyle w:val="17"/>
        <w:snapToGrid w:val="0"/>
        <w:spacing w:before="120" w:after="120" w:line="360" w:lineRule="auto"/>
        <w:ind w:firstLine="602" w:firstLineChars="200"/>
        <w:jc w:val="center"/>
        <w:outlineLvl w:val="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kern w:val="2"/>
          <w:sz w:val="30"/>
          <w:szCs w:val="30"/>
          <w14:textFill>
            <w14:solidFill>
              <w14:schemeClr w14:val="tx1"/>
            </w14:solidFill>
          </w14:textFill>
        </w:rPr>
        <w:t>第二章</w:t>
      </w:r>
      <w:r>
        <w:rPr>
          <w:rFonts w:hint="default" w:ascii="Times New Roman" w:hAnsi="Times New Roman" w:cs="Times New Roman"/>
          <w:b/>
          <w:bCs/>
          <w:color w:val="000000" w:themeColor="text1"/>
          <w:kern w:val="2"/>
          <w:sz w:val="30"/>
          <w:szCs w:val="30"/>
          <w:lang w:val="en-US" w:eastAsia="zh-CN"/>
          <w14:textFill>
            <w14:solidFill>
              <w14:schemeClr w14:val="tx1"/>
            </w14:solidFill>
          </w14:textFill>
        </w:rPr>
        <w:t xml:space="preserve">  </w:t>
      </w:r>
      <w:r>
        <w:rPr>
          <w:rFonts w:hint="default" w:ascii="Times New Roman" w:hAnsi="Times New Roman" w:cs="Times New Roman"/>
          <w:b/>
          <w:bCs/>
          <w:color w:val="000000" w:themeColor="text1"/>
          <w:kern w:val="2"/>
          <w:sz w:val="30"/>
          <w:szCs w:val="30"/>
          <w14:textFill>
            <w14:solidFill>
              <w14:schemeClr w14:val="tx1"/>
            </w14:solidFill>
          </w14:textFill>
        </w:rPr>
        <w:t>采购需求</w:t>
      </w:r>
    </w:p>
    <w:p>
      <w:pPr>
        <w:spacing w:line="440" w:lineRule="exact"/>
        <w:ind w:firstLine="420" w:firstLineChars="200"/>
        <w:contextualSpacing/>
        <w:rPr>
          <w:rFonts w:cs="宋体"/>
          <w:szCs w:val="21"/>
        </w:rPr>
      </w:pPr>
      <w:r>
        <w:rPr>
          <w:rFonts w:hint="eastAsia" w:cs="宋体"/>
          <w:szCs w:val="21"/>
        </w:rPr>
        <w:t>定海区城镇老旧房屋结构监测技术服务项目，主要对舟山市定海区城镇老旧房屋进行人工监测以及对</w:t>
      </w:r>
      <w:r>
        <w:rPr>
          <w:rFonts w:hint="eastAsia"/>
        </w:rPr>
        <w:t>城镇房屋装修（结构</w:t>
      </w:r>
      <w:r>
        <w:rPr>
          <w:rFonts w:hint="eastAsia" w:cs="宋体"/>
          <w:szCs w:val="21"/>
        </w:rPr>
        <w:t>拆改）</w:t>
      </w:r>
      <w:r>
        <w:rPr>
          <w:rFonts w:hint="eastAsia"/>
        </w:rPr>
        <w:t>进行巡查。总期限三</w:t>
      </w:r>
      <w:r>
        <w:rPr>
          <w:rFonts w:hint="eastAsia" w:cs="宋体"/>
          <w:szCs w:val="21"/>
        </w:rPr>
        <w:t>年，合同一年一签。</w:t>
      </w:r>
    </w:p>
    <w:p>
      <w:pPr>
        <w:pStyle w:val="9"/>
        <w:snapToGrid w:val="0"/>
        <w:spacing w:line="480" w:lineRule="exact"/>
        <w:ind w:firstLine="0"/>
        <w:rPr>
          <w:rFonts w:hint="default" w:ascii="Times New Roman" w:hAnsi="Times New Roman" w:cs="Times New Roman"/>
          <w:b/>
          <w:szCs w:val="21"/>
          <w:highlight w:val="none"/>
          <w:lang w:val="en-US" w:eastAsia="zh-CN"/>
        </w:rPr>
      </w:pPr>
      <w:r>
        <w:rPr>
          <w:rFonts w:hint="default" w:ascii="Times New Roman" w:hAnsi="Times New Roman" w:cs="Times New Roman"/>
          <w:b/>
          <w:szCs w:val="21"/>
          <w:highlight w:val="none"/>
          <w:lang w:val="en-US" w:eastAsia="zh-CN"/>
        </w:rPr>
        <w:t>一</w:t>
      </w:r>
      <w:r>
        <w:rPr>
          <w:rFonts w:hint="default" w:ascii="Times New Roman" w:hAnsi="Times New Roman" w:cs="Times New Roman"/>
          <w:b/>
          <w:szCs w:val="21"/>
          <w:highlight w:val="none"/>
        </w:rPr>
        <w:t>、</w:t>
      </w:r>
      <w:r>
        <w:rPr>
          <w:rFonts w:hint="default" w:ascii="Times New Roman" w:hAnsi="Times New Roman" w:cs="Times New Roman"/>
          <w:b/>
          <w:szCs w:val="21"/>
          <w:highlight w:val="none"/>
          <w:lang w:val="en-US" w:eastAsia="zh-CN"/>
        </w:rPr>
        <w:t>项目概况</w:t>
      </w:r>
    </w:p>
    <w:p>
      <w:pPr>
        <w:spacing w:line="440" w:lineRule="exact"/>
        <w:ind w:firstLine="417" w:firstLineChars="199"/>
        <w:rPr>
          <w:rFonts w:hint="default" w:ascii="Times New Roman" w:hAnsi="Times New Roman" w:eastAsia="宋体" w:cs="Times New Roman"/>
          <w:szCs w:val="21"/>
          <w:highlight w:val="none"/>
          <w:lang w:eastAsia="zh-CN"/>
        </w:rPr>
      </w:pPr>
      <w:r>
        <w:rPr>
          <w:rFonts w:hint="default" w:ascii="Times New Roman" w:hAnsi="Times New Roman" w:cs="Times New Roman"/>
          <w:color w:val="000000"/>
          <w:szCs w:val="21"/>
          <w:highlight w:val="none"/>
        </w:rPr>
        <w:t>定海区城镇</w:t>
      </w:r>
      <w:r>
        <w:rPr>
          <w:rFonts w:hint="default" w:ascii="Times New Roman" w:hAnsi="Times New Roman" w:cs="Times New Roman"/>
          <w:color w:val="000000"/>
          <w:szCs w:val="21"/>
          <w:highlight w:val="none"/>
          <w:lang w:val="en-US" w:eastAsia="zh-CN"/>
        </w:rPr>
        <w:t>住宅</w:t>
      </w:r>
      <w:r>
        <w:rPr>
          <w:rFonts w:hint="default" w:ascii="Times New Roman" w:hAnsi="Times New Roman" w:cs="Times New Roman"/>
          <w:color w:val="000000"/>
          <w:szCs w:val="21"/>
          <w:highlight w:val="none"/>
        </w:rPr>
        <w:t>房屋、</w:t>
      </w:r>
      <w:r>
        <w:rPr>
          <w:rFonts w:hint="default" w:ascii="Times New Roman" w:hAnsi="Times New Roman" w:cs="Times New Roman"/>
          <w:color w:val="000000"/>
          <w:szCs w:val="21"/>
          <w:highlight w:val="none"/>
          <w:lang w:val="en-US" w:eastAsia="zh-CN"/>
        </w:rPr>
        <w:t>直管公房动态</w:t>
      </w:r>
      <w:r>
        <w:rPr>
          <w:rFonts w:hint="default" w:ascii="Times New Roman" w:hAnsi="Times New Roman" w:cs="Times New Roman"/>
          <w:color w:val="000000"/>
          <w:szCs w:val="21"/>
          <w:highlight w:val="none"/>
        </w:rPr>
        <w:t>监测及装修</w:t>
      </w:r>
      <w:r>
        <w:rPr>
          <w:rFonts w:hint="eastAsia" w:ascii="Times New Roman" w:hAnsi="Times New Roman" w:cs="Times New Roman"/>
          <w:color w:val="000000"/>
          <w:szCs w:val="21"/>
          <w:highlight w:val="none"/>
          <w:lang w:eastAsia="zh-Hans"/>
        </w:rPr>
        <w:t>备案</w:t>
      </w:r>
      <w:r>
        <w:rPr>
          <w:rFonts w:hint="default" w:ascii="Times New Roman" w:hAnsi="Times New Roman" w:cs="Times New Roman"/>
          <w:color w:val="000000"/>
          <w:szCs w:val="21"/>
          <w:highlight w:val="none"/>
          <w:lang w:eastAsia="zh-Hans"/>
        </w:rPr>
        <w:t>、</w:t>
      </w:r>
      <w:r>
        <w:rPr>
          <w:rFonts w:hint="default" w:ascii="Times New Roman" w:hAnsi="Times New Roman" w:cs="Times New Roman"/>
          <w:color w:val="000000"/>
          <w:szCs w:val="21"/>
          <w:highlight w:val="none"/>
        </w:rPr>
        <w:t>巡查技术技术服务项目</w:t>
      </w:r>
      <w:r>
        <w:rPr>
          <w:rFonts w:hint="default" w:ascii="Times New Roman" w:hAnsi="Times New Roman" w:cs="Times New Roman"/>
          <w:color w:val="000000"/>
          <w:szCs w:val="21"/>
          <w:highlight w:val="none"/>
          <w:lang w:eastAsia="zh-CN"/>
        </w:rPr>
        <w:t>，服务期限</w:t>
      </w:r>
      <w:r>
        <w:rPr>
          <w:rFonts w:hint="eastAsia" w:ascii="Times New Roman" w:hAnsi="Times New Roman" w:cs="Times New Roman"/>
          <w:color w:val="000000"/>
          <w:szCs w:val="21"/>
          <w:highlight w:val="none"/>
          <w:lang w:val="en-US" w:eastAsia="zh-CN"/>
        </w:rPr>
        <w:t>3</w:t>
      </w:r>
      <w:r>
        <w:rPr>
          <w:rFonts w:hint="default" w:ascii="Times New Roman" w:hAnsi="Times New Roman" w:cs="Times New Roman"/>
          <w:color w:val="000000"/>
          <w:szCs w:val="21"/>
          <w:highlight w:val="none"/>
          <w:lang w:eastAsia="zh-CN"/>
        </w:rPr>
        <w:t>年；</w:t>
      </w:r>
      <w:r>
        <w:rPr>
          <w:rFonts w:hint="eastAsia" w:ascii="Times New Roman" w:hAnsi="Times New Roman" w:cs="Times New Roman"/>
          <w:color w:val="000000"/>
          <w:szCs w:val="21"/>
          <w:highlight w:val="none"/>
          <w:lang w:val="en-US" w:eastAsia="zh-CN"/>
        </w:rPr>
        <w:t>合同一年一签，</w:t>
      </w:r>
      <w:r>
        <w:rPr>
          <w:rFonts w:hint="default" w:ascii="Times New Roman" w:hAnsi="Times New Roman" w:cs="Times New Roman"/>
          <w:color w:val="000000"/>
          <w:szCs w:val="21"/>
          <w:highlight w:val="none"/>
          <w:lang w:eastAsia="zh-CN"/>
        </w:rPr>
        <w:t>经釆购人考核合格后，</w:t>
      </w:r>
      <w:r>
        <w:rPr>
          <w:rFonts w:hint="eastAsia" w:ascii="Times New Roman" w:hAnsi="Times New Roman" w:cs="Times New Roman"/>
          <w:color w:val="000000"/>
          <w:szCs w:val="21"/>
          <w:highlight w:val="none"/>
          <w:lang w:val="en-US" w:eastAsia="zh-CN"/>
        </w:rPr>
        <w:t>可签订</w:t>
      </w:r>
      <w:r>
        <w:rPr>
          <w:rFonts w:hint="default" w:ascii="Times New Roman" w:hAnsi="Times New Roman" w:cs="Times New Roman"/>
          <w:color w:val="000000"/>
          <w:szCs w:val="21"/>
          <w:highlight w:val="none"/>
          <w:lang w:eastAsia="zh-CN"/>
        </w:rPr>
        <w:t>下一年度的合同。</w:t>
      </w:r>
    </w:p>
    <w:p>
      <w:pPr>
        <w:spacing w:line="440" w:lineRule="exact"/>
        <w:ind w:firstLine="417" w:firstLineChars="199"/>
        <w:rPr>
          <w:rFonts w:hint="default" w:ascii="Times New Roman" w:hAnsi="Times New Roman" w:eastAsia="宋体" w:cs="Times New Roman"/>
          <w:szCs w:val="21"/>
          <w:highlight w:val="none"/>
          <w:lang w:val="en-US" w:eastAsia="zh-CN"/>
        </w:rPr>
      </w:pPr>
      <w:r>
        <w:rPr>
          <w:rFonts w:hint="default" w:ascii="Times New Roman" w:hAnsi="Times New Roman" w:cs="Times New Roman"/>
          <w:color w:val="000000"/>
          <w:szCs w:val="21"/>
          <w:highlight w:val="none"/>
          <w:lang w:val="en-US" w:eastAsia="zh-CN"/>
        </w:rPr>
        <w:t>房屋清单</w:t>
      </w:r>
      <w:r>
        <w:rPr>
          <w:rFonts w:hint="default" w:ascii="Times New Roman" w:hAnsi="Times New Roman" w:cs="Times New Roman"/>
          <w:szCs w:val="21"/>
          <w:highlight w:val="none"/>
        </w:rPr>
        <w:t>具体详见附件《202</w:t>
      </w:r>
      <w:r>
        <w:rPr>
          <w:rFonts w:hint="default" w:ascii="Times New Roman" w:hAnsi="Times New Roman" w:cs="Times New Roman"/>
          <w:szCs w:val="21"/>
          <w:highlight w:val="none"/>
          <w:lang w:val="en-US" w:eastAsia="zh-CN"/>
        </w:rPr>
        <w:t>2</w:t>
      </w:r>
      <w:r>
        <w:rPr>
          <w:rFonts w:hint="default" w:ascii="Times New Roman" w:hAnsi="Times New Roman" w:cs="Times New Roman"/>
          <w:szCs w:val="21"/>
          <w:highlight w:val="none"/>
        </w:rPr>
        <w:t>年</w:t>
      </w:r>
      <w:r>
        <w:rPr>
          <w:rFonts w:hint="default" w:ascii="Times New Roman" w:hAnsi="Times New Roman" w:cs="Times New Roman"/>
          <w:szCs w:val="21"/>
          <w:highlight w:val="none"/>
          <w:lang w:val="en-US" w:eastAsia="zh-CN"/>
        </w:rPr>
        <w:t>定海区</w:t>
      </w:r>
      <w:r>
        <w:rPr>
          <w:rFonts w:hint="default" w:ascii="Times New Roman" w:hAnsi="Times New Roman" w:cs="Times New Roman"/>
          <w:szCs w:val="21"/>
          <w:highlight w:val="none"/>
        </w:rPr>
        <w:t>房屋动态监测清单》</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房屋数量共计544栋。</w:t>
      </w:r>
    </w:p>
    <w:p>
      <w:pPr>
        <w:numPr>
          <w:ilvl w:val="0"/>
          <w:numId w:val="5"/>
        </w:numPr>
        <w:spacing w:line="440" w:lineRule="exact"/>
        <w:rPr>
          <w:rFonts w:hint="default" w:ascii="Times New Roman" w:hAnsi="Times New Roman" w:cs="Times New Roman"/>
          <w:b/>
          <w:szCs w:val="21"/>
          <w:highlight w:val="none"/>
        </w:rPr>
      </w:pPr>
      <w:r>
        <w:rPr>
          <w:rFonts w:hint="default" w:ascii="Times New Roman" w:hAnsi="Times New Roman" w:cs="Times New Roman"/>
          <w:b/>
          <w:szCs w:val="21"/>
          <w:highlight w:val="none"/>
        </w:rPr>
        <w:t>服务要求</w:t>
      </w:r>
    </w:p>
    <w:p>
      <w:pPr>
        <w:spacing w:line="440" w:lineRule="exact"/>
        <w:ind w:left="0" w:leftChars="0" w:firstLine="0" w:firstLineChars="0"/>
        <w:rPr>
          <w:rFonts w:hint="default" w:ascii="Times New Roman" w:hAnsi="Times New Roman" w:eastAsia="宋体" w:cs="Times New Roman"/>
          <w:b/>
          <w:szCs w:val="21"/>
          <w:highlight w:val="none"/>
          <w:lang w:val="en-US" w:eastAsia="zh-CN"/>
        </w:rPr>
      </w:pPr>
      <w:r>
        <w:rPr>
          <w:rFonts w:hint="default" w:ascii="Times New Roman" w:hAnsi="Times New Roman" w:cs="Times New Roman"/>
          <w:b/>
          <w:szCs w:val="21"/>
          <w:highlight w:val="none"/>
        </w:rPr>
        <w:t>（一）</w:t>
      </w:r>
      <w:r>
        <w:rPr>
          <w:rFonts w:hint="default" w:ascii="Times New Roman" w:hAnsi="Times New Roman" w:cs="Times New Roman"/>
          <w:b/>
          <w:szCs w:val="21"/>
          <w:highlight w:val="none"/>
          <w:lang w:val="en-US" w:eastAsia="zh-CN"/>
        </w:rPr>
        <w:t>项目服务内容</w:t>
      </w:r>
    </w:p>
    <w:p>
      <w:pPr>
        <w:spacing w:line="440" w:lineRule="exact"/>
        <w:ind w:firstLine="417" w:firstLineChars="199"/>
        <w:rPr>
          <w:rFonts w:hint="default" w:ascii="Times New Roman" w:hAnsi="Times New Roman" w:cs="Times New Roman"/>
          <w:szCs w:val="22"/>
          <w:highlight w:val="none"/>
        </w:rPr>
      </w:pPr>
      <w:r>
        <w:rPr>
          <w:rFonts w:hint="default" w:ascii="Times New Roman" w:hAnsi="Times New Roman" w:cs="Times New Roman"/>
          <w:szCs w:val="22"/>
          <w:highlight w:val="none"/>
          <w:lang w:val="en-US" w:eastAsia="zh-CN"/>
        </w:rPr>
        <w:t>服务项目提供</w:t>
      </w:r>
      <w:r>
        <w:rPr>
          <w:rFonts w:hint="default" w:ascii="Times New Roman" w:hAnsi="Times New Roman" w:cs="Times New Roman"/>
          <w:szCs w:val="22"/>
          <w:highlight w:val="none"/>
        </w:rPr>
        <w:t>的房屋安全动态监测项目</w:t>
      </w:r>
      <w:r>
        <w:rPr>
          <w:rFonts w:hint="default" w:ascii="Times New Roman" w:hAnsi="Times New Roman" w:cs="Times New Roman"/>
          <w:szCs w:val="22"/>
          <w:highlight w:val="none"/>
          <w:lang w:val="en-US" w:eastAsia="zh-CN"/>
        </w:rPr>
        <w:t>应</w:t>
      </w:r>
      <w:r>
        <w:rPr>
          <w:rFonts w:hint="default" w:ascii="Times New Roman" w:hAnsi="Times New Roman" w:cs="Times New Roman"/>
          <w:szCs w:val="22"/>
          <w:highlight w:val="none"/>
        </w:rPr>
        <w:t>包含以下工作内容：</w:t>
      </w:r>
    </w:p>
    <w:p>
      <w:pPr>
        <w:spacing w:line="440" w:lineRule="exact"/>
        <w:ind w:firstLine="417" w:firstLineChars="199"/>
        <w:rPr>
          <w:rFonts w:hint="default" w:ascii="Times New Roman" w:hAnsi="Times New Roman" w:cs="Times New Roman"/>
          <w:szCs w:val="22"/>
          <w:highlight w:val="none"/>
        </w:rPr>
      </w:pPr>
      <w:r>
        <w:rPr>
          <w:rFonts w:hint="default" w:ascii="Times New Roman" w:hAnsi="Times New Roman" w:cs="Times New Roman"/>
          <w:szCs w:val="22"/>
          <w:highlight w:val="none"/>
        </w:rPr>
        <w:t>①房屋核查</w:t>
      </w:r>
      <w:r>
        <w:rPr>
          <w:rFonts w:hint="default" w:ascii="Times New Roman" w:hAnsi="Times New Roman" w:cs="Times New Roman"/>
          <w:szCs w:val="22"/>
          <w:highlight w:val="none"/>
          <w:lang w:val="en-US" w:eastAsia="zh-CN"/>
        </w:rPr>
        <w:t>及动态监测分类</w:t>
      </w:r>
      <w:r>
        <w:rPr>
          <w:rFonts w:hint="default" w:ascii="Times New Roman" w:hAnsi="Times New Roman" w:cs="Times New Roman"/>
          <w:szCs w:val="22"/>
          <w:highlight w:val="none"/>
        </w:rPr>
        <w:t>；②外观</w:t>
      </w:r>
      <w:r>
        <w:rPr>
          <w:rFonts w:hint="default" w:ascii="Times New Roman" w:hAnsi="Times New Roman" w:cs="Times New Roman"/>
          <w:szCs w:val="22"/>
          <w:highlight w:val="none"/>
          <w:lang w:val="en-US" w:eastAsia="zh-CN"/>
        </w:rPr>
        <w:t>及外部环境</w:t>
      </w:r>
      <w:r>
        <w:rPr>
          <w:rFonts w:hint="default" w:ascii="Times New Roman" w:hAnsi="Times New Roman" w:cs="Times New Roman"/>
          <w:szCs w:val="22"/>
          <w:highlight w:val="none"/>
        </w:rPr>
        <w:t>检查；③入户检查；④仪器设备</w:t>
      </w:r>
      <w:r>
        <w:rPr>
          <w:rFonts w:hint="default" w:ascii="Times New Roman" w:hAnsi="Times New Roman" w:cs="Times New Roman"/>
          <w:szCs w:val="22"/>
          <w:highlight w:val="none"/>
          <w:lang w:val="en-US" w:eastAsia="zh-CN"/>
        </w:rPr>
        <w:t>人工</w:t>
      </w:r>
      <w:r>
        <w:rPr>
          <w:rFonts w:hint="default" w:ascii="Times New Roman" w:hAnsi="Times New Roman" w:cs="Times New Roman"/>
          <w:szCs w:val="22"/>
          <w:highlight w:val="none"/>
        </w:rPr>
        <w:t>监测；⑤台汛季节、重要活动节假日安全排查检查；⑥房安技术服务；⑦装修</w:t>
      </w:r>
      <w:r>
        <w:rPr>
          <w:rFonts w:hint="default" w:ascii="Times New Roman" w:hAnsi="Times New Roman" w:cs="Times New Roman"/>
          <w:szCs w:val="22"/>
          <w:highlight w:val="none"/>
          <w:lang w:val="en-US" w:eastAsia="zh-CN"/>
        </w:rPr>
        <w:t>安全</w:t>
      </w:r>
      <w:r>
        <w:rPr>
          <w:rFonts w:hint="default" w:ascii="Times New Roman" w:hAnsi="Times New Roman" w:cs="Times New Roman"/>
          <w:szCs w:val="22"/>
          <w:highlight w:val="none"/>
        </w:rPr>
        <w:t>专项</w:t>
      </w:r>
      <w:r>
        <w:rPr>
          <w:rFonts w:hint="default" w:ascii="Times New Roman" w:hAnsi="Times New Roman" w:cs="Times New Roman"/>
          <w:szCs w:val="22"/>
          <w:highlight w:val="none"/>
          <w:lang w:val="en-US" w:eastAsia="zh-CN"/>
        </w:rPr>
        <w:t>技术服务</w:t>
      </w:r>
      <w:r>
        <w:rPr>
          <w:rFonts w:hint="default" w:ascii="Times New Roman" w:hAnsi="Times New Roman" w:cs="Times New Roman"/>
          <w:szCs w:val="22"/>
          <w:highlight w:val="none"/>
        </w:rPr>
        <w:t>。</w:t>
      </w:r>
    </w:p>
    <w:p>
      <w:pPr>
        <w:spacing w:line="440" w:lineRule="exact"/>
        <w:ind w:left="0" w:leftChars="0" w:firstLine="0" w:firstLineChars="0"/>
        <w:rPr>
          <w:rFonts w:hint="default" w:ascii="Times New Roman" w:hAnsi="Times New Roman" w:cs="Times New Roman"/>
          <w:b/>
          <w:szCs w:val="21"/>
          <w:highlight w:val="none"/>
        </w:rPr>
      </w:pPr>
      <w:r>
        <w:rPr>
          <w:rFonts w:hint="default" w:ascii="Times New Roman" w:hAnsi="Times New Roman" w:cs="Times New Roman"/>
          <w:b/>
          <w:szCs w:val="21"/>
          <w:highlight w:val="none"/>
        </w:rPr>
        <w:t>（</w:t>
      </w:r>
      <w:r>
        <w:rPr>
          <w:rFonts w:hint="default" w:ascii="Times New Roman" w:hAnsi="Times New Roman" w:cs="Times New Roman"/>
          <w:b/>
          <w:szCs w:val="21"/>
          <w:highlight w:val="none"/>
          <w:lang w:val="en-US" w:eastAsia="zh-CN"/>
        </w:rPr>
        <w:t>二</w:t>
      </w:r>
      <w:r>
        <w:rPr>
          <w:rFonts w:hint="default" w:ascii="Times New Roman" w:hAnsi="Times New Roman" w:cs="Times New Roman"/>
          <w:b/>
          <w:szCs w:val="21"/>
          <w:highlight w:val="none"/>
        </w:rPr>
        <w:t>）房屋安全动态监测要求</w:t>
      </w:r>
    </w:p>
    <w:p>
      <w:pPr>
        <w:spacing w:line="440" w:lineRule="exact"/>
        <w:ind w:firstLine="420" w:firstLineChars="199"/>
        <w:rPr>
          <w:rFonts w:hint="default" w:ascii="Times New Roman" w:hAnsi="Times New Roman" w:cs="Times New Roman"/>
          <w:b/>
          <w:bCs/>
          <w:szCs w:val="22"/>
          <w:highlight w:val="none"/>
          <w:lang w:val="en-US" w:eastAsia="zh-CN"/>
        </w:rPr>
      </w:pPr>
      <w:r>
        <w:rPr>
          <w:rFonts w:hint="default" w:ascii="Times New Roman" w:hAnsi="Times New Roman" w:cs="Times New Roman"/>
          <w:b/>
          <w:bCs/>
          <w:szCs w:val="22"/>
          <w:highlight w:val="none"/>
        </w:rPr>
        <w:t>①房屋核查</w:t>
      </w:r>
      <w:r>
        <w:rPr>
          <w:rFonts w:hint="default" w:ascii="Times New Roman" w:hAnsi="Times New Roman" w:cs="Times New Roman"/>
          <w:b/>
          <w:bCs/>
          <w:szCs w:val="22"/>
          <w:highlight w:val="none"/>
          <w:lang w:val="en-US" w:eastAsia="zh-CN"/>
        </w:rPr>
        <w:t>及动态监测分类</w:t>
      </w:r>
    </w:p>
    <w:p>
      <w:pPr>
        <w:spacing w:line="440" w:lineRule="exact"/>
        <w:ind w:firstLine="417" w:firstLineChars="199"/>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深入分析</w:t>
      </w:r>
      <w:r>
        <w:rPr>
          <w:rFonts w:hint="default" w:ascii="Times New Roman" w:hAnsi="Times New Roman" w:cs="Times New Roman"/>
          <w:highlight w:val="none"/>
        </w:rPr>
        <w:t>采购人提供的有关房屋安全资料</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动态监测历史资料</w:t>
      </w:r>
      <w:r>
        <w:rPr>
          <w:rFonts w:hint="default" w:ascii="Times New Roman" w:hAnsi="Times New Roman" w:cs="Times New Roman"/>
          <w:highlight w:val="none"/>
        </w:rPr>
        <w:t>，</w:t>
      </w:r>
      <w:r>
        <w:rPr>
          <w:rFonts w:hint="default" w:ascii="Times New Roman" w:hAnsi="Times New Roman" w:cs="Times New Roman"/>
          <w:highlight w:val="none"/>
          <w:lang w:val="en-US" w:eastAsia="zh-CN"/>
        </w:rPr>
        <w:t>根据</w:t>
      </w:r>
      <w:r>
        <w:rPr>
          <w:rFonts w:hint="default" w:ascii="Times New Roman" w:hAnsi="Times New Roman" w:cs="Times New Roman"/>
          <w:highlight w:val="none"/>
        </w:rPr>
        <w:t>监测范围内房屋</w:t>
      </w:r>
      <w:r>
        <w:rPr>
          <w:rFonts w:hint="default" w:ascii="Times New Roman" w:hAnsi="Times New Roman" w:cs="Times New Roman"/>
          <w:highlight w:val="none"/>
          <w:lang w:val="en-US" w:eastAsia="zh-CN"/>
        </w:rPr>
        <w:t>危险性现状</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是否历史危房已经实质性解危、解危后安全储备水平等实际情况，结合</w:t>
      </w:r>
      <w:r>
        <w:rPr>
          <w:rFonts w:hint="default" w:ascii="Times New Roman" w:hAnsi="Times New Roman" w:cs="Times New Roman"/>
          <w:highlight w:val="none"/>
        </w:rPr>
        <w:t>现场核查</w:t>
      </w:r>
      <w:r>
        <w:rPr>
          <w:rFonts w:hint="default" w:ascii="Times New Roman" w:hAnsi="Times New Roman" w:cs="Times New Roman"/>
          <w:highlight w:val="none"/>
          <w:lang w:val="en-US" w:eastAsia="zh-CN"/>
        </w:rPr>
        <w:t>对监测房屋进行分类</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以动态科学划分不同类型房屋及确定相应动态监测巡查频率，合理分配管理资源。</w:t>
      </w:r>
    </w:p>
    <w:p>
      <w:pPr>
        <w:spacing w:line="440" w:lineRule="exact"/>
        <w:ind w:firstLine="417" w:firstLineChars="199"/>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根据房屋安全储备的从高到低（危险性由低到高），根据相关技术依据将监测范围内房屋合理进行动态监测分类；各类对应的动态监测巡查频率和安全储备相对应。</w:t>
      </w:r>
    </w:p>
    <w:p>
      <w:pPr>
        <w:tabs>
          <w:tab w:val="left" w:pos="851"/>
        </w:tabs>
        <w:spacing w:line="440" w:lineRule="exact"/>
        <w:ind w:firstLine="411" w:firstLineChars="196"/>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监测范围内所有房屋的定期人工监测总次数，平均不得低于1次/月/幢。</w:t>
      </w:r>
    </w:p>
    <w:p>
      <w:pPr>
        <w:spacing w:line="440" w:lineRule="exact"/>
        <w:ind w:firstLine="420" w:firstLineChars="199"/>
        <w:rPr>
          <w:rFonts w:hint="default" w:ascii="Times New Roman" w:hAnsi="Times New Roman" w:cs="Times New Roman"/>
          <w:b/>
          <w:bCs/>
          <w:szCs w:val="22"/>
          <w:highlight w:val="none"/>
        </w:rPr>
      </w:pPr>
      <w:r>
        <w:rPr>
          <w:rFonts w:hint="default" w:ascii="Times New Roman" w:hAnsi="Times New Roman" w:cs="Times New Roman"/>
          <w:b/>
          <w:bCs/>
          <w:szCs w:val="22"/>
          <w:highlight w:val="none"/>
        </w:rPr>
        <w:t>②外观</w:t>
      </w:r>
      <w:r>
        <w:rPr>
          <w:rFonts w:hint="default" w:ascii="Times New Roman" w:hAnsi="Times New Roman" w:cs="Times New Roman"/>
          <w:b/>
          <w:bCs/>
          <w:szCs w:val="22"/>
          <w:highlight w:val="none"/>
          <w:lang w:val="en-US" w:eastAsia="zh-CN"/>
        </w:rPr>
        <w:t>及外部环境</w:t>
      </w:r>
      <w:r>
        <w:rPr>
          <w:rFonts w:hint="default" w:ascii="Times New Roman" w:hAnsi="Times New Roman" w:cs="Times New Roman"/>
          <w:b/>
          <w:bCs/>
          <w:szCs w:val="22"/>
          <w:highlight w:val="none"/>
        </w:rPr>
        <w:t>检查</w:t>
      </w:r>
    </w:p>
    <w:p>
      <w:pPr>
        <w:spacing w:line="440" w:lineRule="exact"/>
        <w:ind w:firstLine="417" w:firstLineChars="199"/>
        <w:rPr>
          <w:rFonts w:hint="default" w:ascii="Times New Roman" w:hAnsi="Times New Roman" w:cs="Times New Roman"/>
          <w:szCs w:val="21"/>
          <w:highlight w:val="none"/>
          <w:lang w:val="en-US" w:eastAsia="zh-CN"/>
        </w:rPr>
      </w:pPr>
      <w:r>
        <w:rPr>
          <w:rFonts w:hint="default" w:ascii="Times New Roman" w:hAnsi="Times New Roman" w:cs="Times New Roman"/>
          <w:highlight w:val="none"/>
          <w:lang w:val="en-US" w:eastAsia="zh-CN"/>
        </w:rPr>
        <w:t>动态监测房屋分类方案报经委托方确认后，根据房屋类别相应频率进行人工动态监测。对外观及外部环境检查内容，应满足</w:t>
      </w:r>
      <w:r>
        <w:rPr>
          <w:rFonts w:hint="default" w:ascii="Times New Roman" w:hAnsi="Times New Roman" w:eastAsia="宋体" w:cs="Times New Roman"/>
          <w:szCs w:val="21"/>
          <w:highlight w:val="none"/>
          <w:lang w:val="en-US" w:eastAsia="zh-CN"/>
        </w:rPr>
        <w:t>有关动态监测的</w:t>
      </w:r>
      <w:r>
        <w:rPr>
          <w:rFonts w:hint="default" w:ascii="Times New Roman" w:hAnsi="Times New Roman" w:eastAsia="宋体" w:cs="Times New Roman"/>
          <w:szCs w:val="21"/>
          <w:highlight w:val="none"/>
        </w:rPr>
        <w:t>国家标准、行业标准和地方标准</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并制定具体执行方案报委托方确认。</w:t>
      </w:r>
    </w:p>
    <w:p>
      <w:pPr>
        <w:spacing w:line="440" w:lineRule="exact"/>
        <w:ind w:firstLine="417" w:firstLineChars="199"/>
        <w:rPr>
          <w:rFonts w:hint="default" w:ascii="Times New Roman" w:hAnsi="Times New Roman" w:eastAsia="宋体" w:cs="Times New Roman"/>
          <w:szCs w:val="21"/>
          <w:highlight w:val="none"/>
          <w:lang w:eastAsia="zh-CN"/>
        </w:rPr>
      </w:pPr>
      <w:r>
        <w:rPr>
          <w:rFonts w:hint="default" w:ascii="Times New Roman" w:hAnsi="Times New Roman" w:cs="Times New Roman"/>
          <w:szCs w:val="21"/>
          <w:highlight w:val="none"/>
          <w:lang w:val="en-US" w:eastAsia="zh-CN"/>
        </w:rPr>
        <w:t>特殊</w:t>
      </w:r>
      <w:r>
        <w:rPr>
          <w:rFonts w:hint="default" w:ascii="Times New Roman" w:hAnsi="Times New Roman" w:cs="Times New Roman"/>
          <w:szCs w:val="21"/>
          <w:highlight w:val="none"/>
        </w:rPr>
        <w:t>类房屋按实际需求确定监测频率且不少于每周两次</w:t>
      </w:r>
      <w:r>
        <w:rPr>
          <w:rFonts w:hint="default" w:ascii="Times New Roman" w:hAnsi="Times New Roman" w:cs="Times New Roman"/>
          <w:szCs w:val="21"/>
          <w:highlight w:val="none"/>
          <w:lang w:eastAsia="zh-CN"/>
        </w:rPr>
        <w:t>。</w:t>
      </w:r>
    </w:p>
    <w:p>
      <w:pPr>
        <w:spacing w:line="440" w:lineRule="exact"/>
        <w:ind w:firstLine="420" w:firstLineChars="199"/>
        <w:rPr>
          <w:rFonts w:hint="default" w:ascii="Times New Roman" w:hAnsi="Times New Roman" w:cs="Times New Roman"/>
          <w:b/>
          <w:bCs/>
          <w:szCs w:val="22"/>
          <w:highlight w:val="none"/>
        </w:rPr>
      </w:pPr>
      <w:r>
        <w:rPr>
          <w:rFonts w:hint="default" w:ascii="Times New Roman" w:hAnsi="Times New Roman" w:cs="Times New Roman"/>
          <w:b/>
          <w:bCs/>
          <w:szCs w:val="22"/>
          <w:highlight w:val="none"/>
        </w:rPr>
        <w:t>③入户检查</w:t>
      </w:r>
    </w:p>
    <w:p>
      <w:pPr>
        <w:spacing w:line="440" w:lineRule="exact"/>
        <w:ind w:firstLine="417" w:firstLineChars="199"/>
        <w:rPr>
          <w:rFonts w:hint="default" w:ascii="Times New Roman" w:hAnsi="Times New Roman" w:cs="Times New Roman"/>
          <w:szCs w:val="21"/>
          <w:highlight w:val="none"/>
        </w:rPr>
      </w:pPr>
      <w:r>
        <w:rPr>
          <w:rFonts w:hint="default" w:ascii="Times New Roman" w:hAnsi="Times New Roman" w:cs="Times New Roman"/>
          <w:szCs w:val="21"/>
          <w:highlight w:val="none"/>
        </w:rPr>
        <w:t>入户标准为：监测范围内房屋户数的</w:t>
      </w:r>
      <w:r>
        <w:rPr>
          <w:rFonts w:hint="default" w:ascii="Times New Roman" w:hAnsi="Times New Roman" w:cs="Times New Roman"/>
          <w:szCs w:val="21"/>
          <w:highlight w:val="none"/>
          <w:lang w:val="en-US" w:eastAsia="zh-CN"/>
        </w:rPr>
        <w:t>总入户率，</w:t>
      </w:r>
      <w:r>
        <w:rPr>
          <w:rFonts w:hint="default" w:ascii="Times New Roman" w:hAnsi="Times New Roman" w:cs="Times New Roman"/>
          <w:szCs w:val="21"/>
          <w:highlight w:val="none"/>
        </w:rPr>
        <w:t>首年</w:t>
      </w:r>
      <w:r>
        <w:rPr>
          <w:rFonts w:hint="default" w:ascii="Times New Roman" w:hAnsi="Times New Roman" w:cs="Times New Roman"/>
          <w:szCs w:val="21"/>
          <w:highlight w:val="none"/>
          <w:lang w:val="en-US" w:eastAsia="zh-CN"/>
        </w:rPr>
        <w:t>达到3</w:t>
      </w:r>
      <w:r>
        <w:rPr>
          <w:rFonts w:hint="default" w:ascii="Times New Roman" w:hAnsi="Times New Roman" w:cs="Times New Roman"/>
          <w:szCs w:val="21"/>
          <w:highlight w:val="none"/>
        </w:rPr>
        <w:t>0%比例，3年内累计</w:t>
      </w:r>
      <w:r>
        <w:rPr>
          <w:rFonts w:hint="default" w:ascii="Times New Roman" w:hAnsi="Times New Roman" w:cs="Times New Roman"/>
          <w:szCs w:val="21"/>
          <w:highlight w:val="none"/>
          <w:lang w:val="en-US" w:eastAsia="zh-CN"/>
        </w:rPr>
        <w:t>达到70%</w:t>
      </w:r>
      <w:r>
        <w:rPr>
          <w:rFonts w:hint="default" w:ascii="Times New Roman" w:hAnsi="Times New Roman" w:cs="Times New Roman"/>
          <w:szCs w:val="21"/>
          <w:highlight w:val="none"/>
        </w:rPr>
        <w:t>；</w:t>
      </w:r>
      <w:r>
        <w:rPr>
          <w:rFonts w:hint="default" w:ascii="Times New Roman" w:hAnsi="Times New Roman" w:cs="Times New Roman"/>
          <w:szCs w:val="21"/>
          <w:highlight w:val="none"/>
          <w:lang w:val="en-US" w:eastAsia="zh-CN"/>
        </w:rPr>
        <w:t>应结合不同房屋特点、不同结构部位性质，提出合理的详细入户方案，中标后报经委托方确认后予以实施</w:t>
      </w:r>
      <w:r>
        <w:rPr>
          <w:rFonts w:hint="default" w:ascii="Times New Roman" w:hAnsi="Times New Roman" w:cs="Times New Roman"/>
          <w:szCs w:val="21"/>
          <w:highlight w:val="none"/>
        </w:rPr>
        <w:t>。因客观因素未能达成</w:t>
      </w:r>
      <w:r>
        <w:rPr>
          <w:rFonts w:hint="default" w:ascii="Times New Roman" w:hAnsi="Times New Roman" w:cs="Times New Roman"/>
          <w:szCs w:val="21"/>
          <w:highlight w:val="none"/>
          <w:lang w:val="en-US" w:eastAsia="zh-CN"/>
        </w:rPr>
        <w:t>入户</w:t>
      </w:r>
      <w:r>
        <w:rPr>
          <w:rFonts w:hint="default" w:ascii="Times New Roman" w:hAnsi="Times New Roman" w:cs="Times New Roman"/>
          <w:szCs w:val="21"/>
          <w:highlight w:val="none"/>
        </w:rPr>
        <w:t>比例</w:t>
      </w:r>
      <w:r>
        <w:rPr>
          <w:rFonts w:hint="default" w:ascii="Times New Roman" w:hAnsi="Times New Roman" w:cs="Times New Roman"/>
          <w:szCs w:val="21"/>
          <w:highlight w:val="none"/>
          <w:lang w:val="en-US" w:eastAsia="zh-CN"/>
        </w:rPr>
        <w:t>标准及入户方案要求</w:t>
      </w:r>
      <w:r>
        <w:rPr>
          <w:rFonts w:hint="default" w:ascii="Times New Roman" w:hAnsi="Times New Roman" w:cs="Times New Roman"/>
          <w:szCs w:val="21"/>
          <w:highlight w:val="none"/>
        </w:rPr>
        <w:t>，所有未能入户的房屋均须有对应的检查记录（包括每一次未入户的原因）。</w:t>
      </w:r>
    </w:p>
    <w:p>
      <w:pPr>
        <w:spacing w:line="440" w:lineRule="exact"/>
        <w:ind w:firstLine="420" w:firstLineChars="199"/>
        <w:rPr>
          <w:rFonts w:hint="default" w:ascii="Times New Roman" w:hAnsi="Times New Roman" w:cs="Times New Roman"/>
          <w:b/>
          <w:bCs/>
          <w:szCs w:val="22"/>
          <w:highlight w:val="none"/>
        </w:rPr>
      </w:pPr>
      <w:r>
        <w:rPr>
          <w:rFonts w:hint="default" w:ascii="Times New Roman" w:hAnsi="Times New Roman" w:cs="Times New Roman"/>
          <w:b/>
          <w:bCs/>
          <w:szCs w:val="22"/>
          <w:highlight w:val="none"/>
        </w:rPr>
        <w:t>④仪器设备</w:t>
      </w:r>
      <w:r>
        <w:rPr>
          <w:rFonts w:hint="default" w:ascii="Times New Roman" w:hAnsi="Times New Roman" w:cs="Times New Roman"/>
          <w:b/>
          <w:bCs/>
          <w:szCs w:val="22"/>
          <w:highlight w:val="none"/>
          <w:lang w:val="en-US" w:eastAsia="zh-CN"/>
        </w:rPr>
        <w:t>人工</w:t>
      </w:r>
      <w:r>
        <w:rPr>
          <w:rFonts w:hint="default" w:ascii="Times New Roman" w:hAnsi="Times New Roman" w:cs="Times New Roman"/>
          <w:b/>
          <w:bCs/>
          <w:szCs w:val="22"/>
          <w:highlight w:val="none"/>
        </w:rPr>
        <w:t>监测</w:t>
      </w:r>
    </w:p>
    <w:p>
      <w:pPr>
        <w:spacing w:line="440" w:lineRule="exact"/>
        <w:ind w:firstLine="417" w:firstLineChars="199"/>
        <w:rPr>
          <w:rFonts w:hint="default" w:ascii="Times New Roman" w:hAnsi="Times New Roman" w:cs="Times New Roman"/>
          <w:szCs w:val="21"/>
          <w:highlight w:val="none"/>
        </w:rPr>
      </w:pPr>
      <w:r>
        <w:rPr>
          <w:rFonts w:hint="default" w:ascii="Times New Roman" w:hAnsi="Times New Roman" w:cs="Times New Roman"/>
          <w:szCs w:val="21"/>
          <w:highlight w:val="none"/>
        </w:rPr>
        <w:t>对动态监测范围内房屋每年至少测量一次</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根据</w:t>
      </w:r>
      <w:r>
        <w:rPr>
          <w:rFonts w:hint="default" w:ascii="Times New Roman" w:hAnsi="Times New Roman" w:cs="Times New Roman"/>
          <w:highlight w:val="none"/>
          <w:lang w:val="en-US" w:eastAsia="zh-CN"/>
        </w:rPr>
        <w:t>动态监测历史资料，对房屋倾斜、沉降、裂缝状态近年有变化趋势；或者</w:t>
      </w:r>
      <w:r>
        <w:rPr>
          <w:rFonts w:hint="default" w:ascii="Times New Roman" w:hAnsi="Times New Roman" w:cs="Times New Roman"/>
          <w:szCs w:val="21"/>
          <w:highlight w:val="none"/>
        </w:rPr>
        <w:t>已经出现明显的倾斜变形或不均匀沉降、受相邻施工影响的房屋进行测量，适当增加测量频率。</w:t>
      </w:r>
    </w:p>
    <w:p>
      <w:pPr>
        <w:spacing w:line="440" w:lineRule="exact"/>
        <w:ind w:firstLine="420" w:firstLineChars="199"/>
        <w:rPr>
          <w:rFonts w:hint="default" w:ascii="Times New Roman" w:hAnsi="Times New Roman" w:cs="Times New Roman"/>
          <w:b/>
          <w:bCs/>
          <w:szCs w:val="22"/>
          <w:highlight w:val="none"/>
        </w:rPr>
      </w:pPr>
      <w:r>
        <w:rPr>
          <w:rFonts w:hint="default" w:ascii="Times New Roman" w:hAnsi="Times New Roman" w:cs="Times New Roman"/>
          <w:b/>
          <w:bCs/>
          <w:szCs w:val="22"/>
          <w:highlight w:val="none"/>
        </w:rPr>
        <w:t>⑤台汛季节、重要活动节假日安全排查检查</w:t>
      </w:r>
    </w:p>
    <w:p>
      <w:pPr>
        <w:tabs>
          <w:tab w:val="left" w:pos="851"/>
        </w:tabs>
        <w:spacing w:line="440" w:lineRule="exact"/>
        <w:ind w:firstLine="411"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按上级要求或甲方指示开展三类及以上房屋或</w:t>
      </w:r>
      <w:r>
        <w:rPr>
          <w:rFonts w:hint="default" w:ascii="Times New Roman" w:hAnsi="Times New Roman" w:cs="Times New Roman"/>
          <w:szCs w:val="21"/>
          <w:highlight w:val="none"/>
          <w:lang w:val="en-US" w:eastAsia="zh-CN"/>
        </w:rPr>
        <w:t>特殊</w:t>
      </w:r>
      <w:r>
        <w:rPr>
          <w:rFonts w:hint="default" w:ascii="Times New Roman" w:hAnsi="Times New Roman" w:cs="Times New Roman"/>
          <w:szCs w:val="21"/>
          <w:highlight w:val="none"/>
        </w:rPr>
        <w:t>类别房屋应急安全排查检查，</w:t>
      </w:r>
      <w:r>
        <w:rPr>
          <w:rFonts w:hint="default" w:ascii="Times New Roman" w:hAnsi="Times New Roman" w:cs="Times New Roman"/>
          <w:szCs w:val="21"/>
          <w:highlight w:val="none"/>
          <w:lang w:val="en-US" w:eastAsia="zh-CN"/>
        </w:rPr>
        <w:t>每年</w:t>
      </w:r>
      <w:r>
        <w:rPr>
          <w:rFonts w:hint="default" w:ascii="Times New Roman" w:hAnsi="Times New Roman" w:cs="Times New Roman"/>
          <w:szCs w:val="21"/>
          <w:highlight w:val="none"/>
        </w:rPr>
        <w:t>不少于</w:t>
      </w:r>
      <w:r>
        <w:rPr>
          <w:rFonts w:hint="default" w:ascii="Times New Roman" w:hAnsi="Times New Roman" w:cs="Times New Roman"/>
          <w:szCs w:val="21"/>
          <w:highlight w:val="none"/>
          <w:lang w:val="en-US" w:eastAsia="zh-CN"/>
        </w:rPr>
        <w:t>5</w:t>
      </w:r>
      <w:r>
        <w:rPr>
          <w:rFonts w:hint="default" w:ascii="Times New Roman" w:hAnsi="Times New Roman" w:cs="Times New Roman"/>
          <w:szCs w:val="21"/>
          <w:highlight w:val="none"/>
        </w:rPr>
        <w:t>次。达到合同规定的幢次后，仍须服从甲方的应急排查检查指令，合同金额不追加。</w:t>
      </w:r>
    </w:p>
    <w:p>
      <w:pPr>
        <w:spacing w:line="440" w:lineRule="exact"/>
        <w:ind w:firstLine="420" w:firstLineChars="199"/>
        <w:rPr>
          <w:rFonts w:hint="default" w:ascii="Times New Roman" w:hAnsi="Times New Roman" w:cs="Times New Roman"/>
          <w:b/>
          <w:bCs/>
          <w:szCs w:val="21"/>
          <w:highlight w:val="none"/>
        </w:rPr>
      </w:pPr>
      <w:r>
        <w:rPr>
          <w:rFonts w:hint="default" w:ascii="Times New Roman" w:hAnsi="Times New Roman" w:cs="Times New Roman"/>
          <w:b/>
          <w:bCs/>
          <w:szCs w:val="22"/>
          <w:highlight w:val="none"/>
        </w:rPr>
        <w:t>⑥</w:t>
      </w:r>
      <w:r>
        <w:rPr>
          <w:rFonts w:hint="default" w:ascii="Times New Roman" w:hAnsi="Times New Roman" w:cs="Times New Roman"/>
          <w:b/>
          <w:bCs/>
          <w:szCs w:val="21"/>
          <w:highlight w:val="none"/>
        </w:rPr>
        <w:t>房安技术服务</w:t>
      </w:r>
    </w:p>
    <w:p>
      <w:pPr>
        <w:tabs>
          <w:tab w:val="left" w:pos="851"/>
        </w:tabs>
        <w:spacing w:line="440" w:lineRule="exact"/>
        <w:ind w:firstLine="411"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满足属地区域房安技术咨询服务需求</w:t>
      </w:r>
      <w:r>
        <w:rPr>
          <w:rFonts w:hint="default" w:ascii="Times New Roman" w:hAnsi="Times New Roman" w:cs="Times New Roman"/>
          <w:szCs w:val="21"/>
          <w:highlight w:val="none"/>
          <w:lang w:eastAsia="zh-CN"/>
        </w:rPr>
        <w:t>。</w:t>
      </w:r>
      <w:r>
        <w:rPr>
          <w:rFonts w:hint="default" w:ascii="Times New Roman" w:hAnsi="Times New Roman" w:cs="Times New Roman"/>
          <w:color w:val="auto"/>
          <w:sz w:val="21"/>
          <w:szCs w:val="21"/>
          <w:highlight w:val="none"/>
          <w:lang w:eastAsia="zh-CN"/>
        </w:rPr>
        <w:t>日常技术咨询包括：房屋安全管理部门有需要的情况下，乙方采用电话咨询、现场等方式，对辖区内日常房屋安全问题进行咨询、问题判断、答疑等技术服务。</w:t>
      </w:r>
    </w:p>
    <w:p>
      <w:pPr>
        <w:spacing w:line="440" w:lineRule="exact"/>
        <w:ind w:firstLine="420" w:firstLineChars="199"/>
        <w:rPr>
          <w:rFonts w:hint="default" w:ascii="Times New Roman" w:hAnsi="Times New Roman" w:cs="Times New Roman"/>
          <w:b/>
          <w:bCs/>
          <w:szCs w:val="22"/>
          <w:highlight w:val="none"/>
        </w:rPr>
      </w:pPr>
      <w:r>
        <w:rPr>
          <w:rFonts w:hint="default" w:ascii="Times New Roman" w:hAnsi="Times New Roman" w:cs="Times New Roman"/>
          <w:b/>
          <w:bCs/>
          <w:szCs w:val="22"/>
          <w:highlight w:val="none"/>
          <w:lang w:val="en-US" w:eastAsia="zh-CN"/>
        </w:rPr>
        <w:t>⑦</w:t>
      </w:r>
      <w:r>
        <w:rPr>
          <w:rFonts w:hint="default" w:ascii="Times New Roman" w:hAnsi="Times New Roman" w:cs="Times New Roman"/>
          <w:b/>
          <w:bCs/>
          <w:szCs w:val="22"/>
          <w:highlight w:val="none"/>
        </w:rPr>
        <w:t>装修</w:t>
      </w:r>
      <w:r>
        <w:rPr>
          <w:rFonts w:hint="default" w:ascii="Times New Roman" w:hAnsi="Times New Roman" w:cs="Times New Roman"/>
          <w:b/>
          <w:bCs/>
          <w:szCs w:val="22"/>
          <w:highlight w:val="none"/>
          <w:lang w:val="en-US" w:eastAsia="zh-CN"/>
        </w:rPr>
        <w:t>安全</w:t>
      </w:r>
      <w:r>
        <w:rPr>
          <w:rFonts w:hint="default" w:ascii="Times New Roman" w:hAnsi="Times New Roman" w:cs="Times New Roman"/>
          <w:b/>
          <w:bCs/>
          <w:szCs w:val="22"/>
          <w:highlight w:val="none"/>
        </w:rPr>
        <w:t>专项</w:t>
      </w:r>
      <w:r>
        <w:rPr>
          <w:rFonts w:hint="default" w:ascii="Times New Roman" w:hAnsi="Times New Roman" w:cs="Times New Roman"/>
          <w:b/>
          <w:bCs/>
          <w:szCs w:val="22"/>
          <w:highlight w:val="none"/>
          <w:lang w:val="en-US" w:eastAsia="zh-CN"/>
        </w:rPr>
        <w:t>技术服务</w:t>
      </w:r>
    </w:p>
    <w:p>
      <w:pPr>
        <w:spacing w:line="440" w:lineRule="exact"/>
        <w:ind w:firstLine="417" w:firstLineChars="199"/>
        <w:rPr>
          <w:rFonts w:hint="default" w:ascii="Times New Roman" w:hAnsi="Times New Roman" w:cs="Times New Roman"/>
          <w:szCs w:val="22"/>
          <w:highlight w:val="none"/>
          <w:lang w:val="en-US" w:eastAsia="zh-CN"/>
        </w:rPr>
      </w:pPr>
      <w:r>
        <w:rPr>
          <w:rFonts w:hint="default" w:ascii="Times New Roman" w:hAnsi="Times New Roman" w:cs="Times New Roman"/>
          <w:szCs w:val="21"/>
          <w:highlight w:val="none"/>
        </w:rPr>
        <w:t>对于</w:t>
      </w:r>
      <w:r>
        <w:rPr>
          <w:rFonts w:hint="default" w:ascii="Times New Roman" w:hAnsi="Times New Roman" w:cs="Times New Roman"/>
          <w:highlight w:val="none"/>
        </w:rPr>
        <w:t>发现</w:t>
      </w:r>
      <w:r>
        <w:rPr>
          <w:rFonts w:hint="default" w:ascii="Times New Roman" w:hAnsi="Times New Roman" w:cs="Times New Roman"/>
          <w:szCs w:val="21"/>
          <w:highlight w:val="none"/>
        </w:rPr>
        <w:t>装修</w:t>
      </w:r>
      <w:r>
        <w:rPr>
          <w:rFonts w:hint="default" w:ascii="Times New Roman" w:hAnsi="Times New Roman" w:cs="Times New Roman"/>
          <w:highlight w:val="none"/>
          <w:lang w:eastAsia="zh-CN"/>
        </w:rPr>
        <w:t>、</w:t>
      </w:r>
      <w:r>
        <w:rPr>
          <w:rFonts w:hint="default" w:ascii="Times New Roman" w:hAnsi="Times New Roman" w:cs="Times New Roman"/>
          <w:highlight w:val="none"/>
        </w:rPr>
        <w:t>或接到</w:t>
      </w:r>
      <w:r>
        <w:rPr>
          <w:rFonts w:hint="default" w:ascii="Times New Roman" w:hAnsi="Times New Roman" w:cs="Times New Roman"/>
          <w:highlight w:val="none"/>
          <w:lang w:val="en-US" w:eastAsia="zh-CN"/>
        </w:rPr>
        <w:t>房屋安全相关信访和投诉</w:t>
      </w:r>
      <w:r>
        <w:rPr>
          <w:rFonts w:hint="default" w:ascii="Times New Roman" w:hAnsi="Times New Roman" w:cs="Times New Roman"/>
          <w:highlight w:val="none"/>
        </w:rPr>
        <w:t>举报</w:t>
      </w:r>
      <w:r>
        <w:rPr>
          <w:rFonts w:hint="default" w:ascii="Times New Roman" w:hAnsi="Times New Roman" w:cs="Times New Roman"/>
          <w:highlight w:val="none"/>
          <w:lang w:val="en-US" w:eastAsia="zh-CN"/>
        </w:rPr>
        <w:t>装修行为的</w:t>
      </w:r>
      <w:r>
        <w:rPr>
          <w:rFonts w:hint="default" w:ascii="Times New Roman" w:hAnsi="Times New Roman" w:cs="Times New Roman"/>
          <w:szCs w:val="21"/>
          <w:highlight w:val="none"/>
        </w:rPr>
        <w:t>房屋，</w:t>
      </w:r>
      <w:r>
        <w:rPr>
          <w:rFonts w:hint="default" w:ascii="Times New Roman" w:hAnsi="Times New Roman" w:cs="Times New Roman"/>
          <w:szCs w:val="21"/>
          <w:highlight w:val="none"/>
          <w:lang w:val="en-US" w:eastAsia="zh-CN"/>
        </w:rPr>
        <w:t>提供</w:t>
      </w:r>
      <w:r>
        <w:rPr>
          <w:rFonts w:hint="default" w:ascii="Times New Roman" w:hAnsi="Times New Roman" w:cs="Times New Roman"/>
          <w:szCs w:val="22"/>
          <w:highlight w:val="none"/>
        </w:rPr>
        <w:t>装修</w:t>
      </w:r>
      <w:r>
        <w:rPr>
          <w:rFonts w:hint="default" w:ascii="Times New Roman" w:hAnsi="Times New Roman" w:cs="Times New Roman"/>
          <w:szCs w:val="22"/>
          <w:highlight w:val="none"/>
          <w:lang w:val="en-US" w:eastAsia="zh-CN"/>
        </w:rPr>
        <w:t>安全</w:t>
      </w:r>
      <w:r>
        <w:rPr>
          <w:rFonts w:hint="default" w:ascii="Times New Roman" w:hAnsi="Times New Roman" w:cs="Times New Roman"/>
          <w:szCs w:val="22"/>
          <w:highlight w:val="none"/>
        </w:rPr>
        <w:t>专项</w:t>
      </w:r>
      <w:r>
        <w:rPr>
          <w:rFonts w:hint="default" w:ascii="Times New Roman" w:hAnsi="Times New Roman" w:cs="Times New Roman"/>
          <w:szCs w:val="22"/>
          <w:highlight w:val="none"/>
          <w:lang w:val="en-US" w:eastAsia="zh-CN"/>
        </w:rPr>
        <w:t>技术服务：</w:t>
      </w:r>
    </w:p>
    <w:p>
      <w:pPr>
        <w:spacing w:line="440" w:lineRule="exact"/>
        <w:ind w:firstLine="417" w:firstLineChars="199"/>
        <w:rPr>
          <w:rFonts w:hint="default" w:ascii="Times New Roman" w:hAnsi="Times New Roman" w:cs="Times New Roman"/>
          <w:szCs w:val="21"/>
          <w:highlight w:val="none"/>
          <w:lang w:val="en-US" w:eastAsia="zh-CN"/>
        </w:rPr>
      </w:pPr>
      <w:r>
        <w:rPr>
          <w:rFonts w:hint="default" w:ascii="Times New Roman" w:hAnsi="Times New Roman" w:cs="Times New Roman"/>
          <w:szCs w:val="22"/>
          <w:highlight w:val="none"/>
          <w:lang w:val="en-US" w:eastAsia="zh-CN"/>
        </w:rPr>
        <w:t>现场踏勘</w:t>
      </w:r>
      <w:r>
        <w:rPr>
          <w:rFonts w:hint="default" w:ascii="Times New Roman" w:hAnsi="Times New Roman" w:cs="Times New Roman"/>
          <w:szCs w:val="21"/>
          <w:highlight w:val="none"/>
          <w:lang w:val="en-US" w:eastAsia="zh-CN"/>
        </w:rPr>
        <w:t>举报及信访件反映的房屋装修事项，给出是否涉及房屋结构、</w:t>
      </w:r>
      <w:r>
        <w:rPr>
          <w:rFonts w:hint="default" w:ascii="Times New Roman" w:hAnsi="Times New Roman" w:cs="Times New Roman"/>
          <w:szCs w:val="22"/>
          <w:highlight w:val="none"/>
          <w:lang w:val="en-US" w:eastAsia="zh-CN"/>
        </w:rPr>
        <w:t>是否存在</w:t>
      </w:r>
      <w:r>
        <w:rPr>
          <w:rFonts w:hint="default" w:ascii="Times New Roman" w:hAnsi="Times New Roman" w:cs="Times New Roman"/>
          <w:szCs w:val="21"/>
          <w:highlight w:val="none"/>
        </w:rPr>
        <w:t>违规装修</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后续处理的专业技术建议；</w:t>
      </w:r>
    </w:p>
    <w:p>
      <w:pPr>
        <w:spacing w:line="440" w:lineRule="exact"/>
        <w:ind w:firstLine="417" w:firstLineChars="199"/>
        <w:rPr>
          <w:rFonts w:hint="default" w:ascii="Times New Roman" w:hAnsi="Times New Roman" w:cs="Times New Roman"/>
          <w:szCs w:val="21"/>
          <w:highlight w:val="none"/>
          <w:lang w:eastAsia="zh-CN"/>
        </w:rPr>
      </w:pPr>
      <w:r>
        <w:rPr>
          <w:rFonts w:hint="default" w:ascii="Times New Roman" w:hAnsi="Times New Roman" w:cs="Times New Roman"/>
          <w:szCs w:val="21"/>
          <w:highlight w:val="none"/>
        </w:rPr>
        <w:t>若存在违规装修，监督其进行破坏处恢复及加固处理</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对不配合弥补违规过失的及时上报主管部门予以处理，并</w:t>
      </w:r>
      <w:r>
        <w:rPr>
          <w:rFonts w:hint="default" w:ascii="Times New Roman" w:hAnsi="Times New Roman" w:cs="Times New Roman"/>
          <w:szCs w:val="21"/>
          <w:highlight w:val="none"/>
        </w:rPr>
        <w:t>为行政执法提供技术支持</w:t>
      </w:r>
      <w:r>
        <w:rPr>
          <w:rFonts w:hint="default" w:ascii="Times New Roman" w:hAnsi="Times New Roman" w:cs="Times New Roman"/>
          <w:szCs w:val="21"/>
          <w:highlight w:val="none"/>
          <w:lang w:eastAsia="zh-CN"/>
        </w:rPr>
        <w:t>；</w:t>
      </w:r>
    </w:p>
    <w:p>
      <w:pPr>
        <w:spacing w:line="440" w:lineRule="exact"/>
        <w:ind w:firstLine="417" w:firstLineChars="199"/>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对装修房屋</w:t>
      </w:r>
      <w:r>
        <w:rPr>
          <w:rFonts w:hint="default" w:ascii="Times New Roman" w:hAnsi="Times New Roman" w:cs="Times New Roman"/>
          <w:szCs w:val="21"/>
          <w:highlight w:val="none"/>
        </w:rPr>
        <w:t>进行巡查（巡查频率至少为三次，即装修前的巡查、装修中的巡查、装修完成时的巡查），开展装修备案工作</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rPr>
        <w:t>内容包括装修设计方案审查、装修备案资料收集整理、巡查及系统中登记。</w:t>
      </w:r>
    </w:p>
    <w:p>
      <w:pPr>
        <w:spacing w:line="440" w:lineRule="exact"/>
        <w:ind w:firstLine="417" w:firstLineChars="199"/>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此项服务</w:t>
      </w:r>
      <w:r>
        <w:rPr>
          <w:rFonts w:hint="default" w:ascii="Times New Roman" w:hAnsi="Times New Roman" w:cs="Times New Roman"/>
          <w:szCs w:val="21"/>
          <w:highlight w:val="none"/>
        </w:rPr>
        <w:t>装修备案对象为全</w:t>
      </w:r>
      <w:r>
        <w:rPr>
          <w:rFonts w:hint="default" w:ascii="Times New Roman" w:hAnsi="Times New Roman" w:cs="Times New Roman"/>
          <w:szCs w:val="21"/>
          <w:highlight w:val="none"/>
          <w:lang w:val="en-US" w:eastAsia="zh-CN"/>
        </w:rPr>
        <w:t>区（不限于本项目清单）</w:t>
      </w:r>
      <w:r>
        <w:rPr>
          <w:rFonts w:hint="default" w:ascii="Times New Roman" w:hAnsi="Times New Roman" w:cs="Times New Roman"/>
          <w:szCs w:val="21"/>
          <w:highlight w:val="none"/>
        </w:rPr>
        <w:t>范围内</w:t>
      </w:r>
      <w:r>
        <w:rPr>
          <w:rFonts w:hint="default" w:ascii="Times New Roman" w:hAnsi="Times New Roman" w:cs="Times New Roman"/>
          <w:szCs w:val="21"/>
          <w:highlight w:val="none"/>
          <w:lang w:val="en-US" w:eastAsia="zh-CN"/>
        </w:rPr>
        <w:t>的房屋</w:t>
      </w:r>
      <w:r>
        <w:rPr>
          <w:rFonts w:hint="default" w:ascii="Times New Roman" w:hAnsi="Times New Roman" w:cs="Times New Roman"/>
          <w:szCs w:val="21"/>
          <w:highlight w:val="none"/>
        </w:rPr>
        <w:t>装修行为。</w:t>
      </w:r>
    </w:p>
    <w:p>
      <w:pPr>
        <w:spacing w:line="440" w:lineRule="exact"/>
        <w:ind w:left="0" w:leftChars="0" w:firstLine="0" w:firstLineChars="0"/>
        <w:rPr>
          <w:rFonts w:hint="default" w:ascii="Times New Roman" w:hAnsi="Times New Roman" w:eastAsia="宋体" w:cs="Times New Roman"/>
          <w:b/>
          <w:szCs w:val="21"/>
          <w:highlight w:val="none"/>
          <w:lang w:val="en-US" w:eastAsia="zh-CN"/>
        </w:rPr>
      </w:pPr>
      <w:r>
        <w:rPr>
          <w:rFonts w:hint="default" w:ascii="Times New Roman" w:hAnsi="Times New Roman" w:cs="Times New Roman"/>
          <w:b/>
          <w:szCs w:val="21"/>
          <w:highlight w:val="none"/>
        </w:rPr>
        <w:t>（</w:t>
      </w:r>
      <w:r>
        <w:rPr>
          <w:rFonts w:hint="default" w:ascii="Times New Roman" w:hAnsi="Times New Roman" w:cs="Times New Roman"/>
          <w:b/>
          <w:szCs w:val="21"/>
          <w:highlight w:val="none"/>
          <w:lang w:val="en-US" w:eastAsia="zh-CN"/>
        </w:rPr>
        <w:t>三</w:t>
      </w:r>
      <w:r>
        <w:rPr>
          <w:rFonts w:hint="default" w:ascii="Times New Roman" w:hAnsi="Times New Roman" w:cs="Times New Roman"/>
          <w:b/>
          <w:szCs w:val="21"/>
          <w:highlight w:val="none"/>
        </w:rPr>
        <w:t>）房屋安全动态监测单位</w:t>
      </w:r>
      <w:r>
        <w:rPr>
          <w:rFonts w:hint="default" w:ascii="Times New Roman" w:hAnsi="Times New Roman" w:cs="Times New Roman"/>
          <w:b/>
          <w:szCs w:val="21"/>
          <w:highlight w:val="none"/>
          <w:lang w:val="en-US" w:eastAsia="zh-CN"/>
        </w:rPr>
        <w:t>要求</w:t>
      </w:r>
    </w:p>
    <w:p>
      <w:pPr>
        <w:keepNext w:val="0"/>
        <w:keepLines w:val="0"/>
        <w:widowControl/>
        <w:suppressLineNumbers w:val="0"/>
        <w:spacing w:line="360" w:lineRule="auto"/>
        <w:jc w:val="left"/>
        <w:rPr>
          <w:rFonts w:hint="default" w:ascii="Times New Roman" w:hAnsi="Times New Roman" w:cs="Times New Roman"/>
          <w:szCs w:val="21"/>
          <w:highlight w:val="none"/>
        </w:rPr>
      </w:pP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1</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rPr>
        <w:t>房屋动态安</w:t>
      </w:r>
      <w:r>
        <w:rPr>
          <w:rFonts w:hint="default" w:ascii="Times New Roman" w:hAnsi="Times New Roman" w:cs="Times New Roman"/>
          <w:b w:val="0"/>
          <w:bCs w:val="0"/>
          <w:szCs w:val="21"/>
          <w:highlight w:val="none"/>
        </w:rPr>
        <w:t>全监测单位应具备</w:t>
      </w:r>
      <w:r>
        <w:rPr>
          <w:rFonts w:hint="eastAsia" w:ascii="Times New Roman" w:hAnsi="Times New Roman" w:cs="Times New Roman"/>
          <w:b w:val="0"/>
          <w:bCs w:val="0"/>
          <w:i w:val="0"/>
          <w:iCs w:val="0"/>
          <w:strike w:val="0"/>
          <w:dstrike w:val="0"/>
          <w:color w:val="000000" w:themeColor="text1"/>
          <w:sz w:val="21"/>
          <w:szCs w:val="21"/>
          <w:highlight w:val="none"/>
          <w:lang w:eastAsia="zh-Hans"/>
          <w14:textFill>
            <w14:solidFill>
              <w14:schemeClr w14:val="tx1"/>
            </w14:solidFill>
          </w14:textFill>
        </w:rPr>
        <w:t>所有情形</w:t>
      </w:r>
      <w:r>
        <w:rPr>
          <w:rFonts w:hint="default" w:ascii="Times New Roman" w:hAnsi="Times New Roman" w:cs="Times New Roman"/>
          <w:b w:val="0"/>
          <w:bCs w:val="0"/>
          <w:i w:val="0"/>
          <w:iCs w:val="0"/>
          <w:strike w:val="0"/>
          <w:dstrike w:val="0"/>
          <w:color w:val="000000" w:themeColor="text1"/>
          <w:sz w:val="21"/>
          <w:szCs w:val="21"/>
          <w:highlight w:val="none"/>
          <w14:textFill>
            <w14:solidFill>
              <w14:schemeClr w14:val="tx1"/>
            </w14:solidFill>
          </w14:textFill>
        </w:rPr>
        <w:t>房屋安全鉴定</w:t>
      </w:r>
      <w:r>
        <w:rPr>
          <w:rFonts w:hint="eastAsia" w:ascii="Times New Roman" w:hAnsi="Times New Roman" w:cs="Times New Roman"/>
          <w:b w:val="0"/>
          <w:bCs w:val="0"/>
          <w:i w:val="0"/>
          <w:iCs w:val="0"/>
          <w:strike w:val="0"/>
          <w:dstrike w:val="0"/>
          <w:color w:val="000000" w:themeColor="text1"/>
          <w:sz w:val="21"/>
          <w:szCs w:val="21"/>
          <w:highlight w:val="none"/>
          <w:lang w:eastAsia="zh-Hans"/>
          <w14:textFill>
            <w14:solidFill>
              <w14:schemeClr w14:val="tx1"/>
            </w14:solidFill>
          </w14:textFill>
        </w:rPr>
        <w:t>资格</w:t>
      </w:r>
      <w:r>
        <w:rPr>
          <w:rFonts w:hint="default" w:ascii="Times New Roman" w:hAnsi="Times New Roman" w:cs="Times New Roman"/>
          <w:b w:val="0"/>
          <w:bCs w:val="0"/>
          <w:i w:val="0"/>
          <w:iCs w:val="0"/>
          <w:strike w:val="0"/>
          <w:dstrike w:val="0"/>
          <w:color w:val="000000" w:themeColor="text1"/>
          <w:sz w:val="21"/>
          <w:szCs w:val="21"/>
          <w:highlight w:val="none"/>
          <w14:textFill>
            <w14:solidFill>
              <w14:schemeClr w14:val="tx1"/>
            </w14:solidFill>
          </w14:textFill>
        </w:rPr>
        <w:t>，</w:t>
      </w:r>
      <w:r>
        <w:rPr>
          <w:rFonts w:hint="default" w:ascii="Times New Roman" w:hAnsi="Times New Roman" w:cs="Times New Roman"/>
          <w:szCs w:val="21"/>
          <w:highlight w:val="none"/>
        </w:rPr>
        <w:t>有完整的检查、观测、监测、评估、安全预警机制，巡检人员能够对房屋安全情况进行识别查勘。</w:t>
      </w:r>
    </w:p>
    <w:p>
      <w:pPr>
        <w:tabs>
          <w:tab w:val="left" w:pos="851"/>
        </w:tabs>
        <w:spacing w:line="440" w:lineRule="exact"/>
        <w:rPr>
          <w:rFonts w:hint="default" w:ascii="Times New Roman" w:hAnsi="Times New Roman" w:cs="Times New Roman"/>
          <w:szCs w:val="21"/>
          <w:highlight w:val="none"/>
          <w:u w:val="none"/>
        </w:rPr>
      </w:pPr>
      <w:r>
        <w:rPr>
          <w:rFonts w:hint="default" w:ascii="Times New Roman" w:hAnsi="Times New Roman" w:cs="Times New Roman"/>
          <w:szCs w:val="22"/>
          <w:highlight w:val="none"/>
          <w:lang w:eastAsia="zh-CN"/>
        </w:rPr>
        <w:t>（</w:t>
      </w:r>
      <w:r>
        <w:rPr>
          <w:rFonts w:hint="default" w:ascii="Times New Roman" w:hAnsi="Times New Roman" w:cs="Times New Roman"/>
          <w:szCs w:val="22"/>
          <w:highlight w:val="none"/>
          <w:lang w:val="en-US" w:eastAsia="zh-CN"/>
        </w:rPr>
        <w:t>2</w:t>
      </w:r>
      <w:r>
        <w:rPr>
          <w:rFonts w:hint="default" w:ascii="Times New Roman" w:hAnsi="Times New Roman" w:cs="Times New Roman"/>
          <w:szCs w:val="22"/>
          <w:highlight w:val="none"/>
          <w:lang w:eastAsia="zh-CN"/>
        </w:rPr>
        <w:t>）</w:t>
      </w:r>
      <w:r>
        <w:rPr>
          <w:rFonts w:hint="default" w:ascii="Times New Roman" w:hAnsi="Times New Roman" w:cs="Times New Roman"/>
          <w:szCs w:val="22"/>
          <w:highlight w:val="none"/>
        </w:rPr>
        <w:t>在房屋安全动态监测时，</w:t>
      </w:r>
      <w:r>
        <w:rPr>
          <w:rFonts w:hint="default" w:ascii="Times New Roman" w:hAnsi="Times New Roman" w:cs="Times New Roman"/>
          <w:szCs w:val="22"/>
          <w:highlight w:val="none"/>
          <w:lang w:val="en-US" w:eastAsia="zh-CN"/>
        </w:rPr>
        <w:t>应</w:t>
      </w:r>
      <w:r>
        <w:rPr>
          <w:rFonts w:hint="default" w:ascii="Times New Roman" w:hAnsi="Times New Roman" w:cs="Times New Roman"/>
          <w:szCs w:val="22"/>
          <w:highlight w:val="none"/>
        </w:rPr>
        <w:t>为所有监测房屋建立完整的房屋安全档案</w:t>
      </w:r>
      <w:r>
        <w:rPr>
          <w:rFonts w:hint="default" w:ascii="Times New Roman" w:hAnsi="Times New Roman" w:cs="Times New Roman"/>
          <w:szCs w:val="22"/>
          <w:highlight w:val="none"/>
          <w:lang w:eastAsia="zh-CN"/>
        </w:rPr>
        <w:t>；</w:t>
      </w:r>
      <w:r>
        <w:rPr>
          <w:rFonts w:hint="default" w:ascii="Times New Roman" w:hAnsi="Times New Roman" w:cs="Times New Roman"/>
          <w:szCs w:val="22"/>
          <w:highlight w:val="none"/>
          <w:u w:val="none"/>
          <w:lang w:val="en-US" w:eastAsia="zh-CN"/>
        </w:rPr>
        <w:t>动态监测单位需</w:t>
      </w:r>
      <w:r>
        <w:rPr>
          <w:rFonts w:hint="default" w:ascii="Times New Roman" w:hAnsi="Times New Roman" w:cs="Times New Roman"/>
          <w:szCs w:val="21"/>
          <w:highlight w:val="none"/>
          <w:u w:val="none"/>
        </w:rPr>
        <w:t>通过人工监测管理平台以及作业APP，形成一整套人工巡查管理流程，如</w:t>
      </w:r>
      <w:r>
        <w:rPr>
          <w:rFonts w:hint="default" w:ascii="Times New Roman" w:hAnsi="Times New Roman" w:cs="Times New Roman"/>
          <w:szCs w:val="21"/>
          <w:highlight w:val="none"/>
          <w:u w:val="none"/>
          <w:lang w:eastAsia="zh-CN"/>
        </w:rPr>
        <w:t>：</w:t>
      </w:r>
      <w:r>
        <w:rPr>
          <w:rFonts w:hint="default" w:ascii="Times New Roman" w:hAnsi="Times New Roman" w:cs="Times New Roman"/>
          <w:szCs w:val="21"/>
          <w:highlight w:val="none"/>
          <w:u w:val="none"/>
          <w:lang w:val="en-US" w:eastAsia="zh-CN"/>
        </w:rPr>
        <w:t>系统</w:t>
      </w:r>
      <w:r>
        <w:rPr>
          <w:rFonts w:hint="default" w:ascii="Times New Roman" w:hAnsi="Times New Roman" w:cs="Times New Roman"/>
          <w:szCs w:val="21"/>
          <w:highlight w:val="none"/>
          <w:u w:val="none"/>
        </w:rPr>
        <w:t>任务派发、巡查</w:t>
      </w:r>
      <w:r>
        <w:rPr>
          <w:rFonts w:hint="default" w:ascii="Times New Roman" w:hAnsi="Times New Roman" w:cs="Times New Roman"/>
          <w:szCs w:val="21"/>
          <w:highlight w:val="none"/>
          <w:u w:val="none"/>
          <w:lang w:val="en-US" w:eastAsia="zh-CN"/>
        </w:rPr>
        <w:t>到位率</w:t>
      </w:r>
      <w:r>
        <w:rPr>
          <w:rFonts w:hint="default" w:ascii="Times New Roman" w:hAnsi="Times New Roman" w:cs="Times New Roman"/>
          <w:szCs w:val="21"/>
          <w:highlight w:val="none"/>
          <w:u w:val="none"/>
        </w:rPr>
        <w:t>管理、</w:t>
      </w:r>
      <w:r>
        <w:rPr>
          <w:rFonts w:hint="default" w:ascii="Times New Roman" w:hAnsi="Times New Roman" w:cs="Times New Roman"/>
          <w:szCs w:val="21"/>
          <w:highlight w:val="none"/>
          <w:u w:val="none"/>
          <w:lang w:val="en-US" w:eastAsia="zh-CN"/>
        </w:rPr>
        <w:t>巡查成果照片管理、巡查数据查询，手机app定位、拍照、记录、完成巡查任务</w:t>
      </w:r>
      <w:r>
        <w:rPr>
          <w:rFonts w:hint="default" w:ascii="Times New Roman" w:hAnsi="Times New Roman" w:cs="Times New Roman"/>
          <w:szCs w:val="21"/>
          <w:highlight w:val="none"/>
          <w:u w:val="none"/>
        </w:rPr>
        <w:t>等。</w:t>
      </w:r>
      <w:r>
        <w:rPr>
          <w:rFonts w:hint="eastAsia" w:ascii="宋体" w:hAnsi="宋体" w:eastAsia="宋体" w:cs="宋体"/>
          <w:szCs w:val="21"/>
          <w:highlight w:val="none"/>
          <w:u w:val="none"/>
        </w:rPr>
        <w:t>▲</w:t>
      </w:r>
      <w:r>
        <w:rPr>
          <w:rFonts w:hint="eastAsia" w:ascii="宋体" w:hAnsi="宋体" w:cs="宋体"/>
          <w:szCs w:val="21"/>
          <w:highlight w:val="none"/>
          <w:u w:val="none"/>
          <w:lang w:val="en-US" w:eastAsia="zh-CN"/>
        </w:rPr>
        <w:t>监测平台APP</w:t>
      </w:r>
      <w:r>
        <w:rPr>
          <w:rFonts w:hint="eastAsia"/>
          <w:lang w:val="en-US" w:eastAsia="zh-CN"/>
        </w:rPr>
        <w:t>具备预留端口，服务期结束后本系统能与其他系统兼容或能将本项目所有数据资料导出。</w:t>
      </w:r>
    </w:p>
    <w:p>
      <w:pPr>
        <w:spacing w:line="440" w:lineRule="exact"/>
        <w:ind w:firstLine="420" w:firstLineChars="200"/>
        <w:contextualSpacing/>
        <w:rPr>
          <w:rFonts w:hint="default" w:ascii="Times New Roman" w:hAnsi="Times New Roman" w:eastAsia="宋体" w:cs="Times New Roman"/>
          <w:szCs w:val="21"/>
          <w:highlight w:val="none"/>
        </w:rPr>
      </w:pPr>
      <w:r>
        <w:rPr>
          <w:rFonts w:hint="default" w:ascii="Times New Roman" w:hAnsi="Times New Roman" w:eastAsia="宋体" w:cs="Times New Roman"/>
          <w:szCs w:val="22"/>
          <w:highlight w:val="none"/>
          <w:lang w:eastAsia="zh-CN"/>
        </w:rPr>
        <w:t>（</w:t>
      </w:r>
      <w:r>
        <w:rPr>
          <w:rFonts w:hint="default" w:ascii="Times New Roman" w:hAnsi="Times New Roman" w:eastAsia="宋体" w:cs="Times New Roman"/>
          <w:szCs w:val="22"/>
          <w:highlight w:val="none"/>
          <w:lang w:val="en-US" w:eastAsia="zh-CN"/>
        </w:rPr>
        <w:t>3</w:t>
      </w:r>
      <w:r>
        <w:rPr>
          <w:rFonts w:hint="default" w:ascii="Times New Roman" w:hAnsi="Times New Roman" w:eastAsia="宋体" w:cs="Times New Roman"/>
          <w:szCs w:val="22"/>
          <w:highlight w:val="none"/>
          <w:lang w:eastAsia="zh-CN"/>
        </w:rPr>
        <w:t>）</w:t>
      </w:r>
      <w:r>
        <w:rPr>
          <w:rFonts w:hint="default" w:ascii="Times New Roman" w:hAnsi="Times New Roman" w:cs="Times New Roman"/>
          <w:szCs w:val="21"/>
          <w:highlight w:val="none"/>
        </w:rPr>
        <w:t>中标单位需配备房屋信息管理人员与房屋安全管理技术人员。房屋信息管理人员应负责管理老旧房屋监测信息和房屋装修巡查信息的整理、归纳、统计、归档各项房屋信息等工作；房屋安全</w:t>
      </w:r>
      <w:r>
        <w:rPr>
          <w:rFonts w:hint="default" w:ascii="Times New Roman" w:hAnsi="Times New Roman" w:eastAsia="宋体" w:cs="Times New Roman"/>
          <w:szCs w:val="21"/>
          <w:highlight w:val="none"/>
        </w:rPr>
        <w:t>管理技术人员负责房屋安全监管、房屋紧急情况下的初步判断及应急初步处理，房屋现场查看后的解释工作，对街道、社区的相关工作人员进行宣传培训，技术指导。</w:t>
      </w:r>
    </w:p>
    <w:p>
      <w:pPr>
        <w:spacing w:line="440" w:lineRule="exact"/>
        <w:ind w:firstLine="420" w:firstLineChars="200"/>
        <w:contextualSpacing/>
        <w:rPr>
          <w:rFonts w:hint="default" w:ascii="Times New Roman" w:hAnsi="Times New Roman" w:eastAsia="宋体" w:cs="Times New Roman"/>
          <w:szCs w:val="21"/>
          <w:highlight w:val="none"/>
        </w:rPr>
      </w:pPr>
      <w:r>
        <w:rPr>
          <w:rFonts w:hint="default" w:ascii="Times New Roman" w:hAnsi="Times New Roman" w:eastAsia="宋体" w:cs="Times New Roman"/>
          <w:szCs w:val="22"/>
          <w:highlight w:val="none"/>
          <w:lang w:eastAsia="zh-CN"/>
        </w:rPr>
        <w:t>（</w:t>
      </w:r>
      <w:r>
        <w:rPr>
          <w:rFonts w:hint="default" w:ascii="Times New Roman" w:hAnsi="Times New Roman" w:eastAsia="宋体" w:cs="Times New Roman"/>
          <w:szCs w:val="22"/>
          <w:highlight w:val="none"/>
          <w:lang w:val="en-US" w:eastAsia="zh-CN"/>
        </w:rPr>
        <w:t>4</w:t>
      </w:r>
      <w:r>
        <w:rPr>
          <w:rFonts w:hint="default" w:ascii="Times New Roman" w:hAnsi="Times New Roman" w:eastAsia="宋体" w:cs="Times New Roman"/>
          <w:szCs w:val="22"/>
          <w:highlight w:val="none"/>
          <w:lang w:eastAsia="zh-CN"/>
        </w:rPr>
        <w:t>）</w:t>
      </w:r>
      <w:r>
        <w:rPr>
          <w:rFonts w:hint="default" w:ascii="Times New Roman" w:hAnsi="Times New Roman" w:eastAsia="宋体" w:cs="Times New Roman"/>
          <w:szCs w:val="21"/>
          <w:highlight w:val="none"/>
        </w:rPr>
        <w:t>合同期限内，中标单位须建立房屋安全管理专家组，为定海区房屋使用安全管理提供技术咨询。</w:t>
      </w:r>
      <w:r>
        <w:rPr>
          <w:rFonts w:hint="eastAsia" w:ascii="Times New Roman" w:hAnsi="Times New Roman" w:eastAsia="宋体" w:cs="Times New Roman"/>
          <w:szCs w:val="21"/>
          <w:highlight w:val="none"/>
        </w:rPr>
        <w:t>▲</w:t>
      </w:r>
      <w:r>
        <w:rPr>
          <w:rFonts w:hint="default" w:ascii="Times New Roman" w:hAnsi="Times New Roman" w:eastAsia="宋体" w:cs="Times New Roman"/>
          <w:szCs w:val="21"/>
          <w:highlight w:val="none"/>
        </w:rPr>
        <w:t>为本项目配备的注册结构工程师不少于一人。</w:t>
      </w:r>
    </w:p>
    <w:p>
      <w:pPr>
        <w:spacing w:line="440" w:lineRule="exact"/>
        <w:ind w:firstLine="420" w:firstLineChars="200"/>
        <w:contextualSpacing/>
        <w:rPr>
          <w:rFonts w:hint="default" w:ascii="Times New Roman" w:hAnsi="Times New Roman" w:cs="Times New Roman"/>
          <w:szCs w:val="21"/>
          <w:highlight w:val="none"/>
        </w:rPr>
      </w:pPr>
      <w:r>
        <w:rPr>
          <w:rFonts w:hint="default" w:ascii="Times New Roman" w:hAnsi="Times New Roman" w:eastAsia="宋体" w:cs="Times New Roman"/>
          <w:szCs w:val="22"/>
          <w:highlight w:val="none"/>
          <w:lang w:eastAsia="zh-CN"/>
        </w:rPr>
        <w:t>（</w:t>
      </w:r>
      <w:r>
        <w:rPr>
          <w:rFonts w:hint="default" w:ascii="Times New Roman" w:hAnsi="Times New Roman" w:eastAsia="宋体" w:cs="Times New Roman"/>
          <w:szCs w:val="22"/>
          <w:highlight w:val="none"/>
          <w:lang w:val="en-US" w:eastAsia="zh-CN"/>
        </w:rPr>
        <w:t>5</w:t>
      </w:r>
      <w:r>
        <w:rPr>
          <w:rFonts w:hint="default" w:ascii="Times New Roman" w:hAnsi="Times New Roman" w:eastAsia="宋体" w:cs="Times New Roman"/>
          <w:szCs w:val="22"/>
          <w:highlight w:val="none"/>
          <w:lang w:eastAsia="zh-CN"/>
        </w:rPr>
        <w:t>）</w:t>
      </w:r>
      <w:r>
        <w:rPr>
          <w:rFonts w:hint="default" w:ascii="Times New Roman" w:hAnsi="Times New Roman" w:eastAsia="宋体" w:cs="Times New Roman"/>
          <w:szCs w:val="21"/>
          <w:highlight w:val="none"/>
        </w:rPr>
        <w:t>如发现房屋危险情况严重或加剧的，第一时间</w:t>
      </w:r>
      <w:r>
        <w:rPr>
          <w:rFonts w:hint="default" w:ascii="Times New Roman" w:hAnsi="Times New Roman" w:cs="Times New Roman"/>
          <w:szCs w:val="21"/>
          <w:highlight w:val="none"/>
          <w:lang w:val="en-US" w:eastAsia="zh-CN"/>
        </w:rPr>
        <w:t>书面</w:t>
      </w:r>
      <w:r>
        <w:rPr>
          <w:rFonts w:hint="default" w:ascii="Times New Roman" w:hAnsi="Times New Roman" w:eastAsia="宋体" w:cs="Times New Roman"/>
          <w:szCs w:val="21"/>
          <w:highlight w:val="none"/>
        </w:rPr>
        <w:t>告知属地街道社区，同时告知定海区住房和城乡建设局，提出相关合理化建议，并</w:t>
      </w:r>
      <w:r>
        <w:rPr>
          <w:rFonts w:hint="default" w:ascii="Times New Roman" w:hAnsi="Times New Roman" w:cs="Times New Roman"/>
          <w:szCs w:val="21"/>
          <w:highlight w:val="none"/>
        </w:rPr>
        <w:t>提供房屋加固、解危技术支持。</w:t>
      </w:r>
    </w:p>
    <w:p>
      <w:pPr>
        <w:numPr>
          <w:ilvl w:val="0"/>
          <w:numId w:val="5"/>
        </w:numPr>
        <w:spacing w:line="440" w:lineRule="exact"/>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lang w:val="en-US" w:eastAsia="zh-CN"/>
        </w:rPr>
        <w:t>服务</w:t>
      </w:r>
      <w:r>
        <w:rPr>
          <w:rFonts w:hint="default" w:ascii="Times New Roman" w:hAnsi="Times New Roman" w:eastAsia="宋体" w:cs="Times New Roman"/>
          <w:b/>
          <w:szCs w:val="21"/>
          <w:highlight w:val="none"/>
        </w:rPr>
        <w:t>执行依据</w:t>
      </w:r>
    </w:p>
    <w:p>
      <w:pPr>
        <w:spacing w:line="440" w:lineRule="exact"/>
        <w:ind w:firstLine="420" w:firstLineChars="200"/>
        <w:contextualSpacing/>
        <w:rPr>
          <w:rFonts w:hint="default" w:ascii="Times New Roman" w:hAnsi="Times New Roman" w:eastAsia="宋体" w:cs="Times New Roman"/>
          <w:szCs w:val="21"/>
          <w:highlight w:val="none"/>
        </w:rPr>
      </w:pPr>
      <w:r>
        <w:rPr>
          <w:rFonts w:hint="default" w:ascii="Times New Roman" w:hAnsi="Times New Roman" w:cs="Times New Roman"/>
          <w:szCs w:val="21"/>
          <w:highlight w:val="none"/>
        </w:rPr>
        <w:t>依法根据</w:t>
      </w:r>
      <w:r>
        <w:rPr>
          <w:rFonts w:hint="default" w:ascii="Times New Roman" w:hAnsi="Times New Roman" w:eastAsia="宋体" w:cs="Times New Roman"/>
          <w:szCs w:val="21"/>
          <w:highlight w:val="none"/>
          <w:lang w:val="en-US" w:eastAsia="zh-CN"/>
        </w:rPr>
        <w:t>有关动态监测的</w:t>
      </w:r>
      <w:r>
        <w:rPr>
          <w:rFonts w:hint="default" w:ascii="Times New Roman" w:hAnsi="Times New Roman" w:eastAsia="宋体" w:cs="Times New Roman"/>
          <w:szCs w:val="21"/>
          <w:highlight w:val="none"/>
        </w:rPr>
        <w:t>国家标准、行业标准和地方标准</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开展</w:t>
      </w:r>
      <w:r>
        <w:rPr>
          <w:rFonts w:hint="default" w:ascii="Times New Roman" w:hAnsi="Times New Roman" w:eastAsia="宋体" w:cs="Times New Roman"/>
          <w:szCs w:val="21"/>
          <w:highlight w:val="none"/>
          <w:lang w:val="en-US" w:eastAsia="zh-CN"/>
        </w:rPr>
        <w:t>本项目服务</w:t>
      </w:r>
      <w:r>
        <w:rPr>
          <w:rFonts w:hint="default" w:ascii="Times New Roman" w:hAnsi="Times New Roman" w:eastAsia="宋体" w:cs="Times New Roman"/>
          <w:szCs w:val="21"/>
          <w:highlight w:val="none"/>
        </w:rPr>
        <w:t>工作。</w:t>
      </w:r>
    </w:p>
    <w:p>
      <w:pPr>
        <w:spacing w:line="440" w:lineRule="exact"/>
        <w:ind w:firstLine="420" w:firstLineChars="200"/>
        <w:contextualSpacing/>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浙江</w:t>
      </w:r>
      <w:r>
        <w:rPr>
          <w:rFonts w:hint="default" w:ascii="Times New Roman" w:hAnsi="Times New Roman" w:eastAsia="宋体" w:cs="Times New Roman"/>
          <w:szCs w:val="21"/>
          <w:highlight w:val="none"/>
          <w:lang w:val="en-US" w:eastAsia="zh-CN"/>
        </w:rPr>
        <w:t>省危险房屋结构监测技术导则》2019.01</w:t>
      </w:r>
    </w:p>
    <w:p>
      <w:pPr>
        <w:spacing w:line="440" w:lineRule="exact"/>
        <w:ind w:firstLine="420" w:firstLineChars="200"/>
        <w:contextualSpacing/>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《浙江省房屋使用安全管理条例》</w:t>
      </w:r>
    </w:p>
    <w:p>
      <w:pPr>
        <w:spacing w:line="440" w:lineRule="exact"/>
        <w:ind w:firstLine="420" w:firstLineChars="200"/>
        <w:contextualSpacing/>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《浙江省房屋安全隐患巡查（自查）手册》</w:t>
      </w:r>
    </w:p>
    <w:p>
      <w:pPr>
        <w:spacing w:line="440" w:lineRule="exact"/>
        <w:ind w:firstLine="420" w:firstLineChars="200"/>
        <w:contextualSpacing/>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《浙江省既有城镇住宅房屋结构安全排查技术导则》</w:t>
      </w:r>
    </w:p>
    <w:p>
      <w:pPr>
        <w:spacing w:line="440" w:lineRule="exact"/>
        <w:ind w:firstLine="420" w:firstLineChars="200"/>
        <w:contextualSpacing/>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 xml:space="preserve">《危险房屋鉴定标准》JGJ125-2016 </w:t>
      </w:r>
    </w:p>
    <w:p>
      <w:pPr>
        <w:spacing w:line="440" w:lineRule="exact"/>
        <w:ind w:firstLine="420" w:firstLineChars="200"/>
        <w:contextualSpacing/>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 xml:space="preserve">《建筑变形测量规范》JGJ8-2016 </w:t>
      </w:r>
    </w:p>
    <w:p>
      <w:pPr>
        <w:spacing w:line="440" w:lineRule="exact"/>
        <w:ind w:firstLine="420" w:firstLineChars="200"/>
        <w:contextualSpacing/>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《工程测量标准》GB 50026-2020</w:t>
      </w:r>
    </w:p>
    <w:p>
      <w:pPr>
        <w:spacing w:line="440" w:lineRule="exact"/>
        <w:contextualSpacing/>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lang w:val="en-US" w:eastAsia="zh-CN"/>
        </w:rPr>
        <w:t>四</w:t>
      </w:r>
      <w:r>
        <w:rPr>
          <w:rFonts w:hint="default" w:ascii="Times New Roman" w:hAnsi="Times New Roman" w:cs="Times New Roman"/>
          <w:b/>
          <w:kern w:val="0"/>
          <w:szCs w:val="21"/>
          <w:highlight w:val="none"/>
        </w:rPr>
        <w:t>、监测及巡查考核</w:t>
      </w:r>
    </w:p>
    <w:p>
      <w:pPr>
        <w:spacing w:line="440" w:lineRule="exact"/>
        <w:ind w:firstLine="420" w:firstLineChars="200"/>
        <w:contextualSpacing/>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（一）中标人应依合同的技术要求和实施方案实施监测服务，接受招标人和各属地街道社区的监督管理，主要</w:t>
      </w:r>
      <w:r>
        <w:rPr>
          <w:rFonts w:hint="default" w:ascii="Times New Roman" w:hAnsi="Times New Roman" w:cs="Times New Roman"/>
          <w:kern w:val="0"/>
          <w:szCs w:val="21"/>
          <w:highlight w:val="none"/>
          <w:lang w:val="en-US" w:eastAsia="zh-CN"/>
        </w:rPr>
        <w:t>监督</w:t>
      </w:r>
      <w:r>
        <w:rPr>
          <w:rFonts w:hint="default" w:ascii="Times New Roman" w:hAnsi="Times New Roman" w:cs="Times New Roman"/>
          <w:kern w:val="0"/>
          <w:szCs w:val="21"/>
          <w:highlight w:val="none"/>
        </w:rPr>
        <w:t>中标人对项目技术要求的落实情况</w:t>
      </w:r>
      <w:r>
        <w:rPr>
          <w:rFonts w:hint="default" w:ascii="Times New Roman" w:hAnsi="Times New Roman" w:cs="Times New Roman"/>
          <w:kern w:val="0"/>
          <w:szCs w:val="21"/>
          <w:highlight w:val="none"/>
          <w:lang w:eastAsia="zh-CN"/>
        </w:rPr>
        <w:t>，</w:t>
      </w:r>
      <w:r>
        <w:rPr>
          <w:rFonts w:hint="default" w:ascii="Times New Roman" w:hAnsi="Times New Roman" w:cs="Times New Roman"/>
          <w:kern w:val="0"/>
          <w:szCs w:val="21"/>
          <w:highlight w:val="none"/>
        </w:rPr>
        <w:t>根据督查情况按季度对其实施考核。</w:t>
      </w:r>
    </w:p>
    <w:p>
      <w:pPr>
        <w:spacing w:line="440" w:lineRule="exact"/>
        <w:ind w:left="0" w:leftChars="0" w:firstLine="0" w:firstLineChars="0"/>
        <w:contextualSpacing/>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房屋安全动态监测</w:t>
      </w:r>
      <w:r>
        <w:rPr>
          <w:rFonts w:hint="default" w:ascii="Times New Roman" w:hAnsi="Times New Roman" w:cs="Times New Roman"/>
          <w:kern w:val="0"/>
          <w:szCs w:val="21"/>
          <w:highlight w:val="none"/>
          <w:lang w:val="en-US" w:eastAsia="zh-CN"/>
        </w:rPr>
        <w:t>项目</w:t>
      </w:r>
      <w:r>
        <w:rPr>
          <w:rFonts w:hint="default" w:ascii="Times New Roman" w:hAnsi="Times New Roman" w:cs="Times New Roman"/>
          <w:kern w:val="0"/>
          <w:szCs w:val="21"/>
          <w:highlight w:val="none"/>
        </w:rPr>
        <w:t xml:space="preserve"> 季度考核表</w:t>
      </w:r>
    </w:p>
    <w:tbl>
      <w:tblPr>
        <w:tblStyle w:val="28"/>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512"/>
        <w:gridCol w:w="682"/>
        <w:gridCol w:w="4715"/>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vAlign w:val="center"/>
          </w:tcPr>
          <w:p>
            <w:pPr>
              <w:jc w:val="center"/>
              <w:rPr>
                <w:rFonts w:hint="default" w:ascii="Times New Roman" w:hAnsi="Times New Roman" w:cs="Times New Roman" w:eastAsiaTheme="minorEastAsia"/>
                <w:b/>
                <w:sz w:val="21"/>
                <w:szCs w:val="21"/>
                <w:highlight w:val="none"/>
              </w:rPr>
            </w:pPr>
            <w:r>
              <w:rPr>
                <w:rFonts w:hint="default" w:ascii="Times New Roman" w:hAnsi="Times New Roman" w:cs="Times New Roman" w:eastAsiaTheme="minorEastAsia"/>
                <w:b/>
                <w:sz w:val="21"/>
                <w:szCs w:val="21"/>
                <w:highlight w:val="none"/>
              </w:rPr>
              <w:t>序号</w:t>
            </w:r>
          </w:p>
        </w:tc>
        <w:tc>
          <w:tcPr>
            <w:tcW w:w="1512" w:type="dxa"/>
            <w:vAlign w:val="center"/>
          </w:tcPr>
          <w:p>
            <w:pPr>
              <w:jc w:val="center"/>
              <w:rPr>
                <w:rFonts w:hint="default" w:ascii="Times New Roman" w:hAnsi="Times New Roman" w:cs="Times New Roman" w:eastAsiaTheme="minorEastAsia"/>
                <w:b/>
                <w:sz w:val="21"/>
                <w:szCs w:val="21"/>
                <w:highlight w:val="none"/>
              </w:rPr>
            </w:pPr>
            <w:r>
              <w:rPr>
                <w:rFonts w:hint="default" w:ascii="Times New Roman" w:hAnsi="Times New Roman" w:cs="Times New Roman" w:eastAsiaTheme="minorEastAsia"/>
                <w:b/>
                <w:sz w:val="21"/>
                <w:szCs w:val="21"/>
                <w:highlight w:val="none"/>
              </w:rPr>
              <w:t>考核内容</w:t>
            </w:r>
          </w:p>
        </w:tc>
        <w:tc>
          <w:tcPr>
            <w:tcW w:w="682" w:type="dxa"/>
            <w:vAlign w:val="center"/>
          </w:tcPr>
          <w:p>
            <w:pPr>
              <w:jc w:val="center"/>
              <w:rPr>
                <w:rFonts w:hint="default" w:ascii="Times New Roman" w:hAnsi="Times New Roman" w:cs="Times New Roman" w:eastAsiaTheme="minorEastAsia"/>
                <w:b/>
                <w:sz w:val="21"/>
                <w:szCs w:val="21"/>
                <w:highlight w:val="none"/>
              </w:rPr>
            </w:pPr>
            <w:r>
              <w:rPr>
                <w:rFonts w:hint="default" w:ascii="Times New Roman" w:hAnsi="Times New Roman" w:cs="Times New Roman" w:eastAsiaTheme="minorEastAsia"/>
                <w:b/>
                <w:sz w:val="21"/>
                <w:szCs w:val="21"/>
                <w:highlight w:val="none"/>
              </w:rPr>
              <w:t>分值</w:t>
            </w:r>
          </w:p>
        </w:tc>
        <w:tc>
          <w:tcPr>
            <w:tcW w:w="4715" w:type="dxa"/>
            <w:vAlign w:val="center"/>
          </w:tcPr>
          <w:p>
            <w:pPr>
              <w:jc w:val="center"/>
              <w:rPr>
                <w:rFonts w:hint="default" w:ascii="Times New Roman" w:hAnsi="Times New Roman" w:cs="Times New Roman" w:eastAsiaTheme="minorEastAsia"/>
                <w:b/>
                <w:sz w:val="21"/>
                <w:szCs w:val="21"/>
                <w:highlight w:val="none"/>
              </w:rPr>
            </w:pPr>
            <w:r>
              <w:rPr>
                <w:rFonts w:hint="default" w:ascii="Times New Roman" w:hAnsi="Times New Roman" w:cs="Times New Roman" w:eastAsiaTheme="minorEastAsia"/>
                <w:b/>
                <w:sz w:val="21"/>
                <w:szCs w:val="21"/>
                <w:highlight w:val="none"/>
              </w:rPr>
              <w:t>评份标准</w:t>
            </w:r>
          </w:p>
        </w:tc>
        <w:tc>
          <w:tcPr>
            <w:tcW w:w="1117" w:type="dxa"/>
            <w:vAlign w:val="center"/>
          </w:tcPr>
          <w:p>
            <w:pPr>
              <w:jc w:val="center"/>
              <w:rPr>
                <w:rFonts w:hint="default" w:ascii="Times New Roman" w:hAnsi="Times New Roman" w:cs="Times New Roman" w:eastAsiaTheme="minorEastAsia"/>
                <w:b/>
                <w:sz w:val="21"/>
                <w:szCs w:val="21"/>
                <w:highlight w:val="none"/>
              </w:rPr>
            </w:pPr>
            <w:r>
              <w:rPr>
                <w:rFonts w:hint="default" w:ascii="Times New Roman" w:hAnsi="Times New Roman" w:cs="Times New Roman" w:eastAsiaTheme="minorEastAsia"/>
                <w:b/>
                <w:sz w:val="21"/>
                <w:szCs w:val="21"/>
                <w:highlight w:val="none"/>
              </w:rPr>
              <w:t>考核</w:t>
            </w:r>
            <w:r>
              <w:rPr>
                <w:rFonts w:hint="default" w:ascii="Times New Roman" w:hAnsi="Times New Roman" w:cs="Times New Roman" w:eastAsiaTheme="minorEastAsia"/>
                <w:b/>
                <w:sz w:val="21"/>
                <w:szCs w:val="21"/>
                <w:highlight w:val="none"/>
                <w:lang w:val="en-US" w:eastAsia="zh-CN"/>
              </w:rPr>
              <w:t>评</w:t>
            </w:r>
            <w:r>
              <w:rPr>
                <w:rFonts w:hint="default" w:ascii="Times New Roman" w:hAnsi="Times New Roman" w:cs="Times New Roman" w:eastAsiaTheme="minorEastAsia"/>
                <w:b/>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c>
          <w:tcPr>
            <w:tcW w:w="1512"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日常动态监测</w:t>
            </w:r>
          </w:p>
        </w:tc>
        <w:tc>
          <w:tcPr>
            <w:tcW w:w="682"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20</w:t>
            </w:r>
          </w:p>
        </w:tc>
        <w:tc>
          <w:tcPr>
            <w:tcW w:w="4715" w:type="dxa"/>
          </w:tcPr>
          <w:p>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1、监测频率</w:t>
            </w:r>
            <w:r>
              <w:rPr>
                <w:rFonts w:hint="default" w:ascii="Times New Roman" w:hAnsi="Times New Roman" w:cs="Times New Roman" w:eastAsiaTheme="minorEastAsia"/>
                <w:sz w:val="21"/>
                <w:szCs w:val="21"/>
                <w:highlight w:val="none"/>
                <w:lang w:val="en-US" w:eastAsia="zh-CN"/>
              </w:rPr>
              <w:t>最高</w:t>
            </w:r>
            <w:r>
              <w:rPr>
                <w:rFonts w:hint="default" w:ascii="Times New Roman" w:hAnsi="Times New Roman" w:cs="Times New Roman" w:eastAsiaTheme="minorEastAsia"/>
                <w:sz w:val="21"/>
                <w:szCs w:val="21"/>
                <w:highlight w:val="none"/>
              </w:rPr>
              <w:t>的房屋，每遗漏、延迟一次的扣2分。</w:t>
            </w:r>
          </w:p>
          <w:p>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2、监测频率</w:t>
            </w:r>
            <w:r>
              <w:rPr>
                <w:rFonts w:hint="default" w:ascii="Times New Roman" w:hAnsi="Times New Roman" w:cs="Times New Roman" w:eastAsiaTheme="minorEastAsia"/>
                <w:sz w:val="21"/>
                <w:szCs w:val="21"/>
                <w:highlight w:val="none"/>
                <w:lang w:val="en-US" w:eastAsia="zh-CN"/>
              </w:rPr>
              <w:t>次高</w:t>
            </w:r>
            <w:r>
              <w:rPr>
                <w:rFonts w:hint="default" w:ascii="Times New Roman" w:hAnsi="Times New Roman" w:cs="Times New Roman" w:eastAsiaTheme="minorEastAsia"/>
                <w:sz w:val="21"/>
                <w:szCs w:val="21"/>
                <w:highlight w:val="none"/>
              </w:rPr>
              <w:t>的房屋，每遗漏、延迟一次的扣1分。</w:t>
            </w:r>
          </w:p>
          <w:p>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3、监测频率</w:t>
            </w:r>
            <w:r>
              <w:rPr>
                <w:rFonts w:hint="default" w:ascii="Times New Roman" w:hAnsi="Times New Roman" w:cs="Times New Roman" w:eastAsiaTheme="minorEastAsia"/>
                <w:sz w:val="21"/>
                <w:szCs w:val="21"/>
                <w:highlight w:val="none"/>
                <w:lang w:val="en-US" w:eastAsia="zh-CN"/>
              </w:rPr>
              <w:t>占主要比例</w:t>
            </w:r>
            <w:r>
              <w:rPr>
                <w:rFonts w:hint="default" w:ascii="Times New Roman" w:hAnsi="Times New Roman" w:cs="Times New Roman" w:eastAsiaTheme="minorEastAsia"/>
                <w:sz w:val="21"/>
                <w:szCs w:val="21"/>
                <w:highlight w:val="none"/>
              </w:rPr>
              <w:t>的房屋，每遗漏、延迟一次的扣0.5分。</w:t>
            </w:r>
          </w:p>
        </w:tc>
        <w:tc>
          <w:tcPr>
            <w:tcW w:w="1117" w:type="dxa"/>
          </w:tcPr>
          <w:p>
            <w:pPr>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w:t>
            </w:r>
          </w:p>
        </w:tc>
        <w:tc>
          <w:tcPr>
            <w:tcW w:w="1512"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临时检查</w:t>
            </w:r>
          </w:p>
        </w:tc>
        <w:tc>
          <w:tcPr>
            <w:tcW w:w="682"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10</w:t>
            </w:r>
          </w:p>
        </w:tc>
        <w:tc>
          <w:tcPr>
            <w:tcW w:w="4715" w:type="dxa"/>
          </w:tcPr>
          <w:p>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1、接到临时检查任务后，未在1小时内派遣人员赶到现场检查的，每次扣</w:t>
            </w:r>
            <w:r>
              <w:rPr>
                <w:rFonts w:hint="default" w:ascii="Times New Roman" w:hAnsi="Times New Roman" w:cs="Times New Roman" w:eastAsiaTheme="minorEastAsia"/>
                <w:sz w:val="21"/>
                <w:szCs w:val="21"/>
                <w:highlight w:val="none"/>
                <w:lang w:val="en-US" w:eastAsia="zh-CN"/>
              </w:rPr>
              <w:t>2</w:t>
            </w:r>
            <w:r>
              <w:rPr>
                <w:rFonts w:hint="default" w:ascii="Times New Roman" w:hAnsi="Times New Roman" w:cs="Times New Roman" w:eastAsiaTheme="minorEastAsia"/>
                <w:sz w:val="21"/>
                <w:szCs w:val="21"/>
                <w:highlight w:val="none"/>
              </w:rPr>
              <w:t>分。</w:t>
            </w:r>
          </w:p>
          <w:p>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2、接到灾害天气值班任务后，未及时</w:t>
            </w:r>
            <w:r>
              <w:rPr>
                <w:rFonts w:hint="default" w:ascii="Times New Roman" w:hAnsi="Times New Roman" w:cs="Times New Roman" w:eastAsiaTheme="minorEastAsia"/>
                <w:sz w:val="21"/>
                <w:szCs w:val="21"/>
                <w:highlight w:val="none"/>
                <w:lang w:val="en-US" w:eastAsia="zh-CN"/>
              </w:rPr>
              <w:t>提交</w:t>
            </w:r>
            <w:r>
              <w:rPr>
                <w:rFonts w:hint="default" w:ascii="Times New Roman" w:hAnsi="Times New Roman" w:cs="Times New Roman" w:eastAsiaTheme="minorEastAsia"/>
                <w:sz w:val="21"/>
                <w:szCs w:val="21"/>
                <w:highlight w:val="none"/>
              </w:rPr>
              <w:t>值班人员表，每次扣1分；未按值班人员表安排人员和值班时间的，每次扣1分；未加强重点区域监测的，每次扣1分。</w:t>
            </w:r>
          </w:p>
        </w:tc>
        <w:tc>
          <w:tcPr>
            <w:tcW w:w="1117" w:type="dxa"/>
          </w:tcPr>
          <w:p>
            <w:pPr>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w:t>
            </w:r>
          </w:p>
        </w:tc>
        <w:tc>
          <w:tcPr>
            <w:tcW w:w="1512" w:type="dxa"/>
            <w:vAlign w:val="center"/>
          </w:tcPr>
          <w:p>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监测数据审核</w:t>
            </w:r>
          </w:p>
        </w:tc>
        <w:tc>
          <w:tcPr>
            <w:tcW w:w="682" w:type="dxa"/>
            <w:vAlign w:val="center"/>
          </w:tcPr>
          <w:p>
            <w:pPr>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val="en-US" w:eastAsia="zh-CN"/>
              </w:rPr>
              <w:t>5</w:t>
            </w:r>
          </w:p>
        </w:tc>
        <w:tc>
          <w:tcPr>
            <w:tcW w:w="4715" w:type="dxa"/>
          </w:tcPr>
          <w:p>
            <w:pP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监测数据上传系统后，未</w:t>
            </w:r>
            <w:r>
              <w:rPr>
                <w:rFonts w:hint="default" w:ascii="Times New Roman" w:hAnsi="Times New Roman" w:cs="Times New Roman" w:eastAsiaTheme="minorEastAsia"/>
                <w:color w:val="auto"/>
                <w:sz w:val="21"/>
                <w:szCs w:val="21"/>
                <w:highlight w:val="none"/>
                <w:lang w:val="en-US" w:eastAsia="zh-CN"/>
              </w:rPr>
              <w:t>按时</w:t>
            </w:r>
            <w:r>
              <w:rPr>
                <w:rFonts w:hint="default" w:ascii="Times New Roman" w:hAnsi="Times New Roman" w:cs="Times New Roman" w:eastAsiaTheme="minorEastAsia"/>
                <w:color w:val="auto"/>
                <w:sz w:val="21"/>
                <w:szCs w:val="21"/>
                <w:highlight w:val="none"/>
              </w:rPr>
              <w:t>完成审核</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lang w:val="en-US" w:eastAsia="zh-CN"/>
              </w:rPr>
              <w:t>动态</w:t>
            </w:r>
            <w:r>
              <w:rPr>
                <w:rFonts w:hint="default" w:ascii="Times New Roman" w:hAnsi="Times New Roman" w:cs="Times New Roman" w:eastAsiaTheme="minorEastAsia"/>
                <w:color w:val="auto"/>
                <w:sz w:val="21"/>
                <w:szCs w:val="21"/>
                <w:highlight w:val="none"/>
              </w:rPr>
              <w:t>评定的，每次扣2分（特殊情况的除外）。</w:t>
            </w:r>
          </w:p>
        </w:tc>
        <w:tc>
          <w:tcPr>
            <w:tcW w:w="1117" w:type="dxa"/>
          </w:tcPr>
          <w:p>
            <w:pPr>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w:t>
            </w:r>
          </w:p>
        </w:tc>
        <w:tc>
          <w:tcPr>
            <w:tcW w:w="1512" w:type="dxa"/>
            <w:vAlign w:val="center"/>
          </w:tcPr>
          <w:p>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人员配备情况</w:t>
            </w:r>
          </w:p>
        </w:tc>
        <w:tc>
          <w:tcPr>
            <w:tcW w:w="682" w:type="dxa"/>
            <w:vAlign w:val="center"/>
          </w:tcPr>
          <w:p>
            <w:pPr>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w:t>
            </w:r>
          </w:p>
        </w:tc>
        <w:tc>
          <w:tcPr>
            <w:tcW w:w="4715" w:type="dxa"/>
          </w:tcPr>
          <w:p>
            <w:pP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人员临时变动，但未提前</w:t>
            </w:r>
            <w:r>
              <w:rPr>
                <w:rFonts w:hint="default" w:ascii="Times New Roman" w:hAnsi="Times New Roman" w:cs="Times New Roman" w:eastAsiaTheme="minorEastAsia"/>
                <w:color w:val="auto"/>
                <w:sz w:val="21"/>
                <w:szCs w:val="21"/>
                <w:highlight w:val="none"/>
                <w:lang w:val="en-US" w:eastAsia="zh-CN"/>
              </w:rPr>
              <w:t>向委托方进行</w:t>
            </w:r>
            <w:r>
              <w:rPr>
                <w:rFonts w:hint="default" w:ascii="Times New Roman" w:hAnsi="Times New Roman" w:cs="Times New Roman" w:eastAsiaTheme="minorEastAsia"/>
                <w:color w:val="auto"/>
                <w:sz w:val="21"/>
                <w:szCs w:val="21"/>
                <w:highlight w:val="none"/>
              </w:rPr>
              <w:t>“人员变动申请”的，每次扣2分。</w:t>
            </w:r>
          </w:p>
        </w:tc>
        <w:tc>
          <w:tcPr>
            <w:tcW w:w="1117" w:type="dxa"/>
          </w:tcPr>
          <w:p>
            <w:pPr>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w:t>
            </w:r>
          </w:p>
        </w:tc>
        <w:tc>
          <w:tcPr>
            <w:tcW w:w="1512" w:type="dxa"/>
            <w:vAlign w:val="center"/>
          </w:tcPr>
          <w:p>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监测服务资料</w:t>
            </w:r>
          </w:p>
        </w:tc>
        <w:tc>
          <w:tcPr>
            <w:tcW w:w="682" w:type="dxa"/>
            <w:vAlign w:val="center"/>
          </w:tcPr>
          <w:p>
            <w:pPr>
              <w:jc w:val="center"/>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1</w:t>
            </w:r>
            <w:r>
              <w:rPr>
                <w:rFonts w:hint="eastAsia" w:ascii="Times New Roman" w:hAnsi="Times New Roman" w:cs="Times New Roman" w:eastAsiaTheme="minorEastAsia"/>
                <w:color w:val="auto"/>
                <w:sz w:val="21"/>
                <w:szCs w:val="21"/>
                <w:highlight w:val="none"/>
                <w:lang w:val="en-US" w:eastAsia="zh-CN"/>
              </w:rPr>
              <w:t>4</w:t>
            </w:r>
          </w:p>
        </w:tc>
        <w:tc>
          <w:tcPr>
            <w:tcW w:w="4715" w:type="dxa"/>
          </w:tcPr>
          <w:p>
            <w:pP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1、资料存在作假情况的，每次扣</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分。</w:t>
            </w:r>
          </w:p>
          <w:p>
            <w:pP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2、资料内容不符合相关要求的，每次扣1分。</w:t>
            </w:r>
          </w:p>
          <w:p>
            <w:pP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3、未及时</w:t>
            </w:r>
            <w:r>
              <w:rPr>
                <w:rFonts w:hint="default" w:ascii="Times New Roman" w:hAnsi="Times New Roman" w:cs="Times New Roman" w:eastAsiaTheme="minorEastAsia"/>
                <w:color w:val="auto"/>
                <w:sz w:val="21"/>
                <w:szCs w:val="21"/>
                <w:highlight w:val="none"/>
                <w:lang w:val="en-US" w:eastAsia="zh-CN"/>
              </w:rPr>
              <w:t>提交</w:t>
            </w:r>
            <w:r>
              <w:rPr>
                <w:rFonts w:hint="default" w:ascii="Times New Roman" w:hAnsi="Times New Roman" w:cs="Times New Roman" w:eastAsiaTheme="minorEastAsia"/>
                <w:color w:val="auto"/>
                <w:sz w:val="21"/>
                <w:szCs w:val="21"/>
                <w:highlight w:val="none"/>
              </w:rPr>
              <w:t>监测报告的，每次扣1分。</w:t>
            </w:r>
          </w:p>
        </w:tc>
        <w:tc>
          <w:tcPr>
            <w:tcW w:w="1117" w:type="dxa"/>
          </w:tcPr>
          <w:p>
            <w:pPr>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w:t>
            </w:r>
          </w:p>
        </w:tc>
        <w:tc>
          <w:tcPr>
            <w:tcW w:w="1512" w:type="dxa"/>
            <w:vAlign w:val="center"/>
          </w:tcPr>
          <w:p>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现场事件处理</w:t>
            </w:r>
          </w:p>
        </w:tc>
        <w:tc>
          <w:tcPr>
            <w:tcW w:w="682" w:type="dxa"/>
            <w:vAlign w:val="center"/>
          </w:tcPr>
          <w:p>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20</w:t>
            </w:r>
          </w:p>
        </w:tc>
        <w:tc>
          <w:tcPr>
            <w:tcW w:w="4715" w:type="dxa"/>
          </w:tcPr>
          <w:p>
            <w:pP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1、未处理好群众情绪，引起争吵，每次扣1分；引起肢体冲突，每次扣3分。</w:t>
            </w:r>
          </w:p>
          <w:p>
            <w:pP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2、因自身原因（如未及时汇报安全隐患、擅自处理突发事件），造成人员伤亡、财产损失或被媒介通报批评等社会影响的，每次扣</w:t>
            </w:r>
            <w:r>
              <w:rPr>
                <w:rFonts w:hint="default"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rPr>
              <w:t>分。</w:t>
            </w:r>
          </w:p>
        </w:tc>
        <w:tc>
          <w:tcPr>
            <w:tcW w:w="1117" w:type="dxa"/>
          </w:tcPr>
          <w:p>
            <w:pPr>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7</w:t>
            </w:r>
          </w:p>
        </w:tc>
        <w:tc>
          <w:tcPr>
            <w:tcW w:w="1512" w:type="dxa"/>
            <w:vAlign w:val="center"/>
          </w:tcPr>
          <w:p>
            <w:pPr>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装修安全</w:t>
            </w:r>
          </w:p>
        </w:tc>
        <w:tc>
          <w:tcPr>
            <w:tcW w:w="682" w:type="dxa"/>
            <w:vAlign w:val="center"/>
          </w:tcPr>
          <w:p>
            <w:pPr>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15</w:t>
            </w:r>
          </w:p>
        </w:tc>
        <w:tc>
          <w:tcPr>
            <w:tcW w:w="4715" w:type="dxa"/>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由于工作失误，使主结构件破坏严重的装修方案审核通过，或者在巡查过程中，对发现的违法装修未劝阻、未止制，且未及时向甲方汇报，造成房屋主构件破坏继续扩大的。（乙方后期工作积极，被破坏结构能及时规范恢复加固的可酌情少扣分）</w:t>
            </w:r>
          </w:p>
          <w:p>
            <w:pP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Cs w:val="24"/>
                <w:highlight w:val="none"/>
              </w:rPr>
              <w:t>发现一次扣3分；造成严重后果或产生</w:t>
            </w:r>
            <w:r>
              <w:rPr>
                <w:rFonts w:hint="default" w:ascii="Times New Roman" w:hAnsi="Times New Roman" w:cs="Times New Roman"/>
                <w:color w:val="auto"/>
                <w:highlight w:val="none"/>
              </w:rPr>
              <w:t>较大</w:t>
            </w:r>
            <w:r>
              <w:rPr>
                <w:rFonts w:hint="default" w:ascii="Times New Roman" w:hAnsi="Times New Roman" w:cs="Times New Roman"/>
                <w:color w:val="auto"/>
                <w:szCs w:val="24"/>
                <w:highlight w:val="none"/>
              </w:rPr>
              <w:t>影响的发现一次扣5分</w:t>
            </w:r>
            <w:r>
              <w:rPr>
                <w:rFonts w:hint="default" w:ascii="Times New Roman" w:hAnsi="Times New Roman" w:cs="Times New Roman"/>
                <w:color w:val="auto"/>
                <w:szCs w:val="24"/>
                <w:highlight w:val="none"/>
                <w:lang w:eastAsia="zh-CN"/>
              </w:rPr>
              <w:t>。</w:t>
            </w:r>
          </w:p>
        </w:tc>
        <w:tc>
          <w:tcPr>
            <w:tcW w:w="1117" w:type="dxa"/>
            <w:vAlign w:val="center"/>
          </w:tcPr>
          <w:p>
            <w:pPr>
              <w:jc w:val="center"/>
              <w:rPr>
                <w:rFonts w:hint="default"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8</w:t>
            </w:r>
          </w:p>
        </w:tc>
        <w:tc>
          <w:tcPr>
            <w:tcW w:w="1512" w:type="dxa"/>
            <w:vAlign w:val="center"/>
          </w:tcPr>
          <w:p>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一般</w:t>
            </w:r>
            <w:r>
              <w:rPr>
                <w:rFonts w:hint="default" w:ascii="Times New Roman" w:hAnsi="Times New Roman" w:cs="Times New Roman" w:eastAsiaTheme="minorEastAsia"/>
                <w:color w:val="auto"/>
                <w:sz w:val="21"/>
                <w:szCs w:val="21"/>
                <w:highlight w:val="none"/>
              </w:rPr>
              <w:t>技术要求</w:t>
            </w:r>
          </w:p>
        </w:tc>
        <w:tc>
          <w:tcPr>
            <w:tcW w:w="682" w:type="dxa"/>
            <w:vAlign w:val="center"/>
          </w:tcPr>
          <w:p>
            <w:pPr>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8</w:t>
            </w:r>
          </w:p>
        </w:tc>
        <w:tc>
          <w:tcPr>
            <w:tcW w:w="4715" w:type="dxa"/>
          </w:tcPr>
          <w:p>
            <w:pP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除上述项次外，</w:t>
            </w:r>
            <w:r>
              <w:rPr>
                <w:rFonts w:hint="default" w:ascii="Times New Roman" w:hAnsi="Times New Roman" w:cs="Times New Roman" w:eastAsiaTheme="minorEastAsia"/>
                <w:color w:val="auto"/>
                <w:sz w:val="21"/>
                <w:szCs w:val="21"/>
                <w:highlight w:val="none"/>
              </w:rPr>
              <w:t>在现场抽检及系统数据核查中，未按</w:t>
            </w:r>
            <w:r>
              <w:rPr>
                <w:rFonts w:hint="default" w:ascii="Times New Roman" w:hAnsi="Times New Roman" w:cs="Times New Roman" w:eastAsiaTheme="minorEastAsia"/>
                <w:color w:val="auto"/>
                <w:sz w:val="21"/>
                <w:szCs w:val="21"/>
                <w:highlight w:val="none"/>
                <w:lang w:val="en-US" w:eastAsia="zh-CN"/>
              </w:rPr>
              <w:t>招标文件进行</w:t>
            </w:r>
            <w:r>
              <w:rPr>
                <w:rFonts w:hint="default" w:ascii="Times New Roman" w:hAnsi="Times New Roman" w:cs="Times New Roman" w:eastAsiaTheme="minorEastAsia"/>
                <w:color w:val="auto"/>
                <w:sz w:val="21"/>
                <w:szCs w:val="21"/>
                <w:highlight w:val="none"/>
              </w:rPr>
              <w:t>监测的，每次扣2分。</w:t>
            </w:r>
          </w:p>
        </w:tc>
        <w:tc>
          <w:tcPr>
            <w:tcW w:w="1117" w:type="dxa"/>
          </w:tcPr>
          <w:p>
            <w:pPr>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eastAsia" w:ascii="Times New Roman" w:hAnsi="Times New Roman" w:cs="Times New Roman" w:eastAsiaTheme="minorEastAsia"/>
                <w:b/>
                <w:bCs/>
                <w:sz w:val="21"/>
                <w:szCs w:val="21"/>
                <w:highlight w:val="none"/>
                <w:lang w:val="en-US" w:eastAsia="zh-CN"/>
              </w:rPr>
            </w:pPr>
            <w:r>
              <w:rPr>
                <w:rFonts w:hint="eastAsia" w:ascii="Times New Roman" w:hAnsi="Times New Roman" w:cs="Times New Roman" w:eastAsiaTheme="minorEastAsia"/>
                <w:b/>
                <w:bCs/>
                <w:sz w:val="21"/>
                <w:szCs w:val="21"/>
                <w:highlight w:val="none"/>
                <w:lang w:val="en-US" w:eastAsia="zh-CN"/>
              </w:rPr>
              <w:t>9</w:t>
            </w:r>
          </w:p>
        </w:tc>
        <w:tc>
          <w:tcPr>
            <w:tcW w:w="1512" w:type="dxa"/>
            <w:vAlign w:val="center"/>
          </w:tcPr>
          <w:p>
            <w:pPr>
              <w:jc w:val="center"/>
              <w:rPr>
                <w:rFonts w:hint="default" w:ascii="Times New Roman" w:hAnsi="Times New Roman" w:cs="Times New Roman" w:eastAsiaTheme="minorEastAsia"/>
                <w:b/>
                <w:bCs/>
                <w:color w:val="auto"/>
                <w:sz w:val="21"/>
                <w:szCs w:val="21"/>
                <w:highlight w:val="none"/>
                <w:lang w:val="en-US" w:eastAsia="zh-CN"/>
              </w:rPr>
            </w:pPr>
            <w:r>
              <w:rPr>
                <w:rFonts w:hint="eastAsia" w:ascii="Times New Roman" w:hAnsi="Times New Roman" w:cs="Times New Roman" w:eastAsiaTheme="minorEastAsia"/>
                <w:b/>
                <w:bCs/>
                <w:color w:val="auto"/>
                <w:sz w:val="21"/>
                <w:szCs w:val="21"/>
                <w:highlight w:val="none"/>
                <w:lang w:val="en-US" w:eastAsia="zh-CN"/>
              </w:rPr>
              <w:t>系统管理</w:t>
            </w:r>
          </w:p>
        </w:tc>
        <w:tc>
          <w:tcPr>
            <w:tcW w:w="682" w:type="dxa"/>
            <w:vAlign w:val="center"/>
          </w:tcPr>
          <w:p>
            <w:pPr>
              <w:jc w:val="center"/>
              <w:rPr>
                <w:rFonts w:hint="eastAsia" w:ascii="Times New Roman" w:hAnsi="Times New Roman" w:cs="Times New Roman" w:eastAsiaTheme="minorEastAsia"/>
                <w:b/>
                <w:bCs/>
                <w:color w:val="auto"/>
                <w:sz w:val="21"/>
                <w:szCs w:val="21"/>
                <w:highlight w:val="none"/>
                <w:lang w:val="en-US" w:eastAsia="zh-CN"/>
              </w:rPr>
            </w:pPr>
            <w:r>
              <w:rPr>
                <w:rFonts w:hint="eastAsia" w:ascii="Times New Roman" w:hAnsi="Times New Roman" w:cs="Times New Roman" w:eastAsiaTheme="minorEastAsia"/>
                <w:b/>
                <w:bCs/>
                <w:color w:val="auto"/>
                <w:sz w:val="21"/>
                <w:szCs w:val="21"/>
                <w:highlight w:val="none"/>
                <w:lang w:val="en-US" w:eastAsia="zh-CN"/>
              </w:rPr>
              <w:t>4</w:t>
            </w:r>
          </w:p>
        </w:tc>
        <w:tc>
          <w:tcPr>
            <w:tcW w:w="4715" w:type="dxa"/>
          </w:tcPr>
          <w:p>
            <w:pPr>
              <w:rPr>
                <w:rFonts w:hint="default" w:ascii="Times New Roman" w:hAnsi="Times New Roman" w:cs="Times New Roman" w:eastAsiaTheme="minorEastAsia"/>
                <w:b/>
                <w:bCs/>
                <w:color w:val="auto"/>
                <w:sz w:val="21"/>
                <w:szCs w:val="21"/>
                <w:highlight w:val="none"/>
                <w:lang w:val="en-US" w:eastAsia="zh-CN"/>
              </w:rPr>
            </w:pPr>
            <w:r>
              <w:rPr>
                <w:rFonts w:hint="eastAsia"/>
                <w:b/>
                <w:bCs/>
                <w:highlight w:val="none"/>
                <w:lang w:val="en-US" w:eastAsia="zh-CN"/>
              </w:rPr>
              <w:t>合同期满后未预留能与其他系统兼容的端口或未将本项目所有数据资料导出移交给甲方的，扣4分并没收全部履约保证金及取消下年度服务资格。</w:t>
            </w:r>
          </w:p>
        </w:tc>
        <w:tc>
          <w:tcPr>
            <w:tcW w:w="1117" w:type="dxa"/>
          </w:tcPr>
          <w:p>
            <w:pPr>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6" w:type="dxa"/>
            <w:vAlign w:val="center"/>
          </w:tcPr>
          <w:p>
            <w:pPr>
              <w:jc w:val="center"/>
              <w:rPr>
                <w:rFonts w:hint="default"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10</w:t>
            </w:r>
          </w:p>
        </w:tc>
        <w:tc>
          <w:tcPr>
            <w:tcW w:w="1512"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合计</w:t>
            </w:r>
          </w:p>
        </w:tc>
        <w:tc>
          <w:tcPr>
            <w:tcW w:w="682"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100</w:t>
            </w:r>
          </w:p>
        </w:tc>
        <w:tc>
          <w:tcPr>
            <w:tcW w:w="4715" w:type="dxa"/>
            <w:vAlign w:val="center"/>
          </w:tcPr>
          <w:p>
            <w:pPr>
              <w:rPr>
                <w:rFonts w:hint="default" w:ascii="Times New Roman" w:hAnsi="Times New Roman" w:cs="Times New Roman" w:eastAsiaTheme="minorEastAsia"/>
                <w:sz w:val="21"/>
                <w:szCs w:val="21"/>
                <w:highlight w:val="none"/>
              </w:rPr>
            </w:pPr>
          </w:p>
        </w:tc>
        <w:tc>
          <w:tcPr>
            <w:tcW w:w="1117" w:type="dxa"/>
            <w:vAlign w:val="center"/>
          </w:tcPr>
          <w:p>
            <w:pPr>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32" w:type="dxa"/>
            <w:gridSpan w:val="5"/>
            <w:vAlign w:val="center"/>
          </w:tcPr>
          <w:p>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auto"/>
                <w:sz w:val="21"/>
                <w:szCs w:val="21"/>
                <w:highlight w:val="none"/>
              </w:rPr>
              <w:t>注：总分为80分（含）以上，本次考核成绩合格；总分为80分以下，本次考核成绩不合格。本考核周期为每季度1次，每个合同年度内考核4次。4次考核中，1次考核不合格的，将罚处第三方监测机构年度监测费的2%；2次考核不合格的，将罚处第三方监测机构年度监测费的5%；3次考核不合格的，将罚处第三方监测机构年度监测费的10%，</w:t>
            </w:r>
            <w:r>
              <w:rPr>
                <w:rFonts w:hint="eastAsia" w:ascii="Times New Roman" w:hAnsi="Times New Roman" w:cs="Times New Roman" w:eastAsiaTheme="minorEastAsia"/>
                <w:color w:val="auto"/>
                <w:sz w:val="21"/>
                <w:szCs w:val="21"/>
                <w:highlight w:val="none"/>
                <w:lang w:eastAsia="zh-Hans"/>
              </w:rPr>
              <w:t>并</w:t>
            </w:r>
            <w:r>
              <w:rPr>
                <w:rFonts w:hint="default" w:ascii="Times New Roman" w:hAnsi="Times New Roman" w:cs="Times New Roman" w:eastAsiaTheme="minorEastAsia"/>
                <w:color w:val="auto"/>
                <w:sz w:val="21"/>
                <w:szCs w:val="21"/>
                <w:highlight w:val="none"/>
              </w:rPr>
              <w:t>取消</w:t>
            </w:r>
            <w:r>
              <w:rPr>
                <w:rFonts w:hint="eastAsia" w:ascii="Times New Roman" w:hAnsi="Times New Roman" w:cs="Times New Roman" w:eastAsiaTheme="minorEastAsia"/>
                <w:color w:val="auto"/>
                <w:sz w:val="21"/>
                <w:szCs w:val="21"/>
                <w:highlight w:val="none"/>
                <w:lang w:eastAsia="zh-Hans"/>
              </w:rPr>
              <w:t>下一年</w:t>
            </w:r>
            <w:r>
              <w:rPr>
                <w:rFonts w:hint="eastAsia" w:asciiTheme="minorEastAsia" w:hAnsiTheme="minorEastAsia" w:eastAsiaTheme="minorEastAsia" w:cstheme="minorEastAsia"/>
                <w:color w:val="auto"/>
                <w:sz w:val="21"/>
                <w:szCs w:val="21"/>
                <w:highlight w:val="none"/>
                <w:lang w:eastAsia="zh-Hans"/>
              </w:rPr>
              <w:t>度</w:t>
            </w:r>
            <w:r>
              <w:rPr>
                <w:rFonts w:hint="eastAsia" w:asciiTheme="minorEastAsia" w:hAnsiTheme="minorEastAsia" w:eastAsiaTheme="minorEastAsia" w:cstheme="minorEastAsia"/>
                <w:color w:val="auto"/>
                <w:sz w:val="21"/>
                <w:szCs w:val="21"/>
                <w:highlight w:val="none"/>
              </w:rPr>
              <w:t>第三方监测机构的服务资格。</w:t>
            </w:r>
            <w:r>
              <w:rPr>
                <w:rFonts w:hint="eastAsia" w:asciiTheme="minorEastAsia" w:hAnsiTheme="minorEastAsia" w:eastAsiaTheme="minorEastAsia" w:cstheme="minorEastAsia"/>
                <w:color w:val="auto"/>
                <w:sz w:val="21"/>
                <w:szCs w:val="21"/>
                <w:highlight w:val="none"/>
                <w:lang w:eastAsia="zh-Hans"/>
              </w:rPr>
              <w:t>本项目的考核单位为</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舟山市定海区住房和城乡建设局</w:t>
            </w:r>
            <w:r>
              <w:rPr>
                <w:rFonts w:hint="default"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p>
        </w:tc>
      </w:tr>
    </w:tbl>
    <w:p>
      <w:pPr>
        <w:spacing w:line="440" w:lineRule="exact"/>
        <w:ind w:firstLine="420" w:firstLineChars="200"/>
        <w:contextualSpacing/>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（二）中标人在服务过程中给业主、居民等造成的损失，由中标人承担。如因中标人的行为致不特定主体向招标人求偿并给招标人造成损失的，招标人有权直接向中标人追偿。</w:t>
      </w:r>
    </w:p>
    <w:p>
      <w:pPr>
        <w:spacing w:line="480" w:lineRule="exact"/>
        <w:rPr>
          <w:rFonts w:hint="default" w:ascii="Times New Roman" w:hAnsi="Times New Roman" w:cs="Times New Roman"/>
          <w:b/>
          <w:kern w:val="0"/>
          <w:szCs w:val="21"/>
          <w:highlight w:val="none"/>
        </w:rPr>
      </w:pPr>
      <w:r>
        <w:rPr>
          <w:rFonts w:hint="default" w:ascii="Times New Roman" w:hAnsi="Times New Roman" w:cs="Times New Roman"/>
          <w:b/>
          <w:szCs w:val="21"/>
          <w:highlight w:val="none"/>
        </w:rPr>
        <w:t>五、成果文件要求</w:t>
      </w:r>
    </w:p>
    <w:p>
      <w:pPr>
        <w:spacing w:line="480" w:lineRule="exact"/>
        <w:ind w:firstLine="42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中标人应按国家规定和合同约定的技术规范、标准进行监测服务。并按要求向招标人交付监测服务文件。具体要求如下：</w:t>
      </w:r>
    </w:p>
    <w:tbl>
      <w:tblPr>
        <w:tblStyle w:val="2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3119"/>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noWrap w:val="0"/>
            <w:vAlign w:val="center"/>
          </w:tcPr>
          <w:p>
            <w:pPr>
              <w:spacing w:line="480" w:lineRule="exac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资料及文件名称</w:t>
            </w:r>
          </w:p>
        </w:tc>
        <w:tc>
          <w:tcPr>
            <w:tcW w:w="3119" w:type="dxa"/>
            <w:noWrap w:val="0"/>
            <w:vAlign w:val="center"/>
          </w:tcPr>
          <w:p>
            <w:pPr>
              <w:spacing w:line="480" w:lineRule="exac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套数</w:t>
            </w:r>
          </w:p>
        </w:tc>
        <w:tc>
          <w:tcPr>
            <w:tcW w:w="2969" w:type="dxa"/>
            <w:noWrap w:val="0"/>
            <w:vAlign w:val="center"/>
          </w:tcPr>
          <w:p>
            <w:pPr>
              <w:spacing w:line="480" w:lineRule="exac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noWrap w:val="0"/>
            <w:vAlign w:val="center"/>
          </w:tcPr>
          <w:p>
            <w:pPr>
              <w:tabs>
                <w:tab w:val="left" w:pos="851"/>
              </w:tabs>
              <w:spacing w:line="4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房屋安全动态月度监测报告</w:t>
            </w:r>
          </w:p>
        </w:tc>
        <w:tc>
          <w:tcPr>
            <w:tcW w:w="3119" w:type="dxa"/>
            <w:noWrap w:val="0"/>
            <w:vAlign w:val="center"/>
          </w:tcPr>
          <w:p>
            <w:pPr>
              <w:tabs>
                <w:tab w:val="left" w:pos="851"/>
              </w:tabs>
              <w:spacing w:line="4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书面文本3套、电子文本1套</w:t>
            </w:r>
          </w:p>
        </w:tc>
        <w:tc>
          <w:tcPr>
            <w:tcW w:w="2969" w:type="dxa"/>
            <w:noWrap w:val="0"/>
            <w:vAlign w:val="center"/>
          </w:tcPr>
          <w:p>
            <w:pPr>
              <w:tabs>
                <w:tab w:val="left" w:pos="851"/>
              </w:tabs>
              <w:spacing w:line="4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每月度结束后1周内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noWrap w:val="0"/>
            <w:vAlign w:val="center"/>
          </w:tcPr>
          <w:p>
            <w:pPr>
              <w:tabs>
                <w:tab w:val="left" w:pos="851"/>
              </w:tabs>
              <w:spacing w:line="4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房屋安全动态季度监测报告</w:t>
            </w:r>
          </w:p>
        </w:tc>
        <w:tc>
          <w:tcPr>
            <w:tcW w:w="3119" w:type="dxa"/>
            <w:noWrap w:val="0"/>
            <w:vAlign w:val="center"/>
          </w:tcPr>
          <w:p>
            <w:pPr>
              <w:tabs>
                <w:tab w:val="left" w:pos="851"/>
              </w:tabs>
              <w:spacing w:line="4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书面文本3套、电子文本1套</w:t>
            </w:r>
          </w:p>
        </w:tc>
        <w:tc>
          <w:tcPr>
            <w:tcW w:w="2969" w:type="dxa"/>
            <w:noWrap w:val="0"/>
            <w:vAlign w:val="center"/>
          </w:tcPr>
          <w:p>
            <w:pPr>
              <w:tabs>
                <w:tab w:val="left" w:pos="851"/>
              </w:tabs>
              <w:spacing w:line="4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每季度结束后2周内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noWrap w:val="0"/>
            <w:vAlign w:val="center"/>
          </w:tcPr>
          <w:p>
            <w:pPr>
              <w:tabs>
                <w:tab w:val="left" w:pos="851"/>
              </w:tabs>
              <w:spacing w:line="4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房屋安全动态年度监测报告</w:t>
            </w:r>
          </w:p>
        </w:tc>
        <w:tc>
          <w:tcPr>
            <w:tcW w:w="3119" w:type="dxa"/>
            <w:noWrap w:val="0"/>
            <w:vAlign w:val="center"/>
          </w:tcPr>
          <w:p>
            <w:pPr>
              <w:tabs>
                <w:tab w:val="left" w:pos="851"/>
              </w:tabs>
              <w:spacing w:line="4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书面文本3套、电子文本1套</w:t>
            </w:r>
          </w:p>
        </w:tc>
        <w:tc>
          <w:tcPr>
            <w:tcW w:w="2969" w:type="dxa"/>
            <w:noWrap w:val="0"/>
            <w:vAlign w:val="center"/>
          </w:tcPr>
          <w:p>
            <w:pPr>
              <w:tabs>
                <w:tab w:val="left" w:pos="851"/>
              </w:tabs>
              <w:spacing w:line="4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合同期结束后30日内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noWrap w:val="0"/>
            <w:vAlign w:val="center"/>
          </w:tcPr>
          <w:p>
            <w:pPr>
              <w:tabs>
                <w:tab w:val="left" w:pos="851"/>
              </w:tabs>
              <w:spacing w:line="240" w:lineRule="auto"/>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服务期结束后本项目所有数据资料</w:t>
            </w:r>
          </w:p>
        </w:tc>
        <w:tc>
          <w:tcPr>
            <w:tcW w:w="3119" w:type="dxa"/>
            <w:noWrap w:val="0"/>
            <w:vAlign w:val="center"/>
          </w:tcPr>
          <w:p>
            <w:pPr>
              <w:tabs>
                <w:tab w:val="left" w:pos="851"/>
              </w:tabs>
              <w:spacing w:line="48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Cs w:val="21"/>
                <w:highlight w:val="none"/>
              </w:rPr>
              <w:t>电子文本1套</w:t>
            </w:r>
          </w:p>
        </w:tc>
        <w:tc>
          <w:tcPr>
            <w:tcW w:w="2969" w:type="dxa"/>
            <w:noWrap w:val="0"/>
            <w:vAlign w:val="center"/>
          </w:tcPr>
          <w:p>
            <w:pPr>
              <w:tabs>
                <w:tab w:val="left" w:pos="851"/>
              </w:tabs>
              <w:spacing w:line="48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Cs w:val="21"/>
                <w:highlight w:val="none"/>
              </w:rPr>
              <w:t>合同期结束后</w:t>
            </w:r>
            <w:r>
              <w:rPr>
                <w:rFonts w:hint="eastAsia" w:ascii="Times New Roman" w:hAnsi="Times New Roman" w:cs="Times New Roman"/>
                <w:szCs w:val="21"/>
                <w:highlight w:val="none"/>
                <w:lang w:val="en-US" w:eastAsia="zh-CN"/>
              </w:rPr>
              <w:t>15</w:t>
            </w:r>
            <w:r>
              <w:rPr>
                <w:rFonts w:hint="default" w:ascii="Times New Roman" w:hAnsi="Times New Roman" w:cs="Times New Roman"/>
                <w:szCs w:val="21"/>
                <w:highlight w:val="none"/>
              </w:rPr>
              <w:t>日内</w:t>
            </w:r>
          </w:p>
        </w:tc>
      </w:tr>
    </w:tbl>
    <w:p>
      <w:pPr>
        <w:spacing w:line="440" w:lineRule="exact"/>
        <w:contextualSpacing/>
        <w:rPr>
          <w:rFonts w:hint="default" w:ascii="Times New Roman" w:hAnsi="Times New Roman" w:eastAsia="宋体" w:cs="Times New Roman"/>
          <w:b/>
          <w:kern w:val="0"/>
          <w:szCs w:val="21"/>
          <w:highlight w:val="none"/>
          <w:lang w:val="en-US" w:eastAsia="zh-CN"/>
        </w:rPr>
      </w:pPr>
      <w:r>
        <w:rPr>
          <w:rFonts w:hint="default" w:ascii="Times New Roman" w:hAnsi="Times New Roman" w:eastAsia="宋体" w:cs="Times New Roman"/>
          <w:b/>
          <w:kern w:val="0"/>
          <w:szCs w:val="21"/>
          <w:highlight w:val="none"/>
          <w:lang w:val="en-US" w:eastAsia="zh-CN"/>
        </w:rPr>
        <w:t>六、其他相关要求</w:t>
      </w:r>
    </w:p>
    <w:p>
      <w:pPr>
        <w:spacing w:line="480" w:lineRule="exact"/>
        <w:ind w:firstLine="420"/>
        <w:rPr>
          <w:rFonts w:hint="default" w:ascii="Times New Roman" w:hAnsi="Times New Roman" w:cs="Times New Roman"/>
          <w:b/>
          <w:bCs/>
          <w:color w:val="000000"/>
          <w:szCs w:val="21"/>
          <w:highlight w:val="none"/>
        </w:rPr>
      </w:pPr>
      <w:r>
        <w:rPr>
          <w:rFonts w:hint="default" w:ascii="Times New Roman" w:hAnsi="Times New Roman" w:cs="Times New Roman"/>
          <w:color w:val="000000"/>
          <w:szCs w:val="21"/>
          <w:highlight w:val="none"/>
        </w:rPr>
        <w:t>▲</w:t>
      </w:r>
      <w:r>
        <w:rPr>
          <w:rFonts w:hint="default" w:ascii="Times New Roman" w:hAnsi="Times New Roman" w:cs="Times New Roman"/>
          <w:b/>
          <w:bCs/>
          <w:color w:val="000000"/>
          <w:szCs w:val="21"/>
          <w:highlight w:val="none"/>
        </w:rPr>
        <w:t>1、中标单位需对居民及社区反映有关房屋安全的信访和投诉类情况进行现场勘查，并出具相关报告（报告期限为甲方通知受理之日起2个工作日内）；</w:t>
      </w:r>
    </w:p>
    <w:p>
      <w:pPr>
        <w:spacing w:line="480" w:lineRule="exact"/>
        <w:ind w:firstLine="420"/>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▲2、中标单位必须在定海区驻点，安排常驻工作人员2人以上。需24小时提供技术支持，全天候处理突发事件并随时到达采购人指定地点，接到采购人通知后，30分钟内做出回应，1小时内到达现场。</w:t>
      </w:r>
    </w:p>
    <w:p>
      <w:pPr>
        <w:spacing w:line="480" w:lineRule="exact"/>
        <w:ind w:firstLine="420"/>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▲3、其他涉及危房工作开展，中标单位应无条件服从主管部门安排的工作。</w:t>
      </w:r>
    </w:p>
    <w:p>
      <w:pPr>
        <w:spacing w:line="480" w:lineRule="exact"/>
        <w:ind w:firstLine="420"/>
        <w:rPr>
          <w:rFonts w:hint="default" w:ascii="Times New Roman" w:hAnsi="Times New Roman" w:cs="Times New Roman"/>
          <w:b/>
          <w:bCs/>
          <w:color w:val="000000"/>
          <w:highlight w:val="none"/>
        </w:rPr>
      </w:pPr>
      <w:r>
        <w:rPr>
          <w:rFonts w:hint="default" w:ascii="Times New Roman" w:hAnsi="Times New Roman" w:cs="Times New Roman"/>
          <w:b/>
          <w:bCs/>
          <w:color w:val="000000"/>
          <w:szCs w:val="21"/>
          <w:highlight w:val="none"/>
        </w:rPr>
        <w:t>注：以上内容投标单位须提供承诺书，并加盖公章</w:t>
      </w:r>
      <w:r>
        <w:rPr>
          <w:rFonts w:hint="default" w:ascii="Times New Roman" w:hAnsi="Times New Roman" w:cs="Times New Roman"/>
          <w:b/>
          <w:bCs/>
          <w:color w:val="000000"/>
          <w:highlight w:val="none"/>
        </w:rPr>
        <w:t>。</w:t>
      </w:r>
    </w:p>
    <w:p>
      <w:pPr>
        <w:spacing w:line="440" w:lineRule="exact"/>
        <w:contextualSpacing/>
        <w:rPr>
          <w:rFonts w:hint="default" w:ascii="Times New Roman" w:hAnsi="Times New Roman" w:eastAsia="宋体" w:cs="Times New Roman"/>
          <w:b/>
          <w:kern w:val="0"/>
          <w:szCs w:val="21"/>
          <w:highlight w:val="none"/>
          <w:lang w:val="en-US" w:eastAsia="zh-CN"/>
        </w:rPr>
      </w:pPr>
      <w:r>
        <w:rPr>
          <w:rFonts w:hint="default" w:ascii="Times New Roman" w:hAnsi="Times New Roman" w:eastAsia="宋体" w:cs="Times New Roman"/>
          <w:b/>
          <w:kern w:val="0"/>
          <w:szCs w:val="21"/>
          <w:highlight w:val="none"/>
          <w:lang w:val="en-US" w:eastAsia="zh-CN"/>
        </w:rPr>
        <w:t>七、</w:t>
      </w:r>
      <w:r>
        <w:rPr>
          <w:rFonts w:hint="default" w:ascii="Times New Roman" w:hAnsi="Times New Roman" w:cs="Times New Roman"/>
          <w:b/>
          <w:kern w:val="0"/>
          <w:szCs w:val="21"/>
          <w:highlight w:val="none"/>
          <w:lang w:val="en-US" w:eastAsia="zh-CN"/>
        </w:rPr>
        <w:t>本项目</w:t>
      </w:r>
      <w:r>
        <w:rPr>
          <w:rFonts w:hint="default" w:ascii="Times New Roman" w:hAnsi="Times New Roman" w:eastAsia="宋体" w:cs="Times New Roman"/>
          <w:b/>
          <w:kern w:val="0"/>
          <w:szCs w:val="21"/>
          <w:highlight w:val="none"/>
          <w:lang w:val="en-US" w:eastAsia="zh-CN"/>
        </w:rPr>
        <w:t>费用限价</w:t>
      </w:r>
    </w:p>
    <w:p>
      <w:pPr>
        <w:spacing w:line="480" w:lineRule="exact"/>
        <w:ind w:firstLine="42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1、人工</w:t>
      </w:r>
      <w:r>
        <w:rPr>
          <w:rFonts w:hint="default" w:ascii="Times New Roman" w:hAnsi="Times New Roman" w:cs="Times New Roman"/>
          <w:color w:val="000000"/>
          <w:szCs w:val="21"/>
          <w:highlight w:val="none"/>
          <w:lang w:val="en-US" w:eastAsia="zh-CN"/>
        </w:rPr>
        <w:t>动态</w:t>
      </w:r>
      <w:r>
        <w:rPr>
          <w:rFonts w:hint="default" w:ascii="Times New Roman" w:hAnsi="Times New Roman" w:cs="Times New Roman"/>
          <w:color w:val="000000"/>
          <w:szCs w:val="21"/>
          <w:highlight w:val="none"/>
        </w:rPr>
        <w:t>监测</w:t>
      </w:r>
      <w:r>
        <w:rPr>
          <w:rFonts w:hint="default"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lang w:val="en-US" w:eastAsia="zh-CN"/>
        </w:rPr>
        <w:t>内容为本节二、服务要求中</w:t>
      </w:r>
      <w:r>
        <w:rPr>
          <w:rFonts w:hint="default" w:ascii="Times New Roman" w:hAnsi="Times New Roman" w:cs="Times New Roman"/>
          <w:szCs w:val="22"/>
          <w:highlight w:val="none"/>
        </w:rPr>
        <w:t>①②③④⑤</w:t>
      </w:r>
      <w:r>
        <w:rPr>
          <w:rFonts w:hint="default" w:ascii="Times New Roman" w:hAnsi="Times New Roman" w:eastAsia="宋体" w:cs="Times New Roman"/>
          <w:color w:val="000000"/>
          <w:szCs w:val="21"/>
          <w:highlight w:val="none"/>
        </w:rPr>
        <w:t>⑥</w:t>
      </w:r>
      <w:r>
        <w:rPr>
          <w:rFonts w:hint="default"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rPr>
        <w:t>：总幢数544幢，</w:t>
      </w:r>
      <w:r>
        <w:rPr>
          <w:rFonts w:hint="default" w:ascii="Times New Roman" w:hAnsi="Times New Roman" w:cs="Times New Roman"/>
          <w:b/>
          <w:bCs/>
          <w:color w:val="000000"/>
          <w:szCs w:val="21"/>
          <w:highlight w:val="none"/>
        </w:rPr>
        <w:t>▲每幢</w:t>
      </w:r>
      <w:r>
        <w:rPr>
          <w:rFonts w:hint="default" w:ascii="Times New Roman" w:hAnsi="Times New Roman" w:cs="Times New Roman"/>
          <w:b/>
          <w:bCs/>
          <w:color w:val="000000"/>
          <w:szCs w:val="21"/>
          <w:highlight w:val="none"/>
          <w:lang w:val="en-US" w:eastAsia="zh-CN"/>
        </w:rPr>
        <w:t>限价</w:t>
      </w:r>
      <w:r>
        <w:rPr>
          <w:rFonts w:hint="default" w:ascii="Times New Roman" w:hAnsi="Times New Roman" w:cs="Times New Roman"/>
          <w:b/>
          <w:bCs/>
          <w:color w:val="000000"/>
          <w:szCs w:val="21"/>
          <w:highlight w:val="none"/>
        </w:rPr>
        <w:t>3000元，</w:t>
      </w:r>
      <w:r>
        <w:rPr>
          <w:rFonts w:hint="eastAsia" w:ascii="Times New Roman" w:hAnsi="Times New Roman" w:cs="Times New Roman"/>
          <w:b/>
          <w:bCs/>
          <w:color w:val="000000"/>
          <w:szCs w:val="21"/>
          <w:highlight w:val="none"/>
          <w:lang w:val="en-US" w:eastAsia="zh-CN"/>
        </w:rPr>
        <w:t>年度</w:t>
      </w:r>
      <w:r>
        <w:rPr>
          <w:rFonts w:hint="default" w:ascii="Times New Roman" w:hAnsi="Times New Roman" w:cs="Times New Roman"/>
          <w:b/>
          <w:bCs/>
          <w:color w:val="000000"/>
          <w:szCs w:val="21"/>
          <w:highlight w:val="none"/>
          <w:lang w:val="en-US" w:eastAsia="zh-CN"/>
        </w:rPr>
        <w:t>总价</w:t>
      </w:r>
      <w:r>
        <w:rPr>
          <w:rFonts w:hint="default" w:ascii="Times New Roman" w:hAnsi="Times New Roman" w:cs="Times New Roman"/>
          <w:b/>
          <w:bCs/>
          <w:color w:val="000000"/>
          <w:szCs w:val="21"/>
          <w:highlight w:val="none"/>
        </w:rPr>
        <w:t>限价163.2万元</w:t>
      </w:r>
      <w:r>
        <w:rPr>
          <w:rFonts w:hint="default" w:ascii="Times New Roman" w:hAnsi="Times New Roman" w:cs="Times New Roman"/>
          <w:color w:val="000000"/>
          <w:szCs w:val="21"/>
          <w:highlight w:val="none"/>
        </w:rPr>
        <w:t>（最终监测费用以实际监测幢数和监测月份</w:t>
      </w:r>
      <w:r>
        <w:rPr>
          <w:rFonts w:hint="default" w:ascii="Times New Roman" w:hAnsi="Times New Roman" w:eastAsia="宋体" w:cs="Times New Roman"/>
          <w:kern w:val="0"/>
          <w:szCs w:val="21"/>
          <w:highlight w:val="none"/>
        </w:rPr>
        <w:t>结算</w:t>
      </w:r>
      <w:r>
        <w:rPr>
          <w:rFonts w:hint="default" w:ascii="Times New Roman" w:hAnsi="Times New Roman" w:cs="Times New Roman"/>
          <w:color w:val="000000"/>
          <w:szCs w:val="21"/>
          <w:highlight w:val="none"/>
        </w:rPr>
        <w:t>）。</w:t>
      </w:r>
    </w:p>
    <w:tbl>
      <w:tblPr>
        <w:tblStyle w:val="28"/>
        <w:tblW w:w="6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3092"/>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tcPr>
          <w:p>
            <w:pPr>
              <w:spacing w:before="60" w:beforeLines="25" w:after="60" w:afterLines="25"/>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街道</w:t>
            </w:r>
          </w:p>
        </w:tc>
        <w:tc>
          <w:tcPr>
            <w:tcW w:w="3092" w:type="dxa"/>
          </w:tcPr>
          <w:p>
            <w:pPr>
              <w:spacing w:before="60" w:beforeLines="25" w:after="60" w:afterLines="25"/>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人工监测</w:t>
            </w:r>
          </w:p>
        </w:tc>
        <w:tc>
          <w:tcPr>
            <w:tcW w:w="1649" w:type="dxa"/>
          </w:tcPr>
          <w:p>
            <w:pPr>
              <w:spacing w:before="60" w:beforeLines="25" w:after="60" w:afterLines="25"/>
              <w:jc w:val="center"/>
              <w:rPr>
                <w:rFonts w:hint="default" w:ascii="Times New Roman" w:hAnsi="Times New Roman" w:cs="Times New Roman"/>
                <w:b/>
                <w:bCs/>
                <w:kern w:val="0"/>
                <w:szCs w:val="21"/>
                <w:highlight w:val="none"/>
              </w:rPr>
            </w:pPr>
            <w:r>
              <w:rPr>
                <w:rFonts w:hint="default" w:ascii="Times New Roman" w:hAnsi="Times New Roman" w:cs="Times New Roman"/>
                <w:b/>
                <w:bCs/>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vAlign w:val="center"/>
          </w:tcPr>
          <w:p>
            <w:pPr>
              <w:spacing w:before="60" w:beforeLines="25" w:after="60" w:afterLines="25"/>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城东街道</w:t>
            </w:r>
          </w:p>
        </w:tc>
        <w:tc>
          <w:tcPr>
            <w:tcW w:w="3092" w:type="dxa"/>
            <w:vAlign w:val="center"/>
          </w:tcPr>
          <w:p>
            <w:pPr>
              <w:spacing w:before="60" w:beforeLines="25" w:after="60" w:afterLines="25"/>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108</w:t>
            </w:r>
          </w:p>
        </w:tc>
        <w:tc>
          <w:tcPr>
            <w:tcW w:w="1649" w:type="dxa"/>
          </w:tcPr>
          <w:p>
            <w:pPr>
              <w:spacing w:before="60" w:beforeLines="25" w:after="60" w:afterLines="25"/>
              <w:jc w:val="center"/>
              <w:rPr>
                <w:rFonts w:hint="default" w:ascii="Times New Roman" w:hAnsi="Times New Roman"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vAlign w:val="center"/>
          </w:tcPr>
          <w:p>
            <w:pPr>
              <w:spacing w:before="60" w:beforeLines="25" w:after="60" w:afterLines="25"/>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环南街道</w:t>
            </w:r>
          </w:p>
        </w:tc>
        <w:tc>
          <w:tcPr>
            <w:tcW w:w="3092" w:type="dxa"/>
            <w:vAlign w:val="center"/>
          </w:tcPr>
          <w:p>
            <w:pPr>
              <w:spacing w:before="60" w:beforeLines="25" w:after="60" w:afterLines="25"/>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176</w:t>
            </w:r>
          </w:p>
        </w:tc>
        <w:tc>
          <w:tcPr>
            <w:tcW w:w="1649" w:type="dxa"/>
          </w:tcPr>
          <w:p>
            <w:pPr>
              <w:spacing w:before="60" w:beforeLines="25" w:after="60" w:afterLines="25"/>
              <w:jc w:val="center"/>
              <w:rPr>
                <w:rFonts w:hint="default" w:ascii="Times New Roman" w:hAnsi="Times New Roman"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vAlign w:val="center"/>
          </w:tcPr>
          <w:p>
            <w:pPr>
              <w:spacing w:before="60" w:beforeLines="25" w:after="60" w:afterLines="25"/>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昌国街道</w:t>
            </w:r>
          </w:p>
        </w:tc>
        <w:tc>
          <w:tcPr>
            <w:tcW w:w="3092" w:type="dxa"/>
            <w:vAlign w:val="center"/>
          </w:tcPr>
          <w:p>
            <w:pPr>
              <w:spacing w:before="60" w:beforeLines="25" w:after="60" w:afterLines="25"/>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245</w:t>
            </w:r>
          </w:p>
        </w:tc>
        <w:tc>
          <w:tcPr>
            <w:tcW w:w="1649" w:type="dxa"/>
          </w:tcPr>
          <w:p>
            <w:pPr>
              <w:spacing w:before="60" w:beforeLines="25" w:after="60" w:afterLines="25"/>
              <w:jc w:val="center"/>
              <w:rPr>
                <w:rFonts w:hint="default" w:ascii="Times New Roman" w:hAnsi="Times New Roman"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vAlign w:val="center"/>
          </w:tcPr>
          <w:p>
            <w:pPr>
              <w:spacing w:before="60" w:beforeLines="25" w:after="60" w:afterLines="25"/>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白泉镇</w:t>
            </w:r>
          </w:p>
        </w:tc>
        <w:tc>
          <w:tcPr>
            <w:tcW w:w="3092" w:type="dxa"/>
            <w:vAlign w:val="center"/>
          </w:tcPr>
          <w:p>
            <w:pPr>
              <w:spacing w:before="60" w:beforeLines="25" w:after="60" w:afterLines="25"/>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8</w:t>
            </w:r>
          </w:p>
        </w:tc>
        <w:tc>
          <w:tcPr>
            <w:tcW w:w="1649" w:type="dxa"/>
          </w:tcPr>
          <w:p>
            <w:pPr>
              <w:spacing w:before="60" w:beforeLines="25" w:after="60" w:afterLines="25"/>
              <w:jc w:val="center"/>
              <w:rPr>
                <w:rFonts w:hint="default" w:ascii="Times New Roman" w:hAnsi="Times New Roman"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vAlign w:val="center"/>
          </w:tcPr>
          <w:p>
            <w:pPr>
              <w:spacing w:before="60" w:beforeLines="25" w:after="60" w:afterLines="25"/>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小沙街道</w:t>
            </w:r>
          </w:p>
        </w:tc>
        <w:tc>
          <w:tcPr>
            <w:tcW w:w="3092" w:type="dxa"/>
            <w:vAlign w:val="center"/>
          </w:tcPr>
          <w:p>
            <w:pPr>
              <w:spacing w:before="60" w:beforeLines="25" w:after="60" w:afterLines="25"/>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1</w:t>
            </w:r>
          </w:p>
        </w:tc>
        <w:tc>
          <w:tcPr>
            <w:tcW w:w="1649" w:type="dxa"/>
          </w:tcPr>
          <w:p>
            <w:pPr>
              <w:spacing w:before="60" w:beforeLines="25" w:after="60" w:afterLines="25"/>
              <w:jc w:val="center"/>
              <w:rPr>
                <w:rFonts w:hint="default" w:ascii="Times New Roman" w:hAnsi="Times New Roman"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vAlign w:val="center"/>
          </w:tcPr>
          <w:p>
            <w:pPr>
              <w:spacing w:before="60" w:beforeLines="25" w:after="60" w:afterLines="25"/>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干览镇</w:t>
            </w:r>
          </w:p>
        </w:tc>
        <w:tc>
          <w:tcPr>
            <w:tcW w:w="3092" w:type="dxa"/>
            <w:vAlign w:val="center"/>
          </w:tcPr>
          <w:p>
            <w:pPr>
              <w:spacing w:before="60" w:beforeLines="25" w:after="60" w:afterLines="25"/>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w:t>
            </w:r>
          </w:p>
        </w:tc>
        <w:tc>
          <w:tcPr>
            <w:tcW w:w="1649" w:type="dxa"/>
          </w:tcPr>
          <w:p>
            <w:pPr>
              <w:spacing w:before="60" w:beforeLines="25" w:after="60" w:afterLines="25"/>
              <w:jc w:val="center"/>
              <w:rPr>
                <w:rFonts w:hint="default" w:ascii="Times New Roman" w:hAnsi="Times New Roman"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57" w:type="dxa"/>
            <w:vAlign w:val="center"/>
          </w:tcPr>
          <w:p>
            <w:pPr>
              <w:spacing w:before="60" w:beforeLines="25" w:after="60" w:afterLines="25"/>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岑港街道</w:t>
            </w:r>
          </w:p>
        </w:tc>
        <w:tc>
          <w:tcPr>
            <w:tcW w:w="3092" w:type="dxa"/>
            <w:vAlign w:val="center"/>
          </w:tcPr>
          <w:p>
            <w:pPr>
              <w:spacing w:before="60" w:beforeLines="25" w:after="60" w:afterLines="25"/>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w:t>
            </w:r>
          </w:p>
        </w:tc>
        <w:tc>
          <w:tcPr>
            <w:tcW w:w="1649" w:type="dxa"/>
          </w:tcPr>
          <w:p>
            <w:pPr>
              <w:spacing w:before="60" w:beforeLines="25" w:after="60" w:afterLines="25"/>
              <w:jc w:val="center"/>
              <w:rPr>
                <w:rFonts w:hint="default" w:ascii="Times New Roman" w:hAnsi="Times New Roman" w:cs="Times New Roman"/>
                <w:kern w:val="0"/>
                <w:szCs w:val="21"/>
                <w:highlight w:val="none"/>
              </w:rPr>
            </w:pPr>
          </w:p>
        </w:tc>
      </w:tr>
    </w:tbl>
    <w:p>
      <w:pPr>
        <w:spacing w:line="480" w:lineRule="exact"/>
        <w:ind w:firstLine="42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2、</w:t>
      </w:r>
      <w:r>
        <w:rPr>
          <w:rFonts w:hint="default" w:ascii="Times New Roman" w:hAnsi="Times New Roman" w:cs="Times New Roman"/>
          <w:szCs w:val="21"/>
          <w:highlight w:val="none"/>
        </w:rPr>
        <w:t>城镇房屋装修安全专项技术服务</w:t>
      </w:r>
      <w:r>
        <w:rPr>
          <w:rFonts w:hint="default"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lang w:val="en-US" w:eastAsia="zh-CN"/>
        </w:rPr>
        <w:t>内容为本节二、服务要求中</w:t>
      </w:r>
      <w:r>
        <w:rPr>
          <w:rFonts w:hint="default" w:ascii="Times New Roman" w:hAnsi="Times New Roman" w:cs="Times New Roman"/>
          <w:szCs w:val="22"/>
          <w:highlight w:val="none"/>
        </w:rPr>
        <w:t>⑦</w:t>
      </w:r>
      <w:r>
        <w:rPr>
          <w:rFonts w:hint="default"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年度</w:t>
      </w:r>
      <w:r>
        <w:rPr>
          <w:rFonts w:hint="eastAsia" w:ascii="Times New Roman" w:hAnsi="Times New Roman" w:cs="Times New Roman"/>
          <w:color w:val="000000"/>
          <w:szCs w:val="21"/>
          <w:highlight w:val="none"/>
          <w:lang w:val="en-US" w:eastAsia="zh-CN"/>
        </w:rPr>
        <w:t>装修</w:t>
      </w:r>
      <w:r>
        <w:rPr>
          <w:rFonts w:hint="default" w:ascii="Times New Roman" w:hAnsi="Times New Roman" w:cs="Times New Roman"/>
          <w:color w:val="000000"/>
          <w:szCs w:val="21"/>
          <w:highlight w:val="none"/>
          <w:lang w:val="en-US" w:eastAsia="zh-CN"/>
        </w:rPr>
        <w:t>备案巡查</w:t>
      </w:r>
      <w:r>
        <w:rPr>
          <w:rFonts w:hint="eastAsia" w:hAnsi="宋体" w:cs="宋体"/>
          <w:color w:val="auto"/>
          <w:highlight w:val="none"/>
        </w:rPr>
        <w:t>对象为全</w:t>
      </w:r>
      <w:r>
        <w:rPr>
          <w:rFonts w:hint="eastAsia" w:hAnsi="宋体" w:cs="宋体"/>
          <w:color w:val="auto"/>
          <w:highlight w:val="none"/>
          <w:lang w:val="en-US" w:eastAsia="zh-CN"/>
        </w:rPr>
        <w:t>区</w:t>
      </w:r>
      <w:r>
        <w:rPr>
          <w:rFonts w:hint="eastAsia" w:hAnsi="宋体" w:cs="宋体"/>
          <w:color w:val="auto"/>
          <w:highlight w:val="none"/>
        </w:rPr>
        <w:t>范围内应备案装修行为，备案</w:t>
      </w:r>
      <w:r>
        <w:rPr>
          <w:rFonts w:hint="eastAsia" w:hAnsi="宋体" w:cs="宋体"/>
          <w:color w:val="auto"/>
          <w:highlight w:val="none"/>
          <w:lang w:val="en-US" w:eastAsia="zh-CN"/>
        </w:rPr>
        <w:t>暂定</w:t>
      </w:r>
      <w:r>
        <w:rPr>
          <w:rFonts w:hint="eastAsia" w:hAnsi="宋体" w:cs="宋体"/>
          <w:color w:val="auto"/>
          <w:highlight w:val="none"/>
        </w:rPr>
        <w:t>数量</w:t>
      </w:r>
      <w:r>
        <w:rPr>
          <w:rFonts w:hint="eastAsia" w:hAnsi="宋体" w:cs="宋体"/>
          <w:color w:val="auto"/>
          <w:highlight w:val="none"/>
          <w:lang w:val="en-US" w:eastAsia="zh-CN"/>
        </w:rPr>
        <w:t>为1000户/年，</w:t>
      </w:r>
      <w:r>
        <w:rPr>
          <w:rFonts w:hint="eastAsia" w:hAnsi="宋体" w:cs="宋体"/>
          <w:color w:val="auto"/>
          <w:highlight w:val="none"/>
        </w:rPr>
        <w:t>超过</w:t>
      </w:r>
      <w:r>
        <w:rPr>
          <w:rFonts w:hint="eastAsia" w:hAnsi="宋体" w:cs="宋体"/>
          <w:color w:val="auto"/>
          <w:highlight w:val="none"/>
          <w:lang w:val="en-US" w:eastAsia="zh-CN"/>
        </w:rPr>
        <w:t>1000户/年</w:t>
      </w:r>
      <w:r>
        <w:rPr>
          <w:rFonts w:hint="eastAsia" w:hAnsi="宋体" w:cs="宋体"/>
          <w:color w:val="auto"/>
          <w:highlight w:val="none"/>
        </w:rPr>
        <w:t>的，服务费不予追加。</w:t>
      </w:r>
      <w:r>
        <w:rPr>
          <w:rFonts w:hint="default" w:ascii="Times New Roman" w:hAnsi="Times New Roman" w:cs="Times New Roman"/>
          <w:b/>
          <w:bCs/>
          <w:color w:val="000000"/>
          <w:szCs w:val="21"/>
          <w:highlight w:val="none"/>
        </w:rPr>
        <w:t>▲每</w:t>
      </w:r>
      <w:r>
        <w:rPr>
          <w:rFonts w:hint="default" w:ascii="Times New Roman" w:hAnsi="Times New Roman" w:cs="Times New Roman"/>
          <w:b/>
          <w:bCs/>
          <w:color w:val="000000"/>
          <w:szCs w:val="21"/>
          <w:highlight w:val="none"/>
          <w:lang w:val="en-US" w:eastAsia="zh-CN"/>
        </w:rPr>
        <w:t>户</w:t>
      </w:r>
      <w:r>
        <w:rPr>
          <w:rFonts w:hint="eastAsia" w:ascii="Times New Roman" w:hAnsi="Times New Roman" w:cs="Times New Roman"/>
          <w:b/>
          <w:bCs/>
          <w:color w:val="000000"/>
          <w:szCs w:val="21"/>
          <w:highlight w:val="none"/>
          <w:lang w:val="en-US" w:eastAsia="zh-CN"/>
        </w:rPr>
        <w:t>最高</w:t>
      </w:r>
      <w:r>
        <w:rPr>
          <w:rFonts w:hint="default" w:ascii="Times New Roman" w:hAnsi="Times New Roman" w:cs="Times New Roman"/>
          <w:b/>
          <w:bCs/>
          <w:color w:val="000000"/>
          <w:szCs w:val="21"/>
          <w:highlight w:val="none"/>
          <w:lang w:val="en-US" w:eastAsia="zh-CN"/>
        </w:rPr>
        <w:t>限价</w:t>
      </w:r>
      <w:r>
        <w:rPr>
          <w:rFonts w:hint="default" w:ascii="Times New Roman" w:hAnsi="Times New Roman" w:cs="Times New Roman"/>
          <w:b/>
          <w:bCs/>
          <w:color w:val="000000"/>
          <w:szCs w:val="21"/>
          <w:highlight w:val="none"/>
        </w:rPr>
        <w:t>200元，</w:t>
      </w:r>
      <w:r>
        <w:rPr>
          <w:rFonts w:hint="eastAsia" w:ascii="Times New Roman" w:hAnsi="Times New Roman" w:cs="Times New Roman"/>
          <w:b/>
          <w:bCs/>
          <w:color w:val="000000"/>
          <w:szCs w:val="21"/>
          <w:highlight w:val="none"/>
          <w:lang w:val="en-US" w:eastAsia="zh-CN"/>
        </w:rPr>
        <w:t>年度最高</w:t>
      </w:r>
      <w:r>
        <w:rPr>
          <w:rFonts w:hint="default" w:ascii="Times New Roman" w:hAnsi="Times New Roman" w:cs="Times New Roman"/>
          <w:b/>
          <w:bCs/>
          <w:color w:val="000000"/>
          <w:szCs w:val="21"/>
          <w:highlight w:val="none"/>
        </w:rPr>
        <w:t>限价20万元</w:t>
      </w:r>
      <w:r>
        <w:rPr>
          <w:rFonts w:hint="default" w:ascii="Times New Roman" w:hAnsi="Times New Roman" w:cs="Times New Roman"/>
          <w:color w:val="000000"/>
          <w:szCs w:val="21"/>
          <w:highlight w:val="none"/>
        </w:rPr>
        <w:t>。</w:t>
      </w:r>
    </w:p>
    <w:p>
      <w:pPr>
        <w:spacing w:line="440" w:lineRule="exact"/>
        <w:contextualSpacing/>
        <w:rPr>
          <w:rFonts w:hint="default" w:ascii="Times New Roman" w:hAnsi="Times New Roman" w:eastAsia="宋体" w:cs="Times New Roman"/>
          <w:b/>
          <w:kern w:val="0"/>
          <w:szCs w:val="21"/>
          <w:highlight w:val="none"/>
          <w:lang w:val="en-US" w:eastAsia="zh-CN"/>
        </w:rPr>
      </w:pPr>
      <w:r>
        <w:rPr>
          <w:rFonts w:hint="default" w:ascii="Times New Roman" w:hAnsi="Times New Roman" w:eastAsia="宋体" w:cs="Times New Roman"/>
          <w:b/>
          <w:kern w:val="0"/>
          <w:szCs w:val="21"/>
          <w:highlight w:val="none"/>
          <w:lang w:val="en-US" w:eastAsia="zh-CN"/>
        </w:rPr>
        <w:t>八、其他说明</w:t>
      </w:r>
    </w:p>
    <w:p>
      <w:pPr>
        <w:spacing w:line="480" w:lineRule="exact"/>
        <w:ind w:firstLine="420"/>
        <w:rPr>
          <w:rFonts w:hint="default" w:ascii="Times New Roman" w:hAnsi="Times New Roman" w:cs="Times New Roman"/>
          <w:highlight w:val="none"/>
        </w:rPr>
        <w:sectPr>
          <w:footerReference r:id="rId3"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宋体" w:cs="Times New Roman"/>
          <w:kern w:val="0"/>
          <w:szCs w:val="21"/>
          <w:highlight w:val="none"/>
        </w:rPr>
        <w:t>本项目综合评审得分排名第一的为</w:t>
      </w:r>
      <w:r>
        <w:rPr>
          <w:rFonts w:hint="default" w:ascii="Times New Roman" w:hAnsi="Times New Roman" w:eastAsia="宋体" w:cs="Times New Roman"/>
          <w:kern w:val="0"/>
          <w:szCs w:val="21"/>
          <w:highlight w:val="none"/>
          <w:lang w:val="en-US" w:eastAsia="zh-CN"/>
        </w:rPr>
        <w:t>中标</w:t>
      </w:r>
      <w:r>
        <w:rPr>
          <w:rFonts w:hint="default" w:ascii="Times New Roman" w:hAnsi="Times New Roman" w:eastAsia="宋体" w:cs="Times New Roman"/>
          <w:kern w:val="0"/>
          <w:szCs w:val="21"/>
          <w:highlight w:val="none"/>
        </w:rPr>
        <w:t>单位。入围单位分别与定海区住房和城乡建设局、各镇街道签订三方合同</w:t>
      </w:r>
      <w:r>
        <w:rPr>
          <w:rFonts w:hint="default" w:ascii="Times New Roman" w:hAnsi="Times New Roman" w:cs="Times New Roman"/>
          <w:kern w:val="0"/>
          <w:szCs w:val="21"/>
          <w:highlight w:val="none"/>
        </w:rPr>
        <w:t>。</w:t>
      </w:r>
    </w:p>
    <w:p>
      <w:pPr>
        <w:spacing w:line="360" w:lineRule="auto"/>
        <w:jc w:val="center"/>
        <w:rPr>
          <w:rFonts w:hint="default" w:ascii="Times New Roman" w:hAnsi="Times New Roman" w:cs="Times New Roman"/>
          <w:b/>
          <w:bCs/>
          <w:color w:val="000000" w:themeColor="text1"/>
          <w:spacing w:val="12"/>
          <w:sz w:val="40"/>
          <w:szCs w:val="40"/>
          <w14:textFill>
            <w14:solidFill>
              <w14:schemeClr w14:val="tx1"/>
            </w14:solidFill>
          </w14:textFill>
        </w:rPr>
      </w:pPr>
      <w:r>
        <w:rPr>
          <w:rFonts w:hint="default" w:ascii="Times New Roman" w:hAnsi="Times New Roman" w:cs="Times New Roman"/>
          <w:b/>
          <w:bCs/>
          <w:color w:val="000000" w:themeColor="text1"/>
          <w:sz w:val="30"/>
          <w:szCs w:val="30"/>
          <w14:textFill>
            <w14:solidFill>
              <w14:schemeClr w14:val="tx1"/>
            </w14:solidFill>
          </w14:textFill>
        </w:rPr>
        <w:t>第三章供应商须知</w:t>
      </w:r>
    </w:p>
    <w:p>
      <w:pPr>
        <w:spacing w:line="360" w:lineRule="auto"/>
        <w:jc w:val="center"/>
        <w:rPr>
          <w:rFonts w:hint="default" w:ascii="Times New Roman" w:hAnsi="Times New Roman" w:cs="Times New Roman"/>
          <w:b/>
          <w:bCs/>
          <w:color w:val="000000" w:themeColor="text1"/>
          <w:sz w:val="30"/>
          <w:szCs w:val="30"/>
          <w14:textFill>
            <w14:solidFill>
              <w14:schemeClr w14:val="tx1"/>
            </w14:solidFill>
          </w14:textFill>
        </w:rPr>
      </w:pPr>
      <w:r>
        <w:rPr>
          <w:rFonts w:hint="default" w:ascii="Times New Roman" w:hAnsi="Times New Roman" w:cs="Times New Roman"/>
          <w:b/>
          <w:bCs/>
          <w:color w:val="000000" w:themeColor="text1"/>
          <w:sz w:val="30"/>
          <w:szCs w:val="30"/>
          <w14:textFill>
            <w14:solidFill>
              <w14:schemeClr w14:val="tx1"/>
            </w14:solidFill>
          </w14:textFill>
        </w:rPr>
        <w:t>前附表</w:t>
      </w:r>
    </w:p>
    <w:tbl>
      <w:tblPr>
        <w:tblStyle w:val="27"/>
        <w:tblW w:w="929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0"/>
        <w:gridCol w:w="1435"/>
        <w:gridCol w:w="3586"/>
        <w:gridCol w:w="1134"/>
        <w:gridCol w:w="19"/>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序号</w:t>
            </w:r>
          </w:p>
        </w:tc>
        <w:tc>
          <w:tcPr>
            <w:tcW w:w="8708" w:type="dxa"/>
            <w:gridSpan w:val="5"/>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w:t>
            </w:r>
          </w:p>
        </w:tc>
        <w:tc>
          <w:tcPr>
            <w:tcW w:w="1421"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项目名称</w:t>
            </w:r>
          </w:p>
        </w:tc>
        <w:tc>
          <w:tcPr>
            <w:tcW w:w="3572" w:type="dxa"/>
            <w:shd w:val="clear" w:color="auto" w:fill="FFFFFF"/>
            <w:vAlign w:val="center"/>
          </w:tcPr>
          <w:p>
            <w:pPr>
              <w:spacing w:before="100" w:beforeAutospacing="1" w:after="100" w:afterAutospacing="1" w:line="360" w:lineRule="exact"/>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shd w:val="clear" w:color="auto" w:fill="FFFFFF"/>
                <w:lang w:eastAsia="zh-CN"/>
                <w14:textFill>
                  <w14:solidFill>
                    <w14:schemeClr w14:val="tx1"/>
                  </w14:solidFill>
                </w14:textFill>
              </w:rPr>
              <w:t>定海区城镇老旧房屋结构监测技术服务项目</w:t>
            </w:r>
          </w:p>
        </w:tc>
        <w:tc>
          <w:tcPr>
            <w:tcW w:w="1120"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采购编号</w:t>
            </w:r>
          </w:p>
        </w:tc>
        <w:tc>
          <w:tcPr>
            <w:tcW w:w="2553" w:type="dxa"/>
            <w:gridSpan w:val="2"/>
            <w:shd w:val="clear" w:color="auto" w:fill="FFFFFF"/>
            <w:vAlign w:val="center"/>
          </w:tcPr>
          <w:p>
            <w:pPr>
              <w:spacing w:before="100" w:beforeAutospacing="1" w:after="100" w:afterAutospacing="1" w:line="360" w:lineRule="exact"/>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ZHCG2022-30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2</w:t>
            </w:r>
          </w:p>
        </w:tc>
        <w:tc>
          <w:tcPr>
            <w:tcW w:w="1421"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采购内容</w:t>
            </w:r>
          </w:p>
        </w:tc>
        <w:tc>
          <w:tcPr>
            <w:tcW w:w="3572" w:type="dxa"/>
            <w:shd w:val="clear" w:color="auto" w:fill="FFFFFF"/>
            <w:vAlign w:val="center"/>
          </w:tcPr>
          <w:p>
            <w:pPr>
              <w:spacing w:before="100" w:beforeAutospacing="1" w:after="100" w:afterAutospacing="1" w:line="360" w:lineRule="exact"/>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详见第二章采购需求</w:t>
            </w:r>
          </w:p>
        </w:tc>
        <w:tc>
          <w:tcPr>
            <w:tcW w:w="1139" w:type="dxa"/>
            <w:gridSpan w:val="2"/>
            <w:shd w:val="clear" w:color="auto" w:fill="FFFFFF"/>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资金来源</w:t>
            </w:r>
          </w:p>
        </w:tc>
        <w:tc>
          <w:tcPr>
            <w:tcW w:w="2534" w:type="dxa"/>
            <w:shd w:val="clear" w:color="auto" w:fill="FFFFFF"/>
            <w:vAlign w:val="center"/>
          </w:tcPr>
          <w:p>
            <w:pPr>
              <w:spacing w:before="100" w:beforeAutospacing="1" w:after="100" w:afterAutospacing="1" w:line="360" w:lineRule="exact"/>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3</w:t>
            </w:r>
          </w:p>
        </w:tc>
        <w:tc>
          <w:tcPr>
            <w:tcW w:w="1421"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项目预算</w:t>
            </w:r>
          </w:p>
        </w:tc>
        <w:tc>
          <w:tcPr>
            <w:tcW w:w="7273" w:type="dxa"/>
            <w:gridSpan w:val="4"/>
            <w:shd w:val="clear" w:color="auto" w:fill="FFFFFF"/>
            <w:vAlign w:val="center"/>
          </w:tcPr>
          <w:p>
            <w:pPr>
              <w:pStyle w:val="24"/>
              <w:widowControl/>
              <w:spacing w:before="0" w:beforeAutospacing="0" w:after="0" w:afterAutospacing="0" w:line="360" w:lineRule="auto"/>
              <w:jc w:val="both"/>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auto"/>
                <w:sz w:val="21"/>
                <w:szCs w:val="21"/>
                <w:highlight w:val="none"/>
              </w:rPr>
              <w:t> </w:t>
            </w:r>
            <w:r>
              <w:rPr>
                <w:rFonts w:hint="eastAsia" w:ascii="Times New Roman" w:hAnsi="Times New Roman" w:cs="Times New Roman"/>
                <w:color w:val="auto"/>
                <w:sz w:val="21"/>
                <w:szCs w:val="21"/>
                <w:highlight w:val="none"/>
                <w:lang w:val="en-US" w:eastAsia="zh-CN"/>
              </w:rPr>
              <w:t>5496000</w:t>
            </w:r>
            <w:r>
              <w:rPr>
                <w:rFonts w:hint="default" w:ascii="Times New Roman" w:hAnsi="Times New Roman" w:eastAsia="宋体" w:cs="Times New Roman"/>
                <w:color w:val="auto"/>
                <w:kern w:val="2"/>
                <w:sz w:val="21"/>
                <w:szCs w:val="21"/>
                <w:highlight w:val="none"/>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3"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4</w:t>
            </w:r>
          </w:p>
        </w:tc>
        <w:tc>
          <w:tcPr>
            <w:tcW w:w="1421"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踏勘现场</w:t>
            </w:r>
          </w:p>
        </w:tc>
        <w:tc>
          <w:tcPr>
            <w:tcW w:w="7273" w:type="dxa"/>
            <w:gridSpan w:val="4"/>
            <w:shd w:val="clear" w:color="auto" w:fill="FFFFFF"/>
            <w:vAlign w:val="center"/>
          </w:tcPr>
          <w:p>
            <w:pPr>
              <w:spacing w:before="100" w:beforeAutospacing="1" w:after="100" w:afterAutospacing="1" w:line="360" w:lineRule="exact"/>
              <w:jc w:val="lef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代理机构不组织踏勘，如供应商需进行现场踏勘的，须跟采购人进行协商。但供应商不得因此使采购人承担有关责任和蒙受损失，投标人应承担踏勘现场的责任和风险。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5</w:t>
            </w:r>
          </w:p>
        </w:tc>
        <w:tc>
          <w:tcPr>
            <w:tcW w:w="1421" w:type="dxa"/>
            <w:shd w:val="clear" w:color="auto" w:fill="E0E0E0"/>
            <w:vAlign w:val="center"/>
          </w:tcPr>
          <w:p>
            <w:pPr>
              <w:spacing w:before="100" w:beforeAutospacing="1" w:after="100" w:afterAutospacing="1" w:line="36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服务期限</w:t>
            </w:r>
          </w:p>
        </w:tc>
        <w:tc>
          <w:tcPr>
            <w:tcW w:w="7273" w:type="dxa"/>
            <w:gridSpan w:val="4"/>
            <w:shd w:val="clear" w:color="auto" w:fill="FFFFFF"/>
            <w:vAlign w:val="center"/>
          </w:tcPr>
          <w:p>
            <w:pPr>
              <w:spacing w:before="100" w:beforeAutospacing="1" w:after="100" w:afterAutospacing="1" w:line="360" w:lineRule="exact"/>
              <w:jc w:val="left"/>
              <w:rPr>
                <w:rFonts w:hint="eastAsia" w:ascii="Times New Roman" w:hAnsi="Times New Roman" w:eastAsia="宋体" w:cs="Times New Roman"/>
                <w:bCs/>
                <w:color w:val="000000" w:themeColor="text1"/>
                <w:lang w:eastAsia="zh-CN"/>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总期限三年，合同一年一签</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6</w:t>
            </w:r>
          </w:p>
        </w:tc>
        <w:tc>
          <w:tcPr>
            <w:tcW w:w="1421"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投标有效期</w:t>
            </w:r>
          </w:p>
        </w:tc>
        <w:tc>
          <w:tcPr>
            <w:tcW w:w="7273" w:type="dxa"/>
            <w:gridSpan w:val="4"/>
            <w:shd w:val="clear" w:color="auto" w:fill="FFFFFF"/>
            <w:vAlign w:val="center"/>
          </w:tcPr>
          <w:p>
            <w:pPr>
              <w:spacing w:before="100" w:beforeAutospacing="1" w:after="100" w:afterAutospacing="1" w:line="36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90日历天。（从开标截止之日起）。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7</w:t>
            </w:r>
          </w:p>
        </w:tc>
        <w:tc>
          <w:tcPr>
            <w:tcW w:w="1421"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评标办法</w:t>
            </w:r>
          </w:p>
        </w:tc>
        <w:tc>
          <w:tcPr>
            <w:tcW w:w="7273" w:type="dxa"/>
            <w:gridSpan w:val="4"/>
            <w:shd w:val="clear" w:color="auto" w:fill="FFFFFF"/>
            <w:vAlign w:val="center"/>
          </w:tcPr>
          <w:p>
            <w:pPr>
              <w:spacing w:before="100" w:beforeAutospacing="1" w:after="100" w:afterAutospacing="1" w:line="36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8</w:t>
            </w:r>
          </w:p>
        </w:tc>
        <w:tc>
          <w:tcPr>
            <w:tcW w:w="1421"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签订合同</w:t>
            </w:r>
          </w:p>
        </w:tc>
        <w:tc>
          <w:tcPr>
            <w:tcW w:w="7273" w:type="dxa"/>
            <w:gridSpan w:val="4"/>
            <w:shd w:val="clear" w:color="auto" w:fill="FFFFFF"/>
            <w:vAlign w:val="center"/>
          </w:tcPr>
          <w:p>
            <w:pPr>
              <w:spacing w:before="100" w:beforeAutospacing="1" w:after="100" w:afterAutospacing="1" w:line="360" w:lineRule="exact"/>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中标通知书发出后</w:t>
            </w:r>
            <w:r>
              <w:rPr>
                <w:rFonts w:hint="default" w:ascii="Times New Roman" w:hAnsi="Times New Roman" w:cs="Times New Roman"/>
                <w:color w:val="000000" w:themeColor="text1"/>
                <w:u w:val="single"/>
                <w14:textFill>
                  <w14:solidFill>
                    <w14:schemeClr w14:val="tx1"/>
                  </w14:solidFill>
                </w14:textFill>
              </w:rPr>
              <w:t xml:space="preserve"> 30 </w:t>
            </w:r>
            <w:r>
              <w:rPr>
                <w:rFonts w:hint="default" w:ascii="Times New Roman" w:hAnsi="Times New Roman" w:cs="Times New Roman"/>
                <w:color w:val="000000" w:themeColor="text1"/>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4"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9</w:t>
            </w:r>
          </w:p>
        </w:tc>
        <w:tc>
          <w:tcPr>
            <w:tcW w:w="1421"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资金结算</w:t>
            </w:r>
          </w:p>
        </w:tc>
        <w:tc>
          <w:tcPr>
            <w:tcW w:w="7273" w:type="dxa"/>
            <w:gridSpan w:val="4"/>
            <w:shd w:val="clear" w:color="auto" w:fill="FFFFFF"/>
            <w:vAlign w:val="center"/>
          </w:tcPr>
          <w:p>
            <w:pPr>
              <w:snapToGrid w:val="0"/>
              <w:spacing w:line="360" w:lineRule="auto"/>
              <w:rPr>
                <w:rFonts w:hint="default" w:ascii="Times New Roman" w:hAnsi="Times New Roman" w:cs="Times New Roman"/>
                <w:highlight w:val="none"/>
              </w:rPr>
            </w:pPr>
            <w:r>
              <w:rPr>
                <w:rFonts w:hint="default" w:ascii="Times New Roman" w:hAnsi="Times New Roman" w:cs="Times New Roman"/>
                <w:highlight w:val="none"/>
                <w:lang w:val="en-US" w:eastAsia="zh-CN"/>
              </w:rPr>
              <w:t>1、</w:t>
            </w:r>
            <w:r>
              <w:rPr>
                <w:rFonts w:hint="default" w:ascii="Times New Roman" w:hAnsi="Times New Roman" w:cs="Times New Roman"/>
                <w:highlight w:val="none"/>
              </w:rPr>
              <w:t>合同生效后7个工作日内支付合同</w:t>
            </w:r>
            <w:r>
              <w:rPr>
                <w:rFonts w:hint="eastAsia" w:ascii="Times New Roman" w:hAnsi="Times New Roman" w:cs="Times New Roman"/>
                <w:highlight w:val="none"/>
                <w:lang w:val="en-US" w:eastAsia="zh-CN"/>
              </w:rPr>
              <w:t>总价</w:t>
            </w:r>
            <w:r>
              <w:rPr>
                <w:rFonts w:hint="default" w:ascii="Times New Roman" w:hAnsi="Times New Roman" w:cs="Times New Roman"/>
                <w:highlight w:val="none"/>
              </w:rPr>
              <w:t>的</w:t>
            </w:r>
            <w:r>
              <w:rPr>
                <w:rFonts w:hint="default" w:ascii="Times New Roman" w:hAnsi="Times New Roman" w:cs="Times New Roman"/>
                <w:highlight w:val="none"/>
                <w:lang w:val="en-US" w:eastAsia="zh-CN"/>
              </w:rPr>
              <w:t>20</w:t>
            </w:r>
            <w:r>
              <w:rPr>
                <w:rFonts w:hint="default" w:ascii="Times New Roman" w:hAnsi="Times New Roman" w:cs="Times New Roman"/>
                <w:highlight w:val="none"/>
              </w:rPr>
              <w:t>%作为预付款，</w:t>
            </w:r>
            <w:r>
              <w:rPr>
                <w:rFonts w:hint="eastAsia" w:ascii="Times New Roman" w:hAnsi="Times New Roman" w:cs="Times New Roman"/>
                <w:highlight w:val="none"/>
                <w:lang w:eastAsia="zh-Hans"/>
              </w:rPr>
              <w:t>开展</w:t>
            </w:r>
            <w:r>
              <w:rPr>
                <w:rFonts w:hint="default" w:ascii="Times New Roman" w:hAnsi="Times New Roman" w:cs="Times New Roman"/>
                <w:highlight w:val="none"/>
              </w:rPr>
              <w:t>监测服务6个月</w:t>
            </w:r>
            <w:r>
              <w:rPr>
                <w:rFonts w:hint="eastAsia" w:ascii="Times New Roman" w:hAnsi="Times New Roman" w:cs="Times New Roman"/>
                <w:highlight w:val="none"/>
                <w:lang w:eastAsia="zh-Hans"/>
              </w:rPr>
              <w:t>后</w:t>
            </w:r>
            <w:r>
              <w:rPr>
                <w:rFonts w:hint="default" w:ascii="Times New Roman" w:hAnsi="Times New Roman" w:cs="Times New Roman"/>
                <w:highlight w:val="none"/>
              </w:rPr>
              <w:t>15</w:t>
            </w:r>
            <w:r>
              <w:rPr>
                <w:rFonts w:hint="eastAsia" w:ascii="Times New Roman" w:hAnsi="Times New Roman" w:cs="Times New Roman"/>
                <w:highlight w:val="none"/>
                <w:lang w:eastAsia="zh-Hans"/>
              </w:rPr>
              <w:t>个工作日</w:t>
            </w:r>
            <w:r>
              <w:rPr>
                <w:rFonts w:hint="default" w:ascii="Times New Roman" w:hAnsi="Times New Roman" w:cs="Times New Roman"/>
                <w:highlight w:val="none"/>
              </w:rPr>
              <w:t>内支付合同总价的20%，如合同期内监测单位监测质量无出现重大问题的，合同期满且达到既定目标后15日内</w:t>
            </w:r>
            <w:r>
              <w:rPr>
                <w:rFonts w:hint="eastAsia" w:ascii="Times New Roman" w:hAnsi="Times New Roman" w:cs="Times New Roman"/>
                <w:highlight w:val="none"/>
                <w:lang w:val="en-US" w:eastAsia="zh-CN"/>
              </w:rPr>
              <w:t>支</w:t>
            </w:r>
            <w:r>
              <w:rPr>
                <w:rFonts w:hint="default" w:ascii="Times New Roman" w:hAnsi="Times New Roman" w:cs="Times New Roman"/>
                <w:highlight w:val="none"/>
              </w:rPr>
              <w:t>付合同总价的</w:t>
            </w:r>
            <w:r>
              <w:rPr>
                <w:rFonts w:hint="default" w:ascii="Times New Roman" w:hAnsi="Times New Roman" w:cs="Times New Roman"/>
                <w:highlight w:val="none"/>
                <w:lang w:val="en-US" w:eastAsia="zh-CN"/>
              </w:rPr>
              <w:t>6</w:t>
            </w:r>
            <w:r>
              <w:rPr>
                <w:rFonts w:hint="default" w:ascii="Times New Roman" w:hAnsi="Times New Roman" w:cs="Times New Roman"/>
                <w:highlight w:val="none"/>
              </w:rPr>
              <w:t>0%，</w:t>
            </w:r>
            <w:r>
              <w:rPr>
                <w:rFonts w:hint="eastAsia" w:ascii="Times New Roman" w:hAnsi="Times New Roman" w:cs="Times New Roman"/>
                <w:highlight w:val="none"/>
                <w:lang w:val="en-US" w:eastAsia="zh-CN"/>
              </w:rPr>
              <w:t>并</w:t>
            </w:r>
            <w:r>
              <w:rPr>
                <w:rFonts w:hint="default" w:ascii="Times New Roman" w:hAnsi="Times New Roman" w:cs="Times New Roman"/>
                <w:color w:val="000000"/>
                <w:highlight w:val="none"/>
              </w:rPr>
              <w:t>全额无息</w:t>
            </w:r>
            <w:r>
              <w:rPr>
                <w:rFonts w:hint="default" w:ascii="Times New Roman" w:hAnsi="Times New Roman" w:cs="Times New Roman"/>
                <w:highlight w:val="none"/>
              </w:rPr>
              <w:t>退还履约保证金。</w:t>
            </w:r>
          </w:p>
          <w:p>
            <w:pPr>
              <w:snapToGrid w:val="0"/>
              <w:spacing w:line="360" w:lineRule="auto"/>
              <w:rPr>
                <w:rFonts w:hint="default" w:ascii="Times New Roman" w:hAnsi="Times New Roman" w:cs="Times New Roman"/>
              </w:rPr>
            </w:pPr>
            <w:r>
              <w:rPr>
                <w:rFonts w:hint="default" w:ascii="Times New Roman" w:hAnsi="Times New Roman" w:cs="Times New Roman"/>
              </w:rPr>
              <w:t>2、监测经费由政府拨款，如因政策的影响，拨款未能及时到位，中标人不得以此为由而不履行规定的义务，否则采购人按规定扣罚。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10</w:t>
            </w:r>
          </w:p>
        </w:tc>
        <w:tc>
          <w:tcPr>
            <w:tcW w:w="1421" w:type="dxa"/>
            <w:shd w:val="clear" w:color="auto" w:fill="E0E0E0"/>
            <w:vAlign w:val="center"/>
          </w:tcPr>
          <w:p>
            <w:pPr>
              <w:spacing w:line="276" w:lineRule="auto"/>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投标报价</w:t>
            </w:r>
          </w:p>
          <w:p>
            <w:pPr>
              <w:spacing w:line="276" w:lineRule="auto"/>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与费用</w:t>
            </w:r>
          </w:p>
        </w:tc>
        <w:tc>
          <w:tcPr>
            <w:tcW w:w="7273" w:type="dxa"/>
            <w:gridSpan w:val="4"/>
            <w:shd w:val="clear" w:color="auto" w:fill="FFFFFF"/>
            <w:vAlign w:val="center"/>
          </w:tcPr>
          <w:p>
            <w:pP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1、</w:t>
            </w:r>
            <w:r>
              <w:rPr>
                <w:rFonts w:hint="default" w:ascii="Times New Roman" w:hAnsi="Times New Roman" w:eastAsia="宋体" w:cs="Times New Roman"/>
                <w:b/>
                <w:color w:val="000000" w:themeColor="text1"/>
                <w:sz w:val="21"/>
                <w:szCs w:val="21"/>
                <w:highlight w:val="none"/>
                <w14:textFill>
                  <w14:solidFill>
                    <w14:schemeClr w14:val="tx1"/>
                  </w14:solidFill>
                </w14:textFill>
              </w:rPr>
              <w:t>投标总价及综合单价超过最高限价的作无效标处理。</w:t>
            </w:r>
          </w:p>
          <w:p>
            <w:pPr>
              <w:jc w:val="left"/>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合同履行期间，合同单价不因市场因素和政策因素的变动而调整。但如发生所监测的工作量增加或减少，以业主单位签证认可的联系单为准，产生的费用计入发生期间所对应的月份中；因不可抗力等原因造成合同无法继续履行的，由业主单位与监测单位协商解决后续问题。</w:t>
            </w:r>
          </w:p>
          <w:p>
            <w:pP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2、本项目投标报价包含但不局限于以下内容：</w:t>
            </w:r>
            <w:r>
              <w:rPr>
                <w:rFonts w:hint="default" w:ascii="Times New Roman" w:hAnsi="Times New Roman" w:eastAsia="宋体" w:cs="Times New Roman"/>
                <w:bCs/>
                <w:color w:val="000000" w:themeColor="text1"/>
                <w:sz w:val="21"/>
                <w:szCs w:val="21"/>
                <w:highlight w:val="none"/>
                <w14:textFill>
                  <w14:solidFill>
                    <w14:schemeClr w14:val="tx1"/>
                  </w14:solidFill>
                </w14:textFill>
              </w:rPr>
              <w:t>（1）建设投资费用：根据本项目投入的各类设备、装置、材料及附属设施等的折旧成本及安装调试费用。（2）监测费用：各级管理监测人员的工资、社会保险、奖金、福利费用等；运行电费，燃料费用，各类设备设施维护保养费用等。（3）自行检测费用、应急处置费用、防汛防台等环境保障费用。（4）企业管理费用，利润、税金。（5）其他与</w:t>
            </w:r>
            <w: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t>本次招标</w:t>
            </w:r>
            <w:r>
              <w:rPr>
                <w:rFonts w:hint="default" w:ascii="Times New Roman" w:hAnsi="Times New Roman" w:eastAsia="宋体" w:cs="Times New Roman"/>
                <w:bCs/>
                <w:color w:val="000000" w:themeColor="text1"/>
                <w:sz w:val="21"/>
                <w:szCs w:val="21"/>
                <w:highlight w:val="none"/>
                <w14:textFill>
                  <w14:solidFill>
                    <w14:schemeClr w14:val="tx1"/>
                  </w14:solidFill>
                </w14:textFill>
              </w:rPr>
              <w:t>相关的</w:t>
            </w:r>
            <w: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t>一切</w:t>
            </w:r>
            <w:r>
              <w:rPr>
                <w:rFonts w:hint="default" w:ascii="Times New Roman" w:hAnsi="Times New Roman" w:eastAsia="宋体" w:cs="Times New Roman"/>
                <w:bCs/>
                <w:color w:val="000000" w:themeColor="text1"/>
                <w:sz w:val="21"/>
                <w:szCs w:val="21"/>
                <w:highlight w:val="none"/>
                <w14:textFill>
                  <w14:solidFill>
                    <w14:schemeClr w14:val="tx1"/>
                  </w14:solidFill>
                </w14:textFill>
              </w:rPr>
              <w:t>费用。</w:t>
            </w:r>
          </w:p>
          <w:p>
            <w:pPr>
              <w:numPr>
                <w:ilvl w:val="0"/>
                <w:numId w:val="6"/>
              </w:numP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不论投标结果如何，投标人均应自行承担所有与投标有关的全部费用；</w:t>
            </w:r>
          </w:p>
          <w:p>
            <w:pPr>
              <w:pStyle w:val="12"/>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4、中标服务费的收取：</w:t>
            </w:r>
            <w:r>
              <w:rPr>
                <w:rFonts w:hint="default" w:ascii="Times New Roman" w:hAnsi="Times New Roman" w:eastAsia="宋体" w:cs="Times New Roman"/>
                <w:bCs/>
                <w:color w:val="000000" w:themeColor="text1"/>
                <w:sz w:val="21"/>
                <w:szCs w:val="21"/>
                <w:highlight w:val="none"/>
                <w14:textFill>
                  <w14:solidFill>
                    <w14:schemeClr w14:val="tx1"/>
                  </w14:solidFill>
                </w14:textFill>
              </w:rPr>
              <w:t>本采购代理机构</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参考</w:t>
            </w:r>
            <w:r>
              <w:rPr>
                <w:rFonts w:hint="default" w:ascii="Times New Roman" w:hAnsi="Times New Roman" w:eastAsia="宋体" w:cs="Times New Roman"/>
                <w:bCs/>
                <w:color w:val="000000" w:themeColor="text1"/>
                <w:sz w:val="21"/>
                <w:szCs w:val="21"/>
                <w:highlight w:val="none"/>
                <w14:textFill>
                  <w14:solidFill>
                    <w14:schemeClr w14:val="tx1"/>
                  </w14:solidFill>
                </w14:textFill>
              </w:rPr>
              <w:t>国家发改委发改办价格[2003]857号通知和国家计委计价格[2002]1980号文件规定的服务招标费率标准（下浮20%），按照合同签订金额，向中标人收取招标服务费。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11</w:t>
            </w:r>
          </w:p>
        </w:tc>
        <w:tc>
          <w:tcPr>
            <w:tcW w:w="1421" w:type="dxa"/>
            <w:shd w:val="clear" w:color="auto" w:fill="E0E0E0"/>
            <w:vAlign w:val="center"/>
          </w:tcPr>
          <w:p>
            <w:pPr>
              <w:spacing w:line="360" w:lineRule="auto"/>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采购代理</w:t>
            </w:r>
          </w:p>
          <w:p>
            <w:pPr>
              <w:spacing w:line="360" w:lineRule="auto"/>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服务费</w:t>
            </w:r>
          </w:p>
        </w:tc>
        <w:tc>
          <w:tcPr>
            <w:tcW w:w="7273" w:type="dxa"/>
            <w:gridSpan w:val="4"/>
            <w:shd w:val="clear" w:color="auto" w:fill="FFFFFF"/>
            <w:vAlign w:val="center"/>
          </w:tcPr>
          <w:p>
            <w:pPr>
              <w:numPr>
                <w:ilvl w:val="0"/>
                <w:numId w:val="7"/>
              </w:numPr>
              <w:snapToGrid w:val="0"/>
              <w:spacing w:line="360" w:lineRule="auto"/>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rPr>
              <w:t>本项目的采购代理费由中标供应商承担支付，</w:t>
            </w:r>
            <w:r>
              <w:rPr>
                <w:rFonts w:hint="default" w:ascii="Times New Roman" w:hAnsi="Times New Roman" w:cs="Times New Roman"/>
                <w:lang w:val="en-US" w:eastAsia="zh-CN"/>
              </w:rPr>
              <w:t>参考</w:t>
            </w:r>
            <w:r>
              <w:rPr>
                <w:rFonts w:hint="default" w:ascii="Times New Roman" w:hAnsi="Times New Roman" w:cs="Times New Roman"/>
              </w:rPr>
              <w:t>发改价格[2011]534号文和《招标代理服务收费管理暂行办法》[2002]1980号文规定，按</w:t>
            </w:r>
            <w:r>
              <w:rPr>
                <w:rFonts w:hint="default" w:ascii="Times New Roman" w:hAnsi="Times New Roman" w:cs="Times New Roman"/>
                <w:bCs/>
                <w:color w:val="000000" w:themeColor="text1"/>
                <w:szCs w:val="21"/>
                <w:highlight w:val="none"/>
                <w14:textFill>
                  <w14:solidFill>
                    <w14:schemeClr w14:val="tx1"/>
                  </w14:solidFill>
                </w14:textFill>
              </w:rPr>
              <w:t>服务招标费率标准（下浮20%）</w:t>
            </w:r>
            <w:r>
              <w:rPr>
                <w:rFonts w:hint="default" w:ascii="Times New Roman" w:hAnsi="Times New Roman" w:cs="Times New Roman"/>
              </w:rPr>
              <w:t>，以中标金额为基数</w:t>
            </w:r>
            <w:r>
              <w:rPr>
                <w:rFonts w:hint="default" w:ascii="Times New Roman" w:hAnsi="Times New Roman" w:eastAsia="宋体" w:cs="Times New Roman"/>
                <w:bCs/>
                <w:color w:val="000000" w:themeColor="text1"/>
                <w:sz w:val="21"/>
                <w:szCs w:val="21"/>
                <w:highlight w:val="none"/>
                <w14:textFill>
                  <w14:solidFill>
                    <w14:schemeClr w14:val="tx1"/>
                  </w14:solidFill>
                </w14:textFill>
              </w:rPr>
              <w:t>向中标人收取招标服务费。</w:t>
            </w:r>
          </w:p>
          <w:p>
            <w:pPr>
              <w:numPr>
                <w:ilvl w:val="0"/>
                <w:numId w:val="7"/>
              </w:numPr>
              <w:snapToGrid w:val="0"/>
              <w:spacing w:line="360" w:lineRule="auto"/>
              <w:rPr>
                <w:rFonts w:hint="default" w:ascii="Times New Roman" w:hAnsi="Times New Roman" w:cs="Times New Roman"/>
              </w:rPr>
            </w:pPr>
            <w:r>
              <w:rPr>
                <w:rFonts w:hint="default" w:ascii="Times New Roman" w:hAnsi="Times New Roman" w:cs="Times New Roman"/>
                <w:b/>
                <w:bCs/>
              </w:rPr>
              <w:t>采购代理费由中标人支付，中标人在领取中标通知书时一次性付清</w:t>
            </w:r>
            <w:r>
              <w:rPr>
                <w:rFonts w:hint="default" w:ascii="Times New Roman" w:hAnsi="Times New Roman" w:cs="Times New Roman"/>
              </w:rPr>
              <w:t>。</w:t>
            </w:r>
          </w:p>
          <w:p>
            <w:pPr>
              <w:pStyle w:val="12"/>
              <w:rPr>
                <w:rFonts w:hint="default" w:ascii="Times New Roman" w:hAnsi="Times New Roman" w:cs="Times New Roman"/>
                <w:sz w:val="21"/>
                <w:szCs w:val="21"/>
              </w:rPr>
            </w:pPr>
            <w:r>
              <w:rPr>
                <w:rFonts w:hint="default" w:ascii="Times New Roman" w:hAnsi="Times New Roman" w:cs="Times New Roman"/>
                <w:sz w:val="21"/>
                <w:szCs w:val="21"/>
              </w:rPr>
              <w:t xml:space="preserve">  收款账号：</w:t>
            </w:r>
          </w:p>
          <w:p>
            <w:pPr>
              <w:pStyle w:val="13"/>
              <w:ind w:firstLine="210"/>
              <w:rPr>
                <w:rFonts w:hint="default" w:ascii="Times New Roman" w:hAnsi="Times New Roman" w:cs="Times New Roman"/>
              </w:rPr>
            </w:pPr>
            <w:r>
              <w:rPr>
                <w:rFonts w:hint="default" w:ascii="Times New Roman" w:hAnsi="Times New Roman" w:cs="Times New Roman"/>
              </w:rPr>
              <w:t>收款单位（户名）：浙江自贸区中昊工程管理有限公司</w:t>
            </w:r>
          </w:p>
          <w:p>
            <w:pPr>
              <w:pStyle w:val="13"/>
              <w:ind w:firstLine="210"/>
              <w:rPr>
                <w:rFonts w:hint="default" w:ascii="Times New Roman" w:hAnsi="Times New Roman" w:cs="Times New Roman"/>
              </w:rPr>
            </w:pPr>
            <w:r>
              <w:rPr>
                <w:rFonts w:hint="default" w:ascii="Times New Roman" w:hAnsi="Times New Roman" w:cs="Times New Roman"/>
              </w:rPr>
              <w:t>开户银行：建行舟山定海支行</w:t>
            </w:r>
          </w:p>
          <w:p>
            <w:pPr>
              <w:pStyle w:val="13"/>
              <w:ind w:firstLine="21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t>银行账号：33001706235050001511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11</w:t>
            </w:r>
          </w:p>
        </w:tc>
        <w:tc>
          <w:tcPr>
            <w:tcW w:w="1421" w:type="dxa"/>
            <w:shd w:val="clear" w:color="auto" w:fill="E0E0E0"/>
            <w:vAlign w:val="center"/>
          </w:tcPr>
          <w:p>
            <w:pPr>
              <w:spacing w:line="276"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履约保证金</w:t>
            </w:r>
          </w:p>
        </w:tc>
        <w:tc>
          <w:tcPr>
            <w:tcW w:w="7273" w:type="dxa"/>
            <w:gridSpan w:val="4"/>
            <w:shd w:val="clear" w:color="auto" w:fill="FFFFFF"/>
            <w:vAlign w:val="center"/>
          </w:tcPr>
          <w:p>
            <w:pPr>
              <w:spacing w:line="460"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1、在合同签订之日起7个工作日内中标人须提供履约保证金。</w:t>
            </w:r>
          </w:p>
          <w:p>
            <w:pPr>
              <w:spacing w:line="460" w:lineRule="exact"/>
              <w:rPr>
                <w:rFonts w:hint="default" w:ascii="Times New Roman" w:hAnsi="Times New Roman" w:cs="Times New Roman"/>
                <w:color w:val="000000"/>
                <w:highlight w:val="none"/>
              </w:rPr>
            </w:pPr>
            <w:r>
              <w:rPr>
                <w:rFonts w:hint="default" w:ascii="Times New Roman" w:hAnsi="Times New Roman" w:cs="Times New Roman"/>
                <w:color w:val="000000"/>
                <w:highlight w:val="none"/>
              </w:rPr>
              <w:t>2、履约保证金金额为合同总额的</w:t>
            </w:r>
            <w:r>
              <w:rPr>
                <w:rFonts w:hint="default" w:ascii="Times New Roman" w:hAnsi="Times New Roman" w:cs="Times New Roman"/>
                <w:color w:val="000000"/>
                <w:highlight w:val="none"/>
                <w:lang w:val="en-US" w:eastAsia="zh-CN"/>
              </w:rPr>
              <w:t>1</w:t>
            </w:r>
            <w:r>
              <w:rPr>
                <w:rFonts w:hint="default" w:ascii="Times New Roman" w:hAnsi="Times New Roman" w:cs="Times New Roman"/>
                <w:color w:val="000000"/>
                <w:highlight w:val="none"/>
              </w:rPr>
              <w:t>%，履约保证金的交付方式：支票、汇票、本票、保函等非现金形式缴纳或提交。</w:t>
            </w:r>
          </w:p>
          <w:p>
            <w:pPr>
              <w:spacing w:line="360" w:lineRule="auto"/>
              <w:rPr>
                <w:rFonts w:hint="default" w:ascii="Times New Roman" w:hAnsi="Times New Roman" w:cs="Times New Roman"/>
                <w:color w:val="000000" w:themeColor="text1"/>
                <w:szCs w:val="24"/>
                <w:highlight w:val="none"/>
                <w14:textFill>
                  <w14:solidFill>
                    <w14:schemeClr w14:val="tx1"/>
                  </w14:solidFill>
                </w14:textFill>
              </w:rPr>
            </w:pPr>
            <w:r>
              <w:rPr>
                <w:rFonts w:hint="default" w:ascii="Times New Roman" w:hAnsi="Times New Roman" w:cs="Times New Roman"/>
                <w:color w:val="000000"/>
                <w:highlight w:val="none"/>
              </w:rPr>
              <w:t>3、待项目验收合格后，十五日内全额无息退还履约保证金。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7"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12</w:t>
            </w:r>
          </w:p>
        </w:tc>
        <w:tc>
          <w:tcPr>
            <w:tcW w:w="1421" w:type="dxa"/>
            <w:shd w:val="clear" w:color="auto" w:fill="E0E0E0"/>
            <w:vAlign w:val="center"/>
          </w:tcPr>
          <w:p>
            <w:pPr>
              <w:spacing w:line="276" w:lineRule="auto"/>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投标文件</w:t>
            </w:r>
          </w:p>
          <w:p>
            <w:pPr>
              <w:spacing w:line="276" w:lineRule="auto"/>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的组成</w:t>
            </w:r>
          </w:p>
        </w:tc>
        <w:tc>
          <w:tcPr>
            <w:tcW w:w="7273" w:type="dxa"/>
            <w:gridSpan w:val="4"/>
            <w:shd w:val="clear" w:color="auto" w:fill="FFFFFF"/>
            <w:vAlign w:val="center"/>
          </w:tcPr>
          <w:p>
            <w:pPr>
              <w:spacing w:line="36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本项目实行电子投标。</w:t>
            </w:r>
          </w:p>
          <w:p>
            <w:pPr>
              <w:pStyle w:val="12"/>
              <w:spacing w:after="0" w:line="360" w:lineRule="exact"/>
              <w:rPr>
                <w:rFonts w:hint="default" w:ascii="Times New Roman" w:hAnsi="Times New Roman" w:cs="Times New Roman"/>
                <w:color w:val="000000" w:themeColor="text1"/>
                <w:kern w:val="2"/>
                <w:sz w:val="21"/>
                <w:szCs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投标文件由资格响应文件、商务及技术响应文件、报价文件三部份组成。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34"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13</w:t>
            </w:r>
          </w:p>
        </w:tc>
        <w:tc>
          <w:tcPr>
            <w:tcW w:w="1421" w:type="dxa"/>
            <w:shd w:val="clear" w:color="auto" w:fill="E0E0E0"/>
            <w:vAlign w:val="center"/>
          </w:tcPr>
          <w:p>
            <w:pPr>
              <w:spacing w:line="276" w:lineRule="auto"/>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投标文件</w:t>
            </w:r>
          </w:p>
          <w:p>
            <w:pPr>
              <w:spacing w:line="276" w:lineRule="auto"/>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的递交</w:t>
            </w:r>
          </w:p>
        </w:tc>
        <w:tc>
          <w:tcPr>
            <w:tcW w:w="7273" w:type="dxa"/>
            <w:gridSpan w:val="4"/>
            <w:shd w:val="clear" w:color="auto" w:fill="FFFFFF"/>
            <w:vAlign w:val="center"/>
          </w:tcPr>
          <w:p>
            <w:pPr>
              <w:ind w:firstLine="420" w:firstLineChars="200"/>
              <w:rPr>
                <w:rFonts w:hint="default" w:ascii="Times New Roman" w:hAnsi="Times New Roman" w:cs="Times New Roman"/>
              </w:rPr>
            </w:pPr>
            <w:r>
              <w:rPr>
                <w:rFonts w:hint="default" w:ascii="Times New Roman" w:hAnsi="Times New Roman" w:cs="Times New Roman"/>
              </w:rPr>
              <w:t>根据《浙江省政府采购项目电子交易管理暂行办法》第二十条规定，本次投标允许投标人递交电子备份投标文件</w:t>
            </w:r>
            <w:r>
              <w:rPr>
                <w:rFonts w:hint="default" w:ascii="Times New Roman" w:hAnsi="Times New Roman" w:cs="Times New Roman"/>
                <w:b/>
                <w:bCs/>
              </w:rPr>
              <w:t>（后缀名为.bfbs）</w:t>
            </w:r>
            <w:r>
              <w:rPr>
                <w:rFonts w:hint="default" w:ascii="Times New Roman" w:hAnsi="Times New Roman" w:cs="Times New Roman"/>
              </w:rPr>
              <w:t>，但不强制要求提交，未提供造成项目开评标活动无法进行下去的，投标无效，相关风险由投标人自行承担。</w:t>
            </w:r>
          </w:p>
          <w:p>
            <w:pPr>
              <w:rPr>
                <w:rFonts w:hint="default" w:ascii="Times New Roman" w:hAnsi="Times New Roman" w:cs="Times New Roman"/>
              </w:rPr>
            </w:pPr>
            <w:r>
              <w:rPr>
                <w:rFonts w:hint="default" w:ascii="Times New Roman" w:hAnsi="Times New Roman" w:cs="Times New Roman"/>
              </w:rPr>
              <w:t>1、在开标截止时间前须在政采云系统里上传加密的电子版投标文件。</w:t>
            </w:r>
          </w:p>
          <w:p>
            <w:pPr>
              <w:rPr>
                <w:rFonts w:hint="default" w:ascii="Times New Roman" w:hAnsi="Times New Roman" w:cs="Times New Roman"/>
                <w:shd w:val="clear" w:color="auto" w:fill="FFFFFF"/>
              </w:rPr>
            </w:pPr>
            <w:r>
              <w:rPr>
                <w:rFonts w:hint="default" w:ascii="Times New Roman" w:hAnsi="Times New Roman" w:cs="Times New Roman"/>
              </w:rPr>
              <w:t>2、</w:t>
            </w:r>
            <w:r>
              <w:rPr>
                <w:rFonts w:hint="default" w:ascii="Times New Roman" w:hAnsi="Times New Roman" w:cs="Times New Roman"/>
                <w:shd w:val="clear" w:color="auto" w:fill="FFFFFF"/>
              </w:rPr>
              <w:t>备份投标文件递交的方式为：</w:t>
            </w:r>
            <w:r>
              <w:rPr>
                <w:rFonts w:hint="default" w:ascii="Times New Roman" w:hAnsi="Times New Roman" w:cs="Times New Roman"/>
                <w:b/>
                <w:bCs/>
                <w:shd w:val="clear" w:color="auto" w:fill="FFFFFF"/>
              </w:rPr>
              <w:t>邮寄或邮箱（备份文件的后缀名为.bfbs）</w:t>
            </w:r>
            <w:r>
              <w:rPr>
                <w:rFonts w:hint="default" w:ascii="Times New Roman" w:hAnsi="Times New Roman" w:cs="Times New Roman"/>
                <w:shd w:val="clear" w:color="auto" w:fill="FFFFFF"/>
              </w:rPr>
              <w:t>。</w:t>
            </w:r>
          </w:p>
          <w:p>
            <w:pPr>
              <w:snapToGrid w:val="0"/>
              <w:rPr>
                <w:rFonts w:hint="default" w:ascii="Times New Roman" w:hAnsi="Times New Roman" w:cs="Times New Roman"/>
                <w:b/>
                <w:bCs/>
              </w:rPr>
            </w:pPr>
            <w:r>
              <w:rPr>
                <w:rFonts w:hint="default" w:ascii="Times New Roman" w:hAnsi="Times New Roman" w:cs="Times New Roman"/>
                <w:b/>
                <w:bCs/>
              </w:rPr>
              <w:t>2.1邮寄地址：舟山市定海区临城街道百川道9号910（科创园区）</w:t>
            </w:r>
          </w:p>
          <w:p>
            <w:pPr>
              <w:snapToGrid w:val="0"/>
              <w:rPr>
                <w:rFonts w:hint="default" w:ascii="Times New Roman" w:hAnsi="Times New Roman" w:cs="Times New Roman"/>
                <w:b/>
                <w:bCs/>
              </w:rPr>
            </w:pPr>
            <w:r>
              <w:rPr>
                <w:rFonts w:hint="default" w:ascii="Times New Roman" w:hAnsi="Times New Roman" w:cs="Times New Roman"/>
                <w:b/>
                <w:bCs/>
              </w:rPr>
              <w:t>收件人：张璐，电话：0580-2119100</w:t>
            </w:r>
          </w:p>
          <w:p>
            <w:pPr>
              <w:snapToGrid w:val="0"/>
              <w:rPr>
                <w:rFonts w:hint="default" w:ascii="Times New Roman" w:hAnsi="Times New Roman" w:cs="Times New Roman"/>
                <w:b/>
                <w:bCs/>
              </w:rPr>
            </w:pPr>
            <w:r>
              <w:rPr>
                <w:rFonts w:hint="default" w:ascii="Times New Roman" w:hAnsi="Times New Roman" w:cs="Times New Roman"/>
                <w:b/>
                <w:bCs/>
              </w:rPr>
              <w:t>2.2邮箱:41688047@qq.com</w:t>
            </w:r>
          </w:p>
          <w:p>
            <w:pPr>
              <w:pStyle w:val="13"/>
              <w:ind w:firstLine="210"/>
              <w:rPr>
                <w:rFonts w:hint="default" w:ascii="Times New Roman" w:hAnsi="Times New Roman" w:cs="Times New Roman"/>
              </w:rPr>
            </w:pPr>
            <w:r>
              <w:rPr>
                <w:rFonts w:hint="default" w:ascii="Times New Roman" w:hAnsi="Times New Roman" w:cs="Times New Roman"/>
              </w:rPr>
              <w:t>采用邮箱送达备份文件的，投标人将加密</w:t>
            </w:r>
            <w:r>
              <w:rPr>
                <w:rFonts w:hint="default" w:ascii="Times New Roman" w:hAnsi="Times New Roman" w:cs="Times New Roman"/>
                <w:lang w:val="en-US" w:eastAsia="zh-CN"/>
              </w:rPr>
              <w:t>的</w:t>
            </w:r>
            <w:r>
              <w:rPr>
                <w:rFonts w:hint="default" w:ascii="Times New Roman" w:hAnsi="Times New Roman" w:cs="Times New Roman"/>
              </w:rPr>
              <w:t>备份文件压缩后发至邮箱，当解密发生失败时，代理公司将通过电话获取文件密码。</w:t>
            </w:r>
          </w:p>
          <w:p>
            <w:pPr>
              <w:rPr>
                <w:rFonts w:hint="default" w:ascii="Times New Roman" w:hAnsi="Times New Roman" w:cs="Times New Roman"/>
              </w:rPr>
            </w:pPr>
            <w:r>
              <w:rPr>
                <w:rFonts w:hint="default" w:ascii="Times New Roman" w:hAnsi="Times New Roman" w:cs="Times New Roman"/>
              </w:rPr>
              <w:t>3、备份投标文件，介质可以是U盘或DVD光盘，只允许存储一个文件。</w:t>
            </w:r>
          </w:p>
          <w:p>
            <w:pPr>
              <w:rPr>
                <w:rFonts w:hint="default" w:ascii="Times New Roman" w:hAnsi="Times New Roman" w:cs="Times New Roman"/>
              </w:rPr>
            </w:pPr>
            <w:r>
              <w:rPr>
                <w:rFonts w:hint="default" w:ascii="Times New Roman" w:hAnsi="Times New Roman" w:cs="Times New Roman"/>
              </w:rPr>
              <w:t>4、当发生投标人未按时解密时，代理机构将启用已提交的备份投标文件。</w:t>
            </w:r>
          </w:p>
          <w:p>
            <w:pPr>
              <w:rPr>
                <w:rFonts w:hint="default" w:ascii="Times New Roman" w:hAnsi="Times New Roman" w:cs="Times New Roman"/>
              </w:rPr>
            </w:pPr>
            <w:r>
              <w:rPr>
                <w:rFonts w:hint="default" w:ascii="Times New Roman" w:hAnsi="Times New Roman" w:cs="Times New Roman"/>
              </w:rPr>
              <w:t>5、以下情形视为</w:t>
            </w:r>
            <w:r>
              <w:rPr>
                <w:rFonts w:hint="default" w:ascii="Times New Roman" w:hAnsi="Times New Roman" w:cs="Times New Roman"/>
                <w:b/>
                <w:bCs/>
              </w:rPr>
              <w:t>未提交有效投标文件</w:t>
            </w:r>
            <w:r>
              <w:rPr>
                <w:rFonts w:hint="default" w:ascii="Times New Roman" w:hAnsi="Times New Roman" w:cs="Times New Roman"/>
              </w:rPr>
              <w:t>：</w:t>
            </w:r>
          </w:p>
          <w:p>
            <w:pPr>
              <w:rPr>
                <w:rFonts w:hint="default" w:ascii="Times New Roman" w:hAnsi="Times New Roman" w:cs="Times New Roman"/>
              </w:rPr>
            </w:pPr>
            <w:r>
              <w:rPr>
                <w:rFonts w:hint="default" w:ascii="Times New Roman" w:hAnsi="Times New Roman" w:cs="Times New Roman"/>
              </w:rPr>
              <w:t>5.1仅提交备份投标文件的；</w:t>
            </w:r>
          </w:p>
          <w:p>
            <w:pPr>
              <w:rPr>
                <w:rFonts w:hint="default" w:ascii="Times New Roman" w:hAnsi="Times New Roman" w:cs="Times New Roman"/>
              </w:rPr>
            </w:pPr>
            <w:r>
              <w:rPr>
                <w:rFonts w:hint="default" w:ascii="Times New Roman" w:hAnsi="Times New Roman" w:cs="Times New Roman"/>
              </w:rPr>
              <w:t>5.2投标人未按时解密，且提交备份投标文件无效的；</w:t>
            </w:r>
          </w:p>
          <w:p>
            <w:pPr>
              <w:rPr>
                <w:rFonts w:hint="default" w:ascii="Times New Roman" w:hAnsi="Times New Roman" w:cs="Times New Roman"/>
              </w:rPr>
            </w:pPr>
            <w:r>
              <w:rPr>
                <w:rFonts w:hint="default" w:ascii="Times New Roman" w:hAnsi="Times New Roman" w:cs="Times New Roman"/>
              </w:rPr>
              <w:t>5.3投标人未按时解密，且提交的备份投标文件不明确，存在一个或一个以上备选（替代）备份投标文件。</w:t>
            </w:r>
          </w:p>
          <w:p>
            <w:pPr>
              <w:rPr>
                <w:rFonts w:hint="default" w:ascii="Times New Roman" w:hAnsi="Times New Roman" w:cs="Times New Roman"/>
              </w:rPr>
            </w:pPr>
            <w:r>
              <w:rPr>
                <w:rFonts w:hint="default" w:ascii="Times New Roman" w:hAnsi="Times New Roman" w:cs="Times New Roman"/>
              </w:rPr>
              <w:t>6、投标人递交备份投标文件时，如出现下列情况之一的，</w:t>
            </w:r>
            <w:r>
              <w:rPr>
                <w:rFonts w:hint="default" w:ascii="Times New Roman" w:hAnsi="Times New Roman" w:cs="Times New Roman"/>
                <w:b/>
                <w:bCs/>
              </w:rPr>
              <w:t>将被拒收（此条款仅针对邮寄的备份文件）：</w:t>
            </w:r>
          </w:p>
          <w:p>
            <w:pPr>
              <w:rPr>
                <w:rFonts w:hint="default" w:ascii="Times New Roman" w:hAnsi="Times New Roman" w:cs="Times New Roman"/>
              </w:rPr>
            </w:pPr>
            <w:r>
              <w:rPr>
                <w:rFonts w:hint="default" w:ascii="Times New Roman" w:hAnsi="Times New Roman" w:cs="Times New Roman"/>
              </w:rPr>
              <w:t>6.1未按规定密封或标记的投标文件；</w:t>
            </w:r>
          </w:p>
          <w:p>
            <w:pPr>
              <w:rPr>
                <w:rFonts w:hint="default" w:ascii="Times New Roman" w:hAnsi="Times New Roman" w:cs="Times New Roman"/>
              </w:rPr>
            </w:pPr>
            <w:r>
              <w:rPr>
                <w:rFonts w:hint="default" w:ascii="Times New Roman" w:hAnsi="Times New Roman" w:cs="Times New Roman"/>
              </w:rPr>
              <w:t>6.2由于包装不妥，在送交途中严重损坏的；</w:t>
            </w:r>
          </w:p>
          <w:p>
            <w:pPr>
              <w:spacing w:line="360" w:lineRule="exact"/>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rPr>
              <w:t>6.3超过规定时间送达的。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7"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14</w:t>
            </w:r>
          </w:p>
        </w:tc>
        <w:tc>
          <w:tcPr>
            <w:tcW w:w="1421" w:type="dxa"/>
            <w:shd w:val="clear" w:color="auto" w:fill="E0E0E0"/>
            <w:vAlign w:val="center"/>
          </w:tcPr>
          <w:p>
            <w:pPr>
              <w:spacing w:line="276" w:lineRule="auto"/>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投标文件</w:t>
            </w:r>
          </w:p>
          <w:p>
            <w:pPr>
              <w:spacing w:line="276" w:lineRule="auto"/>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的密封要求</w:t>
            </w:r>
          </w:p>
        </w:tc>
        <w:tc>
          <w:tcPr>
            <w:tcW w:w="7273" w:type="dxa"/>
            <w:gridSpan w:val="4"/>
            <w:shd w:val="clear" w:color="auto" w:fill="FFFFFF"/>
            <w:vAlign w:val="center"/>
          </w:tcPr>
          <w:p>
            <w:pPr>
              <w:spacing w:line="36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1、供应商线上制作投标文件并采用CA数字证书进行电子签章及加密。</w:t>
            </w:r>
          </w:p>
          <w:p>
            <w:pPr>
              <w:spacing w:line="360" w:lineRule="exact"/>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2、供应商邮寄或现场递交的备份投标文件应密封封装，注明投标人名称、项目名称并封口处加盖公章。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7"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15</w:t>
            </w:r>
          </w:p>
        </w:tc>
        <w:tc>
          <w:tcPr>
            <w:tcW w:w="1421"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投标文件提交/开标截止时间</w:t>
            </w:r>
          </w:p>
        </w:tc>
        <w:tc>
          <w:tcPr>
            <w:tcW w:w="7273" w:type="dxa"/>
            <w:gridSpan w:val="4"/>
            <w:shd w:val="clear" w:color="auto" w:fill="FFFFFF"/>
            <w:vAlign w:val="center"/>
          </w:tcPr>
          <w:p>
            <w:pPr>
              <w:spacing w:line="360" w:lineRule="exact"/>
              <w:rPr>
                <w:rFonts w:hint="default" w:ascii="Times New Roman" w:hAnsi="Times New Roman" w:cs="Times New Roman"/>
                <w:color w:val="000000" w:themeColor="text1"/>
                <w:highlight w:val="none"/>
                <w14:textFill>
                  <w14:solidFill>
                    <w14:schemeClr w14:val="tx1"/>
                  </w14:solidFill>
                </w14:textFill>
              </w:rPr>
            </w:pPr>
            <w:r>
              <w:rPr>
                <w:rStyle w:val="30"/>
                <w:rFonts w:hint="default" w:ascii="Times New Roman" w:hAnsi="Times New Roman" w:cs="Times New Roman"/>
                <w:color w:val="000000" w:themeColor="text1"/>
                <w:highlight w:val="none"/>
                <w14:textFill>
                  <w14:solidFill>
                    <w14:schemeClr w14:val="tx1"/>
                  </w14:solidFill>
                </w14:textFill>
              </w:rPr>
              <w:t>2022年</w:t>
            </w:r>
            <w:r>
              <w:rPr>
                <w:rStyle w:val="30"/>
                <w:rFonts w:hint="eastAsia" w:ascii="Times New Roman" w:hAnsi="Times New Roman" w:cs="Times New Roman"/>
                <w:color w:val="000000" w:themeColor="text1"/>
                <w:highlight w:val="none"/>
                <w:lang w:val="en-US" w:eastAsia="zh-CN"/>
                <w14:textFill>
                  <w14:solidFill>
                    <w14:schemeClr w14:val="tx1"/>
                  </w14:solidFill>
                </w14:textFill>
              </w:rPr>
              <w:t>8</w:t>
            </w:r>
            <w:r>
              <w:rPr>
                <w:rStyle w:val="30"/>
                <w:rFonts w:hint="default" w:ascii="Times New Roman" w:hAnsi="Times New Roman" w:cs="Times New Roman"/>
                <w:color w:val="000000" w:themeColor="text1"/>
                <w:highlight w:val="none"/>
                <w14:textFill>
                  <w14:solidFill>
                    <w14:schemeClr w14:val="tx1"/>
                  </w14:solidFill>
                </w14:textFill>
              </w:rPr>
              <w:t>月</w:t>
            </w:r>
            <w:r>
              <w:rPr>
                <w:rStyle w:val="30"/>
                <w:rFonts w:hint="eastAsia" w:ascii="Times New Roman" w:hAnsi="Times New Roman" w:cs="Times New Roman"/>
                <w:color w:val="000000" w:themeColor="text1"/>
                <w:highlight w:val="none"/>
                <w:lang w:val="en-US" w:eastAsia="zh-CN"/>
                <w14:textFill>
                  <w14:solidFill>
                    <w14:schemeClr w14:val="tx1"/>
                  </w14:solidFill>
                </w14:textFill>
              </w:rPr>
              <w:t>8</w:t>
            </w:r>
            <w:r>
              <w:rPr>
                <w:rStyle w:val="30"/>
                <w:rFonts w:hint="default" w:ascii="Times New Roman" w:hAnsi="Times New Roman" w:cs="Times New Roman"/>
                <w:color w:val="000000" w:themeColor="text1"/>
                <w:highlight w:val="none"/>
                <w14:textFill>
                  <w14:solidFill>
                    <w14:schemeClr w14:val="tx1"/>
                  </w14:solidFill>
                </w14:textFill>
              </w:rPr>
              <w:t xml:space="preserve">日 14:30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7"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16</w:t>
            </w:r>
          </w:p>
        </w:tc>
        <w:tc>
          <w:tcPr>
            <w:tcW w:w="1421"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供应商注册</w:t>
            </w:r>
          </w:p>
        </w:tc>
        <w:tc>
          <w:tcPr>
            <w:tcW w:w="7273" w:type="dxa"/>
            <w:gridSpan w:val="4"/>
            <w:shd w:val="clear" w:color="auto" w:fill="FFFFFF"/>
            <w:vAlign w:val="center"/>
          </w:tcPr>
          <w:p>
            <w:pPr>
              <w:spacing w:line="360" w:lineRule="exact"/>
              <w:ind w:firstLine="420"/>
              <w:jc w:val="left"/>
              <w:rPr>
                <w:rFonts w:ascii="宋体"/>
                <w:bCs/>
                <w:snapToGrid w:val="0"/>
                <w:kern w:val="0"/>
              </w:rPr>
            </w:pPr>
            <w:r>
              <w:rPr>
                <w:rFonts w:hint="eastAsia" w:ascii="宋体" w:hAnsi="宋体"/>
                <w:bCs/>
                <w:snapToGrid w:val="0"/>
                <w:kern w:val="0"/>
              </w:rPr>
              <w:t>各投标人须在投标截止时间前根据浙江省财政厅《关于开展政府采购投标人网上注册登记和诚信管理工作的通知》（浙财采监【</w:t>
            </w:r>
            <w:r>
              <w:rPr>
                <w:rFonts w:ascii="宋体" w:hAnsi="宋体"/>
                <w:bCs/>
                <w:snapToGrid w:val="0"/>
                <w:kern w:val="0"/>
              </w:rPr>
              <w:t>2010</w:t>
            </w:r>
            <w:r>
              <w:rPr>
                <w:rFonts w:hint="eastAsia" w:ascii="宋体" w:hAnsi="宋体"/>
                <w:bCs/>
                <w:snapToGrid w:val="0"/>
                <w:kern w:val="0"/>
              </w:rPr>
              <w:t>】</w:t>
            </w:r>
            <w:r>
              <w:rPr>
                <w:rFonts w:ascii="宋体" w:hAnsi="宋体"/>
                <w:bCs/>
                <w:snapToGrid w:val="0"/>
                <w:kern w:val="0"/>
              </w:rPr>
              <w:t>8</w:t>
            </w:r>
            <w:r>
              <w:rPr>
                <w:rFonts w:hint="eastAsia" w:ascii="宋体" w:hAnsi="宋体"/>
                <w:bCs/>
                <w:snapToGrid w:val="0"/>
                <w:kern w:val="0"/>
              </w:rPr>
              <w:t>号文）的要求，通过浙江政府采购网申请注册加入政府采购投标人库。以免影响享受相关政策优惠及成交后的款项支付。</w:t>
            </w:r>
          </w:p>
          <w:p>
            <w:pPr>
              <w:spacing w:line="360" w:lineRule="exact"/>
              <w:ind w:firstLine="420"/>
              <w:jc w:val="left"/>
              <w:rPr>
                <w:rFonts w:hint="default" w:ascii="Times New Roman" w:hAnsi="Times New Roman" w:cs="Times New Roman"/>
                <w:color w:val="000000" w:themeColor="text1"/>
                <w14:textFill>
                  <w14:solidFill>
                    <w14:schemeClr w14:val="tx1"/>
                  </w14:solidFill>
                </w14:textFill>
              </w:rPr>
            </w:pPr>
            <w:r>
              <w:rPr>
                <w:rFonts w:hint="eastAsia" w:ascii="宋体" w:hAnsi="宋体"/>
                <w:bCs/>
                <w:snapToGrid w:val="0"/>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5"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17</w:t>
            </w:r>
          </w:p>
        </w:tc>
        <w:tc>
          <w:tcPr>
            <w:tcW w:w="1421" w:type="dxa"/>
            <w:shd w:val="clear" w:color="auto" w:fill="E0E0E0"/>
            <w:vAlign w:val="center"/>
          </w:tcPr>
          <w:p>
            <w:pPr>
              <w:spacing w:before="100" w:beforeAutospacing="1" w:after="100" w:afterAutospacing="1" w:line="360" w:lineRule="exact"/>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不良信用记录查询</w:t>
            </w:r>
          </w:p>
        </w:tc>
        <w:tc>
          <w:tcPr>
            <w:tcW w:w="7273" w:type="dxa"/>
            <w:gridSpan w:val="4"/>
            <w:shd w:val="clear" w:color="auto" w:fill="FFFFFF"/>
            <w:vAlign w:val="center"/>
          </w:tcPr>
          <w:p>
            <w:pPr>
              <w:spacing w:line="360" w:lineRule="exact"/>
            </w:pPr>
            <w:r>
              <w:rPr>
                <w:rFonts w:hint="eastAsia"/>
              </w:rPr>
              <w:t>根据财库〔2016〕125号《关于在政府采购活动中查询及使用信用记录有关问题的通知》要求，采购代理机构将对供应商信用记录进行查询并甄别。</w:t>
            </w:r>
          </w:p>
          <w:p>
            <w:pPr>
              <w:spacing w:line="360" w:lineRule="exact"/>
            </w:pPr>
            <w:r>
              <w:rPr>
                <w:rFonts w:hint="eastAsia"/>
              </w:rPr>
              <w:t>（1）信用信息查询的截止时点：磋商响应截止日；</w:t>
            </w:r>
          </w:p>
          <w:p>
            <w:pPr>
              <w:spacing w:line="360" w:lineRule="exact"/>
            </w:pPr>
            <w:r>
              <w:rPr>
                <w:rFonts w:hint="eastAsia"/>
              </w:rPr>
              <w:t>（2）查询渠道：“信用中国”（www.creditchina.  gov.cn）、“中国政府采购网”（www.ccgp.gov.cn）；</w:t>
            </w:r>
          </w:p>
          <w:p>
            <w:pPr>
              <w:spacing w:line="360" w:lineRule="exact"/>
            </w:pPr>
            <w:r>
              <w:rPr>
                <w:rFonts w:hint="eastAsia"/>
              </w:rPr>
              <w:t>（3）信用信息查询记录和证据留存具体方式：采购代理机构将查询网页打印并保存；</w:t>
            </w:r>
          </w:p>
          <w:p>
            <w:pPr>
              <w:spacing w:line="360" w:lineRule="exact"/>
            </w:pPr>
            <w:r>
              <w:rPr>
                <w:rFonts w:hint="eastAsia"/>
              </w:rPr>
              <w:t>（4）信用信息的使用规则：对列入失信被执行人、重大税收违法案件当事人名单、政府采购严重违法失信行为记录名单及其他不符合《中华人民共和国政府采购法》第二十二条规定条件的磋商响应供应商，将拒绝其参与政府采购活动；</w:t>
            </w:r>
          </w:p>
          <w:p>
            <w:pPr>
              <w:spacing w:line="360" w:lineRule="exact"/>
            </w:pPr>
            <w:r>
              <w:rPr>
                <w:rFonts w:hint="eastAsia"/>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spacing w:line="360" w:lineRule="exact"/>
              <w:rPr>
                <w:rFonts w:hint="default" w:ascii="Times New Roman" w:hAnsi="Times New Roman" w:cs="Times New Roman"/>
                <w:color w:val="000000" w:themeColor="text1"/>
                <w:szCs w:val="24"/>
                <w14:textFill>
                  <w14:solidFill>
                    <w14:schemeClr w14:val="tx1"/>
                  </w14:solidFill>
                </w14:textFill>
              </w:rPr>
            </w:pPr>
            <w:r>
              <w:rPr>
                <w:rFonts w:hint="eastAsia"/>
              </w:rPr>
              <w:t>（6）若联合体成员存在不良信用记录的，视同联合体存在不良信用记录。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eastAsia="宋体" w:cs="Times New Roman"/>
                <w:b/>
                <w:color w:val="000000" w:themeColor="text1"/>
                <w:lang w:val="en-US" w:eastAsia="zh-CN"/>
                <w14:textFill>
                  <w14:solidFill>
                    <w14:schemeClr w14:val="tx1"/>
                  </w14:solidFill>
                </w14:textFill>
              </w:rPr>
            </w:pPr>
            <w:r>
              <w:rPr>
                <w:rFonts w:ascii="宋体" w:hAnsi="宋体"/>
                <w:b/>
                <w:szCs w:val="21"/>
              </w:rPr>
              <w:t>18</w:t>
            </w:r>
          </w:p>
        </w:tc>
        <w:tc>
          <w:tcPr>
            <w:tcW w:w="1421" w:type="dxa"/>
            <w:shd w:val="clear" w:color="auto" w:fill="E0E0E0"/>
            <w:vAlign w:val="center"/>
          </w:tcPr>
          <w:p>
            <w:pPr>
              <w:jc w:val="center"/>
              <w:rPr>
                <w:rFonts w:hint="default" w:ascii="Times New Roman" w:hAnsi="Times New Roman" w:eastAsia="宋体" w:cs="Times New Roman"/>
                <w:b/>
                <w:color w:val="auto"/>
                <w:kern w:val="2"/>
                <w:sz w:val="21"/>
                <w:szCs w:val="21"/>
                <w:highlight w:val="none"/>
                <w:lang w:val="en-US" w:eastAsia="zh-CN" w:bidi="ar-SA"/>
              </w:rPr>
            </w:pPr>
            <w:r>
              <w:rPr>
                <w:rFonts w:hint="eastAsia"/>
                <w:b/>
              </w:rPr>
              <w:t>相关</w:t>
            </w:r>
            <w:r>
              <w:rPr>
                <w:b/>
              </w:rPr>
              <w:t>政策</w:t>
            </w:r>
          </w:p>
        </w:tc>
        <w:tc>
          <w:tcPr>
            <w:tcW w:w="7273" w:type="dxa"/>
            <w:gridSpan w:val="4"/>
            <w:shd w:val="clear" w:color="auto" w:fill="FFFFFF"/>
            <w:vAlign w:val="center"/>
          </w:tcPr>
          <w:p>
            <w:pPr>
              <w:rPr>
                <w:rFonts w:ascii="宋体" w:hAnsi="宋体" w:cs="宋体"/>
                <w:kern w:val="0"/>
                <w:szCs w:val="21"/>
              </w:rPr>
            </w:pPr>
            <w:r>
              <w:rPr>
                <w:rFonts w:hint="eastAsia" w:ascii="宋体" w:hAnsi="宋体" w:cs="宋体"/>
                <w:kern w:val="0"/>
                <w:szCs w:val="21"/>
              </w:rPr>
              <w:sym w:font="Wingdings" w:char="00FE"/>
            </w:r>
            <w:r>
              <w:rPr>
                <w:rFonts w:hint="eastAsia" w:ascii="宋体" w:hAnsi="宋体" w:cs="宋体"/>
                <w:b/>
                <w:bCs/>
                <w:kern w:val="0"/>
                <w:szCs w:val="21"/>
              </w:rPr>
              <w:t>专门面向中小企业采购项目。</w:t>
            </w:r>
          </w:p>
          <w:p>
            <w:r>
              <w:rPr>
                <w:rFonts w:hint="eastAsia" w:ascii="宋体" w:hAnsi="宋体" w:cs="宋体"/>
                <w:kern w:val="0"/>
                <w:szCs w:val="21"/>
              </w:rPr>
              <w:sym w:font="Wingdings" w:char="00A8"/>
            </w:r>
            <w:r>
              <w:rPr>
                <w:rFonts w:hint="eastAsia"/>
              </w:rPr>
              <w:t>未预留份额专门面向中小企业采购的采购项目。</w:t>
            </w:r>
          </w:p>
          <w:p>
            <w:pPr>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cs="宋体"/>
                <w:kern w:val="0"/>
                <w:szCs w:val="21"/>
              </w:rPr>
              <w:sym w:font="Wingdings" w:char="00A8"/>
            </w:r>
            <w:r>
              <w:rPr>
                <w:rFonts w:hint="eastAsia" w:ascii="宋体" w:hAnsi="宋体" w:cs="宋体"/>
                <w:kern w:val="0"/>
                <w:szCs w:val="21"/>
              </w:rPr>
              <w:t>预留份额</w:t>
            </w:r>
            <w:r>
              <w:rPr>
                <w:rFonts w:hint="eastAsia"/>
              </w:rPr>
              <w:t>专门面向中小企业采购的采购项目。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6"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color w:val="000000" w:themeColor="text1"/>
                <w:lang w:val="en-US" w:eastAsia="zh-CN"/>
                <w14:textFill>
                  <w14:solidFill>
                    <w14:schemeClr w14:val="tx1"/>
                  </w14:solidFill>
                </w14:textFill>
              </w:rPr>
              <w:t>19</w:t>
            </w:r>
          </w:p>
        </w:tc>
        <w:tc>
          <w:tcPr>
            <w:tcW w:w="1421" w:type="dxa"/>
            <w:shd w:val="clear" w:color="auto" w:fill="E0E0E0"/>
            <w:vAlign w:val="center"/>
          </w:tcPr>
          <w:p>
            <w:pPr>
              <w:snapToGrid w:val="0"/>
              <w:spacing w:line="360" w:lineRule="auto"/>
              <w:ind w:firstLine="422"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szCs w:val="21"/>
              </w:rPr>
              <w:t>分包</w:t>
            </w:r>
          </w:p>
        </w:tc>
        <w:tc>
          <w:tcPr>
            <w:tcW w:w="7273" w:type="dxa"/>
            <w:gridSpan w:val="4"/>
            <w:shd w:val="clear" w:color="auto" w:fill="FFFFFF"/>
            <w:vAlign w:val="center"/>
          </w:tcPr>
          <w:p>
            <w:pPr>
              <w:spacing w:line="360" w:lineRule="auto"/>
              <w:rPr>
                <w:rFonts w:hint="default" w:ascii="Times New Roman" w:hAnsi="Times New Roman" w:cs="Times New Roman"/>
                <w:szCs w:val="21"/>
              </w:rPr>
            </w:pPr>
            <w:r>
              <w:rPr>
                <w:rFonts w:hint="default" w:ascii="Times New Roman" w:hAnsi="Times New Roman" w:cs="Times New Roman"/>
                <w:kern w:val="0"/>
                <w:szCs w:val="21"/>
              </w:rPr>
              <w:t>☐ A</w:t>
            </w:r>
            <w:r>
              <w:rPr>
                <w:rFonts w:hint="default" w:ascii="Times New Roman" w:hAnsi="Times New Roman" w:cs="Times New Roman"/>
                <w:szCs w:val="21"/>
              </w:rPr>
              <w:t>同意将非主体、非关键性的工作分包。</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kern w:val="0"/>
                <w:szCs w:val="21"/>
              </w:rPr>
              <w:sym w:font="Wingdings" w:char="F0FE"/>
            </w:r>
            <w:r>
              <w:rPr>
                <w:rFonts w:hint="default" w:ascii="Times New Roman" w:hAnsi="Times New Roman" w:cs="Times New Roman"/>
                <w:kern w:val="0"/>
                <w:szCs w:val="21"/>
              </w:rPr>
              <w:t xml:space="preserve"> B</w:t>
            </w:r>
            <w:r>
              <w:rPr>
                <w:rFonts w:hint="default" w:ascii="Times New Roman" w:hAnsi="Times New Roman" w:cs="Times New Roman"/>
                <w:szCs w:val="21"/>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6"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
                <w:color w:val="000000" w:themeColor="text1"/>
                <w:lang w:val="en-US" w:eastAsia="zh-CN"/>
                <w14:textFill>
                  <w14:solidFill>
                    <w14:schemeClr w14:val="tx1"/>
                  </w14:solidFill>
                </w14:textFill>
              </w:rPr>
              <w:t>20</w:t>
            </w:r>
          </w:p>
        </w:tc>
        <w:tc>
          <w:tcPr>
            <w:tcW w:w="1421" w:type="dxa"/>
            <w:shd w:val="clear" w:color="auto" w:fill="E0E0E0"/>
            <w:vAlign w:val="center"/>
          </w:tcPr>
          <w:p>
            <w:pPr>
              <w:snapToGrid w:val="0"/>
              <w:spacing w:line="360" w:lineRule="auto"/>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szCs w:val="21"/>
              </w:rPr>
              <w:t>开标前答疑会或现场考察</w:t>
            </w:r>
          </w:p>
        </w:tc>
        <w:tc>
          <w:tcPr>
            <w:tcW w:w="7273" w:type="dxa"/>
            <w:gridSpan w:val="4"/>
            <w:shd w:val="clear" w:color="auto" w:fill="FFFFFF"/>
            <w:vAlign w:val="center"/>
          </w:tcPr>
          <w:p>
            <w:pPr>
              <w:spacing w:line="360" w:lineRule="auto"/>
              <w:rPr>
                <w:rFonts w:hint="default" w:ascii="Times New Roman" w:hAnsi="Times New Roman" w:cs="Times New Roman"/>
                <w:szCs w:val="21"/>
              </w:rPr>
            </w:pPr>
            <w:r>
              <w:rPr>
                <w:rFonts w:hint="default" w:ascii="Times New Roman" w:hAnsi="Times New Roman" w:cs="Times New Roman"/>
                <w:kern w:val="0"/>
                <w:szCs w:val="21"/>
              </w:rPr>
              <w:sym w:font="Wingdings" w:char="F0FE"/>
            </w:r>
            <w:r>
              <w:rPr>
                <w:rFonts w:hint="default" w:ascii="Times New Roman" w:hAnsi="Times New Roman" w:cs="Times New Roman"/>
                <w:kern w:val="0"/>
                <w:szCs w:val="21"/>
              </w:rPr>
              <w:t>A</w:t>
            </w:r>
            <w:r>
              <w:rPr>
                <w:rFonts w:hint="default" w:ascii="Times New Roman" w:hAnsi="Times New Roman" w:cs="Times New Roman"/>
                <w:szCs w:val="21"/>
              </w:rPr>
              <w:t>不组织。</w:t>
            </w:r>
          </w:p>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kern w:val="0"/>
                <w:szCs w:val="21"/>
              </w:rPr>
              <w:t>☐B组织，</w:t>
            </w:r>
            <w:r>
              <w:rPr>
                <w:rFonts w:hint="default" w:ascii="Times New Roman" w:hAnsi="Times New Roman" w:cs="Times New Roman"/>
                <w:szCs w:val="21"/>
              </w:rPr>
              <w:t>时间：,地点：，联系人：，联系方式：。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95"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color w:val="000000" w:themeColor="text1"/>
                <w:lang w:val="en-US" w:eastAsia="zh-CN"/>
                <w14:textFill>
                  <w14:solidFill>
                    <w14:schemeClr w14:val="tx1"/>
                  </w14:solidFill>
                </w14:textFill>
              </w:rPr>
              <w:t>2</w:t>
            </w:r>
            <w:r>
              <w:rPr>
                <w:rFonts w:hint="eastAsia" w:ascii="Times New Roman" w:hAnsi="Times New Roman" w:cs="Times New Roman"/>
                <w:b/>
                <w:color w:val="000000" w:themeColor="text1"/>
                <w:lang w:val="en-US" w:eastAsia="zh-CN"/>
                <w14:textFill>
                  <w14:solidFill>
                    <w14:schemeClr w14:val="tx1"/>
                  </w14:solidFill>
                </w14:textFill>
              </w:rPr>
              <w:t>1</w:t>
            </w:r>
          </w:p>
        </w:tc>
        <w:tc>
          <w:tcPr>
            <w:tcW w:w="1421" w:type="dxa"/>
            <w:shd w:val="clear" w:color="auto" w:fill="E0E0E0"/>
            <w:vAlign w:val="center"/>
          </w:tcPr>
          <w:p>
            <w:pPr>
              <w:spacing w:line="360" w:lineRule="auto"/>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其他事项</w:t>
            </w:r>
          </w:p>
        </w:tc>
        <w:tc>
          <w:tcPr>
            <w:tcW w:w="7273" w:type="dxa"/>
            <w:gridSpan w:val="4"/>
            <w:shd w:val="clear" w:color="auto" w:fill="FFFFFF"/>
            <w:vAlign w:val="center"/>
          </w:tcPr>
          <w:p>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为提高采购效率，节省采购成本，获取了采购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0" w:hRule="atLeast"/>
          <w:tblCellSpacing w:w="7" w:type="dxa"/>
          <w:jc w:val="center"/>
        </w:trPr>
        <w:tc>
          <w:tcPr>
            <w:tcW w:w="549" w:type="dxa"/>
            <w:shd w:val="clear" w:color="auto" w:fill="E0E0E0"/>
            <w:vAlign w:val="center"/>
          </w:tcPr>
          <w:p>
            <w:pPr>
              <w:spacing w:before="100" w:beforeAutospacing="1" w:after="100" w:afterAutospacing="1" w:line="360" w:lineRule="exact"/>
              <w:jc w:val="cente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color w:val="000000" w:themeColor="text1"/>
                <w:lang w:val="en-US" w:eastAsia="zh-CN"/>
                <w14:textFill>
                  <w14:solidFill>
                    <w14:schemeClr w14:val="tx1"/>
                  </w14:solidFill>
                </w14:textFill>
              </w:rPr>
              <w:t>2</w:t>
            </w:r>
            <w:r>
              <w:rPr>
                <w:rFonts w:hint="eastAsia" w:ascii="Times New Roman" w:hAnsi="Times New Roman" w:cs="Times New Roman"/>
                <w:b/>
                <w:color w:val="000000" w:themeColor="text1"/>
                <w:lang w:val="en-US" w:eastAsia="zh-CN"/>
                <w14:textFill>
                  <w14:solidFill>
                    <w14:schemeClr w14:val="tx1"/>
                  </w14:solidFill>
                </w14:textFill>
              </w:rPr>
              <w:t>2</w:t>
            </w:r>
          </w:p>
        </w:tc>
        <w:tc>
          <w:tcPr>
            <w:tcW w:w="1421" w:type="dxa"/>
            <w:shd w:val="clear" w:color="auto" w:fill="E0E0E0"/>
            <w:vAlign w:val="center"/>
          </w:tcPr>
          <w:p>
            <w:pPr>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szCs w:val="21"/>
              </w:rPr>
              <w:t>采购标的对应的中小企业划分标准所属行业</w:t>
            </w:r>
          </w:p>
        </w:tc>
        <w:tc>
          <w:tcPr>
            <w:tcW w:w="7273" w:type="dxa"/>
            <w:gridSpan w:val="4"/>
            <w:shd w:val="clear" w:color="auto" w:fill="FFFFFF"/>
            <w:vAlign w:val="center"/>
          </w:tcPr>
          <w:p>
            <w:pPr>
              <w:adjustRightInd w:val="0"/>
              <w:snapToGrid w:val="0"/>
              <w:jc w:val="left"/>
              <w:rPr>
                <w:rFonts w:hint="default" w:ascii="Times New Roman" w:hAnsi="Times New Roman" w:cs="Times New Roman"/>
                <w:highlight w:val="none"/>
                <w:lang w:val="en-US" w:eastAsia="zh-CN"/>
              </w:rPr>
            </w:pPr>
            <w:r>
              <w:rPr>
                <w:rFonts w:hint="default" w:ascii="Times New Roman" w:hAnsi="Times New Roman" w:cs="Times New Roman"/>
                <w:highlight w:val="none"/>
              </w:rPr>
              <w:t>所属行业：</w:t>
            </w:r>
            <w:r>
              <w:rPr>
                <w:rFonts w:hint="default" w:ascii="Times New Roman" w:hAnsi="Times New Roman" w:cs="Times New Roman"/>
                <w:highlight w:val="none"/>
                <w:lang w:val="en-US" w:eastAsia="zh-CN"/>
              </w:rPr>
              <w:t>租赁和商务服务业</w:t>
            </w:r>
          </w:p>
          <w:tbl>
            <w:tblPr>
              <w:tblStyle w:val="28"/>
              <w:tblpPr w:leftFromText="180" w:rightFromText="180" w:vertAnchor="text" w:horzAnchor="page" w:tblpX="209" w:tblpY="447"/>
              <w:tblOverlap w:val="never"/>
              <w:tblW w:w="6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209"/>
              <w:gridCol w:w="743"/>
              <w:gridCol w:w="1285"/>
              <w:gridCol w:w="1127"/>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36" w:type="dxa"/>
                  <w:vAlign w:val="center"/>
                </w:tcPr>
                <w:p>
                  <w:pPr>
                    <w:widowControl/>
                    <w:wordWrap w:val="0"/>
                    <w:spacing w:line="360" w:lineRule="atLeast"/>
                    <w:jc w:val="center"/>
                    <w:textAlignment w:val="center"/>
                    <w:rPr>
                      <w:rFonts w:hint="default" w:ascii="Times New Roman" w:hAnsi="Times New Roman" w:cs="Times New Roman"/>
                      <w:b/>
                      <w:bCs/>
                      <w:color w:val="000000" w:themeColor="text1"/>
                      <w:kern w:val="0"/>
                      <w:sz w:val="18"/>
                      <w:szCs w:val="18"/>
                      <w:highlight w:val="none"/>
                      <w14:textFill>
                        <w14:solidFill>
                          <w14:schemeClr w14:val="tx1"/>
                        </w14:solidFill>
                      </w14:textFill>
                    </w:rPr>
                  </w:pPr>
                  <w:r>
                    <w:rPr>
                      <w:rFonts w:hint="default" w:ascii="Times New Roman" w:hAnsi="Times New Roman" w:cs="Times New Roman"/>
                      <w:b/>
                      <w:bCs/>
                      <w:color w:val="000000" w:themeColor="text1"/>
                      <w:kern w:val="0"/>
                      <w:sz w:val="18"/>
                      <w:szCs w:val="18"/>
                      <w:highlight w:val="none"/>
                      <w14:textFill>
                        <w14:solidFill>
                          <w14:schemeClr w14:val="tx1"/>
                        </w14:solidFill>
                      </w14:textFill>
                    </w:rPr>
                    <w:t>行业</w:t>
                  </w:r>
                </w:p>
                <w:p>
                  <w:pPr>
                    <w:widowControl/>
                    <w:wordWrap w:val="0"/>
                    <w:spacing w:line="360" w:lineRule="atLeast"/>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kern w:val="0"/>
                      <w:sz w:val="18"/>
                      <w:szCs w:val="18"/>
                      <w:highlight w:val="none"/>
                      <w14:textFill>
                        <w14:solidFill>
                          <w14:schemeClr w14:val="tx1"/>
                        </w14:solidFill>
                      </w14:textFill>
                    </w:rPr>
                    <w:t>名称</w:t>
                  </w:r>
                </w:p>
              </w:tc>
              <w:tc>
                <w:tcPr>
                  <w:tcW w:w="1209" w:type="dxa"/>
                  <w:vAlign w:val="center"/>
                </w:tcPr>
                <w:p>
                  <w:pPr>
                    <w:widowControl/>
                    <w:wordWrap w:val="0"/>
                    <w:spacing w:line="360" w:lineRule="atLeast"/>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kern w:val="0"/>
                      <w:sz w:val="18"/>
                      <w:szCs w:val="18"/>
                      <w:highlight w:val="none"/>
                      <w14:textFill>
                        <w14:solidFill>
                          <w14:schemeClr w14:val="tx1"/>
                        </w14:solidFill>
                      </w14:textFill>
                    </w:rPr>
                    <w:t>指标名称</w:t>
                  </w:r>
                </w:p>
              </w:tc>
              <w:tc>
                <w:tcPr>
                  <w:tcW w:w="743" w:type="dxa"/>
                  <w:vAlign w:val="center"/>
                </w:tcPr>
                <w:p>
                  <w:pPr>
                    <w:widowControl/>
                    <w:wordWrap w:val="0"/>
                    <w:spacing w:line="360" w:lineRule="atLeast"/>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kern w:val="0"/>
                      <w:sz w:val="18"/>
                      <w:szCs w:val="18"/>
                      <w:highlight w:val="none"/>
                      <w14:textFill>
                        <w14:solidFill>
                          <w14:schemeClr w14:val="tx1"/>
                        </w14:solidFill>
                      </w14:textFill>
                    </w:rPr>
                    <w:t>计量单位</w:t>
                  </w:r>
                </w:p>
              </w:tc>
              <w:tc>
                <w:tcPr>
                  <w:tcW w:w="1285" w:type="dxa"/>
                  <w:vAlign w:val="center"/>
                </w:tcPr>
                <w:p>
                  <w:pPr>
                    <w:widowControl/>
                    <w:wordWrap w:val="0"/>
                    <w:spacing w:line="360" w:lineRule="atLeast"/>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kern w:val="0"/>
                      <w:sz w:val="18"/>
                      <w:szCs w:val="18"/>
                      <w:highlight w:val="none"/>
                      <w14:textFill>
                        <w14:solidFill>
                          <w14:schemeClr w14:val="tx1"/>
                        </w14:solidFill>
                      </w14:textFill>
                    </w:rPr>
                    <w:t>中型</w:t>
                  </w:r>
                </w:p>
              </w:tc>
              <w:tc>
                <w:tcPr>
                  <w:tcW w:w="1127" w:type="dxa"/>
                  <w:vAlign w:val="center"/>
                </w:tcPr>
                <w:p>
                  <w:pPr>
                    <w:widowControl/>
                    <w:wordWrap w:val="0"/>
                    <w:spacing w:line="360" w:lineRule="atLeast"/>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kern w:val="0"/>
                      <w:sz w:val="18"/>
                      <w:szCs w:val="18"/>
                      <w:highlight w:val="none"/>
                      <w14:textFill>
                        <w14:solidFill>
                          <w14:schemeClr w14:val="tx1"/>
                        </w14:solidFill>
                      </w14:textFill>
                    </w:rPr>
                    <w:t>小型</w:t>
                  </w:r>
                </w:p>
              </w:tc>
              <w:tc>
                <w:tcPr>
                  <w:tcW w:w="1281" w:type="dxa"/>
                  <w:vAlign w:val="center"/>
                </w:tcPr>
                <w:p>
                  <w:pPr>
                    <w:widowControl/>
                    <w:wordWrap w:val="0"/>
                    <w:spacing w:line="360" w:lineRule="atLeast"/>
                    <w:jc w:val="both"/>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kern w:val="0"/>
                      <w:sz w:val="18"/>
                      <w:szCs w:val="18"/>
                      <w:highlight w:val="none"/>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36" w:type="dxa"/>
                  <w:vMerge w:val="restart"/>
                  <w:vAlign w:val="center"/>
                </w:tcPr>
                <w:p>
                  <w:pPr>
                    <w:widowControl/>
                    <w:wordWrap w:val="0"/>
                    <w:spacing w:line="360" w:lineRule="atLeast"/>
                    <w:jc w:val="center"/>
                    <w:textAlignment w:val="center"/>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kern w:val="0"/>
                      <w:sz w:val="18"/>
                      <w:szCs w:val="18"/>
                      <w:highlight w:val="none"/>
                      <w:lang w:eastAsia="zh-CN"/>
                      <w14:textFill>
                        <w14:solidFill>
                          <w14:schemeClr w14:val="tx1"/>
                        </w14:solidFill>
                      </w14:textFill>
                    </w:rPr>
                    <w:t>租赁和商务服务业</w:t>
                  </w:r>
                </w:p>
              </w:tc>
              <w:tc>
                <w:tcPr>
                  <w:tcW w:w="1209" w:type="dxa"/>
                  <w:vAlign w:val="center"/>
                </w:tcPr>
                <w:p>
                  <w:pPr>
                    <w:pStyle w:val="24"/>
                    <w:widowControl/>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从业人员(X)</w:t>
                  </w:r>
                </w:p>
              </w:tc>
              <w:tc>
                <w:tcPr>
                  <w:tcW w:w="743" w:type="dxa"/>
                  <w:vAlign w:val="center"/>
                </w:tcPr>
                <w:p>
                  <w:pPr>
                    <w:pStyle w:val="24"/>
                    <w:widowControl/>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人</w:t>
                  </w:r>
                </w:p>
              </w:tc>
              <w:tc>
                <w:tcPr>
                  <w:tcW w:w="1285" w:type="dxa"/>
                  <w:vAlign w:val="center"/>
                </w:tcPr>
                <w:p>
                  <w:pPr>
                    <w:pStyle w:val="24"/>
                    <w:widowControl/>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caps w:val="0"/>
                      <w:color w:val="333333"/>
                      <w:spacing w:val="0"/>
                      <w:sz w:val="18"/>
                      <w:szCs w:val="18"/>
                      <w:highlight w:val="none"/>
                      <w:shd w:val="clear" w:fill="FFFFFF"/>
                    </w:rPr>
                    <w:t>100≤X&lt;300</w:t>
                  </w:r>
                </w:p>
              </w:tc>
              <w:tc>
                <w:tcPr>
                  <w:tcW w:w="1127" w:type="dxa"/>
                  <w:vAlign w:val="center"/>
                </w:tcPr>
                <w:p>
                  <w:pPr>
                    <w:pStyle w:val="24"/>
                    <w:widowControl/>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caps w:val="0"/>
                      <w:color w:val="333333"/>
                      <w:spacing w:val="0"/>
                      <w:sz w:val="18"/>
                      <w:szCs w:val="18"/>
                      <w:highlight w:val="none"/>
                      <w:shd w:val="clear" w:fill="FFFFFF"/>
                    </w:rPr>
                    <w:t>10≤X&lt;100</w:t>
                  </w:r>
                </w:p>
              </w:tc>
              <w:tc>
                <w:tcPr>
                  <w:tcW w:w="1281" w:type="dxa"/>
                  <w:vAlign w:val="center"/>
                </w:tcPr>
                <w:p>
                  <w:pPr>
                    <w:pStyle w:val="24"/>
                    <w:widowControl/>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caps w:val="0"/>
                      <w:color w:val="333333"/>
                      <w:spacing w:val="0"/>
                      <w:sz w:val="18"/>
                      <w:szCs w:val="18"/>
                      <w:highlight w:val="none"/>
                      <w:shd w:val="clear" w:fill="FFFFFF"/>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36" w:type="dxa"/>
                  <w:vMerge w:val="continue"/>
                  <w:vAlign w:val="center"/>
                </w:tcPr>
                <w:p>
                  <w:pPr>
                    <w:widowControl/>
                    <w:wordWrap w:val="0"/>
                    <w:spacing w:line="360" w:lineRule="atLeast"/>
                    <w:jc w:val="center"/>
                    <w:textAlignment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209" w:type="dxa"/>
                  <w:vAlign w:val="center"/>
                </w:tcPr>
                <w:p>
                  <w:pPr>
                    <w:pStyle w:val="24"/>
                    <w:widowControl/>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营业收入(Y)</w:t>
                  </w:r>
                </w:p>
              </w:tc>
              <w:tc>
                <w:tcPr>
                  <w:tcW w:w="743" w:type="dxa"/>
                  <w:vAlign w:val="center"/>
                </w:tcPr>
                <w:p>
                  <w:pPr>
                    <w:pStyle w:val="24"/>
                    <w:widowControl/>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万元</w:t>
                  </w:r>
                </w:p>
              </w:tc>
              <w:tc>
                <w:tcPr>
                  <w:tcW w:w="1285" w:type="dxa"/>
                  <w:vAlign w:val="center"/>
                </w:tcPr>
                <w:p>
                  <w:pPr>
                    <w:pStyle w:val="24"/>
                    <w:widowControl/>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caps w:val="0"/>
                      <w:color w:val="333333"/>
                      <w:spacing w:val="0"/>
                      <w:sz w:val="18"/>
                      <w:szCs w:val="18"/>
                      <w:highlight w:val="none"/>
                      <w:shd w:val="clear" w:fill="FFFFFF"/>
                    </w:rPr>
                    <w:t>8000≤Z&lt;120000</w:t>
                  </w:r>
                </w:p>
              </w:tc>
              <w:tc>
                <w:tcPr>
                  <w:tcW w:w="1127" w:type="dxa"/>
                  <w:vAlign w:val="center"/>
                </w:tcPr>
                <w:p>
                  <w:pPr>
                    <w:pStyle w:val="24"/>
                    <w:widowControl/>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caps w:val="0"/>
                      <w:color w:val="333333"/>
                      <w:spacing w:val="0"/>
                      <w:sz w:val="18"/>
                      <w:szCs w:val="18"/>
                      <w:highlight w:val="none"/>
                      <w:shd w:val="clear" w:fill="FFFFFF"/>
                    </w:rPr>
                    <w:t>100≤Z&lt;8000</w:t>
                  </w:r>
                </w:p>
              </w:tc>
              <w:tc>
                <w:tcPr>
                  <w:tcW w:w="1281" w:type="dxa"/>
                  <w:vAlign w:val="center"/>
                </w:tcPr>
                <w:p>
                  <w:pPr>
                    <w:pStyle w:val="24"/>
                    <w:widowControl/>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caps w:val="0"/>
                      <w:color w:val="333333"/>
                      <w:spacing w:val="0"/>
                      <w:sz w:val="18"/>
                      <w:szCs w:val="18"/>
                      <w:highlight w:val="none"/>
                      <w:shd w:val="clear" w:fill="FFFFFF"/>
                    </w:rPr>
                    <w:t>Z&lt;100</w:t>
                  </w:r>
                </w:p>
              </w:tc>
            </w:tr>
          </w:tbl>
          <w:p>
            <w:pPr>
              <w:pStyle w:val="14"/>
              <w:ind w:firstLine="0" w:firstLineChars="0"/>
              <w:rPr>
                <w:rFonts w:hint="default" w:ascii="Times New Roman" w:hAnsi="Times New Roman" w:cs="Times New Roman"/>
                <w:color w:val="000000" w:themeColor="text1"/>
                <w14:textFill>
                  <w14:solidFill>
                    <w14:schemeClr w14:val="tx1"/>
                  </w14:solidFill>
                </w14:textFill>
              </w:rPr>
            </w:pPr>
          </w:p>
        </w:tc>
      </w:tr>
    </w:tbl>
    <w:p>
      <w:pPr>
        <w:pStyle w:val="12"/>
        <w:rPr>
          <w:rFonts w:hint="default" w:ascii="Times New Roman" w:hAnsi="Times New Roman" w:cs="Times New Roman"/>
          <w:b/>
          <w:bCs/>
          <w:color w:val="000000" w:themeColor="text1"/>
          <w:sz w:val="30"/>
          <w:szCs w:val="30"/>
          <w14:textFill>
            <w14:solidFill>
              <w14:schemeClr w14:val="tx1"/>
            </w14:solidFill>
          </w14:textFill>
        </w:rPr>
      </w:pPr>
    </w:p>
    <w:p>
      <w:pPr>
        <w:pStyle w:val="13"/>
        <w:ind w:firstLine="301"/>
        <w:rPr>
          <w:rFonts w:hint="default" w:ascii="Times New Roman" w:hAnsi="Times New Roman" w:cs="Times New Roman"/>
          <w:b/>
          <w:bCs/>
          <w:color w:val="000000" w:themeColor="text1"/>
          <w:sz w:val="30"/>
          <w:szCs w:val="30"/>
          <w14:textFill>
            <w14:solidFill>
              <w14:schemeClr w14:val="tx1"/>
            </w14:solidFill>
          </w14:textFill>
        </w:rPr>
      </w:pPr>
    </w:p>
    <w:p>
      <w:pPr>
        <w:pStyle w:val="13"/>
        <w:ind w:firstLine="301"/>
        <w:rPr>
          <w:rFonts w:hint="default" w:ascii="Times New Roman" w:hAnsi="Times New Roman" w:cs="Times New Roman"/>
          <w:b/>
          <w:bCs/>
          <w:color w:val="000000" w:themeColor="text1"/>
          <w:sz w:val="30"/>
          <w:szCs w:val="30"/>
          <w14:textFill>
            <w14:solidFill>
              <w14:schemeClr w14:val="tx1"/>
            </w14:solidFill>
          </w14:textFill>
        </w:rPr>
      </w:pPr>
    </w:p>
    <w:p>
      <w:pPr>
        <w:pStyle w:val="13"/>
        <w:ind w:firstLine="301"/>
        <w:rPr>
          <w:rFonts w:hint="default" w:ascii="Times New Roman" w:hAnsi="Times New Roman" w:cs="Times New Roman"/>
          <w:b/>
          <w:bCs/>
          <w:color w:val="000000" w:themeColor="text1"/>
          <w:sz w:val="30"/>
          <w:szCs w:val="30"/>
          <w14:textFill>
            <w14:solidFill>
              <w14:schemeClr w14:val="tx1"/>
            </w14:solidFill>
          </w14:textFill>
        </w:rPr>
      </w:pPr>
    </w:p>
    <w:p>
      <w:pPr>
        <w:rPr>
          <w:rFonts w:hint="default" w:ascii="Times New Roman" w:hAnsi="Times New Roman" w:cs="Times New Roman"/>
          <w:b/>
          <w:bCs/>
          <w:color w:val="000000" w:themeColor="text1"/>
          <w:sz w:val="28"/>
          <w:szCs w:val="28"/>
          <w14:textFill>
            <w14:solidFill>
              <w14:schemeClr w14:val="tx1"/>
            </w14:solidFill>
          </w14:textFill>
        </w:rPr>
      </w:pPr>
    </w:p>
    <w:p>
      <w:pPr>
        <w:pStyle w:val="12"/>
        <w:rPr>
          <w:rFonts w:hint="default" w:ascii="Times New Roman" w:hAnsi="Times New Roman" w:cs="Times New Roman"/>
          <w:b/>
          <w:bCs/>
          <w:color w:val="000000" w:themeColor="text1"/>
          <w:sz w:val="28"/>
          <w:szCs w:val="28"/>
          <w14:textFill>
            <w14:solidFill>
              <w14:schemeClr w14:val="tx1"/>
            </w14:solidFill>
          </w14:textFill>
        </w:rPr>
      </w:pPr>
    </w:p>
    <w:p>
      <w:pPr>
        <w:pStyle w:val="13"/>
        <w:ind w:firstLine="281"/>
        <w:rPr>
          <w:rFonts w:hint="default" w:ascii="Times New Roman" w:hAnsi="Times New Roman" w:cs="Times New Roman"/>
          <w:b/>
          <w:bCs/>
          <w:color w:val="000000" w:themeColor="text1"/>
          <w:sz w:val="28"/>
          <w:szCs w:val="28"/>
          <w14:textFill>
            <w14:solidFill>
              <w14:schemeClr w14:val="tx1"/>
            </w14:solidFill>
          </w14:textFill>
        </w:rPr>
      </w:pPr>
    </w:p>
    <w:p>
      <w:pPr>
        <w:pStyle w:val="22"/>
        <w:rPr>
          <w:rFonts w:hint="default" w:ascii="Times New Roman" w:hAnsi="Times New Roman" w:cs="Times New Roman"/>
          <w:b/>
          <w:bCs/>
          <w:color w:val="000000" w:themeColor="text1"/>
          <w:sz w:val="28"/>
          <w:szCs w:val="28"/>
          <w14:textFill>
            <w14:solidFill>
              <w14:schemeClr w14:val="tx1"/>
            </w14:solidFill>
          </w14:textFill>
        </w:rPr>
      </w:pPr>
    </w:p>
    <w:p>
      <w:pPr>
        <w:rPr>
          <w:rFonts w:hint="default" w:ascii="Times New Roman" w:hAnsi="Times New Roman" w:cs="Times New Roman"/>
          <w:b/>
          <w:bCs/>
          <w:color w:val="000000" w:themeColor="text1"/>
          <w:sz w:val="28"/>
          <w:szCs w:val="28"/>
          <w14:textFill>
            <w14:solidFill>
              <w14:schemeClr w14:val="tx1"/>
            </w14:solidFill>
          </w14:textFill>
        </w:rPr>
      </w:pPr>
    </w:p>
    <w:p>
      <w:pPr>
        <w:pStyle w:val="2"/>
        <w:rPr>
          <w:rFonts w:hint="default" w:ascii="Times New Roman" w:hAnsi="Times New Roman" w:cs="Times New Roman"/>
          <w:b/>
          <w:bCs/>
          <w:color w:val="000000" w:themeColor="text1"/>
          <w:sz w:val="28"/>
          <w:szCs w:val="28"/>
          <w14:textFill>
            <w14:solidFill>
              <w14:schemeClr w14:val="tx1"/>
            </w14:solidFill>
          </w14:textFill>
        </w:rPr>
      </w:pPr>
    </w:p>
    <w:p>
      <w:pPr>
        <w:rPr>
          <w:rFonts w:hint="default" w:ascii="Times New Roman" w:hAnsi="Times New Roman" w:cs="Times New Roman"/>
          <w:b/>
          <w:bCs/>
          <w:color w:val="000000" w:themeColor="text1"/>
          <w:sz w:val="28"/>
          <w:szCs w:val="28"/>
          <w14:textFill>
            <w14:solidFill>
              <w14:schemeClr w14:val="tx1"/>
            </w14:solidFill>
          </w14:textFill>
        </w:rPr>
      </w:pPr>
    </w:p>
    <w:p>
      <w:pPr>
        <w:pStyle w:val="2"/>
        <w:rPr>
          <w:rFonts w:hint="default" w:ascii="Times New Roman" w:hAnsi="Times New Roman" w:cs="Times New Roman"/>
          <w:b/>
          <w:bCs/>
          <w:color w:val="000000" w:themeColor="text1"/>
          <w:sz w:val="28"/>
          <w:szCs w:val="28"/>
          <w14:textFill>
            <w14:solidFill>
              <w14:schemeClr w14:val="tx1"/>
            </w14:solidFill>
          </w14:textFill>
        </w:rPr>
      </w:pPr>
    </w:p>
    <w:p>
      <w:pPr>
        <w:rPr>
          <w:rFonts w:hint="default" w:ascii="Times New Roman" w:hAnsi="Times New Roman" w:cs="Times New Roman"/>
          <w:b/>
          <w:bCs/>
          <w:color w:val="000000" w:themeColor="text1"/>
          <w:sz w:val="28"/>
          <w:szCs w:val="28"/>
          <w14:textFill>
            <w14:solidFill>
              <w14:schemeClr w14:val="tx1"/>
            </w14:solidFill>
          </w14:textFill>
        </w:rPr>
      </w:pPr>
    </w:p>
    <w:p>
      <w:pPr>
        <w:jc w:val="center"/>
        <w:rPr>
          <w:rFonts w:hint="default" w:ascii="Times New Roman" w:hAnsi="Times New Roman" w:cs="Times New Roman"/>
          <w:b/>
          <w:bCs/>
          <w:color w:val="000000" w:themeColor="text1"/>
          <w:sz w:val="24"/>
          <w:szCs w:val="24"/>
          <w14:textFill>
            <w14:solidFill>
              <w14:schemeClr w14:val="tx1"/>
            </w14:solidFill>
          </w14:textFill>
        </w:rPr>
      </w:pPr>
    </w:p>
    <w:p>
      <w:pPr>
        <w:jc w:val="center"/>
        <w:rPr>
          <w:rFonts w:hint="default" w:ascii="Times New Roman" w:hAnsi="Times New Roman" w:cs="Times New Roman"/>
          <w:b/>
          <w:bCs/>
          <w:color w:val="000000" w:themeColor="text1"/>
          <w:sz w:val="24"/>
          <w:szCs w:val="24"/>
          <w14:textFill>
            <w14:solidFill>
              <w14:schemeClr w14:val="tx1"/>
            </w14:solidFill>
          </w14:textFill>
        </w:rPr>
      </w:pPr>
    </w:p>
    <w:p>
      <w:pPr>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一、总则</w:t>
      </w:r>
    </w:p>
    <w:p>
      <w:pPr>
        <w:pStyle w:val="59"/>
        <w:snapToGrid w:val="0"/>
        <w:spacing w:beforeLines="0" w:afterLines="0" w:line="360" w:lineRule="auto"/>
        <w:ind w:firstLine="422" w:firstLineChars="200"/>
        <w:contextualSpacing/>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（一）适用范围</w:t>
      </w:r>
    </w:p>
    <w:p>
      <w:pPr>
        <w:snapToGrid w:val="0"/>
        <w:spacing w:line="360" w:lineRule="auto"/>
        <w:ind w:right="-506" w:rightChars="-241"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本采购文件适用于</w:t>
      </w:r>
      <w:r>
        <w:rPr>
          <w:rFonts w:hint="default" w:ascii="Times New Roman" w:hAnsi="Times New Roman" w:cs="Times New Roman"/>
          <w:color w:val="000000" w:themeColor="text1"/>
          <w:lang w:eastAsia="zh-CN"/>
          <w14:textFill>
            <w14:solidFill>
              <w14:schemeClr w14:val="tx1"/>
            </w14:solidFill>
          </w14:textFill>
        </w:rPr>
        <w:t>定海区城镇老旧房屋结构监测技术服务项目</w:t>
      </w:r>
      <w:r>
        <w:rPr>
          <w:rFonts w:hint="default" w:ascii="Times New Roman" w:hAnsi="Times New Roman" w:cs="Times New Roman"/>
          <w:color w:val="000000" w:themeColor="text1"/>
          <w14:textFill>
            <w14:solidFill>
              <w14:schemeClr w14:val="tx1"/>
            </w14:solidFill>
          </w14:textFill>
        </w:rPr>
        <w:t>的招标、投标、评标、定标、验收、合同履约、付款等行为（法律、法规另有规定的，从其规定）。</w:t>
      </w:r>
    </w:p>
    <w:p>
      <w:pPr>
        <w:pStyle w:val="59"/>
        <w:snapToGrid w:val="0"/>
        <w:spacing w:beforeLines="0" w:afterLines="0" w:line="360" w:lineRule="auto"/>
        <w:ind w:firstLine="422" w:firstLineChars="200"/>
        <w:contextualSpacing/>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（二）定义</w:t>
      </w:r>
    </w:p>
    <w:p>
      <w:pPr>
        <w:snapToGrid w:val="0"/>
        <w:spacing w:line="360" w:lineRule="auto"/>
        <w:ind w:right="-506" w:rightChars="-241"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1.招标采购单位系指组织本次招标的代理机构和采购单位（“采购人”）。</w:t>
      </w:r>
    </w:p>
    <w:p>
      <w:pPr>
        <w:snapToGrid w:val="0"/>
        <w:spacing w:line="360" w:lineRule="auto"/>
        <w:ind w:right="-506" w:rightChars="-241"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2.“投标人、供应商”系指向采购人提交投标响应文件的单位或个人。</w:t>
      </w:r>
    </w:p>
    <w:p>
      <w:pPr>
        <w:snapToGrid w:val="0"/>
        <w:spacing w:line="360" w:lineRule="auto"/>
        <w:ind w:right="-506" w:rightChars="-241"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3.“产品”系指供方按采购文件规定，须向采购人提供的一切设备、保险、税金、备品备件、工具、手册及其它有关技术资料和材料。</w:t>
      </w:r>
    </w:p>
    <w:p>
      <w:pPr>
        <w:snapToGrid w:val="0"/>
        <w:spacing w:line="360" w:lineRule="auto"/>
        <w:ind w:right="-506" w:rightChars="-241"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4.“服务”系指采购文件规定投标人须承担的安装、调试、技术协助、校准、培训、技术指导以及其他类似的义务。</w:t>
      </w:r>
    </w:p>
    <w:p>
      <w:pPr>
        <w:snapToGrid w:val="0"/>
        <w:spacing w:line="360" w:lineRule="auto"/>
        <w:ind w:right="-506" w:rightChars="-241"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5.“项目”系指投标人按采购文件规定向采购人提供的产品和服务。</w:t>
      </w:r>
    </w:p>
    <w:p>
      <w:pPr>
        <w:spacing w:line="360" w:lineRule="auto"/>
        <w:ind w:right="3"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6.“中标人”是指经审查通过，并经公示无异议的投标人。</w:t>
      </w:r>
    </w:p>
    <w:p>
      <w:pPr>
        <w:snapToGrid w:val="0"/>
        <w:spacing w:line="360" w:lineRule="auto"/>
        <w:ind w:right="-506" w:rightChars="-241"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7.“书面形式”包括信函、传真、电报、电子文档等。</w:t>
      </w:r>
    </w:p>
    <w:p>
      <w:pPr>
        <w:snapToGrid w:val="0"/>
        <w:spacing w:line="360" w:lineRule="auto"/>
        <w:ind w:right="-506" w:rightChars="-241"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w:t>
      </w:r>
      <w:r>
        <w:rPr>
          <w:rFonts w:hint="default" w:ascii="Times New Roman" w:hAnsi="Times New Roman" w:cs="Times New Roman"/>
          <w:b/>
          <w:bCs/>
          <w:color w:val="000000" w:themeColor="text1"/>
          <w14:textFill>
            <w14:solidFill>
              <w14:schemeClr w14:val="tx1"/>
            </w14:solidFill>
          </w14:textFill>
        </w:rPr>
        <w:t xml:space="preserve"> “▲”系指实质性要求条款，未响应的作无效标处理。</w:t>
      </w:r>
    </w:p>
    <w:p>
      <w:pPr>
        <w:snapToGrid w:val="0"/>
        <w:spacing w:line="360" w:lineRule="auto"/>
        <w:ind w:firstLine="422" w:firstLineChars="200"/>
        <w:contextualSpacing/>
        <w:jc w:val="left"/>
        <w:outlineLvl w:val="1"/>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（三）采购方式</w:t>
      </w:r>
    </w:p>
    <w:p>
      <w:pPr>
        <w:snapToGrid w:val="0"/>
        <w:spacing w:line="360" w:lineRule="auto"/>
        <w:ind w:right="-506" w:rightChars="-241"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本次采购采用公开采购方式进行。</w:t>
      </w:r>
    </w:p>
    <w:p>
      <w:pPr>
        <w:pStyle w:val="59"/>
        <w:snapToGrid w:val="0"/>
        <w:spacing w:beforeLines="0" w:afterLines="0" w:line="360" w:lineRule="auto"/>
        <w:ind w:firstLine="417" w:firstLineChars="198"/>
        <w:contextualSpacing/>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（四）采购预算</w:t>
      </w:r>
    </w:p>
    <w:p>
      <w:pPr>
        <w:pStyle w:val="12"/>
        <w:spacing w:after="0" w:line="360" w:lineRule="auto"/>
        <w:ind w:firstLine="422" w:firstLineChars="200"/>
        <w:contextualSpacing/>
        <w:rPr>
          <w:rFonts w:hint="eastAsia" w:ascii="Times New Roman" w:hAnsi="Times New Roman" w:eastAsia="宋体" w:cs="Times New Roman"/>
          <w:color w:val="000000" w:themeColor="text1"/>
          <w:highlight w:val="yellow"/>
          <w:lang w:eastAsia="zh-CN"/>
          <w14:textFill>
            <w14:solidFill>
              <w14:schemeClr w14:val="tx1"/>
            </w14:solidFill>
          </w14:textFill>
        </w:rPr>
      </w:pPr>
      <w:r>
        <w:rPr>
          <w:rFonts w:hint="default" w:ascii="Times New Roman" w:hAnsi="Times New Roman" w:cs="Times New Roman"/>
          <w:b/>
          <w:bCs/>
          <w:color w:val="000000" w:themeColor="text1"/>
          <w:sz w:val="21"/>
          <w:szCs w:val="21"/>
          <w:highlight w:val="yellow"/>
          <w14:textFill>
            <w14:solidFill>
              <w14:schemeClr w14:val="tx1"/>
            </w14:solidFill>
          </w14:textFill>
        </w:rPr>
        <w:t>本</w:t>
      </w:r>
      <w:r>
        <w:rPr>
          <w:rFonts w:hint="default" w:ascii="Times New Roman" w:hAnsi="Times New Roman" w:cs="Times New Roman"/>
          <w:b/>
          <w:bCs/>
          <w:color w:val="000000" w:themeColor="text1"/>
          <w:kern w:val="2"/>
          <w:sz w:val="21"/>
          <w:szCs w:val="21"/>
          <w:highlight w:val="yellow"/>
          <w14:textFill>
            <w14:solidFill>
              <w14:schemeClr w14:val="tx1"/>
            </w14:solidFill>
          </w14:textFill>
        </w:rPr>
        <w:t>次采购以</w:t>
      </w:r>
      <w:r>
        <w:rPr>
          <w:rFonts w:hint="default" w:ascii="Times New Roman" w:hAnsi="Times New Roman" w:cs="Times New Roman"/>
          <w:b/>
          <w:bCs/>
          <w:color w:val="000000" w:themeColor="text1"/>
          <w:sz w:val="21"/>
          <w:szCs w:val="21"/>
          <w:highlight w:val="yellow"/>
          <w14:textFill>
            <w14:solidFill>
              <w14:schemeClr w14:val="tx1"/>
            </w14:solidFill>
          </w14:textFill>
        </w:rPr>
        <w:t>预算价</w:t>
      </w:r>
      <w:r>
        <w:rPr>
          <w:rFonts w:hint="eastAsia" w:ascii="Times New Roman" w:hAnsi="Times New Roman" w:cs="Times New Roman"/>
          <w:b/>
          <w:bCs/>
          <w:color w:val="000000" w:themeColor="text1"/>
          <w:sz w:val="21"/>
          <w:szCs w:val="21"/>
          <w:highlight w:val="yellow"/>
          <w:u w:val="single"/>
          <w:lang w:val="en-US" w:eastAsia="zh-CN"/>
          <w14:textFill>
            <w14:solidFill>
              <w14:schemeClr w14:val="tx1"/>
            </w14:solidFill>
          </w14:textFill>
        </w:rPr>
        <w:t>549.6</w:t>
      </w:r>
      <w:r>
        <w:rPr>
          <w:rFonts w:hint="default" w:ascii="Times New Roman" w:hAnsi="Times New Roman" w:cs="Times New Roman"/>
          <w:b/>
          <w:bCs/>
          <w:color w:val="000000" w:themeColor="text1"/>
          <w:sz w:val="21"/>
          <w:szCs w:val="21"/>
          <w:highlight w:val="yellow"/>
          <w14:textFill>
            <w14:solidFill>
              <w14:schemeClr w14:val="tx1"/>
            </w14:solidFill>
          </w14:textFill>
        </w:rPr>
        <w:t>万元</w:t>
      </w:r>
      <w:r>
        <w:rPr>
          <w:rFonts w:hint="default" w:ascii="Times New Roman" w:hAnsi="Times New Roman" w:cs="Times New Roman"/>
          <w:color w:val="000000" w:themeColor="text1"/>
          <w:sz w:val="21"/>
          <w:szCs w:val="21"/>
          <w:highlight w:val="yellow"/>
          <w14:textFill>
            <w14:solidFill>
              <w14:schemeClr w14:val="tx1"/>
            </w14:solidFill>
          </w14:textFill>
        </w:rPr>
        <w:t>作为上限价</w:t>
      </w:r>
      <w:r>
        <w:rPr>
          <w:rFonts w:hint="eastAsia" w:ascii="Times New Roman" w:hAnsi="Times New Roman" w:cs="Times New Roman"/>
          <w:color w:val="000000" w:themeColor="text1"/>
          <w:sz w:val="21"/>
          <w:szCs w:val="21"/>
          <w:highlight w:val="yellow"/>
          <w:lang w:eastAsia="zh-CN"/>
          <w14:textFill>
            <w14:solidFill>
              <w14:schemeClr w14:val="tx1"/>
            </w14:solidFill>
          </w14:textFill>
        </w:rPr>
        <w:t>。</w:t>
      </w:r>
    </w:p>
    <w:p>
      <w:pPr>
        <w:pStyle w:val="59"/>
        <w:numPr>
          <w:ilvl w:val="0"/>
          <w:numId w:val="8"/>
        </w:numPr>
        <w:snapToGrid w:val="0"/>
        <w:spacing w:beforeLines="0" w:afterLines="0" w:line="360" w:lineRule="auto"/>
        <w:ind w:firstLine="417" w:firstLineChars="198"/>
        <w:contextualSpacing/>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费用</w:t>
      </w:r>
    </w:p>
    <w:p>
      <w:pPr>
        <w:snapToGrid w:val="0"/>
        <w:spacing w:line="360" w:lineRule="auto"/>
        <w:ind w:right="-506" w:rightChars="-241"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不论采购结果如何，投标人均应自行承担所有与投标有关的全部费用（采购文件另有规定除外）。</w:t>
      </w:r>
    </w:p>
    <w:p>
      <w:pPr>
        <w:pStyle w:val="59"/>
        <w:numPr>
          <w:ilvl w:val="0"/>
          <w:numId w:val="8"/>
        </w:numPr>
        <w:snapToGrid w:val="0"/>
        <w:spacing w:beforeLines="0" w:afterLines="0" w:line="360" w:lineRule="auto"/>
        <w:ind w:firstLine="417" w:firstLineChars="198"/>
        <w:contextualSpacing/>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联合体投标</w:t>
      </w:r>
    </w:p>
    <w:p>
      <w:pPr>
        <w:snapToGrid w:val="0"/>
        <w:spacing w:line="360" w:lineRule="auto"/>
        <w:ind w:right="-506" w:rightChars="-241"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本项目不接受联合体投标。</w:t>
      </w:r>
    </w:p>
    <w:p>
      <w:pPr>
        <w:pStyle w:val="59"/>
        <w:numPr>
          <w:ilvl w:val="0"/>
          <w:numId w:val="8"/>
        </w:numPr>
        <w:snapToGrid w:val="0"/>
        <w:spacing w:beforeLines="0" w:afterLines="0" w:line="360" w:lineRule="auto"/>
        <w:ind w:firstLine="417" w:firstLineChars="198"/>
        <w:contextualSpacing/>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转包与分包</w:t>
      </w:r>
    </w:p>
    <w:p>
      <w:pPr>
        <w:snapToGrid w:val="0"/>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1.本项目不允许转包。</w:t>
      </w:r>
    </w:p>
    <w:p>
      <w:pPr>
        <w:pStyle w:val="12"/>
        <w:spacing w:after="0" w:line="360" w:lineRule="auto"/>
        <w:ind w:firstLine="420" w:firstLineChars="200"/>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2.本项目不允许分包。</w:t>
      </w:r>
    </w:p>
    <w:p>
      <w:pPr>
        <w:spacing w:line="360" w:lineRule="auto"/>
        <w:ind w:firstLine="422" w:firstLineChars="200"/>
        <w:contextualSpacing/>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（八）踏勘现场和投标费用</w:t>
      </w:r>
    </w:p>
    <w:p>
      <w:pPr>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1．投标人可以对项目实施现场及周围环境进行踏勘，以便获取有关编制投标文件和签署合同所涉及现场的资料。投标人应承担踏勘现场所发生的自身费用。</w:t>
      </w:r>
    </w:p>
    <w:p>
      <w:pPr>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2．采购人向投标人提供的有关现场的数据和资料，是采购人现有的能被投标人利用的资料，采购人对投标人做出的任何推论、理解和结论不负责任。</w:t>
      </w:r>
    </w:p>
    <w:p>
      <w:pPr>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3．经采购人允许，投标人可为踏勘目的进入采购人的项目现场，但投标人不得因此使采购人承担有关的责任和蒙受损失。投标人应承担踏勘现场的责任和风险。</w:t>
      </w:r>
    </w:p>
    <w:p>
      <w:pPr>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4．无论投标结果如何，投标人自行承担其所有与参加投标有关的全部费用。投标文件一律不退还。</w:t>
      </w:r>
    </w:p>
    <w:p>
      <w:pPr>
        <w:pStyle w:val="59"/>
        <w:snapToGrid w:val="0"/>
        <w:spacing w:beforeLines="0" w:afterLines="0" w:line="360" w:lineRule="auto"/>
        <w:ind w:left="416" w:leftChars="198"/>
        <w:contextualSpacing/>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▲（九）特别说明：</w:t>
      </w:r>
    </w:p>
    <w:p>
      <w:pPr>
        <w:pStyle w:val="12"/>
        <w:spacing w:after="0" w:line="360" w:lineRule="auto"/>
        <w:ind w:firstLine="48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snapToGrid w:val="0"/>
          <w:color w:val="000000" w:themeColor="text1"/>
          <w:sz w:val="21"/>
          <w:szCs w:val="21"/>
          <w14:textFill>
            <w14:solidFill>
              <w14:schemeClr w14:val="tx1"/>
            </w14:solidFill>
          </w14:textFill>
        </w:rPr>
        <w:t>1.对投标人的限制</w:t>
      </w:r>
    </w:p>
    <w:p>
      <w:pPr>
        <w:snapToGrid w:val="0"/>
        <w:spacing w:line="360" w:lineRule="auto"/>
        <w:ind w:firstLine="422" w:firstLineChars="200"/>
        <w:contextualSpacing/>
        <w:jc w:val="left"/>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snapToGrid w:val="0"/>
          <w:color w:val="000000" w:themeColor="text1"/>
          <w:kern w:val="0"/>
          <w14:textFill>
            <w14:solidFill>
              <w14:schemeClr w14:val="tx1"/>
            </w14:solidFill>
          </w14:textFill>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snapToGrid w:val="0"/>
        <w:spacing w:line="360" w:lineRule="auto"/>
        <w:ind w:right="-506" w:rightChars="-241"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2.投标人投标所使用的资格、信誉、荣誉、业绩与企业认证必须为本法人所拥有。投标人投标所使用的采购项目实施人员必须为本法人员工（或必须为本法人或控股公司正式员工）。</w:t>
      </w:r>
    </w:p>
    <w:p>
      <w:pPr>
        <w:snapToGrid w:val="0"/>
        <w:spacing w:line="360" w:lineRule="auto"/>
        <w:ind w:right="-506" w:rightChars="-241"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3.投标人应仔细阅读采购文件的所有内容，按照采购文件的要求提交投标响应文件，并对所提供的全部资料的真实性承担法律责任。</w:t>
      </w:r>
    </w:p>
    <w:p>
      <w:pPr>
        <w:pStyle w:val="59"/>
        <w:snapToGrid w:val="0"/>
        <w:spacing w:beforeLines="0" w:afterLines="0" w:line="360" w:lineRule="auto"/>
        <w:ind w:left="416" w:leftChars="198"/>
        <w:contextualSpacing/>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（十）质疑和投诉</w:t>
      </w:r>
    </w:p>
    <w:p>
      <w:pPr>
        <w:pStyle w:val="59"/>
        <w:snapToGrid w:val="0"/>
        <w:spacing w:beforeLines="0" w:afterLines="0" w:line="360" w:lineRule="auto"/>
        <w:ind w:firstLine="413" w:firstLineChars="196"/>
        <w:contextualSpacing/>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1、质疑</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1.1</w:t>
      </w:r>
      <w:r>
        <w:rPr>
          <w:rFonts w:hint="default" w:ascii="Times New Roman" w:hAnsi="Times New Roman" w:cs="Times New Roman"/>
          <w:color w:val="000000" w:themeColor="text1"/>
          <w:kern w:val="0"/>
          <w14:textFill>
            <w14:solidFill>
              <w14:schemeClr w14:val="tx1"/>
            </w14:solidFill>
          </w14:textFill>
        </w:rPr>
        <w:t>根据财政部94号令（《政府采购质疑和投诉办法》）的规定，</w:t>
      </w:r>
      <w:r>
        <w:rPr>
          <w:rFonts w:hint="default" w:ascii="Times New Roman" w:hAnsi="Times New Roman" w:cs="Times New Roman"/>
          <w:color w:val="000000" w:themeColor="text1"/>
          <w14:textFill>
            <w14:solidFill>
              <w14:schemeClr w14:val="tx1"/>
            </w14:solidFill>
          </w14:textFill>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（1）投标人如认为招标公告信息使自身的合法权益受到损害的，应于自招标公告期限届满之日起七个工作日内以书面形式向招标代理机构提出质疑；</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（2）投标人如认为采购文件使自身的合法权益受到损害的，应按投标人须知前附表中质疑一栏中规定时间内提出要求；</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（3）对采购过程提出质疑的，为各采购程序环节结束之日；</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（4）投标人如认为招标过程和中标结果使自身的合法权益受到损害的，应于中标结果公告期限届满之日起七个工作日内以书面形式向招标代理机构一次性提出针对同一采购程序环节的质疑。</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1.2提出质疑的投标人（以下简称质疑投标人）应当是参与所质疑项目采购活动的投标人。</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1.3投标人为自然人的，应当由本人签字；投标人为法人或者其他组织的，应当由法定代表人、主要负责人，并加盖公章。</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以联合体形式参加政府采购活动的，其投诉应当由组成联合体的所有投标人共同提出。</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1.4投标人提交的质疑书需一式三份，质疑书至少应包括下列主要内容：</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（一）投标人的姓名或者名称、地址、邮编、联系人及联系电话；</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（二）质疑项目的名称、编号；</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（三）具体、明确的质疑事项和与质疑事项相关的请求；</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（四）事实依据；</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（五）必要的法律依据；</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（六）提出质疑的日期。</w:t>
      </w:r>
    </w:p>
    <w:p>
      <w:pPr>
        <w:spacing w:line="360" w:lineRule="auto"/>
        <w:ind w:firstLine="420"/>
        <w:contextualSpacing/>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1.5</w:t>
      </w:r>
      <w:r>
        <w:rPr>
          <w:rFonts w:hint="default" w:ascii="Times New Roman" w:hAnsi="Times New Roman" w:cs="Times New Roman"/>
          <w:color w:val="000000" w:themeColor="text1"/>
          <w:shd w:val="clear" w:color="auto" w:fill="FFFFFF"/>
          <w14:textFill>
            <w14:solidFill>
              <w14:schemeClr w14:val="tx1"/>
            </w14:solidFill>
          </w14:textFill>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59"/>
        <w:snapToGrid w:val="0"/>
        <w:spacing w:beforeLines="0" w:afterLines="0" w:line="360" w:lineRule="auto"/>
        <w:ind w:firstLine="413" w:firstLineChars="196"/>
        <w:contextualSpacing/>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2、投诉</w:t>
      </w:r>
    </w:p>
    <w:p>
      <w:pPr>
        <w:spacing w:line="360" w:lineRule="auto"/>
        <w:ind w:firstLine="420"/>
        <w:contextualSpacing/>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2.1质疑投标人对采购人、采购代理机构的答复不满意，或者采购人、采购代理机构未在规定时间内作出答复的，可以在答复期满后15个工作日内向</w:t>
      </w:r>
      <w:r>
        <w:rPr>
          <w:rFonts w:hint="default" w:ascii="Times New Roman" w:hAnsi="Times New Roman" w:cs="Times New Roman"/>
          <w:color w:val="000000" w:themeColor="text1"/>
          <w:kern w:val="0"/>
          <w14:textFill>
            <w14:solidFill>
              <w14:schemeClr w14:val="tx1"/>
            </w14:solidFill>
          </w14:textFill>
        </w:rPr>
        <w:t>《政府采购质疑和投诉办法》</w:t>
      </w:r>
      <w:r>
        <w:rPr>
          <w:rFonts w:hint="default" w:ascii="Times New Roman" w:hAnsi="Times New Roman" w:cs="Times New Roman"/>
          <w:color w:val="000000" w:themeColor="text1"/>
          <w:shd w:val="clear" w:color="auto" w:fill="FFFFFF"/>
          <w14:textFill>
            <w14:solidFill>
              <w14:schemeClr w14:val="tx1"/>
            </w14:solidFill>
          </w14:textFill>
        </w:rPr>
        <w:t>第六条规定的财政部门提起投诉。</w:t>
      </w:r>
    </w:p>
    <w:p>
      <w:pPr>
        <w:spacing w:line="360" w:lineRule="auto"/>
        <w:ind w:firstLine="420"/>
        <w:contextualSpacing/>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2.2投标人投诉的事项不得超出已质疑事项的范围，但基于质疑答复内容提出的投诉事项除外。</w:t>
      </w:r>
    </w:p>
    <w:p>
      <w:pPr>
        <w:spacing w:line="360" w:lineRule="auto"/>
        <w:ind w:firstLine="420"/>
        <w:contextualSpacing/>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2.3投诉人提起投诉应当符合下列条件：</w:t>
      </w:r>
    </w:p>
    <w:p>
      <w:pPr>
        <w:spacing w:line="360" w:lineRule="auto"/>
        <w:ind w:firstLine="420"/>
        <w:contextualSpacing/>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（一）提起投诉前已依法进行质疑；</w:t>
      </w:r>
    </w:p>
    <w:p>
      <w:pPr>
        <w:spacing w:line="360" w:lineRule="auto"/>
        <w:ind w:firstLine="420"/>
        <w:contextualSpacing/>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（二）投诉书内容符合本办法的规定；</w:t>
      </w:r>
    </w:p>
    <w:p>
      <w:pPr>
        <w:spacing w:line="360" w:lineRule="auto"/>
        <w:ind w:firstLine="420"/>
        <w:contextualSpacing/>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（三）在投诉有效期限内提起投诉；</w:t>
      </w:r>
    </w:p>
    <w:p>
      <w:pPr>
        <w:spacing w:line="360" w:lineRule="auto"/>
        <w:ind w:firstLine="420"/>
        <w:contextualSpacing/>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（四）同一投诉事项未经财政部门投诉处理；</w:t>
      </w:r>
    </w:p>
    <w:p>
      <w:pPr>
        <w:spacing w:line="360" w:lineRule="auto"/>
        <w:ind w:firstLine="420"/>
        <w:contextualSpacing/>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（五）财政部规定的其他条件。</w:t>
      </w:r>
    </w:p>
    <w:p>
      <w:pPr>
        <w:spacing w:line="360" w:lineRule="auto"/>
        <w:ind w:firstLine="420"/>
        <w:contextualSpacing/>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2.4投诉人在全国范围12个月内三次以上投诉查无实据的，由财政部门列入不良行为记录名单。</w:t>
      </w:r>
    </w:p>
    <w:p>
      <w:pPr>
        <w:spacing w:line="360" w:lineRule="auto"/>
        <w:ind w:firstLine="420"/>
        <w:contextualSpacing/>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2.5投诉人有下列行为之一的，属于虚假、恶意投诉，由财政部门列入不良行为记录名单，禁止其1至3年内参加政府采购活动：</w:t>
      </w:r>
    </w:p>
    <w:p>
      <w:pPr>
        <w:spacing w:line="360" w:lineRule="auto"/>
        <w:ind w:firstLine="420"/>
        <w:contextualSpacing/>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（一）捏造事实；</w:t>
      </w:r>
    </w:p>
    <w:p>
      <w:pPr>
        <w:spacing w:line="360" w:lineRule="auto"/>
        <w:ind w:firstLine="420"/>
        <w:contextualSpacing/>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（二）提供虚假材料；</w:t>
      </w:r>
    </w:p>
    <w:p>
      <w:pPr>
        <w:spacing w:line="360" w:lineRule="auto"/>
        <w:ind w:firstLine="420"/>
        <w:contextualSpacing/>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（三）以非法手段取得证明材料。证据来源的合法性存在明显疑问，投诉人无法证明其取得方式合法的，视为以非法手段取得证明材料。</w:t>
      </w:r>
    </w:p>
    <w:p>
      <w:pPr>
        <w:spacing w:line="360" w:lineRule="auto"/>
        <w:ind w:firstLine="420"/>
        <w:contextualSpacing/>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2.6</w:t>
      </w:r>
      <w:r>
        <w:rPr>
          <w:rFonts w:hint="default" w:ascii="Times New Roman" w:hAnsi="Times New Roman" w:cs="Times New Roman"/>
          <w:color w:val="000000" w:themeColor="text1"/>
          <w:kern w:val="0"/>
          <w14:textFill>
            <w14:solidFill>
              <w14:schemeClr w14:val="tx1"/>
            </w14:solidFill>
          </w14:textFill>
        </w:rPr>
        <w:t>政府采购投标人质疑函范本，详见格式。</w:t>
      </w:r>
    </w:p>
    <w:p>
      <w:pPr>
        <w:pStyle w:val="59"/>
        <w:spacing w:beforeLines="0" w:afterLines="0" w:line="360" w:lineRule="auto"/>
        <w:ind w:right="-506" w:rightChars="-241"/>
        <w:contextualSpacing/>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二、采购文件</w:t>
      </w:r>
    </w:p>
    <w:p>
      <w:pPr>
        <w:spacing w:line="360" w:lineRule="auto"/>
        <w:ind w:right="-241"/>
        <w:contextualSpacing/>
        <w:jc w:val="left"/>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（一）采购文件的构成。本采购文件由以下部份组成：</w:t>
      </w:r>
    </w:p>
    <w:p>
      <w:pPr>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第一章采购公告</w:t>
      </w:r>
    </w:p>
    <w:p>
      <w:pPr>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第二章采购需求</w:t>
      </w:r>
    </w:p>
    <w:p>
      <w:pPr>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第三章投标人须知</w:t>
      </w:r>
    </w:p>
    <w:p>
      <w:pPr>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第四章评标办法及标准</w:t>
      </w:r>
    </w:p>
    <w:p>
      <w:pPr>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第五章合同主要条款</w:t>
      </w:r>
    </w:p>
    <w:p>
      <w:pPr>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第六章投标文件相关格式</w:t>
      </w:r>
    </w:p>
    <w:p>
      <w:pPr>
        <w:spacing w:line="360" w:lineRule="auto"/>
        <w:ind w:right="-238"/>
        <w:contextualSpacing/>
        <w:jc w:val="left"/>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（二）投标人的风险</w:t>
      </w:r>
    </w:p>
    <w:p>
      <w:pPr>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投标人没有按照采购文件要求提供全部资料，或者投标人没有对采购文件在各方面作出实质性响应是投标人的风险，责任自负。</w:t>
      </w:r>
    </w:p>
    <w:p>
      <w:pPr>
        <w:spacing w:line="360" w:lineRule="auto"/>
        <w:ind w:right="-238"/>
        <w:contextualSpacing/>
        <w:jc w:val="left"/>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（三）采购文件的澄清与修改</w:t>
      </w:r>
    </w:p>
    <w:p>
      <w:pPr>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pPr>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pPr>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3、采购文件澄清、答复、修改、补充的内容为采购文件的组成部分。当采购文件与采购文件的答复、澄清、修改、补充通知就同一内容的表述不一致时，以最后发出的变更公告为准。</w:t>
      </w:r>
    </w:p>
    <w:p>
      <w:pPr>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4、采购文件的澄清、答复、修改或补充都应该通过本代理机构以法定形式发布。</w:t>
      </w:r>
    </w:p>
    <w:p>
      <w:pPr>
        <w:pStyle w:val="59"/>
        <w:spacing w:beforeLines="0" w:afterLines="0" w:line="360" w:lineRule="auto"/>
        <w:ind w:right="-506" w:rightChars="-241"/>
        <w:contextualSpacing/>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三、投标文件的编制</w:t>
      </w:r>
    </w:p>
    <w:p>
      <w:pPr>
        <w:pStyle w:val="12"/>
        <w:spacing w:after="0" w:line="360" w:lineRule="auto"/>
        <w:ind w:firstLine="211" w:firstLineChars="100"/>
        <w:contextualSpacing/>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（一）投标文件的签署</w:t>
      </w:r>
    </w:p>
    <w:p>
      <w:pPr>
        <w:pStyle w:val="12"/>
        <w:spacing w:after="0" w:line="360" w:lineRule="auto"/>
        <w:ind w:firstLine="420"/>
        <w:contextualSpacing/>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1.1电子投标文件部分：</w:t>
      </w:r>
    </w:p>
    <w:p>
      <w:pPr>
        <w:pStyle w:val="12"/>
        <w:spacing w:after="0" w:line="360" w:lineRule="auto"/>
        <w:ind w:firstLine="420"/>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投标人应根据“政采云供应商项目采购-电子交易操作指南”及本招标文件规定的格式和顺序编制电子投标文件并进行关联定位。</w:t>
      </w:r>
    </w:p>
    <w:p>
      <w:pPr>
        <w:tabs>
          <w:tab w:val="left" w:pos="0"/>
        </w:tabs>
        <w:spacing w:line="360" w:lineRule="auto"/>
        <w:ind w:firstLine="211" w:firstLineChars="100"/>
        <w:contextualSpacing/>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（二）投标文件的组成</w:t>
      </w:r>
    </w:p>
    <w:p>
      <w:pPr>
        <w:snapToGrid w:val="0"/>
        <w:spacing w:line="360" w:lineRule="auto"/>
        <w:ind w:right="55" w:firstLine="411" w:firstLineChars="196"/>
        <w:jc w:val="left"/>
        <w:outlineLvl w:val="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投标文件由资格响应文件、商务及技术响应文件、报价文件三部份组成。</w:t>
      </w:r>
      <w:r>
        <w:rPr>
          <w:rFonts w:hint="eastAsia" w:ascii="Times New Roman" w:hAnsi="Times New Roman" w:eastAsia="宋体" w:cs="Times New Roman"/>
          <w:sz w:val="21"/>
          <w:szCs w:val="21"/>
          <w:u w:val="single"/>
          <w:lang w:val="en-US" w:eastAsia="zh-CN"/>
        </w:rPr>
        <w:t>电子投标文件中所须加盖公章部分均采用CA签章</w:t>
      </w:r>
      <w:r>
        <w:rPr>
          <w:rFonts w:hint="eastAsia" w:ascii="Times New Roman" w:hAnsi="Times New Roman" w:eastAsia="宋体" w:cs="Times New Roman"/>
          <w:sz w:val="21"/>
          <w:szCs w:val="21"/>
          <w:lang w:val="en-US" w:eastAsia="zh-CN"/>
        </w:rPr>
        <w:t>。（投标文件的组成和格式见本采购文件第六章）</w:t>
      </w:r>
    </w:p>
    <w:p>
      <w:pPr>
        <w:spacing w:line="360" w:lineRule="auto"/>
        <w:ind w:right="55" w:firstLine="413" w:firstLineChars="196"/>
        <w:contextualSpacing/>
        <w:jc w:val="left"/>
        <w:outlineLvl w:val="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w:t>
      </w:r>
      <w:r>
        <w:rPr>
          <w:rFonts w:hint="eastAsia" w:ascii="Times New Roman" w:hAnsi="Times New Roman" w:cs="Times New Roman"/>
          <w:b/>
          <w:bCs/>
          <w:color w:val="000000" w:themeColor="text1"/>
          <w:lang w:val="en-US" w:eastAsia="zh-CN"/>
          <w14:textFill>
            <w14:solidFill>
              <w14:schemeClr w14:val="tx1"/>
            </w14:solidFill>
          </w14:textFill>
        </w:rPr>
        <w:t>三</w:t>
      </w:r>
      <w:r>
        <w:rPr>
          <w:rFonts w:hint="default" w:ascii="Times New Roman" w:hAnsi="Times New Roman" w:cs="Times New Roman"/>
          <w:b/>
          <w:bCs/>
          <w:color w:val="000000" w:themeColor="text1"/>
          <w14:textFill>
            <w14:solidFill>
              <w14:schemeClr w14:val="tx1"/>
            </w14:solidFill>
          </w14:textFill>
        </w:rPr>
        <w:t>）投标文件的语言及计量</w:t>
      </w:r>
    </w:p>
    <w:p>
      <w:pPr>
        <w:spacing w:line="360" w:lineRule="auto"/>
        <w:ind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1.投标文件以及投标人与采购人就有关投标事宜的所有来往函电，均应以中文汉语书写。除签名、盖章、专用名称等特殊情形外，以中文汉语以外的文字表述的投标文件视同未提供。</w:t>
      </w:r>
    </w:p>
    <w:p>
      <w:pPr>
        <w:spacing w:line="360" w:lineRule="auto"/>
        <w:ind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ind w:firstLine="422" w:firstLineChars="200"/>
        <w:contextualSpacing/>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w:t>
      </w:r>
      <w:r>
        <w:rPr>
          <w:rFonts w:hint="eastAsia" w:ascii="Times New Roman" w:hAnsi="Times New Roman" w:cs="Times New Roman"/>
          <w:b/>
          <w:bCs/>
          <w:color w:val="000000" w:themeColor="text1"/>
          <w:lang w:val="en-US" w:eastAsia="zh-CN"/>
          <w14:textFill>
            <w14:solidFill>
              <w14:schemeClr w14:val="tx1"/>
            </w14:solidFill>
          </w14:textFill>
        </w:rPr>
        <w:t>四</w:t>
      </w:r>
      <w:r>
        <w:rPr>
          <w:rFonts w:hint="default" w:ascii="Times New Roman" w:hAnsi="Times New Roman" w:cs="Times New Roman"/>
          <w:b/>
          <w:bCs/>
          <w:color w:val="000000" w:themeColor="text1"/>
          <w14:textFill>
            <w14:solidFill>
              <w14:schemeClr w14:val="tx1"/>
            </w14:solidFill>
          </w14:textFill>
        </w:rPr>
        <w:t>）响应报价</w:t>
      </w:r>
    </w:p>
    <w:p>
      <w:pPr>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 投标报价应以人民币报价，应1、本项目投标应以人民币报价；是履行合同的最终价格，</w:t>
      </w:r>
      <w:r>
        <w:rPr>
          <w:rFonts w:hint="default" w:ascii="Times New Roman" w:hAnsi="Times New Roman" w:cs="Times New Roman"/>
        </w:rPr>
        <w:t>包括人工费、材料费、机械费、运输费、管理费、税金、利润、直至达到使用要求及质量标准所需的费用等政策性文件规定及合同包含的所有风险、责任等各项全部费用。</w:t>
      </w:r>
      <w:r>
        <w:rPr>
          <w:rFonts w:hint="default" w:ascii="Times New Roman" w:hAnsi="Times New Roman" w:cs="Times New Roman"/>
          <w:color w:val="000000" w:themeColor="text1"/>
          <w14:textFill>
            <w14:solidFill>
              <w14:schemeClr w14:val="tx1"/>
            </w14:solidFill>
          </w14:textFill>
        </w:rPr>
        <w:t>如有漏项，视同已包含在其它项目中，本项目的合同总价和单价不作调整。</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2.投标文件针对同一内容只允许有一个报价，有选择的或有条件的报价将不予接受。</w:t>
      </w:r>
    </w:p>
    <w:p>
      <w:pPr>
        <w:spacing w:line="360" w:lineRule="auto"/>
        <w:ind w:firstLine="413" w:firstLineChars="196"/>
        <w:contextualSpacing/>
        <w:jc w:val="left"/>
        <w:outlineLvl w:val="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w:t>
      </w:r>
      <w:r>
        <w:rPr>
          <w:rFonts w:hint="eastAsia" w:ascii="Times New Roman" w:hAnsi="Times New Roman" w:cs="Times New Roman"/>
          <w:b/>
          <w:bCs/>
          <w:color w:val="000000" w:themeColor="text1"/>
          <w:lang w:val="en-US" w:eastAsia="zh-CN"/>
          <w14:textFill>
            <w14:solidFill>
              <w14:schemeClr w14:val="tx1"/>
            </w14:solidFill>
          </w14:textFill>
        </w:rPr>
        <w:t>五</w:t>
      </w:r>
      <w:r>
        <w:rPr>
          <w:rFonts w:hint="default" w:ascii="Times New Roman" w:hAnsi="Times New Roman" w:cs="Times New Roman"/>
          <w:b/>
          <w:bCs/>
          <w:color w:val="000000" w:themeColor="text1"/>
          <w14:textFill>
            <w14:solidFill>
              <w14:schemeClr w14:val="tx1"/>
            </w14:solidFill>
          </w14:textFill>
        </w:rPr>
        <w:t>）投标文件的有效期</w:t>
      </w:r>
    </w:p>
    <w:p>
      <w:pPr>
        <w:pStyle w:val="8"/>
        <w:numPr>
          <w:ilvl w:val="0"/>
          <w:numId w:val="0"/>
        </w:numPr>
        <w:tabs>
          <w:tab w:val="left" w:pos="454"/>
          <w:tab w:val="left" w:pos="720"/>
          <w:tab w:val="left" w:pos="900"/>
        </w:tabs>
        <w:spacing w:line="360" w:lineRule="auto"/>
        <w:ind w:right="-506" w:rightChars="-241"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1.自投标截止日起</w:t>
      </w:r>
      <w:r>
        <w:rPr>
          <w:rFonts w:hint="default" w:ascii="Times New Roman" w:hAnsi="Times New Roman" w:cs="Times New Roman"/>
          <w:b/>
          <w:bCs/>
          <w:color w:val="000000" w:themeColor="text1"/>
          <w:u w:val="single"/>
          <w14:textFill>
            <w14:solidFill>
              <w14:schemeClr w14:val="tx1"/>
            </w14:solidFill>
          </w14:textFill>
        </w:rPr>
        <w:t xml:space="preserve">90 </w:t>
      </w:r>
      <w:r>
        <w:rPr>
          <w:rFonts w:hint="default" w:ascii="Times New Roman" w:hAnsi="Times New Roman" w:cs="Times New Roman"/>
          <w:b/>
          <w:bCs/>
          <w:color w:val="000000" w:themeColor="text1"/>
          <w14:textFill>
            <w14:solidFill>
              <w14:schemeClr w14:val="tx1"/>
            </w14:solidFill>
          </w14:textFill>
        </w:rPr>
        <w:t>天</w:t>
      </w:r>
      <w:r>
        <w:rPr>
          <w:rFonts w:hint="default" w:ascii="Times New Roman" w:hAnsi="Times New Roman" w:cs="Times New Roman"/>
          <w:color w:val="000000" w:themeColor="text1"/>
          <w14:textFill>
            <w14:solidFill>
              <w14:schemeClr w14:val="tx1"/>
            </w14:solidFill>
          </w14:textFill>
        </w:rPr>
        <w:t>投标文件应保持有效。有效期不足的投标文件将被拒绝。</w:t>
      </w:r>
    </w:p>
    <w:p>
      <w:pPr>
        <w:spacing w:line="360" w:lineRule="auto"/>
        <w:ind w:right="-86" w:rightChars="-41" w:firstLine="420" w:firstLineChars="200"/>
        <w:contextualSpacing/>
        <w:jc w:val="left"/>
        <w:outlineLvl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2.在特殊情况下，采购人可与投标人协商延长投标书的有效期，这种要求和答复均以书面形式进行。</w:t>
      </w:r>
    </w:p>
    <w:p>
      <w:pPr>
        <w:spacing w:line="360" w:lineRule="auto"/>
        <w:ind w:right="55" w:firstLine="420" w:firstLineChars="200"/>
        <w:contextualSpacing/>
        <w:jc w:val="left"/>
        <w:outlineLvl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3.中标人的投标文件自开标之日起至合同履行完毕止均应保持有效。</w:t>
      </w:r>
    </w:p>
    <w:p>
      <w:pPr>
        <w:spacing w:line="360" w:lineRule="auto"/>
        <w:ind w:firstLine="413" w:firstLineChars="196"/>
        <w:contextualSpacing/>
        <w:jc w:val="left"/>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w:t>
      </w:r>
      <w:r>
        <w:rPr>
          <w:rFonts w:hint="eastAsia" w:ascii="Times New Roman" w:hAnsi="Times New Roman" w:cs="Times New Roman"/>
          <w:b/>
          <w:bCs/>
          <w:color w:val="000000" w:themeColor="text1"/>
          <w:lang w:val="en-US" w:eastAsia="zh-CN"/>
          <w14:textFill>
            <w14:solidFill>
              <w14:schemeClr w14:val="tx1"/>
            </w14:solidFill>
          </w14:textFill>
        </w:rPr>
        <w:t>六</w:t>
      </w:r>
      <w:r>
        <w:rPr>
          <w:rFonts w:hint="default" w:ascii="Times New Roman" w:hAnsi="Times New Roman" w:cs="Times New Roman"/>
          <w:b/>
          <w:bCs/>
          <w:color w:val="000000" w:themeColor="text1"/>
          <w14:textFill>
            <w14:solidFill>
              <w14:schemeClr w14:val="tx1"/>
            </w14:solidFill>
          </w14:textFill>
        </w:rPr>
        <w:t>）投标文件的包装、递交、修改和撤回</w:t>
      </w:r>
    </w:p>
    <w:p>
      <w:pPr>
        <w:spacing w:line="360" w:lineRule="auto"/>
        <w:ind w:right="-86" w:rightChars="-41"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pPr>
        <w:spacing w:line="360" w:lineRule="auto"/>
        <w:ind w:right="-86" w:rightChars="-41"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2、投标人除按规定时间在政采云系统中上传经加密的电子投标文件外，同时还可按采购文件要求邮寄到指定地点。</w:t>
      </w:r>
    </w:p>
    <w:p>
      <w:pPr>
        <w:spacing w:line="360" w:lineRule="auto"/>
        <w:ind w:right="-86" w:rightChars="-41"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3、响应文件未按时解密，投标人提供了备份响应文件的，以备份响应文件作为依据，否则视为响应文件撤回。响应文件已按时解密的，备份响应文件自动失效。</w:t>
      </w:r>
    </w:p>
    <w:p>
      <w:pPr>
        <w:spacing w:line="360" w:lineRule="auto"/>
        <w:ind w:firstLine="420" w:firstLineChars="200"/>
        <w:contextualSpacing/>
        <w:outlineLvl w:val="2"/>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4、备份投标文件须密封封装。包装封面上应注明投标人名称，封口处加盖投标人公章。</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w:t>
      </w:r>
      <w:r>
        <w:rPr>
          <w:rFonts w:hint="eastAsia" w:ascii="Times New Roman" w:hAnsi="Times New Roman" w:cs="Times New Roman"/>
          <w:b/>
          <w:bCs/>
          <w:color w:val="000000" w:themeColor="text1"/>
          <w:lang w:val="en-US" w:eastAsia="zh-CN"/>
          <w14:textFill>
            <w14:solidFill>
              <w14:schemeClr w14:val="tx1"/>
            </w14:solidFill>
          </w14:textFill>
        </w:rPr>
        <w:t>七</w:t>
      </w:r>
      <w:r>
        <w:rPr>
          <w:rFonts w:hint="default" w:ascii="Times New Roman" w:hAnsi="Times New Roman" w:cs="Times New Roman"/>
          <w:b/>
          <w:bCs/>
          <w:color w:val="000000" w:themeColor="text1"/>
          <w14:textFill>
            <w14:solidFill>
              <w14:schemeClr w14:val="tx1"/>
            </w14:solidFill>
          </w14:textFill>
        </w:rPr>
        <w:t>）投标无效的情形</w:t>
      </w:r>
    </w:p>
    <w:p>
      <w:pPr>
        <w:pStyle w:val="59"/>
        <w:spacing w:beforeLines="0" w:afterLines="0" w:line="360" w:lineRule="auto"/>
        <w:ind w:right="-86" w:rightChars="-41" w:firstLine="415" w:firstLineChars="198"/>
        <w:contextualSpacing/>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59"/>
        <w:spacing w:beforeLines="0" w:afterLines="0" w:line="360" w:lineRule="auto"/>
        <w:ind w:firstLine="417" w:firstLineChars="198"/>
        <w:contextualSpacing/>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1、在符合性审查和商务评审时，如发现下列情形之一的，投标文件将被视为无效投标：</w:t>
      </w:r>
    </w:p>
    <w:p>
      <w:pPr>
        <w:pStyle w:val="59"/>
        <w:spacing w:beforeLines="0" w:afterLines="0" w:line="360" w:lineRule="auto"/>
        <w:ind w:firstLine="415" w:firstLineChars="198"/>
        <w:contextualSpacing/>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1.1投标文件未按采购文件要求签字、盖章的；</w:t>
      </w:r>
    </w:p>
    <w:p>
      <w:pPr>
        <w:pStyle w:val="59"/>
        <w:spacing w:beforeLines="0" w:afterLines="0" w:line="360" w:lineRule="auto"/>
        <w:ind w:firstLine="415" w:firstLineChars="198"/>
        <w:contextualSpacing/>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1.2资格证明文件不全的，或者不符合采购文件标明的资格要求的；</w:t>
      </w:r>
    </w:p>
    <w:p>
      <w:pPr>
        <w:pStyle w:val="17"/>
        <w:spacing w:line="360" w:lineRule="auto"/>
        <w:ind w:firstLine="415" w:firstLineChars="198"/>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1.3投标文件组成不全的；</w:t>
      </w:r>
    </w:p>
    <w:p>
      <w:pPr>
        <w:pStyle w:val="59"/>
        <w:spacing w:beforeLines="0" w:afterLines="0" w:line="360" w:lineRule="auto"/>
        <w:ind w:firstLine="415" w:firstLineChars="198"/>
        <w:contextualSpacing/>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1.4投标文件的实质性内容未使用中文表述、意思表述不明确、前后矛盾或者使用计量单位不符合采购文件要求的；（经评审小组认定允许其在线更正的笔误除外）</w:t>
      </w:r>
    </w:p>
    <w:p>
      <w:pPr>
        <w:pStyle w:val="59"/>
        <w:spacing w:beforeLines="0" w:afterLines="0" w:line="360" w:lineRule="auto"/>
        <w:ind w:firstLine="415" w:firstLineChars="198"/>
        <w:contextualSpacing/>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1.5投标文件的关键内容字迹模糊、无法辨认的；</w:t>
      </w:r>
    </w:p>
    <w:p>
      <w:pPr>
        <w:pStyle w:val="59"/>
        <w:spacing w:beforeLines="0" w:afterLines="0" w:line="360" w:lineRule="auto"/>
        <w:ind w:firstLine="415" w:firstLineChars="198"/>
        <w:contextualSpacing/>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1.6投标有效期、服务期等商务条款不能满足采购文件要求的；</w:t>
      </w:r>
    </w:p>
    <w:p>
      <w:pPr>
        <w:pStyle w:val="59"/>
        <w:spacing w:beforeLines="0" w:afterLines="0" w:line="360" w:lineRule="auto"/>
        <w:ind w:firstLine="415" w:firstLineChars="198"/>
        <w:contextualSpacing/>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1.7投标文件中出现投标报价信息的；</w:t>
      </w:r>
    </w:p>
    <w:p>
      <w:pPr>
        <w:pStyle w:val="59"/>
        <w:spacing w:beforeLines="0" w:afterLines="0" w:line="360" w:lineRule="auto"/>
        <w:ind w:firstLine="415" w:firstLineChars="198"/>
        <w:contextualSpacing/>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1.8未响应采购文件实质性要求或者投标文件有采购人不能接受的附加条件的；</w:t>
      </w:r>
    </w:p>
    <w:p>
      <w:pPr>
        <w:pStyle w:val="59"/>
        <w:spacing w:beforeLines="0" w:afterLines="0" w:line="360" w:lineRule="auto"/>
        <w:ind w:firstLine="415" w:firstLineChars="198"/>
        <w:contextualSpacing/>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1.9投标文件没有按采购文件要求响应有标“▲”的条款的资料和材料的；</w:t>
      </w:r>
    </w:p>
    <w:p>
      <w:pPr>
        <w:spacing w:line="360" w:lineRule="auto"/>
        <w:ind w:firstLine="420"/>
        <w:contextualSpacing/>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2、在技术评审时，如发现下列情形之一的，投标文件将被视为无效响应：</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2.1投标文件标明的响应或偏离与事实不符或虚假投标的；</w:t>
      </w:r>
    </w:p>
    <w:p>
      <w:pPr>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2.2明显不符合采购文件标明的质量标准，或者采购文件中标“</w:t>
      </w:r>
      <w:r>
        <w:rPr>
          <w:rFonts w:hint="default" w:ascii="Times New Roman" w:hAnsi="Times New Roman" w:cs="Times New Roman"/>
          <w:b/>
          <w:bCs/>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”的技术参数、条款（如有）发生实质性偏离的；</w:t>
      </w:r>
    </w:p>
    <w:p>
      <w:pPr>
        <w:spacing w:line="360" w:lineRule="auto"/>
        <w:ind w:firstLine="42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2.3投标技术方案不明确，存在一个或一个以上备选（替代）投标方案的；</w:t>
      </w:r>
    </w:p>
    <w:p>
      <w:pPr>
        <w:spacing w:line="360" w:lineRule="auto"/>
        <w:ind w:firstLine="420"/>
        <w:contextualSpacing/>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3、在投标报价文件评审时，如发现下列情形之一的，投标文件将被视为无效响应：</w:t>
      </w:r>
    </w:p>
    <w:p>
      <w:pPr>
        <w:pStyle w:val="68"/>
        <w:spacing w:line="360" w:lineRule="auto"/>
        <w:ind w:right="-86" w:rightChars="-41" w:firstLine="438" w:firstLineChars="209"/>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3.1未采用人民币报价或者未按照采购文件标明的币种报价的；</w:t>
      </w:r>
    </w:p>
    <w:p>
      <w:pPr>
        <w:pStyle w:val="68"/>
        <w:spacing w:line="360" w:lineRule="auto"/>
        <w:ind w:right="-86" w:rightChars="-41" w:firstLine="438" w:firstLineChars="209"/>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3.2报价超出最高限价，或者超出采购预算金额，采购人不能支付的；投标人的投标报价经评标委员会审定认为存在不合理的、恶性的低价竞争的，且投标人又不能提供出有效证明的作无效标处理。</w:t>
      </w:r>
    </w:p>
    <w:p>
      <w:pPr>
        <w:pStyle w:val="68"/>
        <w:spacing w:line="360" w:lineRule="auto"/>
        <w:ind w:right="-86" w:rightChars="-41" w:firstLine="438" w:firstLineChars="209"/>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3.3投标报价具有选择性，或者开标价格与投标文件承诺的优惠（折扣）价格不一致的；</w:t>
      </w:r>
    </w:p>
    <w:p>
      <w:pPr>
        <w:pStyle w:val="68"/>
        <w:spacing w:line="360" w:lineRule="auto"/>
        <w:ind w:right="-86" w:rightChars="-41" w:firstLine="441" w:firstLineChars="209"/>
        <w:contextualSpacing/>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4、法律、法规和采购文件规定的其他无效情形。</w:t>
      </w:r>
    </w:p>
    <w:p>
      <w:pPr>
        <w:pStyle w:val="68"/>
        <w:spacing w:line="360" w:lineRule="auto"/>
        <w:ind w:right="-86" w:rightChars="-41" w:firstLine="441" w:firstLineChars="209"/>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w:t>
      </w:r>
      <w:r>
        <w:rPr>
          <w:rFonts w:hint="eastAsia" w:ascii="Times New Roman" w:hAnsi="Times New Roman" w:cs="Times New Roman"/>
          <w:b/>
          <w:bCs/>
          <w:color w:val="000000" w:themeColor="text1"/>
          <w:lang w:val="en-US" w:eastAsia="zh-CN"/>
          <w14:textFill>
            <w14:solidFill>
              <w14:schemeClr w14:val="tx1"/>
            </w14:solidFill>
          </w14:textFill>
        </w:rPr>
        <w:t>八</w:t>
      </w:r>
      <w:r>
        <w:rPr>
          <w:rFonts w:hint="default" w:ascii="Times New Roman" w:hAnsi="Times New Roman" w:cs="Times New Roman"/>
          <w:b/>
          <w:bCs/>
          <w:color w:val="000000" w:themeColor="text1"/>
          <w14:textFill>
            <w14:solidFill>
              <w14:schemeClr w14:val="tx1"/>
            </w14:solidFill>
          </w14:textFill>
        </w:rPr>
        <w:t>）出现以下情形，导致电子交易平台无法正常运行，或者无法保证电子交易的公平、公正和安全时，中止电子交易活动：</w:t>
      </w:r>
    </w:p>
    <w:p>
      <w:pPr>
        <w:pStyle w:val="68"/>
        <w:spacing w:line="360" w:lineRule="auto"/>
        <w:ind w:right="-86" w:rightChars="-41" w:firstLine="438" w:firstLineChars="209"/>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（1）电子交易平台发生故障而无法登录访问的；</w:t>
      </w:r>
    </w:p>
    <w:p>
      <w:pPr>
        <w:pStyle w:val="68"/>
        <w:spacing w:line="360" w:lineRule="auto"/>
        <w:ind w:right="-86" w:rightChars="-41" w:firstLine="438" w:firstLineChars="209"/>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（2）电子交易平台应用或数据库出现错误，不能进行正常操作的；</w:t>
      </w:r>
    </w:p>
    <w:p>
      <w:pPr>
        <w:pStyle w:val="68"/>
        <w:spacing w:line="360" w:lineRule="auto"/>
        <w:ind w:right="-86" w:rightChars="-41" w:firstLine="438" w:firstLineChars="209"/>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（3）电子交易平台发现严重安全漏洞，有潜在泄密危险的；</w:t>
      </w:r>
    </w:p>
    <w:p>
      <w:pPr>
        <w:pStyle w:val="68"/>
        <w:spacing w:line="360" w:lineRule="auto"/>
        <w:ind w:right="-86" w:rightChars="-41" w:firstLine="438" w:firstLineChars="209"/>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（4）病毒发作导致不能进行正常操作的；</w:t>
      </w:r>
    </w:p>
    <w:p>
      <w:pPr>
        <w:pStyle w:val="68"/>
        <w:spacing w:line="360" w:lineRule="auto"/>
        <w:ind w:right="-86" w:rightChars="-41" w:firstLine="438" w:firstLineChars="209"/>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（5）其他无法保证电子交易的公平、公正和安全的情况。</w:t>
      </w:r>
    </w:p>
    <w:p>
      <w:pPr>
        <w:pStyle w:val="68"/>
        <w:spacing w:line="360" w:lineRule="auto"/>
        <w:ind w:right="-86" w:rightChars="-41" w:firstLine="438" w:firstLineChars="209"/>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出现前款规定情形，不影响采购公平、公正性的，代理机构可以待上述情形消除后继续组织电子交易活动，也可以决定某些环节以纸质形式进行；影响或可能影响采购公平、公正性的，重新采购。</w:t>
      </w:r>
    </w:p>
    <w:p>
      <w:pPr>
        <w:pStyle w:val="68"/>
        <w:spacing w:line="360" w:lineRule="auto"/>
        <w:ind w:right="-86" w:rightChars="-41" w:firstLine="441" w:firstLineChars="209"/>
        <w:contextualSpacing/>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w:t>
      </w:r>
      <w:r>
        <w:rPr>
          <w:rFonts w:hint="eastAsia" w:ascii="Times New Roman" w:hAnsi="Times New Roman" w:cs="Times New Roman"/>
          <w:b/>
          <w:bCs/>
          <w:color w:val="000000" w:themeColor="text1"/>
          <w:lang w:val="en-US" w:eastAsia="zh-CN"/>
          <w14:textFill>
            <w14:solidFill>
              <w14:schemeClr w14:val="tx1"/>
            </w14:solidFill>
          </w14:textFill>
        </w:rPr>
        <w:t>九</w:t>
      </w:r>
      <w:r>
        <w:rPr>
          <w:rFonts w:hint="default" w:ascii="Times New Roman" w:hAnsi="Times New Roman" w:cs="Times New Roman"/>
          <w:b/>
          <w:bCs/>
          <w:color w:val="000000" w:themeColor="text1"/>
          <w14:textFill>
            <w14:solidFill>
              <w14:schemeClr w14:val="tx1"/>
            </w14:solidFill>
          </w14:textFill>
        </w:rPr>
        <w:t>）有效投标文件不足三家时，重新组织招标。</w:t>
      </w:r>
    </w:p>
    <w:p>
      <w:pPr>
        <w:pStyle w:val="59"/>
        <w:spacing w:beforeLines="0" w:afterLines="0" w:line="360" w:lineRule="auto"/>
        <w:ind w:right="-506" w:rightChars="-241"/>
        <w:contextualSpacing/>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四、开标</w:t>
      </w:r>
    </w:p>
    <w:p>
      <w:pPr>
        <w:pStyle w:val="68"/>
        <w:spacing w:line="360" w:lineRule="auto"/>
        <w:ind w:right="-86" w:rightChars="-41" w:firstLine="441" w:firstLineChars="209"/>
        <w:contextualSpacing/>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电子招投标开标及评审程序</w:t>
      </w:r>
    </w:p>
    <w:p>
      <w:pPr>
        <w:spacing w:line="360" w:lineRule="auto"/>
        <w:ind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1、采购组织机构按照规定的时间通过政采云系统组织开标、开启响应文件，所有投标人均应当准时在线参加。</w:t>
      </w:r>
    </w:p>
    <w:p>
      <w:pPr>
        <w:spacing w:line="360" w:lineRule="auto"/>
        <w:ind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2、投标截止时间后，投标人登录政采云平台，用“项目采购-开标评标”功能对电子投标文件进行</w:t>
      </w:r>
      <w:r>
        <w:rPr>
          <w:rFonts w:hint="default" w:ascii="Times New Roman" w:hAnsi="Times New Roman" w:cs="Times New Roman"/>
          <w:b/>
          <w:bCs/>
          <w:color w:val="000000" w:themeColor="text1"/>
          <w14:textFill>
            <w14:solidFill>
              <w14:schemeClr w14:val="tx1"/>
            </w14:solidFill>
          </w14:textFill>
        </w:rPr>
        <w:t>在线解密。</w:t>
      </w:r>
      <w:r>
        <w:rPr>
          <w:rFonts w:hint="default" w:ascii="Times New Roman" w:hAnsi="Times New Roman" w:cs="Times New Roman"/>
          <w:color w:val="000000" w:themeColor="text1"/>
          <w14:textFill>
            <w14:solidFill>
              <w14:schemeClr w14:val="tx1"/>
            </w14:solidFill>
          </w14:textFill>
        </w:rPr>
        <w:t>在线解密电子投标文件时间</w:t>
      </w:r>
      <w:r>
        <w:rPr>
          <w:rFonts w:hint="default" w:ascii="Times New Roman" w:hAnsi="Times New Roman" w:cs="Times New Roman"/>
          <w:b/>
          <w:bCs/>
          <w:color w:val="000000" w:themeColor="text1"/>
          <w14:textFill>
            <w14:solidFill>
              <w14:schemeClr w14:val="tx1"/>
            </w14:solidFill>
          </w14:textFill>
        </w:rPr>
        <w:t>为开标时间起半个小时内；</w:t>
      </w:r>
    </w:p>
    <w:p>
      <w:pPr>
        <w:spacing w:line="360" w:lineRule="auto"/>
        <w:ind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3、采购人或代理机构对资格响应文件进行评审，评标委员会对商务技术响应文件进行评审；</w:t>
      </w:r>
    </w:p>
    <w:p>
      <w:pPr>
        <w:spacing w:line="360" w:lineRule="auto"/>
        <w:ind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4、在系统上公开报价开标情况；</w:t>
      </w:r>
    </w:p>
    <w:p>
      <w:pPr>
        <w:spacing w:line="360" w:lineRule="auto"/>
        <w:ind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5、评标委员会对报价情况进行评审；</w:t>
      </w:r>
    </w:p>
    <w:p>
      <w:pPr>
        <w:spacing w:line="360" w:lineRule="auto"/>
        <w:ind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6、在系统上公布评审结果。</w:t>
      </w:r>
    </w:p>
    <w:p>
      <w:pPr>
        <w:spacing w:line="360" w:lineRule="auto"/>
        <w:ind w:firstLine="420" w:firstLineChars="200"/>
        <w:contextualSpacing/>
        <w:jc w:val="left"/>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特别说明：政采云公司如对电子化开标及评审程序有调整的，按调整后的程序操作。</w:t>
      </w:r>
    </w:p>
    <w:p>
      <w:pPr>
        <w:pStyle w:val="59"/>
        <w:spacing w:beforeLines="0" w:afterLines="0" w:line="360" w:lineRule="auto"/>
        <w:ind w:right="-506" w:rightChars="-241"/>
        <w:contextualSpacing/>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五、评标</w:t>
      </w:r>
    </w:p>
    <w:p>
      <w:pPr>
        <w:pStyle w:val="68"/>
        <w:spacing w:line="360" w:lineRule="auto"/>
        <w:ind w:firstLine="422" w:firstLineChars="200"/>
        <w:contextualSpacing/>
        <w:outlineLvl w:val="1"/>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（一）组建评标委员会</w:t>
      </w:r>
    </w:p>
    <w:p>
      <w:pPr>
        <w:pStyle w:val="59"/>
        <w:spacing w:beforeLines="0" w:afterLines="0" w:line="360" w:lineRule="auto"/>
        <w:ind w:right="-87" w:firstLine="420" w:firstLineChars="200"/>
        <w:contextualSpacing/>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本项目评标委员会由政府采购评审专家</w:t>
      </w:r>
      <w:r>
        <w:rPr>
          <w:rFonts w:hint="default" w:ascii="Times New Roman" w:hAnsi="Times New Roman" w:eastAsia="宋体" w:cs="Times New Roman"/>
          <w:color w:val="000000" w:themeColor="text1"/>
          <w:sz w:val="21"/>
          <w:szCs w:val="21"/>
          <w:u w:val="single"/>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人和采购人代表</w:t>
      </w:r>
      <w:r>
        <w:rPr>
          <w:rFonts w:hint="default" w:ascii="Times New Roman" w:hAnsi="Times New Roman" w:eastAsia="宋体" w:cs="Times New Roman"/>
          <w:color w:val="000000" w:themeColor="text1"/>
          <w:sz w:val="21"/>
          <w:szCs w:val="21"/>
          <w:u w:val="single"/>
          <w14:textFill>
            <w14:solidFill>
              <w14:schemeClr w14:val="tx1"/>
            </w14:solidFill>
          </w14:textFill>
        </w:rPr>
        <w:t>1</w:t>
      </w:r>
      <w:r>
        <w:rPr>
          <w:rFonts w:hint="default" w:ascii="Times New Roman" w:hAnsi="Times New Roman" w:eastAsia="宋体" w:cs="Times New Roman"/>
          <w:color w:val="000000" w:themeColor="text1"/>
          <w:sz w:val="21"/>
          <w:szCs w:val="21"/>
          <w14:textFill>
            <w14:solidFill>
              <w14:schemeClr w14:val="tx1"/>
            </w14:solidFill>
          </w14:textFill>
        </w:rPr>
        <w:t>人，共</w:t>
      </w:r>
      <w:r>
        <w:rPr>
          <w:rFonts w:hint="default" w:ascii="Times New Roman" w:hAnsi="Times New Roman" w:eastAsia="宋体" w:cs="Times New Roman"/>
          <w:color w:val="000000" w:themeColor="text1"/>
          <w:sz w:val="21"/>
          <w:szCs w:val="21"/>
          <w:u w:val="single"/>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人组成。</w:t>
      </w:r>
    </w:p>
    <w:p>
      <w:pPr>
        <w:pStyle w:val="68"/>
        <w:spacing w:line="360" w:lineRule="auto"/>
        <w:ind w:firstLine="422" w:firstLineChars="200"/>
        <w:contextualSpacing/>
        <w:outlineLvl w:val="1"/>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（二）评标程序</w:t>
      </w:r>
    </w:p>
    <w:p>
      <w:pPr>
        <w:spacing w:line="360" w:lineRule="auto"/>
        <w:ind w:right="-87" w:firstLine="413" w:firstLineChars="196"/>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1.投标文件初审。</w:t>
      </w:r>
    </w:p>
    <w:p>
      <w:pPr>
        <w:spacing w:line="360" w:lineRule="auto"/>
        <w:ind w:right="-87" w:firstLine="420" w:firstLineChars="200"/>
        <w:contextualSpacing/>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初审分为资格性检查和符合性检查。</w:t>
      </w:r>
    </w:p>
    <w:p>
      <w:pPr>
        <w:spacing w:line="360" w:lineRule="auto"/>
        <w:ind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1.1资格性检查。依据法律法规和采购文件的规定，对投标文件中的资格证明等进行审查，以确定投标投标人是否具备投标资格。</w:t>
      </w:r>
    </w:p>
    <w:p>
      <w:pPr>
        <w:spacing w:line="360" w:lineRule="auto"/>
        <w:ind w:firstLine="420" w:firstLineChars="200"/>
        <w:contextualSpacing/>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1.2符合性检查。依据采购文件的规定，从投标文件的有效性、完整性和对采购文件的响应程度进行审查，以确定是否对采购文件的实质性要求作出响应。</w:t>
      </w:r>
    </w:p>
    <w:p>
      <w:pPr>
        <w:spacing w:line="360" w:lineRule="auto"/>
        <w:ind w:right="-87" w:firstLine="413" w:firstLineChars="196"/>
        <w:contextualSpacing/>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2.实质审查</w:t>
      </w:r>
    </w:p>
    <w:p>
      <w:pPr>
        <w:spacing w:line="360" w:lineRule="auto"/>
        <w:ind w:firstLine="420" w:firstLineChars="200"/>
        <w:contextualSpacing/>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（1）评标委员会审查投标文件的实质性内容是否符合采购文件的实质性要求。</w:t>
      </w:r>
    </w:p>
    <w:p>
      <w:pPr>
        <w:spacing w:line="360" w:lineRule="auto"/>
        <w:ind w:firstLine="420" w:firstLineChars="200"/>
        <w:contextualSpacing/>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contextualSpacing/>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（3）评审小组商务、技术方案响应性评定；</w:t>
      </w:r>
    </w:p>
    <w:p>
      <w:pPr>
        <w:spacing w:line="360" w:lineRule="auto"/>
        <w:ind w:firstLine="420" w:firstLineChars="200"/>
        <w:contextualSpacing/>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（4）各投标人的技术得分为所有评委的有效评分的算术平均数。</w:t>
      </w:r>
    </w:p>
    <w:p>
      <w:pPr>
        <w:spacing w:line="360" w:lineRule="auto"/>
        <w:ind w:firstLine="420" w:firstLineChars="200"/>
        <w:contextualSpacing/>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（5）评标委员会完成评标后，系统对各部分得分汇总，计算出本项目综合评估分。评标委员会按</w:t>
      </w:r>
      <w:r>
        <w:rPr>
          <w:rFonts w:hint="default" w:ascii="Times New Roman" w:hAnsi="Times New Roman" w:cs="Times New Roman"/>
          <w:color w:val="000000" w:themeColor="text1"/>
          <w14:textFill>
            <w14:solidFill>
              <w14:schemeClr w14:val="tx1"/>
            </w14:solidFill>
          </w14:textFill>
        </w:rPr>
        <w:t>评标原则通过电子系统向采购人及采购代理机构提交评审报告。</w:t>
      </w:r>
    </w:p>
    <w:p>
      <w:pPr>
        <w:spacing w:line="360" w:lineRule="auto"/>
        <w:ind w:firstLine="422" w:firstLineChars="200"/>
        <w:contextualSpacing/>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（三）澄清问题的形式</w:t>
      </w:r>
    </w:p>
    <w:p>
      <w:pPr>
        <w:spacing w:line="360" w:lineRule="auto"/>
        <w:ind w:right="-87"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pPr>
        <w:spacing w:line="360" w:lineRule="auto"/>
        <w:ind w:firstLine="422" w:firstLineChars="200"/>
        <w:contextualSpacing/>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（四）错误修正</w:t>
      </w:r>
    </w:p>
    <w:p>
      <w:pPr>
        <w:pStyle w:val="17"/>
        <w:spacing w:line="360" w:lineRule="auto"/>
        <w:ind w:firstLine="420" w:firstLineChars="200"/>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投标文件如果出现计算或表达上的错误，修正错误的原则如下：</w:t>
      </w:r>
    </w:p>
    <w:p>
      <w:pPr>
        <w:pStyle w:val="17"/>
        <w:spacing w:line="360" w:lineRule="auto"/>
        <w:ind w:right="-85" w:firstLine="420" w:firstLineChars="200"/>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（1）投标文件中开标一览表（报价表）内容与投标文件中相应内容不一致的，以开标一览表（报价表）为准；</w:t>
      </w:r>
    </w:p>
    <w:p>
      <w:pPr>
        <w:pStyle w:val="17"/>
        <w:spacing w:line="360" w:lineRule="auto"/>
        <w:ind w:right="-85" w:firstLine="420" w:firstLineChars="200"/>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（2）大写金额和小写金额不一致的，以大写金额为准；</w:t>
      </w:r>
    </w:p>
    <w:p>
      <w:pPr>
        <w:pStyle w:val="17"/>
        <w:spacing w:line="360" w:lineRule="auto"/>
        <w:ind w:right="-85"/>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（3）单价金额小数点或者百分比有明显错位的，以开标一览表的总价为准，并修改单价；</w:t>
      </w:r>
    </w:p>
    <w:p>
      <w:pPr>
        <w:pStyle w:val="17"/>
        <w:spacing w:line="360" w:lineRule="auto"/>
        <w:ind w:firstLine="415" w:firstLineChars="198"/>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（4）总价金额与按单价汇总金额不一致的，以单价金额计算结果为准。</w:t>
      </w:r>
    </w:p>
    <w:p>
      <w:pPr>
        <w:pStyle w:val="17"/>
        <w:spacing w:line="360" w:lineRule="auto"/>
        <w:ind w:firstLine="415" w:firstLineChars="198"/>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17"/>
        <w:spacing w:line="360" w:lineRule="auto"/>
        <w:ind w:firstLine="417" w:firstLineChars="198"/>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59"/>
        <w:spacing w:beforeLines="0" w:afterLines="0" w:line="360" w:lineRule="auto"/>
        <w:ind w:right="-87" w:firstLine="422" w:firstLineChars="200"/>
        <w:contextualSpacing/>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（五）评标原则和评标办法</w:t>
      </w:r>
    </w:p>
    <w:p>
      <w:pPr>
        <w:pStyle w:val="17"/>
        <w:spacing w:line="360" w:lineRule="auto"/>
        <w:ind w:firstLine="420" w:firstLineChars="200"/>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17"/>
        <w:spacing w:line="360" w:lineRule="auto"/>
        <w:ind w:firstLine="420" w:firstLineChars="200"/>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2、评标办法。本项目评标办法是</w:t>
      </w:r>
      <w:r>
        <w:rPr>
          <w:rFonts w:hint="default" w:ascii="Times New Roman" w:hAnsi="Times New Roman" w:cs="Times New Roman"/>
          <w:color w:val="000000" w:themeColor="text1"/>
          <w:sz w:val="21"/>
          <w:szCs w:val="21"/>
          <w:u w:val="single"/>
          <w14:textFill>
            <w14:solidFill>
              <w14:schemeClr w14:val="tx1"/>
            </w14:solidFill>
          </w14:textFill>
        </w:rPr>
        <w:t>综合评分法</w:t>
      </w:r>
      <w:r>
        <w:rPr>
          <w:rFonts w:hint="default" w:ascii="Times New Roman" w:hAnsi="Times New Roman" w:cs="Times New Roman"/>
          <w:color w:val="000000" w:themeColor="text1"/>
          <w:sz w:val="21"/>
          <w:szCs w:val="21"/>
          <w14:textFill>
            <w14:solidFill>
              <w14:schemeClr w14:val="tx1"/>
            </w14:solidFill>
          </w14:textFill>
        </w:rPr>
        <w:t>，具体评标内容及评分标准等详见《第四章：评标办法及评分标准》。</w:t>
      </w:r>
    </w:p>
    <w:p>
      <w:pPr>
        <w:widowControl/>
        <w:spacing w:line="360" w:lineRule="auto"/>
        <w:ind w:right="-87" w:firstLine="422" w:firstLineChars="200"/>
        <w:contextualSpacing/>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（六）评标过程的监控</w:t>
      </w:r>
    </w:p>
    <w:p>
      <w:pPr>
        <w:pStyle w:val="59"/>
        <w:spacing w:beforeLines="0" w:afterLines="0" w:line="360" w:lineRule="auto"/>
        <w:ind w:right="-87" w:firstLine="420" w:firstLineChars="200"/>
        <w:contextualSpacing/>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本项目评标过程实行全程录音、录像监控。</w:t>
      </w:r>
    </w:p>
    <w:p>
      <w:pPr>
        <w:pStyle w:val="59"/>
        <w:spacing w:beforeLines="0" w:afterLines="0" w:line="360" w:lineRule="auto"/>
        <w:ind w:right="-506" w:rightChars="-241"/>
        <w:contextualSpacing/>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六、定标</w:t>
      </w:r>
    </w:p>
    <w:p>
      <w:pPr>
        <w:pStyle w:val="17"/>
        <w:spacing w:line="360" w:lineRule="auto"/>
        <w:ind w:firstLine="415" w:firstLineChars="198"/>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（一）确定中标人。本项目由采购人事先授权评审小组确定中标候选人3名。推荐第一名中标候选人为中标人，经采购人确认后，确定项目中标人，同时发布采购结果公告，发出中标通知书。</w:t>
      </w:r>
    </w:p>
    <w:p>
      <w:pPr>
        <w:pStyle w:val="17"/>
        <w:spacing w:line="360" w:lineRule="auto"/>
        <w:ind w:firstLine="415" w:firstLineChars="198"/>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1.采购代理机构在评标结束后在2个工作日内将评审报告交采购人确认。</w:t>
      </w:r>
    </w:p>
    <w:p>
      <w:pPr>
        <w:pStyle w:val="17"/>
        <w:spacing w:line="360" w:lineRule="auto"/>
        <w:ind w:firstLine="415" w:firstLineChars="198"/>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2.投标人对评审结果无异议的，采购人应在收到评审报告后5个工作日内对评审结果进行确认。如有投标人对评审结果提出质疑的，采购人可在质疑处理完毕后确定中标人。</w:t>
      </w:r>
    </w:p>
    <w:p>
      <w:pPr>
        <w:pStyle w:val="17"/>
        <w:spacing w:line="360" w:lineRule="auto"/>
        <w:ind w:firstLine="415" w:firstLineChars="198"/>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3.采购人依法确定中标人后2个工作日内，采购代理机构以书面形式发出《中标通知书》,并同时在相关网站上发布中标公告。</w:t>
      </w:r>
    </w:p>
    <w:p>
      <w:pPr>
        <w:pStyle w:val="17"/>
        <w:spacing w:line="360" w:lineRule="auto"/>
        <w:ind w:firstLine="415" w:firstLineChars="198"/>
        <w:contextualSpacing/>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pStyle w:val="59"/>
        <w:spacing w:beforeLines="0" w:afterLines="0" w:line="360" w:lineRule="auto"/>
        <w:ind w:right="-506" w:rightChars="-241"/>
        <w:contextualSpacing/>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七、合同授予</w:t>
      </w:r>
    </w:p>
    <w:p>
      <w:pPr>
        <w:pStyle w:val="17"/>
        <w:spacing w:line="360" w:lineRule="auto"/>
        <w:ind w:firstLine="417" w:firstLineChars="198"/>
        <w:contextualSpacing/>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（一）签订合同</w:t>
      </w:r>
    </w:p>
    <w:p>
      <w:pPr>
        <w:pStyle w:val="17"/>
        <w:spacing w:line="360" w:lineRule="auto"/>
        <w:ind w:firstLine="415" w:firstLineChars="198"/>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1、中标人应自接到中标通知书后30日内与采购人签定合同。同时，采购代理机构对合同内容进行审查，如发现与采购结果和投标承诺内容不一致的，应予以纠正。</w:t>
      </w:r>
    </w:p>
    <w:p>
      <w:pPr>
        <w:pStyle w:val="17"/>
        <w:spacing w:line="360" w:lineRule="auto"/>
        <w:ind w:firstLine="415" w:firstLineChars="198"/>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2、中标人拖延、拒签合同的，将上报监管部门并取消中标资格。</w:t>
      </w:r>
    </w:p>
    <w:p>
      <w:pPr>
        <w:pStyle w:val="17"/>
        <w:spacing w:line="360" w:lineRule="auto"/>
        <w:ind w:firstLine="415" w:firstLineChars="198"/>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3、中标人和采购人签订合同，按合同规定的服务期限履行合同。</w:t>
      </w:r>
    </w:p>
    <w:p>
      <w:pPr>
        <w:pStyle w:val="17"/>
        <w:spacing w:line="360" w:lineRule="auto"/>
        <w:ind w:firstLine="415" w:firstLineChars="198"/>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7"/>
        <w:spacing w:line="360" w:lineRule="auto"/>
        <w:ind w:firstLine="415" w:firstLineChars="198"/>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（二）合同公告</w:t>
      </w:r>
    </w:p>
    <w:p>
      <w:pPr>
        <w:pStyle w:val="17"/>
        <w:spacing w:line="360" w:lineRule="auto"/>
        <w:ind w:firstLine="415" w:firstLineChars="198"/>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采购人应当自政府采购合同签订之日起2个工作日内，将政府采购合同在省级以上人民政府财政部门指定的媒体上公告，但政府采购合同中涉及国家秘密、商业秘密的内容除外。</w:t>
      </w:r>
    </w:p>
    <w:p>
      <w:pPr>
        <w:pStyle w:val="59"/>
        <w:spacing w:beforeLines="0" w:afterLines="0" w:line="360" w:lineRule="auto"/>
        <w:ind w:right="-506" w:rightChars="-241"/>
        <w:contextualSpacing/>
        <w:jc w:val="center"/>
        <w:rPr>
          <w:rFonts w:hint="default" w:ascii="Times New Roman" w:hAnsi="Times New Roman" w:eastAsia="宋体" w:cs="Times New Roman"/>
          <w:b/>
          <w:bCs/>
          <w:color w:val="000000" w:themeColor="text1"/>
          <w14:textFill>
            <w14:solidFill>
              <w14:schemeClr w14:val="tx1"/>
            </w14:solidFill>
          </w14:textFill>
        </w:rPr>
      </w:pPr>
    </w:p>
    <w:p>
      <w:pPr>
        <w:pStyle w:val="59"/>
        <w:spacing w:beforeLines="0" w:afterLines="0" w:line="360" w:lineRule="auto"/>
        <w:ind w:right="-506" w:rightChars="-241"/>
        <w:contextualSpacing/>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八、招标代理费</w:t>
      </w:r>
    </w:p>
    <w:p>
      <w:pPr>
        <w:pStyle w:val="59"/>
        <w:spacing w:beforeLines="0" w:afterLines="0" w:line="360" w:lineRule="auto"/>
        <w:ind w:firstLine="413" w:firstLineChars="196"/>
        <w:contextualSpacing/>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（一）招标代理服务费</w:t>
      </w:r>
    </w:p>
    <w:p>
      <w:pPr>
        <w:spacing w:line="360" w:lineRule="auto"/>
        <w:ind w:firstLine="420" w:firstLineChars="200"/>
        <w:contextualSpacing/>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snapToGrid w:val="0"/>
          <w:color w:val="000000" w:themeColor="text1"/>
          <w:kern w:val="0"/>
          <w14:textFill>
            <w14:solidFill>
              <w14:schemeClr w14:val="tx1"/>
            </w14:solidFill>
          </w14:textFill>
        </w:rPr>
        <w:t>本项目的招标代理费由</w:t>
      </w:r>
      <w:r>
        <w:rPr>
          <w:rFonts w:hint="default" w:ascii="Times New Roman" w:hAnsi="Times New Roman" w:cs="Times New Roman"/>
          <w:b/>
          <w:bCs/>
          <w:snapToGrid w:val="0"/>
          <w:color w:val="000000" w:themeColor="text1"/>
          <w:kern w:val="0"/>
          <w14:textFill>
            <w14:solidFill>
              <w14:schemeClr w14:val="tx1"/>
            </w14:solidFill>
          </w14:textFill>
        </w:rPr>
        <w:t>中标人</w:t>
      </w:r>
      <w:r>
        <w:rPr>
          <w:rFonts w:hint="default" w:ascii="Times New Roman" w:hAnsi="Times New Roman" w:cs="Times New Roman"/>
          <w:snapToGrid w:val="0"/>
          <w:color w:val="000000" w:themeColor="text1"/>
          <w:kern w:val="0"/>
          <w14:textFill>
            <w14:solidFill>
              <w14:schemeClr w14:val="tx1"/>
            </w14:solidFill>
          </w14:textFill>
        </w:rPr>
        <w:t>支付。结算方式及时间为：在领取中标通知书时由</w:t>
      </w:r>
      <w:r>
        <w:rPr>
          <w:rFonts w:hint="default" w:ascii="Times New Roman" w:hAnsi="Times New Roman" w:cs="Times New Roman"/>
          <w:b/>
          <w:bCs/>
          <w:snapToGrid w:val="0"/>
          <w:color w:val="000000" w:themeColor="text1"/>
          <w:kern w:val="0"/>
          <w14:textFill>
            <w14:solidFill>
              <w14:schemeClr w14:val="tx1"/>
            </w14:solidFill>
          </w14:textFill>
        </w:rPr>
        <w:t>中标人</w:t>
      </w:r>
      <w:r>
        <w:rPr>
          <w:rFonts w:hint="default" w:ascii="Times New Roman" w:hAnsi="Times New Roman" w:cs="Times New Roman"/>
          <w:snapToGrid w:val="0"/>
          <w:color w:val="000000" w:themeColor="text1"/>
          <w:kern w:val="0"/>
          <w14:textFill>
            <w14:solidFill>
              <w14:schemeClr w14:val="tx1"/>
            </w14:solidFill>
          </w14:textFill>
        </w:rPr>
        <w:t>一次性向采购代理机构付清。</w:t>
      </w:r>
      <w:bookmarkStart w:id="1" w:name="_Toc480187579"/>
    </w:p>
    <w:p>
      <w:pPr>
        <w:pStyle w:val="59"/>
        <w:spacing w:beforeLines="0" w:afterLines="0" w:line="360" w:lineRule="auto"/>
        <w:ind w:right="-506" w:rightChars="-241"/>
        <w:contextualSpacing/>
        <w:jc w:val="center"/>
        <w:rPr>
          <w:rFonts w:hint="default" w:ascii="Times New Roman" w:hAnsi="Times New Roman" w:eastAsia="宋体" w:cs="Times New Roman"/>
          <w:b/>
          <w:bCs/>
          <w:color w:val="000000" w:themeColor="text1"/>
          <w14:textFill>
            <w14:solidFill>
              <w14:schemeClr w14:val="tx1"/>
            </w14:solidFill>
          </w14:textFill>
        </w:rPr>
      </w:pPr>
    </w:p>
    <w:p>
      <w:pPr>
        <w:pStyle w:val="59"/>
        <w:spacing w:beforeLines="0" w:afterLines="0" w:line="360" w:lineRule="auto"/>
        <w:ind w:right="-506" w:rightChars="-241"/>
        <w:contextualSpacing/>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九、政府采购政策</w:t>
      </w:r>
    </w:p>
    <w:bookmarkEnd w:id="1"/>
    <w:p>
      <w:pPr>
        <w:spacing w:line="360" w:lineRule="auto"/>
        <w:ind w:firstLine="420" w:firstLineChars="200"/>
        <w:rPr>
          <w:rFonts w:ascii="宋体" w:hAnsi="宋体" w:cs="宋体"/>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pPr>
        <w:spacing w:line="360" w:lineRule="auto"/>
        <w:ind w:firstLine="420" w:firstLineChars="200"/>
        <w:rPr>
          <w:rFonts w:ascii="宋体" w:hAnsi="宋体" w:cs="宋体"/>
        </w:rPr>
      </w:pPr>
      <w:r>
        <w:rPr>
          <w:rFonts w:hint="eastAsia" w:ascii="宋体" w:hAnsi="宋体" w:cs="宋体"/>
        </w:rPr>
        <w:t>1.1在政府采购活动中，投标人提供的货物、工程或者服务符合下列情形的，享受中小企业扶持政策：</w:t>
      </w:r>
    </w:p>
    <w:p>
      <w:pPr>
        <w:spacing w:line="360" w:lineRule="auto"/>
        <w:ind w:firstLine="420" w:firstLineChars="200"/>
        <w:rPr>
          <w:rFonts w:ascii="宋体" w:hAnsi="宋体" w:cs="宋体"/>
        </w:rPr>
      </w:pPr>
      <w:r>
        <w:rPr>
          <w:rFonts w:hint="eastAsia" w:ascii="宋体" w:hAnsi="宋体" w:cs="宋体"/>
        </w:rPr>
        <w:t>1.1.1在货物采购项目中，货物由中小企业制造，即货物由中小企业生产且使用该中小企业商号或者注册商标；</w:t>
      </w:r>
    </w:p>
    <w:p>
      <w:pPr>
        <w:spacing w:line="360" w:lineRule="auto"/>
        <w:ind w:firstLine="420" w:firstLineChars="200"/>
        <w:rPr>
          <w:rFonts w:ascii="宋体" w:hAnsi="宋体" w:cs="宋体"/>
        </w:rPr>
      </w:pPr>
      <w:r>
        <w:rPr>
          <w:rFonts w:hint="eastAsia" w:ascii="宋体" w:hAnsi="宋体" w:cs="宋体"/>
        </w:rPr>
        <w:t>1.1.2在工程采购项目中，工程由中小企业承建，即工程施工单位为中小企业；</w:t>
      </w:r>
    </w:p>
    <w:p>
      <w:pPr>
        <w:spacing w:line="360" w:lineRule="auto"/>
        <w:ind w:firstLine="420" w:firstLineChars="200"/>
        <w:rPr>
          <w:rFonts w:ascii="宋体" w:hAnsi="宋体" w:cs="宋体"/>
        </w:rPr>
      </w:pPr>
      <w:r>
        <w:rPr>
          <w:rFonts w:hint="eastAsia" w:ascii="宋体" w:hAnsi="宋体" w:cs="宋体"/>
        </w:rPr>
        <w:t>1.1.3在服务采购项目中，服务由中小企业承接，即提供服务的人员为中小企业依照《中华人民共和国劳动合同法》订立劳动合同的从业人员。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cs="宋体"/>
        </w:rPr>
      </w:pPr>
      <w:r>
        <w:rPr>
          <w:rFonts w:hint="eastAsia" w:ascii="宋体" w:hAnsi="宋体" w:cs="宋体"/>
        </w:rPr>
        <w:t>在货物采购项目中，投标人提供的货物既有中小企业制造货物，也有大型企业制造货物的，不享受中小企业扶持政策。</w:t>
      </w:r>
    </w:p>
    <w:p>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cs="宋体"/>
        </w:rPr>
      </w:pPr>
      <w:r>
        <w:rPr>
          <w:rFonts w:hint="eastAsia" w:ascii="宋体" w:hAnsi="宋体" w:cs="宋体"/>
        </w:rPr>
        <w:t>1.2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cs="宋体"/>
        </w:rPr>
      </w:pPr>
      <w:r>
        <w:rPr>
          <w:rFonts w:hint="eastAsia" w:ascii="宋体" w:hAnsi="宋体" w:cs="宋体"/>
        </w:rPr>
        <w:t>1.3符合《关于促进残疾人就业政府采购政策的通知》（财库〔2017〕141号）规定的条件并提供《残疾人福利性单位声明函》的残疾人福利性单位视同小型、微型企业；</w:t>
      </w:r>
    </w:p>
    <w:p>
      <w:pPr>
        <w:spacing w:line="360" w:lineRule="auto"/>
        <w:ind w:firstLine="420" w:firstLineChars="200"/>
        <w:rPr>
          <w:rFonts w:ascii="宋体" w:hAnsi="宋体" w:cs="宋体"/>
        </w:rPr>
      </w:pPr>
      <w:r>
        <w:rPr>
          <w:rFonts w:hint="eastAsia" w:ascii="宋体" w:hAnsi="宋体" w:cs="宋体"/>
        </w:rPr>
        <w:t>1.4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ascii="宋体" w:hAnsi="宋体" w:cs="宋体"/>
        </w:rPr>
      </w:pPr>
      <w:r>
        <w:rPr>
          <w:rFonts w:hint="eastAsia" w:ascii="宋体" w:hAnsi="宋体" w:cs="宋体"/>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ascii="宋体" w:hAnsi="宋体" w:cs="宋体"/>
        </w:rPr>
      </w:pPr>
      <w:r>
        <w:rPr>
          <w:rFonts w:hint="eastAsia" w:ascii="宋体" w:hAnsi="宋体" w:cs="宋体"/>
        </w:rPr>
        <w:t>1.6中小企业享受扶持政策获得政府采购合同的，小微企业不得将合同分包给大中型企业，中型企业不得将合同分包给大型企业。</w:t>
      </w:r>
    </w:p>
    <w:p>
      <w:pPr>
        <w:spacing w:line="360" w:lineRule="auto"/>
        <w:ind w:firstLine="210" w:firstLineChars="100"/>
        <w:contextualSpacing/>
        <w:rPr>
          <w:rFonts w:hAnsi="宋体" w:cs="宋体"/>
          <w:b/>
          <w:spacing w:val="-4"/>
          <w:sz w:val="28"/>
          <w:szCs w:val="28"/>
        </w:rPr>
      </w:pPr>
      <w:r>
        <w:rPr>
          <w:rFonts w:hint="eastAsia" w:ascii="Times New Roman" w:hAnsi="Times New Roman"/>
        </w:rPr>
        <w:t>2</w:t>
      </w:r>
      <w:r>
        <w:rPr>
          <w:rFonts w:ascii="Times New Roman" w:hAnsi="Times New Roman"/>
        </w:rPr>
        <w:t>、信贷政策</w:t>
      </w:r>
    </w:p>
    <w:p>
      <w:pPr>
        <w:spacing w:line="360" w:lineRule="auto"/>
        <w:ind w:firstLine="420" w:firstLineChars="200"/>
        <w:rPr>
          <w:rFonts w:ascii="Times New Roman" w:hAnsi="Times New Roman"/>
        </w:rPr>
      </w:pPr>
      <w:r>
        <w:rPr>
          <w:rFonts w:hint="eastAsia" w:ascii="Times New Roman" w:hAnsi="Times New Roman"/>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288"/>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897" w:type="dxa"/>
            <w:gridSpan w:val="4"/>
          </w:tcPr>
          <w:p>
            <w:pPr>
              <w:jc w:val="center"/>
              <w:rPr>
                <w:rFonts w:ascii="Times New Roman" w:hAnsi="Times New Roman"/>
                <w:bCs/>
                <w:szCs w:val="21"/>
              </w:rPr>
            </w:pPr>
            <w:r>
              <w:rPr>
                <w:rFonts w:hint="eastAsia" w:ascii="Times New Roman" w:hAnsi="Times New Roman"/>
                <w:bCs/>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vAlign w:val="center"/>
          </w:tcPr>
          <w:p>
            <w:pPr>
              <w:pStyle w:val="110"/>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银行名称</w:t>
            </w:r>
          </w:p>
        </w:tc>
        <w:tc>
          <w:tcPr>
            <w:tcW w:w="3547" w:type="dxa"/>
            <w:vAlign w:val="center"/>
          </w:tcPr>
          <w:p>
            <w:pPr>
              <w:pStyle w:val="110"/>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产品特点</w:t>
            </w:r>
          </w:p>
        </w:tc>
        <w:tc>
          <w:tcPr>
            <w:tcW w:w="1288" w:type="dxa"/>
            <w:vAlign w:val="center"/>
          </w:tcPr>
          <w:p>
            <w:pPr>
              <w:pStyle w:val="110"/>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经办人</w:t>
            </w:r>
          </w:p>
        </w:tc>
        <w:tc>
          <w:tcPr>
            <w:tcW w:w="1689" w:type="dxa"/>
            <w:vAlign w:val="center"/>
          </w:tcPr>
          <w:p>
            <w:pPr>
              <w:jc w:val="center"/>
              <w:rPr>
                <w:rFonts w:ascii="Times New Roman" w:hAnsi="Times New Roman"/>
                <w:bCs/>
                <w:szCs w:val="21"/>
              </w:rPr>
            </w:pPr>
            <w:r>
              <w:rPr>
                <w:rFonts w:hint="eastAsia" w:ascii="Times New Roman" w:hAnsi="Times New Roman"/>
                <w:bCs/>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10"/>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中国工商银行股份有限公司舟山分行</w:t>
            </w:r>
          </w:p>
        </w:tc>
        <w:tc>
          <w:tcPr>
            <w:tcW w:w="3547" w:type="dxa"/>
          </w:tcPr>
          <w:p>
            <w:pPr>
              <w:rPr>
                <w:rFonts w:ascii="Times New Roman" w:hAnsi="Times New Roman"/>
                <w:bCs/>
                <w:szCs w:val="21"/>
              </w:rPr>
            </w:pPr>
            <w:r>
              <w:rPr>
                <w:rFonts w:hint="eastAsia" w:ascii="Times New Roman" w:hAnsi="Times New Roman"/>
                <w:bCs/>
                <w:szCs w:val="21"/>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288" w:type="dxa"/>
            <w:vAlign w:val="center"/>
          </w:tcPr>
          <w:p>
            <w:pPr>
              <w:pStyle w:val="110"/>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柳超颖</w:t>
            </w:r>
          </w:p>
        </w:tc>
        <w:tc>
          <w:tcPr>
            <w:tcW w:w="1689" w:type="dxa"/>
            <w:vAlign w:val="center"/>
          </w:tcPr>
          <w:p>
            <w:pPr>
              <w:jc w:val="center"/>
              <w:rPr>
                <w:rFonts w:ascii="Times New Roman" w:hAnsi="Times New Roman"/>
                <w:bCs/>
                <w:szCs w:val="21"/>
              </w:rPr>
            </w:pPr>
            <w:r>
              <w:rPr>
                <w:rFonts w:hint="eastAsia" w:ascii="Times New Roman" w:hAnsi="Times New Roman"/>
                <w:bCs/>
                <w:szCs w:val="21"/>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tcPr>
          <w:p>
            <w:pPr>
              <w:rPr>
                <w:rFonts w:ascii="Times New Roman" w:hAnsi="Times New Roman"/>
                <w:bCs/>
                <w:szCs w:val="21"/>
              </w:rPr>
            </w:pPr>
            <w:r>
              <w:rPr>
                <w:rFonts w:hint="eastAsia" w:ascii="Times New Roman" w:hAnsi="Times New Roman"/>
                <w:bCs/>
                <w:szCs w:val="21"/>
              </w:rPr>
              <w:t>中国建设银行股份有限公司舟山分行</w:t>
            </w:r>
          </w:p>
        </w:tc>
        <w:tc>
          <w:tcPr>
            <w:tcW w:w="3547" w:type="dxa"/>
          </w:tcPr>
          <w:p>
            <w:pPr>
              <w:rPr>
                <w:rFonts w:ascii="Times New Roman" w:hAnsi="Times New Roman"/>
                <w:bCs/>
                <w:szCs w:val="21"/>
              </w:rPr>
            </w:pPr>
            <w:r>
              <w:rPr>
                <w:rFonts w:hint="eastAsia" w:ascii="Times New Roman" w:hAnsi="Times New Roman"/>
                <w:bCs/>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288" w:type="dxa"/>
            <w:vAlign w:val="center"/>
          </w:tcPr>
          <w:p>
            <w:pPr>
              <w:rPr>
                <w:rFonts w:ascii="Times New Roman" w:hAnsi="Times New Roman"/>
                <w:bCs/>
                <w:szCs w:val="21"/>
              </w:rPr>
            </w:pPr>
            <w:r>
              <w:rPr>
                <w:rFonts w:hint="eastAsia" w:ascii="Times New Roman" w:hAnsi="Times New Roman"/>
                <w:bCs/>
                <w:szCs w:val="21"/>
              </w:rPr>
              <w:t>普陀片区：蔡妮妮</w:t>
            </w:r>
          </w:p>
          <w:p>
            <w:pPr>
              <w:rPr>
                <w:rFonts w:ascii="Times New Roman" w:hAnsi="Times New Roman"/>
                <w:bCs/>
                <w:szCs w:val="21"/>
              </w:rPr>
            </w:pPr>
            <w:r>
              <w:rPr>
                <w:rFonts w:hint="eastAsia" w:ascii="Times New Roman" w:hAnsi="Times New Roman"/>
                <w:bCs/>
                <w:szCs w:val="21"/>
              </w:rPr>
              <w:t>定海片区：杨莹</w:t>
            </w:r>
          </w:p>
          <w:p>
            <w:pPr>
              <w:rPr>
                <w:rFonts w:ascii="Times New Roman" w:hAnsi="Times New Roman"/>
                <w:bCs/>
                <w:szCs w:val="21"/>
              </w:rPr>
            </w:pPr>
            <w:r>
              <w:rPr>
                <w:rFonts w:hint="eastAsia" w:ascii="Times New Roman" w:hAnsi="Times New Roman"/>
                <w:bCs/>
                <w:szCs w:val="21"/>
              </w:rPr>
              <w:t>自贸区片区：郑佳奇</w:t>
            </w:r>
          </w:p>
        </w:tc>
        <w:tc>
          <w:tcPr>
            <w:tcW w:w="1689" w:type="dxa"/>
            <w:vAlign w:val="center"/>
          </w:tcPr>
          <w:p>
            <w:pPr>
              <w:rPr>
                <w:rFonts w:ascii="Times New Roman" w:hAnsi="Times New Roman"/>
                <w:bCs/>
                <w:szCs w:val="21"/>
              </w:rPr>
            </w:pPr>
            <w:r>
              <w:rPr>
                <w:rFonts w:hint="eastAsia" w:ascii="Times New Roman" w:hAnsi="Times New Roman"/>
                <w:bCs/>
                <w:szCs w:val="21"/>
              </w:rPr>
              <w:t>普陀片区：13957201791</w:t>
            </w:r>
          </w:p>
          <w:p>
            <w:pPr>
              <w:rPr>
                <w:rFonts w:ascii="Times New Roman" w:hAnsi="Times New Roman"/>
                <w:bCs/>
                <w:szCs w:val="21"/>
              </w:rPr>
            </w:pPr>
            <w:r>
              <w:rPr>
                <w:rFonts w:hint="eastAsia" w:ascii="Times New Roman" w:hAnsi="Times New Roman"/>
                <w:bCs/>
                <w:szCs w:val="21"/>
              </w:rPr>
              <w:t>定海片区：13655803997</w:t>
            </w:r>
          </w:p>
          <w:p>
            <w:pPr>
              <w:rPr>
                <w:rFonts w:ascii="Times New Roman" w:hAnsi="Times New Roman"/>
                <w:bCs/>
                <w:szCs w:val="21"/>
              </w:rPr>
            </w:pPr>
            <w:r>
              <w:rPr>
                <w:rFonts w:hint="eastAsia" w:ascii="Times New Roman" w:hAnsi="Times New Roman"/>
                <w:bCs/>
                <w:szCs w:val="21"/>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10"/>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杭州银行股份有限公司舟山市分行</w:t>
            </w:r>
          </w:p>
        </w:tc>
        <w:tc>
          <w:tcPr>
            <w:tcW w:w="3547" w:type="dxa"/>
          </w:tcPr>
          <w:p>
            <w:pPr>
              <w:rPr>
                <w:rFonts w:ascii="Times New Roman" w:hAnsi="Times New Roman"/>
                <w:bCs/>
                <w:szCs w:val="21"/>
              </w:rPr>
            </w:pPr>
            <w:r>
              <w:rPr>
                <w:rFonts w:hint="eastAsia" w:ascii="Times New Roman" w:hAnsi="Times New Roman"/>
                <w:bCs/>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288" w:type="dxa"/>
            <w:vAlign w:val="center"/>
          </w:tcPr>
          <w:p>
            <w:pPr>
              <w:jc w:val="center"/>
              <w:rPr>
                <w:rFonts w:ascii="Times New Roman" w:hAnsi="Times New Roman"/>
                <w:bCs/>
                <w:szCs w:val="21"/>
              </w:rPr>
            </w:pPr>
            <w:r>
              <w:rPr>
                <w:rFonts w:hint="eastAsia" w:ascii="Times New Roman" w:hAnsi="Times New Roman"/>
                <w:bCs/>
                <w:szCs w:val="21"/>
              </w:rPr>
              <w:t>方经理</w:t>
            </w:r>
          </w:p>
        </w:tc>
        <w:tc>
          <w:tcPr>
            <w:tcW w:w="1689" w:type="dxa"/>
            <w:vAlign w:val="center"/>
          </w:tcPr>
          <w:p>
            <w:pPr>
              <w:jc w:val="center"/>
              <w:rPr>
                <w:rFonts w:ascii="Times New Roman" w:hAnsi="Times New Roman"/>
                <w:bCs/>
                <w:szCs w:val="21"/>
              </w:rPr>
            </w:pPr>
            <w:r>
              <w:rPr>
                <w:rFonts w:hint="eastAsia" w:ascii="Times New Roman" w:hAnsi="Times New Roman"/>
                <w:bCs/>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10"/>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招商银行股份有限公司浙江自贸试验区舟山分行</w:t>
            </w:r>
          </w:p>
        </w:tc>
        <w:tc>
          <w:tcPr>
            <w:tcW w:w="3547" w:type="dxa"/>
          </w:tcPr>
          <w:p>
            <w:pPr>
              <w:rPr>
                <w:rFonts w:ascii="Times New Roman" w:hAnsi="Times New Roman"/>
                <w:bCs/>
                <w:szCs w:val="21"/>
              </w:rPr>
            </w:pPr>
            <w:r>
              <w:rPr>
                <w:rFonts w:hint="eastAsia" w:ascii="Times New Roman" w:hAnsi="Times New Roman"/>
                <w:bCs/>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288" w:type="dxa"/>
            <w:vAlign w:val="center"/>
          </w:tcPr>
          <w:p>
            <w:pPr>
              <w:jc w:val="center"/>
              <w:rPr>
                <w:rFonts w:ascii="Times New Roman" w:hAnsi="Times New Roman"/>
                <w:bCs/>
                <w:szCs w:val="21"/>
              </w:rPr>
            </w:pPr>
            <w:r>
              <w:rPr>
                <w:rFonts w:hint="eastAsia" w:ascii="Times New Roman" w:hAnsi="Times New Roman"/>
                <w:bCs/>
                <w:szCs w:val="21"/>
              </w:rPr>
              <w:t>李玲</w:t>
            </w:r>
          </w:p>
        </w:tc>
        <w:tc>
          <w:tcPr>
            <w:tcW w:w="1689" w:type="dxa"/>
            <w:vAlign w:val="center"/>
          </w:tcPr>
          <w:p>
            <w:pPr>
              <w:jc w:val="center"/>
              <w:rPr>
                <w:rFonts w:ascii="Times New Roman" w:hAnsi="Times New Roman"/>
                <w:bCs/>
                <w:szCs w:val="21"/>
              </w:rPr>
            </w:pPr>
            <w:r>
              <w:rPr>
                <w:rFonts w:hint="eastAsia" w:ascii="Times New Roman" w:hAnsi="Times New Roman"/>
                <w:bCs/>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373" w:type="dxa"/>
          </w:tcPr>
          <w:p>
            <w:pPr>
              <w:pStyle w:val="110"/>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温州银行股份有限公司舟山市分行</w:t>
            </w:r>
          </w:p>
        </w:tc>
        <w:tc>
          <w:tcPr>
            <w:tcW w:w="3547" w:type="dxa"/>
          </w:tcPr>
          <w:p>
            <w:pPr>
              <w:rPr>
                <w:rFonts w:ascii="Times New Roman" w:hAnsi="Times New Roman"/>
                <w:bCs/>
                <w:szCs w:val="21"/>
              </w:rPr>
            </w:pPr>
            <w:r>
              <w:rPr>
                <w:rFonts w:hint="eastAsia" w:ascii="Times New Roman" w:hAnsi="Times New Roman"/>
                <w:bCs/>
                <w:szCs w:val="21"/>
              </w:rPr>
              <w:t>“政采订单贷” ：单户授信最高为500万，单笔申请最高可按中标金额0.8折，贷款期限最少三个月、最长一年，可通过政采云平台向本行发起政采订单贷业务申请</w:t>
            </w:r>
          </w:p>
        </w:tc>
        <w:tc>
          <w:tcPr>
            <w:tcW w:w="1288" w:type="dxa"/>
            <w:vAlign w:val="center"/>
          </w:tcPr>
          <w:p>
            <w:pPr>
              <w:jc w:val="center"/>
              <w:rPr>
                <w:rFonts w:ascii="Times New Roman" w:hAnsi="Times New Roman"/>
                <w:bCs/>
                <w:szCs w:val="21"/>
              </w:rPr>
            </w:pPr>
            <w:r>
              <w:rPr>
                <w:rFonts w:hint="eastAsia" w:ascii="Times New Roman" w:hAnsi="Times New Roman"/>
                <w:bCs/>
                <w:szCs w:val="21"/>
              </w:rPr>
              <w:t>郑贤栋</w:t>
            </w:r>
          </w:p>
        </w:tc>
        <w:tc>
          <w:tcPr>
            <w:tcW w:w="1689" w:type="dxa"/>
            <w:vAlign w:val="center"/>
          </w:tcPr>
          <w:p>
            <w:pPr>
              <w:jc w:val="center"/>
              <w:rPr>
                <w:rFonts w:ascii="Times New Roman" w:hAnsi="Times New Roman"/>
                <w:bCs/>
                <w:szCs w:val="21"/>
              </w:rPr>
            </w:pPr>
            <w:r>
              <w:rPr>
                <w:rFonts w:ascii="Times New Roman" w:hAnsi="Times New Roman"/>
                <w:bCs/>
                <w:szCs w:val="21"/>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10"/>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交通银行股份有限公司舟山分行</w:t>
            </w:r>
          </w:p>
        </w:tc>
        <w:tc>
          <w:tcPr>
            <w:tcW w:w="3547" w:type="dxa"/>
          </w:tcPr>
          <w:p>
            <w:pPr>
              <w:autoSpaceDE w:val="0"/>
              <w:autoSpaceDN w:val="0"/>
              <w:adjustRightInd w:val="0"/>
              <w:rPr>
                <w:rFonts w:ascii="Times New Roman" w:hAnsi="Times New Roman"/>
                <w:bCs/>
                <w:szCs w:val="21"/>
              </w:rPr>
            </w:pPr>
            <w:r>
              <w:rPr>
                <w:rFonts w:hint="eastAsia" w:ascii="Times New Roman" w:hAnsi="Times New Roman"/>
                <w:bCs/>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288" w:type="dxa"/>
            <w:vAlign w:val="center"/>
          </w:tcPr>
          <w:p>
            <w:pPr>
              <w:jc w:val="center"/>
              <w:rPr>
                <w:rFonts w:ascii="Times New Roman" w:hAnsi="Times New Roman"/>
                <w:bCs/>
                <w:szCs w:val="21"/>
              </w:rPr>
            </w:pPr>
            <w:r>
              <w:rPr>
                <w:rFonts w:hint="eastAsia" w:ascii="Times New Roman" w:hAnsi="Times New Roman"/>
                <w:bCs/>
                <w:szCs w:val="21"/>
              </w:rPr>
              <w:t>赵争艳</w:t>
            </w:r>
          </w:p>
        </w:tc>
        <w:tc>
          <w:tcPr>
            <w:tcW w:w="1689" w:type="dxa"/>
            <w:vAlign w:val="center"/>
          </w:tcPr>
          <w:p>
            <w:pPr>
              <w:jc w:val="center"/>
              <w:rPr>
                <w:rFonts w:ascii="Times New Roman" w:hAnsi="Times New Roman"/>
                <w:bCs/>
                <w:szCs w:val="21"/>
              </w:rPr>
            </w:pPr>
            <w:r>
              <w:rPr>
                <w:rFonts w:hint="eastAsia" w:ascii="Times New Roman" w:hAnsi="Times New Roman"/>
                <w:bCs/>
                <w:szCs w:val="21"/>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10"/>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中信银行股份有限公司舟山分行</w:t>
            </w:r>
          </w:p>
        </w:tc>
        <w:tc>
          <w:tcPr>
            <w:tcW w:w="3547" w:type="dxa"/>
          </w:tcPr>
          <w:p>
            <w:pPr>
              <w:rPr>
                <w:rFonts w:ascii="Times New Roman" w:hAnsi="Times New Roman"/>
                <w:bCs/>
                <w:szCs w:val="21"/>
              </w:rPr>
            </w:pPr>
            <w:r>
              <w:rPr>
                <w:rFonts w:hint="eastAsia" w:ascii="Times New Roman" w:hAnsi="Times New Roman"/>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288" w:type="dxa"/>
            <w:vAlign w:val="center"/>
          </w:tcPr>
          <w:p>
            <w:pPr>
              <w:jc w:val="center"/>
              <w:rPr>
                <w:rFonts w:ascii="Times New Roman" w:hAnsi="Times New Roman"/>
                <w:bCs/>
                <w:szCs w:val="21"/>
              </w:rPr>
            </w:pPr>
            <w:r>
              <w:rPr>
                <w:rFonts w:hint="eastAsia" w:ascii="Times New Roman" w:hAnsi="Times New Roman"/>
                <w:bCs/>
                <w:szCs w:val="21"/>
              </w:rPr>
              <w:t>杨莉丹</w:t>
            </w:r>
          </w:p>
        </w:tc>
        <w:tc>
          <w:tcPr>
            <w:tcW w:w="1689" w:type="dxa"/>
            <w:vAlign w:val="center"/>
          </w:tcPr>
          <w:p>
            <w:pPr>
              <w:jc w:val="center"/>
              <w:rPr>
                <w:rFonts w:ascii="Times New Roman" w:hAnsi="Times New Roman"/>
                <w:bCs/>
                <w:szCs w:val="21"/>
              </w:rPr>
            </w:pPr>
            <w:r>
              <w:rPr>
                <w:rFonts w:ascii="Times New Roman" w:hAnsi="Times New Roman"/>
                <w:bCs/>
                <w:szCs w:val="21"/>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10"/>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泰隆银行舟山市分行</w:t>
            </w:r>
          </w:p>
        </w:tc>
        <w:tc>
          <w:tcPr>
            <w:tcW w:w="3547" w:type="dxa"/>
          </w:tcPr>
          <w:p>
            <w:pPr>
              <w:rPr>
                <w:rFonts w:ascii="Times New Roman" w:hAnsi="Times New Roman"/>
                <w:bCs/>
                <w:szCs w:val="21"/>
              </w:rPr>
            </w:pPr>
            <w:r>
              <w:rPr>
                <w:rFonts w:hint="eastAsia" w:ascii="Times New Roman" w:hAnsi="Times New Roman"/>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rPr>
                <w:rFonts w:ascii="Times New Roman" w:hAnsi="Times New Roman"/>
                <w:bCs/>
                <w:szCs w:val="21"/>
              </w:rPr>
            </w:pPr>
            <w:r>
              <w:rPr>
                <w:rFonts w:hint="eastAsia" w:ascii="Times New Roman" w:hAnsi="Times New Roman"/>
                <w:bCs/>
                <w:szCs w:val="21"/>
              </w:rPr>
              <w:t>贷至合同付款日。</w:t>
            </w:r>
          </w:p>
        </w:tc>
        <w:tc>
          <w:tcPr>
            <w:tcW w:w="1288" w:type="dxa"/>
            <w:vAlign w:val="center"/>
          </w:tcPr>
          <w:p>
            <w:pPr>
              <w:jc w:val="center"/>
              <w:rPr>
                <w:rFonts w:ascii="Times New Roman" w:hAnsi="Times New Roman"/>
                <w:bCs/>
                <w:szCs w:val="21"/>
              </w:rPr>
            </w:pPr>
            <w:r>
              <w:rPr>
                <w:rFonts w:hint="eastAsia" w:ascii="Times New Roman" w:hAnsi="Times New Roman"/>
                <w:bCs/>
                <w:szCs w:val="21"/>
              </w:rPr>
              <w:t>胡亢宇</w:t>
            </w:r>
          </w:p>
        </w:tc>
        <w:tc>
          <w:tcPr>
            <w:tcW w:w="1689" w:type="dxa"/>
            <w:vAlign w:val="center"/>
          </w:tcPr>
          <w:p>
            <w:pPr>
              <w:jc w:val="center"/>
              <w:rPr>
                <w:rFonts w:ascii="Times New Roman" w:hAnsi="Times New Roman"/>
                <w:bCs/>
                <w:szCs w:val="21"/>
              </w:rPr>
            </w:pPr>
            <w:r>
              <w:rPr>
                <w:rFonts w:ascii="Times New Roman" w:hAnsi="Times New Roman"/>
                <w:bCs/>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10"/>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中国农业银行股份有限公司舟山分行</w:t>
            </w:r>
          </w:p>
        </w:tc>
        <w:tc>
          <w:tcPr>
            <w:tcW w:w="3547" w:type="dxa"/>
          </w:tcPr>
          <w:p>
            <w:pPr>
              <w:rPr>
                <w:rFonts w:ascii="Times New Roman" w:hAnsi="Times New Roman"/>
                <w:bCs/>
                <w:szCs w:val="21"/>
              </w:rPr>
            </w:pPr>
            <w:r>
              <w:rPr>
                <w:rFonts w:hint="eastAsia" w:ascii="Times New Roman" w:hAnsi="Times New Roman"/>
                <w:bCs/>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288" w:type="dxa"/>
            <w:vAlign w:val="center"/>
          </w:tcPr>
          <w:p>
            <w:pPr>
              <w:jc w:val="center"/>
              <w:rPr>
                <w:rFonts w:ascii="Times New Roman" w:hAnsi="Times New Roman"/>
                <w:bCs/>
                <w:szCs w:val="21"/>
              </w:rPr>
            </w:pPr>
            <w:r>
              <w:rPr>
                <w:rFonts w:hint="eastAsia" w:ascii="Times New Roman" w:hAnsi="Times New Roman"/>
                <w:bCs/>
                <w:szCs w:val="21"/>
              </w:rPr>
              <w:t>邵琼</w:t>
            </w:r>
          </w:p>
        </w:tc>
        <w:tc>
          <w:tcPr>
            <w:tcW w:w="1689" w:type="dxa"/>
            <w:vAlign w:val="center"/>
          </w:tcPr>
          <w:p>
            <w:pPr>
              <w:jc w:val="center"/>
              <w:rPr>
                <w:rFonts w:ascii="Times New Roman" w:hAnsi="Times New Roman"/>
                <w:bCs/>
                <w:szCs w:val="21"/>
              </w:rPr>
            </w:pPr>
            <w:r>
              <w:rPr>
                <w:rFonts w:hint="eastAsia" w:ascii="Times New Roman" w:hAnsi="Times New Roman"/>
                <w:bCs/>
                <w:szCs w:val="21"/>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10"/>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中国邮政储蓄银行股份有限公司舟山市分行</w:t>
            </w:r>
          </w:p>
        </w:tc>
        <w:tc>
          <w:tcPr>
            <w:tcW w:w="3547" w:type="dxa"/>
          </w:tcPr>
          <w:p>
            <w:pPr>
              <w:rPr>
                <w:rFonts w:ascii="Times New Roman" w:hAnsi="Times New Roman"/>
                <w:bCs/>
                <w:szCs w:val="21"/>
              </w:rPr>
            </w:pPr>
            <w:r>
              <w:rPr>
                <w:rFonts w:hint="eastAsia" w:ascii="Times New Roman" w:hAnsi="Times New Roman"/>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288" w:type="dxa"/>
            <w:vAlign w:val="center"/>
          </w:tcPr>
          <w:p>
            <w:pPr>
              <w:jc w:val="center"/>
              <w:rPr>
                <w:rFonts w:ascii="Times New Roman" w:hAnsi="Times New Roman"/>
                <w:bCs/>
                <w:szCs w:val="21"/>
              </w:rPr>
            </w:pPr>
            <w:r>
              <w:rPr>
                <w:rFonts w:hint="eastAsia" w:ascii="Times New Roman" w:hAnsi="Times New Roman"/>
                <w:bCs/>
                <w:szCs w:val="21"/>
              </w:rPr>
              <w:t>曾超</w:t>
            </w:r>
          </w:p>
        </w:tc>
        <w:tc>
          <w:tcPr>
            <w:tcW w:w="1689" w:type="dxa"/>
            <w:vAlign w:val="center"/>
          </w:tcPr>
          <w:p>
            <w:pPr>
              <w:jc w:val="center"/>
              <w:rPr>
                <w:rFonts w:ascii="Times New Roman" w:hAnsi="Times New Roman"/>
                <w:bCs/>
                <w:szCs w:val="21"/>
              </w:rPr>
            </w:pPr>
            <w:r>
              <w:rPr>
                <w:rFonts w:hint="eastAsia" w:ascii="Times New Roman" w:hAnsi="Times New Roman"/>
                <w:bCs/>
                <w:szCs w:val="21"/>
              </w:rPr>
              <w:t>15924008387</w:t>
            </w:r>
          </w:p>
        </w:tc>
      </w:tr>
    </w:tbl>
    <w:p>
      <w:pPr>
        <w:rPr>
          <w:rFonts w:ascii="Times New Roman" w:hAnsi="Times New Roman"/>
          <w:bCs/>
          <w:szCs w:val="21"/>
        </w:rPr>
      </w:pPr>
      <w:r>
        <w:rPr>
          <w:rFonts w:hint="eastAsia" w:ascii="Times New Roman" w:hAnsi="Times New Roman"/>
          <w:bCs/>
          <w:szCs w:val="21"/>
        </w:rPr>
        <w:t>2.2一般步骤</w:t>
      </w:r>
    </w:p>
    <w:p>
      <w:pPr>
        <w:rPr>
          <w:rFonts w:ascii="Times New Roman" w:hAnsi="Times New Roman"/>
          <w:bCs/>
          <w:szCs w:val="21"/>
        </w:rPr>
      </w:pPr>
      <w:r>
        <w:rPr>
          <w:rFonts w:hint="eastAsia" w:ascii="Times New Roman" w:hAnsi="Times New Roman"/>
          <w:bCs/>
          <w:szCs w:val="21"/>
        </w:rPr>
        <w:t>（1）供应商先与银行对接，办理融资前期手续；</w:t>
      </w:r>
    </w:p>
    <w:p>
      <w:pPr>
        <w:rPr>
          <w:rFonts w:ascii="Times New Roman" w:hAnsi="Times New Roman"/>
          <w:bCs/>
          <w:szCs w:val="21"/>
        </w:rPr>
      </w:pPr>
      <w:r>
        <w:rPr>
          <w:rFonts w:hint="eastAsia" w:ascii="Times New Roman" w:hAnsi="Times New Roman"/>
          <w:bCs/>
          <w:szCs w:val="21"/>
        </w:rPr>
        <w:t>（2）供应商中标后，凭中标通知书等材料，向相关合作银行发出融资申请；</w:t>
      </w:r>
    </w:p>
    <w:p>
      <w:pPr>
        <w:rPr>
          <w:rFonts w:ascii="Times New Roman" w:hAnsi="Times New Roman"/>
          <w:bCs/>
          <w:szCs w:val="21"/>
        </w:rPr>
      </w:pPr>
      <w:r>
        <w:rPr>
          <w:rFonts w:hint="eastAsia" w:ascii="Times New Roman" w:hAnsi="Times New Roman"/>
          <w:bCs/>
          <w:szCs w:val="21"/>
        </w:rPr>
        <w:t>（3）银行、供应商线下办理审批、放贷事宜。</w:t>
      </w:r>
    </w:p>
    <w:p>
      <w:pPr>
        <w:rPr>
          <w:rFonts w:ascii="Times New Roman" w:hAnsi="Times New Roman"/>
          <w:bCs/>
          <w:szCs w:val="21"/>
        </w:rPr>
      </w:pPr>
      <w:r>
        <w:rPr>
          <w:rFonts w:hint="eastAsia" w:ascii="Times New Roman" w:hAnsi="Times New Roman"/>
          <w:bCs/>
          <w:szCs w:val="21"/>
        </w:rPr>
        <w:t>2.3注意事项</w:t>
      </w:r>
    </w:p>
    <w:p>
      <w:pPr>
        <w:rPr>
          <w:rFonts w:ascii="Times New Roman" w:hAnsi="Times New Roman"/>
          <w:bCs/>
          <w:szCs w:val="21"/>
        </w:rPr>
      </w:pPr>
      <w:r>
        <w:rPr>
          <w:rFonts w:hint="eastAsia" w:ascii="Times New Roman" w:hAnsi="Times New Roman"/>
          <w:bCs/>
          <w:szCs w:val="21"/>
        </w:rPr>
        <w:t>（1）中标供应商需确保政府采购合同的收款账户与融资银行开户账户一致。</w:t>
      </w:r>
    </w:p>
    <w:p>
      <w:pPr>
        <w:rPr>
          <w:rFonts w:ascii="Times New Roman" w:hAnsi="Times New Roman"/>
          <w:bCs/>
          <w:szCs w:val="21"/>
        </w:rPr>
      </w:pPr>
      <w:r>
        <w:rPr>
          <w:rFonts w:hint="eastAsia" w:ascii="Times New Roman" w:hAnsi="Times New Roman"/>
          <w:bCs/>
          <w:szCs w:val="21"/>
        </w:rPr>
        <w:t>（2）用于政府采购信用融资的政府采购合同，应当包含如下条款：“第   条：政府采购合同贷款</w:t>
      </w:r>
    </w:p>
    <w:p>
      <w:pPr>
        <w:ind w:firstLine="420" w:firstLineChars="200"/>
        <w:rPr>
          <w:rFonts w:ascii="Times New Roman" w:hAnsi="Times New Roman"/>
          <w:bCs/>
          <w:szCs w:val="21"/>
        </w:rPr>
      </w:pPr>
      <w:r>
        <w:rPr>
          <w:rFonts w:hint="eastAsia" w:ascii="Times New Roman" w:hAnsi="Times New Roman"/>
          <w:bCs/>
          <w:szCs w:val="21"/>
        </w:rPr>
        <w:t>本合同同时用于乙方向</w:t>
      </w:r>
      <w:r>
        <w:rPr>
          <w:rFonts w:hint="eastAsia" w:ascii="Times New Roman" w:hAnsi="Times New Roman"/>
          <w:bCs/>
          <w:szCs w:val="21"/>
          <w:u w:val="single"/>
        </w:rPr>
        <w:t xml:space="preserve">      </w:t>
      </w:r>
      <w:r>
        <w:rPr>
          <w:rFonts w:hint="eastAsia" w:ascii="Times New Roman" w:hAnsi="Times New Roman"/>
          <w:bCs/>
          <w:szCs w:val="21"/>
        </w:rPr>
        <w:t>银行（金融机构）申请政府采购信用贷款。</w:t>
      </w:r>
    </w:p>
    <w:p>
      <w:pPr>
        <w:ind w:firstLine="420" w:firstLineChars="200"/>
        <w:rPr>
          <w:rFonts w:ascii="Times New Roman" w:hAnsi="Times New Roman"/>
          <w:bCs/>
          <w:szCs w:val="21"/>
        </w:rPr>
      </w:pPr>
      <w:r>
        <w:rPr>
          <w:rFonts w:hint="eastAsia" w:ascii="Times New Roman" w:hAnsi="Times New Roman"/>
          <w:bCs/>
          <w:szCs w:val="21"/>
        </w:rPr>
        <w:t>本合同一经签订，原则上不得更改乙方收款账户信息。确须更改的，乙方应取得原合同收款账户开户银行书面同意，否则修改后的合同不予备案，采购资金不予支付。”</w:t>
      </w:r>
    </w:p>
    <w:p>
      <w:pPr>
        <w:pStyle w:val="59"/>
        <w:snapToGrid w:val="0"/>
        <w:spacing w:before="159" w:after="159" w:line="360" w:lineRule="auto"/>
        <w:ind w:right="-87"/>
        <w:rPr>
          <w:rFonts w:ascii="Times New Roman" w:hAnsi="Times New Roman" w:cs="Times New Roman"/>
        </w:rPr>
        <w:sectPr>
          <w:footerReference r:id="rId5" w:type="first"/>
          <w:footerReference r:id="rId4" w:type="default"/>
          <w:pgSz w:w="11906" w:h="16838"/>
          <w:pgMar w:top="1531" w:right="1134" w:bottom="737" w:left="1230" w:header="850" w:footer="584" w:gutter="0"/>
          <w:cols w:space="0" w:num="1"/>
          <w:titlePg/>
          <w:docGrid w:type="lines" w:linePitch="318" w:charSpace="0"/>
        </w:sectPr>
      </w:pPr>
    </w:p>
    <w:p>
      <w:pPr>
        <w:numPr>
          <w:ilvl w:val="0"/>
          <w:numId w:val="0"/>
        </w:numPr>
        <w:spacing w:line="360" w:lineRule="auto"/>
        <w:ind w:leftChars="0"/>
        <w:jc w:val="center"/>
        <w:rPr>
          <w:rFonts w:ascii="Times New Roman" w:hAnsi="Times New Roman"/>
          <w:b/>
          <w:sz w:val="30"/>
          <w:szCs w:val="30"/>
        </w:rPr>
      </w:pPr>
      <w:r>
        <w:rPr>
          <w:rFonts w:hint="eastAsia" w:ascii="Times New Roman" w:hAnsi="Times New Roman"/>
          <w:b/>
          <w:sz w:val="30"/>
          <w:szCs w:val="30"/>
          <w:lang w:eastAsia="zh-CN"/>
        </w:rPr>
        <w:t>第四章</w:t>
      </w:r>
      <w:r>
        <w:rPr>
          <w:rFonts w:ascii="Times New Roman" w:hAnsi="Times New Roman"/>
          <w:b/>
          <w:sz w:val="30"/>
          <w:szCs w:val="30"/>
        </w:rPr>
        <w:t xml:space="preserve"> 评标办法及评分标准</w:t>
      </w:r>
    </w:p>
    <w:p>
      <w:pPr>
        <w:spacing w:line="360" w:lineRule="auto"/>
        <w:ind w:firstLine="440" w:firstLineChars="200"/>
        <w:rPr>
          <w:rFonts w:ascii="宋体" w:cs="宋体"/>
          <w:b/>
          <w:sz w:val="22"/>
          <w:szCs w:val="22"/>
        </w:rPr>
      </w:pPr>
      <w:r>
        <w:rPr>
          <w:rFonts w:hint="eastAsia" w:ascii="宋体" w:hAnsi="宋体" w:cs="宋体"/>
          <w:sz w:val="22"/>
          <w:szCs w:val="22"/>
        </w:rPr>
        <w:t>为公正、公平、科学地选择成交人，根据《中华人民共和国政府采购法》等有关法律法规的规定，并结合本项目的实际，制定本办法，本办法适用本项目的评标。</w:t>
      </w:r>
    </w:p>
    <w:p>
      <w:pPr>
        <w:autoSpaceDE w:val="0"/>
        <w:autoSpaceDN w:val="0"/>
        <w:adjustRightInd w:val="0"/>
        <w:spacing w:line="360" w:lineRule="auto"/>
        <w:rPr>
          <w:rFonts w:ascii="宋体" w:cs="宋体"/>
          <w:b/>
          <w:sz w:val="22"/>
          <w:szCs w:val="22"/>
        </w:rPr>
      </w:pPr>
      <w:r>
        <w:rPr>
          <w:rFonts w:hint="eastAsia" w:ascii="宋体" w:hAnsi="宋体" w:cs="宋体"/>
          <w:b/>
          <w:sz w:val="22"/>
          <w:szCs w:val="22"/>
        </w:rPr>
        <w:t>一、中标候选人的选取</w:t>
      </w:r>
    </w:p>
    <w:p>
      <w:pPr>
        <w:spacing w:line="360" w:lineRule="auto"/>
        <w:ind w:firstLine="440" w:firstLineChars="200"/>
        <w:rPr>
          <w:rFonts w:ascii="宋体" w:cs="宋体"/>
          <w:b/>
          <w:sz w:val="22"/>
          <w:szCs w:val="22"/>
          <w:lang w:val="zh-CN"/>
        </w:rPr>
      </w:pPr>
      <w:r>
        <w:rPr>
          <w:rFonts w:hint="eastAsia" w:ascii="宋体" w:hAnsi="宋体" w:cs="宋体"/>
          <w:sz w:val="22"/>
          <w:szCs w:val="22"/>
        </w:rPr>
        <w:t>将综合评估分从高到低排序，得出参投标人名次</w:t>
      </w:r>
      <w:r>
        <w:rPr>
          <w:rFonts w:ascii="宋体" w:cs="宋体"/>
          <w:sz w:val="22"/>
          <w:szCs w:val="22"/>
        </w:rPr>
        <w:t>,</w:t>
      </w:r>
      <w:r>
        <w:rPr>
          <w:rFonts w:hint="eastAsia" w:ascii="宋体" w:hAnsi="宋体" w:cs="宋体"/>
          <w:sz w:val="22"/>
          <w:szCs w:val="22"/>
        </w:rPr>
        <w:t>按照综合评估分名次推荐中标候选人</w:t>
      </w:r>
      <w:r>
        <w:rPr>
          <w:rFonts w:ascii="宋体" w:hAnsi="宋体" w:cs="宋体"/>
          <w:sz w:val="22"/>
          <w:szCs w:val="22"/>
        </w:rPr>
        <w:t>3</w:t>
      </w:r>
      <w:r>
        <w:rPr>
          <w:rFonts w:hint="eastAsia" w:ascii="宋体" w:hAnsi="宋体" w:cs="宋体"/>
          <w:sz w:val="22"/>
          <w:szCs w:val="22"/>
        </w:rPr>
        <w:t>名。得分相同时，按投标报价由低到高顺序排列，得分且投标报价相同的，按技术指标优劣顺序排列。</w:t>
      </w:r>
    </w:p>
    <w:p>
      <w:pPr>
        <w:spacing w:line="360" w:lineRule="auto"/>
        <w:rPr>
          <w:rFonts w:ascii="宋体" w:cs="宋体"/>
          <w:b/>
          <w:sz w:val="22"/>
          <w:szCs w:val="22"/>
        </w:rPr>
      </w:pPr>
      <w:r>
        <w:rPr>
          <w:rFonts w:hint="eastAsia" w:ascii="宋体" w:hAnsi="宋体" w:cs="宋体"/>
          <w:b/>
          <w:sz w:val="22"/>
          <w:szCs w:val="22"/>
        </w:rPr>
        <w:t>二、成交人选取依据</w:t>
      </w:r>
    </w:p>
    <w:p>
      <w:pPr>
        <w:spacing w:line="360" w:lineRule="auto"/>
        <w:ind w:firstLine="440" w:firstLineChars="200"/>
        <w:rPr>
          <w:rFonts w:ascii="宋体" w:cs="宋体"/>
          <w:sz w:val="22"/>
          <w:szCs w:val="22"/>
        </w:rPr>
      </w:pPr>
      <w:r>
        <w:rPr>
          <w:rFonts w:hint="eastAsia" w:ascii="宋体" w:hAnsi="宋体" w:cs="宋体"/>
          <w:sz w:val="22"/>
          <w:szCs w:val="22"/>
        </w:rPr>
        <w:t>评审小组根据综合评估分得分排序，推荐第一名中标候选人为中标人，经采购人确认后，确定项目中标人，同时发布采购结果公告，发出中标通知书。</w:t>
      </w:r>
    </w:p>
    <w:p>
      <w:pPr>
        <w:spacing w:line="360" w:lineRule="auto"/>
        <w:rPr>
          <w:rFonts w:ascii="宋体" w:cs="宋体"/>
          <w:b/>
          <w:sz w:val="22"/>
          <w:szCs w:val="22"/>
        </w:rPr>
      </w:pPr>
      <w:r>
        <w:rPr>
          <w:rFonts w:hint="eastAsia" w:ascii="宋体" w:hAnsi="宋体" w:cs="宋体"/>
          <w:b/>
          <w:sz w:val="22"/>
          <w:szCs w:val="22"/>
        </w:rPr>
        <w:t>三、综合评估分计分方法</w:t>
      </w:r>
    </w:p>
    <w:p>
      <w:pPr>
        <w:autoSpaceDE w:val="0"/>
        <w:autoSpaceDN w:val="0"/>
        <w:adjustRightInd w:val="0"/>
        <w:spacing w:line="360" w:lineRule="auto"/>
        <w:ind w:firstLine="440" w:firstLineChars="200"/>
        <w:rPr>
          <w:rFonts w:ascii="宋体" w:cs="宋体"/>
          <w:sz w:val="24"/>
          <w:lang w:val="zh-CN"/>
        </w:rPr>
      </w:pPr>
      <w:r>
        <w:rPr>
          <w:rFonts w:hint="eastAsia" w:ascii="宋体" w:hAnsi="宋体" w:cs="宋体"/>
          <w:sz w:val="22"/>
          <w:szCs w:val="22"/>
          <w:lang w:val="zh-CN"/>
        </w:rPr>
        <w:t>满足采购文件要求且投标价格最低的投标报价为评标基准价，其价格分为满分，其他投标人的价格分按下列公式计算：投标报价得分＝（评标基准价/投标报价）×价格权重×100。</w:t>
      </w:r>
    </w:p>
    <w:p>
      <w:pPr>
        <w:autoSpaceDE w:val="0"/>
        <w:autoSpaceDN w:val="0"/>
        <w:adjustRightInd w:val="0"/>
        <w:spacing w:line="360" w:lineRule="auto"/>
        <w:ind w:firstLine="440" w:firstLineChars="200"/>
        <w:rPr>
          <w:rFonts w:ascii="宋体" w:hAnsi="宋体" w:cs="宋体"/>
          <w:sz w:val="22"/>
          <w:szCs w:val="22"/>
        </w:rPr>
      </w:pPr>
      <w:r>
        <w:rPr>
          <w:rFonts w:hint="eastAsia" w:ascii="宋体" w:hAnsi="宋体"/>
          <w:sz w:val="22"/>
          <w:szCs w:val="22"/>
        </w:rPr>
        <w:t>在评分时，各投标人投标报价得分保留小数点后二位，第三位四舍五入。评审专家打分准确到小数点后一位，</w:t>
      </w:r>
      <w:r>
        <w:rPr>
          <w:rFonts w:hint="eastAsia" w:ascii="宋体" w:hAnsi="宋体" w:cs="宋体"/>
          <w:sz w:val="22"/>
          <w:szCs w:val="22"/>
        </w:rPr>
        <w:t>综合评估分</w:t>
      </w:r>
      <w:r>
        <w:rPr>
          <w:rFonts w:ascii="宋体" w:hAnsi="宋体" w:cs="宋体"/>
          <w:sz w:val="22"/>
          <w:szCs w:val="22"/>
        </w:rPr>
        <w:t>=</w:t>
      </w:r>
      <w:r>
        <w:rPr>
          <w:rFonts w:hint="eastAsia" w:ascii="宋体" w:hAnsi="宋体" w:cs="宋体"/>
          <w:sz w:val="22"/>
          <w:szCs w:val="22"/>
        </w:rPr>
        <w:t>商务技术部分得分＋投标报价得分，商务技术部分得分为所有评委评分的算术平均值，得分保留小数点后二位。</w:t>
      </w:r>
    </w:p>
    <w:tbl>
      <w:tblPr>
        <w:tblStyle w:val="27"/>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pPr>
              <w:spacing w:line="360" w:lineRule="auto"/>
              <w:ind w:firstLine="660" w:firstLineChars="300"/>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lang w:val="zh-CN"/>
                <w14:textFill>
                  <w14:solidFill>
                    <w14:schemeClr w14:val="tx1"/>
                  </w14:solidFill>
                </w14:textFill>
              </w:rPr>
              <w:t>评价指标和各评价权重指标：</w:t>
            </w:r>
            <w:r>
              <w:rPr>
                <w:rFonts w:hint="default" w:ascii="Times New Roman" w:hAnsi="Times New Roman" w:cs="Times New Roman"/>
                <w:color w:val="000000" w:themeColor="text1"/>
                <w:sz w:val="22"/>
                <w:szCs w:val="22"/>
                <w:highlight w:val="none"/>
                <w14:textFill>
                  <w14:solidFill>
                    <w14:schemeClr w14:val="tx1"/>
                  </w14:solidFill>
                </w14:textFill>
              </w:rPr>
              <w:t>评标指标</w:t>
            </w:r>
          </w:p>
        </w:tc>
        <w:tc>
          <w:tcPr>
            <w:tcW w:w="2693" w:type="dxa"/>
            <w:vAlign w:val="center"/>
          </w:tcPr>
          <w:p>
            <w:pPr>
              <w:spacing w:line="360" w:lineRule="auto"/>
              <w:jc w:val="center"/>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pPr>
              <w:spacing w:line="360" w:lineRule="auto"/>
              <w:jc w:val="center"/>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投标报价</w:t>
            </w:r>
          </w:p>
        </w:tc>
        <w:tc>
          <w:tcPr>
            <w:tcW w:w="2693" w:type="dxa"/>
            <w:vAlign w:val="center"/>
          </w:tcPr>
          <w:p>
            <w:pPr>
              <w:spacing w:line="360" w:lineRule="auto"/>
              <w:jc w:val="cente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pPr>
              <w:spacing w:line="360" w:lineRule="auto"/>
              <w:jc w:val="center"/>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商务部分</w:t>
            </w:r>
          </w:p>
        </w:tc>
        <w:tc>
          <w:tcPr>
            <w:tcW w:w="2693" w:type="dxa"/>
            <w:vAlign w:val="center"/>
          </w:tcPr>
          <w:p>
            <w:pPr>
              <w:spacing w:line="360" w:lineRule="auto"/>
              <w:jc w:val="cente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pPr>
              <w:spacing w:line="360" w:lineRule="auto"/>
              <w:jc w:val="center"/>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技术部分</w:t>
            </w:r>
          </w:p>
        </w:tc>
        <w:tc>
          <w:tcPr>
            <w:tcW w:w="2693" w:type="dxa"/>
            <w:vAlign w:val="center"/>
          </w:tcPr>
          <w:p>
            <w:pPr>
              <w:spacing w:line="360" w:lineRule="auto"/>
              <w:jc w:val="center"/>
              <w:rPr>
                <w:rFonts w:hint="default" w:ascii="Times New Roman" w:hAnsi="Times New Roman" w:cs="Times New Roman"/>
                <w:color w:val="000000" w:themeColor="text1"/>
                <w:sz w:val="22"/>
                <w:szCs w:val="22"/>
                <w:highlight w:val="none"/>
                <w:lang w:val="en-US"/>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pPr>
              <w:spacing w:line="360" w:lineRule="auto"/>
              <w:jc w:val="center"/>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合计</w:t>
            </w:r>
          </w:p>
        </w:tc>
        <w:tc>
          <w:tcPr>
            <w:tcW w:w="2693" w:type="dxa"/>
            <w:vAlign w:val="center"/>
          </w:tcPr>
          <w:p>
            <w:pPr>
              <w:spacing w:line="360" w:lineRule="auto"/>
              <w:jc w:val="center"/>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100</w:t>
            </w:r>
          </w:p>
        </w:tc>
      </w:tr>
    </w:tbl>
    <w:p>
      <w:pPr>
        <w:pStyle w:val="22"/>
        <w:rPr>
          <w:rFonts w:hint="default" w:ascii="Times New Roman" w:hAnsi="Times New Roman" w:cs="Times New Roman"/>
          <w:b/>
          <w:color w:val="000000" w:themeColor="text1"/>
          <w:sz w:val="22"/>
          <w:szCs w:val="22"/>
          <w:highlight w:val="none"/>
          <w14:textFill>
            <w14:solidFill>
              <w14:schemeClr w14:val="tx1"/>
            </w14:solidFill>
          </w14:textFill>
        </w:rPr>
      </w:pPr>
    </w:p>
    <w:p>
      <w:pPr>
        <w:pStyle w:val="12"/>
        <w:numPr>
          <w:ilvl w:val="0"/>
          <w:numId w:val="9"/>
        </w:numPr>
        <w:ind w:left="0" w:leftChars="0" w:firstLine="433" w:firstLineChars="196"/>
        <w:rPr>
          <w:rFonts w:hint="default" w:ascii="Times New Roman" w:hAnsi="Times New Roman" w:cs="Times New Roman"/>
          <w:b/>
          <w:color w:val="000000" w:themeColor="text1"/>
          <w:sz w:val="22"/>
          <w:szCs w:val="22"/>
          <w:highlight w:val="none"/>
          <w14:textFill>
            <w14:solidFill>
              <w14:schemeClr w14:val="tx1"/>
            </w14:solidFill>
          </w14:textFill>
        </w:rPr>
      </w:pPr>
      <w:r>
        <w:rPr>
          <w:rFonts w:hint="default" w:ascii="Times New Roman" w:hAnsi="Times New Roman" w:cs="Times New Roman"/>
          <w:b/>
          <w:color w:val="000000" w:themeColor="text1"/>
          <w:sz w:val="22"/>
          <w:szCs w:val="22"/>
          <w:highlight w:val="none"/>
          <w14:textFill>
            <w14:solidFill>
              <w14:schemeClr w14:val="tx1"/>
            </w14:solidFill>
          </w14:textFill>
        </w:rPr>
        <w:t>评标内容及标准</w:t>
      </w:r>
    </w:p>
    <w:tbl>
      <w:tblPr>
        <w:tblStyle w:val="27"/>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29"/>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714" w:type="dxa"/>
            <w:vAlign w:val="center"/>
          </w:tcPr>
          <w:p>
            <w:pPr>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内容</w:t>
            </w:r>
          </w:p>
        </w:tc>
        <w:tc>
          <w:tcPr>
            <w:tcW w:w="1329" w:type="dxa"/>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评分内容</w:t>
            </w:r>
          </w:p>
        </w:tc>
        <w:tc>
          <w:tcPr>
            <w:tcW w:w="7632" w:type="dxa"/>
            <w:vAlign w:val="center"/>
          </w:tcPr>
          <w:p>
            <w:pPr>
              <w:keepLines/>
              <w:pageBreakBefore w:val="0"/>
              <w:widowControl w:val="0"/>
              <w:kinsoku/>
              <w:wordWrap/>
              <w:overflowPunct/>
              <w:topLinePunct w:val="0"/>
              <w:autoSpaceDE/>
              <w:autoSpaceDN/>
              <w:bidi w:val="0"/>
              <w:adjustRightInd/>
              <w:snapToGrid/>
              <w:spacing w:line="240" w:lineRule="auto"/>
              <w:ind w:firstLine="315" w:firstLineChars="150"/>
              <w:jc w:val="center"/>
              <w:textAlignment w:val="auto"/>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14" w:type="dxa"/>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报价部分15分</w:t>
            </w:r>
          </w:p>
        </w:tc>
        <w:tc>
          <w:tcPr>
            <w:tcW w:w="1329" w:type="dxa"/>
            <w:vAlign w:val="center"/>
          </w:tcPr>
          <w:p>
            <w:pPr>
              <w:keepLines/>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color w:val="000000" w:themeColor="text1"/>
                <w:sz w:val="21"/>
                <w:szCs w:val="21"/>
                <w:highlight w:val="none"/>
                <w14:textFill>
                  <w14:solidFill>
                    <w14:schemeClr w14:val="tx1"/>
                  </w14:solidFill>
                </w14:textFill>
              </w:rPr>
            </w:pPr>
          </w:p>
          <w:p>
            <w:pPr>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价格分</w:t>
            </w:r>
          </w:p>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632" w:type="dxa"/>
            <w:vAlign w:val="center"/>
          </w:tcPr>
          <w:p>
            <w:pPr>
              <w:pStyle w:val="171"/>
              <w:rPr>
                <w:rFonts w:ascii="宋体" w:hAnsi="宋体" w:cs="宋体"/>
                <w:kern w:val="0"/>
              </w:rPr>
            </w:pPr>
            <w:r>
              <w:rPr>
                <w:rFonts w:hint="eastAsia" w:ascii="宋体" w:hAnsi="宋体" w:cs="宋体"/>
                <w:kern w:val="0"/>
              </w:rPr>
              <w:t>按满足采购文件要求且有效投标价格最低的投标报价作为评标基准价，其价格分为满分</w:t>
            </w:r>
            <w:r>
              <w:rPr>
                <w:rFonts w:hint="eastAsia" w:ascii="宋体" w:hAnsi="宋体" w:cs="宋体"/>
                <w:kern w:val="0"/>
                <w:lang w:val="en-US" w:eastAsia="zh-CN"/>
              </w:rPr>
              <w:t>15</w:t>
            </w:r>
            <w:r>
              <w:rPr>
                <w:rFonts w:hint="eastAsia" w:ascii="宋体" w:hAnsi="宋体" w:cs="宋体"/>
                <w:kern w:val="0"/>
              </w:rPr>
              <w:t>分；其他投标人的价格分按以下公式计算：</w:t>
            </w:r>
          </w:p>
          <w:p>
            <w:pPr>
              <w:keepLines/>
              <w:pageBreakBefore w:val="0"/>
              <w:widowControl w:val="0"/>
              <w:kinsoku/>
              <w:wordWrap/>
              <w:overflowPunct/>
              <w:topLinePunct w:val="0"/>
              <w:autoSpaceDE/>
              <w:autoSpaceDN/>
              <w:bidi w:val="0"/>
              <w:adjustRightInd/>
              <w:snapToGrid/>
              <w:spacing w:beforeLines="50" w:line="240" w:lineRule="auto"/>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kern w:val="0"/>
              </w:rPr>
              <w:t>投标报价得分＝（评标基准价/投标报价）×</w:t>
            </w:r>
            <w:r>
              <w:rPr>
                <w:rFonts w:hint="eastAsia" w:ascii="宋体" w:hAnsi="宋体" w:cs="宋体"/>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4" w:type="dxa"/>
            <w:vMerge w:val="restart"/>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商务部分</w:t>
            </w:r>
            <w:r>
              <w:rPr>
                <w:rFonts w:hint="eastAsia" w:ascii="宋体" w:hAnsi="宋体" w:eastAsia="宋体" w:cs="宋体"/>
                <w:color w:val="000000" w:themeColor="text1"/>
                <w:sz w:val="21"/>
                <w:szCs w:val="21"/>
                <w:highlight w:val="none"/>
                <w:lang w:val="en-US" w:eastAsia="zh-CN"/>
                <w14:textFill>
                  <w14:solidFill>
                    <w14:schemeClr w14:val="tx1"/>
                  </w14:solidFill>
                </w14:textFill>
              </w:rPr>
              <w:t>9.5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1329" w:type="dxa"/>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pacing w:val="2"/>
                <w:kern w:val="24"/>
                <w:sz w:val="21"/>
                <w:szCs w:val="21"/>
                <w:highlight w:val="none"/>
                <w:lang w:val="en-US" w:eastAsia="zh-CN"/>
              </w:rPr>
            </w:pPr>
            <w:r>
              <w:rPr>
                <w:rFonts w:hint="eastAsia" w:ascii="宋体" w:hAnsi="宋体" w:eastAsia="宋体" w:cs="宋体"/>
                <w:spacing w:val="2"/>
                <w:kern w:val="24"/>
                <w:sz w:val="21"/>
                <w:szCs w:val="21"/>
                <w:highlight w:val="none"/>
              </w:rPr>
              <w:t>企业</w:t>
            </w:r>
            <w:r>
              <w:rPr>
                <w:rFonts w:hint="eastAsia" w:ascii="宋体" w:hAnsi="宋体" w:eastAsia="宋体" w:cs="宋体"/>
                <w:spacing w:val="2"/>
                <w:kern w:val="24"/>
                <w:sz w:val="21"/>
                <w:szCs w:val="21"/>
                <w:highlight w:val="none"/>
                <w:lang w:val="en-US" w:eastAsia="zh-CN"/>
              </w:rPr>
              <w:t>资信</w:t>
            </w:r>
          </w:p>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spacing w:val="2"/>
                <w:kern w:val="24"/>
                <w:sz w:val="21"/>
                <w:szCs w:val="21"/>
                <w:highlight w:val="none"/>
              </w:rPr>
              <w:t>（</w:t>
            </w:r>
            <w:r>
              <w:rPr>
                <w:rFonts w:hint="eastAsia" w:ascii="宋体" w:hAnsi="宋体" w:eastAsia="宋体" w:cs="宋体"/>
                <w:spacing w:val="2"/>
                <w:kern w:val="24"/>
                <w:sz w:val="21"/>
                <w:szCs w:val="21"/>
                <w:highlight w:val="none"/>
                <w:lang w:val="en-US" w:eastAsia="zh-CN"/>
              </w:rPr>
              <w:t>2</w:t>
            </w:r>
            <w:r>
              <w:rPr>
                <w:rFonts w:hint="eastAsia" w:ascii="宋体" w:hAnsi="宋体" w:eastAsia="宋体" w:cs="宋体"/>
                <w:spacing w:val="2"/>
                <w:kern w:val="24"/>
                <w:sz w:val="21"/>
                <w:szCs w:val="21"/>
                <w:highlight w:val="none"/>
              </w:rPr>
              <w:t>分）</w:t>
            </w:r>
          </w:p>
        </w:tc>
        <w:tc>
          <w:tcPr>
            <w:tcW w:w="7632" w:type="dxa"/>
            <w:vAlign w:val="center"/>
          </w:tcPr>
          <w:p>
            <w:pPr>
              <w:spacing w:line="240" w:lineRule="auto"/>
              <w:jc w:val="left"/>
              <w:rPr>
                <w:rFonts w:hint="eastAsia" w:ascii="宋体" w:hAnsi="宋体" w:eastAsia="宋体" w:cs="宋体"/>
                <w:spacing w:val="2"/>
                <w:kern w:val="24"/>
                <w:sz w:val="21"/>
                <w:szCs w:val="21"/>
                <w:highlight w:val="none"/>
                <w:lang w:val="en-US" w:eastAsia="zh-CN"/>
              </w:rPr>
            </w:pPr>
            <w:r>
              <w:rPr>
                <w:rFonts w:hint="eastAsia" w:ascii="宋体" w:hAnsi="宋体" w:eastAsia="宋体" w:cs="宋体"/>
                <w:spacing w:val="2"/>
                <w:kern w:val="24"/>
                <w:sz w:val="21"/>
                <w:szCs w:val="21"/>
                <w:highlight w:val="none"/>
                <w:lang w:val="en-US" w:eastAsia="zh-CN"/>
              </w:rPr>
              <w:t>（1）</w:t>
            </w:r>
            <w:r>
              <w:rPr>
                <w:rFonts w:hint="eastAsia" w:ascii="宋体" w:hAnsi="宋体" w:eastAsia="宋体" w:cs="宋体"/>
                <w:spacing w:val="2"/>
                <w:kern w:val="24"/>
                <w:sz w:val="21"/>
                <w:szCs w:val="21"/>
                <w:highlight w:val="none"/>
              </w:rPr>
              <w:t>投标人</w:t>
            </w:r>
            <w:r>
              <w:rPr>
                <w:rFonts w:hint="eastAsia" w:ascii="宋体" w:hAnsi="宋体" w:eastAsia="宋体" w:cs="宋体"/>
                <w:spacing w:val="2"/>
                <w:kern w:val="24"/>
                <w:sz w:val="21"/>
                <w:szCs w:val="21"/>
                <w:highlight w:val="none"/>
                <w:lang w:val="en-US" w:eastAsia="zh-CN"/>
              </w:rPr>
              <w:t>具备</w:t>
            </w:r>
            <w:r>
              <w:rPr>
                <w:rFonts w:hint="eastAsia" w:ascii="宋体" w:hAnsi="宋体" w:eastAsia="宋体" w:cs="宋体"/>
                <w:spacing w:val="2"/>
                <w:kern w:val="24"/>
                <w:sz w:val="21"/>
                <w:szCs w:val="21"/>
                <w:highlight w:val="none"/>
              </w:rPr>
              <w:t>有效的质量管理体系认证</w:t>
            </w:r>
            <w:r>
              <w:rPr>
                <w:rFonts w:hint="eastAsia" w:ascii="宋体" w:hAnsi="宋体" w:eastAsia="宋体" w:cs="宋体"/>
                <w:spacing w:val="2"/>
                <w:kern w:val="24"/>
                <w:sz w:val="21"/>
                <w:szCs w:val="21"/>
                <w:highlight w:val="none"/>
                <w:lang w:val="en-US" w:eastAsia="zh-CN"/>
              </w:rPr>
              <w:t>证书的</w:t>
            </w:r>
            <w:r>
              <w:rPr>
                <w:rFonts w:hint="eastAsia" w:ascii="宋体" w:hAnsi="宋体" w:eastAsia="宋体" w:cs="宋体"/>
                <w:spacing w:val="2"/>
                <w:kern w:val="24"/>
                <w:sz w:val="21"/>
                <w:szCs w:val="21"/>
                <w:highlight w:val="none"/>
              </w:rPr>
              <w:t>得</w:t>
            </w:r>
            <w:r>
              <w:rPr>
                <w:rFonts w:hint="eastAsia" w:ascii="宋体" w:hAnsi="宋体" w:eastAsia="宋体" w:cs="宋体"/>
                <w:spacing w:val="2"/>
                <w:kern w:val="24"/>
                <w:sz w:val="21"/>
                <w:szCs w:val="21"/>
                <w:highlight w:val="none"/>
                <w:lang w:val="en-US" w:eastAsia="zh-CN"/>
              </w:rPr>
              <w:t>1</w:t>
            </w:r>
            <w:r>
              <w:rPr>
                <w:rFonts w:hint="eastAsia" w:ascii="宋体" w:hAnsi="宋体" w:eastAsia="宋体" w:cs="宋体"/>
                <w:spacing w:val="2"/>
                <w:kern w:val="24"/>
                <w:sz w:val="21"/>
                <w:szCs w:val="21"/>
                <w:highlight w:val="none"/>
              </w:rPr>
              <w:t>分</w:t>
            </w:r>
            <w:r>
              <w:rPr>
                <w:rFonts w:hint="eastAsia" w:ascii="宋体" w:hAnsi="宋体" w:eastAsia="宋体" w:cs="宋体"/>
                <w:spacing w:val="2"/>
                <w:kern w:val="24"/>
                <w:sz w:val="21"/>
                <w:szCs w:val="21"/>
                <w:highlight w:val="none"/>
                <w:lang w:eastAsia="zh-CN"/>
              </w:rPr>
              <w:t>，</w:t>
            </w:r>
            <w:r>
              <w:rPr>
                <w:rFonts w:hint="eastAsia" w:ascii="宋体" w:hAnsi="宋体" w:eastAsia="宋体" w:cs="宋体"/>
                <w:spacing w:val="2"/>
                <w:kern w:val="24"/>
                <w:sz w:val="21"/>
                <w:szCs w:val="21"/>
                <w:highlight w:val="none"/>
                <w:lang w:val="en-US" w:eastAsia="zh-CN"/>
              </w:rPr>
              <w:t>具备有效的</w:t>
            </w:r>
            <w:r>
              <w:rPr>
                <w:rFonts w:hint="eastAsia" w:ascii="宋体" w:hAnsi="宋体" w:eastAsia="宋体" w:cs="宋体"/>
                <w:spacing w:val="2"/>
                <w:kern w:val="24"/>
                <w:sz w:val="21"/>
                <w:szCs w:val="21"/>
                <w:highlight w:val="none"/>
                <w:lang w:eastAsia="zh-CN"/>
              </w:rPr>
              <w:t>知识产权管理体系认证证书</w:t>
            </w:r>
            <w:r>
              <w:rPr>
                <w:rFonts w:hint="eastAsia" w:ascii="宋体" w:hAnsi="宋体" w:eastAsia="宋体" w:cs="宋体"/>
                <w:spacing w:val="2"/>
                <w:kern w:val="24"/>
                <w:sz w:val="21"/>
                <w:szCs w:val="21"/>
                <w:highlight w:val="none"/>
                <w:lang w:val="en-US" w:eastAsia="zh-CN"/>
              </w:rPr>
              <w:t>的得1分</w:t>
            </w:r>
            <w:r>
              <w:rPr>
                <w:rFonts w:hint="eastAsia" w:ascii="宋体" w:hAnsi="宋体" w:eastAsia="宋体" w:cs="宋体"/>
                <w:spacing w:val="2"/>
                <w:kern w:val="24"/>
                <w:sz w:val="21"/>
                <w:szCs w:val="21"/>
                <w:highlight w:val="none"/>
                <w:lang w:eastAsia="zh-CN"/>
              </w:rPr>
              <w:t>；</w:t>
            </w:r>
            <w:r>
              <w:rPr>
                <w:rFonts w:hint="eastAsia" w:ascii="宋体" w:hAnsi="宋体" w:eastAsia="宋体" w:cs="宋体"/>
                <w:spacing w:val="2"/>
                <w:kern w:val="24"/>
                <w:sz w:val="21"/>
                <w:szCs w:val="21"/>
                <w:highlight w:val="none"/>
                <w:lang w:val="en-US" w:eastAsia="zh-CN"/>
              </w:rPr>
              <w:t>本项最高得2分。</w:t>
            </w:r>
          </w:p>
          <w:p>
            <w:pPr>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pacing w:val="2"/>
                <w:kern w:val="24"/>
                <w:sz w:val="21"/>
                <w:szCs w:val="21"/>
                <w:highlight w:val="none"/>
                <w:lang w:eastAsia="zh-Hans"/>
              </w:rPr>
              <w:t>注：</w:t>
            </w:r>
            <w:r>
              <w:rPr>
                <w:rFonts w:hint="eastAsia" w:ascii="宋体" w:hAnsi="宋体" w:eastAsia="宋体" w:cs="宋体"/>
                <w:color w:val="000000" w:themeColor="text1"/>
                <w:sz w:val="21"/>
                <w:szCs w:val="21"/>
                <w:highlight w:val="none"/>
                <w:lang w:val="zh-CN"/>
                <w14:textFill>
                  <w14:solidFill>
                    <w14:schemeClr w14:val="tx1"/>
                  </w14:solidFill>
                </w14:textFill>
              </w:rPr>
              <w:t>证明材料为加盖公章后</w:t>
            </w:r>
            <w:r>
              <w:rPr>
                <w:rFonts w:hint="eastAsia" w:ascii="宋体" w:hAnsi="宋体" w:eastAsia="宋体" w:cs="宋体"/>
                <w:color w:val="000000" w:themeColor="text1"/>
                <w:sz w:val="21"/>
                <w:szCs w:val="21"/>
                <w:highlight w:val="none"/>
                <w:lang w:val="zh-CN" w:eastAsia="zh-Hans"/>
                <w14:textFill>
                  <w14:solidFill>
                    <w14:schemeClr w14:val="tx1"/>
                  </w14:solidFill>
                </w14:textFill>
              </w:rPr>
              <w:t>认证证书</w:t>
            </w:r>
            <w:r>
              <w:rPr>
                <w:rFonts w:hint="eastAsia" w:ascii="宋体" w:hAnsi="宋体" w:eastAsia="宋体" w:cs="宋体"/>
                <w:color w:val="000000" w:themeColor="text1"/>
                <w:sz w:val="21"/>
                <w:szCs w:val="21"/>
                <w:highlight w:val="none"/>
                <w14:textFill>
                  <w14:solidFill>
                    <w14:schemeClr w14:val="tx1"/>
                  </w14:solidFill>
                </w14:textFill>
              </w:rPr>
              <w:t>复印件</w:t>
            </w:r>
            <w:r>
              <w:rPr>
                <w:rFonts w:hint="eastAsia" w:ascii="宋体" w:hAnsi="宋体" w:eastAsia="宋体" w:cs="宋体"/>
                <w:color w:val="000000" w:themeColor="text1"/>
                <w:sz w:val="21"/>
                <w:szCs w:val="21"/>
                <w:highlight w:val="none"/>
                <w:lang w:eastAsia="zh-CN"/>
                <w14:textFill>
                  <w14:solidFill>
                    <w14:schemeClr w14:val="tx1"/>
                  </w14:solidFill>
                </w14:textFill>
              </w:rPr>
              <w:t>或扫描件</w:t>
            </w:r>
            <w:r>
              <w:rPr>
                <w:rFonts w:hint="eastAsia" w:ascii="宋体" w:hAnsi="宋体" w:eastAsia="宋体" w:cs="宋体"/>
                <w:color w:val="000000" w:themeColor="text1"/>
                <w:sz w:val="21"/>
                <w:szCs w:val="21"/>
                <w:highlight w:val="none"/>
                <w14:textFill>
                  <w14:solidFill>
                    <w14:schemeClr w14:val="tx1"/>
                  </w14:solidFill>
                </w14:textFill>
              </w:rPr>
              <w:t>作为评审依据。未按要求附证明材料或</w:t>
            </w:r>
            <w:r>
              <w:rPr>
                <w:rFonts w:hint="eastAsia" w:ascii="宋体" w:hAnsi="宋体" w:eastAsia="宋体" w:cs="宋体"/>
                <w:color w:val="000000" w:themeColor="text1"/>
                <w:sz w:val="21"/>
                <w:szCs w:val="21"/>
                <w:highlight w:val="none"/>
                <w:lang w:eastAsia="zh-Hans"/>
                <w14:textFill>
                  <w14:solidFill>
                    <w14:schemeClr w14:val="tx1"/>
                  </w14:solidFill>
                </w14:textFill>
              </w:rPr>
              <w:t>证书</w:t>
            </w:r>
            <w:r>
              <w:rPr>
                <w:rFonts w:hint="eastAsia" w:ascii="宋体" w:hAnsi="宋体" w:eastAsia="宋体" w:cs="宋体"/>
                <w:color w:val="000000" w:themeColor="text1"/>
                <w:sz w:val="21"/>
                <w:szCs w:val="21"/>
                <w:highlight w:val="none"/>
                <w14:textFill>
                  <w14:solidFill>
                    <w14:schemeClr w14:val="tx1"/>
                  </w14:solidFill>
                </w14:textFill>
              </w:rPr>
              <w:t>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4" w:type="dxa"/>
            <w:vMerge w:val="continue"/>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29" w:type="dxa"/>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pacing w:val="2"/>
                <w:kern w:val="24"/>
                <w:sz w:val="21"/>
                <w:szCs w:val="21"/>
                <w:highlight w:val="none"/>
              </w:rPr>
            </w:pPr>
            <w:r>
              <w:rPr>
                <w:rFonts w:hint="eastAsia" w:ascii="宋体" w:hAnsi="宋体" w:eastAsia="宋体" w:cs="宋体"/>
                <w:sz w:val="21"/>
                <w:szCs w:val="21"/>
                <w:highlight w:val="none"/>
                <w:lang w:val="en-US" w:eastAsia="zh-Hans"/>
              </w:rPr>
              <w:t>类似业绩</w:t>
            </w:r>
          </w:p>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pacing w:val="2"/>
                <w:kern w:val="24"/>
                <w:sz w:val="21"/>
                <w:szCs w:val="21"/>
                <w:highlight w:val="none"/>
              </w:rPr>
              <w:t>（</w:t>
            </w:r>
            <w:r>
              <w:rPr>
                <w:rFonts w:hint="eastAsia" w:ascii="宋体" w:hAnsi="宋体" w:eastAsia="宋体" w:cs="宋体"/>
                <w:spacing w:val="2"/>
                <w:kern w:val="24"/>
                <w:sz w:val="21"/>
                <w:szCs w:val="21"/>
                <w:highlight w:val="none"/>
                <w:lang w:val="en-US" w:eastAsia="zh-CN"/>
              </w:rPr>
              <w:t>1.5</w:t>
            </w:r>
            <w:r>
              <w:rPr>
                <w:rFonts w:hint="eastAsia" w:ascii="宋体" w:hAnsi="宋体" w:eastAsia="宋体" w:cs="宋体"/>
                <w:spacing w:val="2"/>
                <w:kern w:val="24"/>
                <w:sz w:val="21"/>
                <w:szCs w:val="21"/>
                <w:highlight w:val="none"/>
              </w:rPr>
              <w:t>分）</w:t>
            </w:r>
          </w:p>
        </w:tc>
        <w:tc>
          <w:tcPr>
            <w:tcW w:w="7632" w:type="dxa"/>
            <w:tcBorders>
              <w:bottom w:val="nil"/>
            </w:tcBorders>
            <w:vAlign w:val="center"/>
          </w:tcPr>
          <w:p>
            <w:pPr>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年1月1日以来（以合同签订时间为准），</w:t>
            </w:r>
            <w:r>
              <w:rPr>
                <w:rFonts w:hint="eastAsia" w:ascii="宋体" w:hAnsi="宋体" w:eastAsia="宋体" w:cs="宋体"/>
                <w:color w:val="000000" w:themeColor="text1"/>
                <w:sz w:val="21"/>
                <w:szCs w:val="21"/>
                <w:highlight w:val="none"/>
                <w:lang w:eastAsia="zh-Hans"/>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危险房屋监测</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类似</w:t>
            </w:r>
            <w:r>
              <w:rPr>
                <w:rFonts w:hint="eastAsia" w:ascii="宋体" w:hAnsi="宋体" w:eastAsia="宋体" w:cs="宋体"/>
                <w:color w:val="000000" w:themeColor="text1"/>
                <w:kern w:val="0"/>
                <w:sz w:val="21"/>
                <w:szCs w:val="21"/>
                <w:highlight w:val="none"/>
                <w:lang w:val="en-US" w:eastAsia="zh-Hans" w:bidi="ar"/>
                <w14:textFill>
                  <w14:solidFill>
                    <w14:schemeClr w14:val="tx1"/>
                  </w14:solidFill>
                </w14:textFill>
              </w:rPr>
              <w:t>业绩</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的得1分</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具有房屋装修巡查类似业绩的得0.5分，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本项最高得1.5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color w:val="000000" w:themeColor="text1"/>
                <w:sz w:val="21"/>
                <w:szCs w:val="21"/>
                <w:highlight w:val="none"/>
                <w:lang w:val="zh-CN"/>
                <w14:textFill>
                  <w14:solidFill>
                    <w14:schemeClr w14:val="tx1"/>
                  </w14:solidFill>
                </w14:textFill>
              </w:rPr>
              <w:t>证明材料为加盖公章后的</w:t>
            </w:r>
            <w:r>
              <w:rPr>
                <w:rFonts w:hint="eastAsia" w:ascii="宋体" w:hAnsi="宋体" w:eastAsia="宋体" w:cs="宋体"/>
                <w:color w:val="000000" w:themeColor="text1"/>
                <w:sz w:val="21"/>
                <w:szCs w:val="21"/>
                <w:highlight w:val="none"/>
                <w14:textFill>
                  <w14:solidFill>
                    <w14:schemeClr w14:val="tx1"/>
                  </w14:solidFill>
                </w14:textFill>
              </w:rPr>
              <w:t>合同复印件</w:t>
            </w:r>
            <w:r>
              <w:rPr>
                <w:rFonts w:hint="eastAsia" w:ascii="宋体" w:hAnsi="宋体" w:eastAsia="宋体" w:cs="宋体"/>
                <w:color w:val="000000" w:themeColor="text1"/>
                <w:sz w:val="21"/>
                <w:szCs w:val="21"/>
                <w:highlight w:val="none"/>
                <w:lang w:eastAsia="zh-CN"/>
                <w14:textFill>
                  <w14:solidFill>
                    <w14:schemeClr w14:val="tx1"/>
                  </w14:solidFill>
                </w14:textFill>
              </w:rPr>
              <w:t>或扫描件</w:t>
            </w:r>
            <w:r>
              <w:rPr>
                <w:rFonts w:hint="eastAsia" w:ascii="宋体" w:hAnsi="宋体" w:eastAsia="宋体" w:cs="宋体"/>
                <w:color w:val="000000" w:themeColor="text1"/>
                <w:sz w:val="21"/>
                <w:szCs w:val="21"/>
                <w:highlight w:val="none"/>
                <w14:textFill>
                  <w14:solidFill>
                    <w14:schemeClr w14:val="tx1"/>
                  </w14:solidFill>
                </w14:textFill>
              </w:rPr>
              <w:t>作为评审依据。未按要求附证明材料或证明材料体现信息不完整的不得分。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14" w:type="dxa"/>
            <w:vMerge w:val="continue"/>
            <w:vAlign w:val="center"/>
          </w:tcPr>
          <w:p>
            <w:pPr>
              <w:keepLines/>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29" w:type="dxa"/>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检测能力</w:t>
            </w:r>
          </w:p>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7632" w:type="dxa"/>
            <w:tcBorders>
              <w:bottom w:val="single" w:color="auto" w:sz="4" w:space="0"/>
            </w:tcBorders>
            <w:vAlign w:val="center"/>
          </w:tcPr>
          <w:p>
            <w:pPr>
              <w:numPr>
                <w:ilvl w:val="0"/>
                <w:numId w:val="0"/>
              </w:numPr>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Hans"/>
              </w:rPr>
              <w:t>投标人</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eastAsia="zh-Hans"/>
              </w:rPr>
              <w:t>相应检验检测能力，能力范围包括</w:t>
            </w:r>
            <w:r>
              <w:rPr>
                <w:rFonts w:hint="eastAsia" w:ascii="宋体" w:hAnsi="宋体" w:eastAsia="宋体" w:cs="宋体"/>
                <w:sz w:val="21"/>
                <w:szCs w:val="21"/>
                <w:highlight w:val="none"/>
              </w:rPr>
              <w:t>：建筑物裂缝宽度和深度、建筑物沉降倾斜和位移、混凝土结构件静力受压弹性模量和碳化系数、钢筋电位和锈蚀电流。每组参数得1分；</w:t>
            </w:r>
            <w:r>
              <w:rPr>
                <w:rFonts w:hint="eastAsia" w:ascii="宋体" w:hAnsi="宋体" w:eastAsia="宋体" w:cs="宋体"/>
                <w:sz w:val="21"/>
                <w:szCs w:val="21"/>
                <w:highlight w:val="none"/>
                <w:lang w:eastAsia="zh-Hans"/>
              </w:rPr>
              <w:t>本项</w:t>
            </w:r>
            <w:r>
              <w:rPr>
                <w:rFonts w:hint="eastAsia" w:ascii="宋体" w:hAnsi="宋体" w:eastAsia="宋体" w:cs="宋体"/>
                <w:sz w:val="21"/>
                <w:szCs w:val="21"/>
                <w:highlight w:val="none"/>
              </w:rPr>
              <w:t>最高得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lang w:eastAsia="zh-Hans"/>
              </w:rPr>
              <w:t>注：</w:t>
            </w:r>
            <w:r>
              <w:rPr>
                <w:rFonts w:hint="eastAsia" w:ascii="宋体" w:hAnsi="宋体" w:eastAsia="宋体" w:cs="宋体"/>
                <w:sz w:val="21"/>
                <w:szCs w:val="21"/>
                <w:highlight w:val="none"/>
                <w:lang w:val="en-US" w:eastAsia="zh-CN"/>
              </w:rPr>
              <w:t>提供</w:t>
            </w:r>
            <w:r>
              <w:rPr>
                <w:rFonts w:hint="eastAsia" w:ascii="宋体" w:hAnsi="宋体" w:eastAsia="宋体" w:cs="宋体"/>
                <w:sz w:val="21"/>
                <w:szCs w:val="21"/>
                <w:highlight w:val="none"/>
                <w:lang w:eastAsia="zh-Hans"/>
              </w:rPr>
              <w:t>相关检验检测能力证明材料</w:t>
            </w:r>
            <w:r>
              <w:rPr>
                <w:rFonts w:hint="eastAsia" w:ascii="宋体" w:hAnsi="宋体" w:eastAsia="宋体" w:cs="宋体"/>
                <w:sz w:val="21"/>
                <w:szCs w:val="21"/>
                <w:highlight w:val="none"/>
                <w:lang w:val="en-US" w:eastAsia="zh-CN"/>
              </w:rPr>
              <w:t>复印件或扫描件</w:t>
            </w:r>
            <w:r>
              <w:rPr>
                <w:rFonts w:hint="eastAsia" w:ascii="宋体" w:hAnsi="宋体" w:eastAsia="宋体" w:cs="宋体"/>
                <w:sz w:val="21"/>
                <w:szCs w:val="21"/>
                <w:highlight w:val="none"/>
                <w:lang w:eastAsia="zh-Hans"/>
              </w:rPr>
              <w:t>加盖公章，并</w:t>
            </w:r>
            <w:r>
              <w:rPr>
                <w:rFonts w:hint="eastAsia" w:ascii="宋体" w:hAnsi="宋体" w:eastAsia="宋体" w:cs="宋体"/>
                <w:sz w:val="21"/>
                <w:szCs w:val="21"/>
                <w:highlight w:val="none"/>
              </w:rPr>
              <w:t>列表注明</w:t>
            </w:r>
            <w:r>
              <w:rPr>
                <w:rFonts w:hint="eastAsia" w:ascii="宋体" w:hAnsi="宋体" w:eastAsia="宋体" w:cs="宋体"/>
                <w:sz w:val="21"/>
                <w:szCs w:val="21"/>
                <w:highlight w:val="none"/>
                <w:lang w:eastAsia="zh-Hans"/>
              </w:rPr>
              <w:t>检验检测能力证明材料页码。</w:t>
            </w:r>
            <w:r>
              <w:rPr>
                <w:rFonts w:hint="eastAsia" w:ascii="宋体" w:hAnsi="宋体" w:eastAsia="宋体" w:cs="宋体"/>
                <w:sz w:val="21"/>
                <w:szCs w:val="21"/>
                <w:highlight w:val="none"/>
              </w:rPr>
              <w:t>每组参数</w:t>
            </w:r>
            <w:r>
              <w:rPr>
                <w:rFonts w:hint="eastAsia" w:ascii="宋体" w:hAnsi="宋体" w:eastAsia="宋体" w:cs="宋体"/>
                <w:color w:val="000000" w:themeColor="text1"/>
                <w:sz w:val="21"/>
                <w:szCs w:val="21"/>
                <w:highlight w:val="none"/>
                <w14:textFill>
                  <w14:solidFill>
                    <w14:schemeClr w14:val="tx1"/>
                  </w14:solidFill>
                </w14:textFill>
              </w:rPr>
              <w:t>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14" w:type="dxa"/>
            <w:vMerge w:val="continue"/>
            <w:vAlign w:val="center"/>
          </w:tcPr>
          <w:p>
            <w:pPr>
              <w:keepLines/>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29" w:type="dxa"/>
            <w:tcBorders>
              <w:bottom w:val="single" w:color="auto" w:sz="4" w:space="0"/>
            </w:tcBorders>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系统管理能力</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tc>
        <w:tc>
          <w:tcPr>
            <w:tcW w:w="7632" w:type="dxa"/>
            <w:tcBorders>
              <w:bottom w:val="nil"/>
            </w:tcBorders>
            <w:vAlign w:val="center"/>
          </w:tcPr>
          <w:p>
            <w:pPr>
              <w:numPr>
                <w:ilvl w:val="0"/>
                <w:numId w:val="0"/>
              </w:numPr>
              <w:snapToGrid w:val="0"/>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eastAsia="zh-Hans"/>
              </w:rPr>
              <w:t>房屋巡检管控软件或相关房屋动态监测管控系统软件</w:t>
            </w:r>
            <w:r>
              <w:rPr>
                <w:rFonts w:hint="eastAsia" w:ascii="宋体" w:hAnsi="宋体" w:eastAsia="宋体" w:cs="宋体"/>
                <w:sz w:val="21"/>
                <w:szCs w:val="21"/>
                <w:highlight w:val="none"/>
                <w:lang w:val="en-US" w:eastAsia="zh-CN"/>
              </w:rPr>
              <w:t>相</w:t>
            </w:r>
            <w:r>
              <w:rPr>
                <w:rFonts w:hint="eastAsia" w:ascii="宋体" w:hAnsi="宋体" w:eastAsia="宋体" w:cs="宋体"/>
                <w:sz w:val="21"/>
                <w:szCs w:val="21"/>
                <w:highlight w:val="none"/>
              </w:rPr>
              <w:t>关著作权登记证书或专利证书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每个</w:t>
            </w:r>
            <w:r>
              <w:rPr>
                <w:rFonts w:hint="eastAsia" w:ascii="宋体" w:hAnsi="宋体" w:eastAsia="宋体" w:cs="宋体"/>
                <w:sz w:val="21"/>
                <w:szCs w:val="21"/>
                <w:highlight w:val="none"/>
                <w:lang w:val="en-US" w:eastAsia="zh-CN"/>
              </w:rPr>
              <w:t>证书</w:t>
            </w:r>
            <w:r>
              <w:rPr>
                <w:rFonts w:hint="eastAsia" w:ascii="宋体" w:hAnsi="宋体" w:eastAsia="宋体" w:cs="宋体"/>
                <w:sz w:val="21"/>
                <w:szCs w:val="21"/>
                <w:highlight w:val="none"/>
              </w:rPr>
              <w:t>得1分；</w:t>
            </w:r>
            <w:r>
              <w:rPr>
                <w:rFonts w:hint="eastAsia" w:ascii="宋体" w:hAnsi="宋体" w:eastAsia="宋体" w:cs="宋体"/>
                <w:sz w:val="21"/>
                <w:szCs w:val="21"/>
                <w:highlight w:val="none"/>
                <w:lang w:eastAsia="zh-Hans"/>
              </w:rPr>
              <w:t>本项</w:t>
            </w:r>
            <w:r>
              <w:rPr>
                <w:rFonts w:hint="eastAsia" w:ascii="宋体" w:hAnsi="宋体" w:eastAsia="宋体" w:cs="宋体"/>
                <w:sz w:val="21"/>
                <w:szCs w:val="21"/>
                <w:highlight w:val="none"/>
              </w:rPr>
              <w:t>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4" w:type="dxa"/>
            <w:vAlign w:val="center"/>
          </w:tcPr>
          <w:p>
            <w:pPr>
              <w:keepLines/>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29" w:type="dxa"/>
            <w:vMerge w:val="restart"/>
            <w:tcBorders>
              <w:top w:val="single" w:color="auto" w:sz="4" w:space="0"/>
            </w:tcBorders>
            <w:vAlign w:val="center"/>
          </w:tcPr>
          <w:p>
            <w:pPr>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项目组人员配备情况</w:t>
            </w:r>
          </w:p>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7632" w:type="dxa"/>
            <w:tcBorders>
              <w:top w:val="single" w:color="auto" w:sz="4" w:space="0"/>
            </w:tcBorders>
            <w:vAlign w:val="center"/>
          </w:tcPr>
          <w:p>
            <w:pPr>
              <w:numPr>
                <w:ilvl w:val="0"/>
                <w:numId w:val="0"/>
              </w:numPr>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1、拟派项目负责人，具有国家</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级注册结构工程师执业资格证书的得</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eastAsia="zh-Hans"/>
              </w:rPr>
              <w:t>同时</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eastAsia="zh-Hans"/>
              </w:rPr>
              <w:t>国家</w:t>
            </w:r>
            <w:r>
              <w:rPr>
                <w:rFonts w:hint="eastAsia" w:ascii="宋体" w:hAnsi="宋体" w:eastAsia="宋体" w:cs="宋体"/>
                <w:sz w:val="21"/>
                <w:szCs w:val="21"/>
                <w:highlight w:val="none"/>
              </w:rPr>
              <w:t>注册土</w:t>
            </w:r>
            <w:r>
              <w:rPr>
                <w:rFonts w:hint="eastAsia" w:ascii="宋体" w:hAnsi="宋体" w:eastAsia="宋体" w:cs="宋体"/>
                <w:sz w:val="21"/>
                <w:szCs w:val="21"/>
                <w:highlight w:val="none"/>
                <w:lang w:eastAsia="zh-Hans"/>
              </w:rPr>
              <w:t>木</w:t>
            </w:r>
            <w:r>
              <w:rPr>
                <w:rFonts w:hint="eastAsia" w:ascii="宋体" w:hAnsi="宋体" w:eastAsia="宋体" w:cs="宋体"/>
                <w:sz w:val="21"/>
                <w:szCs w:val="21"/>
                <w:highlight w:val="none"/>
              </w:rPr>
              <w:t>工程师(</w:t>
            </w:r>
            <w:r>
              <w:rPr>
                <w:rFonts w:hint="eastAsia" w:ascii="宋体" w:hAnsi="宋体" w:eastAsia="宋体" w:cs="宋体"/>
                <w:sz w:val="21"/>
                <w:szCs w:val="21"/>
                <w:highlight w:val="none"/>
                <w:lang w:eastAsia="zh-Hans"/>
              </w:rPr>
              <w:t>岩土）</w:t>
            </w:r>
            <w:r>
              <w:rPr>
                <w:rFonts w:hint="eastAsia" w:ascii="宋体" w:hAnsi="宋体" w:eastAsia="宋体" w:cs="宋体"/>
                <w:sz w:val="21"/>
                <w:szCs w:val="21"/>
                <w:highlight w:val="none"/>
              </w:rPr>
              <w:t>执业资格的</w:t>
            </w:r>
            <w:r>
              <w:rPr>
                <w:rFonts w:hint="eastAsia" w:ascii="宋体" w:hAnsi="宋体" w:eastAsia="宋体" w:cs="宋体"/>
                <w:sz w:val="21"/>
                <w:szCs w:val="21"/>
                <w:highlight w:val="none"/>
                <w:lang w:eastAsia="zh-Hans"/>
              </w:rPr>
              <w:t>加1</w:t>
            </w:r>
            <w:r>
              <w:rPr>
                <w:rFonts w:hint="eastAsia" w:ascii="宋体" w:hAnsi="宋体" w:eastAsia="宋体" w:cs="宋体"/>
                <w:sz w:val="21"/>
                <w:szCs w:val="21"/>
                <w:highlight w:val="none"/>
              </w:rPr>
              <w:t>分；具有国家</w:t>
            </w:r>
            <w:r>
              <w:rPr>
                <w:rFonts w:hint="eastAsia" w:ascii="宋体" w:hAnsi="宋体" w:eastAsia="宋体" w:cs="宋体"/>
                <w:sz w:val="21"/>
                <w:szCs w:val="21"/>
                <w:highlight w:val="none"/>
                <w:lang w:eastAsia="zh-Hans"/>
              </w:rPr>
              <w:t>一</w:t>
            </w:r>
            <w:r>
              <w:rPr>
                <w:rFonts w:hint="eastAsia" w:ascii="宋体" w:hAnsi="宋体" w:eastAsia="宋体" w:cs="宋体"/>
                <w:sz w:val="21"/>
                <w:szCs w:val="21"/>
                <w:highlight w:val="none"/>
              </w:rPr>
              <w:t>级注册结构工程师执业资格证书的得1分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eastAsia="zh-Hans"/>
              </w:rPr>
              <w:t>同时</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eastAsia="zh-Hans"/>
              </w:rPr>
              <w:t>国家</w:t>
            </w:r>
            <w:r>
              <w:rPr>
                <w:rFonts w:hint="eastAsia" w:ascii="宋体" w:hAnsi="宋体" w:eastAsia="宋体" w:cs="宋体"/>
                <w:sz w:val="21"/>
                <w:szCs w:val="21"/>
                <w:highlight w:val="none"/>
              </w:rPr>
              <w:t>注册土</w:t>
            </w:r>
            <w:r>
              <w:rPr>
                <w:rFonts w:hint="eastAsia" w:ascii="宋体" w:hAnsi="宋体" w:eastAsia="宋体" w:cs="宋体"/>
                <w:sz w:val="21"/>
                <w:szCs w:val="21"/>
                <w:highlight w:val="none"/>
                <w:lang w:eastAsia="zh-Hans"/>
              </w:rPr>
              <w:t>木</w:t>
            </w:r>
            <w:r>
              <w:rPr>
                <w:rFonts w:hint="eastAsia" w:ascii="宋体" w:hAnsi="宋体" w:eastAsia="宋体" w:cs="宋体"/>
                <w:sz w:val="21"/>
                <w:szCs w:val="21"/>
                <w:highlight w:val="none"/>
              </w:rPr>
              <w:t>工程师(</w:t>
            </w:r>
            <w:r>
              <w:rPr>
                <w:rFonts w:hint="eastAsia" w:ascii="宋体" w:hAnsi="宋体" w:eastAsia="宋体" w:cs="宋体"/>
                <w:sz w:val="21"/>
                <w:szCs w:val="21"/>
                <w:highlight w:val="none"/>
                <w:lang w:eastAsia="zh-Hans"/>
              </w:rPr>
              <w:t>岩土）</w:t>
            </w:r>
            <w:r>
              <w:rPr>
                <w:rFonts w:hint="eastAsia" w:ascii="宋体" w:hAnsi="宋体" w:eastAsia="宋体" w:cs="宋体"/>
                <w:sz w:val="21"/>
                <w:szCs w:val="21"/>
                <w:highlight w:val="none"/>
              </w:rPr>
              <w:t>执业资格的</w:t>
            </w:r>
            <w:r>
              <w:rPr>
                <w:rFonts w:hint="eastAsia" w:ascii="宋体" w:hAnsi="宋体" w:eastAsia="宋体" w:cs="宋体"/>
                <w:sz w:val="21"/>
                <w:szCs w:val="21"/>
                <w:highlight w:val="none"/>
                <w:lang w:eastAsia="zh-Hans"/>
              </w:rPr>
              <w:t>加1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Hans"/>
              </w:rPr>
              <w:t>本项</w:t>
            </w:r>
            <w:r>
              <w:rPr>
                <w:rFonts w:hint="eastAsia" w:ascii="宋体" w:hAnsi="宋体" w:eastAsia="宋体" w:cs="宋体"/>
                <w:sz w:val="21"/>
                <w:szCs w:val="21"/>
                <w:highlight w:val="none"/>
              </w:rPr>
              <w:t>最</w:t>
            </w:r>
            <w:r>
              <w:rPr>
                <w:rFonts w:hint="eastAsia" w:ascii="宋体" w:hAnsi="宋体" w:eastAsia="宋体" w:cs="宋体"/>
                <w:sz w:val="21"/>
                <w:szCs w:val="21"/>
                <w:highlight w:val="none"/>
                <w:lang w:eastAsia="zh-Hans"/>
              </w:rPr>
              <w:t>高</w:t>
            </w:r>
            <w:r>
              <w:rPr>
                <w:rFonts w:hint="eastAsia" w:ascii="宋体" w:hAnsi="宋体" w:eastAsia="宋体" w:cs="宋体"/>
                <w:sz w:val="21"/>
                <w:szCs w:val="21"/>
                <w:highlight w:val="none"/>
              </w:rPr>
              <w:t>得2分</w:t>
            </w:r>
            <w:r>
              <w:rPr>
                <w:rFonts w:hint="eastAsia" w:ascii="宋体" w:hAnsi="宋体" w:eastAsia="宋体" w:cs="宋体"/>
                <w:sz w:val="21"/>
                <w:szCs w:val="21"/>
                <w:highlight w:val="none"/>
                <w:lang w:eastAsia="zh-Hans"/>
              </w:rPr>
              <w:t>。</w:t>
            </w:r>
          </w:p>
          <w:p>
            <w:pPr>
              <w:numPr>
                <w:ilvl w:val="0"/>
                <w:numId w:val="0"/>
              </w:numPr>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2、拟派技术负责人具有国家</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级</w:t>
            </w:r>
            <w:r>
              <w:rPr>
                <w:rFonts w:hint="eastAsia" w:ascii="宋体" w:hAnsi="宋体" w:eastAsia="宋体" w:cs="宋体"/>
                <w:sz w:val="21"/>
                <w:szCs w:val="21"/>
                <w:highlight w:val="none"/>
                <w:lang w:val="en-US" w:eastAsia="zh-CN"/>
              </w:rPr>
              <w:t>以上</w:t>
            </w:r>
            <w:r>
              <w:rPr>
                <w:rFonts w:hint="eastAsia" w:ascii="宋体" w:hAnsi="宋体" w:eastAsia="宋体" w:cs="宋体"/>
                <w:sz w:val="21"/>
                <w:szCs w:val="21"/>
                <w:highlight w:val="none"/>
              </w:rPr>
              <w:t>注册结构工程师执业资格证书</w:t>
            </w:r>
            <w:r>
              <w:rPr>
                <w:rFonts w:hint="eastAsia" w:ascii="宋体" w:hAnsi="宋体" w:eastAsia="宋体" w:cs="宋体"/>
                <w:sz w:val="21"/>
                <w:szCs w:val="21"/>
                <w:highlight w:val="none"/>
                <w:lang w:val="en-US" w:eastAsia="zh-CN"/>
              </w:rPr>
              <w:t>的得</w:t>
            </w:r>
            <w:r>
              <w:rPr>
                <w:rFonts w:hint="eastAsia" w:ascii="宋体" w:hAnsi="宋体" w:eastAsia="宋体" w:cs="宋体"/>
                <w:sz w:val="21"/>
                <w:szCs w:val="21"/>
                <w:highlight w:val="none"/>
                <w:lang w:eastAsia="zh-Hans"/>
              </w:rPr>
              <w:t>1分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同时</w:t>
            </w:r>
            <w:r>
              <w:rPr>
                <w:rFonts w:hint="eastAsia" w:ascii="宋体" w:hAnsi="宋体" w:eastAsia="宋体" w:cs="宋体"/>
                <w:sz w:val="21"/>
                <w:szCs w:val="21"/>
                <w:highlight w:val="none"/>
                <w:lang w:eastAsia="zh-Hans"/>
              </w:rPr>
              <w:t>具有副</w:t>
            </w:r>
            <w:r>
              <w:rPr>
                <w:rFonts w:hint="eastAsia" w:ascii="宋体" w:hAnsi="宋体" w:eastAsia="宋体" w:cs="宋体"/>
                <w:sz w:val="21"/>
                <w:szCs w:val="21"/>
                <w:highlight w:val="none"/>
              </w:rPr>
              <w:t>高级工程师职称</w:t>
            </w:r>
            <w:r>
              <w:rPr>
                <w:rFonts w:hint="eastAsia" w:ascii="宋体" w:hAnsi="宋体" w:eastAsia="宋体" w:cs="宋体"/>
                <w:sz w:val="21"/>
                <w:szCs w:val="21"/>
                <w:highlight w:val="none"/>
                <w:lang w:val="en-US" w:eastAsia="zh-CN"/>
              </w:rPr>
              <w:t>的加1分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Hans"/>
              </w:rPr>
              <w:t>同时具有</w:t>
            </w:r>
            <w:r>
              <w:rPr>
                <w:rFonts w:hint="eastAsia" w:ascii="宋体" w:hAnsi="宋体" w:eastAsia="宋体" w:cs="宋体"/>
                <w:sz w:val="21"/>
                <w:szCs w:val="21"/>
                <w:highlight w:val="none"/>
              </w:rPr>
              <w:t>正高级工程师职称的</w:t>
            </w:r>
            <w:r>
              <w:rPr>
                <w:rFonts w:hint="eastAsia" w:ascii="宋体" w:hAnsi="宋体" w:eastAsia="宋体" w:cs="宋体"/>
                <w:sz w:val="21"/>
                <w:szCs w:val="21"/>
                <w:highlight w:val="none"/>
                <w:lang w:eastAsia="zh-Hans"/>
              </w:rPr>
              <w:t>加</w:t>
            </w:r>
            <w:r>
              <w:rPr>
                <w:rFonts w:hint="eastAsia" w:ascii="宋体" w:hAnsi="宋体" w:eastAsia="宋体" w:cs="宋体"/>
                <w:sz w:val="21"/>
                <w:szCs w:val="21"/>
                <w:highlight w:val="none"/>
              </w:rPr>
              <w:t>2分；</w:t>
            </w:r>
            <w:r>
              <w:rPr>
                <w:rFonts w:hint="eastAsia" w:ascii="宋体" w:hAnsi="宋体" w:eastAsia="宋体" w:cs="宋体"/>
                <w:sz w:val="21"/>
                <w:szCs w:val="21"/>
                <w:highlight w:val="none"/>
                <w:lang w:eastAsia="zh-Hans"/>
              </w:rPr>
              <w:t>本项</w:t>
            </w:r>
            <w:r>
              <w:rPr>
                <w:rFonts w:hint="eastAsia" w:ascii="宋体" w:hAnsi="宋体" w:eastAsia="宋体" w:cs="宋体"/>
                <w:sz w:val="21"/>
                <w:szCs w:val="21"/>
                <w:highlight w:val="none"/>
              </w:rPr>
              <w:t>最</w:t>
            </w:r>
            <w:r>
              <w:rPr>
                <w:rFonts w:hint="eastAsia" w:ascii="宋体" w:hAnsi="宋体" w:eastAsia="宋体" w:cs="宋体"/>
                <w:sz w:val="21"/>
                <w:szCs w:val="21"/>
                <w:highlight w:val="none"/>
                <w:lang w:eastAsia="zh-Hans"/>
              </w:rPr>
              <w:t>高</w:t>
            </w:r>
            <w:r>
              <w:rPr>
                <w:rFonts w:hint="eastAsia" w:ascii="宋体" w:hAnsi="宋体" w:eastAsia="宋体" w:cs="宋体"/>
                <w:sz w:val="21"/>
                <w:szCs w:val="21"/>
                <w:highlight w:val="none"/>
              </w:rPr>
              <w:t>得3分</w:t>
            </w:r>
            <w:r>
              <w:rPr>
                <w:rFonts w:hint="eastAsia" w:ascii="宋体" w:hAnsi="宋体" w:eastAsia="宋体" w:cs="宋体"/>
                <w:sz w:val="21"/>
                <w:szCs w:val="21"/>
                <w:highlight w:val="none"/>
                <w:lang w:eastAsia="zh-Hans"/>
              </w:rPr>
              <w:t>。</w:t>
            </w:r>
          </w:p>
          <w:p>
            <w:pPr>
              <w:numPr>
                <w:ilvl w:val="0"/>
                <w:numId w:val="0"/>
              </w:numPr>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3、项目班子人员</w:t>
            </w:r>
            <w:r>
              <w:rPr>
                <w:rFonts w:hint="eastAsia" w:ascii="宋体" w:hAnsi="宋体" w:eastAsia="宋体" w:cs="宋体"/>
                <w:sz w:val="21"/>
                <w:szCs w:val="21"/>
                <w:highlight w:val="none"/>
                <w:lang w:eastAsia="zh-Hans"/>
              </w:rPr>
              <w:t>中，除项目负责人和技术负责人外，具有</w:t>
            </w:r>
            <w:r>
              <w:rPr>
                <w:rFonts w:hint="eastAsia" w:ascii="宋体" w:hAnsi="宋体" w:eastAsia="宋体" w:cs="宋体"/>
                <w:sz w:val="21"/>
                <w:szCs w:val="21"/>
                <w:highlight w:val="none"/>
              </w:rPr>
              <w:t>国家</w:t>
            </w:r>
            <w:r>
              <w:rPr>
                <w:rFonts w:hint="eastAsia" w:ascii="宋体" w:hAnsi="宋体" w:eastAsia="宋体" w:cs="宋体"/>
                <w:sz w:val="21"/>
                <w:szCs w:val="21"/>
                <w:highlight w:val="none"/>
                <w:lang w:eastAsia="zh-Hans"/>
              </w:rPr>
              <w:t>注册结构工程师或国家注册土木工程师(岩土）执业资格的，每人得</w:t>
            </w: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Hans"/>
              </w:rPr>
              <w:t>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Hans"/>
              </w:rPr>
              <w:t>本项最高得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Hans"/>
              </w:rPr>
              <w:t>分。</w:t>
            </w:r>
          </w:p>
          <w:p>
            <w:pPr>
              <w:numPr>
                <w:ilvl w:val="0"/>
                <w:numId w:val="0"/>
              </w:numPr>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注：项目负责人和技术负责人为同一人的，如项目负责人已得分，则技术负责人不再重复得分。上述人员须提供加盖公章</w:t>
            </w:r>
            <w:r>
              <w:rPr>
                <w:rFonts w:hint="eastAsia" w:ascii="宋体" w:hAnsi="宋体" w:eastAsia="宋体" w:cs="宋体"/>
                <w:sz w:val="21"/>
                <w:szCs w:val="21"/>
                <w:highlight w:val="none"/>
                <w:lang w:eastAsia="zh-CN"/>
              </w:rPr>
              <w:t>后</w:t>
            </w:r>
            <w:r>
              <w:rPr>
                <w:rFonts w:hint="eastAsia" w:ascii="宋体" w:hAnsi="宋体" w:eastAsia="宋体" w:cs="宋体"/>
                <w:sz w:val="21"/>
                <w:szCs w:val="21"/>
                <w:highlight w:val="none"/>
              </w:rPr>
              <w:t>证书复印件</w:t>
            </w:r>
            <w:r>
              <w:rPr>
                <w:rFonts w:hint="eastAsia" w:ascii="宋体" w:hAnsi="宋体" w:eastAsia="宋体" w:cs="宋体"/>
                <w:sz w:val="21"/>
                <w:szCs w:val="21"/>
                <w:highlight w:val="none"/>
                <w:lang w:eastAsia="zh-CN"/>
              </w:rPr>
              <w:t>或</w:t>
            </w:r>
            <w:r>
              <w:rPr>
                <w:rFonts w:hint="eastAsia" w:ascii="宋体" w:hAnsi="宋体" w:eastAsia="宋体" w:cs="宋体"/>
                <w:sz w:val="21"/>
                <w:szCs w:val="21"/>
                <w:highlight w:val="none"/>
              </w:rPr>
              <w:t>扫描件及近三个月</w:t>
            </w:r>
            <w:r>
              <w:rPr>
                <w:rFonts w:hint="eastAsia" w:ascii="宋体" w:hAnsi="宋体" w:cs="宋体"/>
                <w:sz w:val="21"/>
                <w:szCs w:val="21"/>
                <w:highlight w:val="none"/>
                <w:lang w:val="en-US" w:eastAsia="zh-CN"/>
              </w:rPr>
              <w:t>内</w:t>
            </w:r>
            <w:r>
              <w:rPr>
                <w:rFonts w:hint="eastAsia" w:ascii="宋体" w:hAnsi="宋体" w:eastAsia="宋体" w:cs="宋体"/>
                <w:sz w:val="21"/>
                <w:szCs w:val="21"/>
                <w:highlight w:val="none"/>
              </w:rPr>
              <w:t>任意一个月社保证明材料，否则不得分。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14" w:type="dxa"/>
            <w:vMerge w:val="restart"/>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技术部分</w:t>
            </w:r>
            <w:r>
              <w:rPr>
                <w:rFonts w:hint="eastAsia" w:ascii="宋体" w:hAnsi="宋体" w:eastAsia="宋体" w:cs="宋体"/>
                <w:color w:val="000000" w:themeColor="text1"/>
                <w:sz w:val="21"/>
                <w:szCs w:val="21"/>
                <w:highlight w:val="none"/>
                <w:lang w:val="en-US" w:eastAsia="zh-CN"/>
                <w14:textFill>
                  <w14:solidFill>
                    <w14:schemeClr w14:val="tx1"/>
                  </w14:solidFill>
                </w14:textFill>
              </w:rPr>
              <w:t>75.5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1329" w:type="dxa"/>
            <w:vMerge w:val="restart"/>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gree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监测方案（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24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632" w:type="dxa"/>
            <w:vAlign w:val="center"/>
          </w:tcPr>
          <w:p>
            <w:pPr>
              <w:numPr>
                <w:ilvl w:val="0"/>
                <w:numId w:val="0"/>
              </w:numPr>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w:t>
            </w:r>
            <w:r>
              <w:rPr>
                <w:rFonts w:hint="eastAsia" w:ascii="宋体" w:hAnsi="宋体" w:eastAsia="宋体" w:cs="宋体"/>
                <w:sz w:val="21"/>
                <w:szCs w:val="21"/>
                <w:highlight w:val="none"/>
                <w:lang w:val="en-US" w:eastAsia="zh-CN"/>
              </w:rPr>
              <w:t>本</w:t>
            </w: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人工动态监测</w:t>
            </w:r>
            <w:r>
              <w:rPr>
                <w:rFonts w:hint="eastAsia" w:ascii="宋体" w:hAnsi="宋体" w:eastAsia="宋体" w:cs="宋体"/>
                <w:sz w:val="21"/>
                <w:szCs w:val="21"/>
                <w:highlight w:val="none"/>
              </w:rPr>
              <w:t>组织、方案配置，由评委综合酌情打分：</w:t>
            </w:r>
          </w:p>
          <w:p>
            <w:pPr>
              <w:numPr>
                <w:ilvl w:val="0"/>
                <w:numId w:val="0"/>
              </w:numPr>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完全满足采购需求、</w:t>
            </w:r>
            <w:r>
              <w:rPr>
                <w:rFonts w:hint="eastAsia" w:ascii="宋体" w:hAnsi="宋体" w:eastAsia="宋体" w:cs="宋体"/>
                <w:sz w:val="21"/>
                <w:szCs w:val="21"/>
                <w:highlight w:val="none"/>
              </w:rPr>
              <w:t>安排合理、方案科学可执行性强的得(4-6]分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部分满足采购需求、</w:t>
            </w:r>
            <w:r>
              <w:rPr>
                <w:rFonts w:hint="eastAsia" w:ascii="宋体" w:hAnsi="宋体" w:eastAsia="宋体" w:cs="宋体"/>
                <w:sz w:val="21"/>
                <w:szCs w:val="21"/>
                <w:highlight w:val="none"/>
              </w:rPr>
              <w:t>安排较合理、方案</w:t>
            </w:r>
            <w:r>
              <w:rPr>
                <w:rFonts w:hint="eastAsia" w:ascii="宋体" w:hAnsi="宋体" w:eastAsia="宋体" w:cs="宋体"/>
                <w:sz w:val="21"/>
                <w:szCs w:val="21"/>
                <w:highlight w:val="none"/>
                <w:lang w:val="en-US" w:eastAsia="zh-CN"/>
              </w:rPr>
              <w:t>基本</w:t>
            </w:r>
            <w:r>
              <w:rPr>
                <w:rFonts w:hint="eastAsia" w:ascii="宋体" w:hAnsi="宋体" w:eastAsia="宋体" w:cs="宋体"/>
                <w:sz w:val="21"/>
                <w:szCs w:val="21"/>
                <w:highlight w:val="none"/>
              </w:rPr>
              <w:t>可执行的得(2-4]分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较少或不能体现采购需求、</w:t>
            </w:r>
            <w:r>
              <w:rPr>
                <w:rFonts w:hint="eastAsia" w:ascii="宋体" w:hAnsi="宋体" w:eastAsia="宋体" w:cs="宋体"/>
                <w:sz w:val="21"/>
                <w:szCs w:val="21"/>
                <w:highlight w:val="none"/>
              </w:rPr>
              <w:t>安排不合理、方案可执行性差的得[0-2]分。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14" w:type="dxa"/>
            <w:vMerge w:val="continue"/>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29" w:type="dxa"/>
            <w:vMerge w:val="continue"/>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green"/>
                <w14:textFill>
                  <w14:solidFill>
                    <w14:schemeClr w14:val="tx1"/>
                  </w14:solidFill>
                </w14:textFill>
              </w:rPr>
            </w:pPr>
          </w:p>
        </w:tc>
        <w:tc>
          <w:tcPr>
            <w:tcW w:w="7632" w:type="dxa"/>
            <w:vAlign w:val="center"/>
          </w:tcPr>
          <w:p>
            <w:pPr>
              <w:numPr>
                <w:ilvl w:val="0"/>
                <w:numId w:val="0"/>
              </w:numPr>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对本项目制定的管理制度（包括但不限于：检测管理制度、责任制度，技术管理与质量保证体系情况），由评委综合酌情打分：</w:t>
            </w:r>
          </w:p>
          <w:p>
            <w:pPr>
              <w:numPr>
                <w:ilvl w:val="0"/>
                <w:numId w:val="0"/>
              </w:numPr>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管理制度规范、完善、项目进度安排合理科学、条理清晰的得(</w:t>
            </w:r>
            <w:r>
              <w:rPr>
                <w:rFonts w:hint="eastAsia" w:ascii="宋体" w:hAnsi="宋体" w:eastAsia="宋体" w:cs="宋体"/>
                <w:sz w:val="21"/>
                <w:szCs w:val="21"/>
                <w:highlight w:val="none"/>
                <w:lang w:val="en-US" w:eastAsia="zh-CN"/>
              </w:rPr>
              <w:t>4-6</w:t>
            </w:r>
            <w:r>
              <w:rPr>
                <w:rFonts w:hint="eastAsia" w:ascii="宋体" w:hAnsi="宋体" w:eastAsia="宋体" w:cs="宋体"/>
                <w:sz w:val="21"/>
                <w:szCs w:val="21"/>
                <w:highlight w:val="none"/>
              </w:rPr>
              <w:t>]分；管理制度规范性一般、不完善、项目进度安排较为零散、条理模糊的得(</w:t>
            </w: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rPr>
              <w:t>]分；管理制度规范性差、不完善、项目进度安排不合理、不科学、条理混乱的得[</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14" w:type="dxa"/>
            <w:vMerge w:val="continue"/>
            <w:vAlign w:val="center"/>
          </w:tcPr>
          <w:p>
            <w:pPr>
              <w:keepLines/>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29" w:type="dxa"/>
            <w:vMerge w:val="continue"/>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green"/>
                <w14:textFill>
                  <w14:solidFill>
                    <w14:schemeClr w14:val="tx1"/>
                  </w14:solidFill>
                </w14:textFill>
              </w:rPr>
            </w:pPr>
          </w:p>
        </w:tc>
        <w:tc>
          <w:tcPr>
            <w:tcW w:w="7632" w:type="dxa"/>
            <w:vAlign w:val="center"/>
          </w:tcPr>
          <w:p>
            <w:pPr>
              <w:numPr>
                <w:ilvl w:val="0"/>
                <w:numId w:val="0"/>
              </w:numPr>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对本项目制定的质量保证措施及验收方案，由评委综合酌情打分：</w:t>
            </w:r>
          </w:p>
          <w:p>
            <w:pPr>
              <w:numPr>
                <w:ilvl w:val="0"/>
                <w:numId w:val="0"/>
              </w:numPr>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质量保证措施及验收方案完善、科学、条理清晰</w:t>
            </w:r>
            <w:r>
              <w:rPr>
                <w:rFonts w:hint="eastAsia" w:ascii="宋体" w:hAnsi="宋体" w:eastAsia="宋体" w:cs="宋体"/>
                <w:sz w:val="21"/>
                <w:szCs w:val="21"/>
                <w:highlight w:val="none"/>
                <w:lang w:val="en-US" w:eastAsia="zh-CN"/>
              </w:rPr>
              <w:t>标准严明</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4-6</w:t>
            </w:r>
            <w:r>
              <w:rPr>
                <w:rFonts w:hint="eastAsia" w:ascii="宋体" w:hAnsi="宋体" w:eastAsia="宋体" w:cs="宋体"/>
                <w:sz w:val="21"/>
                <w:szCs w:val="21"/>
                <w:highlight w:val="none"/>
              </w:rPr>
              <w:t>]分；内容完善性不足、</w:t>
            </w:r>
            <w:r>
              <w:rPr>
                <w:rFonts w:hint="eastAsia" w:ascii="宋体" w:hAnsi="宋体" w:eastAsia="宋体" w:cs="宋体"/>
                <w:sz w:val="21"/>
                <w:szCs w:val="21"/>
                <w:highlight w:val="none"/>
                <w:lang w:val="en-US" w:eastAsia="zh-CN"/>
              </w:rPr>
              <w:t>条理制度标准缺项</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rPr>
              <w:t>]分；内容</w:t>
            </w:r>
            <w:r>
              <w:rPr>
                <w:rFonts w:hint="eastAsia" w:ascii="宋体" w:hAnsi="宋体" w:eastAsia="宋体" w:cs="宋体"/>
                <w:sz w:val="21"/>
                <w:szCs w:val="21"/>
                <w:highlight w:val="none"/>
                <w:lang w:val="en-US" w:eastAsia="zh-CN"/>
              </w:rPr>
              <w:t>不完整、</w:t>
            </w:r>
            <w:r>
              <w:rPr>
                <w:rFonts w:hint="eastAsia" w:ascii="宋体" w:hAnsi="宋体" w:eastAsia="宋体" w:cs="宋体"/>
                <w:sz w:val="21"/>
                <w:szCs w:val="21"/>
                <w:highlight w:val="none"/>
              </w:rPr>
              <w:t>不科学、不合理、条理混乱的得[</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14" w:type="dxa"/>
            <w:vMerge w:val="continue"/>
            <w:vAlign w:val="center"/>
          </w:tcPr>
          <w:p>
            <w:pPr>
              <w:keepLines/>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29" w:type="dxa"/>
            <w:vMerge w:val="continue"/>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green"/>
                <w14:textFill>
                  <w14:solidFill>
                    <w14:schemeClr w14:val="tx1"/>
                  </w14:solidFill>
                </w14:textFill>
              </w:rPr>
            </w:pPr>
          </w:p>
        </w:tc>
        <w:tc>
          <w:tcPr>
            <w:tcW w:w="7632" w:type="dxa"/>
            <w:vAlign w:val="center"/>
          </w:tcPr>
          <w:p>
            <w:pPr>
              <w:numPr>
                <w:ilvl w:val="0"/>
                <w:numId w:val="0"/>
              </w:numPr>
              <w:snapToGrid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针对本项目</w:t>
            </w:r>
            <w:r>
              <w:rPr>
                <w:rFonts w:hint="eastAsia" w:ascii="宋体" w:hAnsi="宋体" w:eastAsia="宋体" w:cs="宋体"/>
                <w:sz w:val="21"/>
                <w:szCs w:val="21"/>
                <w:highlight w:val="none"/>
              </w:rPr>
              <w:t>拟投入</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设备齐全性、先进性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准确性高的得（4-6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分；</w:t>
            </w:r>
          </w:p>
          <w:p>
            <w:pPr>
              <w:numPr>
                <w:ilvl w:val="0"/>
                <w:numId w:val="0"/>
              </w:numPr>
              <w:snapToGrid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针对本项目</w:t>
            </w:r>
            <w:r>
              <w:rPr>
                <w:rFonts w:hint="eastAsia" w:ascii="宋体" w:hAnsi="宋体" w:eastAsia="宋体" w:cs="宋体"/>
                <w:sz w:val="21"/>
                <w:szCs w:val="21"/>
                <w:highlight w:val="none"/>
              </w:rPr>
              <w:t>拟投入</w:t>
            </w:r>
            <w:r>
              <w:rPr>
                <w:rFonts w:hint="eastAsia" w:ascii="宋体" w:hAnsi="宋体" w:eastAsia="宋体" w:cs="宋体"/>
                <w:sz w:val="21"/>
                <w:szCs w:val="21"/>
                <w:highlight w:val="none"/>
                <w:lang w:val="en-US" w:eastAsia="zh-CN"/>
              </w:rPr>
              <w:t>的设备基本能满足本项目需求的得（2-4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分；</w:t>
            </w:r>
          </w:p>
          <w:p>
            <w:pPr>
              <w:numPr>
                <w:ilvl w:val="0"/>
                <w:numId w:val="0"/>
              </w:numPr>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针对本项目</w:t>
            </w:r>
            <w:r>
              <w:rPr>
                <w:rFonts w:hint="eastAsia" w:ascii="宋体" w:hAnsi="宋体" w:eastAsia="宋体" w:cs="宋体"/>
                <w:sz w:val="21"/>
                <w:szCs w:val="21"/>
                <w:highlight w:val="none"/>
              </w:rPr>
              <w:t>拟投入</w:t>
            </w:r>
            <w:r>
              <w:rPr>
                <w:rFonts w:hint="eastAsia" w:ascii="宋体" w:hAnsi="宋体" w:eastAsia="宋体" w:cs="宋体"/>
                <w:sz w:val="21"/>
                <w:szCs w:val="21"/>
                <w:highlight w:val="none"/>
                <w:lang w:val="en-US" w:eastAsia="zh-CN"/>
              </w:rPr>
              <w:t>的设备无法满足本项目需求或拟投入本项目的设备不齐全的得[0-2分]</w:t>
            </w:r>
            <w:r>
              <w:rPr>
                <w:rFonts w:hint="eastAsia" w:ascii="宋体" w:hAnsi="宋体" w:eastAsia="宋体" w:cs="宋体"/>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14" w:type="dxa"/>
            <w:vMerge w:val="continue"/>
            <w:vAlign w:val="center"/>
          </w:tcPr>
          <w:p>
            <w:pPr>
              <w:keepLines/>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29" w:type="dxa"/>
            <w:vMerge w:val="restart"/>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green"/>
                <w:lang w:val="en-US" w:eastAsia="zh-CN"/>
                <w14:textFill>
                  <w14:solidFill>
                    <w14:schemeClr w14:val="tx1"/>
                  </w14:solidFill>
                </w14:textFill>
              </w:rPr>
            </w:pPr>
            <w:r>
              <w:rPr>
                <w:rFonts w:hint="eastAsia" w:ascii="宋体" w:hAnsi="宋体" w:eastAsia="宋体" w:cs="宋体"/>
                <w:color w:val="auto"/>
                <w:sz w:val="21"/>
                <w:szCs w:val="21"/>
                <w:highlight w:val="none"/>
              </w:rPr>
              <w:t>房</w:t>
            </w:r>
            <w:r>
              <w:rPr>
                <w:rFonts w:hint="eastAsia" w:ascii="宋体" w:hAnsi="宋体" w:eastAsia="宋体" w:cs="宋体"/>
                <w:sz w:val="21"/>
                <w:szCs w:val="21"/>
                <w:highlight w:val="none"/>
                <w:lang w:val="en-US" w:eastAsia="zh-CN"/>
              </w:rPr>
              <w:t>屋装修入户巡检方案（24分）</w:t>
            </w:r>
          </w:p>
        </w:tc>
        <w:tc>
          <w:tcPr>
            <w:tcW w:w="7632" w:type="dxa"/>
            <w:vAlign w:val="center"/>
          </w:tcPr>
          <w:p>
            <w:pPr>
              <w:numPr>
                <w:ilvl w:val="0"/>
                <w:numId w:val="0"/>
              </w:numPr>
              <w:snapToGrid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巡查质量管理方案：安排合理、内容完整，制度严明的得（4-6]分；安排较合理、完整，执行性一般的得（2-4分]、安排不合理，可执行性差或执行困难的得[0-2分]。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14" w:type="dxa"/>
            <w:vMerge w:val="continue"/>
            <w:vAlign w:val="center"/>
          </w:tcPr>
          <w:p>
            <w:pPr>
              <w:keepLines/>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29" w:type="dxa"/>
            <w:vMerge w:val="continue"/>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green"/>
              </w:rPr>
            </w:pPr>
          </w:p>
        </w:tc>
        <w:tc>
          <w:tcPr>
            <w:tcW w:w="7632" w:type="dxa"/>
            <w:vAlign w:val="center"/>
          </w:tcPr>
          <w:p>
            <w:pPr>
              <w:numPr>
                <w:ilvl w:val="0"/>
                <w:numId w:val="0"/>
              </w:numPr>
              <w:snapToGrid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巡查安全管理方案安排：合理、内容完整，制度严明的得（4-6]分；安排较合理、完整，执行性一般的得（2-4分]、安排不合理，可执行性差或执行困难的得[0-2分]。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Merge w:val="continue"/>
            <w:vAlign w:val="center"/>
          </w:tcPr>
          <w:p>
            <w:pPr>
              <w:keepLines/>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29" w:type="dxa"/>
            <w:vMerge w:val="continue"/>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green"/>
              </w:rPr>
            </w:pPr>
          </w:p>
        </w:tc>
        <w:tc>
          <w:tcPr>
            <w:tcW w:w="7632" w:type="dxa"/>
            <w:vAlign w:val="center"/>
          </w:tcPr>
          <w:p>
            <w:pPr>
              <w:numPr>
                <w:ilvl w:val="0"/>
                <w:numId w:val="0"/>
              </w:numPr>
              <w:snapToGrid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巡查进度方案安排：合理、内容完整，制度严明的得（4-6]分；安排较合理、完整，执行性一般的得（2-4分]、安排不合理，可执行性差或执行困难的得[0-2分]。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Merge w:val="continue"/>
            <w:vAlign w:val="center"/>
          </w:tcPr>
          <w:p>
            <w:pPr>
              <w:keepLines/>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29" w:type="dxa"/>
            <w:vMerge w:val="continue"/>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green"/>
              </w:rPr>
            </w:pPr>
          </w:p>
        </w:tc>
        <w:tc>
          <w:tcPr>
            <w:tcW w:w="7632" w:type="dxa"/>
            <w:vAlign w:val="center"/>
          </w:tcPr>
          <w:p>
            <w:pPr>
              <w:numPr>
                <w:ilvl w:val="0"/>
                <w:numId w:val="0"/>
              </w:numPr>
              <w:snapToGrid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巡查人员安排：人员分配合理、职责分明、人员充足的得（4-6]分；人员分配混乱或职责不明确的得（2-4]分；人员不足或未提及人员安排情况的得(0-2分]。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Merge w:val="continue"/>
            <w:vAlign w:val="center"/>
          </w:tcPr>
          <w:p>
            <w:pPr>
              <w:keepLines/>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29" w:type="dxa"/>
            <w:vAlign w:val="center"/>
          </w:tcPr>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房屋使用安全大数据智能管控平台</w:t>
            </w:r>
            <w:r>
              <w:rPr>
                <w:rFonts w:hint="eastAsia" w:ascii="宋体" w:hAnsi="宋体" w:eastAsia="宋体" w:cs="宋体"/>
                <w:sz w:val="21"/>
                <w:szCs w:val="21"/>
                <w:highlight w:val="none"/>
                <w:lang w:val="en-US" w:eastAsia="zh-Hans"/>
              </w:rPr>
              <w:t>（</w:t>
            </w:r>
            <w:r>
              <w:rPr>
                <w:rFonts w:hint="eastAsia" w:ascii="宋体" w:hAnsi="宋体" w:eastAsia="宋体" w:cs="宋体"/>
                <w:sz w:val="21"/>
                <w:szCs w:val="21"/>
                <w:highlight w:val="none"/>
                <w:lang w:val="en-US" w:eastAsia="zh-CN"/>
              </w:rPr>
              <w:t>9.5</w:t>
            </w:r>
            <w:r>
              <w:rPr>
                <w:rFonts w:hint="eastAsia" w:ascii="宋体" w:hAnsi="宋体" w:eastAsia="宋体" w:cs="宋体"/>
                <w:sz w:val="21"/>
                <w:szCs w:val="21"/>
                <w:highlight w:val="none"/>
                <w:lang w:val="en-US" w:eastAsia="zh-Hans"/>
              </w:rPr>
              <w:t>分）</w:t>
            </w:r>
          </w:p>
        </w:tc>
        <w:tc>
          <w:tcPr>
            <w:tcW w:w="7632" w:type="dxa"/>
            <w:vAlign w:val="center"/>
          </w:tcPr>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1.投标人具备</w:t>
            </w:r>
            <w:r>
              <w:rPr>
                <w:rFonts w:hint="default" w:ascii="宋体" w:hAnsi="宋体" w:eastAsia="宋体" w:cs="宋体"/>
                <w:sz w:val="21"/>
                <w:szCs w:val="21"/>
                <w:highlight w:val="none"/>
              </w:rPr>
              <w:t>任务派发、</w:t>
            </w:r>
            <w:r>
              <w:rPr>
                <w:rFonts w:hint="default" w:ascii="宋体" w:hAnsi="宋体" w:eastAsia="宋体" w:cs="宋体"/>
                <w:sz w:val="21"/>
                <w:szCs w:val="21"/>
                <w:highlight w:val="none"/>
                <w:lang w:val="en-US" w:eastAsia="zh-CN"/>
              </w:rPr>
              <w:t>巡查成果照片管理、巡查数据</w:t>
            </w:r>
            <w:r>
              <w:rPr>
                <w:rFonts w:hint="eastAsia" w:ascii="宋体" w:hAnsi="宋体" w:eastAsia="宋体" w:cs="宋体"/>
                <w:sz w:val="21"/>
                <w:szCs w:val="21"/>
                <w:highlight w:val="none"/>
                <w:lang w:val="en-US" w:eastAsia="zh-CN"/>
              </w:rPr>
              <w:t>记录、</w:t>
            </w:r>
            <w:r>
              <w:rPr>
                <w:rFonts w:hint="default" w:ascii="宋体" w:hAnsi="宋体" w:eastAsia="宋体" w:cs="宋体"/>
                <w:sz w:val="21"/>
                <w:szCs w:val="21"/>
                <w:highlight w:val="none"/>
                <w:lang w:val="en-US" w:eastAsia="zh-CN"/>
              </w:rPr>
              <w:t>查询</w:t>
            </w:r>
            <w:r>
              <w:rPr>
                <w:rFonts w:hint="eastAsia" w:ascii="宋体" w:hAnsi="宋体" w:eastAsia="宋体" w:cs="宋体"/>
                <w:sz w:val="21"/>
                <w:szCs w:val="21"/>
                <w:highlight w:val="none"/>
                <w:lang w:val="en-US" w:eastAsia="zh-CN"/>
              </w:rPr>
              <w:t>、上传等功能的得2分；</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2.投标人具备对监测数据实现分级审批功能的得2分；</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3.投标人可以提供巡检人员定位、电子签到功能的得3分。</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4.服务期内提供同版本软件免费客户化修改与免费升级服务。并能为用户后续的信息化建设提供长期的技术支持的得2.5分。</w:t>
            </w:r>
          </w:p>
          <w:p>
            <w:pPr>
              <w:spacing w:line="24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注：1、以上内容</w:t>
            </w:r>
            <w:r>
              <w:rPr>
                <w:rFonts w:hint="eastAsia" w:ascii="宋体" w:hAnsi="宋体" w:cs="宋体"/>
                <w:b/>
                <w:bCs/>
                <w:sz w:val="21"/>
                <w:szCs w:val="21"/>
                <w:highlight w:val="none"/>
                <w:lang w:val="en-US" w:eastAsia="zh-CN"/>
              </w:rPr>
              <w:t>中标</w:t>
            </w:r>
            <w:r>
              <w:rPr>
                <w:rFonts w:hint="eastAsia" w:ascii="宋体" w:hAnsi="宋体" w:eastAsia="宋体" w:cs="宋体"/>
                <w:b/>
                <w:bCs/>
                <w:sz w:val="21"/>
                <w:szCs w:val="21"/>
                <w:highlight w:val="none"/>
                <w:lang w:val="en-US" w:eastAsia="zh-CN"/>
              </w:rPr>
              <w:t>人可在</w:t>
            </w:r>
            <w:r>
              <w:rPr>
                <w:rFonts w:hint="eastAsia" w:ascii="宋体" w:hAnsi="宋体" w:cs="宋体"/>
                <w:b/>
                <w:bCs/>
                <w:sz w:val="21"/>
                <w:szCs w:val="21"/>
                <w:highlight w:val="none"/>
                <w:lang w:val="en-US" w:eastAsia="zh-CN"/>
              </w:rPr>
              <w:t>合同签订</w:t>
            </w:r>
            <w:r>
              <w:rPr>
                <w:rFonts w:hint="eastAsia" w:ascii="宋体" w:hAnsi="宋体" w:eastAsia="宋体" w:cs="宋体"/>
                <w:b/>
                <w:bCs/>
                <w:sz w:val="21"/>
                <w:szCs w:val="21"/>
                <w:highlight w:val="none"/>
                <w:lang w:val="en-US" w:eastAsia="zh-CN"/>
              </w:rPr>
              <w:t>后七个工作日内完成平台搭建系统，如中标</w:t>
            </w:r>
            <w:r>
              <w:rPr>
                <w:rFonts w:hint="eastAsia" w:ascii="宋体" w:hAnsi="宋体" w:cs="宋体"/>
                <w:b/>
                <w:bCs/>
                <w:sz w:val="21"/>
                <w:szCs w:val="21"/>
                <w:highlight w:val="none"/>
                <w:lang w:val="en-US" w:eastAsia="zh-CN"/>
              </w:rPr>
              <w:t>人在合同签订</w:t>
            </w:r>
            <w:r>
              <w:rPr>
                <w:rFonts w:hint="eastAsia" w:ascii="宋体" w:hAnsi="宋体" w:eastAsia="宋体" w:cs="宋体"/>
                <w:b/>
                <w:bCs/>
                <w:sz w:val="21"/>
                <w:szCs w:val="21"/>
                <w:highlight w:val="none"/>
                <w:lang w:val="en-US" w:eastAsia="zh-CN"/>
              </w:rPr>
              <w:t>后七个工作日内无法达到本项1-3条要求，采购人有权</w:t>
            </w:r>
            <w:r>
              <w:rPr>
                <w:rFonts w:hint="eastAsia" w:ascii="宋体" w:hAnsi="宋体" w:cs="宋体"/>
                <w:b/>
                <w:bCs/>
                <w:sz w:val="21"/>
                <w:szCs w:val="21"/>
                <w:highlight w:val="none"/>
                <w:lang w:val="en-US" w:eastAsia="zh-CN"/>
              </w:rPr>
              <w:t>解除合同</w:t>
            </w:r>
            <w:r>
              <w:rPr>
                <w:rFonts w:hint="eastAsia" w:ascii="宋体" w:hAnsi="宋体" w:eastAsia="宋体" w:cs="宋体"/>
                <w:b/>
                <w:bCs/>
                <w:sz w:val="21"/>
                <w:szCs w:val="21"/>
                <w:highlight w:val="none"/>
                <w:lang w:val="en-US" w:eastAsia="zh-CN"/>
              </w:rPr>
              <w:t>。</w:t>
            </w:r>
          </w:p>
          <w:p>
            <w:pPr>
              <w:spacing w:line="240" w:lineRule="auto"/>
              <w:rPr>
                <w:rFonts w:hint="default"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2、以上内容投标人完全响应所有条款的得9.5分，每负偏离一条技术指标扣除相应分值，扣完为止。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14" w:type="dxa"/>
            <w:vMerge w:val="continue"/>
            <w:vAlign w:val="center"/>
          </w:tcPr>
          <w:p>
            <w:pPr>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29" w:type="dxa"/>
            <w:vAlign w:val="center"/>
          </w:tcPr>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应急预案</w:t>
            </w:r>
          </w:p>
          <w:p>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（5分）</w:t>
            </w:r>
          </w:p>
        </w:tc>
        <w:tc>
          <w:tcPr>
            <w:tcW w:w="7632" w:type="dxa"/>
            <w:vAlign w:val="center"/>
          </w:tcPr>
          <w:p>
            <w:pPr>
              <w:numPr>
                <w:ilvl w:val="0"/>
                <w:numId w:val="0"/>
              </w:numPr>
              <w:snapToGrid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投标人根据本项目台汛季节及其他突发情况的应急预案完整、科学合理的得3-5分；</w:t>
            </w:r>
          </w:p>
          <w:p>
            <w:pPr>
              <w:numPr>
                <w:ilvl w:val="0"/>
                <w:numId w:val="0"/>
              </w:numPr>
              <w:snapToGrid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投标人根据本项目台汛季节其他突发情况的应急预案能满足采购需求的得2-3分；</w:t>
            </w:r>
          </w:p>
          <w:p>
            <w:pPr>
              <w:numPr>
                <w:ilvl w:val="0"/>
                <w:numId w:val="0"/>
              </w:numPr>
              <w:snapToGrid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投标人根据本项目台汛季节其他突发情况的应急预案无法满足采购需求或未提及相关内容的得0-2分；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4" w:type="dxa"/>
            <w:vAlign w:val="center"/>
          </w:tcPr>
          <w:p>
            <w:pPr>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29" w:type="dxa"/>
            <w:vAlign w:val="center"/>
          </w:tcPr>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合理化意见与建议（</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p>
          <w:p>
            <w:pPr>
              <w:pStyle w:val="12"/>
              <w:spacing w:line="240" w:lineRule="auto"/>
              <w:rPr>
                <w:rFonts w:hint="eastAsia" w:ascii="宋体" w:hAnsi="宋体" w:eastAsia="宋体" w:cs="宋体"/>
                <w:bCs/>
                <w:color w:val="auto"/>
                <w:sz w:val="21"/>
                <w:szCs w:val="21"/>
                <w:highlight w:val="none"/>
                <w:lang w:val="en-US" w:eastAsia="zh-CN" w:bidi="ar"/>
              </w:rPr>
            </w:pPr>
          </w:p>
        </w:tc>
        <w:tc>
          <w:tcPr>
            <w:tcW w:w="7632" w:type="dxa"/>
            <w:vAlign w:val="center"/>
          </w:tcPr>
          <w:p>
            <w:pPr>
              <w:pStyle w:val="17"/>
              <w:snapToGrid w:val="0"/>
              <w:spacing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投标人针对本项目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建议合理性、针对性等：</w:t>
            </w:r>
          </w:p>
          <w:p>
            <w:pPr>
              <w:pStyle w:val="17"/>
              <w:snapToGrid w:val="0"/>
              <w:spacing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针对本项目的建议合理、可执行性强的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lang w:val="zh-CN"/>
              </w:rPr>
              <w:t>分；</w:t>
            </w:r>
          </w:p>
          <w:p>
            <w:pPr>
              <w:pStyle w:val="17"/>
              <w:snapToGrid w:val="0"/>
              <w:spacing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投标人针对本项目的合理化建议</w:t>
            </w:r>
            <w:r>
              <w:rPr>
                <w:rFonts w:hint="eastAsia" w:ascii="宋体" w:hAnsi="宋体" w:eastAsia="宋体" w:cs="宋体"/>
                <w:color w:val="auto"/>
                <w:sz w:val="21"/>
                <w:szCs w:val="21"/>
                <w:highlight w:val="none"/>
                <w:lang w:val="en-US" w:eastAsia="zh-CN"/>
              </w:rPr>
              <w:t>操作困难的得1-2</w:t>
            </w:r>
            <w:r>
              <w:rPr>
                <w:rFonts w:hint="eastAsia" w:ascii="宋体" w:hAnsi="宋体" w:eastAsia="宋体" w:cs="宋体"/>
                <w:color w:val="auto"/>
                <w:sz w:val="21"/>
                <w:szCs w:val="21"/>
                <w:highlight w:val="none"/>
                <w:lang w:val="zh-CN"/>
              </w:rPr>
              <w:t>分；</w:t>
            </w:r>
          </w:p>
          <w:p>
            <w:pPr>
              <w:pStyle w:val="12"/>
              <w:spacing w:line="240" w:lineRule="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zh-CN"/>
              </w:rPr>
              <w:t>未提及</w:t>
            </w:r>
            <w:r>
              <w:rPr>
                <w:rFonts w:hint="eastAsia" w:ascii="宋体" w:hAnsi="宋体" w:eastAsia="宋体" w:cs="宋体"/>
                <w:color w:val="auto"/>
                <w:sz w:val="21"/>
                <w:szCs w:val="21"/>
                <w:highlight w:val="none"/>
                <w:lang w:val="en-US" w:eastAsia="zh-CN"/>
              </w:rPr>
              <w:t>或不具备操作性的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lang w:val="zh-CN"/>
              </w:rPr>
              <w:t>分。</w:t>
            </w:r>
          </w:p>
        </w:tc>
      </w:tr>
    </w:tbl>
    <w:p>
      <w:pPr>
        <w:pStyle w:val="3"/>
        <w:keepNext/>
        <w:keepLines w:val="0"/>
        <w:pageBreakBefore w:val="0"/>
        <w:widowControl w:val="0"/>
        <w:kinsoku/>
        <w:wordWrap/>
        <w:overflowPunct/>
        <w:topLinePunct w:val="0"/>
        <w:autoSpaceDE/>
        <w:autoSpaceDN/>
        <w:bidi w:val="0"/>
        <w:adjustRightInd/>
        <w:snapToGrid/>
        <w:spacing w:before="40" w:after="0" w:line="240"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21"/>
          <w:szCs w:val="18"/>
          <w:highlight w:val="none"/>
          <w:lang w:val="zh-CN"/>
          <w14:textFill>
            <w14:solidFill>
              <w14:schemeClr w14:val="tx1"/>
            </w14:solidFill>
          </w14:textFill>
        </w:rPr>
        <w:t>注：以上得分项目证明材料为加盖公章后的</w:t>
      </w:r>
      <w:r>
        <w:rPr>
          <w:rFonts w:hint="default" w:ascii="Times New Roman" w:hAnsi="Times New Roman" w:cs="Times New Roman"/>
          <w:b/>
          <w:bCs/>
          <w:color w:val="000000" w:themeColor="text1"/>
          <w:sz w:val="21"/>
          <w:szCs w:val="18"/>
          <w:highlight w:val="none"/>
          <w14:textFill>
            <w14:solidFill>
              <w14:schemeClr w14:val="tx1"/>
            </w14:solidFill>
          </w14:textFill>
        </w:rPr>
        <w:t>复印件</w:t>
      </w:r>
      <w:r>
        <w:rPr>
          <w:rFonts w:hint="default" w:ascii="Times New Roman" w:hAnsi="Times New Roman" w:cs="Times New Roman"/>
          <w:b/>
          <w:bCs/>
          <w:color w:val="000000" w:themeColor="text1"/>
          <w:sz w:val="21"/>
          <w:szCs w:val="18"/>
          <w:highlight w:val="none"/>
          <w:lang w:eastAsia="zh-CN"/>
          <w14:textFill>
            <w14:solidFill>
              <w14:schemeClr w14:val="tx1"/>
            </w14:solidFill>
          </w14:textFill>
        </w:rPr>
        <w:t>或扫描件</w:t>
      </w:r>
      <w:r>
        <w:rPr>
          <w:rFonts w:hint="default" w:ascii="Times New Roman" w:hAnsi="Times New Roman" w:cs="Times New Roman"/>
          <w:b/>
          <w:bCs/>
          <w:color w:val="000000" w:themeColor="text1"/>
          <w:sz w:val="21"/>
          <w:szCs w:val="18"/>
          <w:highlight w:val="none"/>
          <w14:textFill>
            <w14:solidFill>
              <w14:schemeClr w14:val="tx1"/>
            </w14:solidFill>
          </w14:textFill>
        </w:rPr>
        <w:t>作为评审依据。未按要求附证明材料或证明材料体现信息不完整的不得分。投标人应保证其证明材料的真实性和有效性，如出现与事实不符等情况，将根据有关规定以“提供虚假材料谋取中标”予以处罚。</w:t>
      </w:r>
    </w:p>
    <w:p>
      <w:pPr>
        <w:rPr>
          <w:rFonts w:hint="default" w:ascii="Times New Roman" w:hAnsi="Times New Roman"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14:textFill>
            <w14:solidFill>
              <w14:schemeClr w14:val="tx1"/>
            </w14:solidFill>
          </w14:textFill>
        </w:rPr>
        <w:br w:type="page"/>
      </w:r>
    </w:p>
    <w:p>
      <w:pPr>
        <w:spacing w:before="120" w:line="360" w:lineRule="auto"/>
        <w:jc w:val="center"/>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b/>
          <w:bCs/>
          <w:color w:val="000000" w:themeColor="text1"/>
          <w:sz w:val="32"/>
          <w:szCs w:val="32"/>
          <w:highlight w:val="none"/>
          <w14:textFill>
            <w14:solidFill>
              <w14:schemeClr w14:val="tx1"/>
            </w14:solidFill>
          </w14:textFill>
        </w:rPr>
        <w:t>第五章  合同主要条款</w:t>
      </w:r>
    </w:p>
    <w:p>
      <w:pPr>
        <w:snapToGrid w:val="0"/>
        <w:spacing w:beforeLines="50" w:afterLines="50"/>
        <w:jc w:val="center"/>
        <w:rPr>
          <w:rFonts w:hint="default" w:ascii="Times New Roman" w:hAnsi="Times New Roman" w:cs="Times New Roman"/>
          <w:b/>
          <w:color w:val="000000" w:themeColor="text1"/>
          <w:spacing w:val="4"/>
          <w:sz w:val="30"/>
          <w:szCs w:val="30"/>
          <w:highlight w:val="none"/>
          <w14:textFill>
            <w14:solidFill>
              <w14:schemeClr w14:val="tx1"/>
            </w14:solidFill>
          </w14:textFill>
        </w:rPr>
      </w:pPr>
      <w:r>
        <w:rPr>
          <w:rFonts w:hint="default" w:ascii="Times New Roman" w:hAnsi="Times New Roman" w:cs="Times New Roman"/>
          <w:b/>
          <w:color w:val="000000" w:themeColor="text1"/>
          <w:spacing w:val="4"/>
          <w:sz w:val="30"/>
          <w:szCs w:val="30"/>
          <w:highlight w:val="none"/>
          <w14:textFill>
            <w14:solidFill>
              <w14:schemeClr w14:val="tx1"/>
            </w14:solidFill>
          </w14:textFill>
        </w:rPr>
        <w:t>服务委托合同书</w:t>
      </w:r>
    </w:p>
    <w:p>
      <w:pPr>
        <w:pStyle w:val="13"/>
        <w:rPr>
          <w:rFonts w:hint="default" w:ascii="Times New Roman" w:hAnsi="Times New Roman" w:cs="Times New Roman"/>
          <w:color w:val="000000" w:themeColor="text1"/>
          <w:highlight w:val="none"/>
          <w14:textFill>
            <w14:solidFill>
              <w14:schemeClr w14:val="tx1"/>
            </w14:solidFill>
          </w14:textFill>
        </w:rPr>
      </w:pPr>
    </w:p>
    <w:p>
      <w:pPr>
        <w:spacing w:line="360" w:lineRule="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甲方（采购人）</w:t>
      </w:r>
      <w:r>
        <w:rPr>
          <w:rFonts w:hint="default" w:ascii="Times New Roman" w:hAnsi="Times New Roman" w:cs="Times New Roman"/>
          <w:color w:val="000000" w:themeColor="text1"/>
          <w:sz w:val="24"/>
          <w:highlight w:val="none"/>
          <w14:textFill>
            <w14:solidFill>
              <w14:schemeClr w14:val="tx1"/>
            </w14:solidFill>
          </w14:textFill>
        </w:rPr>
        <w:t>：</w:t>
      </w:r>
      <w:r>
        <w:rPr>
          <w:rFonts w:hint="default" w:ascii="Times New Roman" w:hAnsi="Times New Roman" w:cs="Times New Roman"/>
          <w:b/>
          <w:color w:val="000000" w:themeColor="text1"/>
          <w:sz w:val="24"/>
          <w:highlight w:val="none"/>
          <w14:textFill>
            <w14:solidFill>
              <w14:schemeClr w14:val="tx1"/>
            </w14:solidFill>
          </w14:textFill>
        </w:rPr>
        <w:t xml:space="preserve"> </w:t>
      </w:r>
    </w:p>
    <w:p>
      <w:pPr>
        <w:spacing w:line="360" w:lineRule="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乙方（各街道）：</w:t>
      </w:r>
      <w:r>
        <w:rPr>
          <w:rFonts w:hint="default" w:ascii="Times New Roman" w:hAnsi="Times New Roman" w:cs="Times New Roman"/>
          <w:color w:val="000000" w:themeColor="text1"/>
          <w:sz w:val="24"/>
          <w:highlight w:val="none"/>
          <w14:textFill>
            <w14:solidFill>
              <w14:schemeClr w14:val="tx1"/>
            </w14:solidFill>
          </w14:textFill>
        </w:rPr>
        <w:t xml:space="preserve">                  　　　 　　　　　　 　</w:t>
      </w:r>
    </w:p>
    <w:p>
      <w:pPr>
        <w:spacing w:line="360" w:lineRule="auto"/>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丙方（供应商）</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p>
    <w:p>
      <w:pPr>
        <w:spacing w:line="360" w:lineRule="auto"/>
        <w:ind w:left="162" w:leftChars="77" w:firstLine="240" w:firstLineChars="100"/>
        <w:rPr>
          <w:rFonts w:hint="default" w:ascii="Times New Roman" w:hAnsi="Times New Roman" w:cs="Times New Roman"/>
          <w:b/>
          <w:color w:val="000000" w:themeColor="text1"/>
          <w:szCs w:val="21"/>
          <w:highlight w:val="none"/>
          <w:u w:val="singl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　</w:t>
      </w:r>
      <w:r>
        <w:rPr>
          <w:rFonts w:hint="default" w:ascii="Times New Roman" w:hAnsi="Times New Roman" w:cs="Times New Roman"/>
          <w:color w:val="000000" w:themeColor="text1"/>
          <w:szCs w:val="21"/>
          <w:highlight w:val="none"/>
          <w14:textFill>
            <w14:solidFill>
              <w14:schemeClr w14:val="tx1"/>
            </w14:solidFill>
          </w14:textFill>
        </w:rPr>
        <w:t>依据《</w:t>
      </w:r>
      <w:r>
        <w:rPr>
          <w:rFonts w:hint="default" w:ascii="Times New Roman" w:hAnsi="Times New Roman" w:cs="Times New Roman"/>
          <w:color w:val="000000" w:themeColor="text1"/>
          <w:szCs w:val="21"/>
          <w:highlight w:val="none"/>
          <w:lang w:eastAsia="zh-CN"/>
          <w14:textFill>
            <w14:solidFill>
              <w14:schemeClr w14:val="tx1"/>
            </w14:solidFill>
          </w14:textFill>
        </w:rPr>
        <w:t>中华人民共和国民法典</w:t>
      </w:r>
      <w:r>
        <w:rPr>
          <w:rFonts w:hint="default" w:ascii="Times New Roman" w:hAnsi="Times New Roman" w:cs="Times New Roman"/>
          <w:color w:val="000000" w:themeColor="text1"/>
          <w:szCs w:val="21"/>
          <w:highlight w:val="none"/>
          <w14:textFill>
            <w14:solidFill>
              <w14:schemeClr w14:val="tx1"/>
            </w14:solidFill>
          </w14:textFill>
        </w:rPr>
        <w:t>》的规定，合同三方就</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的技术服务经协商一致，签订本合同：</w:t>
      </w:r>
      <w:r>
        <w:rPr>
          <w:rFonts w:hint="default" w:ascii="Times New Roman" w:hAnsi="Times New Roman" w:cs="Times New Roman"/>
          <w:color w:val="000000" w:themeColor="text1"/>
          <w:szCs w:val="21"/>
          <w:highlight w:val="none"/>
          <w14:textFill>
            <w14:solidFill>
              <w14:schemeClr w14:val="tx1"/>
            </w14:solidFill>
          </w14:textFill>
        </w:rPr>
        <w:tab/>
      </w:r>
    </w:p>
    <w:p>
      <w:pPr>
        <w:numPr>
          <w:ilvl w:val="0"/>
          <w:numId w:val="0"/>
        </w:numPr>
        <w:spacing w:line="440" w:lineRule="exact"/>
        <w:rPr>
          <w:rFonts w:hint="default" w:ascii="Times New Roman" w:hAnsi="Times New Roman" w:cs="Times New Roman"/>
          <w:b/>
          <w:szCs w:val="21"/>
          <w:highlight w:val="none"/>
        </w:rPr>
      </w:pPr>
      <w:r>
        <w:rPr>
          <w:rFonts w:hint="default" w:ascii="Times New Roman" w:hAnsi="Times New Roman" w:cs="Times New Roman"/>
          <w:b/>
          <w:szCs w:val="21"/>
          <w:highlight w:val="none"/>
          <w:lang w:val="en-US" w:eastAsia="zh-CN"/>
        </w:rPr>
        <w:t>一</w:t>
      </w:r>
      <w:r>
        <w:rPr>
          <w:rFonts w:hint="default" w:ascii="Times New Roman" w:hAnsi="Times New Roman" w:cs="Times New Roman"/>
          <w:b/>
          <w:szCs w:val="21"/>
          <w:highlight w:val="none"/>
        </w:rPr>
        <w:t>、服务要求</w:t>
      </w:r>
    </w:p>
    <w:p>
      <w:pPr>
        <w:spacing w:line="440" w:lineRule="exact"/>
        <w:ind w:left="0" w:leftChars="0" w:firstLine="0" w:firstLineChars="0"/>
        <w:rPr>
          <w:rFonts w:hint="default" w:ascii="Times New Roman" w:hAnsi="Times New Roman" w:eastAsia="宋体" w:cs="Times New Roman"/>
          <w:b/>
          <w:szCs w:val="21"/>
          <w:highlight w:val="none"/>
          <w:lang w:val="en-US" w:eastAsia="zh-CN"/>
        </w:rPr>
      </w:pPr>
      <w:r>
        <w:rPr>
          <w:rFonts w:hint="default" w:ascii="Times New Roman" w:hAnsi="Times New Roman" w:cs="Times New Roman"/>
          <w:b/>
          <w:szCs w:val="21"/>
          <w:highlight w:val="none"/>
        </w:rPr>
        <w:t>（一）</w:t>
      </w:r>
      <w:r>
        <w:rPr>
          <w:rFonts w:hint="default" w:ascii="Times New Roman" w:hAnsi="Times New Roman" w:cs="Times New Roman"/>
          <w:b/>
          <w:szCs w:val="21"/>
          <w:highlight w:val="none"/>
          <w:lang w:val="en-US" w:eastAsia="zh-CN"/>
        </w:rPr>
        <w:t>项目服务内容</w:t>
      </w:r>
    </w:p>
    <w:p>
      <w:pPr>
        <w:spacing w:line="440" w:lineRule="exact"/>
        <w:ind w:firstLine="417" w:firstLineChars="199"/>
        <w:rPr>
          <w:rFonts w:hint="default" w:ascii="Times New Roman" w:hAnsi="Times New Roman" w:cs="Times New Roman"/>
          <w:szCs w:val="22"/>
          <w:highlight w:val="none"/>
        </w:rPr>
      </w:pPr>
      <w:r>
        <w:rPr>
          <w:rFonts w:hint="default" w:ascii="Times New Roman" w:hAnsi="Times New Roman" w:cs="Times New Roman"/>
          <w:szCs w:val="22"/>
          <w:highlight w:val="none"/>
          <w:lang w:val="en-US" w:eastAsia="zh-CN"/>
        </w:rPr>
        <w:t>服务项目提供</w:t>
      </w:r>
      <w:r>
        <w:rPr>
          <w:rFonts w:hint="default" w:ascii="Times New Roman" w:hAnsi="Times New Roman" w:cs="Times New Roman"/>
          <w:szCs w:val="22"/>
          <w:highlight w:val="none"/>
        </w:rPr>
        <w:t>的房屋安全动态监测项目</w:t>
      </w:r>
      <w:r>
        <w:rPr>
          <w:rFonts w:hint="default" w:ascii="Times New Roman" w:hAnsi="Times New Roman" w:cs="Times New Roman"/>
          <w:szCs w:val="22"/>
          <w:highlight w:val="none"/>
          <w:lang w:val="en-US" w:eastAsia="zh-CN"/>
        </w:rPr>
        <w:t>应</w:t>
      </w:r>
      <w:r>
        <w:rPr>
          <w:rFonts w:hint="default" w:ascii="Times New Roman" w:hAnsi="Times New Roman" w:cs="Times New Roman"/>
          <w:szCs w:val="22"/>
          <w:highlight w:val="none"/>
        </w:rPr>
        <w:t>包含以下工作内容：</w:t>
      </w:r>
    </w:p>
    <w:p>
      <w:pPr>
        <w:spacing w:line="440" w:lineRule="exact"/>
        <w:ind w:firstLine="417" w:firstLineChars="199"/>
        <w:rPr>
          <w:rFonts w:hint="default" w:ascii="Times New Roman" w:hAnsi="Times New Roman" w:cs="Times New Roman"/>
          <w:szCs w:val="22"/>
          <w:highlight w:val="none"/>
        </w:rPr>
      </w:pPr>
      <w:r>
        <w:rPr>
          <w:rFonts w:hint="default" w:ascii="Times New Roman" w:hAnsi="Times New Roman" w:cs="Times New Roman"/>
          <w:szCs w:val="22"/>
          <w:highlight w:val="none"/>
        </w:rPr>
        <w:t>①房屋核查</w:t>
      </w:r>
      <w:r>
        <w:rPr>
          <w:rFonts w:hint="default" w:ascii="Times New Roman" w:hAnsi="Times New Roman" w:cs="Times New Roman"/>
          <w:szCs w:val="22"/>
          <w:highlight w:val="none"/>
          <w:lang w:val="en-US" w:eastAsia="zh-CN"/>
        </w:rPr>
        <w:t>及动态监测分类</w:t>
      </w:r>
      <w:r>
        <w:rPr>
          <w:rFonts w:hint="default" w:ascii="Times New Roman" w:hAnsi="Times New Roman" w:cs="Times New Roman"/>
          <w:szCs w:val="22"/>
          <w:highlight w:val="none"/>
        </w:rPr>
        <w:t>；②外观</w:t>
      </w:r>
      <w:r>
        <w:rPr>
          <w:rFonts w:hint="default" w:ascii="Times New Roman" w:hAnsi="Times New Roman" w:cs="Times New Roman"/>
          <w:szCs w:val="22"/>
          <w:highlight w:val="none"/>
          <w:lang w:val="en-US" w:eastAsia="zh-CN"/>
        </w:rPr>
        <w:t>及外部环境</w:t>
      </w:r>
      <w:r>
        <w:rPr>
          <w:rFonts w:hint="default" w:ascii="Times New Roman" w:hAnsi="Times New Roman" w:cs="Times New Roman"/>
          <w:szCs w:val="22"/>
          <w:highlight w:val="none"/>
        </w:rPr>
        <w:t>检查；③入户检查；④仪器设备</w:t>
      </w:r>
      <w:r>
        <w:rPr>
          <w:rFonts w:hint="default" w:ascii="Times New Roman" w:hAnsi="Times New Roman" w:cs="Times New Roman"/>
          <w:szCs w:val="22"/>
          <w:highlight w:val="none"/>
          <w:lang w:val="en-US" w:eastAsia="zh-CN"/>
        </w:rPr>
        <w:t>人工</w:t>
      </w:r>
      <w:r>
        <w:rPr>
          <w:rFonts w:hint="default" w:ascii="Times New Roman" w:hAnsi="Times New Roman" w:cs="Times New Roman"/>
          <w:szCs w:val="22"/>
          <w:highlight w:val="none"/>
        </w:rPr>
        <w:t>监测；⑤台汛季节、重要活动节假日安全排查检查；⑥房安技术服务；⑦装修</w:t>
      </w:r>
      <w:r>
        <w:rPr>
          <w:rFonts w:hint="default" w:ascii="Times New Roman" w:hAnsi="Times New Roman" w:cs="Times New Roman"/>
          <w:szCs w:val="22"/>
          <w:highlight w:val="none"/>
          <w:lang w:val="en-US" w:eastAsia="zh-CN"/>
        </w:rPr>
        <w:t>安全</w:t>
      </w:r>
      <w:r>
        <w:rPr>
          <w:rFonts w:hint="default" w:ascii="Times New Roman" w:hAnsi="Times New Roman" w:cs="Times New Roman"/>
          <w:szCs w:val="22"/>
          <w:highlight w:val="none"/>
        </w:rPr>
        <w:t>专项</w:t>
      </w:r>
      <w:r>
        <w:rPr>
          <w:rFonts w:hint="default" w:ascii="Times New Roman" w:hAnsi="Times New Roman" w:cs="Times New Roman"/>
          <w:szCs w:val="22"/>
          <w:highlight w:val="none"/>
          <w:lang w:val="en-US" w:eastAsia="zh-CN"/>
        </w:rPr>
        <w:t>技术服务</w:t>
      </w:r>
      <w:r>
        <w:rPr>
          <w:rFonts w:hint="default" w:ascii="Times New Roman" w:hAnsi="Times New Roman" w:cs="Times New Roman"/>
          <w:szCs w:val="22"/>
          <w:highlight w:val="none"/>
        </w:rPr>
        <w:t>。</w:t>
      </w:r>
    </w:p>
    <w:p>
      <w:pPr>
        <w:spacing w:line="440" w:lineRule="exact"/>
        <w:ind w:left="0" w:leftChars="0" w:firstLine="0" w:firstLineChars="0"/>
        <w:rPr>
          <w:rFonts w:hint="default" w:ascii="Times New Roman" w:hAnsi="Times New Roman" w:cs="Times New Roman"/>
          <w:b/>
          <w:szCs w:val="21"/>
          <w:highlight w:val="none"/>
        </w:rPr>
      </w:pPr>
      <w:r>
        <w:rPr>
          <w:rFonts w:hint="default" w:ascii="Times New Roman" w:hAnsi="Times New Roman" w:cs="Times New Roman"/>
          <w:b/>
          <w:szCs w:val="21"/>
          <w:highlight w:val="none"/>
        </w:rPr>
        <w:t>（</w:t>
      </w:r>
      <w:r>
        <w:rPr>
          <w:rFonts w:hint="default" w:ascii="Times New Roman" w:hAnsi="Times New Roman" w:cs="Times New Roman"/>
          <w:b/>
          <w:szCs w:val="21"/>
          <w:highlight w:val="none"/>
          <w:lang w:val="en-US" w:eastAsia="zh-CN"/>
        </w:rPr>
        <w:t>二</w:t>
      </w:r>
      <w:r>
        <w:rPr>
          <w:rFonts w:hint="default" w:ascii="Times New Roman" w:hAnsi="Times New Roman" w:cs="Times New Roman"/>
          <w:b/>
          <w:szCs w:val="21"/>
          <w:highlight w:val="none"/>
        </w:rPr>
        <w:t>）房屋安全动态监测要求</w:t>
      </w:r>
    </w:p>
    <w:p>
      <w:pPr>
        <w:spacing w:line="440" w:lineRule="exact"/>
        <w:ind w:firstLine="420" w:firstLineChars="199"/>
        <w:rPr>
          <w:rFonts w:hint="default" w:ascii="Times New Roman" w:hAnsi="Times New Roman" w:cs="Times New Roman"/>
          <w:b/>
          <w:bCs/>
          <w:szCs w:val="22"/>
          <w:highlight w:val="none"/>
          <w:lang w:val="en-US" w:eastAsia="zh-CN"/>
        </w:rPr>
      </w:pPr>
      <w:r>
        <w:rPr>
          <w:rFonts w:hint="default" w:ascii="Times New Roman" w:hAnsi="Times New Roman" w:cs="Times New Roman"/>
          <w:b/>
          <w:bCs/>
          <w:szCs w:val="22"/>
          <w:highlight w:val="none"/>
        </w:rPr>
        <w:t>①房屋核查</w:t>
      </w:r>
      <w:r>
        <w:rPr>
          <w:rFonts w:hint="default" w:ascii="Times New Roman" w:hAnsi="Times New Roman" w:cs="Times New Roman"/>
          <w:b/>
          <w:bCs/>
          <w:szCs w:val="22"/>
          <w:highlight w:val="none"/>
          <w:lang w:val="en-US" w:eastAsia="zh-CN"/>
        </w:rPr>
        <w:t>及动态监测分类</w:t>
      </w:r>
    </w:p>
    <w:p>
      <w:pPr>
        <w:spacing w:line="440" w:lineRule="exact"/>
        <w:ind w:firstLine="417" w:firstLineChars="199"/>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深入分析</w:t>
      </w:r>
      <w:r>
        <w:rPr>
          <w:rFonts w:hint="default" w:ascii="Times New Roman" w:hAnsi="Times New Roman" w:cs="Times New Roman"/>
          <w:highlight w:val="none"/>
        </w:rPr>
        <w:t>采购人提供的有关房屋安全资料</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动态监测历史资料</w:t>
      </w:r>
      <w:r>
        <w:rPr>
          <w:rFonts w:hint="default" w:ascii="Times New Roman" w:hAnsi="Times New Roman" w:cs="Times New Roman"/>
          <w:highlight w:val="none"/>
        </w:rPr>
        <w:t>，</w:t>
      </w:r>
      <w:r>
        <w:rPr>
          <w:rFonts w:hint="default" w:ascii="Times New Roman" w:hAnsi="Times New Roman" w:cs="Times New Roman"/>
          <w:highlight w:val="none"/>
          <w:lang w:val="en-US" w:eastAsia="zh-CN"/>
        </w:rPr>
        <w:t>根据</w:t>
      </w:r>
      <w:r>
        <w:rPr>
          <w:rFonts w:hint="default" w:ascii="Times New Roman" w:hAnsi="Times New Roman" w:cs="Times New Roman"/>
          <w:highlight w:val="none"/>
        </w:rPr>
        <w:t>监测范围内房屋</w:t>
      </w:r>
      <w:r>
        <w:rPr>
          <w:rFonts w:hint="default" w:ascii="Times New Roman" w:hAnsi="Times New Roman" w:cs="Times New Roman"/>
          <w:highlight w:val="none"/>
          <w:lang w:val="en-US" w:eastAsia="zh-CN"/>
        </w:rPr>
        <w:t>危险性现状</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是否历史危房已经实质性解危、解危后安全储备水平等实际情况，结合</w:t>
      </w:r>
      <w:r>
        <w:rPr>
          <w:rFonts w:hint="default" w:ascii="Times New Roman" w:hAnsi="Times New Roman" w:cs="Times New Roman"/>
          <w:highlight w:val="none"/>
        </w:rPr>
        <w:t>现场核查</w:t>
      </w:r>
      <w:r>
        <w:rPr>
          <w:rFonts w:hint="default" w:ascii="Times New Roman" w:hAnsi="Times New Roman" w:cs="Times New Roman"/>
          <w:highlight w:val="none"/>
          <w:lang w:val="en-US" w:eastAsia="zh-CN"/>
        </w:rPr>
        <w:t>对监测房屋进行分类</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以动态科学划分不同类型房屋及确定相应动态监测巡查频率，合理分配管理资源。</w:t>
      </w:r>
    </w:p>
    <w:p>
      <w:pPr>
        <w:spacing w:line="440" w:lineRule="exact"/>
        <w:ind w:firstLine="417" w:firstLineChars="199"/>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根据房屋安全储备的从高到低（危险性由低到高），根据相关技术依据将监测范围内房屋合理进行动态监测分类；各类对应的动态监测巡查频率和安全储备相对应。</w:t>
      </w:r>
    </w:p>
    <w:p>
      <w:pPr>
        <w:tabs>
          <w:tab w:val="left" w:pos="851"/>
        </w:tabs>
        <w:spacing w:line="440" w:lineRule="exact"/>
        <w:ind w:firstLine="411" w:firstLineChars="196"/>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监测范围内所有房屋的定期人工监测总次数，平均不得低于1次/月/幢。</w:t>
      </w:r>
    </w:p>
    <w:p>
      <w:pPr>
        <w:spacing w:line="440" w:lineRule="exact"/>
        <w:ind w:firstLine="420" w:firstLineChars="199"/>
        <w:rPr>
          <w:rFonts w:hint="default" w:ascii="Times New Roman" w:hAnsi="Times New Roman" w:cs="Times New Roman"/>
          <w:b/>
          <w:bCs/>
          <w:szCs w:val="22"/>
          <w:highlight w:val="none"/>
        </w:rPr>
      </w:pPr>
      <w:r>
        <w:rPr>
          <w:rFonts w:hint="default" w:ascii="Times New Roman" w:hAnsi="Times New Roman" w:cs="Times New Roman"/>
          <w:b/>
          <w:bCs/>
          <w:szCs w:val="22"/>
          <w:highlight w:val="none"/>
        </w:rPr>
        <w:t>②外观</w:t>
      </w:r>
      <w:r>
        <w:rPr>
          <w:rFonts w:hint="default" w:ascii="Times New Roman" w:hAnsi="Times New Roman" w:cs="Times New Roman"/>
          <w:b/>
          <w:bCs/>
          <w:szCs w:val="22"/>
          <w:highlight w:val="none"/>
          <w:lang w:val="en-US" w:eastAsia="zh-CN"/>
        </w:rPr>
        <w:t>及外部环境</w:t>
      </w:r>
      <w:r>
        <w:rPr>
          <w:rFonts w:hint="default" w:ascii="Times New Roman" w:hAnsi="Times New Roman" w:cs="Times New Roman"/>
          <w:b/>
          <w:bCs/>
          <w:szCs w:val="22"/>
          <w:highlight w:val="none"/>
        </w:rPr>
        <w:t>检查</w:t>
      </w:r>
    </w:p>
    <w:p>
      <w:pPr>
        <w:spacing w:line="440" w:lineRule="exact"/>
        <w:ind w:firstLine="417" w:firstLineChars="199"/>
        <w:rPr>
          <w:rFonts w:hint="default" w:ascii="Times New Roman" w:hAnsi="Times New Roman" w:cs="Times New Roman"/>
          <w:szCs w:val="21"/>
          <w:highlight w:val="none"/>
          <w:lang w:val="en-US" w:eastAsia="zh-CN"/>
        </w:rPr>
      </w:pPr>
      <w:r>
        <w:rPr>
          <w:rFonts w:hint="default" w:ascii="Times New Roman" w:hAnsi="Times New Roman" w:cs="Times New Roman"/>
          <w:highlight w:val="none"/>
          <w:lang w:val="en-US" w:eastAsia="zh-CN"/>
        </w:rPr>
        <w:t>动态监测房屋分类方案报经委托方确认后，根据房屋类别相应频率进行人工动态监测。对外观及外部环境检查内容，应满足</w:t>
      </w:r>
      <w:r>
        <w:rPr>
          <w:rFonts w:hint="default" w:ascii="Times New Roman" w:hAnsi="Times New Roman" w:eastAsia="宋体" w:cs="Times New Roman"/>
          <w:szCs w:val="21"/>
          <w:highlight w:val="none"/>
          <w:lang w:val="en-US" w:eastAsia="zh-CN"/>
        </w:rPr>
        <w:t>有关动态监测的</w:t>
      </w:r>
      <w:r>
        <w:rPr>
          <w:rFonts w:hint="default" w:ascii="Times New Roman" w:hAnsi="Times New Roman" w:eastAsia="宋体" w:cs="Times New Roman"/>
          <w:szCs w:val="21"/>
          <w:highlight w:val="none"/>
        </w:rPr>
        <w:t>国家标准、行业标准和地方标准</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并制定具体执行方案报委托方确认。</w:t>
      </w:r>
    </w:p>
    <w:p>
      <w:pPr>
        <w:spacing w:line="440" w:lineRule="exact"/>
        <w:ind w:firstLine="417" w:firstLineChars="199"/>
        <w:rPr>
          <w:rFonts w:hint="default" w:ascii="Times New Roman" w:hAnsi="Times New Roman" w:eastAsia="宋体" w:cs="Times New Roman"/>
          <w:szCs w:val="21"/>
          <w:highlight w:val="none"/>
          <w:lang w:eastAsia="zh-CN"/>
        </w:rPr>
      </w:pPr>
      <w:r>
        <w:rPr>
          <w:rFonts w:hint="default" w:ascii="Times New Roman" w:hAnsi="Times New Roman" w:cs="Times New Roman"/>
          <w:szCs w:val="21"/>
          <w:highlight w:val="none"/>
          <w:lang w:val="en-US" w:eastAsia="zh-CN"/>
        </w:rPr>
        <w:t>特殊</w:t>
      </w:r>
      <w:r>
        <w:rPr>
          <w:rFonts w:hint="default" w:ascii="Times New Roman" w:hAnsi="Times New Roman" w:cs="Times New Roman"/>
          <w:szCs w:val="21"/>
          <w:highlight w:val="none"/>
        </w:rPr>
        <w:t>类房屋按实际需求确定监测频率且不少于每周两次</w:t>
      </w:r>
      <w:r>
        <w:rPr>
          <w:rFonts w:hint="default" w:ascii="Times New Roman" w:hAnsi="Times New Roman" w:cs="Times New Roman"/>
          <w:szCs w:val="21"/>
          <w:highlight w:val="none"/>
          <w:lang w:eastAsia="zh-CN"/>
        </w:rPr>
        <w:t>。</w:t>
      </w:r>
    </w:p>
    <w:p>
      <w:pPr>
        <w:spacing w:line="440" w:lineRule="exact"/>
        <w:ind w:firstLine="420" w:firstLineChars="199"/>
        <w:rPr>
          <w:rFonts w:hint="default" w:ascii="Times New Roman" w:hAnsi="Times New Roman" w:cs="Times New Roman"/>
          <w:b/>
          <w:bCs/>
          <w:szCs w:val="22"/>
          <w:highlight w:val="none"/>
        </w:rPr>
      </w:pPr>
      <w:r>
        <w:rPr>
          <w:rFonts w:hint="default" w:ascii="Times New Roman" w:hAnsi="Times New Roman" w:cs="Times New Roman"/>
          <w:b/>
          <w:bCs/>
          <w:szCs w:val="22"/>
          <w:highlight w:val="none"/>
        </w:rPr>
        <w:t>③入户检查</w:t>
      </w:r>
    </w:p>
    <w:p>
      <w:pPr>
        <w:spacing w:line="440" w:lineRule="exact"/>
        <w:ind w:firstLine="417" w:firstLineChars="199"/>
        <w:rPr>
          <w:rFonts w:hint="default" w:ascii="Times New Roman" w:hAnsi="Times New Roman" w:cs="Times New Roman"/>
          <w:szCs w:val="21"/>
          <w:highlight w:val="none"/>
        </w:rPr>
      </w:pPr>
      <w:r>
        <w:rPr>
          <w:rFonts w:hint="default" w:ascii="Times New Roman" w:hAnsi="Times New Roman" w:cs="Times New Roman"/>
          <w:szCs w:val="21"/>
          <w:highlight w:val="none"/>
        </w:rPr>
        <w:t>入户标准为：监测范围内房屋户数的</w:t>
      </w:r>
      <w:r>
        <w:rPr>
          <w:rFonts w:hint="default" w:ascii="Times New Roman" w:hAnsi="Times New Roman" w:cs="Times New Roman"/>
          <w:szCs w:val="21"/>
          <w:highlight w:val="none"/>
          <w:lang w:val="en-US" w:eastAsia="zh-CN"/>
        </w:rPr>
        <w:t>总入户率，</w:t>
      </w:r>
      <w:r>
        <w:rPr>
          <w:rFonts w:hint="default" w:ascii="Times New Roman" w:hAnsi="Times New Roman" w:cs="Times New Roman"/>
          <w:szCs w:val="21"/>
          <w:highlight w:val="none"/>
        </w:rPr>
        <w:t>首年</w:t>
      </w:r>
      <w:r>
        <w:rPr>
          <w:rFonts w:hint="default" w:ascii="Times New Roman" w:hAnsi="Times New Roman" w:cs="Times New Roman"/>
          <w:szCs w:val="21"/>
          <w:highlight w:val="none"/>
          <w:lang w:val="en-US" w:eastAsia="zh-CN"/>
        </w:rPr>
        <w:t>达到3</w:t>
      </w:r>
      <w:r>
        <w:rPr>
          <w:rFonts w:hint="default" w:ascii="Times New Roman" w:hAnsi="Times New Roman" w:cs="Times New Roman"/>
          <w:szCs w:val="21"/>
          <w:highlight w:val="none"/>
        </w:rPr>
        <w:t>0%比例，3年内累计</w:t>
      </w:r>
      <w:r>
        <w:rPr>
          <w:rFonts w:hint="default" w:ascii="Times New Roman" w:hAnsi="Times New Roman" w:cs="Times New Roman"/>
          <w:szCs w:val="21"/>
          <w:highlight w:val="none"/>
          <w:lang w:val="en-US" w:eastAsia="zh-CN"/>
        </w:rPr>
        <w:t>达到70%</w:t>
      </w:r>
      <w:r>
        <w:rPr>
          <w:rFonts w:hint="default" w:ascii="Times New Roman" w:hAnsi="Times New Roman" w:cs="Times New Roman"/>
          <w:szCs w:val="21"/>
          <w:highlight w:val="none"/>
        </w:rPr>
        <w:t>；</w:t>
      </w:r>
      <w:r>
        <w:rPr>
          <w:rFonts w:hint="default" w:ascii="Times New Roman" w:hAnsi="Times New Roman" w:cs="Times New Roman"/>
          <w:szCs w:val="21"/>
          <w:highlight w:val="none"/>
          <w:lang w:val="en-US" w:eastAsia="zh-CN"/>
        </w:rPr>
        <w:t>应结合不同房屋特点、不同结构部位性质，提出合理的详细入户方案，中标后报经委托方确认后予以实施</w:t>
      </w:r>
      <w:r>
        <w:rPr>
          <w:rFonts w:hint="default" w:ascii="Times New Roman" w:hAnsi="Times New Roman" w:cs="Times New Roman"/>
          <w:szCs w:val="21"/>
          <w:highlight w:val="none"/>
        </w:rPr>
        <w:t>。因客观因素未能达成</w:t>
      </w:r>
      <w:r>
        <w:rPr>
          <w:rFonts w:hint="default" w:ascii="Times New Roman" w:hAnsi="Times New Roman" w:cs="Times New Roman"/>
          <w:szCs w:val="21"/>
          <w:highlight w:val="none"/>
          <w:lang w:val="en-US" w:eastAsia="zh-CN"/>
        </w:rPr>
        <w:t>入户</w:t>
      </w:r>
      <w:r>
        <w:rPr>
          <w:rFonts w:hint="default" w:ascii="Times New Roman" w:hAnsi="Times New Roman" w:cs="Times New Roman"/>
          <w:szCs w:val="21"/>
          <w:highlight w:val="none"/>
        </w:rPr>
        <w:t>比例</w:t>
      </w:r>
      <w:r>
        <w:rPr>
          <w:rFonts w:hint="default" w:ascii="Times New Roman" w:hAnsi="Times New Roman" w:cs="Times New Roman"/>
          <w:szCs w:val="21"/>
          <w:highlight w:val="none"/>
          <w:lang w:val="en-US" w:eastAsia="zh-CN"/>
        </w:rPr>
        <w:t>标准及入户方案要求</w:t>
      </w:r>
      <w:r>
        <w:rPr>
          <w:rFonts w:hint="default" w:ascii="Times New Roman" w:hAnsi="Times New Roman" w:cs="Times New Roman"/>
          <w:szCs w:val="21"/>
          <w:highlight w:val="none"/>
        </w:rPr>
        <w:t>，所有未能入户的房屋均须有对应的检查记录（包括每一次未入户的原因）。</w:t>
      </w:r>
    </w:p>
    <w:p>
      <w:pPr>
        <w:spacing w:line="440" w:lineRule="exact"/>
        <w:ind w:firstLine="420" w:firstLineChars="199"/>
        <w:rPr>
          <w:rFonts w:hint="default" w:ascii="Times New Roman" w:hAnsi="Times New Roman" w:cs="Times New Roman"/>
          <w:b/>
          <w:bCs/>
          <w:szCs w:val="22"/>
          <w:highlight w:val="none"/>
        </w:rPr>
      </w:pPr>
      <w:r>
        <w:rPr>
          <w:rFonts w:hint="default" w:ascii="Times New Roman" w:hAnsi="Times New Roman" w:cs="Times New Roman"/>
          <w:b/>
          <w:bCs/>
          <w:szCs w:val="22"/>
          <w:highlight w:val="none"/>
        </w:rPr>
        <w:t>④仪器设备</w:t>
      </w:r>
      <w:r>
        <w:rPr>
          <w:rFonts w:hint="default" w:ascii="Times New Roman" w:hAnsi="Times New Roman" w:cs="Times New Roman"/>
          <w:b/>
          <w:bCs/>
          <w:szCs w:val="22"/>
          <w:highlight w:val="none"/>
          <w:lang w:val="en-US" w:eastAsia="zh-CN"/>
        </w:rPr>
        <w:t>人工</w:t>
      </w:r>
      <w:r>
        <w:rPr>
          <w:rFonts w:hint="default" w:ascii="Times New Roman" w:hAnsi="Times New Roman" w:cs="Times New Roman"/>
          <w:b/>
          <w:bCs/>
          <w:szCs w:val="22"/>
          <w:highlight w:val="none"/>
        </w:rPr>
        <w:t>监测</w:t>
      </w:r>
    </w:p>
    <w:p>
      <w:pPr>
        <w:spacing w:line="440" w:lineRule="exact"/>
        <w:ind w:firstLine="417" w:firstLineChars="199"/>
        <w:rPr>
          <w:rFonts w:hint="default" w:ascii="Times New Roman" w:hAnsi="Times New Roman" w:cs="Times New Roman"/>
          <w:szCs w:val="21"/>
          <w:highlight w:val="none"/>
        </w:rPr>
      </w:pPr>
      <w:r>
        <w:rPr>
          <w:rFonts w:hint="default" w:ascii="Times New Roman" w:hAnsi="Times New Roman" w:cs="Times New Roman"/>
          <w:szCs w:val="21"/>
          <w:highlight w:val="none"/>
        </w:rPr>
        <w:t>对动态监测范围内房屋每年至少测量一次</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根据</w:t>
      </w:r>
      <w:r>
        <w:rPr>
          <w:rFonts w:hint="default" w:ascii="Times New Roman" w:hAnsi="Times New Roman" w:cs="Times New Roman"/>
          <w:highlight w:val="none"/>
          <w:lang w:val="en-US" w:eastAsia="zh-CN"/>
        </w:rPr>
        <w:t>动态监测历史资料，对房屋倾斜、沉降、裂缝状态近年有变化趋势；或者</w:t>
      </w:r>
      <w:r>
        <w:rPr>
          <w:rFonts w:hint="default" w:ascii="Times New Roman" w:hAnsi="Times New Roman" w:cs="Times New Roman"/>
          <w:szCs w:val="21"/>
          <w:highlight w:val="none"/>
        </w:rPr>
        <w:t>已经出现明显的倾斜变形或不均匀沉降、受相邻施工影响的房屋进行测量，适当增加测量频率。</w:t>
      </w:r>
    </w:p>
    <w:p>
      <w:pPr>
        <w:spacing w:line="440" w:lineRule="exact"/>
        <w:ind w:firstLine="420" w:firstLineChars="199"/>
        <w:rPr>
          <w:rFonts w:hint="default" w:ascii="Times New Roman" w:hAnsi="Times New Roman" w:cs="Times New Roman"/>
          <w:b/>
          <w:bCs/>
          <w:szCs w:val="22"/>
          <w:highlight w:val="none"/>
        </w:rPr>
      </w:pPr>
      <w:r>
        <w:rPr>
          <w:rFonts w:hint="default" w:ascii="Times New Roman" w:hAnsi="Times New Roman" w:cs="Times New Roman"/>
          <w:b/>
          <w:bCs/>
          <w:szCs w:val="22"/>
          <w:highlight w:val="none"/>
        </w:rPr>
        <w:t>⑤台汛季节、重要活动节假日安全排查检查</w:t>
      </w:r>
    </w:p>
    <w:p>
      <w:pPr>
        <w:tabs>
          <w:tab w:val="left" w:pos="851"/>
        </w:tabs>
        <w:spacing w:line="440" w:lineRule="exact"/>
        <w:ind w:firstLine="411"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按上级要求或甲方指示开展三类及以上房屋或</w:t>
      </w:r>
      <w:r>
        <w:rPr>
          <w:rFonts w:hint="default" w:ascii="Times New Roman" w:hAnsi="Times New Roman" w:cs="Times New Roman"/>
          <w:szCs w:val="21"/>
          <w:highlight w:val="none"/>
          <w:lang w:val="en-US" w:eastAsia="zh-CN"/>
        </w:rPr>
        <w:t>特殊</w:t>
      </w:r>
      <w:r>
        <w:rPr>
          <w:rFonts w:hint="default" w:ascii="Times New Roman" w:hAnsi="Times New Roman" w:cs="Times New Roman"/>
          <w:szCs w:val="21"/>
          <w:highlight w:val="none"/>
        </w:rPr>
        <w:t>类别房屋应急安全排查检查，</w:t>
      </w:r>
      <w:r>
        <w:rPr>
          <w:rFonts w:hint="default" w:ascii="Times New Roman" w:hAnsi="Times New Roman" w:cs="Times New Roman"/>
          <w:szCs w:val="21"/>
          <w:highlight w:val="none"/>
          <w:lang w:val="en-US" w:eastAsia="zh-CN"/>
        </w:rPr>
        <w:t>每年</w:t>
      </w:r>
      <w:r>
        <w:rPr>
          <w:rFonts w:hint="default" w:ascii="Times New Roman" w:hAnsi="Times New Roman" w:cs="Times New Roman"/>
          <w:szCs w:val="21"/>
          <w:highlight w:val="none"/>
        </w:rPr>
        <w:t>不少于</w:t>
      </w:r>
      <w:r>
        <w:rPr>
          <w:rFonts w:hint="default" w:ascii="Times New Roman" w:hAnsi="Times New Roman" w:cs="Times New Roman"/>
          <w:szCs w:val="21"/>
          <w:highlight w:val="none"/>
          <w:lang w:val="en-US" w:eastAsia="zh-CN"/>
        </w:rPr>
        <w:t>5</w:t>
      </w:r>
      <w:r>
        <w:rPr>
          <w:rFonts w:hint="default" w:ascii="Times New Roman" w:hAnsi="Times New Roman" w:cs="Times New Roman"/>
          <w:szCs w:val="21"/>
          <w:highlight w:val="none"/>
        </w:rPr>
        <w:t>次。达到合同规定的幢次后，仍须服从甲方的应急排查检查指令，合同金额不追加。</w:t>
      </w:r>
    </w:p>
    <w:p>
      <w:pPr>
        <w:spacing w:line="440" w:lineRule="exact"/>
        <w:ind w:firstLine="420" w:firstLineChars="199"/>
        <w:rPr>
          <w:rFonts w:hint="default" w:ascii="Times New Roman" w:hAnsi="Times New Roman" w:cs="Times New Roman"/>
          <w:b/>
          <w:bCs/>
          <w:szCs w:val="21"/>
          <w:highlight w:val="none"/>
        </w:rPr>
      </w:pPr>
      <w:r>
        <w:rPr>
          <w:rFonts w:hint="default" w:ascii="Times New Roman" w:hAnsi="Times New Roman" w:cs="Times New Roman"/>
          <w:b/>
          <w:bCs/>
          <w:szCs w:val="22"/>
          <w:highlight w:val="none"/>
        </w:rPr>
        <w:t>⑥</w:t>
      </w:r>
      <w:r>
        <w:rPr>
          <w:rFonts w:hint="default" w:ascii="Times New Roman" w:hAnsi="Times New Roman" w:cs="Times New Roman"/>
          <w:b/>
          <w:bCs/>
          <w:szCs w:val="21"/>
          <w:highlight w:val="none"/>
        </w:rPr>
        <w:t>房安技术服务</w:t>
      </w:r>
    </w:p>
    <w:p>
      <w:pPr>
        <w:tabs>
          <w:tab w:val="left" w:pos="851"/>
        </w:tabs>
        <w:spacing w:line="440" w:lineRule="exact"/>
        <w:ind w:firstLine="411"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满足属地区域房安技术咨询服务需求</w:t>
      </w:r>
      <w:r>
        <w:rPr>
          <w:rFonts w:hint="default" w:ascii="Times New Roman" w:hAnsi="Times New Roman" w:cs="Times New Roman"/>
          <w:szCs w:val="21"/>
          <w:highlight w:val="none"/>
          <w:lang w:eastAsia="zh-CN"/>
        </w:rPr>
        <w:t>。</w:t>
      </w:r>
      <w:r>
        <w:rPr>
          <w:rFonts w:hint="default" w:ascii="Times New Roman" w:hAnsi="Times New Roman" w:cs="Times New Roman"/>
          <w:color w:val="auto"/>
          <w:sz w:val="21"/>
          <w:szCs w:val="21"/>
          <w:highlight w:val="none"/>
          <w:lang w:eastAsia="zh-CN"/>
        </w:rPr>
        <w:t>日常技术咨询包括：房屋安全管理部门有需要的情况下，乙方采用电话咨询、现场等方式，对辖区内日常房屋安全问题进行咨询、问题判断、答疑等技术服务。</w:t>
      </w:r>
    </w:p>
    <w:p>
      <w:pPr>
        <w:spacing w:line="440" w:lineRule="exact"/>
        <w:ind w:firstLine="420" w:firstLineChars="199"/>
        <w:rPr>
          <w:rFonts w:hint="default" w:ascii="Times New Roman" w:hAnsi="Times New Roman" w:cs="Times New Roman"/>
          <w:b/>
          <w:bCs/>
          <w:szCs w:val="22"/>
          <w:highlight w:val="none"/>
        </w:rPr>
      </w:pPr>
      <w:r>
        <w:rPr>
          <w:rFonts w:hint="default" w:ascii="Times New Roman" w:hAnsi="Times New Roman" w:cs="Times New Roman"/>
          <w:b/>
          <w:bCs/>
          <w:szCs w:val="22"/>
          <w:highlight w:val="none"/>
          <w:lang w:val="en-US" w:eastAsia="zh-CN"/>
        </w:rPr>
        <w:t>⑦</w:t>
      </w:r>
      <w:r>
        <w:rPr>
          <w:rFonts w:hint="default" w:ascii="Times New Roman" w:hAnsi="Times New Roman" w:cs="Times New Roman"/>
          <w:b/>
          <w:bCs/>
          <w:szCs w:val="22"/>
          <w:highlight w:val="none"/>
        </w:rPr>
        <w:t>装修</w:t>
      </w:r>
      <w:r>
        <w:rPr>
          <w:rFonts w:hint="default" w:ascii="Times New Roman" w:hAnsi="Times New Roman" w:cs="Times New Roman"/>
          <w:b/>
          <w:bCs/>
          <w:szCs w:val="22"/>
          <w:highlight w:val="none"/>
          <w:lang w:val="en-US" w:eastAsia="zh-CN"/>
        </w:rPr>
        <w:t>安全</w:t>
      </w:r>
      <w:r>
        <w:rPr>
          <w:rFonts w:hint="default" w:ascii="Times New Roman" w:hAnsi="Times New Roman" w:cs="Times New Roman"/>
          <w:b/>
          <w:bCs/>
          <w:szCs w:val="22"/>
          <w:highlight w:val="none"/>
        </w:rPr>
        <w:t>专项</w:t>
      </w:r>
      <w:r>
        <w:rPr>
          <w:rFonts w:hint="default" w:ascii="Times New Roman" w:hAnsi="Times New Roman" w:cs="Times New Roman"/>
          <w:b/>
          <w:bCs/>
          <w:szCs w:val="22"/>
          <w:highlight w:val="none"/>
          <w:lang w:val="en-US" w:eastAsia="zh-CN"/>
        </w:rPr>
        <w:t>技术服务</w:t>
      </w:r>
    </w:p>
    <w:p>
      <w:pPr>
        <w:spacing w:line="440" w:lineRule="exact"/>
        <w:ind w:firstLine="417" w:firstLineChars="199"/>
        <w:rPr>
          <w:rFonts w:hint="default" w:ascii="Times New Roman" w:hAnsi="Times New Roman" w:cs="Times New Roman"/>
          <w:szCs w:val="22"/>
          <w:highlight w:val="none"/>
          <w:lang w:val="en-US" w:eastAsia="zh-CN"/>
        </w:rPr>
      </w:pPr>
      <w:r>
        <w:rPr>
          <w:rFonts w:hint="default" w:ascii="Times New Roman" w:hAnsi="Times New Roman" w:cs="Times New Roman"/>
          <w:szCs w:val="21"/>
          <w:highlight w:val="none"/>
        </w:rPr>
        <w:t>对于</w:t>
      </w:r>
      <w:r>
        <w:rPr>
          <w:rFonts w:hint="default" w:ascii="Times New Roman" w:hAnsi="Times New Roman" w:cs="Times New Roman"/>
          <w:highlight w:val="none"/>
        </w:rPr>
        <w:t>发现</w:t>
      </w:r>
      <w:r>
        <w:rPr>
          <w:rFonts w:hint="default" w:ascii="Times New Roman" w:hAnsi="Times New Roman" w:cs="Times New Roman"/>
          <w:szCs w:val="21"/>
          <w:highlight w:val="none"/>
        </w:rPr>
        <w:t>装修</w:t>
      </w:r>
      <w:r>
        <w:rPr>
          <w:rFonts w:hint="default" w:ascii="Times New Roman" w:hAnsi="Times New Roman" w:cs="Times New Roman"/>
          <w:highlight w:val="none"/>
          <w:lang w:eastAsia="zh-CN"/>
        </w:rPr>
        <w:t>、</w:t>
      </w:r>
      <w:r>
        <w:rPr>
          <w:rFonts w:hint="default" w:ascii="Times New Roman" w:hAnsi="Times New Roman" w:cs="Times New Roman"/>
          <w:highlight w:val="none"/>
        </w:rPr>
        <w:t>或接到</w:t>
      </w:r>
      <w:r>
        <w:rPr>
          <w:rFonts w:hint="default" w:ascii="Times New Roman" w:hAnsi="Times New Roman" w:cs="Times New Roman"/>
          <w:highlight w:val="none"/>
          <w:lang w:val="en-US" w:eastAsia="zh-CN"/>
        </w:rPr>
        <w:t>房屋安全相关信访和投诉</w:t>
      </w:r>
      <w:r>
        <w:rPr>
          <w:rFonts w:hint="default" w:ascii="Times New Roman" w:hAnsi="Times New Roman" w:cs="Times New Roman"/>
          <w:highlight w:val="none"/>
        </w:rPr>
        <w:t>举报</w:t>
      </w:r>
      <w:r>
        <w:rPr>
          <w:rFonts w:hint="default" w:ascii="Times New Roman" w:hAnsi="Times New Roman" w:cs="Times New Roman"/>
          <w:highlight w:val="none"/>
          <w:lang w:val="en-US" w:eastAsia="zh-CN"/>
        </w:rPr>
        <w:t>装修行为的</w:t>
      </w:r>
      <w:r>
        <w:rPr>
          <w:rFonts w:hint="default" w:ascii="Times New Roman" w:hAnsi="Times New Roman" w:cs="Times New Roman"/>
          <w:szCs w:val="21"/>
          <w:highlight w:val="none"/>
        </w:rPr>
        <w:t>房屋，</w:t>
      </w:r>
      <w:r>
        <w:rPr>
          <w:rFonts w:hint="default" w:ascii="Times New Roman" w:hAnsi="Times New Roman" w:cs="Times New Roman"/>
          <w:szCs w:val="21"/>
          <w:highlight w:val="none"/>
          <w:lang w:val="en-US" w:eastAsia="zh-CN"/>
        </w:rPr>
        <w:t>提供</w:t>
      </w:r>
      <w:r>
        <w:rPr>
          <w:rFonts w:hint="default" w:ascii="Times New Roman" w:hAnsi="Times New Roman" w:cs="Times New Roman"/>
          <w:szCs w:val="22"/>
          <w:highlight w:val="none"/>
        </w:rPr>
        <w:t>装修</w:t>
      </w:r>
      <w:r>
        <w:rPr>
          <w:rFonts w:hint="default" w:ascii="Times New Roman" w:hAnsi="Times New Roman" w:cs="Times New Roman"/>
          <w:szCs w:val="22"/>
          <w:highlight w:val="none"/>
          <w:lang w:val="en-US" w:eastAsia="zh-CN"/>
        </w:rPr>
        <w:t>安全</w:t>
      </w:r>
      <w:r>
        <w:rPr>
          <w:rFonts w:hint="default" w:ascii="Times New Roman" w:hAnsi="Times New Roman" w:cs="Times New Roman"/>
          <w:szCs w:val="22"/>
          <w:highlight w:val="none"/>
        </w:rPr>
        <w:t>专项</w:t>
      </w:r>
      <w:r>
        <w:rPr>
          <w:rFonts w:hint="default" w:ascii="Times New Roman" w:hAnsi="Times New Roman" w:cs="Times New Roman"/>
          <w:szCs w:val="22"/>
          <w:highlight w:val="none"/>
          <w:lang w:val="en-US" w:eastAsia="zh-CN"/>
        </w:rPr>
        <w:t>技术服务：</w:t>
      </w:r>
    </w:p>
    <w:p>
      <w:pPr>
        <w:spacing w:line="440" w:lineRule="exact"/>
        <w:ind w:firstLine="417" w:firstLineChars="199"/>
        <w:rPr>
          <w:rFonts w:hint="default" w:ascii="Times New Roman" w:hAnsi="Times New Roman" w:cs="Times New Roman"/>
          <w:szCs w:val="21"/>
          <w:highlight w:val="none"/>
          <w:lang w:val="en-US" w:eastAsia="zh-CN"/>
        </w:rPr>
      </w:pPr>
      <w:r>
        <w:rPr>
          <w:rFonts w:hint="default" w:ascii="Times New Roman" w:hAnsi="Times New Roman" w:cs="Times New Roman"/>
          <w:szCs w:val="22"/>
          <w:highlight w:val="none"/>
          <w:lang w:val="en-US" w:eastAsia="zh-CN"/>
        </w:rPr>
        <w:t>现场踏勘</w:t>
      </w:r>
      <w:r>
        <w:rPr>
          <w:rFonts w:hint="default" w:ascii="Times New Roman" w:hAnsi="Times New Roman" w:cs="Times New Roman"/>
          <w:szCs w:val="21"/>
          <w:highlight w:val="none"/>
          <w:lang w:val="en-US" w:eastAsia="zh-CN"/>
        </w:rPr>
        <w:t>举报及信访件反映的房屋装修事项，给出是否涉及房屋结构、</w:t>
      </w:r>
      <w:r>
        <w:rPr>
          <w:rFonts w:hint="default" w:ascii="Times New Roman" w:hAnsi="Times New Roman" w:cs="Times New Roman"/>
          <w:szCs w:val="22"/>
          <w:highlight w:val="none"/>
          <w:lang w:val="en-US" w:eastAsia="zh-CN"/>
        </w:rPr>
        <w:t>是否存在</w:t>
      </w:r>
      <w:r>
        <w:rPr>
          <w:rFonts w:hint="default" w:ascii="Times New Roman" w:hAnsi="Times New Roman" w:cs="Times New Roman"/>
          <w:szCs w:val="21"/>
          <w:highlight w:val="none"/>
        </w:rPr>
        <w:t>违规装修</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后续处理的专业技术建议；</w:t>
      </w:r>
    </w:p>
    <w:p>
      <w:pPr>
        <w:spacing w:line="440" w:lineRule="exact"/>
        <w:ind w:firstLine="417" w:firstLineChars="199"/>
        <w:rPr>
          <w:rFonts w:hint="default" w:ascii="Times New Roman" w:hAnsi="Times New Roman" w:cs="Times New Roman"/>
          <w:szCs w:val="21"/>
          <w:highlight w:val="none"/>
          <w:lang w:eastAsia="zh-CN"/>
        </w:rPr>
      </w:pPr>
      <w:r>
        <w:rPr>
          <w:rFonts w:hint="default" w:ascii="Times New Roman" w:hAnsi="Times New Roman" w:cs="Times New Roman"/>
          <w:szCs w:val="21"/>
          <w:highlight w:val="none"/>
        </w:rPr>
        <w:t>若存在违规装修，监督其进行破坏处恢复及加固处理</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对不配合弥补违规过失的及时上报主管部门予以处理，并</w:t>
      </w:r>
      <w:r>
        <w:rPr>
          <w:rFonts w:hint="default" w:ascii="Times New Roman" w:hAnsi="Times New Roman" w:cs="Times New Roman"/>
          <w:szCs w:val="21"/>
          <w:highlight w:val="none"/>
        </w:rPr>
        <w:t>为行政执法提供技术支持</w:t>
      </w:r>
      <w:r>
        <w:rPr>
          <w:rFonts w:hint="default" w:ascii="Times New Roman" w:hAnsi="Times New Roman" w:cs="Times New Roman"/>
          <w:szCs w:val="21"/>
          <w:highlight w:val="none"/>
          <w:lang w:eastAsia="zh-CN"/>
        </w:rPr>
        <w:t>；</w:t>
      </w:r>
    </w:p>
    <w:p>
      <w:pPr>
        <w:spacing w:line="440" w:lineRule="exact"/>
        <w:ind w:firstLine="417" w:firstLineChars="199"/>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对装修房屋</w:t>
      </w:r>
      <w:r>
        <w:rPr>
          <w:rFonts w:hint="default" w:ascii="Times New Roman" w:hAnsi="Times New Roman" w:cs="Times New Roman"/>
          <w:szCs w:val="21"/>
          <w:highlight w:val="none"/>
        </w:rPr>
        <w:t>进行巡查（巡查频率至少为三次，即装修前的巡查、装修中的巡查、装修完成时的巡查），开展装修备案工作</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rPr>
        <w:t>内容包括装修设计方案审查、装修备案资料收集整理、巡查及系统中登记。</w:t>
      </w:r>
    </w:p>
    <w:p>
      <w:pPr>
        <w:spacing w:line="440" w:lineRule="exact"/>
        <w:ind w:firstLine="417" w:firstLineChars="199"/>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此项服务</w:t>
      </w:r>
      <w:r>
        <w:rPr>
          <w:rFonts w:hint="default" w:ascii="Times New Roman" w:hAnsi="Times New Roman" w:cs="Times New Roman"/>
          <w:szCs w:val="21"/>
          <w:highlight w:val="none"/>
        </w:rPr>
        <w:t>装修备案对象为全</w:t>
      </w:r>
      <w:r>
        <w:rPr>
          <w:rFonts w:hint="default" w:ascii="Times New Roman" w:hAnsi="Times New Roman" w:cs="Times New Roman"/>
          <w:szCs w:val="21"/>
          <w:highlight w:val="none"/>
          <w:lang w:val="en-US" w:eastAsia="zh-CN"/>
        </w:rPr>
        <w:t>区（不限于本项目清单）</w:t>
      </w:r>
      <w:r>
        <w:rPr>
          <w:rFonts w:hint="default" w:ascii="Times New Roman" w:hAnsi="Times New Roman" w:cs="Times New Roman"/>
          <w:szCs w:val="21"/>
          <w:highlight w:val="none"/>
        </w:rPr>
        <w:t>范围内</w:t>
      </w:r>
      <w:r>
        <w:rPr>
          <w:rFonts w:hint="default" w:ascii="Times New Roman" w:hAnsi="Times New Roman" w:cs="Times New Roman"/>
          <w:szCs w:val="21"/>
          <w:highlight w:val="none"/>
          <w:lang w:val="en-US" w:eastAsia="zh-CN"/>
        </w:rPr>
        <w:t>的房屋</w:t>
      </w:r>
      <w:r>
        <w:rPr>
          <w:rFonts w:hint="default" w:ascii="Times New Roman" w:hAnsi="Times New Roman" w:cs="Times New Roman"/>
          <w:szCs w:val="21"/>
          <w:highlight w:val="none"/>
        </w:rPr>
        <w:t>装修行为。</w:t>
      </w:r>
    </w:p>
    <w:p>
      <w:pPr>
        <w:spacing w:line="440" w:lineRule="exact"/>
        <w:ind w:left="0" w:leftChars="0" w:firstLine="0" w:firstLineChars="0"/>
        <w:rPr>
          <w:rFonts w:hint="default" w:ascii="Times New Roman" w:hAnsi="Times New Roman" w:eastAsia="宋体" w:cs="Times New Roman"/>
          <w:b/>
          <w:szCs w:val="21"/>
          <w:highlight w:val="none"/>
          <w:lang w:val="en-US" w:eastAsia="zh-CN"/>
        </w:rPr>
      </w:pPr>
      <w:r>
        <w:rPr>
          <w:rFonts w:hint="default" w:ascii="Times New Roman" w:hAnsi="Times New Roman" w:cs="Times New Roman"/>
          <w:b/>
          <w:szCs w:val="21"/>
          <w:highlight w:val="none"/>
        </w:rPr>
        <w:t>（</w:t>
      </w:r>
      <w:r>
        <w:rPr>
          <w:rFonts w:hint="default" w:ascii="Times New Roman" w:hAnsi="Times New Roman" w:cs="Times New Roman"/>
          <w:b/>
          <w:szCs w:val="21"/>
          <w:highlight w:val="none"/>
          <w:lang w:val="en-US" w:eastAsia="zh-CN"/>
        </w:rPr>
        <w:t>三</w:t>
      </w:r>
      <w:r>
        <w:rPr>
          <w:rFonts w:hint="default" w:ascii="Times New Roman" w:hAnsi="Times New Roman" w:cs="Times New Roman"/>
          <w:b/>
          <w:szCs w:val="21"/>
          <w:highlight w:val="none"/>
        </w:rPr>
        <w:t>）房屋安全动态监测单位</w:t>
      </w:r>
      <w:r>
        <w:rPr>
          <w:rFonts w:hint="default" w:ascii="Times New Roman" w:hAnsi="Times New Roman" w:cs="Times New Roman"/>
          <w:b/>
          <w:szCs w:val="21"/>
          <w:highlight w:val="none"/>
          <w:lang w:val="en-US" w:eastAsia="zh-CN"/>
        </w:rPr>
        <w:t>要求</w:t>
      </w:r>
    </w:p>
    <w:p>
      <w:pPr>
        <w:tabs>
          <w:tab w:val="left" w:pos="851"/>
        </w:tabs>
        <w:spacing w:line="440" w:lineRule="exact"/>
        <w:ind w:firstLine="411" w:firstLineChars="196"/>
        <w:rPr>
          <w:rFonts w:hint="default" w:ascii="Times New Roman" w:hAnsi="Times New Roman" w:cs="Times New Roman"/>
          <w:szCs w:val="21"/>
          <w:highlight w:val="none"/>
        </w:rPr>
      </w:pP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1</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rPr>
        <w:t>房屋动态安全监测单位应具备房屋安全鉴定资质，有完整的检查、观测、监测、评估、安全预警机制，巡检人员能够对房屋安全情况进行识别查勘。</w:t>
      </w:r>
    </w:p>
    <w:p>
      <w:pPr>
        <w:tabs>
          <w:tab w:val="left" w:pos="851"/>
        </w:tabs>
        <w:spacing w:line="440" w:lineRule="exact"/>
        <w:ind w:firstLine="411" w:firstLineChars="196"/>
        <w:rPr>
          <w:rFonts w:hint="default" w:ascii="Times New Roman" w:hAnsi="Times New Roman" w:eastAsia="宋体" w:cs="Times New Roman"/>
          <w:b/>
          <w:bCs/>
          <w:szCs w:val="21"/>
          <w:highlight w:val="none"/>
          <w:u w:val="none"/>
          <w:lang w:val="en-US" w:eastAsia="zh-CN"/>
        </w:rPr>
      </w:pPr>
      <w:r>
        <w:rPr>
          <w:rFonts w:hint="default" w:ascii="Times New Roman" w:hAnsi="Times New Roman" w:cs="Times New Roman"/>
          <w:szCs w:val="22"/>
          <w:highlight w:val="none"/>
          <w:lang w:eastAsia="zh-CN"/>
        </w:rPr>
        <w:t>（</w:t>
      </w:r>
      <w:r>
        <w:rPr>
          <w:rFonts w:hint="default" w:ascii="Times New Roman" w:hAnsi="Times New Roman" w:cs="Times New Roman"/>
          <w:szCs w:val="22"/>
          <w:highlight w:val="none"/>
          <w:lang w:val="en-US" w:eastAsia="zh-CN"/>
        </w:rPr>
        <w:t>2</w:t>
      </w:r>
      <w:r>
        <w:rPr>
          <w:rFonts w:hint="default" w:ascii="Times New Roman" w:hAnsi="Times New Roman" w:cs="Times New Roman"/>
          <w:szCs w:val="22"/>
          <w:highlight w:val="none"/>
          <w:lang w:eastAsia="zh-CN"/>
        </w:rPr>
        <w:t>）</w:t>
      </w:r>
      <w:r>
        <w:rPr>
          <w:rFonts w:hint="default" w:ascii="Times New Roman" w:hAnsi="Times New Roman" w:cs="Times New Roman"/>
          <w:szCs w:val="22"/>
          <w:highlight w:val="none"/>
        </w:rPr>
        <w:t>在房屋安全动态监测时，</w:t>
      </w:r>
      <w:r>
        <w:rPr>
          <w:rFonts w:hint="default" w:ascii="Times New Roman" w:hAnsi="Times New Roman" w:cs="Times New Roman"/>
          <w:szCs w:val="22"/>
          <w:highlight w:val="none"/>
          <w:lang w:val="en-US" w:eastAsia="zh-CN"/>
        </w:rPr>
        <w:t>应</w:t>
      </w:r>
      <w:r>
        <w:rPr>
          <w:rFonts w:hint="default" w:ascii="Times New Roman" w:hAnsi="Times New Roman" w:cs="Times New Roman"/>
          <w:szCs w:val="22"/>
          <w:highlight w:val="none"/>
        </w:rPr>
        <w:t>为所有监测房屋建立完整的房屋安全档案</w:t>
      </w:r>
      <w:r>
        <w:rPr>
          <w:rFonts w:hint="default" w:ascii="Times New Roman" w:hAnsi="Times New Roman" w:cs="Times New Roman"/>
          <w:szCs w:val="22"/>
          <w:highlight w:val="none"/>
          <w:lang w:eastAsia="zh-CN"/>
        </w:rPr>
        <w:t>；</w:t>
      </w:r>
      <w:r>
        <w:rPr>
          <w:rFonts w:hint="default" w:ascii="Times New Roman" w:hAnsi="Times New Roman" w:cs="Times New Roman"/>
          <w:szCs w:val="22"/>
          <w:highlight w:val="none"/>
          <w:u w:val="none"/>
          <w:lang w:val="en-US" w:eastAsia="zh-CN"/>
        </w:rPr>
        <w:t>动态监测单位需</w:t>
      </w:r>
      <w:r>
        <w:rPr>
          <w:rFonts w:hint="default" w:ascii="Times New Roman" w:hAnsi="Times New Roman" w:cs="Times New Roman"/>
          <w:szCs w:val="21"/>
          <w:highlight w:val="none"/>
          <w:u w:val="none"/>
        </w:rPr>
        <w:t>通过人工监测管理平台以及作业APP，形成一整套人工巡查管理流程，如</w:t>
      </w:r>
      <w:r>
        <w:rPr>
          <w:rFonts w:hint="default" w:ascii="Times New Roman" w:hAnsi="Times New Roman" w:cs="Times New Roman"/>
          <w:szCs w:val="21"/>
          <w:highlight w:val="none"/>
          <w:u w:val="none"/>
          <w:lang w:eastAsia="zh-CN"/>
        </w:rPr>
        <w:t>：</w:t>
      </w:r>
      <w:r>
        <w:rPr>
          <w:rFonts w:hint="default" w:ascii="Times New Roman" w:hAnsi="Times New Roman" w:cs="Times New Roman"/>
          <w:szCs w:val="21"/>
          <w:highlight w:val="none"/>
          <w:u w:val="none"/>
          <w:lang w:val="en-US" w:eastAsia="zh-CN"/>
        </w:rPr>
        <w:t>系统</w:t>
      </w:r>
      <w:r>
        <w:rPr>
          <w:rFonts w:hint="default" w:ascii="Times New Roman" w:hAnsi="Times New Roman" w:cs="Times New Roman"/>
          <w:szCs w:val="21"/>
          <w:highlight w:val="none"/>
          <w:u w:val="none"/>
        </w:rPr>
        <w:t>任务派发、巡查</w:t>
      </w:r>
      <w:r>
        <w:rPr>
          <w:rFonts w:hint="default" w:ascii="Times New Roman" w:hAnsi="Times New Roman" w:cs="Times New Roman"/>
          <w:szCs w:val="21"/>
          <w:highlight w:val="none"/>
          <w:u w:val="none"/>
          <w:lang w:val="en-US" w:eastAsia="zh-CN"/>
        </w:rPr>
        <w:t>到位率</w:t>
      </w:r>
      <w:r>
        <w:rPr>
          <w:rFonts w:hint="default" w:ascii="Times New Roman" w:hAnsi="Times New Roman" w:cs="Times New Roman"/>
          <w:szCs w:val="21"/>
          <w:highlight w:val="none"/>
          <w:u w:val="none"/>
        </w:rPr>
        <w:t>管理、</w:t>
      </w:r>
      <w:r>
        <w:rPr>
          <w:rFonts w:hint="default" w:ascii="Times New Roman" w:hAnsi="Times New Roman" w:cs="Times New Roman"/>
          <w:szCs w:val="21"/>
          <w:highlight w:val="none"/>
          <w:u w:val="none"/>
          <w:lang w:val="en-US" w:eastAsia="zh-CN"/>
        </w:rPr>
        <w:t>巡查成果照片管理、巡查数据查询，手机app定位、拍照、记录、完成巡查任务</w:t>
      </w:r>
      <w:r>
        <w:rPr>
          <w:rFonts w:hint="default" w:ascii="Times New Roman" w:hAnsi="Times New Roman" w:cs="Times New Roman"/>
          <w:szCs w:val="21"/>
          <w:highlight w:val="none"/>
          <w:u w:val="none"/>
        </w:rPr>
        <w:t>等。</w:t>
      </w:r>
      <w:r>
        <w:rPr>
          <w:rFonts w:hint="eastAsia" w:ascii="宋体" w:hAnsi="宋体" w:cs="宋体"/>
          <w:szCs w:val="21"/>
          <w:highlight w:val="none"/>
          <w:u w:val="none"/>
          <w:lang w:val="en-US" w:eastAsia="zh-CN"/>
        </w:rPr>
        <w:t>监测平台APP</w:t>
      </w:r>
      <w:r>
        <w:rPr>
          <w:rFonts w:hint="eastAsia"/>
          <w:highlight w:val="none"/>
          <w:lang w:val="en-US" w:eastAsia="zh-CN"/>
        </w:rPr>
        <w:t>具备预留端口，服务期结束后本系统能与其他系统兼容或能将本项目所有数据资料导出。</w:t>
      </w:r>
    </w:p>
    <w:p>
      <w:pPr>
        <w:spacing w:line="440" w:lineRule="exact"/>
        <w:ind w:firstLine="420" w:firstLineChars="200"/>
        <w:contextualSpacing/>
        <w:rPr>
          <w:rFonts w:hint="default" w:ascii="Times New Roman" w:hAnsi="Times New Roman" w:eastAsia="宋体" w:cs="Times New Roman"/>
          <w:szCs w:val="21"/>
          <w:highlight w:val="none"/>
        </w:rPr>
      </w:pPr>
      <w:r>
        <w:rPr>
          <w:rFonts w:hint="default" w:ascii="Times New Roman" w:hAnsi="Times New Roman" w:eastAsia="宋体" w:cs="Times New Roman"/>
          <w:szCs w:val="22"/>
          <w:highlight w:val="none"/>
          <w:lang w:eastAsia="zh-CN"/>
        </w:rPr>
        <w:t>（</w:t>
      </w:r>
      <w:r>
        <w:rPr>
          <w:rFonts w:hint="default" w:ascii="Times New Roman" w:hAnsi="Times New Roman" w:eastAsia="宋体" w:cs="Times New Roman"/>
          <w:szCs w:val="22"/>
          <w:highlight w:val="none"/>
          <w:lang w:val="en-US" w:eastAsia="zh-CN"/>
        </w:rPr>
        <w:t>3</w:t>
      </w:r>
      <w:r>
        <w:rPr>
          <w:rFonts w:hint="default" w:ascii="Times New Roman" w:hAnsi="Times New Roman" w:eastAsia="宋体" w:cs="Times New Roman"/>
          <w:szCs w:val="22"/>
          <w:highlight w:val="none"/>
          <w:lang w:eastAsia="zh-CN"/>
        </w:rPr>
        <w:t>）</w:t>
      </w:r>
      <w:r>
        <w:rPr>
          <w:rFonts w:hint="default" w:ascii="Times New Roman" w:hAnsi="Times New Roman" w:cs="Times New Roman"/>
          <w:szCs w:val="21"/>
          <w:highlight w:val="none"/>
        </w:rPr>
        <w:t>中标单位需配备房屋信息管理人员与房屋安全管理技术人员。房屋信息管理人员应负责管理老旧房屋监测信息和房屋装修巡查信息的整理、归纳、统计、归档各项房屋信息等工作；房屋安全</w:t>
      </w:r>
      <w:r>
        <w:rPr>
          <w:rFonts w:hint="default" w:ascii="Times New Roman" w:hAnsi="Times New Roman" w:eastAsia="宋体" w:cs="Times New Roman"/>
          <w:szCs w:val="21"/>
          <w:highlight w:val="none"/>
        </w:rPr>
        <w:t>管理技术人员负责房屋安全监管、房屋紧急情况下的初步判断及应急初步处理，房屋现场查看后的解释工作，对街道、社区的相关工作人员进行宣传培训，技术指导。</w:t>
      </w:r>
    </w:p>
    <w:p>
      <w:pPr>
        <w:spacing w:line="440" w:lineRule="exact"/>
        <w:ind w:firstLine="420" w:firstLineChars="200"/>
        <w:contextualSpacing/>
        <w:rPr>
          <w:rFonts w:hint="default" w:ascii="Times New Roman" w:hAnsi="Times New Roman" w:eastAsia="宋体" w:cs="Times New Roman"/>
          <w:szCs w:val="21"/>
          <w:highlight w:val="none"/>
        </w:rPr>
      </w:pPr>
      <w:r>
        <w:rPr>
          <w:rFonts w:hint="default" w:ascii="Times New Roman" w:hAnsi="Times New Roman" w:eastAsia="宋体" w:cs="Times New Roman"/>
          <w:szCs w:val="22"/>
          <w:highlight w:val="none"/>
          <w:lang w:eastAsia="zh-CN"/>
        </w:rPr>
        <w:t>（</w:t>
      </w:r>
      <w:r>
        <w:rPr>
          <w:rFonts w:hint="default" w:ascii="Times New Roman" w:hAnsi="Times New Roman" w:eastAsia="宋体" w:cs="Times New Roman"/>
          <w:szCs w:val="22"/>
          <w:highlight w:val="none"/>
          <w:lang w:val="en-US" w:eastAsia="zh-CN"/>
        </w:rPr>
        <w:t>4</w:t>
      </w:r>
      <w:r>
        <w:rPr>
          <w:rFonts w:hint="default" w:ascii="Times New Roman" w:hAnsi="Times New Roman" w:eastAsia="宋体" w:cs="Times New Roman"/>
          <w:szCs w:val="22"/>
          <w:highlight w:val="none"/>
          <w:lang w:eastAsia="zh-CN"/>
        </w:rPr>
        <w:t>）</w:t>
      </w:r>
      <w:r>
        <w:rPr>
          <w:rFonts w:hint="default" w:ascii="Times New Roman" w:hAnsi="Times New Roman" w:eastAsia="宋体" w:cs="Times New Roman"/>
          <w:szCs w:val="21"/>
          <w:highlight w:val="none"/>
        </w:rPr>
        <w:t>合同期限内，中标单位须建立房屋安全管理专家组，为定海区房屋使用安全管理提供技术咨询。为本项目配备的注册结构工程师不少于一人。</w:t>
      </w:r>
    </w:p>
    <w:p>
      <w:pPr>
        <w:spacing w:line="440" w:lineRule="exact"/>
        <w:ind w:firstLine="420" w:firstLineChars="200"/>
        <w:contextualSpacing/>
        <w:rPr>
          <w:rFonts w:hint="default" w:ascii="Times New Roman" w:hAnsi="Times New Roman" w:cs="Times New Roman"/>
          <w:szCs w:val="21"/>
          <w:highlight w:val="none"/>
        </w:rPr>
      </w:pPr>
      <w:r>
        <w:rPr>
          <w:rFonts w:hint="default" w:ascii="Times New Roman" w:hAnsi="Times New Roman" w:eastAsia="宋体" w:cs="Times New Roman"/>
          <w:szCs w:val="22"/>
          <w:highlight w:val="none"/>
          <w:lang w:eastAsia="zh-CN"/>
        </w:rPr>
        <w:t>（</w:t>
      </w:r>
      <w:r>
        <w:rPr>
          <w:rFonts w:hint="default" w:ascii="Times New Roman" w:hAnsi="Times New Roman" w:eastAsia="宋体" w:cs="Times New Roman"/>
          <w:szCs w:val="22"/>
          <w:highlight w:val="none"/>
          <w:lang w:val="en-US" w:eastAsia="zh-CN"/>
        </w:rPr>
        <w:t>5</w:t>
      </w:r>
      <w:r>
        <w:rPr>
          <w:rFonts w:hint="default" w:ascii="Times New Roman" w:hAnsi="Times New Roman" w:eastAsia="宋体" w:cs="Times New Roman"/>
          <w:szCs w:val="22"/>
          <w:highlight w:val="none"/>
          <w:lang w:eastAsia="zh-CN"/>
        </w:rPr>
        <w:t>）</w:t>
      </w:r>
      <w:r>
        <w:rPr>
          <w:rFonts w:hint="default" w:ascii="Times New Roman" w:hAnsi="Times New Roman" w:eastAsia="宋体" w:cs="Times New Roman"/>
          <w:szCs w:val="21"/>
          <w:highlight w:val="none"/>
        </w:rPr>
        <w:t>如发现房屋危险情况严重或加剧的，第一时间</w:t>
      </w:r>
      <w:r>
        <w:rPr>
          <w:rFonts w:hint="default" w:ascii="Times New Roman" w:hAnsi="Times New Roman" w:cs="Times New Roman"/>
          <w:szCs w:val="21"/>
          <w:highlight w:val="none"/>
          <w:lang w:val="en-US" w:eastAsia="zh-CN"/>
        </w:rPr>
        <w:t>书面</w:t>
      </w:r>
      <w:r>
        <w:rPr>
          <w:rFonts w:hint="default" w:ascii="Times New Roman" w:hAnsi="Times New Roman" w:eastAsia="宋体" w:cs="Times New Roman"/>
          <w:szCs w:val="21"/>
          <w:highlight w:val="none"/>
        </w:rPr>
        <w:t>告知属地街道社区，同时告知定海区住房和城乡建设局，提出相关合理化建议，并</w:t>
      </w:r>
      <w:r>
        <w:rPr>
          <w:rFonts w:hint="default" w:ascii="Times New Roman" w:hAnsi="Times New Roman" w:cs="Times New Roman"/>
          <w:szCs w:val="21"/>
          <w:highlight w:val="none"/>
        </w:rPr>
        <w:t>提供房屋加固、解危技术支持。</w:t>
      </w:r>
    </w:p>
    <w:p>
      <w:pPr>
        <w:numPr>
          <w:ilvl w:val="0"/>
          <w:numId w:val="0"/>
        </w:numPr>
        <w:spacing w:line="440" w:lineRule="exact"/>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lang w:val="en-US" w:eastAsia="zh-CN"/>
        </w:rPr>
        <w:t>三、服务</w:t>
      </w:r>
      <w:r>
        <w:rPr>
          <w:rFonts w:hint="default" w:ascii="Times New Roman" w:hAnsi="Times New Roman" w:eastAsia="宋体" w:cs="Times New Roman"/>
          <w:b/>
          <w:szCs w:val="21"/>
          <w:highlight w:val="none"/>
        </w:rPr>
        <w:t>执行依据</w:t>
      </w:r>
    </w:p>
    <w:p>
      <w:pPr>
        <w:spacing w:line="440" w:lineRule="exact"/>
        <w:ind w:firstLine="420" w:firstLineChars="200"/>
        <w:contextualSpacing/>
        <w:rPr>
          <w:rFonts w:hint="default" w:ascii="Times New Roman" w:hAnsi="Times New Roman" w:eastAsia="宋体" w:cs="Times New Roman"/>
          <w:szCs w:val="21"/>
          <w:highlight w:val="none"/>
        </w:rPr>
      </w:pPr>
      <w:r>
        <w:rPr>
          <w:rFonts w:hint="default" w:ascii="Times New Roman" w:hAnsi="Times New Roman" w:cs="Times New Roman"/>
          <w:szCs w:val="21"/>
          <w:highlight w:val="none"/>
        </w:rPr>
        <w:t>依法根据</w:t>
      </w:r>
      <w:r>
        <w:rPr>
          <w:rFonts w:hint="default" w:ascii="Times New Roman" w:hAnsi="Times New Roman" w:eastAsia="宋体" w:cs="Times New Roman"/>
          <w:szCs w:val="21"/>
          <w:highlight w:val="none"/>
          <w:lang w:val="en-US" w:eastAsia="zh-CN"/>
        </w:rPr>
        <w:t>有关动态监测的</w:t>
      </w:r>
      <w:r>
        <w:rPr>
          <w:rFonts w:hint="default" w:ascii="Times New Roman" w:hAnsi="Times New Roman" w:eastAsia="宋体" w:cs="Times New Roman"/>
          <w:szCs w:val="21"/>
          <w:highlight w:val="none"/>
        </w:rPr>
        <w:t>国家标准、行业标准和地方标准</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开展</w:t>
      </w:r>
      <w:r>
        <w:rPr>
          <w:rFonts w:hint="default" w:ascii="Times New Roman" w:hAnsi="Times New Roman" w:eastAsia="宋体" w:cs="Times New Roman"/>
          <w:szCs w:val="21"/>
          <w:highlight w:val="none"/>
          <w:lang w:val="en-US" w:eastAsia="zh-CN"/>
        </w:rPr>
        <w:t>本项目服务</w:t>
      </w:r>
      <w:r>
        <w:rPr>
          <w:rFonts w:hint="default" w:ascii="Times New Roman" w:hAnsi="Times New Roman" w:eastAsia="宋体" w:cs="Times New Roman"/>
          <w:szCs w:val="21"/>
          <w:highlight w:val="none"/>
        </w:rPr>
        <w:t>工作。</w:t>
      </w:r>
    </w:p>
    <w:p>
      <w:pPr>
        <w:spacing w:line="440" w:lineRule="exact"/>
        <w:ind w:firstLine="420" w:firstLineChars="200"/>
        <w:contextualSpacing/>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浙江</w:t>
      </w:r>
      <w:r>
        <w:rPr>
          <w:rFonts w:hint="default" w:ascii="Times New Roman" w:hAnsi="Times New Roman" w:eastAsia="宋体" w:cs="Times New Roman"/>
          <w:szCs w:val="21"/>
          <w:highlight w:val="none"/>
          <w:lang w:val="en-US" w:eastAsia="zh-CN"/>
        </w:rPr>
        <w:t>省危险房屋结构监测技术导则》2019.01</w:t>
      </w:r>
    </w:p>
    <w:p>
      <w:pPr>
        <w:spacing w:line="440" w:lineRule="exact"/>
        <w:ind w:firstLine="420" w:firstLineChars="200"/>
        <w:contextualSpacing/>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《浙江省房屋使用安全管理条例》</w:t>
      </w:r>
    </w:p>
    <w:p>
      <w:pPr>
        <w:spacing w:line="440" w:lineRule="exact"/>
        <w:ind w:firstLine="420" w:firstLineChars="200"/>
        <w:contextualSpacing/>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《浙江省房屋安全隐患巡查（自查）手册》</w:t>
      </w:r>
    </w:p>
    <w:p>
      <w:pPr>
        <w:spacing w:line="440" w:lineRule="exact"/>
        <w:ind w:firstLine="420" w:firstLineChars="200"/>
        <w:contextualSpacing/>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《浙江省既有城镇住宅房屋结构安全排查技术导则》</w:t>
      </w:r>
    </w:p>
    <w:p>
      <w:pPr>
        <w:spacing w:line="440" w:lineRule="exact"/>
        <w:ind w:firstLine="420" w:firstLineChars="200"/>
        <w:contextualSpacing/>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 xml:space="preserve">《危险房屋鉴定标准》JGJ125-2016 </w:t>
      </w:r>
    </w:p>
    <w:p>
      <w:pPr>
        <w:spacing w:line="440" w:lineRule="exact"/>
        <w:ind w:firstLine="420" w:firstLineChars="200"/>
        <w:contextualSpacing/>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 xml:space="preserve">《建筑变形测量规范》JGJ8-2016 </w:t>
      </w:r>
    </w:p>
    <w:p>
      <w:pPr>
        <w:spacing w:line="440" w:lineRule="exact"/>
        <w:ind w:firstLine="420" w:firstLineChars="200"/>
        <w:contextualSpacing/>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《工程测量标准》GB 50026-2020</w:t>
      </w:r>
    </w:p>
    <w:p>
      <w:pPr>
        <w:spacing w:line="360" w:lineRule="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pacing w:val="58"/>
          <w:szCs w:val="21"/>
          <w:highlight w:val="none"/>
          <w:lang w:val="en-US" w:eastAsia="zh-CN"/>
          <w14:textFill>
            <w14:solidFill>
              <w14:schemeClr w14:val="tx1"/>
            </w14:solidFill>
          </w14:textFill>
        </w:rPr>
        <w:t>四</w:t>
      </w:r>
      <w:r>
        <w:rPr>
          <w:rFonts w:hint="default" w:ascii="Times New Roman" w:hAnsi="Times New Roman" w:cs="Times New Roman"/>
          <w:b/>
          <w:color w:val="000000" w:themeColor="text1"/>
          <w:spacing w:val="58"/>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服务期限：12个月。</w:t>
      </w:r>
    </w:p>
    <w:p>
      <w:pPr>
        <w:spacing w:line="360" w:lineRule="auto"/>
        <w:rPr>
          <w:rFonts w:hint="default" w:ascii="Times New Roman" w:hAnsi="Times New Roman" w:cs="Times New Roman"/>
          <w:color w:val="000000" w:themeColor="text1"/>
          <w:spacing w:val="58"/>
          <w:szCs w:val="21"/>
          <w:highlight w:val="none"/>
          <w14:textFill>
            <w14:solidFill>
              <w14:schemeClr w14:val="tx1"/>
            </w14:solidFill>
          </w14:textFill>
        </w:rPr>
      </w:pPr>
      <w:r>
        <w:rPr>
          <w:rFonts w:hint="default" w:ascii="Times New Roman" w:hAnsi="Times New Roman" w:eastAsia="宋体" w:cs="Times New Roman"/>
          <w:b/>
          <w:color w:val="000000" w:themeColor="text1"/>
          <w:spacing w:val="58"/>
          <w:szCs w:val="21"/>
          <w:highlight w:val="none"/>
          <w:lang w:val="en-US" w:eastAsia="zh-CN"/>
          <w14:textFill>
            <w14:solidFill>
              <w14:schemeClr w14:val="tx1"/>
            </w14:solidFill>
          </w14:textFill>
        </w:rPr>
        <w:t>五、</w:t>
      </w:r>
      <w:r>
        <w:rPr>
          <w:rFonts w:hint="default" w:ascii="Times New Roman" w:hAnsi="Times New Roman" w:cs="Times New Roman"/>
          <w:b/>
          <w:color w:val="000000" w:themeColor="text1"/>
          <w:spacing w:val="58"/>
          <w:szCs w:val="21"/>
          <w:highlight w:val="none"/>
          <w:lang w:val="en-US" w:eastAsia="zh-CN"/>
          <w14:textFill>
            <w14:solidFill>
              <w14:schemeClr w14:val="tx1"/>
            </w14:solidFill>
          </w14:textFill>
        </w:rPr>
        <w:t>三</w:t>
      </w:r>
      <w:r>
        <w:rPr>
          <w:rFonts w:hint="default" w:ascii="Times New Roman" w:hAnsi="Times New Roman" w:cs="Times New Roman"/>
          <w:b/>
          <w:color w:val="000000" w:themeColor="text1"/>
          <w:spacing w:val="58"/>
          <w:szCs w:val="21"/>
          <w:highlight w:val="none"/>
          <w14:textFill>
            <w14:solidFill>
              <w14:schemeClr w14:val="tx1"/>
            </w14:solidFill>
          </w14:textFill>
        </w:rPr>
        <w:t>方职责</w:t>
      </w:r>
    </w:p>
    <w:p>
      <w:pPr>
        <w:spacing w:line="360" w:lineRule="auto"/>
        <w:rPr>
          <w:rFonts w:hint="default" w:ascii="Times New Roman" w:hAnsi="Times New Roman" w:cs="Times New Roman"/>
          <w:b/>
          <w:color w:val="000000" w:themeColor="text1"/>
          <w:spacing w:val="58"/>
          <w:szCs w:val="21"/>
          <w:highlight w:val="none"/>
          <w14:textFill>
            <w14:solidFill>
              <w14:schemeClr w14:val="tx1"/>
            </w14:solidFill>
          </w14:textFill>
        </w:rPr>
      </w:pPr>
      <w:r>
        <w:rPr>
          <w:rFonts w:hint="default" w:ascii="Times New Roman" w:hAnsi="Times New Roman" w:cs="Times New Roman"/>
          <w:b/>
          <w:color w:val="000000" w:themeColor="text1"/>
          <w:spacing w:val="58"/>
          <w:szCs w:val="21"/>
          <w:highlight w:val="none"/>
          <w14:textFill>
            <w14:solidFill>
              <w14:schemeClr w14:val="tx1"/>
            </w14:solidFill>
          </w14:textFill>
        </w:rPr>
        <w:t>(一)甲方职责：</w:t>
      </w:r>
    </w:p>
    <w:p>
      <w:pPr>
        <w:spacing w:line="360" w:lineRule="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1、按合同做好资金的保障工作；</w:t>
      </w:r>
    </w:p>
    <w:p>
      <w:pPr>
        <w:spacing w:line="360" w:lineRule="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2、负责监测工作的总体协调；</w:t>
      </w:r>
    </w:p>
    <w:p>
      <w:pPr>
        <w:spacing w:line="360" w:lineRule="auto"/>
        <w:rPr>
          <w:rFonts w:hint="default" w:ascii="Times New Roman" w:hAnsi="Times New Roman" w:cs="Times New Roman"/>
          <w:b/>
          <w:color w:val="000000" w:themeColor="text1"/>
          <w:spacing w:val="58"/>
          <w:szCs w:val="21"/>
          <w:highlight w:val="none"/>
          <w14:textFill>
            <w14:solidFill>
              <w14:schemeClr w14:val="tx1"/>
            </w14:solidFill>
          </w14:textFill>
        </w:rPr>
      </w:pPr>
      <w:r>
        <w:rPr>
          <w:rFonts w:hint="default" w:ascii="Times New Roman" w:hAnsi="Times New Roman" w:cs="Times New Roman"/>
          <w:b/>
          <w:color w:val="000000" w:themeColor="text1"/>
          <w:spacing w:val="58"/>
          <w:szCs w:val="21"/>
          <w:highlight w:val="none"/>
          <w14:textFill>
            <w14:solidFill>
              <w14:schemeClr w14:val="tx1"/>
            </w14:solidFill>
          </w14:textFill>
        </w:rPr>
        <w:t>(二)乙方职责</w:t>
      </w:r>
    </w:p>
    <w:p>
      <w:pPr>
        <w:spacing w:line="360" w:lineRule="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1、做好辖区内检测单位进场设点的协助工作；</w:t>
      </w:r>
    </w:p>
    <w:p>
      <w:pPr>
        <w:spacing w:line="360" w:lineRule="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2、监督辖区内检测单位的日常监测工作；</w:t>
      </w:r>
    </w:p>
    <w:p>
      <w:pPr>
        <w:spacing w:line="360" w:lineRule="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3、负责测点保护工作；</w:t>
      </w:r>
    </w:p>
    <w:p>
      <w:pPr>
        <w:spacing w:line="360" w:lineRule="auto"/>
        <w:rPr>
          <w:rFonts w:hint="default" w:ascii="Times New Roman" w:hAnsi="Times New Roman" w:cs="Times New Roman"/>
          <w:b/>
          <w:color w:val="000000" w:themeColor="text1"/>
          <w:spacing w:val="58"/>
          <w:szCs w:val="21"/>
          <w:highlight w:val="none"/>
          <w14:textFill>
            <w14:solidFill>
              <w14:schemeClr w14:val="tx1"/>
            </w14:solidFill>
          </w14:textFill>
        </w:rPr>
      </w:pPr>
      <w:r>
        <w:rPr>
          <w:rFonts w:hint="default" w:ascii="Times New Roman" w:hAnsi="Times New Roman" w:cs="Times New Roman"/>
          <w:b/>
          <w:color w:val="000000" w:themeColor="text1"/>
          <w:spacing w:val="58"/>
          <w:szCs w:val="21"/>
          <w:highlight w:val="none"/>
          <w14:textFill>
            <w14:solidFill>
              <w14:schemeClr w14:val="tx1"/>
            </w14:solidFill>
          </w14:textFill>
        </w:rPr>
        <w:t>（三）丙方职责</w:t>
      </w:r>
    </w:p>
    <w:p>
      <w:pPr>
        <w:spacing w:line="360" w:lineRule="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1、本合同签订</w:t>
      </w:r>
      <w:r>
        <w:rPr>
          <w:rFonts w:hint="eastAsia" w:ascii="Times New Roman" w:hAnsi="Times New Roman" w:cs="Times New Roman"/>
          <w:color w:val="000000" w:themeColor="text1"/>
          <w:szCs w:val="21"/>
          <w:highlight w:val="none"/>
          <w:lang w:val="en-US" w:eastAsia="zh-CN"/>
          <w14:textFill>
            <w14:solidFill>
              <w14:schemeClr w14:val="tx1"/>
            </w14:solidFill>
          </w14:textFill>
        </w:rPr>
        <w:t>后七个工作日内</w:t>
      </w:r>
      <w:r>
        <w:rPr>
          <w:rFonts w:hint="default" w:ascii="Times New Roman" w:hAnsi="Times New Roman" w:cs="Times New Roman"/>
          <w:color w:val="000000" w:themeColor="text1"/>
          <w:szCs w:val="21"/>
          <w:highlight w:val="none"/>
          <w14:textFill>
            <w14:solidFill>
              <w14:schemeClr w14:val="tx1"/>
            </w14:solidFill>
          </w14:textFill>
        </w:rPr>
        <w:t>向甲方缴纳金额为合同价</w:t>
      </w:r>
      <w:r>
        <w:rPr>
          <w:rFonts w:hint="default" w:ascii="Times New Roman" w:hAnsi="Times New Roman" w:cs="Times New Roman"/>
          <w:color w:val="000000" w:themeColor="text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Cs w:val="21"/>
          <w:highlight w:val="none"/>
          <w14:textFill>
            <w14:solidFill>
              <w14:schemeClr w14:val="tx1"/>
            </w14:solidFill>
          </w14:textFill>
        </w:rPr>
        <w:t>%的履约保证金；</w:t>
      </w:r>
    </w:p>
    <w:p>
      <w:pPr>
        <w:spacing w:line="360" w:lineRule="auto"/>
        <w:rPr>
          <w:rFonts w:hint="default" w:ascii="Times New Roman" w:hAnsi="Times New Roman" w:cs="Times New Roman"/>
          <w:b/>
          <w:color w:val="000000" w:themeColor="text1"/>
          <w:spacing w:val="58"/>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2、按监测要求配备检测人员，检测人员需具有相应的检测资质证书；</w:t>
      </w:r>
    </w:p>
    <w:p>
      <w:pPr>
        <w:spacing w:line="360" w:lineRule="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3、现场查勘、测试，记录各种数据和状况；及时整理技术资料，全面分析，论证定性，作出综合判断；</w:t>
      </w:r>
    </w:p>
    <w:p>
      <w:pPr>
        <w:spacing w:line="360" w:lineRule="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4、出具《</w:t>
      </w:r>
      <w:r>
        <w:rPr>
          <w:rFonts w:hint="default" w:ascii="Times New Roman" w:hAnsi="Times New Roman" w:cs="Times New Roman"/>
          <w:color w:val="000000" w:themeColor="text1"/>
          <w:szCs w:val="21"/>
          <w:highlight w:val="none"/>
          <w:lang w:val="en-US" w:eastAsia="zh-CN"/>
          <w14:textFill>
            <w14:solidFill>
              <w14:schemeClr w14:val="tx1"/>
            </w14:solidFill>
          </w14:textFill>
        </w:rPr>
        <w:t>监测</w:t>
      </w:r>
      <w:r>
        <w:rPr>
          <w:rFonts w:hint="default" w:ascii="Times New Roman" w:hAnsi="Times New Roman" w:cs="Times New Roman"/>
          <w:color w:val="000000" w:themeColor="text1"/>
          <w:szCs w:val="21"/>
          <w:highlight w:val="none"/>
          <w14:textFill>
            <w14:solidFill>
              <w14:schemeClr w14:val="tx1"/>
            </w14:solidFill>
          </w14:textFill>
        </w:rPr>
        <w:t>报告》（报告应包括相应的</w:t>
      </w:r>
      <w:r>
        <w:rPr>
          <w:rFonts w:hint="default" w:ascii="Times New Roman" w:hAnsi="Times New Roman" w:cs="Times New Roman"/>
          <w:color w:val="000000" w:themeColor="text1"/>
          <w:szCs w:val="21"/>
          <w:highlight w:val="none"/>
          <w:lang w:val="en-US" w:eastAsia="zh-CN"/>
          <w14:textFill>
            <w14:solidFill>
              <w14:schemeClr w14:val="tx1"/>
            </w14:solidFill>
          </w14:textFill>
        </w:rPr>
        <w:t>监测</w:t>
      </w:r>
      <w:r>
        <w:rPr>
          <w:rFonts w:hint="default" w:ascii="Times New Roman" w:hAnsi="Times New Roman" w:cs="Times New Roman"/>
          <w:color w:val="000000" w:themeColor="text1"/>
          <w:szCs w:val="21"/>
          <w:highlight w:val="none"/>
          <w14:textFill>
            <w14:solidFill>
              <w14:schemeClr w14:val="tx1"/>
            </w14:solidFill>
          </w14:textFill>
        </w:rPr>
        <w:t>数据）；</w:t>
      </w:r>
    </w:p>
    <w:p>
      <w:pPr>
        <w:spacing w:line="360" w:lineRule="auto"/>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5、服从甲、乙双方的监管，在发现重大异常情况时，应迅速报告</w:t>
      </w:r>
      <w:r>
        <w:rPr>
          <w:rFonts w:hint="default" w:ascii="Times New Roman" w:hAnsi="Times New Roman" w:cs="Times New Roman"/>
          <w:color w:val="000000" w:themeColor="text1"/>
          <w:kern w:val="0"/>
          <w:szCs w:val="21"/>
          <w:highlight w:val="none"/>
          <w14:textFill>
            <w14:solidFill>
              <w14:schemeClr w14:val="tx1"/>
            </w14:solidFill>
          </w14:textFill>
        </w:rPr>
        <w:t>当地街道和</w:t>
      </w:r>
      <w:r>
        <w:rPr>
          <w:rFonts w:hint="default" w:ascii="Times New Roman" w:hAnsi="Times New Roman" w:cs="Times New Roman"/>
          <w:color w:val="000000" w:themeColor="text1"/>
          <w:szCs w:val="21"/>
          <w:highlight w:val="none"/>
          <w14:textFill>
            <w14:solidFill>
              <w14:schemeClr w14:val="tx1"/>
            </w14:solidFill>
          </w14:textFill>
        </w:rPr>
        <w:t>区危改办</w:t>
      </w:r>
      <w:r>
        <w:rPr>
          <w:rFonts w:hint="default" w:ascii="Times New Roman" w:hAnsi="Times New Roman" w:cs="Times New Roman"/>
          <w:color w:val="000000" w:themeColor="text1"/>
          <w:kern w:val="0"/>
          <w:szCs w:val="21"/>
          <w:highlight w:val="none"/>
          <w14:textFill>
            <w14:solidFill>
              <w14:schemeClr w14:val="tx1"/>
            </w14:solidFill>
          </w14:textFill>
        </w:rPr>
        <w:t>，并协助街道做好居民撤离工作；如遇台风、暴雨、大雪等灾害性天气，按甲方要求做好值班巡查工作，并实时监测，并及将检测结果上报所属街道。</w:t>
      </w:r>
    </w:p>
    <w:p>
      <w:pPr>
        <w:spacing w:line="360" w:lineRule="auto"/>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6、危房发生重大变化情况下,丙方未及时报告甲、乙双方，引起的责任由丙方负责。</w:t>
      </w:r>
    </w:p>
    <w:p>
      <w:pPr>
        <w:spacing w:line="480" w:lineRule="exact"/>
        <w:rPr>
          <w:rFonts w:hint="default" w:ascii="Times New Roman" w:hAnsi="Times New Roman" w:cs="Times New Roman"/>
          <w:b w:val="0"/>
          <w:bCs w:val="0"/>
          <w:color w:val="000000"/>
          <w:szCs w:val="21"/>
          <w:highlight w:val="none"/>
        </w:rPr>
      </w:pPr>
      <w:r>
        <w:rPr>
          <w:rFonts w:hint="eastAsia" w:ascii="Times New Roman" w:hAnsi="Times New Roman" w:cs="Times New Roman"/>
          <w:b w:val="0"/>
          <w:bCs w:val="0"/>
          <w:color w:val="000000"/>
          <w:szCs w:val="21"/>
          <w:highlight w:val="none"/>
          <w:lang w:val="en-US" w:eastAsia="zh-CN"/>
        </w:rPr>
        <w:t>7、丙方</w:t>
      </w:r>
      <w:r>
        <w:rPr>
          <w:rFonts w:hint="default" w:ascii="Times New Roman" w:hAnsi="Times New Roman" w:cs="Times New Roman"/>
          <w:b w:val="0"/>
          <w:bCs w:val="0"/>
          <w:color w:val="000000"/>
          <w:szCs w:val="21"/>
          <w:highlight w:val="none"/>
        </w:rPr>
        <w:t>对居民及社区反映有关房屋安全的信访和投诉类情况进行现场勘查，并出具相关报告（报告期限为甲方通知受理之日起2个工作日内）；</w:t>
      </w:r>
    </w:p>
    <w:p>
      <w:pPr>
        <w:spacing w:line="480" w:lineRule="exact"/>
        <w:rPr>
          <w:rFonts w:hint="default" w:ascii="Times New Roman" w:hAnsi="Times New Roman" w:cs="Times New Roman"/>
          <w:b w:val="0"/>
          <w:bCs w:val="0"/>
          <w:color w:val="000000"/>
          <w:szCs w:val="21"/>
          <w:highlight w:val="none"/>
        </w:rPr>
      </w:pPr>
      <w:r>
        <w:rPr>
          <w:rFonts w:hint="eastAsia" w:ascii="Times New Roman" w:hAnsi="Times New Roman" w:cs="Times New Roman"/>
          <w:b w:val="0"/>
          <w:bCs w:val="0"/>
          <w:color w:val="000000"/>
          <w:szCs w:val="21"/>
          <w:highlight w:val="none"/>
          <w:lang w:val="en-US" w:eastAsia="zh-CN"/>
        </w:rPr>
        <w:t>8、丙方须</w:t>
      </w:r>
      <w:r>
        <w:rPr>
          <w:rFonts w:hint="default" w:ascii="Times New Roman" w:hAnsi="Times New Roman" w:cs="Times New Roman"/>
          <w:b w:val="0"/>
          <w:bCs w:val="0"/>
          <w:color w:val="000000"/>
          <w:szCs w:val="21"/>
          <w:highlight w:val="none"/>
        </w:rPr>
        <w:t>在定海区驻点，安排常驻工作人员2人以上。24小时提供技术支持，全天候处理突发事件并随时到达</w:t>
      </w:r>
      <w:r>
        <w:rPr>
          <w:rFonts w:hint="eastAsia" w:ascii="Times New Roman" w:hAnsi="Times New Roman" w:cs="Times New Roman"/>
          <w:b w:val="0"/>
          <w:bCs w:val="0"/>
          <w:color w:val="000000"/>
          <w:szCs w:val="21"/>
          <w:highlight w:val="none"/>
          <w:lang w:val="en-US" w:eastAsia="zh-CN"/>
        </w:rPr>
        <w:t>甲方</w:t>
      </w:r>
      <w:r>
        <w:rPr>
          <w:rFonts w:hint="default" w:ascii="Times New Roman" w:hAnsi="Times New Roman" w:cs="Times New Roman"/>
          <w:b w:val="0"/>
          <w:bCs w:val="0"/>
          <w:color w:val="000000"/>
          <w:szCs w:val="21"/>
          <w:highlight w:val="none"/>
        </w:rPr>
        <w:t>指定地点，接到</w:t>
      </w:r>
      <w:r>
        <w:rPr>
          <w:rFonts w:hint="eastAsia" w:ascii="Times New Roman" w:hAnsi="Times New Roman" w:cs="Times New Roman"/>
          <w:b w:val="0"/>
          <w:bCs w:val="0"/>
          <w:color w:val="000000"/>
          <w:szCs w:val="21"/>
          <w:highlight w:val="none"/>
          <w:lang w:val="en-US" w:eastAsia="zh-CN"/>
        </w:rPr>
        <w:t>甲方</w:t>
      </w:r>
      <w:r>
        <w:rPr>
          <w:rFonts w:hint="default" w:ascii="Times New Roman" w:hAnsi="Times New Roman" w:cs="Times New Roman"/>
          <w:b w:val="0"/>
          <w:bCs w:val="0"/>
          <w:color w:val="000000"/>
          <w:szCs w:val="21"/>
          <w:highlight w:val="none"/>
        </w:rPr>
        <w:t>通知后，30分钟内做出回应，1小时内到达现场。</w:t>
      </w:r>
    </w:p>
    <w:p>
      <w:pPr>
        <w:pStyle w:val="13"/>
        <w:ind w:left="0" w:leftChars="0" w:firstLine="0" w:firstLineChars="0"/>
        <w:rPr>
          <w:rFonts w:hint="default" w:ascii="Times New Roman" w:hAnsi="Times New Roman" w:cs="Times New Roman"/>
          <w:b w:val="0"/>
          <w:bCs w:val="0"/>
          <w:color w:val="000000" w:themeColor="text1"/>
          <w:kern w:val="0"/>
          <w:sz w:val="24"/>
          <w:szCs w:val="32"/>
          <w:highlight w:val="none"/>
          <w:lang w:val="zh-CN"/>
          <w14:textFill>
            <w14:solidFill>
              <w14:schemeClr w14:val="tx1"/>
            </w14:solidFill>
          </w14:textFill>
        </w:rPr>
      </w:pPr>
      <w:r>
        <w:rPr>
          <w:rFonts w:hint="eastAsia" w:cs="Times New Roman"/>
          <w:b w:val="0"/>
          <w:bCs w:val="0"/>
          <w:color w:val="000000"/>
          <w:szCs w:val="21"/>
          <w:highlight w:val="none"/>
          <w:lang w:val="en-US" w:eastAsia="zh-CN"/>
        </w:rPr>
        <w:t>9、</w:t>
      </w:r>
      <w:r>
        <w:rPr>
          <w:rFonts w:hint="default" w:ascii="Times New Roman" w:hAnsi="Times New Roman" w:cs="Times New Roman"/>
          <w:b w:val="0"/>
          <w:bCs w:val="0"/>
          <w:color w:val="000000"/>
          <w:szCs w:val="21"/>
          <w:highlight w:val="none"/>
        </w:rPr>
        <w:t>其他涉及危房工作开展，</w:t>
      </w:r>
      <w:r>
        <w:rPr>
          <w:rFonts w:hint="eastAsia" w:cs="Times New Roman"/>
          <w:b w:val="0"/>
          <w:bCs w:val="0"/>
          <w:color w:val="000000"/>
          <w:szCs w:val="21"/>
          <w:highlight w:val="none"/>
          <w:lang w:val="en-US" w:eastAsia="zh-CN"/>
        </w:rPr>
        <w:t>丙方</w:t>
      </w:r>
      <w:r>
        <w:rPr>
          <w:rFonts w:hint="default" w:ascii="Times New Roman" w:hAnsi="Times New Roman" w:cs="Times New Roman"/>
          <w:b w:val="0"/>
          <w:bCs w:val="0"/>
          <w:color w:val="000000"/>
          <w:szCs w:val="21"/>
          <w:highlight w:val="none"/>
        </w:rPr>
        <w:t>无条件服从主管部门安排的工作。</w:t>
      </w:r>
    </w:p>
    <w:p>
      <w:pPr>
        <w:spacing w:line="360" w:lineRule="auto"/>
        <w:rPr>
          <w:rFonts w:hint="default" w:ascii="Times New Roman" w:hAnsi="Times New Roman" w:cs="Times New Roman"/>
          <w:b/>
          <w:color w:val="000000" w:themeColor="text1"/>
          <w:spacing w:val="24"/>
          <w:szCs w:val="21"/>
          <w:highlight w:val="none"/>
          <w14:textFill>
            <w14:solidFill>
              <w14:schemeClr w14:val="tx1"/>
            </w14:solidFill>
          </w14:textFill>
        </w:rPr>
      </w:pPr>
      <w:r>
        <w:rPr>
          <w:rFonts w:hint="default" w:ascii="Times New Roman" w:hAnsi="Times New Roman" w:cs="Times New Roman"/>
          <w:b/>
          <w:color w:val="000000" w:themeColor="text1"/>
          <w:spacing w:val="24"/>
          <w:szCs w:val="21"/>
          <w:highlight w:val="none"/>
          <w:lang w:val="en-US" w:eastAsia="zh-CN"/>
          <w14:textFill>
            <w14:solidFill>
              <w14:schemeClr w14:val="tx1"/>
            </w14:solidFill>
          </w14:textFill>
        </w:rPr>
        <w:t>六</w:t>
      </w:r>
      <w:r>
        <w:rPr>
          <w:rFonts w:hint="default" w:ascii="Times New Roman" w:hAnsi="Times New Roman" w:cs="Times New Roman"/>
          <w:b/>
          <w:color w:val="000000" w:themeColor="text1"/>
          <w:spacing w:val="24"/>
          <w:szCs w:val="21"/>
          <w:highlight w:val="none"/>
          <w14:textFill>
            <w14:solidFill>
              <w14:schemeClr w14:val="tx1"/>
            </w14:solidFill>
          </w14:textFill>
        </w:rPr>
        <w:t>、履行期限和方式：</w:t>
      </w:r>
    </w:p>
    <w:p>
      <w:pPr>
        <w:spacing w:line="360" w:lineRule="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1．甲方应提前三天通知丙方工作，丙方应按时进场工作；</w:t>
      </w:r>
    </w:p>
    <w:p>
      <w:pPr>
        <w:tabs>
          <w:tab w:val="left" w:pos="720"/>
          <w:tab w:val="left" w:pos="840"/>
        </w:tabs>
        <w:spacing w:line="360" w:lineRule="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 xml:space="preserve">2. 丙方完成现场工作后十个工作日内，向乙方提交成果报告。 </w:t>
      </w:r>
    </w:p>
    <w:p>
      <w:pPr>
        <w:spacing w:line="480" w:lineRule="exact"/>
        <w:rPr>
          <w:rFonts w:hint="default" w:ascii="Times New Roman" w:hAnsi="Times New Roman" w:cs="Times New Roman"/>
          <w:b/>
          <w:szCs w:val="21"/>
          <w:highlight w:val="none"/>
        </w:rPr>
      </w:pPr>
      <w:r>
        <w:rPr>
          <w:rFonts w:hint="default" w:ascii="Times New Roman" w:hAnsi="Times New Roman" w:cs="Times New Roman"/>
          <w:b/>
          <w:szCs w:val="21"/>
          <w:highlight w:val="none"/>
        </w:rPr>
        <w:t>成果文件要求具体要求如下：</w:t>
      </w:r>
    </w:p>
    <w:tbl>
      <w:tblPr>
        <w:tblStyle w:val="2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3119"/>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noWrap w:val="0"/>
            <w:vAlign w:val="center"/>
          </w:tcPr>
          <w:p>
            <w:pPr>
              <w:spacing w:line="480" w:lineRule="exac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资料及文件名称</w:t>
            </w:r>
          </w:p>
        </w:tc>
        <w:tc>
          <w:tcPr>
            <w:tcW w:w="3119" w:type="dxa"/>
            <w:noWrap w:val="0"/>
            <w:vAlign w:val="center"/>
          </w:tcPr>
          <w:p>
            <w:pPr>
              <w:spacing w:line="480" w:lineRule="exac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套数</w:t>
            </w:r>
          </w:p>
        </w:tc>
        <w:tc>
          <w:tcPr>
            <w:tcW w:w="2969" w:type="dxa"/>
            <w:noWrap w:val="0"/>
            <w:vAlign w:val="center"/>
          </w:tcPr>
          <w:p>
            <w:pPr>
              <w:spacing w:line="480" w:lineRule="exact"/>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noWrap w:val="0"/>
            <w:vAlign w:val="center"/>
          </w:tcPr>
          <w:p>
            <w:pPr>
              <w:tabs>
                <w:tab w:val="left" w:pos="851"/>
              </w:tabs>
              <w:spacing w:line="4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房屋安全动态月度监测报告</w:t>
            </w:r>
          </w:p>
        </w:tc>
        <w:tc>
          <w:tcPr>
            <w:tcW w:w="3119" w:type="dxa"/>
            <w:noWrap w:val="0"/>
            <w:vAlign w:val="center"/>
          </w:tcPr>
          <w:p>
            <w:pPr>
              <w:tabs>
                <w:tab w:val="left" w:pos="851"/>
              </w:tabs>
              <w:spacing w:line="4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书面文本3套、电子文本1套</w:t>
            </w:r>
          </w:p>
        </w:tc>
        <w:tc>
          <w:tcPr>
            <w:tcW w:w="2969" w:type="dxa"/>
            <w:noWrap w:val="0"/>
            <w:vAlign w:val="center"/>
          </w:tcPr>
          <w:p>
            <w:pPr>
              <w:tabs>
                <w:tab w:val="left" w:pos="851"/>
              </w:tabs>
              <w:spacing w:line="4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每月度结束后1周内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noWrap w:val="0"/>
            <w:vAlign w:val="center"/>
          </w:tcPr>
          <w:p>
            <w:pPr>
              <w:tabs>
                <w:tab w:val="left" w:pos="851"/>
              </w:tabs>
              <w:spacing w:line="4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房屋安全动态季度监测报告</w:t>
            </w:r>
          </w:p>
        </w:tc>
        <w:tc>
          <w:tcPr>
            <w:tcW w:w="3119" w:type="dxa"/>
            <w:noWrap w:val="0"/>
            <w:vAlign w:val="center"/>
          </w:tcPr>
          <w:p>
            <w:pPr>
              <w:tabs>
                <w:tab w:val="left" w:pos="851"/>
              </w:tabs>
              <w:spacing w:line="4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书面文本3套、电子文本1套</w:t>
            </w:r>
          </w:p>
        </w:tc>
        <w:tc>
          <w:tcPr>
            <w:tcW w:w="2969" w:type="dxa"/>
            <w:noWrap w:val="0"/>
            <w:vAlign w:val="center"/>
          </w:tcPr>
          <w:p>
            <w:pPr>
              <w:tabs>
                <w:tab w:val="left" w:pos="851"/>
              </w:tabs>
              <w:spacing w:line="4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每季度结束后2周内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noWrap w:val="0"/>
            <w:vAlign w:val="center"/>
          </w:tcPr>
          <w:p>
            <w:pPr>
              <w:tabs>
                <w:tab w:val="left" w:pos="851"/>
              </w:tabs>
              <w:spacing w:line="4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房屋安全动态年度监测报告</w:t>
            </w:r>
          </w:p>
        </w:tc>
        <w:tc>
          <w:tcPr>
            <w:tcW w:w="3119" w:type="dxa"/>
            <w:noWrap w:val="0"/>
            <w:vAlign w:val="center"/>
          </w:tcPr>
          <w:p>
            <w:pPr>
              <w:tabs>
                <w:tab w:val="left" w:pos="851"/>
              </w:tabs>
              <w:spacing w:line="4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书面文本3套、电子文本1套</w:t>
            </w:r>
          </w:p>
        </w:tc>
        <w:tc>
          <w:tcPr>
            <w:tcW w:w="2969" w:type="dxa"/>
            <w:noWrap w:val="0"/>
            <w:vAlign w:val="center"/>
          </w:tcPr>
          <w:p>
            <w:pPr>
              <w:tabs>
                <w:tab w:val="left" w:pos="851"/>
              </w:tabs>
              <w:spacing w:line="48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合同期结束后30日内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noWrap w:val="0"/>
            <w:vAlign w:val="center"/>
          </w:tcPr>
          <w:p>
            <w:pPr>
              <w:tabs>
                <w:tab w:val="left" w:pos="851"/>
              </w:tabs>
              <w:spacing w:line="240" w:lineRule="auto"/>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服务期结束后本项目所有数据资料</w:t>
            </w:r>
          </w:p>
        </w:tc>
        <w:tc>
          <w:tcPr>
            <w:tcW w:w="3119" w:type="dxa"/>
            <w:noWrap w:val="0"/>
            <w:vAlign w:val="center"/>
          </w:tcPr>
          <w:p>
            <w:pPr>
              <w:tabs>
                <w:tab w:val="left" w:pos="851"/>
              </w:tabs>
              <w:spacing w:line="48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Cs w:val="21"/>
                <w:highlight w:val="none"/>
              </w:rPr>
              <w:t>电子文本1套</w:t>
            </w:r>
          </w:p>
        </w:tc>
        <w:tc>
          <w:tcPr>
            <w:tcW w:w="2969" w:type="dxa"/>
            <w:noWrap w:val="0"/>
            <w:vAlign w:val="center"/>
          </w:tcPr>
          <w:p>
            <w:pPr>
              <w:tabs>
                <w:tab w:val="left" w:pos="851"/>
              </w:tabs>
              <w:spacing w:line="48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Cs w:val="21"/>
                <w:highlight w:val="none"/>
              </w:rPr>
              <w:t>合同期结束后</w:t>
            </w:r>
            <w:r>
              <w:rPr>
                <w:rFonts w:hint="eastAsia" w:ascii="Times New Roman" w:hAnsi="Times New Roman" w:cs="Times New Roman"/>
                <w:szCs w:val="21"/>
                <w:highlight w:val="none"/>
                <w:lang w:val="en-US" w:eastAsia="zh-CN"/>
              </w:rPr>
              <w:t>15</w:t>
            </w:r>
            <w:r>
              <w:rPr>
                <w:rFonts w:hint="default" w:ascii="Times New Roman" w:hAnsi="Times New Roman" w:cs="Times New Roman"/>
                <w:szCs w:val="21"/>
                <w:highlight w:val="none"/>
              </w:rPr>
              <w:t>日内</w:t>
            </w:r>
          </w:p>
        </w:tc>
      </w:tr>
    </w:tbl>
    <w:p>
      <w:pPr>
        <w:spacing w:line="360" w:lineRule="auto"/>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pacing w:val="24"/>
          <w:szCs w:val="21"/>
          <w:highlight w:val="none"/>
          <w:lang w:val="en-US" w:eastAsia="zh-CN"/>
          <w14:textFill>
            <w14:solidFill>
              <w14:schemeClr w14:val="tx1"/>
            </w14:solidFill>
          </w14:textFill>
        </w:rPr>
        <w:t>七</w:t>
      </w:r>
      <w:r>
        <w:rPr>
          <w:rFonts w:hint="default" w:ascii="Times New Roman" w:hAnsi="Times New Roman" w:cs="Times New Roman"/>
          <w:b/>
          <w:color w:val="000000" w:themeColor="text1"/>
          <w:spacing w:val="24"/>
          <w:szCs w:val="21"/>
          <w:highlight w:val="none"/>
          <w14:textFill>
            <w14:solidFill>
              <w14:schemeClr w14:val="tx1"/>
            </w14:solidFill>
          </w14:textFill>
        </w:rPr>
        <w:t>、</w:t>
      </w:r>
      <w:r>
        <w:rPr>
          <w:rFonts w:hint="default" w:ascii="Times New Roman" w:hAnsi="Times New Roman" w:cs="Times New Roman"/>
          <w:b/>
          <w:color w:val="000000" w:themeColor="text1"/>
          <w:szCs w:val="21"/>
          <w:highlight w:val="none"/>
          <w14:textFill>
            <w14:solidFill>
              <w14:schemeClr w14:val="tx1"/>
            </w14:solidFill>
          </w14:textFill>
        </w:rPr>
        <w:t>报酬及其支付方式：</w:t>
      </w:r>
    </w:p>
    <w:p>
      <w:pPr>
        <w:spacing w:line="360" w:lineRule="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w:t>
      </w:r>
      <w:r>
        <w:rPr>
          <w:rFonts w:hint="default" w:ascii="Times New Roman" w:hAnsi="Times New Roman" w:cs="Times New Roman"/>
          <w:color w:val="000000" w:themeColor="text1"/>
          <w:szCs w:val="21"/>
          <w:highlight w:val="none"/>
          <w:lang w:val="en-US" w:eastAsia="zh-CN"/>
          <w14:textFill>
            <w14:solidFill>
              <w14:schemeClr w14:val="tx1"/>
            </w14:solidFill>
          </w14:textFill>
        </w:rPr>
        <w:t>本项目服务费用</w:t>
      </w:r>
      <w:r>
        <w:rPr>
          <w:rFonts w:hint="default" w:ascii="Times New Roman" w:hAnsi="Times New Roman" w:cs="Times New Roman"/>
          <w:color w:val="000000" w:themeColor="text1"/>
          <w:szCs w:val="21"/>
          <w:highlight w:val="none"/>
          <w14:textFill>
            <w14:solidFill>
              <w14:schemeClr w14:val="tx1"/>
            </w14:solidFill>
          </w14:textFill>
        </w:rPr>
        <w:t>：</w:t>
      </w:r>
    </w:p>
    <w:p>
      <w:pPr>
        <w:spacing w:line="360" w:lineRule="auto"/>
        <w:ind w:firstLine="420" w:firstLineChars="200"/>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szCs w:val="21"/>
          <w:highlight w:val="none"/>
          <w:lang w:val="en-US" w:eastAsia="zh-CN"/>
          <w14:textFill>
            <w14:solidFill>
              <w14:schemeClr w14:val="tx1"/>
            </w14:solidFill>
          </w14:textFill>
        </w:rPr>
        <w:t>人工动态</w:t>
      </w:r>
      <w:r>
        <w:rPr>
          <w:rFonts w:hint="default" w:ascii="Times New Roman" w:hAnsi="Times New Roman" w:cs="Times New Roman"/>
          <w:color w:val="000000" w:themeColor="text1"/>
          <w:szCs w:val="21"/>
          <w:highlight w:val="none"/>
          <w14:textFill>
            <w14:solidFill>
              <w14:schemeClr w14:val="tx1"/>
            </w14:solidFill>
          </w14:textFill>
        </w:rPr>
        <w:t>监测建筑物共</w:t>
      </w:r>
      <w:r>
        <w:rPr>
          <w:rFonts w:hint="default" w:ascii="Times New Roman" w:hAnsi="Times New Roman" w:cs="Times New Roman"/>
          <w:color w:val="000000" w:themeColor="text1"/>
          <w:kern w:val="0"/>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kern w:val="0"/>
          <w:szCs w:val="21"/>
          <w:highlight w:val="none"/>
          <w:u w:val="single"/>
          <w:lang w:val="en-US" w:eastAsia="zh-CN"/>
          <w14:textFill>
            <w14:solidFill>
              <w14:schemeClr w14:val="tx1"/>
            </w14:solidFill>
          </w14:textFill>
        </w:rPr>
        <w:t xml:space="preserve">544 </w:t>
      </w:r>
      <w:r>
        <w:rPr>
          <w:rFonts w:hint="default" w:ascii="Times New Roman" w:hAnsi="Times New Roman" w:cs="Times New Roman"/>
          <w:color w:val="000000" w:themeColor="text1"/>
          <w:kern w:val="0"/>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kern w:val="0"/>
          <w:szCs w:val="21"/>
          <w:highlight w:val="none"/>
          <w14:textFill>
            <w14:solidFill>
              <w14:schemeClr w14:val="tx1"/>
            </w14:solidFill>
          </w14:textFill>
        </w:rPr>
        <w:t>幢，每幢</w:t>
      </w:r>
      <w:r>
        <w:rPr>
          <w:rFonts w:hint="default" w:ascii="Times New Roman" w:hAnsi="Times New Roman" w:cs="Times New Roman"/>
          <w:color w:val="000000" w:themeColor="text1"/>
          <w:kern w:val="0"/>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kern w:val="0"/>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kern w:val="0"/>
          <w:szCs w:val="21"/>
          <w:highlight w:val="none"/>
          <w14:textFill>
            <w14:solidFill>
              <w14:schemeClr w14:val="tx1"/>
            </w14:solidFill>
          </w14:textFill>
        </w:rPr>
        <w:t>元，</w:t>
      </w:r>
      <w:r>
        <w:rPr>
          <w:rFonts w:hint="default" w:ascii="Times New Roman" w:hAnsi="Times New Roman" w:cs="Times New Roman"/>
          <w:color w:val="000000" w:themeColor="text1"/>
          <w:szCs w:val="21"/>
          <w:highlight w:val="none"/>
          <w14:textFill>
            <w14:solidFill>
              <w14:schemeClr w14:val="tx1"/>
            </w14:solidFill>
          </w14:textFill>
        </w:rPr>
        <w:t>共计费用</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元</w:t>
      </w:r>
      <w:r>
        <w:rPr>
          <w:rFonts w:hint="default" w:ascii="Times New Roman" w:hAnsi="Times New Roman" w:cs="Times New Roman"/>
          <w:color w:val="000000" w:themeColor="text1"/>
          <w:szCs w:val="21"/>
          <w:highlight w:val="none"/>
          <w:lang w:eastAsia="zh-CN"/>
          <w14:textFill>
            <w14:solidFill>
              <w14:schemeClr w14:val="tx1"/>
            </w14:solidFill>
          </w14:textFill>
        </w:rPr>
        <w:t>；</w:t>
      </w:r>
    </w:p>
    <w:p>
      <w:pPr>
        <w:spacing w:line="360" w:lineRule="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结算价调整：按实际监测幢数及实际监测月份数调整结算价。</w:t>
      </w:r>
    </w:p>
    <w:p>
      <w:pPr>
        <w:numPr>
          <w:ilvl w:val="0"/>
          <w:numId w:val="10"/>
        </w:numPr>
        <w:spacing w:line="360" w:lineRule="auto"/>
        <w:ind w:firstLine="420" w:firstLineChars="200"/>
        <w:rPr>
          <w:rFonts w:hint="default" w:ascii="Times New Roman" w:hAnsi="Times New Roman"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城镇房屋装修安全专项技术服务</w:t>
      </w:r>
      <w:r>
        <w:rPr>
          <w:rFonts w:hint="default" w:ascii="Times New Roman" w:hAnsi="Times New Roman" w:cs="Times New Roman"/>
          <w:color w:val="000000" w:themeColor="text1"/>
          <w:szCs w:val="21"/>
          <w:highlight w:val="none"/>
          <w:lang w:val="en-US" w:eastAsia="zh-CN"/>
          <w14:textFill>
            <w14:solidFill>
              <w14:schemeClr w14:val="tx1"/>
            </w14:solidFill>
          </w14:textFill>
        </w:rPr>
        <w:t>共</w:t>
      </w:r>
      <w:r>
        <w:rPr>
          <w:rFonts w:hint="default" w:ascii="Times New Roman" w:hAnsi="Times New Roman" w:cs="Times New Roman"/>
          <w:color w:val="000000" w:themeColor="text1"/>
          <w:kern w:val="0"/>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kern w:val="0"/>
          <w:szCs w:val="21"/>
          <w:highlight w:val="none"/>
          <w:u w:val="single"/>
          <w:lang w:val="en-US" w:eastAsia="zh-CN"/>
          <w14:textFill>
            <w14:solidFill>
              <w14:schemeClr w14:val="tx1"/>
            </w14:solidFill>
          </w14:textFill>
        </w:rPr>
        <w:t xml:space="preserve">1000 </w:t>
      </w:r>
      <w:r>
        <w:rPr>
          <w:rFonts w:hint="default" w:ascii="Times New Roman" w:hAnsi="Times New Roman" w:cs="Times New Roman"/>
          <w:color w:val="000000" w:themeColor="text1"/>
          <w:kern w:val="0"/>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kern w:val="0"/>
          <w:szCs w:val="21"/>
          <w:highlight w:val="none"/>
          <w:lang w:val="en-US" w:eastAsia="zh-CN"/>
          <w14:textFill>
            <w14:solidFill>
              <w14:schemeClr w14:val="tx1"/>
            </w14:solidFill>
          </w14:textFill>
        </w:rPr>
        <w:t>户</w:t>
      </w:r>
      <w:r>
        <w:rPr>
          <w:rFonts w:hint="default" w:ascii="Times New Roman" w:hAnsi="Times New Roman" w:cs="Times New Roman"/>
          <w:color w:val="000000" w:themeColor="text1"/>
          <w:kern w:val="0"/>
          <w:szCs w:val="21"/>
          <w:highlight w:val="none"/>
          <w14:textFill>
            <w14:solidFill>
              <w14:schemeClr w14:val="tx1"/>
            </w14:solidFill>
          </w14:textFill>
        </w:rPr>
        <w:t>，每</w:t>
      </w:r>
      <w:r>
        <w:rPr>
          <w:rFonts w:hint="default" w:ascii="Times New Roman" w:hAnsi="Times New Roman" w:cs="Times New Roman"/>
          <w:color w:val="000000" w:themeColor="text1"/>
          <w:kern w:val="0"/>
          <w:szCs w:val="21"/>
          <w:highlight w:val="none"/>
          <w:lang w:val="en-US" w:eastAsia="zh-CN"/>
          <w14:textFill>
            <w14:solidFill>
              <w14:schemeClr w14:val="tx1"/>
            </w14:solidFill>
          </w14:textFill>
        </w:rPr>
        <w:t>户</w:t>
      </w:r>
      <w:r>
        <w:rPr>
          <w:rFonts w:hint="default" w:ascii="Times New Roman" w:hAnsi="Times New Roman" w:cs="Times New Roman"/>
          <w:color w:val="000000" w:themeColor="text1"/>
          <w:kern w:val="0"/>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kern w:val="0"/>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kern w:val="0"/>
          <w:szCs w:val="21"/>
          <w:highlight w:val="none"/>
          <w14:textFill>
            <w14:solidFill>
              <w14:schemeClr w14:val="tx1"/>
            </w14:solidFill>
          </w14:textFill>
        </w:rPr>
        <w:t>元，</w:t>
      </w:r>
      <w:r>
        <w:rPr>
          <w:rFonts w:hint="default" w:ascii="Times New Roman" w:hAnsi="Times New Roman" w:cs="Times New Roman"/>
          <w:color w:val="000000" w:themeColor="text1"/>
          <w:szCs w:val="21"/>
          <w:highlight w:val="none"/>
          <w14:textFill>
            <w14:solidFill>
              <w14:schemeClr w14:val="tx1"/>
            </w14:solidFill>
          </w14:textFill>
        </w:rPr>
        <w:t>共计费用</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元</w:t>
      </w:r>
      <w:r>
        <w:rPr>
          <w:rFonts w:hint="default" w:ascii="Times New Roman" w:hAnsi="Times New Roman" w:cs="Times New Roman"/>
          <w:color w:val="000000" w:themeColor="text1"/>
          <w:szCs w:val="21"/>
          <w:highlight w:val="none"/>
          <w:lang w:eastAsia="zh-CN"/>
          <w14:textFill>
            <w14:solidFill>
              <w14:schemeClr w14:val="tx1"/>
            </w14:solidFill>
          </w14:textFill>
        </w:rPr>
        <w:t>。</w:t>
      </w:r>
    </w:p>
    <w:p>
      <w:pPr>
        <w:numPr>
          <w:ilvl w:val="0"/>
          <w:numId w:val="10"/>
        </w:numPr>
        <w:spacing w:line="360" w:lineRule="auto"/>
        <w:ind w:firstLine="420" w:firstLineChars="200"/>
        <w:rPr>
          <w:rFonts w:hint="default"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合同总价（人民币）</w:t>
      </w:r>
      <w:r>
        <w:rPr>
          <w:rFonts w:hint="eastAsia" w:ascii="Times New Roman" w:hAnsi="Times New Roman" w:cs="Times New Roman"/>
          <w:color w:val="000000" w:themeColor="text1"/>
          <w:kern w:val="0"/>
          <w:szCs w:val="21"/>
          <w:highlight w:val="none"/>
          <w:u w:val="none"/>
          <w:lang w:val="en-US" w:eastAsia="zh-CN"/>
          <w14:textFill>
            <w14:solidFill>
              <w14:schemeClr w14:val="tx1"/>
            </w14:solidFill>
          </w14:textFill>
        </w:rPr>
        <w:t>：</w:t>
      </w:r>
      <w:r>
        <w:rPr>
          <w:rFonts w:hint="default" w:ascii="Times New Roman" w:hAnsi="Times New Roman" w:cs="Times New Roman"/>
          <w:color w:val="000000" w:themeColor="text1"/>
          <w:kern w:val="0"/>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kern w:val="0"/>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元（小写） ，大写：</w:t>
      </w:r>
      <w:r>
        <w:rPr>
          <w:rFonts w:hint="default" w:ascii="Times New Roman" w:hAnsi="Times New Roman" w:cs="Times New Roman"/>
          <w:color w:val="000000" w:themeColor="text1"/>
          <w:kern w:val="0"/>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kern w:val="0"/>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kern w:val="0"/>
          <w:szCs w:val="21"/>
          <w:highlight w:val="none"/>
          <w:u w:val="single"/>
          <w:lang w:val="en-US" w:eastAsia="zh-CN"/>
          <w14:textFill>
            <w14:solidFill>
              <w14:schemeClr w14:val="tx1"/>
            </w14:solidFill>
          </w14:textFill>
        </w:rPr>
        <w:t>元整。</w:t>
      </w:r>
    </w:p>
    <w:p>
      <w:pPr>
        <w:numPr>
          <w:ilvl w:val="0"/>
          <w:numId w:val="0"/>
        </w:numPr>
        <w:spacing w:line="360" w:lineRule="auto"/>
        <w:ind w:firstLine="422" w:firstLineChars="200"/>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1"/>
          <w:szCs w:val="21"/>
          <w:highlight w:val="none"/>
          <w:lang w:val="en-US" w:eastAsia="zh-CN" w:bidi="ar-SA"/>
          <w14:textFill>
            <w14:solidFill>
              <w14:schemeClr w14:val="tx1"/>
            </w14:solidFill>
          </w14:textFill>
        </w:rPr>
        <w:t>（4）</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城镇房屋装修安全专项技术服务</w:t>
      </w:r>
      <w:r>
        <w:rPr>
          <w:rFonts w:hint="eastAsia"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超过1000户/年的，服务费不予追加。</w:t>
      </w:r>
    </w:p>
    <w:p>
      <w:pPr>
        <w:spacing w:line="360" w:lineRule="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Cs w:val="21"/>
          <w:highlight w:val="none"/>
          <w14:textFill>
            <w14:solidFill>
              <w14:schemeClr w14:val="tx1"/>
            </w14:solidFill>
          </w14:textFill>
        </w:rPr>
        <w:t>、费用支付办法：</w:t>
      </w:r>
    </w:p>
    <w:p>
      <w:pPr>
        <w:spacing w:line="360" w:lineRule="auto"/>
        <w:rPr>
          <w:rFonts w:hint="default"/>
          <w:highlight w:val="none"/>
        </w:rPr>
      </w:pPr>
      <w:r>
        <w:rPr>
          <w:rFonts w:hint="default" w:ascii="Times New Roman" w:hAnsi="Times New Roman" w:cs="Times New Roman"/>
          <w:color w:val="000000" w:themeColor="text1"/>
          <w:highlight w:val="none"/>
          <w14:textFill>
            <w14:solidFill>
              <w14:schemeClr w14:val="tx1"/>
            </w14:solidFill>
          </w14:textFill>
        </w:rPr>
        <w:t xml:space="preserve">  （1）</w:t>
      </w:r>
      <w:r>
        <w:rPr>
          <w:rFonts w:hint="default" w:ascii="Times New Roman" w:hAnsi="Times New Roman" w:cs="Times New Roman"/>
          <w:highlight w:val="none"/>
        </w:rPr>
        <w:t>合同生效后7个工作日内支付合同总价的</w:t>
      </w:r>
      <w:r>
        <w:rPr>
          <w:rFonts w:hint="default" w:ascii="Times New Roman" w:hAnsi="Times New Roman" w:cs="Times New Roman"/>
          <w:highlight w:val="none"/>
          <w:lang w:val="en-US" w:eastAsia="zh-CN"/>
        </w:rPr>
        <w:t>20</w:t>
      </w:r>
      <w:r>
        <w:rPr>
          <w:rFonts w:hint="default" w:ascii="Times New Roman" w:hAnsi="Times New Roman" w:cs="Times New Roman"/>
          <w:highlight w:val="none"/>
        </w:rPr>
        <w:t>%作为预付款；合同生效6个月</w:t>
      </w:r>
      <w:r>
        <w:rPr>
          <w:rFonts w:hint="eastAsia" w:ascii="Times New Roman" w:hAnsi="Times New Roman" w:cs="Times New Roman"/>
          <w:highlight w:val="none"/>
          <w:lang w:eastAsia="zh-Hans"/>
        </w:rPr>
        <w:t>后</w:t>
      </w:r>
      <w:r>
        <w:rPr>
          <w:rFonts w:hint="default" w:ascii="Times New Roman" w:hAnsi="Times New Roman" w:cs="Times New Roman"/>
          <w:highlight w:val="none"/>
        </w:rPr>
        <w:t>15</w:t>
      </w:r>
      <w:r>
        <w:rPr>
          <w:rFonts w:hint="eastAsia" w:ascii="Times New Roman" w:hAnsi="Times New Roman" w:cs="Times New Roman"/>
          <w:highlight w:val="none"/>
          <w:lang w:eastAsia="zh-Hans"/>
        </w:rPr>
        <w:t>个工作日</w:t>
      </w:r>
      <w:r>
        <w:rPr>
          <w:rFonts w:hint="default" w:ascii="Times New Roman" w:hAnsi="Times New Roman" w:cs="Times New Roman"/>
          <w:highlight w:val="none"/>
        </w:rPr>
        <w:t>内支付</w:t>
      </w:r>
      <w:r>
        <w:rPr>
          <w:rFonts w:hint="eastAsia" w:ascii="Times New Roman" w:hAnsi="Times New Roman" w:cs="Times New Roman"/>
          <w:highlight w:val="none"/>
          <w:lang w:eastAsia="zh-Hans"/>
        </w:rPr>
        <w:t>项目进</w:t>
      </w:r>
      <w:r>
        <w:rPr>
          <w:rFonts w:hint="default" w:ascii="Times New Roman" w:hAnsi="Times New Roman" w:cs="Times New Roman"/>
          <w:highlight w:val="none"/>
        </w:rPr>
        <w:t>合同总价的20%；合同期</w:t>
      </w:r>
      <w:r>
        <w:rPr>
          <w:rFonts w:hint="eastAsia" w:ascii="Times New Roman" w:hAnsi="Times New Roman" w:cs="Times New Roman"/>
          <w:highlight w:val="none"/>
          <w:lang w:eastAsia="zh-Hans"/>
        </w:rPr>
        <w:t>满</w:t>
      </w:r>
      <w:r>
        <w:rPr>
          <w:rFonts w:hint="default" w:ascii="Times New Roman" w:hAnsi="Times New Roman" w:cs="Times New Roman"/>
          <w:highlight w:val="none"/>
          <w:lang w:eastAsia="zh-Hans"/>
        </w:rPr>
        <w:t>15</w:t>
      </w:r>
      <w:r>
        <w:rPr>
          <w:rFonts w:hint="eastAsia" w:ascii="Times New Roman" w:hAnsi="Times New Roman" w:cs="Times New Roman"/>
          <w:highlight w:val="none"/>
          <w:lang w:eastAsia="zh-Hans"/>
        </w:rPr>
        <w:t>个工作日内，按季度考核结果进行结算，付清余款，</w:t>
      </w:r>
      <w:r>
        <w:rPr>
          <w:rFonts w:hint="default" w:ascii="Times New Roman" w:hAnsi="Times New Roman" w:cs="Times New Roman"/>
          <w:highlight w:val="none"/>
        </w:rPr>
        <w:t>并退还履约保证金。</w:t>
      </w:r>
    </w:p>
    <w:p>
      <w:pPr>
        <w:spacing w:line="360" w:lineRule="auto"/>
        <w:ind w:firstLine="105" w:firstLineChars="5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 xml:space="preserve"> （2）监测经费由政府拨款，如因政策的影响，拨款未能及时到位，丙方不得以此为由而不履行规定的义务，否则招标人按规定扣罚。</w:t>
      </w:r>
    </w:p>
    <w:p>
      <w:pPr>
        <w:spacing w:line="360" w:lineRule="auto"/>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lang w:val="en-US" w:eastAsia="zh-CN"/>
          <w14:textFill>
            <w14:solidFill>
              <w14:schemeClr w14:val="tx1"/>
            </w14:solidFill>
          </w14:textFill>
        </w:rPr>
        <w:t>八</w:t>
      </w:r>
      <w:r>
        <w:rPr>
          <w:rFonts w:hint="default" w:ascii="Times New Roman" w:hAnsi="Times New Roman" w:cs="Times New Roman"/>
          <w:b/>
          <w:color w:val="000000" w:themeColor="text1"/>
          <w:szCs w:val="21"/>
          <w:highlight w:val="none"/>
          <w14:textFill>
            <w14:solidFill>
              <w14:schemeClr w14:val="tx1"/>
            </w14:solidFill>
          </w14:textFill>
        </w:rPr>
        <w:t>、 违约金或损失赔偿金额的计算方法</w:t>
      </w:r>
    </w:p>
    <w:p>
      <w:pPr>
        <w:spacing w:line="440" w:lineRule="exact"/>
        <w:ind w:firstLine="420" w:firstLineChars="200"/>
        <w:contextualSpacing/>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（一）</w:t>
      </w:r>
      <w:r>
        <w:rPr>
          <w:rFonts w:hint="default" w:ascii="Times New Roman" w:hAnsi="Times New Roman" w:cs="Times New Roman"/>
          <w:kern w:val="0"/>
          <w:szCs w:val="21"/>
          <w:highlight w:val="none"/>
          <w:lang w:val="en-US" w:eastAsia="zh-CN"/>
        </w:rPr>
        <w:t>丙方</w:t>
      </w:r>
      <w:r>
        <w:rPr>
          <w:rFonts w:hint="default" w:ascii="Times New Roman" w:hAnsi="Times New Roman" w:cs="Times New Roman"/>
          <w:kern w:val="0"/>
          <w:szCs w:val="21"/>
          <w:highlight w:val="none"/>
        </w:rPr>
        <w:t>应依合同的技术要求和实施方案实施监测服务，接受</w:t>
      </w:r>
      <w:r>
        <w:rPr>
          <w:rFonts w:hint="default" w:ascii="Times New Roman" w:hAnsi="Times New Roman" w:cs="Times New Roman"/>
          <w:kern w:val="0"/>
          <w:szCs w:val="21"/>
          <w:highlight w:val="none"/>
          <w:lang w:val="en-US" w:eastAsia="zh-CN"/>
        </w:rPr>
        <w:t>甲乙双方</w:t>
      </w:r>
      <w:r>
        <w:rPr>
          <w:rFonts w:hint="default" w:ascii="Times New Roman" w:hAnsi="Times New Roman" w:cs="Times New Roman"/>
          <w:kern w:val="0"/>
          <w:szCs w:val="21"/>
          <w:highlight w:val="none"/>
        </w:rPr>
        <w:t>的监督管理，主要</w:t>
      </w:r>
      <w:r>
        <w:rPr>
          <w:rFonts w:hint="default" w:ascii="Times New Roman" w:hAnsi="Times New Roman" w:cs="Times New Roman"/>
          <w:kern w:val="0"/>
          <w:szCs w:val="21"/>
          <w:highlight w:val="none"/>
          <w:lang w:val="en-US" w:eastAsia="zh-CN"/>
        </w:rPr>
        <w:t>监督</w:t>
      </w:r>
      <w:r>
        <w:rPr>
          <w:rFonts w:hint="default" w:ascii="Times New Roman" w:hAnsi="Times New Roman" w:cs="Times New Roman"/>
          <w:kern w:val="0"/>
          <w:szCs w:val="21"/>
          <w:highlight w:val="none"/>
        </w:rPr>
        <w:t>中</w:t>
      </w:r>
      <w:r>
        <w:rPr>
          <w:rFonts w:hint="default" w:ascii="Times New Roman" w:hAnsi="Times New Roman" w:cs="Times New Roman"/>
          <w:kern w:val="0"/>
          <w:szCs w:val="21"/>
          <w:highlight w:val="none"/>
          <w:lang w:val="en-US" w:eastAsia="zh-CN"/>
        </w:rPr>
        <w:t>丙方</w:t>
      </w:r>
      <w:r>
        <w:rPr>
          <w:rFonts w:hint="default" w:ascii="Times New Roman" w:hAnsi="Times New Roman" w:cs="Times New Roman"/>
          <w:kern w:val="0"/>
          <w:szCs w:val="21"/>
          <w:highlight w:val="none"/>
        </w:rPr>
        <w:t>对项目技术要求的落实情况</w:t>
      </w:r>
      <w:r>
        <w:rPr>
          <w:rFonts w:hint="default" w:ascii="Times New Roman" w:hAnsi="Times New Roman" w:cs="Times New Roman"/>
          <w:kern w:val="0"/>
          <w:szCs w:val="21"/>
          <w:highlight w:val="none"/>
          <w:lang w:eastAsia="zh-CN"/>
        </w:rPr>
        <w:t>，</w:t>
      </w:r>
      <w:r>
        <w:rPr>
          <w:rFonts w:hint="default" w:ascii="Times New Roman" w:hAnsi="Times New Roman" w:cs="Times New Roman"/>
          <w:kern w:val="0"/>
          <w:szCs w:val="21"/>
          <w:highlight w:val="none"/>
        </w:rPr>
        <w:t>根据督查情况按季度对其实施考核。</w:t>
      </w:r>
    </w:p>
    <w:p>
      <w:pPr>
        <w:spacing w:line="440" w:lineRule="exact"/>
        <w:ind w:left="0" w:leftChars="0" w:firstLine="0" w:firstLineChars="0"/>
        <w:contextualSpacing/>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房屋安全动态监测</w:t>
      </w:r>
      <w:r>
        <w:rPr>
          <w:rFonts w:hint="default" w:ascii="Times New Roman" w:hAnsi="Times New Roman" w:cs="Times New Roman"/>
          <w:kern w:val="0"/>
          <w:szCs w:val="21"/>
          <w:highlight w:val="none"/>
          <w:lang w:val="en-US" w:eastAsia="zh-CN"/>
        </w:rPr>
        <w:t>项目</w:t>
      </w:r>
      <w:r>
        <w:rPr>
          <w:rFonts w:hint="default" w:ascii="Times New Roman" w:hAnsi="Times New Roman" w:cs="Times New Roman"/>
          <w:kern w:val="0"/>
          <w:szCs w:val="21"/>
          <w:highlight w:val="none"/>
        </w:rPr>
        <w:t xml:space="preserve"> 季度考核表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512"/>
        <w:gridCol w:w="682"/>
        <w:gridCol w:w="471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default" w:ascii="Times New Roman" w:hAnsi="Times New Roman" w:cs="Times New Roman" w:eastAsiaTheme="minorEastAsia"/>
                <w:b/>
                <w:sz w:val="21"/>
                <w:szCs w:val="21"/>
                <w:highlight w:val="none"/>
              </w:rPr>
            </w:pPr>
            <w:r>
              <w:rPr>
                <w:rFonts w:hint="default" w:ascii="Times New Roman" w:hAnsi="Times New Roman" w:cs="Times New Roman" w:eastAsiaTheme="minorEastAsia"/>
                <w:b/>
                <w:sz w:val="21"/>
                <w:szCs w:val="21"/>
                <w:highlight w:val="none"/>
              </w:rPr>
              <w:t>序号</w:t>
            </w:r>
          </w:p>
        </w:tc>
        <w:tc>
          <w:tcPr>
            <w:tcW w:w="1512" w:type="dxa"/>
            <w:vAlign w:val="center"/>
          </w:tcPr>
          <w:p>
            <w:pPr>
              <w:jc w:val="center"/>
              <w:rPr>
                <w:rFonts w:hint="default" w:ascii="Times New Roman" w:hAnsi="Times New Roman" w:cs="Times New Roman" w:eastAsiaTheme="minorEastAsia"/>
                <w:b/>
                <w:sz w:val="21"/>
                <w:szCs w:val="21"/>
                <w:highlight w:val="none"/>
              </w:rPr>
            </w:pPr>
            <w:r>
              <w:rPr>
                <w:rFonts w:hint="default" w:ascii="Times New Roman" w:hAnsi="Times New Roman" w:cs="Times New Roman" w:eastAsiaTheme="minorEastAsia"/>
                <w:b/>
                <w:sz w:val="21"/>
                <w:szCs w:val="21"/>
                <w:highlight w:val="none"/>
              </w:rPr>
              <w:t>考核内容</w:t>
            </w:r>
          </w:p>
        </w:tc>
        <w:tc>
          <w:tcPr>
            <w:tcW w:w="682" w:type="dxa"/>
            <w:vAlign w:val="center"/>
          </w:tcPr>
          <w:p>
            <w:pPr>
              <w:jc w:val="center"/>
              <w:rPr>
                <w:rFonts w:hint="default" w:ascii="Times New Roman" w:hAnsi="Times New Roman" w:cs="Times New Roman" w:eastAsiaTheme="minorEastAsia"/>
                <w:b/>
                <w:sz w:val="21"/>
                <w:szCs w:val="21"/>
                <w:highlight w:val="none"/>
              </w:rPr>
            </w:pPr>
            <w:r>
              <w:rPr>
                <w:rFonts w:hint="default" w:ascii="Times New Roman" w:hAnsi="Times New Roman" w:cs="Times New Roman" w:eastAsiaTheme="minorEastAsia"/>
                <w:b/>
                <w:sz w:val="21"/>
                <w:szCs w:val="21"/>
                <w:highlight w:val="none"/>
              </w:rPr>
              <w:t>分值</w:t>
            </w:r>
          </w:p>
        </w:tc>
        <w:tc>
          <w:tcPr>
            <w:tcW w:w="4715" w:type="dxa"/>
            <w:vAlign w:val="center"/>
          </w:tcPr>
          <w:p>
            <w:pPr>
              <w:jc w:val="center"/>
              <w:rPr>
                <w:rFonts w:hint="default" w:ascii="Times New Roman" w:hAnsi="Times New Roman" w:cs="Times New Roman" w:eastAsiaTheme="minorEastAsia"/>
                <w:b/>
                <w:sz w:val="21"/>
                <w:szCs w:val="21"/>
                <w:highlight w:val="none"/>
              </w:rPr>
            </w:pPr>
            <w:r>
              <w:rPr>
                <w:rFonts w:hint="default" w:ascii="Times New Roman" w:hAnsi="Times New Roman" w:cs="Times New Roman" w:eastAsiaTheme="minorEastAsia"/>
                <w:b/>
                <w:sz w:val="21"/>
                <w:szCs w:val="21"/>
                <w:highlight w:val="none"/>
              </w:rPr>
              <w:t>评份标准</w:t>
            </w:r>
          </w:p>
        </w:tc>
        <w:tc>
          <w:tcPr>
            <w:tcW w:w="907" w:type="dxa"/>
            <w:vAlign w:val="center"/>
          </w:tcPr>
          <w:p>
            <w:pPr>
              <w:jc w:val="center"/>
              <w:rPr>
                <w:rFonts w:hint="default" w:ascii="Times New Roman" w:hAnsi="Times New Roman" w:cs="Times New Roman" w:eastAsiaTheme="minorEastAsia"/>
                <w:b/>
                <w:sz w:val="21"/>
                <w:szCs w:val="21"/>
                <w:highlight w:val="none"/>
              </w:rPr>
            </w:pPr>
            <w:r>
              <w:rPr>
                <w:rFonts w:hint="default" w:ascii="Times New Roman" w:hAnsi="Times New Roman" w:cs="Times New Roman" w:eastAsiaTheme="minorEastAsia"/>
                <w:b/>
                <w:sz w:val="21"/>
                <w:szCs w:val="21"/>
                <w:highlight w:val="none"/>
              </w:rPr>
              <w:t>考核</w:t>
            </w:r>
            <w:r>
              <w:rPr>
                <w:rFonts w:hint="default" w:ascii="Times New Roman" w:hAnsi="Times New Roman" w:cs="Times New Roman" w:eastAsiaTheme="minorEastAsia"/>
                <w:b/>
                <w:sz w:val="21"/>
                <w:szCs w:val="21"/>
                <w:highlight w:val="none"/>
                <w:lang w:val="en-US" w:eastAsia="zh-CN"/>
              </w:rPr>
              <w:t>评</w:t>
            </w:r>
            <w:r>
              <w:rPr>
                <w:rFonts w:hint="default" w:ascii="Times New Roman" w:hAnsi="Times New Roman" w:cs="Times New Roman" w:eastAsiaTheme="minorEastAsia"/>
                <w:b/>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c>
          <w:tcPr>
            <w:tcW w:w="1512"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日常动态监测</w:t>
            </w:r>
          </w:p>
        </w:tc>
        <w:tc>
          <w:tcPr>
            <w:tcW w:w="682"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20</w:t>
            </w:r>
          </w:p>
        </w:tc>
        <w:tc>
          <w:tcPr>
            <w:tcW w:w="4715" w:type="dxa"/>
          </w:tcPr>
          <w:p>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1、监测频率</w:t>
            </w:r>
            <w:r>
              <w:rPr>
                <w:rFonts w:hint="default" w:ascii="Times New Roman" w:hAnsi="Times New Roman" w:cs="Times New Roman" w:eastAsiaTheme="minorEastAsia"/>
                <w:sz w:val="21"/>
                <w:szCs w:val="21"/>
                <w:highlight w:val="none"/>
                <w:lang w:val="en-US" w:eastAsia="zh-CN"/>
              </w:rPr>
              <w:t>最高</w:t>
            </w:r>
            <w:r>
              <w:rPr>
                <w:rFonts w:hint="default" w:ascii="Times New Roman" w:hAnsi="Times New Roman" w:cs="Times New Roman" w:eastAsiaTheme="minorEastAsia"/>
                <w:sz w:val="21"/>
                <w:szCs w:val="21"/>
                <w:highlight w:val="none"/>
              </w:rPr>
              <w:t>的房屋，每遗漏、延迟一次的扣2分。</w:t>
            </w:r>
          </w:p>
          <w:p>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2、监测频率</w:t>
            </w:r>
            <w:r>
              <w:rPr>
                <w:rFonts w:hint="default" w:ascii="Times New Roman" w:hAnsi="Times New Roman" w:cs="Times New Roman" w:eastAsiaTheme="minorEastAsia"/>
                <w:sz w:val="21"/>
                <w:szCs w:val="21"/>
                <w:highlight w:val="none"/>
                <w:lang w:val="en-US" w:eastAsia="zh-CN"/>
              </w:rPr>
              <w:t>次高</w:t>
            </w:r>
            <w:r>
              <w:rPr>
                <w:rFonts w:hint="default" w:ascii="Times New Roman" w:hAnsi="Times New Roman" w:cs="Times New Roman" w:eastAsiaTheme="minorEastAsia"/>
                <w:sz w:val="21"/>
                <w:szCs w:val="21"/>
                <w:highlight w:val="none"/>
              </w:rPr>
              <w:t>的房屋，每遗漏、延迟一次的扣1分。</w:t>
            </w:r>
          </w:p>
          <w:p>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3、监测频率</w:t>
            </w:r>
            <w:r>
              <w:rPr>
                <w:rFonts w:hint="default" w:ascii="Times New Roman" w:hAnsi="Times New Roman" w:cs="Times New Roman" w:eastAsiaTheme="minorEastAsia"/>
                <w:sz w:val="21"/>
                <w:szCs w:val="21"/>
                <w:highlight w:val="none"/>
                <w:lang w:val="en-US" w:eastAsia="zh-CN"/>
              </w:rPr>
              <w:t>占主要比例</w:t>
            </w:r>
            <w:r>
              <w:rPr>
                <w:rFonts w:hint="default" w:ascii="Times New Roman" w:hAnsi="Times New Roman" w:cs="Times New Roman" w:eastAsiaTheme="minorEastAsia"/>
                <w:sz w:val="21"/>
                <w:szCs w:val="21"/>
                <w:highlight w:val="none"/>
              </w:rPr>
              <w:t>的房屋，每遗漏、延迟一次的扣0.5分。</w:t>
            </w:r>
          </w:p>
        </w:tc>
        <w:tc>
          <w:tcPr>
            <w:tcW w:w="907" w:type="dxa"/>
          </w:tcPr>
          <w:p>
            <w:pPr>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w:t>
            </w:r>
          </w:p>
        </w:tc>
        <w:tc>
          <w:tcPr>
            <w:tcW w:w="1512"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临时检查</w:t>
            </w:r>
          </w:p>
        </w:tc>
        <w:tc>
          <w:tcPr>
            <w:tcW w:w="682"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10</w:t>
            </w:r>
          </w:p>
        </w:tc>
        <w:tc>
          <w:tcPr>
            <w:tcW w:w="4715" w:type="dxa"/>
          </w:tcPr>
          <w:p>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1、接到临时检查任务后，未在1小时内派遣人员赶到现场检查的，每次扣</w:t>
            </w:r>
            <w:r>
              <w:rPr>
                <w:rFonts w:hint="default" w:ascii="Times New Roman" w:hAnsi="Times New Roman" w:cs="Times New Roman" w:eastAsiaTheme="minorEastAsia"/>
                <w:sz w:val="21"/>
                <w:szCs w:val="21"/>
                <w:highlight w:val="none"/>
                <w:lang w:val="en-US" w:eastAsia="zh-CN"/>
              </w:rPr>
              <w:t>2</w:t>
            </w:r>
            <w:r>
              <w:rPr>
                <w:rFonts w:hint="default" w:ascii="Times New Roman" w:hAnsi="Times New Roman" w:cs="Times New Roman" w:eastAsiaTheme="minorEastAsia"/>
                <w:sz w:val="21"/>
                <w:szCs w:val="21"/>
                <w:highlight w:val="none"/>
              </w:rPr>
              <w:t>分。</w:t>
            </w:r>
          </w:p>
          <w:p>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2、接到灾害天气值班任务后，未及时</w:t>
            </w:r>
            <w:r>
              <w:rPr>
                <w:rFonts w:hint="default" w:ascii="Times New Roman" w:hAnsi="Times New Roman" w:cs="Times New Roman" w:eastAsiaTheme="minorEastAsia"/>
                <w:sz w:val="21"/>
                <w:szCs w:val="21"/>
                <w:highlight w:val="none"/>
                <w:lang w:val="en-US" w:eastAsia="zh-CN"/>
              </w:rPr>
              <w:t>提交</w:t>
            </w:r>
            <w:r>
              <w:rPr>
                <w:rFonts w:hint="default" w:ascii="Times New Roman" w:hAnsi="Times New Roman" w:cs="Times New Roman" w:eastAsiaTheme="minorEastAsia"/>
                <w:sz w:val="21"/>
                <w:szCs w:val="21"/>
                <w:highlight w:val="none"/>
              </w:rPr>
              <w:t>值班人员表，每次扣1分；未按值班人员表安排人员和值班时间的，每次扣1分；未加强重点区域监测的，每次扣1分。</w:t>
            </w:r>
          </w:p>
        </w:tc>
        <w:tc>
          <w:tcPr>
            <w:tcW w:w="907" w:type="dxa"/>
          </w:tcPr>
          <w:p>
            <w:pPr>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w:t>
            </w:r>
          </w:p>
        </w:tc>
        <w:tc>
          <w:tcPr>
            <w:tcW w:w="1512" w:type="dxa"/>
            <w:vAlign w:val="center"/>
          </w:tcPr>
          <w:p>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监测数据审核</w:t>
            </w:r>
          </w:p>
        </w:tc>
        <w:tc>
          <w:tcPr>
            <w:tcW w:w="682" w:type="dxa"/>
            <w:vAlign w:val="center"/>
          </w:tcPr>
          <w:p>
            <w:pPr>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val="en-US" w:eastAsia="zh-CN"/>
              </w:rPr>
              <w:t>5</w:t>
            </w:r>
          </w:p>
        </w:tc>
        <w:tc>
          <w:tcPr>
            <w:tcW w:w="4715" w:type="dxa"/>
          </w:tcPr>
          <w:p>
            <w:pP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监测数据上传系统后，未</w:t>
            </w:r>
            <w:r>
              <w:rPr>
                <w:rFonts w:hint="default" w:ascii="Times New Roman" w:hAnsi="Times New Roman" w:cs="Times New Roman" w:eastAsiaTheme="minorEastAsia"/>
                <w:color w:val="auto"/>
                <w:sz w:val="21"/>
                <w:szCs w:val="21"/>
                <w:highlight w:val="none"/>
                <w:lang w:val="en-US" w:eastAsia="zh-CN"/>
              </w:rPr>
              <w:t>按时</w:t>
            </w:r>
            <w:r>
              <w:rPr>
                <w:rFonts w:hint="default" w:ascii="Times New Roman" w:hAnsi="Times New Roman" w:cs="Times New Roman" w:eastAsiaTheme="minorEastAsia"/>
                <w:color w:val="auto"/>
                <w:sz w:val="21"/>
                <w:szCs w:val="21"/>
                <w:highlight w:val="none"/>
              </w:rPr>
              <w:t>完成审核</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lang w:val="en-US" w:eastAsia="zh-CN"/>
              </w:rPr>
              <w:t>动态</w:t>
            </w:r>
            <w:r>
              <w:rPr>
                <w:rFonts w:hint="default" w:ascii="Times New Roman" w:hAnsi="Times New Roman" w:cs="Times New Roman" w:eastAsiaTheme="minorEastAsia"/>
                <w:color w:val="auto"/>
                <w:sz w:val="21"/>
                <w:szCs w:val="21"/>
                <w:highlight w:val="none"/>
              </w:rPr>
              <w:t>评定的，每次扣2分（特殊情况的除外）。</w:t>
            </w:r>
          </w:p>
        </w:tc>
        <w:tc>
          <w:tcPr>
            <w:tcW w:w="907" w:type="dxa"/>
          </w:tcPr>
          <w:p>
            <w:pPr>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w:t>
            </w:r>
          </w:p>
        </w:tc>
        <w:tc>
          <w:tcPr>
            <w:tcW w:w="1512" w:type="dxa"/>
            <w:vAlign w:val="center"/>
          </w:tcPr>
          <w:p>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人员配备情况</w:t>
            </w:r>
          </w:p>
        </w:tc>
        <w:tc>
          <w:tcPr>
            <w:tcW w:w="682" w:type="dxa"/>
            <w:vAlign w:val="center"/>
          </w:tcPr>
          <w:p>
            <w:pPr>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w:t>
            </w:r>
          </w:p>
        </w:tc>
        <w:tc>
          <w:tcPr>
            <w:tcW w:w="4715" w:type="dxa"/>
          </w:tcPr>
          <w:p>
            <w:pP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人员临时变动，但未提前</w:t>
            </w:r>
            <w:r>
              <w:rPr>
                <w:rFonts w:hint="default" w:ascii="Times New Roman" w:hAnsi="Times New Roman" w:cs="Times New Roman" w:eastAsiaTheme="minorEastAsia"/>
                <w:color w:val="auto"/>
                <w:sz w:val="21"/>
                <w:szCs w:val="21"/>
                <w:highlight w:val="none"/>
                <w:lang w:val="en-US" w:eastAsia="zh-CN"/>
              </w:rPr>
              <w:t>向委托方进行</w:t>
            </w:r>
            <w:r>
              <w:rPr>
                <w:rFonts w:hint="default" w:ascii="Times New Roman" w:hAnsi="Times New Roman" w:cs="Times New Roman" w:eastAsiaTheme="minorEastAsia"/>
                <w:color w:val="auto"/>
                <w:sz w:val="21"/>
                <w:szCs w:val="21"/>
                <w:highlight w:val="none"/>
              </w:rPr>
              <w:t>“人员变动申请”的，每次扣2分。</w:t>
            </w:r>
          </w:p>
        </w:tc>
        <w:tc>
          <w:tcPr>
            <w:tcW w:w="907" w:type="dxa"/>
          </w:tcPr>
          <w:p>
            <w:pPr>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w:t>
            </w:r>
          </w:p>
        </w:tc>
        <w:tc>
          <w:tcPr>
            <w:tcW w:w="1512" w:type="dxa"/>
            <w:vAlign w:val="center"/>
          </w:tcPr>
          <w:p>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监测服务资料</w:t>
            </w:r>
          </w:p>
        </w:tc>
        <w:tc>
          <w:tcPr>
            <w:tcW w:w="682" w:type="dxa"/>
            <w:vAlign w:val="center"/>
          </w:tcPr>
          <w:p>
            <w:pPr>
              <w:jc w:val="center"/>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1</w:t>
            </w:r>
            <w:r>
              <w:rPr>
                <w:rFonts w:hint="eastAsia" w:ascii="Times New Roman" w:hAnsi="Times New Roman" w:cs="Times New Roman" w:eastAsiaTheme="minorEastAsia"/>
                <w:color w:val="auto"/>
                <w:sz w:val="21"/>
                <w:szCs w:val="21"/>
                <w:highlight w:val="none"/>
                <w:lang w:val="en-US" w:eastAsia="zh-CN"/>
              </w:rPr>
              <w:t>4</w:t>
            </w:r>
          </w:p>
        </w:tc>
        <w:tc>
          <w:tcPr>
            <w:tcW w:w="4715" w:type="dxa"/>
          </w:tcPr>
          <w:p>
            <w:pP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1、资料存在作假情况的，每次扣</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分。</w:t>
            </w:r>
          </w:p>
          <w:p>
            <w:pP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2、资料内容不符合相关要求的，每次扣1分。</w:t>
            </w:r>
          </w:p>
          <w:p>
            <w:pP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3、未及时</w:t>
            </w:r>
            <w:r>
              <w:rPr>
                <w:rFonts w:hint="default" w:ascii="Times New Roman" w:hAnsi="Times New Roman" w:cs="Times New Roman" w:eastAsiaTheme="minorEastAsia"/>
                <w:color w:val="auto"/>
                <w:sz w:val="21"/>
                <w:szCs w:val="21"/>
                <w:highlight w:val="none"/>
                <w:lang w:val="en-US" w:eastAsia="zh-CN"/>
              </w:rPr>
              <w:t>提交</w:t>
            </w:r>
            <w:r>
              <w:rPr>
                <w:rFonts w:hint="default" w:ascii="Times New Roman" w:hAnsi="Times New Roman" w:cs="Times New Roman" w:eastAsiaTheme="minorEastAsia"/>
                <w:color w:val="auto"/>
                <w:sz w:val="21"/>
                <w:szCs w:val="21"/>
                <w:highlight w:val="none"/>
              </w:rPr>
              <w:t>监测报告的，每次扣1分。</w:t>
            </w:r>
          </w:p>
        </w:tc>
        <w:tc>
          <w:tcPr>
            <w:tcW w:w="907" w:type="dxa"/>
          </w:tcPr>
          <w:p>
            <w:pPr>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w:t>
            </w:r>
          </w:p>
        </w:tc>
        <w:tc>
          <w:tcPr>
            <w:tcW w:w="1512" w:type="dxa"/>
            <w:vAlign w:val="center"/>
          </w:tcPr>
          <w:p>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现场事件处理</w:t>
            </w:r>
          </w:p>
        </w:tc>
        <w:tc>
          <w:tcPr>
            <w:tcW w:w="682" w:type="dxa"/>
            <w:vAlign w:val="center"/>
          </w:tcPr>
          <w:p>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20</w:t>
            </w:r>
          </w:p>
        </w:tc>
        <w:tc>
          <w:tcPr>
            <w:tcW w:w="4715" w:type="dxa"/>
          </w:tcPr>
          <w:p>
            <w:pP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1、未处理好群众情绪，引起争吵，每次扣1分；引起肢体冲突，每次扣3分。</w:t>
            </w:r>
          </w:p>
          <w:p>
            <w:pP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2、因自身原因（如未及时汇报安全隐患、擅自处理突发事件），造成人员伤亡、财产损失或被媒介通报批评等社会影响的，每次扣</w:t>
            </w:r>
            <w:r>
              <w:rPr>
                <w:rFonts w:hint="default"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rPr>
              <w:t>分。</w:t>
            </w:r>
          </w:p>
        </w:tc>
        <w:tc>
          <w:tcPr>
            <w:tcW w:w="907" w:type="dxa"/>
          </w:tcPr>
          <w:p>
            <w:pPr>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7</w:t>
            </w:r>
          </w:p>
        </w:tc>
        <w:tc>
          <w:tcPr>
            <w:tcW w:w="1512" w:type="dxa"/>
            <w:vAlign w:val="center"/>
          </w:tcPr>
          <w:p>
            <w:pPr>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装修安全</w:t>
            </w:r>
          </w:p>
        </w:tc>
        <w:tc>
          <w:tcPr>
            <w:tcW w:w="682" w:type="dxa"/>
            <w:vAlign w:val="center"/>
          </w:tcPr>
          <w:p>
            <w:pPr>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15</w:t>
            </w:r>
          </w:p>
        </w:tc>
        <w:tc>
          <w:tcPr>
            <w:tcW w:w="4715" w:type="dxa"/>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由于工作失误，使主结构件破坏严重的装修方案审核通过，或者在巡查过程中，对发现的违法装修未劝阻、未止制，且未及时向甲方汇报，造成房屋主构件破坏继续扩大的。（乙方后期工作积极，被破坏结构能及时规范恢复加固的可酌情少扣分）</w:t>
            </w:r>
          </w:p>
          <w:p>
            <w:pP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Cs w:val="24"/>
                <w:highlight w:val="none"/>
              </w:rPr>
              <w:t>发现一次扣3分；造成严重后果或产生</w:t>
            </w:r>
            <w:r>
              <w:rPr>
                <w:rFonts w:hint="default" w:ascii="Times New Roman" w:hAnsi="Times New Roman" w:cs="Times New Roman"/>
                <w:color w:val="auto"/>
                <w:highlight w:val="none"/>
              </w:rPr>
              <w:t>较大</w:t>
            </w:r>
            <w:r>
              <w:rPr>
                <w:rFonts w:hint="default" w:ascii="Times New Roman" w:hAnsi="Times New Roman" w:cs="Times New Roman"/>
                <w:color w:val="auto"/>
                <w:szCs w:val="24"/>
                <w:highlight w:val="none"/>
              </w:rPr>
              <w:t>影响的发现一次扣5分</w:t>
            </w:r>
            <w:r>
              <w:rPr>
                <w:rFonts w:hint="default" w:ascii="Times New Roman" w:hAnsi="Times New Roman" w:cs="Times New Roman"/>
                <w:color w:val="auto"/>
                <w:szCs w:val="24"/>
                <w:highlight w:val="none"/>
                <w:lang w:eastAsia="zh-CN"/>
              </w:rPr>
              <w:t>。</w:t>
            </w:r>
          </w:p>
        </w:tc>
        <w:tc>
          <w:tcPr>
            <w:tcW w:w="907" w:type="dxa"/>
            <w:vAlign w:val="center"/>
          </w:tcPr>
          <w:p>
            <w:pPr>
              <w:jc w:val="center"/>
              <w:rPr>
                <w:rFonts w:hint="default"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8</w:t>
            </w:r>
          </w:p>
        </w:tc>
        <w:tc>
          <w:tcPr>
            <w:tcW w:w="1512" w:type="dxa"/>
            <w:vAlign w:val="center"/>
          </w:tcPr>
          <w:p>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一般</w:t>
            </w:r>
            <w:r>
              <w:rPr>
                <w:rFonts w:hint="default" w:ascii="Times New Roman" w:hAnsi="Times New Roman" w:cs="Times New Roman" w:eastAsiaTheme="minorEastAsia"/>
                <w:color w:val="auto"/>
                <w:sz w:val="21"/>
                <w:szCs w:val="21"/>
                <w:highlight w:val="none"/>
              </w:rPr>
              <w:t>技术要求</w:t>
            </w:r>
          </w:p>
        </w:tc>
        <w:tc>
          <w:tcPr>
            <w:tcW w:w="682" w:type="dxa"/>
            <w:vAlign w:val="center"/>
          </w:tcPr>
          <w:p>
            <w:pPr>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8</w:t>
            </w:r>
          </w:p>
        </w:tc>
        <w:tc>
          <w:tcPr>
            <w:tcW w:w="4715" w:type="dxa"/>
          </w:tcPr>
          <w:p>
            <w:pP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除上述项次外，</w:t>
            </w:r>
            <w:r>
              <w:rPr>
                <w:rFonts w:hint="default" w:ascii="Times New Roman" w:hAnsi="Times New Roman" w:cs="Times New Roman" w:eastAsiaTheme="minorEastAsia"/>
                <w:color w:val="auto"/>
                <w:sz w:val="21"/>
                <w:szCs w:val="21"/>
                <w:highlight w:val="none"/>
              </w:rPr>
              <w:t>在现场抽检及系统数据核查中，未按</w:t>
            </w:r>
            <w:r>
              <w:rPr>
                <w:rFonts w:hint="default" w:ascii="Times New Roman" w:hAnsi="Times New Roman" w:cs="Times New Roman" w:eastAsiaTheme="minorEastAsia"/>
                <w:color w:val="auto"/>
                <w:sz w:val="21"/>
                <w:szCs w:val="21"/>
                <w:highlight w:val="none"/>
                <w:lang w:val="en-US" w:eastAsia="zh-CN"/>
              </w:rPr>
              <w:t>招标文件进行</w:t>
            </w:r>
            <w:r>
              <w:rPr>
                <w:rFonts w:hint="default" w:ascii="Times New Roman" w:hAnsi="Times New Roman" w:cs="Times New Roman" w:eastAsiaTheme="minorEastAsia"/>
                <w:color w:val="auto"/>
                <w:sz w:val="21"/>
                <w:szCs w:val="21"/>
                <w:highlight w:val="none"/>
              </w:rPr>
              <w:t>监测的，每次扣2分。</w:t>
            </w:r>
          </w:p>
        </w:tc>
        <w:tc>
          <w:tcPr>
            <w:tcW w:w="907" w:type="dxa"/>
          </w:tcPr>
          <w:p>
            <w:pPr>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hint="eastAsia" w:ascii="Times New Roman" w:hAnsi="Times New Roman" w:cs="Times New Roman" w:eastAsiaTheme="minorEastAsia"/>
                <w:b/>
                <w:bCs/>
                <w:sz w:val="21"/>
                <w:szCs w:val="21"/>
                <w:highlight w:val="none"/>
                <w:lang w:val="en-US" w:eastAsia="zh-CN"/>
              </w:rPr>
            </w:pPr>
            <w:r>
              <w:rPr>
                <w:rFonts w:hint="eastAsia" w:ascii="Times New Roman" w:hAnsi="Times New Roman" w:cs="Times New Roman" w:eastAsiaTheme="minorEastAsia"/>
                <w:b/>
                <w:bCs/>
                <w:sz w:val="21"/>
                <w:szCs w:val="21"/>
                <w:highlight w:val="none"/>
                <w:lang w:val="en-US" w:eastAsia="zh-CN"/>
              </w:rPr>
              <w:t>9</w:t>
            </w:r>
          </w:p>
        </w:tc>
        <w:tc>
          <w:tcPr>
            <w:tcW w:w="1512" w:type="dxa"/>
            <w:vAlign w:val="center"/>
          </w:tcPr>
          <w:p>
            <w:pPr>
              <w:jc w:val="center"/>
              <w:rPr>
                <w:rFonts w:hint="default" w:ascii="Times New Roman" w:hAnsi="Times New Roman" w:cs="Times New Roman" w:eastAsiaTheme="minorEastAsia"/>
                <w:b/>
                <w:bCs/>
                <w:color w:val="auto"/>
                <w:sz w:val="21"/>
                <w:szCs w:val="21"/>
                <w:highlight w:val="none"/>
                <w:lang w:val="en-US" w:eastAsia="zh-CN"/>
              </w:rPr>
            </w:pPr>
            <w:r>
              <w:rPr>
                <w:rFonts w:hint="eastAsia" w:ascii="Times New Roman" w:hAnsi="Times New Roman" w:cs="Times New Roman" w:eastAsiaTheme="minorEastAsia"/>
                <w:b/>
                <w:bCs/>
                <w:color w:val="auto"/>
                <w:sz w:val="21"/>
                <w:szCs w:val="21"/>
                <w:highlight w:val="none"/>
                <w:lang w:val="en-US" w:eastAsia="zh-CN"/>
              </w:rPr>
              <w:t>系统管理</w:t>
            </w:r>
          </w:p>
        </w:tc>
        <w:tc>
          <w:tcPr>
            <w:tcW w:w="682" w:type="dxa"/>
            <w:vAlign w:val="center"/>
          </w:tcPr>
          <w:p>
            <w:pPr>
              <w:jc w:val="center"/>
              <w:rPr>
                <w:rFonts w:hint="eastAsia" w:ascii="Times New Roman" w:hAnsi="Times New Roman" w:cs="Times New Roman" w:eastAsiaTheme="minorEastAsia"/>
                <w:b/>
                <w:bCs/>
                <w:color w:val="auto"/>
                <w:sz w:val="21"/>
                <w:szCs w:val="21"/>
                <w:highlight w:val="none"/>
                <w:lang w:val="en-US" w:eastAsia="zh-CN"/>
              </w:rPr>
            </w:pPr>
            <w:r>
              <w:rPr>
                <w:rFonts w:hint="eastAsia" w:ascii="Times New Roman" w:hAnsi="Times New Roman" w:cs="Times New Roman" w:eastAsiaTheme="minorEastAsia"/>
                <w:b/>
                <w:bCs/>
                <w:color w:val="auto"/>
                <w:sz w:val="21"/>
                <w:szCs w:val="21"/>
                <w:highlight w:val="none"/>
                <w:lang w:val="en-US" w:eastAsia="zh-CN"/>
              </w:rPr>
              <w:t>4</w:t>
            </w:r>
          </w:p>
        </w:tc>
        <w:tc>
          <w:tcPr>
            <w:tcW w:w="4715" w:type="dxa"/>
          </w:tcPr>
          <w:p>
            <w:pPr>
              <w:rPr>
                <w:rFonts w:hint="default" w:ascii="Times New Roman" w:hAnsi="Times New Roman" w:cs="Times New Roman" w:eastAsiaTheme="minorEastAsia"/>
                <w:b/>
                <w:bCs/>
                <w:color w:val="auto"/>
                <w:sz w:val="21"/>
                <w:szCs w:val="21"/>
                <w:highlight w:val="none"/>
                <w:lang w:val="en-US" w:eastAsia="zh-CN"/>
              </w:rPr>
            </w:pPr>
            <w:r>
              <w:rPr>
                <w:rFonts w:hint="eastAsia"/>
                <w:b/>
                <w:bCs/>
                <w:highlight w:val="none"/>
                <w:lang w:val="en-US" w:eastAsia="zh-CN"/>
              </w:rPr>
              <w:t>合同期满后未预留能与其他系统兼容的端口或未将本项目所有数据资料导出移交给甲方的，扣4分并没收全部履约保证金及取消下年度服务资格。</w:t>
            </w:r>
          </w:p>
        </w:tc>
        <w:tc>
          <w:tcPr>
            <w:tcW w:w="907" w:type="dxa"/>
          </w:tcPr>
          <w:p>
            <w:pPr>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6" w:type="dxa"/>
            <w:vAlign w:val="center"/>
          </w:tcPr>
          <w:p>
            <w:pPr>
              <w:jc w:val="center"/>
              <w:rPr>
                <w:rFonts w:hint="default"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10</w:t>
            </w:r>
          </w:p>
        </w:tc>
        <w:tc>
          <w:tcPr>
            <w:tcW w:w="1512"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合计</w:t>
            </w:r>
          </w:p>
        </w:tc>
        <w:tc>
          <w:tcPr>
            <w:tcW w:w="682" w:type="dxa"/>
            <w:vAlign w:val="center"/>
          </w:tcPr>
          <w:p>
            <w:pPr>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100</w:t>
            </w:r>
          </w:p>
        </w:tc>
        <w:tc>
          <w:tcPr>
            <w:tcW w:w="4715" w:type="dxa"/>
            <w:vAlign w:val="center"/>
          </w:tcPr>
          <w:p>
            <w:pPr>
              <w:rPr>
                <w:rFonts w:hint="default" w:ascii="Times New Roman" w:hAnsi="Times New Roman" w:cs="Times New Roman" w:eastAsiaTheme="minorEastAsia"/>
                <w:sz w:val="21"/>
                <w:szCs w:val="21"/>
                <w:highlight w:val="none"/>
              </w:rPr>
            </w:pPr>
          </w:p>
        </w:tc>
        <w:tc>
          <w:tcPr>
            <w:tcW w:w="907" w:type="dxa"/>
            <w:vAlign w:val="center"/>
          </w:tcPr>
          <w:p>
            <w:pPr>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22" w:type="dxa"/>
            <w:gridSpan w:val="5"/>
            <w:vAlign w:val="center"/>
          </w:tcPr>
          <w:p>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auto"/>
                <w:sz w:val="21"/>
                <w:szCs w:val="21"/>
                <w:highlight w:val="none"/>
              </w:rPr>
              <w:t>注：总分为80分（含）以上，本次考核成绩合格；总分为80分以下，本次考核成绩不合格。本考核周期为每季度1次，每个合同年度内考核4次。4次考核中，1次考核不合格的，将罚处第三方监测机构年度监测费的2%；2次考核不合格的，将罚处第三方监测机构年度监测费的5%；3次考核不合格的，将罚处第三方监测机构年度监测费的10%，</w:t>
            </w:r>
            <w:r>
              <w:rPr>
                <w:rFonts w:hint="eastAsia" w:ascii="Times New Roman" w:hAnsi="Times New Roman" w:cs="Times New Roman" w:eastAsiaTheme="minorEastAsia"/>
                <w:color w:val="auto"/>
                <w:sz w:val="21"/>
                <w:szCs w:val="21"/>
                <w:highlight w:val="none"/>
                <w:lang w:eastAsia="zh-Hans"/>
              </w:rPr>
              <w:t>并</w:t>
            </w:r>
            <w:r>
              <w:rPr>
                <w:rFonts w:hint="default" w:ascii="Times New Roman" w:hAnsi="Times New Roman" w:cs="Times New Roman" w:eastAsiaTheme="minorEastAsia"/>
                <w:color w:val="auto"/>
                <w:sz w:val="21"/>
                <w:szCs w:val="21"/>
                <w:highlight w:val="none"/>
              </w:rPr>
              <w:t>取消</w:t>
            </w:r>
            <w:r>
              <w:rPr>
                <w:rFonts w:hint="eastAsia" w:ascii="Times New Roman" w:hAnsi="Times New Roman" w:cs="Times New Roman" w:eastAsiaTheme="minorEastAsia"/>
                <w:color w:val="auto"/>
                <w:sz w:val="21"/>
                <w:szCs w:val="21"/>
                <w:highlight w:val="none"/>
                <w:lang w:eastAsia="zh-Hans"/>
              </w:rPr>
              <w:t>下一年</w:t>
            </w:r>
            <w:r>
              <w:rPr>
                <w:rFonts w:hint="eastAsia" w:asciiTheme="minorEastAsia" w:hAnsiTheme="minorEastAsia" w:eastAsiaTheme="minorEastAsia" w:cstheme="minorEastAsia"/>
                <w:color w:val="auto"/>
                <w:sz w:val="21"/>
                <w:szCs w:val="21"/>
                <w:highlight w:val="none"/>
                <w:lang w:eastAsia="zh-Hans"/>
              </w:rPr>
              <w:t>度</w:t>
            </w:r>
            <w:r>
              <w:rPr>
                <w:rFonts w:hint="eastAsia" w:asciiTheme="minorEastAsia" w:hAnsiTheme="minorEastAsia" w:eastAsiaTheme="minorEastAsia" w:cstheme="minorEastAsia"/>
                <w:color w:val="auto"/>
                <w:sz w:val="21"/>
                <w:szCs w:val="21"/>
                <w:highlight w:val="none"/>
              </w:rPr>
              <w:t>第三方监测机构的服务资格。</w:t>
            </w:r>
            <w:r>
              <w:rPr>
                <w:rFonts w:hint="eastAsia" w:asciiTheme="minorEastAsia" w:hAnsiTheme="minorEastAsia" w:eastAsiaTheme="minorEastAsia" w:cstheme="minorEastAsia"/>
                <w:color w:val="auto"/>
                <w:sz w:val="21"/>
                <w:szCs w:val="21"/>
                <w:highlight w:val="none"/>
                <w:lang w:eastAsia="zh-Hans"/>
              </w:rPr>
              <w:t>本项目的考核单位为</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舟山市定海区住房和城乡建设局</w:t>
            </w:r>
            <w:r>
              <w:rPr>
                <w:rFonts w:hint="default"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p>
        </w:tc>
      </w:tr>
    </w:tbl>
    <w:p>
      <w:pPr>
        <w:pStyle w:val="17"/>
        <w:rPr>
          <w:rFonts w:hint="default" w:ascii="Times New Roman" w:hAnsi="Times New Roman" w:cs="Times New Roman"/>
          <w:highlight w:val="none"/>
        </w:rPr>
      </w:pPr>
    </w:p>
    <w:p>
      <w:pPr>
        <w:spacing w:line="440" w:lineRule="exact"/>
        <w:ind w:firstLine="420" w:firstLineChars="200"/>
        <w:contextualSpacing/>
        <w:rPr>
          <w:rFonts w:hint="default" w:ascii="Times New Roman" w:hAnsi="Times New Roman" w:cs="Times New Roman"/>
          <w:kern w:val="0"/>
          <w:szCs w:val="21"/>
          <w:highlight w:val="green"/>
        </w:rPr>
      </w:pPr>
      <w:r>
        <w:rPr>
          <w:rFonts w:hint="default" w:ascii="Times New Roman" w:hAnsi="Times New Roman" w:cs="Times New Roman"/>
          <w:kern w:val="0"/>
          <w:szCs w:val="21"/>
          <w:highlight w:val="none"/>
        </w:rPr>
        <w:t>（二）</w:t>
      </w:r>
      <w:r>
        <w:rPr>
          <w:rFonts w:hint="default" w:ascii="Times New Roman" w:hAnsi="Times New Roman" w:cs="Times New Roman"/>
          <w:kern w:val="0"/>
          <w:szCs w:val="21"/>
          <w:highlight w:val="none"/>
          <w:lang w:val="en-US" w:eastAsia="zh-CN"/>
        </w:rPr>
        <w:t>丙方</w:t>
      </w:r>
      <w:r>
        <w:rPr>
          <w:rFonts w:hint="default" w:ascii="Times New Roman" w:hAnsi="Times New Roman" w:cs="Times New Roman"/>
          <w:kern w:val="0"/>
          <w:szCs w:val="21"/>
          <w:highlight w:val="none"/>
        </w:rPr>
        <w:t>在服务过程中给业主、居民等造成的损失，由</w:t>
      </w:r>
      <w:r>
        <w:rPr>
          <w:rFonts w:hint="default" w:ascii="Times New Roman" w:hAnsi="Times New Roman" w:cs="Times New Roman"/>
          <w:kern w:val="0"/>
          <w:szCs w:val="21"/>
          <w:highlight w:val="none"/>
          <w:lang w:val="en-US" w:eastAsia="zh-CN"/>
        </w:rPr>
        <w:t>丙方</w:t>
      </w:r>
      <w:r>
        <w:rPr>
          <w:rFonts w:hint="default" w:ascii="Times New Roman" w:hAnsi="Times New Roman" w:cs="Times New Roman"/>
          <w:kern w:val="0"/>
          <w:szCs w:val="21"/>
          <w:highlight w:val="none"/>
        </w:rPr>
        <w:t>承担。如因</w:t>
      </w:r>
      <w:r>
        <w:rPr>
          <w:rFonts w:hint="default" w:ascii="Times New Roman" w:hAnsi="Times New Roman" w:cs="Times New Roman"/>
          <w:kern w:val="0"/>
          <w:szCs w:val="21"/>
          <w:highlight w:val="none"/>
          <w:lang w:val="en-US" w:eastAsia="zh-CN"/>
        </w:rPr>
        <w:t>丙方</w:t>
      </w:r>
      <w:r>
        <w:rPr>
          <w:rFonts w:hint="default" w:ascii="Times New Roman" w:hAnsi="Times New Roman" w:cs="Times New Roman"/>
          <w:kern w:val="0"/>
          <w:szCs w:val="21"/>
          <w:highlight w:val="none"/>
        </w:rPr>
        <w:t>的行为致不特定主体向</w:t>
      </w:r>
      <w:r>
        <w:rPr>
          <w:rFonts w:hint="default" w:ascii="Times New Roman" w:hAnsi="Times New Roman" w:cs="Times New Roman"/>
          <w:kern w:val="0"/>
          <w:szCs w:val="21"/>
          <w:highlight w:val="none"/>
          <w:lang w:val="en-US" w:eastAsia="zh-CN"/>
        </w:rPr>
        <w:t>丙方</w:t>
      </w:r>
      <w:r>
        <w:rPr>
          <w:rFonts w:hint="default" w:ascii="Times New Roman" w:hAnsi="Times New Roman" w:cs="Times New Roman"/>
          <w:kern w:val="0"/>
          <w:szCs w:val="21"/>
          <w:highlight w:val="none"/>
        </w:rPr>
        <w:t>求偿并给</w:t>
      </w:r>
      <w:r>
        <w:rPr>
          <w:rFonts w:hint="default" w:ascii="Times New Roman" w:hAnsi="Times New Roman" w:cs="Times New Roman"/>
          <w:kern w:val="0"/>
          <w:szCs w:val="21"/>
          <w:highlight w:val="none"/>
          <w:lang w:val="en-US" w:eastAsia="zh-CN"/>
        </w:rPr>
        <w:t>甲乙方</w:t>
      </w:r>
      <w:r>
        <w:rPr>
          <w:rFonts w:hint="default" w:ascii="Times New Roman" w:hAnsi="Times New Roman" w:cs="Times New Roman"/>
          <w:kern w:val="0"/>
          <w:szCs w:val="21"/>
          <w:highlight w:val="none"/>
        </w:rPr>
        <w:t>造成损失的，</w:t>
      </w:r>
      <w:r>
        <w:rPr>
          <w:rFonts w:hint="default" w:ascii="Times New Roman" w:hAnsi="Times New Roman" w:cs="Times New Roman"/>
          <w:kern w:val="0"/>
          <w:szCs w:val="21"/>
          <w:highlight w:val="none"/>
          <w:lang w:val="en-US" w:eastAsia="zh-CN"/>
        </w:rPr>
        <w:t>甲乙方</w:t>
      </w:r>
      <w:r>
        <w:rPr>
          <w:rFonts w:hint="default" w:ascii="Times New Roman" w:hAnsi="Times New Roman" w:cs="Times New Roman"/>
          <w:kern w:val="0"/>
          <w:szCs w:val="21"/>
          <w:highlight w:val="none"/>
        </w:rPr>
        <w:t>有权直接向</w:t>
      </w:r>
      <w:r>
        <w:rPr>
          <w:rFonts w:hint="default" w:ascii="Times New Roman" w:hAnsi="Times New Roman" w:cs="Times New Roman"/>
          <w:kern w:val="0"/>
          <w:szCs w:val="21"/>
          <w:highlight w:val="none"/>
          <w:lang w:val="en-US" w:eastAsia="zh-CN"/>
        </w:rPr>
        <w:t>丙方</w:t>
      </w:r>
      <w:r>
        <w:rPr>
          <w:rFonts w:hint="default" w:ascii="Times New Roman" w:hAnsi="Times New Roman" w:cs="Times New Roman"/>
          <w:kern w:val="0"/>
          <w:szCs w:val="21"/>
          <w:highlight w:val="none"/>
        </w:rPr>
        <w:t>追偿。</w:t>
      </w:r>
    </w:p>
    <w:p>
      <w:pPr>
        <w:spacing w:line="360" w:lineRule="auto"/>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lang w:val="en-US" w:eastAsia="zh-CN"/>
          <w14:textFill>
            <w14:solidFill>
              <w14:schemeClr w14:val="tx1"/>
            </w14:solidFill>
          </w14:textFill>
        </w:rPr>
        <w:t>九</w:t>
      </w:r>
      <w:r>
        <w:rPr>
          <w:rFonts w:hint="default" w:ascii="Times New Roman" w:hAnsi="Times New Roman" w:cs="Times New Roman"/>
          <w:b/>
          <w:color w:val="000000" w:themeColor="text1"/>
          <w:szCs w:val="21"/>
          <w:highlight w:val="none"/>
          <w14:textFill>
            <w14:solidFill>
              <w14:schemeClr w14:val="tx1"/>
            </w14:solidFill>
          </w14:textFill>
        </w:rPr>
        <w:t>、争议的解决办法：</w:t>
      </w:r>
    </w:p>
    <w:p>
      <w:pPr>
        <w:spacing w:line="360" w:lineRule="auto"/>
        <w:ind w:firstLine="315" w:firstLineChars="15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 xml:space="preserve">在合同履行过程中发生争议，三方应当协商解决，协商不成的，三方同意将本协议的争议提交舟山仲裁委，按该委现行有效的仲裁规则进行仲裁，仲裁裁决是终局性的，对三方均有约束力。 </w:t>
      </w:r>
    </w:p>
    <w:p>
      <w:pPr>
        <w:spacing w:line="360" w:lineRule="auto"/>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lang w:val="en-US" w:eastAsia="zh-CN"/>
          <w14:textFill>
            <w14:solidFill>
              <w14:schemeClr w14:val="tx1"/>
            </w14:solidFill>
          </w14:textFill>
        </w:rPr>
        <w:t>十</w:t>
      </w:r>
      <w:r>
        <w:rPr>
          <w:rFonts w:hint="default" w:ascii="Times New Roman" w:hAnsi="Times New Roman" w:cs="Times New Roman"/>
          <w:b/>
          <w:color w:val="000000" w:themeColor="text1"/>
          <w:szCs w:val="21"/>
          <w:highlight w:val="none"/>
          <w14:textFill>
            <w14:solidFill>
              <w14:schemeClr w14:val="tx1"/>
            </w14:solidFill>
          </w14:textFill>
        </w:rPr>
        <w:t>、其它</w:t>
      </w:r>
    </w:p>
    <w:p>
      <w:pPr>
        <w:spacing w:line="360" w:lineRule="auto"/>
        <w:ind w:firstLine="315" w:firstLineChars="15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（一）未尽事宜，经三方协商一致，签订补充协议；</w:t>
      </w:r>
    </w:p>
    <w:p>
      <w:pPr>
        <w:spacing w:line="360" w:lineRule="auto"/>
        <w:ind w:firstLine="315" w:firstLineChars="15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（二）三方的协商补充条款、补充协议与本合同均具效力；</w:t>
      </w:r>
    </w:p>
    <w:p>
      <w:pPr>
        <w:spacing w:line="360" w:lineRule="auto"/>
        <w:ind w:firstLine="315" w:firstLineChars="15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（三）本合同经三方盖章及签字，</w:t>
      </w:r>
      <w:r>
        <w:rPr>
          <w:rFonts w:hint="default" w:ascii="Times New Roman" w:hAnsi="Times New Roman" w:cs="Times New Roman"/>
          <w:color w:val="000000" w:themeColor="text1"/>
          <w:highlight w:val="none"/>
          <w14:textFill>
            <w14:solidFill>
              <w14:schemeClr w14:val="tx1"/>
            </w14:solidFill>
          </w14:textFill>
        </w:rPr>
        <w:t>经浙江自贸区中昊工程管理有限公司鉴证后生效。</w:t>
      </w:r>
    </w:p>
    <w:p>
      <w:pPr>
        <w:spacing w:line="360" w:lineRule="auto"/>
        <w:ind w:firstLine="315" w:firstLineChars="15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（四）本合同正本一式八份，甲乙丙三方各执贰份，</w:t>
      </w:r>
      <w:r>
        <w:rPr>
          <w:rFonts w:hint="default" w:ascii="Times New Roman" w:hAnsi="Times New Roman" w:cs="Times New Roman"/>
          <w:color w:val="000000" w:themeColor="text1"/>
          <w:highlight w:val="none"/>
          <w14:textFill>
            <w14:solidFill>
              <w14:schemeClr w14:val="tx1"/>
            </w14:solidFill>
          </w14:textFill>
        </w:rPr>
        <w:t>浙江自贸区中昊工程管理有限公司和定海区采购办各一份</w:t>
      </w:r>
      <w:r>
        <w:rPr>
          <w:rFonts w:hint="default" w:ascii="Times New Roman" w:hAnsi="Times New Roman" w:cs="Times New Roman"/>
          <w:color w:val="000000" w:themeColor="text1"/>
          <w:szCs w:val="21"/>
          <w:highlight w:val="none"/>
          <w14:textFill>
            <w14:solidFill>
              <w14:schemeClr w14:val="tx1"/>
            </w14:solidFill>
          </w14:textFill>
        </w:rPr>
        <w:t>。</w:t>
      </w:r>
    </w:p>
    <w:p>
      <w:pPr>
        <w:spacing w:line="360" w:lineRule="auto"/>
        <w:ind w:left="7482" w:leftChars="-57" w:right="-1052" w:rightChars="-501" w:hanging="7602" w:hangingChars="3620"/>
        <w:rPr>
          <w:rFonts w:hint="default" w:ascii="Times New Roman" w:hAnsi="Times New Roman" w:cs="Times New Roman"/>
          <w:color w:val="000000" w:themeColor="text1"/>
          <w:szCs w:val="21"/>
          <w:highlight w:val="none"/>
          <w14:textFill>
            <w14:solidFill>
              <w14:schemeClr w14:val="tx1"/>
            </w14:solidFill>
          </w14:textFill>
        </w:rPr>
      </w:pPr>
    </w:p>
    <w:p>
      <w:pPr>
        <w:spacing w:line="360" w:lineRule="auto"/>
        <w:ind w:left="7482" w:leftChars="-57" w:right="-1052" w:rightChars="-501" w:hanging="7602" w:hangingChars="362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甲 方（盖章）：                             　 乙 方（盖章）：　</w:t>
      </w:r>
    </w:p>
    <w:p>
      <w:pPr>
        <w:spacing w:line="360" w:lineRule="auto"/>
        <w:ind w:leftChars="-57" w:hanging="119" w:hangingChars="57"/>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 xml:space="preserve">法定代表人（签字或盖章）：                    法定代表人（签字或盖章）：                 </w:t>
      </w:r>
    </w:p>
    <w:p>
      <w:pPr>
        <w:spacing w:line="360" w:lineRule="auto"/>
        <w:ind w:leftChars="-57" w:hanging="119" w:hangingChars="57"/>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 xml:space="preserve">联系人及联系号码：                            联系人及联系号码：                                                                            </w:t>
      </w:r>
    </w:p>
    <w:p>
      <w:pPr>
        <w:spacing w:line="360" w:lineRule="auto"/>
        <w:ind w:leftChars="-57" w:hanging="119" w:hangingChars="57"/>
        <w:jc w:val="left"/>
        <w:rPr>
          <w:rFonts w:hint="default" w:ascii="Times New Roman" w:hAnsi="Times New Roman" w:cs="Times New Roman"/>
          <w:color w:val="000000" w:themeColor="text1"/>
          <w:szCs w:val="21"/>
          <w:highlight w:val="none"/>
          <w14:textFill>
            <w14:solidFill>
              <w14:schemeClr w14:val="tx1"/>
            </w14:solidFill>
          </w14:textFill>
        </w:rPr>
      </w:pPr>
    </w:p>
    <w:p>
      <w:pPr>
        <w:spacing w:line="360" w:lineRule="auto"/>
        <w:ind w:leftChars="-57" w:hanging="119" w:hangingChars="57"/>
        <w:jc w:val="left"/>
        <w:rPr>
          <w:rFonts w:hint="default" w:ascii="Times New Roman" w:hAnsi="Times New Roman" w:cs="Times New Roman"/>
          <w:color w:val="000000" w:themeColor="text1"/>
          <w:szCs w:val="21"/>
          <w:highlight w:val="none"/>
          <w14:textFill>
            <w14:solidFill>
              <w14:schemeClr w14:val="tx1"/>
            </w14:solidFill>
          </w14:textFill>
        </w:rPr>
      </w:pPr>
    </w:p>
    <w:p>
      <w:pPr>
        <w:spacing w:line="360" w:lineRule="auto"/>
        <w:ind w:leftChars="-57" w:hanging="119" w:hangingChars="57"/>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丙　方（盖章）：                              鉴证方（盖章）：　</w:t>
      </w:r>
    </w:p>
    <w:p>
      <w:pPr>
        <w:spacing w:line="360" w:lineRule="auto"/>
        <w:ind w:leftChars="-57" w:hanging="119" w:hangingChars="57"/>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法定代表人（签字或盖章）：                    法定代表人（签字或盖章）：</w:t>
      </w:r>
    </w:p>
    <w:p>
      <w:pPr>
        <w:spacing w:line="360" w:lineRule="auto"/>
        <w:ind w:leftChars="-57" w:hanging="119" w:hangingChars="57"/>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 xml:space="preserve">联系人及联系号码：                            联系人及联系号码：  </w:t>
      </w:r>
    </w:p>
    <w:p>
      <w:pPr>
        <w:spacing w:line="360" w:lineRule="auto"/>
        <w:ind w:firstLine="5355" w:firstLineChars="2550"/>
        <w:rPr>
          <w:rFonts w:hint="default" w:ascii="Times New Roman" w:hAnsi="Times New Roman" w:cs="Times New Roman"/>
          <w:color w:val="000000" w:themeColor="text1"/>
          <w:szCs w:val="21"/>
          <w:highlight w:val="none"/>
          <w14:textFill>
            <w14:solidFill>
              <w14:schemeClr w14:val="tx1"/>
            </w14:solidFill>
          </w14:textFill>
        </w:rPr>
      </w:pPr>
    </w:p>
    <w:p>
      <w:pPr>
        <w:spacing w:line="360" w:lineRule="auto"/>
        <w:ind w:firstLine="5355" w:firstLineChars="255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签订日期：   年   月   日</w:t>
      </w:r>
    </w:p>
    <w:p>
      <w:pPr>
        <w:pStyle w:val="13"/>
        <w:spacing w:line="360" w:lineRule="auto"/>
        <w:ind w:firstLineChars="0"/>
        <w:rPr>
          <w:rFonts w:hint="default" w:ascii="Times New Roman" w:hAnsi="Times New Roman" w:cs="Times New Roman"/>
        </w:rPr>
      </w:pPr>
    </w:p>
    <w:p>
      <w:pPr>
        <w:pStyle w:val="12"/>
        <w:spacing w:line="360" w:lineRule="auto"/>
        <w:rPr>
          <w:rFonts w:hint="default" w:ascii="Times New Roman" w:hAnsi="Times New Roman" w:cs="Times New Roman"/>
          <w:sz w:val="21"/>
          <w:szCs w:val="21"/>
        </w:rPr>
      </w:pPr>
    </w:p>
    <w:p>
      <w:pPr>
        <w:spacing w:line="360" w:lineRule="auto"/>
        <w:rPr>
          <w:rFonts w:hint="default" w:ascii="Times New Roman" w:hAnsi="Times New Roman" w:cs="Times New Roman"/>
          <w:b/>
          <w:bCs/>
        </w:rPr>
      </w:pPr>
    </w:p>
    <w:p>
      <w:pPr>
        <w:spacing w:line="360" w:lineRule="auto"/>
        <w:ind w:left="645"/>
        <w:rPr>
          <w:rFonts w:hint="default" w:ascii="Times New Roman" w:hAnsi="Times New Roman" w:cs="Times New Roman"/>
        </w:rPr>
      </w:pPr>
      <w:r>
        <w:rPr>
          <w:rFonts w:hint="default" w:ascii="Times New Roman" w:hAnsi="Times New Roman" w:cs="Times New Roman"/>
          <w:b/>
        </w:rPr>
        <w:t>注：本合同为示范文本，具体以中标人与采购人所签定正式合同为准。</w:t>
      </w:r>
    </w:p>
    <w:p>
      <w:pPr>
        <w:pStyle w:val="13"/>
        <w:ind w:firstLine="210"/>
        <w:rPr>
          <w:rFonts w:hint="default" w:ascii="Times New Roman" w:hAnsi="Times New Roman" w:cs="Times New Roman"/>
          <w:color w:val="000000" w:themeColor="text1"/>
          <w14:textFill>
            <w14:solidFill>
              <w14:schemeClr w14:val="tx1"/>
            </w14:solidFill>
          </w14:textFill>
        </w:rPr>
      </w:pPr>
    </w:p>
    <w:p>
      <w:pPr>
        <w:numPr>
          <w:ilvl w:val="0"/>
          <w:numId w:val="11"/>
        </w:numPr>
        <w:spacing w:line="360" w:lineRule="auto"/>
        <w:ind w:firstLine="602" w:firstLineChars="200"/>
        <w:jc w:val="center"/>
        <w:rPr>
          <w:rFonts w:hint="default" w:ascii="Times New Roman" w:hAnsi="Times New Roman" w:cs="Times New Roman"/>
          <w:b/>
          <w:color w:val="000000" w:themeColor="text1"/>
          <w:sz w:val="30"/>
          <w:highlight w:val="none"/>
          <w14:textFill>
            <w14:solidFill>
              <w14:schemeClr w14:val="tx1"/>
            </w14:solidFill>
          </w14:textFill>
        </w:rPr>
      </w:pPr>
      <w:r>
        <w:rPr>
          <w:rFonts w:hint="default" w:ascii="Times New Roman" w:hAnsi="Times New Roman" w:cs="Times New Roman"/>
          <w:b/>
          <w:bCs/>
          <w:color w:val="000000" w:themeColor="text1"/>
          <w:sz w:val="30"/>
          <w:szCs w:val="30"/>
          <w14:textFill>
            <w14:solidFill>
              <w14:schemeClr w14:val="tx1"/>
            </w14:solidFill>
          </w14:textFill>
        </w:rPr>
        <w:br w:type="page"/>
      </w:r>
      <w:bookmarkStart w:id="2" w:name="_Toc451429387"/>
      <w:bookmarkStart w:id="3" w:name="_Toc480187595"/>
      <w:r>
        <w:rPr>
          <w:rFonts w:hint="default" w:ascii="Times New Roman" w:hAnsi="Times New Roman" w:cs="Times New Roman"/>
          <w:b/>
          <w:color w:val="000000" w:themeColor="text1"/>
          <w:sz w:val="30"/>
          <w:highlight w:val="none"/>
          <w14:textFill>
            <w14:solidFill>
              <w14:schemeClr w14:val="tx1"/>
            </w14:solidFill>
          </w14:textFill>
        </w:rPr>
        <w:t xml:space="preserve"> 投标文件相关格式</w:t>
      </w:r>
    </w:p>
    <w:p>
      <w:pPr>
        <w:pStyle w:val="59"/>
        <w:numPr>
          <w:ilvl w:val="255"/>
          <w:numId w:val="0"/>
        </w:numPr>
        <w:spacing w:before="159" w:after="159"/>
        <w:ind w:right="-506" w:rightChars="-241" w:firstLine="420" w:firstLineChars="200"/>
        <w:rPr>
          <w:rFonts w:hAnsi="宋体" w:eastAsia="宋体"/>
          <w:b/>
          <w:sz w:val="21"/>
          <w:szCs w:val="21"/>
        </w:rPr>
      </w:pPr>
      <w:r>
        <w:rPr>
          <w:rFonts w:hint="eastAsia" w:hAnsi="宋体"/>
          <w:sz w:val="21"/>
        </w:rPr>
        <w:t>投标文件由</w:t>
      </w:r>
      <w:r>
        <w:rPr>
          <w:rFonts w:hint="eastAsia" w:ascii="Times New Roman" w:hAnsi="Times New Roman" w:eastAsia="宋体" w:cs="Times New Roman"/>
          <w:sz w:val="21"/>
        </w:rPr>
        <w:t>资格响应文件、商务及技术响应文件、报价文件三部份组成。</w:t>
      </w:r>
      <w:r>
        <w:rPr>
          <w:rFonts w:hint="eastAsia" w:hAnsi="宋体" w:cs="宋体"/>
          <w:b/>
          <w:szCs w:val="21"/>
        </w:rPr>
        <w:t>投标文件中涉及的有关内容均须提供合法有效的证明材料扫描件件。</w:t>
      </w:r>
      <w:r>
        <w:rPr>
          <w:rFonts w:hint="eastAsia" w:ascii="Times New Roman" w:hAnsi="Times New Roman" w:eastAsia="宋体" w:cs="Times New Roman"/>
          <w:sz w:val="21"/>
        </w:rPr>
        <w:t>电子投标文件中所须加盖公章部分均采用CA签章。</w:t>
      </w:r>
      <w:r>
        <w:rPr>
          <w:rFonts w:hint="eastAsia" w:hAnsi="宋体" w:cs="宋体"/>
          <w:b/>
          <w:szCs w:val="21"/>
        </w:rPr>
        <w:t>有▲标识的条款为必须提交的资料</w:t>
      </w:r>
      <w:r>
        <w:rPr>
          <w:rFonts w:hint="eastAsia" w:hAnsi="宋体" w:eastAsia="宋体" w:cs="宋体"/>
          <w:b/>
          <w:szCs w:val="21"/>
        </w:rPr>
        <w:t>。</w:t>
      </w:r>
    </w:p>
    <w:p>
      <w:pPr>
        <w:pStyle w:val="59"/>
        <w:numPr>
          <w:ilvl w:val="255"/>
          <w:numId w:val="0"/>
        </w:numPr>
        <w:spacing w:before="159" w:after="159"/>
        <w:ind w:right="-506" w:rightChars="-241" w:firstLine="422" w:firstLineChars="200"/>
        <w:rPr>
          <w:rFonts w:hAnsi="宋体" w:eastAsia="宋体"/>
          <w:b/>
          <w:sz w:val="21"/>
          <w:szCs w:val="21"/>
        </w:rPr>
      </w:pPr>
      <w:r>
        <w:rPr>
          <w:rFonts w:hint="eastAsia" w:hAnsi="宋体" w:eastAsia="宋体"/>
          <w:b/>
          <w:sz w:val="21"/>
          <w:szCs w:val="21"/>
        </w:rPr>
        <w:t>▲1、资格响应部份：</w:t>
      </w:r>
    </w:p>
    <w:p>
      <w:pPr>
        <w:snapToGrid w:val="0"/>
        <w:spacing w:line="360" w:lineRule="auto"/>
        <w:ind w:firstLine="420" w:firstLineChars="200"/>
        <w:jc w:val="left"/>
        <w:rPr>
          <w:rFonts w:ascii="宋体" w:hAnsi="宋体" w:cs="宋体"/>
          <w:szCs w:val="21"/>
        </w:rPr>
      </w:pPr>
      <w:r>
        <w:rPr>
          <w:rFonts w:hint="eastAsia" w:ascii="宋体" w:hAnsi="宋体" w:cs="宋体"/>
          <w:szCs w:val="21"/>
        </w:rPr>
        <w:t>基本资格条件：符合《中华人民共和国政府采购法》第二十二条的规定；</w:t>
      </w:r>
    </w:p>
    <w:p>
      <w:pPr>
        <w:snapToGrid w:val="0"/>
        <w:spacing w:line="360" w:lineRule="auto"/>
        <w:ind w:firstLine="420" w:firstLineChars="200"/>
        <w:jc w:val="left"/>
        <w:rPr>
          <w:rFonts w:ascii="宋体" w:hAnsi="宋体" w:cs="宋体"/>
          <w:szCs w:val="21"/>
        </w:rPr>
      </w:pPr>
      <w:r>
        <w:rPr>
          <w:rFonts w:hint="eastAsia" w:ascii="宋体" w:hAnsi="宋体" w:cs="宋体"/>
          <w:szCs w:val="21"/>
        </w:rPr>
        <w:t>1.1营业执照复印件；</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提供在工商部门注册的有效“企业法人营业执照”或“营业执照”</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1.1.1特定行业（银行、保险、石油石化、电力、电信、移动、联通等行业）供应商为区域性分支机构的提供总公司（总机构）授权书。（如是）</w:t>
      </w:r>
    </w:p>
    <w:p>
      <w:pPr>
        <w:pStyle w:val="2"/>
        <w:ind w:firstLine="422" w:firstLineChars="200"/>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1.</w:t>
      </w:r>
      <w:r>
        <w:rPr>
          <w:rFonts w:hint="eastAsia" w:ascii="宋体" w:hAnsi="宋体" w:cs="宋体"/>
          <w:b/>
          <w:bCs/>
          <w:kern w:val="2"/>
          <w:sz w:val="21"/>
          <w:szCs w:val="21"/>
          <w:lang w:val="en-US" w:eastAsia="zh-CN" w:bidi="ar-SA"/>
        </w:rPr>
        <w:t>2</w:t>
      </w:r>
      <w:r>
        <w:rPr>
          <w:rFonts w:hint="default" w:ascii="宋体" w:hAnsi="宋体" w:eastAsia="宋体" w:cs="宋体"/>
          <w:b/>
          <w:bCs/>
          <w:kern w:val="2"/>
          <w:sz w:val="21"/>
          <w:szCs w:val="21"/>
          <w:lang w:val="en-US" w:eastAsia="zh-CN" w:bidi="ar-SA"/>
        </w:rPr>
        <w:t>本项目的特定资格要求：</w:t>
      </w:r>
    </w:p>
    <w:p>
      <w:pPr>
        <w:pStyle w:val="2"/>
        <w:ind w:firstLine="420" w:firstLineChars="200"/>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1.2.1提供</w:t>
      </w:r>
      <w:r>
        <w:rPr>
          <w:rFonts w:hint="eastAsia" w:ascii="宋体" w:hAnsi="宋体" w:eastAsia="宋体" w:cs="宋体"/>
          <w:b w:val="0"/>
          <w:bCs w:val="0"/>
          <w:kern w:val="2"/>
          <w:sz w:val="21"/>
          <w:szCs w:val="21"/>
          <w:lang w:val="en-US" w:eastAsia="zh-CN" w:bidi="ar-SA"/>
        </w:rPr>
        <w:t>相应勘察、设计资质</w:t>
      </w:r>
      <w:r>
        <w:rPr>
          <w:rFonts w:hint="eastAsia" w:ascii="宋体" w:hAnsi="宋体" w:cs="宋体"/>
          <w:b w:val="0"/>
          <w:bCs w:val="0"/>
          <w:kern w:val="2"/>
          <w:sz w:val="21"/>
          <w:szCs w:val="21"/>
          <w:lang w:val="en-US" w:eastAsia="zh-CN" w:bidi="ar-SA"/>
        </w:rPr>
        <w:t>证</w:t>
      </w:r>
      <w:r>
        <w:rPr>
          <w:rFonts w:hint="eastAsia" w:ascii="宋体" w:hAnsi="宋体" w:eastAsia="宋体" w:cs="宋体"/>
          <w:b w:val="0"/>
          <w:bCs w:val="0"/>
          <w:kern w:val="2"/>
          <w:sz w:val="21"/>
          <w:szCs w:val="21"/>
          <w:lang w:val="en-US" w:eastAsia="zh-CN" w:bidi="ar-SA"/>
        </w:rPr>
        <w:t>书复印件</w:t>
      </w:r>
      <w:r>
        <w:rPr>
          <w:rFonts w:hint="eastAsia" w:ascii="宋体" w:hAnsi="宋体" w:cs="宋体"/>
          <w:b w:val="0"/>
          <w:bCs w:val="0"/>
          <w:kern w:val="2"/>
          <w:sz w:val="21"/>
          <w:szCs w:val="21"/>
          <w:lang w:val="en-US" w:eastAsia="zh-CN" w:bidi="ar-SA"/>
        </w:rPr>
        <w:t>或扫描件</w:t>
      </w:r>
      <w:r>
        <w:rPr>
          <w:rFonts w:hint="default" w:ascii="宋体" w:hAnsi="宋体" w:eastAsia="宋体" w:cs="宋体"/>
          <w:b w:val="0"/>
          <w:bCs w:val="0"/>
          <w:kern w:val="2"/>
          <w:sz w:val="21"/>
          <w:szCs w:val="21"/>
          <w:lang w:val="en-US" w:eastAsia="zh-CN" w:bidi="ar-SA"/>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投标函（格式见附件）；</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法定代表人身份证复印件；</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1.5</w:t>
      </w:r>
      <w:r>
        <w:rPr>
          <w:rFonts w:hint="eastAsia" w:ascii="宋体" w:hAnsi="宋体" w:cs="宋体"/>
          <w:szCs w:val="21"/>
        </w:rPr>
        <w:t>中小企业声明函（格式见附件）；</w:t>
      </w:r>
    </w:p>
    <w:p>
      <w:pPr>
        <w:snapToGrid w:val="0"/>
        <w:spacing w:line="360" w:lineRule="auto"/>
        <w:ind w:firstLine="420" w:firstLineChars="200"/>
        <w:jc w:val="left"/>
        <w:rPr>
          <w:rFonts w:ascii="宋体" w:hAnsi="宋体" w:cs="宋体"/>
          <w:szCs w:val="21"/>
        </w:rPr>
      </w:pPr>
      <w:r>
        <w:rPr>
          <w:rFonts w:hint="eastAsia" w:ascii="宋体" w:hAnsi="宋体" w:cs="宋体"/>
          <w:szCs w:val="21"/>
          <w:lang w:val="en-US" w:eastAsia="zh-CN"/>
        </w:rPr>
        <w:t>1.6</w:t>
      </w:r>
      <w:r>
        <w:rPr>
          <w:rFonts w:hint="eastAsia" w:ascii="宋体" w:hAnsi="宋体" w:cs="宋体"/>
          <w:szCs w:val="21"/>
        </w:rPr>
        <w:t>监狱企业声明函；(如需</w:t>
      </w:r>
      <w:r>
        <w:rPr>
          <w:rFonts w:hint="eastAsia" w:ascii="宋体" w:hAnsi="宋体" w:cs="宋体"/>
          <w:szCs w:val="21"/>
          <w:lang w:eastAsia="zh-CN"/>
        </w:rPr>
        <w:t>，</w:t>
      </w:r>
      <w:r>
        <w:rPr>
          <w:rFonts w:hint="eastAsia" w:ascii="宋体" w:hAnsi="宋体" w:cs="宋体"/>
          <w:szCs w:val="21"/>
        </w:rPr>
        <w:t>格式见附件)</w:t>
      </w:r>
    </w:p>
    <w:p>
      <w:pPr>
        <w:snapToGrid w:val="0"/>
        <w:spacing w:line="360" w:lineRule="auto"/>
        <w:ind w:firstLine="420" w:firstLineChars="200"/>
        <w:jc w:val="left"/>
        <w:rPr>
          <w:rFonts w:ascii="宋体" w:hAnsi="宋体" w:cs="宋体"/>
          <w:szCs w:val="21"/>
        </w:rPr>
      </w:pPr>
      <w:r>
        <w:rPr>
          <w:rFonts w:hint="eastAsia" w:ascii="宋体" w:hAnsi="宋体" w:cs="宋体"/>
          <w:szCs w:val="21"/>
          <w:lang w:val="en-US" w:eastAsia="zh-CN"/>
        </w:rPr>
        <w:t>1.7</w:t>
      </w:r>
      <w:r>
        <w:rPr>
          <w:rFonts w:hint="eastAsia" w:ascii="宋体" w:hAnsi="宋体" w:cs="宋体"/>
          <w:szCs w:val="21"/>
        </w:rPr>
        <w:t>残疾人福利性单位声明函；(如需</w:t>
      </w:r>
      <w:r>
        <w:rPr>
          <w:rFonts w:hint="eastAsia" w:ascii="宋体" w:hAnsi="宋体" w:cs="宋体"/>
          <w:szCs w:val="21"/>
          <w:lang w:eastAsia="zh-CN"/>
        </w:rPr>
        <w:t>，</w:t>
      </w:r>
      <w:r>
        <w:rPr>
          <w:rFonts w:hint="eastAsia" w:ascii="宋体" w:hAnsi="宋体" w:cs="宋体"/>
          <w:szCs w:val="21"/>
        </w:rPr>
        <w:t>格式见附件)</w:t>
      </w:r>
    </w:p>
    <w:p>
      <w:pPr>
        <w:snapToGrid w:val="0"/>
        <w:spacing w:line="360" w:lineRule="auto"/>
        <w:ind w:firstLine="420" w:firstLineChars="200"/>
        <w:jc w:val="left"/>
        <w:rPr>
          <w:rFonts w:ascii="宋体" w:hAnsi="宋体" w:cs="宋体"/>
          <w:szCs w:val="21"/>
        </w:rPr>
      </w:pPr>
      <w:r>
        <w:rPr>
          <w:rFonts w:hint="eastAsia" w:ascii="宋体" w:hAnsi="宋体" w:cs="宋体"/>
          <w:szCs w:val="21"/>
        </w:rPr>
        <w:t>注：证明材料均需加盖签章。</w:t>
      </w:r>
    </w:p>
    <w:p>
      <w:pPr>
        <w:pStyle w:val="59"/>
        <w:numPr>
          <w:ilvl w:val="0"/>
          <w:numId w:val="12"/>
        </w:numPr>
        <w:snapToGrid w:val="0"/>
        <w:spacing w:before="159" w:after="159" w:line="360" w:lineRule="auto"/>
        <w:ind w:right="-506" w:rightChars="-241" w:firstLine="417" w:firstLineChars="198"/>
        <w:rPr>
          <w:rFonts w:hAnsi="宋体" w:eastAsia="宋体"/>
          <w:b/>
          <w:sz w:val="21"/>
          <w:szCs w:val="21"/>
        </w:rPr>
      </w:pPr>
      <w:r>
        <w:rPr>
          <w:rFonts w:hint="eastAsia" w:hAnsi="宋体" w:eastAsia="宋体"/>
          <w:b/>
          <w:sz w:val="21"/>
          <w:szCs w:val="21"/>
        </w:rPr>
        <w:t>商务及技术部分：</w:t>
      </w:r>
    </w:p>
    <w:p>
      <w:pPr>
        <w:spacing w:line="360" w:lineRule="auto"/>
        <w:ind w:firstLine="420"/>
        <w:rPr>
          <w:rFonts w:asci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asci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供应商自评表；（格式见附件）</w:t>
      </w:r>
    </w:p>
    <w:p>
      <w:pPr>
        <w:spacing w:line="360" w:lineRule="auto"/>
        <w:ind w:firstLine="420" w:firstLineChars="200"/>
        <w:jc w:val="left"/>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w:t>
      </w:r>
      <w:r>
        <w:rPr>
          <w:rFonts w:hint="eastAsia" w:ascii="宋体" w:hAnsi="宋体"/>
          <w:bCs/>
          <w:color w:val="000000" w:themeColor="text1"/>
          <w:szCs w:val="21"/>
          <w:highlight w:val="none"/>
          <w14:textFill>
            <w14:solidFill>
              <w14:schemeClr w14:val="tx1"/>
            </w14:solidFill>
          </w14:textFill>
        </w:rPr>
        <w:t>供应商基本情况表（如有）；</w:t>
      </w:r>
    </w:p>
    <w:p>
      <w:pPr>
        <w:spacing w:line="360" w:lineRule="auto"/>
        <w:ind w:firstLine="420"/>
        <w:rPr>
          <w:rFonts w:asci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2.3</w:t>
      </w:r>
      <w:r>
        <w:rPr>
          <w:rFonts w:hint="eastAsia" w:ascii="宋体" w:hAnsi="宋体"/>
          <w:color w:val="000000" w:themeColor="text1"/>
          <w:highlight w:val="none"/>
          <w14:textFill>
            <w14:solidFill>
              <w14:schemeClr w14:val="tx1"/>
            </w14:solidFill>
          </w14:textFill>
        </w:rPr>
        <w:t>项目组成人员情况表（格式见附件）；</w:t>
      </w:r>
    </w:p>
    <w:p>
      <w:pPr>
        <w:spacing w:line="360" w:lineRule="auto"/>
        <w:ind w:firstLine="420"/>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2.4</w:t>
      </w:r>
      <w:r>
        <w:rPr>
          <w:rFonts w:hint="eastAsia" w:ascii="宋体" w:hAnsi="宋体"/>
          <w:color w:val="000000" w:themeColor="text1"/>
          <w:highlight w:val="none"/>
          <w14:textFill>
            <w14:solidFill>
              <w14:schemeClr w14:val="tx1"/>
            </w14:solidFill>
          </w14:textFill>
        </w:rPr>
        <w:t>类似业绩（如有）；</w:t>
      </w:r>
    </w:p>
    <w:p>
      <w:pPr>
        <w:spacing w:line="360" w:lineRule="auto"/>
        <w:ind w:firstLine="420"/>
        <w:rPr>
          <w:rFonts w:ascii="宋体"/>
          <w:color w:val="000000" w:themeColor="text1"/>
          <w:szCs w:val="21"/>
          <w:highlight w:val="none"/>
          <w14:textFill>
            <w14:solidFill>
              <w14:schemeClr w14:val="tx1"/>
            </w14:solidFill>
          </w14:textFill>
        </w:rPr>
      </w:pPr>
      <w:r>
        <w:rPr>
          <w:rFonts w:hint="eastAsia" w:hAnsi="宋体" w:eastAsia="宋体"/>
          <w:b/>
          <w:sz w:val="21"/>
          <w:szCs w:val="21"/>
        </w:rPr>
        <w:t>▲</w:t>
      </w:r>
      <w:r>
        <w:rPr>
          <w:rFonts w:ascii="宋体" w:hAnsi="宋体"/>
          <w:color w:val="000000" w:themeColor="text1"/>
          <w:szCs w:val="21"/>
          <w:highlight w:val="none"/>
          <w14:textFill>
            <w14:solidFill>
              <w14:schemeClr w14:val="tx1"/>
            </w14:solidFill>
          </w14:textFill>
        </w:rPr>
        <w:t>2.5</w:t>
      </w:r>
      <w:r>
        <w:rPr>
          <w:rFonts w:hint="eastAsia" w:ascii="宋体" w:hAnsi="宋体"/>
          <w:color w:val="000000" w:themeColor="text1"/>
          <w:szCs w:val="21"/>
          <w:highlight w:val="none"/>
          <w14:textFill>
            <w14:solidFill>
              <w14:schemeClr w14:val="tx1"/>
            </w14:solidFill>
          </w14:textFill>
        </w:rPr>
        <w:t>商务偏离表</w:t>
      </w:r>
      <w:r>
        <w:rPr>
          <w:rFonts w:hint="eastAsia" w:ascii="宋体" w:hAnsi="宋体"/>
          <w:color w:val="000000" w:themeColor="text1"/>
          <w:highlight w:val="none"/>
          <w14:textFill>
            <w14:solidFill>
              <w14:schemeClr w14:val="tx1"/>
            </w14:solidFill>
          </w14:textFill>
        </w:rPr>
        <w:t>（格式见附件）</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firstLine="420" w:firstLineChars="200"/>
        <w:jc w:val="left"/>
        <w:rPr>
          <w:rFonts w:ascii="宋体" w:hAnsi="宋体" w:cs="宋体"/>
          <w:szCs w:val="21"/>
        </w:rPr>
      </w:pPr>
      <w:r>
        <w:rPr>
          <w:rFonts w:ascii="宋体" w:hAnsi="宋体"/>
          <w:color w:val="000000" w:themeColor="text1"/>
          <w:highlight w:val="none"/>
          <w14:textFill>
            <w14:solidFill>
              <w14:schemeClr w14:val="tx1"/>
            </w14:solidFill>
          </w14:textFill>
        </w:rPr>
        <w:t>2.6</w:t>
      </w:r>
      <w:r>
        <w:rPr>
          <w:rFonts w:hint="eastAsia" w:ascii="宋体" w:hAnsi="宋体" w:cs="宋体"/>
          <w:color w:val="000000" w:themeColor="text1"/>
          <w:szCs w:val="21"/>
          <w:highlight w:val="none"/>
          <w:lang w:eastAsia="zh-CN"/>
          <w14:textFill>
            <w14:solidFill>
              <w14:schemeClr w14:val="tx1"/>
            </w14:solidFill>
          </w14:textFill>
        </w:rPr>
        <w:t>监</w:t>
      </w:r>
      <w:r>
        <w:rPr>
          <w:rFonts w:hint="eastAsia" w:ascii="宋体" w:hAnsi="宋体" w:cs="宋体"/>
          <w:color w:val="000000" w:themeColor="text1"/>
          <w:szCs w:val="21"/>
          <w:highlight w:val="none"/>
          <w14:textFill>
            <w14:solidFill>
              <w14:schemeClr w14:val="tx1"/>
            </w14:solidFill>
          </w14:textFill>
        </w:rPr>
        <w:t>测方案</w:t>
      </w:r>
      <w:r>
        <w:rPr>
          <w:rFonts w:hint="eastAsia" w:ascii="宋体" w:hAnsi="宋体" w:cs="宋体"/>
          <w:szCs w:val="21"/>
        </w:rPr>
        <w:t>（格式自拟）</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2.7</w:t>
      </w:r>
      <w:r>
        <w:rPr>
          <w:rFonts w:hint="eastAsia" w:ascii="宋体" w:hAnsi="宋体" w:cs="宋体"/>
          <w:color w:val="000000" w:themeColor="text1"/>
          <w:szCs w:val="21"/>
          <w:highlight w:val="none"/>
          <w:lang w:val="en-US" w:eastAsia="zh-CN"/>
          <w14:textFill>
            <w14:solidFill>
              <w14:schemeClr w14:val="tx1"/>
            </w14:solidFill>
          </w14:textFill>
        </w:rPr>
        <w:t>房屋装修入户巡检方案</w:t>
      </w:r>
      <w:r>
        <w:rPr>
          <w:rFonts w:hint="eastAsia" w:ascii="宋体" w:hAnsi="宋体" w:cs="宋体"/>
          <w:szCs w:val="21"/>
        </w:rPr>
        <w:t>（格式自拟）</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ind w:firstLine="420" w:firstLineChars="200"/>
        <w:jc w:val="left"/>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lang w:val="en-US" w:eastAsia="zh-CN"/>
          <w14:textFill>
            <w14:solidFill>
              <w14:schemeClr w14:val="tx1"/>
            </w14:solidFill>
          </w14:textFill>
        </w:rPr>
        <w:t>应急预案</w:t>
      </w:r>
      <w:r>
        <w:rPr>
          <w:rFonts w:hint="eastAsia" w:ascii="宋体" w:hAnsi="宋体" w:cs="宋体"/>
          <w:szCs w:val="21"/>
        </w:rPr>
        <w:t>（格式自拟）</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ind w:firstLine="420" w:firstLineChars="200"/>
        <w:jc w:val="left"/>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拟投入本项目设施设备、材料配置清单</w:t>
      </w:r>
      <w:r>
        <w:rPr>
          <w:rFonts w:hint="eastAsia" w:ascii="宋体" w:hAnsi="宋体"/>
          <w:color w:val="000000" w:themeColor="text1"/>
          <w:highlight w:val="none"/>
          <w14:textFill>
            <w14:solidFill>
              <w14:schemeClr w14:val="tx1"/>
            </w14:solidFill>
          </w14:textFill>
        </w:rPr>
        <w:t>（格式见附件）</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2.10</w:t>
      </w:r>
      <w:r>
        <w:rPr>
          <w:rFonts w:hint="eastAsia" w:ascii="宋体" w:hAnsi="宋体"/>
          <w:color w:val="000000" w:themeColor="text1"/>
          <w:szCs w:val="21"/>
          <w:highlight w:val="none"/>
          <w:lang w:val="en-US" w:eastAsia="zh-CN"/>
          <w14:textFill>
            <w14:solidFill>
              <w14:schemeClr w14:val="tx1"/>
            </w14:solidFill>
          </w14:textFill>
        </w:rPr>
        <w:t>合理化建议</w:t>
      </w:r>
      <w:r>
        <w:rPr>
          <w:rFonts w:hint="eastAsia" w:ascii="宋体" w:hAnsi="宋体"/>
          <w:color w:val="000000" w:themeColor="text1"/>
          <w:szCs w:val="21"/>
          <w:highlight w:val="none"/>
          <w14:textFill>
            <w14:solidFill>
              <w14:schemeClr w14:val="tx1"/>
            </w14:solidFill>
          </w14:textFill>
        </w:rPr>
        <w:t>（若有）；</w:t>
      </w:r>
    </w:p>
    <w:p>
      <w:pPr>
        <w:adjustRightInd w:val="0"/>
        <w:snapToGrid w:val="0"/>
        <w:spacing w:line="360" w:lineRule="auto"/>
        <w:ind w:firstLine="422" w:firstLineChars="200"/>
        <w:rPr>
          <w:rFonts w:ascii="宋体" w:cs="宋体"/>
          <w:color w:val="000000" w:themeColor="text1"/>
          <w:szCs w:val="21"/>
          <w:highlight w:val="none"/>
          <w14:textFill>
            <w14:solidFill>
              <w14:schemeClr w14:val="tx1"/>
            </w14:solidFill>
          </w14:textFill>
        </w:rPr>
      </w:pPr>
      <w:r>
        <w:rPr>
          <w:rFonts w:hint="eastAsia" w:hAnsi="宋体" w:eastAsia="宋体"/>
          <w:b/>
          <w:sz w:val="21"/>
          <w:szCs w:val="21"/>
        </w:rPr>
        <w:t>▲</w:t>
      </w:r>
      <w:r>
        <w:rPr>
          <w:rFonts w:ascii="宋体" w:hAnsi="宋体" w:cs="宋体"/>
          <w:color w:val="000000" w:themeColor="text1"/>
          <w:szCs w:val="21"/>
          <w:highlight w:val="none"/>
          <w14:textFill>
            <w14:solidFill>
              <w14:schemeClr w14:val="tx1"/>
            </w14:solidFill>
          </w14:textFill>
        </w:rPr>
        <w:t>2.1</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技术偏离表</w:t>
      </w:r>
      <w:r>
        <w:rPr>
          <w:rFonts w:hint="eastAsia" w:ascii="宋体" w:hAnsi="宋体"/>
          <w:color w:val="000000" w:themeColor="text1"/>
          <w:highlight w:val="none"/>
          <w14:textFill>
            <w14:solidFill>
              <w14:schemeClr w14:val="tx1"/>
            </w14:solidFill>
          </w14:textFill>
        </w:rPr>
        <w:t>（格式见附件）</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对本项目的其他合理化建议、要求（若有）；</w:t>
      </w:r>
    </w:p>
    <w:p>
      <w:pPr>
        <w:snapToGrid w:val="0"/>
        <w:spacing w:line="360" w:lineRule="auto"/>
        <w:ind w:firstLine="422" w:firstLineChars="200"/>
        <w:jc w:val="left"/>
        <w:rPr>
          <w:rFonts w:hint="eastAsia" w:ascii="宋体" w:hAnsi="宋体"/>
          <w:color w:val="000000" w:themeColor="text1"/>
          <w:szCs w:val="21"/>
          <w:highlight w:val="none"/>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3承诺书；</w:t>
      </w:r>
    </w:p>
    <w:p>
      <w:pPr>
        <w:snapToGrid w:val="0"/>
        <w:spacing w:line="360" w:lineRule="auto"/>
        <w:ind w:firstLine="420" w:firstLineChars="200"/>
        <w:jc w:val="left"/>
        <w:rPr>
          <w:rFonts w:ascii="Times New Roman" w:hAnsi="Times New Roman"/>
        </w:rPr>
      </w:pPr>
      <w:r>
        <w:rPr>
          <w:rFonts w:hint="eastAsia" w:ascii="宋体" w:hAnsi="宋体"/>
          <w:color w:val="000000" w:themeColor="text1"/>
          <w:szCs w:val="21"/>
          <w:highlight w:val="none"/>
          <w:lang w:val="en-US" w:eastAsia="zh-CN"/>
          <w14:textFill>
            <w14:solidFill>
              <w14:schemeClr w14:val="tx1"/>
            </w14:solidFill>
          </w14:textFill>
        </w:rPr>
        <w:t>2.14</w:t>
      </w:r>
      <w:r>
        <w:rPr>
          <w:rFonts w:hint="eastAsia" w:ascii="宋体" w:hAnsi="宋体"/>
          <w:color w:val="000000" w:themeColor="text1"/>
          <w:szCs w:val="21"/>
          <w:highlight w:val="none"/>
          <w14:textFill>
            <w14:solidFill>
              <w14:schemeClr w14:val="tx1"/>
            </w14:solidFill>
          </w14:textFill>
        </w:rPr>
        <w:t>本采购文件要求提供的和投标人认为需要提供的其它说明和资料/文件。</w:t>
      </w:r>
    </w:p>
    <w:p>
      <w:pPr>
        <w:adjustRightInd w:val="0"/>
        <w:snapToGrid w:val="0"/>
        <w:spacing w:line="360" w:lineRule="auto"/>
        <w:ind w:firstLine="422" w:firstLineChars="200"/>
        <w:rPr>
          <w:rFonts w:ascii="Times New Roman" w:hAnsi="Times New Roman"/>
          <w:b/>
          <w:bCs/>
        </w:rPr>
      </w:pPr>
      <w:r>
        <w:rPr>
          <w:rFonts w:ascii="Times New Roman" w:hAnsi="Times New Roman"/>
          <w:b/>
          <w:bCs/>
        </w:rPr>
        <w:t>以上所需的各种证书、证件、证明、证照复印件</w:t>
      </w:r>
      <w:r>
        <w:rPr>
          <w:rFonts w:hint="eastAsia" w:ascii="Times New Roman" w:hAnsi="Times New Roman"/>
          <w:b/>
          <w:bCs/>
        </w:rPr>
        <w:t>或扫描件</w:t>
      </w:r>
      <w:r>
        <w:rPr>
          <w:rFonts w:ascii="Times New Roman" w:hAnsi="Times New Roman"/>
          <w:b/>
          <w:bCs/>
        </w:rPr>
        <w:t>须加盖有效公章</w:t>
      </w:r>
      <w:r>
        <w:rPr>
          <w:rFonts w:hint="eastAsia" w:ascii="Times New Roman" w:hAnsi="Times New Roman"/>
          <w:b/>
          <w:bCs/>
        </w:rPr>
        <w:t>。</w:t>
      </w:r>
    </w:p>
    <w:p>
      <w:pPr>
        <w:spacing w:line="360" w:lineRule="auto"/>
        <w:ind w:firstLine="420" w:firstLineChars="200"/>
        <w:contextualSpacing/>
        <w:rPr>
          <w:rFonts w:ascii="Times New Roman" w:hAnsi="Times New Roman" w:cs="Times New Roman"/>
          <w:b/>
          <w:bCs/>
          <w:color w:val="000000" w:themeColor="text1"/>
          <w:u w:val="single"/>
          <w14:textFill>
            <w14:solidFill>
              <w14:schemeClr w14:val="tx1"/>
            </w14:solidFill>
          </w14:textFill>
        </w:rPr>
      </w:pPr>
      <w:r>
        <w:rPr>
          <w:rFonts w:ascii="Times New Roman" w:hAnsi="Times New Roman" w:cs="Times New Roman"/>
          <w:color w:val="000000" w:themeColor="text1"/>
          <w:highlight w:val="yellow"/>
          <w:u w:val="single"/>
          <w14:textFill>
            <w14:solidFill>
              <w14:schemeClr w14:val="tx1"/>
            </w14:solidFill>
          </w14:textFill>
        </w:rPr>
        <w:t>2.</w:t>
      </w:r>
      <w:r>
        <w:rPr>
          <w:rFonts w:hint="eastAsia" w:ascii="Times New Roman" w:hAnsi="Times New Roman" w:cs="Times New Roman"/>
          <w:color w:val="000000" w:themeColor="text1"/>
          <w:highlight w:val="yellow"/>
          <w:u w:val="single"/>
          <w14:textFill>
            <w14:solidFill>
              <w14:schemeClr w14:val="tx1"/>
            </w14:solidFill>
          </w14:textFill>
        </w:rPr>
        <w:t>12</w:t>
      </w:r>
      <w:r>
        <w:rPr>
          <w:rFonts w:ascii="Times New Roman" w:hAnsi="Times New Roman" w:cs="Times New Roman"/>
          <w:color w:val="000000" w:themeColor="text1"/>
          <w:highlight w:val="yellow"/>
          <w:u w:val="single"/>
          <w14:textFill>
            <w14:solidFill>
              <w14:schemeClr w14:val="tx1"/>
            </w14:solidFill>
          </w14:textFill>
        </w:rPr>
        <w:t>政府采购活动现场确认声明书（</w:t>
      </w:r>
      <w:r>
        <w:rPr>
          <w:rFonts w:ascii="Times New Roman" w:hAnsi="Times New Roman" w:cs="Times New Roman"/>
          <w:b/>
          <w:bCs/>
          <w:color w:val="000000" w:themeColor="text1"/>
          <w:highlight w:val="yellow"/>
          <w:u w:val="single"/>
          <w14:textFill>
            <w14:solidFill>
              <w14:schemeClr w14:val="tx1"/>
            </w14:solidFill>
          </w14:textFill>
        </w:rPr>
        <w:t>本表在开标截止时间后,尽快填写完并加盖公章传至</w:t>
      </w:r>
      <w:r>
        <w:rPr>
          <w:rFonts w:hint="eastAsia" w:ascii="Times New Roman" w:hAnsi="Times New Roman" w:cs="Times New Roman"/>
          <w:b/>
          <w:bCs/>
          <w:color w:val="000000" w:themeColor="text1"/>
          <w:highlight w:val="yellow"/>
          <w:u w:val="single"/>
          <w14:textFill>
            <w14:solidFill>
              <w14:schemeClr w14:val="tx1"/>
            </w14:solidFill>
          </w14:textFill>
        </w:rPr>
        <w:t>41688047</w:t>
      </w:r>
      <w:r>
        <w:rPr>
          <w:rFonts w:ascii="Times New Roman" w:hAnsi="Times New Roman" w:cs="Times New Roman"/>
          <w:b/>
          <w:bCs/>
          <w:color w:val="000000" w:themeColor="text1"/>
          <w:highlight w:val="yellow"/>
          <w:u w:val="single"/>
          <w14:textFill>
            <w14:solidFill>
              <w14:schemeClr w14:val="tx1"/>
            </w14:solidFill>
          </w14:textFill>
        </w:rPr>
        <w:t>@qq.com）</w:t>
      </w:r>
    </w:p>
    <w:p>
      <w:pPr>
        <w:pStyle w:val="59"/>
        <w:snapToGrid w:val="0"/>
        <w:spacing w:before="159" w:after="159" w:line="360" w:lineRule="auto"/>
        <w:ind w:firstLine="422" w:firstLineChars="200"/>
        <w:rPr>
          <w:rFonts w:hAnsi="宋体" w:eastAsia="宋体"/>
          <w:b/>
          <w:sz w:val="21"/>
          <w:szCs w:val="21"/>
        </w:rPr>
      </w:pPr>
      <w:r>
        <w:rPr>
          <w:rFonts w:hAnsi="宋体" w:eastAsia="宋体"/>
          <w:b/>
          <w:sz w:val="21"/>
          <w:szCs w:val="21"/>
        </w:rPr>
        <w:t>3</w:t>
      </w:r>
      <w:r>
        <w:rPr>
          <w:rFonts w:hint="eastAsia" w:hAnsi="宋体" w:eastAsia="宋体"/>
          <w:b/>
          <w:sz w:val="21"/>
          <w:szCs w:val="21"/>
        </w:rPr>
        <w:t>、报价部分：</w:t>
      </w:r>
    </w:p>
    <w:p>
      <w:pPr>
        <w:snapToGrid w:val="0"/>
        <w:spacing w:line="360" w:lineRule="auto"/>
        <w:ind w:firstLine="420" w:firstLineChars="200"/>
        <w:jc w:val="left"/>
        <w:rPr>
          <w:rFonts w:ascii="宋体" w:hAnsi="宋体" w:cs="宋体"/>
          <w:szCs w:val="21"/>
        </w:rPr>
      </w:pPr>
      <w:r>
        <w:rPr>
          <w:rFonts w:ascii="宋体" w:hAnsi="宋体" w:cs="宋体"/>
          <w:szCs w:val="21"/>
        </w:rPr>
        <w:t>▲</w:t>
      </w:r>
      <w:r>
        <w:rPr>
          <w:rFonts w:hint="eastAsia" w:ascii="宋体" w:hAnsi="宋体" w:cs="宋体"/>
          <w:szCs w:val="21"/>
        </w:rPr>
        <w:t>3.1投标报价一览表（格式见附件）；</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▲3.2投标报价明细表（格式见附件）；</w:t>
      </w:r>
    </w:p>
    <w:p>
      <w:pPr>
        <w:snapToGrid w:val="0"/>
        <w:ind w:firstLine="420" w:firstLineChars="200"/>
        <w:jc w:val="left"/>
        <w:rPr>
          <w:rFonts w:ascii="宋体" w:hAnsi="宋体" w:cs="宋体"/>
          <w:szCs w:val="21"/>
        </w:rPr>
      </w:pPr>
      <w:r>
        <w:rPr>
          <w:rFonts w:hint="eastAsia" w:ascii="宋体" w:hAnsi="宋体" w:cs="宋体"/>
          <w:szCs w:val="21"/>
        </w:rPr>
        <w:t>3.3投标人针对报价需要说明的其他文件和说明（如有，格式自拟）。</w:t>
      </w:r>
    </w:p>
    <w:p>
      <w:pPr>
        <w:pStyle w:val="2"/>
      </w:pPr>
    </w:p>
    <w:p>
      <w:pPr>
        <w:autoSpaceDE w:val="0"/>
        <w:autoSpaceDN w:val="0"/>
        <w:adjustRightInd w:val="0"/>
        <w:spacing w:line="360" w:lineRule="auto"/>
        <w:outlineLvl w:val="1"/>
        <w:rPr>
          <w:rFonts w:ascii="宋体" w:hAnsi="宋体" w:cs="宋体"/>
          <w:b/>
          <w:sz w:val="30"/>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bookmarkEnd w:id="2"/>
    <w:bookmarkEnd w:id="3"/>
    <w:p>
      <w:pPr>
        <w:pStyle w:val="12"/>
        <w:rPr>
          <w:rFonts w:hint="default" w:ascii="Times New Roman" w:hAnsi="Times New Roman" w:cs="Times New Roman"/>
          <w:color w:val="000000" w:themeColor="text1"/>
          <w:highlight w:val="none"/>
          <w14:textFill>
            <w14:solidFill>
              <w14:schemeClr w14:val="tx1"/>
            </w14:solidFill>
          </w14:textFill>
        </w:rPr>
      </w:pPr>
    </w:p>
    <w:p>
      <w:pPr>
        <w:autoSpaceDE w:val="0"/>
        <w:autoSpaceDN w:val="0"/>
        <w:adjustRightInd w:val="0"/>
        <w:spacing w:line="360" w:lineRule="auto"/>
        <w:outlineLvl w:val="1"/>
        <w:rPr>
          <w:rFonts w:hint="default" w:ascii="Times New Roman" w:hAnsi="Times New Roman" w:cs="Times New Roman"/>
          <w:b/>
          <w:bCs/>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一、备份电子文件包装封面（格式供参考）</w:t>
      </w:r>
    </w:p>
    <w:p>
      <w:pPr>
        <w:autoSpaceDE w:val="0"/>
        <w:autoSpaceDN w:val="0"/>
        <w:adjustRightInd w:val="0"/>
        <w:spacing w:line="360" w:lineRule="auto"/>
        <w:jc w:val="center"/>
        <w:rPr>
          <w:rFonts w:hint="default" w:ascii="Times New Roman" w:hAnsi="Times New Roman" w:cs="Times New Roman"/>
          <w:b/>
          <w:color w:val="000000" w:themeColor="text1"/>
          <w:sz w:val="32"/>
          <w:szCs w:val="32"/>
          <w:highlight w:val="none"/>
          <w14:textFill>
            <w14:solidFill>
              <w14:schemeClr w14:val="tx1"/>
            </w14:solidFill>
          </w14:textFill>
        </w:rPr>
      </w:pPr>
      <w:bookmarkStart w:id="4" w:name="_Toc297472068"/>
    </w:p>
    <w:p>
      <w:pPr>
        <w:pStyle w:val="12"/>
        <w:rPr>
          <w:rFonts w:hint="default" w:ascii="Times New Roman" w:hAnsi="Times New Roman" w:cs="Times New Roman"/>
          <w:color w:val="000000" w:themeColor="text1"/>
          <w:highlight w:val="none"/>
          <w14:textFill>
            <w14:solidFill>
              <w14:schemeClr w14:val="tx1"/>
            </w14:solidFill>
          </w14:textFill>
        </w:rPr>
      </w:pPr>
    </w:p>
    <w:p>
      <w:pPr>
        <w:pStyle w:val="12"/>
        <w:jc w:val="center"/>
        <w:rPr>
          <w:rFonts w:hint="default" w:ascii="Times New Roman" w:hAnsi="Times New Roman" w:cs="Times New Roman"/>
          <w:b/>
          <w:color w:val="000000" w:themeColor="text1"/>
          <w:sz w:val="44"/>
          <w:szCs w:val="44"/>
          <w:highlight w:val="none"/>
          <w14:textFill>
            <w14:solidFill>
              <w14:schemeClr w14:val="tx1"/>
            </w14:solidFill>
          </w14:textFill>
        </w:rPr>
      </w:pPr>
      <w:r>
        <w:rPr>
          <w:rFonts w:hint="default" w:ascii="Times New Roman" w:hAnsi="Times New Roman" w:cs="Times New Roman"/>
          <w:b/>
          <w:color w:val="000000" w:themeColor="text1"/>
          <w:sz w:val="44"/>
          <w:szCs w:val="44"/>
          <w:highlight w:val="none"/>
          <w14:textFill>
            <w14:solidFill>
              <w14:schemeClr w14:val="tx1"/>
            </w14:solidFill>
          </w14:textFill>
        </w:rPr>
        <w:t>项目名称</w:t>
      </w:r>
    </w:p>
    <w:p>
      <w:pPr>
        <w:pStyle w:val="12"/>
        <w:rPr>
          <w:rFonts w:hint="default" w:ascii="Times New Roman" w:hAnsi="Times New Roman" w:cs="Times New Roman"/>
          <w:b/>
          <w:color w:val="000000" w:themeColor="text1"/>
          <w:sz w:val="32"/>
          <w:szCs w:val="32"/>
          <w:highlight w:val="none"/>
          <w14:textFill>
            <w14:solidFill>
              <w14:schemeClr w14:val="tx1"/>
            </w14:solidFill>
          </w14:textFill>
        </w:rPr>
      </w:pPr>
    </w:p>
    <w:p>
      <w:pPr>
        <w:pStyle w:val="12"/>
        <w:rPr>
          <w:rFonts w:hint="default" w:ascii="Times New Roman" w:hAnsi="Times New Roman" w:cs="Times New Roman"/>
          <w:b/>
          <w:color w:val="000000" w:themeColor="text1"/>
          <w:sz w:val="32"/>
          <w:szCs w:val="32"/>
          <w:highlight w:val="none"/>
          <w14:textFill>
            <w14:solidFill>
              <w14:schemeClr w14:val="tx1"/>
            </w14:solidFill>
          </w14:textFill>
        </w:rPr>
      </w:pPr>
    </w:p>
    <w:p>
      <w:pPr>
        <w:spacing w:line="360" w:lineRule="auto"/>
        <w:jc w:val="center"/>
        <w:rPr>
          <w:rFonts w:hint="default" w:ascii="Times New Roman" w:hAnsi="Times New Roman" w:cs="Times New Roman"/>
          <w:color w:val="000000" w:themeColor="text1"/>
          <w:spacing w:val="40"/>
          <w:w w:val="90"/>
          <w:sz w:val="96"/>
          <w:szCs w:val="96"/>
          <w:highlight w:val="none"/>
          <w14:textFill>
            <w14:solidFill>
              <w14:schemeClr w14:val="tx1"/>
            </w14:solidFill>
          </w14:textFill>
        </w:rPr>
      </w:pPr>
      <w:r>
        <w:rPr>
          <w:rFonts w:hint="default" w:ascii="Times New Roman" w:hAnsi="Times New Roman" w:cs="Times New Roman"/>
          <w:color w:val="000000" w:themeColor="text1"/>
          <w:spacing w:val="40"/>
          <w:w w:val="90"/>
          <w:sz w:val="96"/>
          <w:szCs w:val="96"/>
          <w:highlight w:val="none"/>
          <w14:textFill>
            <w14:solidFill>
              <w14:schemeClr w14:val="tx1"/>
            </w14:solidFill>
          </w14:textFill>
        </w:rPr>
        <w:t>投 标 文 件</w:t>
      </w:r>
    </w:p>
    <w:p>
      <w:pPr>
        <w:autoSpaceDE w:val="0"/>
        <w:autoSpaceDN w:val="0"/>
        <w:adjustRightInd w:val="0"/>
        <w:spacing w:line="360" w:lineRule="auto"/>
        <w:rPr>
          <w:rFonts w:hint="default" w:ascii="Times New Roman" w:hAnsi="Times New Roman" w:cs="Times New Roman"/>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default" w:ascii="Times New Roman" w:hAnsi="Times New Roman" w:cs="Times New Roman"/>
          <w:b/>
          <w:color w:val="000000" w:themeColor="text1"/>
          <w:sz w:val="32"/>
          <w:szCs w:val="32"/>
          <w:highlight w:val="none"/>
          <w14:textFill>
            <w14:solidFill>
              <w14:schemeClr w14:val="tx1"/>
            </w14:solidFill>
          </w14:textFill>
        </w:rPr>
      </w:pPr>
    </w:p>
    <w:p>
      <w:pPr>
        <w:pStyle w:val="12"/>
        <w:rPr>
          <w:rFonts w:hint="default" w:ascii="Times New Roman" w:hAnsi="Times New Roman" w:cs="Times New Roman"/>
          <w:color w:val="000000" w:themeColor="text1"/>
          <w:highlight w:val="none"/>
          <w14:textFill>
            <w14:solidFill>
              <w14:schemeClr w14:val="tx1"/>
            </w14:solidFill>
          </w14:textFill>
        </w:rPr>
      </w:pPr>
    </w:p>
    <w:p>
      <w:pPr>
        <w:autoSpaceDE w:val="0"/>
        <w:autoSpaceDN w:val="0"/>
        <w:adjustRightInd w:val="0"/>
        <w:spacing w:line="360" w:lineRule="auto"/>
        <w:rPr>
          <w:rFonts w:hint="default" w:ascii="Times New Roman" w:hAnsi="Times New Roman" w:cs="Times New Roman"/>
          <w:b/>
          <w:color w:val="000000" w:themeColor="text1"/>
          <w:sz w:val="32"/>
          <w:szCs w:val="32"/>
          <w:highlight w:val="none"/>
          <w14:textFill>
            <w14:solidFill>
              <w14:schemeClr w14:val="tx1"/>
            </w14:solidFill>
          </w14:textFill>
        </w:rPr>
      </w:pPr>
    </w:p>
    <w:p>
      <w:pPr>
        <w:pStyle w:val="91"/>
        <w:spacing w:line="360" w:lineRule="auto"/>
        <w:ind w:left="0" w:right="-252"/>
        <w:rPr>
          <w:rFonts w:hint="default" w:ascii="Times New Roman" w:hAnsi="Times New Roman" w:cs="Times New Roman"/>
          <w:color w:val="000000" w:themeColor="text1"/>
          <w:sz w:val="32"/>
          <w:szCs w:val="32"/>
          <w:highlight w:val="none"/>
          <w:u w:val="singl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投标人名称：                           （公章）</w:t>
      </w:r>
    </w:p>
    <w:p>
      <w:pPr>
        <w:autoSpaceDE w:val="0"/>
        <w:autoSpaceDN w:val="0"/>
        <w:adjustRightInd w:val="0"/>
        <w:spacing w:line="360" w:lineRule="auto"/>
        <w:rPr>
          <w:rFonts w:hint="default" w:ascii="Times New Roman" w:hAnsi="Times New Roman" w:cs="Times New Roman"/>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default" w:ascii="Times New Roman" w:hAnsi="Times New Roman" w:cs="Times New Roman"/>
          <w:b/>
          <w:color w:val="000000" w:themeColor="text1"/>
          <w:sz w:val="32"/>
          <w:szCs w:val="32"/>
          <w:highlight w:val="none"/>
          <w14:textFill>
            <w14:solidFill>
              <w14:schemeClr w14:val="tx1"/>
            </w14:solidFill>
          </w14:textFill>
        </w:rPr>
      </w:pPr>
    </w:p>
    <w:p>
      <w:pPr>
        <w:pStyle w:val="12"/>
        <w:rPr>
          <w:rFonts w:hint="default" w:ascii="Times New Roman" w:hAnsi="Times New Roman" w:cs="Times New Roman"/>
          <w:b/>
          <w:color w:val="000000" w:themeColor="text1"/>
          <w:sz w:val="32"/>
          <w:szCs w:val="32"/>
          <w:highlight w:val="none"/>
          <w14:textFill>
            <w14:solidFill>
              <w14:schemeClr w14:val="tx1"/>
            </w14:solidFill>
          </w14:textFill>
        </w:rPr>
      </w:pPr>
    </w:p>
    <w:p>
      <w:pPr>
        <w:pStyle w:val="12"/>
        <w:rPr>
          <w:rFonts w:hint="default" w:ascii="Times New Roman" w:hAnsi="Times New Roman" w:cs="Times New Roman"/>
          <w:b/>
          <w:color w:val="000000" w:themeColor="text1"/>
          <w:sz w:val="32"/>
          <w:szCs w:val="32"/>
          <w:highlight w:val="none"/>
          <w14:textFill>
            <w14:solidFill>
              <w14:schemeClr w14:val="tx1"/>
            </w14:solidFill>
          </w14:textFill>
        </w:rPr>
      </w:pPr>
    </w:p>
    <w:p>
      <w:pPr>
        <w:pStyle w:val="12"/>
        <w:rPr>
          <w:rFonts w:hint="default" w:ascii="Times New Roman" w:hAnsi="Times New Roman" w:cs="Times New Roman"/>
          <w:b/>
          <w:color w:val="000000" w:themeColor="text1"/>
          <w:sz w:val="32"/>
          <w:szCs w:val="32"/>
          <w:highlight w:val="none"/>
          <w14:textFill>
            <w14:solidFill>
              <w14:schemeClr w14:val="tx1"/>
            </w14:solidFill>
          </w14:textFill>
        </w:rPr>
      </w:pPr>
    </w:p>
    <w:p>
      <w:pPr>
        <w:spacing w:line="360" w:lineRule="auto"/>
        <w:jc w:val="center"/>
        <w:rPr>
          <w:rFonts w:hint="default" w:ascii="Times New Roman" w:hAnsi="Times New Roman" w:cs="Times New Roman"/>
          <w:b/>
          <w:color w:val="000000" w:themeColor="text1"/>
          <w:sz w:val="30"/>
          <w:szCs w:val="30"/>
          <w:highlight w:val="none"/>
          <w14:textFill>
            <w14:solidFill>
              <w14:schemeClr w14:val="tx1"/>
            </w14:solidFill>
          </w14:textFill>
        </w:rPr>
      </w:pPr>
      <w:r>
        <w:rPr>
          <w:rFonts w:hint="default" w:ascii="Times New Roman" w:hAnsi="Times New Roman" w:cs="Times New Roman"/>
          <w:b/>
          <w:color w:val="000000" w:themeColor="text1"/>
          <w:sz w:val="30"/>
          <w:szCs w:val="30"/>
          <w:highlight w:val="none"/>
          <w14:textFill>
            <w14:solidFill>
              <w14:schemeClr w14:val="tx1"/>
            </w14:solidFill>
          </w14:textFill>
        </w:rPr>
        <w:t>在年月日之前不得启封</w:t>
      </w:r>
      <w:bookmarkEnd w:id="4"/>
    </w:p>
    <w:p>
      <w:pPr>
        <w:autoSpaceDE w:val="0"/>
        <w:autoSpaceDN w:val="0"/>
        <w:adjustRightInd w:val="0"/>
        <w:spacing w:line="360" w:lineRule="auto"/>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r>
        <w:rPr>
          <w:rFonts w:hint="default" w:ascii="Times New Roman" w:hAnsi="Times New Roman" w:cs="Times New Roman"/>
          <w:color w:val="000000" w:themeColor="text1"/>
          <w:highlight w:val="none"/>
          <w14:textFill>
            <w14:solidFill>
              <w14:schemeClr w14:val="tx1"/>
            </w14:solidFill>
          </w14:textFill>
        </w:rPr>
        <w:t>二、</w:t>
      </w:r>
      <w:r>
        <w:rPr>
          <w:rFonts w:hint="default" w:ascii="Times New Roman" w:hAnsi="Times New Roman" w:cs="Times New Roman"/>
          <w:b/>
          <w:color w:val="000000" w:themeColor="text1"/>
          <w:szCs w:val="21"/>
          <w:highlight w:val="none"/>
          <w14:textFill>
            <w14:solidFill>
              <w14:schemeClr w14:val="tx1"/>
            </w14:solidFill>
          </w14:textFill>
        </w:rPr>
        <w:t>投标报价一览表</w:t>
      </w:r>
    </w:p>
    <w:p>
      <w:pPr>
        <w:snapToGrid w:val="0"/>
        <w:spacing w:before="50" w:after="50"/>
        <w:rPr>
          <w:rFonts w:hint="default" w:ascii="Times New Roman" w:hAnsi="Times New Roman" w:cs="Times New Roman"/>
          <w:color w:val="000000" w:themeColor="text1"/>
          <w:szCs w:val="21"/>
          <w:highlight w:val="none"/>
          <w14:textFill>
            <w14:solidFill>
              <w14:schemeClr w14:val="tx1"/>
            </w14:solidFill>
          </w14:textFill>
        </w:rPr>
      </w:pPr>
    </w:p>
    <w:p>
      <w:pPr>
        <w:snapToGrid w:val="0"/>
        <w:spacing w:before="50" w:after="50"/>
        <w:ind w:left="-420" w:leftChars="-200"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项目</w:t>
      </w:r>
      <w:r>
        <w:rPr>
          <w:rFonts w:hint="default" w:ascii="Times New Roman" w:hAnsi="Times New Roman" w:cs="Times New Roman"/>
          <w:color w:val="000000" w:themeColor="text1"/>
          <w:szCs w:val="21"/>
          <w:highlight w:val="none"/>
          <w14:textFill>
            <w14:solidFill>
              <w14:schemeClr w14:val="tx1"/>
            </w14:solidFill>
          </w14:textFill>
        </w:rPr>
        <w:t>编号：              项目名称：              单位：元</w:t>
      </w:r>
    </w:p>
    <w:tbl>
      <w:tblPr>
        <w:tblStyle w:val="27"/>
        <w:tblW w:w="8379" w:type="dxa"/>
        <w:tblInd w:w="-15" w:type="dxa"/>
        <w:tblLayout w:type="fixed"/>
        <w:tblCellMar>
          <w:top w:w="0" w:type="dxa"/>
          <w:left w:w="0" w:type="dxa"/>
          <w:bottom w:w="0" w:type="dxa"/>
          <w:right w:w="0" w:type="dxa"/>
        </w:tblCellMar>
      </w:tblPr>
      <w:tblGrid>
        <w:gridCol w:w="780"/>
        <w:gridCol w:w="3900"/>
        <w:gridCol w:w="1863"/>
        <w:gridCol w:w="1836"/>
      </w:tblGrid>
      <w:tr>
        <w:tblPrEx>
          <w:tblCellMar>
            <w:top w:w="0" w:type="dxa"/>
            <w:left w:w="0" w:type="dxa"/>
            <w:bottom w:w="0" w:type="dxa"/>
            <w:right w:w="0" w:type="dxa"/>
          </w:tblCellMar>
        </w:tblPrEx>
        <w:trPr>
          <w:cantSplit/>
          <w:trHeight w:val="565" w:hRule="atLeast"/>
        </w:trPr>
        <w:tc>
          <w:tcPr>
            <w:tcW w:w="780" w:type="dxa"/>
            <w:tcBorders>
              <w:top w:val="single" w:color="auto" w:sz="12" w:space="0"/>
              <w:left w:val="single" w:color="auto" w:sz="12" w:space="0"/>
              <w:bottom w:val="single" w:color="auto" w:sz="6" w:space="0"/>
              <w:right w:val="single" w:color="auto" w:sz="6" w:space="0"/>
            </w:tcBorders>
            <w:vAlign w:val="center"/>
          </w:tcPr>
          <w:p>
            <w:pPr>
              <w:jc w:val="center"/>
              <w:textAlignment w:val="bottom"/>
              <w:rPr>
                <w:rFonts w:hint="default" w:ascii="Times New Roman" w:hAnsi="Times New Roman" w:cs="Times New Roman"/>
                <w:snapToGrid w:val="0"/>
                <w:color w:val="000000" w:themeColor="text1"/>
                <w:highlight w:val="none"/>
                <w14:textFill>
                  <w14:solidFill>
                    <w14:schemeClr w14:val="tx1"/>
                  </w14:solidFill>
                </w14:textFill>
              </w:rPr>
            </w:pPr>
            <w:r>
              <w:rPr>
                <w:rFonts w:hint="default" w:ascii="Times New Roman" w:hAnsi="Times New Roman" w:cs="Times New Roman"/>
                <w:snapToGrid w:val="0"/>
                <w:color w:val="000000" w:themeColor="text1"/>
                <w:highlight w:val="none"/>
                <w14:textFill>
                  <w14:solidFill>
                    <w14:schemeClr w14:val="tx1"/>
                  </w14:solidFill>
                </w14:textFill>
              </w:rPr>
              <w:t>编号</w:t>
            </w:r>
          </w:p>
        </w:tc>
        <w:tc>
          <w:tcPr>
            <w:tcW w:w="3900" w:type="dxa"/>
            <w:tcBorders>
              <w:top w:val="single" w:color="auto" w:sz="12" w:space="0"/>
              <w:left w:val="single" w:color="auto" w:sz="6" w:space="0"/>
              <w:bottom w:val="single" w:color="auto" w:sz="6" w:space="0"/>
              <w:right w:val="single" w:color="auto" w:sz="6" w:space="0"/>
            </w:tcBorders>
            <w:vAlign w:val="center"/>
          </w:tcPr>
          <w:p>
            <w:pPr>
              <w:jc w:val="center"/>
              <w:textAlignment w:val="bottom"/>
              <w:rPr>
                <w:rFonts w:hint="default" w:ascii="Times New Roman" w:hAnsi="Times New Roman" w:cs="Times New Roman"/>
                <w:snapToGrid w:val="0"/>
                <w:color w:val="000000" w:themeColor="text1"/>
                <w:highlight w:val="none"/>
                <w14:textFill>
                  <w14:solidFill>
                    <w14:schemeClr w14:val="tx1"/>
                  </w14:solidFill>
                </w14:textFill>
              </w:rPr>
            </w:pPr>
            <w:r>
              <w:rPr>
                <w:rFonts w:hint="default" w:ascii="Times New Roman" w:hAnsi="Times New Roman" w:cs="Times New Roman"/>
                <w:snapToGrid w:val="0"/>
                <w:color w:val="000000" w:themeColor="text1"/>
                <w:highlight w:val="none"/>
                <w14:textFill>
                  <w14:solidFill>
                    <w14:schemeClr w14:val="tx1"/>
                  </w14:solidFill>
                </w14:textFill>
              </w:rPr>
              <w:t>项  目  名  称</w:t>
            </w:r>
          </w:p>
        </w:tc>
        <w:tc>
          <w:tcPr>
            <w:tcW w:w="1863" w:type="dxa"/>
            <w:tcBorders>
              <w:top w:val="single" w:color="auto" w:sz="12" w:space="0"/>
              <w:left w:val="single" w:color="auto" w:sz="6" w:space="0"/>
              <w:bottom w:val="single" w:color="auto" w:sz="6" w:space="0"/>
            </w:tcBorders>
            <w:vAlign w:val="center"/>
          </w:tcPr>
          <w:p>
            <w:pPr>
              <w:ind w:left="405" w:leftChars="193" w:firstLine="210" w:firstLineChars="100"/>
              <w:jc w:val="left"/>
              <w:textAlignment w:val="bottom"/>
              <w:rPr>
                <w:rFonts w:hint="default" w:ascii="Times New Roman" w:hAnsi="Times New Roman" w:cs="Times New Roman"/>
                <w:snapToGrid w:val="0"/>
                <w:color w:val="000000" w:themeColor="text1"/>
                <w:highlight w:val="none"/>
                <w14:textFill>
                  <w14:solidFill>
                    <w14:schemeClr w14:val="tx1"/>
                  </w14:solidFill>
                </w14:textFill>
              </w:rPr>
            </w:pPr>
            <w:r>
              <w:rPr>
                <w:rFonts w:hint="default" w:ascii="Times New Roman" w:hAnsi="Times New Roman" w:cs="Times New Roman"/>
                <w:snapToGrid w:val="0"/>
                <w:color w:val="000000" w:themeColor="text1"/>
                <w:highlight w:val="none"/>
                <w14:textFill>
                  <w14:solidFill>
                    <w14:schemeClr w14:val="tx1"/>
                  </w14:solidFill>
                </w14:textFill>
              </w:rPr>
              <w:t>金额</w:t>
            </w:r>
          </w:p>
        </w:tc>
        <w:tc>
          <w:tcPr>
            <w:tcW w:w="1836" w:type="dxa"/>
            <w:tcBorders>
              <w:top w:val="single" w:color="auto" w:sz="12" w:space="0"/>
              <w:left w:val="single" w:color="auto" w:sz="6" w:space="0"/>
              <w:bottom w:val="single" w:color="auto" w:sz="6" w:space="0"/>
              <w:right w:val="single" w:color="auto" w:sz="12" w:space="0"/>
            </w:tcBorders>
            <w:vAlign w:val="center"/>
          </w:tcPr>
          <w:p>
            <w:pPr>
              <w:jc w:val="center"/>
              <w:textAlignment w:val="bottom"/>
              <w:rPr>
                <w:rFonts w:hint="default" w:ascii="Times New Roman" w:hAnsi="Times New Roman" w:cs="Times New Roman"/>
                <w:snapToGrid w:val="0"/>
                <w:color w:val="000000" w:themeColor="text1"/>
                <w:highlight w:val="none"/>
                <w14:textFill>
                  <w14:solidFill>
                    <w14:schemeClr w14:val="tx1"/>
                  </w14:solidFill>
                </w14:textFill>
              </w:rPr>
            </w:pPr>
            <w:r>
              <w:rPr>
                <w:rFonts w:hint="default" w:ascii="Times New Roman" w:hAnsi="Times New Roman" w:cs="Times New Roman"/>
                <w:snapToGrid w:val="0"/>
                <w:color w:val="000000" w:themeColor="text1"/>
                <w:highlight w:val="none"/>
                <w14:textFill>
                  <w14:solidFill>
                    <w14:schemeClr w14:val="tx1"/>
                  </w14:solidFill>
                </w14:textFill>
              </w:rPr>
              <w:t>备　　注</w:t>
            </w:r>
          </w:p>
        </w:tc>
      </w:tr>
      <w:tr>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6" w:space="0"/>
            </w:tcBorders>
            <w:vAlign w:val="center"/>
          </w:tcPr>
          <w:p>
            <w:pPr>
              <w:jc w:val="center"/>
              <w:textAlignment w:val="bottom"/>
              <w:rPr>
                <w:rFonts w:hint="default" w:ascii="Times New Roman" w:hAnsi="Times New Roman" w:cs="Times New Roman"/>
                <w:snapToGrid w:val="0"/>
                <w:color w:val="000000" w:themeColor="text1"/>
                <w:highlight w:val="none"/>
                <w14:textFill>
                  <w14:solidFill>
                    <w14:schemeClr w14:val="tx1"/>
                  </w14:solidFill>
                </w14:textFill>
              </w:rPr>
            </w:pPr>
            <w:r>
              <w:rPr>
                <w:rFonts w:hint="default" w:ascii="Times New Roman" w:hAnsi="Times New Roman" w:cs="Times New Roman"/>
                <w:snapToGrid w:val="0"/>
                <w:color w:val="000000" w:themeColor="text1"/>
                <w:highlight w:val="none"/>
                <w14:textFill>
                  <w14:solidFill>
                    <w14:schemeClr w14:val="tx1"/>
                  </w14:solidFill>
                </w14:textFill>
              </w:rPr>
              <w:t>1</w:t>
            </w:r>
          </w:p>
        </w:tc>
        <w:tc>
          <w:tcPr>
            <w:tcW w:w="3900" w:type="dxa"/>
            <w:tcBorders>
              <w:top w:val="single" w:color="auto" w:sz="6" w:space="0"/>
              <w:left w:val="single" w:color="auto" w:sz="6" w:space="0"/>
              <w:bottom w:val="single" w:color="auto" w:sz="6" w:space="0"/>
              <w:right w:val="single" w:color="auto" w:sz="6" w:space="0"/>
            </w:tcBorders>
            <w:vAlign w:val="center"/>
          </w:tcPr>
          <w:p>
            <w:pPr>
              <w:jc w:val="center"/>
              <w:textAlignment w:val="bottom"/>
              <w:rPr>
                <w:rFonts w:hint="default" w:ascii="Times New Roman" w:hAnsi="Times New Roman" w:cs="Times New Roman"/>
                <w:snapToGrid w:val="0"/>
                <w:color w:val="000000" w:themeColor="text1"/>
                <w:highlight w:val="none"/>
                <w14:textFill>
                  <w14:solidFill>
                    <w14:schemeClr w14:val="tx1"/>
                  </w14:solidFill>
                </w14:textFill>
              </w:rPr>
            </w:pPr>
            <w:r>
              <w:rPr>
                <w:rFonts w:hint="default" w:ascii="Times New Roman" w:hAnsi="Times New Roman" w:cs="Times New Roman"/>
                <w:snapToGrid w:val="0"/>
                <w:color w:val="000000" w:themeColor="text1"/>
                <w:highlight w:val="none"/>
                <w14:textFill>
                  <w14:solidFill>
                    <w14:schemeClr w14:val="tx1"/>
                  </w14:solidFill>
                </w14:textFill>
              </w:rPr>
              <w:t>人工</w:t>
            </w:r>
            <w:r>
              <w:rPr>
                <w:rFonts w:hint="default" w:ascii="Times New Roman" w:hAnsi="Times New Roman" w:eastAsia="宋体" w:cs="Times New Roman"/>
                <w:color w:val="000000" w:themeColor="text1"/>
                <w:highlight w:val="none"/>
                <w:lang w:val="en-US" w:eastAsia="zh-CN"/>
                <w14:textFill>
                  <w14:solidFill>
                    <w14:schemeClr w14:val="tx1"/>
                  </w14:solidFill>
                </w14:textFill>
              </w:rPr>
              <w:t>动态</w:t>
            </w:r>
            <w:r>
              <w:rPr>
                <w:rFonts w:hint="default" w:ascii="Times New Roman" w:hAnsi="Times New Roman" w:cs="Times New Roman"/>
                <w:snapToGrid w:val="0"/>
                <w:color w:val="000000" w:themeColor="text1"/>
                <w:highlight w:val="none"/>
                <w14:textFill>
                  <w14:solidFill>
                    <w14:schemeClr w14:val="tx1"/>
                  </w14:solidFill>
                </w14:textFill>
              </w:rPr>
              <w:t>监测</w:t>
            </w:r>
          </w:p>
        </w:tc>
        <w:tc>
          <w:tcPr>
            <w:tcW w:w="1863" w:type="dxa"/>
            <w:tcBorders>
              <w:top w:val="single" w:color="auto" w:sz="6" w:space="0"/>
              <w:left w:val="single" w:color="auto" w:sz="6" w:space="0"/>
              <w:bottom w:val="single" w:color="auto" w:sz="6" w:space="0"/>
              <w:right w:val="single" w:color="auto" w:sz="6" w:space="0"/>
            </w:tcBorders>
            <w:vAlign w:val="center"/>
          </w:tcPr>
          <w:p>
            <w:pPr>
              <w:jc w:val="center"/>
              <w:textAlignment w:val="bottom"/>
              <w:rPr>
                <w:rFonts w:hint="default" w:ascii="Times New Roman" w:hAnsi="Times New Roman" w:cs="Times New Roman"/>
                <w:snapToGrid w:val="0"/>
                <w:color w:val="000000" w:themeColor="text1"/>
                <w:highlight w:val="none"/>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12" w:space="0"/>
            </w:tcBorders>
            <w:vAlign w:val="center"/>
          </w:tcPr>
          <w:p>
            <w:pPr>
              <w:jc w:val="center"/>
              <w:textAlignment w:val="bottom"/>
              <w:rPr>
                <w:rFonts w:hint="default" w:ascii="Times New Roman" w:hAnsi="Times New Roman" w:eastAsia="宋体" w:cs="Times New Roman"/>
                <w:snapToGrid w:val="0"/>
                <w:color w:val="000000" w:themeColor="text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highlight w:val="none"/>
                <w:lang w:val="en-US" w:eastAsia="zh-CN"/>
                <w14:textFill>
                  <w14:solidFill>
                    <w14:schemeClr w14:val="tx1"/>
                  </w14:solidFill>
                </w14:textFill>
              </w:rPr>
              <w:t>年度金额</w:t>
            </w:r>
          </w:p>
        </w:tc>
      </w:tr>
      <w:tr>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6" w:space="0"/>
            </w:tcBorders>
            <w:vAlign w:val="center"/>
          </w:tcPr>
          <w:p>
            <w:pPr>
              <w:jc w:val="center"/>
              <w:textAlignment w:val="bottom"/>
              <w:rPr>
                <w:rFonts w:hint="default" w:ascii="Times New Roman" w:hAnsi="Times New Roman" w:cs="Times New Roman"/>
                <w:snapToGrid w:val="0"/>
                <w:color w:val="000000" w:themeColor="text1"/>
                <w:highlight w:val="none"/>
                <w14:textFill>
                  <w14:solidFill>
                    <w14:schemeClr w14:val="tx1"/>
                  </w14:solidFill>
                </w14:textFill>
              </w:rPr>
            </w:pPr>
            <w:r>
              <w:rPr>
                <w:rFonts w:hint="default" w:ascii="Times New Roman" w:hAnsi="Times New Roman" w:cs="Times New Roman"/>
                <w:snapToGrid w:val="0"/>
                <w:color w:val="000000" w:themeColor="text1"/>
                <w:highlight w:val="none"/>
                <w14:textFill>
                  <w14:solidFill>
                    <w14:schemeClr w14:val="tx1"/>
                  </w14:solidFill>
                </w14:textFill>
              </w:rPr>
              <w:t>2</w:t>
            </w:r>
          </w:p>
        </w:tc>
        <w:tc>
          <w:tcPr>
            <w:tcW w:w="3900" w:type="dxa"/>
            <w:tcBorders>
              <w:top w:val="single" w:color="auto" w:sz="6" w:space="0"/>
              <w:left w:val="single" w:color="auto" w:sz="6" w:space="0"/>
              <w:bottom w:val="single" w:color="auto" w:sz="6" w:space="0"/>
              <w:right w:val="single" w:color="auto" w:sz="6" w:space="0"/>
            </w:tcBorders>
            <w:vAlign w:val="center"/>
          </w:tcPr>
          <w:p>
            <w:pPr>
              <w:tabs>
                <w:tab w:val="left" w:pos="3780"/>
              </w:tabs>
              <w:jc w:val="center"/>
              <w:rPr>
                <w:rFonts w:hint="default" w:ascii="Times New Roman" w:hAnsi="Times New Roman" w:cs="Times New Roman"/>
                <w:snapToGrid w:val="0"/>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t>城镇房屋装修</w:t>
            </w:r>
            <w:r>
              <w:rPr>
                <w:rFonts w:hint="eastAsia" w:ascii="Times New Roman" w:hAnsi="Times New Roman" w:cs="Times New Roman"/>
                <w:color w:val="000000" w:themeColor="text1"/>
                <w:highlight w:val="none"/>
                <w:lang w:val="en-US" w:eastAsia="zh-CN"/>
                <w14:textFill>
                  <w14:solidFill>
                    <w14:schemeClr w14:val="tx1"/>
                  </w14:solidFill>
                </w14:textFill>
              </w:rPr>
              <w:t>巡查</w:t>
            </w:r>
            <w:r>
              <w:rPr>
                <w:rFonts w:hint="default" w:ascii="Times New Roman" w:hAnsi="Times New Roman" w:eastAsia="宋体" w:cs="Times New Roman"/>
                <w:color w:val="000000" w:themeColor="text1"/>
                <w:highlight w:val="none"/>
                <w:lang w:eastAsia="zh-CN"/>
                <w14:textFill>
                  <w14:solidFill>
                    <w14:schemeClr w14:val="tx1"/>
                  </w14:solidFill>
                </w14:textFill>
              </w:rPr>
              <w:t>安全专项技术服务</w:t>
            </w:r>
          </w:p>
        </w:tc>
        <w:tc>
          <w:tcPr>
            <w:tcW w:w="1863" w:type="dxa"/>
            <w:tcBorders>
              <w:top w:val="single" w:color="auto" w:sz="6" w:space="0"/>
              <w:left w:val="single" w:color="auto" w:sz="6" w:space="0"/>
              <w:bottom w:val="single" w:color="auto" w:sz="6" w:space="0"/>
              <w:right w:val="single" w:color="auto" w:sz="4" w:space="0"/>
            </w:tcBorders>
            <w:vAlign w:val="center"/>
          </w:tcPr>
          <w:p>
            <w:pPr>
              <w:jc w:val="center"/>
              <w:textAlignment w:val="bottom"/>
              <w:rPr>
                <w:rFonts w:hint="default" w:ascii="Times New Roman" w:hAnsi="Times New Roman" w:cs="Times New Roman"/>
                <w:snapToGrid w:val="0"/>
                <w:color w:val="000000" w:themeColor="text1"/>
                <w:highlight w:val="none"/>
                <w14:textFill>
                  <w14:solidFill>
                    <w14:schemeClr w14:val="tx1"/>
                  </w14:solidFill>
                </w14:textFill>
              </w:rPr>
            </w:pPr>
          </w:p>
        </w:tc>
        <w:tc>
          <w:tcPr>
            <w:tcW w:w="1836" w:type="dxa"/>
            <w:tcBorders>
              <w:top w:val="single" w:color="auto" w:sz="6" w:space="0"/>
              <w:left w:val="single" w:color="auto" w:sz="4" w:space="0"/>
              <w:bottom w:val="single" w:color="auto" w:sz="6" w:space="0"/>
              <w:right w:val="single" w:color="auto" w:sz="12" w:space="0"/>
            </w:tcBorders>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snapToGrid w:val="0"/>
                <w:color w:val="000000" w:themeColor="text1"/>
                <w:highlight w:val="none"/>
                <w:lang w:val="en-US" w:eastAsia="zh-CN"/>
                <w14:textFill>
                  <w14:solidFill>
                    <w14:schemeClr w14:val="tx1"/>
                  </w14:solidFill>
                </w14:textFill>
              </w:rPr>
              <w:t>年度金额</w:t>
            </w:r>
          </w:p>
        </w:tc>
      </w:tr>
      <w:tr>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4" w:space="0"/>
            </w:tcBorders>
            <w:vAlign w:val="center"/>
          </w:tcPr>
          <w:p>
            <w:pPr>
              <w:jc w:val="center"/>
              <w:textAlignment w:val="bottom"/>
              <w:rPr>
                <w:rFonts w:hint="default"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snapToGrid w:val="0"/>
                <w:color w:val="000000" w:themeColor="text1"/>
                <w:highlight w:val="none"/>
                <w14:textFill>
                  <w14:solidFill>
                    <w14:schemeClr w14:val="tx1"/>
                  </w14:solidFill>
                </w14:textFill>
              </w:rPr>
              <w:t>3</w:t>
            </w:r>
          </w:p>
        </w:tc>
        <w:tc>
          <w:tcPr>
            <w:tcW w:w="3900" w:type="dxa"/>
            <w:tcBorders>
              <w:top w:val="single" w:color="auto" w:sz="6" w:space="0"/>
              <w:left w:val="single" w:color="auto" w:sz="4" w:space="0"/>
              <w:bottom w:val="single" w:color="auto" w:sz="6" w:space="0"/>
              <w:right w:val="single" w:color="auto" w:sz="4" w:space="0"/>
            </w:tcBorders>
            <w:vAlign w:val="center"/>
          </w:tcPr>
          <w:p>
            <w:pPr>
              <w:tabs>
                <w:tab w:val="left" w:pos="3780"/>
              </w:tabs>
              <w:jc w:val="center"/>
              <w:rPr>
                <w:rFonts w:hint="default" w:ascii="Times New Roman" w:hAnsi="Times New Roman" w:eastAsia="宋体" w:cs="Times New Roman"/>
                <w:snapToGrid w:val="0"/>
                <w:color w:val="000000" w:themeColor="text1"/>
                <w:highlight w:val="none"/>
                <w:lang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其他（如有自拟）</w:t>
            </w:r>
          </w:p>
        </w:tc>
        <w:tc>
          <w:tcPr>
            <w:tcW w:w="1863" w:type="dxa"/>
            <w:tcBorders>
              <w:top w:val="single" w:color="auto" w:sz="6" w:space="0"/>
              <w:left w:val="single" w:color="auto" w:sz="4" w:space="0"/>
              <w:bottom w:val="single" w:color="auto" w:sz="6" w:space="0"/>
              <w:right w:val="single" w:color="auto" w:sz="4" w:space="0"/>
            </w:tcBorders>
            <w:vAlign w:val="center"/>
          </w:tcPr>
          <w:p>
            <w:pPr>
              <w:textAlignment w:val="bottom"/>
              <w:rPr>
                <w:rFonts w:hint="default" w:ascii="Times New Roman" w:hAnsi="Times New Roman" w:cs="Times New Roman"/>
                <w:snapToGrid w:val="0"/>
                <w:color w:val="000000" w:themeColor="text1"/>
                <w:highlight w:val="none"/>
                <w14:textFill>
                  <w14:solidFill>
                    <w14:schemeClr w14:val="tx1"/>
                  </w14:solidFill>
                </w14:textFill>
              </w:rPr>
            </w:pPr>
          </w:p>
        </w:tc>
        <w:tc>
          <w:tcPr>
            <w:tcW w:w="1836" w:type="dxa"/>
            <w:tcBorders>
              <w:top w:val="single" w:color="auto" w:sz="6" w:space="0"/>
              <w:left w:val="single" w:color="auto" w:sz="4" w:space="0"/>
              <w:bottom w:val="single" w:color="auto" w:sz="6" w:space="0"/>
              <w:right w:val="single" w:color="auto" w:sz="12" w:space="0"/>
            </w:tcBorders>
            <w:vAlign w:val="center"/>
          </w:tcPr>
          <w:p>
            <w:pPr>
              <w:jc w:val="center"/>
              <w:textAlignment w:val="bottom"/>
              <w:rPr>
                <w:rFonts w:hint="default" w:ascii="Times New Roman" w:hAnsi="Times New Roman" w:cs="Times New Roman"/>
                <w:snapToGrid w:val="0"/>
                <w:color w:val="000000" w:themeColor="text1"/>
                <w:highlight w:val="none"/>
                <w14:textFill>
                  <w14:solidFill>
                    <w14:schemeClr w14:val="tx1"/>
                  </w14:solidFill>
                </w14:textFill>
              </w:rPr>
            </w:pPr>
            <w:r>
              <w:rPr>
                <w:rFonts w:hint="eastAsia" w:ascii="Times New Roman" w:hAnsi="Times New Roman" w:cs="Times New Roman"/>
                <w:snapToGrid w:val="0"/>
                <w:color w:val="000000" w:themeColor="text1"/>
                <w:highlight w:val="none"/>
                <w:lang w:val="en-US" w:eastAsia="zh-CN"/>
                <w14:textFill>
                  <w14:solidFill>
                    <w14:schemeClr w14:val="tx1"/>
                  </w14:solidFill>
                </w14:textFill>
              </w:rPr>
              <w:t>年度金额</w:t>
            </w:r>
          </w:p>
        </w:tc>
      </w:tr>
      <w:tr>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4" w:space="0"/>
            </w:tcBorders>
            <w:vAlign w:val="center"/>
          </w:tcPr>
          <w:p>
            <w:pPr>
              <w:jc w:val="center"/>
              <w:textAlignment w:val="bottom"/>
              <w:rPr>
                <w:rFonts w:hint="default"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snapToGrid w:val="0"/>
                <w:color w:val="000000" w:themeColor="text1"/>
                <w:highlight w:val="none"/>
                <w:lang w:val="en-US" w:eastAsia="zh-CN"/>
                <w14:textFill>
                  <w14:solidFill>
                    <w14:schemeClr w14:val="tx1"/>
                  </w14:solidFill>
                </w14:textFill>
              </w:rPr>
              <w:t>4</w:t>
            </w:r>
          </w:p>
        </w:tc>
        <w:tc>
          <w:tcPr>
            <w:tcW w:w="3900" w:type="dxa"/>
            <w:tcBorders>
              <w:top w:val="single" w:color="auto" w:sz="6" w:space="0"/>
              <w:left w:val="single" w:color="auto" w:sz="4" w:space="0"/>
              <w:bottom w:val="single" w:color="auto" w:sz="6" w:space="0"/>
              <w:right w:val="single" w:color="auto" w:sz="4" w:space="0"/>
            </w:tcBorders>
            <w:vAlign w:val="center"/>
          </w:tcPr>
          <w:p>
            <w:pPr>
              <w:jc w:val="center"/>
              <w:textAlignment w:val="bottom"/>
              <w:rPr>
                <w:rFonts w:hint="eastAsia" w:ascii="Times New Roman" w:hAnsi="Times New Roman" w:eastAsia="宋体" w:cs="Times New Roman"/>
                <w:snapToGrid w:val="0"/>
                <w:color w:val="000000" w:themeColor="text1"/>
                <w:highlight w:val="none"/>
                <w:lang w:eastAsia="zh-CN"/>
                <w14:textFill>
                  <w14:solidFill>
                    <w14:schemeClr w14:val="tx1"/>
                  </w14:solidFill>
                </w14:textFill>
              </w:rPr>
            </w:pPr>
            <w:r>
              <w:rPr>
                <w:rFonts w:hint="default" w:ascii="Times New Roman" w:hAnsi="Times New Roman" w:cs="Times New Roman"/>
                <w:snapToGrid w:val="0"/>
                <w:color w:val="000000" w:themeColor="text1"/>
                <w:highlight w:val="none"/>
                <w14:textFill>
                  <w14:solidFill>
                    <w14:schemeClr w14:val="tx1"/>
                  </w14:solidFill>
                </w14:textFill>
              </w:rPr>
              <w:t>投标总报价大写</w:t>
            </w:r>
            <w:r>
              <w:rPr>
                <w:rFonts w:hint="eastAsia" w:ascii="Times New Roman" w:hAnsi="Times New Roman" w:cs="Times New Roman"/>
                <w:snapToGrid w:val="0"/>
                <w:color w:val="000000" w:themeColor="text1"/>
                <w:highlight w:val="none"/>
                <w:lang w:eastAsia="zh-CN"/>
                <w14:textFill>
                  <w14:solidFill>
                    <w14:schemeClr w14:val="tx1"/>
                  </w14:solidFill>
                </w14:textFill>
              </w:rPr>
              <w:t>（</w:t>
            </w:r>
            <w:r>
              <w:rPr>
                <w:rFonts w:hint="eastAsia" w:ascii="Times New Roman" w:hAnsi="Times New Roman" w:cs="Times New Roman"/>
                <w:snapToGrid w:val="0"/>
                <w:color w:val="000000" w:themeColor="text1"/>
                <w:highlight w:val="none"/>
                <w:lang w:val="en-US" w:eastAsia="zh-CN"/>
                <w14:textFill>
                  <w14:solidFill>
                    <w14:schemeClr w14:val="tx1"/>
                  </w14:solidFill>
                </w14:textFill>
              </w:rPr>
              <w:t>三年</w:t>
            </w:r>
            <w:r>
              <w:rPr>
                <w:rFonts w:hint="eastAsia" w:ascii="Times New Roman" w:hAnsi="Times New Roman" w:cs="Times New Roman"/>
                <w:snapToGrid w:val="0"/>
                <w:color w:val="000000" w:themeColor="text1"/>
                <w:highlight w:val="none"/>
                <w:lang w:eastAsia="zh-CN"/>
                <w14:textFill>
                  <w14:solidFill>
                    <w14:schemeClr w14:val="tx1"/>
                  </w14:solidFill>
                </w14:textFill>
              </w:rPr>
              <w:t>）</w:t>
            </w:r>
          </w:p>
        </w:tc>
        <w:tc>
          <w:tcPr>
            <w:tcW w:w="3699" w:type="dxa"/>
            <w:gridSpan w:val="2"/>
            <w:tcBorders>
              <w:top w:val="single" w:color="auto" w:sz="6" w:space="0"/>
              <w:left w:val="single" w:color="auto" w:sz="4" w:space="0"/>
              <w:bottom w:val="single" w:color="auto" w:sz="6" w:space="0"/>
              <w:right w:val="single" w:color="auto" w:sz="12" w:space="0"/>
            </w:tcBorders>
            <w:vAlign w:val="center"/>
          </w:tcPr>
          <w:p>
            <w:pPr>
              <w:textAlignment w:val="bottom"/>
              <w:rPr>
                <w:rFonts w:hint="default" w:ascii="Times New Roman" w:hAnsi="Times New Roman" w:cs="Times New Roman"/>
                <w:snapToGrid w:val="0"/>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12" w:space="0"/>
              <w:right w:val="single" w:color="auto" w:sz="4" w:space="0"/>
            </w:tcBorders>
            <w:vAlign w:val="center"/>
          </w:tcPr>
          <w:p>
            <w:pPr>
              <w:jc w:val="center"/>
              <w:textAlignment w:val="bottom"/>
              <w:rPr>
                <w:rFonts w:hint="default"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snapToGrid w:val="0"/>
                <w:color w:val="000000" w:themeColor="text1"/>
                <w:highlight w:val="none"/>
                <w:lang w:val="en-US" w:eastAsia="zh-CN"/>
                <w14:textFill>
                  <w14:solidFill>
                    <w14:schemeClr w14:val="tx1"/>
                  </w14:solidFill>
                </w14:textFill>
              </w:rPr>
              <w:t>5</w:t>
            </w:r>
          </w:p>
        </w:tc>
        <w:tc>
          <w:tcPr>
            <w:tcW w:w="3900" w:type="dxa"/>
            <w:tcBorders>
              <w:top w:val="single" w:color="auto" w:sz="6" w:space="0"/>
              <w:left w:val="single" w:color="auto" w:sz="4" w:space="0"/>
              <w:bottom w:val="single" w:color="auto" w:sz="12" w:space="0"/>
              <w:right w:val="single" w:color="auto" w:sz="4" w:space="0"/>
            </w:tcBorders>
            <w:vAlign w:val="center"/>
          </w:tcPr>
          <w:p>
            <w:pPr>
              <w:jc w:val="center"/>
              <w:textAlignment w:val="bottom"/>
              <w:rPr>
                <w:rFonts w:hint="eastAsia" w:ascii="Times New Roman" w:hAnsi="Times New Roman" w:eastAsia="宋体" w:cs="Times New Roman"/>
                <w:snapToGrid w:val="0"/>
                <w:color w:val="000000" w:themeColor="text1"/>
                <w:highlight w:val="none"/>
                <w:lang w:eastAsia="zh-CN"/>
                <w14:textFill>
                  <w14:solidFill>
                    <w14:schemeClr w14:val="tx1"/>
                  </w14:solidFill>
                </w14:textFill>
              </w:rPr>
            </w:pPr>
            <w:r>
              <w:rPr>
                <w:rFonts w:hint="default" w:ascii="Times New Roman" w:hAnsi="Times New Roman" w:cs="Times New Roman"/>
                <w:snapToGrid w:val="0"/>
                <w:color w:val="000000" w:themeColor="text1"/>
                <w:highlight w:val="none"/>
                <w14:textFill>
                  <w14:solidFill>
                    <w14:schemeClr w14:val="tx1"/>
                  </w14:solidFill>
                </w14:textFill>
              </w:rPr>
              <w:t>投标总报价小写</w:t>
            </w:r>
            <w:r>
              <w:rPr>
                <w:rFonts w:hint="eastAsia" w:ascii="Times New Roman" w:hAnsi="Times New Roman" w:cs="Times New Roman"/>
                <w:snapToGrid w:val="0"/>
                <w:color w:val="000000" w:themeColor="text1"/>
                <w:highlight w:val="none"/>
                <w:lang w:eastAsia="zh-CN"/>
                <w14:textFill>
                  <w14:solidFill>
                    <w14:schemeClr w14:val="tx1"/>
                  </w14:solidFill>
                </w14:textFill>
              </w:rPr>
              <w:t>（</w:t>
            </w:r>
            <w:r>
              <w:rPr>
                <w:rFonts w:hint="eastAsia" w:ascii="Times New Roman" w:hAnsi="Times New Roman" w:cs="Times New Roman"/>
                <w:snapToGrid w:val="0"/>
                <w:color w:val="000000" w:themeColor="text1"/>
                <w:highlight w:val="none"/>
                <w:lang w:val="en-US" w:eastAsia="zh-CN"/>
                <w14:textFill>
                  <w14:solidFill>
                    <w14:schemeClr w14:val="tx1"/>
                  </w14:solidFill>
                </w14:textFill>
              </w:rPr>
              <w:t>三年</w:t>
            </w:r>
            <w:r>
              <w:rPr>
                <w:rFonts w:hint="eastAsia" w:ascii="Times New Roman" w:hAnsi="Times New Roman" w:cs="Times New Roman"/>
                <w:snapToGrid w:val="0"/>
                <w:color w:val="000000" w:themeColor="text1"/>
                <w:highlight w:val="none"/>
                <w:lang w:eastAsia="zh-CN"/>
                <w14:textFill>
                  <w14:solidFill>
                    <w14:schemeClr w14:val="tx1"/>
                  </w14:solidFill>
                </w14:textFill>
              </w:rPr>
              <w:t>）</w:t>
            </w:r>
          </w:p>
        </w:tc>
        <w:tc>
          <w:tcPr>
            <w:tcW w:w="3699" w:type="dxa"/>
            <w:gridSpan w:val="2"/>
            <w:tcBorders>
              <w:top w:val="single" w:color="auto" w:sz="6" w:space="0"/>
              <w:left w:val="single" w:color="auto" w:sz="4" w:space="0"/>
              <w:bottom w:val="single" w:color="auto" w:sz="12" w:space="0"/>
              <w:right w:val="single" w:color="auto" w:sz="12" w:space="0"/>
            </w:tcBorders>
            <w:vAlign w:val="center"/>
          </w:tcPr>
          <w:p>
            <w:pPr>
              <w:textAlignment w:val="bottom"/>
              <w:rPr>
                <w:rFonts w:hint="default" w:ascii="Times New Roman" w:hAnsi="Times New Roman" w:cs="Times New Roman"/>
                <w:snapToGrid w:val="0"/>
                <w:color w:val="000000" w:themeColor="text1"/>
                <w:highlight w:val="none"/>
                <w14:textFill>
                  <w14:solidFill>
                    <w14:schemeClr w14:val="tx1"/>
                  </w14:solidFill>
                </w14:textFill>
              </w:rPr>
            </w:pPr>
          </w:p>
        </w:tc>
      </w:tr>
    </w:tbl>
    <w:p>
      <w:pPr>
        <w:snapToGrid w:val="0"/>
        <w:spacing w:before="50" w:after="50"/>
        <w:jc w:val="left"/>
        <w:rPr>
          <w:rFonts w:hint="default" w:ascii="Times New Roman" w:hAnsi="Times New Roman" w:cs="Times New Roman"/>
          <w:color w:val="000000" w:themeColor="text1"/>
          <w:szCs w:val="21"/>
          <w:highlight w:val="none"/>
          <w14:textFill>
            <w14:solidFill>
              <w14:schemeClr w14:val="tx1"/>
            </w14:solidFill>
          </w14:textFill>
        </w:rPr>
      </w:pPr>
    </w:p>
    <w:p>
      <w:pPr>
        <w:snapToGrid w:val="0"/>
        <w:spacing w:before="50" w:after="5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注: 此投标报价为</w:t>
      </w:r>
      <w:r>
        <w:rPr>
          <w:rFonts w:hint="eastAsia" w:ascii="Times New Roman" w:hAnsi="Times New Roman" w:cs="Times New Roman"/>
          <w:color w:val="000000" w:themeColor="text1"/>
          <w:szCs w:val="21"/>
          <w:highlight w:val="none"/>
          <w:lang w:val="en-US" w:eastAsia="zh-CN"/>
          <w14:textFill>
            <w14:solidFill>
              <w14:schemeClr w14:val="tx1"/>
            </w14:solidFill>
          </w14:textFill>
        </w:rPr>
        <w:t>三</w:t>
      </w:r>
      <w:r>
        <w:rPr>
          <w:rFonts w:hint="default" w:ascii="Times New Roman" w:hAnsi="Times New Roman" w:cs="Times New Roman"/>
          <w:color w:val="000000" w:themeColor="text1"/>
          <w:szCs w:val="21"/>
          <w:highlight w:val="none"/>
          <w14:textFill>
            <w14:solidFill>
              <w14:schemeClr w14:val="tx1"/>
            </w14:solidFill>
          </w14:textFill>
        </w:rPr>
        <w:t>年的费用。</w:t>
      </w:r>
    </w:p>
    <w:p>
      <w:pPr>
        <w:snapToGrid w:val="0"/>
        <w:spacing w:before="50" w:after="50"/>
        <w:ind w:right="-817" w:rightChars="-389"/>
        <w:rPr>
          <w:rFonts w:hint="default" w:ascii="Times New Roman" w:hAnsi="Times New Roman" w:cs="Times New Roman"/>
          <w:color w:val="000000" w:themeColor="text1"/>
          <w:szCs w:val="21"/>
          <w:highlight w:val="none"/>
          <w14:textFill>
            <w14:solidFill>
              <w14:schemeClr w14:val="tx1"/>
            </w14:solidFill>
          </w14:textFill>
        </w:rPr>
      </w:pP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投标人（盖章）：</w:t>
      </w: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 xml:space="preserve">法定代表人（签字或盖章）：                    </w:t>
      </w: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日期：    年   月   日</w:t>
      </w:r>
    </w:p>
    <w:p>
      <w:pPr>
        <w:spacing w:line="360" w:lineRule="auto"/>
        <w:rPr>
          <w:rFonts w:hint="default" w:ascii="Times New Roman" w:hAnsi="Times New Roman" w:cs="Times New Roman"/>
          <w:b/>
          <w:color w:val="000000" w:themeColor="text1"/>
          <w:spacing w:val="20"/>
          <w:highlight w:val="none"/>
          <w14:textFill>
            <w14:solidFill>
              <w14:schemeClr w14:val="tx1"/>
            </w14:solidFill>
          </w14:textFill>
        </w:rPr>
      </w:pPr>
    </w:p>
    <w:p>
      <w:pPr>
        <w:spacing w:line="360" w:lineRule="auto"/>
        <w:rPr>
          <w:rFonts w:hint="default" w:ascii="Times New Roman" w:hAnsi="Times New Roman" w:cs="Times New Roman"/>
          <w:b/>
          <w:color w:val="000000" w:themeColor="text1"/>
          <w:spacing w:val="20"/>
          <w:highlight w:val="none"/>
          <w14:textFill>
            <w14:solidFill>
              <w14:schemeClr w14:val="tx1"/>
            </w14:solidFill>
          </w14:textFill>
        </w:rPr>
      </w:pPr>
    </w:p>
    <w:p>
      <w:pPr>
        <w:autoSpaceDE w:val="0"/>
        <w:autoSpaceDN w:val="0"/>
        <w:adjustRightInd w:val="0"/>
        <w:rPr>
          <w:rFonts w:hint="default" w:ascii="Times New Roman" w:hAnsi="Times New Roman" w:cs="Times New Roman"/>
          <w:bCs/>
          <w:color w:val="000000" w:themeColor="text1"/>
          <w:highlight w:val="none"/>
          <w14:textFill>
            <w14:solidFill>
              <w14:schemeClr w14:val="tx1"/>
            </w14:solidFill>
          </w14:textFill>
        </w:rPr>
      </w:pPr>
    </w:p>
    <w:p>
      <w:pPr>
        <w:autoSpaceDE w:val="0"/>
        <w:autoSpaceDN w:val="0"/>
        <w:adjustRightInd w:val="0"/>
        <w:rPr>
          <w:rFonts w:hint="default" w:ascii="Times New Roman" w:hAnsi="Times New Roman" w:cs="Times New Roman"/>
          <w:bCs/>
          <w:color w:val="000000" w:themeColor="text1"/>
          <w:highlight w:val="none"/>
          <w14:textFill>
            <w14:solidFill>
              <w14:schemeClr w14:val="tx1"/>
            </w14:solidFill>
          </w14:textFill>
        </w:rPr>
      </w:pPr>
    </w:p>
    <w:p>
      <w:pPr>
        <w:autoSpaceDE w:val="0"/>
        <w:autoSpaceDN w:val="0"/>
        <w:adjustRightInd w:val="0"/>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Cs/>
          <w:color w:val="000000" w:themeColor="text1"/>
          <w:highlight w:val="none"/>
          <w14:textFill>
            <w14:solidFill>
              <w14:schemeClr w14:val="tx1"/>
            </w14:solidFill>
          </w14:textFill>
        </w:rPr>
        <w:br w:type="page"/>
      </w:r>
      <w:r>
        <w:rPr>
          <w:rFonts w:hint="default" w:ascii="Times New Roman" w:hAnsi="Times New Roman" w:cs="Times New Roman"/>
          <w:bCs/>
          <w:color w:val="000000" w:themeColor="text1"/>
          <w:highlight w:val="none"/>
          <w14:textFill>
            <w14:solidFill>
              <w14:schemeClr w14:val="tx1"/>
            </w14:solidFill>
          </w14:textFill>
        </w:rPr>
        <w:t>三、</w:t>
      </w:r>
      <w:r>
        <w:rPr>
          <w:rFonts w:hint="default" w:ascii="Times New Roman" w:hAnsi="Times New Roman" w:cs="Times New Roman"/>
          <w:b/>
          <w:bCs/>
          <w:color w:val="000000" w:themeColor="text1"/>
          <w:szCs w:val="21"/>
          <w:highlight w:val="none"/>
          <w14:textFill>
            <w14:solidFill>
              <w14:schemeClr w14:val="tx1"/>
            </w14:solidFill>
          </w14:textFill>
        </w:rPr>
        <w:t>投标报价明细表</w:t>
      </w:r>
    </w:p>
    <w:p>
      <w:pPr>
        <w:pStyle w:val="14"/>
        <w:spacing w:line="360" w:lineRule="auto"/>
        <w:rPr>
          <w:rFonts w:hint="default" w:ascii="Times New Roman" w:hAnsi="Times New Roman" w:cs="Times New Roman"/>
          <w:b/>
          <w:bCs/>
          <w:color w:val="000000" w:themeColor="text1"/>
          <w:szCs w:val="21"/>
          <w:highlight w:val="none"/>
          <w14:textFill>
            <w14:solidFill>
              <w14:schemeClr w14:val="tx1"/>
            </w14:solidFill>
          </w14:textFill>
        </w:rPr>
      </w:pPr>
    </w:p>
    <w:p>
      <w:pPr>
        <w:pStyle w:val="14"/>
        <w:spacing w:line="360" w:lineRule="auto"/>
        <w:jc w:val="center"/>
        <w:rPr>
          <w:rFonts w:hint="default" w:ascii="Times New Roman" w:hAnsi="Times New Roman" w:cs="Times New Roman"/>
          <w:b/>
          <w:bCs/>
          <w:color w:val="000000" w:themeColor="text1"/>
          <w:spacing w:val="0"/>
          <w:kern w:val="2"/>
          <w:sz w:val="21"/>
          <w:szCs w:val="21"/>
          <w:highlight w:val="none"/>
          <w14:textFill>
            <w14:solidFill>
              <w14:schemeClr w14:val="tx1"/>
            </w14:solidFill>
          </w14:textFill>
        </w:rPr>
      </w:pPr>
      <w:r>
        <w:rPr>
          <w:rFonts w:hint="default" w:ascii="Times New Roman" w:hAnsi="Times New Roman" w:cs="Times New Roman"/>
          <w:b/>
          <w:bCs/>
          <w:color w:val="000000" w:themeColor="text1"/>
          <w:spacing w:val="0"/>
          <w:kern w:val="2"/>
          <w:sz w:val="21"/>
          <w:szCs w:val="21"/>
          <w:highlight w:val="none"/>
          <w14:textFill>
            <w14:solidFill>
              <w14:schemeClr w14:val="tx1"/>
            </w14:solidFill>
          </w14:textFill>
        </w:rPr>
        <w:t>投标报价明细表</w:t>
      </w:r>
    </w:p>
    <w:p>
      <w:pPr>
        <w:pStyle w:val="14"/>
        <w:spacing w:line="360" w:lineRule="auto"/>
        <w:ind w:firstLine="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项目名称：</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 xml:space="preserve"> 项目编号：</w:t>
      </w:r>
      <w:r>
        <w:rPr>
          <w:rFonts w:hint="default" w:ascii="Times New Roman" w:hAnsi="Times New Roman" w:cs="Times New Roman"/>
          <w:color w:val="000000" w:themeColor="text1"/>
          <w:sz w:val="21"/>
          <w:szCs w:val="21"/>
          <w:highlight w:val="none"/>
          <w:u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p>
    <w:tbl>
      <w:tblPr>
        <w:tblStyle w:val="2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16"/>
        <w:gridCol w:w="688"/>
        <w:gridCol w:w="963"/>
        <w:gridCol w:w="1888"/>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pPr>
              <w:tabs>
                <w:tab w:val="left" w:pos="3780"/>
              </w:tabs>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序号</w:t>
            </w:r>
          </w:p>
        </w:tc>
        <w:tc>
          <w:tcPr>
            <w:tcW w:w="1916" w:type="dxa"/>
            <w:vAlign w:val="center"/>
          </w:tcPr>
          <w:p>
            <w:pPr>
              <w:tabs>
                <w:tab w:val="left" w:pos="3780"/>
              </w:tabs>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名称</w:t>
            </w:r>
          </w:p>
        </w:tc>
        <w:tc>
          <w:tcPr>
            <w:tcW w:w="688" w:type="dxa"/>
            <w:vAlign w:val="center"/>
          </w:tcPr>
          <w:p>
            <w:pPr>
              <w:tabs>
                <w:tab w:val="left" w:pos="3780"/>
              </w:tabs>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单位</w:t>
            </w:r>
          </w:p>
        </w:tc>
        <w:tc>
          <w:tcPr>
            <w:tcW w:w="963" w:type="dxa"/>
            <w:vAlign w:val="center"/>
          </w:tcPr>
          <w:p>
            <w:pPr>
              <w:tabs>
                <w:tab w:val="left" w:pos="3780"/>
              </w:tabs>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数量</w:t>
            </w:r>
          </w:p>
        </w:tc>
        <w:tc>
          <w:tcPr>
            <w:tcW w:w="1888" w:type="dxa"/>
            <w:vAlign w:val="center"/>
          </w:tcPr>
          <w:p>
            <w:pPr>
              <w:tabs>
                <w:tab w:val="left" w:pos="3780"/>
              </w:tabs>
              <w:jc w:val="center"/>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综合单价</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一年</w:t>
            </w:r>
            <w:r>
              <w:rPr>
                <w:rFonts w:hint="eastAsia" w:ascii="Times New Roman" w:hAnsi="Times New Roman" w:cs="Times New Roman"/>
                <w:color w:val="000000" w:themeColor="text1"/>
                <w:highlight w:val="none"/>
                <w:lang w:eastAsia="zh-CN"/>
                <w14:textFill>
                  <w14:solidFill>
                    <w14:schemeClr w14:val="tx1"/>
                  </w14:solidFill>
                </w14:textFill>
              </w:rPr>
              <w:t>）</w:t>
            </w:r>
          </w:p>
        </w:tc>
        <w:tc>
          <w:tcPr>
            <w:tcW w:w="2891" w:type="dxa"/>
            <w:vAlign w:val="center"/>
          </w:tcPr>
          <w:p>
            <w:pPr>
              <w:tabs>
                <w:tab w:val="left" w:pos="3780"/>
              </w:tabs>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总价</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一年</w:t>
            </w:r>
            <w:r>
              <w:rPr>
                <w:rFonts w:hint="eastAsia" w:ascii="Times New Roman" w:hAnsi="Times New Roman" w:cs="Times New Roman"/>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pPr>
              <w:tabs>
                <w:tab w:val="left" w:pos="3780"/>
              </w:tabs>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t>1</w:t>
            </w:r>
          </w:p>
        </w:tc>
        <w:tc>
          <w:tcPr>
            <w:tcW w:w="1916" w:type="dxa"/>
            <w:vAlign w:val="center"/>
          </w:tcPr>
          <w:p>
            <w:pPr>
              <w:keepNext w:val="0"/>
              <w:keepLines w:val="0"/>
              <w:pageBreakBefore w:val="0"/>
              <w:widowControl w:val="0"/>
              <w:tabs>
                <w:tab w:val="left" w:pos="3780"/>
              </w:tabs>
              <w:kinsoku/>
              <w:wordWrap/>
              <w:overflowPunct/>
              <w:topLinePunct w:val="0"/>
              <w:autoSpaceDE/>
              <w:autoSpaceDN/>
              <w:bidi w:val="0"/>
              <w:adjustRightInd w:val="0"/>
              <w:snapToGrid w:val="0"/>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t>人工</w:t>
            </w:r>
            <w:r>
              <w:rPr>
                <w:rFonts w:hint="default" w:ascii="Times New Roman" w:hAnsi="Times New Roman" w:eastAsia="宋体" w:cs="Times New Roman"/>
                <w:color w:val="000000" w:themeColor="text1"/>
                <w:highlight w:val="none"/>
                <w:lang w:val="en-US" w:eastAsia="zh-CN"/>
                <w14:textFill>
                  <w14:solidFill>
                    <w14:schemeClr w14:val="tx1"/>
                  </w14:solidFill>
                </w14:textFill>
              </w:rPr>
              <w:t>动态</w:t>
            </w:r>
            <w:r>
              <w:rPr>
                <w:rFonts w:hint="default" w:ascii="Times New Roman" w:hAnsi="Times New Roman" w:eastAsia="宋体" w:cs="Times New Roman"/>
                <w:color w:val="000000" w:themeColor="text1"/>
                <w:highlight w:val="none"/>
                <w:lang w:eastAsia="zh-CN"/>
                <w14:textFill>
                  <w14:solidFill>
                    <w14:schemeClr w14:val="tx1"/>
                  </w14:solidFill>
                </w14:textFill>
              </w:rPr>
              <w:t>监测</w:t>
            </w:r>
          </w:p>
        </w:tc>
        <w:tc>
          <w:tcPr>
            <w:tcW w:w="688" w:type="dxa"/>
            <w:vAlign w:val="center"/>
          </w:tcPr>
          <w:p>
            <w:pPr>
              <w:tabs>
                <w:tab w:val="left" w:pos="3780"/>
              </w:tabs>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t>幢</w:t>
            </w:r>
          </w:p>
        </w:tc>
        <w:tc>
          <w:tcPr>
            <w:tcW w:w="963" w:type="dxa"/>
            <w:vAlign w:val="center"/>
          </w:tcPr>
          <w:p>
            <w:pPr>
              <w:tabs>
                <w:tab w:val="left" w:pos="3780"/>
              </w:tabs>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544</w:t>
            </w:r>
          </w:p>
        </w:tc>
        <w:tc>
          <w:tcPr>
            <w:tcW w:w="1888" w:type="dxa"/>
            <w:vAlign w:val="center"/>
          </w:tcPr>
          <w:p>
            <w:pPr>
              <w:tabs>
                <w:tab w:val="left" w:pos="3780"/>
              </w:tabs>
              <w:jc w:val="center"/>
              <w:rPr>
                <w:rFonts w:hint="default" w:ascii="Times New Roman" w:hAnsi="Times New Roman" w:cs="Times New Roman"/>
                <w:color w:val="000000" w:themeColor="text1"/>
                <w:highlight w:val="none"/>
                <w14:textFill>
                  <w14:solidFill>
                    <w14:schemeClr w14:val="tx1"/>
                  </w14:solidFill>
                </w14:textFill>
              </w:rPr>
            </w:pPr>
          </w:p>
        </w:tc>
        <w:tc>
          <w:tcPr>
            <w:tcW w:w="2891" w:type="dxa"/>
            <w:vAlign w:val="center"/>
          </w:tcPr>
          <w:p>
            <w:pPr>
              <w:tabs>
                <w:tab w:val="left" w:pos="3780"/>
              </w:tabs>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Merge w:val="restart"/>
            <w:vAlign w:val="center"/>
          </w:tcPr>
          <w:p>
            <w:pPr>
              <w:tabs>
                <w:tab w:val="left" w:pos="3780"/>
              </w:tabs>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t>2</w:t>
            </w:r>
          </w:p>
        </w:tc>
        <w:tc>
          <w:tcPr>
            <w:tcW w:w="1916" w:type="dxa"/>
            <w:vMerge w:val="restart"/>
            <w:vAlign w:val="center"/>
          </w:tcPr>
          <w:p>
            <w:pPr>
              <w:tabs>
                <w:tab w:val="left" w:pos="3780"/>
              </w:tabs>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t>城镇房屋装修安全专项技术服务</w:t>
            </w:r>
          </w:p>
        </w:tc>
        <w:tc>
          <w:tcPr>
            <w:tcW w:w="688" w:type="dxa"/>
            <w:vMerge w:val="restart"/>
            <w:vAlign w:val="center"/>
          </w:tcPr>
          <w:p>
            <w:pPr>
              <w:tabs>
                <w:tab w:val="left" w:pos="3780"/>
              </w:tabs>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户</w:t>
            </w:r>
          </w:p>
        </w:tc>
        <w:tc>
          <w:tcPr>
            <w:tcW w:w="963" w:type="dxa"/>
            <w:vMerge w:val="restart"/>
            <w:vAlign w:val="center"/>
          </w:tcPr>
          <w:p>
            <w:pPr>
              <w:tabs>
                <w:tab w:val="left" w:pos="3780"/>
              </w:tabs>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1000</w:t>
            </w:r>
          </w:p>
        </w:tc>
        <w:tc>
          <w:tcPr>
            <w:tcW w:w="1888" w:type="dxa"/>
            <w:vMerge w:val="restart"/>
            <w:vAlign w:val="center"/>
          </w:tcPr>
          <w:p>
            <w:pPr>
              <w:tabs>
                <w:tab w:val="left" w:pos="3780"/>
              </w:tabs>
              <w:rPr>
                <w:rFonts w:hint="default" w:ascii="Times New Roman" w:hAnsi="Times New Roman" w:eastAsia="宋体" w:cs="Times New Roman"/>
                <w:color w:val="000000" w:themeColor="text1"/>
                <w:highlight w:val="none"/>
                <w:lang w:eastAsia="zh-CN"/>
                <w14:textFill>
                  <w14:solidFill>
                    <w14:schemeClr w14:val="tx1"/>
                  </w14:solidFill>
                </w14:textFill>
              </w:rPr>
            </w:pPr>
          </w:p>
        </w:tc>
        <w:tc>
          <w:tcPr>
            <w:tcW w:w="2891" w:type="dxa"/>
            <w:vMerge w:val="restart"/>
            <w:vAlign w:val="center"/>
          </w:tcPr>
          <w:p>
            <w:pPr>
              <w:tabs>
                <w:tab w:val="left" w:pos="3780"/>
              </w:tabs>
              <w:rPr>
                <w:rFonts w:hint="default" w:ascii="Times New Roman" w:hAnsi="Times New Roman" w:eastAsia="宋体" w:cs="Times New Roman"/>
                <w:color w:val="000000" w:themeColor="text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Merge w:val="continue"/>
            <w:vAlign w:val="center"/>
          </w:tcPr>
          <w:p>
            <w:pPr>
              <w:tabs>
                <w:tab w:val="left" w:pos="3780"/>
              </w:tabs>
              <w:rPr>
                <w:rFonts w:hint="default" w:ascii="Times New Roman" w:hAnsi="Times New Roman" w:eastAsia="宋体" w:cs="Times New Roman"/>
                <w:color w:val="000000" w:themeColor="text1"/>
                <w:highlight w:val="none"/>
                <w:lang w:eastAsia="zh-CN"/>
                <w14:textFill>
                  <w14:solidFill>
                    <w14:schemeClr w14:val="tx1"/>
                  </w14:solidFill>
                </w14:textFill>
              </w:rPr>
            </w:pPr>
          </w:p>
        </w:tc>
        <w:tc>
          <w:tcPr>
            <w:tcW w:w="1916" w:type="dxa"/>
            <w:vMerge w:val="continue"/>
            <w:vAlign w:val="center"/>
          </w:tcPr>
          <w:p>
            <w:pPr>
              <w:tabs>
                <w:tab w:val="left" w:pos="3780"/>
              </w:tabs>
              <w:rPr>
                <w:rFonts w:hint="default" w:ascii="Times New Roman" w:hAnsi="Times New Roman" w:eastAsia="宋体" w:cs="Times New Roman"/>
                <w:color w:val="000000" w:themeColor="text1"/>
                <w:highlight w:val="none"/>
                <w:lang w:eastAsia="zh-CN"/>
                <w14:textFill>
                  <w14:solidFill>
                    <w14:schemeClr w14:val="tx1"/>
                  </w14:solidFill>
                </w14:textFill>
              </w:rPr>
            </w:pPr>
          </w:p>
        </w:tc>
        <w:tc>
          <w:tcPr>
            <w:tcW w:w="688" w:type="dxa"/>
            <w:vMerge w:val="continue"/>
            <w:vAlign w:val="center"/>
          </w:tcPr>
          <w:p>
            <w:pPr>
              <w:tabs>
                <w:tab w:val="left" w:pos="3780"/>
              </w:tabs>
              <w:rPr>
                <w:rFonts w:hint="default" w:ascii="Times New Roman" w:hAnsi="Times New Roman" w:eastAsia="宋体" w:cs="Times New Roman"/>
                <w:color w:val="000000" w:themeColor="text1"/>
                <w:highlight w:val="none"/>
                <w:lang w:eastAsia="zh-CN"/>
                <w14:textFill>
                  <w14:solidFill>
                    <w14:schemeClr w14:val="tx1"/>
                  </w14:solidFill>
                </w14:textFill>
              </w:rPr>
            </w:pPr>
          </w:p>
        </w:tc>
        <w:tc>
          <w:tcPr>
            <w:tcW w:w="963" w:type="dxa"/>
            <w:vMerge w:val="continue"/>
            <w:vAlign w:val="center"/>
          </w:tcPr>
          <w:p>
            <w:pPr>
              <w:tabs>
                <w:tab w:val="left" w:pos="3780"/>
              </w:tabs>
              <w:rPr>
                <w:rFonts w:hint="default" w:ascii="Times New Roman" w:hAnsi="Times New Roman" w:eastAsia="宋体" w:cs="Times New Roman"/>
                <w:color w:val="000000" w:themeColor="text1"/>
                <w:highlight w:val="none"/>
                <w:lang w:eastAsia="zh-CN"/>
                <w14:textFill>
                  <w14:solidFill>
                    <w14:schemeClr w14:val="tx1"/>
                  </w14:solidFill>
                </w14:textFill>
              </w:rPr>
            </w:pPr>
          </w:p>
        </w:tc>
        <w:tc>
          <w:tcPr>
            <w:tcW w:w="1888" w:type="dxa"/>
            <w:vMerge w:val="continue"/>
            <w:vAlign w:val="center"/>
          </w:tcPr>
          <w:p>
            <w:pPr>
              <w:tabs>
                <w:tab w:val="left" w:pos="3780"/>
              </w:tabs>
              <w:rPr>
                <w:rFonts w:hint="default" w:ascii="Times New Roman" w:hAnsi="Times New Roman" w:eastAsia="宋体" w:cs="Times New Roman"/>
                <w:color w:val="000000" w:themeColor="text1"/>
                <w:highlight w:val="none"/>
                <w:lang w:eastAsia="zh-CN"/>
                <w14:textFill>
                  <w14:solidFill>
                    <w14:schemeClr w14:val="tx1"/>
                  </w14:solidFill>
                </w14:textFill>
              </w:rPr>
            </w:pPr>
          </w:p>
        </w:tc>
        <w:tc>
          <w:tcPr>
            <w:tcW w:w="2891" w:type="dxa"/>
            <w:vMerge w:val="continue"/>
            <w:vAlign w:val="center"/>
          </w:tcPr>
          <w:p>
            <w:pPr>
              <w:tabs>
                <w:tab w:val="left" w:pos="3780"/>
              </w:tabs>
              <w:rPr>
                <w:rFonts w:hint="default" w:ascii="Times New Roman" w:hAnsi="Times New Roman" w:eastAsia="宋体" w:cs="Times New Roman"/>
                <w:color w:val="000000" w:themeColor="text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pPr>
              <w:tabs>
                <w:tab w:val="left" w:pos="3780"/>
              </w:tabs>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3</w:t>
            </w:r>
          </w:p>
        </w:tc>
        <w:tc>
          <w:tcPr>
            <w:tcW w:w="1916" w:type="dxa"/>
            <w:vAlign w:val="center"/>
          </w:tcPr>
          <w:p>
            <w:pPr>
              <w:tabs>
                <w:tab w:val="left" w:pos="3780"/>
              </w:tabs>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其他（如有自拟）</w:t>
            </w:r>
          </w:p>
        </w:tc>
        <w:tc>
          <w:tcPr>
            <w:tcW w:w="688" w:type="dxa"/>
            <w:vAlign w:val="center"/>
          </w:tcPr>
          <w:p>
            <w:pPr>
              <w:tabs>
                <w:tab w:val="left" w:pos="3780"/>
              </w:tabs>
              <w:rPr>
                <w:rFonts w:hint="default" w:ascii="Times New Roman" w:hAnsi="Times New Roman" w:eastAsia="宋体" w:cs="Times New Roman"/>
                <w:color w:val="000000" w:themeColor="text1"/>
                <w:highlight w:val="none"/>
                <w:lang w:eastAsia="zh-CN"/>
                <w14:textFill>
                  <w14:solidFill>
                    <w14:schemeClr w14:val="tx1"/>
                  </w14:solidFill>
                </w14:textFill>
              </w:rPr>
            </w:pPr>
          </w:p>
        </w:tc>
        <w:tc>
          <w:tcPr>
            <w:tcW w:w="963" w:type="dxa"/>
            <w:vAlign w:val="center"/>
          </w:tcPr>
          <w:p>
            <w:pPr>
              <w:tabs>
                <w:tab w:val="left" w:pos="3780"/>
              </w:tabs>
              <w:rPr>
                <w:rFonts w:hint="default" w:ascii="Times New Roman" w:hAnsi="Times New Roman" w:eastAsia="宋体" w:cs="Times New Roman"/>
                <w:color w:val="000000" w:themeColor="text1"/>
                <w:highlight w:val="none"/>
                <w:lang w:eastAsia="zh-CN"/>
                <w14:textFill>
                  <w14:solidFill>
                    <w14:schemeClr w14:val="tx1"/>
                  </w14:solidFill>
                </w14:textFill>
              </w:rPr>
            </w:pPr>
          </w:p>
        </w:tc>
        <w:tc>
          <w:tcPr>
            <w:tcW w:w="1888" w:type="dxa"/>
            <w:vAlign w:val="center"/>
          </w:tcPr>
          <w:p>
            <w:pPr>
              <w:tabs>
                <w:tab w:val="left" w:pos="3780"/>
              </w:tabs>
              <w:rPr>
                <w:rFonts w:hint="default" w:ascii="Times New Roman" w:hAnsi="Times New Roman" w:eastAsia="宋体" w:cs="Times New Roman"/>
                <w:color w:val="000000" w:themeColor="text1"/>
                <w:highlight w:val="none"/>
                <w:lang w:eastAsia="zh-CN"/>
                <w14:textFill>
                  <w14:solidFill>
                    <w14:schemeClr w14:val="tx1"/>
                  </w14:solidFill>
                </w14:textFill>
              </w:rPr>
            </w:pPr>
          </w:p>
        </w:tc>
        <w:tc>
          <w:tcPr>
            <w:tcW w:w="2891" w:type="dxa"/>
            <w:vAlign w:val="center"/>
          </w:tcPr>
          <w:p>
            <w:pPr>
              <w:tabs>
                <w:tab w:val="left" w:pos="3780"/>
              </w:tabs>
              <w:rPr>
                <w:rFonts w:hint="default" w:ascii="Times New Roman" w:hAnsi="Times New Roman" w:eastAsia="宋体" w:cs="Times New Roman"/>
                <w:color w:val="000000" w:themeColor="text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pPr>
              <w:tabs>
                <w:tab w:val="left" w:pos="3780"/>
              </w:tabs>
              <w:jc w:val="center"/>
              <w:rPr>
                <w:rFonts w:hint="default" w:ascii="Times New Roman" w:hAnsi="Times New Roman" w:cs="Times New Roman"/>
                <w:color w:val="000000" w:themeColor="text1"/>
                <w:highlight w:val="none"/>
                <w14:textFill>
                  <w14:solidFill>
                    <w14:schemeClr w14:val="tx1"/>
                  </w14:solidFill>
                </w14:textFill>
              </w:rPr>
            </w:pPr>
          </w:p>
        </w:tc>
        <w:tc>
          <w:tcPr>
            <w:tcW w:w="1916" w:type="dxa"/>
            <w:vAlign w:val="center"/>
          </w:tcPr>
          <w:p>
            <w:pPr>
              <w:tabs>
                <w:tab w:val="left" w:pos="3780"/>
              </w:tabs>
              <w:jc w:val="left"/>
              <w:rPr>
                <w:rFonts w:hint="default" w:ascii="Times New Roman" w:hAnsi="Times New Roman" w:cs="Times New Roman"/>
                <w:color w:val="000000" w:themeColor="text1"/>
                <w:highlight w:val="none"/>
                <w14:textFill>
                  <w14:solidFill>
                    <w14:schemeClr w14:val="tx1"/>
                  </w14:solidFill>
                </w14:textFill>
              </w:rPr>
            </w:pPr>
          </w:p>
        </w:tc>
        <w:tc>
          <w:tcPr>
            <w:tcW w:w="688" w:type="dxa"/>
            <w:vAlign w:val="center"/>
          </w:tcPr>
          <w:p>
            <w:pPr>
              <w:tabs>
                <w:tab w:val="left" w:pos="3780"/>
              </w:tabs>
              <w:jc w:val="center"/>
              <w:rPr>
                <w:rFonts w:hint="default" w:ascii="Times New Roman" w:hAnsi="Times New Roman" w:cs="Times New Roman"/>
                <w:color w:val="000000" w:themeColor="text1"/>
                <w:highlight w:val="none"/>
                <w14:textFill>
                  <w14:solidFill>
                    <w14:schemeClr w14:val="tx1"/>
                  </w14:solidFill>
                </w14:textFill>
              </w:rPr>
            </w:pPr>
          </w:p>
        </w:tc>
        <w:tc>
          <w:tcPr>
            <w:tcW w:w="963" w:type="dxa"/>
            <w:vAlign w:val="center"/>
          </w:tcPr>
          <w:p>
            <w:pPr>
              <w:tabs>
                <w:tab w:val="left" w:pos="3780"/>
              </w:tabs>
              <w:jc w:val="center"/>
              <w:rPr>
                <w:rFonts w:hint="default" w:ascii="Times New Roman" w:hAnsi="Times New Roman" w:cs="Times New Roman"/>
                <w:color w:val="000000" w:themeColor="text1"/>
                <w:highlight w:val="none"/>
                <w14:textFill>
                  <w14:solidFill>
                    <w14:schemeClr w14:val="tx1"/>
                  </w14:solidFill>
                </w14:textFill>
              </w:rPr>
            </w:pPr>
          </w:p>
        </w:tc>
        <w:tc>
          <w:tcPr>
            <w:tcW w:w="1888" w:type="dxa"/>
            <w:vAlign w:val="center"/>
          </w:tcPr>
          <w:p>
            <w:pPr>
              <w:tabs>
                <w:tab w:val="left" w:pos="3780"/>
              </w:tabs>
              <w:jc w:val="center"/>
              <w:rPr>
                <w:rFonts w:hint="default" w:ascii="Times New Roman" w:hAnsi="Times New Roman" w:cs="Times New Roman"/>
                <w:color w:val="000000" w:themeColor="text1"/>
                <w:highlight w:val="none"/>
                <w14:textFill>
                  <w14:solidFill>
                    <w14:schemeClr w14:val="tx1"/>
                  </w14:solidFill>
                </w14:textFill>
              </w:rPr>
            </w:pPr>
          </w:p>
        </w:tc>
        <w:tc>
          <w:tcPr>
            <w:tcW w:w="2891" w:type="dxa"/>
            <w:vAlign w:val="center"/>
          </w:tcPr>
          <w:p>
            <w:pPr>
              <w:tabs>
                <w:tab w:val="left" w:pos="3780"/>
              </w:tabs>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117" w:type="dxa"/>
            <w:gridSpan w:val="6"/>
            <w:vAlign w:val="center"/>
          </w:tcPr>
          <w:p>
            <w:pPr>
              <w:tabs>
                <w:tab w:val="left" w:pos="3780"/>
              </w:tabs>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合计</w:t>
            </w:r>
            <w:r>
              <w:rPr>
                <w:rFonts w:hint="eastAsia" w:ascii="Times New Roman" w:hAnsi="Times New Roman" w:cs="Times New Roman"/>
                <w:color w:val="000000" w:themeColor="text1"/>
                <w:highlight w:val="none"/>
                <w:lang w:val="en-US" w:eastAsia="zh-CN"/>
                <w14:textFill>
                  <w14:solidFill>
                    <w14:schemeClr w14:val="tx1"/>
                  </w14:solidFill>
                </w14:textFill>
              </w:rPr>
              <w:t>报价</w:t>
            </w:r>
            <w:r>
              <w:rPr>
                <w:rFonts w:hint="default" w:ascii="Times New Roman" w:hAnsi="Times New Roman" w:cs="Times New Roman"/>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117" w:type="dxa"/>
            <w:gridSpan w:val="6"/>
            <w:vAlign w:val="center"/>
          </w:tcPr>
          <w:p>
            <w:pPr>
              <w:tabs>
                <w:tab w:val="left" w:pos="3780"/>
              </w:tabs>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投标总报价（合计报价</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年</w:t>
            </w:r>
            <w:r>
              <w:rPr>
                <w:rFonts w:hint="eastAsia" w:ascii="Times New Roman" w:hAnsi="Times New Roman" w:cs="Times New Roman"/>
                <w:color w:val="000000" w:themeColor="text1"/>
                <w:highlight w:val="none"/>
                <w:lang w:val="en-US" w:eastAsia="zh-CN"/>
                <w14:textFill>
                  <w14:solidFill>
                    <w14:schemeClr w14:val="tx1"/>
                  </w14:solidFill>
                </w14:textFill>
              </w:rPr>
              <w:t>）：</w:t>
            </w:r>
          </w:p>
        </w:tc>
      </w:tr>
    </w:tbl>
    <w:p>
      <w:pPr>
        <w:pStyle w:val="14"/>
        <w:tabs>
          <w:tab w:val="left" w:pos="3025"/>
        </w:tabs>
        <w:spacing w:line="480" w:lineRule="exact"/>
        <w:ind w:firstLine="0"/>
        <w:rPr>
          <w:rFonts w:hint="default" w:ascii="Times New Roman" w:hAnsi="Times New Roman" w:cs="Times New Roman"/>
          <w:color w:val="000000" w:themeColor="text1"/>
          <w:spacing w:val="0"/>
          <w:kern w:val="2"/>
          <w:sz w:val="21"/>
          <w:szCs w:val="21"/>
          <w:highlight w:val="none"/>
          <w14:textFill>
            <w14:solidFill>
              <w14:schemeClr w14:val="tx1"/>
            </w14:solidFill>
          </w14:textFill>
        </w:rPr>
      </w:pPr>
      <w:r>
        <w:rPr>
          <w:rFonts w:hint="default" w:ascii="Times New Roman" w:hAnsi="Times New Roman" w:cs="Times New Roman"/>
          <w:color w:val="000000" w:themeColor="text1"/>
          <w:spacing w:val="0"/>
          <w:kern w:val="2"/>
          <w:sz w:val="21"/>
          <w:szCs w:val="21"/>
          <w:highlight w:val="none"/>
          <w14:textFill>
            <w14:solidFill>
              <w14:schemeClr w14:val="tx1"/>
            </w14:solidFill>
          </w14:textFill>
        </w:rPr>
        <w:t>表中综合单价应自行考虑（1）建设投资费用：根据本项目投入的各类设备、装置、材料及附属设施等的折旧成本及安装调试费用。（2）监测费用：各级管理监测人员的工资、社会保险、奖金、福利费用等；运行电费，燃料费用，各类设备设施维护保养费用等。（3）自行检测费用、应急处置费用、防汛防台等环境保障费用。（4）企业管理费用，利润、税金以及其他与监测相关的各项费用。（5）其他与</w:t>
      </w:r>
      <w:r>
        <w:rPr>
          <w:rFonts w:hint="default" w:ascii="Times New Roman" w:hAnsi="Times New Roman" w:cs="Times New Roman"/>
          <w:color w:val="000000" w:themeColor="text1"/>
          <w:spacing w:val="0"/>
          <w:kern w:val="2"/>
          <w:sz w:val="21"/>
          <w:szCs w:val="21"/>
          <w:highlight w:val="none"/>
          <w:lang w:eastAsia="zh-CN"/>
          <w14:textFill>
            <w14:solidFill>
              <w14:schemeClr w14:val="tx1"/>
            </w14:solidFill>
          </w14:textFill>
        </w:rPr>
        <w:t>本次招标</w:t>
      </w:r>
      <w:r>
        <w:rPr>
          <w:rFonts w:hint="default" w:ascii="Times New Roman" w:hAnsi="Times New Roman" w:cs="Times New Roman"/>
          <w:color w:val="000000" w:themeColor="text1"/>
          <w:spacing w:val="0"/>
          <w:kern w:val="2"/>
          <w:sz w:val="21"/>
          <w:szCs w:val="21"/>
          <w:highlight w:val="none"/>
          <w14:textFill>
            <w14:solidFill>
              <w14:schemeClr w14:val="tx1"/>
            </w14:solidFill>
          </w14:textFill>
        </w:rPr>
        <w:t>相关的</w:t>
      </w:r>
      <w:r>
        <w:rPr>
          <w:rFonts w:hint="default" w:ascii="Times New Roman" w:hAnsi="Times New Roman" w:cs="Times New Roman"/>
          <w:color w:val="000000" w:themeColor="text1"/>
          <w:spacing w:val="0"/>
          <w:kern w:val="2"/>
          <w:sz w:val="21"/>
          <w:szCs w:val="21"/>
          <w:highlight w:val="none"/>
          <w:lang w:eastAsia="zh-CN"/>
          <w14:textFill>
            <w14:solidFill>
              <w14:schemeClr w14:val="tx1"/>
            </w14:solidFill>
          </w14:textFill>
        </w:rPr>
        <w:t>一切</w:t>
      </w:r>
      <w:r>
        <w:rPr>
          <w:rFonts w:hint="default" w:ascii="Times New Roman" w:hAnsi="Times New Roman" w:cs="Times New Roman"/>
          <w:color w:val="000000" w:themeColor="text1"/>
          <w:spacing w:val="0"/>
          <w:kern w:val="2"/>
          <w:sz w:val="21"/>
          <w:szCs w:val="21"/>
          <w:highlight w:val="none"/>
          <w14:textFill>
            <w14:solidFill>
              <w14:schemeClr w14:val="tx1"/>
            </w14:solidFill>
          </w14:textFill>
        </w:rPr>
        <w:t>费用。上述费用均包含在投标报价中。</w:t>
      </w:r>
    </w:p>
    <w:p>
      <w:pPr>
        <w:pStyle w:val="14"/>
        <w:tabs>
          <w:tab w:val="left" w:pos="3025"/>
        </w:tabs>
        <w:spacing w:line="480" w:lineRule="exact"/>
        <w:ind w:firstLine="0"/>
        <w:rPr>
          <w:rFonts w:hint="default" w:ascii="Times New Roman" w:hAnsi="Times New Roman" w:cs="Times New Roman"/>
          <w:color w:val="000000" w:themeColor="text1"/>
          <w:spacing w:val="0"/>
          <w:kern w:val="2"/>
          <w:sz w:val="21"/>
          <w:szCs w:val="21"/>
          <w:highlight w:val="none"/>
          <w14:textFill>
            <w14:solidFill>
              <w14:schemeClr w14:val="tx1"/>
            </w14:solidFill>
          </w14:textFill>
        </w:rPr>
      </w:pPr>
      <w:r>
        <w:rPr>
          <w:rFonts w:hint="default" w:ascii="Times New Roman" w:hAnsi="Times New Roman" w:cs="Times New Roman"/>
          <w:color w:val="000000" w:themeColor="text1"/>
          <w:spacing w:val="0"/>
          <w:kern w:val="2"/>
          <w:sz w:val="21"/>
          <w:szCs w:val="21"/>
          <w:highlight w:val="none"/>
          <w14:textFill>
            <w14:solidFill>
              <w14:schemeClr w14:val="tx1"/>
            </w14:solidFill>
          </w14:textFill>
        </w:rPr>
        <w:t xml:space="preserve"> </w:t>
      </w:r>
    </w:p>
    <w:p>
      <w:pPr>
        <w:pStyle w:val="14"/>
        <w:tabs>
          <w:tab w:val="left" w:pos="3025"/>
        </w:tabs>
        <w:spacing w:line="480" w:lineRule="exact"/>
        <w:ind w:firstLine="0"/>
        <w:rPr>
          <w:rFonts w:hint="default" w:ascii="Times New Roman" w:hAnsi="Times New Roman" w:cs="Times New Roman"/>
          <w:color w:val="000000" w:themeColor="text1"/>
          <w:spacing w:val="0"/>
          <w:kern w:val="2"/>
          <w:sz w:val="21"/>
          <w:szCs w:val="21"/>
          <w:highlight w:val="none"/>
          <w14:textFill>
            <w14:solidFill>
              <w14:schemeClr w14:val="tx1"/>
            </w14:solidFill>
          </w14:textFill>
        </w:rPr>
      </w:pPr>
      <w:r>
        <w:rPr>
          <w:rFonts w:hint="default" w:ascii="Times New Roman" w:hAnsi="Times New Roman" w:cs="Times New Roman"/>
          <w:color w:val="000000" w:themeColor="text1"/>
          <w:spacing w:val="0"/>
          <w:kern w:val="2"/>
          <w:sz w:val="21"/>
          <w:szCs w:val="21"/>
          <w:highlight w:val="none"/>
          <w14:textFill>
            <w14:solidFill>
              <w14:schemeClr w14:val="tx1"/>
            </w14:solidFill>
          </w14:textFill>
        </w:rPr>
        <w:t>投标人（盖章）：</w:t>
      </w:r>
    </w:p>
    <w:p>
      <w:pPr>
        <w:pStyle w:val="14"/>
        <w:tabs>
          <w:tab w:val="left" w:pos="3025"/>
        </w:tabs>
        <w:spacing w:line="480" w:lineRule="exact"/>
        <w:ind w:firstLine="0"/>
        <w:rPr>
          <w:rFonts w:hint="default" w:ascii="Times New Roman" w:hAnsi="Times New Roman" w:cs="Times New Roman"/>
          <w:color w:val="000000" w:themeColor="text1"/>
          <w:spacing w:val="0"/>
          <w:kern w:val="2"/>
          <w:sz w:val="21"/>
          <w:szCs w:val="21"/>
          <w:highlight w:val="none"/>
          <w14:textFill>
            <w14:solidFill>
              <w14:schemeClr w14:val="tx1"/>
            </w14:solidFill>
          </w14:textFill>
        </w:rPr>
      </w:pPr>
      <w:r>
        <w:rPr>
          <w:rFonts w:hint="default" w:ascii="Times New Roman" w:hAnsi="Times New Roman" w:cs="Times New Roman"/>
          <w:color w:val="000000" w:themeColor="text1"/>
          <w:spacing w:val="0"/>
          <w:kern w:val="2"/>
          <w:sz w:val="21"/>
          <w:szCs w:val="21"/>
          <w:highlight w:val="none"/>
          <w14:textFill>
            <w14:solidFill>
              <w14:schemeClr w14:val="tx1"/>
            </w14:solidFill>
          </w14:textFill>
        </w:rPr>
        <w:t xml:space="preserve">法定代表人（签字或盖章）：                  </w:t>
      </w:r>
    </w:p>
    <w:p>
      <w:pPr>
        <w:pStyle w:val="14"/>
        <w:tabs>
          <w:tab w:val="left" w:pos="3025"/>
        </w:tabs>
        <w:spacing w:line="480" w:lineRule="exact"/>
        <w:ind w:firstLine="0"/>
        <w:rPr>
          <w:rFonts w:hint="default" w:ascii="Times New Roman" w:hAnsi="Times New Roman" w:cs="Times New Roman"/>
          <w:color w:val="000000" w:themeColor="text1"/>
          <w:spacing w:val="0"/>
          <w:kern w:val="2"/>
          <w:sz w:val="21"/>
          <w:szCs w:val="21"/>
          <w:highlight w:val="none"/>
          <w14:textFill>
            <w14:solidFill>
              <w14:schemeClr w14:val="tx1"/>
            </w14:solidFill>
          </w14:textFill>
        </w:rPr>
      </w:pPr>
    </w:p>
    <w:p>
      <w:pPr>
        <w:pStyle w:val="14"/>
        <w:tabs>
          <w:tab w:val="left" w:pos="3025"/>
        </w:tabs>
        <w:spacing w:line="480" w:lineRule="exact"/>
        <w:ind w:firstLine="0"/>
        <w:rPr>
          <w:rFonts w:hint="default" w:ascii="Times New Roman" w:hAnsi="Times New Roman" w:cs="Times New Roman"/>
          <w:color w:val="000000" w:themeColor="text1"/>
          <w:spacing w:val="0"/>
          <w:kern w:val="2"/>
          <w:sz w:val="21"/>
          <w:szCs w:val="21"/>
          <w:highlight w:val="none"/>
          <w14:textFill>
            <w14:solidFill>
              <w14:schemeClr w14:val="tx1"/>
            </w14:solidFill>
          </w14:textFill>
        </w:rPr>
      </w:pPr>
    </w:p>
    <w:p>
      <w:pPr>
        <w:pStyle w:val="14"/>
        <w:tabs>
          <w:tab w:val="left" w:pos="3025"/>
        </w:tabs>
        <w:spacing w:line="480" w:lineRule="exact"/>
        <w:ind w:firstLine="0"/>
        <w:rPr>
          <w:rFonts w:hint="default" w:ascii="Times New Roman" w:hAnsi="Times New Roman" w:cs="Times New Roman"/>
          <w:color w:val="000000" w:themeColor="text1"/>
          <w:spacing w:val="0"/>
          <w:kern w:val="2"/>
          <w:sz w:val="21"/>
          <w:szCs w:val="21"/>
          <w:highlight w:val="none"/>
          <w14:textFill>
            <w14:solidFill>
              <w14:schemeClr w14:val="tx1"/>
            </w14:solidFill>
          </w14:textFill>
        </w:rPr>
      </w:pPr>
      <w:r>
        <w:rPr>
          <w:rFonts w:hint="default" w:ascii="Times New Roman" w:hAnsi="Times New Roman" w:cs="Times New Roman"/>
          <w:color w:val="000000" w:themeColor="text1"/>
          <w:spacing w:val="0"/>
          <w:kern w:val="2"/>
          <w:sz w:val="21"/>
          <w:szCs w:val="21"/>
          <w:highlight w:val="none"/>
          <w14:textFill>
            <w14:solidFill>
              <w14:schemeClr w14:val="tx1"/>
            </w14:solidFill>
          </w14:textFill>
        </w:rPr>
        <w:t xml:space="preserve">                                                  日期：    年   月   日</w:t>
      </w:r>
    </w:p>
    <w:p>
      <w:pPr>
        <w:autoSpaceDE w:val="0"/>
        <w:autoSpaceDN w:val="0"/>
        <w:adjustRightInd w:val="0"/>
        <w:spacing w:line="360" w:lineRule="auto"/>
        <w:jc w:val="left"/>
        <w:rPr>
          <w:rFonts w:hint="default" w:ascii="Times New Roman" w:hAnsi="Times New Roman" w:cs="Times New Roman"/>
          <w:b/>
          <w:bCs/>
          <w:color w:val="000000" w:themeColor="text1"/>
          <w:highlight w:val="none"/>
          <w14:textFill>
            <w14:solidFill>
              <w14:schemeClr w14:val="tx1"/>
            </w14:solidFill>
          </w14:textFill>
        </w:rPr>
      </w:pPr>
    </w:p>
    <w:p>
      <w:pPr>
        <w:autoSpaceDE w:val="0"/>
        <w:autoSpaceDN w:val="0"/>
        <w:adjustRightInd w:val="0"/>
        <w:spacing w:line="360" w:lineRule="auto"/>
        <w:jc w:val="left"/>
        <w:rPr>
          <w:rFonts w:hint="default" w:ascii="Times New Roman" w:hAnsi="Times New Roman" w:cs="Times New Roman"/>
          <w:b/>
          <w:bCs/>
          <w:color w:val="000000" w:themeColor="text1"/>
          <w:highlight w:val="none"/>
          <w14:textFill>
            <w14:solidFill>
              <w14:schemeClr w14:val="tx1"/>
            </w14:solidFill>
          </w14:textFill>
        </w:rPr>
      </w:pPr>
    </w:p>
    <w:p>
      <w:pPr>
        <w:rPr>
          <w:rFonts w:hint="default" w:ascii="Times New Roman" w:hAnsi="Times New Roman" w:eastAsia="宋体" w:cs="Times New Roman"/>
          <w:b/>
          <w:bCs/>
          <w:color w:val="000000" w:themeColor="text1"/>
          <w:kern w:val="2"/>
          <w:sz w:val="21"/>
          <w:szCs w:val="24"/>
          <w:highlight w:val="none"/>
          <w:lang w:val="en-US" w:eastAsia="zh-CN" w:bidi="ar-SA"/>
          <w14:textFill>
            <w14:solidFill>
              <w14:schemeClr w14:val="tx1"/>
            </w14:solidFill>
          </w14:textFill>
        </w:rPr>
      </w:pPr>
    </w:p>
    <w:p>
      <w:pP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br w:type="page"/>
      </w:r>
    </w:p>
    <w:p>
      <w:pPr>
        <w:autoSpaceDE w:val="0"/>
        <w:autoSpaceDN w:val="0"/>
        <w:adjustRightInd w:val="0"/>
        <w:spacing w:line="360" w:lineRule="auto"/>
        <w:jc w:val="left"/>
        <w:rPr>
          <w:rFonts w:hint="default" w:ascii="Times New Roman" w:hAnsi="Times New Roman" w:cs="Times New Roman"/>
        </w:rPr>
      </w:pPr>
      <w:r>
        <w:rPr>
          <w:rFonts w:hint="default" w:ascii="Times New Roman" w:hAnsi="Times New Roman" w:cs="Times New Roman"/>
          <w:b/>
          <w:bCs/>
          <w:color w:val="000000" w:themeColor="text1"/>
          <w:highlight w:val="none"/>
          <w14:textFill>
            <w14:solidFill>
              <w14:schemeClr w14:val="tx1"/>
            </w14:solidFill>
          </w14:textFill>
        </w:rPr>
        <w:t>三、</w:t>
      </w:r>
      <w:r>
        <w:rPr>
          <w:rFonts w:hint="default" w:ascii="Times New Roman" w:hAnsi="Times New Roman" w:cs="Times New Roman"/>
          <w:b/>
          <w:bCs/>
        </w:rPr>
        <w:t>中小企业声明函</w:t>
      </w:r>
    </w:p>
    <w:p>
      <w:pPr>
        <w:widowControl/>
        <w:jc w:val="center"/>
        <w:rPr>
          <w:rFonts w:hint="default" w:ascii="Times New Roman" w:hAnsi="Times New Roman" w:cs="Times New Roman"/>
          <w:b/>
          <w:kern w:val="0"/>
          <w:sz w:val="22"/>
          <w:szCs w:val="22"/>
        </w:rPr>
      </w:pPr>
      <w:r>
        <w:rPr>
          <w:rFonts w:hint="default" w:ascii="Times New Roman" w:hAnsi="Times New Roman" w:cs="Times New Roman"/>
          <w:b/>
          <w:kern w:val="0"/>
          <w:sz w:val="22"/>
          <w:szCs w:val="22"/>
        </w:rPr>
        <w:t>中小企业声明函</w:t>
      </w:r>
    </w:p>
    <w:p>
      <w:pPr>
        <w:widowControl/>
        <w:spacing w:line="360" w:lineRule="auto"/>
        <w:ind w:firstLine="420" w:firstLineChars="200"/>
        <w:rPr>
          <w:rFonts w:hint="default" w:ascii="Times New Roman" w:hAnsi="Times New Roman" w:cs="Times New Roman"/>
          <w:szCs w:val="21"/>
        </w:rPr>
      </w:pPr>
      <w:r>
        <w:rPr>
          <w:rFonts w:hint="default" w:ascii="Times New Roman" w:hAnsi="Times New Roman" w:cs="Times New Roman"/>
          <w:kern w:val="0"/>
          <w:szCs w:val="21"/>
        </w:rPr>
        <w:t>本公司（联合体）郑重声明，根据《政府采购促进中小企业发展管理办法》（财库﹝2020﹞46号）的规定，本公司（联合体）参加</w:t>
      </w:r>
      <w:r>
        <w:rPr>
          <w:rFonts w:hint="default" w:ascii="Times New Roman" w:hAnsi="Times New Roman" w:cs="Times New Roman"/>
          <w:kern w:val="0"/>
          <w:szCs w:val="21"/>
          <w:u w:val="single"/>
        </w:rPr>
        <w:t xml:space="preserve">        （单位名称）的         （项目名称）</w:t>
      </w:r>
      <w:r>
        <w:rPr>
          <w:rFonts w:hint="default" w:ascii="Times New Roman" w:hAnsi="Times New Roman" w:cs="Times New Roman"/>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 xml:space="preserve">1. </w:t>
      </w:r>
      <w:r>
        <w:rPr>
          <w:rFonts w:hint="default" w:ascii="Times New Roman" w:hAnsi="Times New Roman" w:cs="Times New Roman"/>
          <w:kern w:val="0"/>
          <w:szCs w:val="21"/>
          <w:u w:val="single"/>
        </w:rPr>
        <w:t>（标的名称）</w:t>
      </w:r>
      <w:r>
        <w:rPr>
          <w:rFonts w:hint="default" w:ascii="Times New Roman" w:hAnsi="Times New Roman" w:cs="Times New Roman"/>
          <w:kern w:val="0"/>
          <w:szCs w:val="21"/>
        </w:rPr>
        <w:t xml:space="preserve"> ，属于</w:t>
      </w:r>
      <w:r>
        <w:rPr>
          <w:rFonts w:hint="default" w:ascii="Times New Roman" w:hAnsi="Times New Roman" w:cs="Times New Roman"/>
          <w:kern w:val="0"/>
          <w:szCs w:val="21"/>
          <w:u w:val="single"/>
        </w:rPr>
        <w:t>（采购文件中明确的所属行业）</w:t>
      </w:r>
      <w:r>
        <w:rPr>
          <w:rFonts w:hint="default" w:ascii="Times New Roman" w:hAnsi="Times New Roman" w:cs="Times New Roman"/>
          <w:kern w:val="0"/>
          <w:szCs w:val="21"/>
        </w:rPr>
        <w:t>； 承建（承接）企业为</w:t>
      </w:r>
      <w:r>
        <w:rPr>
          <w:rFonts w:hint="default" w:ascii="Times New Roman" w:hAnsi="Times New Roman" w:cs="Times New Roman"/>
          <w:kern w:val="0"/>
          <w:szCs w:val="21"/>
          <w:u w:val="single"/>
        </w:rPr>
        <w:t>（企业名称）</w:t>
      </w:r>
      <w:r>
        <w:rPr>
          <w:rFonts w:hint="default" w:ascii="Times New Roman" w:hAnsi="Times New Roman" w:cs="Times New Roman"/>
          <w:kern w:val="0"/>
          <w:szCs w:val="21"/>
        </w:rPr>
        <w:t>，从业人员人，营业收入为万元，资产总额为万元，属于</w:t>
      </w:r>
      <w:r>
        <w:rPr>
          <w:rFonts w:hint="default" w:ascii="Times New Roman" w:hAnsi="Times New Roman" w:cs="Times New Roman"/>
          <w:kern w:val="0"/>
          <w:szCs w:val="21"/>
          <w:u w:val="single"/>
        </w:rPr>
        <w:t>（中型企业、小型企业、微型企业）；</w:t>
      </w:r>
    </w:p>
    <w:p>
      <w:pPr>
        <w:widowControl/>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w:t>
      </w:r>
    </w:p>
    <w:p>
      <w:pPr>
        <w:widowControl/>
        <w:spacing w:line="360" w:lineRule="auto"/>
        <w:ind w:firstLine="420" w:firstLineChars="200"/>
        <w:rPr>
          <w:rFonts w:hint="default" w:ascii="Times New Roman" w:hAnsi="Times New Roman" w:cs="Times New Roman"/>
          <w:szCs w:val="21"/>
        </w:rPr>
      </w:pPr>
      <w:r>
        <w:rPr>
          <w:rFonts w:hint="default" w:ascii="Times New Roman" w:hAnsi="Times New Roman" w:cs="Times New Roman"/>
          <w:kern w:val="0"/>
          <w:szCs w:val="21"/>
        </w:rPr>
        <w:t>以上企业，不属于大企业的分支机构，不存在控股股东为大企业的情形，也不存在与大企业的负责人为同一人的情形。</w:t>
      </w:r>
    </w:p>
    <w:p>
      <w:pPr>
        <w:widowControl/>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 xml:space="preserve">本企业对上述声明内容的真实性负责。如有虚假，将依法承担相应责任。 </w:t>
      </w:r>
    </w:p>
    <w:p>
      <w:pPr>
        <w:widowControl/>
        <w:spacing w:line="360" w:lineRule="auto"/>
        <w:jc w:val="right"/>
        <w:rPr>
          <w:rFonts w:hint="default" w:ascii="Times New Roman" w:hAnsi="Times New Roman" w:cs="Times New Roman"/>
          <w:szCs w:val="21"/>
        </w:rPr>
      </w:pPr>
      <w:r>
        <w:rPr>
          <w:rFonts w:hint="default" w:ascii="Times New Roman" w:hAnsi="Times New Roman" w:cs="Times New Roman"/>
          <w:kern w:val="0"/>
          <w:szCs w:val="21"/>
        </w:rPr>
        <w:t xml:space="preserve">企业名称（盖章）： </w:t>
      </w:r>
    </w:p>
    <w:p>
      <w:pPr>
        <w:widowControl/>
        <w:spacing w:line="360" w:lineRule="auto"/>
        <w:jc w:val="right"/>
        <w:rPr>
          <w:rFonts w:hint="default" w:ascii="Times New Roman" w:hAnsi="Times New Roman" w:cs="Times New Roman"/>
          <w:b/>
          <w:szCs w:val="21"/>
        </w:rPr>
      </w:pPr>
      <w:r>
        <w:rPr>
          <w:rFonts w:hint="default" w:ascii="Times New Roman" w:hAnsi="Times New Roman" w:cs="Times New Roman"/>
          <w:kern w:val="0"/>
          <w:szCs w:val="21"/>
        </w:rPr>
        <w:t xml:space="preserve">日 期： </w:t>
      </w:r>
    </w:p>
    <w:p>
      <w:pPr>
        <w:spacing w:line="360" w:lineRule="auto"/>
        <w:rPr>
          <w:rFonts w:ascii="Times New Roman" w:hAnsi="Times New Roman"/>
          <w:b/>
          <w:bCs/>
          <w:highlight w:val="yellow"/>
          <w:u w:val="single"/>
        </w:rPr>
      </w:pPr>
      <w:r>
        <w:rPr>
          <w:rFonts w:hint="default" w:ascii="Times New Roman" w:hAnsi="Times New Roman" w:cs="Times New Roman"/>
        </w:rPr>
        <w:t>注：</w:t>
      </w:r>
      <w:r>
        <w:rPr>
          <w:rFonts w:hint="eastAsia" w:ascii="Times New Roman" w:hAnsi="Times New Roman"/>
          <w:b/>
          <w:bCs/>
          <w:highlight w:val="yellow"/>
          <w:u w:val="single"/>
        </w:rPr>
        <w:t>1）《中小企业声明函》为证明其为中小企业的</w:t>
      </w:r>
      <w:r>
        <w:rPr>
          <w:rFonts w:hint="eastAsia" w:ascii="Times New Roman" w:hAnsi="Times New Roman"/>
          <w:b/>
          <w:bCs/>
          <w:highlight w:val="red"/>
          <w:u w:val="single"/>
        </w:rPr>
        <w:t>唯一</w:t>
      </w:r>
      <w:r>
        <w:rPr>
          <w:rFonts w:hint="eastAsia" w:ascii="Times New Roman" w:hAnsi="Times New Roman"/>
          <w:b/>
          <w:bCs/>
          <w:highlight w:val="yellow"/>
          <w:u w:val="single"/>
        </w:rPr>
        <w:t>身份证明文件。未提供或未正确填写均按</w:t>
      </w:r>
      <w:r>
        <w:rPr>
          <w:rFonts w:hint="eastAsia" w:ascii="Times New Roman" w:hAnsi="Times New Roman"/>
          <w:b/>
          <w:bCs/>
          <w:highlight w:val="red"/>
          <w:u w:val="single"/>
        </w:rPr>
        <w:t>资格审查不符合要求处理，投标无效。</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textAlignment w:val="auto"/>
        <w:rPr>
          <w:rFonts w:hint="default"/>
          <w:lang w:val="en-US" w:eastAsia="zh-CN"/>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18"/>
          <w:szCs w:val="18"/>
          <w:highlight w:val="yellow"/>
          <w:u w:val="single"/>
          <w:lang w:val="en-US" w:eastAsia="zh-CN" w:bidi="ar-SA"/>
          <w14:textFill>
            <w14:solidFill>
              <w14:schemeClr w14:val="tx1"/>
            </w14:solidFill>
          </w14:textFill>
        </w:rPr>
        <w:t>采购文件中明确的所属行业</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”按</w:t>
      </w:r>
      <w:r>
        <w:rPr>
          <w:rFonts w:hint="default" w:ascii="Times New Roman" w:hAnsi="Times New Roman" w:eastAsia="宋体" w:cs="Times New Roman"/>
          <w:b/>
          <w:bCs/>
          <w:color w:val="000000" w:themeColor="text1"/>
          <w:kern w:val="2"/>
          <w:sz w:val="18"/>
          <w:szCs w:val="18"/>
          <w:highlight w:val="yellow"/>
          <w:lang w:val="en-US" w:eastAsia="zh-CN" w:bidi="ar-SA"/>
          <w14:textFill>
            <w14:solidFill>
              <w14:schemeClr w14:val="tx1"/>
            </w14:solidFill>
          </w14:textFill>
        </w:rPr>
        <w:t>采购文件前附表</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明确的行业进行填写。</w:t>
      </w:r>
      <w:r>
        <w:rPr>
          <w:rFonts w:hint="default" w:ascii="Times New Roman" w:hAnsi="Times New Roman" w:eastAsia="宋体" w:cs="Times New Roman"/>
          <w:color w:val="000000" w:themeColor="text1"/>
          <w:kern w:val="2"/>
          <w:sz w:val="18"/>
          <w:szCs w:val="18"/>
          <w:highlight w:val="yellow"/>
          <w:lang w:val="en-US" w:eastAsia="zh-CN" w:bidi="ar-SA"/>
          <w14:textFill>
            <w14:solidFill>
              <w14:schemeClr w14:val="tx1"/>
            </w14:solidFill>
          </w14:textFill>
        </w:rPr>
        <w:t>如：“租赁和商务服务业”，填写成“技术行业”、“服务业”等均为错误。</w:t>
      </w:r>
    </w:p>
    <w:p>
      <w:pPr>
        <w:spacing w:line="360" w:lineRule="auto"/>
        <w:rPr>
          <w:rFonts w:ascii="Times New Roman" w:hAnsi="Times New Roman"/>
        </w:rPr>
      </w:pPr>
      <w:r>
        <w:rPr>
          <w:rFonts w:hint="eastAsia" w:ascii="Times New Roman" w:hAnsi="Times New Roman"/>
        </w:rPr>
        <w:t>3）中小企业划型标准按工信部联企业〔2011〕300号文件中所涉及指标1、从业人员；2、营业收入；3、资产总额等内容根据划分标准，标准内如未涉及的可不填写。</w:t>
      </w:r>
    </w:p>
    <w:p>
      <w:pPr>
        <w:spacing w:line="360" w:lineRule="auto"/>
        <w:rPr>
          <w:rFonts w:ascii="Times New Roman" w:hAnsi="Times New Roman"/>
        </w:rPr>
      </w:pPr>
      <w:r>
        <w:rPr>
          <w:rFonts w:hint="eastAsia" w:ascii="Times New Roman" w:hAnsi="Times New Roman"/>
        </w:rPr>
        <w:t>4）从业人员、营业收入、资产总额填报上一年度数据。无上一年度数据的新成立企业可不</w:t>
      </w:r>
      <w:r>
        <w:rPr>
          <w:rFonts w:ascii="Times New Roman" w:hAnsi="Times New Roman"/>
        </w:rPr>
        <w:t>填报。</w:t>
      </w:r>
    </w:p>
    <w:p>
      <w:pPr>
        <w:spacing w:line="360" w:lineRule="auto"/>
        <w:rPr>
          <w:rFonts w:ascii="Times New Roman" w:hAnsi="Times New Roman"/>
          <w:b/>
        </w:rPr>
      </w:pPr>
      <w:r>
        <w:rPr>
          <w:rFonts w:hint="eastAsia" w:ascii="Times New Roman" w:hAnsi="Times New Roman"/>
        </w:rPr>
        <w:t>5</w:t>
      </w:r>
      <w:r>
        <w:rPr>
          <w:rFonts w:ascii="Times New Roman" w:hAnsi="Times New Roman"/>
        </w:rPr>
        <w:t>）中标单位的《中小企业声明函》将依法公示，提供虚假资料者取消中标资格，并承担一切责任。</w:t>
      </w:r>
    </w:p>
    <w:p>
      <w:pPr>
        <w:pStyle w:val="2"/>
        <w:rPr>
          <w:rFonts w:hint="default"/>
        </w:rPr>
      </w:pPr>
      <w:r>
        <w:rPr>
          <w:rFonts w:hint="eastAsia" w:ascii="Times New Roman" w:hAnsi="Times New Roman"/>
          <w:sz w:val="21"/>
        </w:rPr>
        <w:t>6）</w:t>
      </w:r>
      <w:r>
        <w:rPr>
          <w:rFonts w:ascii="Times New Roman" w:hAnsi="Times New Roman"/>
          <w:sz w:val="21"/>
        </w:rPr>
        <w:t>中型和小型企业须同时满足所列指标的下限，否则下划一档；微型企业只须满足所列指标中的一项即可。</w:t>
      </w:r>
    </w:p>
    <w:tbl>
      <w:tblPr>
        <w:tblStyle w:val="28"/>
        <w:tblpPr w:leftFromText="180" w:rightFromText="180" w:vertAnchor="text" w:horzAnchor="page" w:tblpX="1717" w:tblpY="9"/>
        <w:tblOverlap w:val="never"/>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307"/>
        <w:gridCol w:w="1135"/>
        <w:gridCol w:w="1539"/>
        <w:gridCol w:w="1618"/>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69" w:type="dxa"/>
            <w:vAlign w:val="center"/>
          </w:tcPr>
          <w:p>
            <w:pPr>
              <w:widowControl/>
              <w:wordWrap w:val="0"/>
              <w:spacing w:line="360" w:lineRule="atLeast"/>
              <w:jc w:val="center"/>
              <w:textAlignment w:val="center"/>
              <w:rPr>
                <w:rFonts w:hint="default" w:ascii="Times New Roman" w:hAnsi="Times New Roman" w:cs="Times New Roman"/>
                <w:sz w:val="18"/>
                <w:szCs w:val="18"/>
                <w:highlight w:val="none"/>
              </w:rPr>
            </w:pPr>
            <w:r>
              <w:rPr>
                <w:rFonts w:hint="default" w:ascii="Times New Roman" w:hAnsi="Times New Roman" w:cs="Times New Roman"/>
                <w:b/>
                <w:bCs/>
                <w:color w:val="000000" w:themeColor="text1"/>
                <w:kern w:val="0"/>
                <w:sz w:val="18"/>
                <w:szCs w:val="18"/>
                <w:highlight w:val="none"/>
                <w14:textFill>
                  <w14:solidFill>
                    <w14:schemeClr w14:val="tx1"/>
                  </w14:solidFill>
                </w14:textFill>
              </w:rPr>
              <w:t>行业名称</w:t>
            </w:r>
          </w:p>
        </w:tc>
        <w:tc>
          <w:tcPr>
            <w:tcW w:w="1307" w:type="dxa"/>
            <w:vAlign w:val="center"/>
          </w:tcPr>
          <w:p>
            <w:pPr>
              <w:widowControl/>
              <w:wordWrap w:val="0"/>
              <w:spacing w:line="360" w:lineRule="atLeast"/>
              <w:jc w:val="center"/>
              <w:textAlignment w:val="center"/>
              <w:rPr>
                <w:rFonts w:hint="default" w:ascii="Times New Roman" w:hAnsi="Times New Roman" w:cs="Times New Roman"/>
                <w:sz w:val="18"/>
                <w:szCs w:val="18"/>
                <w:highlight w:val="none"/>
              </w:rPr>
            </w:pPr>
            <w:r>
              <w:rPr>
                <w:rFonts w:hint="default" w:ascii="Times New Roman" w:hAnsi="Times New Roman" w:cs="Times New Roman"/>
                <w:b/>
                <w:bCs/>
                <w:color w:val="000000" w:themeColor="text1"/>
                <w:kern w:val="0"/>
                <w:sz w:val="18"/>
                <w:szCs w:val="18"/>
                <w:highlight w:val="none"/>
                <w14:textFill>
                  <w14:solidFill>
                    <w14:schemeClr w14:val="tx1"/>
                  </w14:solidFill>
                </w14:textFill>
              </w:rPr>
              <w:t>指标名称</w:t>
            </w:r>
          </w:p>
        </w:tc>
        <w:tc>
          <w:tcPr>
            <w:tcW w:w="1135" w:type="dxa"/>
            <w:vAlign w:val="center"/>
          </w:tcPr>
          <w:p>
            <w:pPr>
              <w:widowControl/>
              <w:wordWrap w:val="0"/>
              <w:spacing w:line="360" w:lineRule="atLeast"/>
              <w:jc w:val="center"/>
              <w:textAlignment w:val="center"/>
              <w:rPr>
                <w:rFonts w:hint="default" w:ascii="Times New Roman" w:hAnsi="Times New Roman" w:cs="Times New Roman"/>
                <w:sz w:val="18"/>
                <w:szCs w:val="18"/>
                <w:highlight w:val="none"/>
              </w:rPr>
            </w:pPr>
            <w:r>
              <w:rPr>
                <w:rFonts w:hint="default" w:ascii="Times New Roman" w:hAnsi="Times New Roman" w:cs="Times New Roman"/>
                <w:b/>
                <w:bCs/>
                <w:color w:val="000000" w:themeColor="text1"/>
                <w:kern w:val="0"/>
                <w:sz w:val="18"/>
                <w:szCs w:val="18"/>
                <w:highlight w:val="none"/>
                <w14:textFill>
                  <w14:solidFill>
                    <w14:schemeClr w14:val="tx1"/>
                  </w14:solidFill>
                </w14:textFill>
              </w:rPr>
              <w:t>计量单位</w:t>
            </w:r>
          </w:p>
        </w:tc>
        <w:tc>
          <w:tcPr>
            <w:tcW w:w="1539" w:type="dxa"/>
            <w:vAlign w:val="center"/>
          </w:tcPr>
          <w:p>
            <w:pPr>
              <w:widowControl/>
              <w:wordWrap w:val="0"/>
              <w:spacing w:line="360" w:lineRule="atLeast"/>
              <w:jc w:val="center"/>
              <w:textAlignment w:val="center"/>
              <w:rPr>
                <w:rFonts w:hint="default" w:ascii="Times New Roman" w:hAnsi="Times New Roman" w:cs="Times New Roman"/>
                <w:sz w:val="18"/>
                <w:szCs w:val="18"/>
                <w:highlight w:val="none"/>
              </w:rPr>
            </w:pPr>
            <w:r>
              <w:rPr>
                <w:rFonts w:hint="default" w:ascii="Times New Roman" w:hAnsi="Times New Roman" w:cs="Times New Roman"/>
                <w:b/>
                <w:bCs/>
                <w:color w:val="000000" w:themeColor="text1"/>
                <w:kern w:val="0"/>
                <w:sz w:val="18"/>
                <w:szCs w:val="18"/>
                <w:highlight w:val="none"/>
                <w14:textFill>
                  <w14:solidFill>
                    <w14:schemeClr w14:val="tx1"/>
                  </w14:solidFill>
                </w14:textFill>
              </w:rPr>
              <w:t>中型</w:t>
            </w:r>
          </w:p>
        </w:tc>
        <w:tc>
          <w:tcPr>
            <w:tcW w:w="1618" w:type="dxa"/>
            <w:vAlign w:val="center"/>
          </w:tcPr>
          <w:p>
            <w:pPr>
              <w:widowControl/>
              <w:wordWrap w:val="0"/>
              <w:spacing w:line="360" w:lineRule="atLeast"/>
              <w:jc w:val="center"/>
              <w:textAlignment w:val="center"/>
              <w:rPr>
                <w:rFonts w:hint="default" w:ascii="Times New Roman" w:hAnsi="Times New Roman" w:cs="Times New Roman"/>
                <w:sz w:val="18"/>
                <w:szCs w:val="18"/>
                <w:highlight w:val="none"/>
              </w:rPr>
            </w:pPr>
            <w:r>
              <w:rPr>
                <w:rFonts w:hint="default" w:ascii="Times New Roman" w:hAnsi="Times New Roman" w:cs="Times New Roman"/>
                <w:b/>
                <w:bCs/>
                <w:color w:val="000000" w:themeColor="text1"/>
                <w:kern w:val="0"/>
                <w:sz w:val="18"/>
                <w:szCs w:val="18"/>
                <w:highlight w:val="none"/>
                <w14:textFill>
                  <w14:solidFill>
                    <w14:schemeClr w14:val="tx1"/>
                  </w14:solidFill>
                </w14:textFill>
              </w:rPr>
              <w:t>小型</w:t>
            </w:r>
          </w:p>
        </w:tc>
        <w:tc>
          <w:tcPr>
            <w:tcW w:w="1490" w:type="dxa"/>
            <w:vAlign w:val="center"/>
          </w:tcPr>
          <w:p>
            <w:pPr>
              <w:widowControl/>
              <w:wordWrap w:val="0"/>
              <w:spacing w:line="360" w:lineRule="atLeast"/>
              <w:jc w:val="center"/>
              <w:textAlignment w:val="center"/>
              <w:rPr>
                <w:rFonts w:hint="default" w:ascii="Times New Roman" w:hAnsi="Times New Roman" w:cs="Times New Roman"/>
                <w:sz w:val="18"/>
                <w:szCs w:val="18"/>
                <w:highlight w:val="none"/>
              </w:rPr>
            </w:pPr>
            <w:r>
              <w:rPr>
                <w:rFonts w:hint="default" w:ascii="Times New Roman" w:hAnsi="Times New Roman" w:cs="Times New Roman"/>
                <w:b/>
                <w:bCs/>
                <w:color w:val="000000" w:themeColor="text1"/>
                <w:kern w:val="0"/>
                <w:sz w:val="18"/>
                <w:szCs w:val="18"/>
                <w:highlight w:val="none"/>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trPr>
        <w:tc>
          <w:tcPr>
            <w:tcW w:w="1469" w:type="dxa"/>
            <w:vMerge w:val="restart"/>
            <w:vAlign w:val="center"/>
          </w:tcPr>
          <w:p>
            <w:pPr>
              <w:widowControl/>
              <w:wordWrap w:val="0"/>
              <w:spacing w:line="360" w:lineRule="atLeast"/>
              <w:jc w:val="center"/>
              <w:textAlignment w:val="center"/>
              <w:rPr>
                <w:rFonts w:hint="default" w:ascii="Times New Roman" w:hAnsi="Times New Roman" w:cs="Times New Roman"/>
                <w:sz w:val="18"/>
                <w:szCs w:val="18"/>
                <w:highlight w:val="none"/>
              </w:rPr>
            </w:pPr>
            <w:r>
              <w:rPr>
                <w:rFonts w:hint="default" w:ascii="Times New Roman" w:hAnsi="Times New Roman" w:cs="Times New Roman"/>
                <w:color w:val="000000" w:themeColor="text1"/>
                <w:kern w:val="0"/>
                <w:sz w:val="18"/>
                <w:szCs w:val="18"/>
                <w:highlight w:val="none"/>
                <w:lang w:eastAsia="zh-CN"/>
                <w14:textFill>
                  <w14:solidFill>
                    <w14:schemeClr w14:val="tx1"/>
                  </w14:solidFill>
                </w14:textFill>
              </w:rPr>
              <w:t>租赁和商务服务业</w:t>
            </w:r>
          </w:p>
        </w:tc>
        <w:tc>
          <w:tcPr>
            <w:tcW w:w="1307" w:type="dxa"/>
            <w:vAlign w:val="center"/>
          </w:tcPr>
          <w:p>
            <w:pPr>
              <w:pStyle w:val="24"/>
              <w:widowControl/>
              <w:rPr>
                <w:rFonts w:hint="default" w:ascii="Times New Roman" w:hAnsi="Times New Roman" w:cs="Times New Roman"/>
                <w:sz w:val="18"/>
                <w:szCs w:val="18"/>
                <w:highlight w:val="none"/>
              </w:rPr>
            </w:pPr>
            <w:r>
              <w:rPr>
                <w:rFonts w:hint="default" w:ascii="Times New Roman" w:hAnsi="Times New Roman" w:cs="Times New Roman"/>
                <w:color w:val="000000" w:themeColor="text1"/>
                <w:sz w:val="18"/>
                <w:szCs w:val="18"/>
                <w:highlight w:val="none"/>
                <w14:textFill>
                  <w14:solidFill>
                    <w14:schemeClr w14:val="tx1"/>
                  </w14:solidFill>
                </w14:textFill>
              </w:rPr>
              <w:t>从业人员(X)</w:t>
            </w:r>
          </w:p>
        </w:tc>
        <w:tc>
          <w:tcPr>
            <w:tcW w:w="1135" w:type="dxa"/>
            <w:vAlign w:val="center"/>
          </w:tcPr>
          <w:p>
            <w:pPr>
              <w:pStyle w:val="24"/>
              <w:widowControl/>
              <w:rPr>
                <w:rFonts w:hint="default" w:ascii="Times New Roman" w:hAnsi="Times New Roman" w:cs="Times New Roman"/>
                <w:sz w:val="18"/>
                <w:szCs w:val="18"/>
                <w:highlight w:val="none"/>
              </w:rPr>
            </w:pPr>
            <w:r>
              <w:rPr>
                <w:rFonts w:hint="default" w:ascii="Times New Roman" w:hAnsi="Times New Roman" w:cs="Times New Roman"/>
                <w:color w:val="000000" w:themeColor="text1"/>
                <w:sz w:val="18"/>
                <w:szCs w:val="18"/>
                <w:highlight w:val="none"/>
                <w14:textFill>
                  <w14:solidFill>
                    <w14:schemeClr w14:val="tx1"/>
                  </w14:solidFill>
                </w14:textFill>
              </w:rPr>
              <w:t>人</w:t>
            </w:r>
          </w:p>
        </w:tc>
        <w:tc>
          <w:tcPr>
            <w:tcW w:w="1539" w:type="dxa"/>
            <w:vAlign w:val="center"/>
          </w:tcPr>
          <w:p>
            <w:pPr>
              <w:pStyle w:val="24"/>
              <w:widowControl/>
              <w:jc w:val="center"/>
              <w:rPr>
                <w:rFonts w:hint="default" w:ascii="Times New Roman" w:hAnsi="Times New Roman" w:cs="Times New Roman"/>
                <w:sz w:val="18"/>
                <w:szCs w:val="18"/>
                <w:highlight w:val="none"/>
              </w:rPr>
            </w:pPr>
            <w:r>
              <w:rPr>
                <w:rFonts w:hint="default" w:ascii="Times New Roman" w:hAnsi="Times New Roman" w:eastAsia="宋体" w:cs="Times New Roman"/>
                <w:i w:val="0"/>
                <w:caps w:val="0"/>
                <w:color w:val="333333"/>
                <w:spacing w:val="0"/>
                <w:sz w:val="18"/>
                <w:szCs w:val="18"/>
                <w:highlight w:val="none"/>
                <w:shd w:val="clear" w:fill="FFFFFF"/>
              </w:rPr>
              <w:t>100≤X&lt;300</w:t>
            </w:r>
          </w:p>
        </w:tc>
        <w:tc>
          <w:tcPr>
            <w:tcW w:w="1618" w:type="dxa"/>
            <w:vAlign w:val="center"/>
          </w:tcPr>
          <w:p>
            <w:pPr>
              <w:pStyle w:val="24"/>
              <w:widowControl/>
              <w:jc w:val="center"/>
              <w:rPr>
                <w:rFonts w:hint="default" w:ascii="Times New Roman" w:hAnsi="Times New Roman" w:cs="Times New Roman"/>
                <w:sz w:val="18"/>
                <w:szCs w:val="18"/>
                <w:highlight w:val="none"/>
              </w:rPr>
            </w:pPr>
            <w:r>
              <w:rPr>
                <w:rFonts w:hint="default" w:ascii="Times New Roman" w:hAnsi="Times New Roman" w:eastAsia="宋体" w:cs="Times New Roman"/>
                <w:i w:val="0"/>
                <w:caps w:val="0"/>
                <w:color w:val="333333"/>
                <w:spacing w:val="0"/>
                <w:sz w:val="18"/>
                <w:szCs w:val="18"/>
                <w:highlight w:val="none"/>
                <w:shd w:val="clear" w:fill="FFFFFF"/>
              </w:rPr>
              <w:t>10≤X&lt;100</w:t>
            </w:r>
          </w:p>
        </w:tc>
        <w:tc>
          <w:tcPr>
            <w:tcW w:w="1490" w:type="dxa"/>
            <w:vAlign w:val="center"/>
          </w:tcPr>
          <w:p>
            <w:pPr>
              <w:pStyle w:val="24"/>
              <w:widowControl/>
              <w:jc w:val="center"/>
              <w:rPr>
                <w:rFonts w:hint="default" w:ascii="Times New Roman" w:hAnsi="Times New Roman" w:cs="Times New Roman"/>
                <w:sz w:val="18"/>
                <w:szCs w:val="18"/>
                <w:highlight w:val="none"/>
              </w:rPr>
            </w:pPr>
            <w:r>
              <w:rPr>
                <w:rFonts w:hint="default" w:ascii="Times New Roman" w:hAnsi="Times New Roman" w:eastAsia="宋体" w:cs="Times New Roman"/>
                <w:i w:val="0"/>
                <w:caps w:val="0"/>
                <w:color w:val="333333"/>
                <w:spacing w:val="0"/>
                <w:sz w:val="18"/>
                <w:szCs w:val="18"/>
                <w:highlight w:val="none"/>
                <w:shd w:val="clear" w:fill="FFFFFF"/>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69" w:type="dxa"/>
            <w:vMerge w:val="continue"/>
            <w:vAlign w:val="center"/>
          </w:tcPr>
          <w:p>
            <w:pPr>
              <w:widowControl/>
              <w:wordWrap w:val="0"/>
              <w:spacing w:line="360" w:lineRule="atLeast"/>
              <w:jc w:val="center"/>
              <w:textAlignment w:val="center"/>
              <w:rPr>
                <w:rFonts w:hint="default" w:ascii="Times New Roman" w:hAnsi="Times New Roman" w:cs="Times New Roman"/>
                <w:kern w:val="0"/>
                <w:sz w:val="18"/>
                <w:szCs w:val="18"/>
                <w:highlight w:val="none"/>
              </w:rPr>
            </w:pPr>
          </w:p>
        </w:tc>
        <w:tc>
          <w:tcPr>
            <w:tcW w:w="1307" w:type="dxa"/>
            <w:vAlign w:val="center"/>
          </w:tcPr>
          <w:p>
            <w:pPr>
              <w:pStyle w:val="24"/>
              <w:widowControl/>
              <w:rPr>
                <w:rFonts w:hint="default" w:ascii="Times New Roman" w:hAnsi="Times New Roman" w:cs="Times New Roman"/>
                <w:kern w:val="0"/>
                <w:sz w:val="18"/>
                <w:szCs w:val="18"/>
                <w:highlight w:val="none"/>
              </w:rPr>
            </w:pPr>
            <w:r>
              <w:rPr>
                <w:rFonts w:hint="default" w:ascii="Times New Roman" w:hAnsi="Times New Roman" w:cs="Times New Roman"/>
                <w:color w:val="000000" w:themeColor="text1"/>
                <w:sz w:val="18"/>
                <w:szCs w:val="18"/>
                <w:highlight w:val="none"/>
                <w14:textFill>
                  <w14:solidFill>
                    <w14:schemeClr w14:val="tx1"/>
                  </w14:solidFill>
                </w14:textFill>
              </w:rPr>
              <w:t>营业收入(Y)</w:t>
            </w:r>
          </w:p>
        </w:tc>
        <w:tc>
          <w:tcPr>
            <w:tcW w:w="1135" w:type="dxa"/>
            <w:vAlign w:val="center"/>
          </w:tcPr>
          <w:p>
            <w:pPr>
              <w:pStyle w:val="24"/>
              <w:widowControl/>
              <w:rPr>
                <w:rFonts w:hint="default" w:ascii="Times New Roman" w:hAnsi="Times New Roman" w:cs="Times New Roman"/>
                <w:kern w:val="0"/>
                <w:sz w:val="18"/>
                <w:szCs w:val="18"/>
                <w:highlight w:val="none"/>
              </w:rPr>
            </w:pPr>
            <w:r>
              <w:rPr>
                <w:rFonts w:hint="default" w:ascii="Times New Roman" w:hAnsi="Times New Roman" w:cs="Times New Roman"/>
                <w:color w:val="000000" w:themeColor="text1"/>
                <w:sz w:val="18"/>
                <w:szCs w:val="18"/>
                <w:highlight w:val="none"/>
                <w14:textFill>
                  <w14:solidFill>
                    <w14:schemeClr w14:val="tx1"/>
                  </w14:solidFill>
                </w14:textFill>
              </w:rPr>
              <w:t>万元</w:t>
            </w:r>
          </w:p>
        </w:tc>
        <w:tc>
          <w:tcPr>
            <w:tcW w:w="1539" w:type="dxa"/>
            <w:vAlign w:val="center"/>
          </w:tcPr>
          <w:p>
            <w:pPr>
              <w:pStyle w:val="24"/>
              <w:widowControl/>
              <w:jc w:val="center"/>
              <w:rPr>
                <w:rFonts w:hint="default" w:ascii="Times New Roman" w:hAnsi="Times New Roman" w:cs="Times New Roman"/>
                <w:kern w:val="0"/>
                <w:sz w:val="18"/>
                <w:szCs w:val="18"/>
                <w:highlight w:val="none"/>
              </w:rPr>
            </w:pPr>
            <w:r>
              <w:rPr>
                <w:rFonts w:hint="default" w:ascii="Times New Roman" w:hAnsi="Times New Roman" w:eastAsia="宋体" w:cs="Times New Roman"/>
                <w:i w:val="0"/>
                <w:caps w:val="0"/>
                <w:color w:val="333333"/>
                <w:spacing w:val="0"/>
                <w:sz w:val="18"/>
                <w:szCs w:val="18"/>
                <w:highlight w:val="none"/>
                <w:shd w:val="clear" w:fill="FFFFFF"/>
              </w:rPr>
              <w:t>8000≤Z&lt;120000</w:t>
            </w:r>
          </w:p>
        </w:tc>
        <w:tc>
          <w:tcPr>
            <w:tcW w:w="1618" w:type="dxa"/>
            <w:vAlign w:val="center"/>
          </w:tcPr>
          <w:p>
            <w:pPr>
              <w:pStyle w:val="24"/>
              <w:widowControl/>
              <w:jc w:val="center"/>
              <w:rPr>
                <w:rFonts w:hint="default" w:ascii="Times New Roman" w:hAnsi="Times New Roman" w:cs="Times New Roman"/>
                <w:kern w:val="0"/>
                <w:sz w:val="18"/>
                <w:szCs w:val="18"/>
                <w:highlight w:val="none"/>
              </w:rPr>
            </w:pPr>
            <w:r>
              <w:rPr>
                <w:rFonts w:hint="default" w:ascii="Times New Roman" w:hAnsi="Times New Roman" w:eastAsia="宋体" w:cs="Times New Roman"/>
                <w:i w:val="0"/>
                <w:caps w:val="0"/>
                <w:color w:val="333333"/>
                <w:spacing w:val="0"/>
                <w:sz w:val="18"/>
                <w:szCs w:val="18"/>
                <w:highlight w:val="none"/>
                <w:shd w:val="clear" w:fill="FFFFFF"/>
              </w:rPr>
              <w:t>100≤Z&lt;8000</w:t>
            </w:r>
          </w:p>
        </w:tc>
        <w:tc>
          <w:tcPr>
            <w:tcW w:w="1490" w:type="dxa"/>
            <w:vAlign w:val="center"/>
          </w:tcPr>
          <w:p>
            <w:pPr>
              <w:pStyle w:val="24"/>
              <w:widowControl/>
              <w:jc w:val="center"/>
              <w:rPr>
                <w:rFonts w:hint="default" w:ascii="Times New Roman" w:hAnsi="Times New Roman" w:cs="Times New Roman"/>
                <w:kern w:val="0"/>
                <w:sz w:val="18"/>
                <w:szCs w:val="18"/>
                <w:highlight w:val="none"/>
              </w:rPr>
            </w:pPr>
            <w:r>
              <w:rPr>
                <w:rFonts w:hint="default" w:ascii="Times New Roman" w:hAnsi="Times New Roman" w:eastAsia="宋体" w:cs="Times New Roman"/>
                <w:i w:val="0"/>
                <w:caps w:val="0"/>
                <w:color w:val="333333"/>
                <w:spacing w:val="0"/>
                <w:sz w:val="18"/>
                <w:szCs w:val="18"/>
                <w:highlight w:val="none"/>
                <w:shd w:val="clear" w:fill="FFFFFF"/>
              </w:rPr>
              <w:t>Z&lt;100</w:t>
            </w:r>
          </w:p>
        </w:tc>
      </w:tr>
    </w:tbl>
    <w:p>
      <w:pP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p>
    <w:p>
      <w:pPr>
        <w:rPr>
          <w:rFonts w:hint="default" w:ascii="Times New Roman" w:hAnsi="Times New Roman" w:cs="Times New Roman"/>
        </w:rPr>
      </w:pPr>
    </w:p>
    <w:p>
      <w:pPr>
        <w:autoSpaceDE w:val="0"/>
        <w:autoSpaceDN w:val="0"/>
        <w:adjustRightInd w:val="0"/>
        <w:spacing w:line="360" w:lineRule="auto"/>
        <w:ind w:right="-341"/>
        <w:jc w:val="left"/>
        <w:rPr>
          <w:rFonts w:hint="default" w:ascii="Times New Roman" w:hAnsi="Times New Roman" w:cs="Times New Roman"/>
          <w:color w:val="000000" w:themeColor="text1"/>
          <w:kern w:val="0"/>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四、监狱企业声明函</w:t>
      </w:r>
    </w:p>
    <w:p>
      <w:pPr>
        <w:ind w:firstLine="3373" w:firstLineChars="1400"/>
        <w:rPr>
          <w:rFonts w:hint="default" w:ascii="Times New Roman" w:hAnsi="Times New Roman" w:cs="Times New Roman"/>
          <w:b/>
          <w:color w:val="000000" w:themeColor="text1"/>
          <w:sz w:val="24"/>
          <w:highlight w:val="none"/>
          <w14:textFill>
            <w14:solidFill>
              <w14:schemeClr w14:val="tx1"/>
            </w14:solidFill>
          </w14:textFill>
        </w:rPr>
      </w:pPr>
    </w:p>
    <w:p>
      <w:pPr>
        <w:jc w:val="left"/>
        <w:rPr>
          <w:rFonts w:hint="default" w:ascii="Times New Roman" w:hAnsi="Times New Roman" w:cs="Times New Roman"/>
          <w:color w:val="000000" w:themeColor="text1"/>
          <w:kern w:val="0"/>
          <w:highlight w:val="none"/>
          <w14:textFill>
            <w14:solidFill>
              <w14:schemeClr w14:val="tx1"/>
            </w14:solidFill>
          </w14:textFill>
        </w:rPr>
      </w:pPr>
    </w:p>
    <w:p>
      <w:pPr>
        <w:ind w:firstLine="3373" w:firstLineChars="1400"/>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监狱企业声明函</w:t>
      </w:r>
    </w:p>
    <w:p>
      <w:pPr>
        <w:ind w:firstLine="2835" w:firstLineChars="135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【非监狱企业不用提供】</w:t>
      </w:r>
    </w:p>
    <w:p>
      <w:pPr>
        <w:ind w:firstLine="480"/>
        <w:rPr>
          <w:rFonts w:hint="default" w:ascii="Times New Roman" w:hAnsi="Times New Roman" w:cs="Times New Roman"/>
          <w:color w:val="000000" w:themeColor="text1"/>
          <w:highlight w:val="none"/>
          <w14:textFill>
            <w14:solidFill>
              <w14:schemeClr w14:val="tx1"/>
            </w14:solidFill>
          </w14:textFill>
        </w:rPr>
      </w:pPr>
    </w:p>
    <w:p>
      <w:pPr>
        <w:spacing w:line="360" w:lineRule="auto"/>
        <w:ind w:firstLine="525" w:firstLineChars="250"/>
        <w:rPr>
          <w:rFonts w:hint="default" w:ascii="Times New Roman" w:hAnsi="Times New Roman" w:cs="Times New Roman"/>
          <w:color w:val="000000" w:themeColor="text1"/>
          <w:highlight w:val="none"/>
          <w14:textFill>
            <w14:solidFill>
              <w14:schemeClr w14:val="tx1"/>
            </w14:solidFill>
          </w14:textFill>
        </w:rPr>
      </w:pPr>
    </w:p>
    <w:p>
      <w:pPr>
        <w:spacing w:line="360" w:lineRule="auto"/>
        <w:ind w:firstLine="525" w:firstLineChars="25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根据上述标准，我企业属于监狱企业的理由为：。</w:t>
      </w:r>
    </w:p>
    <w:p>
      <w:pPr>
        <w:spacing w:line="360" w:lineRule="auto"/>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本企业为参加（项目名称： ）（项目编号： ）采购活动提供本企业的产品。</w:t>
      </w:r>
    </w:p>
    <w:p>
      <w:pPr>
        <w:spacing w:line="360" w:lineRule="auto"/>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本企业对上述声明的真实性负责。如有虚假，将依法承担相应责任。</w:t>
      </w:r>
    </w:p>
    <w:p>
      <w:pPr>
        <w:spacing w:line="360" w:lineRule="auto"/>
        <w:ind w:firstLine="480"/>
        <w:rPr>
          <w:rFonts w:hint="default" w:ascii="Times New Roman" w:hAnsi="Times New Roman" w:cs="Times New Roman"/>
          <w:color w:val="000000" w:themeColor="text1"/>
          <w:highlight w:val="none"/>
          <w14:textFill>
            <w14:solidFill>
              <w14:schemeClr w14:val="tx1"/>
            </w14:solidFill>
          </w14:textFill>
        </w:rPr>
      </w:pPr>
    </w:p>
    <w:p>
      <w:pPr>
        <w:spacing w:line="360" w:lineRule="auto"/>
        <w:ind w:firstLine="480"/>
        <w:jc w:val="righ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投标人名称（盖章）：</w:t>
      </w:r>
    </w:p>
    <w:p>
      <w:pPr>
        <w:spacing w:line="360" w:lineRule="auto"/>
        <w:ind w:firstLine="480"/>
        <w:jc w:val="righ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日期： 年 月 日</w:t>
      </w:r>
    </w:p>
    <w:p>
      <w:pPr>
        <w:spacing w:line="360" w:lineRule="auto"/>
        <w:ind w:firstLine="480"/>
        <w:rPr>
          <w:rFonts w:hint="default" w:ascii="Times New Roman" w:hAnsi="Times New Roman" w:cs="Times New Roman"/>
          <w:color w:val="000000" w:themeColor="text1"/>
          <w:highlight w:val="none"/>
          <w14:textFill>
            <w14:solidFill>
              <w14:schemeClr w14:val="tx1"/>
            </w14:solidFill>
          </w14:textFill>
        </w:rPr>
      </w:pPr>
    </w:p>
    <w:p>
      <w:pPr>
        <w:spacing w:line="360" w:lineRule="auto"/>
        <w:ind w:firstLine="480"/>
        <w:rPr>
          <w:rFonts w:hint="default" w:ascii="Times New Roman" w:hAnsi="Times New Roman" w:cs="Times New Roman"/>
          <w:color w:val="000000" w:themeColor="text1"/>
          <w:highlight w:val="none"/>
          <w14:textFill>
            <w14:solidFill>
              <w14:schemeClr w14:val="tx1"/>
            </w14:solidFill>
          </w14:textFill>
        </w:rPr>
      </w:pPr>
    </w:p>
    <w:p>
      <w:pPr>
        <w:spacing w:line="360" w:lineRule="auto"/>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投标人为监狱企业的提供此函。</w:t>
      </w:r>
    </w:p>
    <w:p>
      <w:pPr>
        <w:spacing w:line="360" w:lineRule="auto"/>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局、戒毒管理局（含新疆生产建设兵团）出具的属于监狱企业的证明文件。</w:t>
      </w:r>
    </w:p>
    <w:p>
      <w:pPr>
        <w:spacing w:line="360" w:lineRule="auto"/>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hint="default" w:ascii="Times New Roman" w:hAnsi="Times New Roman" w:cs="Times New Roman"/>
          <w:color w:val="000000" w:themeColor="text1"/>
          <w:highlight w:val="none"/>
          <w14:textFill>
            <w14:solidFill>
              <w14:schemeClr w14:val="tx1"/>
            </w14:solidFill>
          </w14:textFill>
        </w:rPr>
      </w:pPr>
    </w:p>
    <w:p>
      <w:pPr>
        <w:autoSpaceDN w:val="0"/>
        <w:spacing w:line="360" w:lineRule="auto"/>
        <w:rPr>
          <w:rFonts w:hint="default" w:ascii="Times New Roman" w:hAnsi="Times New Roman" w:cs="Times New Roman"/>
          <w:b/>
          <w:bCs/>
          <w:color w:val="000000" w:themeColor="text1"/>
          <w:sz w:val="24"/>
          <w:highlight w:val="none"/>
          <w14:textFill>
            <w14:solidFill>
              <w14:schemeClr w14:val="tx1"/>
            </w14:solidFill>
          </w14:textFill>
        </w:rPr>
      </w:pPr>
    </w:p>
    <w:p>
      <w:pPr>
        <w:jc w:val="left"/>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br w:type="page"/>
      </w:r>
      <w:r>
        <w:rPr>
          <w:rFonts w:hint="default" w:ascii="Times New Roman" w:hAnsi="Times New Roman" w:cs="Times New Roman"/>
          <w:b/>
          <w:bCs/>
          <w:color w:val="000000" w:themeColor="text1"/>
          <w:highlight w:val="none"/>
          <w14:textFill>
            <w14:solidFill>
              <w14:schemeClr w14:val="tx1"/>
            </w14:solidFill>
          </w14:textFill>
        </w:rPr>
        <w:t>五、残疾人福利性单位声明函</w:t>
      </w:r>
    </w:p>
    <w:p>
      <w:pPr>
        <w:jc w:val="left"/>
        <w:rPr>
          <w:rFonts w:hint="default" w:ascii="Times New Roman" w:hAnsi="Times New Roman" w:cs="Times New Roman"/>
          <w:color w:val="000000" w:themeColor="text1"/>
          <w:sz w:val="24"/>
          <w:highlight w:val="none"/>
          <w14:textFill>
            <w14:solidFill>
              <w14:schemeClr w14:val="tx1"/>
            </w14:solidFill>
          </w14:textFill>
        </w:rPr>
      </w:pPr>
    </w:p>
    <w:p>
      <w:pPr>
        <w:jc w:val="center"/>
        <w:rPr>
          <w:rFonts w:hint="default" w:ascii="Times New Roman" w:hAnsi="Times New Roman" w:cs="Times New Roman"/>
          <w:color w:val="000000" w:themeColor="text1"/>
          <w:sz w:val="24"/>
          <w:highlight w:val="none"/>
          <w14:textFill>
            <w14:solidFill>
              <w14:schemeClr w14:val="tx1"/>
            </w14:solidFill>
          </w14:textFill>
        </w:rPr>
      </w:pPr>
    </w:p>
    <w:p>
      <w:pPr>
        <w:jc w:val="center"/>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残疾人福利性单位声明函</w:t>
      </w:r>
    </w:p>
    <w:p>
      <w:pPr>
        <w:pStyle w:val="12"/>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  【非残疾人福利性单位不用提供】</w:t>
      </w:r>
    </w:p>
    <w:p>
      <w:pPr>
        <w:spacing w:line="588" w:lineRule="exact"/>
        <w:rPr>
          <w:rFonts w:hint="default" w:ascii="Times New Roman" w:hAnsi="Times New Roman" w:cs="Times New Roman"/>
          <w:b/>
          <w:color w:val="000000" w:themeColor="text1"/>
          <w:spacing w:val="6"/>
          <w:highlight w:val="none"/>
          <w14:textFill>
            <w14:solidFill>
              <w14:schemeClr w14:val="tx1"/>
            </w14:solidFill>
          </w14:textFill>
        </w:rPr>
      </w:pPr>
    </w:p>
    <w:p>
      <w:pPr>
        <w:snapToGrid w:val="0"/>
        <w:spacing w:line="360" w:lineRule="auto"/>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本单位对上述声明的真实性负责。如有虚假，将依法承担相应责任。</w:t>
      </w:r>
    </w:p>
    <w:p>
      <w:pPr>
        <w:snapToGrid w:val="0"/>
        <w:spacing w:line="360" w:lineRule="auto"/>
        <w:ind w:firstLine="420" w:firstLineChars="200"/>
        <w:rPr>
          <w:rFonts w:hint="default" w:ascii="Times New Roman" w:hAnsi="Times New Roman" w:cs="Times New Roman"/>
          <w:color w:val="000000" w:themeColor="text1"/>
          <w:highlight w:val="none"/>
          <w14:textFill>
            <w14:solidFill>
              <w14:schemeClr w14:val="tx1"/>
            </w14:solidFill>
          </w14:textFill>
        </w:rPr>
      </w:pPr>
    </w:p>
    <w:p>
      <w:pPr>
        <w:snapToGrid w:val="0"/>
        <w:spacing w:line="360" w:lineRule="auto"/>
        <w:ind w:firstLine="420" w:firstLineChars="200"/>
        <w:rPr>
          <w:rFonts w:hint="default" w:ascii="Times New Roman" w:hAnsi="Times New Roman" w:cs="Times New Roman"/>
          <w:color w:val="000000" w:themeColor="text1"/>
          <w:highlight w:val="none"/>
          <w14:textFill>
            <w14:solidFill>
              <w14:schemeClr w14:val="tx1"/>
            </w14:solidFill>
          </w14:textFill>
        </w:rPr>
      </w:pPr>
    </w:p>
    <w:p>
      <w:pPr>
        <w:snapToGrid w:val="0"/>
        <w:spacing w:line="360" w:lineRule="auto"/>
        <w:ind w:firstLine="420" w:firstLineChars="200"/>
        <w:jc w:val="righ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投标人名称：</w:t>
      </w:r>
    </w:p>
    <w:p>
      <w:pPr>
        <w:snapToGrid w:val="0"/>
        <w:spacing w:line="360" w:lineRule="auto"/>
        <w:ind w:firstLine="420" w:firstLineChars="200"/>
        <w:jc w:val="right"/>
        <w:rPr>
          <w:rFonts w:hint="default" w:ascii="Times New Roman" w:hAnsi="Times New Roman" w:cs="Times New Roman"/>
          <w:color w:val="000000" w:themeColor="text1"/>
          <w:highlight w:val="none"/>
          <w14:textFill>
            <w14:solidFill>
              <w14:schemeClr w14:val="tx1"/>
            </w14:solidFill>
          </w14:textFill>
        </w:rPr>
      </w:pPr>
    </w:p>
    <w:p>
      <w:pPr>
        <w:snapToGrid w:val="0"/>
        <w:spacing w:line="360" w:lineRule="auto"/>
        <w:ind w:firstLine="420" w:firstLineChars="200"/>
        <w:jc w:val="righ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日期：   年   月   日</w:t>
      </w:r>
    </w:p>
    <w:p>
      <w:pPr>
        <w:snapToGrid w:val="0"/>
        <w:spacing w:line="360" w:lineRule="auto"/>
        <w:ind w:firstLine="422" w:firstLineChars="200"/>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注： 中标投标人为残疾人福利性单位的，将随中标结果同时公告其《残疾人福利性单位声明函》，接受社会监督。</w:t>
      </w:r>
    </w:p>
    <w:p>
      <w:pPr>
        <w:autoSpaceDE w:val="0"/>
        <w:autoSpaceDN w:val="0"/>
        <w:adjustRightInd w:val="0"/>
        <w:spacing w:line="360" w:lineRule="auto"/>
        <w:ind w:right="-341" w:firstLine="420" w:firstLineChars="200"/>
        <w:jc w:val="left"/>
        <w:rPr>
          <w:rFonts w:hint="default" w:ascii="Times New Roman" w:hAnsi="Times New Roman" w:cs="Times New Roman"/>
          <w:color w:val="000000" w:themeColor="text1"/>
          <w:kern w:val="0"/>
          <w:highlight w:val="none"/>
          <w14:textFill>
            <w14:solidFill>
              <w14:schemeClr w14:val="tx1"/>
            </w14:solidFill>
          </w14:textFill>
        </w:rPr>
      </w:pPr>
    </w:p>
    <w:p>
      <w:pPr>
        <w:pStyle w:val="92"/>
        <w:spacing w:line="360" w:lineRule="auto"/>
        <w:ind w:firstLine="0"/>
        <w:jc w:val="left"/>
        <w:rPr>
          <w:rFonts w:hint="default" w:ascii="Times New Roman" w:hAnsi="Times New Roman" w:cs="Times New Roman"/>
          <w:b/>
          <w:bCs/>
          <w:color w:val="000000" w:themeColor="text1"/>
          <w:kern w:val="2"/>
          <w:sz w:val="21"/>
          <w:szCs w:val="21"/>
          <w:highlight w:val="none"/>
          <w14:textFill>
            <w14:solidFill>
              <w14:schemeClr w14:val="tx1"/>
            </w14:solidFill>
          </w14:textFill>
        </w:rPr>
      </w:pPr>
    </w:p>
    <w:p>
      <w:pP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br w:type="page"/>
      </w:r>
    </w:p>
    <w:p>
      <w:pPr>
        <w:adjustRightInd w:val="0"/>
        <w:snapToGrid w:val="0"/>
        <w:spacing w:line="360" w:lineRule="auto"/>
        <w:rPr>
          <w:rFonts w:hint="default" w:ascii="Times New Roman" w:hAnsi="Times New Roman" w:cs="Times New Roman"/>
          <w:b/>
          <w:color w:val="000000" w:themeColor="text1"/>
          <w:highlight w:val="none"/>
          <w14:textFill>
            <w14:solidFill>
              <w14:schemeClr w14:val="tx1"/>
            </w14:solidFill>
          </w14:textFill>
        </w:rPr>
      </w:pPr>
    </w:p>
    <w:p>
      <w:pPr>
        <w:adjustRightInd w:val="0"/>
        <w:snapToGrid w:val="0"/>
        <w:spacing w:line="360" w:lineRule="auto"/>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lang w:eastAsia="zh-CN"/>
          <w14:textFill>
            <w14:solidFill>
              <w14:schemeClr w14:val="tx1"/>
            </w14:solidFill>
          </w14:textFill>
        </w:rPr>
        <w:t>六</w:t>
      </w:r>
      <w:r>
        <w:rPr>
          <w:rFonts w:hint="default" w:ascii="Times New Roman" w:hAnsi="Times New Roman" w:cs="Times New Roman"/>
          <w:b/>
          <w:color w:val="000000" w:themeColor="text1"/>
          <w:szCs w:val="21"/>
          <w:highlight w:val="none"/>
          <w14:textFill>
            <w14:solidFill>
              <w14:schemeClr w14:val="tx1"/>
            </w14:solidFill>
          </w14:textFill>
        </w:rPr>
        <w:t>、投标函</w:t>
      </w:r>
    </w:p>
    <w:p>
      <w:pPr>
        <w:snapToGrid w:val="0"/>
        <w:spacing w:beforeLines="50" w:after="50"/>
        <w:jc w:val="center"/>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投 标 函</w:t>
      </w:r>
    </w:p>
    <w:p>
      <w:pPr>
        <w:snapToGrid w:val="0"/>
        <w:spacing w:line="360" w:lineRule="auto"/>
        <w:rPr>
          <w:rFonts w:ascii="宋体"/>
        </w:rPr>
      </w:pPr>
      <w:r>
        <w:rPr>
          <w:rFonts w:hint="eastAsia" w:ascii="宋体" w:hAnsi="宋体"/>
        </w:rPr>
        <w:t>致：</w:t>
      </w:r>
      <w:r>
        <w:rPr>
          <w:rFonts w:ascii="宋体" w:hAnsi="宋体"/>
          <w:u w:val="single"/>
        </w:rPr>
        <w:t xml:space="preserve"> </w:t>
      </w:r>
      <w:r>
        <w:rPr>
          <w:rFonts w:hint="eastAsia" w:ascii="宋体" w:hAnsi="宋体"/>
          <w:u w:val="single"/>
        </w:rPr>
        <w:t>（采购人）</w:t>
      </w:r>
      <w:r>
        <w:rPr>
          <w:rFonts w:ascii="宋体" w:hAnsi="宋体"/>
          <w:u w:val="single"/>
        </w:rPr>
        <w:t xml:space="preserve">     </w:t>
      </w:r>
      <w:r>
        <w:rPr>
          <w:rFonts w:ascii="宋体" w:hAnsi="宋体"/>
        </w:rPr>
        <w:t>_</w:t>
      </w:r>
      <w:r>
        <w:rPr>
          <w:rFonts w:hint="eastAsia" w:ascii="宋体" w:hAnsi="宋体"/>
        </w:rPr>
        <w:t>：</w:t>
      </w:r>
    </w:p>
    <w:p>
      <w:pPr>
        <w:pStyle w:val="94"/>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sz w:val="21"/>
          <w:szCs w:val="21"/>
          <w:u w:val="single"/>
        </w:rPr>
        <w:t>响应人名称）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，现就有关事项向采购代理机构郑重承诺如下：</w:t>
      </w:r>
    </w:p>
    <w:p>
      <w:pPr>
        <w:pStyle w:val="94"/>
        <w:spacing w:line="360" w:lineRule="auto"/>
        <w:ind w:right="-91" w:firstLine="404" w:firstLineChars="200"/>
        <w:rPr>
          <w:rFonts w:hAnsi="宋体"/>
          <w:sz w:val="21"/>
          <w:szCs w:val="21"/>
        </w:rPr>
      </w:pPr>
      <w:r>
        <w:rPr>
          <w:rFonts w:hint="eastAsia" w:hAnsi="宋体"/>
          <w:sz w:val="21"/>
          <w:szCs w:val="21"/>
        </w:rPr>
        <w:t>一、具备《中华人民共和国政府采购法》第二十二条第一款规定的条件：</w:t>
      </w:r>
    </w:p>
    <w:p>
      <w:pPr>
        <w:pStyle w:val="94"/>
        <w:spacing w:line="360" w:lineRule="auto"/>
        <w:ind w:right="-91" w:firstLine="404" w:firstLineChars="200"/>
        <w:rPr>
          <w:rFonts w:hAnsi="宋体"/>
          <w:sz w:val="21"/>
          <w:szCs w:val="21"/>
        </w:rPr>
      </w:pPr>
      <w:r>
        <w:rPr>
          <w:rFonts w:hint="eastAsia" w:hAnsi="宋体"/>
          <w:sz w:val="21"/>
          <w:szCs w:val="21"/>
        </w:rPr>
        <w:t>1、具有独立承担民事责任的能力；</w:t>
      </w:r>
    </w:p>
    <w:p>
      <w:pPr>
        <w:pStyle w:val="94"/>
        <w:spacing w:line="360" w:lineRule="auto"/>
        <w:ind w:right="-91" w:firstLine="404" w:firstLineChars="200"/>
        <w:rPr>
          <w:rFonts w:hAnsi="宋体"/>
          <w:sz w:val="21"/>
          <w:szCs w:val="21"/>
        </w:rPr>
      </w:pPr>
      <w:r>
        <w:rPr>
          <w:rFonts w:hint="eastAsia" w:hAnsi="宋体"/>
          <w:sz w:val="21"/>
          <w:szCs w:val="21"/>
        </w:rPr>
        <w:t>2、具有良好的商业信誉和健全的财务会计制度；</w:t>
      </w:r>
    </w:p>
    <w:p>
      <w:pPr>
        <w:pStyle w:val="94"/>
        <w:spacing w:line="360" w:lineRule="auto"/>
        <w:ind w:right="-91" w:firstLine="404" w:firstLineChars="200"/>
        <w:rPr>
          <w:rFonts w:hAnsi="宋体"/>
          <w:sz w:val="21"/>
          <w:szCs w:val="21"/>
        </w:rPr>
      </w:pPr>
      <w:r>
        <w:rPr>
          <w:rFonts w:hint="eastAsia" w:hAnsi="宋体"/>
          <w:sz w:val="21"/>
          <w:szCs w:val="21"/>
        </w:rPr>
        <w:t>3、具有履行合同所必需的设备和专业技术能力；</w:t>
      </w:r>
    </w:p>
    <w:p>
      <w:pPr>
        <w:pStyle w:val="94"/>
        <w:spacing w:line="360" w:lineRule="auto"/>
        <w:ind w:right="-91" w:firstLine="404" w:firstLineChars="200"/>
        <w:rPr>
          <w:rFonts w:hAnsi="宋体"/>
          <w:sz w:val="21"/>
          <w:szCs w:val="21"/>
        </w:rPr>
      </w:pPr>
      <w:r>
        <w:rPr>
          <w:rFonts w:hint="eastAsia" w:hAnsi="宋体"/>
          <w:sz w:val="21"/>
          <w:szCs w:val="21"/>
        </w:rPr>
        <w:t>4、有依法缴纳税收和社会保障资金的良好记录；</w:t>
      </w:r>
    </w:p>
    <w:p>
      <w:pPr>
        <w:pStyle w:val="94"/>
        <w:spacing w:line="360" w:lineRule="auto"/>
        <w:ind w:right="-91" w:firstLine="404" w:firstLineChars="200"/>
        <w:rPr>
          <w:rFonts w:hAnsi="宋体"/>
          <w:sz w:val="21"/>
          <w:szCs w:val="21"/>
        </w:rPr>
      </w:pPr>
      <w:r>
        <w:rPr>
          <w:rFonts w:hint="eastAsia" w:hAnsi="宋体"/>
          <w:sz w:val="21"/>
          <w:szCs w:val="21"/>
        </w:rPr>
        <w:t>5、参加政府采购活动前三年内，在经营活动中没有重大违法记录；</w:t>
      </w:r>
    </w:p>
    <w:p>
      <w:pPr>
        <w:pStyle w:val="94"/>
        <w:spacing w:line="360" w:lineRule="auto"/>
        <w:ind w:right="-91" w:firstLine="404" w:firstLineChars="200"/>
        <w:rPr>
          <w:rFonts w:hAnsi="宋体"/>
          <w:sz w:val="21"/>
          <w:szCs w:val="21"/>
        </w:rPr>
      </w:pPr>
      <w:r>
        <w:rPr>
          <w:rFonts w:hint="eastAsia" w:hAnsi="宋体"/>
          <w:sz w:val="21"/>
          <w:szCs w:val="21"/>
        </w:rPr>
        <w:t>6、法律、行政法规规定的其他条件</w:t>
      </w:r>
    </w:p>
    <w:p>
      <w:pPr>
        <w:pStyle w:val="94"/>
        <w:spacing w:line="360" w:lineRule="auto"/>
        <w:ind w:right="-91" w:firstLine="404" w:firstLineChars="200"/>
        <w:rPr>
          <w:rFonts w:hAnsi="宋体"/>
          <w:sz w:val="21"/>
          <w:szCs w:val="21"/>
        </w:rPr>
      </w:pPr>
      <w:r>
        <w:rPr>
          <w:rFonts w:hint="eastAsia" w:hAnsi="宋体"/>
          <w:sz w:val="21"/>
          <w:szCs w:val="21"/>
        </w:rPr>
        <w:t>二、未被“信用中国”（www.creditchina.  gov.cn）、“中国政府采购网”（www.ccgp.gov.cn）列入失信被执行人、重大税收违法案件当事人名单、政府采购严重违法失信行为记录名单。</w:t>
      </w:r>
    </w:p>
    <w:p>
      <w:pPr>
        <w:pStyle w:val="94"/>
        <w:spacing w:line="360" w:lineRule="auto"/>
        <w:ind w:right="-91" w:firstLine="404" w:firstLineChars="200"/>
        <w:rPr>
          <w:rFonts w:hAnsi="宋体"/>
          <w:sz w:val="21"/>
          <w:szCs w:val="21"/>
        </w:rPr>
      </w:pPr>
      <w:r>
        <w:rPr>
          <w:rFonts w:hint="eastAsia" w:hAnsi="宋体"/>
          <w:sz w:val="21"/>
          <w:szCs w:val="21"/>
        </w:rPr>
        <w:t>三、其他</w:t>
      </w:r>
    </w:p>
    <w:p>
      <w:pPr>
        <w:spacing w:line="360" w:lineRule="auto"/>
        <w:ind w:firstLine="420" w:firstLineChars="200"/>
        <w:jc w:val="left"/>
        <w:rPr>
          <w:rFonts w:ascii="宋体"/>
        </w:rPr>
      </w:pPr>
      <w:r>
        <w:rPr>
          <w:rFonts w:ascii="宋体" w:hAnsi="宋体"/>
        </w:rPr>
        <w:t>1</w:t>
      </w:r>
      <w:r>
        <w:rPr>
          <w:rFonts w:hint="eastAsia" w:ascii="宋体" w:hAnsi="宋体"/>
        </w:rPr>
        <w:t>、我方已详细审查了采购文件的全部内容及其相关补充文件（若有），并完全清晰理解全部内容及相关的补充文件（若有），不存在任何误解之处，同意放弃提出异议和质疑的权利。</w:t>
      </w:r>
    </w:p>
    <w:p>
      <w:pPr>
        <w:spacing w:line="360" w:lineRule="auto"/>
        <w:ind w:firstLine="420" w:firstLineChars="200"/>
        <w:jc w:val="left"/>
        <w:rPr>
          <w:rFonts w:ascii="宋体"/>
        </w:rPr>
      </w:pPr>
      <w:r>
        <w:rPr>
          <w:rFonts w:ascii="宋体" w:hAnsi="宋体"/>
        </w:rPr>
        <w:t>2</w:t>
      </w:r>
      <w:r>
        <w:rPr>
          <w:rFonts w:hint="eastAsia" w:ascii="宋体" w:hAnsi="宋体"/>
        </w:rPr>
        <w:t>、我方遵守《中华人民共和国政府采购法》及相关法律法规的规定。同意采购文件中所提到的无效标条款。否则，同意被废除投标资格。</w:t>
      </w:r>
    </w:p>
    <w:p>
      <w:pPr>
        <w:spacing w:line="360" w:lineRule="auto"/>
        <w:ind w:firstLine="420" w:firstLineChars="200"/>
        <w:jc w:val="left"/>
        <w:rPr>
          <w:rFonts w:ascii="宋体"/>
        </w:rPr>
      </w:pPr>
      <w:r>
        <w:rPr>
          <w:rFonts w:ascii="宋体" w:hAnsi="宋体"/>
        </w:rPr>
        <w:t>3</w:t>
      </w:r>
      <w:r>
        <w:rPr>
          <w:rFonts w:hint="eastAsia" w:ascii="宋体" w:hAnsi="宋体"/>
        </w:rPr>
        <w:t>、投标有效期为自开标之日起</w:t>
      </w:r>
      <w:r>
        <w:rPr>
          <w:rFonts w:ascii="宋体" w:hAnsi="宋体"/>
        </w:rPr>
        <w:t>90</w:t>
      </w:r>
      <w:r>
        <w:rPr>
          <w:rFonts w:hint="eastAsia" w:ascii="宋体" w:hAnsi="宋体"/>
        </w:rPr>
        <w:t>天内，如在投标有效期内撤回投标，我方同意被废除投标资格。</w:t>
      </w:r>
    </w:p>
    <w:p>
      <w:pPr>
        <w:spacing w:line="360" w:lineRule="auto"/>
        <w:ind w:firstLine="420" w:firstLineChars="200"/>
        <w:jc w:val="left"/>
        <w:rPr>
          <w:rFonts w:ascii="宋体"/>
        </w:rPr>
      </w:pPr>
      <w:r>
        <w:rPr>
          <w:rFonts w:hint="eastAsia" w:ascii="宋体" w:hAnsi="宋体"/>
        </w:rPr>
        <w:t>4、我方承诺所提供的一切投标文件经已认真严格审核，内容均为全面真实、准确有效且毫无保留，绝无任何遗漏、虚假、伪造和夸大的成份，若出现违背诚实信用和无如实告知之处，同意被废除投标资格和相关的处罚。</w:t>
      </w:r>
    </w:p>
    <w:p>
      <w:pPr>
        <w:pStyle w:val="12"/>
        <w:jc w:val="right"/>
        <w:rPr>
          <w:rFonts w:ascii="宋体"/>
          <w:szCs w:val="21"/>
        </w:rPr>
      </w:pPr>
    </w:p>
    <w:p>
      <w:pPr>
        <w:pStyle w:val="12"/>
        <w:jc w:val="right"/>
        <w:rPr>
          <w:rFonts w:ascii="宋体"/>
          <w:szCs w:val="21"/>
        </w:rPr>
      </w:pPr>
    </w:p>
    <w:p>
      <w:pPr>
        <w:jc w:val="right"/>
        <w:rPr>
          <w:rFonts w:ascii="宋体" w:hAnsi="宋体" w:cs="宋体"/>
          <w:color w:val="000000"/>
        </w:rPr>
      </w:pPr>
      <w:r>
        <w:rPr>
          <w:rFonts w:hint="eastAsia" w:ascii="宋体" w:hAnsi="宋体"/>
        </w:rPr>
        <w:t>投标人名称</w:t>
      </w:r>
      <w:r>
        <w:rPr>
          <w:rFonts w:ascii="宋体" w:hAnsi="宋体"/>
        </w:rPr>
        <w:t>(</w:t>
      </w:r>
      <w:r>
        <w:rPr>
          <w:rFonts w:hint="eastAsia" w:ascii="宋体" w:hAnsi="宋体"/>
        </w:rPr>
        <w:t>公章</w:t>
      </w:r>
      <w:r>
        <w:rPr>
          <w:rFonts w:ascii="宋体" w:hAnsi="宋体"/>
        </w:rPr>
        <w:t>):</w:t>
      </w:r>
      <w:r>
        <w:rPr>
          <w:rFonts w:ascii="宋体" w:hAnsi="宋体"/>
          <w:u w:val="single"/>
        </w:rPr>
        <w:t xml:space="preserve">     </w:t>
      </w:r>
    </w:p>
    <w:p>
      <w:pPr>
        <w:jc w:val="right"/>
        <w:rPr>
          <w:rFonts w:hAnsi="宋体"/>
        </w:rPr>
      </w:pPr>
      <w:r>
        <w:rPr>
          <w:rFonts w:hint="eastAsia" w:hAnsi="宋体"/>
        </w:rPr>
        <w:t>日期</w:t>
      </w:r>
      <w:r>
        <w:rPr>
          <w:rFonts w:hAnsi="宋体"/>
        </w:rPr>
        <w:t>:_____</w:t>
      </w:r>
      <w:r>
        <w:rPr>
          <w:rFonts w:hint="eastAsia" w:hAnsi="宋体"/>
        </w:rPr>
        <w:t>年</w:t>
      </w:r>
      <w:r>
        <w:rPr>
          <w:rFonts w:hAnsi="宋体"/>
        </w:rPr>
        <w:t>___</w:t>
      </w:r>
      <w:r>
        <w:rPr>
          <w:rFonts w:hint="eastAsia" w:hAnsi="宋体"/>
        </w:rPr>
        <w:t>月</w:t>
      </w:r>
      <w:r>
        <w:rPr>
          <w:rFonts w:hAnsi="宋体"/>
        </w:rPr>
        <w:t>___</w:t>
      </w:r>
      <w:r>
        <w:rPr>
          <w:rFonts w:hint="eastAsia" w:hAnsi="宋体"/>
        </w:rPr>
        <w:t>日</w:t>
      </w:r>
    </w:p>
    <w:p>
      <w:pPr>
        <w:snapToGrid w:val="0"/>
        <w:spacing w:before="50" w:after="50"/>
        <w:rPr>
          <w:rFonts w:ascii="宋体"/>
          <w:b/>
          <w:sz w:val="24"/>
        </w:rPr>
      </w:pPr>
    </w:p>
    <w:p>
      <w:pPr>
        <w:snapToGrid w:val="0"/>
        <w:spacing w:before="100" w:beforeAutospacing="1" w:after="100" w:afterAutospacing="1" w:line="360" w:lineRule="exact"/>
        <w:jc w:val="left"/>
        <w:rPr>
          <w:rFonts w:hint="default" w:ascii="Times New Roman" w:hAnsi="Times New Roman" w:cs="Times New Roman"/>
          <w:b/>
          <w:bCs/>
          <w:color w:val="000000" w:themeColor="text1"/>
          <w:highlight w:val="none"/>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七</w:t>
      </w:r>
      <w:r>
        <w:rPr>
          <w:rFonts w:hint="default" w:ascii="Times New Roman" w:hAnsi="Times New Roman" w:cs="Times New Roman"/>
          <w:b/>
          <w:bCs/>
          <w:color w:val="000000" w:themeColor="text1"/>
          <w:highlight w:val="none"/>
          <w14:textFill>
            <w14:solidFill>
              <w14:schemeClr w14:val="tx1"/>
            </w14:solidFill>
          </w14:textFill>
        </w:rPr>
        <w:t xml:space="preserve">、投标人基本情况表 </w:t>
      </w:r>
    </w:p>
    <w:p>
      <w:pPr>
        <w:snapToGrid w:val="0"/>
        <w:spacing w:before="50" w:after="5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投标人基本情况表</w:t>
      </w:r>
    </w:p>
    <w:p>
      <w:pPr>
        <w:snapToGrid w:val="0"/>
        <w:spacing w:before="50" w:after="50"/>
        <w:ind w:firstLine="630" w:firstLineChars="300"/>
        <w:rPr>
          <w:rFonts w:hint="default" w:ascii="Times New Roman" w:hAnsi="Times New Roman" w:cs="Times New Roman"/>
          <w:color w:val="000000" w:themeColor="text1"/>
          <w:highlight w:val="none"/>
          <w14:textFill>
            <w14:solidFill>
              <w14:schemeClr w14:val="tx1"/>
            </w14:solidFill>
          </w14:textFill>
        </w:rPr>
      </w:pPr>
    </w:p>
    <w:p>
      <w:pPr>
        <w:snapToGrid w:val="0"/>
        <w:spacing w:before="50" w:after="50"/>
        <w:ind w:firstLine="630" w:firstLineChars="3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招标编号：</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项目名称：</w:t>
      </w:r>
      <w:r>
        <w:rPr>
          <w:rFonts w:hint="default" w:ascii="Times New Roman" w:hAnsi="Times New Roman" w:cs="Times New Roman"/>
          <w:color w:val="000000" w:themeColor="text1"/>
          <w:highlight w:val="none"/>
          <w:u w:val="single"/>
          <w14:textFill>
            <w14:solidFill>
              <w14:schemeClr w14:val="tx1"/>
            </w14:solidFill>
          </w14:textFill>
        </w:rPr>
        <w:t xml:space="preserve">                    </w:t>
      </w:r>
    </w:p>
    <w:tbl>
      <w:tblPr>
        <w:tblStyle w:val="27"/>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申请人名称</w:t>
            </w:r>
          </w:p>
        </w:tc>
        <w:tc>
          <w:tcPr>
            <w:tcW w:w="6867" w:type="dxa"/>
            <w:gridSpan w:val="10"/>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注册地址</w:t>
            </w:r>
          </w:p>
        </w:tc>
        <w:tc>
          <w:tcPr>
            <w:tcW w:w="3430" w:type="dxa"/>
            <w:gridSpan w:val="4"/>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1507" w:type="dxa"/>
            <w:gridSpan w:val="3"/>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邮政编码</w:t>
            </w:r>
          </w:p>
        </w:tc>
        <w:tc>
          <w:tcPr>
            <w:tcW w:w="1930" w:type="dxa"/>
            <w:gridSpan w:val="3"/>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联系方式</w:t>
            </w:r>
          </w:p>
        </w:tc>
        <w:tc>
          <w:tcPr>
            <w:tcW w:w="1206" w:type="dxa"/>
            <w:gridSpan w:val="2"/>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联系人</w:t>
            </w:r>
          </w:p>
        </w:tc>
        <w:tc>
          <w:tcPr>
            <w:tcW w:w="2224" w:type="dxa"/>
            <w:gridSpan w:val="2"/>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1507" w:type="dxa"/>
            <w:gridSpan w:val="3"/>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电话</w:t>
            </w:r>
          </w:p>
        </w:tc>
        <w:tc>
          <w:tcPr>
            <w:tcW w:w="1930" w:type="dxa"/>
            <w:gridSpan w:val="3"/>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1206" w:type="dxa"/>
            <w:gridSpan w:val="2"/>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传真</w:t>
            </w:r>
          </w:p>
        </w:tc>
        <w:tc>
          <w:tcPr>
            <w:tcW w:w="2224" w:type="dxa"/>
            <w:gridSpan w:val="2"/>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1507" w:type="dxa"/>
            <w:gridSpan w:val="3"/>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网址</w:t>
            </w:r>
          </w:p>
        </w:tc>
        <w:tc>
          <w:tcPr>
            <w:tcW w:w="1930" w:type="dxa"/>
            <w:gridSpan w:val="3"/>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组织结构</w:t>
            </w:r>
          </w:p>
        </w:tc>
        <w:tc>
          <w:tcPr>
            <w:tcW w:w="6867" w:type="dxa"/>
            <w:gridSpan w:val="10"/>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法定代表人</w:t>
            </w:r>
          </w:p>
        </w:tc>
        <w:tc>
          <w:tcPr>
            <w:tcW w:w="916"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姓名</w:t>
            </w:r>
          </w:p>
        </w:tc>
        <w:tc>
          <w:tcPr>
            <w:tcW w:w="1562" w:type="dxa"/>
            <w:gridSpan w:val="2"/>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1279" w:type="dxa"/>
            <w:gridSpan w:val="2"/>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技术职称</w:t>
            </w:r>
          </w:p>
        </w:tc>
        <w:tc>
          <w:tcPr>
            <w:tcW w:w="1010"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768" w:type="dxa"/>
            <w:gridSpan w:val="3"/>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电话</w:t>
            </w:r>
          </w:p>
        </w:tc>
        <w:tc>
          <w:tcPr>
            <w:tcW w:w="1332"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技术负责人</w:t>
            </w:r>
          </w:p>
        </w:tc>
        <w:tc>
          <w:tcPr>
            <w:tcW w:w="916"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姓名</w:t>
            </w:r>
          </w:p>
        </w:tc>
        <w:tc>
          <w:tcPr>
            <w:tcW w:w="1562" w:type="dxa"/>
            <w:gridSpan w:val="2"/>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1279" w:type="dxa"/>
            <w:gridSpan w:val="2"/>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技术职称</w:t>
            </w:r>
          </w:p>
        </w:tc>
        <w:tc>
          <w:tcPr>
            <w:tcW w:w="1010"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768" w:type="dxa"/>
            <w:gridSpan w:val="3"/>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电话</w:t>
            </w:r>
          </w:p>
        </w:tc>
        <w:tc>
          <w:tcPr>
            <w:tcW w:w="1332"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成立时间</w:t>
            </w:r>
          </w:p>
        </w:tc>
        <w:tc>
          <w:tcPr>
            <w:tcW w:w="2478" w:type="dxa"/>
            <w:gridSpan w:val="3"/>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4389" w:type="dxa"/>
            <w:gridSpan w:val="7"/>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企业资质等级</w:t>
            </w:r>
          </w:p>
        </w:tc>
        <w:tc>
          <w:tcPr>
            <w:tcW w:w="2478" w:type="dxa"/>
            <w:gridSpan w:val="3"/>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952" w:type="dxa"/>
            <w:vMerge w:val="restart"/>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其中技术人员：   人</w:t>
            </w:r>
          </w:p>
        </w:tc>
        <w:tc>
          <w:tcPr>
            <w:tcW w:w="1838" w:type="dxa"/>
            <w:gridSpan w:val="4"/>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高级职称人员</w:t>
            </w:r>
          </w:p>
        </w:tc>
        <w:tc>
          <w:tcPr>
            <w:tcW w:w="1599" w:type="dxa"/>
            <w:gridSpan w:val="2"/>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营业执照号</w:t>
            </w:r>
          </w:p>
        </w:tc>
        <w:tc>
          <w:tcPr>
            <w:tcW w:w="2478" w:type="dxa"/>
            <w:gridSpan w:val="3"/>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952" w:type="dxa"/>
            <w:vMerge w:val="continue"/>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1838" w:type="dxa"/>
            <w:gridSpan w:val="4"/>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中级职称人员</w:t>
            </w:r>
          </w:p>
        </w:tc>
        <w:tc>
          <w:tcPr>
            <w:tcW w:w="1599" w:type="dxa"/>
            <w:gridSpan w:val="2"/>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注册资金</w:t>
            </w:r>
          </w:p>
        </w:tc>
        <w:tc>
          <w:tcPr>
            <w:tcW w:w="2478" w:type="dxa"/>
            <w:gridSpan w:val="3"/>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952" w:type="dxa"/>
            <w:vMerge w:val="continue"/>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1838" w:type="dxa"/>
            <w:gridSpan w:val="4"/>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初级职称人员</w:t>
            </w:r>
          </w:p>
        </w:tc>
        <w:tc>
          <w:tcPr>
            <w:tcW w:w="1599" w:type="dxa"/>
            <w:gridSpan w:val="2"/>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开户银行</w:t>
            </w:r>
          </w:p>
        </w:tc>
        <w:tc>
          <w:tcPr>
            <w:tcW w:w="2478" w:type="dxa"/>
            <w:gridSpan w:val="3"/>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952" w:type="dxa"/>
            <w:vMerge w:val="continue"/>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1838" w:type="dxa"/>
            <w:gridSpan w:val="4"/>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其他技术人员</w:t>
            </w:r>
          </w:p>
        </w:tc>
        <w:tc>
          <w:tcPr>
            <w:tcW w:w="1599" w:type="dxa"/>
            <w:gridSpan w:val="2"/>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账号</w:t>
            </w:r>
          </w:p>
        </w:tc>
        <w:tc>
          <w:tcPr>
            <w:tcW w:w="2478" w:type="dxa"/>
            <w:gridSpan w:val="3"/>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952" w:type="dxa"/>
            <w:vMerge w:val="continue"/>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1838" w:type="dxa"/>
            <w:gridSpan w:val="4"/>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c>
          <w:tcPr>
            <w:tcW w:w="1599" w:type="dxa"/>
            <w:gridSpan w:val="2"/>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经营范围</w:t>
            </w:r>
          </w:p>
        </w:tc>
        <w:tc>
          <w:tcPr>
            <w:tcW w:w="6867" w:type="dxa"/>
            <w:gridSpan w:val="10"/>
            <w:vAlign w:val="center"/>
          </w:tcPr>
          <w:p>
            <w:pP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备注</w:t>
            </w:r>
          </w:p>
        </w:tc>
        <w:tc>
          <w:tcPr>
            <w:tcW w:w="6867" w:type="dxa"/>
            <w:gridSpan w:val="10"/>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r>
    </w:tbl>
    <w:p>
      <w:pPr>
        <w:snapToGrid w:val="0"/>
        <w:spacing w:before="50" w:after="159" w:afterLines="50"/>
        <w:jc w:val="left"/>
        <w:rPr>
          <w:rFonts w:hint="default" w:ascii="Times New Roman" w:hAnsi="Times New Roman" w:cs="Times New Roman"/>
          <w:color w:val="000000" w:themeColor="text1"/>
          <w:highlight w:val="none"/>
          <w14:textFill>
            <w14:solidFill>
              <w14:schemeClr w14:val="tx1"/>
            </w14:solidFill>
          </w14:textFill>
        </w:rPr>
      </w:pPr>
    </w:p>
    <w:p>
      <w:pPr>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br w:type="page"/>
      </w:r>
    </w:p>
    <w:p>
      <w:pPr>
        <w:pStyle w:val="12"/>
        <w:rPr>
          <w:rFonts w:hint="default"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b/>
          <w:bCs/>
          <w:color w:val="000000" w:themeColor="text1"/>
          <w:kern w:val="2"/>
          <w:sz w:val="21"/>
          <w:szCs w:val="21"/>
          <w:highlight w:val="none"/>
          <w:lang w:val="en-US" w:eastAsia="zh-CN"/>
          <w14:textFill>
            <w14:solidFill>
              <w14:schemeClr w14:val="tx1"/>
            </w14:solidFill>
          </w14:textFill>
        </w:rPr>
        <w:t>八</w:t>
      </w:r>
      <w:r>
        <w:rPr>
          <w:rFonts w:hint="default" w:ascii="Times New Roman" w:hAnsi="Times New Roman" w:cs="Times New Roman"/>
          <w:b/>
          <w:bCs/>
          <w:color w:val="000000" w:themeColor="text1"/>
          <w:kern w:val="2"/>
          <w:sz w:val="21"/>
          <w:szCs w:val="21"/>
          <w:highlight w:val="none"/>
          <w14:textFill>
            <w14:solidFill>
              <w14:schemeClr w14:val="tx1"/>
            </w14:solidFill>
          </w14:textFill>
        </w:rPr>
        <w:t>、供应商自评表</w:t>
      </w:r>
    </w:p>
    <w:p>
      <w:pPr>
        <w:pStyle w:val="12"/>
        <w:jc w:val="center"/>
        <w:rPr>
          <w:rFonts w:hint="default" w:ascii="Times New Roman" w:hAnsi="Times New Roman" w:cs="Times New Roman"/>
          <w:b/>
          <w:bCs/>
          <w:color w:val="000000" w:themeColor="text1"/>
          <w:kern w:val="2"/>
          <w:sz w:val="21"/>
          <w:szCs w:val="21"/>
          <w:highlight w:val="none"/>
          <w14:textFill>
            <w14:solidFill>
              <w14:schemeClr w14:val="tx1"/>
            </w14:solidFill>
          </w14:textFill>
        </w:rPr>
      </w:pPr>
      <w:r>
        <w:rPr>
          <w:rFonts w:hint="default" w:ascii="Times New Roman" w:hAnsi="Times New Roman" w:cs="Times New Roman"/>
          <w:b/>
          <w:bCs/>
          <w:color w:val="000000" w:themeColor="text1"/>
          <w:kern w:val="2"/>
          <w:sz w:val="21"/>
          <w:szCs w:val="21"/>
          <w:highlight w:val="none"/>
          <w14:textFill>
            <w14:solidFill>
              <w14:schemeClr w14:val="tx1"/>
            </w14:solidFill>
          </w14:textFill>
        </w:rPr>
        <w:t>供应商自评表</w:t>
      </w:r>
    </w:p>
    <w:tbl>
      <w:tblPr>
        <w:tblStyle w:val="27"/>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5012"/>
        <w:gridCol w:w="795"/>
        <w:gridCol w:w="900"/>
      </w:tblGrid>
      <w:tr>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序号</w:t>
            </w:r>
          </w:p>
        </w:tc>
        <w:tc>
          <w:tcPr>
            <w:tcW w:w="1609" w:type="dxa"/>
            <w:tcBorders>
              <w:top w:val="single" w:color="auto" w:sz="8" w:space="0"/>
              <w:left w:val="nil"/>
              <w:bottom w:val="nil"/>
              <w:right w:val="single" w:color="auto" w:sz="8"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评分</w:t>
            </w:r>
          </w:p>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内容</w:t>
            </w:r>
          </w:p>
        </w:tc>
        <w:tc>
          <w:tcPr>
            <w:tcW w:w="5012" w:type="dxa"/>
            <w:tcBorders>
              <w:top w:val="single" w:color="auto" w:sz="8" w:space="0"/>
              <w:left w:val="nil"/>
              <w:bottom w:val="nil"/>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投标文件页码</w:t>
            </w:r>
          </w:p>
        </w:tc>
      </w:tr>
      <w:tr>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609" w:type="dxa"/>
            <w:vMerge w:val="continue"/>
            <w:tcBorders>
              <w:left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技术分</w:t>
            </w:r>
          </w:p>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hint="default" w:ascii="Times New Roman" w:hAnsi="Times New Roman" w:cs="Times New Roman"/>
                <w:color w:val="000000" w:themeColor="text1"/>
                <w:szCs w:val="21"/>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609" w:type="dxa"/>
            <w:vMerge w:val="continue"/>
            <w:tcBorders>
              <w:left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hint="default" w:ascii="Times New Roman" w:hAnsi="Times New Roman" w:cs="Times New Roman"/>
                <w:color w:val="000000" w:themeColor="text1"/>
                <w:szCs w:val="21"/>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609" w:type="dxa"/>
            <w:vMerge w:val="continue"/>
            <w:tcBorders>
              <w:left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hint="default" w:ascii="Times New Roman" w:hAnsi="Times New Roman" w:cs="Times New Roman"/>
                <w:color w:val="000000" w:themeColor="text1"/>
                <w:szCs w:val="21"/>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609" w:type="dxa"/>
            <w:vMerge w:val="continue"/>
            <w:tcBorders>
              <w:left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hint="default" w:ascii="Times New Roman" w:hAnsi="Times New Roman" w:cs="Times New Roman"/>
                <w:color w:val="000000" w:themeColor="text1"/>
                <w:szCs w:val="21"/>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609" w:type="dxa"/>
            <w:vMerge w:val="continue"/>
            <w:tcBorders>
              <w:left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hint="default" w:ascii="Times New Roman" w:hAnsi="Times New Roman" w:cs="Times New Roman"/>
                <w:color w:val="000000" w:themeColor="text1"/>
                <w:szCs w:val="21"/>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609" w:type="dxa"/>
            <w:vMerge w:val="continue"/>
            <w:tcBorders>
              <w:left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hint="default" w:ascii="Times New Roman" w:hAnsi="Times New Roman" w:cs="Times New Roman"/>
                <w:color w:val="000000" w:themeColor="text1"/>
                <w:szCs w:val="21"/>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609" w:type="dxa"/>
            <w:vMerge w:val="continue"/>
            <w:tcBorders>
              <w:left w:val="single" w:color="auto" w:sz="4" w:space="0"/>
              <w:right w:val="single" w:color="auto" w:sz="4" w:space="0"/>
            </w:tcBorders>
            <w:vAlign w:val="center"/>
          </w:tcPr>
          <w:p>
            <w:pPr>
              <w:spacing w:line="300" w:lineRule="exact"/>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hint="default" w:ascii="Times New Roman" w:hAnsi="Times New Roman" w:cs="Times New Roman"/>
                <w:color w:val="000000" w:themeColor="text1"/>
                <w:szCs w:val="21"/>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1609"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hint="default" w:ascii="Times New Roman" w:hAnsi="Times New Roman" w:cs="Times New Roman"/>
                <w:color w:val="000000" w:themeColor="text1"/>
                <w:szCs w:val="21"/>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themeColor="text1"/>
                <w:kern w:val="0"/>
                <w:sz w:val="18"/>
                <w:szCs w:val="18"/>
                <w:highlight w:val="none"/>
                <w14:textFill>
                  <w14:solidFill>
                    <w14:schemeClr w14:val="tx1"/>
                  </w14:solidFill>
                </w14:textFill>
              </w:rPr>
            </w:pPr>
          </w:p>
        </w:tc>
      </w:tr>
    </w:tbl>
    <w:p>
      <w:pPr>
        <w:pStyle w:val="12"/>
        <w:rPr>
          <w:rFonts w:hint="default" w:ascii="Times New Roman" w:hAnsi="Times New Roman" w:cs="Times New Roman"/>
          <w:b/>
          <w:bCs/>
          <w:color w:val="000000" w:themeColor="text1"/>
          <w:sz w:val="21"/>
          <w:szCs w:val="21"/>
          <w:highlight w:val="none"/>
          <w:lang w:val="zh-CN"/>
          <w14:textFill>
            <w14:solidFill>
              <w14:schemeClr w14:val="tx1"/>
            </w14:solidFill>
          </w14:textFill>
        </w:rPr>
      </w:pPr>
    </w:p>
    <w:p>
      <w:pPr>
        <w:spacing w:line="360" w:lineRule="auto"/>
        <w:rPr>
          <w:rFonts w:hint="default" w:ascii="Times New Roman" w:hAnsi="Times New Roman" w:cs="Times New Roman"/>
          <w:b/>
          <w:color w:val="000000" w:themeColor="text1"/>
          <w:sz w:val="22"/>
          <w:szCs w:val="22"/>
          <w:highlight w:val="none"/>
          <w14:textFill>
            <w14:solidFill>
              <w14:schemeClr w14:val="tx1"/>
            </w14:solidFill>
          </w14:textFill>
        </w:rPr>
      </w:pPr>
    </w:p>
    <w:p>
      <w:pPr>
        <w:spacing w:line="360" w:lineRule="auto"/>
        <w:rPr>
          <w:rFonts w:hint="default" w:ascii="Times New Roman" w:hAnsi="Times New Roman" w:cs="Times New Roman"/>
          <w:b/>
          <w:color w:val="000000" w:themeColor="text1"/>
          <w:sz w:val="22"/>
          <w:szCs w:val="22"/>
          <w:highlight w:val="none"/>
          <w14:textFill>
            <w14:solidFill>
              <w14:schemeClr w14:val="tx1"/>
            </w14:solidFill>
          </w14:textFill>
        </w:rPr>
      </w:pPr>
      <w:r>
        <w:rPr>
          <w:rFonts w:hint="default" w:ascii="Times New Roman" w:hAnsi="Times New Roman" w:cs="Times New Roman"/>
          <w:b/>
          <w:color w:val="000000" w:themeColor="text1"/>
          <w:sz w:val="22"/>
          <w:szCs w:val="22"/>
          <w:highlight w:val="none"/>
          <w14:textFill>
            <w14:solidFill>
              <w14:schemeClr w14:val="tx1"/>
            </w14:solidFill>
          </w14:textFill>
        </w:rPr>
        <w:t>注：根据评标办法制作本表格，评分标准为客观分的投标人需填写得分情况以及证明材料所在页码。为主观分的填写“专家自主评分”。</w:t>
      </w:r>
    </w:p>
    <w:p>
      <w:pPr>
        <w:pStyle w:val="12"/>
        <w:rPr>
          <w:rFonts w:hint="default" w:ascii="Times New Roman" w:hAnsi="Times New Roman" w:cs="Times New Roman"/>
          <w:b/>
          <w:bCs/>
          <w:color w:val="000000" w:themeColor="text1"/>
          <w:kern w:val="2"/>
          <w:sz w:val="2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br w:type="page"/>
      </w:r>
      <w:r>
        <w:rPr>
          <w:rFonts w:hint="eastAsia" w:ascii="Times New Roman" w:hAnsi="Times New Roman" w:cs="Times New Roman"/>
          <w:b/>
          <w:bCs/>
          <w:color w:val="000000" w:themeColor="text1"/>
          <w:kern w:val="2"/>
          <w:sz w:val="21"/>
          <w:szCs w:val="21"/>
          <w:highlight w:val="none"/>
          <w:lang w:val="en-US" w:eastAsia="zh-CN"/>
          <w14:textFill>
            <w14:solidFill>
              <w14:schemeClr w14:val="tx1"/>
            </w14:solidFill>
          </w14:textFill>
        </w:rPr>
        <w:t>九</w:t>
      </w:r>
      <w:r>
        <w:rPr>
          <w:rFonts w:hint="default" w:ascii="Times New Roman" w:hAnsi="Times New Roman" w:cs="Times New Roman"/>
          <w:b/>
          <w:bCs/>
          <w:color w:val="000000" w:themeColor="text1"/>
          <w:kern w:val="2"/>
          <w:sz w:val="21"/>
          <w:szCs w:val="21"/>
          <w:highlight w:val="none"/>
          <w14:textFill>
            <w14:solidFill>
              <w14:schemeClr w14:val="tx1"/>
            </w14:solidFill>
          </w14:textFill>
        </w:rPr>
        <w:t>、项目组成人员情况表</w:t>
      </w:r>
    </w:p>
    <w:p>
      <w:pPr>
        <w:pStyle w:val="12"/>
        <w:jc w:val="center"/>
        <w:rPr>
          <w:rFonts w:hint="default" w:ascii="Times New Roman" w:hAnsi="Times New Roman" w:cs="Times New Roman"/>
          <w:b/>
          <w:bCs/>
          <w:color w:val="000000" w:themeColor="text1"/>
          <w:kern w:val="2"/>
          <w:sz w:val="21"/>
          <w:szCs w:val="21"/>
          <w:highlight w:val="none"/>
          <w14:textFill>
            <w14:solidFill>
              <w14:schemeClr w14:val="tx1"/>
            </w14:solidFill>
          </w14:textFill>
        </w:rPr>
      </w:pPr>
      <w:r>
        <w:rPr>
          <w:rFonts w:hint="default" w:ascii="Times New Roman" w:hAnsi="Times New Roman" w:cs="Times New Roman"/>
          <w:b/>
          <w:bCs/>
          <w:color w:val="000000" w:themeColor="text1"/>
          <w:kern w:val="2"/>
          <w:sz w:val="21"/>
          <w:szCs w:val="21"/>
          <w:highlight w:val="none"/>
          <w14:textFill>
            <w14:solidFill>
              <w14:schemeClr w14:val="tx1"/>
            </w14:solidFill>
          </w14:textFill>
        </w:rPr>
        <w:t xml:space="preserve">         项目组成人员情况表</w:t>
      </w:r>
    </w:p>
    <w:tbl>
      <w:tblPr>
        <w:tblStyle w:val="27"/>
        <w:tblW w:w="9340" w:type="dxa"/>
        <w:tblInd w:w="108" w:type="dxa"/>
        <w:tblLayout w:type="fixed"/>
        <w:tblCellMar>
          <w:top w:w="0" w:type="dxa"/>
          <w:left w:w="108" w:type="dxa"/>
          <w:bottom w:w="0" w:type="dxa"/>
          <w:right w:w="108" w:type="dxa"/>
        </w:tblCellMar>
      </w:tblPr>
      <w:tblGrid>
        <w:gridCol w:w="839"/>
        <w:gridCol w:w="785"/>
        <w:gridCol w:w="787"/>
        <w:gridCol w:w="838"/>
        <w:gridCol w:w="839"/>
        <w:gridCol w:w="839"/>
        <w:gridCol w:w="943"/>
        <w:gridCol w:w="1064"/>
        <w:gridCol w:w="1132"/>
        <w:gridCol w:w="1274"/>
      </w:tblGrid>
      <w:tr>
        <w:tblPrEx>
          <w:tblCellMar>
            <w:top w:w="0" w:type="dxa"/>
            <w:left w:w="108" w:type="dxa"/>
            <w:bottom w:w="0" w:type="dxa"/>
            <w:right w:w="108" w:type="dxa"/>
          </w:tblCellMar>
        </w:tblPrEx>
        <w:trPr>
          <w:trHeight w:val="95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zh-CN"/>
                <w14:textFill>
                  <w14:solidFill>
                    <w14:schemeClr w14:val="tx1"/>
                  </w14:solidFill>
                </w14:textFill>
              </w:rPr>
              <w:t>序号</w:t>
            </w: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zh-CN"/>
                <w14:textFill>
                  <w14:solidFill>
                    <w14:schemeClr w14:val="tx1"/>
                  </w14:solidFill>
                </w14:textFill>
              </w:rPr>
              <w:t>姓名</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zh-CN"/>
                <w14:textFill>
                  <w14:solidFill>
                    <w14:schemeClr w14:val="tx1"/>
                  </w14:solidFill>
                </w14:textFill>
              </w:rPr>
              <w:t>性别</w:t>
            </w: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zh-CN"/>
                <w14:textFill>
                  <w14:solidFill>
                    <w14:schemeClr w14:val="tx1"/>
                  </w14:solidFill>
                </w14:textFill>
              </w:rPr>
              <w:t>年龄</w:t>
            </w: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zh-CN"/>
                <w14:textFill>
                  <w14:solidFill>
                    <w14:schemeClr w14:val="tx1"/>
                  </w14:solidFill>
                </w14:textFill>
              </w:rPr>
              <w:t>学历</w:t>
            </w: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zh-CN"/>
                <w14:textFill>
                  <w14:solidFill>
                    <w14:schemeClr w14:val="tx1"/>
                  </w14:solidFill>
                </w14:textFill>
              </w:rPr>
              <w:t>专业</w:t>
            </w: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zh-CN"/>
                <w14:textFill>
                  <w14:solidFill>
                    <w14:schemeClr w14:val="tx1"/>
                  </w14:solidFill>
                </w14:textFill>
              </w:rPr>
              <w:t>职称</w:t>
            </w: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zh-CN"/>
                <w14:textFill>
                  <w14:solidFill>
                    <w14:schemeClr w14:val="tx1"/>
                  </w14:solidFill>
                </w14:textFill>
              </w:rPr>
              <w:t>本项目中的职责</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zh-CN"/>
                <w14:textFill>
                  <w14:solidFill>
                    <w14:schemeClr w14:val="tx1"/>
                  </w14:solidFill>
                </w14:textFill>
              </w:rPr>
              <w:t>项目经历</w:t>
            </w: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zh-CN"/>
                <w14:textFill>
                  <w14:solidFill>
                    <w14:schemeClr w14:val="tx1"/>
                  </w14:solidFill>
                </w14:textFill>
              </w:rPr>
              <w:t>参与本项目的到位情况</w:t>
            </w:r>
          </w:p>
        </w:tc>
      </w:tr>
      <w:tr>
        <w:tblPrEx>
          <w:tblCellMar>
            <w:top w:w="0" w:type="dxa"/>
            <w:left w:w="108" w:type="dxa"/>
            <w:bottom w:w="0" w:type="dxa"/>
            <w:right w:w="108" w:type="dxa"/>
          </w:tblCellMar>
        </w:tblPrEx>
        <w:trPr>
          <w:trHeight w:val="826"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项目负责人</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技术负责人</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hint="default" w:ascii="Times New Roman" w:hAnsi="Times New Roman" w:cs="Times New Roman"/>
                <w:color w:val="000000" w:themeColor="text1"/>
                <w:highlight w:val="none"/>
                <w14:textFill>
                  <w14:solidFill>
                    <w14:schemeClr w14:val="tx1"/>
                  </w14:solidFill>
                </w14:textFill>
              </w:rPr>
            </w:pPr>
          </w:p>
        </w:tc>
      </w:tr>
    </w:tbl>
    <w:p>
      <w:pPr>
        <w:ind w:firstLine="210" w:firstLineChars="1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注：1、请附相关证明材料，如职称、资格证书等（加盖公章）。</w:t>
      </w:r>
    </w:p>
    <w:p>
      <w:pPr>
        <w:pStyle w:val="12"/>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      2、列入本表人员如要更换，需经采购单位同意；擅自更换或不到位属违约行为。</w:t>
      </w:r>
    </w:p>
    <w:p>
      <w:pPr>
        <w:pStyle w:val="12"/>
        <w:ind w:firstLine="630" w:firstLineChars="3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3、项目负责人及技术负责人提供近三个月</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内</w:t>
      </w:r>
      <w:r>
        <w:rPr>
          <w:rFonts w:hint="default" w:ascii="Times New Roman" w:hAnsi="Times New Roman" w:cs="Times New Roman"/>
          <w:color w:val="000000" w:themeColor="text1"/>
          <w:sz w:val="21"/>
          <w:szCs w:val="21"/>
          <w:highlight w:val="none"/>
          <w14:textFill>
            <w14:solidFill>
              <w14:schemeClr w14:val="tx1"/>
            </w14:solidFill>
          </w14:textFill>
        </w:rPr>
        <w:t>任意一个月社保证明材料。</w:t>
      </w: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投标人（盖章）：</w:t>
      </w: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 xml:space="preserve">                   </w:t>
      </w: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日期：    年   月   日</w:t>
      </w:r>
    </w:p>
    <w:p>
      <w:pPr>
        <w:pStyle w:val="14"/>
        <w:spacing w:line="360" w:lineRule="auto"/>
        <w:ind w:firstLine="0"/>
        <w:jc w:val="left"/>
        <w:rPr>
          <w:rFonts w:hint="default" w:ascii="Times New Roman" w:hAnsi="Times New Roman" w:cs="Times New Roman"/>
          <w:b/>
          <w:color w:val="000000" w:themeColor="text1"/>
          <w:spacing w:val="0"/>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br w:type="page"/>
      </w:r>
      <w:r>
        <w:rPr>
          <w:rFonts w:hint="default" w:ascii="Times New Roman" w:hAnsi="Times New Roman" w:cs="Times New Roman"/>
          <w:b/>
          <w:bCs/>
          <w:color w:val="000000" w:themeColor="text1"/>
          <w:sz w:val="21"/>
          <w:szCs w:val="21"/>
          <w:highlight w:val="none"/>
          <w14:textFill>
            <w14:solidFill>
              <w14:schemeClr w14:val="tx1"/>
            </w14:solidFill>
          </w14:textFill>
        </w:rPr>
        <w:t>十、</w:t>
      </w:r>
      <w:r>
        <w:rPr>
          <w:rFonts w:hint="default" w:ascii="Times New Roman" w:hAnsi="Times New Roman" w:cs="Times New Roman"/>
          <w:b/>
          <w:color w:val="000000" w:themeColor="text1"/>
          <w:spacing w:val="0"/>
          <w:sz w:val="21"/>
          <w:szCs w:val="21"/>
          <w:highlight w:val="none"/>
          <w14:textFill>
            <w14:solidFill>
              <w14:schemeClr w14:val="tx1"/>
            </w14:solidFill>
          </w14:textFill>
        </w:rPr>
        <w:t>项目类似业绩表</w:t>
      </w:r>
    </w:p>
    <w:p>
      <w:pPr>
        <w:pStyle w:val="14"/>
        <w:spacing w:line="360" w:lineRule="auto"/>
        <w:ind w:firstLine="0"/>
        <w:jc w:val="center"/>
        <w:rPr>
          <w:rFonts w:hint="default" w:ascii="Times New Roman" w:hAnsi="Times New Roman" w:cs="Times New Roman"/>
          <w:b/>
          <w:color w:val="000000" w:themeColor="text1"/>
          <w:sz w:val="21"/>
          <w:szCs w:val="21"/>
          <w:highlight w:val="none"/>
          <w:lang w:val="zh-CN"/>
          <w14:textFill>
            <w14:solidFill>
              <w14:schemeClr w14:val="tx1"/>
            </w14:solidFill>
          </w14:textFill>
        </w:rPr>
      </w:pPr>
      <w:r>
        <w:rPr>
          <w:rFonts w:hint="default" w:ascii="Times New Roman" w:hAnsi="Times New Roman" w:cs="Times New Roman"/>
          <w:b/>
          <w:color w:val="000000" w:themeColor="text1"/>
          <w:spacing w:val="0"/>
          <w:sz w:val="21"/>
          <w:szCs w:val="21"/>
          <w:highlight w:val="none"/>
          <w14:textFill>
            <w14:solidFill>
              <w14:schemeClr w14:val="tx1"/>
            </w14:solidFill>
          </w14:textFill>
        </w:rPr>
        <w:t>201</w:t>
      </w:r>
      <w:r>
        <w:rPr>
          <w:rFonts w:hint="eastAsia" w:ascii="Times New Roman" w:hAnsi="Times New Roman" w:cs="Times New Roman"/>
          <w:b/>
          <w:color w:val="000000" w:themeColor="text1"/>
          <w:spacing w:val="0"/>
          <w:sz w:val="21"/>
          <w:szCs w:val="21"/>
          <w:highlight w:val="none"/>
          <w:lang w:val="en-US" w:eastAsia="zh-CN"/>
          <w14:textFill>
            <w14:solidFill>
              <w14:schemeClr w14:val="tx1"/>
            </w14:solidFill>
          </w14:textFill>
        </w:rPr>
        <w:t>9</w:t>
      </w:r>
      <w:r>
        <w:rPr>
          <w:rFonts w:hint="default" w:ascii="Times New Roman" w:hAnsi="Times New Roman" w:cs="Times New Roman"/>
          <w:b/>
          <w:color w:val="000000" w:themeColor="text1"/>
          <w:spacing w:val="0"/>
          <w:sz w:val="21"/>
          <w:szCs w:val="21"/>
          <w:highlight w:val="none"/>
          <w14:textFill>
            <w14:solidFill>
              <w14:schemeClr w14:val="tx1"/>
            </w14:solidFill>
          </w14:textFill>
        </w:rPr>
        <w:t>年1月1日以来项目类似业绩表</w:t>
      </w:r>
    </w:p>
    <w:tbl>
      <w:tblPr>
        <w:tblStyle w:val="27"/>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tcBorders>
              <w:top w:val="single" w:color="auto" w:sz="12" w:space="0"/>
            </w:tcBorders>
            <w:vAlign w:val="center"/>
          </w:tcPr>
          <w:p>
            <w:pPr>
              <w:pStyle w:val="14"/>
              <w:spacing w:line="400" w:lineRule="exact"/>
              <w:ind w:firstLine="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序号</w:t>
            </w:r>
          </w:p>
        </w:tc>
        <w:tc>
          <w:tcPr>
            <w:tcW w:w="1419" w:type="dxa"/>
            <w:tcBorders>
              <w:top w:val="single" w:color="auto" w:sz="12" w:space="0"/>
            </w:tcBorders>
            <w:vAlign w:val="center"/>
          </w:tcPr>
          <w:p>
            <w:pPr>
              <w:pStyle w:val="14"/>
              <w:spacing w:line="400" w:lineRule="exact"/>
              <w:ind w:firstLine="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采购人</w:t>
            </w:r>
          </w:p>
        </w:tc>
        <w:tc>
          <w:tcPr>
            <w:tcW w:w="1861" w:type="dxa"/>
            <w:tcBorders>
              <w:top w:val="single" w:color="auto" w:sz="12" w:space="0"/>
            </w:tcBorders>
            <w:vAlign w:val="center"/>
          </w:tcPr>
          <w:p>
            <w:pPr>
              <w:pStyle w:val="14"/>
              <w:spacing w:line="400" w:lineRule="exact"/>
              <w:ind w:firstLine="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项目名称</w:t>
            </w:r>
          </w:p>
        </w:tc>
        <w:tc>
          <w:tcPr>
            <w:tcW w:w="1620" w:type="dxa"/>
            <w:tcBorders>
              <w:top w:val="single" w:color="auto" w:sz="12" w:space="0"/>
            </w:tcBorders>
            <w:vAlign w:val="center"/>
          </w:tcPr>
          <w:p>
            <w:pPr>
              <w:pStyle w:val="14"/>
              <w:spacing w:line="400" w:lineRule="exact"/>
              <w:ind w:firstLine="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合同签订时间</w:t>
            </w:r>
          </w:p>
        </w:tc>
        <w:tc>
          <w:tcPr>
            <w:tcW w:w="1312" w:type="dxa"/>
            <w:tcBorders>
              <w:top w:val="single" w:color="auto" w:sz="12" w:space="0"/>
            </w:tcBorders>
            <w:vAlign w:val="center"/>
          </w:tcPr>
          <w:p>
            <w:pPr>
              <w:pStyle w:val="14"/>
              <w:spacing w:line="400" w:lineRule="exact"/>
              <w:ind w:firstLine="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合同价格（元）</w:t>
            </w:r>
          </w:p>
        </w:tc>
        <w:tc>
          <w:tcPr>
            <w:tcW w:w="1501" w:type="dxa"/>
            <w:tcBorders>
              <w:top w:val="single" w:color="auto" w:sz="12" w:space="0"/>
            </w:tcBorders>
            <w:vAlign w:val="center"/>
          </w:tcPr>
          <w:p>
            <w:pPr>
              <w:pStyle w:val="14"/>
              <w:spacing w:line="400" w:lineRule="exact"/>
              <w:ind w:firstLine="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采购人</w:t>
            </w:r>
          </w:p>
          <w:p>
            <w:pPr>
              <w:pStyle w:val="14"/>
              <w:spacing w:line="400" w:lineRule="exact"/>
              <w:ind w:firstLine="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14"/>
              <w:spacing w:line="400" w:lineRule="exact"/>
              <w:rPr>
                <w:rFonts w:hint="default" w:ascii="Times New Roman" w:hAnsi="Times New Roman" w:cs="Times New Roman"/>
                <w:color w:val="000000" w:themeColor="text1"/>
                <w:sz w:val="21"/>
                <w:szCs w:val="21"/>
                <w:highlight w:val="none"/>
                <w14:textFill>
                  <w14:solidFill>
                    <w14:schemeClr w14:val="tx1"/>
                  </w14:solidFill>
                </w14:textFill>
              </w:rPr>
            </w:pPr>
          </w:p>
        </w:tc>
        <w:tc>
          <w:tcPr>
            <w:tcW w:w="1419"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861" w:type="dxa"/>
            <w:vAlign w:val="center"/>
          </w:tcPr>
          <w:p>
            <w:pPr>
              <w:pStyle w:val="14"/>
              <w:spacing w:line="400" w:lineRule="exact"/>
              <w:ind w:firstLine="482"/>
              <w:jc w:val="center"/>
              <w:rPr>
                <w:rFonts w:hint="default" w:ascii="Times New Roman" w:hAnsi="Times New Roman" w:cs="Times New Roman"/>
                <w:b/>
                <w:color w:val="000000" w:themeColor="text1"/>
                <w:sz w:val="21"/>
                <w:szCs w:val="21"/>
                <w:highlight w:val="none"/>
                <w14:textFill>
                  <w14:solidFill>
                    <w14:schemeClr w14:val="tx1"/>
                  </w14:solidFill>
                </w14:textFill>
              </w:rPr>
            </w:pPr>
          </w:p>
        </w:tc>
        <w:tc>
          <w:tcPr>
            <w:tcW w:w="1620" w:type="dxa"/>
            <w:vAlign w:val="center"/>
          </w:tcPr>
          <w:p>
            <w:pPr>
              <w:pStyle w:val="14"/>
              <w:spacing w:line="400" w:lineRule="exact"/>
              <w:ind w:firstLine="482"/>
              <w:jc w:val="center"/>
              <w:rPr>
                <w:rFonts w:hint="default" w:ascii="Times New Roman" w:hAnsi="Times New Roman" w:cs="Times New Roman"/>
                <w:b/>
                <w:color w:val="000000" w:themeColor="text1"/>
                <w:sz w:val="21"/>
                <w:szCs w:val="21"/>
                <w:highlight w:val="none"/>
                <w14:textFill>
                  <w14:solidFill>
                    <w14:schemeClr w14:val="tx1"/>
                  </w14:solidFill>
                </w14:textFill>
              </w:rPr>
            </w:pPr>
          </w:p>
        </w:tc>
        <w:tc>
          <w:tcPr>
            <w:tcW w:w="1312" w:type="dxa"/>
            <w:vAlign w:val="center"/>
          </w:tcPr>
          <w:p>
            <w:pPr>
              <w:pStyle w:val="14"/>
              <w:spacing w:line="400" w:lineRule="exact"/>
              <w:ind w:firstLine="482"/>
              <w:jc w:val="center"/>
              <w:rPr>
                <w:rFonts w:hint="default" w:ascii="Times New Roman" w:hAnsi="Times New Roman" w:cs="Times New Roman"/>
                <w:b/>
                <w:color w:val="000000" w:themeColor="text1"/>
                <w:sz w:val="21"/>
                <w:szCs w:val="21"/>
                <w:highlight w:val="none"/>
                <w14:textFill>
                  <w14:solidFill>
                    <w14:schemeClr w14:val="tx1"/>
                  </w14:solidFill>
                </w14:textFill>
              </w:rPr>
            </w:pPr>
          </w:p>
        </w:tc>
        <w:tc>
          <w:tcPr>
            <w:tcW w:w="1501" w:type="dxa"/>
            <w:vAlign w:val="center"/>
          </w:tcPr>
          <w:p>
            <w:pPr>
              <w:pStyle w:val="14"/>
              <w:spacing w:line="400" w:lineRule="exact"/>
              <w:ind w:firstLine="482"/>
              <w:jc w:val="center"/>
              <w:rPr>
                <w:rFonts w:hint="default" w:ascii="Times New Roman" w:hAnsi="Times New Roman" w:cs="Times New Roman"/>
                <w:b/>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14"/>
              <w:spacing w:line="400" w:lineRule="exact"/>
              <w:rPr>
                <w:rFonts w:hint="default" w:ascii="Times New Roman" w:hAnsi="Times New Roman" w:cs="Times New Roman"/>
                <w:color w:val="000000" w:themeColor="text1"/>
                <w:sz w:val="21"/>
                <w:szCs w:val="21"/>
                <w:highlight w:val="none"/>
                <w14:textFill>
                  <w14:solidFill>
                    <w14:schemeClr w14:val="tx1"/>
                  </w14:solidFill>
                </w14:textFill>
              </w:rPr>
            </w:pPr>
          </w:p>
        </w:tc>
        <w:tc>
          <w:tcPr>
            <w:tcW w:w="1419"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861" w:type="dxa"/>
            <w:vAlign w:val="center"/>
          </w:tcPr>
          <w:p>
            <w:pPr>
              <w:pStyle w:val="14"/>
              <w:spacing w:line="400" w:lineRule="exact"/>
              <w:ind w:firstLine="482"/>
              <w:jc w:val="center"/>
              <w:rPr>
                <w:rFonts w:hint="default" w:ascii="Times New Roman" w:hAnsi="Times New Roman" w:cs="Times New Roman"/>
                <w:b/>
                <w:color w:val="000000" w:themeColor="text1"/>
                <w:sz w:val="21"/>
                <w:szCs w:val="21"/>
                <w:highlight w:val="none"/>
                <w14:textFill>
                  <w14:solidFill>
                    <w14:schemeClr w14:val="tx1"/>
                  </w14:solidFill>
                </w14:textFill>
              </w:rPr>
            </w:pPr>
          </w:p>
        </w:tc>
        <w:tc>
          <w:tcPr>
            <w:tcW w:w="1620" w:type="dxa"/>
            <w:vAlign w:val="center"/>
          </w:tcPr>
          <w:p>
            <w:pPr>
              <w:pStyle w:val="14"/>
              <w:spacing w:line="400" w:lineRule="exact"/>
              <w:ind w:firstLine="482"/>
              <w:jc w:val="center"/>
              <w:rPr>
                <w:rFonts w:hint="default" w:ascii="Times New Roman" w:hAnsi="Times New Roman" w:cs="Times New Roman"/>
                <w:b/>
                <w:color w:val="000000" w:themeColor="text1"/>
                <w:sz w:val="21"/>
                <w:szCs w:val="21"/>
                <w:highlight w:val="none"/>
                <w14:textFill>
                  <w14:solidFill>
                    <w14:schemeClr w14:val="tx1"/>
                  </w14:solidFill>
                </w14:textFill>
              </w:rPr>
            </w:pPr>
          </w:p>
        </w:tc>
        <w:tc>
          <w:tcPr>
            <w:tcW w:w="1312" w:type="dxa"/>
            <w:vAlign w:val="center"/>
          </w:tcPr>
          <w:p>
            <w:pPr>
              <w:pStyle w:val="14"/>
              <w:spacing w:line="400" w:lineRule="exact"/>
              <w:ind w:firstLine="482"/>
              <w:jc w:val="center"/>
              <w:rPr>
                <w:rFonts w:hint="default" w:ascii="Times New Roman" w:hAnsi="Times New Roman" w:cs="Times New Roman"/>
                <w:b/>
                <w:color w:val="000000" w:themeColor="text1"/>
                <w:sz w:val="21"/>
                <w:szCs w:val="21"/>
                <w:highlight w:val="none"/>
                <w14:textFill>
                  <w14:solidFill>
                    <w14:schemeClr w14:val="tx1"/>
                  </w14:solidFill>
                </w14:textFill>
              </w:rPr>
            </w:pPr>
          </w:p>
        </w:tc>
        <w:tc>
          <w:tcPr>
            <w:tcW w:w="1501" w:type="dxa"/>
            <w:vAlign w:val="center"/>
          </w:tcPr>
          <w:p>
            <w:pPr>
              <w:pStyle w:val="14"/>
              <w:spacing w:line="400" w:lineRule="exact"/>
              <w:ind w:firstLine="482"/>
              <w:jc w:val="center"/>
              <w:rPr>
                <w:rFonts w:hint="default" w:ascii="Times New Roman" w:hAnsi="Times New Roman" w:cs="Times New Roman"/>
                <w:b/>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14"/>
              <w:spacing w:line="400" w:lineRule="exact"/>
              <w:rPr>
                <w:rFonts w:hint="default" w:ascii="Times New Roman" w:hAnsi="Times New Roman" w:cs="Times New Roman"/>
                <w:color w:val="000000" w:themeColor="text1"/>
                <w:sz w:val="21"/>
                <w:szCs w:val="21"/>
                <w:highlight w:val="none"/>
                <w14:textFill>
                  <w14:solidFill>
                    <w14:schemeClr w14:val="tx1"/>
                  </w14:solidFill>
                </w14:textFill>
              </w:rPr>
            </w:pPr>
          </w:p>
        </w:tc>
        <w:tc>
          <w:tcPr>
            <w:tcW w:w="1419"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861"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620"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12"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501"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14"/>
              <w:spacing w:line="400" w:lineRule="exact"/>
              <w:rPr>
                <w:rFonts w:hint="default" w:ascii="Times New Roman" w:hAnsi="Times New Roman" w:cs="Times New Roman"/>
                <w:color w:val="000000" w:themeColor="text1"/>
                <w:sz w:val="21"/>
                <w:szCs w:val="21"/>
                <w:highlight w:val="none"/>
                <w14:textFill>
                  <w14:solidFill>
                    <w14:schemeClr w14:val="tx1"/>
                  </w14:solidFill>
                </w14:textFill>
              </w:rPr>
            </w:pPr>
          </w:p>
        </w:tc>
        <w:tc>
          <w:tcPr>
            <w:tcW w:w="1419"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861"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620"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12"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501"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14"/>
              <w:spacing w:line="400" w:lineRule="exact"/>
              <w:rPr>
                <w:rFonts w:hint="default" w:ascii="Times New Roman" w:hAnsi="Times New Roman" w:cs="Times New Roman"/>
                <w:color w:val="000000" w:themeColor="text1"/>
                <w:sz w:val="21"/>
                <w:szCs w:val="21"/>
                <w:highlight w:val="none"/>
                <w14:textFill>
                  <w14:solidFill>
                    <w14:schemeClr w14:val="tx1"/>
                  </w14:solidFill>
                </w14:textFill>
              </w:rPr>
            </w:pPr>
          </w:p>
        </w:tc>
        <w:tc>
          <w:tcPr>
            <w:tcW w:w="1419"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861"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620"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12"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501"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14"/>
              <w:spacing w:line="40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419"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861"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620"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12"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501"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14"/>
              <w:spacing w:line="40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419" w:type="dxa"/>
            <w:vAlign w:val="center"/>
          </w:tcPr>
          <w:p>
            <w:pPr>
              <w:pStyle w:val="14"/>
              <w:spacing w:line="40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861"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620"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12"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501" w:type="dxa"/>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tcBorders>
              <w:bottom w:val="single" w:color="auto" w:sz="12" w:space="0"/>
            </w:tcBorders>
            <w:vAlign w:val="center"/>
          </w:tcPr>
          <w:p>
            <w:pPr>
              <w:pStyle w:val="14"/>
              <w:spacing w:line="40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419" w:type="dxa"/>
            <w:tcBorders>
              <w:bottom w:val="single" w:color="auto" w:sz="12" w:space="0"/>
            </w:tcBorders>
            <w:vAlign w:val="center"/>
          </w:tcPr>
          <w:p>
            <w:pPr>
              <w:pStyle w:val="14"/>
              <w:spacing w:line="40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861" w:type="dxa"/>
            <w:tcBorders>
              <w:bottom w:val="single" w:color="auto" w:sz="12" w:space="0"/>
            </w:tcBorders>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620" w:type="dxa"/>
            <w:tcBorders>
              <w:bottom w:val="single" w:color="auto" w:sz="12" w:space="0"/>
            </w:tcBorders>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12" w:type="dxa"/>
            <w:tcBorders>
              <w:bottom w:val="single" w:color="auto" w:sz="12" w:space="0"/>
            </w:tcBorders>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501" w:type="dxa"/>
            <w:tcBorders>
              <w:bottom w:val="single" w:color="auto" w:sz="12" w:space="0"/>
            </w:tcBorders>
            <w:vAlign w:val="center"/>
          </w:tcPr>
          <w:p>
            <w:pPr>
              <w:pStyle w:val="14"/>
              <w:spacing w:line="400" w:lineRule="exact"/>
              <w:ind w:firstLine="480"/>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bl>
    <w:p>
      <w:pPr>
        <w:pStyle w:val="12"/>
        <w:spacing w:line="360" w:lineRule="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注：附</w:t>
      </w:r>
      <w:r>
        <w:rPr>
          <w:rFonts w:hint="default" w:ascii="Times New Roman" w:hAnsi="Times New Roman" w:cs="Times New Roman"/>
          <w:color w:val="000000" w:themeColor="text1"/>
          <w:sz w:val="21"/>
          <w:szCs w:val="21"/>
          <w:highlight w:val="none"/>
          <w:lang w:eastAsia="zh-CN"/>
          <w14:textFill>
            <w14:solidFill>
              <w14:schemeClr w14:val="tx1"/>
            </w14:solidFill>
          </w14:textFill>
        </w:rPr>
        <w:t>加盖公章后的合同原件或扫描件</w:t>
      </w:r>
      <w:r>
        <w:rPr>
          <w:rFonts w:hint="default" w:ascii="Times New Roman" w:hAnsi="Times New Roman" w:cs="Times New Roman"/>
          <w:color w:val="000000" w:themeColor="text1"/>
          <w:sz w:val="21"/>
          <w:szCs w:val="21"/>
          <w:highlight w:val="none"/>
          <w14:textFill>
            <w14:solidFill>
              <w14:schemeClr w14:val="tx1"/>
            </w14:solidFill>
          </w14:textFill>
        </w:rPr>
        <w:t>。</w:t>
      </w: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投标人（盖章）：</w:t>
      </w: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 xml:space="preserve">                   </w:t>
      </w: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日期：    年   月   日</w:t>
      </w:r>
    </w:p>
    <w:p>
      <w:pPr>
        <w:spacing w:line="380" w:lineRule="exact"/>
        <w:ind w:hanging="1"/>
        <w:jc w:val="left"/>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br w:type="page"/>
      </w:r>
      <w:r>
        <w:rPr>
          <w:rFonts w:hint="default" w:ascii="Times New Roman" w:hAnsi="Times New Roman" w:cs="Times New Roman"/>
          <w:b/>
          <w:color w:val="000000" w:themeColor="text1"/>
          <w:kern w:val="0"/>
          <w:szCs w:val="21"/>
          <w:highlight w:val="none"/>
          <w14:textFill>
            <w14:solidFill>
              <w14:schemeClr w14:val="tx1"/>
            </w14:solidFill>
          </w14:textFill>
        </w:rPr>
        <w:t>十</w:t>
      </w:r>
      <w:r>
        <w:rPr>
          <w:rFonts w:hint="eastAsia" w:ascii="Times New Roman" w:hAnsi="Times New Roman" w:cs="Times New Roman"/>
          <w:b/>
          <w:color w:val="000000" w:themeColor="text1"/>
          <w:kern w:val="0"/>
          <w:szCs w:val="21"/>
          <w:highlight w:val="none"/>
          <w:lang w:val="en-US" w:eastAsia="zh-CN"/>
          <w14:textFill>
            <w14:solidFill>
              <w14:schemeClr w14:val="tx1"/>
            </w14:solidFill>
          </w14:textFill>
        </w:rPr>
        <w:t>一</w:t>
      </w:r>
      <w:r>
        <w:rPr>
          <w:rFonts w:hint="default" w:ascii="Times New Roman" w:hAnsi="Times New Roman" w:cs="Times New Roman"/>
          <w:b/>
          <w:color w:val="000000" w:themeColor="text1"/>
          <w:kern w:val="0"/>
          <w:szCs w:val="21"/>
          <w:highlight w:val="none"/>
          <w14:textFill>
            <w14:solidFill>
              <w14:schemeClr w14:val="tx1"/>
            </w14:solidFill>
          </w14:textFill>
        </w:rPr>
        <w:t>、商务偏离表</w:t>
      </w:r>
    </w:p>
    <w:p>
      <w:pPr>
        <w:spacing w:line="380" w:lineRule="exact"/>
        <w:ind w:left="-358" w:leftChars="-171" w:hanging="1"/>
        <w:jc w:val="center"/>
        <w:rPr>
          <w:rFonts w:hint="default" w:ascii="Times New Roman" w:hAnsi="Times New Roman" w:cs="Times New Roman"/>
          <w:b/>
          <w:color w:val="000000" w:themeColor="text1"/>
          <w:kern w:val="0"/>
          <w:szCs w:val="21"/>
          <w:highlight w:val="none"/>
          <w14:textFill>
            <w14:solidFill>
              <w14:schemeClr w14:val="tx1"/>
            </w14:solidFill>
          </w14:textFill>
        </w:rPr>
      </w:pPr>
    </w:p>
    <w:p>
      <w:pPr>
        <w:spacing w:line="380" w:lineRule="exact"/>
        <w:ind w:hanging="1"/>
        <w:jc w:val="center"/>
        <w:rPr>
          <w:rFonts w:hint="default" w:ascii="Times New Roman" w:hAnsi="Times New Roman" w:cs="Times New Roman"/>
          <w:b/>
          <w:color w:val="000000" w:themeColor="text1"/>
          <w:kern w:val="0"/>
          <w:szCs w:val="21"/>
          <w:highlight w:val="none"/>
          <w14:textFill>
            <w14:solidFill>
              <w14:schemeClr w14:val="tx1"/>
            </w14:solidFill>
          </w14:textFill>
        </w:rPr>
      </w:pPr>
      <w:r>
        <w:rPr>
          <w:rFonts w:hint="default" w:ascii="Times New Roman" w:hAnsi="Times New Roman" w:cs="Times New Roman"/>
          <w:b/>
          <w:color w:val="000000" w:themeColor="text1"/>
          <w:kern w:val="0"/>
          <w:szCs w:val="21"/>
          <w:highlight w:val="none"/>
          <w14:textFill>
            <w14:solidFill>
              <w14:schemeClr w14:val="tx1"/>
            </w14:solidFill>
          </w14:textFill>
        </w:rPr>
        <w:t>商务偏离表</w:t>
      </w:r>
    </w:p>
    <w:p>
      <w:pPr>
        <w:spacing w:line="380" w:lineRule="exact"/>
        <w:ind w:left="-358" w:leftChars="-171" w:hanging="1"/>
        <w:jc w:val="center"/>
        <w:rPr>
          <w:rFonts w:hint="default" w:ascii="Times New Roman" w:hAnsi="Times New Roman" w:cs="Times New Roman"/>
          <w:b/>
          <w:color w:val="000000" w:themeColor="text1"/>
          <w:kern w:val="0"/>
          <w:szCs w:val="21"/>
          <w:highlight w:val="none"/>
          <w14:textFill>
            <w14:solidFill>
              <w14:schemeClr w14:val="tx1"/>
            </w14:solidFill>
          </w14:textFill>
        </w:rPr>
      </w:pPr>
      <w:r>
        <w:rPr>
          <w:rFonts w:hint="default" w:ascii="Times New Roman" w:hAnsi="Times New Roman" w:cs="Times New Roman"/>
          <w:bCs/>
          <w:color w:val="000000" w:themeColor="text1"/>
          <w:sz w:val="22"/>
          <w:szCs w:val="22"/>
          <w:highlight w:val="none"/>
          <w14:textFill>
            <w14:solidFill>
              <w14:schemeClr w14:val="tx1"/>
            </w14:solidFill>
          </w14:textFill>
        </w:rPr>
        <w:t xml:space="preserve">               </w:t>
      </w:r>
    </w:p>
    <w:tbl>
      <w:tblPr>
        <w:tblStyle w:val="2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3427"/>
        <w:gridCol w:w="1385"/>
        <w:gridCol w:w="111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32"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r>
              <w:rPr>
                <w:rFonts w:hint="default" w:ascii="Times New Roman" w:hAnsi="Times New Roman" w:cs="Times New Roman"/>
                <w:bCs/>
                <w:color w:val="000000" w:themeColor="text1"/>
                <w:sz w:val="22"/>
                <w:szCs w:val="22"/>
                <w:highlight w:val="none"/>
                <w14:textFill>
                  <w14:solidFill>
                    <w14:schemeClr w14:val="tx1"/>
                  </w14:solidFill>
                </w14:textFill>
              </w:rPr>
              <w:t>内   容</w:t>
            </w:r>
          </w:p>
        </w:tc>
        <w:tc>
          <w:tcPr>
            <w:tcW w:w="3427"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r>
              <w:rPr>
                <w:rFonts w:hint="default" w:ascii="Times New Roman" w:hAnsi="Times New Roman" w:cs="Times New Roman"/>
                <w:bCs/>
                <w:color w:val="000000" w:themeColor="text1"/>
                <w:sz w:val="22"/>
                <w:szCs w:val="22"/>
                <w:highlight w:val="none"/>
                <w14:textFill>
                  <w14:solidFill>
                    <w14:schemeClr w14:val="tx1"/>
                  </w14:solidFill>
                </w14:textFill>
              </w:rPr>
              <w:t>采购要求</w:t>
            </w:r>
          </w:p>
        </w:tc>
        <w:tc>
          <w:tcPr>
            <w:tcW w:w="1385"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r>
              <w:rPr>
                <w:rFonts w:hint="default" w:ascii="Times New Roman" w:hAnsi="Times New Roman" w:cs="Times New Roman"/>
                <w:bCs/>
                <w:color w:val="000000" w:themeColor="text1"/>
                <w:sz w:val="22"/>
                <w:szCs w:val="22"/>
                <w:highlight w:val="none"/>
                <w14:textFill>
                  <w14:solidFill>
                    <w14:schemeClr w14:val="tx1"/>
                  </w14:solidFill>
                </w14:textFill>
              </w:rPr>
              <w:t>投标响应</w:t>
            </w:r>
          </w:p>
        </w:tc>
        <w:tc>
          <w:tcPr>
            <w:tcW w:w="1114"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r>
              <w:rPr>
                <w:rFonts w:hint="default" w:ascii="Times New Roman" w:hAnsi="Times New Roman" w:cs="Times New Roman"/>
                <w:bCs/>
                <w:color w:val="000000" w:themeColor="text1"/>
                <w:sz w:val="22"/>
                <w:szCs w:val="22"/>
                <w:highlight w:val="none"/>
                <w14:textFill>
                  <w14:solidFill>
                    <w14:schemeClr w14:val="tx1"/>
                  </w14:solidFill>
                </w14:textFill>
              </w:rPr>
              <w:t>偏离</w:t>
            </w:r>
          </w:p>
        </w:tc>
        <w:tc>
          <w:tcPr>
            <w:tcW w:w="147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r>
              <w:rPr>
                <w:rFonts w:hint="default" w:ascii="Times New Roman" w:hAnsi="Times New Roman" w:cs="Times New Roman"/>
                <w:bCs/>
                <w:color w:val="000000" w:themeColor="text1"/>
                <w:sz w:val="22"/>
                <w:szCs w:val="22"/>
                <w:highlight w:val="none"/>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532" w:type="dxa"/>
            <w:vMerge w:val="restart"/>
            <w:vAlign w:val="center"/>
          </w:tcPr>
          <w:p>
            <w:pPr>
              <w:ind w:firstLine="220" w:firstLineChars="100"/>
              <w:rPr>
                <w:rFonts w:hint="default" w:ascii="Times New Roman" w:hAnsi="Times New Roman" w:cs="Times New Roman"/>
                <w:bCs/>
                <w:color w:val="000000" w:themeColor="text1"/>
                <w:sz w:val="22"/>
                <w:szCs w:val="22"/>
                <w:highlight w:val="none"/>
                <w14:textFill>
                  <w14:solidFill>
                    <w14:schemeClr w14:val="tx1"/>
                  </w14:solidFill>
                </w14:textFill>
              </w:rPr>
            </w:pPr>
            <w:r>
              <w:rPr>
                <w:rFonts w:hint="default" w:ascii="Times New Roman" w:hAnsi="Times New Roman" w:cs="Times New Roman"/>
                <w:bCs/>
                <w:color w:val="000000" w:themeColor="text1"/>
                <w:sz w:val="22"/>
                <w:szCs w:val="22"/>
                <w:highlight w:val="none"/>
                <w14:textFill>
                  <w14:solidFill>
                    <w14:schemeClr w14:val="tx1"/>
                  </w14:solidFill>
                </w14:textFill>
              </w:rPr>
              <w:t>商务条款</w:t>
            </w:r>
          </w:p>
        </w:tc>
        <w:tc>
          <w:tcPr>
            <w:tcW w:w="3427" w:type="dxa"/>
            <w:vAlign w:val="center"/>
          </w:tcPr>
          <w:p>
            <w:pPr>
              <w:jc w:val="center"/>
              <w:rPr>
                <w:rFonts w:hint="default" w:ascii="宋体" w:hAnsi="宋体" w:eastAsia="宋体"/>
                <w:bCs/>
                <w:lang w:val="en-US" w:eastAsia="zh-CN"/>
              </w:rPr>
            </w:pPr>
            <w:r>
              <w:rPr>
                <w:rFonts w:hint="default" w:ascii="宋体" w:hAnsi="宋体" w:eastAsia="宋体"/>
                <w:bCs/>
              </w:rPr>
              <w:t>服务期限：</w:t>
            </w:r>
            <w:r>
              <w:rPr>
                <w:rFonts w:hint="eastAsia" w:ascii="宋体" w:hAnsi="宋体" w:eastAsia="宋体"/>
                <w:bCs/>
                <w:lang w:val="en-US" w:eastAsia="zh-CN"/>
              </w:rPr>
              <w:t>总服务期限三年，合同一年一签。</w:t>
            </w:r>
          </w:p>
        </w:tc>
        <w:tc>
          <w:tcPr>
            <w:tcW w:w="1385"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114"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47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532" w:type="dxa"/>
            <w:vMerge w:val="continue"/>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3427" w:type="dxa"/>
            <w:vAlign w:val="center"/>
          </w:tcPr>
          <w:p>
            <w:pPr>
              <w:jc w:val="center"/>
              <w:rPr>
                <w:rFonts w:hint="eastAsia" w:ascii="宋体" w:hAnsi="宋体" w:eastAsia="宋体"/>
                <w:bCs/>
                <w:lang w:eastAsia="zh-CN"/>
              </w:rPr>
            </w:pPr>
            <w:r>
              <w:rPr>
                <w:rFonts w:hint="default" w:ascii="宋体" w:hAnsi="宋体" w:eastAsia="宋体"/>
                <w:bCs/>
              </w:rPr>
              <w:t>资金结算方式</w:t>
            </w:r>
            <w:r>
              <w:rPr>
                <w:rFonts w:hint="eastAsia" w:ascii="宋体" w:hAnsi="宋体" w:eastAsia="宋体"/>
                <w:bCs/>
                <w:lang w:eastAsia="zh-CN"/>
              </w:rPr>
              <w:t>：</w:t>
            </w:r>
            <w:r>
              <w:rPr>
                <w:rFonts w:hint="default" w:ascii="宋体" w:hAnsi="宋体" w:eastAsia="宋体"/>
                <w:bCs/>
              </w:rPr>
              <w:t>合同生效后7个工作日内支付合同</w:t>
            </w:r>
            <w:r>
              <w:rPr>
                <w:rFonts w:hint="eastAsia" w:ascii="宋体" w:hAnsi="宋体" w:eastAsia="宋体"/>
                <w:bCs/>
                <w:lang w:val="en-US" w:eastAsia="zh-CN"/>
              </w:rPr>
              <w:t>总价</w:t>
            </w:r>
            <w:r>
              <w:rPr>
                <w:rFonts w:hint="default" w:ascii="宋体" w:hAnsi="宋体" w:eastAsia="宋体"/>
                <w:bCs/>
              </w:rPr>
              <w:t>的</w:t>
            </w:r>
            <w:r>
              <w:rPr>
                <w:rFonts w:hint="default" w:ascii="宋体" w:hAnsi="宋体" w:eastAsia="宋体"/>
                <w:bCs/>
                <w:lang w:val="en-US" w:eastAsia="zh-CN"/>
              </w:rPr>
              <w:t>20</w:t>
            </w:r>
            <w:r>
              <w:rPr>
                <w:rFonts w:hint="default" w:ascii="宋体" w:hAnsi="宋体" w:eastAsia="宋体"/>
                <w:bCs/>
              </w:rPr>
              <w:t>%作为预付款，</w:t>
            </w:r>
            <w:r>
              <w:rPr>
                <w:rFonts w:hint="eastAsia" w:ascii="宋体" w:hAnsi="宋体" w:eastAsia="宋体"/>
                <w:bCs/>
                <w:lang w:eastAsia="zh-Hans"/>
              </w:rPr>
              <w:t>开展</w:t>
            </w:r>
            <w:r>
              <w:rPr>
                <w:rFonts w:hint="default" w:ascii="宋体" w:hAnsi="宋体" w:eastAsia="宋体"/>
                <w:bCs/>
              </w:rPr>
              <w:t>监测服务6个月</w:t>
            </w:r>
            <w:r>
              <w:rPr>
                <w:rFonts w:hint="eastAsia" w:ascii="宋体" w:hAnsi="宋体" w:eastAsia="宋体"/>
                <w:bCs/>
                <w:lang w:eastAsia="zh-Hans"/>
              </w:rPr>
              <w:t>后</w:t>
            </w:r>
            <w:r>
              <w:rPr>
                <w:rFonts w:hint="default" w:ascii="宋体" w:hAnsi="宋体" w:eastAsia="宋体"/>
                <w:bCs/>
              </w:rPr>
              <w:t>15</w:t>
            </w:r>
            <w:r>
              <w:rPr>
                <w:rFonts w:hint="eastAsia" w:ascii="宋体" w:hAnsi="宋体" w:eastAsia="宋体"/>
                <w:bCs/>
                <w:lang w:eastAsia="zh-Hans"/>
              </w:rPr>
              <w:t>个工作日</w:t>
            </w:r>
            <w:r>
              <w:rPr>
                <w:rFonts w:hint="default" w:ascii="宋体" w:hAnsi="宋体" w:eastAsia="宋体"/>
                <w:bCs/>
              </w:rPr>
              <w:t>内支付合同总价的20%，如合同期内监测单位监测质量无出现重大问题的，合同期满且达到既定目标后15日内</w:t>
            </w:r>
            <w:r>
              <w:rPr>
                <w:rFonts w:hint="eastAsia" w:ascii="宋体" w:hAnsi="宋体" w:eastAsia="宋体"/>
                <w:bCs/>
                <w:lang w:val="en-US" w:eastAsia="zh-CN"/>
              </w:rPr>
              <w:t>支</w:t>
            </w:r>
            <w:r>
              <w:rPr>
                <w:rFonts w:hint="default" w:ascii="宋体" w:hAnsi="宋体" w:eastAsia="宋体"/>
                <w:bCs/>
              </w:rPr>
              <w:t>付合同总价的</w:t>
            </w:r>
            <w:r>
              <w:rPr>
                <w:rFonts w:hint="default" w:ascii="宋体" w:hAnsi="宋体" w:eastAsia="宋体"/>
                <w:bCs/>
                <w:lang w:val="en-US" w:eastAsia="zh-CN"/>
              </w:rPr>
              <w:t>6</w:t>
            </w:r>
            <w:r>
              <w:rPr>
                <w:rFonts w:hint="default" w:ascii="宋体" w:hAnsi="宋体" w:eastAsia="宋体"/>
                <w:bCs/>
              </w:rPr>
              <w:t>0%，</w:t>
            </w:r>
            <w:r>
              <w:rPr>
                <w:rFonts w:hint="eastAsia" w:ascii="宋体" w:hAnsi="宋体" w:eastAsia="宋体"/>
                <w:bCs/>
                <w:lang w:val="en-US" w:eastAsia="zh-CN"/>
              </w:rPr>
              <w:t>并</w:t>
            </w:r>
            <w:r>
              <w:rPr>
                <w:rFonts w:hint="default" w:ascii="宋体" w:hAnsi="宋体" w:eastAsia="宋体"/>
                <w:bCs/>
              </w:rPr>
              <w:t>全额无息退还履约保证金。</w:t>
            </w:r>
          </w:p>
        </w:tc>
        <w:tc>
          <w:tcPr>
            <w:tcW w:w="1385"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114"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47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532" w:type="dxa"/>
            <w:vMerge w:val="continue"/>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3427" w:type="dxa"/>
            <w:vAlign w:val="center"/>
          </w:tcPr>
          <w:p>
            <w:pPr>
              <w:jc w:val="center"/>
              <w:rPr>
                <w:rFonts w:hint="eastAsia" w:ascii="宋体" w:hAnsi="宋体" w:eastAsia="宋体"/>
                <w:bCs/>
                <w:lang w:eastAsia="zh-CN"/>
              </w:rPr>
            </w:pPr>
            <w:r>
              <w:rPr>
                <w:rFonts w:hint="eastAsia" w:ascii="宋体" w:hAnsi="宋体" w:eastAsia="宋体"/>
                <w:bCs/>
              </w:rPr>
              <w:t>履约保证金：金额为合同总额的</w:t>
            </w:r>
            <w:r>
              <w:rPr>
                <w:rFonts w:hint="eastAsia" w:ascii="宋体" w:hAnsi="宋体" w:eastAsia="宋体"/>
                <w:bCs/>
                <w:lang w:val="en-US" w:eastAsia="zh-CN"/>
              </w:rPr>
              <w:t>1</w:t>
            </w:r>
            <w:r>
              <w:rPr>
                <w:rFonts w:hint="eastAsia" w:ascii="宋体" w:hAnsi="宋体" w:eastAsia="宋体"/>
                <w:bCs/>
              </w:rPr>
              <w:t>%</w:t>
            </w:r>
            <w:r>
              <w:rPr>
                <w:rFonts w:hint="eastAsia" w:ascii="宋体" w:hAnsi="宋体" w:eastAsia="宋体"/>
                <w:bCs/>
                <w:lang w:eastAsia="zh-CN"/>
              </w:rPr>
              <w:t>。</w:t>
            </w:r>
          </w:p>
        </w:tc>
        <w:tc>
          <w:tcPr>
            <w:tcW w:w="1385"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114"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47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532" w:type="dxa"/>
            <w:vMerge w:val="continue"/>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3427" w:type="dxa"/>
            <w:vAlign w:val="center"/>
          </w:tcPr>
          <w:p>
            <w:pPr>
              <w:jc w:val="center"/>
              <w:rPr>
                <w:rFonts w:hint="default" w:ascii="宋体" w:hAnsi="宋体" w:eastAsia="宋体"/>
                <w:bCs/>
              </w:rPr>
            </w:pPr>
            <w:r>
              <w:rPr>
                <w:rFonts w:hint="default" w:ascii="宋体" w:hAnsi="宋体" w:eastAsia="宋体"/>
                <w:bCs/>
              </w:rPr>
              <w:t>投标有效期：不少于90日历天</w:t>
            </w:r>
          </w:p>
        </w:tc>
        <w:tc>
          <w:tcPr>
            <w:tcW w:w="1385"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114"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47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532" w:type="dxa"/>
            <w:vMerge w:val="continue"/>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3427" w:type="dxa"/>
            <w:vAlign w:val="center"/>
          </w:tcPr>
          <w:p>
            <w:pPr>
              <w:jc w:val="center"/>
              <w:rPr>
                <w:rFonts w:hint="default" w:ascii="宋体" w:hAnsi="宋体" w:eastAsia="宋体"/>
                <w:bCs/>
              </w:rPr>
            </w:pPr>
            <w:r>
              <w:rPr>
                <w:rFonts w:hint="default" w:ascii="宋体" w:hAnsi="宋体" w:eastAsia="宋体"/>
                <w:bCs/>
              </w:rPr>
              <w:t>合同条款要求</w:t>
            </w:r>
          </w:p>
        </w:tc>
        <w:tc>
          <w:tcPr>
            <w:tcW w:w="1385"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114"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47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532" w:type="dxa"/>
            <w:vMerge w:val="continue"/>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3427" w:type="dxa"/>
            <w:vAlign w:val="center"/>
          </w:tcPr>
          <w:p>
            <w:pPr>
              <w:jc w:val="center"/>
              <w:rPr>
                <w:rFonts w:hint="default" w:ascii="宋体" w:hAnsi="宋体" w:eastAsia="宋体"/>
                <w:bCs/>
              </w:rPr>
            </w:pPr>
            <w:r>
              <w:rPr>
                <w:rFonts w:hint="default" w:ascii="宋体" w:hAnsi="宋体" w:eastAsia="宋体"/>
                <w:bCs/>
              </w:rPr>
              <w:t>报价内容涵盖报价要求之一切费用和伴随服务</w:t>
            </w:r>
          </w:p>
        </w:tc>
        <w:tc>
          <w:tcPr>
            <w:tcW w:w="1385"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114"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47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532" w:type="dxa"/>
            <w:vMerge w:val="continue"/>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3427" w:type="dxa"/>
            <w:vAlign w:val="center"/>
          </w:tcPr>
          <w:p>
            <w:pPr>
              <w:jc w:val="center"/>
              <w:rPr>
                <w:rFonts w:hint="default" w:ascii="宋体" w:hAnsi="宋体" w:eastAsia="宋体"/>
                <w:bCs/>
              </w:rPr>
            </w:pPr>
            <w:r>
              <w:rPr>
                <w:rFonts w:hint="default" w:ascii="宋体" w:hAnsi="宋体" w:eastAsia="宋体"/>
                <w:bCs/>
              </w:rPr>
              <w:t>其他商务条款偏离情况</w:t>
            </w:r>
          </w:p>
        </w:tc>
        <w:tc>
          <w:tcPr>
            <w:tcW w:w="1385"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114"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47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532" w:type="dxa"/>
            <w:vMerge w:val="continue"/>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3427" w:type="dxa"/>
            <w:vAlign w:val="center"/>
          </w:tcPr>
          <w:p>
            <w:pPr>
              <w:jc w:val="center"/>
              <w:rPr>
                <w:rFonts w:hint="default" w:ascii="宋体" w:hAnsi="宋体" w:eastAsia="宋体"/>
                <w:bCs/>
              </w:rPr>
            </w:pPr>
            <w:r>
              <w:rPr>
                <w:rFonts w:hint="default" w:ascii="宋体" w:hAnsi="宋体" w:eastAsia="宋体"/>
                <w:bCs/>
              </w:rPr>
              <w:t>……</w:t>
            </w:r>
          </w:p>
        </w:tc>
        <w:tc>
          <w:tcPr>
            <w:tcW w:w="1385"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114"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47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r>
    </w:tbl>
    <w:p>
      <w:pPr>
        <w:pStyle w:val="17"/>
        <w:spacing w:line="400" w:lineRule="atLeast"/>
        <w:ind w:left="537" w:hanging="537" w:hangingChars="243"/>
        <w:rPr>
          <w:rFonts w:hint="default" w:ascii="Times New Roman" w:hAnsi="Times New Roman" w:eastAsia="宋体" w:cs="Times New Roman"/>
          <w:b/>
          <w:color w:val="000000" w:themeColor="text1"/>
          <w:sz w:val="22"/>
          <w:szCs w:val="22"/>
          <w:highlight w:val="none"/>
          <w14:textFill>
            <w14:solidFill>
              <w14:schemeClr w14:val="tx1"/>
            </w14:solidFill>
          </w14:textFill>
        </w:rPr>
      </w:pPr>
      <w:r>
        <w:rPr>
          <w:rFonts w:hint="default" w:ascii="Times New Roman" w:hAnsi="Times New Roman" w:eastAsia="宋体" w:cs="Times New Roman"/>
          <w:b/>
          <w:color w:val="000000" w:themeColor="text1"/>
          <w:sz w:val="22"/>
          <w:szCs w:val="22"/>
          <w:highlight w:val="none"/>
          <w14:textFill>
            <w14:solidFill>
              <w14:schemeClr w14:val="tx1"/>
            </w14:solidFill>
          </w14:textFill>
        </w:rPr>
        <w:t>注： 如有偏离，必须在偏离表中进行详细对比说明并注明正偏离（负偏离），如此表不填或填写为无偏离或不说明偏离情况，视为完全响应招标文件要求。</w:t>
      </w:r>
    </w:p>
    <w:p>
      <w:pPr>
        <w:rPr>
          <w:rFonts w:hint="default" w:ascii="Times New Roman" w:hAnsi="Times New Roman" w:cs="Times New Roman"/>
          <w:color w:val="000000" w:themeColor="text1"/>
          <w:sz w:val="22"/>
          <w:szCs w:val="22"/>
          <w:highlight w:val="none"/>
          <w14:textFill>
            <w14:solidFill>
              <w14:schemeClr w14:val="tx1"/>
            </w14:solidFill>
          </w14:textFill>
        </w:rPr>
      </w:pP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投标人（盖章）：</w:t>
      </w: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 xml:space="preserve">法定代表人（签字或盖章）：             </w:t>
      </w: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日期：    年   月   日</w:t>
      </w:r>
    </w:p>
    <w:p>
      <w:pPr>
        <w:jc w:val="left"/>
        <w:rPr>
          <w:rFonts w:hint="default" w:ascii="Times New Roman" w:hAnsi="Times New Roman" w:cs="Times New Roman"/>
          <w:color w:val="000000" w:themeColor="text1"/>
          <w:szCs w:val="21"/>
          <w:highlight w:val="none"/>
          <w14:textFill>
            <w14:solidFill>
              <w14:schemeClr w14:val="tx1"/>
            </w14:solidFill>
          </w14:textFill>
        </w:rPr>
      </w:pPr>
    </w:p>
    <w:p>
      <w:pPr>
        <w:jc w:val="left"/>
        <w:rPr>
          <w:rFonts w:hint="default" w:ascii="Times New Roman" w:hAnsi="Times New Roman" w:cs="Times New Roman"/>
          <w:color w:val="000000" w:themeColor="text1"/>
          <w:szCs w:val="21"/>
          <w:highlight w:val="none"/>
          <w14:textFill>
            <w14:solidFill>
              <w14:schemeClr w14:val="tx1"/>
            </w14:solidFill>
          </w14:textFill>
        </w:rPr>
      </w:pPr>
    </w:p>
    <w:p>
      <w:pPr>
        <w:jc w:val="left"/>
        <w:rPr>
          <w:rFonts w:hint="default" w:ascii="Times New Roman" w:hAnsi="Times New Roman" w:cs="Times New Roman"/>
          <w:color w:val="000000" w:themeColor="text1"/>
          <w:szCs w:val="21"/>
          <w:highlight w:val="none"/>
          <w14:textFill>
            <w14:solidFill>
              <w14:schemeClr w14:val="tx1"/>
            </w14:solidFill>
          </w14:textFill>
        </w:rPr>
      </w:pPr>
    </w:p>
    <w:p>
      <w:pPr>
        <w:jc w:val="left"/>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十</w:t>
      </w:r>
      <w:r>
        <w:rPr>
          <w:rFonts w:hint="eastAsia" w:ascii="Times New Roman" w:hAnsi="Times New Roman" w:cs="Times New Roman"/>
          <w:b/>
          <w:bCs/>
          <w:color w:val="000000" w:themeColor="text1"/>
          <w:szCs w:val="21"/>
          <w:highlight w:val="none"/>
          <w:lang w:val="en-US" w:eastAsia="zh-CN"/>
          <w14:textFill>
            <w14:solidFill>
              <w14:schemeClr w14:val="tx1"/>
            </w14:solidFill>
          </w14:textFill>
        </w:rPr>
        <w:t>二</w:t>
      </w:r>
      <w:r>
        <w:rPr>
          <w:rFonts w:hint="default" w:ascii="Times New Roman" w:hAnsi="Times New Roman" w:cs="Times New Roman"/>
          <w:b/>
          <w:bCs/>
          <w:color w:val="000000" w:themeColor="text1"/>
          <w:szCs w:val="21"/>
          <w:highlight w:val="none"/>
          <w14:textFill>
            <w14:solidFill>
              <w14:schemeClr w14:val="tx1"/>
            </w14:solidFill>
          </w14:textFill>
        </w:rPr>
        <w:t>、拟投入本项目设施设备、材料配置清单</w:t>
      </w:r>
    </w:p>
    <w:p>
      <w:pPr>
        <w:autoSpaceDE w:val="0"/>
        <w:autoSpaceDN w:val="0"/>
        <w:adjustRightInd w:val="0"/>
        <w:spacing w:line="360" w:lineRule="auto"/>
        <w:jc w:val="center"/>
        <w:rPr>
          <w:rFonts w:hint="default" w:ascii="Times New Roman" w:hAnsi="Times New Roman" w:cs="Times New Roman"/>
          <w:b/>
          <w:bCs/>
          <w:color w:val="000000" w:themeColor="text1"/>
          <w:szCs w:val="21"/>
          <w:highlight w:val="none"/>
          <w14:textFill>
            <w14:solidFill>
              <w14:schemeClr w14:val="tx1"/>
            </w14:solidFill>
          </w14:textFill>
        </w:rPr>
      </w:pPr>
    </w:p>
    <w:p>
      <w:pPr>
        <w:autoSpaceDE w:val="0"/>
        <w:autoSpaceDN w:val="0"/>
        <w:adjustRightInd w:val="0"/>
        <w:spacing w:line="360" w:lineRule="auto"/>
        <w:jc w:val="center"/>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拟投入本项目设施设备、材料配置清单</w:t>
      </w:r>
    </w:p>
    <w:p>
      <w:pPr>
        <w:snapToGrid w:val="0"/>
        <w:spacing w:before="50" w:after="5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招标编号：</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项目名称：</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p>
    <w:tbl>
      <w:tblPr>
        <w:tblStyle w:val="27"/>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4"/>
        <w:gridCol w:w="2189"/>
        <w:gridCol w:w="1641"/>
        <w:gridCol w:w="2369"/>
        <w:gridCol w:w="1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234" w:type="dxa"/>
            <w:vAlign w:val="center"/>
          </w:tcPr>
          <w:p>
            <w:pPr>
              <w:snapToGrid w:val="0"/>
              <w:spacing w:before="50" w:afterLines="5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2189" w:type="dxa"/>
            <w:vAlign w:val="center"/>
          </w:tcPr>
          <w:p>
            <w:pPr>
              <w:snapToGrid w:val="0"/>
              <w:spacing w:before="50" w:afterLines="5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设施设备、材料名称</w:t>
            </w:r>
          </w:p>
        </w:tc>
        <w:tc>
          <w:tcPr>
            <w:tcW w:w="1641" w:type="dxa"/>
            <w:tcBorders>
              <w:right w:val="single" w:color="auto" w:sz="4" w:space="0"/>
            </w:tcBorders>
            <w:vAlign w:val="center"/>
          </w:tcPr>
          <w:p>
            <w:pPr>
              <w:snapToGrid w:val="0"/>
              <w:spacing w:before="50" w:afterLines="5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数量</w:t>
            </w:r>
          </w:p>
        </w:tc>
        <w:tc>
          <w:tcPr>
            <w:tcW w:w="2369" w:type="dxa"/>
            <w:tcBorders>
              <w:left w:val="single" w:color="auto" w:sz="4" w:space="0"/>
            </w:tcBorders>
            <w:vAlign w:val="center"/>
          </w:tcPr>
          <w:p>
            <w:pPr>
              <w:snapToGrid w:val="0"/>
              <w:spacing w:before="50" w:afterLines="5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品牌、规格型号</w:t>
            </w:r>
          </w:p>
        </w:tc>
        <w:tc>
          <w:tcPr>
            <w:tcW w:w="1095" w:type="dxa"/>
            <w:vAlign w:val="center"/>
          </w:tcPr>
          <w:p>
            <w:pPr>
              <w:snapToGrid w:val="0"/>
              <w:spacing w:before="50" w:afterLines="5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4" w:type="dxa"/>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2189" w:type="dxa"/>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1641" w:type="dxa"/>
            <w:tcBorders>
              <w:right w:val="single" w:color="auto" w:sz="4" w:space="0"/>
            </w:tcBorders>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2369" w:type="dxa"/>
            <w:tcBorders>
              <w:left w:val="single" w:color="auto" w:sz="4" w:space="0"/>
            </w:tcBorders>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1095" w:type="dxa"/>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4" w:type="dxa"/>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2189" w:type="dxa"/>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1641" w:type="dxa"/>
            <w:tcBorders>
              <w:right w:val="single" w:color="auto" w:sz="4" w:space="0"/>
            </w:tcBorders>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2369" w:type="dxa"/>
            <w:tcBorders>
              <w:left w:val="single" w:color="auto" w:sz="4" w:space="0"/>
            </w:tcBorders>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1095" w:type="dxa"/>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4" w:type="dxa"/>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2189" w:type="dxa"/>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1641" w:type="dxa"/>
            <w:tcBorders>
              <w:right w:val="single" w:color="auto" w:sz="4" w:space="0"/>
            </w:tcBorders>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2369" w:type="dxa"/>
            <w:tcBorders>
              <w:left w:val="single" w:color="auto" w:sz="4" w:space="0"/>
            </w:tcBorders>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1095" w:type="dxa"/>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4" w:type="dxa"/>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2189" w:type="dxa"/>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1641" w:type="dxa"/>
            <w:tcBorders>
              <w:right w:val="single" w:color="auto" w:sz="4" w:space="0"/>
            </w:tcBorders>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2369" w:type="dxa"/>
            <w:tcBorders>
              <w:left w:val="single" w:color="auto" w:sz="4" w:space="0"/>
            </w:tcBorders>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1095" w:type="dxa"/>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4" w:type="dxa"/>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2189" w:type="dxa"/>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1641" w:type="dxa"/>
            <w:tcBorders>
              <w:right w:val="single" w:color="auto" w:sz="4" w:space="0"/>
            </w:tcBorders>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2369" w:type="dxa"/>
            <w:tcBorders>
              <w:left w:val="single" w:color="auto" w:sz="4" w:space="0"/>
            </w:tcBorders>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c>
          <w:tcPr>
            <w:tcW w:w="1095" w:type="dxa"/>
          </w:tcPr>
          <w:p>
            <w:pPr>
              <w:snapToGrid w:val="0"/>
              <w:spacing w:before="50" w:afterLines="50"/>
              <w:jc w:val="left"/>
              <w:rPr>
                <w:rFonts w:hint="default" w:ascii="Times New Roman" w:hAnsi="Times New Roman" w:cs="Times New Roman"/>
                <w:color w:val="000000" w:themeColor="text1"/>
                <w:szCs w:val="21"/>
                <w:highlight w:val="none"/>
                <w14:textFill>
                  <w14:solidFill>
                    <w14:schemeClr w14:val="tx1"/>
                  </w14:solidFill>
                </w14:textFill>
              </w:rPr>
            </w:pPr>
          </w:p>
        </w:tc>
      </w:tr>
    </w:tbl>
    <w:p>
      <w:pPr>
        <w:autoSpaceDE w:val="0"/>
        <w:autoSpaceDN w:val="0"/>
        <w:adjustRightInd w:val="0"/>
        <w:spacing w:line="360" w:lineRule="auto"/>
        <w:rPr>
          <w:rFonts w:hint="default" w:ascii="Times New Roman" w:hAnsi="Times New Roman" w:cs="Times New Roman"/>
          <w:color w:val="000000" w:themeColor="text1"/>
          <w:szCs w:val="21"/>
          <w:highlight w:val="none"/>
          <w14:textFill>
            <w14:solidFill>
              <w14:schemeClr w14:val="tx1"/>
            </w14:solidFill>
          </w14:textFill>
        </w:rPr>
      </w:pPr>
    </w:p>
    <w:p>
      <w:pPr>
        <w:autoSpaceDE w:val="0"/>
        <w:autoSpaceDN w:val="0"/>
        <w:adjustRightInd w:val="0"/>
        <w:spacing w:line="360" w:lineRule="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注：上述所列设施设备须与投标人中标后实际投入相一致，且中标人须于合同签订前向业主单位提供上述所列设施设备的租赁协议或发票。</w:t>
      </w:r>
    </w:p>
    <w:p>
      <w:pPr>
        <w:autoSpaceDE w:val="0"/>
        <w:autoSpaceDN w:val="0"/>
        <w:adjustRightInd w:val="0"/>
        <w:spacing w:line="360" w:lineRule="auto"/>
        <w:rPr>
          <w:rFonts w:hint="default" w:ascii="Times New Roman" w:hAnsi="Times New Roman" w:cs="Times New Roman"/>
          <w:color w:val="000000" w:themeColor="text1"/>
          <w:highlight w:val="none"/>
          <w:lang w:val="zh-CN"/>
          <w14:textFill>
            <w14:solidFill>
              <w14:schemeClr w14:val="tx1"/>
            </w14:solidFill>
          </w14:textFill>
        </w:rPr>
      </w:pPr>
    </w:p>
    <w:p>
      <w:pPr>
        <w:autoSpaceDE w:val="0"/>
        <w:autoSpaceDN w:val="0"/>
        <w:adjustRightInd w:val="0"/>
        <w:spacing w:line="360" w:lineRule="auto"/>
        <w:jc w:val="right"/>
        <w:rPr>
          <w:rFonts w:hint="default" w:ascii="Times New Roman" w:hAnsi="Times New Roman" w:cs="Times New Roman"/>
          <w:color w:val="000000" w:themeColor="text1"/>
          <w:highlight w:val="none"/>
          <w:lang w:val="zh-CN"/>
          <w14:textFill>
            <w14:solidFill>
              <w14:schemeClr w14:val="tx1"/>
            </w14:solidFill>
          </w14:textFill>
        </w:rPr>
      </w:pPr>
      <w:r>
        <w:rPr>
          <w:rFonts w:hint="default" w:ascii="Times New Roman" w:hAnsi="Times New Roman" w:cs="Times New Roman"/>
          <w:color w:val="000000" w:themeColor="text1"/>
          <w:highlight w:val="none"/>
          <w:lang w:val="zh-CN"/>
          <w14:textFill>
            <w14:solidFill>
              <w14:schemeClr w14:val="tx1"/>
            </w14:solidFill>
          </w14:textFill>
        </w:rPr>
        <w:t>投标人（公章）：</w:t>
      </w:r>
    </w:p>
    <w:p>
      <w:pPr>
        <w:autoSpaceDE w:val="0"/>
        <w:autoSpaceDN w:val="0"/>
        <w:adjustRightInd w:val="0"/>
        <w:spacing w:line="360" w:lineRule="auto"/>
        <w:ind w:firstLine="7035" w:firstLineChars="3350"/>
        <w:jc w:val="left"/>
        <w:rPr>
          <w:rFonts w:hint="default" w:ascii="Times New Roman" w:hAnsi="Times New Roman" w:cs="Times New Roman"/>
          <w:color w:val="000000" w:themeColor="text1"/>
          <w:highlight w:val="none"/>
          <w:lang w:val="zh-CN"/>
          <w14:textFill>
            <w14:solidFill>
              <w14:schemeClr w14:val="tx1"/>
            </w14:solidFill>
          </w14:textFill>
        </w:rPr>
      </w:pPr>
      <w:r>
        <w:rPr>
          <w:rFonts w:hint="default" w:ascii="Times New Roman" w:hAnsi="Times New Roman" w:cs="Times New Roman"/>
          <w:color w:val="000000" w:themeColor="text1"/>
          <w:highlight w:val="none"/>
          <w:lang w:val="zh-CN"/>
          <w14:textFill>
            <w14:solidFill>
              <w14:schemeClr w14:val="tx1"/>
            </w14:solidFill>
          </w14:textFill>
        </w:rPr>
        <w:t>年  月   日</w:t>
      </w:r>
    </w:p>
    <w:p>
      <w:pPr>
        <w:spacing w:line="360" w:lineRule="auto"/>
        <w:rPr>
          <w:rFonts w:hint="default" w:ascii="Times New Roman" w:hAnsi="Times New Roman" w:cs="Times New Roman"/>
          <w:b/>
          <w:color w:val="000000" w:themeColor="text1"/>
          <w:spacing w:val="20"/>
          <w:highlight w:val="none"/>
          <w14:textFill>
            <w14:solidFill>
              <w14:schemeClr w14:val="tx1"/>
            </w14:solidFill>
          </w14:textFill>
        </w:rPr>
      </w:pPr>
    </w:p>
    <w:p>
      <w:pPr>
        <w:autoSpaceDE w:val="0"/>
        <w:autoSpaceDN w:val="0"/>
        <w:adjustRightInd w:val="0"/>
        <w:spacing w:line="360" w:lineRule="auto"/>
        <w:jc w:val="left"/>
        <w:rPr>
          <w:rFonts w:hint="default" w:ascii="Times New Roman" w:hAnsi="Times New Roman" w:cs="Times New Roman"/>
          <w:color w:val="000000" w:themeColor="text1"/>
          <w:highlight w:val="none"/>
          <w:lang w:val="zh-CN"/>
          <w14:textFill>
            <w14:solidFill>
              <w14:schemeClr w14:val="tx1"/>
            </w14:solidFill>
          </w14:textFill>
        </w:rPr>
      </w:pPr>
    </w:p>
    <w:p>
      <w:pPr>
        <w:autoSpaceDE w:val="0"/>
        <w:autoSpaceDN w:val="0"/>
        <w:adjustRightInd w:val="0"/>
        <w:spacing w:line="360" w:lineRule="auto"/>
        <w:jc w:val="left"/>
        <w:rPr>
          <w:rFonts w:hint="default" w:ascii="Times New Roman" w:hAnsi="Times New Roman" w:cs="Times New Roman"/>
          <w:color w:val="000000" w:themeColor="text1"/>
          <w:highlight w:val="none"/>
          <w:lang w:val="zh-CN"/>
          <w14:textFill>
            <w14:solidFill>
              <w14:schemeClr w14:val="tx1"/>
            </w14:solidFill>
          </w14:textFill>
        </w:rPr>
      </w:pPr>
    </w:p>
    <w:p>
      <w:pPr>
        <w:spacing w:line="380" w:lineRule="exact"/>
        <w:ind w:hanging="1"/>
        <w:jc w:val="left"/>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default" w:ascii="Times New Roman" w:hAnsi="Times New Roman" w:cs="Times New Roman"/>
          <w:b/>
          <w:color w:val="000000" w:themeColor="text1"/>
          <w:kern w:val="0"/>
          <w:szCs w:val="21"/>
          <w:highlight w:val="none"/>
          <w14:textFill>
            <w14:solidFill>
              <w14:schemeClr w14:val="tx1"/>
            </w14:solidFill>
          </w14:textFill>
        </w:rPr>
        <w:br w:type="page"/>
      </w:r>
      <w:r>
        <w:rPr>
          <w:rFonts w:hint="default" w:ascii="Times New Roman" w:hAnsi="Times New Roman" w:cs="Times New Roman"/>
          <w:b/>
          <w:color w:val="000000" w:themeColor="text1"/>
          <w:kern w:val="0"/>
          <w:szCs w:val="21"/>
          <w:highlight w:val="none"/>
          <w14:textFill>
            <w14:solidFill>
              <w14:schemeClr w14:val="tx1"/>
            </w14:solidFill>
          </w14:textFill>
        </w:rPr>
        <w:t>十</w:t>
      </w:r>
      <w:r>
        <w:rPr>
          <w:rFonts w:hint="eastAsia" w:ascii="Times New Roman" w:hAnsi="Times New Roman" w:cs="Times New Roman"/>
          <w:b/>
          <w:color w:val="000000" w:themeColor="text1"/>
          <w:kern w:val="0"/>
          <w:szCs w:val="21"/>
          <w:highlight w:val="none"/>
          <w:lang w:val="en-US" w:eastAsia="zh-CN"/>
          <w14:textFill>
            <w14:solidFill>
              <w14:schemeClr w14:val="tx1"/>
            </w14:solidFill>
          </w14:textFill>
        </w:rPr>
        <w:t>三</w:t>
      </w:r>
      <w:r>
        <w:rPr>
          <w:rFonts w:hint="default" w:ascii="Times New Roman" w:hAnsi="Times New Roman" w:cs="Times New Roman"/>
          <w:b/>
          <w:color w:val="000000" w:themeColor="text1"/>
          <w:kern w:val="0"/>
          <w:szCs w:val="21"/>
          <w:highlight w:val="none"/>
          <w14:textFill>
            <w14:solidFill>
              <w14:schemeClr w14:val="tx1"/>
            </w14:solidFill>
          </w14:textFill>
        </w:rPr>
        <w:t>、技术偏离表</w:t>
      </w:r>
    </w:p>
    <w:p>
      <w:pPr>
        <w:spacing w:line="380" w:lineRule="exact"/>
        <w:ind w:left="-358" w:leftChars="-171" w:hanging="1"/>
        <w:jc w:val="center"/>
        <w:rPr>
          <w:rFonts w:hint="default" w:ascii="Times New Roman" w:hAnsi="Times New Roman" w:cs="Times New Roman"/>
          <w:b/>
          <w:color w:val="000000" w:themeColor="text1"/>
          <w:kern w:val="0"/>
          <w:szCs w:val="21"/>
          <w:highlight w:val="none"/>
          <w14:textFill>
            <w14:solidFill>
              <w14:schemeClr w14:val="tx1"/>
            </w14:solidFill>
          </w14:textFill>
        </w:rPr>
      </w:pPr>
    </w:p>
    <w:p>
      <w:pPr>
        <w:spacing w:line="380" w:lineRule="exact"/>
        <w:ind w:left="-358" w:leftChars="-171" w:hanging="1"/>
        <w:jc w:val="center"/>
        <w:rPr>
          <w:rFonts w:hint="default" w:ascii="Times New Roman" w:hAnsi="Times New Roman" w:cs="Times New Roman"/>
          <w:b/>
          <w:color w:val="000000" w:themeColor="text1"/>
          <w:kern w:val="0"/>
          <w:szCs w:val="21"/>
          <w:highlight w:val="none"/>
          <w14:textFill>
            <w14:solidFill>
              <w14:schemeClr w14:val="tx1"/>
            </w14:solidFill>
          </w14:textFill>
        </w:rPr>
      </w:pPr>
      <w:r>
        <w:rPr>
          <w:rFonts w:hint="default" w:ascii="Times New Roman" w:hAnsi="Times New Roman" w:cs="Times New Roman"/>
          <w:b/>
          <w:color w:val="000000" w:themeColor="text1"/>
          <w:kern w:val="0"/>
          <w:szCs w:val="21"/>
          <w:highlight w:val="none"/>
          <w14:textFill>
            <w14:solidFill>
              <w14:schemeClr w14:val="tx1"/>
            </w14:solidFill>
          </w14:textFill>
        </w:rPr>
        <w:t xml:space="preserve">       技术偏离表</w:t>
      </w:r>
    </w:p>
    <w:p>
      <w:pPr>
        <w:pStyle w:val="12"/>
        <w:rPr>
          <w:rFonts w:hint="default" w:ascii="Times New Roman" w:hAnsi="Times New Roman" w:cs="Times New Roman"/>
          <w:color w:val="000000" w:themeColor="text1"/>
          <w:highlight w:val="none"/>
          <w14:textFill>
            <w14:solidFill>
              <w14:schemeClr w14:val="tx1"/>
            </w14:solidFill>
          </w14:textFill>
        </w:rPr>
      </w:pPr>
    </w:p>
    <w:tbl>
      <w:tblPr>
        <w:tblStyle w:val="27"/>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2080"/>
        <w:gridCol w:w="1711"/>
        <w:gridCol w:w="1976"/>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91"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r>
              <w:rPr>
                <w:rFonts w:hint="default" w:ascii="Times New Roman" w:hAnsi="Times New Roman" w:cs="Times New Roman"/>
                <w:bCs/>
                <w:color w:val="000000" w:themeColor="text1"/>
                <w:sz w:val="22"/>
                <w:szCs w:val="22"/>
                <w:highlight w:val="none"/>
                <w14:textFill>
                  <w14:solidFill>
                    <w14:schemeClr w14:val="tx1"/>
                  </w14:solidFill>
                </w14:textFill>
              </w:rPr>
              <w:t>内   容</w:t>
            </w:r>
          </w:p>
        </w:tc>
        <w:tc>
          <w:tcPr>
            <w:tcW w:w="208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r>
              <w:rPr>
                <w:rFonts w:hint="default" w:ascii="Times New Roman" w:hAnsi="Times New Roman" w:cs="Times New Roman"/>
                <w:bCs/>
                <w:color w:val="000000" w:themeColor="text1"/>
                <w:sz w:val="22"/>
                <w:szCs w:val="22"/>
                <w:highlight w:val="none"/>
                <w14:textFill>
                  <w14:solidFill>
                    <w14:schemeClr w14:val="tx1"/>
                  </w14:solidFill>
                </w14:textFill>
              </w:rPr>
              <w:t>采购要求</w:t>
            </w:r>
          </w:p>
        </w:tc>
        <w:tc>
          <w:tcPr>
            <w:tcW w:w="1711"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r>
              <w:rPr>
                <w:rFonts w:hint="default" w:ascii="Times New Roman" w:hAnsi="Times New Roman" w:cs="Times New Roman"/>
                <w:bCs/>
                <w:color w:val="000000" w:themeColor="text1"/>
                <w:sz w:val="22"/>
                <w:szCs w:val="22"/>
                <w:highlight w:val="none"/>
                <w14:textFill>
                  <w14:solidFill>
                    <w14:schemeClr w14:val="tx1"/>
                  </w14:solidFill>
                </w14:textFill>
              </w:rPr>
              <w:t>投标响应</w:t>
            </w:r>
          </w:p>
        </w:tc>
        <w:tc>
          <w:tcPr>
            <w:tcW w:w="1976"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r>
              <w:rPr>
                <w:rFonts w:hint="default" w:ascii="Times New Roman" w:hAnsi="Times New Roman" w:cs="Times New Roman"/>
                <w:bCs/>
                <w:color w:val="000000" w:themeColor="text1"/>
                <w:sz w:val="22"/>
                <w:szCs w:val="22"/>
                <w:highlight w:val="none"/>
                <w14:textFill>
                  <w14:solidFill>
                    <w14:schemeClr w14:val="tx1"/>
                  </w14:solidFill>
                </w14:textFill>
              </w:rPr>
              <w:t>偏离</w:t>
            </w:r>
          </w:p>
        </w:tc>
        <w:tc>
          <w:tcPr>
            <w:tcW w:w="168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r>
              <w:rPr>
                <w:rFonts w:hint="default" w:ascii="Times New Roman" w:hAnsi="Times New Roman" w:cs="Times New Roman"/>
                <w:bCs/>
                <w:color w:val="000000" w:themeColor="text1"/>
                <w:sz w:val="22"/>
                <w:szCs w:val="22"/>
                <w:highlight w:val="none"/>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691" w:type="dxa"/>
            <w:vMerge w:val="restart"/>
            <w:vAlign w:val="center"/>
          </w:tcPr>
          <w:p>
            <w:pPr>
              <w:ind w:firstLine="220" w:firstLineChars="100"/>
              <w:rPr>
                <w:rFonts w:hint="default" w:ascii="Times New Roman" w:hAnsi="Times New Roman" w:cs="Times New Roman"/>
                <w:bCs/>
                <w:color w:val="000000" w:themeColor="text1"/>
                <w:sz w:val="22"/>
                <w:szCs w:val="22"/>
                <w:highlight w:val="none"/>
                <w14:textFill>
                  <w14:solidFill>
                    <w14:schemeClr w14:val="tx1"/>
                  </w14:solidFill>
                </w14:textFill>
              </w:rPr>
            </w:pPr>
            <w:r>
              <w:rPr>
                <w:rFonts w:hint="default" w:ascii="Times New Roman" w:hAnsi="Times New Roman" w:cs="Times New Roman"/>
                <w:bCs/>
                <w:color w:val="000000" w:themeColor="text1"/>
                <w:sz w:val="22"/>
                <w:szCs w:val="22"/>
                <w:highlight w:val="none"/>
                <w14:textFill>
                  <w14:solidFill>
                    <w14:schemeClr w14:val="tx1"/>
                  </w14:solidFill>
                </w14:textFill>
              </w:rPr>
              <w:t>技术条款</w:t>
            </w:r>
          </w:p>
        </w:tc>
        <w:tc>
          <w:tcPr>
            <w:tcW w:w="2080" w:type="dxa"/>
            <w:vAlign w:val="center"/>
          </w:tcPr>
          <w:p>
            <w:pPr>
              <w:jc w:val="left"/>
              <w:rPr>
                <w:rFonts w:hint="default" w:ascii="Times New Roman" w:hAnsi="Times New Roman" w:eastAsia="宋体" w:cs="Times New Roman"/>
                <w:bCs/>
                <w:color w:val="000000" w:themeColor="text1"/>
                <w:kern w:val="2"/>
                <w:sz w:val="22"/>
                <w:szCs w:val="22"/>
                <w:highlight w:val="none"/>
                <w:lang w:val="en-US" w:eastAsia="zh-CN" w:bidi="ar-SA"/>
                <w14:textFill>
                  <w14:solidFill>
                    <w14:schemeClr w14:val="tx1"/>
                  </w14:solidFill>
                </w14:textFill>
              </w:rPr>
            </w:pPr>
            <w:r>
              <w:rPr>
                <w:rFonts w:hint="eastAsia" w:ascii="Times New Roman" w:hAnsi="Times New Roman" w:cs="Times New Roman"/>
                <w:szCs w:val="21"/>
                <w:highlight w:val="none"/>
                <w:u w:val="none"/>
                <w:lang w:val="en-US" w:eastAsia="zh-CN"/>
              </w:rPr>
              <w:t>具备</w:t>
            </w:r>
            <w:r>
              <w:rPr>
                <w:rFonts w:hint="default" w:ascii="Times New Roman" w:hAnsi="Times New Roman" w:cs="Times New Roman"/>
                <w:szCs w:val="21"/>
                <w:highlight w:val="none"/>
                <w:u w:val="none"/>
              </w:rPr>
              <w:t>任务派发、</w:t>
            </w:r>
            <w:r>
              <w:rPr>
                <w:rFonts w:hint="default" w:ascii="Times New Roman" w:hAnsi="Times New Roman" w:cs="Times New Roman"/>
                <w:szCs w:val="21"/>
                <w:highlight w:val="none"/>
                <w:u w:val="none"/>
                <w:lang w:val="en-US" w:eastAsia="zh-CN"/>
              </w:rPr>
              <w:t>巡查成果照片管理、巡查数据</w:t>
            </w:r>
            <w:r>
              <w:rPr>
                <w:rFonts w:hint="eastAsia" w:ascii="Times New Roman" w:hAnsi="Times New Roman" w:cs="Times New Roman"/>
                <w:szCs w:val="21"/>
                <w:highlight w:val="none"/>
                <w:u w:val="none"/>
                <w:lang w:val="en-US" w:eastAsia="zh-CN"/>
              </w:rPr>
              <w:t>记录、</w:t>
            </w:r>
            <w:r>
              <w:rPr>
                <w:rFonts w:hint="default" w:ascii="Times New Roman" w:hAnsi="Times New Roman" w:cs="Times New Roman"/>
                <w:szCs w:val="21"/>
                <w:highlight w:val="none"/>
                <w:u w:val="none"/>
                <w:lang w:val="en-US" w:eastAsia="zh-CN"/>
              </w:rPr>
              <w:t>查询</w:t>
            </w:r>
            <w:r>
              <w:rPr>
                <w:rFonts w:hint="eastAsia" w:ascii="Times New Roman" w:hAnsi="Times New Roman" w:cs="Times New Roman"/>
                <w:szCs w:val="21"/>
                <w:highlight w:val="none"/>
                <w:u w:val="none"/>
                <w:lang w:val="en-US" w:eastAsia="zh-CN"/>
              </w:rPr>
              <w:t>、上传等功能</w:t>
            </w:r>
          </w:p>
        </w:tc>
        <w:tc>
          <w:tcPr>
            <w:tcW w:w="1711"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976"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68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2080" w:type="dxa"/>
            <w:vAlign w:val="center"/>
          </w:tcPr>
          <w:p>
            <w:pPr>
              <w:jc w:val="left"/>
              <w:rPr>
                <w:rFonts w:hint="eastAsia" w:ascii="Times New Roman" w:hAnsi="Times New Roman" w:eastAsia="宋体" w:cs="Times New Roman"/>
                <w:bCs/>
                <w:color w:val="000000" w:themeColor="text1"/>
                <w:kern w:val="2"/>
                <w:sz w:val="22"/>
                <w:szCs w:val="22"/>
                <w:highlight w:val="none"/>
                <w:lang w:val="en-US" w:eastAsia="zh-CN" w:bidi="ar-SA"/>
                <w14:textFill>
                  <w14:solidFill>
                    <w14:schemeClr w14:val="tx1"/>
                  </w14:solidFill>
                </w14:textFill>
              </w:rPr>
            </w:pPr>
            <w:r>
              <w:rPr>
                <w:rFonts w:hint="eastAsia"/>
                <w:lang w:val="en-US" w:eastAsia="zh-CN"/>
              </w:rPr>
              <w:t>具备对监测数据实现分级审批功能</w:t>
            </w:r>
          </w:p>
        </w:tc>
        <w:tc>
          <w:tcPr>
            <w:tcW w:w="1711"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976"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68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2080" w:type="dxa"/>
            <w:vAlign w:val="center"/>
          </w:tcPr>
          <w:p>
            <w:pPr>
              <w:jc w:val="left"/>
              <w:rPr>
                <w:rFonts w:hint="default" w:ascii="Times New Roman" w:hAnsi="Times New Roman" w:eastAsia="宋体" w:cs="Times New Roman"/>
                <w:bCs/>
                <w:color w:val="000000" w:themeColor="text1"/>
                <w:kern w:val="2"/>
                <w:sz w:val="22"/>
                <w:szCs w:val="22"/>
                <w:highlight w:val="none"/>
                <w:lang w:val="en-US" w:eastAsia="zh-CN" w:bidi="ar-SA"/>
                <w14:textFill>
                  <w14:solidFill>
                    <w14:schemeClr w14:val="tx1"/>
                  </w14:solidFill>
                </w14:textFill>
              </w:rPr>
            </w:pPr>
            <w:r>
              <w:rPr>
                <w:rFonts w:hint="eastAsia"/>
                <w:lang w:val="en-US" w:eastAsia="zh-CN"/>
              </w:rPr>
              <w:t>可以提供巡检人员定位、电子签到功能</w:t>
            </w:r>
          </w:p>
        </w:tc>
        <w:tc>
          <w:tcPr>
            <w:tcW w:w="1711"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976"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68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2080" w:type="dxa"/>
            <w:vAlign w:val="center"/>
          </w:tcPr>
          <w:p>
            <w:pPr>
              <w:jc w:val="left"/>
              <w:rPr>
                <w:rFonts w:hint="default" w:ascii="Times New Roman" w:hAnsi="Times New Roman" w:cs="Times New Roman"/>
                <w:bCs/>
                <w:color w:val="000000" w:themeColor="text1"/>
                <w:sz w:val="22"/>
                <w:szCs w:val="22"/>
                <w:highlight w:val="none"/>
                <w14:textFill>
                  <w14:solidFill>
                    <w14:schemeClr w14:val="tx1"/>
                  </w14:solidFill>
                </w14:textFill>
              </w:rPr>
            </w:pPr>
            <w:r>
              <w:rPr>
                <w:rFonts w:hint="eastAsia"/>
                <w:lang w:val="en-US" w:eastAsia="zh-CN"/>
              </w:rPr>
              <w:t>服务期内提供同版本软件免费客户化修改与免费升级服务。并能为用户后续的信息化建设提供长期的技术支持</w:t>
            </w:r>
          </w:p>
        </w:tc>
        <w:tc>
          <w:tcPr>
            <w:tcW w:w="1711"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976"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68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2080" w:type="dxa"/>
            <w:vAlign w:val="center"/>
          </w:tcPr>
          <w:p>
            <w:pPr>
              <w:jc w:val="left"/>
              <w:rPr>
                <w:rFonts w:hint="default" w:ascii="Times New Roman" w:hAnsi="Times New Roman" w:eastAsia="宋体" w:cs="Times New Roman"/>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lang w:val="en-US" w:eastAsia="zh-CN"/>
              </w:rPr>
              <w:t>▲</w:t>
            </w:r>
            <w:r>
              <w:rPr>
                <w:rFonts w:hint="eastAsia"/>
                <w:lang w:val="en-US" w:eastAsia="zh-CN"/>
              </w:rPr>
              <w:t>具备预留端口，服务期结束后本系统能与其他系统兼容或能将本项目所有数据资料导出</w:t>
            </w:r>
          </w:p>
        </w:tc>
        <w:tc>
          <w:tcPr>
            <w:tcW w:w="1711"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976"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680" w:type="dxa"/>
            <w:vAlign w:val="center"/>
          </w:tcPr>
          <w:p>
            <w:pPr>
              <w:jc w:val="center"/>
              <w:rPr>
                <w:rFonts w:hint="default" w:ascii="Times New Roman" w:hAnsi="Times New Roman" w:eastAsia="宋体" w:cs="Times New Roman"/>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208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711"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976"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68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208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711"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976"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68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208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711"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976"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c>
          <w:tcPr>
            <w:tcW w:w="1680" w:type="dxa"/>
            <w:vAlign w:val="center"/>
          </w:tcPr>
          <w:p>
            <w:pPr>
              <w:jc w:val="center"/>
              <w:rPr>
                <w:rFonts w:hint="default" w:ascii="Times New Roman" w:hAnsi="Times New Roman" w:cs="Times New Roman"/>
                <w:bCs/>
                <w:color w:val="000000" w:themeColor="text1"/>
                <w:sz w:val="22"/>
                <w:szCs w:val="22"/>
                <w:highlight w:val="none"/>
                <w14:textFill>
                  <w14:solidFill>
                    <w14:schemeClr w14:val="tx1"/>
                  </w14:solidFill>
                </w14:textFill>
              </w:rPr>
            </w:pPr>
          </w:p>
        </w:tc>
      </w:tr>
    </w:tbl>
    <w:p>
      <w:pPr>
        <w:pStyle w:val="17"/>
        <w:spacing w:line="400" w:lineRule="atLeast"/>
        <w:ind w:left="537" w:hanging="537" w:hangingChars="243"/>
        <w:rPr>
          <w:rFonts w:hint="default" w:ascii="Times New Roman" w:hAnsi="Times New Roman" w:eastAsia="宋体" w:cs="Times New Roman"/>
          <w:b/>
          <w:color w:val="000000" w:themeColor="text1"/>
          <w:sz w:val="22"/>
          <w:szCs w:val="22"/>
          <w:highlight w:val="none"/>
          <w14:textFill>
            <w14:solidFill>
              <w14:schemeClr w14:val="tx1"/>
            </w14:solidFill>
          </w14:textFill>
        </w:rPr>
      </w:pPr>
      <w:r>
        <w:rPr>
          <w:rFonts w:hint="default" w:ascii="Times New Roman" w:hAnsi="Times New Roman" w:eastAsia="宋体" w:cs="Times New Roman"/>
          <w:b/>
          <w:color w:val="000000" w:themeColor="text1"/>
          <w:sz w:val="22"/>
          <w:szCs w:val="22"/>
          <w:highlight w:val="none"/>
          <w14:textFill>
            <w14:solidFill>
              <w14:schemeClr w14:val="tx1"/>
            </w14:solidFill>
          </w14:textFill>
        </w:rPr>
        <w:t>注： 如有偏离，必须在偏离表中进行详细对比说明并注明正偏离（负偏离），如此表不填或填写为无偏离或不说明偏离情况，视为完全响应招标文件要求。</w:t>
      </w:r>
    </w:p>
    <w:p>
      <w:pPr>
        <w:rPr>
          <w:rFonts w:hint="default" w:ascii="Times New Roman" w:hAnsi="Times New Roman" w:cs="Times New Roman"/>
          <w:color w:val="000000" w:themeColor="text1"/>
          <w:sz w:val="22"/>
          <w:szCs w:val="22"/>
          <w:highlight w:val="none"/>
          <w14:textFill>
            <w14:solidFill>
              <w14:schemeClr w14:val="tx1"/>
            </w14:solidFill>
          </w14:textFill>
        </w:rPr>
      </w:pP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投标人（盖章）：</w:t>
      </w: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 xml:space="preserve">法定代表人（签字或盖章）：             </w:t>
      </w:r>
    </w:p>
    <w:p>
      <w:pPr>
        <w:snapToGrid w:val="0"/>
        <w:spacing w:before="50" w:after="50"/>
        <w:ind w:left="-23" w:leftChars="-11" w:right="-817" w:rightChars="-389"/>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日期：    年   月   日</w:t>
      </w:r>
    </w:p>
    <w:p>
      <w:pPr>
        <w:ind w:firstLine="420"/>
        <w:jc w:val="left"/>
        <w:rPr>
          <w:rFonts w:hint="default" w:ascii="Times New Roman" w:hAnsi="Times New Roman" w:cs="Times New Roman"/>
          <w:b/>
          <w:bCs/>
          <w:color w:val="000000" w:themeColor="text1"/>
          <w:spacing w:val="-4"/>
          <w:szCs w:val="21"/>
          <w:highlight w:val="none"/>
          <w14:textFill>
            <w14:solidFill>
              <w14:schemeClr w14:val="tx1"/>
            </w14:solidFill>
          </w14:textFill>
        </w:rPr>
      </w:pPr>
    </w:p>
    <w:p>
      <w:pPr>
        <w:ind w:firstLine="420"/>
        <w:jc w:val="left"/>
        <w:rPr>
          <w:rFonts w:hint="default" w:ascii="Times New Roman" w:hAnsi="Times New Roman" w:cs="Times New Roman"/>
          <w:b/>
          <w:bCs/>
          <w:color w:val="000000" w:themeColor="text1"/>
          <w:spacing w:val="-4"/>
          <w:szCs w:val="21"/>
          <w:highlight w:val="none"/>
          <w14:textFill>
            <w14:solidFill>
              <w14:schemeClr w14:val="tx1"/>
            </w14:solidFill>
          </w14:textFill>
        </w:rPr>
      </w:pPr>
    </w:p>
    <w:p>
      <w:pPr>
        <w:pStyle w:val="13"/>
        <w:numPr>
          <w:ilvl w:val="0"/>
          <w:numId w:val="0"/>
        </w:numPr>
        <w:rPr>
          <w:rFonts w:hint="default" w:ascii="Times New Roman" w:hAnsi="Times New Roman" w:eastAsia="宋体" w:cs="Times New Roman"/>
          <w:b/>
          <w:color w:val="000000" w:themeColor="text1"/>
          <w:kern w:val="0"/>
          <w:sz w:val="21"/>
          <w:szCs w:val="21"/>
          <w:highlight w:val="none"/>
          <w:lang w:val="en-US" w:eastAsia="zh-CN" w:bidi="ar-SA"/>
          <w14:textFill>
            <w14:solidFill>
              <w14:schemeClr w14:val="tx1"/>
            </w14:solidFill>
          </w14:textFill>
        </w:rPr>
      </w:pPr>
      <w:r>
        <w:rPr>
          <w:rFonts w:hint="eastAsia" w:cs="Times New Roman"/>
          <w:b/>
          <w:color w:val="000000" w:themeColor="text1"/>
          <w:kern w:val="0"/>
          <w:sz w:val="21"/>
          <w:szCs w:val="21"/>
          <w:highlight w:val="none"/>
          <w:lang w:val="en-US" w:eastAsia="zh-CN" w:bidi="ar-SA"/>
          <w14:textFill>
            <w14:solidFill>
              <w14:schemeClr w14:val="tx1"/>
            </w14:solidFill>
          </w14:textFill>
        </w:rPr>
        <w:t>十四、</w:t>
      </w:r>
      <w:r>
        <w:rPr>
          <w:rFonts w:hint="default" w:ascii="Times New Roman" w:hAnsi="Times New Roman" w:eastAsia="宋体" w:cs="Times New Roman"/>
          <w:b/>
          <w:color w:val="000000" w:themeColor="text1"/>
          <w:kern w:val="0"/>
          <w:sz w:val="21"/>
          <w:szCs w:val="21"/>
          <w:highlight w:val="none"/>
          <w:lang w:val="en-US" w:eastAsia="zh-CN" w:bidi="ar-SA"/>
          <w14:textFill>
            <w14:solidFill>
              <w14:schemeClr w14:val="tx1"/>
            </w14:solidFill>
          </w14:textFill>
        </w:rPr>
        <w:t>承诺书</w:t>
      </w:r>
    </w:p>
    <w:p>
      <w:pPr>
        <w:adjustRightInd w:val="0"/>
        <w:snapToGrid w:val="0"/>
        <w:spacing w:line="400" w:lineRule="exact"/>
        <w:ind w:firstLine="200"/>
        <w:jc w:val="center"/>
        <w:rPr>
          <w:rFonts w:hint="default" w:ascii="Times New Roman" w:hAnsi="Times New Roman" w:cs="Times New Roman"/>
          <w:b/>
          <w:color w:val="000000" w:themeColor="text1"/>
          <w:kern w:val="0"/>
          <w:sz w:val="24"/>
          <w:szCs w:val="32"/>
          <w:highlight w:val="none"/>
          <w:lang w:val="zh-CN"/>
          <w14:textFill>
            <w14:solidFill>
              <w14:schemeClr w14:val="tx1"/>
            </w14:solidFill>
          </w14:textFill>
        </w:rPr>
      </w:pPr>
    </w:p>
    <w:p>
      <w:pPr>
        <w:adjustRightInd w:val="0"/>
        <w:snapToGrid w:val="0"/>
        <w:spacing w:line="400" w:lineRule="exact"/>
        <w:ind w:firstLine="200"/>
        <w:jc w:val="center"/>
        <w:rPr>
          <w:rFonts w:hint="default" w:ascii="Times New Roman" w:hAnsi="Times New Roman" w:cs="Times New Roman"/>
          <w:b/>
          <w:color w:val="000000" w:themeColor="text1"/>
          <w:kern w:val="0"/>
          <w:sz w:val="24"/>
          <w:szCs w:val="32"/>
          <w:highlight w:val="none"/>
          <w:lang w:val="zh-CN"/>
          <w14:textFill>
            <w14:solidFill>
              <w14:schemeClr w14:val="tx1"/>
            </w14:solidFill>
          </w14:textFill>
        </w:rPr>
      </w:pPr>
    </w:p>
    <w:p>
      <w:pPr>
        <w:adjustRightInd w:val="0"/>
        <w:snapToGrid w:val="0"/>
        <w:spacing w:line="400" w:lineRule="exact"/>
        <w:ind w:firstLine="200"/>
        <w:jc w:val="center"/>
        <w:rPr>
          <w:rFonts w:hint="default" w:ascii="Times New Roman" w:hAnsi="Times New Roman" w:cs="Times New Roman"/>
          <w:b/>
          <w:color w:val="000000" w:themeColor="text1"/>
          <w:kern w:val="0"/>
          <w:sz w:val="24"/>
          <w:szCs w:val="32"/>
          <w:highlight w:val="none"/>
          <w:lang w:val="zh-CN"/>
          <w14:textFill>
            <w14:solidFill>
              <w14:schemeClr w14:val="tx1"/>
            </w14:solidFill>
          </w14:textFill>
        </w:rPr>
      </w:pPr>
      <w:r>
        <w:rPr>
          <w:rFonts w:hint="default" w:ascii="Times New Roman" w:hAnsi="Times New Roman" w:cs="Times New Roman"/>
          <w:b/>
          <w:color w:val="000000" w:themeColor="text1"/>
          <w:kern w:val="0"/>
          <w:sz w:val="24"/>
          <w:szCs w:val="32"/>
          <w:highlight w:val="none"/>
          <w:lang w:val="zh-CN"/>
          <w14:textFill>
            <w14:solidFill>
              <w14:schemeClr w14:val="tx1"/>
            </w14:solidFill>
          </w14:textFill>
        </w:rPr>
        <w:t>承诺书</w:t>
      </w:r>
    </w:p>
    <w:p>
      <w:pPr>
        <w:adjustRightInd w:val="0"/>
        <w:snapToGrid w:val="0"/>
        <w:spacing w:line="400" w:lineRule="exact"/>
        <w:ind w:firstLine="200"/>
        <w:jc w:val="both"/>
        <w:rPr>
          <w:rFonts w:hint="eastAsia" w:ascii="Times New Roman" w:hAnsi="Times New Roman" w:cs="Times New Roman"/>
          <w:b/>
          <w:color w:val="000000" w:themeColor="text1"/>
          <w:kern w:val="0"/>
          <w:sz w:val="24"/>
          <w:szCs w:val="32"/>
          <w:highlight w:val="none"/>
          <w:lang w:val="zh-CN" w:eastAsia="zh-CN"/>
          <w14:textFill>
            <w14:solidFill>
              <w14:schemeClr w14:val="tx1"/>
            </w14:solidFill>
          </w14:textFill>
        </w:rPr>
      </w:pPr>
      <w:r>
        <w:rPr>
          <w:rFonts w:hint="eastAsia" w:ascii="Times New Roman" w:hAnsi="Times New Roman" w:cs="Times New Roman"/>
          <w:b/>
          <w:color w:val="000000" w:themeColor="text1"/>
          <w:kern w:val="0"/>
          <w:sz w:val="24"/>
          <w:szCs w:val="32"/>
          <w:highlight w:val="none"/>
          <w:lang w:val="zh-CN" w:eastAsia="zh-CN"/>
          <w14:textFill>
            <w14:solidFill>
              <w14:schemeClr w14:val="tx1"/>
            </w14:solidFill>
          </w14:textFill>
        </w:rPr>
        <w:t>舟山市定海区住房和城乡建设局：</w:t>
      </w:r>
    </w:p>
    <w:p>
      <w:pPr>
        <w:spacing w:line="480" w:lineRule="exact"/>
        <w:ind w:firstLine="632" w:firstLineChars="300"/>
        <w:rPr>
          <w:rFonts w:hint="eastAsia" w:ascii="Times New Roman" w:hAnsi="Times New Roman" w:cs="Times New Roman"/>
          <w:b/>
          <w:bCs/>
          <w:color w:val="000000"/>
          <w:szCs w:val="21"/>
          <w:highlight w:val="none"/>
          <w:lang w:val="en-US" w:eastAsia="zh-CN"/>
        </w:rPr>
      </w:pPr>
      <w:r>
        <w:rPr>
          <w:rFonts w:hint="eastAsia" w:ascii="Times New Roman" w:hAnsi="Times New Roman" w:cs="Times New Roman"/>
          <w:b/>
          <w:bCs/>
          <w:color w:val="000000"/>
          <w:szCs w:val="21"/>
          <w:highlight w:val="none"/>
          <w:lang w:val="en-US" w:eastAsia="zh-CN"/>
        </w:rPr>
        <w:t>我公司针对本项目作出如下承诺：</w:t>
      </w:r>
    </w:p>
    <w:p>
      <w:pPr>
        <w:spacing w:line="480" w:lineRule="exact"/>
        <w:ind w:firstLine="632" w:firstLineChars="300"/>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1、</w:t>
      </w:r>
      <w:r>
        <w:rPr>
          <w:rFonts w:hint="eastAsia" w:ascii="Times New Roman" w:hAnsi="Times New Roman" w:cs="Times New Roman"/>
          <w:b/>
          <w:bCs/>
          <w:color w:val="000000"/>
          <w:szCs w:val="21"/>
          <w:highlight w:val="none"/>
          <w:lang w:val="en-US" w:eastAsia="zh-CN"/>
        </w:rPr>
        <w:t>我公司承诺中标后</w:t>
      </w:r>
      <w:r>
        <w:rPr>
          <w:rFonts w:hint="default" w:ascii="Times New Roman" w:hAnsi="Times New Roman" w:cs="Times New Roman"/>
          <w:b/>
          <w:bCs/>
          <w:color w:val="000000"/>
          <w:szCs w:val="21"/>
          <w:highlight w:val="none"/>
        </w:rPr>
        <w:t>对居民及社区反映有关房屋安全的信访和投诉类情况进行现场勘查，并出具相关报告（报告期限为甲方通知受理之日起2个工作日内）；</w:t>
      </w:r>
    </w:p>
    <w:p>
      <w:pPr>
        <w:spacing w:line="480" w:lineRule="exact"/>
        <w:ind w:firstLine="632" w:firstLineChars="300"/>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2、</w:t>
      </w:r>
      <w:r>
        <w:rPr>
          <w:rFonts w:hint="eastAsia" w:ascii="Times New Roman" w:hAnsi="Times New Roman" w:cs="Times New Roman"/>
          <w:b/>
          <w:bCs/>
          <w:color w:val="000000"/>
          <w:szCs w:val="21"/>
          <w:highlight w:val="none"/>
          <w:lang w:val="en-US" w:eastAsia="zh-CN"/>
        </w:rPr>
        <w:t>我公司承诺中标后</w:t>
      </w:r>
      <w:r>
        <w:rPr>
          <w:rFonts w:hint="default" w:ascii="Times New Roman" w:hAnsi="Times New Roman" w:cs="Times New Roman"/>
          <w:b/>
          <w:bCs/>
          <w:color w:val="000000"/>
          <w:szCs w:val="21"/>
          <w:highlight w:val="none"/>
        </w:rPr>
        <w:t>在定海区驻点，安排常驻工作人员2人以上。24小时提供技术支持，全天候处理突发事件并随时到达采购人指定地点，接到采购人通知后，30分钟内做出回应，1小时内到达现场。</w:t>
      </w:r>
    </w:p>
    <w:p>
      <w:pPr>
        <w:pStyle w:val="13"/>
        <w:ind w:left="0" w:leftChars="0" w:firstLine="632" w:firstLineChars="300"/>
        <w:rPr>
          <w:rFonts w:hint="default" w:ascii="Times New Roman" w:hAnsi="Times New Roman" w:cs="Times New Roman"/>
          <w:b/>
          <w:color w:val="000000" w:themeColor="text1"/>
          <w:kern w:val="0"/>
          <w:sz w:val="24"/>
          <w:szCs w:val="32"/>
          <w:highlight w:val="none"/>
          <w:lang w:val="zh-CN"/>
          <w14:textFill>
            <w14:solidFill>
              <w14:schemeClr w14:val="tx1"/>
            </w14:solidFill>
          </w14:textFill>
        </w:rPr>
      </w:pPr>
      <w:r>
        <w:rPr>
          <w:rFonts w:hint="default" w:ascii="Times New Roman" w:hAnsi="Times New Roman" w:cs="Times New Roman"/>
          <w:b/>
          <w:bCs/>
          <w:color w:val="000000"/>
          <w:szCs w:val="21"/>
          <w:highlight w:val="none"/>
        </w:rPr>
        <w:t>3、</w:t>
      </w:r>
      <w:r>
        <w:rPr>
          <w:rFonts w:hint="eastAsia" w:cs="Times New Roman"/>
          <w:b/>
          <w:bCs/>
          <w:color w:val="000000"/>
          <w:szCs w:val="21"/>
          <w:highlight w:val="none"/>
          <w:lang w:val="en-US" w:eastAsia="zh-CN"/>
        </w:rPr>
        <w:t>中标后</w:t>
      </w:r>
      <w:r>
        <w:rPr>
          <w:rFonts w:hint="default" w:ascii="Times New Roman" w:hAnsi="Times New Roman" w:cs="Times New Roman"/>
          <w:b/>
          <w:bCs/>
          <w:color w:val="000000"/>
          <w:szCs w:val="21"/>
          <w:highlight w:val="none"/>
        </w:rPr>
        <w:t>其他涉及危房工作开展，</w:t>
      </w:r>
      <w:r>
        <w:rPr>
          <w:rFonts w:hint="eastAsia" w:cs="Times New Roman"/>
          <w:b/>
          <w:bCs/>
          <w:color w:val="000000"/>
          <w:szCs w:val="21"/>
          <w:highlight w:val="none"/>
          <w:lang w:val="en-US" w:eastAsia="zh-CN"/>
        </w:rPr>
        <w:t>我公司</w:t>
      </w:r>
      <w:r>
        <w:rPr>
          <w:rFonts w:hint="default" w:ascii="Times New Roman" w:hAnsi="Times New Roman" w:cs="Times New Roman"/>
          <w:b/>
          <w:bCs/>
          <w:color w:val="000000"/>
          <w:szCs w:val="21"/>
          <w:highlight w:val="none"/>
        </w:rPr>
        <w:t>无条件服从主管部门安排的工作。</w:t>
      </w:r>
    </w:p>
    <w:p>
      <w:pPr>
        <w:pStyle w:val="13"/>
        <w:rPr>
          <w:rFonts w:hint="default" w:ascii="Times New Roman" w:hAnsi="Times New Roman" w:cs="Times New Roman"/>
          <w:b/>
          <w:color w:val="000000" w:themeColor="text1"/>
          <w:kern w:val="0"/>
          <w:sz w:val="24"/>
          <w:szCs w:val="32"/>
          <w:highlight w:val="none"/>
          <w:lang w:val="zh-CN"/>
          <w14:textFill>
            <w14:solidFill>
              <w14:schemeClr w14:val="tx1"/>
            </w14:solidFill>
          </w14:textFill>
        </w:rPr>
      </w:pPr>
    </w:p>
    <w:p>
      <w:pPr>
        <w:pStyle w:val="13"/>
        <w:rPr>
          <w:rFonts w:hint="default" w:ascii="Times New Roman" w:hAnsi="Times New Roman" w:cs="Times New Roman"/>
          <w:b/>
          <w:color w:val="000000" w:themeColor="text1"/>
          <w:kern w:val="0"/>
          <w:sz w:val="24"/>
          <w:szCs w:val="32"/>
          <w:highlight w:val="none"/>
          <w:lang w:val="zh-CN"/>
          <w14:textFill>
            <w14:solidFill>
              <w14:schemeClr w14:val="tx1"/>
            </w14:solidFill>
          </w14:textFill>
        </w:rPr>
      </w:pPr>
    </w:p>
    <w:p>
      <w:pPr>
        <w:adjustRightInd w:val="0"/>
        <w:snapToGrid w:val="0"/>
        <w:spacing w:line="400" w:lineRule="exact"/>
        <w:ind w:firstLine="200"/>
        <w:jc w:val="center"/>
        <w:rPr>
          <w:rFonts w:hint="default" w:ascii="Times New Roman" w:hAnsi="Times New Roman" w:cs="Times New Roman"/>
          <w:color w:val="000000" w:themeColor="text1"/>
          <w:highlight w:val="none"/>
          <w14:textFill>
            <w14:solidFill>
              <w14:schemeClr w14:val="tx1"/>
            </w14:solidFill>
          </w14:textFill>
        </w:rPr>
      </w:pPr>
    </w:p>
    <w:p>
      <w:pPr>
        <w:pStyle w:val="2"/>
        <w:rPr>
          <w:rFonts w:hint="default"/>
        </w:rPr>
      </w:pPr>
    </w:p>
    <w:p>
      <w:pPr>
        <w:adjustRightInd w:val="0"/>
        <w:snapToGrid w:val="0"/>
        <w:spacing w:line="400" w:lineRule="exact"/>
        <w:ind w:firstLine="200"/>
        <w:jc w:val="center"/>
        <w:rPr>
          <w:rFonts w:hint="default" w:ascii="Times New Roman" w:hAnsi="Times New Roman" w:cs="Times New Roman"/>
          <w:color w:val="000000" w:themeColor="text1"/>
          <w:highlight w:val="none"/>
          <w14:textFill>
            <w14:solidFill>
              <w14:schemeClr w14:val="tx1"/>
            </w14:solidFill>
          </w14:textFill>
        </w:rPr>
      </w:pPr>
    </w:p>
    <w:p>
      <w:pPr>
        <w:autoSpaceDE w:val="0"/>
        <w:autoSpaceDN w:val="0"/>
        <w:adjustRightInd w:val="0"/>
        <w:snapToGrid w:val="0"/>
        <w:spacing w:line="400" w:lineRule="exact"/>
        <w:ind w:firstLine="4464" w:firstLineChars="2126"/>
        <w:jc w:val="left"/>
        <w:rPr>
          <w:rFonts w:hint="default" w:ascii="Times New Roman" w:hAnsi="Times New Roman" w:cs="Times New Roman"/>
          <w:color w:val="000000" w:themeColor="text1"/>
          <w:kern w:val="0"/>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投标人名称（公章）：</w:t>
      </w:r>
    </w:p>
    <w:p>
      <w:pPr>
        <w:autoSpaceDE w:val="0"/>
        <w:autoSpaceDN w:val="0"/>
        <w:adjustRightInd w:val="0"/>
        <w:snapToGrid w:val="0"/>
        <w:spacing w:line="400" w:lineRule="exact"/>
        <w:ind w:firstLine="4464" w:firstLineChars="2126"/>
        <w:jc w:val="left"/>
        <w:rPr>
          <w:rFonts w:hint="default" w:ascii="Times New Roman" w:hAnsi="Times New Roman" w:cs="Times New Roman"/>
          <w:color w:val="000000" w:themeColor="text1"/>
          <w:kern w:val="0"/>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法定代表人（签字</w:t>
      </w:r>
      <w:r>
        <w:rPr>
          <w:rFonts w:hint="default" w:ascii="Times New Roman" w:hAnsi="Times New Roman" w:cs="Times New Roman"/>
          <w:color w:val="000000" w:themeColor="text1"/>
          <w:kern w:val="0"/>
          <w:highlight w:val="none"/>
          <w:lang w:eastAsia="zh-CN"/>
          <w14:textFill>
            <w14:solidFill>
              <w14:schemeClr w14:val="tx1"/>
            </w14:solidFill>
          </w14:textFill>
        </w:rPr>
        <w:t>或盖章</w:t>
      </w:r>
      <w:r>
        <w:rPr>
          <w:rFonts w:hint="default" w:ascii="Times New Roman" w:hAnsi="Times New Roman" w:cs="Times New Roman"/>
          <w:color w:val="000000" w:themeColor="text1"/>
          <w:kern w:val="0"/>
          <w:highlight w:val="none"/>
          <w14:textFill>
            <w14:solidFill>
              <w14:schemeClr w14:val="tx1"/>
            </w14:solidFill>
          </w14:textFill>
        </w:rPr>
        <w:t>）：</w:t>
      </w:r>
    </w:p>
    <w:p>
      <w:pPr>
        <w:adjustRightInd w:val="0"/>
        <w:snapToGrid w:val="0"/>
        <w:spacing w:line="400" w:lineRule="exact"/>
        <w:ind w:firstLine="4464" w:firstLineChars="2126"/>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日期：202</w:t>
      </w:r>
      <w:r>
        <w:rPr>
          <w:rFonts w:hint="eastAsia" w:ascii="Times New Roman" w:hAnsi="Times New Roman" w:cs="Times New Roman"/>
          <w:color w:val="000000" w:themeColor="text1"/>
          <w:kern w:val="0"/>
          <w:highlight w:val="none"/>
          <w:lang w:val="en-US" w:eastAsia="zh-CN"/>
          <w14:textFill>
            <w14:solidFill>
              <w14:schemeClr w14:val="tx1"/>
            </w14:solidFill>
          </w14:textFill>
        </w:rPr>
        <w:t>2</w:t>
      </w:r>
      <w:r>
        <w:rPr>
          <w:rFonts w:hint="default" w:ascii="Times New Roman" w:hAnsi="Times New Roman" w:cs="Times New Roman"/>
          <w:color w:val="000000" w:themeColor="text1"/>
          <w:kern w:val="0"/>
          <w:highlight w:val="none"/>
          <w14:textFill>
            <w14:solidFill>
              <w14:schemeClr w14:val="tx1"/>
            </w14:solidFill>
          </w14:textFill>
        </w:rPr>
        <w:t>年  月   日</w:t>
      </w:r>
    </w:p>
    <w:p>
      <w:pPr>
        <w:ind w:firstLine="199" w:firstLineChars="95"/>
        <w:jc w:val="right"/>
        <w:rPr>
          <w:rFonts w:hint="default" w:ascii="Times New Roman" w:hAnsi="Times New Roman" w:cs="Times New Roman"/>
          <w:color w:val="000000" w:themeColor="text1"/>
          <w:highlight w:val="none"/>
          <w14:textFill>
            <w14:solidFill>
              <w14:schemeClr w14:val="tx1"/>
            </w14:solidFill>
          </w14:textFill>
        </w:rPr>
      </w:pPr>
    </w:p>
    <w:p>
      <w:pPr>
        <w:pStyle w:val="59"/>
        <w:snapToGrid w:val="0"/>
        <w:spacing w:before="159" w:after="159" w:line="500" w:lineRule="exact"/>
        <w:jc w:val="left"/>
        <w:rPr>
          <w:rFonts w:hint="default" w:ascii="Times New Roman" w:hAnsi="Times New Roman" w:eastAsia="宋体" w:cs="Times New Roman"/>
          <w:b/>
          <w:bCs/>
          <w:color w:val="000000" w:themeColor="text1"/>
          <w:spacing w:val="-4"/>
          <w:sz w:val="21"/>
          <w:szCs w:val="21"/>
          <w:highlight w:val="none"/>
          <w14:textFill>
            <w14:solidFill>
              <w14:schemeClr w14:val="tx1"/>
            </w14:solidFill>
          </w14:textFill>
        </w:rPr>
      </w:pPr>
    </w:p>
    <w:p>
      <w:pPr>
        <w:pStyle w:val="59"/>
        <w:snapToGrid w:val="0"/>
        <w:spacing w:before="159" w:after="159" w:line="500" w:lineRule="exact"/>
        <w:jc w:val="left"/>
        <w:rPr>
          <w:rFonts w:hint="default" w:ascii="Times New Roman" w:hAnsi="Times New Roman" w:eastAsia="宋体" w:cs="Times New Roman"/>
          <w:b/>
          <w:bCs/>
          <w:color w:val="000000" w:themeColor="text1"/>
          <w:spacing w:val="-4"/>
          <w:sz w:val="21"/>
          <w:szCs w:val="21"/>
          <w:highlight w:val="none"/>
          <w14:textFill>
            <w14:solidFill>
              <w14:schemeClr w14:val="tx1"/>
            </w14:solidFill>
          </w14:textFill>
        </w:rPr>
      </w:pPr>
    </w:p>
    <w:p>
      <w:pPr>
        <w:pStyle w:val="59"/>
        <w:snapToGrid w:val="0"/>
        <w:spacing w:before="159" w:after="159" w:line="500" w:lineRule="exact"/>
        <w:jc w:val="left"/>
        <w:rPr>
          <w:rFonts w:hint="default" w:ascii="Times New Roman" w:hAnsi="Times New Roman" w:eastAsia="宋体" w:cs="Times New Roman"/>
          <w:b/>
          <w:bCs/>
          <w:color w:val="000000" w:themeColor="text1"/>
          <w:spacing w:val="-4"/>
          <w:sz w:val="21"/>
          <w:szCs w:val="21"/>
          <w:highlight w:val="none"/>
          <w14:textFill>
            <w14:solidFill>
              <w14:schemeClr w14:val="tx1"/>
            </w14:solidFill>
          </w14:textFill>
        </w:rPr>
      </w:pPr>
    </w:p>
    <w:p>
      <w:pPr>
        <w:pStyle w:val="59"/>
        <w:snapToGrid w:val="0"/>
        <w:spacing w:before="159" w:after="159" w:line="500" w:lineRule="exact"/>
        <w:jc w:val="left"/>
        <w:rPr>
          <w:rFonts w:hint="default" w:ascii="Times New Roman" w:hAnsi="Times New Roman" w:eastAsia="宋体" w:cs="Times New Roman"/>
          <w:b/>
          <w:bCs/>
          <w:color w:val="000000" w:themeColor="text1"/>
          <w:spacing w:val="-4"/>
          <w:sz w:val="21"/>
          <w:szCs w:val="21"/>
          <w:highlight w:val="none"/>
          <w14:textFill>
            <w14:solidFill>
              <w14:schemeClr w14:val="tx1"/>
            </w14:solidFill>
          </w14:textFill>
        </w:rPr>
      </w:pPr>
    </w:p>
    <w:p>
      <w:pPr>
        <w:pStyle w:val="59"/>
        <w:snapToGrid w:val="0"/>
        <w:spacing w:before="159" w:after="159" w:line="500" w:lineRule="exact"/>
        <w:jc w:val="left"/>
        <w:rPr>
          <w:rFonts w:hint="default" w:ascii="Times New Roman" w:hAnsi="Times New Roman" w:eastAsia="宋体" w:cs="Times New Roman"/>
          <w:b/>
          <w:bCs/>
          <w:color w:val="000000" w:themeColor="text1"/>
          <w:spacing w:val="-4"/>
          <w:sz w:val="21"/>
          <w:szCs w:val="21"/>
          <w:highlight w:val="none"/>
          <w14:textFill>
            <w14:solidFill>
              <w14:schemeClr w14:val="tx1"/>
            </w14:solidFill>
          </w14:textFill>
        </w:rPr>
      </w:pPr>
    </w:p>
    <w:p>
      <w:pPr>
        <w:pStyle w:val="59"/>
        <w:snapToGrid w:val="0"/>
        <w:spacing w:before="159" w:after="159" w:line="500" w:lineRule="exact"/>
        <w:jc w:val="left"/>
        <w:rPr>
          <w:rFonts w:hint="default" w:ascii="Times New Roman" w:hAnsi="Times New Roman" w:eastAsia="宋体" w:cs="Times New Roman"/>
          <w:b/>
          <w:bCs/>
          <w:color w:val="000000" w:themeColor="text1"/>
          <w:spacing w:val="-4"/>
          <w:sz w:val="21"/>
          <w:szCs w:val="21"/>
          <w:highlight w:val="none"/>
          <w14:textFill>
            <w14:solidFill>
              <w14:schemeClr w14:val="tx1"/>
            </w14:solidFill>
          </w14:textFill>
        </w:rPr>
      </w:pPr>
    </w:p>
    <w:p>
      <w:pPr>
        <w:pStyle w:val="59"/>
        <w:snapToGrid w:val="0"/>
        <w:spacing w:before="159" w:after="159" w:line="500" w:lineRule="exact"/>
        <w:jc w:val="left"/>
        <w:rPr>
          <w:rFonts w:hint="default" w:ascii="Times New Roman" w:hAnsi="Times New Roman" w:eastAsia="宋体" w:cs="Times New Roman"/>
          <w:b/>
          <w:bCs/>
          <w:color w:val="000000" w:themeColor="text1"/>
          <w:spacing w:val="-4"/>
          <w:sz w:val="21"/>
          <w:szCs w:val="21"/>
          <w:highlight w:val="none"/>
          <w14:textFill>
            <w14:solidFill>
              <w14:schemeClr w14:val="tx1"/>
            </w14:solidFill>
          </w14:textFill>
        </w:rPr>
      </w:pPr>
    </w:p>
    <w:p>
      <w:pPr>
        <w:pStyle w:val="59"/>
        <w:snapToGrid w:val="0"/>
        <w:spacing w:before="159" w:after="159" w:line="500" w:lineRule="exact"/>
        <w:jc w:val="left"/>
        <w:rPr>
          <w:rFonts w:hint="default" w:ascii="Times New Roman" w:hAnsi="Times New Roman" w:cs="Times New Roman"/>
          <w:color w:val="000000" w:themeColor="text1"/>
          <w:kern w:val="0"/>
          <w:sz w:val="28"/>
          <w:szCs w:val="28"/>
          <w:highlight w:val="none"/>
          <w14:textFill>
            <w14:solidFill>
              <w14:schemeClr w14:val="tx1"/>
            </w14:solidFill>
          </w14:textFill>
        </w:rPr>
      </w:pPr>
      <w:r>
        <w:rPr>
          <w:rFonts w:hint="default" w:ascii="Times New Roman" w:hAnsi="Times New Roman" w:eastAsia="宋体" w:cs="Times New Roman"/>
          <w:b/>
          <w:bCs/>
          <w:color w:val="000000" w:themeColor="text1"/>
          <w:spacing w:val="-4"/>
          <w:sz w:val="21"/>
          <w:szCs w:val="21"/>
          <w:highlight w:val="none"/>
          <w14:textFill>
            <w14:solidFill>
              <w14:schemeClr w14:val="tx1"/>
            </w14:solidFill>
          </w14:textFill>
        </w:rPr>
        <w:t>十</w:t>
      </w:r>
      <w:r>
        <w:rPr>
          <w:rFonts w:hint="eastAsia" w:ascii="Times New Roman" w:hAnsi="Times New Roman" w:eastAsia="宋体" w:cs="Times New Roman"/>
          <w:b/>
          <w:bCs/>
          <w:color w:val="000000" w:themeColor="text1"/>
          <w:spacing w:val="-4"/>
          <w:sz w:val="21"/>
          <w:szCs w:val="21"/>
          <w:highlight w:val="none"/>
          <w:lang w:val="en-US" w:eastAsia="zh-CN"/>
          <w14:textFill>
            <w14:solidFill>
              <w14:schemeClr w14:val="tx1"/>
            </w14:solidFill>
          </w14:textFill>
        </w:rPr>
        <w:t>五</w:t>
      </w:r>
      <w:r>
        <w:rPr>
          <w:rFonts w:hint="default" w:ascii="Times New Roman" w:hAnsi="Times New Roman" w:eastAsia="宋体" w:cs="Times New Roman"/>
          <w:b/>
          <w:bCs/>
          <w:color w:val="000000" w:themeColor="text1"/>
          <w:spacing w:val="-4"/>
          <w:sz w:val="21"/>
          <w:szCs w:val="21"/>
          <w:highlight w:val="none"/>
          <w14:textFill>
            <w14:solidFill>
              <w14:schemeClr w14:val="tx1"/>
            </w14:solidFill>
          </w14:textFill>
        </w:rPr>
        <w:t>、政府采购活动现场确认声明书</w:t>
      </w:r>
    </w:p>
    <w:p>
      <w:pPr>
        <w:pStyle w:val="59"/>
        <w:snapToGrid w:val="0"/>
        <w:spacing w:before="159" w:after="159" w:line="440" w:lineRule="exact"/>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浙江自贸区中昊工程管理有限公司：</w:t>
      </w:r>
    </w:p>
    <w:p>
      <w:pPr>
        <w:pStyle w:val="59"/>
        <w:snapToGrid w:val="0"/>
        <w:spacing w:before="159" w:after="159" w:line="440" w:lineRule="exact"/>
        <w:ind w:firstLine="444" w:firstLineChars="200"/>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本人</w:t>
      </w:r>
      <w:r>
        <w:rPr>
          <w:rFonts w:hint="default" w:ascii="Times New Roman" w:hAnsi="Times New Roman" w:eastAsia="宋体" w:cs="Times New Roman"/>
          <w:color w:val="000000" w:themeColor="text1"/>
          <w:spacing w:val="6"/>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（授权代表姓名），经由</w:t>
      </w:r>
      <w:r>
        <w:rPr>
          <w:rFonts w:hint="default" w:ascii="Times New Roman" w:hAnsi="Times New Roman" w:eastAsia="宋体" w:cs="Times New Roman"/>
          <w:color w:val="000000" w:themeColor="text1"/>
          <w:spacing w:val="6"/>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（单位）</w:t>
      </w:r>
      <w:r>
        <w:rPr>
          <w:rFonts w:hint="default" w:ascii="Times New Roman" w:hAnsi="Times New Roman" w:eastAsia="宋体" w:cs="Times New Roman"/>
          <w:color w:val="000000" w:themeColor="text1"/>
          <w:spacing w:val="6"/>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（法定代表人姓名）合法授权参加</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（编号：</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pacing w:val="6"/>
          <w:sz w:val="21"/>
          <w:szCs w:val="21"/>
          <w:highlight w:val="none"/>
          <w:u w:val="single"/>
          <w14:textFill>
            <w14:solidFill>
              <w14:schemeClr w14:val="tx1"/>
            </w14:solidFill>
          </w14:textFill>
        </w:rPr>
        <w:t>）</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 xml:space="preserve">政府采购活动，经与本单位法人代表（负责人）联系确认，现就有关公平竞争事项郑重声明如下： </w:t>
      </w:r>
    </w:p>
    <w:p>
      <w:pPr>
        <w:pStyle w:val="60"/>
        <w:widowControl/>
        <w:numPr>
          <w:ilvl w:val="0"/>
          <w:numId w:val="14"/>
        </w:numPr>
        <w:snapToGrid w:val="0"/>
        <w:spacing w:line="440" w:lineRule="exact"/>
        <w:ind w:firstLine="396" w:firstLineChars="189"/>
        <w:rPr>
          <w:rFonts w:hint="default" w:ascii="Times New Roman" w:hAnsi="Times New Roman" w:cs="Times New Roman"/>
          <w:color w:val="000000" w:themeColor="text1"/>
          <w:kern w:val="0"/>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本单位与采购人之间 □不存在利害关系 □存在下列利害关系</w:t>
      </w:r>
      <w:r>
        <w:rPr>
          <w:rFonts w:hint="default" w:ascii="Times New Roman" w:hAnsi="Times New Roman" w:cs="Times New Roman"/>
          <w:color w:val="000000" w:themeColor="text1"/>
          <w:kern w:val="0"/>
          <w:highlight w:val="none"/>
          <w:u w:val="single"/>
          <w14:textFill>
            <w14:solidFill>
              <w14:schemeClr w14:val="tx1"/>
            </w14:solidFill>
          </w14:textFill>
        </w:rPr>
        <w:t xml:space="preserve">           </w:t>
      </w:r>
      <w:r>
        <w:rPr>
          <w:rFonts w:hint="default" w:ascii="Times New Roman" w:hAnsi="Times New Roman" w:cs="Times New Roman"/>
          <w:color w:val="000000" w:themeColor="text1"/>
          <w:kern w:val="0"/>
          <w:highlight w:val="none"/>
          <w14:textFill>
            <w14:solidFill>
              <w14:schemeClr w14:val="tx1"/>
            </w14:solidFill>
          </w14:textFill>
        </w:rPr>
        <w:t>：</w:t>
      </w:r>
    </w:p>
    <w:p>
      <w:pPr>
        <w:pStyle w:val="60"/>
        <w:widowControl/>
        <w:snapToGrid w:val="0"/>
        <w:spacing w:line="440" w:lineRule="exact"/>
        <w:rPr>
          <w:rFonts w:hint="default" w:ascii="Times New Roman" w:hAnsi="Times New Roman" w:cs="Times New Roman"/>
          <w:color w:val="000000" w:themeColor="text1"/>
          <w:kern w:val="0"/>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 xml:space="preserve">  A.投资关系    B.行政隶属关系    C.业务指导关系</w:t>
      </w:r>
    </w:p>
    <w:p>
      <w:pPr>
        <w:pStyle w:val="60"/>
        <w:widowControl/>
        <w:snapToGrid w:val="0"/>
        <w:spacing w:line="440" w:lineRule="exact"/>
        <w:rPr>
          <w:rFonts w:hint="default" w:ascii="Times New Roman" w:hAnsi="Times New Roman" w:cs="Times New Roman"/>
          <w:color w:val="000000" w:themeColor="text1"/>
          <w:kern w:val="0"/>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 xml:space="preserve">  D.其他可能</w:t>
      </w:r>
      <w:r>
        <w:rPr>
          <w:rFonts w:hint="default" w:ascii="Times New Roman" w:hAnsi="Times New Roman" w:cs="Times New Roman"/>
          <w:color w:val="000000" w:themeColor="text1"/>
          <w:highlight w:val="none"/>
          <w14:textFill>
            <w14:solidFill>
              <w14:schemeClr w14:val="tx1"/>
            </w14:solidFill>
          </w14:textFill>
        </w:rPr>
        <w:t>影响采购公正的</w:t>
      </w:r>
      <w:r>
        <w:rPr>
          <w:rFonts w:hint="default" w:ascii="Times New Roman" w:hAnsi="Times New Roman" w:cs="Times New Roman"/>
          <w:color w:val="000000" w:themeColor="text1"/>
          <w:kern w:val="0"/>
          <w:highlight w:val="none"/>
          <w14:textFill>
            <w14:solidFill>
              <w14:schemeClr w14:val="tx1"/>
            </w14:solidFill>
          </w14:textFill>
        </w:rPr>
        <w:t xml:space="preserve">利害关系（如有，请如实说明） </w:t>
      </w:r>
      <w:r>
        <w:rPr>
          <w:rFonts w:hint="default" w:ascii="Times New Roman" w:hAnsi="Times New Roman" w:cs="Times New Roman"/>
          <w:color w:val="000000" w:themeColor="text1"/>
          <w:kern w:val="0"/>
          <w:highlight w:val="none"/>
          <w:u w:val="single"/>
          <w14:textFill>
            <w14:solidFill>
              <w14:schemeClr w14:val="tx1"/>
            </w14:solidFill>
          </w14:textFill>
        </w:rPr>
        <w:t xml:space="preserve">                </w:t>
      </w:r>
      <w:r>
        <w:rPr>
          <w:rFonts w:hint="default" w:ascii="Times New Roman" w:hAnsi="Times New Roman" w:cs="Times New Roman"/>
          <w:color w:val="000000" w:themeColor="text1"/>
          <w:kern w:val="0"/>
          <w:highlight w:val="none"/>
          <w14:textFill>
            <w14:solidFill>
              <w14:schemeClr w14:val="tx1"/>
            </w14:solidFill>
          </w14:textFill>
        </w:rPr>
        <w:t>。</w:t>
      </w:r>
    </w:p>
    <w:p>
      <w:pPr>
        <w:pStyle w:val="60"/>
        <w:widowControl/>
        <w:numPr>
          <w:ilvl w:val="0"/>
          <w:numId w:val="14"/>
        </w:numPr>
        <w:snapToGrid w:val="0"/>
        <w:spacing w:line="440" w:lineRule="exact"/>
        <w:ind w:firstLine="396" w:firstLineChars="189"/>
        <w:rPr>
          <w:rFonts w:hint="default" w:ascii="Times New Roman" w:hAnsi="Times New Roman" w:cs="Times New Roman"/>
          <w:color w:val="000000" w:themeColor="text1"/>
          <w:kern w:val="0"/>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 xml:space="preserve">现已清楚知道参加本项目采购活动的其他所有供应商名称，本单位 □与其他所有供应商之间均不存在利害关系 □与 </w:t>
      </w:r>
      <w:r>
        <w:rPr>
          <w:rFonts w:hint="default" w:ascii="Times New Roman" w:hAnsi="Times New Roman" w:cs="Times New Roman"/>
          <w:color w:val="000000" w:themeColor="text1"/>
          <w:kern w:val="0"/>
          <w:highlight w:val="none"/>
          <w:u w:val="single"/>
          <w14:textFill>
            <w14:solidFill>
              <w14:schemeClr w14:val="tx1"/>
            </w14:solidFill>
          </w14:textFill>
        </w:rPr>
        <w:t xml:space="preserve">               </w:t>
      </w:r>
      <w:r>
        <w:rPr>
          <w:rFonts w:hint="default" w:ascii="Times New Roman" w:hAnsi="Times New Roman" w:cs="Times New Roman"/>
          <w:color w:val="000000" w:themeColor="text1"/>
          <w:kern w:val="0"/>
          <w:highlight w:val="none"/>
          <w14:textFill>
            <w14:solidFill>
              <w14:schemeClr w14:val="tx1"/>
            </w14:solidFill>
          </w14:textFill>
        </w:rPr>
        <w:t>（供应商名称）之间存在下列利害关系</w:t>
      </w:r>
      <w:r>
        <w:rPr>
          <w:rFonts w:hint="default" w:ascii="Times New Roman" w:hAnsi="Times New Roman" w:cs="Times New Roman"/>
          <w:color w:val="000000" w:themeColor="text1"/>
          <w:kern w:val="0"/>
          <w:highlight w:val="none"/>
          <w:u w:val="single"/>
          <w14:textFill>
            <w14:solidFill>
              <w14:schemeClr w14:val="tx1"/>
            </w14:solidFill>
          </w14:textFill>
        </w:rPr>
        <w:t xml:space="preserve">               </w:t>
      </w:r>
      <w:r>
        <w:rPr>
          <w:rFonts w:hint="default" w:ascii="Times New Roman" w:hAnsi="Times New Roman" w:cs="Times New Roman"/>
          <w:color w:val="000000" w:themeColor="text1"/>
          <w:kern w:val="0"/>
          <w:highlight w:val="none"/>
          <w14:textFill>
            <w14:solidFill>
              <w14:schemeClr w14:val="tx1"/>
            </w14:solidFill>
          </w14:textFill>
        </w:rPr>
        <w:t>：</w:t>
      </w:r>
    </w:p>
    <w:p>
      <w:pPr>
        <w:pStyle w:val="59"/>
        <w:snapToGrid w:val="0"/>
        <w:spacing w:before="159" w:after="159" w:line="360" w:lineRule="exact"/>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A.法定代表人或负责人或实际控制人是同一人</w:t>
      </w:r>
    </w:p>
    <w:p>
      <w:pPr>
        <w:pStyle w:val="59"/>
        <w:snapToGrid w:val="0"/>
        <w:spacing w:before="159" w:after="159" w:line="360" w:lineRule="exact"/>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B.法定代表人或负责人或实际控制人是夫妻关系</w:t>
      </w:r>
    </w:p>
    <w:p>
      <w:pPr>
        <w:pStyle w:val="59"/>
        <w:snapToGrid w:val="0"/>
        <w:spacing w:before="159" w:after="159" w:line="360" w:lineRule="exact"/>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C.法定代表人或负责人或实际控制人是直系血亲关系</w:t>
      </w:r>
    </w:p>
    <w:p>
      <w:pPr>
        <w:pStyle w:val="59"/>
        <w:snapToGrid w:val="0"/>
        <w:spacing w:before="159" w:after="159" w:line="360" w:lineRule="exact"/>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D.法定代表人或负责人或实际控制人存在三代以内旁系血亲关系</w:t>
      </w:r>
    </w:p>
    <w:p>
      <w:pPr>
        <w:pStyle w:val="59"/>
        <w:snapToGrid w:val="0"/>
        <w:spacing w:before="159" w:after="159" w:line="360" w:lineRule="exact"/>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E.法定代表人或负责人或实际控制人存在近姻亲关系</w:t>
      </w:r>
    </w:p>
    <w:p>
      <w:pPr>
        <w:pStyle w:val="59"/>
        <w:snapToGrid w:val="0"/>
        <w:spacing w:before="159" w:after="159" w:line="360" w:lineRule="exact"/>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F.法定代表人或负责人或实际控制人存在股份控制或实际控制关系</w:t>
      </w:r>
    </w:p>
    <w:p>
      <w:pPr>
        <w:pStyle w:val="59"/>
        <w:snapToGrid w:val="0"/>
        <w:spacing w:before="159" w:after="159" w:line="360" w:lineRule="exact"/>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G.存在共同直接或间接投资设立子公司、联营企业和合营企业情况</w:t>
      </w:r>
    </w:p>
    <w:p>
      <w:pPr>
        <w:pStyle w:val="59"/>
        <w:snapToGrid w:val="0"/>
        <w:spacing w:before="159" w:after="159" w:line="360" w:lineRule="exac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H.存在分级代理或代销关系、同一生产制造商关系、</w:t>
      </w:r>
      <w:r>
        <w:rPr>
          <w:rFonts w:hint="default" w:ascii="Times New Roman" w:hAnsi="Times New Roman" w:eastAsia="宋体" w:cs="Times New Roman"/>
          <w:color w:val="000000" w:themeColor="text1"/>
          <w:sz w:val="21"/>
          <w:szCs w:val="21"/>
          <w:highlight w:val="none"/>
          <w14:textFill>
            <w14:solidFill>
              <w14:schemeClr w14:val="tx1"/>
            </w14:solidFill>
          </w14:textFill>
        </w:rPr>
        <w:t>管理关系、重要业务（占主营业务收入50%以上）或重要财务往来关系（如融资）等其他实质性控制关系</w:t>
      </w:r>
    </w:p>
    <w:p>
      <w:pPr>
        <w:pStyle w:val="59"/>
        <w:snapToGrid w:val="0"/>
        <w:spacing w:before="159" w:after="159" w:line="440" w:lineRule="exact"/>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I</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其他利害关系情况</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w:t>
      </w:r>
    </w:p>
    <w:p>
      <w:pPr>
        <w:pStyle w:val="60"/>
        <w:widowControl/>
        <w:numPr>
          <w:ilvl w:val="0"/>
          <w:numId w:val="15"/>
        </w:numPr>
        <w:snapToGrid w:val="0"/>
        <w:spacing w:line="440" w:lineRule="exact"/>
        <w:ind w:firstLine="396" w:firstLineChars="189"/>
        <w:rPr>
          <w:rFonts w:hint="default" w:ascii="Times New Roman" w:hAnsi="Times New Roman" w:cs="Times New Roman"/>
          <w:color w:val="000000" w:themeColor="text1"/>
          <w:kern w:val="0"/>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现已清楚知道并</w:t>
      </w:r>
      <w:r>
        <w:rPr>
          <w:rFonts w:hint="default" w:ascii="Times New Roman" w:hAnsi="Times New Roman" w:cs="Times New Roman"/>
          <w:color w:val="000000" w:themeColor="text1"/>
          <w:kern w:val="0"/>
          <w:highlight w:val="none"/>
          <w14:textFill>
            <w14:solidFill>
              <w14:schemeClr w14:val="tx1"/>
            </w14:solidFill>
          </w14:textFill>
        </w:rPr>
        <w:t>严格遵守政府采购法律法规和现场纪律。</w:t>
      </w:r>
    </w:p>
    <w:p>
      <w:pPr>
        <w:pStyle w:val="60"/>
        <w:widowControl/>
        <w:numPr>
          <w:ilvl w:val="0"/>
          <w:numId w:val="15"/>
        </w:numPr>
        <w:snapToGrid w:val="0"/>
        <w:spacing w:line="440" w:lineRule="exact"/>
        <w:ind w:firstLine="396" w:firstLineChars="189"/>
        <w:rPr>
          <w:rFonts w:hint="default" w:ascii="Times New Roman" w:hAnsi="Times New Roman" w:cs="Times New Roman"/>
          <w:color w:val="000000" w:themeColor="text1"/>
          <w:kern w:val="0"/>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我发现</w:t>
      </w:r>
      <w:r>
        <w:rPr>
          <w:rFonts w:hint="default" w:ascii="Times New Roman" w:hAnsi="Times New Roman" w:cs="Times New Roman"/>
          <w:color w:val="000000" w:themeColor="text1"/>
          <w:kern w:val="0"/>
          <w:highlight w:val="none"/>
          <w:u w:val="single"/>
          <w14:textFill>
            <w14:solidFill>
              <w14:schemeClr w14:val="tx1"/>
            </w14:solidFill>
          </w14:textFill>
        </w:rPr>
        <w:t xml:space="preserve">                    </w:t>
      </w:r>
      <w:r>
        <w:rPr>
          <w:rFonts w:hint="default" w:ascii="Times New Roman" w:hAnsi="Times New Roman" w:cs="Times New Roman"/>
          <w:color w:val="000000" w:themeColor="text1"/>
          <w:kern w:val="0"/>
          <w:highlight w:val="none"/>
          <w14:textFill>
            <w14:solidFill>
              <w14:schemeClr w14:val="tx1"/>
            </w14:solidFill>
          </w14:textFill>
        </w:rPr>
        <w:t>供应商之间存在或可能存在上述第二条第</w:t>
      </w:r>
      <w:r>
        <w:rPr>
          <w:rFonts w:hint="default" w:ascii="Times New Roman" w:hAnsi="Times New Roman" w:cs="Times New Roman"/>
          <w:color w:val="000000" w:themeColor="text1"/>
          <w:kern w:val="0"/>
          <w:highlight w:val="none"/>
          <w:u w:val="single"/>
          <w14:textFill>
            <w14:solidFill>
              <w14:schemeClr w14:val="tx1"/>
            </w14:solidFill>
          </w14:textFill>
        </w:rPr>
        <w:t xml:space="preserve">        </w:t>
      </w:r>
      <w:r>
        <w:rPr>
          <w:rFonts w:hint="default" w:ascii="Times New Roman" w:hAnsi="Times New Roman" w:cs="Times New Roman"/>
          <w:color w:val="000000" w:themeColor="text1"/>
          <w:kern w:val="0"/>
          <w:highlight w:val="none"/>
          <w14:textFill>
            <w14:solidFill>
              <w14:schemeClr w14:val="tx1"/>
            </w14:solidFill>
          </w14:textFill>
        </w:rPr>
        <w:t xml:space="preserve">项利害关系。                                              </w:t>
      </w:r>
    </w:p>
    <w:p>
      <w:pPr>
        <w:pStyle w:val="60"/>
        <w:widowControl/>
        <w:numPr>
          <w:ilvl w:val="0"/>
          <w:numId w:val="0"/>
        </w:numPr>
        <w:snapToGrid w:val="0"/>
        <w:spacing w:line="440" w:lineRule="exact"/>
        <w:rPr>
          <w:rFonts w:hint="default" w:ascii="Times New Roman" w:hAnsi="Times New Roman" w:cs="Times New Roman"/>
          <w:color w:val="000000" w:themeColor="text1"/>
          <w:kern w:val="0"/>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供应商：</w:t>
      </w:r>
      <w:r>
        <w:rPr>
          <w:rFonts w:hint="default" w:ascii="Times New Roman" w:hAnsi="Times New Roman" w:cs="Times New Roman"/>
          <w:color w:val="000000" w:themeColor="text1"/>
          <w:kern w:val="0"/>
          <w:highlight w:val="none"/>
          <w:lang w:val="en-US" w:eastAsia="zh-CN"/>
          <w14:textFill>
            <w14:solidFill>
              <w14:schemeClr w14:val="tx1"/>
            </w14:solidFill>
          </w14:textFill>
        </w:rPr>
        <w:t>(盖章)</w:t>
      </w:r>
    </w:p>
    <w:p>
      <w:pPr>
        <w:pStyle w:val="59"/>
        <w:snapToGrid w:val="0"/>
        <w:spacing w:before="159" w:after="159" w:line="440" w:lineRule="exact"/>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202</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年   月   日</w:t>
      </w:r>
    </w:p>
    <w:p>
      <w:pPr>
        <w:pStyle w:val="59"/>
        <w:snapToGrid w:val="0"/>
        <w:spacing w:before="159" w:after="159" w:line="360" w:lineRule="exact"/>
        <w:ind w:firstLine="480"/>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u w:val="single"/>
          <w14:textFill>
            <w14:solidFill>
              <w14:schemeClr w14:val="tx1"/>
            </w14:solidFill>
          </w14:textFill>
        </w:rPr>
        <w:t>本表无需放入投标文件中，在开标截止时间后,尽快填写完并加盖公章传至41688047@qq.com</w:t>
      </w:r>
      <w:r>
        <w:rPr>
          <w:rFonts w:hint="default" w:ascii="Times New Roman" w:hAnsi="Times New Roman" w:eastAsia="宋体" w:cs="Times New Roman"/>
          <w:b/>
          <w:bCs/>
          <w:color w:val="000000" w:themeColor="text1"/>
          <w:sz w:val="18"/>
          <w:szCs w:val="18"/>
          <w:highlight w:val="none"/>
          <w:u w:val="single"/>
          <w14:textFill>
            <w14:solidFill>
              <w14:schemeClr w14:val="tx1"/>
            </w14:solidFill>
          </w14:textFill>
        </w:rPr>
        <w:t>。</w:t>
      </w:r>
    </w:p>
    <w:p>
      <w:pPr>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pacing w:val="-4"/>
          <w:highlight w:val="none"/>
          <w14:textFill>
            <w14:solidFill>
              <w14:schemeClr w14:val="tx1"/>
            </w14:solidFill>
          </w14:textFill>
        </w:rPr>
        <w:t>十</w:t>
      </w:r>
      <w:r>
        <w:rPr>
          <w:rFonts w:hint="eastAsia" w:ascii="Times New Roman" w:hAnsi="Times New Roman" w:cs="Times New Roman"/>
          <w:b/>
          <w:bCs/>
          <w:color w:val="000000" w:themeColor="text1"/>
          <w:spacing w:val="-4"/>
          <w:highlight w:val="none"/>
          <w:lang w:val="en-US" w:eastAsia="zh-CN"/>
          <w14:textFill>
            <w14:solidFill>
              <w14:schemeClr w14:val="tx1"/>
            </w14:solidFill>
          </w14:textFill>
        </w:rPr>
        <w:t>六</w:t>
      </w:r>
      <w:r>
        <w:rPr>
          <w:rFonts w:hint="default" w:ascii="Times New Roman" w:hAnsi="Times New Roman" w:cs="Times New Roman"/>
          <w:b/>
          <w:bCs/>
          <w:color w:val="000000" w:themeColor="text1"/>
          <w:spacing w:val="-4"/>
          <w:highlight w:val="none"/>
          <w14:textFill>
            <w14:solidFill>
              <w14:schemeClr w14:val="tx1"/>
            </w14:solidFill>
          </w14:textFill>
        </w:rPr>
        <w:t>、政府采购投标人质疑函范本</w:t>
      </w:r>
    </w:p>
    <w:tbl>
      <w:tblPr>
        <w:tblStyle w:val="27"/>
        <w:tblW w:w="9299" w:type="dxa"/>
        <w:jc w:val="center"/>
        <w:tblCellSpacing w:w="0" w:type="dxa"/>
        <w:tblLayout w:type="fixed"/>
        <w:tblCellMar>
          <w:top w:w="0" w:type="dxa"/>
          <w:left w:w="0" w:type="dxa"/>
          <w:bottom w:w="0" w:type="dxa"/>
          <w:right w:w="0" w:type="dxa"/>
        </w:tblCellMar>
      </w:tblPr>
      <w:tblGrid>
        <w:gridCol w:w="9299"/>
      </w:tblGrid>
      <w:tr>
        <w:trPr>
          <w:tblCellSpacing w:w="0" w:type="dxa"/>
          <w:jc w:val="center"/>
        </w:trPr>
        <w:tc>
          <w:tcPr>
            <w:tcW w:w="9299" w:type="dxa"/>
            <w:vAlign w:val="center"/>
          </w:tcPr>
          <w:tbl>
            <w:tblPr>
              <w:tblStyle w:val="27"/>
              <w:tblW w:w="9299" w:type="dxa"/>
              <w:tblCellSpacing w:w="0" w:type="dxa"/>
              <w:tblInd w:w="0" w:type="dxa"/>
              <w:tblLayout w:type="fixed"/>
              <w:tblCellMar>
                <w:top w:w="0" w:type="dxa"/>
                <w:left w:w="0" w:type="dxa"/>
                <w:bottom w:w="0" w:type="dxa"/>
                <w:right w:w="0" w:type="dxa"/>
              </w:tblCellMar>
            </w:tblPr>
            <w:tblGrid>
              <w:gridCol w:w="9299"/>
            </w:tblGrid>
            <w:tr>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7"/>
                    <w:tblW w:w="7904" w:type="dxa"/>
                    <w:jc w:val="center"/>
                    <w:tblCellSpacing w:w="0" w:type="dxa"/>
                    <w:tblLayout w:type="fixed"/>
                    <w:tblCellMar>
                      <w:top w:w="0" w:type="dxa"/>
                      <w:left w:w="0" w:type="dxa"/>
                      <w:bottom w:w="0" w:type="dxa"/>
                      <w:right w:w="0" w:type="dxa"/>
                    </w:tblCellMar>
                  </w:tblPr>
                  <w:tblGrid>
                    <w:gridCol w:w="7904"/>
                  </w:tblGrid>
                  <w:tr>
                    <w:tblPrEx>
                      <w:tblCellMar>
                        <w:top w:w="0" w:type="dxa"/>
                        <w:left w:w="0" w:type="dxa"/>
                        <w:bottom w:w="0" w:type="dxa"/>
                        <w:right w:w="0" w:type="dxa"/>
                      </w:tblCellMar>
                    </w:tblPrEx>
                    <w:trPr>
                      <w:tblCellSpacing w:w="0" w:type="dxa"/>
                      <w:jc w:val="center"/>
                    </w:trPr>
                    <w:tc>
                      <w:tcPr>
                        <w:tcW w:w="7904" w:type="dxa"/>
                        <w:vAlign w:val="center"/>
                      </w:tcPr>
                      <w:p>
                        <w:pPr>
                          <w:spacing w:beforeAutospacing="1" w:afterAutospacing="1"/>
                          <w:ind w:firstLine="422"/>
                          <w:jc w:val="center"/>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b/>
                            <w:color w:val="000000" w:themeColor="text1"/>
                            <w:kern w:val="0"/>
                            <w:sz w:val="28"/>
                            <w:szCs w:val="28"/>
                            <w:highlight w:val="none"/>
                            <w14:textFill>
                              <w14:solidFill>
                                <w14:schemeClr w14:val="tx1"/>
                              </w14:solidFill>
                            </w14:textFill>
                          </w:rPr>
                          <w:t>质疑函范本</w:t>
                        </w:r>
                      </w:p>
                      <w:p>
                        <w:pPr>
                          <w:adjustRightInd w:val="0"/>
                          <w:snapToGrid w:val="0"/>
                          <w:spacing w:before="319" w:beforeLines="100"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Cs/>
                            <w:color w:val="000000" w:themeColor="text1"/>
                            <w:kern w:val="0"/>
                            <w:highlight w:val="none"/>
                            <w14:textFill>
                              <w14:solidFill>
                                <w14:schemeClr w14:val="tx1"/>
                              </w14:solidFill>
                            </w14:textFill>
                          </w:rPr>
                          <w:t>一、质疑投标人基本信息</w:t>
                        </w:r>
                      </w:p>
                      <w:p>
                        <w:pPr>
                          <w:adjustRightInd w:val="0"/>
                          <w:snapToGrid w:val="0"/>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质疑投标人：</w:t>
                        </w:r>
                      </w:p>
                      <w:p>
                        <w:pPr>
                          <w:adjustRightInd w:val="0"/>
                          <w:snapToGrid w:val="0"/>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地址：邮编：</w:t>
                        </w:r>
                      </w:p>
                      <w:p>
                        <w:pPr>
                          <w:adjustRightInd w:val="0"/>
                          <w:snapToGrid w:val="0"/>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联系人：联系电话：</w:t>
                        </w:r>
                      </w:p>
                      <w:p>
                        <w:pPr>
                          <w:adjustRightInd w:val="0"/>
                          <w:snapToGrid w:val="0"/>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授权代表：联系电话：</w:t>
                        </w:r>
                      </w:p>
                      <w:p>
                        <w:pPr>
                          <w:adjustRightInd w:val="0"/>
                          <w:snapToGrid w:val="0"/>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地址： 邮编： 邮箱：</w:t>
                        </w:r>
                      </w:p>
                      <w:p>
                        <w:pPr>
                          <w:adjustRightInd w:val="0"/>
                          <w:snapToGrid w:val="0"/>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Cs/>
                            <w:color w:val="000000" w:themeColor="text1"/>
                            <w:kern w:val="0"/>
                            <w:highlight w:val="none"/>
                            <w14:textFill>
                              <w14:solidFill>
                                <w14:schemeClr w14:val="tx1"/>
                              </w14:solidFill>
                            </w14:textFill>
                          </w:rPr>
                          <w:t>二、质疑项目基本情况</w:t>
                        </w:r>
                      </w:p>
                      <w:p>
                        <w:pPr>
                          <w:adjustRightInd w:val="0"/>
                          <w:snapToGrid w:val="0"/>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质疑项目的名称：</w:t>
                        </w:r>
                      </w:p>
                      <w:p>
                        <w:pPr>
                          <w:adjustRightInd w:val="0"/>
                          <w:snapToGrid w:val="0"/>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质疑项目的编号：包号：</w:t>
                        </w:r>
                      </w:p>
                      <w:p>
                        <w:pPr>
                          <w:adjustRightInd w:val="0"/>
                          <w:snapToGrid w:val="0"/>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采购人名称：</w:t>
                        </w:r>
                      </w:p>
                      <w:p>
                        <w:pPr>
                          <w:adjustRightInd w:val="0"/>
                          <w:snapToGrid w:val="0"/>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采购文件获取日期：</w:t>
                        </w:r>
                      </w:p>
                      <w:p>
                        <w:pPr>
                          <w:adjustRightInd w:val="0"/>
                          <w:snapToGrid w:val="0"/>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Cs/>
                            <w:color w:val="000000" w:themeColor="text1"/>
                            <w:kern w:val="0"/>
                            <w:highlight w:val="none"/>
                            <w14:textFill>
                              <w14:solidFill>
                                <w14:schemeClr w14:val="tx1"/>
                              </w14:solidFill>
                            </w14:textFill>
                          </w:rPr>
                          <w:t>三、质疑事项具体内容</w:t>
                        </w:r>
                      </w:p>
                      <w:p>
                        <w:pPr>
                          <w:adjustRightInd w:val="0"/>
                          <w:snapToGrid w:val="0"/>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质疑事项1：</w:t>
                        </w:r>
                      </w:p>
                      <w:p>
                        <w:pPr>
                          <w:adjustRightInd w:val="0"/>
                          <w:snapToGrid w:val="0"/>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事实依据：</w:t>
                        </w:r>
                      </w:p>
                      <w:p>
                        <w:pPr>
                          <w:adjustRightInd w:val="0"/>
                          <w:snapToGrid w:val="0"/>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法律依据：</w:t>
                        </w:r>
                      </w:p>
                      <w:p>
                        <w:pPr>
                          <w:adjustRightInd w:val="0"/>
                          <w:snapToGrid w:val="0"/>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质疑事项2</w:t>
                        </w:r>
                      </w:p>
                      <w:p>
                        <w:pPr>
                          <w:adjustRightInd w:val="0"/>
                          <w:snapToGrid w:val="0"/>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w:t>
                        </w:r>
                      </w:p>
                      <w:p>
                        <w:pPr>
                          <w:adjustRightInd w:val="0"/>
                          <w:snapToGrid w:val="0"/>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Cs/>
                            <w:color w:val="000000" w:themeColor="text1"/>
                            <w:kern w:val="0"/>
                            <w:highlight w:val="none"/>
                            <w14:textFill>
                              <w14:solidFill>
                                <w14:schemeClr w14:val="tx1"/>
                              </w14:solidFill>
                            </w14:textFill>
                          </w:rPr>
                          <w:t>四、与质疑事项相关的质疑请求</w:t>
                        </w:r>
                      </w:p>
                      <w:p>
                        <w:pPr>
                          <w:adjustRightInd w:val="0"/>
                          <w:snapToGrid w:val="0"/>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请求：</w:t>
                        </w:r>
                      </w:p>
                      <w:p>
                        <w:pPr>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 xml:space="preserve">签字(签章)：                   公章：                      </w:t>
                        </w:r>
                      </w:p>
                      <w:p>
                        <w:pPr>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 xml:space="preserve">日期：   </w:t>
                        </w:r>
                      </w:p>
                      <w:p>
                        <w:pPr>
                          <w:spacing w:beforeAutospacing="1" w:afterAutospacing="1"/>
                          <w:ind w:firstLine="422"/>
                          <w:jc w:val="left"/>
                          <w:rPr>
                            <w:rFonts w:hint="default" w:ascii="Times New Roman" w:hAnsi="Times New Roman" w:cs="Times New Roman"/>
                            <w:b/>
                            <w:color w:val="000000" w:themeColor="text1"/>
                            <w:kern w:val="0"/>
                            <w:highlight w:val="none"/>
                            <w14:textFill>
                              <w14:solidFill>
                                <w14:schemeClr w14:val="tx1"/>
                              </w14:solidFill>
                            </w14:textFill>
                          </w:rPr>
                        </w:pPr>
                      </w:p>
                      <w:p>
                        <w:pPr>
                          <w:spacing w:beforeAutospacing="1" w:afterAutospacing="1"/>
                          <w:ind w:firstLine="422"/>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color w:val="000000" w:themeColor="text1"/>
                            <w:kern w:val="0"/>
                            <w:highlight w:val="none"/>
                            <w14:textFill>
                              <w14:solidFill>
                                <w14:schemeClr w14:val="tx1"/>
                              </w14:solidFill>
                            </w14:textFill>
                          </w:rPr>
                          <w:t>质疑函制作说明：</w:t>
                        </w:r>
                      </w:p>
                      <w:p>
                        <w:pPr>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1.投标人提出质疑时，应提交质疑函和必要的证明材料。</w:t>
                        </w:r>
                      </w:p>
                      <w:p>
                        <w:pPr>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3.质疑投标人若对项目的某一分包进行质疑，质疑函中应列明具体分包号。</w:t>
                        </w:r>
                      </w:p>
                      <w:p>
                        <w:pPr>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4.质疑函的质疑事项应具体、明确，并有必要的事实依据和法律依据。</w:t>
                        </w:r>
                      </w:p>
                      <w:p>
                        <w:pPr>
                          <w:spacing w:beforeAutospacing="1"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5.质疑函的质疑请求应与质疑事项相关。</w:t>
                        </w:r>
                      </w:p>
                      <w:p>
                        <w:pPr>
                          <w:spacing w:before="100" w:beforeAutospacing="1" w:after="100" w:afterAutospacing="1"/>
                          <w:ind w:firstLine="42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6.质疑投标人为自然人的，质疑函应由本人签字；质疑投标人为法人或者其他组织的，质疑函应由法定代表人、主要负责人，或者其授权代表签字或者盖章，并加盖公章。</w:t>
                        </w:r>
                      </w:p>
                    </w:tc>
                  </w:tr>
                </w:tbl>
                <w:p>
                  <w:pPr>
                    <w:ind w:firstLine="360"/>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bl>
          <w:p>
            <w:pPr>
              <w:spacing w:line="432" w:lineRule="auto"/>
              <w:ind w:firstLine="360"/>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bl>
    <w:p>
      <w:pPr>
        <w:pStyle w:val="12"/>
        <w:spacing w:line="360" w:lineRule="auto"/>
        <w:rPr>
          <w:rFonts w:hint="default" w:ascii="Times New Roman" w:hAnsi="Times New Roman" w:cs="Times New Roman"/>
          <w:color w:val="000000" w:themeColor="text1"/>
          <w:sz w:val="21"/>
          <w:szCs w:val="21"/>
          <w:highlight w:val="none"/>
          <w14:textFill>
            <w14:solidFill>
              <w14:schemeClr w14:val="tx1"/>
            </w14:solidFill>
          </w14:textFill>
        </w:rPr>
      </w:pPr>
    </w:p>
    <w:p>
      <w:pPr>
        <w:pStyle w:val="12"/>
        <w:rPr>
          <w:rFonts w:hint="default" w:ascii="Times New Roman" w:hAnsi="Times New Roman" w:cs="Times New Roman"/>
          <w:color w:val="000000" w:themeColor="text1"/>
          <w:sz w:val="21"/>
          <w:szCs w:val="21"/>
          <w14:textFill>
            <w14:solidFill>
              <w14:schemeClr w14:val="tx1"/>
            </w14:solidFill>
          </w14:textFill>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000050000000002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文本框 11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qviTfLAQAAnQMAAA4AAAAAAAAAAQAgAAAAHgEAAGRycy9lMm9E&#10;b2MueG1sUEsFBgAAAAAGAAYAWQEAAFsFA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18</w:t>
                    </w:r>
                    <w:r>
                      <w:fldChar w:fldCharType="end"/>
                    </w:r>
                  </w:p>
                </w:txbxContent>
              </v:textbox>
            </v:shape>
          </w:pict>
        </mc:Fallback>
      </mc:AlternateContent>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11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CiEoHLAQAAnQMAAA4AAAAAAAAAAQAgAAAAHgEAAGRycy9lMm9E&#10;b2MueG1sUEsFBgAAAAAGAAYAWQEAAFsFA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p>
                      </w:txbxContent>
                    </wps:txbx>
                    <wps:bodyPr wrap="none" lIns="0" tIns="0" rIns="0" bIns="0" upright="1">
                      <a:spAutoFit/>
                    </wps:bodyPr>
                  </wps:wsp>
                </a:graphicData>
              </a:graphic>
            </wp:anchor>
          </w:drawing>
        </mc:Choice>
        <mc:Fallback>
          <w:pict>
            <v:shape id="文本框 109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1ufObLAQAAnQMAAA4AAAAAAAAAAQAgAAAAHgEAAGRycy9lMm9E&#10;b2MueG1sUEsFBgAAAAAGAAYAWQEAAFsFAAAAAA==&#10;">
              <v:fill on="f" focussize="0,0"/>
              <v:stroke on="f"/>
              <v:imagedata o:title=""/>
              <o:lock v:ext="edit" aspectratio="f"/>
              <v:textbox inset="0mm,0mm,0mm,0mm" style="mso-fit-shape-to-text:t;">
                <w:txbxContent>
                  <w:p>
                    <w:pPr>
                      <w:pStyle w:val="2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cs="Times New Roman"/>
                            </w:rPr>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20"/>
                      <w:rPr>
                        <w:rFonts w:cs="Times New Roman"/>
                      </w:rPr>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F635E"/>
    <w:multiLevelType w:val="singleLevel"/>
    <w:tmpl w:val="9BFF635E"/>
    <w:lvl w:ilvl="0" w:tentative="0">
      <w:start w:val="2"/>
      <w:numFmt w:val="chineseCounting"/>
      <w:suff w:val="nothing"/>
      <w:lvlText w:val="%1、"/>
      <w:lvlJc w:val="left"/>
      <w:rPr>
        <w:rFonts w:hint="eastAsia"/>
      </w:rPr>
    </w:lvl>
  </w:abstractNum>
  <w:abstractNum w:abstractNumId="1">
    <w:nsid w:val="E1BF1DED"/>
    <w:multiLevelType w:val="singleLevel"/>
    <w:tmpl w:val="E1BF1DED"/>
    <w:lvl w:ilvl="0" w:tentative="0">
      <w:start w:val="2"/>
      <w:numFmt w:val="chineseCounting"/>
      <w:suff w:val="nothing"/>
      <w:lvlText w:val="%1、"/>
      <w:lvlJc w:val="left"/>
      <w:rPr>
        <w:rFonts w:hint="eastAsia"/>
      </w:rPr>
    </w:lvl>
  </w:abstractNum>
  <w:abstractNum w:abstractNumId="2">
    <w:nsid w:val="0000000D"/>
    <w:multiLevelType w:val="multilevel"/>
    <w:tmpl w:val="0000000D"/>
    <w:lvl w:ilvl="0" w:tentative="0">
      <w:start w:val="1"/>
      <w:numFmt w:val="chineseCountingThousand"/>
      <w:suff w:val="space"/>
      <w:lvlText w:val="第%1章"/>
      <w:lvlJc w:val="left"/>
      <w:pPr>
        <w:ind w:left="2240"/>
      </w:pPr>
      <w:rPr>
        <w:rFonts w:hint="eastAsia"/>
      </w:rPr>
    </w:lvl>
    <w:lvl w:ilvl="1" w:tentative="0">
      <w:start w:val="1"/>
      <w:numFmt w:val="decimal"/>
      <w:isLgl/>
      <w:suff w:val="space"/>
      <w:lvlText w:val="%1.%2"/>
      <w:lvlJc w:val="left"/>
      <w:pPr>
        <w:ind w:left="765" w:hanging="567"/>
      </w:pPr>
      <w:rPr>
        <w:rFonts w:hint="eastAsia"/>
      </w:rPr>
    </w:lvl>
    <w:lvl w:ilvl="2" w:tentative="0">
      <w:start w:val="1"/>
      <w:numFmt w:val="decimal"/>
      <w:isLgl/>
      <w:suff w:val="space"/>
      <w:lvlText w:val="%1.%2.%3"/>
      <w:lvlJc w:val="left"/>
      <w:pPr>
        <w:ind w:left="707" w:hanging="567"/>
      </w:pPr>
      <w:rPr>
        <w:rFonts w:hint="eastAsia"/>
        <w:color w:val="auto"/>
      </w:rPr>
    </w:lvl>
    <w:lvl w:ilvl="3" w:tentative="0">
      <w:start w:val="1"/>
      <w:numFmt w:val="decimal"/>
      <w:pStyle w:val="83"/>
      <w:isLgl/>
      <w:suff w:val="space"/>
      <w:lvlText w:val="%1.%2.%3.%4"/>
      <w:lvlJc w:val="left"/>
      <w:pPr>
        <w:ind w:left="2108" w:hanging="708"/>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3">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12"/>
    <w:multiLevelType w:val="singleLevel"/>
    <w:tmpl w:val="00000012"/>
    <w:lvl w:ilvl="0" w:tentative="0">
      <w:start w:val="1"/>
      <w:numFmt w:val="decimal"/>
      <w:pStyle w:val="8"/>
      <w:lvlText w:val="%1."/>
      <w:lvlJc w:val="left"/>
      <w:pPr>
        <w:tabs>
          <w:tab w:val="left" w:pos="360"/>
        </w:tabs>
        <w:ind w:left="360" w:hanging="360"/>
      </w:pPr>
    </w:lvl>
  </w:abstractNum>
  <w:abstractNum w:abstractNumId="5">
    <w:nsid w:val="21EACBAD"/>
    <w:multiLevelType w:val="singleLevel"/>
    <w:tmpl w:val="21EACBAD"/>
    <w:lvl w:ilvl="0" w:tentative="0">
      <w:start w:val="2"/>
      <w:numFmt w:val="decimal"/>
      <w:suff w:val="nothing"/>
      <w:lvlText w:val="（%1）"/>
      <w:lvlJc w:val="left"/>
    </w:lvl>
  </w:abstractNum>
  <w:abstractNum w:abstractNumId="6">
    <w:nsid w:val="2F3820AD"/>
    <w:multiLevelType w:val="multilevel"/>
    <w:tmpl w:val="2F3820AD"/>
    <w:lvl w:ilvl="0" w:tentative="0">
      <w:start w:val="1"/>
      <w:numFmt w:val="chineseCountingThousand"/>
      <w:pStyle w:val="96"/>
      <w:suff w:val="space"/>
      <w:lvlText w:val="第%1章"/>
      <w:lvlJc w:val="left"/>
      <w:pPr>
        <w:ind w:left="3118" w:hanging="425"/>
      </w:pPr>
      <w:rPr>
        <w:rFonts w:hint="default" w:ascii="Times New Roman" w:hAnsi="Times New Roman" w:eastAsia="宋体"/>
        <w:b/>
        <w:bCs/>
        <w:i w:val="0"/>
        <w:iCs w:val="0"/>
        <w:sz w:val="36"/>
        <w:szCs w:val="36"/>
      </w:rPr>
    </w:lvl>
    <w:lvl w:ilvl="1" w:tentative="0">
      <w:start w:val="1"/>
      <w:numFmt w:val="decimal"/>
      <w:isLgl/>
      <w:suff w:val="space"/>
      <w:lvlText w:val="%1.%2"/>
      <w:lvlJc w:val="left"/>
      <w:pPr>
        <w:ind w:left="-1418" w:hanging="992"/>
      </w:pPr>
      <w:rPr>
        <w:rFonts w:hint="default" w:ascii="Times New Roman" w:hAnsi="Times New Roman" w:eastAsia="宋体"/>
        <w:b/>
        <w:bCs/>
        <w:i w:val="0"/>
        <w:iCs w:val="0"/>
        <w:sz w:val="32"/>
        <w:szCs w:val="32"/>
      </w:rPr>
    </w:lvl>
    <w:lvl w:ilvl="2" w:tentative="0">
      <w:start w:val="1"/>
      <w:numFmt w:val="decimal"/>
      <w:isLgl/>
      <w:suff w:val="space"/>
      <w:lvlText w:val="%1.%2.%3"/>
      <w:lvlJc w:val="left"/>
      <w:pPr>
        <w:ind w:left="-1275" w:hanging="1135"/>
      </w:pPr>
      <w:rPr>
        <w:b/>
        <w:bCs/>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bCs/>
        <w:i w:val="0"/>
        <w:iCs w:val="0"/>
        <w:sz w:val="21"/>
        <w:szCs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7">
    <w:nsid w:val="3778AC86"/>
    <w:multiLevelType w:val="singleLevel"/>
    <w:tmpl w:val="3778AC86"/>
    <w:lvl w:ilvl="0" w:tentative="0">
      <w:start w:val="2"/>
      <w:numFmt w:val="decimal"/>
      <w:suff w:val="nothing"/>
      <w:lvlText w:val="%1）"/>
      <w:lvlJc w:val="left"/>
    </w:lvl>
  </w:abstractNum>
  <w:abstractNum w:abstractNumId="8">
    <w:nsid w:val="4D5DA1B0"/>
    <w:multiLevelType w:val="singleLevel"/>
    <w:tmpl w:val="4D5DA1B0"/>
    <w:lvl w:ilvl="0" w:tentative="0">
      <w:start w:val="1"/>
      <w:numFmt w:val="decimal"/>
      <w:suff w:val="nothing"/>
      <w:lvlText w:val="%1、"/>
      <w:lvlJc w:val="left"/>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5BD9724"/>
    <w:multiLevelType w:val="singleLevel"/>
    <w:tmpl w:val="55BD9724"/>
    <w:lvl w:ilvl="0" w:tentative="0">
      <w:start w:val="6"/>
      <w:numFmt w:val="chineseCounting"/>
      <w:suff w:val="space"/>
      <w:lvlText w:val="第%1章"/>
      <w:lvlJc w:val="left"/>
      <w:rPr>
        <w:rFonts w:cs="Times New Roman"/>
      </w:rPr>
    </w:lvl>
  </w:abstractNum>
  <w:abstractNum w:abstractNumId="12">
    <w:nsid w:val="55CC65C6"/>
    <w:multiLevelType w:val="singleLevel"/>
    <w:tmpl w:val="55CC65C6"/>
    <w:lvl w:ilvl="0" w:tentative="0">
      <w:start w:val="3"/>
      <w:numFmt w:val="decimal"/>
      <w:suff w:val="nothing"/>
      <w:lvlText w:val="%1、"/>
      <w:lvlJc w:val="left"/>
      <w:rPr>
        <w:rFonts w:cs="Times New Roman"/>
      </w:rPr>
    </w:lvl>
  </w:abstractNum>
  <w:abstractNum w:abstractNumId="13">
    <w:nsid w:val="62650AD1"/>
    <w:multiLevelType w:val="singleLevel"/>
    <w:tmpl w:val="62650AD1"/>
    <w:lvl w:ilvl="0" w:tentative="0">
      <w:start w:val="5"/>
      <w:numFmt w:val="chineseCounting"/>
      <w:suff w:val="nothing"/>
      <w:lvlText w:val="%1、"/>
      <w:lvlJc w:val="left"/>
    </w:lvl>
  </w:abstractNum>
  <w:abstractNum w:abstractNumId="14">
    <w:nsid w:val="7C246926"/>
    <w:multiLevelType w:val="singleLevel"/>
    <w:tmpl w:val="7C246926"/>
    <w:lvl w:ilvl="0" w:tentative="0">
      <w:start w:val="2"/>
      <w:numFmt w:val="decimal"/>
      <w:suff w:val="nothing"/>
      <w:lvlText w:val="%1、"/>
      <w:lvlJc w:val="left"/>
      <w:rPr>
        <w:rFonts w:cs="Times New Roman"/>
      </w:rPr>
    </w:lvl>
  </w:abstractNum>
  <w:num w:numId="1">
    <w:abstractNumId w:val="4"/>
  </w:num>
  <w:num w:numId="2">
    <w:abstractNumId w:val="2"/>
  </w:num>
  <w:num w:numId="3">
    <w:abstractNumId w:val="6"/>
  </w:num>
  <w:num w:numId="4">
    <w:abstractNumId w:val="13"/>
  </w:num>
  <w:num w:numId="5">
    <w:abstractNumId w:val="1"/>
  </w:num>
  <w:num w:numId="6">
    <w:abstractNumId w:val="12"/>
  </w:num>
  <w:num w:numId="7">
    <w:abstractNumId w:val="8"/>
  </w:num>
  <w:num w:numId="8">
    <w:abstractNumId w:val="3"/>
  </w:num>
  <w:num w:numId="9">
    <w:abstractNumId w:val="0"/>
  </w:num>
  <w:num w:numId="10">
    <w:abstractNumId w:val="5"/>
  </w:num>
  <w:num w:numId="11">
    <w:abstractNumId w:val="11"/>
  </w:num>
  <w:num w:numId="12">
    <w:abstractNumId w:val="14"/>
  </w:num>
  <w:num w:numId="13">
    <w:abstractNumId w:val="7"/>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NotTrackMoves/>
  <w:documentProtection w:enforcement="0"/>
  <w:defaultTabStop w:val="420"/>
  <w:doNotHyphenateCaps/>
  <w:drawingGridHorizontalSpacing w:val="105"/>
  <w:drawingGridVerticalSpacing w:val="31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GRiMDI1MzU0YjUxZjQ4ZGI3ZWZkOTdjMGI5YzAifQ=="/>
  </w:docVars>
  <w:rsids>
    <w:rsidRoot w:val="00AB5FE3"/>
    <w:rsid w:val="00080B07"/>
    <w:rsid w:val="00085E3F"/>
    <w:rsid w:val="000A6518"/>
    <w:rsid w:val="000C77EB"/>
    <w:rsid w:val="000C7D1E"/>
    <w:rsid w:val="000E2FB6"/>
    <w:rsid w:val="000F6B12"/>
    <w:rsid w:val="00114D92"/>
    <w:rsid w:val="00125217"/>
    <w:rsid w:val="0013112C"/>
    <w:rsid w:val="00137FEA"/>
    <w:rsid w:val="00182178"/>
    <w:rsid w:val="001834CA"/>
    <w:rsid w:val="001C41A0"/>
    <w:rsid w:val="002212E3"/>
    <w:rsid w:val="00246239"/>
    <w:rsid w:val="00276989"/>
    <w:rsid w:val="002933E3"/>
    <w:rsid w:val="002A4192"/>
    <w:rsid w:val="002A4EC2"/>
    <w:rsid w:val="002C10E2"/>
    <w:rsid w:val="002E5228"/>
    <w:rsid w:val="002F1F12"/>
    <w:rsid w:val="003410FE"/>
    <w:rsid w:val="00345A33"/>
    <w:rsid w:val="0037093F"/>
    <w:rsid w:val="00396788"/>
    <w:rsid w:val="003A2AE4"/>
    <w:rsid w:val="003D7403"/>
    <w:rsid w:val="004125C2"/>
    <w:rsid w:val="00422953"/>
    <w:rsid w:val="004533CE"/>
    <w:rsid w:val="00477690"/>
    <w:rsid w:val="004B1D2F"/>
    <w:rsid w:val="004B636D"/>
    <w:rsid w:val="004C011E"/>
    <w:rsid w:val="004F705B"/>
    <w:rsid w:val="00500CB3"/>
    <w:rsid w:val="00502855"/>
    <w:rsid w:val="00525867"/>
    <w:rsid w:val="005277DD"/>
    <w:rsid w:val="005529AF"/>
    <w:rsid w:val="005571CE"/>
    <w:rsid w:val="005840D5"/>
    <w:rsid w:val="005B0AC2"/>
    <w:rsid w:val="005C2B58"/>
    <w:rsid w:val="005C368A"/>
    <w:rsid w:val="005D18B2"/>
    <w:rsid w:val="005E293A"/>
    <w:rsid w:val="005F4E0A"/>
    <w:rsid w:val="00602026"/>
    <w:rsid w:val="00605F44"/>
    <w:rsid w:val="00627BE8"/>
    <w:rsid w:val="0063362F"/>
    <w:rsid w:val="0065712C"/>
    <w:rsid w:val="00671B9C"/>
    <w:rsid w:val="00680296"/>
    <w:rsid w:val="006837B8"/>
    <w:rsid w:val="00695EAD"/>
    <w:rsid w:val="00696B6B"/>
    <w:rsid w:val="006A05E6"/>
    <w:rsid w:val="006B37F8"/>
    <w:rsid w:val="006D2DE6"/>
    <w:rsid w:val="006E18D1"/>
    <w:rsid w:val="006F0FED"/>
    <w:rsid w:val="006F1F2B"/>
    <w:rsid w:val="007123E2"/>
    <w:rsid w:val="0073667C"/>
    <w:rsid w:val="00757577"/>
    <w:rsid w:val="00777411"/>
    <w:rsid w:val="00816A89"/>
    <w:rsid w:val="008404D4"/>
    <w:rsid w:val="0084405B"/>
    <w:rsid w:val="008501BD"/>
    <w:rsid w:val="0085052E"/>
    <w:rsid w:val="00870FA5"/>
    <w:rsid w:val="008731D0"/>
    <w:rsid w:val="0087765A"/>
    <w:rsid w:val="0089566F"/>
    <w:rsid w:val="008E0C60"/>
    <w:rsid w:val="008F1B3A"/>
    <w:rsid w:val="009166B9"/>
    <w:rsid w:val="00935718"/>
    <w:rsid w:val="00935D0C"/>
    <w:rsid w:val="0097186B"/>
    <w:rsid w:val="009C017D"/>
    <w:rsid w:val="009E2AC8"/>
    <w:rsid w:val="00A72290"/>
    <w:rsid w:val="00AB0CCF"/>
    <w:rsid w:val="00AB5FE3"/>
    <w:rsid w:val="00AD5831"/>
    <w:rsid w:val="00AF113E"/>
    <w:rsid w:val="00B217EC"/>
    <w:rsid w:val="00B27298"/>
    <w:rsid w:val="00B30C84"/>
    <w:rsid w:val="00B4695C"/>
    <w:rsid w:val="00B52256"/>
    <w:rsid w:val="00BB5AA2"/>
    <w:rsid w:val="00BE625F"/>
    <w:rsid w:val="00C21FA8"/>
    <w:rsid w:val="00C6409D"/>
    <w:rsid w:val="00C80A07"/>
    <w:rsid w:val="00CA788B"/>
    <w:rsid w:val="00CB57EA"/>
    <w:rsid w:val="00CE05F4"/>
    <w:rsid w:val="00CE1B67"/>
    <w:rsid w:val="00CE7B36"/>
    <w:rsid w:val="00CF186F"/>
    <w:rsid w:val="00D07048"/>
    <w:rsid w:val="00D154C0"/>
    <w:rsid w:val="00D22B44"/>
    <w:rsid w:val="00D277BE"/>
    <w:rsid w:val="00D32A95"/>
    <w:rsid w:val="00D52ACE"/>
    <w:rsid w:val="00D57384"/>
    <w:rsid w:val="00D9456C"/>
    <w:rsid w:val="00DA6BD7"/>
    <w:rsid w:val="00DC5A60"/>
    <w:rsid w:val="00DD4137"/>
    <w:rsid w:val="00E445B5"/>
    <w:rsid w:val="00E45870"/>
    <w:rsid w:val="00E5310F"/>
    <w:rsid w:val="00E6634A"/>
    <w:rsid w:val="00E93DE2"/>
    <w:rsid w:val="00EC49F7"/>
    <w:rsid w:val="00F04776"/>
    <w:rsid w:val="00F252F0"/>
    <w:rsid w:val="00F35149"/>
    <w:rsid w:val="00F551AB"/>
    <w:rsid w:val="00F6462F"/>
    <w:rsid w:val="00FB2387"/>
    <w:rsid w:val="00FD444D"/>
    <w:rsid w:val="01102868"/>
    <w:rsid w:val="011662CC"/>
    <w:rsid w:val="012A4559"/>
    <w:rsid w:val="01343A7F"/>
    <w:rsid w:val="01475DCB"/>
    <w:rsid w:val="015D1599"/>
    <w:rsid w:val="015E5112"/>
    <w:rsid w:val="017C0DF6"/>
    <w:rsid w:val="017C7F63"/>
    <w:rsid w:val="018F2EE2"/>
    <w:rsid w:val="019D6015"/>
    <w:rsid w:val="01A87AFF"/>
    <w:rsid w:val="01BC19C5"/>
    <w:rsid w:val="01CD25C1"/>
    <w:rsid w:val="01CF1291"/>
    <w:rsid w:val="01E55D08"/>
    <w:rsid w:val="021B28F3"/>
    <w:rsid w:val="02294804"/>
    <w:rsid w:val="02354ACF"/>
    <w:rsid w:val="024F520B"/>
    <w:rsid w:val="025657AD"/>
    <w:rsid w:val="02874E3A"/>
    <w:rsid w:val="02D12289"/>
    <w:rsid w:val="032E6435"/>
    <w:rsid w:val="03625911"/>
    <w:rsid w:val="036956D0"/>
    <w:rsid w:val="037B2E73"/>
    <w:rsid w:val="03857FB0"/>
    <w:rsid w:val="038D1B08"/>
    <w:rsid w:val="03940498"/>
    <w:rsid w:val="03CD7B72"/>
    <w:rsid w:val="03D56637"/>
    <w:rsid w:val="03E34C1E"/>
    <w:rsid w:val="041A2F36"/>
    <w:rsid w:val="04274596"/>
    <w:rsid w:val="0429177F"/>
    <w:rsid w:val="0433224A"/>
    <w:rsid w:val="04364D47"/>
    <w:rsid w:val="043838A3"/>
    <w:rsid w:val="044C317A"/>
    <w:rsid w:val="045521C0"/>
    <w:rsid w:val="046301A2"/>
    <w:rsid w:val="047E71AE"/>
    <w:rsid w:val="04C97E11"/>
    <w:rsid w:val="04DA1079"/>
    <w:rsid w:val="04DB67CF"/>
    <w:rsid w:val="05263B41"/>
    <w:rsid w:val="05304B47"/>
    <w:rsid w:val="05340EA7"/>
    <w:rsid w:val="054F016A"/>
    <w:rsid w:val="056819F2"/>
    <w:rsid w:val="056821C5"/>
    <w:rsid w:val="056F72B2"/>
    <w:rsid w:val="0574160C"/>
    <w:rsid w:val="05812800"/>
    <w:rsid w:val="059565ED"/>
    <w:rsid w:val="05DA5047"/>
    <w:rsid w:val="06121F56"/>
    <w:rsid w:val="061408F7"/>
    <w:rsid w:val="06155A61"/>
    <w:rsid w:val="06191AF2"/>
    <w:rsid w:val="06236C32"/>
    <w:rsid w:val="06297835"/>
    <w:rsid w:val="06544AEA"/>
    <w:rsid w:val="06752B6E"/>
    <w:rsid w:val="06825951"/>
    <w:rsid w:val="06A651EC"/>
    <w:rsid w:val="06B00B15"/>
    <w:rsid w:val="06D4354A"/>
    <w:rsid w:val="06E23B26"/>
    <w:rsid w:val="06E8703C"/>
    <w:rsid w:val="06EB7D4C"/>
    <w:rsid w:val="06F74968"/>
    <w:rsid w:val="070C1DAA"/>
    <w:rsid w:val="071D2DDA"/>
    <w:rsid w:val="072445B9"/>
    <w:rsid w:val="07277465"/>
    <w:rsid w:val="074654F4"/>
    <w:rsid w:val="075A4F86"/>
    <w:rsid w:val="076F6A4D"/>
    <w:rsid w:val="077374DF"/>
    <w:rsid w:val="07767C1E"/>
    <w:rsid w:val="07794699"/>
    <w:rsid w:val="07972A0C"/>
    <w:rsid w:val="07B05CEC"/>
    <w:rsid w:val="07C252B9"/>
    <w:rsid w:val="07CC0CBC"/>
    <w:rsid w:val="081449CC"/>
    <w:rsid w:val="0828199A"/>
    <w:rsid w:val="083245C7"/>
    <w:rsid w:val="083B791F"/>
    <w:rsid w:val="085928C1"/>
    <w:rsid w:val="0873533A"/>
    <w:rsid w:val="08793ADC"/>
    <w:rsid w:val="08A96637"/>
    <w:rsid w:val="08B75C21"/>
    <w:rsid w:val="08BE7FAE"/>
    <w:rsid w:val="08DD77CD"/>
    <w:rsid w:val="08E104C7"/>
    <w:rsid w:val="08F6045C"/>
    <w:rsid w:val="08FB569F"/>
    <w:rsid w:val="094A2521"/>
    <w:rsid w:val="09504E98"/>
    <w:rsid w:val="09505388"/>
    <w:rsid w:val="09522F3E"/>
    <w:rsid w:val="09656ADE"/>
    <w:rsid w:val="096919AA"/>
    <w:rsid w:val="09800CC8"/>
    <w:rsid w:val="09B87FD0"/>
    <w:rsid w:val="0A0720FF"/>
    <w:rsid w:val="0A0E4EFB"/>
    <w:rsid w:val="0A112282"/>
    <w:rsid w:val="0A507645"/>
    <w:rsid w:val="0A937442"/>
    <w:rsid w:val="0AAC0660"/>
    <w:rsid w:val="0AB53556"/>
    <w:rsid w:val="0ABA2D7D"/>
    <w:rsid w:val="0AD667A6"/>
    <w:rsid w:val="0AE0030A"/>
    <w:rsid w:val="0B096B0D"/>
    <w:rsid w:val="0BA533BE"/>
    <w:rsid w:val="0BB55791"/>
    <w:rsid w:val="0BC124ED"/>
    <w:rsid w:val="0BC47C2C"/>
    <w:rsid w:val="0BC91CCD"/>
    <w:rsid w:val="0BE14FCA"/>
    <w:rsid w:val="0C0A7AA8"/>
    <w:rsid w:val="0C166C66"/>
    <w:rsid w:val="0C2B3807"/>
    <w:rsid w:val="0C4548C9"/>
    <w:rsid w:val="0C5D60B6"/>
    <w:rsid w:val="0C6C74AB"/>
    <w:rsid w:val="0C6E4556"/>
    <w:rsid w:val="0C8A2C92"/>
    <w:rsid w:val="0CC0424B"/>
    <w:rsid w:val="0CC22FE6"/>
    <w:rsid w:val="0CC3477E"/>
    <w:rsid w:val="0CD22DCF"/>
    <w:rsid w:val="0CD801DA"/>
    <w:rsid w:val="0D121435"/>
    <w:rsid w:val="0D2564A8"/>
    <w:rsid w:val="0D2E16CD"/>
    <w:rsid w:val="0D2E2F71"/>
    <w:rsid w:val="0D2E35AF"/>
    <w:rsid w:val="0D512DA1"/>
    <w:rsid w:val="0D620DC0"/>
    <w:rsid w:val="0D6917CA"/>
    <w:rsid w:val="0D9F4AB0"/>
    <w:rsid w:val="0DAD32BC"/>
    <w:rsid w:val="0DBC79F0"/>
    <w:rsid w:val="0DCA6ABF"/>
    <w:rsid w:val="0DCC638D"/>
    <w:rsid w:val="0DCF438E"/>
    <w:rsid w:val="0DD10361"/>
    <w:rsid w:val="0DF3229A"/>
    <w:rsid w:val="0E14400C"/>
    <w:rsid w:val="0E474E2D"/>
    <w:rsid w:val="0E4A266A"/>
    <w:rsid w:val="0E4F21C3"/>
    <w:rsid w:val="0E505333"/>
    <w:rsid w:val="0E700CBE"/>
    <w:rsid w:val="0E7A67BA"/>
    <w:rsid w:val="0E943D45"/>
    <w:rsid w:val="0E9B3E36"/>
    <w:rsid w:val="0EB35D57"/>
    <w:rsid w:val="0F3B3E8F"/>
    <w:rsid w:val="0F3B40A8"/>
    <w:rsid w:val="0F4B6DFF"/>
    <w:rsid w:val="0F5E1AD0"/>
    <w:rsid w:val="0F9C0F15"/>
    <w:rsid w:val="0FA73E68"/>
    <w:rsid w:val="0FAD48B7"/>
    <w:rsid w:val="0FCE1720"/>
    <w:rsid w:val="0FD7486D"/>
    <w:rsid w:val="0FD77F2D"/>
    <w:rsid w:val="0FD8474C"/>
    <w:rsid w:val="0FEB2934"/>
    <w:rsid w:val="10134FA4"/>
    <w:rsid w:val="102631CD"/>
    <w:rsid w:val="104C257C"/>
    <w:rsid w:val="10506D54"/>
    <w:rsid w:val="10620DA8"/>
    <w:rsid w:val="10740D11"/>
    <w:rsid w:val="10B31A6E"/>
    <w:rsid w:val="10CA6FC7"/>
    <w:rsid w:val="10D10E21"/>
    <w:rsid w:val="11011D80"/>
    <w:rsid w:val="11545E36"/>
    <w:rsid w:val="11552DD2"/>
    <w:rsid w:val="119B5EA3"/>
    <w:rsid w:val="11A1194A"/>
    <w:rsid w:val="11A96BDF"/>
    <w:rsid w:val="11AE3BF2"/>
    <w:rsid w:val="11BE49B0"/>
    <w:rsid w:val="11D74E26"/>
    <w:rsid w:val="11DE3CD2"/>
    <w:rsid w:val="11EA22F1"/>
    <w:rsid w:val="12153009"/>
    <w:rsid w:val="122F062D"/>
    <w:rsid w:val="12723D6D"/>
    <w:rsid w:val="128B5ABB"/>
    <w:rsid w:val="12C14EC5"/>
    <w:rsid w:val="12E26780"/>
    <w:rsid w:val="132625C4"/>
    <w:rsid w:val="13281E9C"/>
    <w:rsid w:val="1334621B"/>
    <w:rsid w:val="135567C5"/>
    <w:rsid w:val="135C409A"/>
    <w:rsid w:val="136B7A95"/>
    <w:rsid w:val="137D703E"/>
    <w:rsid w:val="13813C3C"/>
    <w:rsid w:val="138C102F"/>
    <w:rsid w:val="139A199E"/>
    <w:rsid w:val="13CF5AE2"/>
    <w:rsid w:val="13D80F6B"/>
    <w:rsid w:val="13DE4113"/>
    <w:rsid w:val="14035330"/>
    <w:rsid w:val="140846C3"/>
    <w:rsid w:val="14086FAC"/>
    <w:rsid w:val="140A5EFE"/>
    <w:rsid w:val="14283047"/>
    <w:rsid w:val="1428547C"/>
    <w:rsid w:val="143309BD"/>
    <w:rsid w:val="143D099A"/>
    <w:rsid w:val="14432AA3"/>
    <w:rsid w:val="144E581F"/>
    <w:rsid w:val="147158F4"/>
    <w:rsid w:val="14893CDD"/>
    <w:rsid w:val="14986CC5"/>
    <w:rsid w:val="1498706D"/>
    <w:rsid w:val="14A724C4"/>
    <w:rsid w:val="14B85D75"/>
    <w:rsid w:val="14C90A4C"/>
    <w:rsid w:val="14CF6317"/>
    <w:rsid w:val="14EF498C"/>
    <w:rsid w:val="151A0285"/>
    <w:rsid w:val="153943C7"/>
    <w:rsid w:val="153B0F5F"/>
    <w:rsid w:val="153B5E8A"/>
    <w:rsid w:val="155115F3"/>
    <w:rsid w:val="155A7BF6"/>
    <w:rsid w:val="158F1C8D"/>
    <w:rsid w:val="15914DE7"/>
    <w:rsid w:val="159211B8"/>
    <w:rsid w:val="15970AF4"/>
    <w:rsid w:val="15A62EDD"/>
    <w:rsid w:val="16351827"/>
    <w:rsid w:val="163D3D08"/>
    <w:rsid w:val="164921C1"/>
    <w:rsid w:val="16783F37"/>
    <w:rsid w:val="16972286"/>
    <w:rsid w:val="16BA0531"/>
    <w:rsid w:val="16E4192B"/>
    <w:rsid w:val="16FF39CF"/>
    <w:rsid w:val="17216EDD"/>
    <w:rsid w:val="174F484D"/>
    <w:rsid w:val="176259E2"/>
    <w:rsid w:val="17645343"/>
    <w:rsid w:val="17740335"/>
    <w:rsid w:val="177B53BF"/>
    <w:rsid w:val="178A43F9"/>
    <w:rsid w:val="17A76E15"/>
    <w:rsid w:val="17BE5E6C"/>
    <w:rsid w:val="17C6537A"/>
    <w:rsid w:val="17D56D11"/>
    <w:rsid w:val="17E4768B"/>
    <w:rsid w:val="18026B7E"/>
    <w:rsid w:val="18311585"/>
    <w:rsid w:val="185A1BD3"/>
    <w:rsid w:val="18705227"/>
    <w:rsid w:val="18AE7C99"/>
    <w:rsid w:val="18C27A3A"/>
    <w:rsid w:val="18CF73E2"/>
    <w:rsid w:val="18F356AC"/>
    <w:rsid w:val="18F475BF"/>
    <w:rsid w:val="19057510"/>
    <w:rsid w:val="19091A44"/>
    <w:rsid w:val="19127B16"/>
    <w:rsid w:val="191D6A64"/>
    <w:rsid w:val="193E0BDB"/>
    <w:rsid w:val="19432BFC"/>
    <w:rsid w:val="194E5FDA"/>
    <w:rsid w:val="195B10FE"/>
    <w:rsid w:val="198A364B"/>
    <w:rsid w:val="19967F84"/>
    <w:rsid w:val="19A40D54"/>
    <w:rsid w:val="19A61090"/>
    <w:rsid w:val="19BD577A"/>
    <w:rsid w:val="19E02336"/>
    <w:rsid w:val="19ED031E"/>
    <w:rsid w:val="19FE3E37"/>
    <w:rsid w:val="1A206975"/>
    <w:rsid w:val="1A316785"/>
    <w:rsid w:val="1A704086"/>
    <w:rsid w:val="1A850B8C"/>
    <w:rsid w:val="1A8D2EA4"/>
    <w:rsid w:val="1AC50DC4"/>
    <w:rsid w:val="1ACA41CA"/>
    <w:rsid w:val="1ACD005B"/>
    <w:rsid w:val="1ADC289C"/>
    <w:rsid w:val="1B043B73"/>
    <w:rsid w:val="1B1A7C3C"/>
    <w:rsid w:val="1B3C35B9"/>
    <w:rsid w:val="1B4B0CD5"/>
    <w:rsid w:val="1B5E7EBE"/>
    <w:rsid w:val="1B6A4F0B"/>
    <w:rsid w:val="1B74506C"/>
    <w:rsid w:val="1B935B8A"/>
    <w:rsid w:val="1B950B3C"/>
    <w:rsid w:val="1B9E4E79"/>
    <w:rsid w:val="1BB2375B"/>
    <w:rsid w:val="1BBB4739"/>
    <w:rsid w:val="1BC8151F"/>
    <w:rsid w:val="1BCD0E27"/>
    <w:rsid w:val="1BCE450B"/>
    <w:rsid w:val="1C162336"/>
    <w:rsid w:val="1C1C03C3"/>
    <w:rsid w:val="1C3339B4"/>
    <w:rsid w:val="1C4A7CD9"/>
    <w:rsid w:val="1C67119B"/>
    <w:rsid w:val="1C721C13"/>
    <w:rsid w:val="1C7D180E"/>
    <w:rsid w:val="1C862B65"/>
    <w:rsid w:val="1C8C707E"/>
    <w:rsid w:val="1CAD3695"/>
    <w:rsid w:val="1CAF4AE3"/>
    <w:rsid w:val="1CCF4178"/>
    <w:rsid w:val="1CDA1373"/>
    <w:rsid w:val="1CE0522F"/>
    <w:rsid w:val="1CFA7D75"/>
    <w:rsid w:val="1D0B1216"/>
    <w:rsid w:val="1D331190"/>
    <w:rsid w:val="1D382CE5"/>
    <w:rsid w:val="1D556936"/>
    <w:rsid w:val="1D732E41"/>
    <w:rsid w:val="1D7913BB"/>
    <w:rsid w:val="1D7F39B2"/>
    <w:rsid w:val="1DB034A7"/>
    <w:rsid w:val="1DE570B6"/>
    <w:rsid w:val="1E5029D9"/>
    <w:rsid w:val="1E735BEA"/>
    <w:rsid w:val="1E9772EF"/>
    <w:rsid w:val="1E9A453D"/>
    <w:rsid w:val="1EAC54E7"/>
    <w:rsid w:val="1EB773B5"/>
    <w:rsid w:val="1ECC50B1"/>
    <w:rsid w:val="1EDB1A02"/>
    <w:rsid w:val="1EDC6DFB"/>
    <w:rsid w:val="1EE06E56"/>
    <w:rsid w:val="1EE33A19"/>
    <w:rsid w:val="1F264D74"/>
    <w:rsid w:val="1F4C007D"/>
    <w:rsid w:val="1F544CBA"/>
    <w:rsid w:val="1F624FA9"/>
    <w:rsid w:val="1FC91D9A"/>
    <w:rsid w:val="200A5712"/>
    <w:rsid w:val="201B6DAB"/>
    <w:rsid w:val="206B142F"/>
    <w:rsid w:val="208C6E1A"/>
    <w:rsid w:val="20911160"/>
    <w:rsid w:val="20AD4C4C"/>
    <w:rsid w:val="20AF067E"/>
    <w:rsid w:val="20CF1F82"/>
    <w:rsid w:val="21186BCD"/>
    <w:rsid w:val="21235338"/>
    <w:rsid w:val="2133513C"/>
    <w:rsid w:val="21416D30"/>
    <w:rsid w:val="21460DAB"/>
    <w:rsid w:val="2150416A"/>
    <w:rsid w:val="215242BF"/>
    <w:rsid w:val="21747FCA"/>
    <w:rsid w:val="21915D17"/>
    <w:rsid w:val="21B93F30"/>
    <w:rsid w:val="21E312C6"/>
    <w:rsid w:val="22033435"/>
    <w:rsid w:val="220B1CB9"/>
    <w:rsid w:val="22367ECF"/>
    <w:rsid w:val="224035F0"/>
    <w:rsid w:val="22447B69"/>
    <w:rsid w:val="226B7039"/>
    <w:rsid w:val="227546C9"/>
    <w:rsid w:val="22765384"/>
    <w:rsid w:val="228A25BB"/>
    <w:rsid w:val="22AD1DB0"/>
    <w:rsid w:val="22B67BCB"/>
    <w:rsid w:val="22C205C9"/>
    <w:rsid w:val="22F10DC9"/>
    <w:rsid w:val="22F469BA"/>
    <w:rsid w:val="22F92508"/>
    <w:rsid w:val="23103EFD"/>
    <w:rsid w:val="232B0864"/>
    <w:rsid w:val="233A1373"/>
    <w:rsid w:val="233C7CDD"/>
    <w:rsid w:val="235E1CD0"/>
    <w:rsid w:val="237B7CED"/>
    <w:rsid w:val="239E59A9"/>
    <w:rsid w:val="23B348A8"/>
    <w:rsid w:val="23B80E3C"/>
    <w:rsid w:val="23CC35EB"/>
    <w:rsid w:val="23FD0C78"/>
    <w:rsid w:val="23FF341B"/>
    <w:rsid w:val="240F698F"/>
    <w:rsid w:val="244B2840"/>
    <w:rsid w:val="244F1E0A"/>
    <w:rsid w:val="2455546D"/>
    <w:rsid w:val="24571B75"/>
    <w:rsid w:val="247D1459"/>
    <w:rsid w:val="247E5FA4"/>
    <w:rsid w:val="248A15BB"/>
    <w:rsid w:val="248C6179"/>
    <w:rsid w:val="24A106B2"/>
    <w:rsid w:val="24AD3DD7"/>
    <w:rsid w:val="24BA5577"/>
    <w:rsid w:val="24BB0AF0"/>
    <w:rsid w:val="24CF0D7F"/>
    <w:rsid w:val="24FA75CD"/>
    <w:rsid w:val="25251CD7"/>
    <w:rsid w:val="25290FA8"/>
    <w:rsid w:val="252C3253"/>
    <w:rsid w:val="253A71D8"/>
    <w:rsid w:val="25585215"/>
    <w:rsid w:val="25632B7F"/>
    <w:rsid w:val="2586533D"/>
    <w:rsid w:val="25A77F4A"/>
    <w:rsid w:val="25AE61AD"/>
    <w:rsid w:val="25B23A96"/>
    <w:rsid w:val="25CF74F6"/>
    <w:rsid w:val="25D04EC2"/>
    <w:rsid w:val="25E51DD4"/>
    <w:rsid w:val="25E6488B"/>
    <w:rsid w:val="261B0839"/>
    <w:rsid w:val="26210430"/>
    <w:rsid w:val="2626473C"/>
    <w:rsid w:val="263C0703"/>
    <w:rsid w:val="2666750E"/>
    <w:rsid w:val="267D2343"/>
    <w:rsid w:val="26904E9E"/>
    <w:rsid w:val="269577DC"/>
    <w:rsid w:val="269960D6"/>
    <w:rsid w:val="26B20955"/>
    <w:rsid w:val="26B215AA"/>
    <w:rsid w:val="26B768E7"/>
    <w:rsid w:val="26F405FE"/>
    <w:rsid w:val="26FA3134"/>
    <w:rsid w:val="270A274C"/>
    <w:rsid w:val="272730F1"/>
    <w:rsid w:val="275D77BA"/>
    <w:rsid w:val="277A7BA9"/>
    <w:rsid w:val="27B16D5C"/>
    <w:rsid w:val="27E86D24"/>
    <w:rsid w:val="27F21951"/>
    <w:rsid w:val="27F41B0E"/>
    <w:rsid w:val="280865D8"/>
    <w:rsid w:val="280C1B93"/>
    <w:rsid w:val="282A79A9"/>
    <w:rsid w:val="282B4E63"/>
    <w:rsid w:val="287255D6"/>
    <w:rsid w:val="287B7B98"/>
    <w:rsid w:val="2881386A"/>
    <w:rsid w:val="28820DB5"/>
    <w:rsid w:val="28895693"/>
    <w:rsid w:val="28A069E6"/>
    <w:rsid w:val="28A546A3"/>
    <w:rsid w:val="28B40121"/>
    <w:rsid w:val="28B41ED8"/>
    <w:rsid w:val="28CE01FC"/>
    <w:rsid w:val="28D252DE"/>
    <w:rsid w:val="28D35DF8"/>
    <w:rsid w:val="28DA087F"/>
    <w:rsid w:val="28E148BA"/>
    <w:rsid w:val="290039C9"/>
    <w:rsid w:val="29276E05"/>
    <w:rsid w:val="29437F8A"/>
    <w:rsid w:val="29995DFC"/>
    <w:rsid w:val="29A20B1F"/>
    <w:rsid w:val="29A34074"/>
    <w:rsid w:val="29C462AA"/>
    <w:rsid w:val="29D46625"/>
    <w:rsid w:val="29D907E2"/>
    <w:rsid w:val="2A0C4F53"/>
    <w:rsid w:val="2A1056ED"/>
    <w:rsid w:val="2A13091F"/>
    <w:rsid w:val="2A2860FB"/>
    <w:rsid w:val="2A407B09"/>
    <w:rsid w:val="2A650068"/>
    <w:rsid w:val="2A6B7798"/>
    <w:rsid w:val="2A88034A"/>
    <w:rsid w:val="2A9B449A"/>
    <w:rsid w:val="2ADE00B1"/>
    <w:rsid w:val="2B0A1BE1"/>
    <w:rsid w:val="2B163448"/>
    <w:rsid w:val="2B212549"/>
    <w:rsid w:val="2B312EE2"/>
    <w:rsid w:val="2B4B54DA"/>
    <w:rsid w:val="2B6253AF"/>
    <w:rsid w:val="2B66442F"/>
    <w:rsid w:val="2B672C9E"/>
    <w:rsid w:val="2B701554"/>
    <w:rsid w:val="2B76668D"/>
    <w:rsid w:val="2B7B0969"/>
    <w:rsid w:val="2B7F16BC"/>
    <w:rsid w:val="2BA754F7"/>
    <w:rsid w:val="2BCB6C93"/>
    <w:rsid w:val="2BD07219"/>
    <w:rsid w:val="2BED0CD6"/>
    <w:rsid w:val="2BF612E4"/>
    <w:rsid w:val="2C0B3E32"/>
    <w:rsid w:val="2C1B3732"/>
    <w:rsid w:val="2C311F1A"/>
    <w:rsid w:val="2C574478"/>
    <w:rsid w:val="2C622E1D"/>
    <w:rsid w:val="2C7C5C8D"/>
    <w:rsid w:val="2C7E0DBC"/>
    <w:rsid w:val="2CA07ACB"/>
    <w:rsid w:val="2CAF6493"/>
    <w:rsid w:val="2CF55A32"/>
    <w:rsid w:val="2D0F75E4"/>
    <w:rsid w:val="2D3070C6"/>
    <w:rsid w:val="2D4F719A"/>
    <w:rsid w:val="2D6E1E26"/>
    <w:rsid w:val="2D7F7721"/>
    <w:rsid w:val="2DA31ABA"/>
    <w:rsid w:val="2DB155D6"/>
    <w:rsid w:val="2DB75A57"/>
    <w:rsid w:val="2DB84C15"/>
    <w:rsid w:val="2DDF66EE"/>
    <w:rsid w:val="2E0629C2"/>
    <w:rsid w:val="2E0C5624"/>
    <w:rsid w:val="2E4C1924"/>
    <w:rsid w:val="2E5A010E"/>
    <w:rsid w:val="2E622CA9"/>
    <w:rsid w:val="2E89566F"/>
    <w:rsid w:val="2E9D1A1F"/>
    <w:rsid w:val="2EA94D33"/>
    <w:rsid w:val="2EB07E70"/>
    <w:rsid w:val="2EB735EB"/>
    <w:rsid w:val="2EE459AB"/>
    <w:rsid w:val="2EE86972"/>
    <w:rsid w:val="2EF33724"/>
    <w:rsid w:val="2EFC1307"/>
    <w:rsid w:val="2F2C3963"/>
    <w:rsid w:val="2F4E650D"/>
    <w:rsid w:val="2F64077E"/>
    <w:rsid w:val="2F971030"/>
    <w:rsid w:val="2F9E1DDF"/>
    <w:rsid w:val="2FD20D51"/>
    <w:rsid w:val="2FDC0024"/>
    <w:rsid w:val="2FE14B66"/>
    <w:rsid w:val="2FF46B04"/>
    <w:rsid w:val="2FFF57D3"/>
    <w:rsid w:val="30127F10"/>
    <w:rsid w:val="30185CCC"/>
    <w:rsid w:val="302503B5"/>
    <w:rsid w:val="30653677"/>
    <w:rsid w:val="307B5DD0"/>
    <w:rsid w:val="307C26FF"/>
    <w:rsid w:val="30836566"/>
    <w:rsid w:val="30903378"/>
    <w:rsid w:val="309323FD"/>
    <w:rsid w:val="30A22C08"/>
    <w:rsid w:val="30B149C8"/>
    <w:rsid w:val="30DF77C7"/>
    <w:rsid w:val="3111318A"/>
    <w:rsid w:val="311939C4"/>
    <w:rsid w:val="311F556A"/>
    <w:rsid w:val="312B735E"/>
    <w:rsid w:val="31327262"/>
    <w:rsid w:val="313C6216"/>
    <w:rsid w:val="31713FD6"/>
    <w:rsid w:val="31791FCB"/>
    <w:rsid w:val="317D2E66"/>
    <w:rsid w:val="318B3815"/>
    <w:rsid w:val="31AF085A"/>
    <w:rsid w:val="31B14030"/>
    <w:rsid w:val="31C43679"/>
    <w:rsid w:val="31DB3419"/>
    <w:rsid w:val="31E92237"/>
    <w:rsid w:val="31F521F9"/>
    <w:rsid w:val="320B71D7"/>
    <w:rsid w:val="321D437C"/>
    <w:rsid w:val="32435FA0"/>
    <w:rsid w:val="32670C1B"/>
    <w:rsid w:val="326A442C"/>
    <w:rsid w:val="32773CA5"/>
    <w:rsid w:val="327C334A"/>
    <w:rsid w:val="328A752A"/>
    <w:rsid w:val="32956F36"/>
    <w:rsid w:val="32985939"/>
    <w:rsid w:val="32A65892"/>
    <w:rsid w:val="32AE7004"/>
    <w:rsid w:val="32DC7485"/>
    <w:rsid w:val="32DD0B47"/>
    <w:rsid w:val="32F56799"/>
    <w:rsid w:val="32F61F10"/>
    <w:rsid w:val="33031326"/>
    <w:rsid w:val="330469DC"/>
    <w:rsid w:val="33050878"/>
    <w:rsid w:val="33231C63"/>
    <w:rsid w:val="33632921"/>
    <w:rsid w:val="336A5F84"/>
    <w:rsid w:val="3374374B"/>
    <w:rsid w:val="33824093"/>
    <w:rsid w:val="33847555"/>
    <w:rsid w:val="33A33D0F"/>
    <w:rsid w:val="33B30274"/>
    <w:rsid w:val="33E01FD7"/>
    <w:rsid w:val="33FB68B1"/>
    <w:rsid w:val="34287D5C"/>
    <w:rsid w:val="34365AB6"/>
    <w:rsid w:val="34376CFF"/>
    <w:rsid w:val="3467179E"/>
    <w:rsid w:val="34A32234"/>
    <w:rsid w:val="34B779E1"/>
    <w:rsid w:val="34B86614"/>
    <w:rsid w:val="34BA0C38"/>
    <w:rsid w:val="34C8427A"/>
    <w:rsid w:val="34D268C2"/>
    <w:rsid w:val="34D75ABD"/>
    <w:rsid w:val="350C2776"/>
    <w:rsid w:val="352D2B33"/>
    <w:rsid w:val="35340E77"/>
    <w:rsid w:val="354C3F3F"/>
    <w:rsid w:val="356539A2"/>
    <w:rsid w:val="35A713E2"/>
    <w:rsid w:val="35AB0D01"/>
    <w:rsid w:val="35E87382"/>
    <w:rsid w:val="35FE5F14"/>
    <w:rsid w:val="361D0290"/>
    <w:rsid w:val="363C581C"/>
    <w:rsid w:val="36664456"/>
    <w:rsid w:val="36735CB8"/>
    <w:rsid w:val="36B50FBE"/>
    <w:rsid w:val="36C24638"/>
    <w:rsid w:val="36C24E74"/>
    <w:rsid w:val="36D32E8A"/>
    <w:rsid w:val="36D4391E"/>
    <w:rsid w:val="37001105"/>
    <w:rsid w:val="370535C9"/>
    <w:rsid w:val="374F7A97"/>
    <w:rsid w:val="3767333E"/>
    <w:rsid w:val="376E2FA9"/>
    <w:rsid w:val="377A5AB6"/>
    <w:rsid w:val="377A7E2B"/>
    <w:rsid w:val="37805382"/>
    <w:rsid w:val="37BD44E4"/>
    <w:rsid w:val="37CA71B3"/>
    <w:rsid w:val="37CD33BF"/>
    <w:rsid w:val="37DB7811"/>
    <w:rsid w:val="38105B84"/>
    <w:rsid w:val="381C47C8"/>
    <w:rsid w:val="38412DE1"/>
    <w:rsid w:val="38502C1E"/>
    <w:rsid w:val="38AC4AE2"/>
    <w:rsid w:val="38C27115"/>
    <w:rsid w:val="38D42B66"/>
    <w:rsid w:val="39194863"/>
    <w:rsid w:val="3967781E"/>
    <w:rsid w:val="39901AB2"/>
    <w:rsid w:val="39995A6C"/>
    <w:rsid w:val="399B700E"/>
    <w:rsid w:val="39B1489C"/>
    <w:rsid w:val="39CD6B09"/>
    <w:rsid w:val="39FF161A"/>
    <w:rsid w:val="3A0A236E"/>
    <w:rsid w:val="3A1C0AAF"/>
    <w:rsid w:val="3A2523A2"/>
    <w:rsid w:val="3A2B484E"/>
    <w:rsid w:val="3A432759"/>
    <w:rsid w:val="3A790C4B"/>
    <w:rsid w:val="3A960861"/>
    <w:rsid w:val="3AA508F0"/>
    <w:rsid w:val="3AD20D40"/>
    <w:rsid w:val="3ADA0988"/>
    <w:rsid w:val="3B3A66D5"/>
    <w:rsid w:val="3B441AFA"/>
    <w:rsid w:val="3B7E14D2"/>
    <w:rsid w:val="3BC53DCA"/>
    <w:rsid w:val="3BDC4AFB"/>
    <w:rsid w:val="3BE4123F"/>
    <w:rsid w:val="3BEE1FD7"/>
    <w:rsid w:val="3BFF6842"/>
    <w:rsid w:val="3C6B604E"/>
    <w:rsid w:val="3C752134"/>
    <w:rsid w:val="3C805325"/>
    <w:rsid w:val="3C904910"/>
    <w:rsid w:val="3CA209B6"/>
    <w:rsid w:val="3CA71EE7"/>
    <w:rsid w:val="3CDD2778"/>
    <w:rsid w:val="3CE0414D"/>
    <w:rsid w:val="3CE2453C"/>
    <w:rsid w:val="3CF47AC1"/>
    <w:rsid w:val="3D031AB2"/>
    <w:rsid w:val="3D19167B"/>
    <w:rsid w:val="3D440B2B"/>
    <w:rsid w:val="3D5225E4"/>
    <w:rsid w:val="3D682F0F"/>
    <w:rsid w:val="3D6B1456"/>
    <w:rsid w:val="3D7A4028"/>
    <w:rsid w:val="3D7F55DD"/>
    <w:rsid w:val="3D834756"/>
    <w:rsid w:val="3D977655"/>
    <w:rsid w:val="3DBF4D70"/>
    <w:rsid w:val="3DCB0C69"/>
    <w:rsid w:val="3DEF139C"/>
    <w:rsid w:val="3E2C3175"/>
    <w:rsid w:val="3E8444A5"/>
    <w:rsid w:val="3E945B9C"/>
    <w:rsid w:val="3E98008D"/>
    <w:rsid w:val="3EAE1708"/>
    <w:rsid w:val="3EC3363A"/>
    <w:rsid w:val="3EC47912"/>
    <w:rsid w:val="3EF82607"/>
    <w:rsid w:val="3F5D6952"/>
    <w:rsid w:val="3F6314E7"/>
    <w:rsid w:val="3F707D68"/>
    <w:rsid w:val="3F9F3283"/>
    <w:rsid w:val="3FB95EB9"/>
    <w:rsid w:val="3FCC4B29"/>
    <w:rsid w:val="3FE8424F"/>
    <w:rsid w:val="3FF200E3"/>
    <w:rsid w:val="40327434"/>
    <w:rsid w:val="40730CFD"/>
    <w:rsid w:val="40AF0270"/>
    <w:rsid w:val="40B762EC"/>
    <w:rsid w:val="40B83355"/>
    <w:rsid w:val="40D00F60"/>
    <w:rsid w:val="410F7372"/>
    <w:rsid w:val="41120516"/>
    <w:rsid w:val="41163086"/>
    <w:rsid w:val="416426BC"/>
    <w:rsid w:val="41981942"/>
    <w:rsid w:val="4198463D"/>
    <w:rsid w:val="419F2BF7"/>
    <w:rsid w:val="41A2381A"/>
    <w:rsid w:val="41A61BC7"/>
    <w:rsid w:val="41AB17C9"/>
    <w:rsid w:val="41D9777C"/>
    <w:rsid w:val="4210799B"/>
    <w:rsid w:val="42162288"/>
    <w:rsid w:val="4251200C"/>
    <w:rsid w:val="4254775F"/>
    <w:rsid w:val="42647B4A"/>
    <w:rsid w:val="428138C2"/>
    <w:rsid w:val="429F690D"/>
    <w:rsid w:val="42B431B4"/>
    <w:rsid w:val="42B44C7C"/>
    <w:rsid w:val="42B80332"/>
    <w:rsid w:val="42B833AD"/>
    <w:rsid w:val="42C442A5"/>
    <w:rsid w:val="42C55559"/>
    <w:rsid w:val="42CB4676"/>
    <w:rsid w:val="42CE79F1"/>
    <w:rsid w:val="42D00D65"/>
    <w:rsid w:val="42D25C32"/>
    <w:rsid w:val="42E303BC"/>
    <w:rsid w:val="42E4469A"/>
    <w:rsid w:val="430D5439"/>
    <w:rsid w:val="43100A68"/>
    <w:rsid w:val="43280EF8"/>
    <w:rsid w:val="432B1D63"/>
    <w:rsid w:val="43431CD7"/>
    <w:rsid w:val="43456981"/>
    <w:rsid w:val="434C241E"/>
    <w:rsid w:val="439D7926"/>
    <w:rsid w:val="43BA278C"/>
    <w:rsid w:val="43BA7B87"/>
    <w:rsid w:val="43BE2CE8"/>
    <w:rsid w:val="43C83239"/>
    <w:rsid w:val="43E066A9"/>
    <w:rsid w:val="43FD3403"/>
    <w:rsid w:val="44016576"/>
    <w:rsid w:val="440C47E9"/>
    <w:rsid w:val="4416460A"/>
    <w:rsid w:val="44285A31"/>
    <w:rsid w:val="443316B9"/>
    <w:rsid w:val="443559EC"/>
    <w:rsid w:val="44464048"/>
    <w:rsid w:val="44684FE3"/>
    <w:rsid w:val="44971A6E"/>
    <w:rsid w:val="44BA113B"/>
    <w:rsid w:val="44C607EC"/>
    <w:rsid w:val="44C83D5A"/>
    <w:rsid w:val="450D7972"/>
    <w:rsid w:val="45232CF2"/>
    <w:rsid w:val="45234283"/>
    <w:rsid w:val="45634464"/>
    <w:rsid w:val="456A2CB8"/>
    <w:rsid w:val="456F5F37"/>
    <w:rsid w:val="45704B69"/>
    <w:rsid w:val="457F159B"/>
    <w:rsid w:val="45872DBD"/>
    <w:rsid w:val="458F4D7C"/>
    <w:rsid w:val="45A243E5"/>
    <w:rsid w:val="45B270D1"/>
    <w:rsid w:val="45B36673"/>
    <w:rsid w:val="45BE7420"/>
    <w:rsid w:val="45C60138"/>
    <w:rsid w:val="45CE31D0"/>
    <w:rsid w:val="45D67D64"/>
    <w:rsid w:val="45E33C8D"/>
    <w:rsid w:val="45F251BA"/>
    <w:rsid w:val="46053EB3"/>
    <w:rsid w:val="460C5E7C"/>
    <w:rsid w:val="46135147"/>
    <w:rsid w:val="463E6E80"/>
    <w:rsid w:val="465B6773"/>
    <w:rsid w:val="46753923"/>
    <w:rsid w:val="468A3AE3"/>
    <w:rsid w:val="468E4AE3"/>
    <w:rsid w:val="469A68D7"/>
    <w:rsid w:val="46B275C3"/>
    <w:rsid w:val="46F25CA2"/>
    <w:rsid w:val="46F77FD6"/>
    <w:rsid w:val="46FF3D9B"/>
    <w:rsid w:val="470A24D7"/>
    <w:rsid w:val="47286FD6"/>
    <w:rsid w:val="47384CCA"/>
    <w:rsid w:val="473E5B1A"/>
    <w:rsid w:val="476F6505"/>
    <w:rsid w:val="478D317F"/>
    <w:rsid w:val="47A04ACD"/>
    <w:rsid w:val="47AC4801"/>
    <w:rsid w:val="480A2FEC"/>
    <w:rsid w:val="48281515"/>
    <w:rsid w:val="48432031"/>
    <w:rsid w:val="485E1830"/>
    <w:rsid w:val="48711FC6"/>
    <w:rsid w:val="48763A80"/>
    <w:rsid w:val="487C220E"/>
    <w:rsid w:val="487C2EB0"/>
    <w:rsid w:val="48A0658E"/>
    <w:rsid w:val="48D70F76"/>
    <w:rsid w:val="4907693C"/>
    <w:rsid w:val="4919020E"/>
    <w:rsid w:val="492E090B"/>
    <w:rsid w:val="493E1062"/>
    <w:rsid w:val="493E34F6"/>
    <w:rsid w:val="495526B1"/>
    <w:rsid w:val="495B0E15"/>
    <w:rsid w:val="4970361A"/>
    <w:rsid w:val="49850350"/>
    <w:rsid w:val="49C32C60"/>
    <w:rsid w:val="49CF649A"/>
    <w:rsid w:val="4A001822"/>
    <w:rsid w:val="4A120B50"/>
    <w:rsid w:val="4A220E65"/>
    <w:rsid w:val="4A264362"/>
    <w:rsid w:val="4A273550"/>
    <w:rsid w:val="4A367E89"/>
    <w:rsid w:val="4A3C0C1F"/>
    <w:rsid w:val="4A545CA8"/>
    <w:rsid w:val="4A566ACD"/>
    <w:rsid w:val="4A5C7865"/>
    <w:rsid w:val="4A671E62"/>
    <w:rsid w:val="4A8D3803"/>
    <w:rsid w:val="4ABB0378"/>
    <w:rsid w:val="4ABB6284"/>
    <w:rsid w:val="4ADD3943"/>
    <w:rsid w:val="4B003780"/>
    <w:rsid w:val="4B0B21E7"/>
    <w:rsid w:val="4B107AD3"/>
    <w:rsid w:val="4B35552D"/>
    <w:rsid w:val="4B39238C"/>
    <w:rsid w:val="4B4139C7"/>
    <w:rsid w:val="4B490BF4"/>
    <w:rsid w:val="4B4E7520"/>
    <w:rsid w:val="4B5823D0"/>
    <w:rsid w:val="4B663938"/>
    <w:rsid w:val="4B6978CC"/>
    <w:rsid w:val="4B82523C"/>
    <w:rsid w:val="4B8A7E26"/>
    <w:rsid w:val="4BF40E3E"/>
    <w:rsid w:val="4BFA32F7"/>
    <w:rsid w:val="4BFF390A"/>
    <w:rsid w:val="4C0F1393"/>
    <w:rsid w:val="4C127407"/>
    <w:rsid w:val="4C155B10"/>
    <w:rsid w:val="4C1E2C91"/>
    <w:rsid w:val="4C30370E"/>
    <w:rsid w:val="4C393582"/>
    <w:rsid w:val="4C3C7F6D"/>
    <w:rsid w:val="4C4B30F1"/>
    <w:rsid w:val="4C5916EF"/>
    <w:rsid w:val="4C64349E"/>
    <w:rsid w:val="4C786019"/>
    <w:rsid w:val="4C7B2A04"/>
    <w:rsid w:val="4C84109B"/>
    <w:rsid w:val="4C957A15"/>
    <w:rsid w:val="4CB45B34"/>
    <w:rsid w:val="4CBF19F6"/>
    <w:rsid w:val="4CC141A1"/>
    <w:rsid w:val="4CF733A7"/>
    <w:rsid w:val="4D0065ED"/>
    <w:rsid w:val="4D0A4797"/>
    <w:rsid w:val="4D2B3D75"/>
    <w:rsid w:val="4D477AD7"/>
    <w:rsid w:val="4D592D5F"/>
    <w:rsid w:val="4D616426"/>
    <w:rsid w:val="4D750DAA"/>
    <w:rsid w:val="4D8E77CF"/>
    <w:rsid w:val="4D9440F4"/>
    <w:rsid w:val="4DBC3EDE"/>
    <w:rsid w:val="4DD0272D"/>
    <w:rsid w:val="4DF55553"/>
    <w:rsid w:val="4E1A6C5C"/>
    <w:rsid w:val="4E3B4775"/>
    <w:rsid w:val="4E676B5A"/>
    <w:rsid w:val="4E9512E2"/>
    <w:rsid w:val="4EB8120D"/>
    <w:rsid w:val="4EDF26B0"/>
    <w:rsid w:val="4EE47996"/>
    <w:rsid w:val="4EE778E7"/>
    <w:rsid w:val="4EF33D8C"/>
    <w:rsid w:val="4F3B1580"/>
    <w:rsid w:val="4F6B6FE2"/>
    <w:rsid w:val="4F724D92"/>
    <w:rsid w:val="4FB667B9"/>
    <w:rsid w:val="4FC32178"/>
    <w:rsid w:val="4FDF31DC"/>
    <w:rsid w:val="4FF72954"/>
    <w:rsid w:val="503E6B25"/>
    <w:rsid w:val="5052092F"/>
    <w:rsid w:val="5097309C"/>
    <w:rsid w:val="50AC61A8"/>
    <w:rsid w:val="50B52433"/>
    <w:rsid w:val="50BB72D2"/>
    <w:rsid w:val="50CA7F22"/>
    <w:rsid w:val="50D502BD"/>
    <w:rsid w:val="50E020A0"/>
    <w:rsid w:val="50E069B6"/>
    <w:rsid w:val="50EA561A"/>
    <w:rsid w:val="50EC2C85"/>
    <w:rsid w:val="51153A1E"/>
    <w:rsid w:val="51173778"/>
    <w:rsid w:val="51234079"/>
    <w:rsid w:val="512D7421"/>
    <w:rsid w:val="51491D32"/>
    <w:rsid w:val="517B51EF"/>
    <w:rsid w:val="5186367E"/>
    <w:rsid w:val="51916E0F"/>
    <w:rsid w:val="51AB1001"/>
    <w:rsid w:val="51D57E05"/>
    <w:rsid w:val="51DD0D57"/>
    <w:rsid w:val="52020DC7"/>
    <w:rsid w:val="5208275B"/>
    <w:rsid w:val="521A36CE"/>
    <w:rsid w:val="52224331"/>
    <w:rsid w:val="522E6D9F"/>
    <w:rsid w:val="523C749C"/>
    <w:rsid w:val="52530150"/>
    <w:rsid w:val="52695774"/>
    <w:rsid w:val="527E021F"/>
    <w:rsid w:val="52A34FEA"/>
    <w:rsid w:val="52B24FAA"/>
    <w:rsid w:val="52D53B6B"/>
    <w:rsid w:val="52DF342B"/>
    <w:rsid w:val="530B665A"/>
    <w:rsid w:val="530D0684"/>
    <w:rsid w:val="53102204"/>
    <w:rsid w:val="532A5B93"/>
    <w:rsid w:val="533A3FB3"/>
    <w:rsid w:val="53831AC7"/>
    <w:rsid w:val="539A2647"/>
    <w:rsid w:val="53A37961"/>
    <w:rsid w:val="53BA6F17"/>
    <w:rsid w:val="53CF7529"/>
    <w:rsid w:val="53DC7D3D"/>
    <w:rsid w:val="53F02CB9"/>
    <w:rsid w:val="53FA43F9"/>
    <w:rsid w:val="54375A18"/>
    <w:rsid w:val="544B1B3B"/>
    <w:rsid w:val="545E41F2"/>
    <w:rsid w:val="54613836"/>
    <w:rsid w:val="547801D1"/>
    <w:rsid w:val="547A13B1"/>
    <w:rsid w:val="549C0E54"/>
    <w:rsid w:val="54BA5D29"/>
    <w:rsid w:val="54C04AF8"/>
    <w:rsid w:val="550C4962"/>
    <w:rsid w:val="553B5E36"/>
    <w:rsid w:val="55534BB7"/>
    <w:rsid w:val="55A229B0"/>
    <w:rsid w:val="55B04E29"/>
    <w:rsid w:val="55BA384A"/>
    <w:rsid w:val="55BD641C"/>
    <w:rsid w:val="55BE2BE0"/>
    <w:rsid w:val="55C56D42"/>
    <w:rsid w:val="55CF2849"/>
    <w:rsid w:val="55CF657E"/>
    <w:rsid w:val="55E6645A"/>
    <w:rsid w:val="55F75F50"/>
    <w:rsid w:val="56121AE8"/>
    <w:rsid w:val="563A1623"/>
    <w:rsid w:val="563C0EF6"/>
    <w:rsid w:val="56493B42"/>
    <w:rsid w:val="566847A1"/>
    <w:rsid w:val="566A7942"/>
    <w:rsid w:val="569E66B0"/>
    <w:rsid w:val="5729678A"/>
    <w:rsid w:val="57CA671C"/>
    <w:rsid w:val="57DF1211"/>
    <w:rsid w:val="58355525"/>
    <w:rsid w:val="58410DE2"/>
    <w:rsid w:val="5866141B"/>
    <w:rsid w:val="58D57D64"/>
    <w:rsid w:val="58DE7835"/>
    <w:rsid w:val="58EE3C97"/>
    <w:rsid w:val="590976EB"/>
    <w:rsid w:val="592B1108"/>
    <w:rsid w:val="59600776"/>
    <w:rsid w:val="599B04BB"/>
    <w:rsid w:val="59A21A4A"/>
    <w:rsid w:val="59BD150F"/>
    <w:rsid w:val="59D81EA5"/>
    <w:rsid w:val="59FA6C11"/>
    <w:rsid w:val="5A081E6B"/>
    <w:rsid w:val="5A24734A"/>
    <w:rsid w:val="5A2C0E3D"/>
    <w:rsid w:val="5A334251"/>
    <w:rsid w:val="5A3854DD"/>
    <w:rsid w:val="5A856D76"/>
    <w:rsid w:val="5A910969"/>
    <w:rsid w:val="5A9C6B74"/>
    <w:rsid w:val="5AAA30C6"/>
    <w:rsid w:val="5AAF0F91"/>
    <w:rsid w:val="5AC13E79"/>
    <w:rsid w:val="5AE75046"/>
    <w:rsid w:val="5AEB79A9"/>
    <w:rsid w:val="5AFA763F"/>
    <w:rsid w:val="5B094184"/>
    <w:rsid w:val="5B0D460E"/>
    <w:rsid w:val="5B14790E"/>
    <w:rsid w:val="5B205CDD"/>
    <w:rsid w:val="5B2410B1"/>
    <w:rsid w:val="5B2E1CDE"/>
    <w:rsid w:val="5B2E7AEC"/>
    <w:rsid w:val="5B6541AC"/>
    <w:rsid w:val="5B8127FC"/>
    <w:rsid w:val="5B920D19"/>
    <w:rsid w:val="5BC16DC6"/>
    <w:rsid w:val="5BD31EB2"/>
    <w:rsid w:val="5BE471B7"/>
    <w:rsid w:val="5BE77A78"/>
    <w:rsid w:val="5C095D32"/>
    <w:rsid w:val="5C6B4B91"/>
    <w:rsid w:val="5C9D6A42"/>
    <w:rsid w:val="5CA71CF9"/>
    <w:rsid w:val="5CC32C34"/>
    <w:rsid w:val="5CD86660"/>
    <w:rsid w:val="5D1B4AA0"/>
    <w:rsid w:val="5D33021A"/>
    <w:rsid w:val="5D44378D"/>
    <w:rsid w:val="5D4A6C5A"/>
    <w:rsid w:val="5D4C04E5"/>
    <w:rsid w:val="5D5D4C8F"/>
    <w:rsid w:val="5D6726BF"/>
    <w:rsid w:val="5D6E7AD9"/>
    <w:rsid w:val="5D7A4DAF"/>
    <w:rsid w:val="5D7C7719"/>
    <w:rsid w:val="5D837B95"/>
    <w:rsid w:val="5D8A4A6A"/>
    <w:rsid w:val="5D9862E9"/>
    <w:rsid w:val="5D99787E"/>
    <w:rsid w:val="5DB417C6"/>
    <w:rsid w:val="5DDE6DED"/>
    <w:rsid w:val="5DE41F49"/>
    <w:rsid w:val="5DE833AE"/>
    <w:rsid w:val="5DEB7C4B"/>
    <w:rsid w:val="5E167440"/>
    <w:rsid w:val="5E1851DE"/>
    <w:rsid w:val="5E2B55C7"/>
    <w:rsid w:val="5E3E30A1"/>
    <w:rsid w:val="5E6D4B86"/>
    <w:rsid w:val="5E783C56"/>
    <w:rsid w:val="5E7B13E8"/>
    <w:rsid w:val="5E8B67AA"/>
    <w:rsid w:val="5E922527"/>
    <w:rsid w:val="5EBC040D"/>
    <w:rsid w:val="5ED3385A"/>
    <w:rsid w:val="5EF53C60"/>
    <w:rsid w:val="5F027F30"/>
    <w:rsid w:val="5F0C25F1"/>
    <w:rsid w:val="5F0E7310"/>
    <w:rsid w:val="5F120299"/>
    <w:rsid w:val="5F315C7B"/>
    <w:rsid w:val="5F681E4A"/>
    <w:rsid w:val="5F751F44"/>
    <w:rsid w:val="5F9A22F2"/>
    <w:rsid w:val="5FA737F5"/>
    <w:rsid w:val="5FC1162D"/>
    <w:rsid w:val="600B0146"/>
    <w:rsid w:val="60163727"/>
    <w:rsid w:val="604D0D90"/>
    <w:rsid w:val="60706948"/>
    <w:rsid w:val="607A18F4"/>
    <w:rsid w:val="608904EF"/>
    <w:rsid w:val="608A7C71"/>
    <w:rsid w:val="60997B1C"/>
    <w:rsid w:val="609A4B0E"/>
    <w:rsid w:val="60A401B6"/>
    <w:rsid w:val="60C16F3B"/>
    <w:rsid w:val="60C72C73"/>
    <w:rsid w:val="60EE2AA8"/>
    <w:rsid w:val="60EE7798"/>
    <w:rsid w:val="60F36BD1"/>
    <w:rsid w:val="60FB558A"/>
    <w:rsid w:val="61000272"/>
    <w:rsid w:val="61630BEE"/>
    <w:rsid w:val="61803A80"/>
    <w:rsid w:val="61A84853"/>
    <w:rsid w:val="61BD1FD9"/>
    <w:rsid w:val="61C176C2"/>
    <w:rsid w:val="61D558CE"/>
    <w:rsid w:val="61D71060"/>
    <w:rsid w:val="61E91174"/>
    <w:rsid w:val="61EB0BE3"/>
    <w:rsid w:val="61F26A64"/>
    <w:rsid w:val="61FC7A13"/>
    <w:rsid w:val="620B185B"/>
    <w:rsid w:val="62165C60"/>
    <w:rsid w:val="621974FF"/>
    <w:rsid w:val="621D6A10"/>
    <w:rsid w:val="62222F83"/>
    <w:rsid w:val="62375BD7"/>
    <w:rsid w:val="62422518"/>
    <w:rsid w:val="624E0C70"/>
    <w:rsid w:val="625E7607"/>
    <w:rsid w:val="62647EA5"/>
    <w:rsid w:val="6271733B"/>
    <w:rsid w:val="6272702E"/>
    <w:rsid w:val="628E746B"/>
    <w:rsid w:val="62B56031"/>
    <w:rsid w:val="62C40DFD"/>
    <w:rsid w:val="62E91CEB"/>
    <w:rsid w:val="62ED25A4"/>
    <w:rsid w:val="630264ED"/>
    <w:rsid w:val="630B0357"/>
    <w:rsid w:val="630E63DB"/>
    <w:rsid w:val="63402869"/>
    <w:rsid w:val="63410B61"/>
    <w:rsid w:val="635146D9"/>
    <w:rsid w:val="63534C92"/>
    <w:rsid w:val="635F6ADE"/>
    <w:rsid w:val="636054C6"/>
    <w:rsid w:val="639D006E"/>
    <w:rsid w:val="63A252D2"/>
    <w:rsid w:val="63A70801"/>
    <w:rsid w:val="63AD43A2"/>
    <w:rsid w:val="63AD483E"/>
    <w:rsid w:val="63AE2FFE"/>
    <w:rsid w:val="63B108C9"/>
    <w:rsid w:val="63BE1D63"/>
    <w:rsid w:val="63E23618"/>
    <w:rsid w:val="63F26259"/>
    <w:rsid w:val="640A4D74"/>
    <w:rsid w:val="640C716F"/>
    <w:rsid w:val="640D3E00"/>
    <w:rsid w:val="640E501C"/>
    <w:rsid w:val="6440665D"/>
    <w:rsid w:val="64852C29"/>
    <w:rsid w:val="64A00FDF"/>
    <w:rsid w:val="64B45276"/>
    <w:rsid w:val="64CB6E4D"/>
    <w:rsid w:val="64D05792"/>
    <w:rsid w:val="64FD72DF"/>
    <w:rsid w:val="64FE5D20"/>
    <w:rsid w:val="65121B32"/>
    <w:rsid w:val="652B51EE"/>
    <w:rsid w:val="654C4C64"/>
    <w:rsid w:val="6582360D"/>
    <w:rsid w:val="65823C65"/>
    <w:rsid w:val="65981DC9"/>
    <w:rsid w:val="65B17A4E"/>
    <w:rsid w:val="65C1502B"/>
    <w:rsid w:val="65CB5C95"/>
    <w:rsid w:val="65D92444"/>
    <w:rsid w:val="660A5ADC"/>
    <w:rsid w:val="6613234E"/>
    <w:rsid w:val="661B2960"/>
    <w:rsid w:val="6628463D"/>
    <w:rsid w:val="662F1EA6"/>
    <w:rsid w:val="66380F11"/>
    <w:rsid w:val="663C1574"/>
    <w:rsid w:val="665F4929"/>
    <w:rsid w:val="669C130A"/>
    <w:rsid w:val="66BA2932"/>
    <w:rsid w:val="66BC4EBD"/>
    <w:rsid w:val="66D472E5"/>
    <w:rsid w:val="66D653F4"/>
    <w:rsid w:val="66E21627"/>
    <w:rsid w:val="66E33AF8"/>
    <w:rsid w:val="66F2244D"/>
    <w:rsid w:val="66F72751"/>
    <w:rsid w:val="67082C60"/>
    <w:rsid w:val="672001B5"/>
    <w:rsid w:val="6760469D"/>
    <w:rsid w:val="676517E2"/>
    <w:rsid w:val="67676A85"/>
    <w:rsid w:val="676A0C1E"/>
    <w:rsid w:val="676F6E46"/>
    <w:rsid w:val="677F40EE"/>
    <w:rsid w:val="67970C42"/>
    <w:rsid w:val="67975157"/>
    <w:rsid w:val="67A45E41"/>
    <w:rsid w:val="67AD71DB"/>
    <w:rsid w:val="67B975D6"/>
    <w:rsid w:val="67BB761F"/>
    <w:rsid w:val="67C13389"/>
    <w:rsid w:val="67CE6464"/>
    <w:rsid w:val="67DD0FCE"/>
    <w:rsid w:val="680A6E6E"/>
    <w:rsid w:val="68243893"/>
    <w:rsid w:val="682F12D7"/>
    <w:rsid w:val="68307350"/>
    <w:rsid w:val="68336E40"/>
    <w:rsid w:val="685272C6"/>
    <w:rsid w:val="68623358"/>
    <w:rsid w:val="68773217"/>
    <w:rsid w:val="688354E1"/>
    <w:rsid w:val="68852187"/>
    <w:rsid w:val="68B010F1"/>
    <w:rsid w:val="68B7144F"/>
    <w:rsid w:val="68C55CEA"/>
    <w:rsid w:val="68D83F4F"/>
    <w:rsid w:val="68F726B8"/>
    <w:rsid w:val="68F8344C"/>
    <w:rsid w:val="69024763"/>
    <w:rsid w:val="691F4C10"/>
    <w:rsid w:val="69372BDB"/>
    <w:rsid w:val="69610F46"/>
    <w:rsid w:val="69700C8D"/>
    <w:rsid w:val="697DC47E"/>
    <w:rsid w:val="69863531"/>
    <w:rsid w:val="69866558"/>
    <w:rsid w:val="69B30239"/>
    <w:rsid w:val="69C62CE1"/>
    <w:rsid w:val="69C826A1"/>
    <w:rsid w:val="69E24997"/>
    <w:rsid w:val="69E40206"/>
    <w:rsid w:val="69E6795F"/>
    <w:rsid w:val="69FB39BE"/>
    <w:rsid w:val="6A097877"/>
    <w:rsid w:val="6A1031D1"/>
    <w:rsid w:val="6A2A2D10"/>
    <w:rsid w:val="6A457745"/>
    <w:rsid w:val="6A474604"/>
    <w:rsid w:val="6A845731"/>
    <w:rsid w:val="6AC931FE"/>
    <w:rsid w:val="6ACA4C23"/>
    <w:rsid w:val="6AEE1BF5"/>
    <w:rsid w:val="6AEE5E05"/>
    <w:rsid w:val="6AFB56D6"/>
    <w:rsid w:val="6AFD4626"/>
    <w:rsid w:val="6B1278FB"/>
    <w:rsid w:val="6B144CD3"/>
    <w:rsid w:val="6B18129E"/>
    <w:rsid w:val="6B2C11AC"/>
    <w:rsid w:val="6B2F6937"/>
    <w:rsid w:val="6B43739A"/>
    <w:rsid w:val="6B535DB3"/>
    <w:rsid w:val="6B760935"/>
    <w:rsid w:val="6B7F445C"/>
    <w:rsid w:val="6B882FFF"/>
    <w:rsid w:val="6BBB1815"/>
    <w:rsid w:val="6BD11807"/>
    <w:rsid w:val="6C072457"/>
    <w:rsid w:val="6C072F0F"/>
    <w:rsid w:val="6C0C3C2F"/>
    <w:rsid w:val="6C8068BA"/>
    <w:rsid w:val="6C84446E"/>
    <w:rsid w:val="6C854254"/>
    <w:rsid w:val="6C8A5741"/>
    <w:rsid w:val="6CA53765"/>
    <w:rsid w:val="6CC160A5"/>
    <w:rsid w:val="6CC2109A"/>
    <w:rsid w:val="6CD85CE7"/>
    <w:rsid w:val="6CE13B57"/>
    <w:rsid w:val="6CEC4CF8"/>
    <w:rsid w:val="6D16690F"/>
    <w:rsid w:val="6D1944BE"/>
    <w:rsid w:val="6D231162"/>
    <w:rsid w:val="6D367056"/>
    <w:rsid w:val="6D3E42BD"/>
    <w:rsid w:val="6D400E0B"/>
    <w:rsid w:val="6D9D3252"/>
    <w:rsid w:val="6DB5165F"/>
    <w:rsid w:val="6DDA43BD"/>
    <w:rsid w:val="6DEA61F3"/>
    <w:rsid w:val="6E144856"/>
    <w:rsid w:val="6E5F29B7"/>
    <w:rsid w:val="6E6B2787"/>
    <w:rsid w:val="6E95077A"/>
    <w:rsid w:val="6EA6036C"/>
    <w:rsid w:val="6EBC7C0D"/>
    <w:rsid w:val="6EC5C7B0"/>
    <w:rsid w:val="6EED715A"/>
    <w:rsid w:val="6F084B83"/>
    <w:rsid w:val="6F095DAF"/>
    <w:rsid w:val="6F211DD0"/>
    <w:rsid w:val="6F2B7743"/>
    <w:rsid w:val="6F5F3C10"/>
    <w:rsid w:val="6F7E1F94"/>
    <w:rsid w:val="6F9F7F11"/>
    <w:rsid w:val="6FAD2495"/>
    <w:rsid w:val="6FB40FE1"/>
    <w:rsid w:val="6FD26F3F"/>
    <w:rsid w:val="70853FB1"/>
    <w:rsid w:val="70905FDB"/>
    <w:rsid w:val="70934920"/>
    <w:rsid w:val="70A07795"/>
    <w:rsid w:val="70D23F36"/>
    <w:rsid w:val="70E55444"/>
    <w:rsid w:val="71275759"/>
    <w:rsid w:val="712D2009"/>
    <w:rsid w:val="713E1515"/>
    <w:rsid w:val="714B6FA9"/>
    <w:rsid w:val="714F68F9"/>
    <w:rsid w:val="715173A6"/>
    <w:rsid w:val="716345D9"/>
    <w:rsid w:val="71771B4C"/>
    <w:rsid w:val="717C6CC7"/>
    <w:rsid w:val="71C27838"/>
    <w:rsid w:val="71DE1484"/>
    <w:rsid w:val="71E7082E"/>
    <w:rsid w:val="71ED1E0E"/>
    <w:rsid w:val="72071742"/>
    <w:rsid w:val="72184113"/>
    <w:rsid w:val="721B585C"/>
    <w:rsid w:val="724779A2"/>
    <w:rsid w:val="724E6922"/>
    <w:rsid w:val="72843EDF"/>
    <w:rsid w:val="728F7B7A"/>
    <w:rsid w:val="72AB7BE2"/>
    <w:rsid w:val="72F62259"/>
    <w:rsid w:val="73583CEC"/>
    <w:rsid w:val="7370323F"/>
    <w:rsid w:val="7377589A"/>
    <w:rsid w:val="73943910"/>
    <w:rsid w:val="739F299E"/>
    <w:rsid w:val="73D01195"/>
    <w:rsid w:val="73FF57AE"/>
    <w:rsid w:val="74406899"/>
    <w:rsid w:val="744974A0"/>
    <w:rsid w:val="745F7D66"/>
    <w:rsid w:val="746B69B5"/>
    <w:rsid w:val="74737FFE"/>
    <w:rsid w:val="74855AAF"/>
    <w:rsid w:val="74895A9B"/>
    <w:rsid w:val="749C1DC0"/>
    <w:rsid w:val="74A52915"/>
    <w:rsid w:val="74B60BDD"/>
    <w:rsid w:val="74CC7A87"/>
    <w:rsid w:val="74E21D58"/>
    <w:rsid w:val="74E41BEE"/>
    <w:rsid w:val="74F80580"/>
    <w:rsid w:val="750C6516"/>
    <w:rsid w:val="752975C2"/>
    <w:rsid w:val="752C32FA"/>
    <w:rsid w:val="75397BA1"/>
    <w:rsid w:val="7545242D"/>
    <w:rsid w:val="759640E8"/>
    <w:rsid w:val="75C42813"/>
    <w:rsid w:val="75C9401B"/>
    <w:rsid w:val="76334021"/>
    <w:rsid w:val="764A3CD3"/>
    <w:rsid w:val="764D4987"/>
    <w:rsid w:val="766C390F"/>
    <w:rsid w:val="76865C2F"/>
    <w:rsid w:val="76A37CB2"/>
    <w:rsid w:val="76EB7B04"/>
    <w:rsid w:val="76EC2CDC"/>
    <w:rsid w:val="76EE3833"/>
    <w:rsid w:val="770C581A"/>
    <w:rsid w:val="77146BF5"/>
    <w:rsid w:val="772E21E9"/>
    <w:rsid w:val="77530965"/>
    <w:rsid w:val="77541384"/>
    <w:rsid w:val="77844FB1"/>
    <w:rsid w:val="778D1204"/>
    <w:rsid w:val="77DE3442"/>
    <w:rsid w:val="77F43EF6"/>
    <w:rsid w:val="78346FF4"/>
    <w:rsid w:val="78373F73"/>
    <w:rsid w:val="783A4EC5"/>
    <w:rsid w:val="786159B6"/>
    <w:rsid w:val="786B0BEE"/>
    <w:rsid w:val="7896095C"/>
    <w:rsid w:val="78CA4C57"/>
    <w:rsid w:val="78CB075B"/>
    <w:rsid w:val="78CD68DC"/>
    <w:rsid w:val="78E22D0F"/>
    <w:rsid w:val="78E360E1"/>
    <w:rsid w:val="791D1542"/>
    <w:rsid w:val="792A1B99"/>
    <w:rsid w:val="7943763C"/>
    <w:rsid w:val="795F77F4"/>
    <w:rsid w:val="79A715B3"/>
    <w:rsid w:val="79AE6327"/>
    <w:rsid w:val="79F23DFF"/>
    <w:rsid w:val="79F75F20"/>
    <w:rsid w:val="7A180990"/>
    <w:rsid w:val="7A1940E8"/>
    <w:rsid w:val="7A23298D"/>
    <w:rsid w:val="7A26770A"/>
    <w:rsid w:val="7A5F0F58"/>
    <w:rsid w:val="7A6B4218"/>
    <w:rsid w:val="7A730598"/>
    <w:rsid w:val="7A9D627D"/>
    <w:rsid w:val="7AAA35E6"/>
    <w:rsid w:val="7AB23023"/>
    <w:rsid w:val="7B0C250C"/>
    <w:rsid w:val="7B3B169A"/>
    <w:rsid w:val="7B3E05F1"/>
    <w:rsid w:val="7B3E0F9B"/>
    <w:rsid w:val="7B4A534A"/>
    <w:rsid w:val="7B511E30"/>
    <w:rsid w:val="7B5E6E40"/>
    <w:rsid w:val="7B771530"/>
    <w:rsid w:val="7B7A714B"/>
    <w:rsid w:val="7B893390"/>
    <w:rsid w:val="7B9C3FC0"/>
    <w:rsid w:val="7BDE1BA3"/>
    <w:rsid w:val="7BE14BE3"/>
    <w:rsid w:val="7BE40302"/>
    <w:rsid w:val="7BFA1CF7"/>
    <w:rsid w:val="7C2A7CC7"/>
    <w:rsid w:val="7C3E6072"/>
    <w:rsid w:val="7C895553"/>
    <w:rsid w:val="7C8E3DDA"/>
    <w:rsid w:val="7CD82038"/>
    <w:rsid w:val="7CE27BD5"/>
    <w:rsid w:val="7D025671"/>
    <w:rsid w:val="7D290DE2"/>
    <w:rsid w:val="7D621728"/>
    <w:rsid w:val="7D6A0A36"/>
    <w:rsid w:val="7D821FA4"/>
    <w:rsid w:val="7D96496A"/>
    <w:rsid w:val="7DA32367"/>
    <w:rsid w:val="7DCC55A6"/>
    <w:rsid w:val="7DD369A2"/>
    <w:rsid w:val="7E066731"/>
    <w:rsid w:val="7E0875B3"/>
    <w:rsid w:val="7E4A0AE0"/>
    <w:rsid w:val="7E526461"/>
    <w:rsid w:val="7E5C27F5"/>
    <w:rsid w:val="7E786696"/>
    <w:rsid w:val="7E8901DF"/>
    <w:rsid w:val="7EBA751C"/>
    <w:rsid w:val="7EC05102"/>
    <w:rsid w:val="7EEE257B"/>
    <w:rsid w:val="7EEE2D18"/>
    <w:rsid w:val="7EEE3832"/>
    <w:rsid w:val="7F013171"/>
    <w:rsid w:val="7F1B3E6D"/>
    <w:rsid w:val="7F3C5156"/>
    <w:rsid w:val="7F4A5BA7"/>
    <w:rsid w:val="7F610B64"/>
    <w:rsid w:val="7FBD085D"/>
    <w:rsid w:val="7FF86BA7"/>
    <w:rsid w:val="96B98B61"/>
    <w:rsid w:val="CDFEFC15"/>
    <w:rsid w:val="E7AD23FC"/>
    <w:rsid w:val="F3FE300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iPriority="0" w:semiHidden="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ocked="1"/>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ocked="1"/>
    <w:lsdException w:uiPriority="0" w:name="Salutation"/>
    <w:lsdException w:uiPriority="0" w:name="Date"/>
    <w:lsdException w:qFormat="1" w:unhideWhenUsed="0" w:uiPriority="99"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20" w:semiHidden="0" w:name="Emphasis" w:locked="1"/>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55"/>
    <w:qFormat/>
    <w:uiPriority w:val="99"/>
    <w:pPr>
      <w:keepNext/>
      <w:keepLines/>
      <w:spacing w:before="340" w:after="330" w:line="576" w:lineRule="auto"/>
      <w:outlineLvl w:val="0"/>
    </w:pPr>
    <w:rPr>
      <w:b/>
      <w:bCs/>
      <w:kern w:val="44"/>
      <w:sz w:val="44"/>
      <w:szCs w:val="44"/>
    </w:rPr>
  </w:style>
  <w:style w:type="paragraph" w:styleId="2">
    <w:name w:val="heading 2"/>
    <w:basedOn w:val="1"/>
    <w:next w:val="1"/>
    <w:link w:val="40"/>
    <w:qFormat/>
    <w:uiPriority w:val="99"/>
    <w:pPr>
      <w:keepNext/>
      <w:keepLines/>
      <w:spacing w:line="360" w:lineRule="auto"/>
      <w:outlineLvl w:val="1"/>
    </w:pPr>
    <w:rPr>
      <w:rFonts w:ascii="Cambria" w:hAnsi="Cambria" w:cs="Cambria"/>
      <w:b/>
      <w:bCs/>
      <w:kern w:val="0"/>
      <w:sz w:val="32"/>
      <w:szCs w:val="32"/>
    </w:rPr>
  </w:style>
  <w:style w:type="paragraph" w:styleId="4">
    <w:name w:val="heading 3"/>
    <w:basedOn w:val="1"/>
    <w:next w:val="1"/>
    <w:link w:val="41"/>
    <w:qFormat/>
    <w:uiPriority w:val="99"/>
    <w:pPr>
      <w:keepNext/>
      <w:keepLines/>
      <w:outlineLvl w:val="2"/>
    </w:pPr>
    <w:rPr>
      <w:b/>
      <w:bCs/>
      <w:kern w:val="0"/>
      <w:sz w:val="32"/>
      <w:szCs w:val="32"/>
    </w:rPr>
  </w:style>
  <w:style w:type="paragraph" w:styleId="5">
    <w:name w:val="heading 4"/>
    <w:basedOn w:val="1"/>
    <w:next w:val="1"/>
    <w:link w:val="42"/>
    <w:qFormat/>
    <w:locked/>
    <w:uiPriority w:val="99"/>
    <w:pPr>
      <w:keepNext/>
      <w:keepLines/>
      <w:spacing w:before="280" w:after="290" w:line="376" w:lineRule="auto"/>
      <w:outlineLvl w:val="3"/>
    </w:pPr>
    <w:rPr>
      <w:rFonts w:ascii="Cambria" w:hAnsi="Cambria" w:cs="Cambria"/>
      <w:b/>
      <w:bCs/>
      <w:sz w:val="28"/>
      <w:szCs w:val="28"/>
    </w:rPr>
  </w:style>
  <w:style w:type="paragraph" w:styleId="6">
    <w:name w:val="heading 5"/>
    <w:basedOn w:val="1"/>
    <w:next w:val="1"/>
    <w:link w:val="43"/>
    <w:qFormat/>
    <w:locked/>
    <w:uiPriority w:val="99"/>
    <w:pPr>
      <w:keepNext/>
      <w:keepLines/>
      <w:spacing w:before="280" w:after="290" w:line="376" w:lineRule="auto"/>
      <w:outlineLvl w:val="4"/>
    </w:pPr>
    <w:rPr>
      <w:b/>
      <w:bCs/>
      <w:sz w:val="28"/>
      <w:szCs w:val="28"/>
    </w:rPr>
  </w:style>
  <w:style w:type="paragraph" w:styleId="7">
    <w:name w:val="heading 6"/>
    <w:basedOn w:val="1"/>
    <w:next w:val="1"/>
    <w:link w:val="44"/>
    <w:qFormat/>
    <w:locked/>
    <w:uiPriority w:val="99"/>
    <w:pPr>
      <w:keepNext/>
      <w:keepLines/>
      <w:spacing w:before="240" w:after="64" w:line="320" w:lineRule="auto"/>
      <w:outlineLvl w:val="5"/>
    </w:pPr>
    <w:rPr>
      <w:rFonts w:ascii="Cambria" w:hAnsi="Cambria" w:cs="Cambria"/>
      <w:b/>
      <w:bCs/>
      <w:sz w:val="24"/>
      <w:szCs w:val="24"/>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8">
    <w:name w:val="List Number"/>
    <w:basedOn w:val="1"/>
    <w:qFormat/>
    <w:uiPriority w:val="99"/>
    <w:pPr>
      <w:numPr>
        <w:ilvl w:val="0"/>
        <w:numId w:val="1"/>
      </w:numPr>
    </w:pPr>
  </w:style>
  <w:style w:type="paragraph" w:styleId="9">
    <w:name w:val="Normal Indent"/>
    <w:basedOn w:val="1"/>
    <w:qFormat/>
    <w:uiPriority w:val="99"/>
    <w:pPr>
      <w:ind w:firstLine="488"/>
    </w:pPr>
  </w:style>
  <w:style w:type="paragraph" w:styleId="10">
    <w:name w:val="caption"/>
    <w:basedOn w:val="1"/>
    <w:next w:val="1"/>
    <w:qFormat/>
    <w:locked/>
    <w:uiPriority w:val="99"/>
    <w:rPr>
      <w:rFonts w:ascii="Arial" w:hAnsi="Arial" w:eastAsia="黑体" w:cs="Arial"/>
      <w:kern w:val="0"/>
      <w:sz w:val="20"/>
      <w:szCs w:val="20"/>
    </w:rPr>
  </w:style>
  <w:style w:type="paragraph" w:styleId="11">
    <w:name w:val="annotation text"/>
    <w:basedOn w:val="1"/>
    <w:link w:val="47"/>
    <w:semiHidden/>
    <w:qFormat/>
    <w:uiPriority w:val="99"/>
    <w:pPr>
      <w:jc w:val="left"/>
    </w:pPr>
    <w:rPr>
      <w:sz w:val="24"/>
      <w:szCs w:val="24"/>
    </w:rPr>
  </w:style>
  <w:style w:type="paragraph" w:styleId="12">
    <w:name w:val="Body Text"/>
    <w:basedOn w:val="1"/>
    <w:next w:val="13"/>
    <w:link w:val="45"/>
    <w:qFormat/>
    <w:uiPriority w:val="99"/>
    <w:pPr>
      <w:spacing w:after="120"/>
    </w:pPr>
    <w:rPr>
      <w:kern w:val="0"/>
      <w:sz w:val="24"/>
      <w:szCs w:val="24"/>
    </w:rPr>
  </w:style>
  <w:style w:type="paragraph" w:styleId="13">
    <w:name w:val="Body Text First Indent"/>
    <w:basedOn w:val="12"/>
    <w:next w:val="1"/>
    <w:link w:val="46"/>
    <w:qFormat/>
    <w:uiPriority w:val="99"/>
    <w:pPr>
      <w:ind w:firstLine="420" w:firstLineChars="100"/>
    </w:pPr>
    <w:rPr>
      <w:rFonts w:ascii="Times New Roman" w:hAnsi="Times New Roman" w:cs="Times New Roman"/>
      <w:sz w:val="21"/>
      <w:szCs w:val="21"/>
    </w:rPr>
  </w:style>
  <w:style w:type="paragraph" w:styleId="14">
    <w:name w:val="Body Text Indent"/>
    <w:basedOn w:val="1"/>
    <w:next w:val="1"/>
    <w:link w:val="48"/>
    <w:qFormat/>
    <w:uiPriority w:val="99"/>
    <w:pPr>
      <w:spacing w:line="480" w:lineRule="exact"/>
      <w:ind w:firstLine="570"/>
    </w:pPr>
    <w:rPr>
      <w:kern w:val="0"/>
      <w:sz w:val="20"/>
      <w:szCs w:val="20"/>
    </w:rPr>
  </w:style>
  <w:style w:type="paragraph" w:styleId="15">
    <w:name w:val="List 2"/>
    <w:basedOn w:val="1"/>
    <w:qFormat/>
    <w:uiPriority w:val="99"/>
    <w:pPr>
      <w:ind w:left="840" w:hanging="420"/>
    </w:pPr>
  </w:style>
  <w:style w:type="paragraph" w:styleId="16">
    <w:name w:val="Block Text"/>
    <w:basedOn w:val="1"/>
    <w:qFormat/>
    <w:uiPriority w:val="0"/>
    <w:pPr>
      <w:spacing w:before="120" w:beforeLines="0" w:after="120" w:afterLines="0" w:line="360" w:lineRule="auto"/>
      <w:ind w:left="630" w:right="202"/>
    </w:pPr>
    <w:rPr>
      <w:rFonts w:ascii="宋体"/>
      <w:szCs w:val="20"/>
    </w:rPr>
  </w:style>
  <w:style w:type="paragraph" w:styleId="17">
    <w:name w:val="Plain Text"/>
    <w:basedOn w:val="1"/>
    <w:next w:val="1"/>
    <w:link w:val="49"/>
    <w:qFormat/>
    <w:uiPriority w:val="99"/>
    <w:rPr>
      <w:rFonts w:ascii="宋体" w:hAnsi="Courier New" w:cs="宋体"/>
      <w:kern w:val="0"/>
      <w:sz w:val="20"/>
      <w:szCs w:val="20"/>
    </w:rPr>
  </w:style>
  <w:style w:type="paragraph" w:styleId="18">
    <w:name w:val="Body Text Indent 2"/>
    <w:basedOn w:val="1"/>
    <w:link w:val="50"/>
    <w:qFormat/>
    <w:uiPriority w:val="99"/>
    <w:pPr>
      <w:snapToGrid w:val="0"/>
      <w:ind w:firstLine="542" w:firstLineChars="225"/>
    </w:pPr>
    <w:rPr>
      <w:kern w:val="0"/>
      <w:sz w:val="20"/>
      <w:szCs w:val="20"/>
    </w:rPr>
  </w:style>
  <w:style w:type="paragraph" w:styleId="19">
    <w:name w:val="Balloon Text"/>
    <w:basedOn w:val="1"/>
    <w:link w:val="51"/>
    <w:semiHidden/>
    <w:qFormat/>
    <w:uiPriority w:val="99"/>
    <w:rPr>
      <w:sz w:val="18"/>
      <w:szCs w:val="18"/>
    </w:rPr>
  </w:style>
  <w:style w:type="paragraph" w:styleId="20">
    <w:name w:val="footer"/>
    <w:basedOn w:val="1"/>
    <w:link w:val="52"/>
    <w:qFormat/>
    <w:uiPriority w:val="99"/>
    <w:pPr>
      <w:widowControl/>
      <w:tabs>
        <w:tab w:val="center" w:pos="4153"/>
        <w:tab w:val="right" w:pos="8306"/>
      </w:tabs>
      <w:overflowPunct w:val="0"/>
      <w:autoSpaceDE w:val="0"/>
      <w:autoSpaceDN w:val="0"/>
      <w:adjustRightInd w:val="0"/>
      <w:textAlignment w:val="baseline"/>
    </w:pPr>
    <w:rPr>
      <w:kern w:val="0"/>
      <w:sz w:val="18"/>
      <w:szCs w:val="18"/>
    </w:rPr>
  </w:style>
  <w:style w:type="paragraph" w:styleId="21">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2">
    <w:name w:val="toc 6"/>
    <w:basedOn w:val="1"/>
    <w:next w:val="1"/>
    <w:unhideWhenUsed/>
    <w:qFormat/>
    <w:uiPriority w:val="0"/>
    <w:pPr>
      <w:ind w:left="2100" w:leftChars="1000"/>
    </w:pPr>
  </w:style>
  <w:style w:type="paragraph" w:styleId="23">
    <w:name w:val="Body Text Indent 3"/>
    <w:basedOn w:val="1"/>
    <w:unhideWhenUsed/>
    <w:qFormat/>
    <w:uiPriority w:val="0"/>
    <w:pPr>
      <w:snapToGrid w:val="0"/>
      <w:ind w:firstLine="480" w:firstLineChars="200"/>
      <w:jc w:val="left"/>
    </w:pPr>
    <w:rPr>
      <w:kern w:val="0"/>
      <w:sz w:val="16"/>
      <w:szCs w:val="16"/>
    </w:rPr>
  </w:style>
  <w:style w:type="paragraph" w:styleId="24">
    <w:name w:val="Normal (Web)"/>
    <w:basedOn w:val="1"/>
    <w:qFormat/>
    <w:uiPriority w:val="99"/>
    <w:pPr>
      <w:spacing w:before="100" w:beforeAutospacing="1" w:after="100" w:afterAutospacing="1"/>
      <w:jc w:val="left"/>
    </w:pPr>
    <w:rPr>
      <w:kern w:val="0"/>
      <w:sz w:val="24"/>
      <w:szCs w:val="24"/>
    </w:rPr>
  </w:style>
  <w:style w:type="paragraph" w:styleId="25">
    <w:name w:val="Body Text First Indent 2"/>
    <w:basedOn w:val="14"/>
    <w:next w:val="26"/>
    <w:link w:val="170"/>
    <w:unhideWhenUsed/>
    <w:qFormat/>
    <w:uiPriority w:val="0"/>
    <w:pPr>
      <w:spacing w:after="120" w:line="240" w:lineRule="auto"/>
      <w:ind w:left="420" w:leftChars="200" w:firstLine="420" w:firstLineChars="200"/>
    </w:pPr>
    <w:rPr>
      <w:kern w:val="2"/>
      <w:sz w:val="21"/>
      <w:szCs w:val="21"/>
    </w:rPr>
  </w:style>
  <w:style w:type="paragraph" w:customStyle="1" w:styleId="26">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ind w:firstLine="0" w:firstLineChars="0"/>
      <w:jc w:val="center"/>
    </w:pPr>
    <w:rPr>
      <w:rFonts w:ascii="宋体" w:hAnsi="宋体" w:eastAsia="宋体"/>
      <w:b/>
      <w:bCs/>
      <w:kern w:val="0"/>
      <w:sz w:val="20"/>
      <w:szCs w:val="20"/>
    </w:rPr>
  </w:style>
  <w:style w:type="table" w:styleId="28">
    <w:name w:val="Table Grid"/>
    <w:basedOn w:val="27"/>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style>
  <w:style w:type="character" w:styleId="31">
    <w:name w:val="page number"/>
    <w:basedOn w:val="29"/>
    <w:qFormat/>
    <w:uiPriority w:val="99"/>
  </w:style>
  <w:style w:type="character" w:styleId="32">
    <w:name w:val="FollowedHyperlink"/>
    <w:unhideWhenUsed/>
    <w:qFormat/>
    <w:uiPriority w:val="0"/>
    <w:rPr>
      <w:color w:val="3177FD"/>
      <w:u w:val="none"/>
    </w:rPr>
  </w:style>
  <w:style w:type="character" w:styleId="33">
    <w:name w:val="HTML Definition"/>
    <w:unhideWhenUsed/>
    <w:qFormat/>
    <w:uiPriority w:val="0"/>
    <w:rPr>
      <w:i/>
    </w:rPr>
  </w:style>
  <w:style w:type="character" w:styleId="34">
    <w:name w:val="Hyperlink"/>
    <w:qFormat/>
    <w:uiPriority w:val="99"/>
    <w:rPr>
      <w:color w:val="3177FD"/>
      <w:u w:val="none"/>
    </w:rPr>
  </w:style>
  <w:style w:type="character" w:styleId="35">
    <w:name w:val="HTML Code"/>
    <w:unhideWhenUsed/>
    <w:qFormat/>
    <w:uiPriority w:val="0"/>
    <w:rPr>
      <w:rFonts w:ascii="Consolas" w:hAnsi="Consolas" w:eastAsia="Consolas" w:cs="Consolas"/>
      <w:sz w:val="21"/>
      <w:szCs w:val="21"/>
    </w:rPr>
  </w:style>
  <w:style w:type="character" w:styleId="36">
    <w:name w:val="annotation reference"/>
    <w:semiHidden/>
    <w:qFormat/>
    <w:uiPriority w:val="99"/>
    <w:rPr>
      <w:sz w:val="21"/>
      <w:szCs w:val="21"/>
    </w:rPr>
  </w:style>
  <w:style w:type="character" w:styleId="37">
    <w:name w:val="HTML Keyboard"/>
    <w:unhideWhenUsed/>
    <w:qFormat/>
    <w:uiPriority w:val="0"/>
    <w:rPr>
      <w:rFonts w:hint="default" w:ascii="Consolas" w:hAnsi="Consolas" w:eastAsia="Consolas" w:cs="Consolas"/>
      <w:sz w:val="21"/>
      <w:szCs w:val="21"/>
    </w:rPr>
  </w:style>
  <w:style w:type="character" w:styleId="38">
    <w:name w:val="HTML Sample"/>
    <w:unhideWhenUsed/>
    <w:qFormat/>
    <w:uiPriority w:val="0"/>
    <w:rPr>
      <w:rFonts w:hint="default" w:ascii="Consolas" w:hAnsi="Consolas" w:eastAsia="Consolas" w:cs="Consolas"/>
      <w:sz w:val="21"/>
      <w:szCs w:val="21"/>
    </w:rPr>
  </w:style>
  <w:style w:type="character" w:customStyle="1" w:styleId="39">
    <w:name w:val="Heading 1 Char"/>
    <w:qFormat/>
    <w:locked/>
    <w:uiPriority w:val="99"/>
    <w:rPr>
      <w:rFonts w:eastAsia="宋体"/>
      <w:b/>
      <w:bCs/>
      <w:kern w:val="44"/>
      <w:sz w:val="44"/>
      <w:szCs w:val="44"/>
      <w:lang w:val="en-US" w:eastAsia="zh-CN"/>
    </w:rPr>
  </w:style>
  <w:style w:type="character" w:customStyle="1" w:styleId="40">
    <w:name w:val="标题 2 Char"/>
    <w:link w:val="2"/>
    <w:semiHidden/>
    <w:qFormat/>
    <w:locked/>
    <w:uiPriority w:val="99"/>
    <w:rPr>
      <w:rFonts w:ascii="Cambria" w:hAnsi="Cambria" w:eastAsia="宋体" w:cs="Cambria"/>
      <w:b/>
      <w:bCs/>
      <w:sz w:val="32"/>
      <w:szCs w:val="32"/>
    </w:rPr>
  </w:style>
  <w:style w:type="character" w:customStyle="1" w:styleId="41">
    <w:name w:val="标题 3 Char"/>
    <w:link w:val="4"/>
    <w:semiHidden/>
    <w:qFormat/>
    <w:locked/>
    <w:uiPriority w:val="99"/>
    <w:rPr>
      <w:rFonts w:ascii="Calibri" w:hAnsi="Calibri" w:cs="Calibri"/>
      <w:b/>
      <w:bCs/>
      <w:sz w:val="32"/>
      <w:szCs w:val="32"/>
    </w:rPr>
  </w:style>
  <w:style w:type="character" w:customStyle="1" w:styleId="42">
    <w:name w:val="标题 4 Char"/>
    <w:link w:val="5"/>
    <w:semiHidden/>
    <w:qFormat/>
    <w:locked/>
    <w:uiPriority w:val="99"/>
    <w:rPr>
      <w:rFonts w:ascii="Cambria" w:hAnsi="Cambria" w:eastAsia="宋体" w:cs="Cambria"/>
      <w:b/>
      <w:bCs/>
      <w:kern w:val="2"/>
      <w:sz w:val="28"/>
      <w:szCs w:val="28"/>
    </w:rPr>
  </w:style>
  <w:style w:type="character" w:customStyle="1" w:styleId="43">
    <w:name w:val="标题 5 Char"/>
    <w:link w:val="6"/>
    <w:semiHidden/>
    <w:qFormat/>
    <w:locked/>
    <w:uiPriority w:val="99"/>
    <w:rPr>
      <w:rFonts w:ascii="Calibri" w:hAnsi="Calibri" w:cs="Calibri"/>
      <w:b/>
      <w:bCs/>
      <w:kern w:val="2"/>
      <w:sz w:val="28"/>
      <w:szCs w:val="28"/>
    </w:rPr>
  </w:style>
  <w:style w:type="character" w:customStyle="1" w:styleId="44">
    <w:name w:val="标题 6 Char"/>
    <w:link w:val="7"/>
    <w:semiHidden/>
    <w:qFormat/>
    <w:locked/>
    <w:uiPriority w:val="99"/>
    <w:rPr>
      <w:rFonts w:ascii="Cambria" w:hAnsi="Cambria" w:eastAsia="宋体" w:cs="Cambria"/>
      <w:b/>
      <w:bCs/>
      <w:kern w:val="2"/>
      <w:sz w:val="24"/>
      <w:szCs w:val="24"/>
    </w:rPr>
  </w:style>
  <w:style w:type="character" w:customStyle="1" w:styleId="45">
    <w:name w:val="正文文本 Char"/>
    <w:link w:val="12"/>
    <w:semiHidden/>
    <w:qFormat/>
    <w:locked/>
    <w:uiPriority w:val="99"/>
    <w:rPr>
      <w:rFonts w:ascii="Calibri" w:hAnsi="Calibri" w:cs="Calibri"/>
      <w:sz w:val="24"/>
      <w:szCs w:val="24"/>
    </w:rPr>
  </w:style>
  <w:style w:type="character" w:customStyle="1" w:styleId="46">
    <w:name w:val="正文首行缩进 Char"/>
    <w:link w:val="13"/>
    <w:semiHidden/>
    <w:qFormat/>
    <w:uiPriority w:val="99"/>
    <w:rPr>
      <w:rFonts w:ascii="Calibri" w:hAnsi="Calibri" w:cs="Calibri"/>
      <w:sz w:val="24"/>
      <w:szCs w:val="21"/>
    </w:rPr>
  </w:style>
  <w:style w:type="character" w:customStyle="1" w:styleId="47">
    <w:name w:val="批注文字 Char"/>
    <w:link w:val="11"/>
    <w:semiHidden/>
    <w:qFormat/>
    <w:locked/>
    <w:uiPriority w:val="99"/>
    <w:rPr>
      <w:rFonts w:ascii="Calibri" w:hAnsi="Calibri" w:cs="Calibri"/>
      <w:kern w:val="2"/>
      <w:sz w:val="24"/>
      <w:szCs w:val="24"/>
    </w:rPr>
  </w:style>
  <w:style w:type="character" w:customStyle="1" w:styleId="48">
    <w:name w:val="正文文本缩进 Char"/>
    <w:link w:val="14"/>
    <w:semiHidden/>
    <w:qFormat/>
    <w:locked/>
    <w:uiPriority w:val="99"/>
    <w:rPr>
      <w:rFonts w:ascii="Calibri" w:hAnsi="Calibri" w:cs="Calibri"/>
      <w:sz w:val="24"/>
      <w:szCs w:val="24"/>
    </w:rPr>
  </w:style>
  <w:style w:type="character" w:customStyle="1" w:styleId="49">
    <w:name w:val="纯文本 Char1"/>
    <w:link w:val="17"/>
    <w:semiHidden/>
    <w:qFormat/>
    <w:locked/>
    <w:uiPriority w:val="99"/>
    <w:rPr>
      <w:rFonts w:ascii="宋体" w:hAnsi="Courier New" w:cs="宋体"/>
      <w:sz w:val="21"/>
      <w:szCs w:val="21"/>
    </w:rPr>
  </w:style>
  <w:style w:type="character" w:customStyle="1" w:styleId="50">
    <w:name w:val="正文文本缩进 2 Char"/>
    <w:link w:val="18"/>
    <w:semiHidden/>
    <w:qFormat/>
    <w:locked/>
    <w:uiPriority w:val="99"/>
    <w:rPr>
      <w:rFonts w:ascii="Calibri" w:hAnsi="Calibri" w:cs="Calibri"/>
      <w:sz w:val="24"/>
      <w:szCs w:val="24"/>
    </w:rPr>
  </w:style>
  <w:style w:type="character" w:customStyle="1" w:styleId="51">
    <w:name w:val="批注框文本 Char1"/>
    <w:link w:val="19"/>
    <w:qFormat/>
    <w:locked/>
    <w:uiPriority w:val="99"/>
    <w:rPr>
      <w:rFonts w:ascii="Calibri" w:hAnsi="Calibri" w:cs="Calibri"/>
      <w:kern w:val="2"/>
      <w:sz w:val="18"/>
      <w:szCs w:val="18"/>
    </w:rPr>
  </w:style>
  <w:style w:type="character" w:customStyle="1" w:styleId="52">
    <w:name w:val="页脚 Char"/>
    <w:link w:val="20"/>
    <w:semiHidden/>
    <w:qFormat/>
    <w:locked/>
    <w:uiPriority w:val="99"/>
    <w:rPr>
      <w:rFonts w:ascii="Calibri" w:hAnsi="Calibri" w:cs="Calibri"/>
      <w:sz w:val="18"/>
      <w:szCs w:val="18"/>
    </w:rPr>
  </w:style>
  <w:style w:type="character" w:customStyle="1" w:styleId="53">
    <w:name w:val="页眉 Char"/>
    <w:link w:val="21"/>
    <w:semiHidden/>
    <w:qFormat/>
    <w:locked/>
    <w:uiPriority w:val="99"/>
    <w:rPr>
      <w:rFonts w:ascii="Calibri" w:hAnsi="Calibri" w:cs="Calibri"/>
      <w:sz w:val="18"/>
      <w:szCs w:val="18"/>
    </w:rPr>
  </w:style>
  <w:style w:type="paragraph" w:customStyle="1" w:styleId="54">
    <w:name w:val="正文（首行缩进2字符）"/>
    <w:basedOn w:val="1"/>
    <w:qFormat/>
    <w:uiPriority w:val="99"/>
    <w:pPr>
      <w:spacing w:line="360" w:lineRule="auto"/>
      <w:ind w:firstLine="420" w:firstLineChars="200"/>
    </w:pPr>
  </w:style>
  <w:style w:type="character" w:customStyle="1" w:styleId="55">
    <w:name w:val="标题 1 Char"/>
    <w:link w:val="3"/>
    <w:qFormat/>
    <w:locked/>
    <w:uiPriority w:val="99"/>
    <w:rPr>
      <w:rFonts w:ascii="Calibri" w:hAnsi="Calibri" w:cs="Calibri"/>
      <w:b/>
      <w:bCs/>
      <w:kern w:val="44"/>
      <w:sz w:val="44"/>
      <w:szCs w:val="44"/>
    </w:rPr>
  </w:style>
  <w:style w:type="character" w:customStyle="1" w:styleId="56">
    <w:name w:val="批注主题 Char"/>
    <w:link w:val="57"/>
    <w:semiHidden/>
    <w:qFormat/>
    <w:locked/>
    <w:uiPriority w:val="99"/>
    <w:rPr>
      <w:rFonts w:ascii="Calibri" w:hAnsi="Calibri" w:cs="Calibri"/>
      <w:b/>
      <w:bCs/>
      <w:kern w:val="2"/>
      <w:sz w:val="24"/>
      <w:szCs w:val="24"/>
    </w:rPr>
  </w:style>
  <w:style w:type="paragraph" w:customStyle="1" w:styleId="57">
    <w:name w:val="批注主题1"/>
    <w:basedOn w:val="11"/>
    <w:next w:val="11"/>
    <w:link w:val="56"/>
    <w:qFormat/>
    <w:uiPriority w:val="99"/>
    <w:rPr>
      <w:b/>
      <w:bCs/>
    </w:rPr>
  </w:style>
  <w:style w:type="character" w:customStyle="1" w:styleId="58">
    <w:name w:val="纯文本 Char"/>
    <w:link w:val="59"/>
    <w:semiHidden/>
    <w:qFormat/>
    <w:locked/>
    <w:uiPriority w:val="99"/>
    <w:rPr>
      <w:rFonts w:ascii="宋体" w:hAnsi="Courier New" w:eastAsia="Times New Roman" w:cs="宋体"/>
      <w:kern w:val="2"/>
      <w:sz w:val="24"/>
      <w:szCs w:val="24"/>
    </w:rPr>
  </w:style>
  <w:style w:type="paragraph" w:customStyle="1" w:styleId="59">
    <w:name w:val="纯文本1"/>
    <w:basedOn w:val="60"/>
    <w:link w:val="58"/>
    <w:qFormat/>
    <w:uiPriority w:val="99"/>
    <w:pPr>
      <w:spacing w:beforeLines="50" w:afterLines="50" w:line="400" w:lineRule="exact"/>
    </w:pPr>
    <w:rPr>
      <w:rFonts w:ascii="宋体" w:hAnsi="Courier New" w:eastAsia="Times New Roman" w:cs="宋体"/>
      <w:sz w:val="24"/>
      <w:szCs w:val="24"/>
    </w:rPr>
  </w:style>
  <w:style w:type="paragraph" w:customStyle="1" w:styleId="60">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61">
    <w:name w:val="批注框文本 Char"/>
    <w:link w:val="62"/>
    <w:semiHidden/>
    <w:qFormat/>
    <w:locked/>
    <w:uiPriority w:val="99"/>
    <w:rPr>
      <w:rFonts w:ascii="Calibri" w:hAnsi="Calibri" w:cs="Calibri"/>
      <w:kern w:val="2"/>
      <w:sz w:val="18"/>
      <w:szCs w:val="18"/>
    </w:rPr>
  </w:style>
  <w:style w:type="paragraph" w:customStyle="1" w:styleId="62">
    <w:name w:val="批注框文本1"/>
    <w:basedOn w:val="1"/>
    <w:link w:val="61"/>
    <w:qFormat/>
    <w:uiPriority w:val="99"/>
    <w:rPr>
      <w:sz w:val="18"/>
      <w:szCs w:val="18"/>
    </w:rPr>
  </w:style>
  <w:style w:type="paragraph" w:customStyle="1" w:styleId="63">
    <w:name w:val="正文文本缩进1"/>
    <w:basedOn w:val="1"/>
    <w:qFormat/>
    <w:uiPriority w:val="99"/>
    <w:pPr>
      <w:spacing w:line="200" w:lineRule="exact"/>
      <w:ind w:firstLine="301"/>
    </w:pPr>
    <w:rPr>
      <w:rFonts w:ascii="宋体" w:hAnsi="Courier New" w:cs="宋体"/>
      <w:spacing w:val="-4"/>
      <w:kern w:val="0"/>
      <w:sz w:val="18"/>
      <w:szCs w:val="18"/>
    </w:rPr>
  </w:style>
  <w:style w:type="paragraph" w:customStyle="1" w:styleId="64">
    <w:name w:val="纯文本2"/>
    <w:basedOn w:val="1"/>
    <w:qFormat/>
    <w:uiPriority w:val="99"/>
    <w:rPr>
      <w:rFonts w:ascii="宋体" w:hAnsi="Courier New" w:eastAsia="Times New Roman" w:cs="宋体"/>
      <w:sz w:val="30"/>
      <w:szCs w:val="30"/>
    </w:rPr>
  </w:style>
  <w:style w:type="paragraph" w:customStyle="1" w:styleId="65">
    <w:name w:val="普通(网站)1"/>
    <w:basedOn w:val="1"/>
    <w:qFormat/>
    <w:uiPriority w:val="99"/>
    <w:pPr>
      <w:spacing w:beforeAutospacing="1" w:afterAutospacing="1"/>
      <w:jc w:val="left"/>
    </w:pPr>
    <w:rPr>
      <w:kern w:val="0"/>
      <w:sz w:val="24"/>
      <w:szCs w:val="24"/>
    </w:rPr>
  </w:style>
  <w:style w:type="paragraph" w:customStyle="1" w:styleId="66">
    <w:name w:val="正文缩进1"/>
    <w:basedOn w:val="1"/>
    <w:qFormat/>
    <w:uiPriority w:val="99"/>
    <w:pPr>
      <w:ind w:firstLine="420" w:firstLineChars="200"/>
    </w:pPr>
  </w:style>
  <w:style w:type="paragraph" w:customStyle="1" w:styleId="67">
    <w:name w:val="正文文本 31"/>
    <w:basedOn w:val="1"/>
    <w:qFormat/>
    <w:uiPriority w:val="99"/>
    <w:pPr>
      <w:spacing w:after="120"/>
    </w:pPr>
    <w:rPr>
      <w:kern w:val="0"/>
      <w:sz w:val="16"/>
      <w:szCs w:val="16"/>
    </w:rPr>
  </w:style>
  <w:style w:type="paragraph" w:customStyle="1" w:styleId="68">
    <w:name w:val="正文文本缩进11"/>
    <w:basedOn w:val="1"/>
    <w:qFormat/>
    <w:uiPriority w:val="99"/>
    <w:pPr>
      <w:spacing w:line="200" w:lineRule="exact"/>
      <w:ind w:firstLine="301"/>
    </w:pPr>
  </w:style>
  <w:style w:type="paragraph" w:customStyle="1" w:styleId="69">
    <w:name w:val="文本块1"/>
    <w:basedOn w:val="1"/>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70">
    <w:name w:val="正文文本缩进 21"/>
    <w:basedOn w:val="1"/>
    <w:qFormat/>
    <w:uiPriority w:val="99"/>
    <w:pPr>
      <w:snapToGrid w:val="0"/>
      <w:ind w:firstLine="542" w:firstLineChars="225"/>
    </w:pPr>
    <w:rPr>
      <w:kern w:val="0"/>
      <w:sz w:val="24"/>
      <w:szCs w:val="24"/>
    </w:rPr>
  </w:style>
  <w:style w:type="paragraph" w:customStyle="1" w:styleId="71">
    <w:name w:val="正文文本缩进 31"/>
    <w:basedOn w:val="1"/>
    <w:qFormat/>
    <w:uiPriority w:val="99"/>
    <w:pPr>
      <w:snapToGrid w:val="0"/>
      <w:ind w:firstLine="480" w:firstLineChars="200"/>
      <w:jc w:val="left"/>
    </w:pPr>
    <w:rPr>
      <w:rFonts w:ascii="??_GB2312" w:hAnsi="宋体" w:eastAsia="Times New Roman" w:cs="??_GB2312"/>
      <w:color w:val="000000"/>
      <w:sz w:val="24"/>
      <w:szCs w:val="24"/>
    </w:rPr>
  </w:style>
  <w:style w:type="paragraph" w:customStyle="1" w:styleId="72">
    <w:name w:val="普通(网站)11"/>
    <w:basedOn w:val="1"/>
    <w:qFormat/>
    <w:uiPriority w:val="99"/>
    <w:pPr>
      <w:widowControl/>
      <w:spacing w:beforeAutospacing="1" w:afterAutospacing="1"/>
      <w:jc w:val="left"/>
    </w:pPr>
    <w:rPr>
      <w:rFonts w:ascii="宋体" w:hAnsi="宋体" w:cs="宋体"/>
      <w:kern w:val="0"/>
      <w:sz w:val="24"/>
      <w:szCs w:val="24"/>
    </w:rPr>
  </w:style>
  <w:style w:type="paragraph" w:customStyle="1" w:styleId="73">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7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列表 21"/>
    <w:basedOn w:val="1"/>
    <w:qFormat/>
    <w:uiPriority w:val="99"/>
    <w:pPr>
      <w:ind w:left="200" w:leftChars="200" w:hanging="200" w:hangingChars="200"/>
    </w:pPr>
    <w:rPr>
      <w:sz w:val="28"/>
      <w:szCs w:val="28"/>
    </w:rPr>
  </w:style>
  <w:style w:type="paragraph" w:customStyle="1" w:styleId="76">
    <w:name w:val="默认段落字体 Para Char Char Char Char Char Char Char Char Char1 Char Char Char Char"/>
    <w:basedOn w:val="1"/>
    <w:qFormat/>
    <w:uiPriority w:val="99"/>
    <w:rPr>
      <w:rFonts w:ascii="Tahoma" w:hAnsi="Tahoma" w:cs="Tahoma"/>
      <w:sz w:val="24"/>
      <w:szCs w:val="24"/>
    </w:rPr>
  </w:style>
  <w:style w:type="paragraph" w:customStyle="1" w:styleId="77">
    <w:name w:val="纯文本21"/>
    <w:basedOn w:val="1"/>
    <w:qFormat/>
    <w:uiPriority w:val="99"/>
    <w:pPr>
      <w:spacing w:beforeLines="50" w:afterLines="50" w:line="400" w:lineRule="exact"/>
    </w:pPr>
    <w:rPr>
      <w:rFonts w:ascii="宋体" w:hAnsi="Courier New" w:cs="宋体"/>
    </w:rPr>
  </w:style>
  <w:style w:type="paragraph" w:customStyle="1" w:styleId="78">
    <w:name w:val="彩色列表 - 强调文字颜色 11"/>
    <w:basedOn w:val="1"/>
    <w:qFormat/>
    <w:uiPriority w:val="99"/>
    <w:pPr>
      <w:ind w:firstLine="420" w:firstLineChars="200"/>
    </w:pPr>
  </w:style>
  <w:style w:type="paragraph" w:customStyle="1" w:styleId="79">
    <w:name w:val="修订1"/>
    <w:qFormat/>
    <w:uiPriority w:val="99"/>
    <w:rPr>
      <w:rFonts w:ascii="Calibri" w:hAnsi="Calibri" w:eastAsia="宋体" w:cs="Calibri"/>
      <w:kern w:val="2"/>
      <w:sz w:val="21"/>
      <w:szCs w:val="21"/>
      <w:lang w:val="en-US" w:eastAsia="zh-CN" w:bidi="ar-SA"/>
    </w:rPr>
  </w:style>
  <w:style w:type="paragraph" w:customStyle="1" w:styleId="80">
    <w:name w:val="列出段落1"/>
    <w:basedOn w:val="1"/>
    <w:qFormat/>
    <w:uiPriority w:val="99"/>
    <w:pPr>
      <w:ind w:firstLine="420" w:firstLineChars="200"/>
    </w:pPr>
  </w:style>
  <w:style w:type="paragraph" w:customStyle="1" w:styleId="81">
    <w:name w:val="纯文本3"/>
    <w:basedOn w:val="1"/>
    <w:qFormat/>
    <w:uiPriority w:val="99"/>
    <w:pPr>
      <w:adjustRightInd w:val="0"/>
      <w:textAlignment w:val="baseline"/>
    </w:pPr>
    <w:rPr>
      <w:rFonts w:ascii="宋体" w:hAnsi="Courier New" w:eastAsia="楷体_GB2312" w:cs="宋体"/>
      <w:sz w:val="26"/>
      <w:szCs w:val="26"/>
    </w:rPr>
  </w:style>
  <w:style w:type="paragraph" w:customStyle="1" w:styleId="82">
    <w:name w:val="表内文字"/>
    <w:basedOn w:val="1"/>
    <w:qFormat/>
    <w:uiPriority w:val="99"/>
    <w:pPr>
      <w:tabs>
        <w:tab w:val="left" w:pos="1418"/>
      </w:tabs>
      <w:spacing w:line="360" w:lineRule="auto"/>
      <w:jc w:val="center"/>
    </w:pPr>
    <w:rPr>
      <w:rFonts w:ascii="??_GB2312" w:eastAsia="Times New Roman" w:cs="??_GB2312"/>
      <w:spacing w:val="-20"/>
      <w:kern w:val="0"/>
      <w:sz w:val="24"/>
      <w:szCs w:val="24"/>
    </w:rPr>
  </w:style>
  <w:style w:type="paragraph" w:customStyle="1" w:styleId="83">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cs="Times New Roman"/>
      <w:w w:val="105"/>
      <w:kern w:val="0"/>
      <w:sz w:val="24"/>
      <w:szCs w:val="24"/>
    </w:rPr>
  </w:style>
  <w:style w:type="paragraph" w:customStyle="1" w:styleId="84">
    <w:name w:val="纯文本4"/>
    <w:basedOn w:val="1"/>
    <w:qFormat/>
    <w:uiPriority w:val="99"/>
    <w:pPr>
      <w:adjustRightInd w:val="0"/>
      <w:textAlignment w:val="baseline"/>
    </w:pPr>
    <w:rPr>
      <w:rFonts w:ascii="宋体" w:hAnsi="Courier New" w:eastAsia="楷体_GB2312" w:cs="宋体"/>
      <w:sz w:val="26"/>
      <w:szCs w:val="26"/>
    </w:rPr>
  </w:style>
  <w:style w:type="paragraph" w:customStyle="1" w:styleId="85">
    <w:name w:val="Table Paragraph"/>
    <w:basedOn w:val="1"/>
    <w:qFormat/>
    <w:uiPriority w:val="99"/>
    <w:pPr>
      <w:jc w:val="left"/>
    </w:pPr>
    <w:rPr>
      <w:kern w:val="0"/>
      <w:sz w:val="22"/>
      <w:szCs w:val="22"/>
      <w:lang w:eastAsia="en-US"/>
    </w:rPr>
  </w:style>
  <w:style w:type="character" w:customStyle="1" w:styleId="86">
    <w:name w:val="批注引用1"/>
    <w:qFormat/>
    <w:uiPriority w:val="99"/>
    <w:rPr>
      <w:sz w:val="21"/>
      <w:szCs w:val="21"/>
    </w:rPr>
  </w:style>
  <w:style w:type="character" w:customStyle="1" w:styleId="87">
    <w:name w:val="标题 2 Char Char"/>
    <w:qFormat/>
    <w:uiPriority w:val="99"/>
    <w:rPr>
      <w:rFonts w:eastAsia="宋体"/>
      <w:kern w:val="2"/>
      <w:sz w:val="28"/>
      <w:szCs w:val="28"/>
      <w:lang w:val="en-US" w:eastAsia="zh-CN"/>
    </w:rPr>
  </w:style>
  <w:style w:type="paragraph" w:customStyle="1" w:styleId="88">
    <w:name w:val="xl30"/>
    <w:basedOn w:val="1"/>
    <w:qFormat/>
    <w:uiPriority w:val="99"/>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89">
    <w:name w:val="列表段落1"/>
    <w:basedOn w:val="1"/>
    <w:qFormat/>
    <w:uiPriority w:val="99"/>
    <w:pPr>
      <w:ind w:firstLine="420" w:firstLineChars="200"/>
    </w:pPr>
  </w:style>
  <w:style w:type="paragraph" w:customStyle="1" w:styleId="90">
    <w:name w:val="纯文本5"/>
    <w:basedOn w:val="1"/>
    <w:qFormat/>
    <w:uiPriority w:val="99"/>
    <w:rPr>
      <w:rFonts w:ascii="宋体" w:hAnsi="Courier New" w:eastAsia="Times New Roman" w:cs="宋体"/>
      <w:sz w:val="30"/>
      <w:szCs w:val="30"/>
    </w:rPr>
  </w:style>
  <w:style w:type="paragraph" w:customStyle="1" w:styleId="91">
    <w:name w:val="文本块2"/>
    <w:basedOn w:val="1"/>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92">
    <w:name w:val="正文文本缩进2"/>
    <w:basedOn w:val="1"/>
    <w:qFormat/>
    <w:uiPriority w:val="99"/>
    <w:pPr>
      <w:spacing w:line="200" w:lineRule="exact"/>
      <w:ind w:firstLine="301"/>
    </w:pPr>
    <w:rPr>
      <w:rFonts w:ascii="宋体" w:hAnsi="Courier New" w:cs="宋体"/>
      <w:spacing w:val="-4"/>
      <w:kern w:val="0"/>
      <w:sz w:val="18"/>
      <w:szCs w:val="18"/>
    </w:rPr>
  </w:style>
  <w:style w:type="paragraph" w:customStyle="1" w:styleId="93">
    <w:name w:val="正文文本 32"/>
    <w:basedOn w:val="1"/>
    <w:qFormat/>
    <w:uiPriority w:val="99"/>
    <w:pPr>
      <w:spacing w:after="120"/>
    </w:pPr>
    <w:rPr>
      <w:kern w:val="0"/>
      <w:sz w:val="16"/>
      <w:szCs w:val="16"/>
    </w:rPr>
  </w:style>
  <w:style w:type="paragraph" w:customStyle="1" w:styleId="94">
    <w:name w:val="Body Text Indent1"/>
    <w:basedOn w:val="1"/>
    <w:qFormat/>
    <w:uiPriority w:val="99"/>
    <w:pPr>
      <w:spacing w:line="200" w:lineRule="exact"/>
      <w:ind w:firstLine="301"/>
    </w:pPr>
    <w:rPr>
      <w:rFonts w:ascii="宋体" w:hAnsi="Courier New" w:cs="宋体"/>
      <w:spacing w:val="-4"/>
      <w:kern w:val="0"/>
      <w:sz w:val="18"/>
      <w:szCs w:val="18"/>
    </w:rPr>
  </w:style>
  <w:style w:type="paragraph" w:customStyle="1" w:styleId="95">
    <w:name w:val="List Paragraph1"/>
    <w:basedOn w:val="1"/>
    <w:qFormat/>
    <w:uiPriority w:val="99"/>
    <w:pPr>
      <w:ind w:firstLine="420" w:firstLineChars="200"/>
    </w:pPr>
  </w:style>
  <w:style w:type="paragraph" w:customStyle="1" w:styleId="96">
    <w:name w:val="GG标题2"/>
    <w:basedOn w:val="2"/>
    <w:next w:val="97"/>
    <w:qFormat/>
    <w:uiPriority w:val="99"/>
    <w:pPr>
      <w:numPr>
        <w:ilvl w:val="0"/>
        <w:numId w:val="3"/>
      </w:numPr>
      <w:spacing w:line="312" w:lineRule="auto"/>
    </w:pPr>
    <w:rPr>
      <w:rFonts w:ascii="Times New Roman" w:hAnsi="Times New Roman" w:cs="Times New Roman"/>
    </w:rPr>
  </w:style>
  <w:style w:type="paragraph" w:customStyle="1" w:styleId="97">
    <w:name w:val="GG正文2"/>
    <w:basedOn w:val="1"/>
    <w:qFormat/>
    <w:uiPriority w:val="99"/>
    <w:pPr>
      <w:ind w:firstLine="200"/>
    </w:pPr>
    <w:rPr>
      <w:rFonts w:ascii="Times New Roman" w:hAnsi="Times New Roman" w:cs="Times New Roman"/>
      <w:kern w:val="21"/>
    </w:rPr>
  </w:style>
  <w:style w:type="paragraph" w:customStyle="1" w:styleId="98">
    <w:name w:val="标题 81"/>
    <w:basedOn w:val="1"/>
    <w:qFormat/>
    <w:uiPriority w:val="99"/>
    <w:pPr>
      <w:autoSpaceDE w:val="0"/>
      <w:autoSpaceDN w:val="0"/>
      <w:ind w:left="636"/>
      <w:jc w:val="left"/>
      <w:outlineLvl w:val="8"/>
    </w:pPr>
    <w:rPr>
      <w:rFonts w:ascii="宋体" w:hAnsi="宋体" w:cs="宋体"/>
      <w:b/>
      <w:bCs/>
      <w:kern w:val="0"/>
      <w:lang w:val="zh-CN"/>
    </w:rPr>
  </w:style>
  <w:style w:type="paragraph" w:customStyle="1" w:styleId="99">
    <w:name w:val="列出段落2"/>
    <w:basedOn w:val="1"/>
    <w:qFormat/>
    <w:uiPriority w:val="99"/>
    <w:pPr>
      <w:ind w:firstLine="420" w:firstLineChars="200"/>
    </w:pPr>
  </w:style>
  <w:style w:type="paragraph" w:customStyle="1" w:styleId="100">
    <w:name w:val="GG标题1"/>
    <w:basedOn w:val="3"/>
    <w:next w:val="97"/>
    <w:qFormat/>
    <w:uiPriority w:val="99"/>
    <w:pPr>
      <w:spacing w:beforeLines="150" w:afterLines="100" w:line="312" w:lineRule="auto"/>
      <w:ind w:left="3118" w:hanging="425"/>
      <w:jc w:val="center"/>
    </w:pPr>
    <w:rPr>
      <w:rFonts w:ascii="Times New Roman" w:hAnsi="Times New Roman" w:cs="Times New Roman"/>
      <w:sz w:val="36"/>
      <w:szCs w:val="36"/>
    </w:rPr>
  </w:style>
  <w:style w:type="paragraph" w:customStyle="1" w:styleId="101">
    <w:name w:val="GG标题3"/>
    <w:basedOn w:val="4"/>
    <w:next w:val="97"/>
    <w:qFormat/>
    <w:uiPriority w:val="99"/>
    <w:pPr>
      <w:spacing w:line="312" w:lineRule="auto"/>
      <w:ind w:left="-1275" w:hanging="1135"/>
    </w:pPr>
    <w:rPr>
      <w:rFonts w:ascii="Times New Roman" w:hAnsi="Times New Roman" w:cs="Times New Roman"/>
      <w:kern w:val="2"/>
      <w:sz w:val="30"/>
      <w:szCs w:val="30"/>
    </w:rPr>
  </w:style>
  <w:style w:type="paragraph" w:customStyle="1" w:styleId="102">
    <w:name w:val="GG标题4"/>
    <w:basedOn w:val="5"/>
    <w:next w:val="97"/>
    <w:qFormat/>
    <w:uiPriority w:val="99"/>
    <w:pPr>
      <w:spacing w:before="0" w:after="0" w:line="312" w:lineRule="auto"/>
    </w:pPr>
    <w:rPr>
      <w:rFonts w:ascii="Times New Roman" w:hAnsi="Times New Roman" w:cs="Times New Roman"/>
    </w:rPr>
  </w:style>
  <w:style w:type="paragraph" w:customStyle="1" w:styleId="103">
    <w:name w:val="GG标题5"/>
    <w:basedOn w:val="6"/>
    <w:next w:val="97"/>
    <w:qFormat/>
    <w:uiPriority w:val="99"/>
    <w:pPr>
      <w:spacing w:before="0" w:after="0" w:line="312" w:lineRule="auto"/>
    </w:pPr>
    <w:rPr>
      <w:rFonts w:ascii="Times New Roman" w:hAnsi="Times New Roman" w:cs="Times New Roman"/>
      <w:i/>
      <w:iCs/>
      <w:sz w:val="24"/>
      <w:szCs w:val="24"/>
    </w:rPr>
  </w:style>
  <w:style w:type="paragraph" w:customStyle="1" w:styleId="104">
    <w:name w:val="GG标题6"/>
    <w:basedOn w:val="7"/>
    <w:next w:val="97"/>
    <w:qFormat/>
    <w:uiPriority w:val="99"/>
    <w:pPr>
      <w:spacing w:before="0" w:after="0" w:line="312" w:lineRule="auto"/>
    </w:pPr>
    <w:rPr>
      <w:rFonts w:ascii="Times New Roman" w:hAnsi="Times New Roman" w:cs="Times New Roman"/>
      <w:sz w:val="21"/>
      <w:szCs w:val="21"/>
    </w:rPr>
  </w:style>
  <w:style w:type="paragraph" w:customStyle="1" w:styleId="105">
    <w:name w:val="List Paragraph2"/>
    <w:basedOn w:val="1"/>
    <w:qFormat/>
    <w:uiPriority w:val="99"/>
    <w:pPr>
      <w:ind w:firstLine="420" w:firstLineChars="200"/>
    </w:pPr>
  </w:style>
  <w:style w:type="paragraph" w:customStyle="1" w:styleId="106">
    <w:name w:val="正文2"/>
    <w:basedOn w:val="1"/>
    <w:qFormat/>
    <w:uiPriority w:val="99"/>
    <w:pPr>
      <w:spacing w:before="156" w:line="360" w:lineRule="auto"/>
      <w:ind w:firstLine="510" w:firstLineChars="200"/>
    </w:pPr>
    <w:rPr>
      <w:sz w:val="24"/>
      <w:szCs w:val="24"/>
    </w:rPr>
  </w:style>
  <w:style w:type="paragraph" w:customStyle="1" w:styleId="107">
    <w:name w:val="列出段落3"/>
    <w:basedOn w:val="1"/>
    <w:qFormat/>
    <w:uiPriority w:val="99"/>
    <w:pPr>
      <w:ind w:firstLine="420" w:firstLineChars="200"/>
    </w:pPr>
  </w:style>
  <w:style w:type="paragraph" w:customStyle="1" w:styleId="108">
    <w:name w:val="列出段落4"/>
    <w:basedOn w:val="1"/>
    <w:qFormat/>
    <w:uiPriority w:val="99"/>
    <w:pPr>
      <w:ind w:firstLine="420" w:firstLineChars="200"/>
    </w:pPr>
  </w:style>
  <w:style w:type="paragraph" w:customStyle="1" w:styleId="109">
    <w:name w:val="[Normal]"/>
    <w:qFormat/>
    <w:uiPriority w:val="99"/>
    <w:rPr>
      <w:rFonts w:ascii="宋体" w:hAnsi="宋体" w:eastAsia="宋体" w:cs="宋体"/>
      <w:sz w:val="24"/>
      <w:szCs w:val="24"/>
      <w:lang w:val="zh-CN" w:eastAsia="zh-CN" w:bidi="ar-SA"/>
    </w:rPr>
  </w:style>
  <w:style w:type="paragraph" w:customStyle="1" w:styleId="110">
    <w:name w:val="l正文"/>
    <w:basedOn w:val="1"/>
    <w:qFormat/>
    <w:uiPriority w:val="99"/>
    <w:pPr>
      <w:spacing w:line="300" w:lineRule="auto"/>
      <w:ind w:firstLine="200" w:firstLineChars="200"/>
      <w:jc w:val="left"/>
    </w:pPr>
    <w:rPr>
      <w:rFonts w:ascii="楷体_GB2312" w:hAnsi="Times" w:eastAsia="楷体_GB2312" w:cs="楷体_GB2312"/>
      <w:sz w:val="24"/>
      <w:szCs w:val="24"/>
    </w:rPr>
  </w:style>
  <w:style w:type="paragraph" w:customStyle="1" w:styleId="111">
    <w:name w:val="DAS正文"/>
    <w:basedOn w:val="1"/>
    <w:qFormat/>
    <w:uiPriority w:val="99"/>
    <w:pPr>
      <w:spacing w:line="360" w:lineRule="auto"/>
      <w:ind w:right="181" w:firstLine="480" w:firstLineChars="200"/>
    </w:pPr>
    <w:rPr>
      <w:rFonts w:ascii="Verdana" w:hAnsi="Verdana" w:cs="Verdana"/>
      <w:sz w:val="24"/>
      <w:szCs w:val="24"/>
    </w:rPr>
  </w:style>
  <w:style w:type="paragraph" w:customStyle="1" w:styleId="112">
    <w:name w:val="Normal Indent1"/>
    <w:basedOn w:val="1"/>
    <w:qFormat/>
    <w:uiPriority w:val="0"/>
    <w:pPr>
      <w:ind w:firstLine="420" w:firstLineChars="200"/>
    </w:pPr>
  </w:style>
  <w:style w:type="paragraph" w:customStyle="1" w:styleId="113">
    <w:name w:val="报告正文"/>
    <w:qFormat/>
    <w:uiPriority w:val="0"/>
    <w:pPr>
      <w:spacing w:line="360" w:lineRule="auto"/>
      <w:ind w:firstLine="200" w:firstLineChars="200"/>
      <w:jc w:val="both"/>
    </w:pPr>
    <w:rPr>
      <w:rFonts w:ascii="Calibri" w:hAnsi="Calibri" w:eastAsia="仿宋" w:cs="黑体"/>
      <w:kern w:val="2"/>
      <w:sz w:val="28"/>
      <w:szCs w:val="22"/>
      <w:lang w:val="en-US" w:eastAsia="zh-CN" w:bidi="ar-SA"/>
    </w:rPr>
  </w:style>
  <w:style w:type="paragraph" w:customStyle="1" w:styleId="114">
    <w:name w:val="列出段落5"/>
    <w:basedOn w:val="1"/>
    <w:qFormat/>
    <w:uiPriority w:val="34"/>
    <w:pPr>
      <w:ind w:firstLine="420" w:firstLineChars="200"/>
    </w:pPr>
  </w:style>
  <w:style w:type="character" w:customStyle="1" w:styleId="115">
    <w:name w:val="ant-select-tree-checkbox"/>
    <w:basedOn w:val="29"/>
    <w:qFormat/>
    <w:uiPriority w:val="0"/>
  </w:style>
  <w:style w:type="character" w:customStyle="1" w:styleId="116">
    <w:name w:val="change-camera-place"/>
    <w:qFormat/>
    <w:uiPriority w:val="0"/>
    <w:rPr>
      <w:color w:val="3177FD"/>
    </w:rPr>
  </w:style>
  <w:style w:type="character" w:customStyle="1" w:styleId="117">
    <w:name w:val="last-of-type"/>
    <w:qFormat/>
    <w:uiPriority w:val="0"/>
    <w:rPr>
      <w:color w:val="FF4A44"/>
      <w:sz w:val="27"/>
      <w:szCs w:val="27"/>
    </w:rPr>
  </w:style>
  <w:style w:type="character" w:customStyle="1" w:styleId="118">
    <w:name w:val="last-child6"/>
    <w:basedOn w:val="29"/>
    <w:qFormat/>
    <w:uiPriority w:val="0"/>
  </w:style>
  <w:style w:type="character" w:customStyle="1" w:styleId="119">
    <w:name w:val="last-child7"/>
    <w:basedOn w:val="29"/>
    <w:qFormat/>
    <w:uiPriority w:val="0"/>
  </w:style>
  <w:style w:type="character" w:customStyle="1" w:styleId="120">
    <w:name w:val="last-child8"/>
    <w:basedOn w:val="29"/>
    <w:qFormat/>
    <w:uiPriority w:val="0"/>
  </w:style>
  <w:style w:type="character" w:customStyle="1" w:styleId="121">
    <w:name w:val="last-child9"/>
    <w:basedOn w:val="29"/>
    <w:qFormat/>
    <w:uiPriority w:val="0"/>
  </w:style>
  <w:style w:type="character" w:customStyle="1" w:styleId="122">
    <w:name w:val="first-child5"/>
    <w:basedOn w:val="29"/>
    <w:qFormat/>
    <w:uiPriority w:val="0"/>
  </w:style>
  <w:style w:type="character" w:customStyle="1" w:styleId="123">
    <w:name w:val="ant-input52"/>
    <w:basedOn w:val="29"/>
    <w:qFormat/>
    <w:uiPriority w:val="0"/>
  </w:style>
  <w:style w:type="character" w:customStyle="1" w:styleId="124">
    <w:name w:val="current"/>
    <w:qFormat/>
    <w:uiPriority w:val="0"/>
    <w:rPr>
      <w:color w:val="00C1DE"/>
    </w:rPr>
  </w:style>
  <w:style w:type="character" w:customStyle="1" w:styleId="125">
    <w:name w:val="current1"/>
    <w:qFormat/>
    <w:uiPriority w:val="0"/>
    <w:rPr>
      <w:color w:val="00C1DE"/>
    </w:rPr>
  </w:style>
  <w:style w:type="character" w:customStyle="1" w:styleId="126">
    <w:name w:val="ant-radio+*"/>
    <w:basedOn w:val="29"/>
    <w:qFormat/>
    <w:uiPriority w:val="0"/>
  </w:style>
  <w:style w:type="character" w:customStyle="1" w:styleId="127">
    <w:name w:val="ant-tree-checkbox2"/>
    <w:basedOn w:val="29"/>
    <w:qFormat/>
    <w:uiPriority w:val="0"/>
  </w:style>
  <w:style w:type="character" w:customStyle="1" w:styleId="128">
    <w:name w:val="ant-tree-switcher"/>
    <w:basedOn w:val="29"/>
    <w:qFormat/>
    <w:uiPriority w:val="0"/>
  </w:style>
  <w:style w:type="character" w:customStyle="1" w:styleId="129">
    <w:name w:val="ant-tree-iconele"/>
    <w:basedOn w:val="29"/>
    <w:qFormat/>
    <w:uiPriority w:val="0"/>
  </w:style>
  <w:style w:type="character" w:customStyle="1" w:styleId="130">
    <w:name w:val="ant-tree-icon_loading"/>
    <w:qFormat/>
    <w:uiPriority w:val="0"/>
    <w:rPr>
      <w:shd w:val="clear" w:color="auto" w:fill="FFFFFF"/>
    </w:rPr>
  </w:style>
  <w:style w:type="character" w:customStyle="1" w:styleId="131">
    <w:name w:val="info-label"/>
    <w:qFormat/>
    <w:uiPriority w:val="0"/>
    <w:rPr>
      <w:b/>
    </w:rPr>
  </w:style>
  <w:style w:type="character" w:customStyle="1" w:styleId="132">
    <w:name w:val="info-content"/>
    <w:qFormat/>
    <w:uiPriority w:val="0"/>
    <w:rPr>
      <w:color w:val="808080"/>
    </w:rPr>
  </w:style>
  <w:style w:type="character" w:customStyle="1" w:styleId="133">
    <w:name w:val="ant-select-tree-switcher"/>
    <w:basedOn w:val="29"/>
    <w:qFormat/>
    <w:uiPriority w:val="0"/>
  </w:style>
  <w:style w:type="character" w:customStyle="1" w:styleId="134">
    <w:name w:val="ant-select-tree-iconele"/>
    <w:basedOn w:val="29"/>
    <w:qFormat/>
    <w:uiPriority w:val="0"/>
  </w:style>
  <w:style w:type="character" w:customStyle="1" w:styleId="135">
    <w:name w:val="temp"/>
    <w:basedOn w:val="29"/>
    <w:qFormat/>
    <w:uiPriority w:val="0"/>
  </w:style>
  <w:style w:type="character" w:customStyle="1" w:styleId="136">
    <w:name w:val="ant-badge-status-dot2"/>
    <w:qFormat/>
    <w:uiPriority w:val="0"/>
    <w:rPr>
      <w:shd w:val="clear" w:color="auto" w:fill="FFFFFF"/>
    </w:rPr>
  </w:style>
  <w:style w:type="character" w:customStyle="1" w:styleId="137">
    <w:name w:val="all-fit-info"/>
    <w:qFormat/>
    <w:uiPriority w:val="0"/>
    <w:rPr>
      <w:color w:val="939393"/>
    </w:rPr>
  </w:style>
  <w:style w:type="character" w:customStyle="1" w:styleId="138">
    <w:name w:val="all-fit-info1"/>
    <w:qFormat/>
    <w:uiPriority w:val="0"/>
    <w:rPr>
      <w:color w:val="939393"/>
    </w:rPr>
  </w:style>
  <w:style w:type="character" w:customStyle="1" w:styleId="139">
    <w:name w:val="all-fit-info2"/>
    <w:qFormat/>
    <w:uiPriority w:val="0"/>
    <w:rPr>
      <w:color w:val="939393"/>
    </w:rPr>
  </w:style>
  <w:style w:type="character" w:customStyle="1" w:styleId="140">
    <w:name w:val="label2"/>
    <w:basedOn w:val="29"/>
    <w:qFormat/>
    <w:uiPriority w:val="0"/>
  </w:style>
  <w:style w:type="character" w:customStyle="1" w:styleId="141">
    <w:name w:val="content10"/>
    <w:basedOn w:val="29"/>
    <w:qFormat/>
    <w:uiPriority w:val="0"/>
  </w:style>
  <w:style w:type="character" w:customStyle="1" w:styleId="142">
    <w:name w:val="tag-type"/>
    <w:qFormat/>
    <w:uiPriority w:val="0"/>
    <w:rPr>
      <w:color w:val="FFFFFF"/>
      <w:sz w:val="18"/>
      <w:szCs w:val="18"/>
      <w:shd w:val="clear" w:color="auto" w:fill="317FFD"/>
    </w:rPr>
  </w:style>
  <w:style w:type="character" w:customStyle="1" w:styleId="143">
    <w:name w:val="tag-type1"/>
    <w:qFormat/>
    <w:uiPriority w:val="0"/>
    <w:rPr>
      <w:color w:val="FFFFFF"/>
      <w:sz w:val="18"/>
      <w:szCs w:val="18"/>
      <w:shd w:val="clear" w:color="auto" w:fill="317FFD"/>
    </w:rPr>
  </w:style>
  <w:style w:type="character" w:customStyle="1" w:styleId="144">
    <w:name w:val="hover10"/>
    <w:qFormat/>
    <w:uiPriority w:val="0"/>
    <w:rPr>
      <w:color w:val="3177FD"/>
    </w:rPr>
  </w:style>
  <w:style w:type="character" w:customStyle="1" w:styleId="145">
    <w:name w:val="ant-form-item-children1"/>
    <w:basedOn w:val="29"/>
    <w:qFormat/>
    <w:uiPriority w:val="0"/>
  </w:style>
  <w:style w:type="character" w:customStyle="1" w:styleId="146">
    <w:name w:val="ant-tree-checkbox"/>
    <w:basedOn w:val="29"/>
    <w:qFormat/>
    <w:uiPriority w:val="0"/>
  </w:style>
  <w:style w:type="character" w:customStyle="1" w:styleId="147">
    <w:name w:val="last-child4"/>
    <w:basedOn w:val="29"/>
    <w:qFormat/>
    <w:uiPriority w:val="0"/>
  </w:style>
  <w:style w:type="character" w:customStyle="1" w:styleId="148">
    <w:name w:val="last-child5"/>
    <w:basedOn w:val="29"/>
    <w:qFormat/>
    <w:uiPriority w:val="0"/>
  </w:style>
  <w:style w:type="character" w:customStyle="1" w:styleId="149">
    <w:name w:val="temp1"/>
    <w:basedOn w:val="29"/>
    <w:qFormat/>
    <w:uiPriority w:val="0"/>
  </w:style>
  <w:style w:type="character" w:customStyle="1" w:styleId="150">
    <w:name w:val="temp2"/>
    <w:basedOn w:val="29"/>
    <w:qFormat/>
    <w:uiPriority w:val="0"/>
  </w:style>
  <w:style w:type="character" w:customStyle="1" w:styleId="151">
    <w:name w:val="ant-select-tree-checkbox2"/>
    <w:basedOn w:val="29"/>
    <w:qFormat/>
    <w:uiPriority w:val="0"/>
  </w:style>
  <w:style w:type="character" w:customStyle="1" w:styleId="152">
    <w:name w:val="last-child2"/>
    <w:basedOn w:val="29"/>
    <w:qFormat/>
    <w:uiPriority w:val="0"/>
  </w:style>
  <w:style w:type="character" w:customStyle="1" w:styleId="153">
    <w:name w:val="last-child3"/>
    <w:basedOn w:val="29"/>
    <w:qFormat/>
    <w:uiPriority w:val="0"/>
  </w:style>
  <w:style w:type="character" w:customStyle="1" w:styleId="154">
    <w:name w:val="label"/>
    <w:basedOn w:val="29"/>
    <w:qFormat/>
    <w:uiPriority w:val="0"/>
  </w:style>
  <w:style w:type="character" w:customStyle="1" w:styleId="155">
    <w:name w:val="temp6"/>
    <w:basedOn w:val="29"/>
    <w:qFormat/>
    <w:uiPriority w:val="0"/>
  </w:style>
  <w:style w:type="character" w:customStyle="1" w:styleId="156">
    <w:name w:val="temp7"/>
    <w:basedOn w:val="29"/>
    <w:qFormat/>
    <w:uiPriority w:val="0"/>
  </w:style>
  <w:style w:type="character" w:customStyle="1" w:styleId="157">
    <w:name w:val="temp8"/>
    <w:basedOn w:val="29"/>
    <w:qFormat/>
    <w:uiPriority w:val="0"/>
  </w:style>
  <w:style w:type="character" w:customStyle="1" w:styleId="158">
    <w:name w:val="content"/>
    <w:basedOn w:val="29"/>
    <w:qFormat/>
    <w:uiPriority w:val="0"/>
  </w:style>
  <w:style w:type="character" w:customStyle="1" w:styleId="159">
    <w:name w:val="last-child"/>
    <w:basedOn w:val="29"/>
    <w:qFormat/>
    <w:uiPriority w:val="0"/>
  </w:style>
  <w:style w:type="character" w:customStyle="1" w:styleId="160">
    <w:name w:val="last-child1"/>
    <w:basedOn w:val="29"/>
    <w:qFormat/>
    <w:uiPriority w:val="0"/>
  </w:style>
  <w:style w:type="character" w:customStyle="1" w:styleId="161">
    <w:name w:val="first-child"/>
    <w:basedOn w:val="29"/>
    <w:qFormat/>
    <w:uiPriority w:val="0"/>
  </w:style>
  <w:style w:type="character" w:customStyle="1" w:styleId="162">
    <w:name w:val="first-child4"/>
    <w:basedOn w:val="29"/>
    <w:qFormat/>
    <w:uiPriority w:val="0"/>
  </w:style>
  <w:style w:type="character" w:customStyle="1" w:styleId="163">
    <w:name w:val="hover11"/>
    <w:qFormat/>
    <w:uiPriority w:val="0"/>
    <w:rPr>
      <w:color w:val="3177FD"/>
    </w:rPr>
  </w:style>
  <w:style w:type="character" w:customStyle="1" w:styleId="164">
    <w:name w:val="font41"/>
    <w:basedOn w:val="29"/>
    <w:qFormat/>
    <w:uiPriority w:val="0"/>
    <w:rPr>
      <w:rFonts w:hint="eastAsia" w:ascii="宋体" w:hAnsi="宋体" w:eastAsia="宋体" w:cs="宋体"/>
      <w:color w:val="000000"/>
      <w:sz w:val="21"/>
      <w:szCs w:val="21"/>
      <w:u w:val="none"/>
    </w:rPr>
  </w:style>
  <w:style w:type="character" w:customStyle="1" w:styleId="165">
    <w:name w:val="font21"/>
    <w:basedOn w:val="29"/>
    <w:qFormat/>
    <w:uiPriority w:val="0"/>
    <w:rPr>
      <w:rFonts w:hint="eastAsia" w:ascii="宋体" w:hAnsi="宋体" w:eastAsia="宋体" w:cs="宋体"/>
      <w:color w:val="000000"/>
      <w:sz w:val="21"/>
      <w:szCs w:val="21"/>
      <w:u w:val="none"/>
      <w:vertAlign w:val="subscript"/>
    </w:rPr>
  </w:style>
  <w:style w:type="character" w:customStyle="1" w:styleId="166">
    <w:name w:val="font11"/>
    <w:basedOn w:val="29"/>
    <w:qFormat/>
    <w:uiPriority w:val="0"/>
    <w:rPr>
      <w:rFonts w:hint="eastAsia" w:ascii="宋体" w:hAnsi="宋体" w:eastAsia="宋体" w:cs="宋体"/>
      <w:color w:val="000000"/>
      <w:sz w:val="21"/>
      <w:szCs w:val="21"/>
      <w:u w:val="none"/>
      <w:vertAlign w:val="superscript"/>
    </w:rPr>
  </w:style>
  <w:style w:type="character" w:customStyle="1" w:styleId="167">
    <w:name w:val="font31"/>
    <w:basedOn w:val="29"/>
    <w:qFormat/>
    <w:uiPriority w:val="0"/>
    <w:rPr>
      <w:rFonts w:hint="eastAsia" w:ascii="宋体" w:hAnsi="宋体" w:eastAsia="宋体" w:cs="宋体"/>
      <w:color w:val="000000"/>
      <w:sz w:val="21"/>
      <w:szCs w:val="21"/>
      <w:u w:val="none"/>
    </w:rPr>
  </w:style>
  <w:style w:type="character" w:customStyle="1" w:styleId="168">
    <w:name w:val="font61"/>
    <w:basedOn w:val="29"/>
    <w:qFormat/>
    <w:uiPriority w:val="0"/>
    <w:rPr>
      <w:rFonts w:ascii="Arial" w:hAnsi="Arial" w:cs="Arial"/>
      <w:color w:val="000000"/>
      <w:sz w:val="21"/>
      <w:szCs w:val="21"/>
      <w:u w:val="none"/>
    </w:rPr>
  </w:style>
  <w:style w:type="character" w:customStyle="1" w:styleId="169">
    <w:name w:val="font51"/>
    <w:basedOn w:val="29"/>
    <w:qFormat/>
    <w:uiPriority w:val="0"/>
    <w:rPr>
      <w:rFonts w:hint="eastAsia" w:ascii="宋体" w:hAnsi="宋体" w:eastAsia="宋体" w:cs="宋体"/>
      <w:color w:val="000000"/>
      <w:sz w:val="21"/>
      <w:szCs w:val="21"/>
      <w:u w:val="none"/>
      <w:vertAlign w:val="subscript"/>
    </w:rPr>
  </w:style>
  <w:style w:type="character" w:customStyle="1" w:styleId="170">
    <w:name w:val="正文首行缩进 2 Char"/>
    <w:basedOn w:val="48"/>
    <w:link w:val="25"/>
    <w:semiHidden/>
    <w:qFormat/>
    <w:uiPriority w:val="0"/>
    <w:rPr>
      <w:kern w:val="2"/>
      <w:sz w:val="21"/>
      <w:szCs w:val="21"/>
    </w:rPr>
  </w:style>
  <w:style w:type="paragraph" w:customStyle="1" w:styleId="171">
    <w:name w:val="表格文字"/>
    <w:basedOn w:val="1"/>
    <w:next w:val="12"/>
    <w:qFormat/>
    <w:uiPriority w:val="0"/>
    <w:pPr>
      <w:jc w:val="left"/>
    </w:pPr>
    <w:rPr>
      <w:kern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32436</Words>
  <Characters>34188</Characters>
  <Lines>250</Lines>
  <Paragraphs>70</Paragraphs>
  <TotalTime>7</TotalTime>
  <ScaleCrop>false</ScaleCrop>
  <LinksUpToDate>false</LinksUpToDate>
  <CharactersWithSpaces>35720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2019-09-20T02:36:00Z</dcterms:created>
  <dc:creator>胖丁</dc:creator>
  <cp:lastModifiedBy>admin</cp:lastModifiedBy>
  <cp:lastPrinted>2022-07-07T01:04:00Z</cp:lastPrinted>
  <dcterms:modified xsi:type="dcterms:W3CDTF">2022-07-15T06:59:36Z</dcterms:modified>
  <dc:title>xbany</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5F4F8E2C66811E9F7C57C262F1F00BCA</vt:lpwstr>
  </property>
</Properties>
</file>