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5"/>
        <w:jc w:val="center"/>
        <w:rPr>
          <w:rFonts w:hint="eastAsia"/>
          <w:color w:val="auto"/>
          <w:sz w:val="36"/>
          <w:szCs w:val="36"/>
          <w:highlight w:val="none"/>
          <w:lang w:eastAsia="zh-CN"/>
        </w:rPr>
      </w:pPr>
    </w:p>
    <w:p>
      <w:pPr>
        <w:pStyle w:val="35"/>
        <w:jc w:val="center"/>
        <w:rPr>
          <w:rFonts w:hint="eastAsia"/>
          <w:color w:val="auto"/>
          <w:sz w:val="44"/>
          <w:szCs w:val="44"/>
          <w:highlight w:val="none"/>
          <w:lang w:eastAsia="zh-CN"/>
        </w:rPr>
      </w:pPr>
      <w:r>
        <w:rPr>
          <w:rFonts w:ascii="宋体" w:hAnsi="宋体" w:eastAsia="宋体" w:cs="宋体"/>
          <w:color w:val="auto"/>
          <w:sz w:val="44"/>
          <w:szCs w:val="44"/>
          <w:highlight w:val="none"/>
        </w:rPr>
        <w:t>2023年舟山绿色石化基地围填海工程营运期海域、海岛生态环境跟踪监测</w:t>
      </w:r>
    </w:p>
    <w:p>
      <w:pPr>
        <w:pStyle w:val="35"/>
        <w:jc w:val="center"/>
        <w:rPr>
          <w:rFonts w:hint="eastAsia"/>
          <w:color w:val="auto"/>
          <w:sz w:val="36"/>
          <w:szCs w:val="36"/>
          <w:highlight w:val="none"/>
          <w:lang w:eastAsia="zh-CN"/>
        </w:rPr>
      </w:pPr>
    </w:p>
    <w:p>
      <w:pPr>
        <w:pStyle w:val="35"/>
        <w:jc w:val="center"/>
        <w:rPr>
          <w:rFonts w:hint="eastAsia"/>
          <w:color w:val="auto"/>
          <w:sz w:val="36"/>
          <w:szCs w:val="36"/>
          <w:highlight w:val="none"/>
          <w:lang w:eastAsia="zh-CN"/>
        </w:rPr>
      </w:pPr>
    </w:p>
    <w:p>
      <w:pPr>
        <w:pStyle w:val="35"/>
        <w:jc w:val="center"/>
        <w:rPr>
          <w:rFonts w:hint="eastAsia"/>
          <w:color w:val="auto"/>
          <w:sz w:val="36"/>
          <w:szCs w:val="36"/>
          <w:highlight w:val="none"/>
          <w:lang w:eastAsia="zh-CN"/>
        </w:rPr>
      </w:pPr>
    </w:p>
    <w:p>
      <w:pPr>
        <w:pStyle w:val="35"/>
        <w:jc w:val="center"/>
        <w:rPr>
          <w:rFonts w:hint="eastAsia"/>
          <w:color w:val="auto"/>
          <w:sz w:val="36"/>
          <w:szCs w:val="36"/>
          <w:highlight w:val="none"/>
          <w:lang w:eastAsia="zh-CN"/>
        </w:rPr>
      </w:pPr>
    </w:p>
    <w:p>
      <w:pPr>
        <w:pStyle w:val="35"/>
        <w:jc w:val="center"/>
        <w:rPr>
          <w:color w:val="auto"/>
          <w:sz w:val="72"/>
          <w:szCs w:val="72"/>
          <w:highlight w:val="none"/>
        </w:rPr>
      </w:pPr>
      <w:r>
        <w:rPr>
          <w:rFonts w:hint="eastAsia"/>
          <w:color w:val="auto"/>
          <w:sz w:val="72"/>
          <w:szCs w:val="72"/>
          <w:highlight w:val="none"/>
          <w:lang w:eastAsia="zh-CN"/>
        </w:rPr>
        <w:t>公开招标采购</w:t>
      </w:r>
      <w:r>
        <w:rPr>
          <w:rFonts w:hint="eastAsia"/>
          <w:color w:val="auto"/>
          <w:sz w:val="72"/>
          <w:szCs w:val="72"/>
          <w:highlight w:val="none"/>
        </w:rPr>
        <w:t>文件</w:t>
      </w:r>
    </w:p>
    <w:p>
      <w:pPr>
        <w:pStyle w:val="35"/>
        <w:jc w:val="center"/>
        <w:rPr>
          <w:color w:val="auto"/>
          <w:highlight w:val="none"/>
        </w:rPr>
      </w:pPr>
    </w:p>
    <w:p>
      <w:pPr>
        <w:pStyle w:val="35"/>
        <w:jc w:val="center"/>
        <w:rPr>
          <w:color w:val="auto"/>
          <w:highlight w:val="none"/>
        </w:rPr>
      </w:pPr>
    </w:p>
    <w:p>
      <w:pPr>
        <w:pStyle w:val="35"/>
        <w:jc w:val="center"/>
        <w:rPr>
          <w:color w:val="auto"/>
          <w:highlight w:val="none"/>
        </w:rPr>
      </w:pPr>
    </w:p>
    <w:p>
      <w:pPr>
        <w:pStyle w:val="35"/>
        <w:jc w:val="center"/>
        <w:rPr>
          <w:color w:val="auto"/>
          <w:highlight w:val="none"/>
        </w:rPr>
      </w:pPr>
    </w:p>
    <w:p>
      <w:pPr>
        <w:pStyle w:val="35"/>
        <w:jc w:val="center"/>
        <w:rPr>
          <w:color w:val="auto"/>
          <w:highlight w:val="none"/>
        </w:rPr>
      </w:pPr>
    </w:p>
    <w:p>
      <w:pPr>
        <w:pStyle w:val="35"/>
        <w:jc w:val="center"/>
        <w:rPr>
          <w:color w:val="auto"/>
          <w:highlight w:val="none"/>
        </w:rPr>
      </w:pPr>
    </w:p>
    <w:p>
      <w:pPr>
        <w:pStyle w:val="107"/>
        <w:keepNext w:val="0"/>
        <w:keepLines w:val="0"/>
        <w:pageBreakBefore w:val="0"/>
        <w:widowControl w:val="0"/>
        <w:kinsoku/>
        <w:topLinePunct w:val="0"/>
        <w:bidi w:val="0"/>
        <w:snapToGrid/>
        <w:spacing w:after="480" w:line="240" w:lineRule="auto"/>
        <w:ind w:left="0" w:leftChars="0" w:firstLine="422" w:firstLineChars="150"/>
        <w:rPr>
          <w:rFonts w:hint="default" w:ascii="宋体" w:hAnsi="宋体" w:cs="宋体"/>
          <w:b/>
          <w:bCs/>
          <w:color w:val="auto"/>
          <w:sz w:val="28"/>
          <w:szCs w:val="28"/>
          <w:highlight w:val="none"/>
          <w:u w:val="single"/>
          <w:lang w:val="en-US" w:eastAsia="zh-CN"/>
        </w:rPr>
      </w:pPr>
      <w:r>
        <w:rPr>
          <w:rFonts w:hint="eastAsia" w:ascii="宋体" w:hAnsi="宋体" w:cs="宋体"/>
          <w:b/>
          <w:bCs/>
          <w:color w:val="auto"/>
          <w:sz w:val="28"/>
          <w:szCs w:val="28"/>
          <w:highlight w:val="none"/>
          <w:lang w:val="en-US" w:eastAsia="zh-CN"/>
        </w:rPr>
        <w:t>项目编号：ZJWSD-ZD(C)</w:t>
      </w:r>
      <w:r>
        <w:rPr>
          <w:rFonts w:hint="eastAsia" w:hAnsi="宋体" w:cs="宋体"/>
          <w:b/>
          <w:bCs/>
          <w:color w:val="auto"/>
          <w:sz w:val="28"/>
          <w:szCs w:val="28"/>
          <w:highlight w:val="none"/>
          <w:lang w:val="en-US" w:eastAsia="zh-CN"/>
        </w:rPr>
        <w:t>23010</w:t>
      </w:r>
    </w:p>
    <w:p>
      <w:pPr>
        <w:pStyle w:val="107"/>
        <w:keepNext w:val="0"/>
        <w:keepLines w:val="0"/>
        <w:pageBreakBefore w:val="0"/>
        <w:widowControl w:val="0"/>
        <w:kinsoku/>
        <w:wordWrap w:val="0"/>
        <w:overflowPunct w:val="0"/>
        <w:topLinePunct w:val="0"/>
        <w:autoSpaceDE w:val="0"/>
        <w:autoSpaceDN w:val="0"/>
        <w:bidi w:val="0"/>
        <w:adjustRightInd w:val="0"/>
        <w:snapToGrid/>
        <w:spacing w:after="480" w:line="240" w:lineRule="auto"/>
        <w:ind w:left="1823" w:leftChars="199" w:hanging="1405" w:hangingChars="500"/>
        <w:textAlignment w:val="baseline"/>
        <w:rPr>
          <w:rFonts w:hint="eastAsia" w:hAnsi="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项目名称：</w:t>
      </w:r>
      <w:r>
        <w:rPr>
          <w:rFonts w:hint="eastAsia" w:hAnsi="宋体" w:cs="宋体"/>
          <w:b/>
          <w:bCs/>
          <w:color w:val="auto"/>
          <w:sz w:val="28"/>
          <w:szCs w:val="28"/>
          <w:highlight w:val="none"/>
          <w:lang w:val="en-US" w:eastAsia="zh-CN"/>
        </w:rPr>
        <w:t>2023年舟山绿色石化基地围填海工程营运期海域、海岛生态环境跟踪监测</w:t>
      </w:r>
    </w:p>
    <w:p>
      <w:pPr>
        <w:pStyle w:val="107"/>
        <w:keepNext w:val="0"/>
        <w:keepLines w:val="0"/>
        <w:pageBreakBefore w:val="0"/>
        <w:widowControl w:val="0"/>
        <w:kinsoku/>
        <w:topLinePunct w:val="0"/>
        <w:bidi w:val="0"/>
        <w:snapToGrid/>
        <w:spacing w:after="480" w:line="240" w:lineRule="auto"/>
        <w:ind w:left="0" w:leftChars="0" w:firstLine="422" w:firstLineChars="150"/>
        <w:rPr>
          <w:rFonts w:hint="eastAsia" w:ascii="宋体" w:hAnsi="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采 购 人：</w:t>
      </w:r>
      <w:r>
        <w:rPr>
          <w:rFonts w:hint="eastAsia" w:hAnsi="宋体" w:cs="宋体"/>
          <w:b/>
          <w:bCs/>
          <w:color w:val="auto"/>
          <w:sz w:val="28"/>
          <w:szCs w:val="28"/>
          <w:highlight w:val="none"/>
          <w:lang w:val="en-US" w:eastAsia="zh-CN"/>
        </w:rPr>
        <w:t>舟山绿色石化基地管委会（盖章）</w:t>
      </w:r>
    </w:p>
    <w:p>
      <w:pPr>
        <w:keepNext w:val="0"/>
        <w:keepLines w:val="0"/>
        <w:pageBreakBefore w:val="0"/>
        <w:widowControl w:val="0"/>
        <w:kinsoku/>
        <w:topLinePunct w:val="0"/>
        <w:bidi w:val="0"/>
        <w:snapToGrid/>
        <w:spacing w:after="480" w:line="240" w:lineRule="auto"/>
        <w:ind w:left="0" w:leftChars="0" w:firstLine="422" w:firstLineChars="150"/>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代理机构：浙江万事达建设工程管理有限公司</w:t>
      </w:r>
      <w:r>
        <w:rPr>
          <w:rFonts w:hint="eastAsia" w:hAnsi="宋体" w:cs="宋体"/>
          <w:b/>
          <w:bCs/>
          <w:color w:val="auto"/>
          <w:sz w:val="28"/>
          <w:szCs w:val="28"/>
          <w:highlight w:val="none"/>
          <w:lang w:val="en-US" w:eastAsia="zh-CN"/>
        </w:rPr>
        <w:t>（盖章）</w:t>
      </w:r>
    </w:p>
    <w:p>
      <w:pPr>
        <w:pStyle w:val="14"/>
        <w:keepNext w:val="0"/>
        <w:keepLines w:val="0"/>
        <w:pageBreakBefore w:val="0"/>
        <w:widowControl w:val="0"/>
        <w:kinsoku/>
        <w:topLinePunct w:val="0"/>
        <w:bidi w:val="0"/>
        <w:snapToGrid/>
        <w:spacing w:before="120" w:after="480" w:line="240" w:lineRule="auto"/>
        <w:ind w:left="0" w:leftChars="0" w:firstLine="422" w:firstLineChars="150"/>
        <w:rPr>
          <w:rFonts w:hint="eastAsia" w:hAnsi="宋体" w:eastAsia="宋体" w:cs="宋体"/>
          <w:b/>
          <w:bCs/>
          <w:color w:val="auto"/>
          <w:sz w:val="24"/>
          <w:szCs w:val="24"/>
          <w:highlight w:val="none"/>
        </w:rPr>
      </w:pPr>
      <w:r>
        <w:rPr>
          <w:rFonts w:hint="eastAsia" w:hAnsi="宋体" w:eastAsia="宋体" w:cs="宋体"/>
          <w:b/>
          <w:bCs/>
          <w:color w:val="auto"/>
          <w:sz w:val="28"/>
          <w:szCs w:val="28"/>
          <w:highlight w:val="none"/>
        </w:rPr>
        <w:t>日    期：二〇二</w:t>
      </w:r>
      <w:r>
        <w:rPr>
          <w:rFonts w:hint="eastAsia" w:hAnsi="宋体" w:eastAsia="宋体" w:cs="宋体"/>
          <w:b/>
          <w:bCs/>
          <w:color w:val="auto"/>
          <w:sz w:val="28"/>
          <w:szCs w:val="28"/>
          <w:highlight w:val="none"/>
          <w:lang w:eastAsia="zh-CN"/>
        </w:rPr>
        <w:t>三</w:t>
      </w:r>
      <w:r>
        <w:rPr>
          <w:rFonts w:hint="eastAsia" w:hAnsi="宋体" w:eastAsia="宋体" w:cs="宋体"/>
          <w:b/>
          <w:bCs/>
          <w:color w:val="auto"/>
          <w:sz w:val="28"/>
          <w:szCs w:val="28"/>
          <w:highlight w:val="none"/>
        </w:rPr>
        <w:t>年</w:t>
      </w:r>
      <w:r>
        <w:rPr>
          <w:rFonts w:hint="eastAsia" w:hAnsi="宋体" w:eastAsia="宋体" w:cs="宋体"/>
          <w:b/>
          <w:bCs/>
          <w:color w:val="auto"/>
          <w:sz w:val="28"/>
          <w:szCs w:val="28"/>
          <w:highlight w:val="none"/>
          <w:lang w:eastAsia="zh-CN"/>
        </w:rPr>
        <w:t>四</w:t>
      </w:r>
      <w:r>
        <w:rPr>
          <w:rFonts w:hint="eastAsia" w:hAnsi="宋体" w:eastAsia="宋体" w:cs="宋体"/>
          <w:b/>
          <w:bCs/>
          <w:color w:val="auto"/>
          <w:sz w:val="28"/>
          <w:szCs w:val="28"/>
          <w:highlight w:val="none"/>
        </w:rPr>
        <w:t>月</w:t>
      </w:r>
    </w:p>
    <w:p>
      <w:pPr>
        <w:pStyle w:val="35"/>
        <w:jc w:val="center"/>
        <w:rPr>
          <w:rFonts w:hAnsi="宋体"/>
          <w:b w:val="0"/>
          <w:color w:val="auto"/>
          <w:sz w:val="32"/>
          <w:szCs w:val="32"/>
          <w:highlight w:val="none"/>
        </w:rPr>
      </w:pPr>
    </w:p>
    <w:p>
      <w:pPr>
        <w:pStyle w:val="35"/>
        <w:jc w:val="center"/>
        <w:rPr>
          <w:rFonts w:hint="eastAsia"/>
          <w:b w:val="0"/>
          <w:bCs/>
          <w:color w:val="auto"/>
          <w:sz w:val="40"/>
          <w:szCs w:val="18"/>
          <w:highlight w:val="none"/>
        </w:rPr>
        <w:sectPr>
          <w:footerReference r:id="rId5" w:type="first"/>
          <w:pgSz w:w="11907" w:h="16840"/>
          <w:pgMar w:top="1440" w:right="1440" w:bottom="1440" w:left="1440" w:header="851" w:footer="567" w:gutter="0"/>
          <w:pgNumType w:fmt="decimal"/>
          <w:cols w:space="720" w:num="1"/>
        </w:sectPr>
      </w:pPr>
    </w:p>
    <w:p>
      <w:pPr>
        <w:pStyle w:val="35"/>
        <w:jc w:val="center"/>
        <w:rPr>
          <w:rFonts w:hint="eastAsia"/>
          <w:b w:val="0"/>
          <w:bCs/>
          <w:color w:val="auto"/>
          <w:sz w:val="40"/>
          <w:szCs w:val="18"/>
          <w:highlight w:val="none"/>
        </w:rPr>
      </w:pPr>
    </w:p>
    <w:p>
      <w:pPr>
        <w:pStyle w:val="35"/>
        <w:jc w:val="center"/>
        <w:rPr>
          <w:b w:val="0"/>
          <w:bCs/>
          <w:color w:val="auto"/>
          <w:sz w:val="40"/>
          <w:szCs w:val="18"/>
          <w:highlight w:val="none"/>
        </w:rPr>
      </w:pPr>
      <w:r>
        <w:rPr>
          <w:rFonts w:hint="eastAsia"/>
          <w:b w:val="0"/>
          <w:bCs/>
          <w:color w:val="auto"/>
          <w:sz w:val="40"/>
          <w:szCs w:val="18"/>
          <w:highlight w:val="none"/>
        </w:rPr>
        <w:t>目 录</w:t>
      </w:r>
    </w:p>
    <w:p>
      <w:pPr>
        <w:pStyle w:val="35"/>
        <w:jc w:val="center"/>
        <w:rPr>
          <w:b w:val="0"/>
          <w:bCs/>
          <w:color w:val="auto"/>
          <w:sz w:val="40"/>
          <w:szCs w:val="18"/>
          <w:highlight w:val="none"/>
        </w:rPr>
      </w:pPr>
    </w:p>
    <w:p>
      <w:pPr>
        <w:pStyle w:val="19"/>
        <w:tabs>
          <w:tab w:val="right" w:leader="dot" w:pos="9040"/>
          <w:tab w:val="clear" w:pos="8296"/>
        </w:tabs>
        <w:ind w:right="2" w:rightChars="0"/>
        <w:rPr>
          <w:rFonts w:asciiTheme="minorHAnsi" w:hAnsiTheme="minorHAnsi" w:eastAsiaTheme="minorEastAsia" w:cstheme="minorBidi"/>
          <w:color w:val="auto"/>
          <w:sz w:val="21"/>
          <w:highlight w:val="none"/>
        </w:rPr>
      </w:pPr>
      <w:r>
        <w:rPr>
          <w:color w:val="auto"/>
          <w:highlight w:val="none"/>
        </w:rPr>
        <w:fldChar w:fldCharType="begin"/>
      </w:r>
      <w:r>
        <w:rPr>
          <w:color w:val="auto"/>
          <w:highlight w:val="none"/>
        </w:rPr>
        <w:instrText xml:space="preserve"> TOC \o "1-1" \u </w:instrText>
      </w:r>
      <w:r>
        <w:rPr>
          <w:color w:val="auto"/>
          <w:highlight w:val="none"/>
        </w:rPr>
        <w:fldChar w:fldCharType="separate"/>
      </w:r>
      <w:r>
        <w:rPr>
          <w:color w:val="auto"/>
          <w:highlight w:val="none"/>
        </w:rPr>
        <w:t>第一章</w:t>
      </w:r>
      <w:r>
        <w:rPr>
          <w:rFonts w:asciiTheme="minorHAnsi" w:hAnsiTheme="minorHAnsi" w:eastAsiaTheme="minorEastAsia" w:cstheme="minorBidi"/>
          <w:color w:val="auto"/>
          <w:sz w:val="21"/>
          <w:highlight w:val="none"/>
        </w:rPr>
        <w:tab/>
      </w:r>
      <w:r>
        <w:rPr>
          <w:color w:val="auto"/>
          <w:highlight w:val="none"/>
        </w:rPr>
        <w:t>招标公告</w:t>
      </w:r>
      <w:r>
        <w:rPr>
          <w:color w:val="auto"/>
          <w:highlight w:val="none"/>
        </w:rPr>
        <w:tab/>
      </w:r>
      <w:r>
        <w:rPr>
          <w:color w:val="auto"/>
          <w:highlight w:val="none"/>
        </w:rPr>
        <w:fldChar w:fldCharType="begin"/>
      </w:r>
      <w:r>
        <w:rPr>
          <w:color w:val="auto"/>
          <w:highlight w:val="none"/>
        </w:rPr>
        <w:instrText xml:space="preserve"> PAGEREF _Toc72432383 \h </w:instrText>
      </w:r>
      <w:r>
        <w:rPr>
          <w:color w:val="auto"/>
          <w:highlight w:val="none"/>
        </w:rPr>
        <w:fldChar w:fldCharType="separate"/>
      </w:r>
      <w:r>
        <w:rPr>
          <w:color w:val="auto"/>
          <w:highlight w:val="none"/>
        </w:rPr>
        <w:t>2</w:t>
      </w:r>
      <w:r>
        <w:rPr>
          <w:color w:val="auto"/>
          <w:highlight w:val="none"/>
        </w:rPr>
        <w:fldChar w:fldCharType="end"/>
      </w:r>
    </w:p>
    <w:p>
      <w:pPr>
        <w:pStyle w:val="19"/>
        <w:tabs>
          <w:tab w:val="right" w:leader="dot" w:pos="9040"/>
          <w:tab w:val="clear" w:pos="8296"/>
        </w:tabs>
        <w:ind w:right="2" w:rightChars="0"/>
        <w:rPr>
          <w:rFonts w:asciiTheme="minorHAnsi" w:hAnsiTheme="minorHAnsi" w:eastAsiaTheme="minorEastAsia" w:cstheme="minorBidi"/>
          <w:color w:val="auto"/>
          <w:sz w:val="21"/>
          <w:highlight w:val="none"/>
        </w:rPr>
      </w:pPr>
      <w:r>
        <w:rPr>
          <w:color w:val="auto"/>
          <w:highlight w:val="none"/>
        </w:rPr>
        <w:t>第二章</w:t>
      </w:r>
      <w:r>
        <w:rPr>
          <w:rFonts w:asciiTheme="minorHAnsi" w:hAnsiTheme="minorHAnsi" w:eastAsiaTheme="minorEastAsia" w:cstheme="minorBidi"/>
          <w:color w:val="auto"/>
          <w:sz w:val="21"/>
          <w:highlight w:val="none"/>
        </w:rPr>
        <w:tab/>
      </w:r>
      <w:r>
        <w:rPr>
          <w:color w:val="auto"/>
          <w:highlight w:val="none"/>
        </w:rPr>
        <w:t>采购需求</w:t>
      </w:r>
      <w:r>
        <w:rPr>
          <w:color w:val="auto"/>
          <w:highlight w:val="none"/>
        </w:rPr>
        <w:tab/>
      </w:r>
      <w:r>
        <w:rPr>
          <w:color w:val="auto"/>
          <w:highlight w:val="none"/>
        </w:rPr>
        <w:fldChar w:fldCharType="begin"/>
      </w:r>
      <w:r>
        <w:rPr>
          <w:color w:val="auto"/>
          <w:highlight w:val="none"/>
        </w:rPr>
        <w:instrText xml:space="preserve"> PAGEREF _Toc72432384 \h </w:instrText>
      </w:r>
      <w:r>
        <w:rPr>
          <w:color w:val="auto"/>
          <w:highlight w:val="none"/>
        </w:rPr>
        <w:fldChar w:fldCharType="separate"/>
      </w:r>
      <w:r>
        <w:rPr>
          <w:color w:val="auto"/>
          <w:highlight w:val="none"/>
        </w:rPr>
        <w:t>6</w:t>
      </w:r>
      <w:r>
        <w:rPr>
          <w:color w:val="auto"/>
          <w:highlight w:val="none"/>
        </w:rPr>
        <w:fldChar w:fldCharType="end"/>
      </w:r>
    </w:p>
    <w:p>
      <w:pPr>
        <w:pStyle w:val="19"/>
        <w:tabs>
          <w:tab w:val="right" w:leader="dot" w:pos="9040"/>
          <w:tab w:val="clear" w:pos="8296"/>
        </w:tabs>
        <w:ind w:right="2" w:rightChars="0"/>
        <w:rPr>
          <w:rFonts w:asciiTheme="minorHAnsi" w:hAnsiTheme="minorHAnsi" w:eastAsiaTheme="minorEastAsia" w:cstheme="minorBidi"/>
          <w:color w:val="auto"/>
          <w:sz w:val="21"/>
          <w:highlight w:val="none"/>
        </w:rPr>
      </w:pPr>
      <w:r>
        <w:rPr>
          <w:color w:val="auto"/>
          <w:highlight w:val="none"/>
        </w:rPr>
        <w:t>第三章</w:t>
      </w:r>
      <w:r>
        <w:rPr>
          <w:rFonts w:asciiTheme="minorHAnsi" w:hAnsiTheme="minorHAnsi" w:eastAsiaTheme="minorEastAsia" w:cstheme="minorBidi"/>
          <w:color w:val="auto"/>
          <w:sz w:val="21"/>
          <w:highlight w:val="none"/>
        </w:rPr>
        <w:tab/>
      </w:r>
      <w:r>
        <w:rPr>
          <w:color w:val="auto"/>
          <w:highlight w:val="none"/>
        </w:rPr>
        <w:t>投标人须知</w:t>
      </w:r>
      <w:r>
        <w:rPr>
          <w:color w:val="auto"/>
          <w:highlight w:val="none"/>
        </w:rPr>
        <w:tab/>
      </w:r>
      <w:r>
        <w:rPr>
          <w:color w:val="auto"/>
          <w:highlight w:val="none"/>
        </w:rPr>
        <w:fldChar w:fldCharType="begin"/>
      </w:r>
      <w:r>
        <w:rPr>
          <w:color w:val="auto"/>
          <w:highlight w:val="none"/>
        </w:rPr>
        <w:instrText xml:space="preserve"> PAGEREF _Toc72432385 \h </w:instrText>
      </w:r>
      <w:r>
        <w:rPr>
          <w:color w:val="auto"/>
          <w:highlight w:val="none"/>
        </w:rPr>
        <w:fldChar w:fldCharType="separate"/>
      </w:r>
      <w:r>
        <w:rPr>
          <w:color w:val="auto"/>
          <w:highlight w:val="none"/>
        </w:rPr>
        <w:t>18</w:t>
      </w:r>
      <w:r>
        <w:rPr>
          <w:color w:val="auto"/>
          <w:highlight w:val="none"/>
        </w:rPr>
        <w:fldChar w:fldCharType="end"/>
      </w:r>
    </w:p>
    <w:p>
      <w:pPr>
        <w:pStyle w:val="19"/>
        <w:tabs>
          <w:tab w:val="right" w:leader="dot" w:pos="9040"/>
          <w:tab w:val="clear" w:pos="8296"/>
        </w:tabs>
        <w:ind w:right="2" w:rightChars="0"/>
        <w:rPr>
          <w:rFonts w:asciiTheme="minorHAnsi" w:hAnsiTheme="minorHAnsi" w:eastAsiaTheme="minorEastAsia" w:cstheme="minorBidi"/>
          <w:color w:val="auto"/>
          <w:sz w:val="21"/>
          <w:highlight w:val="none"/>
        </w:rPr>
      </w:pPr>
      <w:r>
        <w:rPr>
          <w:color w:val="auto"/>
          <w:highlight w:val="none"/>
        </w:rPr>
        <w:t>第四章</w:t>
      </w:r>
      <w:r>
        <w:rPr>
          <w:rFonts w:asciiTheme="minorHAnsi" w:hAnsiTheme="minorHAnsi" w:eastAsiaTheme="minorEastAsia" w:cstheme="minorBidi"/>
          <w:color w:val="auto"/>
          <w:sz w:val="21"/>
          <w:highlight w:val="none"/>
        </w:rPr>
        <w:tab/>
      </w:r>
      <w:r>
        <w:rPr>
          <w:color w:val="auto"/>
          <w:highlight w:val="none"/>
        </w:rPr>
        <w:t>评标办法及评分标准</w:t>
      </w:r>
      <w:r>
        <w:rPr>
          <w:color w:val="auto"/>
          <w:highlight w:val="none"/>
        </w:rPr>
        <w:tab/>
      </w:r>
      <w:r>
        <w:rPr>
          <w:color w:val="auto"/>
          <w:highlight w:val="none"/>
        </w:rPr>
        <w:fldChar w:fldCharType="begin"/>
      </w:r>
      <w:r>
        <w:rPr>
          <w:color w:val="auto"/>
          <w:highlight w:val="none"/>
        </w:rPr>
        <w:instrText xml:space="preserve"> PAGEREF _Toc72432386 \h </w:instrText>
      </w:r>
      <w:r>
        <w:rPr>
          <w:color w:val="auto"/>
          <w:highlight w:val="none"/>
        </w:rPr>
        <w:fldChar w:fldCharType="separate"/>
      </w:r>
      <w:r>
        <w:rPr>
          <w:color w:val="auto"/>
          <w:highlight w:val="none"/>
        </w:rPr>
        <w:t>33</w:t>
      </w:r>
      <w:r>
        <w:rPr>
          <w:color w:val="auto"/>
          <w:highlight w:val="none"/>
        </w:rPr>
        <w:fldChar w:fldCharType="end"/>
      </w:r>
    </w:p>
    <w:p>
      <w:pPr>
        <w:pStyle w:val="19"/>
        <w:tabs>
          <w:tab w:val="right" w:leader="dot" w:pos="9040"/>
          <w:tab w:val="clear" w:pos="8296"/>
        </w:tabs>
        <w:ind w:right="2" w:rightChars="0"/>
        <w:rPr>
          <w:rFonts w:asciiTheme="minorHAnsi" w:hAnsiTheme="minorHAnsi" w:eastAsiaTheme="minorEastAsia" w:cstheme="minorBidi"/>
          <w:color w:val="auto"/>
          <w:sz w:val="21"/>
          <w:highlight w:val="none"/>
        </w:rPr>
      </w:pPr>
      <w:r>
        <w:rPr>
          <w:color w:val="auto"/>
          <w:highlight w:val="none"/>
        </w:rPr>
        <w:t>第五章</w:t>
      </w:r>
      <w:r>
        <w:rPr>
          <w:rFonts w:asciiTheme="minorHAnsi" w:hAnsiTheme="minorHAnsi" w:eastAsiaTheme="minorEastAsia" w:cstheme="minorBidi"/>
          <w:color w:val="auto"/>
          <w:sz w:val="21"/>
          <w:highlight w:val="none"/>
        </w:rPr>
        <w:tab/>
      </w:r>
      <w:r>
        <w:rPr>
          <w:color w:val="auto"/>
          <w:highlight w:val="none"/>
        </w:rPr>
        <w:t>合同主要条款</w:t>
      </w:r>
      <w:r>
        <w:rPr>
          <w:color w:val="auto"/>
          <w:highlight w:val="none"/>
        </w:rPr>
        <w:tab/>
      </w:r>
      <w:r>
        <w:rPr>
          <w:color w:val="auto"/>
          <w:highlight w:val="none"/>
        </w:rPr>
        <w:fldChar w:fldCharType="begin"/>
      </w:r>
      <w:r>
        <w:rPr>
          <w:color w:val="auto"/>
          <w:highlight w:val="none"/>
        </w:rPr>
        <w:instrText xml:space="preserve"> PAGEREF _Toc72432387 \h </w:instrText>
      </w:r>
      <w:r>
        <w:rPr>
          <w:color w:val="auto"/>
          <w:highlight w:val="none"/>
        </w:rPr>
        <w:fldChar w:fldCharType="separate"/>
      </w:r>
      <w:r>
        <w:rPr>
          <w:color w:val="auto"/>
          <w:highlight w:val="none"/>
        </w:rPr>
        <w:t>37</w:t>
      </w:r>
      <w:r>
        <w:rPr>
          <w:color w:val="auto"/>
          <w:highlight w:val="none"/>
        </w:rPr>
        <w:fldChar w:fldCharType="end"/>
      </w:r>
    </w:p>
    <w:p>
      <w:pPr>
        <w:pStyle w:val="19"/>
        <w:tabs>
          <w:tab w:val="right" w:leader="dot" w:pos="9040"/>
          <w:tab w:val="clear" w:pos="8296"/>
        </w:tabs>
        <w:ind w:right="2" w:rightChars="0"/>
        <w:rPr>
          <w:rFonts w:asciiTheme="minorHAnsi" w:hAnsiTheme="minorHAnsi" w:eastAsiaTheme="minorEastAsia" w:cstheme="minorBidi"/>
          <w:color w:val="auto"/>
          <w:sz w:val="21"/>
          <w:highlight w:val="none"/>
        </w:rPr>
      </w:pPr>
      <w:r>
        <w:rPr>
          <w:color w:val="auto"/>
          <w:highlight w:val="none"/>
        </w:rPr>
        <w:t>第六章</w:t>
      </w:r>
      <w:r>
        <w:rPr>
          <w:rFonts w:asciiTheme="minorHAnsi" w:hAnsiTheme="minorHAnsi" w:eastAsiaTheme="minorEastAsia" w:cstheme="minorBidi"/>
          <w:color w:val="auto"/>
          <w:sz w:val="21"/>
          <w:highlight w:val="none"/>
        </w:rPr>
        <w:tab/>
      </w:r>
      <w:r>
        <w:rPr>
          <w:color w:val="auto"/>
          <w:highlight w:val="none"/>
        </w:rPr>
        <w:t>投标文件</w:t>
      </w:r>
      <w:r>
        <w:rPr>
          <w:rFonts w:hint="eastAsia"/>
          <w:color w:val="auto"/>
          <w:highlight w:val="none"/>
          <w:lang w:eastAsia="zh-CN"/>
        </w:rPr>
        <w:t>组成及</w:t>
      </w:r>
      <w:r>
        <w:rPr>
          <w:color w:val="auto"/>
          <w:highlight w:val="none"/>
        </w:rPr>
        <w:t>相关格式</w:t>
      </w:r>
      <w:r>
        <w:rPr>
          <w:color w:val="auto"/>
          <w:highlight w:val="none"/>
        </w:rPr>
        <w:tab/>
      </w:r>
      <w:r>
        <w:rPr>
          <w:color w:val="auto"/>
          <w:highlight w:val="none"/>
        </w:rPr>
        <w:fldChar w:fldCharType="begin"/>
      </w:r>
      <w:r>
        <w:rPr>
          <w:color w:val="auto"/>
          <w:highlight w:val="none"/>
        </w:rPr>
        <w:instrText xml:space="preserve"> PAGEREF _Toc72432388 \h </w:instrText>
      </w:r>
      <w:r>
        <w:rPr>
          <w:color w:val="auto"/>
          <w:highlight w:val="none"/>
        </w:rPr>
        <w:fldChar w:fldCharType="separate"/>
      </w:r>
      <w:r>
        <w:rPr>
          <w:color w:val="auto"/>
          <w:highlight w:val="none"/>
        </w:rPr>
        <w:t>42</w:t>
      </w:r>
      <w:r>
        <w:rPr>
          <w:color w:val="auto"/>
          <w:highlight w:val="none"/>
        </w:rPr>
        <w:fldChar w:fldCharType="end"/>
      </w:r>
    </w:p>
    <w:p>
      <w:pPr>
        <w:pStyle w:val="41"/>
        <w:tabs>
          <w:tab w:val="right" w:leader="dot" w:pos="9040"/>
          <w:tab w:val="clear" w:pos="8296"/>
        </w:tabs>
        <w:ind w:right="2" w:rightChars="0"/>
        <w:rPr>
          <w:color w:val="auto"/>
          <w:highlight w:val="none"/>
        </w:rPr>
      </w:pPr>
      <w:r>
        <w:rPr>
          <w:color w:val="auto"/>
          <w:szCs w:val="22"/>
          <w:highlight w:val="none"/>
        </w:rPr>
        <w:fldChar w:fldCharType="end"/>
      </w:r>
    </w:p>
    <w:p>
      <w:pPr>
        <w:widowControl/>
        <w:ind w:firstLine="420"/>
        <w:jc w:val="left"/>
        <w:rPr>
          <w:color w:val="auto"/>
          <w:sz w:val="28"/>
          <w:highlight w:val="none"/>
        </w:rPr>
      </w:pPr>
      <w:r>
        <w:rPr>
          <w:color w:val="auto"/>
          <w:highlight w:val="none"/>
        </w:rPr>
        <w:br w:type="page"/>
      </w:r>
    </w:p>
    <w:p>
      <w:pPr>
        <w:pStyle w:val="5"/>
        <w:spacing w:after="156"/>
        <w:rPr>
          <w:color w:val="auto"/>
          <w:highlight w:val="none"/>
        </w:rPr>
      </w:pPr>
      <w:bookmarkStart w:id="0" w:name="_Toc72432383"/>
      <w:bookmarkStart w:id="1" w:name="_Toc40369311"/>
      <w:r>
        <w:rPr>
          <w:rFonts w:hint="eastAsia"/>
          <w:color w:val="auto"/>
          <w:highlight w:val="none"/>
        </w:rPr>
        <w:t>招标公告</w:t>
      </w:r>
      <w:bookmarkEnd w:id="0"/>
      <w:bookmarkEnd w:id="1"/>
    </w:p>
    <w:p>
      <w:pPr>
        <w:pBdr>
          <w:top w:val="single" w:color="auto" w:sz="4" w:space="1"/>
          <w:left w:val="single" w:color="auto" w:sz="4" w:space="4"/>
          <w:bottom w:val="single" w:color="auto" w:sz="4" w:space="1"/>
          <w:right w:val="single" w:color="auto" w:sz="4" w:space="4"/>
        </w:pBdr>
        <w:ind w:firstLine="420"/>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项目概况</w:t>
      </w:r>
    </w:p>
    <w:p>
      <w:pPr>
        <w:pBdr>
          <w:top w:val="single" w:color="auto" w:sz="4" w:space="1"/>
          <w:left w:val="single" w:color="auto" w:sz="4" w:space="4"/>
          <w:bottom w:val="single" w:color="auto" w:sz="4" w:space="1"/>
          <w:right w:val="single" w:color="auto" w:sz="4" w:space="4"/>
        </w:pBdr>
        <w:wordWrap/>
        <w:ind w:firstLine="420"/>
        <w:rPr>
          <w:rFonts w:hint="default" w:ascii="Times New Roman" w:hAnsi="Times New Roman" w:cs="Times New Roman"/>
          <w:color w:val="auto"/>
          <w:highlight w:val="none"/>
          <w:shd w:val="clear" w:color="auto" w:fill="FFFFFF"/>
        </w:rPr>
      </w:pPr>
      <w:r>
        <w:rPr>
          <w:rFonts w:hint="default" w:ascii="Times New Roman" w:hAnsi="Times New Roman" w:cs="Times New Roman"/>
          <w:b w:val="0"/>
          <w:bCs w:val="0"/>
          <w:color w:val="auto"/>
          <w:sz w:val="21"/>
          <w:szCs w:val="21"/>
          <w:highlight w:val="none"/>
          <w:u w:val="none"/>
          <w:lang w:val="en-US" w:eastAsia="zh-CN"/>
        </w:rPr>
        <w:t>2023年舟山绿色石化基地围填海工程营运期海域、海岛生态环境跟踪监测</w:t>
      </w:r>
      <w:r>
        <w:rPr>
          <w:rFonts w:hint="default" w:ascii="Times New Roman" w:hAnsi="Times New Roman" w:cs="Times New Roman"/>
          <w:color w:val="auto"/>
          <w:highlight w:val="none"/>
          <w:shd w:val="clear" w:color="auto" w:fill="FFFFFF"/>
          <w:lang w:eastAsia="zh-CN"/>
        </w:rPr>
        <w:t>采购</w:t>
      </w:r>
      <w:r>
        <w:rPr>
          <w:rFonts w:hint="default" w:ascii="Times New Roman" w:hAnsi="Times New Roman" w:cs="Times New Roman"/>
          <w:color w:val="auto"/>
          <w:highlight w:val="none"/>
          <w:shd w:val="clear" w:color="auto" w:fill="FFFFFF"/>
        </w:rPr>
        <w:t>项目的潜在投标人应在浙江政府采购网</w:t>
      </w:r>
      <w:r>
        <w:rPr>
          <w:rFonts w:hint="default" w:ascii="Times New Roman" w:hAnsi="Times New Roman" w:cs="Times New Roman"/>
          <w:color w:val="auto"/>
          <w:szCs w:val="21"/>
          <w:highlight w:val="none"/>
        </w:rPr>
        <w:t>http://zfcg.czt.zj.gov.cn/（用</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政采云</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注册账号、密码登录系统后获取招标文件）获取（下载）招标文件，并于2023</w:t>
      </w:r>
      <w:r>
        <w:rPr>
          <w:rFonts w:hint="default" w:ascii="Times New Roman" w:hAnsi="Times New Roman" w:cs="Times New Roman"/>
          <w:bCs/>
          <w:color w:val="auto"/>
          <w:szCs w:val="21"/>
          <w:highlight w:val="none"/>
        </w:rPr>
        <w:t>年</w:t>
      </w:r>
      <w:r>
        <w:rPr>
          <w:rFonts w:hint="eastAsia" w:ascii="Times New Roman" w:hAnsi="Times New Roman" w:cs="Times New Roman"/>
          <w:color w:val="auto"/>
          <w:highlight w:val="none"/>
          <w:shd w:val="clear" w:color="auto" w:fill="FFFFFF"/>
          <w:lang w:val="en-US" w:eastAsia="zh-CN"/>
        </w:rPr>
        <w:t>5</w:t>
      </w:r>
      <w:r>
        <w:rPr>
          <w:rFonts w:hint="default" w:ascii="Times New Roman" w:hAnsi="Times New Roman" w:cs="Times New Roman"/>
          <w:color w:val="auto"/>
          <w:highlight w:val="none"/>
          <w:shd w:val="clear" w:color="auto" w:fill="FFFFFF"/>
        </w:rPr>
        <w:t>月</w:t>
      </w:r>
      <w:r>
        <w:rPr>
          <w:rFonts w:hint="eastAsia" w:ascii="Times New Roman" w:hAnsi="Times New Roman" w:cs="Times New Roman"/>
          <w:color w:val="auto"/>
          <w:highlight w:val="none"/>
          <w:shd w:val="clear" w:color="auto" w:fill="FFFFFF"/>
          <w:lang w:val="en-US" w:eastAsia="zh-CN"/>
        </w:rPr>
        <w:t>6</w:t>
      </w:r>
      <w:r>
        <w:rPr>
          <w:rFonts w:hint="default" w:ascii="Times New Roman" w:hAnsi="Times New Roman" w:cs="Times New Roman"/>
          <w:color w:val="auto"/>
          <w:highlight w:val="none"/>
          <w:shd w:val="clear" w:color="auto" w:fill="FFFFFF"/>
        </w:rPr>
        <w:t>日</w:t>
      </w:r>
      <w:r>
        <w:rPr>
          <w:rFonts w:hint="eastAsia" w:ascii="Times New Roman" w:hAnsi="Times New Roman" w:cs="Times New Roman"/>
          <w:color w:val="auto"/>
          <w:highlight w:val="none"/>
          <w:shd w:val="clear" w:color="auto" w:fill="FFFFFF"/>
          <w:lang w:val="en-US" w:eastAsia="zh-CN"/>
        </w:rPr>
        <w:t>14</w:t>
      </w:r>
      <w:r>
        <w:rPr>
          <w:rFonts w:hint="default" w:ascii="Times New Roman" w:hAnsi="Times New Roman" w:cs="Times New Roman"/>
          <w:color w:val="auto"/>
          <w:highlight w:val="none"/>
          <w:shd w:val="clear" w:color="auto" w:fill="FFFFFF"/>
        </w:rPr>
        <w:t>时</w:t>
      </w:r>
      <w:r>
        <w:rPr>
          <w:rFonts w:hint="eastAsia" w:ascii="Times New Roman" w:hAnsi="Times New Roman" w:cs="Times New Roman"/>
          <w:color w:val="auto"/>
          <w:highlight w:val="none"/>
          <w:shd w:val="clear" w:color="auto" w:fill="FFFFFF"/>
          <w:lang w:val="en-US" w:eastAsia="zh-CN"/>
        </w:rPr>
        <w:t>3</w:t>
      </w:r>
      <w:r>
        <w:rPr>
          <w:rFonts w:hint="default" w:ascii="Times New Roman" w:hAnsi="Times New Roman" w:cs="Times New Roman"/>
          <w:color w:val="auto"/>
          <w:highlight w:val="none"/>
          <w:shd w:val="clear" w:color="auto" w:fill="FFFFFF"/>
        </w:rPr>
        <w:t>0分</w:t>
      </w:r>
      <w:bookmarkStart w:id="29" w:name="_GoBack"/>
      <w:bookmarkEnd w:id="29"/>
      <w:r>
        <w:rPr>
          <w:rFonts w:hint="default" w:ascii="Times New Roman" w:hAnsi="Times New Roman" w:cs="Times New Roman"/>
          <w:bCs/>
          <w:color w:val="auto"/>
          <w:szCs w:val="21"/>
          <w:highlight w:val="none"/>
        </w:rPr>
        <w:t>（北京时间）前递交（上传）投标文件</w:t>
      </w:r>
      <w:r>
        <w:rPr>
          <w:rFonts w:hint="default" w:ascii="Times New Roman" w:hAnsi="Times New Roman" w:cs="Times New Roman"/>
          <w:color w:val="auto"/>
          <w:szCs w:val="21"/>
          <w:highlight w:val="none"/>
        </w:rPr>
        <w:t>。</w:t>
      </w:r>
    </w:p>
    <w:p>
      <w:pPr>
        <w:pStyle w:val="79"/>
        <w:rPr>
          <w:rFonts w:hint="default" w:ascii="Times New Roman" w:hAnsi="Times New Roman" w:cs="Times New Roman"/>
          <w:color w:val="auto"/>
          <w:highlight w:val="none"/>
        </w:rPr>
      </w:pPr>
      <w:r>
        <w:rPr>
          <w:rFonts w:hint="default" w:ascii="Times New Roman" w:hAnsi="Times New Roman" w:cs="Times New Roman"/>
          <w:color w:val="auto"/>
          <w:highlight w:val="none"/>
        </w:rPr>
        <w:t>一、项目基本情况</w:t>
      </w:r>
    </w:p>
    <w:p>
      <w:pPr>
        <w:ind w:firstLine="42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项目编号：</w:t>
      </w:r>
      <w:r>
        <w:rPr>
          <w:rFonts w:hint="default" w:ascii="Times New Roman" w:hAnsi="Times New Roman" w:cs="Times New Roman"/>
          <w:color w:val="auto"/>
          <w:highlight w:val="none"/>
          <w:lang w:val="en-US" w:eastAsia="zh-CN"/>
        </w:rPr>
        <w:t>ZJWSD-ZD(C)2</w:t>
      </w:r>
      <w:r>
        <w:rPr>
          <w:rFonts w:hint="eastAsia" w:ascii="Times New Roman" w:hAnsi="Times New Roman" w:cs="Times New Roman"/>
          <w:color w:val="auto"/>
          <w:highlight w:val="none"/>
          <w:lang w:val="en-US" w:eastAsia="zh-CN"/>
        </w:rPr>
        <w:t>3010</w:t>
      </w:r>
    </w:p>
    <w:p>
      <w:pPr>
        <w:ind w:firstLine="42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项目名称：</w:t>
      </w:r>
      <w:r>
        <w:rPr>
          <w:rFonts w:hint="default" w:ascii="Times New Roman" w:hAnsi="Times New Roman" w:cs="Times New Roman"/>
          <w:b w:val="0"/>
          <w:bCs w:val="0"/>
          <w:color w:val="auto"/>
          <w:sz w:val="21"/>
          <w:szCs w:val="21"/>
          <w:highlight w:val="none"/>
          <w:u w:val="none"/>
          <w:lang w:val="en-US" w:eastAsia="zh-CN"/>
        </w:rPr>
        <w:t>2023年舟山绿色石化基地围填海工程营运期海域、海岛生态环境跟踪监测</w:t>
      </w:r>
    </w:p>
    <w:p>
      <w:pPr>
        <w:ind w:firstLine="420"/>
        <w:rPr>
          <w:rFonts w:hint="default" w:ascii="Times New Roman" w:hAnsi="Times New Roman" w:cs="Times New Roman"/>
          <w:color w:val="auto"/>
          <w:highlight w:val="none"/>
          <w:lang w:val="en"/>
        </w:rPr>
      </w:pPr>
      <w:r>
        <w:rPr>
          <w:rFonts w:hint="default" w:ascii="Times New Roman" w:hAnsi="Times New Roman" w:cs="Times New Roman"/>
          <w:color w:val="auto"/>
          <w:highlight w:val="none"/>
        </w:rPr>
        <w:t>预算金额（元）：</w:t>
      </w:r>
      <w:r>
        <w:rPr>
          <w:rFonts w:hint="eastAsia" w:ascii="Times New Roman" w:hAnsi="Times New Roman" w:cs="Times New Roman"/>
          <w:color w:val="auto"/>
          <w:highlight w:val="none"/>
          <w:lang w:val="en-US" w:eastAsia="zh-CN"/>
        </w:rPr>
        <w:t>5100000</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最高限价（元）：</w:t>
      </w:r>
      <w:r>
        <w:rPr>
          <w:rFonts w:hint="eastAsia" w:ascii="Times New Roman" w:hAnsi="Times New Roman" w:cs="Times New Roman"/>
          <w:color w:val="auto"/>
          <w:highlight w:val="none"/>
          <w:lang w:val="en-US" w:eastAsia="zh-CN"/>
        </w:rPr>
        <w:t>444</w:t>
      </w:r>
      <w:r>
        <w:rPr>
          <w:rFonts w:hint="default" w:ascii="Times New Roman" w:hAnsi="Times New Roman" w:cs="Times New Roman"/>
          <w:color w:val="auto"/>
          <w:highlight w:val="none"/>
          <w:lang w:val="en"/>
        </w:rPr>
        <w:t>0000</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采购需求：详见</w:t>
      </w:r>
      <w:r>
        <w:rPr>
          <w:rFonts w:hint="default" w:ascii="Times New Roman" w:hAnsi="Times New Roman" w:cs="Times New Roman"/>
          <w:color w:val="auto"/>
          <w:highlight w:val="none"/>
          <w:lang w:eastAsia="zh-CN"/>
        </w:rPr>
        <w:t>采购</w:t>
      </w:r>
      <w:r>
        <w:rPr>
          <w:rFonts w:hint="default" w:ascii="Times New Roman" w:hAnsi="Times New Roman" w:cs="Times New Roman"/>
          <w:color w:val="auto"/>
          <w:highlight w:val="none"/>
        </w:rPr>
        <w:t>文件</w:t>
      </w:r>
    </w:p>
    <w:p>
      <w:pPr>
        <w:ind w:firstLine="420"/>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lang w:eastAsia="zh-CN"/>
        </w:rPr>
        <w:t>标项</w:t>
      </w:r>
      <w:r>
        <w:rPr>
          <w:rFonts w:hint="eastAsia" w:ascii="Times New Roman" w:hAnsi="Times New Roman" w:cs="Times New Roman"/>
          <w:b/>
          <w:bCs/>
          <w:color w:val="auto"/>
          <w:highlight w:val="none"/>
          <w:lang w:val="en-US" w:eastAsia="zh-CN"/>
        </w:rPr>
        <w:t>1</w:t>
      </w:r>
    </w:p>
    <w:p>
      <w:pPr>
        <w:ind w:firstLine="424" w:firstLineChars="202"/>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标项名称：</w:t>
      </w:r>
      <w:r>
        <w:rPr>
          <w:rFonts w:hint="default" w:ascii="Times New Roman" w:hAnsi="Times New Roman" w:cs="Times New Roman"/>
          <w:b w:val="0"/>
          <w:bCs w:val="0"/>
          <w:color w:val="auto"/>
          <w:sz w:val="21"/>
          <w:szCs w:val="21"/>
          <w:highlight w:val="none"/>
          <w:u w:val="none"/>
          <w:lang w:val="en-US" w:eastAsia="zh-CN"/>
        </w:rPr>
        <w:t>2023年舟山绿色石化基地围填海工程营运期海域、海岛生态环境跟踪监测</w:t>
      </w:r>
    </w:p>
    <w:p>
      <w:pPr>
        <w:ind w:firstLine="424" w:firstLineChars="202"/>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数量</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1</w:t>
      </w:r>
    </w:p>
    <w:p>
      <w:pPr>
        <w:ind w:firstLine="424" w:firstLineChars="202"/>
        <w:rPr>
          <w:rFonts w:hint="default" w:ascii="Times New Roman" w:hAnsi="Times New Roman" w:cs="Times New Roman"/>
          <w:color w:val="auto"/>
          <w:highlight w:val="none"/>
          <w:lang w:val="en"/>
        </w:rPr>
      </w:pPr>
      <w:r>
        <w:rPr>
          <w:rFonts w:hint="default" w:ascii="Times New Roman" w:hAnsi="Times New Roman" w:cs="Times New Roman"/>
          <w:color w:val="auto"/>
          <w:highlight w:val="none"/>
        </w:rPr>
        <w:t>预算金额（元）</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5100000</w:t>
      </w:r>
    </w:p>
    <w:p>
      <w:pPr>
        <w:ind w:firstLine="424" w:firstLineChars="202"/>
        <w:rPr>
          <w:rFonts w:hint="default" w:ascii="Times New Roman" w:hAnsi="Times New Roman" w:cs="Times New Roman"/>
          <w:color w:val="auto"/>
          <w:highlight w:val="none"/>
        </w:rPr>
      </w:pPr>
      <w:r>
        <w:rPr>
          <w:rFonts w:hint="default" w:ascii="Times New Roman" w:hAnsi="Times New Roman" w:cs="Times New Roman"/>
          <w:color w:val="auto"/>
          <w:highlight w:val="none"/>
        </w:rPr>
        <w:t>简要规格描述或项目基本概况介绍、用途：海域生态资源跟踪监测（含水下地形测量、海域大面水质生态环境跟踪监测）、海岛生态环境监测（含海岛鸟类资源监测、无居民海岛生态环境跟踪监测）和重点风险源生态资源跟踪监测（含排污口及邻近海域监测，温排水口及温升余氯影响海域监测），并出具跟踪监测报告。</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备注：</w:t>
      </w:r>
      <w:r>
        <w:rPr>
          <w:rFonts w:hint="default" w:ascii="Times New Roman" w:hAnsi="Times New Roman" w:eastAsia="宋体" w:cs="Times New Roman"/>
          <w:color w:val="auto"/>
          <w:szCs w:val="21"/>
          <w:highlight w:val="none"/>
          <w:lang w:val="en-US" w:eastAsia="zh-CN"/>
        </w:rPr>
        <w:t>本项目不允许转包。</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合同履行期限：一年。</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eastAsia" w:ascii="Times New Roman" w:hAnsi="Times New Roman" w:cs="Times New Roman"/>
          <w:color w:val="auto"/>
          <w:highlight w:val="none"/>
          <w:lang w:eastAsia="zh-CN"/>
        </w:rPr>
        <w:t>（否）</w:t>
      </w:r>
      <w:r>
        <w:rPr>
          <w:rFonts w:hint="default" w:ascii="Times New Roman" w:hAnsi="Times New Roman" w:cs="Times New Roman"/>
          <w:color w:val="auto"/>
          <w:highlight w:val="none"/>
        </w:rPr>
        <w:t>接受联合体投标。</w:t>
      </w:r>
    </w:p>
    <w:p>
      <w:pPr>
        <w:pStyle w:val="79"/>
        <w:rPr>
          <w:rFonts w:hint="default" w:ascii="Times New Roman" w:hAnsi="Times New Roman" w:cs="Times New Roman"/>
          <w:color w:val="auto"/>
          <w:highlight w:val="none"/>
        </w:rPr>
      </w:pPr>
      <w:r>
        <w:rPr>
          <w:rFonts w:hint="default" w:ascii="Times New Roman" w:hAnsi="Times New Roman" w:cs="Times New Roman"/>
          <w:color w:val="auto"/>
          <w:highlight w:val="none"/>
        </w:rPr>
        <w:t>二、申请人的资格要求</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1.满足《中华人民共和国政府采购法》第二十二条规定；未被</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信用中国</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（www.creditchina.gov.cn)、中国政府采购网（www.ccgp.gov.cn）列入失信被执行人、重大税收违法案件当事人名单、政府采购严重违法失信行为记录名单。</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2.落实政府采购政策需满足的资格要求：</w:t>
      </w:r>
      <w:r>
        <w:rPr>
          <w:rFonts w:hint="default" w:ascii="Times New Roman" w:hAnsi="Times New Roman" w:cs="Times New Roman"/>
          <w:color w:val="auto"/>
          <w:highlight w:val="none"/>
          <w:lang w:eastAsia="zh-CN"/>
        </w:rPr>
        <w:t>无</w:t>
      </w:r>
    </w:p>
    <w:p>
      <w:pPr>
        <w:ind w:firstLine="420"/>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highlight w:val="none"/>
        </w:rPr>
        <w:t>3.本项目的特定资格要求：</w:t>
      </w:r>
      <w:r>
        <w:rPr>
          <w:rFonts w:hint="eastAsia" w:ascii="宋体" w:hAnsi="宋体" w:cs="宋体"/>
          <w:color w:val="auto"/>
          <w:szCs w:val="21"/>
          <w:highlight w:val="none"/>
        </w:rPr>
        <w:t>具有海洋测绘</w:t>
      </w:r>
      <w:r>
        <w:rPr>
          <w:rFonts w:hint="eastAsia" w:ascii="宋体" w:hAnsi="宋体" w:cs="宋体"/>
          <w:color w:val="auto"/>
          <w:szCs w:val="21"/>
          <w:highlight w:val="none"/>
          <w:lang w:eastAsia="zh-CN"/>
        </w:rPr>
        <w:t>乙</w:t>
      </w:r>
      <w:r>
        <w:rPr>
          <w:rFonts w:hint="eastAsia" w:ascii="宋体" w:hAnsi="宋体" w:cs="宋体"/>
          <w:color w:val="auto"/>
          <w:szCs w:val="21"/>
          <w:highlight w:val="none"/>
        </w:rPr>
        <w:t>级及以上资质，</w:t>
      </w:r>
      <w:r>
        <w:rPr>
          <w:rFonts w:hint="eastAsia" w:hAnsi="宋体" w:cs="宋体"/>
          <w:color w:val="auto"/>
          <w:szCs w:val="21"/>
          <w:highlight w:val="none"/>
          <w:lang w:eastAsia="zh-CN"/>
        </w:rPr>
        <w:t>且其本身或内设机构</w:t>
      </w:r>
      <w:r>
        <w:rPr>
          <w:rFonts w:hint="eastAsia" w:ascii="宋体" w:hAnsi="宋体" w:cs="宋体"/>
          <w:color w:val="auto"/>
          <w:szCs w:val="21"/>
          <w:highlight w:val="none"/>
        </w:rPr>
        <w:t>具有</w:t>
      </w:r>
      <w:r>
        <w:rPr>
          <w:rFonts w:hint="eastAsia" w:hAnsi="宋体" w:cs="宋体"/>
          <w:color w:val="auto"/>
          <w:szCs w:val="21"/>
          <w:highlight w:val="none"/>
          <w:lang w:eastAsia="zh-CN"/>
        </w:rPr>
        <w:t>省级及以上</w:t>
      </w:r>
      <w:r>
        <w:rPr>
          <w:rFonts w:hint="eastAsia" w:ascii="宋体" w:hAnsi="宋体" w:cs="宋体"/>
          <w:color w:val="auto"/>
          <w:szCs w:val="21"/>
          <w:highlight w:val="none"/>
        </w:rPr>
        <w:t>计量认证资质证书（CMA）</w:t>
      </w:r>
      <w:r>
        <w:rPr>
          <w:rFonts w:hint="eastAsia" w:ascii="宋体" w:hAnsi="宋体" w:cs="宋体"/>
          <w:color w:val="auto"/>
          <w:szCs w:val="21"/>
          <w:highlight w:val="none"/>
          <w:lang w:eastAsia="zh-CN"/>
        </w:rPr>
        <w:t>。</w:t>
      </w:r>
    </w:p>
    <w:p>
      <w:pPr>
        <w:pStyle w:val="79"/>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三、获取</w:t>
      </w:r>
      <w:r>
        <w:rPr>
          <w:rFonts w:hint="default" w:ascii="Times New Roman" w:hAnsi="Times New Roman" w:cs="Times New Roman"/>
          <w:color w:val="auto"/>
          <w:highlight w:val="none"/>
          <w:lang w:eastAsia="zh-CN"/>
        </w:rPr>
        <w:t>采购文件</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时间：自发布公告之日起</w:t>
      </w:r>
      <w:r>
        <w:rPr>
          <w:rFonts w:hint="default" w:ascii="Times New Roman" w:hAnsi="Times New Roman" w:cs="Times New Roman"/>
          <w:color w:val="auto"/>
          <w:szCs w:val="21"/>
          <w:highlight w:val="none"/>
        </w:rPr>
        <w:t>至20</w:t>
      </w:r>
      <w:r>
        <w:rPr>
          <w:rFonts w:hint="eastAsia" w:ascii="Times New Roman" w:hAnsi="Times New Roman" w:cs="Times New Roman"/>
          <w:color w:val="auto"/>
          <w:szCs w:val="21"/>
          <w:highlight w:val="none"/>
          <w:lang w:val="en-US" w:eastAsia="zh-CN"/>
        </w:rPr>
        <w:t>23</w:t>
      </w:r>
      <w:r>
        <w:rPr>
          <w:rFonts w:hint="default" w:ascii="Times New Roman" w:hAnsi="Times New Roman" w:cs="Times New Roman"/>
          <w:color w:val="auto"/>
          <w:szCs w:val="21"/>
          <w:highlight w:val="none"/>
        </w:rPr>
        <w:t>年</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月</w:t>
      </w:r>
      <w:r>
        <w:rPr>
          <w:rFonts w:hint="eastAsia"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日，每天上午00:00至12:00</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下午12:00至23:59（北京时间，线上获取法定节假日均可，线下获取文件法定节假日除外）</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地点</w:t>
      </w:r>
      <w:r>
        <w:rPr>
          <w:rFonts w:hint="eastAsia" w:ascii="Times New Roman" w:hAnsi="Times New Roman" w:cs="Times New Roman"/>
          <w:color w:val="auto"/>
          <w:highlight w:val="none"/>
          <w:lang w:eastAsia="zh-CN"/>
        </w:rPr>
        <w:t>（网址）</w:t>
      </w:r>
      <w:r>
        <w:rPr>
          <w:rFonts w:hint="default" w:ascii="Times New Roman" w:hAnsi="Times New Roman" w:cs="Times New Roman"/>
          <w:color w:val="auto"/>
          <w:highlight w:val="none"/>
        </w:rPr>
        <w:t>：浙江政府采购网https://zfcg.czt.zj.gov.cn/（用</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政采云</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注册账号、密码登录系统后获取</w:t>
      </w:r>
      <w:r>
        <w:rPr>
          <w:rFonts w:hint="default" w:ascii="Times New Roman" w:hAnsi="Times New Roman" w:cs="Times New Roman"/>
          <w:color w:val="auto"/>
          <w:highlight w:val="none"/>
          <w:lang w:eastAsia="zh-CN"/>
        </w:rPr>
        <w:t>采购文件</w:t>
      </w:r>
      <w:r>
        <w:rPr>
          <w:rFonts w:hint="default" w:ascii="Times New Roman" w:hAnsi="Times New Roman" w:cs="Times New Roman"/>
          <w:color w:val="auto"/>
          <w:highlight w:val="none"/>
        </w:rPr>
        <w:t>）</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方式：</w:t>
      </w:r>
      <w:r>
        <w:rPr>
          <w:rFonts w:hint="eastAsia" w:ascii="Times New Roman" w:hAnsi="Times New Roman" w:eastAsia="宋体" w:cs="Times New Roman"/>
          <w:color w:val="auto"/>
          <w:highlight w:val="none"/>
          <w:shd w:val="clear" w:color="auto" w:fill="FFFFFF"/>
        </w:rPr>
        <w:t>网上获取。免费注册网址：浙江政府采购网（供应商注册页面）：https://middle.zcygov.cn/settle-front/#/registry“政采云”，已经注册成功的供应商无需重复注册，本项目实行电子投标。投标人在使用系统进行投标的过程中涉及平台使用的任何问题可致电政采云平台技术支持热线：400-881-7190。</w:t>
      </w:r>
    </w:p>
    <w:p>
      <w:pPr>
        <w:ind w:firstLine="42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售价：</w:t>
      </w:r>
      <w:r>
        <w:rPr>
          <w:rFonts w:hint="eastAsia" w:ascii="Times New Roman" w:hAnsi="Times New Roman" w:cs="Times New Roman"/>
          <w:color w:val="auto"/>
          <w:highlight w:val="none"/>
          <w:lang w:val="en-US" w:eastAsia="zh-CN"/>
        </w:rPr>
        <w:t>0</w:t>
      </w:r>
    </w:p>
    <w:p>
      <w:pPr>
        <w:pStyle w:val="79"/>
        <w:rPr>
          <w:rFonts w:hint="default" w:ascii="Times New Roman" w:hAnsi="Times New Roman" w:cs="Times New Roman"/>
          <w:color w:val="auto"/>
          <w:highlight w:val="none"/>
        </w:rPr>
      </w:pPr>
      <w:r>
        <w:rPr>
          <w:rFonts w:hint="default" w:ascii="Times New Roman" w:hAnsi="Times New Roman" w:cs="Times New Roman"/>
          <w:color w:val="auto"/>
          <w:highlight w:val="none"/>
        </w:rPr>
        <w:t>四、提交投标文件截止时间、开标时间和地点</w:t>
      </w:r>
    </w:p>
    <w:p>
      <w:pPr>
        <w:ind w:firstLine="420"/>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highlight w:val="none"/>
          <w:shd w:val="clear" w:color="auto" w:fill="FFFFFF"/>
        </w:rPr>
        <w:t>提交投标文件截止时间：202</w:t>
      </w:r>
      <w:r>
        <w:rPr>
          <w:rFonts w:hint="eastAsia" w:ascii="Times New Roman" w:hAnsi="Times New Roman" w:cs="Times New Roman"/>
          <w:color w:val="auto"/>
          <w:highlight w:val="none"/>
          <w:shd w:val="clear" w:color="auto" w:fill="FFFFFF"/>
          <w:lang w:val="en-US" w:eastAsia="zh-CN"/>
        </w:rPr>
        <w:t>3</w:t>
      </w:r>
      <w:r>
        <w:rPr>
          <w:rFonts w:hint="default" w:ascii="Times New Roman" w:hAnsi="Times New Roman" w:cs="Times New Roman"/>
          <w:color w:val="auto"/>
          <w:highlight w:val="none"/>
          <w:shd w:val="clear" w:color="auto" w:fill="FFFFFF"/>
        </w:rPr>
        <w:t>年</w:t>
      </w:r>
      <w:r>
        <w:rPr>
          <w:rFonts w:hint="eastAsia" w:ascii="Times New Roman" w:hAnsi="Times New Roman" w:cs="Times New Roman"/>
          <w:color w:val="auto"/>
          <w:highlight w:val="none"/>
          <w:shd w:val="clear" w:color="auto" w:fill="FFFFFF"/>
          <w:lang w:val="en-US" w:eastAsia="zh-CN"/>
        </w:rPr>
        <w:t>5</w:t>
      </w:r>
      <w:r>
        <w:rPr>
          <w:rFonts w:hint="default" w:ascii="Times New Roman" w:hAnsi="Times New Roman" w:cs="Times New Roman"/>
          <w:color w:val="auto"/>
          <w:highlight w:val="none"/>
          <w:shd w:val="clear" w:color="auto" w:fill="FFFFFF"/>
        </w:rPr>
        <w:t>月</w:t>
      </w:r>
      <w:r>
        <w:rPr>
          <w:rFonts w:hint="eastAsia" w:ascii="Times New Roman" w:hAnsi="Times New Roman" w:cs="Times New Roman"/>
          <w:color w:val="auto"/>
          <w:highlight w:val="none"/>
          <w:shd w:val="clear" w:color="auto" w:fill="FFFFFF"/>
          <w:lang w:val="en-US" w:eastAsia="zh-CN"/>
        </w:rPr>
        <w:t>6</w:t>
      </w:r>
      <w:r>
        <w:rPr>
          <w:rFonts w:hint="default" w:ascii="Times New Roman" w:hAnsi="Times New Roman" w:cs="Times New Roman"/>
          <w:color w:val="auto"/>
          <w:highlight w:val="none"/>
          <w:shd w:val="clear" w:color="auto" w:fill="FFFFFF"/>
        </w:rPr>
        <w:t>日</w:t>
      </w:r>
      <w:r>
        <w:rPr>
          <w:rFonts w:hint="eastAsia" w:ascii="Times New Roman" w:hAnsi="Times New Roman" w:cs="Times New Roman"/>
          <w:color w:val="auto"/>
          <w:highlight w:val="none"/>
          <w:shd w:val="clear" w:color="auto" w:fill="FFFFFF"/>
          <w:lang w:val="en-US" w:eastAsia="zh-CN"/>
        </w:rPr>
        <w:t>14</w:t>
      </w:r>
      <w:r>
        <w:rPr>
          <w:rFonts w:hint="default" w:ascii="Times New Roman" w:hAnsi="Times New Roman" w:cs="Times New Roman"/>
          <w:color w:val="auto"/>
          <w:highlight w:val="none"/>
          <w:shd w:val="clear" w:color="auto" w:fill="FFFFFF"/>
        </w:rPr>
        <w:t>时</w:t>
      </w:r>
      <w:r>
        <w:rPr>
          <w:rFonts w:hint="eastAsia" w:ascii="Times New Roman" w:hAnsi="Times New Roman" w:cs="Times New Roman"/>
          <w:color w:val="auto"/>
          <w:highlight w:val="none"/>
          <w:shd w:val="clear" w:color="auto" w:fill="FFFFFF"/>
          <w:lang w:val="en-US" w:eastAsia="zh-CN"/>
        </w:rPr>
        <w:t>3</w:t>
      </w:r>
      <w:r>
        <w:rPr>
          <w:rFonts w:hint="default" w:ascii="Times New Roman" w:hAnsi="Times New Roman" w:cs="Times New Roman"/>
          <w:color w:val="auto"/>
          <w:highlight w:val="none"/>
          <w:shd w:val="clear" w:color="auto" w:fill="FFFFFF"/>
        </w:rPr>
        <w:t>0分</w:t>
      </w:r>
      <w:r>
        <w:rPr>
          <w:rFonts w:hint="default" w:ascii="Times New Roman" w:hAnsi="Times New Roman" w:cs="Times New Roman"/>
          <w:color w:val="auto"/>
          <w:szCs w:val="21"/>
          <w:highlight w:val="none"/>
          <w:shd w:val="clear" w:color="auto" w:fill="FFFFFF"/>
        </w:rPr>
        <w:t>（北京时间）</w:t>
      </w:r>
    </w:p>
    <w:p>
      <w:pPr>
        <w:ind w:firstLine="420"/>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投标地点（网址）：</w:t>
      </w:r>
      <w:r>
        <w:rPr>
          <w:color w:val="auto"/>
          <w:szCs w:val="21"/>
          <w:highlight w:val="none"/>
        </w:rPr>
        <w:t>本项目不要求投标人授权代表参加现场开标、开启投标文件活动。投标人将加密的电子版投标文件于投标截止时间前上传到政采云系统中。投标人将备份投标文件于</w:t>
      </w:r>
      <w:r>
        <w:rPr>
          <w:rFonts w:hint="eastAsia"/>
          <w:color w:val="auto"/>
          <w:szCs w:val="21"/>
          <w:highlight w:val="none"/>
        </w:rPr>
        <w:t>2023</w:t>
      </w:r>
      <w:r>
        <w:rPr>
          <w:bCs/>
          <w:color w:val="auto"/>
          <w:szCs w:val="21"/>
          <w:highlight w:val="none"/>
        </w:rPr>
        <w:t>年</w:t>
      </w:r>
      <w:r>
        <w:rPr>
          <w:rFonts w:hint="eastAsia"/>
          <w:bCs/>
          <w:color w:val="auto"/>
          <w:szCs w:val="21"/>
          <w:highlight w:val="none"/>
          <w:lang w:val="en-US" w:eastAsia="zh-CN"/>
        </w:rPr>
        <w:t>5</w:t>
      </w:r>
      <w:r>
        <w:rPr>
          <w:bCs/>
          <w:color w:val="auto"/>
          <w:szCs w:val="21"/>
          <w:highlight w:val="none"/>
        </w:rPr>
        <w:t>月</w:t>
      </w:r>
      <w:r>
        <w:rPr>
          <w:rFonts w:hint="eastAsia"/>
          <w:bCs/>
          <w:color w:val="auto"/>
          <w:szCs w:val="21"/>
          <w:highlight w:val="none"/>
          <w:lang w:val="en-US" w:eastAsia="zh-CN"/>
        </w:rPr>
        <w:t>6</w:t>
      </w:r>
      <w:r>
        <w:rPr>
          <w:bCs/>
          <w:color w:val="auto"/>
          <w:szCs w:val="21"/>
          <w:highlight w:val="none"/>
        </w:rPr>
        <w:t>日</w:t>
      </w:r>
      <w:r>
        <w:rPr>
          <w:rFonts w:hint="eastAsia"/>
          <w:bCs/>
          <w:color w:val="auto"/>
          <w:szCs w:val="21"/>
          <w:highlight w:val="none"/>
          <w:lang w:val="en-US" w:eastAsia="zh-CN"/>
        </w:rPr>
        <w:t>12:00</w:t>
      </w:r>
      <w:r>
        <w:rPr>
          <w:color w:val="auto"/>
          <w:szCs w:val="21"/>
          <w:highlight w:val="none"/>
        </w:rPr>
        <w:t>（北京时间）前通过邮寄或派人递送的方式送交到采购代理机构处（地址：</w:t>
      </w:r>
      <w:r>
        <w:rPr>
          <w:color w:val="auto"/>
          <w:szCs w:val="21"/>
          <w:highlight w:val="none"/>
          <w:shd w:val="clear" w:color="auto" w:fill="FFFFFF"/>
        </w:rPr>
        <w:t>舟山市</w:t>
      </w:r>
      <w:r>
        <w:rPr>
          <w:rFonts w:hint="eastAsia" w:ascii="Times New Roman" w:hAnsi="Times New Roman" w:cs="Times New Roman"/>
          <w:color w:val="auto"/>
          <w:szCs w:val="21"/>
          <w:highlight w:val="none"/>
          <w:lang w:eastAsia="zh-CN"/>
        </w:rPr>
        <w:t>临城新区</w:t>
      </w:r>
      <w:r>
        <w:rPr>
          <w:rFonts w:hint="default" w:ascii="Times New Roman" w:hAnsi="Times New Roman" w:cs="Times New Roman"/>
          <w:color w:val="auto"/>
          <w:szCs w:val="21"/>
          <w:highlight w:val="none"/>
        </w:rPr>
        <w:t>千岛路171号建设大厦A座1706室</w:t>
      </w:r>
      <w:r>
        <w:rPr>
          <w:color w:val="auto"/>
          <w:szCs w:val="21"/>
          <w:highlight w:val="none"/>
        </w:rPr>
        <w:t>；联系人：</w:t>
      </w:r>
      <w:r>
        <w:rPr>
          <w:rFonts w:hint="eastAsia"/>
          <w:color w:val="auto"/>
          <w:szCs w:val="21"/>
          <w:highlight w:val="none"/>
          <w:lang w:eastAsia="zh-CN"/>
        </w:rPr>
        <w:t>张燕玲</w:t>
      </w:r>
      <w:r>
        <w:rPr>
          <w:color w:val="auto"/>
          <w:szCs w:val="21"/>
          <w:highlight w:val="none"/>
        </w:rPr>
        <w:t>；联系方式：</w:t>
      </w:r>
      <w:r>
        <w:rPr>
          <w:rFonts w:hint="default" w:ascii="Times New Roman" w:hAnsi="Times New Roman" w:cs="Times New Roman"/>
          <w:color w:val="auto"/>
          <w:szCs w:val="22"/>
          <w:highlight w:val="none"/>
          <w:shd w:val="clear" w:color="auto" w:fill="FFFFFF"/>
        </w:rPr>
        <w:t>0580-2</w:t>
      </w:r>
      <w:r>
        <w:rPr>
          <w:rFonts w:hint="default" w:ascii="Times New Roman" w:hAnsi="Times New Roman" w:cs="Times New Roman"/>
          <w:color w:val="auto"/>
          <w:szCs w:val="22"/>
          <w:highlight w:val="none"/>
          <w:shd w:val="clear" w:color="auto" w:fill="FFFFFF"/>
          <w:lang w:val="en-US" w:eastAsia="zh-CN"/>
        </w:rPr>
        <w:t>183189</w:t>
      </w:r>
      <w:r>
        <w:rPr>
          <w:color w:val="auto"/>
          <w:szCs w:val="21"/>
          <w:highlight w:val="none"/>
        </w:rPr>
        <w:t>），也可以在开标时间前送至开标地点，未按时送达的自行承担风险。备份投标文件须密封完好，并注明投标人单位名称。投标人未按规定递交的备份投标文件，采购人有权拒收。</w:t>
      </w:r>
    </w:p>
    <w:p>
      <w:pPr>
        <w:ind w:firstLine="420"/>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开标时间：</w:t>
      </w:r>
      <w:r>
        <w:rPr>
          <w:rFonts w:hint="default" w:ascii="Times New Roman" w:hAnsi="Times New Roman" w:cs="Times New Roman"/>
          <w:color w:val="auto"/>
          <w:highlight w:val="none"/>
          <w:shd w:val="clear" w:color="auto" w:fill="FFFFFF"/>
        </w:rPr>
        <w:t>20</w:t>
      </w:r>
      <w:r>
        <w:rPr>
          <w:rFonts w:hint="eastAsia" w:ascii="Times New Roman" w:hAnsi="Times New Roman" w:cs="Times New Roman"/>
          <w:color w:val="auto"/>
          <w:highlight w:val="none"/>
          <w:shd w:val="clear" w:color="auto" w:fill="FFFFFF"/>
          <w:lang w:val="en-US" w:eastAsia="zh-CN"/>
        </w:rPr>
        <w:t>23</w:t>
      </w:r>
      <w:r>
        <w:rPr>
          <w:rFonts w:hint="default" w:ascii="Times New Roman" w:hAnsi="Times New Roman" w:cs="Times New Roman"/>
          <w:color w:val="auto"/>
          <w:highlight w:val="none"/>
          <w:shd w:val="clear" w:color="auto" w:fill="FFFFFF"/>
        </w:rPr>
        <w:t>年</w:t>
      </w:r>
      <w:r>
        <w:rPr>
          <w:rFonts w:hint="eastAsia" w:ascii="Times New Roman" w:hAnsi="Times New Roman" w:cs="Times New Roman"/>
          <w:color w:val="auto"/>
          <w:highlight w:val="none"/>
          <w:shd w:val="clear" w:color="auto" w:fill="FFFFFF"/>
          <w:lang w:val="en-US" w:eastAsia="zh-CN"/>
        </w:rPr>
        <w:t>5</w:t>
      </w:r>
      <w:r>
        <w:rPr>
          <w:rFonts w:hint="default" w:ascii="Times New Roman" w:hAnsi="Times New Roman" w:cs="Times New Roman"/>
          <w:color w:val="auto"/>
          <w:highlight w:val="none"/>
          <w:shd w:val="clear" w:color="auto" w:fill="FFFFFF"/>
        </w:rPr>
        <w:t>月</w:t>
      </w:r>
      <w:r>
        <w:rPr>
          <w:rFonts w:hint="eastAsia" w:ascii="Times New Roman" w:hAnsi="Times New Roman" w:cs="Times New Roman"/>
          <w:color w:val="auto"/>
          <w:highlight w:val="none"/>
          <w:shd w:val="clear" w:color="auto" w:fill="FFFFFF"/>
          <w:lang w:val="en-US" w:eastAsia="zh-CN"/>
        </w:rPr>
        <w:t>6</w:t>
      </w:r>
      <w:r>
        <w:rPr>
          <w:rFonts w:hint="default" w:ascii="Times New Roman" w:hAnsi="Times New Roman" w:cs="Times New Roman"/>
          <w:color w:val="auto"/>
          <w:highlight w:val="none"/>
          <w:shd w:val="clear" w:color="auto" w:fill="FFFFFF"/>
        </w:rPr>
        <w:t>日</w:t>
      </w:r>
      <w:r>
        <w:rPr>
          <w:rFonts w:hint="eastAsia" w:ascii="Times New Roman" w:hAnsi="Times New Roman" w:cs="Times New Roman"/>
          <w:color w:val="auto"/>
          <w:highlight w:val="none"/>
          <w:shd w:val="clear" w:color="auto" w:fill="FFFFFF"/>
          <w:lang w:val="en-US" w:eastAsia="zh-CN"/>
        </w:rPr>
        <w:t>14</w:t>
      </w:r>
      <w:r>
        <w:rPr>
          <w:rFonts w:hint="default" w:ascii="Times New Roman" w:hAnsi="Times New Roman" w:cs="Times New Roman"/>
          <w:color w:val="auto"/>
          <w:highlight w:val="none"/>
          <w:shd w:val="clear" w:color="auto" w:fill="FFFFFF"/>
        </w:rPr>
        <w:t>时</w:t>
      </w:r>
      <w:r>
        <w:rPr>
          <w:rFonts w:hint="eastAsia" w:ascii="Times New Roman" w:hAnsi="Times New Roman" w:cs="Times New Roman"/>
          <w:color w:val="auto"/>
          <w:highlight w:val="none"/>
          <w:shd w:val="clear" w:color="auto" w:fill="FFFFFF"/>
          <w:lang w:val="en-US" w:eastAsia="zh-CN"/>
        </w:rPr>
        <w:t>3</w:t>
      </w:r>
      <w:r>
        <w:rPr>
          <w:rFonts w:hint="default" w:ascii="Times New Roman" w:hAnsi="Times New Roman" w:cs="Times New Roman"/>
          <w:color w:val="auto"/>
          <w:highlight w:val="none"/>
          <w:shd w:val="clear" w:color="auto" w:fill="FFFFFF"/>
        </w:rPr>
        <w:t>0分</w:t>
      </w:r>
    </w:p>
    <w:p>
      <w:pPr>
        <w:ind w:firstLine="420"/>
        <w:rPr>
          <w:rFonts w:hint="eastAsia" w:ascii="Times New Roman" w:hAnsi="Times New Roman" w:eastAsia="宋体" w:cs="Times New Roman"/>
          <w:color w:val="auto"/>
          <w:szCs w:val="21"/>
          <w:highlight w:val="none"/>
          <w:shd w:val="clear" w:color="auto" w:fill="FFFFFF"/>
          <w:lang w:eastAsia="zh-CN"/>
        </w:rPr>
      </w:pPr>
      <w:r>
        <w:rPr>
          <w:rFonts w:hint="default" w:ascii="Times New Roman" w:hAnsi="Times New Roman" w:cs="Times New Roman"/>
          <w:color w:val="auto"/>
          <w:szCs w:val="21"/>
          <w:highlight w:val="none"/>
          <w:shd w:val="clear" w:color="auto" w:fill="FFFFFF"/>
        </w:rPr>
        <w:t>开标地点（网址）：本项目通过</w:t>
      </w:r>
      <w:r>
        <w:rPr>
          <w:rFonts w:hint="eastAsia" w:ascii="Times New Roman" w:hAnsi="Times New Roman" w:cs="Times New Roman"/>
          <w:color w:val="auto"/>
          <w:szCs w:val="21"/>
          <w:highlight w:val="none"/>
          <w:shd w:val="clear" w:color="auto" w:fill="FFFFFF"/>
          <w:lang w:eastAsia="zh-CN"/>
        </w:rPr>
        <w:t>“</w:t>
      </w:r>
      <w:r>
        <w:rPr>
          <w:rFonts w:hint="default" w:ascii="Times New Roman" w:hAnsi="Times New Roman" w:cs="Times New Roman"/>
          <w:color w:val="auto"/>
          <w:szCs w:val="21"/>
          <w:highlight w:val="none"/>
          <w:shd w:val="clear" w:color="auto" w:fill="FFFFFF"/>
        </w:rPr>
        <w:t>政府采购云平台（http://zfcg.czt.zj.gov.cn/）</w:t>
      </w:r>
      <w:r>
        <w:rPr>
          <w:rFonts w:hint="eastAsia" w:ascii="Times New Roman" w:hAnsi="Times New Roman" w:cs="Times New Roman"/>
          <w:color w:val="auto"/>
          <w:szCs w:val="21"/>
          <w:highlight w:val="none"/>
          <w:shd w:val="clear" w:color="auto" w:fill="FFFFFF"/>
          <w:lang w:eastAsia="zh-CN"/>
        </w:rPr>
        <w:t>”</w:t>
      </w:r>
      <w:r>
        <w:rPr>
          <w:rFonts w:hint="default" w:ascii="Times New Roman" w:hAnsi="Times New Roman" w:cs="Times New Roman"/>
          <w:color w:val="auto"/>
          <w:szCs w:val="21"/>
          <w:highlight w:val="none"/>
          <w:shd w:val="clear" w:color="auto" w:fill="FFFFFF"/>
        </w:rPr>
        <w:t>在线开标</w:t>
      </w:r>
      <w:r>
        <w:rPr>
          <w:rFonts w:hint="eastAsia" w:ascii="Times New Roman" w:hAnsi="Times New Roman" w:cs="Times New Roman"/>
          <w:color w:val="auto"/>
          <w:szCs w:val="21"/>
          <w:highlight w:val="none"/>
          <w:shd w:val="clear" w:color="auto" w:fill="FFFFFF"/>
          <w:lang w:eastAsia="zh-CN"/>
        </w:rPr>
        <w:t>。</w:t>
      </w:r>
    </w:p>
    <w:p>
      <w:pPr>
        <w:pStyle w:val="79"/>
        <w:rPr>
          <w:rFonts w:hint="default" w:ascii="Times New Roman" w:hAnsi="Times New Roman" w:cs="Times New Roman"/>
          <w:color w:val="auto"/>
          <w:highlight w:val="none"/>
        </w:rPr>
      </w:pPr>
      <w:r>
        <w:rPr>
          <w:rFonts w:hint="default" w:ascii="Times New Roman" w:hAnsi="Times New Roman" w:cs="Times New Roman"/>
          <w:color w:val="auto"/>
          <w:highlight w:val="none"/>
        </w:rPr>
        <w:t>五、采购意向公开链</w:t>
      </w:r>
    </w:p>
    <w:p>
      <w:pPr>
        <w:ind w:firstLine="420"/>
        <w:rPr>
          <w:rFonts w:hint="eastAsia" w:ascii="Times New Roman" w:hAnsi="Times New Roman" w:cs="Times New Roman"/>
          <w:color w:val="auto"/>
          <w:szCs w:val="21"/>
          <w:highlight w:val="none"/>
          <w:shd w:val="clear" w:color="auto" w:fill="FFFFFF"/>
          <w:lang w:eastAsia="zh-CN"/>
        </w:rPr>
      </w:pPr>
      <w:r>
        <w:rPr>
          <w:rFonts w:hint="eastAsia" w:ascii="Times New Roman" w:hAnsi="Times New Roman" w:cs="Times New Roman"/>
          <w:color w:val="auto"/>
          <w:szCs w:val="21"/>
          <w:highlight w:val="none"/>
          <w:shd w:val="clear" w:color="auto" w:fill="FFFFFF"/>
          <w:lang w:eastAsia="zh-CN"/>
        </w:rPr>
        <w:t>https://zfcg.czt.zj.gov.cn/innerUsed_noticeDetails/index.html?noticeId=9261106</w:t>
      </w:r>
    </w:p>
    <w:p>
      <w:pPr>
        <w:pStyle w:val="79"/>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六、</w:t>
      </w:r>
      <w:r>
        <w:rPr>
          <w:rFonts w:hint="default" w:ascii="Times New Roman" w:hAnsi="Times New Roman" w:cs="Times New Roman"/>
          <w:color w:val="auto"/>
          <w:highlight w:val="none"/>
        </w:rPr>
        <w:t>公告期限</w:t>
      </w:r>
    </w:p>
    <w:p>
      <w:pPr>
        <w:ind w:firstLine="420"/>
        <w:rPr>
          <w:rStyle w:val="29"/>
          <w:rFonts w:hint="default" w:ascii="Times New Roman" w:hAnsi="Times New Roman" w:cs="Times New Roman"/>
          <w:b/>
          <w:bCs/>
          <w:color w:val="auto"/>
          <w:szCs w:val="21"/>
          <w:highlight w:val="none"/>
        </w:rPr>
      </w:pPr>
      <w:r>
        <w:rPr>
          <w:rFonts w:hint="default" w:ascii="Times New Roman" w:hAnsi="Times New Roman" w:cs="Times New Roman"/>
          <w:color w:val="auto"/>
          <w:highlight w:val="none"/>
          <w:shd w:val="clear" w:color="auto" w:fill="FFFFFF"/>
        </w:rPr>
        <w:t>自本公告发布之日起5个工作日。</w:t>
      </w:r>
    </w:p>
    <w:p>
      <w:pPr>
        <w:pStyle w:val="79"/>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七</w:t>
      </w:r>
      <w:r>
        <w:rPr>
          <w:rFonts w:hint="default" w:ascii="Times New Roman" w:hAnsi="Times New Roman" w:cs="Times New Roman"/>
          <w:color w:val="auto"/>
          <w:highlight w:val="none"/>
        </w:rPr>
        <w:t>、其他补充事宜</w:t>
      </w:r>
    </w:p>
    <w:p>
      <w:pPr>
        <w:ind w:firstLine="420"/>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1</w:t>
      </w:r>
      <w:r>
        <w:rPr>
          <w:rFonts w:hint="eastAsia" w:ascii="Times New Roman" w:hAnsi="Times New Roman" w:cs="Times New Roman"/>
          <w:color w:val="auto"/>
          <w:highlight w:val="none"/>
          <w:shd w:val="clear" w:color="auto" w:fill="FFFFFF"/>
          <w:lang w:val="en-US" w:eastAsia="zh-CN"/>
        </w:rPr>
        <w:t>.</w:t>
      </w:r>
      <w:r>
        <w:rPr>
          <w:rFonts w:hint="default" w:ascii="Times New Roman" w:hAnsi="Times New Roman" w:cs="Times New Roman"/>
          <w:color w:val="auto"/>
          <w:highlight w:val="none"/>
          <w:shd w:val="clear" w:color="auto" w:fill="FFFFFF"/>
        </w:rPr>
        <w:t>《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pPr>
        <w:ind w:firstLine="420"/>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2</w:t>
      </w:r>
      <w:r>
        <w:rPr>
          <w:rFonts w:hint="eastAsia" w:ascii="Times New Roman" w:hAnsi="Times New Roman" w:cs="Times New Roman"/>
          <w:color w:val="auto"/>
          <w:highlight w:val="none"/>
          <w:shd w:val="clear" w:color="auto" w:fill="FFFFFF"/>
          <w:lang w:val="en-US" w:eastAsia="zh-CN"/>
        </w:rPr>
        <w:t>.</w:t>
      </w:r>
      <w:r>
        <w:rPr>
          <w:rFonts w:hint="default" w:ascii="Times New Roman" w:hAnsi="Times New Roman" w:cs="Times New Roman"/>
          <w:color w:val="auto"/>
          <w:highlight w:val="none"/>
          <w:shd w:val="clear" w:color="auto" w:fill="FFFFFF"/>
        </w:rPr>
        <w:t>根据《浙江省财政厅关于进一步促进政府采购公平竞争打造最优营商环境的通知》（浙财采监（2021）22号）文件关于</w:t>
      </w:r>
      <w:r>
        <w:rPr>
          <w:rFonts w:hint="eastAsia" w:ascii="Times New Roman" w:hAnsi="Times New Roman" w:cs="Times New Roman"/>
          <w:color w:val="auto"/>
          <w:highlight w:val="none"/>
          <w:shd w:val="clear" w:color="auto" w:fill="FFFFFF"/>
          <w:lang w:eastAsia="zh-CN"/>
        </w:rPr>
        <w:t>“</w:t>
      </w:r>
      <w:r>
        <w:rPr>
          <w:rFonts w:hint="default" w:ascii="Times New Roman" w:hAnsi="Times New Roman" w:cs="Times New Roman"/>
          <w:color w:val="auto"/>
          <w:highlight w:val="none"/>
          <w:shd w:val="clear" w:color="auto" w:fill="FFFFFF"/>
        </w:rPr>
        <w:t>健全行政裁决机制</w:t>
      </w:r>
      <w:r>
        <w:rPr>
          <w:rFonts w:hint="eastAsia" w:ascii="Times New Roman" w:hAnsi="Times New Roman" w:cs="Times New Roman"/>
          <w:color w:val="auto"/>
          <w:highlight w:val="none"/>
          <w:shd w:val="clear" w:color="auto" w:fill="FFFFFF"/>
          <w:lang w:eastAsia="zh-CN"/>
        </w:rPr>
        <w:t>”</w:t>
      </w:r>
      <w:r>
        <w:rPr>
          <w:rFonts w:hint="default" w:ascii="Times New Roman" w:hAnsi="Times New Roman" w:cs="Times New Roman"/>
          <w:color w:val="auto"/>
          <w:highlight w:val="none"/>
          <w:shd w:val="clear" w:color="auto" w:fill="FFFFFF"/>
        </w:rPr>
        <w:t>要求，鼓励供应商在线提起询问，路径为：政采云-项目采购-询问质疑投诉-询问列表</w:t>
      </w:r>
      <w:r>
        <w:rPr>
          <w:rFonts w:hint="eastAsia" w:ascii="Times New Roman" w:hAnsi="Times New Roman" w:cs="Times New Roman"/>
          <w:color w:val="auto"/>
          <w:highlight w:val="none"/>
          <w:shd w:val="clear" w:color="auto" w:fill="FFFFFF"/>
          <w:lang w:eastAsia="zh-CN"/>
        </w:rPr>
        <w:t>：</w:t>
      </w:r>
      <w:r>
        <w:rPr>
          <w:rFonts w:hint="default" w:ascii="Times New Roman" w:hAnsi="Times New Roman" w:cs="Times New Roman"/>
          <w:color w:val="auto"/>
          <w:highlight w:val="none"/>
          <w:shd w:val="clear" w:color="auto" w:fill="FFFFFF"/>
        </w:rPr>
        <w:t>鼓励供应商在线提起质疑，路径为：政采云-项目采购-询问质疑投诉-质疑列表。质疑供应商对在线质疑答复不满意的，可在线提起投诉，路径为：浙江政府服务网-政府采购投诉处理-在线办理。</w:t>
      </w:r>
    </w:p>
    <w:p>
      <w:pPr>
        <w:ind w:firstLine="420"/>
        <w:rPr>
          <w:rFonts w:hint="eastAsia" w:ascii="Times New Roman" w:hAnsi="Times New Roman" w:eastAsia="宋体" w:cs="Times New Roman"/>
          <w:color w:val="auto"/>
          <w:highlight w:val="none"/>
          <w:shd w:val="clear" w:color="auto" w:fill="FFFFFF"/>
          <w:lang w:eastAsia="zh-CN"/>
        </w:rPr>
      </w:pPr>
      <w:r>
        <w:rPr>
          <w:rFonts w:hint="default" w:ascii="Times New Roman" w:hAnsi="Times New Roman" w:cs="Times New Roman"/>
          <w:color w:val="auto"/>
          <w:highlight w:val="none"/>
          <w:shd w:val="clear" w:color="auto" w:fill="FFFFFF"/>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r>
        <w:rPr>
          <w:rFonts w:hint="eastAsia" w:ascii="Times New Roman" w:hAnsi="Times New Roman" w:cs="Times New Roman"/>
          <w:color w:val="auto"/>
          <w:highlight w:val="none"/>
          <w:shd w:val="clear" w:color="auto" w:fill="FFFFFF"/>
          <w:lang w:eastAsia="zh-CN"/>
        </w:rPr>
        <w:t>。</w:t>
      </w:r>
    </w:p>
    <w:p>
      <w:pPr>
        <w:ind w:firstLine="420"/>
        <w:rPr>
          <w:rFonts w:hint="eastAsia" w:ascii="Times New Roman" w:hAnsi="Times New Roman" w:cs="Times New Roman"/>
          <w:color w:val="auto"/>
          <w:highlight w:val="none"/>
          <w:shd w:val="clear" w:color="auto" w:fill="FFFFFF"/>
          <w:lang w:eastAsia="zh-CN"/>
        </w:rPr>
      </w:pPr>
      <w:r>
        <w:rPr>
          <w:rFonts w:hint="eastAsia" w:ascii="Times New Roman" w:hAnsi="Times New Roman" w:cs="Times New Roman"/>
          <w:color w:val="auto"/>
          <w:highlight w:val="none"/>
          <w:shd w:val="clear" w:color="auto" w:fill="FFFFFF"/>
          <w:lang w:val="en-US" w:eastAsia="zh-CN"/>
        </w:rPr>
        <w:t>4</w:t>
      </w:r>
      <w:r>
        <w:rPr>
          <w:rFonts w:hint="default" w:ascii="Times New Roman" w:hAnsi="Times New Roman" w:cs="Times New Roman"/>
          <w:color w:val="auto"/>
          <w:highlight w:val="none"/>
          <w:shd w:val="clear" w:color="auto" w:fill="FFFFFF"/>
        </w:rPr>
        <w:t>.其他事项：（1）投标文件的制作及递交：1）投标人须在线获取CA数字证书（完成CA数字证书办理预计一周左右，建议各投标人自行把握时间），并登陆</w:t>
      </w:r>
      <w:r>
        <w:rPr>
          <w:rFonts w:hint="eastAsia" w:ascii="Times New Roman" w:hAnsi="Times New Roman" w:cs="Times New Roman"/>
          <w:color w:val="auto"/>
          <w:highlight w:val="none"/>
          <w:shd w:val="clear" w:color="auto" w:fill="FFFFFF"/>
          <w:lang w:eastAsia="zh-CN"/>
        </w:rPr>
        <w:t>“</w:t>
      </w:r>
      <w:r>
        <w:rPr>
          <w:rFonts w:hint="default" w:ascii="Times New Roman" w:hAnsi="Times New Roman" w:cs="Times New Roman"/>
          <w:color w:val="auto"/>
          <w:highlight w:val="none"/>
          <w:shd w:val="clear" w:color="auto" w:fill="FFFFFF"/>
        </w:rPr>
        <w:t>浙江政府采购网</w:t>
      </w:r>
      <w:r>
        <w:rPr>
          <w:rFonts w:hint="eastAsia" w:ascii="Times New Roman" w:hAnsi="Times New Roman" w:cs="Times New Roman"/>
          <w:color w:val="auto"/>
          <w:highlight w:val="none"/>
          <w:shd w:val="clear" w:color="auto" w:fill="FFFFFF"/>
          <w:lang w:eastAsia="zh-CN"/>
        </w:rPr>
        <w:t>”</w:t>
      </w:r>
      <w:r>
        <w:rPr>
          <w:rFonts w:hint="default" w:ascii="Times New Roman" w:hAnsi="Times New Roman" w:cs="Times New Roman"/>
          <w:color w:val="auto"/>
          <w:highlight w:val="none"/>
          <w:shd w:val="clear" w:color="auto" w:fill="FFFFFF"/>
        </w:rPr>
        <w:t>（http://zfcg.czt.zj.gov.cn/），进入</w:t>
      </w:r>
      <w:r>
        <w:rPr>
          <w:rFonts w:hint="eastAsia" w:ascii="Times New Roman" w:hAnsi="Times New Roman" w:cs="Times New Roman"/>
          <w:color w:val="auto"/>
          <w:highlight w:val="none"/>
          <w:shd w:val="clear" w:color="auto" w:fill="FFFFFF"/>
          <w:lang w:eastAsia="zh-CN"/>
        </w:rPr>
        <w:t>“</w:t>
      </w:r>
      <w:r>
        <w:rPr>
          <w:rFonts w:hint="default" w:ascii="Times New Roman" w:hAnsi="Times New Roman" w:cs="Times New Roman"/>
          <w:color w:val="auto"/>
          <w:highlight w:val="none"/>
          <w:shd w:val="clear" w:color="auto" w:fill="FFFFFF"/>
        </w:rPr>
        <w:t>下载专区</w:t>
      </w:r>
      <w:r>
        <w:rPr>
          <w:rFonts w:hint="eastAsia" w:ascii="Times New Roman" w:hAnsi="Times New Roman" w:cs="Times New Roman"/>
          <w:color w:val="auto"/>
          <w:highlight w:val="none"/>
          <w:shd w:val="clear" w:color="auto" w:fill="FFFFFF"/>
          <w:lang w:eastAsia="zh-CN"/>
        </w:rPr>
        <w:t>”</w:t>
      </w:r>
      <w:r>
        <w:rPr>
          <w:rFonts w:hint="default" w:ascii="Times New Roman" w:hAnsi="Times New Roman" w:cs="Times New Roman"/>
          <w:color w:val="auto"/>
          <w:highlight w:val="none"/>
          <w:shd w:val="clear" w:color="auto" w:fill="FFFFFF"/>
        </w:rPr>
        <w:t>下载</w:t>
      </w:r>
      <w:r>
        <w:rPr>
          <w:rFonts w:hint="eastAsia" w:ascii="Times New Roman" w:hAnsi="Times New Roman" w:cs="Times New Roman"/>
          <w:color w:val="auto"/>
          <w:highlight w:val="none"/>
          <w:shd w:val="clear" w:color="auto" w:fill="FFFFFF"/>
          <w:lang w:eastAsia="zh-CN"/>
        </w:rPr>
        <w:t>“</w:t>
      </w:r>
      <w:r>
        <w:rPr>
          <w:rFonts w:hint="default" w:ascii="Times New Roman" w:hAnsi="Times New Roman" w:cs="Times New Roman"/>
          <w:color w:val="auto"/>
          <w:highlight w:val="none"/>
          <w:shd w:val="clear" w:color="auto" w:fill="FFFFFF"/>
        </w:rPr>
        <w:t>电子交易客户端</w:t>
      </w:r>
      <w:r>
        <w:rPr>
          <w:rFonts w:hint="eastAsia" w:ascii="Times New Roman" w:hAnsi="Times New Roman" w:cs="Times New Roman"/>
          <w:color w:val="auto"/>
          <w:highlight w:val="none"/>
          <w:shd w:val="clear" w:color="auto" w:fill="FFFFFF"/>
          <w:lang w:eastAsia="zh-CN"/>
        </w:rPr>
        <w:t>”</w:t>
      </w:r>
      <w:r>
        <w:rPr>
          <w:rFonts w:hint="default" w:ascii="Times New Roman" w:hAnsi="Times New Roman" w:cs="Times New Roman"/>
          <w:color w:val="auto"/>
          <w:highlight w:val="none"/>
          <w:shd w:val="clear" w:color="auto" w:fill="FFFFFF"/>
        </w:rPr>
        <w:t>，制作投标文件。2）具体的投标文件加密上传等操作详见政采云平台操作指南（https://edu.zcygov.cn/luban/e-biding?utm=a0004.2ef5001f.0001.0109.da8b35e0da8611e98d8937b7ef8a3544）。3）根据《浙江省政府采购项目电子交易管理暂行办法》第二十条规定，本次投标允许投标人递交备份投标文件，仅提交备份投标文件的，投标无效。（2）投标人应在合同签订前成为浙江政府采购网正式注册供应商。</w:t>
      </w:r>
      <w:r>
        <w:rPr>
          <w:rFonts w:hint="eastAsia" w:ascii="Times New Roman" w:hAnsi="Times New Roman" w:cs="Times New Roman"/>
          <w:color w:val="auto"/>
          <w:highlight w:val="none"/>
          <w:shd w:val="clear" w:color="auto" w:fill="FFFFFF"/>
          <w:lang w:eastAsia="zh-CN"/>
        </w:rPr>
        <w:t>（</w:t>
      </w:r>
      <w:r>
        <w:rPr>
          <w:rFonts w:hint="eastAsia" w:ascii="Times New Roman" w:hAnsi="Times New Roman" w:cs="Times New Roman"/>
          <w:color w:val="auto"/>
          <w:highlight w:val="none"/>
          <w:shd w:val="clear" w:color="auto" w:fill="FFFFFF"/>
          <w:lang w:val="en-US" w:eastAsia="zh-CN"/>
        </w:rPr>
        <w:t>3</w:t>
      </w:r>
      <w:r>
        <w:rPr>
          <w:rFonts w:hint="eastAsia" w:ascii="Times New Roman" w:hAnsi="Times New Roman" w:cs="Times New Roman"/>
          <w:color w:val="auto"/>
          <w:highlight w:val="none"/>
          <w:shd w:val="clear" w:color="auto" w:fill="FFFFFF"/>
          <w:lang w:eastAsia="zh-CN"/>
        </w:rPr>
        <w:t>）</w:t>
      </w:r>
      <w:r>
        <w:rPr>
          <w:rFonts w:hint="default" w:ascii="Times New Roman" w:hAnsi="Times New Roman" w:cs="Times New Roman"/>
          <w:color w:val="auto"/>
          <w:highlight w:val="none"/>
          <w:shd w:val="clear" w:color="auto" w:fill="FFFFFF"/>
        </w:rPr>
        <w:t>本项目非专门面向中小企业采购的项目，所有大中小微型企业均可参加投标，小微企业、监狱企业、残疾人福利性单位依法享受</w:t>
      </w:r>
      <w:r>
        <w:rPr>
          <w:rFonts w:hint="eastAsia" w:ascii="Times New Roman" w:hAnsi="Times New Roman" w:cs="Times New Roman"/>
          <w:color w:val="auto"/>
          <w:highlight w:val="none"/>
          <w:shd w:val="clear" w:color="auto" w:fill="FFFFFF"/>
          <w:lang w:val="en-US" w:eastAsia="zh-CN"/>
        </w:rPr>
        <w:t>10</w:t>
      </w:r>
      <w:r>
        <w:rPr>
          <w:rFonts w:hint="default" w:ascii="Times New Roman" w:hAnsi="Times New Roman" w:cs="Times New Roman"/>
          <w:color w:val="auto"/>
          <w:highlight w:val="none"/>
          <w:shd w:val="clear" w:color="auto" w:fill="FFFFFF"/>
        </w:rPr>
        <w:t>%价格评审优惠。</w:t>
      </w:r>
    </w:p>
    <w:p>
      <w:pPr>
        <w:pStyle w:val="79"/>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八</w:t>
      </w:r>
      <w:r>
        <w:rPr>
          <w:rFonts w:hint="default" w:ascii="Times New Roman" w:hAnsi="Times New Roman" w:cs="Times New Roman"/>
          <w:color w:val="auto"/>
          <w:highlight w:val="none"/>
        </w:rPr>
        <w:t>、对本次采购提出询问、质疑、投诉，请按以下方式联系：</w:t>
      </w:r>
    </w:p>
    <w:p>
      <w:pPr>
        <w:ind w:firstLine="420"/>
        <w:rPr>
          <w:rFonts w:hint="default" w:ascii="Times New Roman" w:hAnsi="Times New Roman" w:cs="Times New Roman"/>
          <w:b/>
          <w:bCs/>
          <w:color w:val="auto"/>
          <w:highlight w:val="none"/>
          <w:shd w:val="clear" w:color="auto" w:fill="FFFFFF"/>
        </w:rPr>
      </w:pPr>
      <w:r>
        <w:rPr>
          <w:rFonts w:hint="default" w:ascii="Times New Roman" w:hAnsi="Times New Roman" w:cs="Times New Roman"/>
          <w:b/>
          <w:bCs/>
          <w:color w:val="auto"/>
          <w:highlight w:val="none"/>
          <w:shd w:val="clear" w:color="auto" w:fill="FFFFFF"/>
        </w:rPr>
        <w:t>1.采购人信息</w:t>
      </w:r>
    </w:p>
    <w:p>
      <w:pPr>
        <w:ind w:firstLine="420"/>
        <w:rPr>
          <w:rFonts w:hint="default" w:ascii="Times New Roman" w:hAnsi="Times New Roman" w:cs="Times New Roman"/>
          <w:color w:val="auto"/>
          <w:szCs w:val="21"/>
          <w:highlight w:val="none"/>
          <w:shd w:val="clear" w:color="auto" w:fill="FFFFFF"/>
          <w:lang w:eastAsia="zh-CN"/>
        </w:rPr>
      </w:pPr>
      <w:r>
        <w:rPr>
          <w:rFonts w:hint="default" w:ascii="Times New Roman" w:hAnsi="Times New Roman" w:cs="Times New Roman"/>
          <w:color w:val="auto"/>
          <w:szCs w:val="21"/>
          <w:highlight w:val="none"/>
          <w:shd w:val="clear" w:color="auto" w:fill="FFFFFF"/>
        </w:rPr>
        <w:t>名称：舟山绿色石化基地管委会</w:t>
      </w:r>
      <w:r>
        <w:rPr>
          <w:rFonts w:hint="default" w:ascii="Times New Roman" w:hAnsi="Times New Roman" w:cs="Times New Roman"/>
          <w:color w:val="auto"/>
          <w:szCs w:val="21"/>
          <w:highlight w:val="none"/>
          <w:shd w:val="clear" w:color="auto" w:fill="FFFFFF"/>
          <w:lang w:val="en-US" w:eastAsia="zh-CN"/>
        </w:rPr>
        <w:t xml:space="preserve"> </w:t>
      </w:r>
    </w:p>
    <w:p>
      <w:pPr>
        <w:ind w:firstLine="420"/>
        <w:rPr>
          <w:rFonts w:hint="default" w:ascii="Times New Roman" w:hAnsi="Times New Roman" w:cs="Times New Roman"/>
          <w:color w:val="auto"/>
          <w:szCs w:val="21"/>
          <w:highlight w:val="none"/>
          <w:shd w:val="clear" w:color="auto" w:fill="FFFFFF"/>
          <w:lang w:eastAsia="zh-CN"/>
        </w:rPr>
      </w:pPr>
      <w:r>
        <w:rPr>
          <w:rFonts w:hint="default" w:ascii="Times New Roman" w:hAnsi="Times New Roman" w:cs="Times New Roman"/>
          <w:color w:val="auto"/>
          <w:szCs w:val="21"/>
          <w:highlight w:val="none"/>
          <w:shd w:val="clear" w:color="auto" w:fill="FFFFFF"/>
        </w:rPr>
        <w:t>地址：</w:t>
      </w:r>
      <w:r>
        <w:rPr>
          <w:rFonts w:hint="eastAsia" w:ascii="Times New Roman" w:hAnsi="Times New Roman" w:cs="Times New Roman"/>
          <w:color w:val="auto"/>
          <w:szCs w:val="21"/>
          <w:highlight w:val="none"/>
          <w:shd w:val="clear" w:color="auto" w:fill="FFFFFF"/>
        </w:rPr>
        <w:t>舟山市岱山县鱼山岛舟山绿色石化基地管委会办公楼</w:t>
      </w:r>
    </w:p>
    <w:p>
      <w:pPr>
        <w:ind w:firstLine="420"/>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传真：</w:t>
      </w:r>
      <w:r>
        <w:rPr>
          <w:rFonts w:hint="eastAsia" w:ascii="Times New Roman" w:hAnsi="Times New Roman" w:cs="Times New Roman"/>
          <w:color w:val="auto"/>
          <w:szCs w:val="21"/>
          <w:highlight w:val="none"/>
          <w:lang w:val="en-US" w:eastAsia="zh-CN"/>
        </w:rPr>
        <w:t>/</w:t>
      </w:r>
    </w:p>
    <w:p>
      <w:pPr>
        <w:ind w:firstLine="42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项目联系人（询问）：</w:t>
      </w:r>
      <w:r>
        <w:rPr>
          <w:rFonts w:hint="eastAsia" w:ascii="Times New Roman" w:hAnsi="Times New Roman" w:cs="Times New Roman"/>
          <w:color w:val="auto"/>
          <w:highlight w:val="none"/>
          <w:lang w:eastAsia="zh-CN"/>
        </w:rPr>
        <w:t>郑先生</w:t>
      </w:r>
    </w:p>
    <w:p>
      <w:pPr>
        <w:ind w:firstLine="42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项目联系方式（询问）：0580-7337981</w:t>
      </w:r>
    </w:p>
    <w:p>
      <w:pPr>
        <w:ind w:firstLine="420"/>
        <w:rPr>
          <w:rFonts w:hint="eastAsia" w:ascii="Times New Roman" w:hAnsi="Times New Roman" w:eastAsia="宋体" w:cs="Times New Roman"/>
          <w:color w:val="auto"/>
          <w:szCs w:val="21"/>
          <w:highlight w:val="none"/>
          <w:shd w:val="clear" w:color="auto" w:fill="FFFFFF"/>
          <w:lang w:eastAsia="zh-CN"/>
        </w:rPr>
      </w:pPr>
      <w:r>
        <w:rPr>
          <w:rFonts w:hint="default" w:ascii="Times New Roman" w:hAnsi="Times New Roman" w:cs="Times New Roman"/>
          <w:color w:val="auto"/>
          <w:szCs w:val="21"/>
          <w:highlight w:val="none"/>
          <w:shd w:val="clear" w:color="auto" w:fill="FFFFFF"/>
        </w:rPr>
        <w:t>质疑联系人：</w:t>
      </w:r>
      <w:r>
        <w:rPr>
          <w:rFonts w:hint="eastAsia" w:ascii="Times New Roman" w:hAnsi="Times New Roman" w:cs="Times New Roman"/>
          <w:color w:val="auto"/>
          <w:szCs w:val="21"/>
          <w:highlight w:val="none"/>
          <w:shd w:val="clear" w:color="auto" w:fill="FFFFFF"/>
          <w:lang w:eastAsia="zh-CN"/>
        </w:rPr>
        <w:t>薛先生</w:t>
      </w:r>
    </w:p>
    <w:p>
      <w:pPr>
        <w:ind w:firstLine="420"/>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cs="Times New Roman"/>
          <w:color w:val="auto"/>
          <w:szCs w:val="21"/>
          <w:highlight w:val="none"/>
          <w:shd w:val="clear" w:color="auto" w:fill="FFFFFF"/>
        </w:rPr>
        <w:t>质疑联系方式：</w:t>
      </w:r>
      <w:r>
        <w:rPr>
          <w:rFonts w:hint="eastAsia" w:ascii="Times New Roman" w:hAnsi="Times New Roman" w:cs="Times New Roman"/>
          <w:color w:val="auto"/>
          <w:szCs w:val="21"/>
          <w:highlight w:val="none"/>
          <w:shd w:val="clear" w:color="auto" w:fill="FFFFFF"/>
          <w:lang w:val="en-US" w:eastAsia="zh-CN"/>
        </w:rPr>
        <w:t>0580-8250000</w:t>
      </w:r>
    </w:p>
    <w:p>
      <w:pPr>
        <w:ind w:firstLine="420"/>
        <w:rPr>
          <w:rFonts w:hint="default" w:ascii="Times New Roman" w:hAnsi="Times New Roman" w:cs="Times New Roman"/>
          <w:b/>
          <w:bCs/>
          <w:color w:val="auto"/>
          <w:highlight w:val="none"/>
          <w:shd w:val="clear" w:color="auto" w:fill="FFFFFF"/>
        </w:rPr>
      </w:pPr>
      <w:r>
        <w:rPr>
          <w:rFonts w:hint="default" w:ascii="Times New Roman" w:hAnsi="Times New Roman" w:cs="Times New Roman"/>
          <w:b/>
          <w:bCs/>
          <w:color w:val="auto"/>
          <w:highlight w:val="none"/>
          <w:shd w:val="clear" w:color="auto" w:fill="FFFFFF"/>
        </w:rPr>
        <w:t>2.</w:t>
      </w:r>
      <w:r>
        <w:rPr>
          <w:rFonts w:hint="eastAsia" w:ascii="Times New Roman" w:hAnsi="Times New Roman" w:cs="Times New Roman"/>
          <w:b/>
          <w:bCs/>
          <w:color w:val="auto"/>
          <w:highlight w:val="none"/>
          <w:shd w:val="clear" w:color="auto" w:fill="FFFFFF"/>
          <w:lang w:eastAsia="zh-CN"/>
        </w:rPr>
        <w:t>采购</w:t>
      </w:r>
      <w:r>
        <w:rPr>
          <w:rFonts w:hint="default" w:ascii="Times New Roman" w:hAnsi="Times New Roman" w:cs="Times New Roman"/>
          <w:b/>
          <w:bCs/>
          <w:color w:val="auto"/>
          <w:highlight w:val="none"/>
          <w:shd w:val="clear" w:color="auto" w:fill="FFFFFF"/>
        </w:rPr>
        <w:t>代理机构信息</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名称：浙江万事达建设工程管理有限公司</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地址：舟山市新城千岛路171号建设大厦A座1706室</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传真：0580-2620826</w:t>
      </w:r>
    </w:p>
    <w:p>
      <w:pPr>
        <w:spacing w:line="360" w:lineRule="auto"/>
        <w:ind w:firstLine="420" w:firstLineChars="200"/>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项目联系人（询问）：</w:t>
      </w:r>
      <w:r>
        <w:rPr>
          <w:rFonts w:hint="default" w:ascii="Times New Roman" w:hAnsi="Times New Roman" w:cs="Times New Roman"/>
          <w:color w:val="auto"/>
          <w:szCs w:val="21"/>
          <w:highlight w:val="none"/>
          <w:lang w:eastAsia="zh-CN"/>
        </w:rPr>
        <w:t>张燕玲</w:t>
      </w:r>
    </w:p>
    <w:p>
      <w:pPr>
        <w:spacing w:line="360" w:lineRule="auto"/>
        <w:ind w:firstLine="420" w:firstLineChars="200"/>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项目联系方式（询问）：</w:t>
      </w:r>
      <w:r>
        <w:rPr>
          <w:rFonts w:hint="default" w:ascii="Times New Roman" w:hAnsi="Times New Roman" w:cs="Times New Roman"/>
          <w:color w:val="auto"/>
          <w:szCs w:val="22"/>
          <w:highlight w:val="none"/>
          <w:shd w:val="clear" w:color="auto" w:fill="FFFFFF"/>
        </w:rPr>
        <w:t>0580-2</w:t>
      </w:r>
      <w:r>
        <w:rPr>
          <w:rFonts w:hint="default" w:ascii="Times New Roman" w:hAnsi="Times New Roman" w:cs="Times New Roman"/>
          <w:color w:val="auto"/>
          <w:szCs w:val="22"/>
          <w:highlight w:val="none"/>
          <w:shd w:val="clear" w:color="auto" w:fill="FFFFFF"/>
          <w:lang w:val="en-US" w:eastAsia="zh-CN"/>
        </w:rPr>
        <w:t>183189</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质疑联系人：</w:t>
      </w:r>
      <w:r>
        <w:rPr>
          <w:rFonts w:hint="default" w:ascii="Times New Roman" w:hAnsi="Times New Roman" w:cs="Times New Roman"/>
          <w:color w:val="auto"/>
          <w:szCs w:val="22"/>
          <w:highlight w:val="none"/>
          <w:shd w:val="clear" w:color="auto" w:fill="FFFFFF"/>
        </w:rPr>
        <w:t>蒋惠飞</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质疑联系方式：</w:t>
      </w:r>
      <w:r>
        <w:rPr>
          <w:rFonts w:hint="default" w:ascii="Times New Roman" w:hAnsi="Times New Roman" w:cs="Times New Roman"/>
          <w:color w:val="auto"/>
          <w:szCs w:val="22"/>
          <w:highlight w:val="none"/>
          <w:shd w:val="clear" w:color="auto" w:fill="FFFFFF"/>
        </w:rPr>
        <w:t>0580-</w:t>
      </w:r>
      <w:r>
        <w:rPr>
          <w:rFonts w:hint="default" w:ascii="Times New Roman" w:hAnsi="Times New Roman" w:cs="Times New Roman"/>
          <w:color w:val="auto"/>
          <w:szCs w:val="21"/>
          <w:highlight w:val="none"/>
        </w:rPr>
        <w:t>2183189</w:t>
      </w:r>
    </w:p>
    <w:p>
      <w:pPr>
        <w:ind w:firstLine="420"/>
        <w:rPr>
          <w:rFonts w:hint="default" w:ascii="Times New Roman" w:hAnsi="Times New Roman" w:cs="Times New Roman"/>
          <w:b/>
          <w:bCs/>
          <w:color w:val="auto"/>
          <w:highlight w:val="none"/>
          <w:shd w:val="clear" w:color="auto" w:fill="FFFFFF"/>
        </w:rPr>
      </w:pPr>
      <w:r>
        <w:rPr>
          <w:rFonts w:hint="default" w:ascii="Times New Roman" w:hAnsi="Times New Roman" w:cs="Times New Roman"/>
          <w:b/>
          <w:bCs/>
          <w:color w:val="auto"/>
          <w:highlight w:val="none"/>
          <w:shd w:val="clear" w:color="auto" w:fill="FFFFFF"/>
        </w:rPr>
        <w:t>3.同级政府采购监督管理部门</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名称：舟山市财政局政府采购监管处</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地址：舟山市新城海天大道681号</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传真：0580-2282591</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联系人：王女士</w:t>
      </w:r>
    </w:p>
    <w:p>
      <w:pPr>
        <w:spacing w:line="360" w:lineRule="auto"/>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监督投诉电话：0580-2282591</w:t>
      </w:r>
    </w:p>
    <w:p>
      <w:pPr>
        <w:ind w:firstLine="420"/>
        <w:rPr>
          <w:rFonts w:hint="eastAsia" w:hAnsi="宋体"/>
          <w:color w:val="auto"/>
          <w:szCs w:val="21"/>
          <w:highlight w:val="none"/>
        </w:rPr>
      </w:pPr>
    </w:p>
    <w:p>
      <w:pPr>
        <w:ind w:firstLine="420"/>
        <w:rPr>
          <w:rFonts w:hint="eastAsia" w:hAnsi="宋体"/>
          <w:color w:val="auto"/>
          <w:szCs w:val="21"/>
          <w:highlight w:val="none"/>
        </w:rPr>
      </w:pPr>
      <w:r>
        <w:rPr>
          <w:rFonts w:hint="eastAsia" w:hAnsi="宋体"/>
          <w:color w:val="auto"/>
          <w:szCs w:val="21"/>
          <w:highlight w:val="none"/>
        </w:rPr>
        <w:t>若对项目采购电子交易系统操作有疑问，可登录政采云（https://www.zcygov.cn/），点击右侧咨询小采，获取采小蜜智能服务管家帮助，或拨打政采云服务热线 400-881-7190 获取热线服务帮助。</w:t>
      </w:r>
    </w:p>
    <w:p>
      <w:pPr>
        <w:ind w:firstLine="420"/>
        <w:rPr>
          <w:rFonts w:hint="eastAsia" w:hAnsi="宋体"/>
          <w:color w:val="auto"/>
          <w:szCs w:val="21"/>
          <w:highlight w:val="none"/>
        </w:rPr>
      </w:pPr>
      <w:r>
        <w:rPr>
          <w:rFonts w:hint="eastAsia" w:hAnsi="宋体"/>
          <w:color w:val="auto"/>
          <w:szCs w:val="21"/>
          <w:highlight w:val="none"/>
        </w:rPr>
        <w:t>CA问题联系电话（人工）：汇信CA400-888-4636；天谷CA400-087-8198</w:t>
      </w:r>
    </w:p>
    <w:p>
      <w:pPr>
        <w:ind w:firstLine="420"/>
        <w:rPr>
          <w:rFonts w:hint="eastAsia" w:hAnsi="宋体"/>
          <w:color w:val="auto"/>
          <w:szCs w:val="21"/>
          <w:highlight w:val="none"/>
        </w:rPr>
      </w:pPr>
    </w:p>
    <w:p>
      <w:pPr>
        <w:ind w:firstLine="420"/>
        <w:rPr>
          <w:rFonts w:hint="eastAsia" w:hAnsi="宋体"/>
          <w:color w:val="auto"/>
          <w:szCs w:val="21"/>
          <w:highlight w:val="none"/>
        </w:rPr>
      </w:pPr>
    </w:p>
    <w:p>
      <w:pPr>
        <w:ind w:firstLine="420"/>
        <w:rPr>
          <w:rFonts w:hint="eastAsia" w:hAnsi="宋体"/>
          <w:color w:val="auto"/>
          <w:szCs w:val="21"/>
          <w:highlight w:val="none"/>
        </w:rPr>
      </w:pPr>
    </w:p>
    <w:p>
      <w:pPr>
        <w:ind w:firstLine="420"/>
        <w:rPr>
          <w:rFonts w:hint="eastAsia" w:hAnsi="宋体"/>
          <w:color w:val="auto"/>
          <w:szCs w:val="21"/>
          <w:highlight w:val="none"/>
        </w:rPr>
      </w:pPr>
    </w:p>
    <w:p>
      <w:pPr>
        <w:ind w:firstLine="420"/>
        <w:rPr>
          <w:rFonts w:hAnsi="宋体"/>
          <w:b/>
          <w:color w:val="auto"/>
          <w:sz w:val="36"/>
          <w:szCs w:val="21"/>
          <w:highlight w:val="none"/>
        </w:rPr>
      </w:pPr>
      <w:r>
        <w:rPr>
          <w:rFonts w:hAnsi="宋体"/>
          <w:color w:val="auto"/>
          <w:szCs w:val="21"/>
          <w:highlight w:val="none"/>
        </w:rPr>
        <w:br w:type="page"/>
      </w:r>
    </w:p>
    <w:p>
      <w:pPr>
        <w:pStyle w:val="5"/>
        <w:spacing w:after="156"/>
        <w:rPr>
          <w:b/>
          <w:bCs/>
          <w:color w:val="auto"/>
          <w:highlight w:val="none"/>
        </w:rPr>
      </w:pPr>
      <w:bookmarkStart w:id="2" w:name="_Toc72432384"/>
      <w:bookmarkStart w:id="3" w:name="_Hlk52195203"/>
      <w:bookmarkStart w:id="4" w:name="_Hlk59023012"/>
      <w:bookmarkStart w:id="5" w:name="_Hlk70607936"/>
      <w:r>
        <w:rPr>
          <w:rFonts w:hint="eastAsia"/>
          <w:b/>
          <w:bCs/>
          <w:color w:val="auto"/>
          <w:highlight w:val="none"/>
        </w:rPr>
        <w:t>采购需求</w:t>
      </w:r>
      <w:bookmarkEnd w:id="2"/>
    </w:p>
    <w:bookmarkEnd w:id="3"/>
    <w:bookmarkEnd w:id="4"/>
    <w:p>
      <w:pPr>
        <w:ind w:firstLine="420"/>
        <w:rPr>
          <w:color w:val="auto"/>
          <w:szCs w:val="21"/>
          <w:highlight w:val="none"/>
        </w:rPr>
      </w:pPr>
      <w:r>
        <w:rPr>
          <w:rFonts w:hAnsi="宋体"/>
          <w:color w:val="auto"/>
          <w:szCs w:val="21"/>
          <w:highlight w:val="none"/>
        </w:rPr>
        <w:t>根据《舟山绿色石化基地围填海工程海域使用论证报告书》、《舟山绿色石化基地围填海工程无居民海岛开发利用项目论证报告》及自然资源部批复的相关要求，对石化基地周边海域、海岛开展为期一年的生态环境跟踪监测与评价工作。工作内容包括海域生态资源跟踪监测（含水下地形测量、海域大面水质生态环境跟踪监测）、海岛生态环境监测（含海岛鸟类资源监测、无居民海岛生态环境跟踪监测）和重点风险源生态资源跟踪监测（含排污口及邻近海域监测，温排水口及温升余氯影响海域监测），并出具跟踪监测报告。</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一、目的意义</w:t>
      </w:r>
    </w:p>
    <w:p>
      <w:pPr>
        <w:spacing w:before="78"/>
        <w:ind w:left="20" w:right="7" w:firstLine="420"/>
        <w:rPr>
          <w:rFonts w:hAnsi="宋体"/>
          <w:color w:val="auto"/>
          <w:szCs w:val="21"/>
          <w:highlight w:val="none"/>
        </w:rPr>
      </w:pPr>
      <w:r>
        <w:rPr>
          <w:rFonts w:hint="eastAsia" w:hAnsi="宋体"/>
          <w:color w:val="auto"/>
          <w:szCs w:val="21"/>
          <w:highlight w:val="none"/>
        </w:rPr>
        <w:t>通过对项目营运期海域海岛生态资源跟踪监测，了解和掌握本项目在其营运期对海洋水质、沉积物、生物生态资源、地形等的影响，分析评价其影响范围和影响程度，为项目运营产生的生态资源影响分析评价提供技术支撑，为建设单位和管理部门决策提供依据。</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二、监测范围</w:t>
      </w:r>
    </w:p>
    <w:p>
      <w:pPr>
        <w:spacing w:before="78"/>
        <w:ind w:left="20" w:right="7" w:firstLine="420"/>
        <w:rPr>
          <w:rFonts w:hAnsi="宋体"/>
          <w:color w:val="auto"/>
          <w:szCs w:val="21"/>
          <w:highlight w:val="none"/>
        </w:rPr>
      </w:pPr>
      <w:r>
        <w:rPr>
          <w:rFonts w:hint="eastAsia" w:hAnsi="宋体"/>
          <w:color w:val="auto"/>
          <w:szCs w:val="21"/>
          <w:highlight w:val="none"/>
        </w:rPr>
        <w:t>监测区域为以石化基地为中心，东南-西北(主潮流方向)外扩35km，西南-东北(垂直于主潮流方向)外扩25km，所围成的3500km</w:t>
      </w:r>
      <w:r>
        <w:rPr>
          <w:rFonts w:hint="eastAsia" w:hAnsi="宋体"/>
          <w:color w:val="auto"/>
          <w:szCs w:val="21"/>
          <w:highlight w:val="none"/>
          <w:vertAlign w:val="superscript"/>
        </w:rPr>
        <w:t>2</w:t>
      </w:r>
      <w:r>
        <w:rPr>
          <w:rFonts w:hint="eastAsia" w:hAnsi="宋体"/>
          <w:color w:val="auto"/>
          <w:szCs w:val="21"/>
          <w:highlight w:val="none"/>
        </w:rPr>
        <w:t>矩形方框内进行。</w:t>
      </w:r>
    </w:p>
    <w:p>
      <w:pPr>
        <w:spacing w:before="78"/>
        <w:ind w:left="20" w:right="7" w:firstLine="420"/>
        <w:rPr>
          <w:rFonts w:hAnsi="宋体"/>
          <w:color w:val="auto"/>
          <w:szCs w:val="21"/>
          <w:highlight w:val="none"/>
        </w:rPr>
      </w:pPr>
      <w:r>
        <w:rPr>
          <w:rFonts w:hint="eastAsia" w:hAnsi="宋体"/>
          <w:color w:val="auto"/>
          <w:szCs w:val="21"/>
          <w:highlight w:val="none"/>
          <w14:textOutline w14:w="5448" w14:cap="flat" w14:cmpd="sng" w14:algn="ctr">
            <w14:solidFill>
              <w14:srgbClr w14:val="000000"/>
            </w14:solidFill>
            <w14:prstDash w14:val="solid"/>
            <w14:miter w14:val="0"/>
          </w14:textOutline>
        </w:rPr>
        <w:t>三、</w:t>
      </w:r>
      <w:r>
        <w:rPr>
          <w:rFonts w:hAnsi="宋体"/>
          <w:color w:val="auto"/>
          <w:szCs w:val="21"/>
          <w:highlight w:val="none"/>
          <w14:textOutline w14:w="5448" w14:cap="flat" w14:cmpd="sng" w14:algn="ctr">
            <w14:solidFill>
              <w14:srgbClr w14:val="000000"/>
            </w14:solidFill>
            <w14:prstDash w14:val="solid"/>
            <w14:miter w14:val="0"/>
          </w14:textOutline>
        </w:rPr>
        <w:t>海洋生态资源跟踪监测</w:t>
      </w:r>
      <w:r>
        <w:rPr>
          <w:rFonts w:hint="eastAsia" w:hAnsi="宋体"/>
          <w:color w:val="auto"/>
          <w:szCs w:val="21"/>
          <w:highlight w:val="none"/>
          <w14:textOutline w14:w="5448" w14:cap="flat" w14:cmpd="sng" w14:algn="ctr">
            <w14:solidFill>
              <w14:srgbClr w14:val="000000"/>
            </w14:solidFill>
            <w14:prstDash w14:val="solid"/>
            <w14:miter w14:val="0"/>
          </w14:textOutline>
        </w:rPr>
        <w:t>内容</w:t>
      </w:r>
    </w:p>
    <w:p>
      <w:pPr>
        <w:spacing w:line="357" w:lineRule="auto"/>
        <w:ind w:left="21" w:right="9" w:firstLine="420"/>
        <w:rPr>
          <w:rFonts w:hAnsi="宋体"/>
          <w:color w:val="auto"/>
          <w:szCs w:val="21"/>
          <w:highlight w:val="none"/>
        </w:rPr>
      </w:pPr>
      <w:r>
        <w:rPr>
          <w:rFonts w:hint="eastAsia" w:hAnsi="宋体"/>
          <w:color w:val="auto"/>
          <w:szCs w:val="21"/>
          <w:highlight w:val="none"/>
        </w:rPr>
        <w:t>本次跟踪监测方案为营运期一年内的海洋生态跟踪监测内容，包括海域生态资源、海岛生态资源和重点风险源环境跟踪监测三个部分。</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1 海域生态资源跟踪监测</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1.1 水下地形测量</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(1)测量范围</w:t>
      </w:r>
    </w:p>
    <w:p>
      <w:pPr>
        <w:spacing w:before="78"/>
        <w:ind w:left="20" w:right="7" w:firstLine="420"/>
        <w:rPr>
          <w:rFonts w:hAnsi="宋体"/>
          <w:color w:val="auto"/>
          <w:szCs w:val="21"/>
          <w:highlight w:val="none"/>
        </w:rPr>
      </w:pPr>
      <w:r>
        <w:rPr>
          <w:rFonts w:hint="eastAsia" w:hAnsi="宋体"/>
          <w:color w:val="auto"/>
          <w:szCs w:val="21"/>
          <w:highlight w:val="none"/>
        </w:rPr>
        <w:t>以《舟山绿色石</w:t>
      </w:r>
      <w:r>
        <w:rPr>
          <w:rFonts w:hAnsi="宋体"/>
          <w:color w:val="auto"/>
          <w:szCs w:val="21"/>
          <w:highlight w:val="none"/>
        </w:rPr>
        <w:t>化基地围填海工程海域使用论证报告书(报批稿)》海域管理措施中的海域生态环境监测方案的历史调查站位为基础，建设用海周边海域设置测量区域约</w:t>
      </w:r>
      <w:r>
        <w:rPr>
          <w:rFonts w:ascii="Times New Roman" w:hAnsi="Times New Roman" w:eastAsia="Times New Roman" w:cs="Times New Roman"/>
          <w:color w:val="auto"/>
          <w:szCs w:val="21"/>
          <w:highlight w:val="none"/>
        </w:rPr>
        <w:t>63km</w:t>
      </w:r>
      <w:r>
        <w:rPr>
          <w:rFonts w:hint="eastAsia" w:ascii="Times New Roman" w:hAnsi="Times New Roman" w:cs="Times New Roman"/>
          <w:color w:val="auto"/>
          <w:szCs w:val="21"/>
          <w:highlight w:val="none"/>
          <w:vertAlign w:val="superscript"/>
        </w:rPr>
        <w:t>2</w:t>
      </w:r>
      <w:r>
        <w:rPr>
          <w:rFonts w:hAnsi="宋体"/>
          <w:color w:val="auto"/>
          <w:szCs w:val="21"/>
          <w:highlight w:val="none"/>
        </w:rPr>
        <w:t>，测量比例尺</w:t>
      </w:r>
      <w:r>
        <w:rPr>
          <w:rFonts w:ascii="Times New Roman" w:hAnsi="Times New Roman" w:eastAsia="Times New Roman" w:cs="Times New Roman"/>
          <w:color w:val="auto"/>
          <w:szCs w:val="21"/>
          <w:highlight w:val="none"/>
        </w:rPr>
        <w:t>1</w:t>
      </w:r>
      <w:r>
        <w:rPr>
          <w:rFonts w:hAnsi="宋体"/>
          <w:color w:val="auto"/>
          <w:szCs w:val="21"/>
          <w:highlight w:val="none"/>
        </w:rPr>
        <w:t>：</w:t>
      </w:r>
      <w:r>
        <w:rPr>
          <w:rFonts w:ascii="Times New Roman" w:hAnsi="Times New Roman" w:eastAsia="Times New Roman" w:cs="Times New Roman"/>
          <w:color w:val="auto"/>
          <w:szCs w:val="21"/>
          <w:highlight w:val="none"/>
        </w:rPr>
        <w:t>10000</w:t>
      </w:r>
      <w:r>
        <w:rPr>
          <w:rFonts w:hAnsi="宋体"/>
          <w:color w:val="auto"/>
          <w:szCs w:val="21"/>
          <w:highlight w:val="none"/>
        </w:rPr>
        <w:t>。</w:t>
      </w:r>
      <w:r>
        <w:rPr>
          <w:rFonts w:hint="eastAsia" w:hAnsi="宋体"/>
          <w:color w:val="auto"/>
          <w:szCs w:val="21"/>
          <w:highlight w:val="none"/>
        </w:rPr>
        <w:t>测量范围见图1-1，测量拐点见表1-1。</w:t>
      </w:r>
      <w:r>
        <w:rPr>
          <w:rFonts w:hAnsi="宋体"/>
          <w:color w:val="auto"/>
          <w:szCs w:val="21"/>
          <w:highlight w:val="none"/>
        </w:rPr>
        <w:t>考虑收集同期其他项目地形测量(下图阴影部分)</w:t>
      </w:r>
      <w:r>
        <w:rPr>
          <w:rFonts w:ascii="Times New Roman" w:hAnsi="Times New Roman" w:eastAsia="Times New Roman" w:cs="Times New Roman"/>
          <w:color w:val="auto"/>
          <w:szCs w:val="21"/>
          <w:highlight w:val="none"/>
        </w:rPr>
        <w:t>5km</w:t>
      </w:r>
      <w:r>
        <w:rPr>
          <w:rFonts w:hint="eastAsia" w:ascii="Times New Roman" w:hAnsi="Times New Roman" w:cs="Times New Roman"/>
          <w:color w:val="auto"/>
          <w:szCs w:val="21"/>
          <w:highlight w:val="none"/>
          <w:vertAlign w:val="superscript"/>
        </w:rPr>
        <w:t>2</w:t>
      </w:r>
      <w:r>
        <w:rPr>
          <w:rFonts w:hAnsi="宋体"/>
          <w:color w:val="auto"/>
          <w:szCs w:val="21"/>
          <w:highlight w:val="none"/>
        </w:rPr>
        <w:t>，需补充测量</w:t>
      </w:r>
      <w:r>
        <w:rPr>
          <w:rFonts w:ascii="Times New Roman" w:hAnsi="Times New Roman" w:eastAsia="Times New Roman" w:cs="Times New Roman"/>
          <w:color w:val="auto"/>
          <w:szCs w:val="21"/>
          <w:highlight w:val="none"/>
        </w:rPr>
        <w:t>58km</w:t>
      </w:r>
      <w:r>
        <w:rPr>
          <w:rFonts w:hint="eastAsia" w:ascii="Times New Roman" w:hAnsi="Times New Roman" w:cs="Times New Roman"/>
          <w:color w:val="auto"/>
          <w:szCs w:val="21"/>
          <w:highlight w:val="none"/>
          <w:vertAlign w:val="superscript"/>
        </w:rPr>
        <w:t>2</w:t>
      </w:r>
      <w:r>
        <w:rPr>
          <w:rFonts w:hAnsi="宋体"/>
          <w:color w:val="auto"/>
          <w:szCs w:val="21"/>
          <w:highlight w:val="none"/>
        </w:rPr>
        <w:t>。</w:t>
      </w:r>
    </w:p>
    <w:p>
      <w:pPr>
        <w:spacing w:before="106" w:line="5273" w:lineRule="exact"/>
        <w:ind w:firstLine="420"/>
        <w:textAlignment w:val="center"/>
        <w:rPr>
          <w:color w:val="auto"/>
          <w:szCs w:val="21"/>
          <w:highlight w:val="none"/>
        </w:rPr>
      </w:pPr>
      <w:r>
        <w:rPr>
          <w:color w:val="auto"/>
          <w:szCs w:val="21"/>
          <w:highlight w:val="none"/>
        </w:rPr>
        <w:drawing>
          <wp:inline distT="0" distB="0" distL="0" distR="0">
            <wp:extent cx="4523740" cy="3347720"/>
            <wp:effectExtent l="0" t="0" r="10160" b="508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
                    <a:stretch>
                      <a:fillRect/>
                    </a:stretch>
                  </pic:blipFill>
                  <pic:spPr>
                    <a:xfrm>
                      <a:off x="0" y="0"/>
                      <a:ext cx="4523740" cy="3348354"/>
                    </a:xfrm>
                    <a:prstGeom prst="rect">
                      <a:avLst/>
                    </a:prstGeom>
                  </pic:spPr>
                </pic:pic>
              </a:graphicData>
            </a:graphic>
          </wp:inline>
        </w:drawing>
      </w:r>
    </w:p>
    <w:p>
      <w:pPr>
        <w:spacing w:before="281" w:line="219" w:lineRule="auto"/>
        <w:ind w:left="2001" w:firstLine="420"/>
        <w:rPr>
          <w:rFonts w:hAnsi="宋体"/>
          <w:color w:val="auto"/>
          <w:szCs w:val="21"/>
          <w:highlight w:val="none"/>
          <w14:textOutline w14:w="3835" w14:cap="flat" w14:cmpd="sng" w14:algn="ctr">
            <w14:solidFill>
              <w14:srgbClr w14:val="000000"/>
            </w14:solidFill>
            <w14:prstDash w14:val="solid"/>
            <w14:miter w14:val="0"/>
          </w14:textOutline>
        </w:rPr>
      </w:pPr>
      <w:r>
        <w:rPr>
          <w:rFonts w:hAnsi="宋体"/>
          <w:color w:val="auto"/>
          <w:szCs w:val="21"/>
          <w:highlight w:val="none"/>
          <w14:textOutline w14:w="3835" w14:cap="flat" w14:cmpd="sng" w14:algn="ctr">
            <w14:solidFill>
              <w14:srgbClr w14:val="000000"/>
            </w14:solidFill>
            <w14:prstDash w14:val="solid"/>
            <w14:miter w14:val="0"/>
          </w14:textOutline>
        </w:rPr>
        <w:t>图</w:t>
      </w:r>
      <w:r>
        <w:rPr>
          <w:rFonts w:ascii="Times New Roman" w:hAnsi="Times New Roman" w:eastAsia="Times New Roman" w:cs="Times New Roman"/>
          <w:b/>
          <w:bCs/>
          <w:color w:val="auto"/>
          <w:szCs w:val="21"/>
          <w:highlight w:val="none"/>
        </w:rPr>
        <w:t>1-1</w:t>
      </w:r>
      <w:r>
        <w:rPr>
          <w:rFonts w:ascii="Times New Roman" w:hAnsi="Times New Roman" w:eastAsia="Times New Roman" w:cs="Times New Roman"/>
          <w:color w:val="auto"/>
          <w:szCs w:val="21"/>
          <w:highlight w:val="none"/>
        </w:rPr>
        <w:t xml:space="preserve"> </w:t>
      </w:r>
      <w:r>
        <w:rPr>
          <w:rFonts w:hint="eastAsia" w:ascii="Times New Roman" w:hAnsi="Times New Roman" w:cs="Times New Roman"/>
          <w:color w:val="auto"/>
          <w:szCs w:val="21"/>
          <w:highlight w:val="none"/>
        </w:rPr>
        <w:t xml:space="preserve"> </w:t>
      </w:r>
      <w:r>
        <w:rPr>
          <w:rFonts w:hAnsi="宋体"/>
          <w:color w:val="auto"/>
          <w:szCs w:val="21"/>
          <w:highlight w:val="none"/>
          <w14:textOutline w14:w="3835" w14:cap="flat" w14:cmpd="sng" w14:algn="ctr">
            <w14:solidFill>
              <w14:srgbClr w14:val="000000"/>
            </w14:solidFill>
            <w14:prstDash w14:val="solid"/>
            <w14:miter w14:val="0"/>
          </w14:textOutline>
        </w:rPr>
        <w:t>地形监测范围(斜条纹区域收集同期资料)</w:t>
      </w:r>
    </w:p>
    <w:p>
      <w:pPr>
        <w:ind w:firstLine="420"/>
        <w:rPr>
          <w:rFonts w:hAnsi="宋体"/>
          <w:color w:val="auto"/>
          <w:szCs w:val="21"/>
          <w:highlight w:val="none"/>
          <w14:textOutline w14:w="3835" w14:cap="flat" w14:cmpd="sng" w14:algn="ctr">
            <w14:solidFill>
              <w14:srgbClr w14:val="000000"/>
            </w14:solidFill>
            <w14:prstDash w14:val="solid"/>
            <w14:miter w14:val="0"/>
          </w14:textOutline>
        </w:rPr>
      </w:pPr>
    </w:p>
    <w:p>
      <w:pPr>
        <w:spacing w:before="42" w:line="212" w:lineRule="auto"/>
        <w:ind w:left="3140" w:firstLine="420"/>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表</w:t>
      </w:r>
      <w:r>
        <w:rPr>
          <w:rFonts w:ascii="Times New Roman" w:hAnsi="Times New Roman" w:eastAsia="Times New Roman" w:cs="Times New Roman"/>
          <w:b/>
          <w:bCs/>
          <w:color w:val="auto"/>
          <w:szCs w:val="21"/>
          <w:highlight w:val="none"/>
        </w:rPr>
        <w:t>1-1</w:t>
      </w:r>
      <w:r>
        <w:rPr>
          <w:rFonts w:ascii="Times New Roman" w:hAnsi="Times New Roman" w:eastAsia="Times New Roman" w:cs="Times New Roman"/>
          <w:color w:val="auto"/>
          <w:szCs w:val="21"/>
          <w:highlight w:val="none"/>
        </w:rPr>
        <w:t xml:space="preserve">  </w:t>
      </w:r>
      <w:r>
        <w:rPr>
          <w:rFonts w:hAnsi="宋体"/>
          <w:color w:val="auto"/>
          <w:szCs w:val="21"/>
          <w:highlight w:val="none"/>
          <w14:textOutline w14:w="3835" w14:cap="flat" w14:cmpd="sng" w14:algn="ctr">
            <w14:solidFill>
              <w14:srgbClr w14:val="000000"/>
            </w14:solidFill>
            <w14:prstDash w14:val="solid"/>
            <w14:miter w14:val="0"/>
          </w14:textOutline>
        </w:rPr>
        <w:t>地形测量拐点坐标</w:t>
      </w:r>
    </w:p>
    <w:tbl>
      <w:tblPr>
        <w:tblStyle w:val="114"/>
        <w:tblW w:w="7770" w:type="dxa"/>
        <w:tblInd w:w="2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6"/>
        <w:gridCol w:w="1466"/>
        <w:gridCol w:w="2313"/>
        <w:gridCol w:w="1873"/>
        <w:gridCol w:w="10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096" w:type="dxa"/>
            <w:vAlign w:val="center"/>
          </w:tcPr>
          <w:p>
            <w:pPr>
              <w:spacing w:line="222" w:lineRule="auto"/>
              <w:ind w:firstLine="420"/>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序号</w:t>
            </w:r>
          </w:p>
        </w:tc>
        <w:tc>
          <w:tcPr>
            <w:tcW w:w="1466" w:type="dxa"/>
            <w:vAlign w:val="center"/>
          </w:tcPr>
          <w:p>
            <w:pPr>
              <w:spacing w:line="221" w:lineRule="auto"/>
              <w:ind w:firstLine="0" w:firstLineChars="0"/>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地形控制点</w:t>
            </w:r>
          </w:p>
        </w:tc>
        <w:tc>
          <w:tcPr>
            <w:tcW w:w="2313" w:type="dxa"/>
            <w:vAlign w:val="center"/>
          </w:tcPr>
          <w:p>
            <w:pPr>
              <w:spacing w:line="221" w:lineRule="auto"/>
              <w:ind w:firstLine="420"/>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经度</w:t>
            </w:r>
          </w:p>
        </w:tc>
        <w:tc>
          <w:tcPr>
            <w:tcW w:w="1873" w:type="dxa"/>
            <w:vAlign w:val="center"/>
          </w:tcPr>
          <w:p>
            <w:pPr>
              <w:spacing w:line="221" w:lineRule="auto"/>
              <w:ind w:firstLine="420"/>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纬度</w:t>
            </w:r>
          </w:p>
        </w:tc>
        <w:tc>
          <w:tcPr>
            <w:tcW w:w="1022" w:type="dxa"/>
            <w:vAlign w:val="center"/>
          </w:tcPr>
          <w:p>
            <w:pPr>
              <w:spacing w:line="221" w:lineRule="auto"/>
              <w:ind w:firstLine="420"/>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面积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096" w:type="dxa"/>
            <w:vAlign w:val="center"/>
          </w:tcPr>
          <w:p>
            <w:pPr>
              <w:spacing w:line="187"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w:t>
            </w:r>
          </w:p>
        </w:tc>
        <w:tc>
          <w:tcPr>
            <w:tcW w:w="1466" w:type="dxa"/>
            <w:vAlign w:val="center"/>
          </w:tcPr>
          <w:p>
            <w:pPr>
              <w:spacing w:line="187"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A</w:t>
            </w:r>
          </w:p>
        </w:tc>
        <w:tc>
          <w:tcPr>
            <w:tcW w:w="2313" w:type="dxa"/>
            <w:vAlign w:val="center"/>
          </w:tcPr>
          <w:p>
            <w:pPr>
              <w:spacing w:line="190"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121°55′26.4″</w:t>
            </w:r>
          </w:p>
        </w:tc>
        <w:tc>
          <w:tcPr>
            <w:tcW w:w="1873" w:type="dxa"/>
            <w:vAlign w:val="center"/>
          </w:tcPr>
          <w:p>
            <w:pPr>
              <w:spacing w:line="190"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30°18′28.8″</w:t>
            </w:r>
          </w:p>
        </w:tc>
        <w:tc>
          <w:tcPr>
            <w:tcW w:w="1022" w:type="dxa"/>
            <w:vMerge w:val="restart"/>
            <w:tcBorders>
              <w:bottom w:val="nil"/>
            </w:tcBorders>
            <w:vAlign w:val="center"/>
          </w:tcPr>
          <w:p>
            <w:pPr>
              <w:spacing w:line="223" w:lineRule="auto"/>
              <w:ind w:firstLine="0" w:firstLineChars="0"/>
              <w:jc w:val="center"/>
              <w:rPr>
                <w:rFonts w:ascii="Times New Roman" w:hAnsi="Times New Roman" w:eastAsia="Times New Roman" w:cs="Times New Roman"/>
                <w:color w:val="auto"/>
                <w:sz w:val="13"/>
                <w:szCs w:val="13"/>
                <w:highlight w:val="none"/>
              </w:rPr>
            </w:pPr>
            <w:r>
              <w:rPr>
                <w:rFonts w:ascii="Times New Roman" w:hAnsi="Times New Roman" w:eastAsia="Times New Roman" w:cs="Times New Roman"/>
                <w:color w:val="auto"/>
                <w:szCs w:val="21"/>
                <w:highlight w:val="none"/>
              </w:rPr>
              <w:t>63km</w:t>
            </w:r>
            <w:r>
              <w:rPr>
                <w:rFonts w:ascii="Times New Roman" w:hAnsi="Times New Roman" w:eastAsia="Times New Roman" w:cs="Times New Roman"/>
                <w:color w:val="auto"/>
                <w:position w:val="9"/>
                <w:sz w:val="13"/>
                <w:szCs w:val="13"/>
                <w:highlight w:val="none"/>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7" w:hRule="atLeast"/>
        </w:trPr>
        <w:tc>
          <w:tcPr>
            <w:tcW w:w="1096" w:type="dxa"/>
            <w:vAlign w:val="center"/>
          </w:tcPr>
          <w:p>
            <w:pPr>
              <w:spacing w:line="187"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2</w:t>
            </w:r>
          </w:p>
        </w:tc>
        <w:tc>
          <w:tcPr>
            <w:tcW w:w="1466" w:type="dxa"/>
            <w:vAlign w:val="center"/>
          </w:tcPr>
          <w:p>
            <w:pPr>
              <w:spacing w:line="184"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B</w:t>
            </w:r>
          </w:p>
        </w:tc>
        <w:tc>
          <w:tcPr>
            <w:tcW w:w="2313" w:type="dxa"/>
            <w:vAlign w:val="center"/>
          </w:tcPr>
          <w:p>
            <w:pPr>
              <w:spacing w:line="189"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121°54′39.6″</w:t>
            </w:r>
          </w:p>
        </w:tc>
        <w:tc>
          <w:tcPr>
            <w:tcW w:w="1873" w:type="dxa"/>
            <w:vAlign w:val="center"/>
          </w:tcPr>
          <w:p>
            <w:pPr>
              <w:spacing w:line="189"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30°17′52.8″</w:t>
            </w:r>
          </w:p>
        </w:tc>
        <w:tc>
          <w:tcPr>
            <w:tcW w:w="1022" w:type="dxa"/>
            <w:vMerge w:val="continue"/>
            <w:tcBorders>
              <w:top w:val="nil"/>
              <w:bottom w:val="nil"/>
            </w:tcBorders>
            <w:vAlign w:val="center"/>
          </w:tcPr>
          <w:p>
            <w:pPr>
              <w:ind w:firstLine="420"/>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6" w:hRule="atLeast"/>
        </w:trPr>
        <w:tc>
          <w:tcPr>
            <w:tcW w:w="1096" w:type="dxa"/>
            <w:vAlign w:val="center"/>
          </w:tcPr>
          <w:p>
            <w:pPr>
              <w:spacing w:line="187"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w:t>
            </w:r>
          </w:p>
        </w:tc>
        <w:tc>
          <w:tcPr>
            <w:tcW w:w="1466" w:type="dxa"/>
            <w:vAlign w:val="center"/>
          </w:tcPr>
          <w:p>
            <w:pPr>
              <w:spacing w:line="187"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C</w:t>
            </w:r>
          </w:p>
        </w:tc>
        <w:tc>
          <w:tcPr>
            <w:tcW w:w="2313" w:type="dxa"/>
            <w:vAlign w:val="center"/>
          </w:tcPr>
          <w:p>
            <w:pPr>
              <w:spacing w:line="189"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121°57′25.2″</w:t>
            </w:r>
          </w:p>
        </w:tc>
        <w:tc>
          <w:tcPr>
            <w:tcW w:w="1873" w:type="dxa"/>
            <w:vAlign w:val="center"/>
          </w:tcPr>
          <w:p>
            <w:pPr>
              <w:spacing w:line="190"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30°16′30.0″</w:t>
            </w:r>
          </w:p>
        </w:tc>
        <w:tc>
          <w:tcPr>
            <w:tcW w:w="1022" w:type="dxa"/>
            <w:vMerge w:val="continue"/>
            <w:tcBorders>
              <w:top w:val="nil"/>
              <w:bottom w:val="nil"/>
            </w:tcBorders>
            <w:vAlign w:val="center"/>
          </w:tcPr>
          <w:p>
            <w:pPr>
              <w:ind w:firstLine="420"/>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7" w:hRule="atLeast"/>
        </w:trPr>
        <w:tc>
          <w:tcPr>
            <w:tcW w:w="1096" w:type="dxa"/>
            <w:vAlign w:val="center"/>
          </w:tcPr>
          <w:p>
            <w:pPr>
              <w:spacing w:line="187"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4</w:t>
            </w:r>
          </w:p>
        </w:tc>
        <w:tc>
          <w:tcPr>
            <w:tcW w:w="1466" w:type="dxa"/>
            <w:vAlign w:val="center"/>
          </w:tcPr>
          <w:p>
            <w:pPr>
              <w:spacing w:line="184"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D</w:t>
            </w:r>
          </w:p>
        </w:tc>
        <w:tc>
          <w:tcPr>
            <w:tcW w:w="2313" w:type="dxa"/>
            <w:vAlign w:val="center"/>
          </w:tcPr>
          <w:p>
            <w:pPr>
              <w:spacing w:line="189"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121°57′18.0″</w:t>
            </w:r>
          </w:p>
        </w:tc>
        <w:tc>
          <w:tcPr>
            <w:tcW w:w="1873" w:type="dxa"/>
            <w:vAlign w:val="center"/>
          </w:tcPr>
          <w:p>
            <w:pPr>
              <w:spacing w:line="189"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30°17′27.6″</w:t>
            </w:r>
          </w:p>
        </w:tc>
        <w:tc>
          <w:tcPr>
            <w:tcW w:w="1022" w:type="dxa"/>
            <w:vMerge w:val="continue"/>
            <w:tcBorders>
              <w:top w:val="nil"/>
              <w:bottom w:val="nil"/>
            </w:tcBorders>
            <w:vAlign w:val="center"/>
          </w:tcPr>
          <w:p>
            <w:pPr>
              <w:ind w:firstLine="420"/>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7" w:hRule="atLeast"/>
        </w:trPr>
        <w:tc>
          <w:tcPr>
            <w:tcW w:w="1096" w:type="dxa"/>
            <w:vAlign w:val="center"/>
          </w:tcPr>
          <w:p>
            <w:pPr>
              <w:spacing w:line="184"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5</w:t>
            </w:r>
          </w:p>
        </w:tc>
        <w:tc>
          <w:tcPr>
            <w:tcW w:w="1466" w:type="dxa"/>
            <w:vAlign w:val="center"/>
          </w:tcPr>
          <w:p>
            <w:pPr>
              <w:spacing w:line="184"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E</w:t>
            </w:r>
          </w:p>
        </w:tc>
        <w:tc>
          <w:tcPr>
            <w:tcW w:w="2313" w:type="dxa"/>
            <w:vAlign w:val="center"/>
          </w:tcPr>
          <w:p>
            <w:pPr>
              <w:spacing w:line="189"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121°54′39.6″</w:t>
            </w:r>
          </w:p>
        </w:tc>
        <w:tc>
          <w:tcPr>
            <w:tcW w:w="1873" w:type="dxa"/>
            <w:vAlign w:val="center"/>
          </w:tcPr>
          <w:p>
            <w:pPr>
              <w:spacing w:line="190"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30°20′56.4″</w:t>
            </w:r>
          </w:p>
        </w:tc>
        <w:tc>
          <w:tcPr>
            <w:tcW w:w="1022" w:type="dxa"/>
            <w:vMerge w:val="continue"/>
            <w:tcBorders>
              <w:top w:val="nil"/>
              <w:bottom w:val="nil"/>
            </w:tcBorders>
            <w:vAlign w:val="center"/>
          </w:tcPr>
          <w:p>
            <w:pPr>
              <w:ind w:firstLine="420"/>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7" w:hRule="atLeast"/>
        </w:trPr>
        <w:tc>
          <w:tcPr>
            <w:tcW w:w="1096" w:type="dxa"/>
            <w:vAlign w:val="center"/>
          </w:tcPr>
          <w:p>
            <w:pPr>
              <w:spacing w:line="187"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6</w:t>
            </w:r>
          </w:p>
        </w:tc>
        <w:tc>
          <w:tcPr>
            <w:tcW w:w="1466" w:type="dxa"/>
            <w:vAlign w:val="center"/>
          </w:tcPr>
          <w:p>
            <w:pPr>
              <w:spacing w:line="184"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F</w:t>
            </w:r>
          </w:p>
        </w:tc>
        <w:tc>
          <w:tcPr>
            <w:tcW w:w="2313" w:type="dxa"/>
            <w:vAlign w:val="center"/>
          </w:tcPr>
          <w:p>
            <w:pPr>
              <w:spacing w:line="189"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121°56′09.6″</w:t>
            </w:r>
          </w:p>
        </w:tc>
        <w:tc>
          <w:tcPr>
            <w:tcW w:w="1873" w:type="dxa"/>
            <w:vAlign w:val="center"/>
          </w:tcPr>
          <w:p>
            <w:pPr>
              <w:spacing w:line="190"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30°21′32.4″</w:t>
            </w:r>
          </w:p>
        </w:tc>
        <w:tc>
          <w:tcPr>
            <w:tcW w:w="1022" w:type="dxa"/>
            <w:vMerge w:val="continue"/>
            <w:tcBorders>
              <w:top w:val="nil"/>
              <w:bottom w:val="nil"/>
            </w:tcBorders>
            <w:vAlign w:val="center"/>
          </w:tcPr>
          <w:p>
            <w:pPr>
              <w:ind w:firstLine="420"/>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6" w:hRule="atLeast"/>
        </w:trPr>
        <w:tc>
          <w:tcPr>
            <w:tcW w:w="1096" w:type="dxa"/>
            <w:vAlign w:val="center"/>
          </w:tcPr>
          <w:p>
            <w:pPr>
              <w:spacing w:line="184"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7</w:t>
            </w:r>
          </w:p>
        </w:tc>
        <w:tc>
          <w:tcPr>
            <w:tcW w:w="1466" w:type="dxa"/>
            <w:vAlign w:val="center"/>
          </w:tcPr>
          <w:p>
            <w:pPr>
              <w:spacing w:line="187"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G</w:t>
            </w:r>
          </w:p>
        </w:tc>
        <w:tc>
          <w:tcPr>
            <w:tcW w:w="2313" w:type="dxa"/>
            <w:vAlign w:val="center"/>
          </w:tcPr>
          <w:p>
            <w:pPr>
              <w:spacing w:line="189"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121°59′20.4″</w:t>
            </w:r>
          </w:p>
        </w:tc>
        <w:tc>
          <w:tcPr>
            <w:tcW w:w="1873" w:type="dxa"/>
            <w:vAlign w:val="center"/>
          </w:tcPr>
          <w:p>
            <w:pPr>
              <w:spacing w:line="190"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30°21′36.0″</w:t>
            </w:r>
          </w:p>
        </w:tc>
        <w:tc>
          <w:tcPr>
            <w:tcW w:w="1022" w:type="dxa"/>
            <w:vMerge w:val="continue"/>
            <w:tcBorders>
              <w:top w:val="nil"/>
              <w:bottom w:val="nil"/>
            </w:tcBorders>
            <w:vAlign w:val="center"/>
          </w:tcPr>
          <w:p>
            <w:pPr>
              <w:ind w:firstLine="420"/>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6" w:hRule="atLeast"/>
        </w:trPr>
        <w:tc>
          <w:tcPr>
            <w:tcW w:w="1096" w:type="dxa"/>
            <w:vAlign w:val="center"/>
          </w:tcPr>
          <w:p>
            <w:pPr>
              <w:spacing w:line="187"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8</w:t>
            </w:r>
          </w:p>
        </w:tc>
        <w:tc>
          <w:tcPr>
            <w:tcW w:w="1466" w:type="dxa"/>
            <w:vAlign w:val="center"/>
          </w:tcPr>
          <w:p>
            <w:pPr>
              <w:spacing w:line="184"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H</w:t>
            </w:r>
          </w:p>
        </w:tc>
        <w:tc>
          <w:tcPr>
            <w:tcW w:w="2313" w:type="dxa"/>
            <w:vAlign w:val="center"/>
          </w:tcPr>
          <w:p>
            <w:pPr>
              <w:spacing w:line="190"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122°01′33.6″</w:t>
            </w:r>
          </w:p>
        </w:tc>
        <w:tc>
          <w:tcPr>
            <w:tcW w:w="1873" w:type="dxa"/>
            <w:vAlign w:val="center"/>
          </w:tcPr>
          <w:p>
            <w:pPr>
              <w:spacing w:line="189"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30°19′37.2″</w:t>
            </w:r>
          </w:p>
        </w:tc>
        <w:tc>
          <w:tcPr>
            <w:tcW w:w="1022" w:type="dxa"/>
            <w:vMerge w:val="continue"/>
            <w:tcBorders>
              <w:top w:val="nil"/>
              <w:bottom w:val="nil"/>
            </w:tcBorders>
            <w:vAlign w:val="center"/>
          </w:tcPr>
          <w:p>
            <w:pPr>
              <w:ind w:firstLine="420"/>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7" w:hRule="atLeast"/>
        </w:trPr>
        <w:tc>
          <w:tcPr>
            <w:tcW w:w="1096" w:type="dxa"/>
            <w:vAlign w:val="center"/>
          </w:tcPr>
          <w:p>
            <w:pPr>
              <w:spacing w:line="187"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9</w:t>
            </w:r>
          </w:p>
        </w:tc>
        <w:tc>
          <w:tcPr>
            <w:tcW w:w="1466" w:type="dxa"/>
            <w:vAlign w:val="center"/>
          </w:tcPr>
          <w:p>
            <w:pPr>
              <w:spacing w:line="184"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I</w:t>
            </w:r>
          </w:p>
        </w:tc>
        <w:tc>
          <w:tcPr>
            <w:tcW w:w="2313" w:type="dxa"/>
            <w:vAlign w:val="center"/>
          </w:tcPr>
          <w:p>
            <w:pPr>
              <w:spacing w:line="190"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122°00′28.8″</w:t>
            </w:r>
          </w:p>
        </w:tc>
        <w:tc>
          <w:tcPr>
            <w:tcW w:w="1873" w:type="dxa"/>
            <w:vAlign w:val="center"/>
          </w:tcPr>
          <w:p>
            <w:pPr>
              <w:spacing w:line="190"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30°16′58.8″</w:t>
            </w:r>
          </w:p>
        </w:tc>
        <w:tc>
          <w:tcPr>
            <w:tcW w:w="1022" w:type="dxa"/>
            <w:vMerge w:val="continue"/>
            <w:tcBorders>
              <w:top w:val="nil"/>
              <w:bottom w:val="nil"/>
            </w:tcBorders>
            <w:vAlign w:val="center"/>
          </w:tcPr>
          <w:p>
            <w:pPr>
              <w:ind w:firstLine="420"/>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7" w:hRule="atLeast"/>
        </w:trPr>
        <w:tc>
          <w:tcPr>
            <w:tcW w:w="1096" w:type="dxa"/>
            <w:vAlign w:val="center"/>
          </w:tcPr>
          <w:p>
            <w:pPr>
              <w:spacing w:line="187"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10</w:t>
            </w:r>
          </w:p>
        </w:tc>
        <w:tc>
          <w:tcPr>
            <w:tcW w:w="1466" w:type="dxa"/>
            <w:vAlign w:val="center"/>
          </w:tcPr>
          <w:p>
            <w:pPr>
              <w:spacing w:line="184"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J</w:t>
            </w:r>
          </w:p>
        </w:tc>
        <w:tc>
          <w:tcPr>
            <w:tcW w:w="2313" w:type="dxa"/>
            <w:vAlign w:val="center"/>
          </w:tcPr>
          <w:p>
            <w:pPr>
              <w:spacing w:line="189"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121°57′43.2″</w:t>
            </w:r>
          </w:p>
        </w:tc>
        <w:tc>
          <w:tcPr>
            <w:tcW w:w="1873" w:type="dxa"/>
            <w:vAlign w:val="center"/>
          </w:tcPr>
          <w:p>
            <w:pPr>
              <w:spacing w:line="189"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30°17′52.8″</w:t>
            </w:r>
          </w:p>
        </w:tc>
        <w:tc>
          <w:tcPr>
            <w:tcW w:w="1022" w:type="dxa"/>
            <w:vMerge w:val="continue"/>
            <w:tcBorders>
              <w:top w:val="nil"/>
              <w:bottom w:val="nil"/>
            </w:tcBorders>
            <w:vAlign w:val="center"/>
          </w:tcPr>
          <w:p>
            <w:pPr>
              <w:ind w:firstLine="420"/>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7" w:hRule="atLeast"/>
        </w:trPr>
        <w:tc>
          <w:tcPr>
            <w:tcW w:w="1096" w:type="dxa"/>
            <w:vAlign w:val="center"/>
          </w:tcPr>
          <w:p>
            <w:pPr>
              <w:spacing w:line="187"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11</w:t>
            </w:r>
          </w:p>
        </w:tc>
        <w:tc>
          <w:tcPr>
            <w:tcW w:w="1466" w:type="dxa"/>
            <w:vAlign w:val="center"/>
          </w:tcPr>
          <w:p>
            <w:pPr>
              <w:spacing w:line="184"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K</w:t>
            </w:r>
          </w:p>
        </w:tc>
        <w:tc>
          <w:tcPr>
            <w:tcW w:w="2313" w:type="dxa"/>
            <w:vAlign w:val="center"/>
          </w:tcPr>
          <w:p>
            <w:pPr>
              <w:spacing w:line="189"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121°59′02.4″</w:t>
            </w:r>
          </w:p>
        </w:tc>
        <w:tc>
          <w:tcPr>
            <w:tcW w:w="1873" w:type="dxa"/>
            <w:vAlign w:val="center"/>
          </w:tcPr>
          <w:p>
            <w:pPr>
              <w:spacing w:line="189"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30°17′34.8″</w:t>
            </w:r>
          </w:p>
        </w:tc>
        <w:tc>
          <w:tcPr>
            <w:tcW w:w="1022" w:type="dxa"/>
            <w:vMerge w:val="continue"/>
            <w:tcBorders>
              <w:top w:val="nil"/>
              <w:bottom w:val="nil"/>
            </w:tcBorders>
            <w:vAlign w:val="center"/>
          </w:tcPr>
          <w:p>
            <w:pPr>
              <w:ind w:firstLine="420"/>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7" w:hRule="atLeast"/>
        </w:trPr>
        <w:tc>
          <w:tcPr>
            <w:tcW w:w="1096" w:type="dxa"/>
            <w:vAlign w:val="center"/>
          </w:tcPr>
          <w:p>
            <w:pPr>
              <w:spacing w:line="187"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w:t>
            </w:r>
          </w:p>
        </w:tc>
        <w:tc>
          <w:tcPr>
            <w:tcW w:w="1466" w:type="dxa"/>
            <w:vAlign w:val="center"/>
          </w:tcPr>
          <w:p>
            <w:pPr>
              <w:spacing w:line="184"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L</w:t>
            </w:r>
          </w:p>
        </w:tc>
        <w:tc>
          <w:tcPr>
            <w:tcW w:w="2313" w:type="dxa"/>
            <w:vAlign w:val="center"/>
          </w:tcPr>
          <w:p>
            <w:pPr>
              <w:spacing w:line="189"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121°59′52.8″</w:t>
            </w:r>
          </w:p>
        </w:tc>
        <w:tc>
          <w:tcPr>
            <w:tcW w:w="1873" w:type="dxa"/>
            <w:vAlign w:val="center"/>
          </w:tcPr>
          <w:p>
            <w:pPr>
              <w:spacing w:line="190"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30°18′43.2″</w:t>
            </w:r>
          </w:p>
        </w:tc>
        <w:tc>
          <w:tcPr>
            <w:tcW w:w="1022" w:type="dxa"/>
            <w:vMerge w:val="continue"/>
            <w:tcBorders>
              <w:top w:val="nil"/>
              <w:bottom w:val="nil"/>
            </w:tcBorders>
            <w:vAlign w:val="center"/>
          </w:tcPr>
          <w:p>
            <w:pPr>
              <w:ind w:firstLine="420"/>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7" w:hRule="atLeast"/>
        </w:trPr>
        <w:tc>
          <w:tcPr>
            <w:tcW w:w="1096" w:type="dxa"/>
            <w:vAlign w:val="center"/>
          </w:tcPr>
          <w:p>
            <w:pPr>
              <w:spacing w:line="187"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13</w:t>
            </w:r>
          </w:p>
        </w:tc>
        <w:tc>
          <w:tcPr>
            <w:tcW w:w="1466" w:type="dxa"/>
            <w:vAlign w:val="center"/>
          </w:tcPr>
          <w:p>
            <w:pPr>
              <w:spacing w:line="184"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M</w:t>
            </w:r>
          </w:p>
        </w:tc>
        <w:tc>
          <w:tcPr>
            <w:tcW w:w="2313" w:type="dxa"/>
            <w:vAlign w:val="center"/>
          </w:tcPr>
          <w:p>
            <w:pPr>
              <w:spacing w:line="189"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121°59′09.6″</w:t>
            </w:r>
          </w:p>
        </w:tc>
        <w:tc>
          <w:tcPr>
            <w:tcW w:w="1873" w:type="dxa"/>
            <w:vAlign w:val="center"/>
          </w:tcPr>
          <w:p>
            <w:pPr>
              <w:spacing w:line="189"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30°20′27.6″</w:t>
            </w:r>
          </w:p>
        </w:tc>
        <w:tc>
          <w:tcPr>
            <w:tcW w:w="1022" w:type="dxa"/>
            <w:vMerge w:val="continue"/>
            <w:tcBorders>
              <w:top w:val="nil"/>
              <w:bottom w:val="nil"/>
            </w:tcBorders>
            <w:vAlign w:val="center"/>
          </w:tcPr>
          <w:p>
            <w:pPr>
              <w:ind w:firstLine="420"/>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7" w:hRule="atLeast"/>
        </w:trPr>
        <w:tc>
          <w:tcPr>
            <w:tcW w:w="1096" w:type="dxa"/>
            <w:vAlign w:val="center"/>
          </w:tcPr>
          <w:p>
            <w:pPr>
              <w:spacing w:line="187"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14</w:t>
            </w:r>
          </w:p>
        </w:tc>
        <w:tc>
          <w:tcPr>
            <w:tcW w:w="1466" w:type="dxa"/>
            <w:vAlign w:val="center"/>
          </w:tcPr>
          <w:p>
            <w:pPr>
              <w:spacing w:line="184"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N</w:t>
            </w:r>
          </w:p>
        </w:tc>
        <w:tc>
          <w:tcPr>
            <w:tcW w:w="2313" w:type="dxa"/>
            <w:vAlign w:val="center"/>
          </w:tcPr>
          <w:p>
            <w:pPr>
              <w:spacing w:line="190"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121°58′33.6″</w:t>
            </w:r>
          </w:p>
        </w:tc>
        <w:tc>
          <w:tcPr>
            <w:tcW w:w="1873" w:type="dxa"/>
            <w:vAlign w:val="center"/>
          </w:tcPr>
          <w:p>
            <w:pPr>
              <w:spacing w:line="190"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30°20′42.0″</w:t>
            </w:r>
          </w:p>
        </w:tc>
        <w:tc>
          <w:tcPr>
            <w:tcW w:w="1022" w:type="dxa"/>
            <w:vMerge w:val="continue"/>
            <w:tcBorders>
              <w:top w:val="nil"/>
              <w:bottom w:val="nil"/>
            </w:tcBorders>
            <w:vAlign w:val="center"/>
          </w:tcPr>
          <w:p>
            <w:pPr>
              <w:ind w:firstLine="420"/>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7" w:hRule="atLeast"/>
        </w:trPr>
        <w:tc>
          <w:tcPr>
            <w:tcW w:w="1096" w:type="dxa"/>
            <w:vAlign w:val="center"/>
          </w:tcPr>
          <w:p>
            <w:pPr>
              <w:spacing w:line="187"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15</w:t>
            </w:r>
          </w:p>
        </w:tc>
        <w:tc>
          <w:tcPr>
            <w:tcW w:w="1466" w:type="dxa"/>
            <w:vAlign w:val="center"/>
          </w:tcPr>
          <w:p>
            <w:pPr>
              <w:spacing w:line="187"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O</w:t>
            </w:r>
          </w:p>
        </w:tc>
        <w:tc>
          <w:tcPr>
            <w:tcW w:w="2313" w:type="dxa"/>
            <w:vAlign w:val="center"/>
          </w:tcPr>
          <w:p>
            <w:pPr>
              <w:spacing w:line="189"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121°56′09.6″</w:t>
            </w:r>
          </w:p>
        </w:tc>
        <w:tc>
          <w:tcPr>
            <w:tcW w:w="1873" w:type="dxa"/>
            <w:vAlign w:val="center"/>
          </w:tcPr>
          <w:p>
            <w:pPr>
              <w:spacing w:line="190"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30°20′31.2″</w:t>
            </w:r>
          </w:p>
        </w:tc>
        <w:tc>
          <w:tcPr>
            <w:tcW w:w="1022" w:type="dxa"/>
            <w:vMerge w:val="continue"/>
            <w:tcBorders>
              <w:top w:val="nil"/>
              <w:bottom w:val="nil"/>
            </w:tcBorders>
            <w:vAlign w:val="center"/>
          </w:tcPr>
          <w:p>
            <w:pPr>
              <w:ind w:firstLine="420"/>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6" w:hRule="atLeast"/>
        </w:trPr>
        <w:tc>
          <w:tcPr>
            <w:tcW w:w="1096" w:type="dxa"/>
            <w:vAlign w:val="center"/>
          </w:tcPr>
          <w:p>
            <w:pPr>
              <w:spacing w:line="187"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16</w:t>
            </w:r>
          </w:p>
        </w:tc>
        <w:tc>
          <w:tcPr>
            <w:tcW w:w="1466" w:type="dxa"/>
            <w:vAlign w:val="center"/>
          </w:tcPr>
          <w:p>
            <w:pPr>
              <w:spacing w:line="184"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P</w:t>
            </w:r>
          </w:p>
        </w:tc>
        <w:tc>
          <w:tcPr>
            <w:tcW w:w="2313" w:type="dxa"/>
            <w:vAlign w:val="center"/>
          </w:tcPr>
          <w:p>
            <w:pPr>
              <w:spacing w:line="190"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121°55′44.4″</w:t>
            </w:r>
          </w:p>
        </w:tc>
        <w:tc>
          <w:tcPr>
            <w:tcW w:w="1873" w:type="dxa"/>
            <w:vAlign w:val="center"/>
          </w:tcPr>
          <w:p>
            <w:pPr>
              <w:spacing w:line="189"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30°19′08.4″</w:t>
            </w:r>
          </w:p>
        </w:tc>
        <w:tc>
          <w:tcPr>
            <w:tcW w:w="1022" w:type="dxa"/>
            <w:vMerge w:val="continue"/>
            <w:tcBorders>
              <w:top w:val="nil"/>
              <w:bottom w:val="nil"/>
            </w:tcBorders>
            <w:vAlign w:val="center"/>
          </w:tcPr>
          <w:p>
            <w:pPr>
              <w:ind w:firstLine="420"/>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7" w:hRule="atLeast"/>
        </w:trPr>
        <w:tc>
          <w:tcPr>
            <w:tcW w:w="1096" w:type="dxa"/>
            <w:vAlign w:val="center"/>
          </w:tcPr>
          <w:p>
            <w:pPr>
              <w:spacing w:line="187"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17</w:t>
            </w:r>
          </w:p>
        </w:tc>
        <w:tc>
          <w:tcPr>
            <w:tcW w:w="1466" w:type="dxa"/>
            <w:vAlign w:val="center"/>
          </w:tcPr>
          <w:p>
            <w:pPr>
              <w:spacing w:line="195"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Q</w:t>
            </w:r>
          </w:p>
        </w:tc>
        <w:tc>
          <w:tcPr>
            <w:tcW w:w="2313" w:type="dxa"/>
            <w:vAlign w:val="center"/>
          </w:tcPr>
          <w:p>
            <w:pPr>
              <w:spacing w:line="190"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121°55′04.8″</w:t>
            </w:r>
          </w:p>
        </w:tc>
        <w:tc>
          <w:tcPr>
            <w:tcW w:w="1873" w:type="dxa"/>
            <w:vAlign w:val="center"/>
          </w:tcPr>
          <w:p>
            <w:pPr>
              <w:spacing w:line="190"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30°18′54.0″</w:t>
            </w:r>
          </w:p>
        </w:tc>
        <w:tc>
          <w:tcPr>
            <w:tcW w:w="1022" w:type="dxa"/>
            <w:vMerge w:val="continue"/>
            <w:tcBorders>
              <w:top w:val="nil"/>
              <w:bottom w:val="nil"/>
            </w:tcBorders>
            <w:vAlign w:val="center"/>
          </w:tcPr>
          <w:p>
            <w:pPr>
              <w:ind w:firstLine="420"/>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7" w:hRule="atLeast"/>
        </w:trPr>
        <w:tc>
          <w:tcPr>
            <w:tcW w:w="1096" w:type="dxa"/>
            <w:vAlign w:val="center"/>
          </w:tcPr>
          <w:p>
            <w:pPr>
              <w:spacing w:line="187"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18</w:t>
            </w:r>
          </w:p>
        </w:tc>
        <w:tc>
          <w:tcPr>
            <w:tcW w:w="1466" w:type="dxa"/>
            <w:vAlign w:val="center"/>
          </w:tcPr>
          <w:p>
            <w:pPr>
              <w:spacing w:line="184"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R</w:t>
            </w:r>
          </w:p>
        </w:tc>
        <w:tc>
          <w:tcPr>
            <w:tcW w:w="2313" w:type="dxa"/>
            <w:vAlign w:val="center"/>
          </w:tcPr>
          <w:p>
            <w:pPr>
              <w:spacing w:line="190"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121°55′04.8″</w:t>
            </w:r>
          </w:p>
        </w:tc>
        <w:tc>
          <w:tcPr>
            <w:tcW w:w="1873" w:type="dxa"/>
            <w:vAlign w:val="center"/>
          </w:tcPr>
          <w:p>
            <w:pPr>
              <w:spacing w:line="189"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30°18′39.6″</w:t>
            </w:r>
          </w:p>
        </w:tc>
        <w:tc>
          <w:tcPr>
            <w:tcW w:w="1022" w:type="dxa"/>
            <w:vMerge w:val="continue"/>
            <w:tcBorders>
              <w:top w:val="nil"/>
              <w:bottom w:val="nil"/>
            </w:tcBorders>
            <w:vAlign w:val="center"/>
          </w:tcPr>
          <w:p>
            <w:pPr>
              <w:ind w:firstLine="420"/>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4" w:hRule="atLeast"/>
        </w:trPr>
        <w:tc>
          <w:tcPr>
            <w:tcW w:w="1096" w:type="dxa"/>
            <w:vAlign w:val="center"/>
          </w:tcPr>
          <w:p>
            <w:pPr>
              <w:spacing w:line="187"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19</w:t>
            </w:r>
          </w:p>
        </w:tc>
        <w:tc>
          <w:tcPr>
            <w:tcW w:w="1466" w:type="dxa"/>
            <w:vAlign w:val="center"/>
          </w:tcPr>
          <w:p>
            <w:pPr>
              <w:spacing w:line="187"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A</w:t>
            </w:r>
          </w:p>
        </w:tc>
        <w:tc>
          <w:tcPr>
            <w:tcW w:w="2313" w:type="dxa"/>
            <w:vAlign w:val="center"/>
          </w:tcPr>
          <w:p>
            <w:pPr>
              <w:spacing w:line="190"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121°55′26.4″</w:t>
            </w:r>
          </w:p>
        </w:tc>
        <w:tc>
          <w:tcPr>
            <w:tcW w:w="1873" w:type="dxa"/>
            <w:vAlign w:val="center"/>
          </w:tcPr>
          <w:p>
            <w:pPr>
              <w:spacing w:line="190" w:lineRule="auto"/>
              <w:ind w:firstLine="420"/>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30°18′28.8″</w:t>
            </w:r>
          </w:p>
        </w:tc>
        <w:tc>
          <w:tcPr>
            <w:tcW w:w="1022" w:type="dxa"/>
            <w:vMerge w:val="continue"/>
            <w:tcBorders>
              <w:top w:val="nil"/>
            </w:tcBorders>
            <w:vAlign w:val="center"/>
          </w:tcPr>
          <w:p>
            <w:pPr>
              <w:ind w:firstLine="420"/>
              <w:rPr>
                <w:rFonts w:ascii="Arial"/>
                <w:color w:val="auto"/>
                <w:highlight w:val="none"/>
              </w:rPr>
            </w:pPr>
          </w:p>
        </w:tc>
      </w:tr>
    </w:tbl>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(2)监测要求</w:t>
      </w:r>
    </w:p>
    <w:p>
      <w:pPr>
        <w:spacing w:before="78"/>
        <w:ind w:left="20" w:right="7" w:firstLine="420"/>
        <w:rPr>
          <w:rFonts w:hAnsi="宋体"/>
          <w:color w:val="auto"/>
          <w:szCs w:val="21"/>
          <w:highlight w:val="none"/>
        </w:rPr>
      </w:pPr>
      <w:r>
        <w:rPr>
          <w:color w:val="auto"/>
          <w:highlight w:val="none"/>
        </w:rPr>
        <w:t>水下地形测量的高程基准面采用</w:t>
      </w:r>
      <w:r>
        <w:rPr>
          <w:rFonts w:ascii="Times New Roman" w:eastAsia="Times New Roman"/>
          <w:color w:val="auto"/>
          <w:highlight w:val="none"/>
        </w:rPr>
        <w:t>1985</w:t>
      </w:r>
      <w:r>
        <w:rPr>
          <w:color w:val="auto"/>
          <w:highlight w:val="none"/>
        </w:rPr>
        <w:t>国家高程基准面。</w:t>
      </w:r>
      <w:r>
        <w:rPr>
          <w:color w:val="auto"/>
          <w:spacing w:val="-9"/>
          <w:highlight w:val="none"/>
        </w:rPr>
        <w:t>水深测量按《海洋调查</w:t>
      </w:r>
      <w:r>
        <w:rPr>
          <w:color w:val="auto"/>
          <w:spacing w:val="-23"/>
          <w:highlight w:val="none"/>
        </w:rPr>
        <w:t>规范第</w:t>
      </w:r>
      <w:r>
        <w:rPr>
          <w:rFonts w:ascii="Times New Roman" w:eastAsia="Times New Roman"/>
          <w:color w:val="auto"/>
          <w:highlight w:val="none"/>
        </w:rPr>
        <w:t>10</w:t>
      </w:r>
      <w:r>
        <w:rPr>
          <w:color w:val="auto"/>
          <w:spacing w:val="-10"/>
          <w:highlight w:val="none"/>
        </w:rPr>
        <w:t>部分：海底地形地貌调查》</w:t>
      </w:r>
      <w:r>
        <w:rPr>
          <w:color w:val="auto"/>
          <w:highlight w:val="none"/>
        </w:rPr>
        <w:t>（</w:t>
      </w:r>
      <w:r>
        <w:rPr>
          <w:rFonts w:ascii="Times New Roman" w:eastAsia="Times New Roman"/>
          <w:color w:val="auto"/>
          <w:highlight w:val="none"/>
        </w:rPr>
        <w:t>GB12763.10-2007</w:t>
      </w:r>
      <w:r>
        <w:rPr>
          <w:color w:val="auto"/>
          <w:highlight w:val="none"/>
        </w:rPr>
        <w:t>）执行。</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(3)测量频次</w:t>
      </w:r>
    </w:p>
    <w:p>
      <w:pPr>
        <w:spacing w:before="78"/>
        <w:ind w:left="20" w:right="7" w:firstLine="420"/>
        <w:rPr>
          <w:rFonts w:hAnsi="宋体"/>
          <w:color w:val="auto"/>
          <w:szCs w:val="21"/>
          <w:highlight w:val="none"/>
        </w:rPr>
      </w:pPr>
      <w:r>
        <w:rPr>
          <w:color w:val="auto"/>
          <w:highlight w:val="none"/>
        </w:rPr>
        <w:t>进行</w:t>
      </w:r>
      <w:r>
        <w:rPr>
          <w:rFonts w:ascii="Times New Roman" w:eastAsia="Times New Roman"/>
          <w:color w:val="auto"/>
          <w:highlight w:val="none"/>
        </w:rPr>
        <w:t>1</w:t>
      </w:r>
      <w:r>
        <w:rPr>
          <w:color w:val="auto"/>
          <w:highlight w:val="none"/>
        </w:rPr>
        <w:t>次测量，春季或者冬季</w:t>
      </w:r>
      <w:r>
        <w:rPr>
          <w:rFonts w:hint="eastAsia" w:hAnsi="宋体"/>
          <w:color w:val="auto"/>
          <w:szCs w:val="21"/>
          <w:highlight w:val="none"/>
        </w:rPr>
        <w:t>。</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1.2 水质生态环境跟踪监测</w:t>
      </w:r>
    </w:p>
    <w:p>
      <w:pPr>
        <w:spacing w:before="78"/>
        <w:ind w:left="20" w:right="7" w:firstLine="420"/>
        <w:rPr>
          <w:rFonts w:hAnsi="宋体"/>
          <w:color w:val="auto"/>
          <w:szCs w:val="21"/>
          <w:highlight w:val="none"/>
        </w:rPr>
      </w:pPr>
      <w:r>
        <w:rPr>
          <w:rFonts w:hint="eastAsia" w:hAnsi="宋体"/>
          <w:color w:val="auto"/>
          <w:szCs w:val="21"/>
          <w:highlight w:val="none"/>
        </w:rPr>
        <w:t>监测站位：生态资源监测补充调查计划布设水质站位28个（表</w:t>
      </w:r>
      <w:r>
        <w:rPr>
          <w:rFonts w:hAnsi="宋体"/>
          <w:color w:val="auto"/>
          <w:szCs w:val="21"/>
          <w:highlight w:val="none"/>
        </w:rPr>
        <w:t>1-</w:t>
      </w:r>
      <w:r>
        <w:rPr>
          <w:rFonts w:hint="eastAsia" w:hAnsi="宋体"/>
          <w:color w:val="auto"/>
          <w:szCs w:val="21"/>
          <w:highlight w:val="none"/>
        </w:rPr>
        <w:t>3），沉积物站位11个，海洋生物体质量23个，渔业资源调查站位23个，海域生物生态监测站17个。监测内容、频次和时间具体监测因子及频次见表1-2。</w:t>
      </w:r>
    </w:p>
    <w:p>
      <w:pPr>
        <w:spacing w:before="78"/>
        <w:ind w:left="20" w:right="7" w:firstLine="420"/>
        <w:rPr>
          <w:rFonts w:hAnsi="宋体"/>
          <w:color w:val="auto"/>
          <w:szCs w:val="21"/>
          <w:highlight w:val="none"/>
        </w:rPr>
      </w:pPr>
      <w:r>
        <w:rPr>
          <w:rFonts w:hint="eastAsia" w:hAnsi="宋体"/>
          <w:color w:val="auto"/>
          <w:szCs w:val="21"/>
          <w:highlight w:val="none"/>
        </w:rPr>
        <w:t>其中春秋两季H1、</w:t>
      </w:r>
      <w:r>
        <w:rPr>
          <w:rFonts w:ascii="Times New Roman" w:hAnsi="Times New Roman" w:cs="Times New Roman"/>
          <w:color w:val="auto"/>
          <w:szCs w:val="21"/>
          <w:highlight w:val="none"/>
        </w:rPr>
        <w:t>H2、H4~H8、H10、H13~H17、H20~H24、H26~H28</w:t>
      </w:r>
      <w:r>
        <w:rPr>
          <w:rFonts w:hint="eastAsia" w:hAnsi="宋体"/>
          <w:color w:val="auto"/>
          <w:szCs w:val="21"/>
          <w:highlight w:val="none"/>
        </w:rPr>
        <w:t>共21个站位的水质（21个）、沉积物（7个）和生物体质量（17个）的部分常规指标内容（表1-2）斜体部分，以及对应站位的生物生态（13个）和渔业资源（17个）的资料由业主提供。</w:t>
      </w:r>
    </w:p>
    <w:p>
      <w:pPr>
        <w:spacing w:before="78"/>
        <w:ind w:left="20" w:right="7" w:firstLine="420"/>
        <w:rPr>
          <w:rFonts w:hAnsi="宋体"/>
          <w:color w:val="auto"/>
          <w:szCs w:val="21"/>
          <w:highlight w:val="none"/>
        </w:rPr>
      </w:pPr>
      <w:r>
        <w:rPr>
          <w:rFonts w:hint="eastAsia" w:hAnsi="宋体"/>
          <w:color w:val="auto"/>
          <w:szCs w:val="21"/>
          <w:highlight w:val="none"/>
        </w:rPr>
        <w:t>监测过程应严格按《海洋调查规范》（GB12763-2007）和《海洋监测规范》（GB17378.2-2007）的有关规定执行。</w:t>
      </w:r>
    </w:p>
    <w:p>
      <w:pPr>
        <w:spacing w:before="1" w:line="220" w:lineRule="auto"/>
        <w:ind w:left="2599" w:firstLine="420"/>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表</w:t>
      </w:r>
      <w:r>
        <w:rPr>
          <w:rFonts w:ascii="Times New Roman" w:hAnsi="Times New Roman" w:eastAsia="Times New Roman" w:cs="Times New Roman"/>
          <w:b/>
          <w:bCs/>
          <w:color w:val="auto"/>
          <w:szCs w:val="21"/>
          <w:highlight w:val="none"/>
        </w:rPr>
        <w:t>1-2</w:t>
      </w:r>
      <w:r>
        <w:rPr>
          <w:rFonts w:ascii="Times New Roman" w:hAnsi="Times New Roman" w:eastAsia="Times New Roman" w:cs="Times New Roman"/>
          <w:color w:val="auto"/>
          <w:szCs w:val="21"/>
          <w:highlight w:val="none"/>
        </w:rPr>
        <w:t xml:space="preserve">  </w:t>
      </w:r>
      <w:r>
        <w:rPr>
          <w:rFonts w:hAnsi="宋体"/>
          <w:color w:val="auto"/>
          <w:szCs w:val="21"/>
          <w:highlight w:val="none"/>
          <w14:textOutline w14:w="3835" w14:cap="flat" w14:cmpd="sng" w14:algn="ctr">
            <w14:solidFill>
              <w14:srgbClr w14:val="000000"/>
            </w14:solidFill>
            <w14:prstDash w14:val="solid"/>
            <w14:miter w14:val="0"/>
          </w14:textOutline>
        </w:rPr>
        <w:t>海域生态大面环境跟踪监测方案</w:t>
      </w:r>
    </w:p>
    <w:tbl>
      <w:tblPr>
        <w:tblStyle w:val="114"/>
        <w:tblpPr w:leftFromText="180" w:rightFromText="180" w:vertAnchor="text" w:horzAnchor="page" w:tblpXSpec="center" w:tblpY="111"/>
        <w:tblOverlap w:val="never"/>
        <w:tblW w:w="931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4"/>
        <w:gridCol w:w="1163"/>
        <w:gridCol w:w="4882"/>
        <w:gridCol w:w="22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4" w:hRule="atLeast"/>
          <w:jc w:val="center"/>
        </w:trPr>
        <w:tc>
          <w:tcPr>
            <w:tcW w:w="974" w:type="dxa"/>
            <w:vAlign w:val="center"/>
          </w:tcPr>
          <w:p>
            <w:pPr>
              <w:spacing w:line="221" w:lineRule="auto"/>
              <w:ind w:firstLine="0" w:firstLineChars="0"/>
              <w:jc w:val="center"/>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环境要素</w:t>
            </w:r>
          </w:p>
        </w:tc>
        <w:tc>
          <w:tcPr>
            <w:tcW w:w="1163" w:type="dxa"/>
            <w:vAlign w:val="center"/>
          </w:tcPr>
          <w:p>
            <w:pPr>
              <w:spacing w:line="221" w:lineRule="auto"/>
              <w:ind w:firstLine="0" w:firstLineChars="0"/>
              <w:jc w:val="center"/>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监测站位数</w:t>
            </w:r>
          </w:p>
        </w:tc>
        <w:tc>
          <w:tcPr>
            <w:tcW w:w="4882" w:type="dxa"/>
            <w:vAlign w:val="center"/>
          </w:tcPr>
          <w:p>
            <w:pPr>
              <w:spacing w:line="221" w:lineRule="auto"/>
              <w:ind w:firstLine="0" w:firstLineChars="0"/>
              <w:jc w:val="center"/>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监测指标</w:t>
            </w:r>
          </w:p>
        </w:tc>
        <w:tc>
          <w:tcPr>
            <w:tcW w:w="2291" w:type="dxa"/>
            <w:vAlign w:val="center"/>
          </w:tcPr>
          <w:p>
            <w:pPr>
              <w:spacing w:line="221" w:lineRule="auto"/>
              <w:ind w:firstLine="0" w:firstLineChars="0"/>
              <w:jc w:val="center"/>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监测时间、频次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2" w:hRule="atLeast"/>
          <w:jc w:val="center"/>
        </w:trPr>
        <w:tc>
          <w:tcPr>
            <w:tcW w:w="974" w:type="dxa"/>
            <w:vAlign w:val="center"/>
          </w:tcPr>
          <w:p>
            <w:pPr>
              <w:widowControl/>
              <w:kinsoku w:val="0"/>
              <w:wordWrap/>
              <w:autoSpaceDE w:val="0"/>
              <w:autoSpaceDN w:val="0"/>
              <w:adjustRightInd w:val="0"/>
              <w:snapToGrid w:val="0"/>
              <w:spacing w:line="340" w:lineRule="exact"/>
              <w:ind w:firstLine="0" w:firstLineChars="0"/>
              <w:jc w:val="center"/>
              <w:textAlignment w:val="baseline"/>
              <w:rPr>
                <w:rFonts w:hAnsi="宋体"/>
                <w:color w:val="auto"/>
                <w:szCs w:val="21"/>
                <w:highlight w:val="none"/>
              </w:rPr>
            </w:pPr>
            <w:r>
              <w:rPr>
                <w:rFonts w:hAnsi="宋体"/>
                <w:color w:val="auto"/>
                <w:szCs w:val="21"/>
                <w:highlight w:val="none"/>
              </w:rPr>
              <w:t>水质</w:t>
            </w:r>
          </w:p>
        </w:tc>
        <w:tc>
          <w:tcPr>
            <w:tcW w:w="1163" w:type="dxa"/>
            <w:vAlign w:val="center"/>
          </w:tcPr>
          <w:p>
            <w:pPr>
              <w:widowControl/>
              <w:kinsoku w:val="0"/>
              <w:wordWrap/>
              <w:autoSpaceDE w:val="0"/>
              <w:autoSpaceDN w:val="0"/>
              <w:adjustRightInd w:val="0"/>
              <w:snapToGrid w:val="0"/>
              <w:spacing w:line="340" w:lineRule="exact"/>
              <w:ind w:firstLine="0" w:firstLineChars="0"/>
              <w:jc w:val="center"/>
              <w:textAlignment w:val="baseline"/>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28</w:t>
            </w:r>
          </w:p>
        </w:tc>
        <w:tc>
          <w:tcPr>
            <w:tcW w:w="4882" w:type="dxa"/>
            <w:vAlign w:val="center"/>
          </w:tcPr>
          <w:p>
            <w:pPr>
              <w:widowControl/>
              <w:kinsoku w:val="0"/>
              <w:wordWrap/>
              <w:autoSpaceDE w:val="0"/>
              <w:autoSpaceDN w:val="0"/>
              <w:adjustRightInd w:val="0"/>
              <w:snapToGrid w:val="0"/>
              <w:spacing w:line="340" w:lineRule="exact"/>
              <w:ind w:firstLine="0" w:firstLineChars="0"/>
              <w:jc w:val="center"/>
              <w:textAlignment w:val="baseline"/>
              <w:rPr>
                <w:rFonts w:hAnsi="宋体"/>
                <w:color w:val="auto"/>
                <w:szCs w:val="21"/>
                <w:highlight w:val="none"/>
              </w:rPr>
            </w:pPr>
            <w:r>
              <w:rPr>
                <w:rFonts w:hAnsi="宋体"/>
                <w:color w:val="auto"/>
                <w:szCs w:val="21"/>
                <w:highlight w:val="none"/>
              </w:rPr>
              <w:t>常规监测因子：</w:t>
            </w:r>
            <w:r>
              <w:rPr>
                <w:rFonts w:hAnsi="宋体"/>
                <w:i/>
                <w:iCs/>
                <w:color w:val="auto"/>
                <w:szCs w:val="21"/>
                <w:highlight w:val="none"/>
              </w:rPr>
              <w:t>总氮、总磷、</w:t>
            </w:r>
            <w:r>
              <w:rPr>
                <w:rFonts w:ascii="Times New Roman" w:hAnsi="Times New Roman" w:eastAsia="Times New Roman" w:cs="Times New Roman"/>
                <w:i/>
                <w:iCs/>
                <w:color w:val="auto"/>
                <w:szCs w:val="21"/>
                <w:highlight w:val="none"/>
              </w:rPr>
              <w:t>TOC</w:t>
            </w:r>
            <w:r>
              <w:rPr>
                <w:rFonts w:hAnsi="宋体"/>
                <w:i/>
                <w:iCs/>
                <w:color w:val="auto"/>
                <w:szCs w:val="21"/>
                <w:highlight w:val="none"/>
              </w:rPr>
              <w:t>、石油类、汞、砷、铜、镉、铅、铬、锌、硫化物、氰化物、氟化物、挥发酚、多环芳烃、粪大肠菌群</w:t>
            </w:r>
          </w:p>
          <w:p>
            <w:pPr>
              <w:widowControl/>
              <w:kinsoku w:val="0"/>
              <w:wordWrap/>
              <w:autoSpaceDE w:val="0"/>
              <w:autoSpaceDN w:val="0"/>
              <w:adjustRightInd w:val="0"/>
              <w:snapToGrid w:val="0"/>
              <w:spacing w:line="340" w:lineRule="exact"/>
              <w:ind w:firstLine="0" w:firstLineChars="0"/>
              <w:jc w:val="center"/>
              <w:textAlignment w:val="baseline"/>
              <w:rPr>
                <w:rFonts w:hAnsi="宋体"/>
                <w:color w:val="auto"/>
                <w:szCs w:val="21"/>
                <w:highlight w:val="none"/>
              </w:rPr>
            </w:pPr>
            <w:r>
              <w:rPr>
                <w:rFonts w:hAnsi="宋体"/>
                <w:color w:val="auto"/>
                <w:szCs w:val="21"/>
                <w:highlight w:val="none"/>
              </w:rPr>
              <w:t>石化特征因子：苯、甲苯、二甲苯、丙烯腈、镍、钒</w:t>
            </w:r>
          </w:p>
        </w:tc>
        <w:tc>
          <w:tcPr>
            <w:tcW w:w="2291" w:type="dxa"/>
            <w:vAlign w:val="center"/>
          </w:tcPr>
          <w:p>
            <w:pPr>
              <w:widowControl/>
              <w:kinsoku w:val="0"/>
              <w:wordWrap/>
              <w:autoSpaceDE w:val="0"/>
              <w:autoSpaceDN w:val="0"/>
              <w:adjustRightInd w:val="0"/>
              <w:snapToGrid w:val="0"/>
              <w:spacing w:line="340" w:lineRule="exact"/>
              <w:ind w:firstLine="0" w:firstLineChars="0"/>
              <w:jc w:val="center"/>
              <w:textAlignment w:val="baseline"/>
              <w:rPr>
                <w:rFonts w:hAnsi="宋体"/>
                <w:color w:val="auto"/>
                <w:szCs w:val="21"/>
                <w:highlight w:val="none"/>
              </w:rPr>
            </w:pPr>
            <w:r>
              <w:rPr>
                <w:rFonts w:hAnsi="宋体"/>
                <w:color w:val="auto"/>
                <w:szCs w:val="21"/>
                <w:highlight w:val="none"/>
              </w:rPr>
              <w:t>监测</w:t>
            </w:r>
            <w:r>
              <w:rPr>
                <w:rFonts w:ascii="Times New Roman" w:hAnsi="Times New Roman" w:eastAsia="Times New Roman" w:cs="Times New Roman"/>
                <w:color w:val="auto"/>
                <w:szCs w:val="21"/>
                <w:highlight w:val="none"/>
              </w:rPr>
              <w:t>2</w:t>
            </w:r>
            <w:r>
              <w:rPr>
                <w:rFonts w:hAnsi="宋体"/>
                <w:color w:val="auto"/>
                <w:szCs w:val="21"/>
                <w:highlight w:val="none"/>
              </w:rPr>
              <w:t>次</w:t>
            </w:r>
          </w:p>
          <w:p>
            <w:pPr>
              <w:widowControl/>
              <w:kinsoku w:val="0"/>
              <w:wordWrap/>
              <w:autoSpaceDE w:val="0"/>
              <w:autoSpaceDN w:val="0"/>
              <w:adjustRightInd w:val="0"/>
              <w:snapToGrid w:val="0"/>
              <w:spacing w:line="340" w:lineRule="exact"/>
              <w:ind w:firstLine="0" w:firstLineChars="0"/>
              <w:jc w:val="center"/>
              <w:textAlignment w:val="baseline"/>
              <w:rPr>
                <w:rFonts w:hAnsi="宋体"/>
                <w:color w:val="auto"/>
                <w:szCs w:val="21"/>
                <w:highlight w:val="none"/>
              </w:rPr>
            </w:pPr>
            <w:r>
              <w:rPr>
                <w:rFonts w:hAnsi="宋体"/>
                <w:color w:val="auto"/>
                <w:szCs w:val="21"/>
                <w:highlight w:val="none"/>
              </w:rPr>
              <w:t>春季和秋季</w:t>
            </w:r>
            <w:r>
              <w:rPr>
                <w:rFonts w:hint="eastAsia" w:hAnsi="宋体"/>
                <w:color w:val="auto"/>
                <w:szCs w:val="21"/>
                <w:highlight w:val="none"/>
              </w:rPr>
              <w:t>各监测1次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2" w:hRule="atLeast"/>
          <w:jc w:val="center"/>
        </w:trPr>
        <w:tc>
          <w:tcPr>
            <w:tcW w:w="974" w:type="dxa"/>
            <w:vAlign w:val="center"/>
          </w:tcPr>
          <w:p>
            <w:pPr>
              <w:widowControl/>
              <w:kinsoku w:val="0"/>
              <w:wordWrap/>
              <w:autoSpaceDE w:val="0"/>
              <w:autoSpaceDN w:val="0"/>
              <w:adjustRightInd w:val="0"/>
              <w:snapToGrid w:val="0"/>
              <w:spacing w:line="340" w:lineRule="exact"/>
              <w:ind w:firstLine="0" w:firstLineChars="0"/>
              <w:jc w:val="center"/>
              <w:textAlignment w:val="baseline"/>
              <w:rPr>
                <w:rFonts w:hAnsi="宋体"/>
                <w:color w:val="auto"/>
                <w:szCs w:val="21"/>
                <w:highlight w:val="none"/>
              </w:rPr>
            </w:pPr>
            <w:r>
              <w:rPr>
                <w:rFonts w:hAnsi="宋体"/>
                <w:color w:val="auto"/>
                <w:szCs w:val="21"/>
                <w:highlight w:val="none"/>
              </w:rPr>
              <w:t>沉积物</w:t>
            </w:r>
          </w:p>
        </w:tc>
        <w:tc>
          <w:tcPr>
            <w:tcW w:w="1163" w:type="dxa"/>
            <w:vAlign w:val="center"/>
          </w:tcPr>
          <w:p>
            <w:pPr>
              <w:widowControl/>
              <w:kinsoku w:val="0"/>
              <w:wordWrap/>
              <w:autoSpaceDE w:val="0"/>
              <w:autoSpaceDN w:val="0"/>
              <w:adjustRightInd w:val="0"/>
              <w:snapToGrid w:val="0"/>
              <w:spacing w:line="340" w:lineRule="exact"/>
              <w:ind w:firstLine="0" w:firstLineChars="0"/>
              <w:jc w:val="center"/>
              <w:textAlignment w:val="baseline"/>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11</w:t>
            </w:r>
          </w:p>
        </w:tc>
        <w:tc>
          <w:tcPr>
            <w:tcW w:w="4882" w:type="dxa"/>
            <w:vAlign w:val="center"/>
          </w:tcPr>
          <w:p>
            <w:pPr>
              <w:widowControl/>
              <w:kinsoku w:val="0"/>
              <w:wordWrap/>
              <w:autoSpaceDE w:val="0"/>
              <w:autoSpaceDN w:val="0"/>
              <w:adjustRightInd w:val="0"/>
              <w:snapToGrid w:val="0"/>
              <w:spacing w:line="340" w:lineRule="exact"/>
              <w:ind w:firstLine="0" w:firstLineChars="0"/>
              <w:jc w:val="center"/>
              <w:textAlignment w:val="baseline"/>
              <w:rPr>
                <w:rFonts w:hAnsi="宋体"/>
                <w:color w:val="auto"/>
                <w:szCs w:val="21"/>
                <w:highlight w:val="none"/>
              </w:rPr>
            </w:pPr>
            <w:r>
              <w:rPr>
                <w:rFonts w:hAnsi="宋体"/>
                <w:color w:val="auto"/>
                <w:szCs w:val="21"/>
                <w:highlight w:val="none"/>
              </w:rPr>
              <w:t>常规监测因子：</w:t>
            </w:r>
            <w:r>
              <w:rPr>
                <w:rFonts w:hAnsi="宋体"/>
                <w:i/>
                <w:iCs/>
                <w:color w:val="auto"/>
                <w:szCs w:val="21"/>
                <w:highlight w:val="none"/>
              </w:rPr>
              <w:t>氧化-还原电位(Eh)、总汞、铜、铅、镉、锌、铬、砷、石油类、硫化物、有机碳、666、DDT、多氯联苯，粒度、粪大肠菌群</w:t>
            </w:r>
          </w:p>
          <w:p>
            <w:pPr>
              <w:widowControl/>
              <w:kinsoku w:val="0"/>
              <w:wordWrap/>
              <w:autoSpaceDE w:val="0"/>
              <w:autoSpaceDN w:val="0"/>
              <w:adjustRightInd w:val="0"/>
              <w:snapToGrid w:val="0"/>
              <w:spacing w:line="340" w:lineRule="exact"/>
              <w:ind w:right="135" w:firstLine="0" w:firstLineChars="0"/>
              <w:jc w:val="center"/>
              <w:textAlignment w:val="baseline"/>
              <w:rPr>
                <w:rFonts w:hAnsi="宋体"/>
                <w:color w:val="auto"/>
                <w:szCs w:val="21"/>
                <w:highlight w:val="none"/>
              </w:rPr>
            </w:pPr>
            <w:r>
              <w:rPr>
                <w:rFonts w:hAnsi="宋体"/>
                <w:color w:val="auto"/>
                <w:szCs w:val="21"/>
                <w:highlight w:val="none"/>
              </w:rPr>
              <w:t>石化特征因子：氰化物、丙烯腈、挥发酚、多环芳烃、镍、钒、苯、甲苯、二甲苯</w:t>
            </w:r>
          </w:p>
        </w:tc>
        <w:tc>
          <w:tcPr>
            <w:tcW w:w="2291" w:type="dxa"/>
            <w:vAlign w:val="center"/>
          </w:tcPr>
          <w:p>
            <w:pPr>
              <w:pStyle w:val="116"/>
              <w:widowControl/>
              <w:wordWrap/>
              <w:spacing w:before="1" w:line="340" w:lineRule="exact"/>
              <w:ind w:right="115" w:firstLine="0" w:firstLineChars="0"/>
              <w:rPr>
                <w:rFonts w:ascii="宋体" w:eastAsia="宋体"/>
                <w:color w:val="auto"/>
                <w:szCs w:val="21"/>
                <w:highlight w:val="none"/>
              </w:rPr>
            </w:pPr>
            <w:r>
              <w:rPr>
                <w:color w:val="auto"/>
                <w:szCs w:val="21"/>
                <w:highlight w:val="none"/>
              </w:rPr>
              <w:t>1</w:t>
            </w:r>
            <w:r>
              <w:rPr>
                <w:rFonts w:hint="eastAsia" w:ascii="宋体" w:eastAsia="宋体"/>
                <w:color w:val="auto"/>
                <w:szCs w:val="21"/>
                <w:highlight w:val="none"/>
              </w:rPr>
              <w:t>次</w:t>
            </w:r>
          </w:p>
          <w:p>
            <w:pPr>
              <w:widowControl/>
              <w:kinsoku w:val="0"/>
              <w:wordWrap/>
              <w:autoSpaceDE w:val="0"/>
              <w:autoSpaceDN w:val="0"/>
              <w:adjustRightInd w:val="0"/>
              <w:snapToGrid w:val="0"/>
              <w:spacing w:line="340" w:lineRule="exact"/>
              <w:ind w:right="25" w:firstLine="0" w:firstLineChars="0"/>
              <w:jc w:val="center"/>
              <w:textAlignment w:val="baseline"/>
              <w:rPr>
                <w:rFonts w:hAnsi="宋体"/>
                <w:color w:val="auto"/>
                <w:szCs w:val="21"/>
                <w:highlight w:val="none"/>
              </w:rPr>
            </w:pPr>
            <w:r>
              <w:rPr>
                <w:rFonts w:hint="eastAsia"/>
                <w:color w:val="auto"/>
                <w:szCs w:val="21"/>
                <w:highlight w:val="none"/>
              </w:rPr>
              <w:t>在秋季开展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4" w:hRule="atLeast"/>
          <w:jc w:val="center"/>
        </w:trPr>
        <w:tc>
          <w:tcPr>
            <w:tcW w:w="974" w:type="dxa"/>
            <w:vAlign w:val="center"/>
          </w:tcPr>
          <w:p>
            <w:pPr>
              <w:widowControl/>
              <w:kinsoku w:val="0"/>
              <w:wordWrap/>
              <w:autoSpaceDE w:val="0"/>
              <w:autoSpaceDN w:val="0"/>
              <w:adjustRightInd w:val="0"/>
              <w:snapToGrid w:val="0"/>
              <w:spacing w:line="340" w:lineRule="exact"/>
              <w:ind w:right="61" w:firstLine="0" w:firstLineChars="0"/>
              <w:jc w:val="center"/>
              <w:textAlignment w:val="baseline"/>
              <w:rPr>
                <w:rFonts w:hAnsi="宋体"/>
                <w:color w:val="auto"/>
                <w:szCs w:val="21"/>
                <w:highlight w:val="none"/>
              </w:rPr>
            </w:pPr>
            <w:r>
              <w:rPr>
                <w:rFonts w:hAnsi="宋体"/>
                <w:color w:val="auto"/>
                <w:szCs w:val="21"/>
                <w:highlight w:val="none"/>
              </w:rPr>
              <w:t>海洋生物体质量</w:t>
            </w:r>
          </w:p>
        </w:tc>
        <w:tc>
          <w:tcPr>
            <w:tcW w:w="1163" w:type="dxa"/>
            <w:vAlign w:val="center"/>
          </w:tcPr>
          <w:p>
            <w:pPr>
              <w:widowControl/>
              <w:kinsoku w:val="0"/>
              <w:wordWrap/>
              <w:autoSpaceDE w:val="0"/>
              <w:autoSpaceDN w:val="0"/>
              <w:adjustRightInd w:val="0"/>
              <w:snapToGrid w:val="0"/>
              <w:spacing w:line="340" w:lineRule="exact"/>
              <w:ind w:firstLine="0" w:firstLineChars="0"/>
              <w:jc w:val="center"/>
              <w:textAlignment w:val="baseline"/>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23</w:t>
            </w:r>
          </w:p>
        </w:tc>
        <w:tc>
          <w:tcPr>
            <w:tcW w:w="4882" w:type="dxa"/>
            <w:vAlign w:val="center"/>
          </w:tcPr>
          <w:p>
            <w:pPr>
              <w:widowControl/>
              <w:kinsoku w:val="0"/>
              <w:wordWrap/>
              <w:autoSpaceDE w:val="0"/>
              <w:autoSpaceDN w:val="0"/>
              <w:adjustRightInd w:val="0"/>
              <w:snapToGrid w:val="0"/>
              <w:spacing w:line="340" w:lineRule="exact"/>
              <w:ind w:firstLine="0" w:firstLineChars="0"/>
              <w:jc w:val="center"/>
              <w:textAlignment w:val="baseline"/>
              <w:rPr>
                <w:rFonts w:hAnsi="宋体"/>
                <w:color w:val="auto"/>
                <w:szCs w:val="21"/>
                <w:highlight w:val="none"/>
              </w:rPr>
            </w:pPr>
            <w:r>
              <w:rPr>
                <w:rFonts w:hAnsi="宋体"/>
                <w:color w:val="auto"/>
                <w:szCs w:val="21"/>
                <w:highlight w:val="none"/>
              </w:rPr>
              <w:t>贝类、鱼类、甲壳类</w:t>
            </w:r>
          </w:p>
          <w:p>
            <w:pPr>
              <w:widowControl/>
              <w:kinsoku w:val="0"/>
              <w:wordWrap/>
              <w:autoSpaceDE w:val="0"/>
              <w:autoSpaceDN w:val="0"/>
              <w:adjustRightInd w:val="0"/>
              <w:snapToGrid w:val="0"/>
              <w:spacing w:line="340" w:lineRule="exact"/>
              <w:ind w:firstLine="0" w:firstLineChars="0"/>
              <w:jc w:val="center"/>
              <w:textAlignment w:val="baseline"/>
              <w:rPr>
                <w:rFonts w:hAnsi="宋体"/>
                <w:color w:val="auto"/>
                <w:szCs w:val="21"/>
                <w:highlight w:val="none"/>
              </w:rPr>
            </w:pPr>
            <w:r>
              <w:rPr>
                <w:rFonts w:hAnsi="宋体"/>
                <w:color w:val="auto"/>
                <w:szCs w:val="21"/>
                <w:highlight w:val="none"/>
              </w:rPr>
              <w:t>生物质量常规监测因子：</w:t>
            </w:r>
            <w:r>
              <w:rPr>
                <w:rFonts w:hAnsi="宋体"/>
                <w:i/>
                <w:iCs/>
                <w:color w:val="auto"/>
                <w:szCs w:val="21"/>
                <w:highlight w:val="none"/>
              </w:rPr>
              <w:t>石油烃、汞、砷、铜、镉、铅、锌、铬、石油烃、666 、DDT、多氯联苯</w:t>
            </w:r>
          </w:p>
          <w:p>
            <w:pPr>
              <w:widowControl/>
              <w:kinsoku w:val="0"/>
              <w:wordWrap/>
              <w:autoSpaceDE w:val="0"/>
              <w:autoSpaceDN w:val="0"/>
              <w:adjustRightInd w:val="0"/>
              <w:snapToGrid w:val="0"/>
              <w:spacing w:line="340" w:lineRule="exact"/>
              <w:ind w:firstLine="0" w:firstLineChars="0"/>
              <w:jc w:val="center"/>
              <w:textAlignment w:val="baseline"/>
              <w:rPr>
                <w:rFonts w:hAnsi="宋体"/>
                <w:color w:val="auto"/>
                <w:szCs w:val="21"/>
                <w:highlight w:val="none"/>
              </w:rPr>
            </w:pPr>
            <w:r>
              <w:rPr>
                <w:rFonts w:hAnsi="宋体"/>
                <w:color w:val="auto"/>
                <w:szCs w:val="21"/>
                <w:highlight w:val="none"/>
              </w:rPr>
              <w:t>石化特征因子：氰化物、丙烯腈、挥发酚、多环芳烃、镍、钒</w:t>
            </w:r>
          </w:p>
        </w:tc>
        <w:tc>
          <w:tcPr>
            <w:tcW w:w="2291" w:type="dxa"/>
            <w:vAlign w:val="center"/>
          </w:tcPr>
          <w:p>
            <w:pPr>
              <w:pStyle w:val="116"/>
              <w:widowControl/>
              <w:wordWrap/>
              <w:spacing w:line="340" w:lineRule="exact"/>
              <w:ind w:right="115" w:firstLine="0" w:firstLineChars="0"/>
              <w:rPr>
                <w:rFonts w:ascii="宋体" w:eastAsia="宋体"/>
                <w:color w:val="auto"/>
                <w:szCs w:val="21"/>
                <w:highlight w:val="none"/>
              </w:rPr>
            </w:pPr>
            <w:r>
              <w:rPr>
                <w:color w:val="auto"/>
                <w:szCs w:val="21"/>
                <w:highlight w:val="none"/>
              </w:rPr>
              <w:t>1</w:t>
            </w:r>
            <w:r>
              <w:rPr>
                <w:rFonts w:hint="eastAsia" w:ascii="宋体" w:eastAsia="宋体"/>
                <w:color w:val="auto"/>
                <w:szCs w:val="21"/>
                <w:highlight w:val="none"/>
              </w:rPr>
              <w:t>次</w:t>
            </w:r>
          </w:p>
          <w:p>
            <w:pPr>
              <w:widowControl/>
              <w:kinsoku w:val="0"/>
              <w:wordWrap/>
              <w:autoSpaceDE w:val="0"/>
              <w:autoSpaceDN w:val="0"/>
              <w:adjustRightInd w:val="0"/>
              <w:snapToGrid w:val="0"/>
              <w:spacing w:line="340" w:lineRule="exact"/>
              <w:ind w:right="25" w:firstLine="0" w:firstLineChars="0"/>
              <w:jc w:val="center"/>
              <w:textAlignment w:val="baseline"/>
              <w:rPr>
                <w:rFonts w:hAnsi="宋体"/>
                <w:color w:val="auto"/>
                <w:szCs w:val="21"/>
                <w:highlight w:val="none"/>
              </w:rPr>
            </w:pPr>
            <w:r>
              <w:rPr>
                <w:rFonts w:hint="eastAsia"/>
                <w:color w:val="auto"/>
                <w:szCs w:val="21"/>
                <w:highlight w:val="none"/>
              </w:rPr>
              <w:t>秋季开展，</w:t>
            </w:r>
            <w:r>
              <w:rPr>
                <w:color w:val="auto"/>
                <w:szCs w:val="21"/>
                <w:highlight w:val="none"/>
              </w:rPr>
              <w:t>8</w:t>
            </w:r>
            <w:r>
              <w:rPr>
                <w:rFonts w:hint="eastAsia"/>
                <w:color w:val="auto"/>
                <w:szCs w:val="21"/>
                <w:highlight w:val="none"/>
              </w:rPr>
              <w:t>月</w:t>
            </w:r>
            <w:r>
              <w:rPr>
                <w:color w:val="auto"/>
                <w:szCs w:val="21"/>
                <w:highlight w:val="none"/>
              </w:rPr>
              <w:t>-9</w:t>
            </w:r>
            <w:r>
              <w:rPr>
                <w:rFonts w:hint="eastAsia"/>
                <w:color w:val="auto"/>
                <w:szCs w:val="21"/>
                <w:highlight w:val="none"/>
              </w:rPr>
              <w:t>月期间为宜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974" w:type="dxa"/>
            <w:vAlign w:val="center"/>
          </w:tcPr>
          <w:p>
            <w:pPr>
              <w:widowControl/>
              <w:kinsoku w:val="0"/>
              <w:wordWrap/>
              <w:autoSpaceDE w:val="0"/>
              <w:autoSpaceDN w:val="0"/>
              <w:adjustRightInd w:val="0"/>
              <w:snapToGrid w:val="0"/>
              <w:spacing w:line="340" w:lineRule="exact"/>
              <w:ind w:firstLine="0" w:firstLineChars="0"/>
              <w:jc w:val="center"/>
              <w:textAlignment w:val="baseline"/>
              <w:rPr>
                <w:rFonts w:hAnsi="宋体"/>
                <w:snapToGrid w:val="0"/>
                <w:color w:val="auto"/>
                <w:kern w:val="0"/>
                <w:szCs w:val="21"/>
                <w:highlight w:val="none"/>
              </w:rPr>
            </w:pPr>
            <w:r>
              <w:rPr>
                <w:rFonts w:hAnsi="宋体"/>
                <w:color w:val="auto"/>
                <w:szCs w:val="21"/>
                <w:highlight w:val="none"/>
              </w:rPr>
              <w:t>渔业资源</w:t>
            </w:r>
          </w:p>
        </w:tc>
        <w:tc>
          <w:tcPr>
            <w:tcW w:w="1163" w:type="dxa"/>
            <w:vAlign w:val="center"/>
          </w:tcPr>
          <w:p>
            <w:pPr>
              <w:widowControl/>
              <w:wordWrap/>
              <w:spacing w:line="340" w:lineRule="exact"/>
              <w:ind w:firstLine="0" w:firstLineChars="0"/>
              <w:jc w:val="center"/>
              <w:rPr>
                <w:rFonts w:ascii="Times New Roman" w:hAnsi="Times New Roman" w:eastAsia="Times New Roman" w:cs="Times New Roman"/>
                <w:snapToGrid w:val="0"/>
                <w:color w:val="auto"/>
                <w:kern w:val="0"/>
                <w:szCs w:val="21"/>
                <w:highlight w:val="none"/>
              </w:rPr>
            </w:pPr>
            <w:r>
              <w:rPr>
                <w:rFonts w:ascii="Times New Roman" w:hAnsi="Times New Roman" w:eastAsia="Times New Roman" w:cs="Times New Roman"/>
                <w:color w:val="auto"/>
                <w:szCs w:val="21"/>
                <w:highlight w:val="none"/>
              </w:rPr>
              <w:t>23</w:t>
            </w:r>
          </w:p>
        </w:tc>
        <w:tc>
          <w:tcPr>
            <w:tcW w:w="4882" w:type="dxa"/>
            <w:vAlign w:val="center"/>
          </w:tcPr>
          <w:p>
            <w:pPr>
              <w:widowControl/>
              <w:wordWrap/>
              <w:spacing w:line="340" w:lineRule="exact"/>
              <w:ind w:firstLine="0" w:firstLineChars="0"/>
              <w:jc w:val="center"/>
              <w:rPr>
                <w:rFonts w:hAnsi="宋体"/>
                <w:snapToGrid w:val="0"/>
                <w:color w:val="auto"/>
                <w:kern w:val="0"/>
                <w:szCs w:val="21"/>
                <w:highlight w:val="none"/>
              </w:rPr>
            </w:pPr>
            <w:r>
              <w:rPr>
                <w:rFonts w:hAnsi="宋体"/>
                <w:color w:val="auto"/>
                <w:szCs w:val="21"/>
                <w:highlight w:val="none"/>
              </w:rPr>
              <w:t>鱼卵、仔稚鱼、渔业资源</w:t>
            </w:r>
          </w:p>
        </w:tc>
        <w:tc>
          <w:tcPr>
            <w:tcW w:w="2291" w:type="dxa"/>
            <w:vAlign w:val="center"/>
          </w:tcPr>
          <w:p>
            <w:pPr>
              <w:pStyle w:val="116"/>
              <w:widowControl/>
              <w:wordWrap/>
              <w:spacing w:before="1" w:line="340" w:lineRule="exact"/>
              <w:ind w:right="115" w:firstLine="0" w:firstLineChars="0"/>
              <w:rPr>
                <w:rFonts w:ascii="宋体" w:eastAsia="宋体"/>
                <w:color w:val="auto"/>
                <w:szCs w:val="21"/>
                <w:highlight w:val="none"/>
              </w:rPr>
            </w:pPr>
            <w:r>
              <w:rPr>
                <w:color w:val="auto"/>
                <w:szCs w:val="21"/>
                <w:highlight w:val="none"/>
              </w:rPr>
              <w:t>1</w:t>
            </w:r>
            <w:r>
              <w:rPr>
                <w:rFonts w:hint="eastAsia" w:ascii="宋体" w:eastAsia="宋体"/>
                <w:color w:val="auto"/>
                <w:szCs w:val="21"/>
                <w:highlight w:val="none"/>
              </w:rPr>
              <w:t>次</w:t>
            </w:r>
          </w:p>
          <w:p>
            <w:pPr>
              <w:widowControl/>
              <w:wordWrap/>
              <w:spacing w:line="340" w:lineRule="exact"/>
              <w:ind w:right="25" w:firstLine="0" w:firstLineChars="0"/>
              <w:jc w:val="center"/>
              <w:rPr>
                <w:rFonts w:hAnsi="宋体"/>
                <w:snapToGrid w:val="0"/>
                <w:color w:val="auto"/>
                <w:kern w:val="0"/>
                <w:szCs w:val="21"/>
                <w:highlight w:val="none"/>
              </w:rPr>
            </w:pPr>
            <w:r>
              <w:rPr>
                <w:rFonts w:hint="eastAsia"/>
                <w:color w:val="auto"/>
                <w:szCs w:val="21"/>
                <w:highlight w:val="none"/>
              </w:rPr>
              <w:t>在秋季开展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jc w:val="center"/>
        </w:trPr>
        <w:tc>
          <w:tcPr>
            <w:tcW w:w="974" w:type="dxa"/>
            <w:vAlign w:val="center"/>
          </w:tcPr>
          <w:p>
            <w:pPr>
              <w:widowControl/>
              <w:wordWrap/>
              <w:spacing w:line="340" w:lineRule="exact"/>
              <w:ind w:right="61" w:firstLine="0" w:firstLineChars="0"/>
              <w:jc w:val="center"/>
              <w:rPr>
                <w:rFonts w:hAnsi="宋体"/>
                <w:snapToGrid w:val="0"/>
                <w:color w:val="auto"/>
                <w:kern w:val="0"/>
                <w:szCs w:val="21"/>
                <w:highlight w:val="none"/>
              </w:rPr>
            </w:pPr>
            <w:r>
              <w:rPr>
                <w:rFonts w:hAnsi="宋体"/>
                <w:color w:val="auto"/>
                <w:szCs w:val="21"/>
                <w:highlight w:val="none"/>
              </w:rPr>
              <w:t>海域生物生态</w:t>
            </w:r>
          </w:p>
        </w:tc>
        <w:tc>
          <w:tcPr>
            <w:tcW w:w="1163" w:type="dxa"/>
            <w:vAlign w:val="center"/>
          </w:tcPr>
          <w:p>
            <w:pPr>
              <w:widowControl/>
              <w:wordWrap/>
              <w:spacing w:line="340" w:lineRule="exact"/>
              <w:ind w:firstLine="0" w:firstLineChars="0"/>
              <w:jc w:val="center"/>
              <w:rPr>
                <w:rFonts w:ascii="Times New Roman" w:hAnsi="Times New Roman" w:eastAsia="Times New Roman" w:cs="Times New Roman"/>
                <w:snapToGrid w:val="0"/>
                <w:color w:val="auto"/>
                <w:kern w:val="0"/>
                <w:szCs w:val="21"/>
                <w:highlight w:val="none"/>
              </w:rPr>
            </w:pPr>
            <w:r>
              <w:rPr>
                <w:rFonts w:ascii="Times New Roman" w:hAnsi="Times New Roman" w:eastAsia="Times New Roman" w:cs="Times New Roman"/>
                <w:color w:val="auto"/>
                <w:szCs w:val="21"/>
                <w:highlight w:val="none"/>
              </w:rPr>
              <w:t>17</w:t>
            </w:r>
          </w:p>
        </w:tc>
        <w:tc>
          <w:tcPr>
            <w:tcW w:w="4882" w:type="dxa"/>
            <w:vAlign w:val="center"/>
          </w:tcPr>
          <w:p>
            <w:pPr>
              <w:widowControl/>
              <w:wordWrap/>
              <w:spacing w:line="340" w:lineRule="exact"/>
              <w:ind w:right="13" w:firstLine="0" w:firstLineChars="0"/>
              <w:jc w:val="center"/>
              <w:rPr>
                <w:rFonts w:hAnsi="宋体"/>
                <w:snapToGrid w:val="0"/>
                <w:color w:val="auto"/>
                <w:kern w:val="0"/>
                <w:szCs w:val="21"/>
                <w:highlight w:val="none"/>
              </w:rPr>
            </w:pPr>
            <w:r>
              <w:rPr>
                <w:rFonts w:hAnsi="宋体"/>
                <w:color w:val="auto"/>
                <w:szCs w:val="21"/>
                <w:highlight w:val="none"/>
              </w:rPr>
              <w:t>叶绿素</w:t>
            </w:r>
            <w:r>
              <w:rPr>
                <w:rFonts w:ascii="Times New Roman" w:hAnsi="Times New Roman" w:eastAsia="Times New Roman" w:cs="Times New Roman"/>
                <w:i/>
                <w:iCs/>
                <w:color w:val="auto"/>
                <w:szCs w:val="21"/>
                <w:highlight w:val="none"/>
              </w:rPr>
              <w:t>a</w:t>
            </w:r>
            <w:r>
              <w:rPr>
                <w:rFonts w:hAnsi="宋体"/>
                <w:color w:val="auto"/>
                <w:szCs w:val="21"/>
                <w:highlight w:val="none"/>
              </w:rPr>
              <w:t>、浮游植物、浮游动物、底栖生物和沉积物微生物的种类、密度与群落结构</w:t>
            </w:r>
          </w:p>
        </w:tc>
        <w:tc>
          <w:tcPr>
            <w:tcW w:w="2291" w:type="dxa"/>
            <w:vAlign w:val="center"/>
          </w:tcPr>
          <w:p>
            <w:pPr>
              <w:widowControl/>
              <w:wordWrap/>
              <w:spacing w:line="340" w:lineRule="exact"/>
              <w:ind w:firstLine="0" w:firstLineChars="0"/>
              <w:jc w:val="center"/>
              <w:rPr>
                <w:rFonts w:hAnsi="宋体"/>
                <w:color w:val="auto"/>
                <w:szCs w:val="21"/>
                <w:highlight w:val="none"/>
              </w:rPr>
            </w:pPr>
            <w:r>
              <w:rPr>
                <w:rFonts w:ascii="Times New Roman" w:hAnsi="Times New Roman" w:eastAsia="Times New Roman" w:cs="Times New Roman"/>
                <w:color w:val="auto"/>
                <w:szCs w:val="21"/>
                <w:highlight w:val="none"/>
              </w:rPr>
              <w:t>2</w:t>
            </w:r>
            <w:r>
              <w:rPr>
                <w:rFonts w:hint="eastAsia" w:hAnsi="宋体"/>
                <w:color w:val="auto"/>
                <w:szCs w:val="21"/>
                <w:highlight w:val="none"/>
              </w:rPr>
              <w:t>次</w:t>
            </w:r>
          </w:p>
          <w:p>
            <w:pPr>
              <w:widowControl/>
              <w:wordWrap/>
              <w:spacing w:line="340" w:lineRule="exact"/>
              <w:ind w:firstLine="0" w:firstLineChars="0"/>
              <w:jc w:val="center"/>
              <w:rPr>
                <w:rFonts w:hAnsi="宋体"/>
                <w:snapToGrid w:val="0"/>
                <w:color w:val="auto"/>
                <w:kern w:val="0"/>
                <w:szCs w:val="21"/>
                <w:highlight w:val="none"/>
              </w:rPr>
            </w:pPr>
            <w:r>
              <w:rPr>
                <w:rFonts w:hAnsi="宋体"/>
                <w:color w:val="auto"/>
                <w:szCs w:val="21"/>
                <w:highlight w:val="none"/>
              </w:rPr>
              <w:t>春季和秋季各监测</w:t>
            </w:r>
            <w:r>
              <w:rPr>
                <w:rFonts w:ascii="Times New Roman" w:hAnsi="Times New Roman" w:eastAsia="Times New Roman" w:cs="Times New Roman"/>
                <w:color w:val="auto"/>
                <w:szCs w:val="21"/>
                <w:highlight w:val="none"/>
              </w:rPr>
              <w:t>1</w:t>
            </w:r>
            <w:r>
              <w:rPr>
                <w:rFonts w:hAnsi="宋体"/>
                <w:color w:val="auto"/>
                <w:szCs w:val="21"/>
                <w:highlight w:val="none"/>
              </w:rPr>
              <w:t>次</w:t>
            </w:r>
          </w:p>
        </w:tc>
      </w:tr>
    </w:tbl>
    <w:p>
      <w:pPr>
        <w:spacing w:line="130" w:lineRule="exact"/>
        <w:ind w:firstLine="420"/>
        <w:rPr>
          <w:color w:val="auto"/>
          <w:szCs w:val="21"/>
          <w:highlight w:val="none"/>
        </w:rPr>
      </w:pPr>
    </w:p>
    <w:p>
      <w:pPr>
        <w:spacing w:before="78"/>
        <w:ind w:left="20" w:right="7" w:firstLine="420"/>
        <w:jc w:val="center"/>
        <w:rPr>
          <w:rFonts w:hAnsi="宋体"/>
          <w:color w:val="auto"/>
          <w:szCs w:val="21"/>
          <w:highlight w:val="none"/>
          <w14:textOutline w14:w="5448" w14:cap="flat" w14:cmpd="sng" w14:algn="ctr">
            <w14:solidFill>
              <w14:srgbClr w14:val="000000"/>
            </w14:solidFill>
            <w14:prstDash w14:val="solid"/>
            <w14:miter w14:val="0"/>
          </w14:textOutline>
        </w:rPr>
      </w:pPr>
      <w:r>
        <w:rPr>
          <w:rFonts w:hAnsi="宋体"/>
          <w:color w:val="auto"/>
          <w:szCs w:val="21"/>
          <w:highlight w:val="none"/>
          <w14:textOutline w14:w="3835" w14:cap="flat" w14:cmpd="sng" w14:algn="ctr">
            <w14:solidFill>
              <w14:srgbClr w14:val="000000"/>
            </w14:solidFill>
            <w14:prstDash w14:val="solid"/>
            <w14:miter w14:val="0"/>
          </w14:textOutline>
        </w:rPr>
        <w:t>表</w:t>
      </w:r>
      <w:r>
        <w:rPr>
          <w:rFonts w:ascii="Times New Roman" w:hAnsi="Times New Roman" w:eastAsia="Times New Roman" w:cs="Times New Roman"/>
          <w:b/>
          <w:bCs/>
          <w:color w:val="auto"/>
          <w:szCs w:val="21"/>
          <w:highlight w:val="none"/>
        </w:rPr>
        <w:t>1-</w:t>
      </w:r>
      <w:r>
        <w:rPr>
          <w:rFonts w:hint="eastAsia" w:ascii="Times New Roman" w:hAnsi="Times New Roman" w:cs="Times New Roman"/>
          <w:b/>
          <w:bCs/>
          <w:color w:val="auto"/>
          <w:szCs w:val="21"/>
          <w:highlight w:val="none"/>
        </w:rPr>
        <w:t>3</w:t>
      </w:r>
      <w:r>
        <w:rPr>
          <w:rFonts w:ascii="Times New Roman" w:hAnsi="Times New Roman" w:eastAsia="Times New Roman" w:cs="Times New Roman"/>
          <w:color w:val="auto"/>
          <w:szCs w:val="21"/>
          <w:highlight w:val="none"/>
        </w:rPr>
        <w:t xml:space="preserve">  </w:t>
      </w:r>
      <w:r>
        <w:rPr>
          <w:rFonts w:hAnsi="宋体"/>
          <w:color w:val="auto"/>
          <w:szCs w:val="21"/>
          <w:highlight w:val="none"/>
          <w14:textOutline w14:w="3835" w14:cap="flat" w14:cmpd="sng" w14:algn="ctr">
            <w14:solidFill>
              <w14:srgbClr w14:val="000000"/>
            </w14:solidFill>
            <w14:prstDash w14:val="solid"/>
            <w14:miter w14:val="0"/>
          </w14:textOutline>
        </w:rPr>
        <w:t>大面海域生态</w:t>
      </w:r>
      <w:r>
        <w:rPr>
          <w:rFonts w:hint="eastAsia" w:hAnsi="宋体"/>
          <w:color w:val="auto"/>
          <w:szCs w:val="21"/>
          <w:highlight w:val="none"/>
          <w14:textOutline w14:w="3835" w14:cap="flat" w14:cmpd="sng" w14:algn="ctr">
            <w14:solidFill>
              <w14:srgbClr w14:val="000000"/>
            </w14:solidFill>
            <w14:prstDash w14:val="solid"/>
            <w14:miter w14:val="0"/>
          </w14:textOutline>
        </w:rPr>
        <w:t>资源</w:t>
      </w:r>
      <w:r>
        <w:rPr>
          <w:rFonts w:hAnsi="宋体"/>
          <w:color w:val="auto"/>
          <w:szCs w:val="21"/>
          <w:highlight w:val="none"/>
          <w14:textOutline w14:w="3835" w14:cap="flat" w14:cmpd="sng" w14:algn="ctr">
            <w14:solidFill>
              <w14:srgbClr w14:val="000000"/>
            </w14:solidFill>
            <w14:prstDash w14:val="solid"/>
            <w14:miter w14:val="0"/>
          </w14:textOutline>
        </w:rPr>
        <w:t>监测</w:t>
      </w:r>
      <w:r>
        <w:rPr>
          <w:rFonts w:hint="eastAsia" w:hAnsi="宋体"/>
          <w:color w:val="auto"/>
          <w:szCs w:val="21"/>
          <w:highlight w:val="none"/>
          <w14:textOutline w14:w="3835" w14:cap="flat" w14:cmpd="sng" w14:algn="ctr">
            <w14:solidFill>
              <w14:srgbClr w14:val="000000"/>
            </w14:solidFill>
            <w14:prstDash w14:val="solid"/>
            <w14:miter w14:val="0"/>
          </w14:textOutline>
        </w:rPr>
        <w:t>站位表</w:t>
      </w:r>
    </w:p>
    <w:tbl>
      <w:tblPr>
        <w:tblStyle w:val="27"/>
        <w:tblW w:w="8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2138"/>
        <w:gridCol w:w="2026"/>
        <w:gridCol w:w="3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109" w:type="dxa"/>
            <w:vAlign w:val="center"/>
          </w:tcPr>
          <w:p>
            <w:pPr>
              <w:pStyle w:val="116"/>
              <w:wordWrap/>
              <w:autoSpaceDE w:val="0"/>
              <w:autoSpaceDN w:val="0"/>
              <w:spacing w:line="300" w:lineRule="exact"/>
              <w:ind w:firstLine="0" w:firstLineChars="0"/>
              <w:jc w:val="both"/>
              <w:rPr>
                <w:rFonts w:eastAsia="宋体"/>
                <w:b/>
                <w:color w:val="auto"/>
                <w:szCs w:val="21"/>
                <w:highlight w:val="none"/>
              </w:rPr>
            </w:pPr>
            <w:r>
              <w:rPr>
                <w:rFonts w:eastAsia="宋体"/>
                <w:b/>
                <w:color w:val="auto"/>
                <w:szCs w:val="21"/>
                <w:highlight w:val="none"/>
              </w:rPr>
              <w:t>站位编号</w:t>
            </w:r>
          </w:p>
        </w:tc>
        <w:tc>
          <w:tcPr>
            <w:tcW w:w="2138" w:type="dxa"/>
            <w:vAlign w:val="center"/>
          </w:tcPr>
          <w:p>
            <w:pPr>
              <w:pStyle w:val="116"/>
              <w:wordWrap/>
              <w:autoSpaceDE w:val="0"/>
              <w:autoSpaceDN w:val="0"/>
              <w:spacing w:line="300" w:lineRule="exact"/>
              <w:ind w:firstLine="0" w:firstLineChars="0"/>
              <w:rPr>
                <w:rFonts w:eastAsia="宋体"/>
                <w:b/>
                <w:color w:val="auto"/>
                <w:szCs w:val="21"/>
                <w:highlight w:val="none"/>
              </w:rPr>
            </w:pPr>
            <w:r>
              <w:rPr>
                <w:rFonts w:eastAsia="宋体"/>
                <w:b/>
                <w:color w:val="auto"/>
                <w:szCs w:val="21"/>
                <w:highlight w:val="none"/>
              </w:rPr>
              <w:t>经度</w:t>
            </w:r>
          </w:p>
        </w:tc>
        <w:tc>
          <w:tcPr>
            <w:tcW w:w="2026" w:type="dxa"/>
            <w:vAlign w:val="center"/>
          </w:tcPr>
          <w:p>
            <w:pPr>
              <w:pStyle w:val="116"/>
              <w:wordWrap/>
              <w:autoSpaceDE w:val="0"/>
              <w:autoSpaceDN w:val="0"/>
              <w:spacing w:line="300" w:lineRule="exact"/>
              <w:ind w:firstLine="0" w:firstLineChars="0"/>
              <w:rPr>
                <w:rFonts w:eastAsia="宋体"/>
                <w:b/>
                <w:color w:val="auto"/>
                <w:szCs w:val="21"/>
                <w:highlight w:val="none"/>
              </w:rPr>
            </w:pPr>
            <w:r>
              <w:rPr>
                <w:rFonts w:eastAsia="宋体"/>
                <w:b/>
                <w:color w:val="auto"/>
                <w:szCs w:val="21"/>
                <w:highlight w:val="none"/>
              </w:rPr>
              <w:t>纬度</w:t>
            </w:r>
          </w:p>
        </w:tc>
        <w:tc>
          <w:tcPr>
            <w:tcW w:w="3470" w:type="dxa"/>
            <w:vAlign w:val="center"/>
          </w:tcPr>
          <w:p>
            <w:pPr>
              <w:pStyle w:val="116"/>
              <w:wordWrap/>
              <w:autoSpaceDE w:val="0"/>
              <w:autoSpaceDN w:val="0"/>
              <w:spacing w:line="300" w:lineRule="exact"/>
              <w:ind w:firstLine="0" w:firstLineChars="0"/>
              <w:rPr>
                <w:rFonts w:eastAsia="宋体"/>
                <w:b/>
                <w:color w:val="auto"/>
                <w:szCs w:val="21"/>
                <w:highlight w:val="none"/>
              </w:rPr>
            </w:pPr>
            <w:r>
              <w:rPr>
                <w:rFonts w:eastAsia="宋体"/>
                <w:b/>
                <w:color w:val="auto"/>
                <w:szCs w:val="21"/>
                <w:highlight w:val="none"/>
              </w:rPr>
              <w:t>调查项目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9"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H1</w:t>
            </w:r>
          </w:p>
        </w:tc>
        <w:tc>
          <w:tcPr>
            <w:tcW w:w="2138"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121°48′14.40″</w:t>
            </w:r>
          </w:p>
        </w:tc>
        <w:tc>
          <w:tcPr>
            <w:tcW w:w="2026"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30°38′42.00″</w:t>
            </w:r>
          </w:p>
        </w:tc>
        <w:tc>
          <w:tcPr>
            <w:tcW w:w="3470"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pacing w:val="-7"/>
                <w:szCs w:val="21"/>
                <w:highlight w:val="none"/>
              </w:rPr>
              <w:t>水质、沉积物、生物生态、</w:t>
            </w:r>
          </w:p>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生物质量、渔业资源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9"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H2</w:t>
            </w:r>
          </w:p>
        </w:tc>
        <w:tc>
          <w:tcPr>
            <w:tcW w:w="2138"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121°35 ′60.00″</w:t>
            </w:r>
          </w:p>
        </w:tc>
        <w:tc>
          <w:tcPr>
            <w:tcW w:w="2026"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30°11′52.80″</w:t>
            </w:r>
          </w:p>
        </w:tc>
        <w:tc>
          <w:tcPr>
            <w:tcW w:w="3470"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pacing w:val="-7"/>
                <w:szCs w:val="21"/>
                <w:highlight w:val="none"/>
              </w:rPr>
              <w:t>水质、沉积物、生物生态、</w:t>
            </w:r>
          </w:p>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生物质量、渔业资源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109"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shd w:val="clear" w:color="auto" w:fill="FFFFFF" w:themeFill="background1"/>
              </w:rPr>
              <w:t>H3</w:t>
            </w:r>
          </w:p>
        </w:tc>
        <w:tc>
          <w:tcPr>
            <w:tcW w:w="2138"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shd w:val="clear" w:color="auto" w:fill="FFFFFF" w:themeFill="background1"/>
              </w:rPr>
              <w:t>121°42′00.00″</w:t>
            </w:r>
          </w:p>
        </w:tc>
        <w:tc>
          <w:tcPr>
            <w:tcW w:w="2026"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shd w:val="clear" w:color="auto" w:fill="FFFFFF" w:themeFill="background1"/>
              </w:rPr>
              <w:t>30°08′60.00″</w:t>
            </w:r>
          </w:p>
        </w:tc>
        <w:tc>
          <w:tcPr>
            <w:tcW w:w="3470"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水质、生物质量、渔业资源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109"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H4</w:t>
            </w:r>
          </w:p>
        </w:tc>
        <w:tc>
          <w:tcPr>
            <w:tcW w:w="2138"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121°56′45.60″</w:t>
            </w:r>
          </w:p>
        </w:tc>
        <w:tc>
          <w:tcPr>
            <w:tcW w:w="2026"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30°28′26.40″</w:t>
            </w:r>
          </w:p>
        </w:tc>
        <w:tc>
          <w:tcPr>
            <w:tcW w:w="3470"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水质、生物质量、渔业资源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9"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H5</w:t>
            </w:r>
          </w:p>
        </w:tc>
        <w:tc>
          <w:tcPr>
            <w:tcW w:w="2138"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121°51′50.40″</w:t>
            </w:r>
          </w:p>
        </w:tc>
        <w:tc>
          <w:tcPr>
            <w:tcW w:w="2026"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30°17′31.20″</w:t>
            </w:r>
          </w:p>
        </w:tc>
        <w:tc>
          <w:tcPr>
            <w:tcW w:w="3470"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pacing w:val="-7"/>
                <w:szCs w:val="21"/>
                <w:highlight w:val="none"/>
              </w:rPr>
              <w:t>水质、沉积物、生物生态、</w:t>
            </w:r>
          </w:p>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生物质量、渔业资源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109"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H6</w:t>
            </w:r>
          </w:p>
        </w:tc>
        <w:tc>
          <w:tcPr>
            <w:tcW w:w="2138"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121°49′08.40″</w:t>
            </w:r>
          </w:p>
        </w:tc>
        <w:tc>
          <w:tcPr>
            <w:tcW w:w="2026"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30°12′00.00″</w:t>
            </w:r>
          </w:p>
        </w:tc>
        <w:tc>
          <w:tcPr>
            <w:tcW w:w="3470"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水质、生物质量、渔业资源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9"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H7</w:t>
            </w:r>
          </w:p>
        </w:tc>
        <w:tc>
          <w:tcPr>
            <w:tcW w:w="2138"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121°46′51.60″</w:t>
            </w:r>
          </w:p>
        </w:tc>
        <w:tc>
          <w:tcPr>
            <w:tcW w:w="2026"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30°06′50.40″</w:t>
            </w:r>
          </w:p>
        </w:tc>
        <w:tc>
          <w:tcPr>
            <w:tcW w:w="3470"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pacing w:val="-7"/>
                <w:szCs w:val="21"/>
                <w:highlight w:val="none"/>
              </w:rPr>
              <w:t>水质、沉积物、生物生态、</w:t>
            </w:r>
          </w:p>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生物质量、渔业资源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9"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H8</w:t>
            </w:r>
          </w:p>
        </w:tc>
        <w:tc>
          <w:tcPr>
            <w:tcW w:w="2138"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122°01′19.20″</w:t>
            </w:r>
          </w:p>
        </w:tc>
        <w:tc>
          <w:tcPr>
            <w:tcW w:w="2026"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30°32′42.00″</w:t>
            </w:r>
          </w:p>
        </w:tc>
        <w:tc>
          <w:tcPr>
            <w:tcW w:w="3470"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水质、生物生态、生物质量、</w:t>
            </w:r>
          </w:p>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109"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shd w:val="clear" w:color="auto" w:fill="FFFFFF" w:themeFill="background1"/>
              </w:rPr>
              <w:t>H9</w:t>
            </w:r>
          </w:p>
        </w:tc>
        <w:tc>
          <w:tcPr>
            <w:tcW w:w="2138"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shd w:val="clear" w:color="auto" w:fill="FFFFFF" w:themeFill="background1"/>
              </w:rPr>
              <w:t>121°55′33.60″</w:t>
            </w:r>
          </w:p>
        </w:tc>
        <w:tc>
          <w:tcPr>
            <w:tcW w:w="2026"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shd w:val="clear" w:color="auto" w:fill="FFFFFF" w:themeFill="background1"/>
              </w:rPr>
              <w:t>30°20′02.40″</w:t>
            </w:r>
          </w:p>
        </w:tc>
        <w:tc>
          <w:tcPr>
            <w:tcW w:w="3470" w:type="dxa"/>
            <w:vAlign w:val="center"/>
          </w:tcPr>
          <w:p>
            <w:pPr>
              <w:pStyle w:val="116"/>
              <w:wordWrap/>
              <w:autoSpaceDE w:val="0"/>
              <w:autoSpaceDN w:val="0"/>
              <w:spacing w:line="300" w:lineRule="exact"/>
              <w:ind w:firstLine="0" w:firstLineChars="0"/>
              <w:rPr>
                <w:rFonts w:eastAsia="宋体"/>
                <w:bCs/>
                <w:color w:val="auto"/>
                <w:spacing w:val="-2"/>
                <w:szCs w:val="21"/>
                <w:highlight w:val="none"/>
              </w:rPr>
            </w:pPr>
            <w:r>
              <w:rPr>
                <w:rFonts w:eastAsia="宋体"/>
                <w:bCs/>
                <w:color w:val="auto"/>
                <w:szCs w:val="21"/>
                <w:highlight w:val="none"/>
              </w:rPr>
              <w:t>水质、生物生态、生物质</w:t>
            </w:r>
            <w:r>
              <w:rPr>
                <w:rFonts w:eastAsia="宋体"/>
                <w:bCs/>
                <w:color w:val="auto"/>
                <w:spacing w:val="-2"/>
                <w:szCs w:val="21"/>
                <w:highlight w:val="none"/>
              </w:rPr>
              <w:t>量、</w:t>
            </w:r>
          </w:p>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pacing w:val="-2"/>
                <w:szCs w:val="21"/>
                <w:highlight w:val="none"/>
              </w:rPr>
              <w:t>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09"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H10</w:t>
            </w:r>
          </w:p>
        </w:tc>
        <w:tc>
          <w:tcPr>
            <w:tcW w:w="2138"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121°53′52.80″</w:t>
            </w:r>
          </w:p>
        </w:tc>
        <w:tc>
          <w:tcPr>
            <w:tcW w:w="2026"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30°16′30.00″</w:t>
            </w:r>
          </w:p>
        </w:tc>
        <w:tc>
          <w:tcPr>
            <w:tcW w:w="3470"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水质、生物生态、生物质量、</w:t>
            </w:r>
          </w:p>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9"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rPr>
              <w:t>H11</w:t>
            </w:r>
          </w:p>
        </w:tc>
        <w:tc>
          <w:tcPr>
            <w:tcW w:w="2138"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shd w:val="clear" w:color="auto" w:fill="FFFFFF" w:themeFill="background1"/>
              </w:rPr>
              <w:t>121°59′20.40″</w:t>
            </w:r>
          </w:p>
        </w:tc>
        <w:tc>
          <w:tcPr>
            <w:tcW w:w="2026"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shd w:val="clear" w:color="auto" w:fill="FFFFFF" w:themeFill="background1"/>
              </w:rPr>
              <w:t>121°59′20.40″</w:t>
            </w:r>
          </w:p>
        </w:tc>
        <w:tc>
          <w:tcPr>
            <w:tcW w:w="3470"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pacing w:val="-7"/>
                <w:szCs w:val="21"/>
                <w:highlight w:val="none"/>
              </w:rPr>
              <w:t>水质、沉积物、生物生态、</w:t>
            </w:r>
            <w:r>
              <w:rPr>
                <w:rFonts w:ascii="Times New Roman" w:hAnsi="Times New Roman" w:cs="Times New Roman"/>
                <w:bCs/>
                <w:color w:val="auto"/>
                <w:szCs w:val="21"/>
                <w:highlight w:val="none"/>
              </w:rPr>
              <w:t>生物质量、渔业资源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09"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rPr>
              <w:t>H12</w:t>
            </w:r>
          </w:p>
        </w:tc>
        <w:tc>
          <w:tcPr>
            <w:tcW w:w="2138"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shd w:val="clear" w:color="auto" w:fill="FFFFFF" w:themeFill="background1"/>
              </w:rPr>
              <w:t>121°57′32.40″</w:t>
            </w:r>
          </w:p>
        </w:tc>
        <w:tc>
          <w:tcPr>
            <w:tcW w:w="2026"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shd w:val="clear" w:color="auto" w:fill="FFFFFF" w:themeFill="background1"/>
              </w:rPr>
              <w:t>30°21′28.80″</w:t>
            </w:r>
          </w:p>
        </w:tc>
        <w:tc>
          <w:tcPr>
            <w:tcW w:w="3470"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shd w:val="clear" w:color="auto" w:fill="FFFFFF" w:themeFill="background1"/>
              </w:rPr>
              <w:t>水质、生物质量、渔业资</w:t>
            </w:r>
            <w:r>
              <w:rPr>
                <w:rFonts w:ascii="Times New Roman" w:hAnsi="Times New Roman" w:cs="Times New Roman"/>
                <w:bCs/>
                <w:color w:val="auto"/>
                <w:szCs w:val="21"/>
                <w:highlight w:val="none"/>
              </w:rPr>
              <w:t>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9"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H13</w:t>
            </w:r>
          </w:p>
        </w:tc>
        <w:tc>
          <w:tcPr>
            <w:tcW w:w="2138"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121°57′57.60″</w:t>
            </w:r>
          </w:p>
        </w:tc>
        <w:tc>
          <w:tcPr>
            <w:tcW w:w="2026"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30°16′33.60″</w:t>
            </w:r>
          </w:p>
        </w:tc>
        <w:tc>
          <w:tcPr>
            <w:tcW w:w="3470"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水质、生物生态、生物质量、</w:t>
            </w:r>
          </w:p>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9"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H14</w:t>
            </w:r>
          </w:p>
        </w:tc>
        <w:tc>
          <w:tcPr>
            <w:tcW w:w="2138"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121°56′13.20″</w:t>
            </w:r>
          </w:p>
        </w:tc>
        <w:tc>
          <w:tcPr>
            <w:tcW w:w="2026"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30°15′25.20″</w:t>
            </w:r>
          </w:p>
        </w:tc>
        <w:tc>
          <w:tcPr>
            <w:tcW w:w="3470"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pacing w:val="-7"/>
                <w:szCs w:val="21"/>
                <w:highlight w:val="none"/>
              </w:rPr>
              <w:t>水质、沉积物、生物生态、</w:t>
            </w:r>
          </w:p>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生物质量、渔业资源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9"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H15</w:t>
            </w:r>
          </w:p>
        </w:tc>
        <w:tc>
          <w:tcPr>
            <w:tcW w:w="2138"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122°06′14.40″</w:t>
            </w:r>
          </w:p>
        </w:tc>
        <w:tc>
          <w:tcPr>
            <w:tcW w:w="2026"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30°30′21.60″</w:t>
            </w:r>
          </w:p>
        </w:tc>
        <w:tc>
          <w:tcPr>
            <w:tcW w:w="3470"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水质、生物生态、生物质量、</w:t>
            </w:r>
          </w:p>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9"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H16</w:t>
            </w:r>
          </w:p>
        </w:tc>
        <w:tc>
          <w:tcPr>
            <w:tcW w:w="2138"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122°03′46.80″</w:t>
            </w:r>
          </w:p>
        </w:tc>
        <w:tc>
          <w:tcPr>
            <w:tcW w:w="2026"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30°25′08.40″</w:t>
            </w:r>
          </w:p>
        </w:tc>
        <w:tc>
          <w:tcPr>
            <w:tcW w:w="3470"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水质、生物生态、生物质量、</w:t>
            </w:r>
          </w:p>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109"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H17</w:t>
            </w:r>
          </w:p>
        </w:tc>
        <w:tc>
          <w:tcPr>
            <w:tcW w:w="2138"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121°58′48.00″</w:t>
            </w:r>
          </w:p>
        </w:tc>
        <w:tc>
          <w:tcPr>
            <w:tcW w:w="2026"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30°14′16.80″</w:t>
            </w:r>
          </w:p>
        </w:tc>
        <w:tc>
          <w:tcPr>
            <w:tcW w:w="3470"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109"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shd w:val="clear" w:color="auto" w:fill="FFFFFF" w:themeFill="background1"/>
              </w:rPr>
              <w:t>H18</w:t>
            </w:r>
          </w:p>
        </w:tc>
        <w:tc>
          <w:tcPr>
            <w:tcW w:w="2138"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shd w:val="clear" w:color="auto" w:fill="FFFFFF" w:themeFill="background1"/>
              </w:rPr>
              <w:t>122°02′16.80″</w:t>
            </w:r>
          </w:p>
        </w:tc>
        <w:tc>
          <w:tcPr>
            <w:tcW w:w="2026"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shd w:val="clear" w:color="auto" w:fill="FFFFFF" w:themeFill="background1"/>
              </w:rPr>
              <w:t>30°16′37.20″</w:t>
            </w:r>
          </w:p>
        </w:tc>
        <w:tc>
          <w:tcPr>
            <w:tcW w:w="3470"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shd w:val="clear" w:color="auto" w:fill="FFFFFF" w:themeFill="background1"/>
              </w:rPr>
              <w:t>水质、沉积物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9"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shd w:val="clear" w:color="auto" w:fill="FFFFFF" w:themeFill="background1"/>
              </w:rPr>
              <w:t>H19</w:t>
            </w:r>
          </w:p>
        </w:tc>
        <w:tc>
          <w:tcPr>
            <w:tcW w:w="2138"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shd w:val="clear" w:color="auto" w:fill="FFFFFF" w:themeFill="background1"/>
              </w:rPr>
              <w:t>122°00′36.00″</w:t>
            </w:r>
          </w:p>
        </w:tc>
        <w:tc>
          <w:tcPr>
            <w:tcW w:w="2026"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shd w:val="clear" w:color="auto" w:fill="FFFFFF" w:themeFill="background1"/>
              </w:rPr>
              <w:t>30°13′26.40″</w:t>
            </w:r>
          </w:p>
        </w:tc>
        <w:tc>
          <w:tcPr>
            <w:tcW w:w="3470"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pacing w:val="-7"/>
                <w:szCs w:val="21"/>
                <w:highlight w:val="none"/>
                <w:shd w:val="clear" w:color="auto" w:fill="FFFFFF" w:themeFill="background1"/>
              </w:rPr>
              <w:t>水质、沉积物、生物生态、</w:t>
            </w:r>
            <w:r>
              <w:rPr>
                <w:rFonts w:ascii="Times New Roman" w:hAnsi="Times New Roman" w:cs="Times New Roman"/>
                <w:bCs/>
                <w:color w:val="auto"/>
                <w:szCs w:val="21"/>
                <w:highlight w:val="none"/>
              </w:rPr>
              <w:t>生物质量、渔业资源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09"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H20</w:t>
            </w:r>
          </w:p>
        </w:tc>
        <w:tc>
          <w:tcPr>
            <w:tcW w:w="2138"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121°59′24.00″</w:t>
            </w:r>
          </w:p>
        </w:tc>
        <w:tc>
          <w:tcPr>
            <w:tcW w:w="2026"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30°10′37.20″</w:t>
            </w:r>
          </w:p>
        </w:tc>
        <w:tc>
          <w:tcPr>
            <w:tcW w:w="3470"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水质、沉积物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09"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H21</w:t>
            </w:r>
          </w:p>
        </w:tc>
        <w:tc>
          <w:tcPr>
            <w:tcW w:w="2138"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121°55′44.40″</w:t>
            </w:r>
          </w:p>
        </w:tc>
        <w:tc>
          <w:tcPr>
            <w:tcW w:w="2026"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30°02′42.00″</w:t>
            </w:r>
          </w:p>
        </w:tc>
        <w:tc>
          <w:tcPr>
            <w:tcW w:w="3470" w:type="dxa"/>
            <w:vAlign w:val="center"/>
          </w:tcPr>
          <w:p>
            <w:pPr>
              <w:pStyle w:val="116"/>
              <w:wordWrap/>
              <w:autoSpaceDE w:val="0"/>
              <w:autoSpaceDN w:val="0"/>
              <w:spacing w:line="300" w:lineRule="exact"/>
              <w:ind w:firstLine="0" w:firstLineChars="0"/>
              <w:rPr>
                <w:rFonts w:eastAsia="宋体"/>
                <w:bCs/>
                <w:color w:val="auto"/>
                <w:szCs w:val="21"/>
                <w:highlight w:val="none"/>
              </w:rPr>
            </w:pPr>
            <w:r>
              <w:rPr>
                <w:rFonts w:eastAsia="宋体"/>
                <w:bCs/>
                <w:color w:val="auto"/>
                <w:szCs w:val="21"/>
                <w:highlight w:val="none"/>
              </w:rPr>
              <w:t>水质、生物质量、渔业资源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09"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1"/>
                <w:szCs w:val="21"/>
                <w:highlight w:val="none"/>
              </w:rPr>
              <w:t>H</w:t>
            </w:r>
            <w:r>
              <w:rPr>
                <w:rFonts w:ascii="Times New Roman" w:hAnsi="Times New Roman" w:cs="Times New Roman"/>
                <w:bCs/>
                <w:color w:val="auto"/>
                <w:spacing w:val="-2"/>
                <w:szCs w:val="21"/>
                <w:highlight w:val="none"/>
              </w:rPr>
              <w:t>2</w:t>
            </w:r>
            <w:r>
              <w:rPr>
                <w:rFonts w:ascii="Times New Roman" w:hAnsi="Times New Roman" w:cs="Times New Roman"/>
                <w:bCs/>
                <w:color w:val="auto"/>
                <w:spacing w:val="-1"/>
                <w:szCs w:val="21"/>
                <w:highlight w:val="none"/>
              </w:rPr>
              <w:t>2</w:t>
            </w:r>
          </w:p>
        </w:tc>
        <w:tc>
          <w:tcPr>
            <w:tcW w:w="2138"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2"/>
                <w:szCs w:val="21"/>
                <w:highlight w:val="none"/>
              </w:rPr>
              <w:t>122°13′0</w:t>
            </w:r>
            <w:r>
              <w:rPr>
                <w:rFonts w:ascii="Times New Roman" w:hAnsi="Times New Roman" w:cs="Times New Roman"/>
                <w:bCs/>
                <w:color w:val="auto"/>
                <w:spacing w:val="-1"/>
                <w:szCs w:val="21"/>
                <w:highlight w:val="none"/>
              </w:rPr>
              <w:t>4.80″</w:t>
            </w:r>
          </w:p>
        </w:tc>
        <w:tc>
          <w:tcPr>
            <w:tcW w:w="2026"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1"/>
                <w:szCs w:val="21"/>
                <w:highlight w:val="none"/>
              </w:rPr>
              <w:t>30°27′14</w:t>
            </w:r>
            <w:r>
              <w:rPr>
                <w:rFonts w:ascii="Times New Roman" w:hAnsi="Times New Roman" w:cs="Times New Roman"/>
                <w:bCs/>
                <w:color w:val="auto"/>
                <w:szCs w:val="21"/>
                <w:highlight w:val="none"/>
              </w:rPr>
              <w:t>.40″</w:t>
            </w:r>
          </w:p>
        </w:tc>
        <w:tc>
          <w:tcPr>
            <w:tcW w:w="3470"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3"/>
                <w:szCs w:val="21"/>
                <w:highlight w:val="none"/>
              </w:rPr>
              <w:t>水</w:t>
            </w:r>
            <w:r>
              <w:rPr>
                <w:rFonts w:ascii="Times New Roman" w:hAnsi="Times New Roman" w:cs="Times New Roman"/>
                <w:bCs/>
                <w:color w:val="auto"/>
                <w:spacing w:val="-2"/>
                <w:szCs w:val="21"/>
                <w:highlight w:val="none"/>
              </w:rPr>
              <w:t>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109"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1"/>
                <w:szCs w:val="21"/>
                <w:highlight w:val="none"/>
              </w:rPr>
              <w:t>H</w:t>
            </w:r>
            <w:r>
              <w:rPr>
                <w:rFonts w:ascii="Times New Roman" w:hAnsi="Times New Roman" w:cs="Times New Roman"/>
                <w:bCs/>
                <w:color w:val="auto"/>
                <w:spacing w:val="-2"/>
                <w:szCs w:val="21"/>
                <w:highlight w:val="none"/>
              </w:rPr>
              <w:t>2</w:t>
            </w:r>
            <w:r>
              <w:rPr>
                <w:rFonts w:ascii="Times New Roman" w:hAnsi="Times New Roman" w:cs="Times New Roman"/>
                <w:bCs/>
                <w:color w:val="auto"/>
                <w:spacing w:val="-1"/>
                <w:szCs w:val="21"/>
                <w:highlight w:val="none"/>
              </w:rPr>
              <w:t>3</w:t>
            </w:r>
          </w:p>
        </w:tc>
        <w:tc>
          <w:tcPr>
            <w:tcW w:w="2138"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2"/>
                <w:szCs w:val="21"/>
                <w:highlight w:val="none"/>
              </w:rPr>
              <w:t>122°10′44.40</w:t>
            </w:r>
            <w:r>
              <w:rPr>
                <w:rFonts w:ascii="Times New Roman" w:hAnsi="Times New Roman" w:cs="Times New Roman"/>
                <w:bCs/>
                <w:color w:val="auto"/>
                <w:szCs w:val="21"/>
                <w:highlight w:val="none"/>
              </w:rPr>
              <w:t>″</w:t>
            </w:r>
          </w:p>
        </w:tc>
        <w:tc>
          <w:tcPr>
            <w:tcW w:w="2026"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1"/>
                <w:szCs w:val="21"/>
                <w:highlight w:val="none"/>
              </w:rPr>
              <w:t>30°21′</w:t>
            </w:r>
            <w:r>
              <w:rPr>
                <w:rFonts w:ascii="Times New Roman" w:hAnsi="Times New Roman" w:cs="Times New Roman"/>
                <w:bCs/>
                <w:color w:val="auto"/>
                <w:szCs w:val="21"/>
                <w:highlight w:val="none"/>
              </w:rPr>
              <w:t>57.60″</w:t>
            </w:r>
          </w:p>
        </w:tc>
        <w:tc>
          <w:tcPr>
            <w:tcW w:w="3470" w:type="dxa"/>
            <w:vAlign w:val="center"/>
          </w:tcPr>
          <w:p>
            <w:pPr>
              <w:wordWrap/>
              <w:autoSpaceDE w:val="0"/>
              <w:autoSpaceDN w:val="0"/>
              <w:spacing w:line="300" w:lineRule="exact"/>
              <w:ind w:firstLine="0" w:firstLineChars="0"/>
              <w:jc w:val="center"/>
              <w:rPr>
                <w:rFonts w:ascii="Times New Roman" w:hAnsi="Times New Roman" w:cs="Times New Roman"/>
                <w:bCs/>
                <w:color w:val="auto"/>
                <w:spacing w:val="-7"/>
                <w:szCs w:val="21"/>
                <w:highlight w:val="none"/>
                <w:shd w:val="clear" w:color="auto" w:fill="FFFFFF" w:themeFill="background1"/>
                <w:lang w:val="zh-CN"/>
              </w:rPr>
            </w:pPr>
            <w:r>
              <w:rPr>
                <w:rFonts w:ascii="Times New Roman" w:hAnsi="Times New Roman" w:cs="Times New Roman"/>
                <w:bCs/>
                <w:color w:val="auto"/>
                <w:spacing w:val="-7"/>
                <w:szCs w:val="21"/>
                <w:highlight w:val="none"/>
                <w:shd w:val="clear" w:color="auto" w:fill="FFFFFF" w:themeFill="background1"/>
              </w:rPr>
              <w:t>水质、生物生态、生物质量、渔业资源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09"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1"/>
                <w:szCs w:val="21"/>
                <w:highlight w:val="none"/>
              </w:rPr>
              <w:t>H</w:t>
            </w:r>
            <w:r>
              <w:rPr>
                <w:rFonts w:ascii="Times New Roman" w:hAnsi="Times New Roman" w:cs="Times New Roman"/>
                <w:bCs/>
                <w:color w:val="auto"/>
                <w:spacing w:val="-2"/>
                <w:szCs w:val="21"/>
                <w:highlight w:val="none"/>
              </w:rPr>
              <w:t>2</w:t>
            </w:r>
            <w:r>
              <w:rPr>
                <w:rFonts w:ascii="Times New Roman" w:hAnsi="Times New Roman" w:cs="Times New Roman"/>
                <w:bCs/>
                <w:color w:val="auto"/>
                <w:spacing w:val="-1"/>
                <w:szCs w:val="21"/>
                <w:highlight w:val="none"/>
              </w:rPr>
              <w:t>4</w:t>
            </w:r>
          </w:p>
        </w:tc>
        <w:tc>
          <w:tcPr>
            <w:tcW w:w="2138"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2"/>
                <w:szCs w:val="21"/>
                <w:highlight w:val="none"/>
              </w:rPr>
              <w:t>122°00′50.40</w:t>
            </w:r>
            <w:r>
              <w:rPr>
                <w:rFonts w:ascii="Times New Roman" w:hAnsi="Times New Roman" w:cs="Times New Roman"/>
                <w:bCs/>
                <w:color w:val="auto"/>
                <w:szCs w:val="21"/>
                <w:highlight w:val="none"/>
              </w:rPr>
              <w:t>″</w:t>
            </w:r>
          </w:p>
        </w:tc>
        <w:tc>
          <w:tcPr>
            <w:tcW w:w="2026"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1"/>
                <w:szCs w:val="21"/>
                <w:highlight w:val="none"/>
              </w:rPr>
              <w:t>30°00′25.</w:t>
            </w:r>
            <w:r>
              <w:rPr>
                <w:rFonts w:ascii="Times New Roman" w:hAnsi="Times New Roman" w:cs="Times New Roman"/>
                <w:bCs/>
                <w:color w:val="auto"/>
                <w:szCs w:val="21"/>
                <w:highlight w:val="none"/>
              </w:rPr>
              <w:t>20″</w:t>
            </w:r>
          </w:p>
        </w:tc>
        <w:tc>
          <w:tcPr>
            <w:tcW w:w="3470" w:type="dxa"/>
            <w:vAlign w:val="center"/>
          </w:tcPr>
          <w:p>
            <w:pPr>
              <w:wordWrap/>
              <w:autoSpaceDE w:val="0"/>
              <w:autoSpaceDN w:val="0"/>
              <w:spacing w:line="300" w:lineRule="exact"/>
              <w:ind w:firstLine="0" w:firstLineChars="0"/>
              <w:jc w:val="center"/>
              <w:rPr>
                <w:rFonts w:ascii="Times New Roman" w:hAnsi="Times New Roman" w:cs="Times New Roman"/>
                <w:bCs/>
                <w:color w:val="auto"/>
                <w:spacing w:val="-7"/>
                <w:szCs w:val="21"/>
                <w:highlight w:val="none"/>
                <w:shd w:val="clear" w:color="auto" w:fill="FFFFFF" w:themeFill="background1"/>
                <w:lang w:val="zh-CN"/>
              </w:rPr>
            </w:pPr>
            <w:r>
              <w:rPr>
                <w:rFonts w:ascii="Times New Roman" w:hAnsi="Times New Roman" w:cs="Times New Roman"/>
                <w:bCs/>
                <w:color w:val="auto"/>
                <w:spacing w:val="-7"/>
                <w:szCs w:val="21"/>
                <w:highlight w:val="none"/>
                <w:shd w:val="clear" w:color="auto" w:fill="FFFFFF" w:themeFill="background1"/>
              </w:rPr>
              <w:t>水质、生物生态、生物质量、渔业资源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9"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1"/>
                <w:szCs w:val="21"/>
                <w:highlight w:val="none"/>
                <w:shd w:val="clear" w:color="auto" w:fill="FFFFFF" w:themeFill="background1"/>
              </w:rPr>
              <w:t>H</w:t>
            </w:r>
            <w:r>
              <w:rPr>
                <w:rFonts w:ascii="Times New Roman" w:hAnsi="Times New Roman" w:cs="Times New Roman"/>
                <w:bCs/>
                <w:color w:val="auto"/>
                <w:spacing w:val="-2"/>
                <w:szCs w:val="21"/>
                <w:highlight w:val="none"/>
                <w:shd w:val="clear" w:color="auto" w:fill="FFFFFF" w:themeFill="background1"/>
              </w:rPr>
              <w:t>2</w:t>
            </w:r>
            <w:r>
              <w:rPr>
                <w:rFonts w:ascii="Times New Roman" w:hAnsi="Times New Roman" w:cs="Times New Roman"/>
                <w:bCs/>
                <w:color w:val="auto"/>
                <w:spacing w:val="-1"/>
                <w:szCs w:val="21"/>
                <w:highlight w:val="none"/>
                <w:shd w:val="clear" w:color="auto" w:fill="FFFFFF" w:themeFill="background1"/>
              </w:rPr>
              <w:t>5</w:t>
            </w:r>
          </w:p>
        </w:tc>
        <w:tc>
          <w:tcPr>
            <w:tcW w:w="2138"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2"/>
                <w:szCs w:val="21"/>
                <w:highlight w:val="none"/>
                <w:shd w:val="clear" w:color="auto" w:fill="FFFFFF" w:themeFill="background1"/>
              </w:rPr>
              <w:t>122°19′4</w:t>
            </w:r>
            <w:r>
              <w:rPr>
                <w:rFonts w:ascii="Times New Roman" w:hAnsi="Times New Roman" w:cs="Times New Roman"/>
                <w:bCs/>
                <w:color w:val="auto"/>
                <w:spacing w:val="-1"/>
                <w:szCs w:val="21"/>
                <w:highlight w:val="none"/>
                <w:shd w:val="clear" w:color="auto" w:fill="FFFFFF" w:themeFill="background1"/>
              </w:rPr>
              <w:t>0.80″</w:t>
            </w:r>
          </w:p>
        </w:tc>
        <w:tc>
          <w:tcPr>
            <w:tcW w:w="2026"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1"/>
                <w:szCs w:val="21"/>
                <w:highlight w:val="none"/>
                <w:shd w:val="clear" w:color="auto" w:fill="FFFFFF" w:themeFill="background1"/>
              </w:rPr>
              <w:t>30°24′14.</w:t>
            </w:r>
            <w:r>
              <w:rPr>
                <w:rFonts w:ascii="Times New Roman" w:hAnsi="Times New Roman" w:cs="Times New Roman"/>
                <w:bCs/>
                <w:color w:val="auto"/>
                <w:szCs w:val="21"/>
                <w:highlight w:val="none"/>
                <w:shd w:val="clear" w:color="auto" w:fill="FFFFFF" w:themeFill="background1"/>
              </w:rPr>
              <w:t>40″</w:t>
            </w:r>
          </w:p>
        </w:tc>
        <w:tc>
          <w:tcPr>
            <w:tcW w:w="3470"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10"/>
                <w:szCs w:val="21"/>
                <w:highlight w:val="none"/>
                <w:shd w:val="clear" w:color="auto" w:fill="FFFFFF" w:themeFill="background1"/>
              </w:rPr>
              <w:t>水</w:t>
            </w:r>
            <w:r>
              <w:rPr>
                <w:rFonts w:ascii="Times New Roman" w:hAnsi="Times New Roman" w:cs="Times New Roman"/>
                <w:bCs/>
                <w:color w:val="auto"/>
                <w:spacing w:val="-8"/>
                <w:szCs w:val="21"/>
                <w:highlight w:val="none"/>
                <w:shd w:val="clear" w:color="auto" w:fill="FFFFFF" w:themeFill="background1"/>
              </w:rPr>
              <w:t>质</w:t>
            </w:r>
            <w:r>
              <w:rPr>
                <w:rFonts w:ascii="Times New Roman" w:hAnsi="Times New Roman" w:cs="Times New Roman"/>
                <w:bCs/>
                <w:color w:val="auto"/>
                <w:spacing w:val="-5"/>
                <w:szCs w:val="21"/>
                <w:highlight w:val="none"/>
                <w:shd w:val="clear" w:color="auto" w:fill="FFFFFF" w:themeFill="background1"/>
              </w:rPr>
              <w:t>、沉积物、生物生态、</w:t>
            </w:r>
            <w:r>
              <w:rPr>
                <w:rFonts w:ascii="Times New Roman" w:hAnsi="Times New Roman" w:cs="Times New Roman"/>
                <w:bCs/>
                <w:color w:val="auto"/>
                <w:spacing w:val="-1"/>
                <w:szCs w:val="21"/>
                <w:highlight w:val="none"/>
                <w:shd w:val="clear" w:color="auto" w:fill="FFFFFF" w:themeFill="background1"/>
              </w:rPr>
              <w:t>生物质量、渔业</w:t>
            </w:r>
            <w:r>
              <w:rPr>
                <w:rFonts w:ascii="Times New Roman" w:hAnsi="Times New Roman" w:cs="Times New Roman"/>
                <w:bCs/>
                <w:color w:val="auto"/>
                <w:szCs w:val="21"/>
                <w:highlight w:val="none"/>
                <w:shd w:val="clear" w:color="auto" w:fill="FFFFFF" w:themeFill="background1"/>
              </w:rPr>
              <w:t>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09"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1"/>
                <w:szCs w:val="21"/>
                <w:highlight w:val="none"/>
              </w:rPr>
              <w:t>H</w:t>
            </w:r>
            <w:r>
              <w:rPr>
                <w:rFonts w:ascii="Times New Roman" w:hAnsi="Times New Roman" w:cs="Times New Roman"/>
                <w:bCs/>
                <w:color w:val="auto"/>
                <w:spacing w:val="-2"/>
                <w:szCs w:val="21"/>
                <w:highlight w:val="none"/>
              </w:rPr>
              <w:t>2</w:t>
            </w:r>
            <w:r>
              <w:rPr>
                <w:rFonts w:ascii="Times New Roman" w:hAnsi="Times New Roman" w:cs="Times New Roman"/>
                <w:bCs/>
                <w:color w:val="auto"/>
                <w:spacing w:val="-1"/>
                <w:szCs w:val="21"/>
                <w:highlight w:val="none"/>
              </w:rPr>
              <w:t>6</w:t>
            </w:r>
          </w:p>
        </w:tc>
        <w:tc>
          <w:tcPr>
            <w:tcW w:w="2138"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2"/>
                <w:szCs w:val="21"/>
                <w:highlight w:val="none"/>
              </w:rPr>
              <w:t>122°16′19.20</w:t>
            </w:r>
            <w:r>
              <w:rPr>
                <w:rFonts w:ascii="Times New Roman" w:hAnsi="Times New Roman" w:cs="Times New Roman"/>
                <w:bCs/>
                <w:color w:val="auto"/>
                <w:szCs w:val="21"/>
                <w:highlight w:val="none"/>
              </w:rPr>
              <w:t>″</w:t>
            </w:r>
          </w:p>
        </w:tc>
        <w:tc>
          <w:tcPr>
            <w:tcW w:w="2026"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1"/>
                <w:szCs w:val="21"/>
                <w:highlight w:val="none"/>
              </w:rPr>
              <w:t>30°17′13.</w:t>
            </w:r>
            <w:r>
              <w:rPr>
                <w:rFonts w:ascii="Times New Roman" w:hAnsi="Times New Roman" w:cs="Times New Roman"/>
                <w:bCs/>
                <w:color w:val="auto"/>
                <w:szCs w:val="21"/>
                <w:highlight w:val="none"/>
              </w:rPr>
              <w:t>20″</w:t>
            </w:r>
          </w:p>
        </w:tc>
        <w:tc>
          <w:tcPr>
            <w:tcW w:w="3470"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3"/>
                <w:szCs w:val="21"/>
                <w:highlight w:val="none"/>
              </w:rPr>
              <w:t>水</w:t>
            </w:r>
            <w:r>
              <w:rPr>
                <w:rFonts w:ascii="Times New Roman" w:hAnsi="Times New Roman" w:cs="Times New Roman"/>
                <w:bCs/>
                <w:color w:val="auto"/>
                <w:spacing w:val="-2"/>
                <w:szCs w:val="21"/>
                <w:highlight w:val="none"/>
              </w:rPr>
              <w:t>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109"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1"/>
                <w:szCs w:val="21"/>
                <w:highlight w:val="none"/>
              </w:rPr>
              <w:t>H</w:t>
            </w:r>
            <w:r>
              <w:rPr>
                <w:rFonts w:ascii="Times New Roman" w:hAnsi="Times New Roman" w:cs="Times New Roman"/>
                <w:bCs/>
                <w:color w:val="auto"/>
                <w:spacing w:val="-2"/>
                <w:szCs w:val="21"/>
                <w:highlight w:val="none"/>
              </w:rPr>
              <w:t>2</w:t>
            </w:r>
            <w:r>
              <w:rPr>
                <w:rFonts w:ascii="Times New Roman" w:hAnsi="Times New Roman" w:cs="Times New Roman"/>
                <w:bCs/>
                <w:color w:val="auto"/>
                <w:spacing w:val="-1"/>
                <w:szCs w:val="21"/>
                <w:highlight w:val="none"/>
              </w:rPr>
              <w:t>7</w:t>
            </w:r>
          </w:p>
        </w:tc>
        <w:tc>
          <w:tcPr>
            <w:tcW w:w="2138"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2"/>
                <w:szCs w:val="21"/>
                <w:highlight w:val="none"/>
              </w:rPr>
              <w:t>122°11′5</w:t>
            </w:r>
            <w:r>
              <w:rPr>
                <w:rFonts w:ascii="Times New Roman" w:hAnsi="Times New Roman" w:cs="Times New Roman"/>
                <w:bCs/>
                <w:color w:val="auto"/>
                <w:spacing w:val="-1"/>
                <w:szCs w:val="21"/>
                <w:highlight w:val="none"/>
              </w:rPr>
              <w:t>2.80″</w:t>
            </w:r>
          </w:p>
        </w:tc>
        <w:tc>
          <w:tcPr>
            <w:tcW w:w="2026"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1"/>
                <w:szCs w:val="21"/>
                <w:highlight w:val="none"/>
              </w:rPr>
              <w:t>30°07</w:t>
            </w:r>
            <w:r>
              <w:rPr>
                <w:rFonts w:ascii="Times New Roman" w:hAnsi="Times New Roman" w:cs="Times New Roman"/>
                <w:bCs/>
                <w:color w:val="auto"/>
                <w:szCs w:val="21"/>
                <w:highlight w:val="none"/>
              </w:rPr>
              <w:t>′22.80″</w:t>
            </w:r>
          </w:p>
        </w:tc>
        <w:tc>
          <w:tcPr>
            <w:tcW w:w="3470" w:type="dxa"/>
            <w:vAlign w:val="center"/>
          </w:tcPr>
          <w:p>
            <w:pPr>
              <w:wordWrap/>
              <w:autoSpaceDE w:val="0"/>
              <w:autoSpaceDN w:val="0"/>
              <w:spacing w:line="300" w:lineRule="exact"/>
              <w:ind w:firstLine="0" w:firstLineChars="0"/>
              <w:jc w:val="center"/>
              <w:rPr>
                <w:rFonts w:ascii="Times New Roman" w:hAnsi="Times New Roman" w:cs="Times New Roman"/>
                <w:bCs/>
                <w:color w:val="auto"/>
                <w:spacing w:val="-7"/>
                <w:szCs w:val="21"/>
                <w:highlight w:val="none"/>
                <w:shd w:val="clear" w:color="auto" w:fill="FFFFFF" w:themeFill="background1"/>
                <w:lang w:val="zh-CN"/>
              </w:rPr>
            </w:pPr>
            <w:r>
              <w:rPr>
                <w:rFonts w:ascii="Times New Roman" w:hAnsi="Times New Roman" w:cs="Times New Roman"/>
                <w:bCs/>
                <w:color w:val="auto"/>
                <w:spacing w:val="-7"/>
                <w:szCs w:val="21"/>
                <w:highlight w:val="none"/>
                <w:shd w:val="clear" w:color="auto" w:fill="FFFFFF" w:themeFill="background1"/>
              </w:rPr>
              <w:t>水质、生物生态、生物质量、渔业资源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9"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1"/>
                <w:szCs w:val="21"/>
                <w:highlight w:val="none"/>
              </w:rPr>
              <w:t>H</w:t>
            </w:r>
            <w:r>
              <w:rPr>
                <w:rFonts w:ascii="Times New Roman" w:hAnsi="Times New Roman" w:cs="Times New Roman"/>
                <w:bCs/>
                <w:color w:val="auto"/>
                <w:spacing w:val="-2"/>
                <w:szCs w:val="21"/>
                <w:highlight w:val="none"/>
              </w:rPr>
              <w:t>2</w:t>
            </w:r>
            <w:r>
              <w:rPr>
                <w:rFonts w:ascii="Times New Roman" w:hAnsi="Times New Roman" w:cs="Times New Roman"/>
                <w:bCs/>
                <w:color w:val="auto"/>
                <w:spacing w:val="-1"/>
                <w:szCs w:val="21"/>
                <w:highlight w:val="none"/>
              </w:rPr>
              <w:t>8</w:t>
            </w:r>
          </w:p>
        </w:tc>
        <w:tc>
          <w:tcPr>
            <w:tcW w:w="2138"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2"/>
                <w:szCs w:val="21"/>
                <w:highlight w:val="none"/>
              </w:rPr>
              <w:t>122°07′2</w:t>
            </w:r>
            <w:r>
              <w:rPr>
                <w:rFonts w:ascii="Times New Roman" w:hAnsi="Times New Roman" w:cs="Times New Roman"/>
                <w:bCs/>
                <w:color w:val="auto"/>
                <w:spacing w:val="-1"/>
                <w:szCs w:val="21"/>
                <w:highlight w:val="none"/>
              </w:rPr>
              <w:t>2.80″</w:t>
            </w:r>
          </w:p>
        </w:tc>
        <w:tc>
          <w:tcPr>
            <w:tcW w:w="2026"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1"/>
                <w:szCs w:val="21"/>
                <w:highlight w:val="none"/>
              </w:rPr>
              <w:t>2</w:t>
            </w:r>
            <w:r>
              <w:rPr>
                <w:rFonts w:ascii="Times New Roman" w:hAnsi="Times New Roman" w:cs="Times New Roman"/>
                <w:bCs/>
                <w:color w:val="auto"/>
                <w:szCs w:val="21"/>
                <w:highlight w:val="none"/>
              </w:rPr>
              <w:t>9°57′28.80″</w:t>
            </w:r>
          </w:p>
        </w:tc>
        <w:tc>
          <w:tcPr>
            <w:tcW w:w="3470" w:type="dxa"/>
            <w:vAlign w:val="center"/>
          </w:tcPr>
          <w:p>
            <w:pPr>
              <w:wordWrap/>
              <w:autoSpaceDE w:val="0"/>
              <w:autoSpaceDN w:val="0"/>
              <w:spacing w:line="300" w:lineRule="exact"/>
              <w:ind w:firstLine="0" w:firstLineChars="0"/>
              <w:jc w:val="center"/>
              <w:rPr>
                <w:rFonts w:ascii="Times New Roman" w:hAnsi="Times New Roman" w:cs="Times New Roman"/>
                <w:bCs/>
                <w:color w:val="auto"/>
                <w:spacing w:val="-7"/>
                <w:szCs w:val="21"/>
                <w:highlight w:val="none"/>
                <w:shd w:val="clear" w:color="auto" w:fill="FFFFFF" w:themeFill="background1"/>
                <w:lang w:val="zh-CN"/>
              </w:rPr>
            </w:pPr>
            <w:r>
              <w:rPr>
                <w:rFonts w:ascii="Times New Roman" w:hAnsi="Times New Roman" w:cs="Times New Roman"/>
                <w:bCs/>
                <w:color w:val="auto"/>
                <w:spacing w:val="-7"/>
                <w:szCs w:val="21"/>
                <w:highlight w:val="none"/>
                <w:shd w:val="clear" w:color="auto" w:fill="FFFFFF" w:themeFill="background1"/>
              </w:rPr>
              <w:t>水质、沉积物、生物生态、生物质量、渔业资源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9"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zCs w:val="21"/>
                <w:highlight w:val="none"/>
                <w:shd w:val="clear" w:color="auto" w:fill="FFFFFF" w:themeFill="background1"/>
              </w:rPr>
              <w:t>W</w:t>
            </w:r>
            <w:r>
              <w:rPr>
                <w:rFonts w:ascii="Times New Roman" w:hAnsi="Times New Roman" w:cs="Times New Roman"/>
                <w:bCs/>
                <w:color w:val="auto"/>
                <w:spacing w:val="-1"/>
                <w:szCs w:val="21"/>
                <w:highlight w:val="none"/>
                <w:shd w:val="clear" w:color="auto" w:fill="FFFFFF" w:themeFill="background1"/>
              </w:rPr>
              <w:t>1</w:t>
            </w:r>
          </w:p>
        </w:tc>
        <w:tc>
          <w:tcPr>
            <w:tcW w:w="2138"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pacing w:val="-1"/>
                <w:szCs w:val="21"/>
                <w:highlight w:val="none"/>
                <w:shd w:val="clear" w:color="auto" w:fill="FFFFFF" w:themeFill="background1"/>
              </w:rPr>
              <w:t>121°55′45.56</w:t>
            </w:r>
            <w:r>
              <w:rPr>
                <w:rFonts w:ascii="Times New Roman" w:hAnsi="Times New Roman" w:cs="Times New Roman"/>
                <w:bCs/>
                <w:color w:val="auto"/>
                <w:szCs w:val="21"/>
                <w:highlight w:val="none"/>
                <w:shd w:val="clear" w:color="auto" w:fill="FFFFFF" w:themeFill="background1"/>
              </w:rPr>
              <w:t>″</w:t>
            </w:r>
          </w:p>
        </w:tc>
        <w:tc>
          <w:tcPr>
            <w:tcW w:w="2026"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szCs w:val="21"/>
                <w:highlight w:val="none"/>
                <w:shd w:val="clear" w:color="auto" w:fill="FFFFFF" w:themeFill="background1"/>
              </w:rPr>
              <w:t>30°19′32.82″</w:t>
            </w:r>
          </w:p>
        </w:tc>
        <w:tc>
          <w:tcPr>
            <w:tcW w:w="3470"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lang w:val="zh-CN" w:bidi="zh-CN"/>
              </w:rPr>
            </w:pPr>
            <w:r>
              <w:rPr>
                <w:rFonts w:ascii="Times New Roman" w:hAnsi="Times New Roman" w:cs="Times New Roman"/>
                <w:bCs/>
                <w:color w:val="auto"/>
                <w:kern w:val="0"/>
                <w:szCs w:val="21"/>
                <w:highlight w:val="none"/>
                <w:lang w:bidi="ar"/>
              </w:rPr>
              <w:t>水质、沉积物、生物生态、生物质量、渔业资源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09"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shd w:val="clear" w:color="auto" w:fill="FFFFFF" w:themeFill="background1"/>
              </w:rPr>
              <w:t>W2</w:t>
            </w:r>
          </w:p>
        </w:tc>
        <w:tc>
          <w:tcPr>
            <w:tcW w:w="2138"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pacing w:val="-1"/>
                <w:szCs w:val="21"/>
                <w:highlight w:val="none"/>
              </w:rPr>
              <w:t>121°55′40.19″</w:t>
            </w:r>
          </w:p>
        </w:tc>
        <w:tc>
          <w:tcPr>
            <w:tcW w:w="2026" w:type="dxa"/>
            <w:vAlign w:val="center"/>
          </w:tcPr>
          <w:p>
            <w:pPr>
              <w:widowControl/>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kern w:val="0"/>
                <w:szCs w:val="21"/>
                <w:highlight w:val="none"/>
                <w:lang w:bidi="ar"/>
              </w:rPr>
              <w:t>30°19′24.13″</w:t>
            </w:r>
          </w:p>
        </w:tc>
        <w:tc>
          <w:tcPr>
            <w:tcW w:w="3470" w:type="dxa"/>
            <w:vAlign w:val="center"/>
          </w:tcPr>
          <w:p>
            <w:pPr>
              <w:widowControl/>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kern w:val="0"/>
                <w:szCs w:val="21"/>
                <w:highlight w:val="none"/>
                <w:lang w:bidi="ar"/>
              </w:rPr>
              <w:t>水质、生物生态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9"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shd w:val="clear" w:color="auto" w:fill="FFFFFF" w:themeFill="background1"/>
              </w:rPr>
              <w:t>W3</w:t>
            </w:r>
          </w:p>
        </w:tc>
        <w:tc>
          <w:tcPr>
            <w:tcW w:w="2138" w:type="dxa"/>
            <w:vAlign w:val="center"/>
          </w:tcPr>
          <w:p>
            <w:pPr>
              <w:widowControl/>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kern w:val="0"/>
                <w:szCs w:val="21"/>
                <w:highlight w:val="none"/>
                <w:lang w:bidi="ar"/>
              </w:rPr>
              <w:t>121°55′33.31″</w:t>
            </w:r>
          </w:p>
        </w:tc>
        <w:tc>
          <w:tcPr>
            <w:tcW w:w="2026" w:type="dxa"/>
            <w:vAlign w:val="center"/>
          </w:tcPr>
          <w:p>
            <w:pPr>
              <w:widowControl/>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kern w:val="0"/>
                <w:szCs w:val="21"/>
                <w:highlight w:val="none"/>
                <w:lang w:bidi="ar"/>
              </w:rPr>
              <w:t>30°19′15.36″</w:t>
            </w:r>
          </w:p>
        </w:tc>
        <w:tc>
          <w:tcPr>
            <w:tcW w:w="3470" w:type="dxa"/>
            <w:vAlign w:val="center"/>
          </w:tcPr>
          <w:p>
            <w:pPr>
              <w:widowControl/>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kern w:val="0"/>
                <w:szCs w:val="21"/>
                <w:highlight w:val="none"/>
                <w:lang w:bidi="ar"/>
              </w:rPr>
              <w:t>水质、沉积物、生物生态、</w:t>
            </w:r>
          </w:p>
          <w:p>
            <w:pPr>
              <w:widowControl/>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kern w:val="0"/>
                <w:szCs w:val="21"/>
                <w:highlight w:val="none"/>
                <w:lang w:bidi="ar"/>
              </w:rPr>
              <w:t>生物质量、渔业资源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09"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shd w:val="clear" w:color="auto" w:fill="FFFFFF" w:themeFill="background1"/>
              </w:rPr>
              <w:t>W4</w:t>
            </w:r>
          </w:p>
        </w:tc>
        <w:tc>
          <w:tcPr>
            <w:tcW w:w="2138" w:type="dxa"/>
            <w:vAlign w:val="center"/>
          </w:tcPr>
          <w:p>
            <w:pPr>
              <w:widowControl/>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kern w:val="0"/>
                <w:szCs w:val="21"/>
                <w:highlight w:val="none"/>
                <w:lang w:bidi="ar"/>
              </w:rPr>
              <w:t>121°57′37.27″</w:t>
            </w:r>
          </w:p>
        </w:tc>
        <w:tc>
          <w:tcPr>
            <w:tcW w:w="2026" w:type="dxa"/>
            <w:vAlign w:val="center"/>
          </w:tcPr>
          <w:p>
            <w:pPr>
              <w:widowControl/>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kern w:val="0"/>
                <w:szCs w:val="21"/>
                <w:highlight w:val="none"/>
                <w:lang w:bidi="ar"/>
              </w:rPr>
              <w:t>30°20′00.12″</w:t>
            </w:r>
          </w:p>
        </w:tc>
        <w:tc>
          <w:tcPr>
            <w:tcW w:w="3470"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kern w:val="0"/>
                <w:szCs w:val="21"/>
                <w:highlight w:val="none"/>
                <w:lang w:bidi="ar"/>
              </w:rPr>
              <w:t>水质、生物生态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9"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shd w:val="clear" w:color="auto" w:fill="FFFFFF" w:themeFill="background1"/>
              </w:rPr>
              <w:t>W5</w:t>
            </w:r>
          </w:p>
        </w:tc>
        <w:tc>
          <w:tcPr>
            <w:tcW w:w="2138" w:type="dxa"/>
            <w:vAlign w:val="center"/>
          </w:tcPr>
          <w:p>
            <w:pPr>
              <w:widowControl/>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kern w:val="0"/>
                <w:szCs w:val="21"/>
                <w:highlight w:val="none"/>
                <w:lang w:bidi="ar"/>
              </w:rPr>
              <w:t>121°57′53.54″</w:t>
            </w:r>
          </w:p>
        </w:tc>
        <w:tc>
          <w:tcPr>
            <w:tcW w:w="2026" w:type="dxa"/>
            <w:vAlign w:val="center"/>
          </w:tcPr>
          <w:p>
            <w:pPr>
              <w:widowControl/>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kern w:val="0"/>
                <w:szCs w:val="21"/>
                <w:highlight w:val="none"/>
                <w:lang w:bidi="ar"/>
              </w:rPr>
              <w:t>30°20′08.64″</w:t>
            </w:r>
          </w:p>
        </w:tc>
        <w:tc>
          <w:tcPr>
            <w:tcW w:w="3470" w:type="dxa"/>
            <w:vAlign w:val="center"/>
          </w:tcPr>
          <w:p>
            <w:pPr>
              <w:widowControl/>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kern w:val="0"/>
                <w:szCs w:val="21"/>
                <w:highlight w:val="none"/>
                <w:lang w:bidi="ar"/>
              </w:rPr>
              <w:t>水质、沉积物、生物生态、</w:t>
            </w:r>
          </w:p>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kern w:val="0"/>
                <w:szCs w:val="21"/>
                <w:highlight w:val="none"/>
                <w:lang w:bidi="ar"/>
              </w:rPr>
              <w:t>生物质量、渔业资源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09"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shd w:val="clear" w:color="auto" w:fill="FFFFFF" w:themeFill="background1"/>
              </w:rPr>
              <w:t>W6</w:t>
            </w:r>
          </w:p>
        </w:tc>
        <w:tc>
          <w:tcPr>
            <w:tcW w:w="2138" w:type="dxa"/>
            <w:vAlign w:val="center"/>
          </w:tcPr>
          <w:p>
            <w:pPr>
              <w:widowControl/>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kern w:val="0"/>
                <w:szCs w:val="21"/>
                <w:highlight w:val="none"/>
                <w:lang w:bidi="ar"/>
              </w:rPr>
              <w:t>121°58′17.88″</w:t>
            </w:r>
          </w:p>
        </w:tc>
        <w:tc>
          <w:tcPr>
            <w:tcW w:w="2026" w:type="dxa"/>
            <w:vAlign w:val="center"/>
          </w:tcPr>
          <w:p>
            <w:pPr>
              <w:widowControl/>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kern w:val="0"/>
                <w:szCs w:val="21"/>
                <w:highlight w:val="none"/>
                <w:lang w:bidi="ar"/>
              </w:rPr>
              <w:t>30°20′23.98″</w:t>
            </w:r>
          </w:p>
        </w:tc>
        <w:tc>
          <w:tcPr>
            <w:tcW w:w="3470"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kern w:val="0"/>
                <w:szCs w:val="21"/>
                <w:highlight w:val="none"/>
                <w:lang w:bidi="ar"/>
              </w:rPr>
              <w:t>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109"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shd w:val="clear" w:color="auto" w:fill="FFFFFF" w:themeFill="background1"/>
              </w:rPr>
              <w:t>W7</w:t>
            </w:r>
          </w:p>
        </w:tc>
        <w:tc>
          <w:tcPr>
            <w:tcW w:w="2138" w:type="dxa"/>
            <w:vAlign w:val="center"/>
          </w:tcPr>
          <w:p>
            <w:pPr>
              <w:widowControl/>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kern w:val="0"/>
                <w:szCs w:val="21"/>
                <w:highlight w:val="none"/>
                <w:lang w:bidi="ar"/>
              </w:rPr>
              <w:t>121°57′27.11″</w:t>
            </w:r>
          </w:p>
        </w:tc>
        <w:tc>
          <w:tcPr>
            <w:tcW w:w="2026" w:type="dxa"/>
            <w:vAlign w:val="center"/>
          </w:tcPr>
          <w:p>
            <w:pPr>
              <w:widowControl/>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kern w:val="0"/>
                <w:szCs w:val="21"/>
                <w:highlight w:val="none"/>
                <w:lang w:bidi="ar"/>
              </w:rPr>
              <w:t>30°20′16.10″</w:t>
            </w:r>
          </w:p>
        </w:tc>
        <w:tc>
          <w:tcPr>
            <w:tcW w:w="3470" w:type="dxa"/>
            <w:vAlign w:val="center"/>
          </w:tcPr>
          <w:p>
            <w:pPr>
              <w:widowControl/>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kern w:val="0"/>
                <w:szCs w:val="21"/>
                <w:highlight w:val="none"/>
                <w:lang w:bidi="ar"/>
              </w:rPr>
              <w:t>水质、沉积物、生物生态、</w:t>
            </w:r>
          </w:p>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kern w:val="0"/>
                <w:szCs w:val="21"/>
                <w:highlight w:val="none"/>
                <w:lang w:bidi="ar"/>
              </w:rPr>
              <w:t>生物质量、渔业资源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109"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shd w:val="clear" w:color="auto" w:fill="FFFFFF" w:themeFill="background1"/>
              </w:rPr>
              <w:t>W8</w:t>
            </w:r>
          </w:p>
        </w:tc>
        <w:tc>
          <w:tcPr>
            <w:tcW w:w="2138" w:type="dxa"/>
            <w:vAlign w:val="center"/>
          </w:tcPr>
          <w:p>
            <w:pPr>
              <w:widowControl/>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kern w:val="0"/>
                <w:szCs w:val="21"/>
                <w:highlight w:val="none"/>
                <w:lang w:bidi="ar"/>
              </w:rPr>
              <w:t>121°57′49.69″</w:t>
            </w:r>
          </w:p>
        </w:tc>
        <w:tc>
          <w:tcPr>
            <w:tcW w:w="2026" w:type="dxa"/>
            <w:vAlign w:val="center"/>
          </w:tcPr>
          <w:p>
            <w:pPr>
              <w:widowControl/>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kern w:val="0"/>
                <w:szCs w:val="21"/>
                <w:highlight w:val="none"/>
                <w:lang w:bidi="ar"/>
              </w:rPr>
              <w:t>30°20′30.91″</w:t>
            </w:r>
          </w:p>
        </w:tc>
        <w:tc>
          <w:tcPr>
            <w:tcW w:w="3470" w:type="dxa"/>
            <w:vAlign w:val="center"/>
          </w:tcPr>
          <w:p>
            <w:pPr>
              <w:widowControl/>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kern w:val="0"/>
                <w:szCs w:val="21"/>
                <w:highlight w:val="none"/>
                <w:lang w:bidi="ar"/>
              </w:rPr>
              <w:t>水质、沉积物、生物生态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09"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rPr>
              <w:t>WT</w:t>
            </w:r>
            <w:r>
              <w:rPr>
                <w:rFonts w:ascii="Times New Roman" w:hAnsi="Times New Roman" w:cs="Times New Roman"/>
                <w:bCs/>
                <w:color w:val="auto"/>
                <w:spacing w:val="1"/>
                <w:szCs w:val="21"/>
                <w:highlight w:val="none"/>
              </w:rPr>
              <w:t>1</w:t>
            </w:r>
          </w:p>
        </w:tc>
        <w:tc>
          <w:tcPr>
            <w:tcW w:w="2138"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pacing w:val="-1"/>
                <w:szCs w:val="21"/>
                <w:highlight w:val="none"/>
              </w:rPr>
              <w:t>121°55′44.4</w:t>
            </w:r>
            <w:r>
              <w:rPr>
                <w:rFonts w:ascii="Times New Roman" w:hAnsi="Times New Roman" w:cs="Times New Roman"/>
                <w:bCs/>
                <w:color w:val="auto"/>
                <w:szCs w:val="21"/>
                <w:highlight w:val="none"/>
              </w:rPr>
              <w:t>0″</w:t>
            </w:r>
          </w:p>
        </w:tc>
        <w:tc>
          <w:tcPr>
            <w:tcW w:w="2026"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rPr>
              <w:t>30°19′12.00″</w:t>
            </w:r>
          </w:p>
        </w:tc>
        <w:tc>
          <w:tcPr>
            <w:tcW w:w="3470" w:type="dxa"/>
            <w:vAlign w:val="center"/>
          </w:tcPr>
          <w:p>
            <w:pPr>
              <w:wordWrap/>
              <w:autoSpaceDE w:val="0"/>
              <w:autoSpaceDN w:val="0"/>
              <w:spacing w:line="300" w:lineRule="exact"/>
              <w:ind w:firstLine="0" w:firstLineChars="0"/>
              <w:jc w:val="center"/>
              <w:rPr>
                <w:rFonts w:ascii="Times New Roman" w:hAnsi="Times New Roman" w:cs="Times New Roman"/>
                <w:bCs/>
                <w:color w:val="auto"/>
                <w:kern w:val="0"/>
                <w:szCs w:val="21"/>
                <w:highlight w:val="none"/>
                <w:lang w:bidi="ar"/>
              </w:rPr>
            </w:pPr>
            <w:r>
              <w:rPr>
                <w:rFonts w:ascii="Times New Roman" w:hAnsi="Times New Roman" w:cs="Times New Roman"/>
                <w:bCs/>
                <w:color w:val="auto"/>
                <w:kern w:val="0"/>
                <w:szCs w:val="21"/>
                <w:highlight w:val="none"/>
                <w:lang w:bidi="ar"/>
              </w:rPr>
              <w:t>潮间带生物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09"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rPr>
              <w:t>WT</w:t>
            </w:r>
            <w:r>
              <w:rPr>
                <w:rFonts w:ascii="Times New Roman" w:hAnsi="Times New Roman" w:cs="Times New Roman"/>
                <w:bCs/>
                <w:color w:val="auto"/>
                <w:spacing w:val="1"/>
                <w:szCs w:val="21"/>
                <w:highlight w:val="none"/>
              </w:rPr>
              <w:t>2</w:t>
            </w:r>
          </w:p>
        </w:tc>
        <w:tc>
          <w:tcPr>
            <w:tcW w:w="2138"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pacing w:val="-1"/>
                <w:szCs w:val="21"/>
                <w:highlight w:val="none"/>
              </w:rPr>
              <w:t>121°57′43.2</w:t>
            </w:r>
            <w:r>
              <w:rPr>
                <w:rFonts w:ascii="Times New Roman" w:hAnsi="Times New Roman" w:cs="Times New Roman"/>
                <w:bCs/>
                <w:color w:val="auto"/>
                <w:szCs w:val="21"/>
                <w:highlight w:val="none"/>
              </w:rPr>
              <w:t>0″</w:t>
            </w:r>
          </w:p>
        </w:tc>
        <w:tc>
          <w:tcPr>
            <w:tcW w:w="2026" w:type="dxa"/>
            <w:vAlign w:val="center"/>
          </w:tcPr>
          <w:p>
            <w:pPr>
              <w:wordWrap/>
              <w:autoSpaceDE w:val="0"/>
              <w:autoSpaceDN w:val="0"/>
              <w:spacing w:line="300" w:lineRule="exact"/>
              <w:ind w:firstLine="0" w:firstLineChars="0"/>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rPr>
              <w:t>30°20′16.80″</w:t>
            </w:r>
          </w:p>
        </w:tc>
        <w:tc>
          <w:tcPr>
            <w:tcW w:w="3470" w:type="dxa"/>
            <w:vAlign w:val="center"/>
          </w:tcPr>
          <w:p>
            <w:pPr>
              <w:wordWrap/>
              <w:autoSpaceDE w:val="0"/>
              <w:autoSpaceDN w:val="0"/>
              <w:spacing w:line="300" w:lineRule="exact"/>
              <w:ind w:firstLine="0" w:firstLineChars="0"/>
              <w:jc w:val="center"/>
              <w:rPr>
                <w:rFonts w:ascii="Times New Roman" w:hAnsi="Times New Roman" w:cs="Times New Roman"/>
                <w:bCs/>
                <w:color w:val="auto"/>
                <w:kern w:val="0"/>
                <w:szCs w:val="21"/>
                <w:highlight w:val="none"/>
                <w:lang w:bidi="ar"/>
              </w:rPr>
            </w:pPr>
            <w:r>
              <w:rPr>
                <w:rFonts w:ascii="Times New Roman" w:hAnsi="Times New Roman" w:cs="Times New Roman"/>
                <w:bCs/>
                <w:color w:val="auto"/>
                <w:kern w:val="0"/>
                <w:szCs w:val="21"/>
                <w:highlight w:val="none"/>
                <w:lang w:bidi="ar"/>
              </w:rPr>
              <w:t>潮间带生物</w:t>
            </w:r>
          </w:p>
        </w:tc>
      </w:tr>
    </w:tbl>
    <w:p>
      <w:pPr>
        <w:spacing w:line="320" w:lineRule="exact"/>
        <w:ind w:firstLine="422"/>
        <w:jc w:val="left"/>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b/>
          <w:color w:val="auto"/>
          <w:szCs w:val="21"/>
          <w:highlight w:val="none"/>
        </w:rPr>
        <w:t>备注：H1、</w:t>
      </w:r>
      <w:r>
        <w:rPr>
          <w:rFonts w:hint="eastAsia" w:hAnsi="宋体"/>
          <w:b/>
          <w:color w:val="auto"/>
          <w:spacing w:val="-3"/>
          <w:szCs w:val="21"/>
          <w:highlight w:val="none"/>
        </w:rPr>
        <w:t>H2</w:t>
      </w:r>
      <w:r>
        <w:rPr>
          <w:rFonts w:hint="eastAsia" w:hAnsi="宋体"/>
          <w:b/>
          <w:color w:val="auto"/>
          <w:spacing w:val="3"/>
          <w:szCs w:val="21"/>
          <w:highlight w:val="none"/>
        </w:rPr>
        <w:t>、</w:t>
      </w:r>
      <w:r>
        <w:rPr>
          <w:rFonts w:hint="eastAsia" w:hAnsi="宋体"/>
          <w:b/>
          <w:color w:val="auto"/>
          <w:spacing w:val="-3"/>
          <w:szCs w:val="21"/>
          <w:highlight w:val="none"/>
        </w:rPr>
        <w:t>H5</w:t>
      </w:r>
      <w:r>
        <w:rPr>
          <w:rFonts w:hint="eastAsia" w:hAnsi="宋体"/>
          <w:b/>
          <w:color w:val="auto"/>
          <w:szCs w:val="21"/>
          <w:highlight w:val="none"/>
        </w:rPr>
        <w:t>、</w:t>
      </w:r>
      <w:r>
        <w:rPr>
          <w:rFonts w:hint="eastAsia" w:hAnsi="宋体"/>
          <w:b/>
          <w:color w:val="auto"/>
          <w:spacing w:val="-4"/>
          <w:szCs w:val="21"/>
          <w:highlight w:val="none"/>
        </w:rPr>
        <w:t>H7</w:t>
      </w:r>
      <w:r>
        <w:rPr>
          <w:rFonts w:hint="eastAsia" w:hAnsi="宋体"/>
          <w:b/>
          <w:color w:val="auto"/>
          <w:szCs w:val="21"/>
          <w:highlight w:val="none"/>
        </w:rPr>
        <w:t>、</w:t>
      </w:r>
      <w:r>
        <w:rPr>
          <w:rFonts w:hint="eastAsia" w:hAnsi="宋体"/>
          <w:b/>
          <w:color w:val="auto"/>
          <w:spacing w:val="-3"/>
          <w:szCs w:val="21"/>
          <w:highlight w:val="none"/>
        </w:rPr>
        <w:t>H8</w:t>
      </w:r>
      <w:r>
        <w:rPr>
          <w:rFonts w:hint="eastAsia" w:hAnsi="宋体"/>
          <w:b/>
          <w:color w:val="auto"/>
          <w:szCs w:val="21"/>
          <w:highlight w:val="none"/>
        </w:rPr>
        <w:t>、</w:t>
      </w:r>
      <w:r>
        <w:rPr>
          <w:rFonts w:hint="eastAsia" w:hAnsi="宋体"/>
          <w:b/>
          <w:color w:val="auto"/>
          <w:spacing w:val="-3"/>
          <w:szCs w:val="21"/>
          <w:highlight w:val="none"/>
        </w:rPr>
        <w:t>H14</w:t>
      </w:r>
      <w:r>
        <w:rPr>
          <w:rFonts w:hint="eastAsia" w:hAnsi="宋体"/>
          <w:b/>
          <w:color w:val="auto"/>
          <w:szCs w:val="21"/>
          <w:highlight w:val="none"/>
        </w:rPr>
        <w:t>、H15、H23、H25、W2、W3、W6进行底栖拖</w:t>
      </w:r>
      <w:r>
        <w:rPr>
          <w:rFonts w:hint="eastAsia" w:hAnsi="宋体"/>
          <w:b/>
          <w:color w:val="auto"/>
          <w:spacing w:val="-11"/>
          <w:szCs w:val="21"/>
          <w:highlight w:val="none"/>
        </w:rPr>
        <w:t>网调查；海域潮间带直接引用背景值监测的大鱼山南北两侧资料</w:t>
      </w:r>
      <w:r>
        <w:rPr>
          <w:rFonts w:hint="eastAsia" w:hAnsi="宋体"/>
          <w:b/>
          <w:color w:val="auto"/>
          <w:szCs w:val="21"/>
          <w:highlight w:val="none"/>
        </w:rPr>
        <w:t>（业主提供）；W</w:t>
      </w:r>
      <w:r>
        <w:rPr>
          <w:rFonts w:hint="eastAsia" w:hAnsi="宋体"/>
          <w:b/>
          <w:color w:val="auto"/>
          <w:spacing w:val="-2"/>
          <w:szCs w:val="21"/>
          <w:highlight w:val="none"/>
        </w:rPr>
        <w:t>T</w:t>
      </w:r>
      <w:r>
        <w:rPr>
          <w:rFonts w:hint="eastAsia" w:hAnsi="宋体"/>
          <w:b/>
          <w:color w:val="auto"/>
          <w:szCs w:val="21"/>
          <w:highlight w:val="none"/>
        </w:rPr>
        <w:t>1和</w:t>
      </w:r>
      <w:r>
        <w:rPr>
          <w:rFonts w:hint="eastAsia" w:hAnsi="宋体"/>
          <w:b/>
          <w:color w:val="auto"/>
          <w:spacing w:val="-51"/>
          <w:szCs w:val="21"/>
          <w:highlight w:val="none"/>
        </w:rPr>
        <w:t xml:space="preserve"> </w:t>
      </w:r>
      <w:r>
        <w:rPr>
          <w:rFonts w:hint="eastAsia" w:hAnsi="宋体"/>
          <w:b/>
          <w:color w:val="auto"/>
          <w:spacing w:val="-3"/>
          <w:szCs w:val="21"/>
          <w:highlight w:val="none"/>
        </w:rPr>
        <w:t>W</w:t>
      </w:r>
      <w:r>
        <w:rPr>
          <w:rFonts w:hint="eastAsia" w:hAnsi="宋体"/>
          <w:b/>
          <w:color w:val="auto"/>
          <w:szCs w:val="21"/>
          <w:highlight w:val="none"/>
        </w:rPr>
        <w:t>T2为无居民海岛站位正西侧，本次经纬度为参考经纬度，采样视实际而定，并记录经纬度。</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2 海岛生态资源跟踪监测</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2.1 海岛水质生态监测</w:t>
      </w:r>
    </w:p>
    <w:p>
      <w:pPr>
        <w:spacing w:before="78"/>
        <w:ind w:left="20" w:right="7" w:firstLine="420"/>
        <w:rPr>
          <w:rFonts w:hAnsi="宋体"/>
          <w:color w:val="auto"/>
          <w:szCs w:val="21"/>
          <w:highlight w:val="none"/>
        </w:rPr>
      </w:pPr>
      <w:r>
        <w:rPr>
          <w:rFonts w:hint="eastAsia" w:hAnsi="宋体"/>
          <w:color w:val="auto"/>
          <w:szCs w:val="21"/>
          <w:highlight w:val="none"/>
        </w:rPr>
        <w:t>海岛水质生态监测站位结合海域监测站位，监测内容见表2-1，在海岛附近布设水质站位8个，沉积物站位5个，生物生态站7个，其中渔业资源和生物体质量站位4个。站位布设按断面、呈扇形布置，具体见表1-3编号为W的站位。</w:t>
      </w:r>
    </w:p>
    <w:p>
      <w:pPr>
        <w:spacing w:before="78"/>
        <w:ind w:left="20" w:right="7" w:firstLine="420"/>
        <w:rPr>
          <w:rFonts w:hAnsi="宋体"/>
          <w:color w:val="auto"/>
          <w:szCs w:val="21"/>
          <w:highlight w:val="none"/>
        </w:rPr>
      </w:pPr>
      <w:r>
        <w:rPr>
          <w:rFonts w:hint="eastAsia" w:hAnsi="宋体"/>
          <w:color w:val="auto"/>
          <w:szCs w:val="21"/>
          <w:highlight w:val="none"/>
        </w:rPr>
        <w:t>监测过程应严格按《海洋调查规范》（GB12763-2007）和《海洋监测规范》（GB17378.2-2007）等有关规定执行。</w:t>
      </w:r>
    </w:p>
    <w:p>
      <w:pPr>
        <w:spacing w:before="78"/>
        <w:ind w:left="20" w:right="7" w:firstLine="422"/>
        <w:jc w:val="center"/>
        <w:rPr>
          <w:rFonts w:hAnsi="宋体"/>
          <w:color w:val="auto"/>
          <w:szCs w:val="21"/>
          <w:highlight w:val="none"/>
          <w14:textOutline w14:w="5448" w14:cap="flat" w14:cmpd="sng" w14:algn="ctr">
            <w14:solidFill>
              <w14:srgbClr w14:val="000000"/>
            </w14:solidFill>
            <w14:prstDash w14:val="solid"/>
            <w14:miter w14:val="0"/>
          </w14:textOutline>
        </w:rPr>
      </w:pPr>
      <w:r>
        <w:rPr>
          <w:b/>
          <w:color w:val="auto"/>
          <w:highlight w:val="none"/>
        </w:rPr>
        <w:t>表</w:t>
      </w:r>
      <w:r>
        <w:rPr>
          <w:rFonts w:ascii="Times New Roman" w:eastAsia="Times New Roman"/>
          <w:b/>
          <w:color w:val="auto"/>
          <w:highlight w:val="none"/>
        </w:rPr>
        <w:t>2-1</w:t>
      </w:r>
      <w:r>
        <w:rPr>
          <w:b/>
          <w:color w:val="auto"/>
          <w:highlight w:val="none"/>
        </w:rPr>
        <w:t>无居民海岛水质生态资源跟踪监测方案</w:t>
      </w:r>
    </w:p>
    <w:tbl>
      <w:tblPr>
        <w:tblStyle w:val="114"/>
        <w:tblpPr w:leftFromText="180" w:rightFromText="180" w:vertAnchor="text" w:horzAnchor="page" w:tblpXSpec="center" w:tblpY="111"/>
        <w:tblOverlap w:val="never"/>
        <w:tblW w:w="931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4"/>
        <w:gridCol w:w="1163"/>
        <w:gridCol w:w="4882"/>
        <w:gridCol w:w="22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jc w:val="center"/>
        </w:trPr>
        <w:tc>
          <w:tcPr>
            <w:tcW w:w="974" w:type="dxa"/>
            <w:vAlign w:val="center"/>
          </w:tcPr>
          <w:p>
            <w:pPr>
              <w:spacing w:line="221" w:lineRule="auto"/>
              <w:ind w:firstLine="0" w:firstLineChars="0"/>
              <w:jc w:val="center"/>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环境要素</w:t>
            </w:r>
          </w:p>
        </w:tc>
        <w:tc>
          <w:tcPr>
            <w:tcW w:w="1163" w:type="dxa"/>
            <w:vAlign w:val="center"/>
          </w:tcPr>
          <w:p>
            <w:pPr>
              <w:spacing w:line="221" w:lineRule="auto"/>
              <w:ind w:firstLine="0" w:firstLineChars="0"/>
              <w:jc w:val="center"/>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监测站位数</w:t>
            </w:r>
          </w:p>
        </w:tc>
        <w:tc>
          <w:tcPr>
            <w:tcW w:w="4882" w:type="dxa"/>
            <w:vAlign w:val="center"/>
          </w:tcPr>
          <w:p>
            <w:pPr>
              <w:spacing w:line="221" w:lineRule="auto"/>
              <w:ind w:firstLine="0" w:firstLineChars="0"/>
              <w:jc w:val="center"/>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监测指标</w:t>
            </w:r>
          </w:p>
        </w:tc>
        <w:tc>
          <w:tcPr>
            <w:tcW w:w="2291" w:type="dxa"/>
            <w:vAlign w:val="center"/>
          </w:tcPr>
          <w:p>
            <w:pPr>
              <w:spacing w:line="221" w:lineRule="auto"/>
              <w:ind w:firstLine="0" w:firstLineChars="0"/>
              <w:jc w:val="center"/>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监测时间、频次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2" w:hRule="atLeast"/>
          <w:jc w:val="center"/>
        </w:trPr>
        <w:tc>
          <w:tcPr>
            <w:tcW w:w="974" w:type="dxa"/>
            <w:vAlign w:val="center"/>
          </w:tcPr>
          <w:p>
            <w:pPr>
              <w:widowControl/>
              <w:kinsoku w:val="0"/>
              <w:wordWrap/>
              <w:autoSpaceDE w:val="0"/>
              <w:autoSpaceDN w:val="0"/>
              <w:adjustRightInd w:val="0"/>
              <w:snapToGrid w:val="0"/>
              <w:spacing w:line="320" w:lineRule="exact"/>
              <w:ind w:firstLine="0" w:firstLineChars="0"/>
              <w:jc w:val="center"/>
              <w:textAlignment w:val="baseline"/>
              <w:rPr>
                <w:rFonts w:hAnsi="宋体"/>
                <w:color w:val="auto"/>
                <w:szCs w:val="21"/>
                <w:highlight w:val="none"/>
              </w:rPr>
            </w:pPr>
            <w:r>
              <w:rPr>
                <w:rFonts w:hAnsi="宋体"/>
                <w:color w:val="auto"/>
                <w:szCs w:val="21"/>
                <w:highlight w:val="none"/>
              </w:rPr>
              <w:t>水质</w:t>
            </w:r>
          </w:p>
        </w:tc>
        <w:tc>
          <w:tcPr>
            <w:tcW w:w="1163" w:type="dxa"/>
            <w:vAlign w:val="center"/>
          </w:tcPr>
          <w:p>
            <w:pPr>
              <w:widowControl/>
              <w:kinsoku w:val="0"/>
              <w:wordWrap/>
              <w:autoSpaceDE w:val="0"/>
              <w:autoSpaceDN w:val="0"/>
              <w:adjustRightInd w:val="0"/>
              <w:snapToGrid w:val="0"/>
              <w:spacing w:line="320" w:lineRule="exact"/>
              <w:ind w:firstLine="0" w:firstLineChars="0"/>
              <w:jc w:val="center"/>
              <w:textAlignment w:val="baseline"/>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8</w:t>
            </w:r>
          </w:p>
        </w:tc>
        <w:tc>
          <w:tcPr>
            <w:tcW w:w="4882" w:type="dxa"/>
            <w:vAlign w:val="center"/>
          </w:tcPr>
          <w:p>
            <w:pPr>
              <w:widowControl/>
              <w:kinsoku w:val="0"/>
              <w:wordWrap/>
              <w:autoSpaceDE w:val="0"/>
              <w:autoSpaceDN w:val="0"/>
              <w:adjustRightInd w:val="0"/>
              <w:snapToGrid w:val="0"/>
              <w:spacing w:line="320" w:lineRule="exact"/>
              <w:ind w:firstLine="0" w:firstLineChars="0"/>
              <w:jc w:val="center"/>
              <w:textAlignment w:val="baseline"/>
              <w:rPr>
                <w:rFonts w:hAnsi="宋体"/>
                <w:color w:val="auto"/>
                <w:szCs w:val="21"/>
                <w:highlight w:val="none"/>
              </w:rPr>
            </w:pPr>
            <w:r>
              <w:rPr>
                <w:rFonts w:hAnsi="宋体"/>
                <w:color w:val="auto"/>
                <w:szCs w:val="21"/>
                <w:highlight w:val="none"/>
              </w:rPr>
              <w:t>常规监测因子：</w:t>
            </w:r>
            <w:r>
              <w:rPr>
                <w:rFonts w:hAnsi="宋体"/>
                <w:iCs/>
                <w:color w:val="auto"/>
                <w:szCs w:val="21"/>
                <w:highlight w:val="none"/>
              </w:rPr>
              <w:t>总氮、总磷、</w:t>
            </w:r>
            <w:r>
              <w:rPr>
                <w:rFonts w:ascii="Times New Roman" w:hAnsi="Times New Roman" w:eastAsia="Times New Roman" w:cs="Times New Roman"/>
                <w:iCs/>
                <w:color w:val="auto"/>
                <w:szCs w:val="21"/>
                <w:highlight w:val="none"/>
              </w:rPr>
              <w:t>TOC</w:t>
            </w:r>
            <w:r>
              <w:rPr>
                <w:rFonts w:hAnsi="宋体"/>
                <w:iCs/>
                <w:color w:val="auto"/>
                <w:szCs w:val="21"/>
                <w:highlight w:val="none"/>
              </w:rPr>
              <w:t>、石油类、汞、砷、铜、镉、铅、铬、锌、硫化物、氰化物、氟化物、挥发酚、多环芳烃、粪大肠菌群</w:t>
            </w:r>
          </w:p>
          <w:p>
            <w:pPr>
              <w:widowControl/>
              <w:kinsoku w:val="0"/>
              <w:wordWrap/>
              <w:autoSpaceDE w:val="0"/>
              <w:autoSpaceDN w:val="0"/>
              <w:adjustRightInd w:val="0"/>
              <w:snapToGrid w:val="0"/>
              <w:spacing w:line="320" w:lineRule="exact"/>
              <w:ind w:firstLine="0" w:firstLineChars="0"/>
              <w:jc w:val="center"/>
              <w:textAlignment w:val="baseline"/>
              <w:rPr>
                <w:rFonts w:hAnsi="宋体"/>
                <w:color w:val="auto"/>
                <w:szCs w:val="21"/>
                <w:highlight w:val="none"/>
              </w:rPr>
            </w:pPr>
            <w:r>
              <w:rPr>
                <w:rFonts w:hAnsi="宋体"/>
                <w:color w:val="auto"/>
                <w:szCs w:val="21"/>
                <w:highlight w:val="none"/>
              </w:rPr>
              <w:t>石化特征因子：苯、甲苯、二甲苯、丙烯腈、镍、钒</w:t>
            </w:r>
          </w:p>
        </w:tc>
        <w:tc>
          <w:tcPr>
            <w:tcW w:w="2291" w:type="dxa"/>
            <w:vAlign w:val="center"/>
          </w:tcPr>
          <w:p>
            <w:pPr>
              <w:widowControl/>
              <w:kinsoku w:val="0"/>
              <w:wordWrap/>
              <w:autoSpaceDE w:val="0"/>
              <w:autoSpaceDN w:val="0"/>
              <w:adjustRightInd w:val="0"/>
              <w:snapToGrid w:val="0"/>
              <w:spacing w:line="320" w:lineRule="exact"/>
              <w:ind w:firstLine="0" w:firstLineChars="0"/>
              <w:jc w:val="center"/>
              <w:textAlignment w:val="baseline"/>
              <w:rPr>
                <w:rFonts w:hAnsi="宋体"/>
                <w:color w:val="auto"/>
                <w:szCs w:val="21"/>
                <w:highlight w:val="none"/>
              </w:rPr>
            </w:pPr>
            <w:r>
              <w:rPr>
                <w:rFonts w:hAnsi="宋体"/>
                <w:color w:val="auto"/>
                <w:szCs w:val="21"/>
                <w:highlight w:val="none"/>
              </w:rPr>
              <w:t>监测</w:t>
            </w:r>
            <w:r>
              <w:rPr>
                <w:rFonts w:ascii="Times New Roman" w:hAnsi="Times New Roman" w:eastAsia="Times New Roman" w:cs="Times New Roman"/>
                <w:color w:val="auto"/>
                <w:szCs w:val="21"/>
                <w:highlight w:val="none"/>
              </w:rPr>
              <w:t>2</w:t>
            </w:r>
            <w:r>
              <w:rPr>
                <w:rFonts w:hAnsi="宋体"/>
                <w:color w:val="auto"/>
                <w:szCs w:val="21"/>
                <w:highlight w:val="none"/>
              </w:rPr>
              <w:t>次</w:t>
            </w:r>
          </w:p>
          <w:p>
            <w:pPr>
              <w:widowControl/>
              <w:kinsoku w:val="0"/>
              <w:wordWrap/>
              <w:autoSpaceDE w:val="0"/>
              <w:autoSpaceDN w:val="0"/>
              <w:adjustRightInd w:val="0"/>
              <w:snapToGrid w:val="0"/>
              <w:spacing w:line="320" w:lineRule="exact"/>
              <w:ind w:firstLine="0" w:firstLineChars="0"/>
              <w:jc w:val="center"/>
              <w:textAlignment w:val="baseline"/>
              <w:rPr>
                <w:rFonts w:hAnsi="宋体"/>
                <w:color w:val="auto"/>
                <w:szCs w:val="21"/>
                <w:highlight w:val="none"/>
              </w:rPr>
            </w:pPr>
            <w:r>
              <w:rPr>
                <w:rFonts w:hAnsi="宋体"/>
                <w:color w:val="auto"/>
                <w:szCs w:val="21"/>
                <w:highlight w:val="none"/>
              </w:rPr>
              <w:t>春季和秋季</w:t>
            </w:r>
            <w:r>
              <w:rPr>
                <w:rFonts w:hint="eastAsia" w:hAnsi="宋体"/>
                <w:color w:val="auto"/>
                <w:szCs w:val="21"/>
                <w:highlight w:val="none"/>
              </w:rPr>
              <w:t>各监测1次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2" w:hRule="atLeast"/>
          <w:jc w:val="center"/>
        </w:trPr>
        <w:tc>
          <w:tcPr>
            <w:tcW w:w="974" w:type="dxa"/>
            <w:vAlign w:val="center"/>
          </w:tcPr>
          <w:p>
            <w:pPr>
              <w:widowControl/>
              <w:kinsoku w:val="0"/>
              <w:wordWrap/>
              <w:autoSpaceDE w:val="0"/>
              <w:autoSpaceDN w:val="0"/>
              <w:adjustRightInd w:val="0"/>
              <w:snapToGrid w:val="0"/>
              <w:spacing w:line="320" w:lineRule="exact"/>
              <w:ind w:firstLine="0" w:firstLineChars="0"/>
              <w:jc w:val="center"/>
              <w:textAlignment w:val="baseline"/>
              <w:rPr>
                <w:rFonts w:hAnsi="宋体"/>
                <w:color w:val="auto"/>
                <w:szCs w:val="21"/>
                <w:highlight w:val="none"/>
              </w:rPr>
            </w:pPr>
            <w:r>
              <w:rPr>
                <w:rFonts w:hAnsi="宋体"/>
                <w:color w:val="auto"/>
                <w:szCs w:val="21"/>
                <w:highlight w:val="none"/>
              </w:rPr>
              <w:t>沉积物</w:t>
            </w:r>
          </w:p>
        </w:tc>
        <w:tc>
          <w:tcPr>
            <w:tcW w:w="1163" w:type="dxa"/>
            <w:vAlign w:val="center"/>
          </w:tcPr>
          <w:p>
            <w:pPr>
              <w:widowControl/>
              <w:kinsoku w:val="0"/>
              <w:wordWrap/>
              <w:autoSpaceDE w:val="0"/>
              <w:autoSpaceDN w:val="0"/>
              <w:adjustRightInd w:val="0"/>
              <w:snapToGrid w:val="0"/>
              <w:spacing w:line="320" w:lineRule="exact"/>
              <w:ind w:firstLine="0" w:firstLineChars="0"/>
              <w:jc w:val="center"/>
              <w:textAlignment w:val="baseline"/>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5</w:t>
            </w:r>
          </w:p>
        </w:tc>
        <w:tc>
          <w:tcPr>
            <w:tcW w:w="4882" w:type="dxa"/>
            <w:vAlign w:val="center"/>
          </w:tcPr>
          <w:p>
            <w:pPr>
              <w:widowControl/>
              <w:kinsoku w:val="0"/>
              <w:wordWrap/>
              <w:autoSpaceDE w:val="0"/>
              <w:autoSpaceDN w:val="0"/>
              <w:adjustRightInd w:val="0"/>
              <w:snapToGrid w:val="0"/>
              <w:spacing w:line="320" w:lineRule="exact"/>
              <w:ind w:firstLine="0" w:firstLineChars="0"/>
              <w:jc w:val="center"/>
              <w:textAlignment w:val="baseline"/>
              <w:rPr>
                <w:rFonts w:hAnsi="宋体"/>
                <w:color w:val="auto"/>
                <w:szCs w:val="21"/>
                <w:highlight w:val="none"/>
              </w:rPr>
            </w:pPr>
            <w:r>
              <w:rPr>
                <w:rFonts w:hAnsi="宋体"/>
                <w:color w:val="auto"/>
                <w:szCs w:val="21"/>
                <w:highlight w:val="none"/>
              </w:rPr>
              <w:t>常规监测因子：</w:t>
            </w:r>
            <w:r>
              <w:rPr>
                <w:rFonts w:hAnsi="宋体"/>
                <w:iCs/>
                <w:color w:val="auto"/>
                <w:szCs w:val="21"/>
                <w:highlight w:val="none"/>
              </w:rPr>
              <w:t>氧化-还原电位(Eh)、总汞、铜、铅、镉、锌、铬、砷、石油类、硫化物、有机碳、666、DDT、多氯联苯，粒度、粪大肠菌群</w:t>
            </w:r>
          </w:p>
          <w:p>
            <w:pPr>
              <w:widowControl/>
              <w:kinsoku w:val="0"/>
              <w:wordWrap/>
              <w:autoSpaceDE w:val="0"/>
              <w:autoSpaceDN w:val="0"/>
              <w:adjustRightInd w:val="0"/>
              <w:snapToGrid w:val="0"/>
              <w:spacing w:line="320" w:lineRule="exact"/>
              <w:ind w:right="135" w:firstLine="0" w:firstLineChars="0"/>
              <w:jc w:val="center"/>
              <w:textAlignment w:val="baseline"/>
              <w:rPr>
                <w:rFonts w:hAnsi="宋体"/>
                <w:color w:val="auto"/>
                <w:szCs w:val="21"/>
                <w:highlight w:val="none"/>
              </w:rPr>
            </w:pPr>
            <w:r>
              <w:rPr>
                <w:rFonts w:hAnsi="宋体"/>
                <w:color w:val="auto"/>
                <w:szCs w:val="21"/>
                <w:highlight w:val="none"/>
              </w:rPr>
              <w:t>石化特征因子：氰化物、丙烯腈、挥发酚、多环芳烃、镍、钒、苯、甲苯、二甲苯</w:t>
            </w:r>
          </w:p>
        </w:tc>
        <w:tc>
          <w:tcPr>
            <w:tcW w:w="2291" w:type="dxa"/>
            <w:vAlign w:val="center"/>
          </w:tcPr>
          <w:p>
            <w:pPr>
              <w:pStyle w:val="116"/>
              <w:spacing w:before="1"/>
              <w:ind w:right="115" w:firstLine="0" w:firstLineChars="0"/>
              <w:rPr>
                <w:rFonts w:ascii="宋体" w:eastAsia="宋体"/>
                <w:color w:val="auto"/>
                <w:highlight w:val="none"/>
              </w:rPr>
            </w:pPr>
            <w:r>
              <w:rPr>
                <w:color w:val="auto"/>
                <w:highlight w:val="none"/>
              </w:rPr>
              <w:t>1</w:t>
            </w:r>
            <w:r>
              <w:rPr>
                <w:rFonts w:hint="eastAsia" w:ascii="宋体" w:eastAsia="宋体"/>
                <w:color w:val="auto"/>
                <w:highlight w:val="none"/>
              </w:rPr>
              <w:t>次</w:t>
            </w:r>
          </w:p>
          <w:p>
            <w:pPr>
              <w:widowControl/>
              <w:kinsoku w:val="0"/>
              <w:wordWrap/>
              <w:autoSpaceDE w:val="0"/>
              <w:autoSpaceDN w:val="0"/>
              <w:adjustRightInd w:val="0"/>
              <w:snapToGrid w:val="0"/>
              <w:spacing w:line="320" w:lineRule="exact"/>
              <w:ind w:right="25" w:firstLine="0" w:firstLineChars="0"/>
              <w:jc w:val="center"/>
              <w:textAlignment w:val="baseline"/>
              <w:rPr>
                <w:rFonts w:hAnsi="宋体"/>
                <w:color w:val="auto"/>
                <w:szCs w:val="21"/>
                <w:highlight w:val="none"/>
              </w:rPr>
            </w:pPr>
            <w:r>
              <w:rPr>
                <w:rFonts w:hint="eastAsia"/>
                <w:color w:val="auto"/>
                <w:highlight w:val="none"/>
              </w:rPr>
              <w:t>在秋季开展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4" w:hRule="atLeast"/>
          <w:jc w:val="center"/>
        </w:trPr>
        <w:tc>
          <w:tcPr>
            <w:tcW w:w="974" w:type="dxa"/>
            <w:vAlign w:val="center"/>
          </w:tcPr>
          <w:p>
            <w:pPr>
              <w:widowControl/>
              <w:kinsoku w:val="0"/>
              <w:wordWrap/>
              <w:autoSpaceDE w:val="0"/>
              <w:autoSpaceDN w:val="0"/>
              <w:adjustRightInd w:val="0"/>
              <w:snapToGrid w:val="0"/>
              <w:spacing w:line="320" w:lineRule="exact"/>
              <w:ind w:right="61" w:firstLine="0" w:firstLineChars="0"/>
              <w:jc w:val="center"/>
              <w:textAlignment w:val="baseline"/>
              <w:rPr>
                <w:rFonts w:hAnsi="宋体"/>
                <w:color w:val="auto"/>
                <w:szCs w:val="21"/>
                <w:highlight w:val="none"/>
              </w:rPr>
            </w:pPr>
            <w:r>
              <w:rPr>
                <w:rFonts w:hAnsi="宋体"/>
                <w:color w:val="auto"/>
                <w:szCs w:val="21"/>
                <w:highlight w:val="none"/>
              </w:rPr>
              <w:t>海洋生物体质量</w:t>
            </w:r>
          </w:p>
        </w:tc>
        <w:tc>
          <w:tcPr>
            <w:tcW w:w="1163" w:type="dxa"/>
            <w:vAlign w:val="center"/>
          </w:tcPr>
          <w:p>
            <w:pPr>
              <w:widowControl/>
              <w:kinsoku w:val="0"/>
              <w:wordWrap/>
              <w:autoSpaceDE w:val="0"/>
              <w:autoSpaceDN w:val="0"/>
              <w:adjustRightInd w:val="0"/>
              <w:snapToGrid w:val="0"/>
              <w:spacing w:line="320" w:lineRule="exact"/>
              <w:ind w:firstLine="0" w:firstLineChars="0"/>
              <w:jc w:val="center"/>
              <w:textAlignment w:val="baseline"/>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4</w:t>
            </w:r>
          </w:p>
        </w:tc>
        <w:tc>
          <w:tcPr>
            <w:tcW w:w="4882" w:type="dxa"/>
            <w:vAlign w:val="center"/>
          </w:tcPr>
          <w:p>
            <w:pPr>
              <w:widowControl/>
              <w:kinsoku w:val="0"/>
              <w:wordWrap/>
              <w:autoSpaceDE w:val="0"/>
              <w:autoSpaceDN w:val="0"/>
              <w:adjustRightInd w:val="0"/>
              <w:snapToGrid w:val="0"/>
              <w:spacing w:line="320" w:lineRule="exact"/>
              <w:ind w:firstLine="0" w:firstLineChars="0"/>
              <w:jc w:val="center"/>
              <w:textAlignment w:val="baseline"/>
              <w:rPr>
                <w:rFonts w:hAnsi="宋体"/>
                <w:color w:val="auto"/>
                <w:szCs w:val="21"/>
                <w:highlight w:val="none"/>
              </w:rPr>
            </w:pPr>
            <w:r>
              <w:rPr>
                <w:rFonts w:hAnsi="宋体"/>
                <w:color w:val="auto"/>
                <w:szCs w:val="21"/>
                <w:highlight w:val="none"/>
              </w:rPr>
              <w:t>贝类、鱼类、甲壳类</w:t>
            </w:r>
          </w:p>
          <w:p>
            <w:pPr>
              <w:widowControl/>
              <w:kinsoku w:val="0"/>
              <w:wordWrap/>
              <w:autoSpaceDE w:val="0"/>
              <w:autoSpaceDN w:val="0"/>
              <w:adjustRightInd w:val="0"/>
              <w:snapToGrid w:val="0"/>
              <w:spacing w:line="320" w:lineRule="exact"/>
              <w:ind w:firstLine="0" w:firstLineChars="0"/>
              <w:jc w:val="center"/>
              <w:textAlignment w:val="baseline"/>
              <w:rPr>
                <w:rFonts w:hAnsi="宋体"/>
                <w:color w:val="auto"/>
                <w:szCs w:val="21"/>
                <w:highlight w:val="none"/>
              </w:rPr>
            </w:pPr>
            <w:r>
              <w:rPr>
                <w:rFonts w:hAnsi="宋体"/>
                <w:color w:val="auto"/>
                <w:szCs w:val="21"/>
                <w:highlight w:val="none"/>
              </w:rPr>
              <w:t>生物质量常规监测因子：</w:t>
            </w:r>
            <w:r>
              <w:rPr>
                <w:rFonts w:hAnsi="宋体"/>
                <w:iCs/>
                <w:color w:val="auto"/>
                <w:szCs w:val="21"/>
                <w:highlight w:val="none"/>
              </w:rPr>
              <w:t>石油烃、汞、砷、铜、镉、铅、锌、铬、石油烃、666 、DDT、多氯联苯</w:t>
            </w:r>
          </w:p>
          <w:p>
            <w:pPr>
              <w:widowControl/>
              <w:kinsoku w:val="0"/>
              <w:wordWrap/>
              <w:autoSpaceDE w:val="0"/>
              <w:autoSpaceDN w:val="0"/>
              <w:adjustRightInd w:val="0"/>
              <w:snapToGrid w:val="0"/>
              <w:spacing w:line="320" w:lineRule="exact"/>
              <w:ind w:firstLine="0" w:firstLineChars="0"/>
              <w:jc w:val="center"/>
              <w:textAlignment w:val="baseline"/>
              <w:rPr>
                <w:rFonts w:hAnsi="宋体"/>
                <w:color w:val="auto"/>
                <w:szCs w:val="21"/>
                <w:highlight w:val="none"/>
              </w:rPr>
            </w:pPr>
            <w:r>
              <w:rPr>
                <w:rFonts w:hAnsi="宋体"/>
                <w:color w:val="auto"/>
                <w:szCs w:val="21"/>
                <w:highlight w:val="none"/>
              </w:rPr>
              <w:t>石化特征因子：氰化物、丙烯腈、挥发酚、多环芳烃、镍、钒</w:t>
            </w:r>
          </w:p>
        </w:tc>
        <w:tc>
          <w:tcPr>
            <w:tcW w:w="2291" w:type="dxa"/>
            <w:vAlign w:val="center"/>
          </w:tcPr>
          <w:p>
            <w:pPr>
              <w:pStyle w:val="116"/>
              <w:ind w:right="115" w:firstLine="0" w:firstLineChars="0"/>
              <w:rPr>
                <w:rFonts w:ascii="宋体" w:eastAsia="宋体"/>
                <w:color w:val="auto"/>
                <w:highlight w:val="none"/>
              </w:rPr>
            </w:pPr>
            <w:r>
              <w:rPr>
                <w:color w:val="auto"/>
                <w:highlight w:val="none"/>
              </w:rPr>
              <w:t>1</w:t>
            </w:r>
            <w:r>
              <w:rPr>
                <w:rFonts w:hint="eastAsia" w:ascii="宋体" w:eastAsia="宋体"/>
                <w:color w:val="auto"/>
                <w:highlight w:val="none"/>
              </w:rPr>
              <w:t>次</w:t>
            </w:r>
          </w:p>
          <w:p>
            <w:pPr>
              <w:widowControl/>
              <w:kinsoku w:val="0"/>
              <w:wordWrap/>
              <w:autoSpaceDE w:val="0"/>
              <w:autoSpaceDN w:val="0"/>
              <w:adjustRightInd w:val="0"/>
              <w:snapToGrid w:val="0"/>
              <w:spacing w:line="320" w:lineRule="exact"/>
              <w:ind w:right="25" w:firstLine="0" w:firstLineChars="0"/>
              <w:jc w:val="center"/>
              <w:textAlignment w:val="baseline"/>
              <w:rPr>
                <w:rFonts w:hAnsi="宋体"/>
                <w:color w:val="auto"/>
                <w:szCs w:val="21"/>
                <w:highlight w:val="none"/>
              </w:rPr>
            </w:pPr>
            <w:r>
              <w:rPr>
                <w:rFonts w:hint="eastAsia"/>
                <w:color w:val="auto"/>
                <w:highlight w:val="none"/>
              </w:rPr>
              <w:t>秋季开展，</w:t>
            </w:r>
            <w:r>
              <w:rPr>
                <w:color w:val="auto"/>
                <w:highlight w:val="none"/>
              </w:rPr>
              <w:t>8</w:t>
            </w:r>
            <w:r>
              <w:rPr>
                <w:rFonts w:hint="eastAsia"/>
                <w:color w:val="auto"/>
                <w:highlight w:val="none"/>
              </w:rPr>
              <w:t>月</w:t>
            </w:r>
            <w:r>
              <w:rPr>
                <w:color w:val="auto"/>
                <w:highlight w:val="none"/>
              </w:rPr>
              <w:t>-9</w:t>
            </w:r>
            <w:r>
              <w:rPr>
                <w:rFonts w:hint="eastAsia"/>
                <w:color w:val="auto"/>
                <w:highlight w:val="none"/>
              </w:rPr>
              <w:t>月期间为宜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jc w:val="center"/>
        </w:trPr>
        <w:tc>
          <w:tcPr>
            <w:tcW w:w="974" w:type="dxa"/>
            <w:vAlign w:val="center"/>
          </w:tcPr>
          <w:p>
            <w:pPr>
              <w:widowControl/>
              <w:kinsoku w:val="0"/>
              <w:wordWrap/>
              <w:autoSpaceDE w:val="0"/>
              <w:autoSpaceDN w:val="0"/>
              <w:adjustRightInd w:val="0"/>
              <w:snapToGrid w:val="0"/>
              <w:spacing w:line="219" w:lineRule="auto"/>
              <w:ind w:firstLine="0" w:firstLineChars="0"/>
              <w:jc w:val="center"/>
              <w:textAlignment w:val="baseline"/>
              <w:rPr>
                <w:rFonts w:hAnsi="宋体"/>
                <w:snapToGrid w:val="0"/>
                <w:color w:val="auto"/>
                <w:kern w:val="0"/>
                <w:szCs w:val="21"/>
                <w:highlight w:val="none"/>
              </w:rPr>
            </w:pPr>
            <w:r>
              <w:rPr>
                <w:rFonts w:hAnsi="宋体"/>
                <w:color w:val="auto"/>
                <w:szCs w:val="21"/>
                <w:highlight w:val="none"/>
              </w:rPr>
              <w:t>渔业资源</w:t>
            </w:r>
          </w:p>
        </w:tc>
        <w:tc>
          <w:tcPr>
            <w:tcW w:w="1163" w:type="dxa"/>
            <w:vAlign w:val="center"/>
          </w:tcPr>
          <w:p>
            <w:pPr>
              <w:spacing w:line="187" w:lineRule="auto"/>
              <w:ind w:firstLine="0" w:firstLineChars="0"/>
              <w:jc w:val="center"/>
              <w:rPr>
                <w:rFonts w:ascii="Times New Roman" w:hAnsi="Times New Roman" w:cs="Times New Roman"/>
                <w:snapToGrid w:val="0"/>
                <w:color w:val="auto"/>
                <w:kern w:val="0"/>
                <w:szCs w:val="21"/>
                <w:highlight w:val="none"/>
              </w:rPr>
            </w:pPr>
            <w:r>
              <w:rPr>
                <w:rFonts w:hint="eastAsia" w:ascii="Times New Roman" w:hAnsi="Times New Roman" w:cs="Times New Roman"/>
                <w:snapToGrid w:val="0"/>
                <w:color w:val="auto"/>
                <w:kern w:val="0"/>
                <w:szCs w:val="21"/>
                <w:highlight w:val="none"/>
              </w:rPr>
              <w:t>4</w:t>
            </w:r>
          </w:p>
        </w:tc>
        <w:tc>
          <w:tcPr>
            <w:tcW w:w="4882" w:type="dxa"/>
            <w:vAlign w:val="center"/>
          </w:tcPr>
          <w:p>
            <w:pPr>
              <w:spacing w:line="219" w:lineRule="auto"/>
              <w:ind w:firstLine="0" w:firstLineChars="0"/>
              <w:jc w:val="center"/>
              <w:rPr>
                <w:rFonts w:hAnsi="宋体"/>
                <w:snapToGrid w:val="0"/>
                <w:color w:val="auto"/>
                <w:kern w:val="0"/>
                <w:szCs w:val="21"/>
                <w:highlight w:val="none"/>
              </w:rPr>
            </w:pPr>
            <w:r>
              <w:rPr>
                <w:rFonts w:hAnsi="宋体"/>
                <w:color w:val="auto"/>
                <w:szCs w:val="21"/>
                <w:highlight w:val="none"/>
              </w:rPr>
              <w:t>鱼卵、仔稚鱼、渔业资源</w:t>
            </w:r>
          </w:p>
        </w:tc>
        <w:tc>
          <w:tcPr>
            <w:tcW w:w="2291" w:type="dxa"/>
            <w:vAlign w:val="center"/>
          </w:tcPr>
          <w:p>
            <w:pPr>
              <w:pStyle w:val="116"/>
              <w:spacing w:before="1"/>
              <w:ind w:right="115" w:firstLine="0" w:firstLineChars="0"/>
              <w:rPr>
                <w:rFonts w:ascii="宋体" w:eastAsia="宋体"/>
                <w:color w:val="auto"/>
                <w:highlight w:val="none"/>
              </w:rPr>
            </w:pPr>
            <w:r>
              <w:rPr>
                <w:color w:val="auto"/>
                <w:highlight w:val="none"/>
              </w:rPr>
              <w:t>1</w:t>
            </w:r>
            <w:r>
              <w:rPr>
                <w:rFonts w:hint="eastAsia" w:ascii="宋体" w:eastAsia="宋体"/>
                <w:color w:val="auto"/>
                <w:highlight w:val="none"/>
              </w:rPr>
              <w:t>次</w:t>
            </w:r>
          </w:p>
          <w:p>
            <w:pPr>
              <w:spacing w:line="269" w:lineRule="auto"/>
              <w:ind w:right="25" w:firstLine="0" w:firstLineChars="0"/>
              <w:jc w:val="center"/>
              <w:rPr>
                <w:rFonts w:hAnsi="宋体"/>
                <w:snapToGrid w:val="0"/>
                <w:color w:val="auto"/>
                <w:kern w:val="0"/>
                <w:szCs w:val="21"/>
                <w:highlight w:val="none"/>
              </w:rPr>
            </w:pPr>
            <w:r>
              <w:rPr>
                <w:rFonts w:hint="eastAsia"/>
                <w:color w:val="auto"/>
                <w:highlight w:val="none"/>
              </w:rPr>
              <w:t>在秋季开展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jc w:val="center"/>
        </w:trPr>
        <w:tc>
          <w:tcPr>
            <w:tcW w:w="974" w:type="dxa"/>
            <w:vAlign w:val="center"/>
          </w:tcPr>
          <w:p>
            <w:pPr>
              <w:spacing w:line="330" w:lineRule="auto"/>
              <w:ind w:right="61" w:firstLine="0" w:firstLineChars="0"/>
              <w:jc w:val="center"/>
              <w:rPr>
                <w:rFonts w:hAnsi="宋体"/>
                <w:snapToGrid w:val="0"/>
                <w:color w:val="auto"/>
                <w:kern w:val="0"/>
                <w:szCs w:val="21"/>
                <w:highlight w:val="none"/>
              </w:rPr>
            </w:pPr>
            <w:r>
              <w:rPr>
                <w:rFonts w:hAnsi="宋体"/>
                <w:color w:val="auto"/>
                <w:szCs w:val="21"/>
                <w:highlight w:val="none"/>
              </w:rPr>
              <w:t>海域生物生态</w:t>
            </w:r>
          </w:p>
        </w:tc>
        <w:tc>
          <w:tcPr>
            <w:tcW w:w="1163" w:type="dxa"/>
            <w:vAlign w:val="center"/>
          </w:tcPr>
          <w:p>
            <w:pPr>
              <w:spacing w:line="187" w:lineRule="auto"/>
              <w:ind w:firstLine="0" w:firstLineChars="0"/>
              <w:jc w:val="center"/>
              <w:rPr>
                <w:rFonts w:ascii="Times New Roman" w:hAnsi="Times New Roman" w:cs="Times New Roman"/>
                <w:snapToGrid w:val="0"/>
                <w:color w:val="auto"/>
                <w:kern w:val="0"/>
                <w:szCs w:val="21"/>
                <w:highlight w:val="none"/>
              </w:rPr>
            </w:pPr>
            <w:r>
              <w:rPr>
                <w:rFonts w:hint="eastAsia" w:ascii="Times New Roman" w:hAnsi="Times New Roman" w:cs="Times New Roman"/>
                <w:snapToGrid w:val="0"/>
                <w:color w:val="auto"/>
                <w:kern w:val="0"/>
                <w:szCs w:val="21"/>
                <w:highlight w:val="none"/>
              </w:rPr>
              <w:t>7</w:t>
            </w:r>
          </w:p>
        </w:tc>
        <w:tc>
          <w:tcPr>
            <w:tcW w:w="4882" w:type="dxa"/>
            <w:vAlign w:val="center"/>
          </w:tcPr>
          <w:p>
            <w:pPr>
              <w:spacing w:line="321" w:lineRule="auto"/>
              <w:ind w:right="13" w:firstLine="0" w:firstLineChars="0"/>
              <w:jc w:val="center"/>
              <w:rPr>
                <w:rFonts w:hAnsi="宋体"/>
                <w:snapToGrid w:val="0"/>
                <w:color w:val="auto"/>
                <w:kern w:val="0"/>
                <w:szCs w:val="21"/>
                <w:highlight w:val="none"/>
              </w:rPr>
            </w:pPr>
            <w:r>
              <w:rPr>
                <w:rFonts w:hAnsi="宋体"/>
                <w:color w:val="auto"/>
                <w:szCs w:val="21"/>
                <w:highlight w:val="none"/>
              </w:rPr>
              <w:t>叶绿素</w:t>
            </w:r>
            <w:r>
              <w:rPr>
                <w:rFonts w:ascii="Times New Roman" w:hAnsi="Times New Roman" w:eastAsia="Times New Roman" w:cs="Times New Roman"/>
                <w:iCs/>
                <w:color w:val="auto"/>
                <w:szCs w:val="21"/>
                <w:highlight w:val="none"/>
              </w:rPr>
              <w:t>a</w:t>
            </w:r>
            <w:r>
              <w:rPr>
                <w:rFonts w:hAnsi="宋体"/>
                <w:color w:val="auto"/>
                <w:szCs w:val="21"/>
                <w:highlight w:val="none"/>
              </w:rPr>
              <w:t>、浮游植物、浮游动物、底栖生物和沉积物微生物的种类、密度与群落结构</w:t>
            </w:r>
          </w:p>
        </w:tc>
        <w:tc>
          <w:tcPr>
            <w:tcW w:w="2291" w:type="dxa"/>
            <w:vAlign w:val="center"/>
          </w:tcPr>
          <w:p>
            <w:pPr>
              <w:spacing w:line="298" w:lineRule="auto"/>
              <w:ind w:firstLine="0" w:firstLineChars="0"/>
              <w:jc w:val="center"/>
              <w:rPr>
                <w:rFonts w:hAnsi="宋体"/>
                <w:color w:val="auto"/>
                <w:szCs w:val="21"/>
                <w:highlight w:val="none"/>
              </w:rPr>
            </w:pPr>
            <w:r>
              <w:rPr>
                <w:rFonts w:ascii="Times New Roman" w:hAnsi="Times New Roman" w:eastAsia="Times New Roman" w:cs="Times New Roman"/>
                <w:color w:val="auto"/>
                <w:szCs w:val="21"/>
                <w:highlight w:val="none"/>
              </w:rPr>
              <w:t>2</w:t>
            </w:r>
            <w:r>
              <w:rPr>
                <w:rFonts w:hint="eastAsia" w:hAnsi="宋体"/>
                <w:color w:val="auto"/>
                <w:szCs w:val="21"/>
                <w:highlight w:val="none"/>
              </w:rPr>
              <w:t>次</w:t>
            </w:r>
          </w:p>
          <w:p>
            <w:pPr>
              <w:spacing w:line="298" w:lineRule="auto"/>
              <w:ind w:firstLine="0" w:firstLineChars="0"/>
              <w:jc w:val="center"/>
              <w:rPr>
                <w:rFonts w:hAnsi="宋体"/>
                <w:snapToGrid w:val="0"/>
                <w:color w:val="auto"/>
                <w:kern w:val="0"/>
                <w:szCs w:val="21"/>
                <w:highlight w:val="none"/>
              </w:rPr>
            </w:pPr>
            <w:r>
              <w:rPr>
                <w:rFonts w:hAnsi="宋体"/>
                <w:color w:val="auto"/>
                <w:szCs w:val="21"/>
                <w:highlight w:val="none"/>
              </w:rPr>
              <w:t>春季和秋季各监测</w:t>
            </w:r>
            <w:r>
              <w:rPr>
                <w:rFonts w:ascii="Times New Roman" w:hAnsi="Times New Roman" w:eastAsia="Times New Roman" w:cs="Times New Roman"/>
                <w:color w:val="auto"/>
                <w:szCs w:val="21"/>
                <w:highlight w:val="none"/>
              </w:rPr>
              <w:t>1</w:t>
            </w:r>
            <w:r>
              <w:rPr>
                <w:rFonts w:hAnsi="宋体"/>
                <w:color w:val="auto"/>
                <w:szCs w:val="21"/>
                <w:highlight w:val="none"/>
              </w:rPr>
              <w:t>次</w:t>
            </w:r>
          </w:p>
        </w:tc>
      </w:tr>
    </w:tbl>
    <w:p>
      <w:pPr>
        <w:spacing w:before="198"/>
        <w:ind w:left="23" w:right="6"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2.2海岛鸟类资源</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(1)监测站点设置</w:t>
      </w:r>
    </w:p>
    <w:p>
      <w:pPr>
        <w:spacing w:before="78"/>
        <w:ind w:left="20" w:right="7" w:firstLine="420"/>
        <w:rPr>
          <w:rFonts w:hAnsi="宋体"/>
          <w:color w:val="auto"/>
          <w:szCs w:val="21"/>
          <w:highlight w:val="none"/>
        </w:rPr>
      </w:pPr>
      <w:r>
        <w:rPr>
          <w:rFonts w:hint="eastAsia" w:hAnsi="宋体"/>
          <w:color w:val="auto"/>
          <w:szCs w:val="21"/>
          <w:highlight w:val="none"/>
        </w:rPr>
        <w:t>监测站点和范围重点关注五峙山保护区、建设规划范围以及岱山滩涂。五峙山保护区设</w:t>
      </w:r>
      <w:r>
        <w:rPr>
          <w:rFonts w:ascii="Times New Roman" w:hAnsi="Times New Roman" w:cs="Times New Roman"/>
          <w:color w:val="auto"/>
          <w:szCs w:val="21"/>
          <w:highlight w:val="none"/>
        </w:rPr>
        <w:t>置1~3</w:t>
      </w:r>
      <w:r>
        <w:rPr>
          <w:rFonts w:hint="eastAsia" w:hAnsi="宋体"/>
          <w:color w:val="auto"/>
          <w:szCs w:val="21"/>
          <w:highlight w:val="none"/>
        </w:rPr>
        <w:t>个样线(点)、每个无居民海岛1个样点(线)、岱山滩涂区域沿海岸线设置1条样线设置1条样线、建设项目东侧和西侧沿海岸线各设置1条样线。</w:t>
      </w:r>
    </w:p>
    <w:p>
      <w:pPr>
        <w:spacing w:before="78"/>
        <w:ind w:left="20" w:right="7" w:firstLine="420"/>
        <w:jc w:val="center"/>
        <w:rPr>
          <w:rFonts w:hAnsi="宋体"/>
          <w:color w:val="auto"/>
          <w:szCs w:val="21"/>
          <w:highlight w:val="none"/>
          <w14:textOutline w14:w="5448" w14:cap="flat" w14:cmpd="sng" w14:algn="ctr">
            <w14:solidFill>
              <w14:srgbClr w14:val="000000"/>
            </w14:solidFill>
            <w14:prstDash w14:val="solid"/>
            <w14:miter w14:val="0"/>
          </w14:textOutline>
        </w:rPr>
      </w:pPr>
      <w:r>
        <w:rPr>
          <w:color w:val="auto"/>
          <w:highlight w:val="none"/>
        </w:rPr>
        <w:drawing>
          <wp:anchor distT="0" distB="0" distL="114300" distR="114300" simplePos="0" relativeHeight="251662336" behindDoc="0" locked="0" layoutInCell="1" allowOverlap="1">
            <wp:simplePos x="0" y="0"/>
            <wp:positionH relativeFrom="column">
              <wp:posOffset>144145</wp:posOffset>
            </wp:positionH>
            <wp:positionV relativeFrom="paragraph">
              <wp:posOffset>39370</wp:posOffset>
            </wp:positionV>
            <wp:extent cx="5363210" cy="3963035"/>
            <wp:effectExtent l="0" t="0" r="8890" b="1841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363210" cy="3963035"/>
                    </a:xfrm>
                    <a:prstGeom prst="rect">
                      <a:avLst/>
                    </a:prstGeom>
                    <a:noFill/>
                    <a:ln>
                      <a:noFill/>
                    </a:ln>
                  </pic:spPr>
                </pic:pic>
              </a:graphicData>
            </a:graphic>
          </wp:anchor>
        </w:drawing>
      </w:r>
      <w:r>
        <w:rPr>
          <w:rFonts w:hint="eastAsia" w:hAnsi="宋体"/>
          <w:color w:val="auto"/>
          <w:szCs w:val="21"/>
          <w:highlight w:val="none"/>
          <w14:textOutline w14:w="5448" w14:cap="flat" w14:cmpd="sng" w14:algn="ctr">
            <w14:solidFill>
              <w14:srgbClr w14:val="000000"/>
            </w14:solidFill>
            <w14:prstDash w14:val="solid"/>
            <w14:miter w14:val="0"/>
          </w14:textOutline>
        </w:rPr>
        <w:t>图2-1  运营期鸟类调查区域布置图（同本项目本底监测）</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(2)监测内容</w:t>
      </w:r>
    </w:p>
    <w:p>
      <w:pPr>
        <w:spacing w:before="78"/>
        <w:ind w:left="20" w:right="7" w:firstLine="420"/>
        <w:rPr>
          <w:rFonts w:hAnsi="宋体"/>
          <w:color w:val="auto"/>
          <w:szCs w:val="21"/>
          <w:highlight w:val="none"/>
        </w:rPr>
      </w:pPr>
      <w:r>
        <w:rPr>
          <w:rFonts w:hint="eastAsia" w:hAnsi="宋体"/>
          <w:color w:val="auto"/>
          <w:szCs w:val="21"/>
          <w:highlight w:val="none"/>
        </w:rPr>
        <w:t>鸟类种类、数量、栖息地特征(类型、潮汐、主要的动植物种类)、生态习性(留鸟、夏候鸟、冬候鸟、旅鸟、幼鸟、成鸟)、营巢、繁殖等；水鸟类群包括鹭类、鸻鹬类、雁鸭类、鸥类和其他水鸟，其他鸟类类群(非水鸟)包括猛禽类和雀形目鸟类，重点关注列入《国家重点保野生动物名录》中的珍稀鸟类，如角䴙䴘、黄嘴白鹭、黑脸琵鹭和中华凤头燕鸥等。</w:t>
      </w:r>
    </w:p>
    <w:p>
      <w:pPr>
        <w:spacing w:before="78"/>
        <w:ind w:left="20" w:right="7" w:firstLine="420"/>
        <w:rPr>
          <w:rFonts w:hAnsi="宋体"/>
          <w:color w:val="auto"/>
          <w:szCs w:val="21"/>
          <w:highlight w:val="none"/>
        </w:rPr>
      </w:pPr>
      <w:r>
        <w:rPr>
          <w:rFonts w:hint="eastAsia" w:hAnsi="宋体"/>
          <w:color w:val="auto"/>
          <w:szCs w:val="21"/>
          <w:highlight w:val="none"/>
        </w:rPr>
        <w:t>若发现死亡鸟类，确定种类和死因，并送往专门检测机构，进行野生动物疫源疫病检测。</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(3)监测因子及频次</w:t>
      </w:r>
    </w:p>
    <w:p>
      <w:pPr>
        <w:spacing w:before="78"/>
        <w:ind w:left="20" w:right="7" w:firstLine="420"/>
        <w:rPr>
          <w:rFonts w:ascii="Times New Roman" w:hAnsi="Times New Roman" w:cs="Times New Roman"/>
          <w:color w:val="auto"/>
          <w:szCs w:val="21"/>
          <w:highlight w:val="none"/>
        </w:rPr>
      </w:pPr>
      <w:r>
        <w:rPr>
          <w:rFonts w:hint="eastAsia" w:hAnsi="宋体"/>
          <w:color w:val="auto"/>
          <w:szCs w:val="21"/>
          <w:highlight w:val="none"/>
        </w:rPr>
        <w:t>根据鸟类习性，留鸟：每季度</w:t>
      </w:r>
      <w:r>
        <w:rPr>
          <w:rFonts w:ascii="Times New Roman" w:hAnsi="Times New Roman" w:cs="Times New Roman"/>
          <w:color w:val="auto"/>
          <w:szCs w:val="21"/>
          <w:highlight w:val="none"/>
        </w:rPr>
        <w:t>1次；夏候鸟：5~7月每月1~2次；冬候鸟：12~2月每月1~2次；旅鸟：在迁徙(3~5月和9~11月)的早期、中期、晚期各调查1次。</w:t>
      </w:r>
    </w:p>
    <w:p>
      <w:pPr>
        <w:spacing w:before="78"/>
        <w:ind w:left="20" w:right="7" w:firstLine="420"/>
        <w:rPr>
          <w:rFonts w:hAnsi="宋体"/>
          <w:color w:val="auto"/>
          <w:szCs w:val="21"/>
          <w:highlight w:val="none"/>
        </w:rPr>
      </w:pPr>
      <w:r>
        <w:rPr>
          <w:rFonts w:hint="eastAsia" w:hAnsi="宋体"/>
          <w:color w:val="auto"/>
          <w:szCs w:val="21"/>
          <w:highlight w:val="none"/>
        </w:rPr>
        <w:t>针对五指山保护区(五峙山群岛)每月调查至少进行1次。无居民海岛、岱山滩涂和建设项目东西两侧每个季度至少进行1次。</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2.3 无居民海岛</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(1)监测站点布设</w:t>
      </w:r>
    </w:p>
    <w:p>
      <w:pPr>
        <w:spacing w:before="78"/>
        <w:ind w:left="20" w:right="7" w:firstLine="420"/>
        <w:rPr>
          <w:rFonts w:hAnsi="宋体"/>
          <w:color w:val="auto"/>
          <w:szCs w:val="21"/>
          <w:highlight w:val="none"/>
        </w:rPr>
      </w:pPr>
      <w:r>
        <w:rPr>
          <w:rFonts w:hint="eastAsia" w:hAnsi="宋体"/>
          <w:color w:val="auto"/>
          <w:szCs w:val="21"/>
          <w:highlight w:val="none"/>
        </w:rPr>
        <w:t>人为活动监视：掌握海岛人为活动对重点区域的影响情况，以及影响周边海域自然资源和生态资源的人为活动情况。包括建造建筑物和设施、挖沙、采集生物与非生物样本以及其他对海岛造成主要影响的生产建设、临时用岛活动。</w:t>
      </w:r>
    </w:p>
    <w:p>
      <w:pPr>
        <w:spacing w:before="78"/>
        <w:ind w:left="20" w:right="7" w:firstLine="420"/>
        <w:rPr>
          <w:rFonts w:hAnsi="宋体"/>
          <w:color w:val="auto"/>
          <w:szCs w:val="21"/>
          <w:highlight w:val="none"/>
        </w:rPr>
      </w:pPr>
      <w:r>
        <w:rPr>
          <w:rFonts w:hint="eastAsia" w:hAnsi="宋体"/>
          <w:color w:val="auto"/>
          <w:szCs w:val="21"/>
          <w:highlight w:val="none"/>
        </w:rPr>
        <w:t>岸线监测：对已开发利用峙岗山屿、渔山小山屿、黄沙礁、外鱼唇北礁、外鱼唇北小岛、外鱼唇北大岛、外鱼唇礁、中鱼唇礁、里鱼唇屿和无名峙岛无居民 海岛的岸线位置、类型要素进行监测。</w:t>
      </w:r>
    </w:p>
    <w:p>
      <w:pPr>
        <w:spacing w:before="78"/>
        <w:ind w:left="20" w:right="7" w:firstLine="420"/>
        <w:rPr>
          <w:rFonts w:hAnsi="宋体"/>
          <w:color w:val="auto"/>
          <w:szCs w:val="21"/>
          <w:highlight w:val="none"/>
        </w:rPr>
      </w:pPr>
      <w:r>
        <w:rPr>
          <w:rFonts w:hint="eastAsia" w:hAnsi="宋体"/>
          <w:color w:val="auto"/>
          <w:szCs w:val="21"/>
          <w:highlight w:val="none"/>
        </w:rPr>
        <w:t>地形、植被、用岛监测：对峙岗山屿、渔山小山屿、黄沙礁、外鱼唇北礁、外鱼唇北小岛、外鱼唇北大岛、外鱼唇礁、中鱼唇礁、里鱼唇屿、无名峙岛和蝙</w:t>
      </w:r>
      <w:r>
        <w:rPr>
          <w:rFonts w:hAnsi="宋体"/>
          <w:color w:val="auto"/>
          <w:szCs w:val="21"/>
          <w:highlight w:val="none"/>
        </w:rPr>
        <w:t>蝠礁</w:t>
      </w:r>
      <w:r>
        <w:rPr>
          <w:rFonts w:ascii="Times New Roman" w:hAnsi="Times New Roman" w:eastAsia="Times New Roman" w:cs="Times New Roman"/>
          <w:color w:val="auto"/>
          <w:szCs w:val="21"/>
          <w:highlight w:val="none"/>
        </w:rPr>
        <w:t>11</w:t>
      </w:r>
      <w:r>
        <w:rPr>
          <w:rFonts w:hAnsi="宋体"/>
          <w:color w:val="auto"/>
          <w:szCs w:val="21"/>
          <w:highlight w:val="none"/>
        </w:rPr>
        <w:t>个无居民海岛地形进行监测；对大鱼山和小鱼山海岛岛陆及岛滩湿地的植被进行监测，要素包括植被类型、分布、盖度等；对已开发无居民海岛的用岛情况进行核查，主要包括用岛类型、用岛面积、建设物和设施的建筑面积等。</w:t>
      </w:r>
    </w:p>
    <w:p>
      <w:pPr>
        <w:spacing w:before="78"/>
        <w:ind w:left="20" w:right="7" w:firstLine="420"/>
        <w:jc w:val="center"/>
        <w:rPr>
          <w:rFonts w:hAnsi="宋体"/>
          <w:color w:val="auto"/>
          <w:szCs w:val="21"/>
          <w:highlight w:val="none"/>
          <w14:textOutline w14:w="5448" w14:cap="flat" w14:cmpd="sng" w14:algn="ctr">
            <w14:solidFill>
              <w14:srgbClr w14:val="000000"/>
            </w14:solidFill>
            <w14:prstDash w14:val="solid"/>
            <w14:miter w14:val="0"/>
          </w14:textOutline>
        </w:rPr>
      </w:pPr>
      <w:r>
        <w:rPr>
          <w:color w:val="auto"/>
          <w:highlight w:val="none"/>
        </w:rPr>
        <w:drawing>
          <wp:anchor distT="0" distB="0" distL="114300" distR="114300" simplePos="0" relativeHeight="251663360" behindDoc="0" locked="0" layoutInCell="1" allowOverlap="1">
            <wp:simplePos x="0" y="0"/>
            <wp:positionH relativeFrom="column">
              <wp:posOffset>118110</wp:posOffset>
            </wp:positionH>
            <wp:positionV relativeFrom="paragraph">
              <wp:posOffset>27305</wp:posOffset>
            </wp:positionV>
            <wp:extent cx="5335905" cy="3720465"/>
            <wp:effectExtent l="0" t="0" r="17145" b="1333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335905" cy="3720465"/>
                    </a:xfrm>
                    <a:prstGeom prst="rect">
                      <a:avLst/>
                    </a:prstGeom>
                    <a:noFill/>
                    <a:ln>
                      <a:noFill/>
                    </a:ln>
                  </pic:spPr>
                </pic:pic>
              </a:graphicData>
            </a:graphic>
          </wp:anchor>
        </w:drawing>
      </w:r>
      <w:r>
        <w:rPr>
          <w:rFonts w:hint="eastAsia" w:hAnsi="宋体"/>
          <w:color w:val="auto"/>
          <w:szCs w:val="21"/>
          <w:highlight w:val="none"/>
          <w14:textOutline w14:w="5448" w14:cap="flat" w14:cmpd="sng" w14:algn="ctr">
            <w14:solidFill>
              <w14:srgbClr w14:val="000000"/>
            </w14:solidFill>
            <w14:prstDash w14:val="solid"/>
            <w14:miter w14:val="0"/>
          </w14:textOutline>
        </w:rPr>
        <w:t>图2-2  11个无居民海岛位置图（蓝色框内）</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(2)监测因子及频次</w:t>
      </w:r>
    </w:p>
    <w:p>
      <w:pPr>
        <w:spacing w:before="78"/>
        <w:ind w:left="20" w:right="7" w:firstLine="420"/>
        <w:rPr>
          <w:rFonts w:hAnsi="宋体"/>
          <w:color w:val="auto"/>
          <w:szCs w:val="21"/>
          <w:highlight w:val="none"/>
        </w:rPr>
      </w:pPr>
      <w:r>
        <w:rPr>
          <w:rFonts w:hint="eastAsia" w:hAnsi="宋体"/>
          <w:color w:val="auto"/>
          <w:szCs w:val="21"/>
          <w:highlight w:val="none"/>
        </w:rPr>
        <w:t>人为活动监视：定期巡查每年不少于2次。</w:t>
      </w:r>
    </w:p>
    <w:p>
      <w:pPr>
        <w:spacing w:before="78"/>
        <w:ind w:left="20" w:right="7" w:firstLine="420"/>
        <w:rPr>
          <w:rFonts w:hAnsi="宋体"/>
          <w:color w:val="auto"/>
          <w:szCs w:val="21"/>
          <w:highlight w:val="none"/>
        </w:rPr>
      </w:pPr>
      <w:r>
        <w:rPr>
          <w:rFonts w:hint="eastAsia" w:hAnsi="宋体"/>
          <w:color w:val="auto"/>
          <w:szCs w:val="21"/>
          <w:highlight w:val="none"/>
        </w:rPr>
        <w:t>岸线监测：每年监测调查不少于2次。</w:t>
      </w:r>
    </w:p>
    <w:p>
      <w:pPr>
        <w:spacing w:before="78"/>
        <w:ind w:left="20" w:right="7" w:firstLine="420"/>
        <w:rPr>
          <w:rFonts w:hAnsi="宋体"/>
          <w:color w:val="auto"/>
          <w:szCs w:val="21"/>
          <w:highlight w:val="none"/>
        </w:rPr>
      </w:pPr>
      <w:r>
        <w:rPr>
          <w:rFonts w:hint="eastAsia" w:hAnsi="宋体"/>
          <w:color w:val="auto"/>
          <w:szCs w:val="21"/>
          <w:highlight w:val="none"/>
        </w:rPr>
        <w:t>地形、植被、用岛监测：每年监测调查不少2次。</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3 重点风险源生态资源跟踪监测</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3.1 排污口海域及邻近海域生态资源跟踪监测</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(1)布设依据</w:t>
      </w:r>
    </w:p>
    <w:p>
      <w:pPr>
        <w:spacing w:before="78"/>
        <w:ind w:left="20" w:right="7" w:firstLine="420"/>
        <w:rPr>
          <w:rFonts w:hAnsi="宋体"/>
          <w:color w:val="auto"/>
          <w:szCs w:val="21"/>
          <w:highlight w:val="none"/>
        </w:rPr>
      </w:pPr>
      <w:r>
        <w:rPr>
          <w:rFonts w:hint="eastAsia" w:hAnsi="宋体"/>
          <w:color w:val="auto"/>
          <w:szCs w:val="21"/>
          <w:highlight w:val="none"/>
        </w:rPr>
        <w:t>《浙江石油化工有限公司4000万吨/年炼化一体化项目环境影响报告书》排污口位置及污水扩散影响预测范围，《陆源入海排污口及邻近海域环境监测与评价技术规程(试行)》(国家海洋局生态环境保护司，2015年10月)。</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(2)布设情况</w:t>
      </w:r>
    </w:p>
    <w:p>
      <w:pPr>
        <w:spacing w:before="78"/>
        <w:ind w:left="20" w:right="7" w:firstLine="420"/>
        <w:rPr>
          <w:rFonts w:hAnsi="宋体"/>
          <w:color w:val="auto"/>
          <w:szCs w:val="21"/>
          <w:highlight w:val="none"/>
        </w:rPr>
      </w:pPr>
      <w:r>
        <w:rPr>
          <w:rFonts w:hint="eastAsia" w:hAnsi="宋体"/>
          <w:color w:val="auto"/>
          <w:szCs w:val="21"/>
          <w:highlight w:val="none"/>
        </w:rPr>
        <w:t>排污口站位：布设1个监测站位。在近海域，以污水入海后的主流向为中线，以排污口污水扩散距离(2500m)为半径的扇形向海区域均匀布设监测站位，共布设三条监测断面，7个水质站位，5个沉积物站位，5个生物体质量站位，其中对照站位为7号站位，以满足重点风险源生态资源跟踪监测计划要求。跟踪监测站位见表</w:t>
      </w:r>
      <w:r>
        <w:rPr>
          <w:rFonts w:hAnsi="宋体"/>
          <w:color w:val="auto"/>
          <w:szCs w:val="21"/>
          <w:highlight w:val="none"/>
        </w:rPr>
        <w:t>3-1</w:t>
      </w:r>
      <w:r>
        <w:rPr>
          <w:rFonts w:hint="eastAsia" w:hAnsi="宋体"/>
          <w:color w:val="auto"/>
          <w:szCs w:val="21"/>
          <w:highlight w:val="none"/>
        </w:rPr>
        <w:t>。</w:t>
      </w:r>
    </w:p>
    <w:p>
      <w:pPr>
        <w:spacing w:line="221" w:lineRule="auto"/>
        <w:ind w:left="2925" w:firstLine="420"/>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表</w:t>
      </w:r>
      <w:r>
        <w:rPr>
          <w:rFonts w:ascii="Times New Roman" w:hAnsi="Times New Roman" w:eastAsia="Times New Roman" w:cs="Times New Roman"/>
          <w:b/>
          <w:bCs/>
          <w:color w:val="auto"/>
          <w:szCs w:val="21"/>
          <w:highlight w:val="none"/>
        </w:rPr>
        <w:t>3-1</w:t>
      </w:r>
      <w:r>
        <w:rPr>
          <w:rFonts w:ascii="Times New Roman" w:hAnsi="Times New Roman" w:eastAsia="Times New Roman" w:cs="Times New Roman"/>
          <w:color w:val="auto"/>
          <w:szCs w:val="21"/>
          <w:highlight w:val="none"/>
        </w:rPr>
        <w:t xml:space="preserve">  </w:t>
      </w:r>
      <w:r>
        <w:rPr>
          <w:rFonts w:hAnsi="宋体"/>
          <w:color w:val="auto"/>
          <w:szCs w:val="21"/>
          <w:highlight w:val="none"/>
          <w14:textOutline w14:w="3835" w14:cap="flat" w14:cmpd="sng" w14:algn="ctr">
            <w14:solidFill>
              <w14:srgbClr w14:val="000000"/>
            </w14:solidFill>
            <w14:prstDash w14:val="solid"/>
            <w14:miter w14:val="0"/>
          </w14:textOutline>
        </w:rPr>
        <w:t>跟踪监测站位一览表</w:t>
      </w:r>
    </w:p>
    <w:p>
      <w:pPr>
        <w:spacing w:line="88" w:lineRule="exact"/>
        <w:ind w:firstLine="420"/>
        <w:rPr>
          <w:color w:val="auto"/>
          <w:szCs w:val="21"/>
          <w:highlight w:val="none"/>
        </w:rPr>
      </w:pPr>
    </w:p>
    <w:tbl>
      <w:tblPr>
        <w:tblStyle w:val="114"/>
        <w:tblW w:w="89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0"/>
        <w:gridCol w:w="708"/>
        <w:gridCol w:w="1267"/>
        <w:gridCol w:w="1542"/>
        <w:gridCol w:w="1826"/>
        <w:gridCol w:w="27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20" w:type="dxa"/>
            <w:vAlign w:val="center"/>
          </w:tcPr>
          <w:p>
            <w:pPr>
              <w:spacing w:line="222" w:lineRule="auto"/>
              <w:ind w:firstLine="0" w:firstLineChars="0"/>
              <w:jc w:val="center"/>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序号</w:t>
            </w:r>
          </w:p>
        </w:tc>
        <w:tc>
          <w:tcPr>
            <w:tcW w:w="1975" w:type="dxa"/>
            <w:gridSpan w:val="2"/>
            <w:vAlign w:val="center"/>
          </w:tcPr>
          <w:p>
            <w:pPr>
              <w:spacing w:line="222" w:lineRule="auto"/>
              <w:ind w:firstLine="0" w:firstLineChars="0"/>
              <w:jc w:val="center"/>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站号</w:t>
            </w:r>
          </w:p>
        </w:tc>
        <w:tc>
          <w:tcPr>
            <w:tcW w:w="1542" w:type="dxa"/>
            <w:vAlign w:val="center"/>
          </w:tcPr>
          <w:p>
            <w:pPr>
              <w:spacing w:line="221" w:lineRule="auto"/>
              <w:ind w:firstLine="0" w:firstLineChars="0"/>
              <w:jc w:val="center"/>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纬度</w:t>
            </w:r>
          </w:p>
        </w:tc>
        <w:tc>
          <w:tcPr>
            <w:tcW w:w="1826" w:type="dxa"/>
            <w:vAlign w:val="center"/>
          </w:tcPr>
          <w:p>
            <w:pPr>
              <w:spacing w:line="221" w:lineRule="auto"/>
              <w:ind w:firstLine="0" w:firstLineChars="0"/>
              <w:jc w:val="center"/>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经度</w:t>
            </w:r>
          </w:p>
        </w:tc>
        <w:tc>
          <w:tcPr>
            <w:tcW w:w="2781" w:type="dxa"/>
            <w:vAlign w:val="center"/>
          </w:tcPr>
          <w:p>
            <w:pPr>
              <w:spacing w:line="221" w:lineRule="auto"/>
              <w:ind w:firstLine="0" w:firstLineChars="0"/>
              <w:jc w:val="center"/>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调查内容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820"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w:t>
            </w:r>
          </w:p>
        </w:tc>
        <w:tc>
          <w:tcPr>
            <w:tcW w:w="1975" w:type="dxa"/>
            <w:gridSpan w:val="2"/>
            <w:vAlign w:val="center"/>
          </w:tcPr>
          <w:p>
            <w:pPr>
              <w:spacing w:line="223" w:lineRule="auto"/>
              <w:ind w:firstLine="0" w:firstLineChars="0"/>
              <w:jc w:val="center"/>
              <w:rPr>
                <w:rFonts w:hAnsi="宋体"/>
                <w:color w:val="auto"/>
                <w:szCs w:val="21"/>
                <w:highlight w:val="none"/>
              </w:rPr>
            </w:pPr>
            <w:r>
              <w:rPr>
                <w:rFonts w:hAnsi="宋体"/>
                <w:color w:val="auto"/>
                <w:szCs w:val="21"/>
                <w:highlight w:val="none"/>
              </w:rPr>
              <w:t>排污口</w:t>
            </w:r>
          </w:p>
        </w:tc>
        <w:tc>
          <w:tcPr>
            <w:tcW w:w="1542"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121°58′16.998″</w:t>
            </w:r>
          </w:p>
        </w:tc>
        <w:tc>
          <w:tcPr>
            <w:tcW w:w="1826"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30°20′31.253″</w:t>
            </w:r>
          </w:p>
        </w:tc>
        <w:tc>
          <w:tcPr>
            <w:tcW w:w="2781" w:type="dxa"/>
            <w:vAlign w:val="center"/>
          </w:tcPr>
          <w:p>
            <w:pPr>
              <w:spacing w:line="248" w:lineRule="auto"/>
              <w:ind w:right="30" w:firstLine="0" w:firstLineChars="0"/>
              <w:jc w:val="center"/>
              <w:rPr>
                <w:rFonts w:hAnsi="宋体"/>
                <w:color w:val="auto"/>
                <w:szCs w:val="21"/>
                <w:highlight w:val="none"/>
              </w:rPr>
            </w:pPr>
            <w:r>
              <w:rPr>
                <w:rFonts w:hAnsi="宋体"/>
                <w:color w:val="auto"/>
                <w:szCs w:val="21"/>
                <w:highlight w:val="none"/>
              </w:rPr>
              <w:t>水质(生物毒性采样)、沉积物、生物体质量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20"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2</w:t>
            </w:r>
          </w:p>
        </w:tc>
        <w:tc>
          <w:tcPr>
            <w:tcW w:w="708" w:type="dxa"/>
            <w:vMerge w:val="restart"/>
            <w:tcBorders>
              <w:bottom w:val="nil"/>
            </w:tcBorders>
            <w:vAlign w:val="center"/>
          </w:tcPr>
          <w:p>
            <w:pPr>
              <w:spacing w:line="223" w:lineRule="auto"/>
              <w:ind w:firstLine="0" w:firstLineChars="0"/>
              <w:jc w:val="center"/>
              <w:rPr>
                <w:rFonts w:hAnsi="宋体"/>
                <w:color w:val="auto"/>
                <w:szCs w:val="21"/>
                <w:highlight w:val="none"/>
              </w:rPr>
            </w:pPr>
            <w:r>
              <w:rPr>
                <w:rFonts w:hAnsi="宋体"/>
                <w:color w:val="auto"/>
                <w:szCs w:val="21"/>
                <w:highlight w:val="none"/>
              </w:rPr>
              <w:t>排污</w:t>
            </w:r>
          </w:p>
          <w:p>
            <w:pPr>
              <w:spacing w:line="221" w:lineRule="auto"/>
              <w:ind w:firstLine="0" w:firstLineChars="0"/>
              <w:jc w:val="center"/>
              <w:rPr>
                <w:rFonts w:hAnsi="宋体"/>
                <w:color w:val="auto"/>
                <w:szCs w:val="21"/>
                <w:highlight w:val="none"/>
              </w:rPr>
            </w:pPr>
            <w:r>
              <w:rPr>
                <w:rFonts w:hAnsi="宋体"/>
                <w:color w:val="auto"/>
                <w:szCs w:val="21"/>
                <w:highlight w:val="none"/>
              </w:rPr>
              <w:t>口邻</w:t>
            </w:r>
          </w:p>
          <w:p>
            <w:pPr>
              <w:spacing w:line="222" w:lineRule="auto"/>
              <w:ind w:firstLine="0" w:firstLineChars="0"/>
              <w:jc w:val="center"/>
              <w:rPr>
                <w:rFonts w:hAnsi="宋体"/>
                <w:color w:val="auto"/>
                <w:szCs w:val="21"/>
                <w:highlight w:val="none"/>
              </w:rPr>
            </w:pPr>
            <w:r>
              <w:rPr>
                <w:rFonts w:hAnsi="宋体"/>
                <w:color w:val="auto"/>
                <w:szCs w:val="21"/>
                <w:highlight w:val="none"/>
              </w:rPr>
              <w:t>近海</w:t>
            </w:r>
          </w:p>
          <w:p>
            <w:pPr>
              <w:spacing w:line="221" w:lineRule="auto"/>
              <w:ind w:firstLine="0" w:firstLineChars="0"/>
              <w:jc w:val="center"/>
              <w:rPr>
                <w:rFonts w:hAnsi="宋体"/>
                <w:color w:val="auto"/>
                <w:szCs w:val="21"/>
                <w:highlight w:val="none"/>
              </w:rPr>
            </w:pPr>
            <w:r>
              <w:rPr>
                <w:rFonts w:hAnsi="宋体"/>
                <w:color w:val="auto"/>
                <w:szCs w:val="21"/>
                <w:highlight w:val="none"/>
              </w:rPr>
              <w:t>域</w:t>
            </w:r>
          </w:p>
        </w:tc>
        <w:tc>
          <w:tcPr>
            <w:tcW w:w="1267"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w:t>
            </w:r>
          </w:p>
        </w:tc>
        <w:tc>
          <w:tcPr>
            <w:tcW w:w="1542"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121°58′14.551″</w:t>
            </w:r>
          </w:p>
        </w:tc>
        <w:tc>
          <w:tcPr>
            <w:tcW w:w="1826"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30°20′39.378″</w:t>
            </w:r>
          </w:p>
        </w:tc>
        <w:tc>
          <w:tcPr>
            <w:tcW w:w="2781" w:type="dxa"/>
            <w:vAlign w:val="center"/>
          </w:tcPr>
          <w:p>
            <w:pPr>
              <w:spacing w:line="248" w:lineRule="auto"/>
              <w:ind w:right="30" w:firstLine="0" w:firstLineChars="0"/>
              <w:jc w:val="center"/>
              <w:rPr>
                <w:rFonts w:hAnsi="宋体"/>
                <w:color w:val="auto"/>
                <w:szCs w:val="21"/>
                <w:highlight w:val="none"/>
              </w:rPr>
            </w:pPr>
            <w:r>
              <w:rPr>
                <w:rFonts w:hAnsi="宋体"/>
                <w:color w:val="auto"/>
                <w:szCs w:val="21"/>
                <w:highlight w:val="none"/>
              </w:rPr>
              <w:t>水质(生物毒性采样)、沉积物、生物体质量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820"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w:t>
            </w:r>
          </w:p>
        </w:tc>
        <w:tc>
          <w:tcPr>
            <w:tcW w:w="708" w:type="dxa"/>
            <w:vMerge w:val="continue"/>
            <w:tcBorders>
              <w:top w:val="nil"/>
              <w:bottom w:val="nil"/>
            </w:tcBorders>
            <w:vAlign w:val="center"/>
          </w:tcPr>
          <w:p>
            <w:pPr>
              <w:ind w:firstLine="0" w:firstLineChars="0"/>
              <w:jc w:val="center"/>
              <w:rPr>
                <w:rFonts w:ascii="Arial"/>
                <w:color w:val="auto"/>
                <w:szCs w:val="21"/>
                <w:highlight w:val="none"/>
              </w:rPr>
            </w:pPr>
          </w:p>
        </w:tc>
        <w:tc>
          <w:tcPr>
            <w:tcW w:w="1267"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2</w:t>
            </w:r>
          </w:p>
        </w:tc>
        <w:tc>
          <w:tcPr>
            <w:tcW w:w="1542"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121°57′22.910″</w:t>
            </w:r>
          </w:p>
        </w:tc>
        <w:tc>
          <w:tcPr>
            <w:tcW w:w="1826"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30°20′44.222″</w:t>
            </w:r>
          </w:p>
        </w:tc>
        <w:tc>
          <w:tcPr>
            <w:tcW w:w="2781" w:type="dxa"/>
            <w:vAlign w:val="center"/>
          </w:tcPr>
          <w:p>
            <w:pPr>
              <w:spacing w:line="221" w:lineRule="auto"/>
              <w:ind w:firstLine="0" w:firstLineChars="0"/>
              <w:jc w:val="center"/>
              <w:rPr>
                <w:rFonts w:hAnsi="宋体"/>
                <w:color w:val="auto"/>
                <w:szCs w:val="21"/>
                <w:highlight w:val="none"/>
              </w:rPr>
            </w:pPr>
            <w:r>
              <w:rPr>
                <w:rFonts w:hAnsi="宋体"/>
                <w:color w:val="auto"/>
                <w:szCs w:val="21"/>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20"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4</w:t>
            </w:r>
          </w:p>
        </w:tc>
        <w:tc>
          <w:tcPr>
            <w:tcW w:w="708" w:type="dxa"/>
            <w:vMerge w:val="continue"/>
            <w:tcBorders>
              <w:top w:val="nil"/>
              <w:bottom w:val="nil"/>
            </w:tcBorders>
            <w:vAlign w:val="center"/>
          </w:tcPr>
          <w:p>
            <w:pPr>
              <w:ind w:firstLine="0" w:firstLineChars="0"/>
              <w:jc w:val="center"/>
              <w:rPr>
                <w:rFonts w:ascii="Arial"/>
                <w:color w:val="auto"/>
                <w:szCs w:val="21"/>
                <w:highlight w:val="none"/>
              </w:rPr>
            </w:pPr>
          </w:p>
        </w:tc>
        <w:tc>
          <w:tcPr>
            <w:tcW w:w="1267"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w:t>
            </w:r>
          </w:p>
        </w:tc>
        <w:tc>
          <w:tcPr>
            <w:tcW w:w="1542"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121°58′54. 160″</w:t>
            </w:r>
          </w:p>
        </w:tc>
        <w:tc>
          <w:tcPr>
            <w:tcW w:w="1826"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30°21′09.246″</w:t>
            </w:r>
          </w:p>
        </w:tc>
        <w:tc>
          <w:tcPr>
            <w:tcW w:w="2781" w:type="dxa"/>
            <w:vAlign w:val="center"/>
          </w:tcPr>
          <w:p>
            <w:pPr>
              <w:spacing w:line="248" w:lineRule="auto"/>
              <w:ind w:right="131" w:firstLine="0" w:firstLineChars="0"/>
              <w:jc w:val="center"/>
              <w:rPr>
                <w:rFonts w:hAnsi="宋体"/>
                <w:color w:val="auto"/>
                <w:szCs w:val="21"/>
                <w:highlight w:val="none"/>
              </w:rPr>
            </w:pPr>
            <w:r>
              <w:rPr>
                <w:rFonts w:hAnsi="宋体"/>
                <w:color w:val="auto"/>
                <w:szCs w:val="21"/>
                <w:highlight w:val="none"/>
              </w:rPr>
              <w:t>水质、沉积物、生物体质量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820" w:type="dxa"/>
            <w:vAlign w:val="center"/>
          </w:tcPr>
          <w:p>
            <w:pPr>
              <w:spacing w:line="184"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5</w:t>
            </w:r>
          </w:p>
        </w:tc>
        <w:tc>
          <w:tcPr>
            <w:tcW w:w="708" w:type="dxa"/>
            <w:vMerge w:val="continue"/>
            <w:tcBorders>
              <w:top w:val="nil"/>
              <w:bottom w:val="nil"/>
            </w:tcBorders>
            <w:vAlign w:val="center"/>
          </w:tcPr>
          <w:p>
            <w:pPr>
              <w:ind w:firstLine="0" w:firstLineChars="0"/>
              <w:jc w:val="center"/>
              <w:rPr>
                <w:rFonts w:ascii="Arial"/>
                <w:color w:val="auto"/>
                <w:szCs w:val="21"/>
                <w:highlight w:val="none"/>
              </w:rPr>
            </w:pPr>
          </w:p>
        </w:tc>
        <w:tc>
          <w:tcPr>
            <w:tcW w:w="1267"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4</w:t>
            </w:r>
          </w:p>
        </w:tc>
        <w:tc>
          <w:tcPr>
            <w:tcW w:w="1542"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121°57′53. 112″</w:t>
            </w:r>
          </w:p>
        </w:tc>
        <w:tc>
          <w:tcPr>
            <w:tcW w:w="1826"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30°21′50.756″</w:t>
            </w:r>
          </w:p>
        </w:tc>
        <w:tc>
          <w:tcPr>
            <w:tcW w:w="2781" w:type="dxa"/>
            <w:vAlign w:val="center"/>
          </w:tcPr>
          <w:p>
            <w:pPr>
              <w:spacing w:line="221" w:lineRule="auto"/>
              <w:ind w:firstLine="0" w:firstLineChars="0"/>
              <w:jc w:val="center"/>
              <w:rPr>
                <w:rFonts w:hAnsi="宋体"/>
                <w:color w:val="auto"/>
                <w:szCs w:val="21"/>
                <w:highlight w:val="none"/>
              </w:rPr>
            </w:pPr>
            <w:r>
              <w:rPr>
                <w:rFonts w:hAnsi="宋体"/>
                <w:color w:val="auto"/>
                <w:szCs w:val="21"/>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820"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6</w:t>
            </w:r>
          </w:p>
        </w:tc>
        <w:tc>
          <w:tcPr>
            <w:tcW w:w="708" w:type="dxa"/>
            <w:vMerge w:val="continue"/>
            <w:tcBorders>
              <w:top w:val="nil"/>
              <w:bottom w:val="nil"/>
            </w:tcBorders>
            <w:vAlign w:val="center"/>
          </w:tcPr>
          <w:p>
            <w:pPr>
              <w:ind w:firstLine="0" w:firstLineChars="0"/>
              <w:jc w:val="center"/>
              <w:rPr>
                <w:rFonts w:ascii="Arial"/>
                <w:color w:val="auto"/>
                <w:szCs w:val="21"/>
                <w:highlight w:val="none"/>
              </w:rPr>
            </w:pPr>
          </w:p>
        </w:tc>
        <w:tc>
          <w:tcPr>
            <w:tcW w:w="1267" w:type="dxa"/>
            <w:vAlign w:val="center"/>
          </w:tcPr>
          <w:p>
            <w:pPr>
              <w:spacing w:line="184"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5</w:t>
            </w:r>
          </w:p>
        </w:tc>
        <w:tc>
          <w:tcPr>
            <w:tcW w:w="1542"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121°58′02.331″</w:t>
            </w:r>
          </w:p>
        </w:tc>
        <w:tc>
          <w:tcPr>
            <w:tcW w:w="1826"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30°21′19.418″</w:t>
            </w:r>
          </w:p>
        </w:tc>
        <w:tc>
          <w:tcPr>
            <w:tcW w:w="2781" w:type="dxa"/>
            <w:vAlign w:val="center"/>
          </w:tcPr>
          <w:p>
            <w:pPr>
              <w:spacing w:line="248" w:lineRule="auto"/>
              <w:ind w:right="131" w:firstLine="0" w:firstLineChars="0"/>
              <w:jc w:val="center"/>
              <w:rPr>
                <w:rFonts w:hAnsi="宋体"/>
                <w:color w:val="auto"/>
                <w:szCs w:val="21"/>
                <w:highlight w:val="none"/>
              </w:rPr>
            </w:pPr>
            <w:r>
              <w:rPr>
                <w:rFonts w:hAnsi="宋体"/>
                <w:color w:val="auto"/>
                <w:szCs w:val="21"/>
                <w:highlight w:val="none"/>
              </w:rPr>
              <w:t>水质、沉积物、生物体质量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820" w:type="dxa"/>
            <w:vAlign w:val="center"/>
          </w:tcPr>
          <w:p>
            <w:pPr>
              <w:spacing w:line="184"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7</w:t>
            </w:r>
          </w:p>
        </w:tc>
        <w:tc>
          <w:tcPr>
            <w:tcW w:w="708" w:type="dxa"/>
            <w:vMerge w:val="continue"/>
            <w:tcBorders>
              <w:top w:val="nil"/>
              <w:bottom w:val="nil"/>
            </w:tcBorders>
            <w:vAlign w:val="center"/>
          </w:tcPr>
          <w:p>
            <w:pPr>
              <w:ind w:firstLine="0" w:firstLineChars="0"/>
              <w:jc w:val="center"/>
              <w:rPr>
                <w:rFonts w:ascii="Arial"/>
                <w:color w:val="auto"/>
                <w:szCs w:val="21"/>
                <w:highlight w:val="none"/>
              </w:rPr>
            </w:pPr>
          </w:p>
        </w:tc>
        <w:tc>
          <w:tcPr>
            <w:tcW w:w="1267"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6</w:t>
            </w:r>
          </w:p>
        </w:tc>
        <w:tc>
          <w:tcPr>
            <w:tcW w:w="1542"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121°56′45.921″</w:t>
            </w:r>
          </w:p>
        </w:tc>
        <w:tc>
          <w:tcPr>
            <w:tcW w:w="1826"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30°20′52.701″</w:t>
            </w:r>
          </w:p>
        </w:tc>
        <w:tc>
          <w:tcPr>
            <w:tcW w:w="2781" w:type="dxa"/>
            <w:vAlign w:val="center"/>
          </w:tcPr>
          <w:p>
            <w:pPr>
              <w:spacing w:line="248" w:lineRule="auto"/>
              <w:ind w:right="131" w:firstLine="0" w:firstLineChars="0"/>
              <w:jc w:val="center"/>
              <w:rPr>
                <w:rFonts w:hAnsi="宋体"/>
                <w:color w:val="auto"/>
                <w:szCs w:val="21"/>
                <w:highlight w:val="none"/>
              </w:rPr>
            </w:pPr>
            <w:r>
              <w:rPr>
                <w:rFonts w:hAnsi="宋体"/>
                <w:color w:val="auto"/>
                <w:szCs w:val="21"/>
                <w:highlight w:val="none"/>
              </w:rPr>
              <w:t>水质、沉积物、生物体质量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820"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8</w:t>
            </w:r>
          </w:p>
        </w:tc>
        <w:tc>
          <w:tcPr>
            <w:tcW w:w="708" w:type="dxa"/>
            <w:vMerge w:val="continue"/>
            <w:tcBorders>
              <w:top w:val="nil"/>
            </w:tcBorders>
            <w:vAlign w:val="center"/>
          </w:tcPr>
          <w:p>
            <w:pPr>
              <w:ind w:firstLine="0" w:firstLineChars="0"/>
              <w:jc w:val="center"/>
              <w:rPr>
                <w:rFonts w:ascii="Arial"/>
                <w:color w:val="auto"/>
                <w:szCs w:val="21"/>
                <w:highlight w:val="none"/>
              </w:rPr>
            </w:pPr>
          </w:p>
        </w:tc>
        <w:tc>
          <w:tcPr>
            <w:tcW w:w="1267" w:type="dxa"/>
            <w:vAlign w:val="center"/>
          </w:tcPr>
          <w:p>
            <w:pPr>
              <w:spacing w:line="221" w:lineRule="auto"/>
              <w:ind w:firstLine="0" w:firstLineChars="0"/>
              <w:jc w:val="center"/>
              <w:rPr>
                <w:rFonts w:hAnsi="宋体"/>
                <w:color w:val="auto"/>
                <w:szCs w:val="21"/>
                <w:highlight w:val="none"/>
              </w:rPr>
            </w:pPr>
            <w:r>
              <w:rPr>
                <w:rFonts w:ascii="Times New Roman" w:hAnsi="Times New Roman" w:eastAsia="Times New Roman" w:cs="Times New Roman"/>
                <w:color w:val="auto"/>
                <w:szCs w:val="21"/>
                <w:highlight w:val="none"/>
              </w:rPr>
              <w:t>7</w:t>
            </w:r>
            <w:r>
              <w:rPr>
                <w:rFonts w:hAnsi="宋体"/>
                <w:color w:val="auto"/>
                <w:szCs w:val="21"/>
                <w:highlight w:val="none"/>
              </w:rPr>
              <w:t>(对照点)</w:t>
            </w:r>
          </w:p>
        </w:tc>
        <w:tc>
          <w:tcPr>
            <w:tcW w:w="1542"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121°57′13.587″</w:t>
            </w:r>
          </w:p>
        </w:tc>
        <w:tc>
          <w:tcPr>
            <w:tcW w:w="1826"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30°24′27.853″</w:t>
            </w:r>
          </w:p>
        </w:tc>
        <w:tc>
          <w:tcPr>
            <w:tcW w:w="2781" w:type="dxa"/>
            <w:vAlign w:val="center"/>
          </w:tcPr>
          <w:p>
            <w:pPr>
              <w:spacing w:line="248" w:lineRule="auto"/>
              <w:ind w:right="131" w:firstLine="0" w:firstLineChars="0"/>
              <w:jc w:val="center"/>
              <w:rPr>
                <w:rFonts w:hAnsi="宋体"/>
                <w:color w:val="auto"/>
                <w:szCs w:val="21"/>
                <w:highlight w:val="none"/>
              </w:rPr>
            </w:pPr>
            <w:r>
              <w:rPr>
                <w:rFonts w:hAnsi="宋体"/>
                <w:color w:val="auto"/>
                <w:szCs w:val="21"/>
                <w:highlight w:val="none"/>
              </w:rPr>
              <w:t>水质、沉积物、生物体质量</w:t>
            </w:r>
          </w:p>
        </w:tc>
      </w:tr>
    </w:tbl>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 xml:space="preserve"> (3)监测内容</w:t>
      </w:r>
    </w:p>
    <w:p>
      <w:pPr>
        <w:spacing w:before="60"/>
        <w:ind w:firstLine="422"/>
        <w:rPr>
          <w:rFonts w:hAnsi="宋体"/>
          <w:b/>
          <w:bCs/>
          <w:color w:val="auto"/>
          <w:szCs w:val="21"/>
          <w:highlight w:val="none"/>
        </w:rPr>
      </w:pPr>
      <w:r>
        <w:rPr>
          <w:rFonts w:hint="eastAsia" w:hAnsi="宋体"/>
          <w:b/>
          <w:bCs/>
          <w:color w:val="auto"/>
          <w:szCs w:val="21"/>
          <w:highlight w:val="none"/>
        </w:rPr>
        <w:t>水质监测：</w:t>
      </w:r>
    </w:p>
    <w:p>
      <w:pPr>
        <w:spacing w:before="60"/>
        <w:ind w:firstLine="420"/>
        <w:rPr>
          <w:rFonts w:hAnsi="宋体"/>
          <w:color w:val="auto"/>
          <w:szCs w:val="21"/>
          <w:highlight w:val="none"/>
        </w:rPr>
      </w:pPr>
      <w:r>
        <w:rPr>
          <w:rFonts w:hint="eastAsia" w:hAnsi="宋体"/>
          <w:color w:val="auto"/>
          <w:szCs w:val="21"/>
          <w:highlight w:val="none"/>
        </w:rPr>
        <w:t>1)监测项目：</w:t>
      </w:r>
      <w:r>
        <w:rPr>
          <w:rFonts w:hint="eastAsia" w:hAnsi="宋体"/>
          <w:b/>
          <w:bCs/>
          <w:color w:val="auto"/>
          <w:szCs w:val="21"/>
          <w:highlight w:val="none"/>
        </w:rPr>
        <w:t>常规监测因子：</w:t>
      </w:r>
      <w:r>
        <w:rPr>
          <w:rFonts w:hAnsi="宋体"/>
          <w:color w:val="auto"/>
          <w:spacing w:val="-8"/>
          <w:sz w:val="22"/>
          <w:highlight w:val="none"/>
        </w:rPr>
        <w:t>透明度、水色、</w:t>
      </w:r>
      <w:r>
        <w:rPr>
          <w:rFonts w:ascii="Times New Roman" w:hAnsi="Times New Roman" w:eastAsia="Times New Roman" w:cs="Times New Roman"/>
          <w:color w:val="auto"/>
          <w:spacing w:val="-8"/>
          <w:sz w:val="22"/>
          <w:highlight w:val="none"/>
        </w:rPr>
        <w:t>p</w:t>
      </w:r>
      <w:r>
        <w:rPr>
          <w:rFonts w:ascii="Times New Roman" w:hAnsi="Times New Roman" w:eastAsia="Times New Roman" w:cs="Times New Roman"/>
          <w:color w:val="auto"/>
          <w:spacing w:val="-5"/>
          <w:sz w:val="22"/>
          <w:highlight w:val="none"/>
        </w:rPr>
        <w:t>H</w:t>
      </w:r>
      <w:r>
        <w:rPr>
          <w:rFonts w:hAnsi="宋体"/>
          <w:color w:val="auto"/>
          <w:spacing w:val="-8"/>
          <w:sz w:val="22"/>
          <w:highlight w:val="none"/>
        </w:rPr>
        <w:t>、水温、盐度、</w:t>
      </w:r>
      <w:r>
        <w:rPr>
          <w:rFonts w:ascii="Times New Roman" w:hAnsi="Times New Roman" w:eastAsia="Times New Roman" w:cs="Times New Roman"/>
          <w:color w:val="auto"/>
          <w:sz w:val="22"/>
          <w:highlight w:val="none"/>
        </w:rPr>
        <w:t>SS</w:t>
      </w:r>
      <w:r>
        <w:rPr>
          <w:rFonts w:hAnsi="宋体"/>
          <w:color w:val="auto"/>
          <w:spacing w:val="2"/>
          <w:sz w:val="22"/>
          <w:highlight w:val="none"/>
        </w:rPr>
        <w:t>、</w:t>
      </w:r>
      <w:r>
        <w:rPr>
          <w:rFonts w:ascii="Times New Roman" w:hAnsi="Times New Roman" w:eastAsia="Times New Roman" w:cs="Times New Roman"/>
          <w:color w:val="auto"/>
          <w:sz w:val="22"/>
          <w:highlight w:val="none"/>
        </w:rPr>
        <w:t>DO</w:t>
      </w:r>
      <w:r>
        <w:rPr>
          <w:rFonts w:hAnsi="宋体"/>
          <w:color w:val="auto"/>
          <w:spacing w:val="2"/>
          <w:sz w:val="22"/>
          <w:highlight w:val="none"/>
        </w:rPr>
        <w:t>、无机</w:t>
      </w:r>
      <w:r>
        <w:rPr>
          <w:rFonts w:hAnsi="宋体"/>
          <w:color w:val="auto"/>
          <w:spacing w:val="1"/>
          <w:sz w:val="22"/>
          <w:highlight w:val="none"/>
        </w:rPr>
        <w:t>氮(硝酸盐、亚硝酸盐、氨氮)、活</w:t>
      </w:r>
      <w:r>
        <w:rPr>
          <w:rFonts w:hAnsi="宋体"/>
          <w:color w:val="auto"/>
          <w:spacing w:val="-5"/>
          <w:sz w:val="22"/>
          <w:highlight w:val="none"/>
        </w:rPr>
        <w:t>性磷酸盐、总氮、总磷、</w:t>
      </w:r>
      <w:r>
        <w:rPr>
          <w:rFonts w:ascii="Times New Roman" w:hAnsi="Times New Roman" w:eastAsia="Times New Roman" w:cs="Times New Roman"/>
          <w:color w:val="auto"/>
          <w:spacing w:val="-5"/>
          <w:sz w:val="22"/>
          <w:highlight w:val="none"/>
        </w:rPr>
        <w:t>TOC</w:t>
      </w:r>
      <w:r>
        <w:rPr>
          <w:rFonts w:hAnsi="宋体"/>
          <w:color w:val="auto"/>
          <w:spacing w:val="-5"/>
          <w:sz w:val="22"/>
          <w:highlight w:val="none"/>
        </w:rPr>
        <w:t>、</w:t>
      </w:r>
      <w:r>
        <w:rPr>
          <w:rFonts w:ascii="Times New Roman" w:hAnsi="Times New Roman" w:eastAsia="Times New Roman" w:cs="Times New Roman"/>
          <w:color w:val="auto"/>
          <w:spacing w:val="-5"/>
          <w:sz w:val="22"/>
          <w:highlight w:val="none"/>
        </w:rPr>
        <w:t>CO</w:t>
      </w:r>
      <w:r>
        <w:rPr>
          <w:rFonts w:ascii="Times New Roman" w:hAnsi="Times New Roman" w:eastAsia="Times New Roman" w:cs="Times New Roman"/>
          <w:color w:val="auto"/>
          <w:spacing w:val="-3"/>
          <w:sz w:val="22"/>
          <w:highlight w:val="none"/>
        </w:rPr>
        <w:t>D</w:t>
      </w:r>
      <w:r>
        <w:rPr>
          <w:rFonts w:hAnsi="宋体"/>
          <w:color w:val="auto"/>
          <w:spacing w:val="-5"/>
          <w:sz w:val="22"/>
          <w:highlight w:val="none"/>
        </w:rPr>
        <w:t>、</w:t>
      </w:r>
      <w:r>
        <w:rPr>
          <w:rFonts w:hint="eastAsia" w:hAnsi="宋体"/>
          <w:color w:val="auto"/>
          <w:szCs w:val="21"/>
          <w:highlight w:val="none"/>
        </w:rPr>
        <w:t>石油类、重金属(铜、铅、锌、铬、镉、汞)、砷、</w:t>
      </w:r>
      <w:r>
        <w:rPr>
          <w:rFonts w:hAnsi="宋体"/>
          <w:color w:val="auto"/>
          <w:sz w:val="22"/>
          <w:highlight w:val="none"/>
        </w:rPr>
        <w:t>硫化物</w:t>
      </w:r>
      <w:r>
        <w:rPr>
          <w:rFonts w:hint="eastAsia" w:hAnsi="宋体"/>
          <w:color w:val="auto"/>
          <w:szCs w:val="21"/>
          <w:highlight w:val="none"/>
        </w:rPr>
        <w:t>，</w:t>
      </w:r>
      <w:r>
        <w:rPr>
          <w:rFonts w:hint="eastAsia" w:hAnsi="宋体"/>
          <w:b/>
          <w:bCs/>
          <w:color w:val="auto"/>
          <w:szCs w:val="21"/>
          <w:highlight w:val="none"/>
        </w:rPr>
        <w:t>特征指标</w:t>
      </w:r>
      <w:r>
        <w:rPr>
          <w:rFonts w:hint="eastAsia" w:hAnsi="宋体"/>
          <w:color w:val="auto"/>
          <w:szCs w:val="21"/>
          <w:highlight w:val="none"/>
        </w:rPr>
        <w:t>：挥发酚、氰化物、</w:t>
      </w:r>
      <w:r>
        <w:rPr>
          <w:rFonts w:hAnsi="宋体"/>
          <w:color w:val="auto"/>
          <w:sz w:val="22"/>
          <w:highlight w:val="none"/>
        </w:rPr>
        <w:t>氟化物、</w:t>
      </w:r>
      <w:r>
        <w:rPr>
          <w:rFonts w:hint="eastAsia" w:hAnsi="宋体"/>
          <w:color w:val="auto"/>
          <w:szCs w:val="21"/>
          <w:highlight w:val="none"/>
        </w:rPr>
        <w:t>多环芳烃、苯、甲苯、二甲苯、丙烯腈、镍、钒。另外排污口和混合区1号站位，进行生物毒性采样。</w:t>
      </w:r>
    </w:p>
    <w:p>
      <w:pPr>
        <w:spacing w:before="60"/>
        <w:ind w:firstLine="420"/>
        <w:rPr>
          <w:rFonts w:hAnsi="宋体"/>
          <w:color w:val="auto"/>
          <w:szCs w:val="21"/>
          <w:highlight w:val="none"/>
        </w:rPr>
      </w:pPr>
      <w:r>
        <w:rPr>
          <w:rFonts w:hint="eastAsia" w:hAnsi="宋体"/>
          <w:color w:val="auto"/>
          <w:szCs w:val="21"/>
          <w:highlight w:val="none"/>
        </w:rPr>
        <w:t>2)采样要求：按照《海洋监测规范》(17378.3-2007)中的有关技术要求执行。</w:t>
      </w:r>
    </w:p>
    <w:p>
      <w:pPr>
        <w:spacing w:before="60"/>
        <w:ind w:firstLine="422"/>
        <w:rPr>
          <w:rFonts w:hAnsi="宋体"/>
          <w:b/>
          <w:bCs/>
          <w:color w:val="auto"/>
          <w:szCs w:val="21"/>
          <w:highlight w:val="none"/>
        </w:rPr>
      </w:pPr>
      <w:r>
        <w:rPr>
          <w:rFonts w:hint="eastAsia" w:hAnsi="宋体"/>
          <w:b/>
          <w:bCs/>
          <w:color w:val="auto"/>
          <w:szCs w:val="21"/>
          <w:highlight w:val="none"/>
        </w:rPr>
        <w:t>沉积物：</w:t>
      </w:r>
    </w:p>
    <w:p>
      <w:pPr>
        <w:spacing w:before="60"/>
        <w:ind w:firstLine="420"/>
        <w:rPr>
          <w:rFonts w:hAnsi="宋体"/>
          <w:color w:val="auto"/>
          <w:szCs w:val="21"/>
          <w:highlight w:val="none"/>
        </w:rPr>
      </w:pPr>
      <w:r>
        <w:rPr>
          <w:rFonts w:hint="eastAsia" w:hAnsi="宋体"/>
          <w:color w:val="auto"/>
          <w:szCs w:val="21"/>
          <w:highlight w:val="none"/>
        </w:rPr>
        <w:t>1)监测项目：</w:t>
      </w:r>
      <w:r>
        <w:rPr>
          <w:rFonts w:hint="eastAsia" w:hAnsi="宋体"/>
          <w:b/>
          <w:bCs/>
          <w:color w:val="auto"/>
          <w:szCs w:val="21"/>
          <w:highlight w:val="none"/>
        </w:rPr>
        <w:t>常规监测因子：</w:t>
      </w:r>
      <w:r>
        <w:rPr>
          <w:rFonts w:hint="eastAsia" w:hAnsi="宋体"/>
          <w:color w:val="auto"/>
          <w:szCs w:val="21"/>
          <w:highlight w:val="none"/>
        </w:rPr>
        <w:t>总汞、铜、铅、锌、铬、镉、砷、有机碳、硫化物、石油类、粒度，</w:t>
      </w:r>
      <w:r>
        <w:rPr>
          <w:rFonts w:hint="eastAsia" w:hAnsi="宋体"/>
          <w:b/>
          <w:bCs/>
          <w:color w:val="auto"/>
          <w:szCs w:val="21"/>
          <w:highlight w:val="none"/>
        </w:rPr>
        <w:t>特征指标：</w:t>
      </w:r>
      <w:r>
        <w:rPr>
          <w:rFonts w:hint="eastAsia" w:hAnsi="宋体"/>
          <w:color w:val="auto"/>
          <w:szCs w:val="21"/>
          <w:highlight w:val="none"/>
        </w:rPr>
        <w:t>挥发酚、氰化物、多环芳烃、苯、甲苯、二甲苯、丙烯腈、镍、钒等。</w:t>
      </w:r>
    </w:p>
    <w:p>
      <w:pPr>
        <w:spacing w:before="60"/>
        <w:ind w:firstLine="422"/>
        <w:rPr>
          <w:rFonts w:hAnsi="宋体"/>
          <w:b/>
          <w:bCs/>
          <w:color w:val="auto"/>
          <w:szCs w:val="21"/>
          <w:highlight w:val="none"/>
        </w:rPr>
      </w:pPr>
      <w:r>
        <w:rPr>
          <w:rFonts w:hint="eastAsia" w:hAnsi="宋体"/>
          <w:b/>
          <w:bCs/>
          <w:color w:val="auto"/>
          <w:szCs w:val="21"/>
          <w:highlight w:val="none"/>
        </w:rPr>
        <w:t>生物体质量：</w:t>
      </w:r>
    </w:p>
    <w:p>
      <w:pPr>
        <w:spacing w:before="60"/>
        <w:ind w:firstLine="420"/>
        <w:rPr>
          <w:rFonts w:hAnsi="宋体"/>
          <w:color w:val="auto"/>
          <w:szCs w:val="21"/>
          <w:highlight w:val="none"/>
        </w:rPr>
      </w:pPr>
      <w:r>
        <w:rPr>
          <w:rFonts w:hint="eastAsia" w:hAnsi="宋体"/>
          <w:color w:val="auto"/>
          <w:szCs w:val="21"/>
          <w:highlight w:val="none"/>
        </w:rPr>
        <w:t>1)监测项目：</w:t>
      </w:r>
      <w:r>
        <w:rPr>
          <w:rFonts w:hint="eastAsia" w:hAnsi="宋体"/>
          <w:b/>
          <w:bCs/>
          <w:color w:val="auto"/>
          <w:szCs w:val="21"/>
          <w:highlight w:val="none"/>
        </w:rPr>
        <w:t>常规监测因子：</w:t>
      </w:r>
      <w:r>
        <w:rPr>
          <w:rFonts w:hint="eastAsia" w:hAnsi="宋体"/>
          <w:color w:val="auto"/>
          <w:szCs w:val="21"/>
          <w:highlight w:val="none"/>
        </w:rPr>
        <w:t>总汞、铜、铅、锌、铬、镉、砷、石油烃、粪大肠菌群，</w:t>
      </w:r>
      <w:r>
        <w:rPr>
          <w:rFonts w:hint="eastAsia" w:hAnsi="宋体"/>
          <w:b/>
          <w:bCs/>
          <w:color w:val="auto"/>
          <w:szCs w:val="21"/>
          <w:highlight w:val="none"/>
        </w:rPr>
        <w:t>特征指标：</w:t>
      </w:r>
      <w:r>
        <w:rPr>
          <w:rFonts w:hint="eastAsia" w:hAnsi="宋体"/>
          <w:color w:val="auto"/>
          <w:szCs w:val="21"/>
          <w:highlight w:val="none"/>
        </w:rPr>
        <w:t>挥发酚、氰化物、多环芳烃、苯、甲苯、二甲苯、丙烯腈、镍、钒等。</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(4)监测频次</w:t>
      </w:r>
    </w:p>
    <w:p>
      <w:pPr>
        <w:spacing w:before="60"/>
        <w:ind w:firstLine="420"/>
        <w:rPr>
          <w:rFonts w:hAnsi="宋体"/>
          <w:color w:val="auto"/>
          <w:szCs w:val="21"/>
          <w:highlight w:val="none"/>
        </w:rPr>
      </w:pPr>
      <w:r>
        <w:rPr>
          <w:rFonts w:hint="eastAsia" w:hAnsi="宋体"/>
          <w:color w:val="auto"/>
          <w:szCs w:val="21"/>
          <w:highlight w:val="none"/>
        </w:rPr>
        <w:t>排污口水质、沉积物和生物体质量季度监测一年4次(3月、5月、8月、10月)监测常规指标和，1月、2月、4月、6月、7月、9月、11月和12月只开展常规指标监测，毒性指标每月开展监测。在污染物排放高峰期、洪水多发季节进行加密监测。</w:t>
      </w:r>
    </w:p>
    <w:p>
      <w:pPr>
        <w:spacing w:before="60"/>
        <w:ind w:firstLine="420"/>
        <w:rPr>
          <w:rFonts w:hAnsi="宋体"/>
          <w:color w:val="auto"/>
          <w:szCs w:val="21"/>
          <w:highlight w:val="none"/>
        </w:rPr>
      </w:pPr>
      <w:r>
        <w:rPr>
          <w:rFonts w:hint="eastAsia" w:hAnsi="宋体"/>
          <w:color w:val="auto"/>
          <w:szCs w:val="21"/>
          <w:highlight w:val="none"/>
        </w:rPr>
        <w:t>排污口邻近海域监测一年2次，在5、8月份与排污口监测同步进行；沉积物和生物质量监测全年监测1次，排污口与邻近海域同步采集水样。</w:t>
      </w:r>
    </w:p>
    <w:p>
      <w:pPr>
        <w:spacing w:before="60"/>
        <w:ind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3.2 温排水跟踪监测</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(1)站位布设</w:t>
      </w:r>
    </w:p>
    <w:p>
      <w:pPr>
        <w:spacing w:before="60"/>
        <w:ind w:firstLine="420"/>
        <w:rPr>
          <w:rFonts w:hAnsi="宋体"/>
          <w:color w:val="auto"/>
          <w:szCs w:val="21"/>
          <w:highlight w:val="none"/>
        </w:rPr>
      </w:pPr>
      <w:r>
        <w:rPr>
          <w:rFonts w:hint="eastAsia" w:hAnsi="宋体"/>
          <w:color w:val="auto"/>
          <w:szCs w:val="21"/>
          <w:highlight w:val="none"/>
        </w:rPr>
        <w:t>1)水质生态站布设：在温排水口及温升和余氯影响预测区域内进行网格化布点，布设10个监测站位，南区和北区各设置1个对照监测站位(设在10公里外)，跟踪监测站位见表</w:t>
      </w:r>
      <w:r>
        <w:rPr>
          <w:rFonts w:hAnsi="宋体"/>
          <w:color w:val="auto"/>
          <w:szCs w:val="21"/>
          <w:highlight w:val="none"/>
        </w:rPr>
        <w:t>3-</w:t>
      </w:r>
      <w:r>
        <w:rPr>
          <w:rFonts w:hint="eastAsia" w:hAnsi="宋体"/>
          <w:color w:val="auto"/>
          <w:szCs w:val="21"/>
          <w:highlight w:val="none"/>
        </w:rPr>
        <w:t>2。</w:t>
      </w:r>
    </w:p>
    <w:p>
      <w:pPr>
        <w:spacing w:before="60"/>
        <w:ind w:firstLine="420"/>
        <w:rPr>
          <w:rFonts w:hAnsi="宋体"/>
          <w:color w:val="auto"/>
          <w:szCs w:val="21"/>
          <w:highlight w:val="none"/>
        </w:rPr>
      </w:pPr>
      <w:r>
        <w:rPr>
          <w:rFonts w:hint="eastAsia" w:hAnsi="宋体"/>
          <w:color w:val="auto"/>
          <w:szCs w:val="21"/>
          <w:highlight w:val="none"/>
        </w:rPr>
        <w:t>水温测站：北区和南区温排水口前沿分别设置3条水温走航断面，南北区分别布设1个对照点（同</w:t>
      </w:r>
      <w:r>
        <w:rPr>
          <w:rFonts w:hAnsi="宋体"/>
          <w:color w:val="auto"/>
          <w:szCs w:val="21"/>
          <w:highlight w:val="none"/>
        </w:rPr>
        <w:t>W6</w:t>
      </w:r>
      <w:r>
        <w:rPr>
          <w:rFonts w:hint="eastAsia" w:hAnsi="宋体"/>
          <w:color w:val="auto"/>
          <w:szCs w:val="21"/>
          <w:highlight w:val="none"/>
        </w:rPr>
        <w:t>和</w:t>
      </w:r>
      <w:r>
        <w:rPr>
          <w:rFonts w:hAnsi="宋体"/>
          <w:color w:val="auto"/>
          <w:szCs w:val="21"/>
          <w:highlight w:val="none"/>
        </w:rPr>
        <w:t>W12</w:t>
      </w:r>
      <w:r>
        <w:rPr>
          <w:rFonts w:hint="eastAsia" w:hAnsi="宋体"/>
          <w:color w:val="auto"/>
          <w:szCs w:val="21"/>
          <w:highlight w:val="none"/>
        </w:rPr>
        <w:t>见表</w:t>
      </w:r>
      <w:r>
        <w:rPr>
          <w:rFonts w:hAnsi="宋体"/>
          <w:color w:val="auto"/>
          <w:szCs w:val="21"/>
          <w:highlight w:val="none"/>
        </w:rPr>
        <w:t>3-</w:t>
      </w:r>
      <w:r>
        <w:rPr>
          <w:rFonts w:hint="eastAsia" w:hAnsi="宋体"/>
          <w:color w:val="auto"/>
          <w:szCs w:val="21"/>
          <w:highlight w:val="none"/>
        </w:rPr>
        <w:t>3）。</w:t>
      </w:r>
    </w:p>
    <w:p>
      <w:pPr>
        <w:spacing w:before="60"/>
        <w:ind w:firstLine="420"/>
        <w:rPr>
          <w:rFonts w:hAnsi="宋体"/>
          <w:color w:val="auto"/>
          <w:szCs w:val="21"/>
          <w:highlight w:val="none"/>
        </w:rPr>
      </w:pPr>
      <w:r>
        <w:rPr>
          <w:rFonts w:hint="eastAsia" w:hAnsi="宋体"/>
          <w:color w:val="auto"/>
          <w:szCs w:val="21"/>
          <w:highlight w:val="none"/>
        </w:rPr>
        <w:t>余氯测站：在每条水温断面上布设3个站位，共18个站位具体见表</w:t>
      </w:r>
      <w:r>
        <w:rPr>
          <w:rFonts w:hAnsi="宋体"/>
          <w:color w:val="auto"/>
          <w:szCs w:val="21"/>
          <w:highlight w:val="none"/>
        </w:rPr>
        <w:t>3-</w:t>
      </w:r>
      <w:r>
        <w:rPr>
          <w:rFonts w:hint="eastAsia" w:hAnsi="宋体"/>
          <w:color w:val="auto"/>
          <w:szCs w:val="21"/>
          <w:highlight w:val="none"/>
        </w:rPr>
        <w:t>4。</w:t>
      </w:r>
    </w:p>
    <w:p>
      <w:pPr>
        <w:spacing w:before="279" w:line="221" w:lineRule="auto"/>
        <w:ind w:left="2395" w:firstLine="420"/>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表</w:t>
      </w:r>
      <w:r>
        <w:rPr>
          <w:rFonts w:ascii="Times New Roman" w:hAnsi="Times New Roman" w:eastAsia="Times New Roman" w:cs="Times New Roman"/>
          <w:b/>
          <w:bCs/>
          <w:color w:val="auto"/>
          <w:szCs w:val="21"/>
          <w:highlight w:val="none"/>
        </w:rPr>
        <w:t>3-</w:t>
      </w:r>
      <w:r>
        <w:rPr>
          <w:rFonts w:hint="eastAsia" w:ascii="Times New Roman" w:hAnsi="Times New Roman" w:cs="Times New Roman"/>
          <w:b/>
          <w:bCs/>
          <w:color w:val="auto"/>
          <w:szCs w:val="21"/>
          <w:highlight w:val="none"/>
        </w:rPr>
        <w:t>2</w:t>
      </w:r>
      <w:r>
        <w:rPr>
          <w:rFonts w:ascii="Times New Roman" w:hAnsi="Times New Roman" w:eastAsia="Times New Roman" w:cs="Times New Roman"/>
          <w:color w:val="auto"/>
          <w:szCs w:val="21"/>
          <w:highlight w:val="none"/>
        </w:rPr>
        <w:t xml:space="preserve">  </w:t>
      </w:r>
      <w:r>
        <w:rPr>
          <w:rFonts w:hAnsi="宋体"/>
          <w:color w:val="auto"/>
          <w:szCs w:val="21"/>
          <w:highlight w:val="none"/>
          <w14:textOutline w14:w="3835" w14:cap="flat" w14:cmpd="sng" w14:algn="ctr">
            <w14:solidFill>
              <w14:srgbClr w14:val="000000"/>
            </w14:solidFill>
            <w14:prstDash w14:val="solid"/>
            <w14:miter w14:val="0"/>
          </w14:textOutline>
        </w:rPr>
        <w:t>水质、生态跟踪监测站位一览表</w:t>
      </w:r>
    </w:p>
    <w:p>
      <w:pPr>
        <w:spacing w:line="88" w:lineRule="exact"/>
        <w:ind w:firstLine="420"/>
        <w:rPr>
          <w:color w:val="auto"/>
          <w:szCs w:val="21"/>
          <w:highlight w:val="none"/>
        </w:rPr>
      </w:pPr>
    </w:p>
    <w:tbl>
      <w:tblPr>
        <w:tblStyle w:val="114"/>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7"/>
        <w:gridCol w:w="1473"/>
        <w:gridCol w:w="1782"/>
        <w:gridCol w:w="2183"/>
        <w:gridCol w:w="21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1" w:hRule="atLeast"/>
        </w:trPr>
        <w:tc>
          <w:tcPr>
            <w:tcW w:w="907" w:type="dxa"/>
            <w:vAlign w:val="center"/>
          </w:tcPr>
          <w:p>
            <w:pPr>
              <w:spacing w:line="222" w:lineRule="auto"/>
              <w:ind w:firstLine="0" w:firstLineChars="0"/>
              <w:jc w:val="center"/>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序号</w:t>
            </w:r>
          </w:p>
        </w:tc>
        <w:tc>
          <w:tcPr>
            <w:tcW w:w="1473" w:type="dxa"/>
            <w:vAlign w:val="center"/>
          </w:tcPr>
          <w:p>
            <w:pPr>
              <w:spacing w:line="222" w:lineRule="auto"/>
              <w:ind w:firstLine="0" w:firstLineChars="0"/>
              <w:jc w:val="center"/>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站号</w:t>
            </w:r>
          </w:p>
        </w:tc>
        <w:tc>
          <w:tcPr>
            <w:tcW w:w="1782" w:type="dxa"/>
            <w:vAlign w:val="center"/>
          </w:tcPr>
          <w:p>
            <w:pPr>
              <w:spacing w:line="221" w:lineRule="auto"/>
              <w:ind w:firstLine="0" w:firstLineChars="0"/>
              <w:jc w:val="center"/>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纬度</w:t>
            </w:r>
          </w:p>
        </w:tc>
        <w:tc>
          <w:tcPr>
            <w:tcW w:w="2183" w:type="dxa"/>
            <w:vAlign w:val="center"/>
          </w:tcPr>
          <w:p>
            <w:pPr>
              <w:spacing w:line="221" w:lineRule="auto"/>
              <w:ind w:firstLine="0" w:firstLineChars="0"/>
              <w:jc w:val="center"/>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经度</w:t>
            </w:r>
          </w:p>
        </w:tc>
        <w:tc>
          <w:tcPr>
            <w:tcW w:w="2188" w:type="dxa"/>
            <w:vAlign w:val="center"/>
          </w:tcPr>
          <w:p>
            <w:pPr>
              <w:spacing w:line="221" w:lineRule="auto"/>
              <w:ind w:firstLine="0" w:firstLineChars="0"/>
              <w:jc w:val="center"/>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调查内容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07"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w:t>
            </w:r>
          </w:p>
        </w:tc>
        <w:tc>
          <w:tcPr>
            <w:tcW w:w="1473"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W1</w:t>
            </w:r>
          </w:p>
        </w:tc>
        <w:tc>
          <w:tcPr>
            <w:tcW w:w="1782"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121°56′18.649″</w:t>
            </w:r>
          </w:p>
        </w:tc>
        <w:tc>
          <w:tcPr>
            <w:tcW w:w="2183"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30°20′14.340″</w:t>
            </w:r>
          </w:p>
        </w:tc>
        <w:tc>
          <w:tcPr>
            <w:tcW w:w="2188" w:type="dxa"/>
            <w:vAlign w:val="center"/>
          </w:tcPr>
          <w:p>
            <w:pPr>
              <w:spacing w:line="220" w:lineRule="auto"/>
              <w:ind w:firstLine="0" w:firstLineChars="0"/>
              <w:jc w:val="center"/>
              <w:rPr>
                <w:rFonts w:hAnsi="宋体"/>
                <w:color w:val="auto"/>
                <w:szCs w:val="21"/>
                <w:highlight w:val="none"/>
              </w:rPr>
            </w:pPr>
            <w:r>
              <w:rPr>
                <w:rFonts w:hAnsi="宋体"/>
                <w:color w:val="auto"/>
                <w:szCs w:val="21"/>
                <w:highlight w:val="none"/>
              </w:rPr>
              <w:t>水质、浮游生物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6" w:hRule="atLeast"/>
        </w:trPr>
        <w:tc>
          <w:tcPr>
            <w:tcW w:w="907"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2</w:t>
            </w:r>
          </w:p>
        </w:tc>
        <w:tc>
          <w:tcPr>
            <w:tcW w:w="1473"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W2</w:t>
            </w:r>
          </w:p>
        </w:tc>
        <w:tc>
          <w:tcPr>
            <w:tcW w:w="1782"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121°55′44.869″</w:t>
            </w:r>
          </w:p>
        </w:tc>
        <w:tc>
          <w:tcPr>
            <w:tcW w:w="2183"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30°21′31.579″</w:t>
            </w:r>
          </w:p>
        </w:tc>
        <w:tc>
          <w:tcPr>
            <w:tcW w:w="2188" w:type="dxa"/>
            <w:vAlign w:val="center"/>
          </w:tcPr>
          <w:p>
            <w:pPr>
              <w:spacing w:line="220" w:lineRule="auto"/>
              <w:ind w:firstLine="0" w:firstLineChars="0"/>
              <w:jc w:val="center"/>
              <w:rPr>
                <w:rFonts w:hAnsi="宋体"/>
                <w:color w:val="auto"/>
                <w:szCs w:val="21"/>
                <w:highlight w:val="none"/>
              </w:rPr>
            </w:pPr>
            <w:r>
              <w:rPr>
                <w:rFonts w:hAnsi="宋体"/>
                <w:color w:val="auto"/>
                <w:szCs w:val="21"/>
                <w:highlight w:val="none"/>
              </w:rPr>
              <w:t>水质、浮游生物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07"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w:t>
            </w:r>
          </w:p>
        </w:tc>
        <w:tc>
          <w:tcPr>
            <w:tcW w:w="1473"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W3</w:t>
            </w:r>
          </w:p>
        </w:tc>
        <w:tc>
          <w:tcPr>
            <w:tcW w:w="1782"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121°55′05.109″</w:t>
            </w:r>
          </w:p>
        </w:tc>
        <w:tc>
          <w:tcPr>
            <w:tcW w:w="2183"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30°20′16.075″</w:t>
            </w:r>
          </w:p>
        </w:tc>
        <w:tc>
          <w:tcPr>
            <w:tcW w:w="2188" w:type="dxa"/>
            <w:vAlign w:val="center"/>
          </w:tcPr>
          <w:p>
            <w:pPr>
              <w:spacing w:line="220" w:lineRule="auto"/>
              <w:ind w:firstLine="0" w:firstLineChars="0"/>
              <w:jc w:val="center"/>
              <w:rPr>
                <w:rFonts w:hAnsi="宋体"/>
                <w:color w:val="auto"/>
                <w:szCs w:val="21"/>
                <w:highlight w:val="none"/>
              </w:rPr>
            </w:pPr>
            <w:r>
              <w:rPr>
                <w:rFonts w:hAnsi="宋体"/>
                <w:color w:val="auto"/>
                <w:szCs w:val="21"/>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07"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4</w:t>
            </w:r>
          </w:p>
        </w:tc>
        <w:tc>
          <w:tcPr>
            <w:tcW w:w="1473"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W4</w:t>
            </w:r>
          </w:p>
        </w:tc>
        <w:tc>
          <w:tcPr>
            <w:tcW w:w="1782"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121°58′02.630″</w:t>
            </w:r>
          </w:p>
        </w:tc>
        <w:tc>
          <w:tcPr>
            <w:tcW w:w="2183"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30°21′07. 130″</w:t>
            </w:r>
          </w:p>
        </w:tc>
        <w:tc>
          <w:tcPr>
            <w:tcW w:w="2188" w:type="dxa"/>
            <w:vAlign w:val="center"/>
          </w:tcPr>
          <w:p>
            <w:pPr>
              <w:spacing w:line="220" w:lineRule="auto"/>
              <w:ind w:firstLine="0" w:firstLineChars="0"/>
              <w:jc w:val="center"/>
              <w:rPr>
                <w:rFonts w:hAnsi="宋体"/>
                <w:color w:val="auto"/>
                <w:szCs w:val="21"/>
                <w:highlight w:val="none"/>
              </w:rPr>
            </w:pPr>
            <w:r>
              <w:rPr>
                <w:rFonts w:hAnsi="宋体"/>
                <w:color w:val="auto"/>
                <w:szCs w:val="21"/>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9" w:hRule="atLeast"/>
        </w:trPr>
        <w:tc>
          <w:tcPr>
            <w:tcW w:w="907" w:type="dxa"/>
            <w:vAlign w:val="center"/>
          </w:tcPr>
          <w:p>
            <w:pPr>
              <w:spacing w:line="184"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5</w:t>
            </w:r>
          </w:p>
        </w:tc>
        <w:tc>
          <w:tcPr>
            <w:tcW w:w="1473" w:type="dxa"/>
            <w:vAlign w:val="center"/>
          </w:tcPr>
          <w:p>
            <w:pPr>
              <w:spacing w:line="184"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W5</w:t>
            </w:r>
          </w:p>
        </w:tc>
        <w:tc>
          <w:tcPr>
            <w:tcW w:w="1782"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121°56′39.950″</w:t>
            </w:r>
          </w:p>
        </w:tc>
        <w:tc>
          <w:tcPr>
            <w:tcW w:w="2183"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30°20′56.226″</w:t>
            </w:r>
          </w:p>
        </w:tc>
        <w:tc>
          <w:tcPr>
            <w:tcW w:w="2188" w:type="dxa"/>
            <w:vAlign w:val="center"/>
          </w:tcPr>
          <w:p>
            <w:pPr>
              <w:spacing w:line="220" w:lineRule="auto"/>
              <w:ind w:firstLine="0" w:firstLineChars="0"/>
              <w:jc w:val="center"/>
              <w:rPr>
                <w:rFonts w:hAnsi="宋体"/>
                <w:color w:val="auto"/>
                <w:szCs w:val="21"/>
                <w:highlight w:val="none"/>
              </w:rPr>
            </w:pPr>
            <w:r>
              <w:rPr>
                <w:rFonts w:hAnsi="宋体"/>
                <w:color w:val="auto"/>
                <w:szCs w:val="21"/>
                <w:highlight w:val="none"/>
              </w:rPr>
              <w:t>水质、浮游生物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6" w:hRule="atLeast"/>
        </w:trPr>
        <w:tc>
          <w:tcPr>
            <w:tcW w:w="907"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6</w:t>
            </w:r>
          </w:p>
        </w:tc>
        <w:tc>
          <w:tcPr>
            <w:tcW w:w="1473" w:type="dxa"/>
            <w:vAlign w:val="center"/>
          </w:tcPr>
          <w:p>
            <w:pPr>
              <w:spacing w:line="214"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W6(</w:t>
            </w:r>
            <w:r>
              <w:rPr>
                <w:rFonts w:hAnsi="宋体"/>
                <w:color w:val="auto"/>
                <w:szCs w:val="21"/>
                <w:highlight w:val="none"/>
              </w:rPr>
              <w:t>参照点</w:t>
            </w:r>
            <w:r>
              <w:rPr>
                <w:rFonts w:ascii="Times New Roman" w:hAnsi="Times New Roman" w:eastAsia="Times New Roman" w:cs="Times New Roman"/>
                <w:color w:val="auto"/>
                <w:szCs w:val="21"/>
                <w:highlight w:val="none"/>
              </w:rPr>
              <w:t>)</w:t>
            </w:r>
          </w:p>
        </w:tc>
        <w:tc>
          <w:tcPr>
            <w:tcW w:w="1782"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122°01′50.657″</w:t>
            </w:r>
          </w:p>
        </w:tc>
        <w:tc>
          <w:tcPr>
            <w:tcW w:w="2183"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30°24′52. 167″</w:t>
            </w:r>
          </w:p>
        </w:tc>
        <w:tc>
          <w:tcPr>
            <w:tcW w:w="2188" w:type="dxa"/>
            <w:vAlign w:val="center"/>
          </w:tcPr>
          <w:p>
            <w:pPr>
              <w:spacing w:line="220" w:lineRule="auto"/>
              <w:ind w:firstLine="0" w:firstLineChars="0"/>
              <w:jc w:val="center"/>
              <w:rPr>
                <w:rFonts w:hAnsi="宋体"/>
                <w:color w:val="auto"/>
                <w:szCs w:val="21"/>
                <w:highlight w:val="none"/>
              </w:rPr>
            </w:pPr>
            <w:r>
              <w:rPr>
                <w:rFonts w:hAnsi="宋体"/>
                <w:color w:val="auto"/>
                <w:szCs w:val="21"/>
                <w:highlight w:val="none"/>
              </w:rPr>
              <w:t>水质、浮游生物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07" w:type="dxa"/>
            <w:vAlign w:val="center"/>
          </w:tcPr>
          <w:p>
            <w:pPr>
              <w:spacing w:line="184"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7</w:t>
            </w:r>
          </w:p>
        </w:tc>
        <w:tc>
          <w:tcPr>
            <w:tcW w:w="1473" w:type="dxa"/>
            <w:vAlign w:val="center"/>
          </w:tcPr>
          <w:p>
            <w:pPr>
              <w:spacing w:line="184"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W7</w:t>
            </w:r>
          </w:p>
        </w:tc>
        <w:tc>
          <w:tcPr>
            <w:tcW w:w="1782"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121°57′04.437″</w:t>
            </w:r>
          </w:p>
        </w:tc>
        <w:tc>
          <w:tcPr>
            <w:tcW w:w="2183"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30°17′19.537″</w:t>
            </w:r>
          </w:p>
        </w:tc>
        <w:tc>
          <w:tcPr>
            <w:tcW w:w="2188" w:type="dxa"/>
            <w:vAlign w:val="center"/>
          </w:tcPr>
          <w:p>
            <w:pPr>
              <w:spacing w:line="220" w:lineRule="auto"/>
              <w:ind w:firstLine="0" w:firstLineChars="0"/>
              <w:jc w:val="center"/>
              <w:rPr>
                <w:rFonts w:hAnsi="宋体"/>
                <w:color w:val="auto"/>
                <w:szCs w:val="21"/>
                <w:highlight w:val="none"/>
              </w:rPr>
            </w:pPr>
            <w:r>
              <w:rPr>
                <w:rFonts w:hAnsi="宋体"/>
                <w:color w:val="auto"/>
                <w:szCs w:val="21"/>
                <w:highlight w:val="none"/>
              </w:rPr>
              <w:t>水质、浮游生物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07"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8</w:t>
            </w:r>
          </w:p>
        </w:tc>
        <w:tc>
          <w:tcPr>
            <w:tcW w:w="1473"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W8</w:t>
            </w:r>
          </w:p>
        </w:tc>
        <w:tc>
          <w:tcPr>
            <w:tcW w:w="1782"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121°56′08.435″</w:t>
            </w:r>
          </w:p>
        </w:tc>
        <w:tc>
          <w:tcPr>
            <w:tcW w:w="2183"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30°17′49. 125″</w:t>
            </w:r>
          </w:p>
        </w:tc>
        <w:tc>
          <w:tcPr>
            <w:tcW w:w="2188" w:type="dxa"/>
            <w:vAlign w:val="center"/>
          </w:tcPr>
          <w:p>
            <w:pPr>
              <w:spacing w:line="220" w:lineRule="auto"/>
              <w:ind w:firstLine="0" w:firstLineChars="0"/>
              <w:jc w:val="center"/>
              <w:rPr>
                <w:rFonts w:hAnsi="宋体"/>
                <w:color w:val="auto"/>
                <w:szCs w:val="21"/>
                <w:highlight w:val="none"/>
              </w:rPr>
            </w:pPr>
            <w:r>
              <w:rPr>
                <w:rFonts w:hAnsi="宋体"/>
                <w:color w:val="auto"/>
                <w:szCs w:val="21"/>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07"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9</w:t>
            </w:r>
          </w:p>
        </w:tc>
        <w:tc>
          <w:tcPr>
            <w:tcW w:w="1473"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W9</w:t>
            </w:r>
          </w:p>
        </w:tc>
        <w:tc>
          <w:tcPr>
            <w:tcW w:w="1782"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121°57′50. 145″</w:t>
            </w:r>
          </w:p>
        </w:tc>
        <w:tc>
          <w:tcPr>
            <w:tcW w:w="2183"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30°17′34.043″</w:t>
            </w:r>
          </w:p>
        </w:tc>
        <w:tc>
          <w:tcPr>
            <w:tcW w:w="2188" w:type="dxa"/>
            <w:vAlign w:val="center"/>
          </w:tcPr>
          <w:p>
            <w:pPr>
              <w:spacing w:line="220" w:lineRule="auto"/>
              <w:ind w:firstLine="0" w:firstLineChars="0"/>
              <w:jc w:val="center"/>
              <w:rPr>
                <w:rFonts w:hAnsi="宋体"/>
                <w:color w:val="auto"/>
                <w:szCs w:val="21"/>
                <w:highlight w:val="none"/>
              </w:rPr>
            </w:pPr>
            <w:r>
              <w:rPr>
                <w:rFonts w:hAnsi="宋体"/>
                <w:color w:val="auto"/>
                <w:szCs w:val="21"/>
                <w:highlight w:val="none"/>
              </w:rPr>
              <w:t>水质、浮游生物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6" w:hRule="atLeast"/>
        </w:trPr>
        <w:tc>
          <w:tcPr>
            <w:tcW w:w="907"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10</w:t>
            </w:r>
          </w:p>
        </w:tc>
        <w:tc>
          <w:tcPr>
            <w:tcW w:w="1473"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W10</w:t>
            </w:r>
          </w:p>
        </w:tc>
        <w:tc>
          <w:tcPr>
            <w:tcW w:w="1782"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121°56′57.804″</w:t>
            </w:r>
          </w:p>
        </w:tc>
        <w:tc>
          <w:tcPr>
            <w:tcW w:w="2183"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30°17′00.428″</w:t>
            </w:r>
          </w:p>
        </w:tc>
        <w:tc>
          <w:tcPr>
            <w:tcW w:w="2188" w:type="dxa"/>
            <w:vAlign w:val="center"/>
          </w:tcPr>
          <w:p>
            <w:pPr>
              <w:spacing w:line="220" w:lineRule="auto"/>
              <w:ind w:firstLine="0" w:firstLineChars="0"/>
              <w:jc w:val="center"/>
              <w:rPr>
                <w:rFonts w:hAnsi="宋体"/>
                <w:color w:val="auto"/>
                <w:szCs w:val="21"/>
                <w:highlight w:val="none"/>
              </w:rPr>
            </w:pPr>
            <w:r>
              <w:rPr>
                <w:rFonts w:hAnsi="宋体"/>
                <w:color w:val="auto"/>
                <w:szCs w:val="21"/>
                <w:highlight w:val="none"/>
              </w:rPr>
              <w:t>水质、浮游生物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07"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11</w:t>
            </w:r>
          </w:p>
        </w:tc>
        <w:tc>
          <w:tcPr>
            <w:tcW w:w="1473"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W11</w:t>
            </w:r>
          </w:p>
        </w:tc>
        <w:tc>
          <w:tcPr>
            <w:tcW w:w="1782"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121°58′05.841″</w:t>
            </w:r>
          </w:p>
        </w:tc>
        <w:tc>
          <w:tcPr>
            <w:tcW w:w="2183"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30°17′03.678″</w:t>
            </w:r>
          </w:p>
        </w:tc>
        <w:tc>
          <w:tcPr>
            <w:tcW w:w="2188" w:type="dxa"/>
            <w:vAlign w:val="center"/>
          </w:tcPr>
          <w:p>
            <w:pPr>
              <w:spacing w:line="220" w:lineRule="auto"/>
              <w:ind w:firstLine="0" w:firstLineChars="0"/>
              <w:jc w:val="center"/>
              <w:rPr>
                <w:rFonts w:hAnsi="宋体"/>
                <w:color w:val="auto"/>
                <w:szCs w:val="21"/>
                <w:highlight w:val="none"/>
              </w:rPr>
            </w:pPr>
            <w:r>
              <w:rPr>
                <w:rFonts w:hAnsi="宋体"/>
                <w:color w:val="auto"/>
                <w:szCs w:val="21"/>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07"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w:t>
            </w:r>
          </w:p>
        </w:tc>
        <w:tc>
          <w:tcPr>
            <w:tcW w:w="1473" w:type="dxa"/>
            <w:vAlign w:val="center"/>
          </w:tcPr>
          <w:p>
            <w:pPr>
              <w:spacing w:line="214"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W12(</w:t>
            </w:r>
            <w:r>
              <w:rPr>
                <w:rFonts w:hAnsi="宋体"/>
                <w:color w:val="auto"/>
                <w:szCs w:val="21"/>
                <w:highlight w:val="none"/>
              </w:rPr>
              <w:t>参照点</w:t>
            </w:r>
            <w:r>
              <w:rPr>
                <w:rFonts w:ascii="Times New Roman" w:hAnsi="Times New Roman" w:eastAsia="Times New Roman" w:cs="Times New Roman"/>
                <w:color w:val="auto"/>
                <w:szCs w:val="21"/>
                <w:highlight w:val="none"/>
              </w:rPr>
              <w:t>)</w:t>
            </w:r>
          </w:p>
        </w:tc>
        <w:tc>
          <w:tcPr>
            <w:tcW w:w="1782"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121°50′33.680″</w:t>
            </w:r>
          </w:p>
        </w:tc>
        <w:tc>
          <w:tcPr>
            <w:tcW w:w="2183"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30°15′09.537″</w:t>
            </w:r>
          </w:p>
        </w:tc>
        <w:tc>
          <w:tcPr>
            <w:tcW w:w="2188" w:type="dxa"/>
            <w:vAlign w:val="center"/>
          </w:tcPr>
          <w:p>
            <w:pPr>
              <w:spacing w:line="220" w:lineRule="auto"/>
              <w:ind w:firstLine="0" w:firstLineChars="0"/>
              <w:jc w:val="center"/>
              <w:rPr>
                <w:rFonts w:hAnsi="宋体"/>
                <w:color w:val="auto"/>
                <w:szCs w:val="21"/>
                <w:highlight w:val="none"/>
              </w:rPr>
            </w:pPr>
            <w:r>
              <w:rPr>
                <w:rFonts w:hAnsi="宋体"/>
                <w:color w:val="auto"/>
                <w:szCs w:val="21"/>
                <w:highlight w:val="none"/>
              </w:rPr>
              <w:t>水质、浮游生物</w:t>
            </w:r>
          </w:p>
        </w:tc>
      </w:tr>
    </w:tbl>
    <w:p>
      <w:pPr>
        <w:spacing w:line="419" w:lineRule="auto"/>
        <w:ind w:firstLine="420"/>
        <w:rPr>
          <w:rFonts w:ascii="Arial"/>
          <w:color w:val="auto"/>
          <w:szCs w:val="21"/>
          <w:highlight w:val="none"/>
        </w:rPr>
      </w:pPr>
    </w:p>
    <w:p>
      <w:pPr>
        <w:spacing w:before="68" w:line="221" w:lineRule="auto"/>
        <w:ind w:left="2712" w:firstLine="420"/>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表</w:t>
      </w:r>
      <w:r>
        <w:rPr>
          <w:rFonts w:ascii="Times New Roman" w:hAnsi="Times New Roman" w:eastAsia="Times New Roman" w:cs="Times New Roman"/>
          <w:b/>
          <w:bCs/>
          <w:color w:val="auto"/>
          <w:szCs w:val="21"/>
          <w:highlight w:val="none"/>
        </w:rPr>
        <w:t>3-</w:t>
      </w:r>
      <w:r>
        <w:rPr>
          <w:rFonts w:hint="eastAsia" w:ascii="Times New Roman" w:hAnsi="Times New Roman" w:cs="Times New Roman"/>
          <w:b/>
          <w:bCs/>
          <w:color w:val="auto"/>
          <w:szCs w:val="21"/>
          <w:highlight w:val="none"/>
        </w:rPr>
        <w:t>3</w:t>
      </w:r>
      <w:r>
        <w:rPr>
          <w:rFonts w:ascii="Times New Roman" w:hAnsi="Times New Roman" w:eastAsia="Times New Roman" w:cs="Times New Roman"/>
          <w:color w:val="auto"/>
          <w:szCs w:val="21"/>
          <w:highlight w:val="none"/>
        </w:rPr>
        <w:t xml:space="preserve">  </w:t>
      </w:r>
      <w:r>
        <w:rPr>
          <w:rFonts w:hAnsi="宋体"/>
          <w:color w:val="auto"/>
          <w:szCs w:val="21"/>
          <w:highlight w:val="none"/>
          <w14:textOutline w14:w="3835" w14:cap="flat" w14:cmpd="sng" w14:algn="ctr">
            <w14:solidFill>
              <w14:srgbClr w14:val="000000"/>
            </w14:solidFill>
            <w14:prstDash w14:val="solid"/>
            <w14:miter w14:val="0"/>
          </w14:textOutline>
        </w:rPr>
        <w:t>水温观测断面(站位)表</w:t>
      </w:r>
    </w:p>
    <w:p>
      <w:pPr>
        <w:spacing w:line="89" w:lineRule="exact"/>
        <w:ind w:firstLine="420"/>
        <w:rPr>
          <w:color w:val="auto"/>
          <w:szCs w:val="21"/>
          <w:highlight w:val="none"/>
        </w:rPr>
      </w:pPr>
    </w:p>
    <w:tbl>
      <w:tblPr>
        <w:tblStyle w:val="114"/>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6"/>
        <w:gridCol w:w="2025"/>
        <w:gridCol w:w="2025"/>
        <w:gridCol w:w="24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026" w:type="dxa"/>
            <w:vAlign w:val="center"/>
          </w:tcPr>
          <w:p>
            <w:pPr>
              <w:spacing w:line="222" w:lineRule="auto"/>
              <w:ind w:firstLine="0" w:firstLineChars="0"/>
              <w:jc w:val="center"/>
              <w:rPr>
                <w:rFonts w:hAnsi="宋体"/>
                <w:color w:val="auto"/>
                <w:szCs w:val="21"/>
                <w:highlight w:val="none"/>
              </w:rPr>
            </w:pPr>
            <w:r>
              <w:rPr>
                <w:rFonts w:hAnsi="宋体"/>
                <w:color w:val="auto"/>
                <w:szCs w:val="21"/>
                <w:highlight w:val="none"/>
              </w:rPr>
              <w:t>序号</w:t>
            </w:r>
          </w:p>
        </w:tc>
        <w:tc>
          <w:tcPr>
            <w:tcW w:w="2025" w:type="dxa"/>
            <w:vAlign w:val="center"/>
          </w:tcPr>
          <w:p>
            <w:pPr>
              <w:spacing w:line="222" w:lineRule="auto"/>
              <w:ind w:firstLine="0" w:firstLineChars="0"/>
              <w:jc w:val="center"/>
              <w:rPr>
                <w:rFonts w:hAnsi="宋体"/>
                <w:color w:val="auto"/>
                <w:szCs w:val="21"/>
                <w:highlight w:val="none"/>
              </w:rPr>
            </w:pPr>
            <w:r>
              <w:rPr>
                <w:rFonts w:hAnsi="宋体"/>
                <w:color w:val="auto"/>
                <w:szCs w:val="21"/>
                <w:highlight w:val="none"/>
              </w:rPr>
              <w:t>站  位</w:t>
            </w:r>
          </w:p>
        </w:tc>
        <w:tc>
          <w:tcPr>
            <w:tcW w:w="2025" w:type="dxa"/>
            <w:vAlign w:val="center"/>
          </w:tcPr>
          <w:p>
            <w:pPr>
              <w:spacing w:line="221" w:lineRule="auto"/>
              <w:ind w:firstLine="0" w:firstLineChars="0"/>
              <w:jc w:val="center"/>
              <w:rPr>
                <w:rFonts w:hAnsi="宋体"/>
                <w:color w:val="auto"/>
                <w:szCs w:val="21"/>
                <w:highlight w:val="none"/>
              </w:rPr>
            </w:pPr>
            <w:r>
              <w:rPr>
                <w:rFonts w:hAnsi="宋体"/>
                <w:color w:val="auto"/>
                <w:szCs w:val="21"/>
                <w:highlight w:val="none"/>
              </w:rPr>
              <w:t>经度</w:t>
            </w:r>
          </w:p>
        </w:tc>
        <w:tc>
          <w:tcPr>
            <w:tcW w:w="2457" w:type="dxa"/>
            <w:vAlign w:val="center"/>
          </w:tcPr>
          <w:p>
            <w:pPr>
              <w:spacing w:line="221" w:lineRule="auto"/>
              <w:ind w:firstLine="0" w:firstLineChars="0"/>
              <w:jc w:val="center"/>
              <w:rPr>
                <w:rFonts w:hAnsi="宋体"/>
                <w:color w:val="auto"/>
                <w:szCs w:val="21"/>
                <w:highlight w:val="none"/>
              </w:rPr>
            </w:pPr>
            <w:r>
              <w:rPr>
                <w:rFonts w:hAnsi="宋体"/>
                <w:color w:val="auto"/>
                <w:szCs w:val="21"/>
                <w:highlight w:val="none"/>
              </w:rPr>
              <w:t>纬度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2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w:t>
            </w:r>
          </w:p>
        </w:tc>
        <w:tc>
          <w:tcPr>
            <w:tcW w:w="2025" w:type="dxa"/>
            <w:vAlign w:val="center"/>
          </w:tcPr>
          <w:p>
            <w:pPr>
              <w:spacing w:line="224"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北区左</w:t>
            </w:r>
            <w:r>
              <w:rPr>
                <w:rFonts w:ascii="Times New Roman" w:hAnsi="Times New Roman" w:eastAsia="Times New Roman" w:cs="Times New Roman"/>
                <w:color w:val="auto"/>
                <w:szCs w:val="21"/>
                <w:highlight w:val="none"/>
              </w:rPr>
              <w:t>1</w:t>
            </w:r>
          </w:p>
        </w:tc>
        <w:tc>
          <w:tcPr>
            <w:tcW w:w="2025"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121°56′20.220″</w:t>
            </w:r>
          </w:p>
        </w:tc>
        <w:tc>
          <w:tcPr>
            <w:tcW w:w="2457"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30°20′11.058″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2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2</w:t>
            </w:r>
          </w:p>
        </w:tc>
        <w:tc>
          <w:tcPr>
            <w:tcW w:w="2025" w:type="dxa"/>
            <w:vAlign w:val="center"/>
          </w:tcPr>
          <w:p>
            <w:pPr>
              <w:spacing w:line="224"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北区左</w:t>
            </w:r>
            <w:r>
              <w:rPr>
                <w:rFonts w:ascii="Times New Roman" w:hAnsi="Times New Roman" w:eastAsia="Times New Roman" w:cs="Times New Roman"/>
                <w:color w:val="auto"/>
                <w:szCs w:val="21"/>
                <w:highlight w:val="none"/>
              </w:rPr>
              <w:t>2</w:t>
            </w:r>
          </w:p>
        </w:tc>
        <w:tc>
          <w:tcPr>
            <w:tcW w:w="2025"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121°54′46.250″</w:t>
            </w:r>
          </w:p>
        </w:tc>
        <w:tc>
          <w:tcPr>
            <w:tcW w:w="2457"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30°19′13. 171″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2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w:t>
            </w:r>
          </w:p>
        </w:tc>
        <w:tc>
          <w:tcPr>
            <w:tcW w:w="2025" w:type="dxa"/>
            <w:vAlign w:val="center"/>
          </w:tcPr>
          <w:p>
            <w:pPr>
              <w:spacing w:line="224"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北区左</w:t>
            </w:r>
            <w:r>
              <w:rPr>
                <w:rFonts w:ascii="Times New Roman" w:hAnsi="Times New Roman" w:eastAsia="Times New Roman" w:cs="Times New Roman"/>
                <w:color w:val="auto"/>
                <w:szCs w:val="21"/>
                <w:highlight w:val="none"/>
              </w:rPr>
              <w:t>3</w:t>
            </w:r>
          </w:p>
        </w:tc>
        <w:tc>
          <w:tcPr>
            <w:tcW w:w="2025"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121°54′04.670″</w:t>
            </w:r>
          </w:p>
        </w:tc>
        <w:tc>
          <w:tcPr>
            <w:tcW w:w="2457"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30°20′48.205″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202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4</w:t>
            </w:r>
          </w:p>
        </w:tc>
        <w:tc>
          <w:tcPr>
            <w:tcW w:w="2025" w:type="dxa"/>
            <w:vAlign w:val="center"/>
          </w:tcPr>
          <w:p>
            <w:pPr>
              <w:spacing w:line="224"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北区左</w:t>
            </w:r>
            <w:r>
              <w:rPr>
                <w:rFonts w:ascii="Times New Roman" w:hAnsi="Times New Roman" w:eastAsia="Times New Roman" w:cs="Times New Roman"/>
                <w:color w:val="auto"/>
                <w:szCs w:val="21"/>
                <w:highlight w:val="none"/>
              </w:rPr>
              <w:t>4</w:t>
            </w:r>
          </w:p>
        </w:tc>
        <w:tc>
          <w:tcPr>
            <w:tcW w:w="2025"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121°51′16.441″</w:t>
            </w:r>
          </w:p>
        </w:tc>
        <w:tc>
          <w:tcPr>
            <w:tcW w:w="2457"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30°21′44.461″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26" w:type="dxa"/>
            <w:vAlign w:val="center"/>
          </w:tcPr>
          <w:p>
            <w:pPr>
              <w:spacing w:line="184"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5</w:t>
            </w:r>
          </w:p>
        </w:tc>
        <w:tc>
          <w:tcPr>
            <w:tcW w:w="2025" w:type="dxa"/>
            <w:vAlign w:val="center"/>
          </w:tcPr>
          <w:p>
            <w:pPr>
              <w:spacing w:line="221"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北区中</w:t>
            </w:r>
            <w:r>
              <w:rPr>
                <w:rFonts w:ascii="Times New Roman" w:hAnsi="Times New Roman" w:eastAsia="Times New Roman" w:cs="Times New Roman"/>
                <w:color w:val="auto"/>
                <w:szCs w:val="21"/>
                <w:highlight w:val="none"/>
              </w:rPr>
              <w:t>5</w:t>
            </w:r>
          </w:p>
        </w:tc>
        <w:tc>
          <w:tcPr>
            <w:tcW w:w="2025"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121°55′44.510″</w:t>
            </w:r>
          </w:p>
        </w:tc>
        <w:tc>
          <w:tcPr>
            <w:tcW w:w="2457"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30°22′38.992″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2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6</w:t>
            </w:r>
          </w:p>
        </w:tc>
        <w:tc>
          <w:tcPr>
            <w:tcW w:w="2025" w:type="dxa"/>
            <w:vAlign w:val="center"/>
          </w:tcPr>
          <w:p>
            <w:pPr>
              <w:spacing w:line="224"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北区右</w:t>
            </w:r>
            <w:r>
              <w:rPr>
                <w:rFonts w:ascii="Times New Roman" w:hAnsi="Times New Roman" w:eastAsia="Times New Roman" w:cs="Times New Roman"/>
                <w:color w:val="auto"/>
                <w:szCs w:val="21"/>
                <w:highlight w:val="none"/>
              </w:rPr>
              <w:t>6</w:t>
            </w:r>
          </w:p>
        </w:tc>
        <w:tc>
          <w:tcPr>
            <w:tcW w:w="2025"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121°58′39.517″</w:t>
            </w:r>
          </w:p>
        </w:tc>
        <w:tc>
          <w:tcPr>
            <w:tcW w:w="2457"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30°21′53.579″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26" w:type="dxa"/>
            <w:vAlign w:val="center"/>
          </w:tcPr>
          <w:p>
            <w:pPr>
              <w:spacing w:line="184"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7</w:t>
            </w:r>
          </w:p>
        </w:tc>
        <w:tc>
          <w:tcPr>
            <w:tcW w:w="2025" w:type="dxa"/>
            <w:vAlign w:val="center"/>
          </w:tcPr>
          <w:p>
            <w:pPr>
              <w:spacing w:line="224"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北区右</w:t>
            </w:r>
            <w:r>
              <w:rPr>
                <w:rFonts w:ascii="Times New Roman" w:hAnsi="Times New Roman" w:eastAsia="Times New Roman" w:cs="Times New Roman"/>
                <w:color w:val="auto"/>
                <w:szCs w:val="21"/>
                <w:highlight w:val="none"/>
              </w:rPr>
              <w:t>7</w:t>
            </w:r>
          </w:p>
        </w:tc>
        <w:tc>
          <w:tcPr>
            <w:tcW w:w="2025"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121°59′48.995″</w:t>
            </w:r>
          </w:p>
        </w:tc>
        <w:tc>
          <w:tcPr>
            <w:tcW w:w="2457"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30°19′08.635″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2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8</w:t>
            </w:r>
          </w:p>
        </w:tc>
        <w:tc>
          <w:tcPr>
            <w:tcW w:w="2025" w:type="dxa"/>
            <w:vAlign w:val="center"/>
          </w:tcPr>
          <w:p>
            <w:pPr>
              <w:spacing w:line="224"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北区右</w:t>
            </w:r>
            <w:r>
              <w:rPr>
                <w:rFonts w:ascii="Times New Roman" w:hAnsi="Times New Roman" w:eastAsia="Times New Roman" w:cs="Times New Roman"/>
                <w:color w:val="auto"/>
                <w:szCs w:val="21"/>
                <w:highlight w:val="none"/>
              </w:rPr>
              <w:t>8</w:t>
            </w:r>
          </w:p>
        </w:tc>
        <w:tc>
          <w:tcPr>
            <w:tcW w:w="2025"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122°01′05.613″</w:t>
            </w:r>
          </w:p>
        </w:tc>
        <w:tc>
          <w:tcPr>
            <w:tcW w:w="2457"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30°17′46.023″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2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9</w:t>
            </w:r>
          </w:p>
        </w:tc>
        <w:tc>
          <w:tcPr>
            <w:tcW w:w="2025" w:type="dxa"/>
            <w:vAlign w:val="center"/>
          </w:tcPr>
          <w:p>
            <w:pPr>
              <w:spacing w:line="221" w:lineRule="auto"/>
              <w:ind w:firstLine="0" w:firstLineChars="0"/>
              <w:jc w:val="center"/>
              <w:rPr>
                <w:rFonts w:hAnsi="宋体"/>
                <w:color w:val="auto"/>
                <w:szCs w:val="21"/>
                <w:highlight w:val="none"/>
              </w:rPr>
            </w:pPr>
            <w:r>
              <w:rPr>
                <w:rFonts w:hAnsi="宋体"/>
                <w:color w:val="auto"/>
                <w:szCs w:val="21"/>
                <w:highlight w:val="none"/>
              </w:rPr>
              <w:t>定点参照点</w:t>
            </w:r>
          </w:p>
        </w:tc>
        <w:tc>
          <w:tcPr>
            <w:tcW w:w="4482" w:type="dxa"/>
            <w:gridSpan w:val="2"/>
            <w:vAlign w:val="center"/>
          </w:tcPr>
          <w:p>
            <w:pPr>
              <w:spacing w:line="221" w:lineRule="auto"/>
              <w:ind w:firstLine="0" w:firstLineChars="0"/>
              <w:jc w:val="center"/>
              <w:rPr>
                <w:rFonts w:hAnsi="宋体"/>
                <w:color w:val="auto"/>
                <w:szCs w:val="21"/>
                <w:highlight w:val="none"/>
              </w:rPr>
            </w:pPr>
            <w:r>
              <w:rPr>
                <w:rFonts w:hAnsi="宋体"/>
                <w:color w:val="auto"/>
                <w:szCs w:val="21"/>
                <w:highlight w:val="none"/>
              </w:rPr>
              <w:t>同</w:t>
            </w:r>
            <w:r>
              <w:rPr>
                <w:rFonts w:ascii="Times New Roman" w:hAnsi="Times New Roman" w:eastAsia="Times New Roman" w:cs="Times New Roman"/>
                <w:color w:val="auto"/>
                <w:szCs w:val="21"/>
                <w:highlight w:val="none"/>
              </w:rPr>
              <w:t xml:space="preserve">W6  </w:t>
            </w:r>
            <w:r>
              <w:rPr>
                <w:rFonts w:hAnsi="宋体"/>
                <w:color w:val="auto"/>
                <w:szCs w:val="21"/>
                <w:highlight w:val="none"/>
              </w:rPr>
              <w:t>(见表</w:t>
            </w:r>
            <w:r>
              <w:rPr>
                <w:rFonts w:ascii="Times New Roman" w:hAnsi="Times New Roman" w:eastAsia="Times New Roman" w:cs="Times New Roman"/>
                <w:color w:val="auto"/>
                <w:szCs w:val="21"/>
                <w:highlight w:val="none"/>
              </w:rPr>
              <w:t>3-</w:t>
            </w:r>
            <w:r>
              <w:rPr>
                <w:rFonts w:hint="eastAsia" w:ascii="Times New Roman" w:hAnsi="Times New Roman" w:cs="Times New Roman"/>
                <w:color w:val="auto"/>
                <w:szCs w:val="21"/>
                <w:highlight w:val="none"/>
              </w:rPr>
              <w:t>2</w:t>
            </w:r>
            <w:r>
              <w:rPr>
                <w:rFonts w:hAnsi="宋体"/>
                <w:color w:val="auto"/>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202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10</w:t>
            </w:r>
          </w:p>
        </w:tc>
        <w:tc>
          <w:tcPr>
            <w:tcW w:w="2025" w:type="dxa"/>
            <w:vAlign w:val="center"/>
          </w:tcPr>
          <w:p>
            <w:pPr>
              <w:spacing w:line="223"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南区左</w:t>
            </w:r>
            <w:r>
              <w:rPr>
                <w:rFonts w:ascii="Times New Roman" w:hAnsi="Times New Roman" w:eastAsia="Times New Roman" w:cs="Times New Roman"/>
                <w:color w:val="auto"/>
                <w:szCs w:val="21"/>
                <w:highlight w:val="none"/>
              </w:rPr>
              <w:t>1</w:t>
            </w:r>
          </w:p>
        </w:tc>
        <w:tc>
          <w:tcPr>
            <w:tcW w:w="2025"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121°57′10.229″</w:t>
            </w:r>
          </w:p>
        </w:tc>
        <w:tc>
          <w:tcPr>
            <w:tcW w:w="2457"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30°17′25.275″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2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11</w:t>
            </w:r>
          </w:p>
        </w:tc>
        <w:tc>
          <w:tcPr>
            <w:tcW w:w="2025" w:type="dxa"/>
            <w:vAlign w:val="center"/>
          </w:tcPr>
          <w:p>
            <w:pPr>
              <w:spacing w:line="223"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南区左</w:t>
            </w:r>
            <w:r>
              <w:rPr>
                <w:rFonts w:ascii="Times New Roman" w:hAnsi="Times New Roman" w:eastAsia="Times New Roman" w:cs="Times New Roman"/>
                <w:color w:val="auto"/>
                <w:szCs w:val="21"/>
                <w:highlight w:val="none"/>
              </w:rPr>
              <w:t>2</w:t>
            </w:r>
          </w:p>
        </w:tc>
        <w:tc>
          <w:tcPr>
            <w:tcW w:w="2025"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121°55′43.711″</w:t>
            </w:r>
          </w:p>
        </w:tc>
        <w:tc>
          <w:tcPr>
            <w:tcW w:w="2457"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30°18′12.365″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2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w:t>
            </w:r>
          </w:p>
        </w:tc>
        <w:tc>
          <w:tcPr>
            <w:tcW w:w="2025" w:type="dxa"/>
            <w:vAlign w:val="center"/>
          </w:tcPr>
          <w:p>
            <w:pPr>
              <w:spacing w:line="223"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南区左</w:t>
            </w:r>
            <w:r>
              <w:rPr>
                <w:rFonts w:ascii="Times New Roman" w:hAnsi="Times New Roman" w:eastAsia="Times New Roman" w:cs="Times New Roman"/>
                <w:color w:val="auto"/>
                <w:szCs w:val="21"/>
                <w:highlight w:val="none"/>
              </w:rPr>
              <w:t>3</w:t>
            </w:r>
          </w:p>
        </w:tc>
        <w:tc>
          <w:tcPr>
            <w:tcW w:w="2025"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121°55′03.962″</w:t>
            </w:r>
          </w:p>
        </w:tc>
        <w:tc>
          <w:tcPr>
            <w:tcW w:w="2457"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30°17′29.081″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2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13</w:t>
            </w:r>
          </w:p>
        </w:tc>
        <w:tc>
          <w:tcPr>
            <w:tcW w:w="2025" w:type="dxa"/>
            <w:vAlign w:val="center"/>
          </w:tcPr>
          <w:p>
            <w:pPr>
              <w:spacing w:line="221"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南区中</w:t>
            </w:r>
            <w:r>
              <w:rPr>
                <w:rFonts w:ascii="Times New Roman" w:hAnsi="Times New Roman" w:eastAsia="Times New Roman" w:cs="Times New Roman"/>
                <w:color w:val="auto"/>
                <w:szCs w:val="21"/>
                <w:highlight w:val="none"/>
              </w:rPr>
              <w:t>4</w:t>
            </w:r>
          </w:p>
        </w:tc>
        <w:tc>
          <w:tcPr>
            <w:tcW w:w="2025"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121°56′28.087″</w:t>
            </w:r>
          </w:p>
        </w:tc>
        <w:tc>
          <w:tcPr>
            <w:tcW w:w="2457"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30°16′33.925″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2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14</w:t>
            </w:r>
          </w:p>
        </w:tc>
        <w:tc>
          <w:tcPr>
            <w:tcW w:w="2025" w:type="dxa"/>
            <w:vAlign w:val="center"/>
          </w:tcPr>
          <w:p>
            <w:pPr>
              <w:spacing w:line="223"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南区右</w:t>
            </w:r>
            <w:r>
              <w:rPr>
                <w:rFonts w:ascii="Times New Roman" w:hAnsi="Times New Roman" w:eastAsia="Times New Roman" w:cs="Times New Roman"/>
                <w:color w:val="auto"/>
                <w:szCs w:val="21"/>
                <w:highlight w:val="none"/>
              </w:rPr>
              <w:t>5</w:t>
            </w:r>
          </w:p>
        </w:tc>
        <w:tc>
          <w:tcPr>
            <w:tcW w:w="2025"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121°58′02. 110″</w:t>
            </w:r>
          </w:p>
        </w:tc>
        <w:tc>
          <w:tcPr>
            <w:tcW w:w="2457"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30°17′34.279″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2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15</w:t>
            </w:r>
          </w:p>
        </w:tc>
        <w:tc>
          <w:tcPr>
            <w:tcW w:w="2025" w:type="dxa"/>
            <w:vAlign w:val="center"/>
          </w:tcPr>
          <w:p>
            <w:pPr>
              <w:spacing w:line="223"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南区右</w:t>
            </w:r>
            <w:r>
              <w:rPr>
                <w:rFonts w:ascii="Times New Roman" w:hAnsi="Times New Roman" w:eastAsia="Times New Roman" w:cs="Times New Roman"/>
                <w:color w:val="auto"/>
                <w:szCs w:val="21"/>
                <w:highlight w:val="none"/>
              </w:rPr>
              <w:t>6</w:t>
            </w:r>
          </w:p>
        </w:tc>
        <w:tc>
          <w:tcPr>
            <w:tcW w:w="2025"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122°00′37.453″</w:t>
            </w:r>
          </w:p>
        </w:tc>
        <w:tc>
          <w:tcPr>
            <w:tcW w:w="2457"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30°16′29.432″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02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16</w:t>
            </w:r>
          </w:p>
        </w:tc>
        <w:tc>
          <w:tcPr>
            <w:tcW w:w="2025" w:type="dxa"/>
            <w:vAlign w:val="center"/>
          </w:tcPr>
          <w:p>
            <w:pPr>
              <w:spacing w:line="221" w:lineRule="auto"/>
              <w:ind w:firstLine="0" w:firstLineChars="0"/>
              <w:jc w:val="center"/>
              <w:rPr>
                <w:rFonts w:hAnsi="宋体"/>
                <w:color w:val="auto"/>
                <w:szCs w:val="21"/>
                <w:highlight w:val="none"/>
              </w:rPr>
            </w:pPr>
            <w:r>
              <w:rPr>
                <w:rFonts w:hAnsi="宋体"/>
                <w:color w:val="auto"/>
                <w:szCs w:val="21"/>
                <w:highlight w:val="none"/>
              </w:rPr>
              <w:t>定点参照点</w:t>
            </w:r>
          </w:p>
        </w:tc>
        <w:tc>
          <w:tcPr>
            <w:tcW w:w="4482" w:type="dxa"/>
            <w:gridSpan w:val="2"/>
            <w:vAlign w:val="center"/>
          </w:tcPr>
          <w:p>
            <w:pPr>
              <w:spacing w:line="221" w:lineRule="auto"/>
              <w:ind w:firstLine="0" w:firstLineChars="0"/>
              <w:jc w:val="center"/>
              <w:rPr>
                <w:rFonts w:hAnsi="宋体"/>
                <w:color w:val="auto"/>
                <w:szCs w:val="21"/>
                <w:highlight w:val="none"/>
              </w:rPr>
            </w:pPr>
            <w:r>
              <w:rPr>
                <w:rFonts w:hAnsi="宋体"/>
                <w:color w:val="auto"/>
                <w:szCs w:val="21"/>
                <w:highlight w:val="none"/>
              </w:rPr>
              <w:t>同</w:t>
            </w:r>
            <w:r>
              <w:rPr>
                <w:rFonts w:ascii="Times New Roman" w:hAnsi="Times New Roman" w:eastAsia="Times New Roman" w:cs="Times New Roman"/>
                <w:color w:val="auto"/>
                <w:szCs w:val="21"/>
                <w:highlight w:val="none"/>
              </w:rPr>
              <w:t xml:space="preserve">W12  </w:t>
            </w:r>
            <w:r>
              <w:rPr>
                <w:rFonts w:hAnsi="宋体"/>
                <w:color w:val="auto"/>
                <w:szCs w:val="21"/>
                <w:highlight w:val="none"/>
              </w:rPr>
              <w:t>(见表</w:t>
            </w:r>
            <w:r>
              <w:rPr>
                <w:rFonts w:ascii="Times New Roman" w:hAnsi="Times New Roman" w:eastAsia="Times New Roman" w:cs="Times New Roman"/>
                <w:color w:val="auto"/>
                <w:szCs w:val="21"/>
                <w:highlight w:val="none"/>
              </w:rPr>
              <w:t>3-</w:t>
            </w:r>
            <w:r>
              <w:rPr>
                <w:rFonts w:hint="eastAsia" w:ascii="Times New Roman" w:hAnsi="Times New Roman" w:cs="Times New Roman"/>
                <w:color w:val="auto"/>
                <w:szCs w:val="21"/>
                <w:highlight w:val="none"/>
              </w:rPr>
              <w:t>2</w:t>
            </w:r>
            <w:r>
              <w:rPr>
                <w:rFonts w:hAnsi="宋体"/>
                <w:color w:val="auto"/>
                <w:szCs w:val="21"/>
                <w:highlight w:val="none"/>
              </w:rPr>
              <w:t>)</w:t>
            </w:r>
          </w:p>
        </w:tc>
      </w:tr>
    </w:tbl>
    <w:p>
      <w:pPr>
        <w:spacing w:line="321" w:lineRule="auto"/>
        <w:ind w:firstLine="420"/>
        <w:rPr>
          <w:rFonts w:ascii="Arial"/>
          <w:color w:val="auto"/>
          <w:szCs w:val="21"/>
          <w:highlight w:val="none"/>
        </w:rPr>
      </w:pPr>
    </w:p>
    <w:p>
      <w:pPr>
        <w:spacing w:before="68" w:line="221" w:lineRule="auto"/>
        <w:ind w:left="3135" w:firstLine="420"/>
        <w:rPr>
          <w:rFonts w:hAnsi="宋体"/>
          <w:color w:val="auto"/>
          <w:szCs w:val="21"/>
          <w:highlight w:val="none"/>
        </w:rPr>
      </w:pPr>
      <w:r>
        <w:rPr>
          <w:rFonts w:hAnsi="宋体"/>
          <w:color w:val="auto"/>
          <w:szCs w:val="21"/>
          <w:highlight w:val="none"/>
          <w14:textOutline w14:w="3835" w14:cap="flat" w14:cmpd="sng" w14:algn="ctr">
            <w14:solidFill>
              <w14:srgbClr w14:val="000000"/>
            </w14:solidFill>
            <w14:prstDash w14:val="solid"/>
            <w14:miter w14:val="0"/>
          </w14:textOutline>
        </w:rPr>
        <w:t>表</w:t>
      </w:r>
      <w:r>
        <w:rPr>
          <w:rFonts w:ascii="Times New Roman" w:hAnsi="Times New Roman" w:eastAsia="Times New Roman" w:cs="Times New Roman"/>
          <w:b/>
          <w:bCs/>
          <w:color w:val="auto"/>
          <w:szCs w:val="21"/>
          <w:highlight w:val="none"/>
        </w:rPr>
        <w:t>3-</w:t>
      </w:r>
      <w:r>
        <w:rPr>
          <w:rFonts w:hint="eastAsia" w:ascii="Times New Roman" w:hAnsi="Times New Roman" w:cs="Times New Roman"/>
          <w:b/>
          <w:bCs/>
          <w:color w:val="auto"/>
          <w:szCs w:val="21"/>
          <w:highlight w:val="none"/>
        </w:rPr>
        <w:t>4</w:t>
      </w:r>
      <w:r>
        <w:rPr>
          <w:rFonts w:ascii="Times New Roman" w:hAnsi="Times New Roman" w:eastAsia="Times New Roman" w:cs="Times New Roman"/>
          <w:color w:val="auto"/>
          <w:szCs w:val="21"/>
          <w:highlight w:val="none"/>
        </w:rPr>
        <w:t xml:space="preserve">  </w:t>
      </w:r>
      <w:r>
        <w:rPr>
          <w:rFonts w:hAnsi="宋体"/>
          <w:color w:val="auto"/>
          <w:szCs w:val="21"/>
          <w:highlight w:val="none"/>
          <w14:textOutline w14:w="3835" w14:cap="flat" w14:cmpd="sng" w14:algn="ctr">
            <w14:solidFill>
              <w14:srgbClr w14:val="000000"/>
            </w14:solidFill>
            <w14:prstDash w14:val="solid"/>
            <w14:miter w14:val="0"/>
          </w14:textOutline>
        </w:rPr>
        <w:t>余氯观测站位表</w:t>
      </w:r>
    </w:p>
    <w:p>
      <w:pPr>
        <w:spacing w:line="128" w:lineRule="exact"/>
        <w:ind w:firstLine="420"/>
        <w:rPr>
          <w:color w:val="auto"/>
          <w:szCs w:val="21"/>
          <w:highlight w:val="none"/>
        </w:rPr>
      </w:pPr>
    </w:p>
    <w:tbl>
      <w:tblPr>
        <w:tblStyle w:val="114"/>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6"/>
        <w:gridCol w:w="1284"/>
        <w:gridCol w:w="2684"/>
        <w:gridCol w:w="32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286" w:type="dxa"/>
            <w:vAlign w:val="center"/>
          </w:tcPr>
          <w:p>
            <w:pPr>
              <w:spacing w:line="222" w:lineRule="auto"/>
              <w:ind w:firstLine="0" w:firstLineChars="0"/>
              <w:jc w:val="center"/>
              <w:rPr>
                <w:rFonts w:hAnsi="宋体"/>
                <w:color w:val="auto"/>
                <w:szCs w:val="21"/>
                <w:highlight w:val="none"/>
              </w:rPr>
            </w:pPr>
            <w:r>
              <w:rPr>
                <w:rFonts w:hAnsi="宋体"/>
                <w:color w:val="auto"/>
                <w:szCs w:val="21"/>
                <w:highlight w:val="none"/>
              </w:rPr>
              <w:t>序号</w:t>
            </w:r>
          </w:p>
        </w:tc>
        <w:tc>
          <w:tcPr>
            <w:tcW w:w="1284" w:type="dxa"/>
            <w:vAlign w:val="center"/>
          </w:tcPr>
          <w:p>
            <w:pPr>
              <w:spacing w:line="222" w:lineRule="auto"/>
              <w:ind w:firstLine="0" w:firstLineChars="0"/>
              <w:jc w:val="center"/>
              <w:rPr>
                <w:rFonts w:hAnsi="宋体"/>
                <w:color w:val="auto"/>
                <w:szCs w:val="21"/>
                <w:highlight w:val="none"/>
              </w:rPr>
            </w:pPr>
            <w:r>
              <w:rPr>
                <w:rFonts w:hAnsi="宋体"/>
                <w:color w:val="auto"/>
                <w:szCs w:val="21"/>
                <w:highlight w:val="none"/>
              </w:rPr>
              <w:t>站位号</w:t>
            </w:r>
          </w:p>
        </w:tc>
        <w:tc>
          <w:tcPr>
            <w:tcW w:w="2684" w:type="dxa"/>
            <w:vAlign w:val="center"/>
          </w:tcPr>
          <w:p>
            <w:pPr>
              <w:spacing w:line="221" w:lineRule="auto"/>
              <w:ind w:firstLine="0" w:firstLineChars="0"/>
              <w:jc w:val="center"/>
              <w:rPr>
                <w:rFonts w:hAnsi="宋体"/>
                <w:color w:val="auto"/>
                <w:szCs w:val="21"/>
                <w:highlight w:val="none"/>
              </w:rPr>
            </w:pPr>
            <w:r>
              <w:rPr>
                <w:rFonts w:hAnsi="宋体"/>
                <w:color w:val="auto"/>
                <w:szCs w:val="21"/>
                <w:highlight w:val="none"/>
              </w:rPr>
              <w:t>经度</w:t>
            </w:r>
          </w:p>
        </w:tc>
        <w:tc>
          <w:tcPr>
            <w:tcW w:w="3279" w:type="dxa"/>
            <w:vAlign w:val="center"/>
          </w:tcPr>
          <w:p>
            <w:pPr>
              <w:spacing w:line="221" w:lineRule="auto"/>
              <w:ind w:firstLine="0" w:firstLineChars="0"/>
              <w:jc w:val="center"/>
              <w:rPr>
                <w:rFonts w:hAnsi="宋体"/>
                <w:color w:val="auto"/>
                <w:szCs w:val="21"/>
                <w:highlight w:val="none"/>
              </w:rPr>
            </w:pPr>
            <w:r>
              <w:rPr>
                <w:rFonts w:hAnsi="宋体"/>
                <w:color w:val="auto"/>
                <w:szCs w:val="21"/>
                <w:highlight w:val="none"/>
              </w:rPr>
              <w:t>纬度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8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w:t>
            </w:r>
          </w:p>
        </w:tc>
        <w:tc>
          <w:tcPr>
            <w:tcW w:w="1284" w:type="dxa"/>
            <w:vAlign w:val="center"/>
          </w:tcPr>
          <w:p>
            <w:pPr>
              <w:spacing w:line="224"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北</w:t>
            </w:r>
            <w:r>
              <w:rPr>
                <w:rFonts w:ascii="Times New Roman" w:hAnsi="Times New Roman" w:eastAsia="Times New Roman" w:cs="Times New Roman"/>
                <w:color w:val="auto"/>
                <w:szCs w:val="21"/>
                <w:highlight w:val="none"/>
              </w:rPr>
              <w:t>1</w:t>
            </w:r>
          </w:p>
        </w:tc>
        <w:tc>
          <w:tcPr>
            <w:tcW w:w="2684"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121°56′16.510″</w:t>
            </w:r>
          </w:p>
        </w:tc>
        <w:tc>
          <w:tcPr>
            <w:tcW w:w="3279"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30°20′12.604″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8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2</w:t>
            </w:r>
          </w:p>
        </w:tc>
        <w:tc>
          <w:tcPr>
            <w:tcW w:w="1284" w:type="dxa"/>
            <w:vAlign w:val="center"/>
          </w:tcPr>
          <w:p>
            <w:pPr>
              <w:spacing w:line="224"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北</w:t>
            </w:r>
            <w:r>
              <w:rPr>
                <w:rFonts w:ascii="Times New Roman" w:hAnsi="Times New Roman" w:eastAsia="Times New Roman" w:cs="Times New Roman"/>
                <w:color w:val="auto"/>
                <w:szCs w:val="21"/>
                <w:highlight w:val="none"/>
              </w:rPr>
              <w:t>2</w:t>
            </w:r>
          </w:p>
        </w:tc>
        <w:tc>
          <w:tcPr>
            <w:tcW w:w="2684"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121°56′04.554″</w:t>
            </w:r>
          </w:p>
        </w:tc>
        <w:tc>
          <w:tcPr>
            <w:tcW w:w="3279"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30°20′19. 165″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28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w:t>
            </w:r>
          </w:p>
        </w:tc>
        <w:tc>
          <w:tcPr>
            <w:tcW w:w="1284" w:type="dxa"/>
            <w:vAlign w:val="center"/>
          </w:tcPr>
          <w:p>
            <w:pPr>
              <w:spacing w:line="224"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北</w:t>
            </w:r>
            <w:r>
              <w:rPr>
                <w:rFonts w:ascii="Times New Roman" w:hAnsi="Times New Roman" w:eastAsia="Times New Roman" w:cs="Times New Roman"/>
                <w:color w:val="auto"/>
                <w:szCs w:val="21"/>
                <w:highlight w:val="none"/>
              </w:rPr>
              <w:t>3</w:t>
            </w:r>
          </w:p>
        </w:tc>
        <w:tc>
          <w:tcPr>
            <w:tcW w:w="2684"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121°55′32. 115″</w:t>
            </w:r>
          </w:p>
        </w:tc>
        <w:tc>
          <w:tcPr>
            <w:tcW w:w="3279"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30°20′37.328″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28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4</w:t>
            </w:r>
          </w:p>
        </w:tc>
        <w:tc>
          <w:tcPr>
            <w:tcW w:w="1284" w:type="dxa"/>
            <w:vAlign w:val="center"/>
          </w:tcPr>
          <w:p>
            <w:pPr>
              <w:spacing w:line="224"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北</w:t>
            </w:r>
            <w:r>
              <w:rPr>
                <w:rFonts w:ascii="Times New Roman" w:hAnsi="Times New Roman" w:eastAsia="Times New Roman" w:cs="Times New Roman"/>
                <w:color w:val="auto"/>
                <w:szCs w:val="21"/>
                <w:highlight w:val="none"/>
              </w:rPr>
              <w:t>4</w:t>
            </w:r>
          </w:p>
        </w:tc>
        <w:tc>
          <w:tcPr>
            <w:tcW w:w="2684"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121°56′22.686″</w:t>
            </w:r>
          </w:p>
        </w:tc>
        <w:tc>
          <w:tcPr>
            <w:tcW w:w="3279"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30°20′13.943″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286" w:type="dxa"/>
            <w:vAlign w:val="center"/>
          </w:tcPr>
          <w:p>
            <w:pPr>
              <w:spacing w:line="184"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5</w:t>
            </w:r>
          </w:p>
        </w:tc>
        <w:tc>
          <w:tcPr>
            <w:tcW w:w="1284" w:type="dxa"/>
            <w:vAlign w:val="center"/>
          </w:tcPr>
          <w:p>
            <w:pPr>
              <w:spacing w:line="224"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北</w:t>
            </w:r>
            <w:r>
              <w:rPr>
                <w:rFonts w:ascii="Times New Roman" w:hAnsi="Times New Roman" w:eastAsia="Times New Roman" w:cs="Times New Roman"/>
                <w:color w:val="auto"/>
                <w:szCs w:val="21"/>
                <w:highlight w:val="none"/>
              </w:rPr>
              <w:t>5</w:t>
            </w:r>
          </w:p>
        </w:tc>
        <w:tc>
          <w:tcPr>
            <w:tcW w:w="2684"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121°56′22.814″</w:t>
            </w:r>
          </w:p>
        </w:tc>
        <w:tc>
          <w:tcPr>
            <w:tcW w:w="3279"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30°20′25. 113″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8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6</w:t>
            </w:r>
          </w:p>
        </w:tc>
        <w:tc>
          <w:tcPr>
            <w:tcW w:w="1284" w:type="dxa"/>
            <w:vAlign w:val="center"/>
          </w:tcPr>
          <w:p>
            <w:pPr>
              <w:spacing w:line="224"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北</w:t>
            </w:r>
            <w:r>
              <w:rPr>
                <w:rFonts w:ascii="Times New Roman" w:hAnsi="Times New Roman" w:eastAsia="Times New Roman" w:cs="Times New Roman"/>
                <w:color w:val="auto"/>
                <w:szCs w:val="21"/>
                <w:highlight w:val="none"/>
              </w:rPr>
              <w:t>6</w:t>
            </w:r>
          </w:p>
        </w:tc>
        <w:tc>
          <w:tcPr>
            <w:tcW w:w="2684"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121°56′22.786″</w:t>
            </w:r>
          </w:p>
        </w:tc>
        <w:tc>
          <w:tcPr>
            <w:tcW w:w="3279"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30°20′50.672″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86" w:type="dxa"/>
            <w:vAlign w:val="center"/>
          </w:tcPr>
          <w:p>
            <w:pPr>
              <w:spacing w:line="184"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7</w:t>
            </w:r>
          </w:p>
        </w:tc>
        <w:tc>
          <w:tcPr>
            <w:tcW w:w="1284" w:type="dxa"/>
            <w:vAlign w:val="center"/>
          </w:tcPr>
          <w:p>
            <w:pPr>
              <w:spacing w:line="224"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北</w:t>
            </w:r>
            <w:r>
              <w:rPr>
                <w:rFonts w:ascii="Times New Roman" w:hAnsi="Times New Roman" w:eastAsia="Times New Roman" w:cs="Times New Roman"/>
                <w:color w:val="auto"/>
                <w:szCs w:val="21"/>
                <w:highlight w:val="none"/>
              </w:rPr>
              <w:t>7</w:t>
            </w:r>
          </w:p>
        </w:tc>
        <w:tc>
          <w:tcPr>
            <w:tcW w:w="2684"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121°56′29.621″</w:t>
            </w:r>
          </w:p>
        </w:tc>
        <w:tc>
          <w:tcPr>
            <w:tcW w:w="3279"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30°20′13.785″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28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8</w:t>
            </w:r>
          </w:p>
        </w:tc>
        <w:tc>
          <w:tcPr>
            <w:tcW w:w="1284" w:type="dxa"/>
            <w:vAlign w:val="center"/>
          </w:tcPr>
          <w:p>
            <w:pPr>
              <w:spacing w:line="224"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北</w:t>
            </w:r>
            <w:r>
              <w:rPr>
                <w:rFonts w:ascii="Times New Roman" w:hAnsi="Times New Roman" w:eastAsia="Times New Roman" w:cs="Times New Roman"/>
                <w:color w:val="auto"/>
                <w:szCs w:val="21"/>
                <w:highlight w:val="none"/>
              </w:rPr>
              <w:t>8</w:t>
            </w:r>
          </w:p>
        </w:tc>
        <w:tc>
          <w:tcPr>
            <w:tcW w:w="2684"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121°56′47.352″</w:t>
            </w:r>
          </w:p>
        </w:tc>
        <w:tc>
          <w:tcPr>
            <w:tcW w:w="3279"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30°20′22.949″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8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9</w:t>
            </w:r>
          </w:p>
        </w:tc>
        <w:tc>
          <w:tcPr>
            <w:tcW w:w="1284" w:type="dxa"/>
            <w:vAlign w:val="center"/>
          </w:tcPr>
          <w:p>
            <w:pPr>
              <w:spacing w:line="224"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北</w:t>
            </w:r>
            <w:r>
              <w:rPr>
                <w:rFonts w:ascii="Times New Roman" w:hAnsi="Times New Roman" w:eastAsia="Times New Roman" w:cs="Times New Roman"/>
                <w:color w:val="auto"/>
                <w:szCs w:val="21"/>
                <w:highlight w:val="none"/>
              </w:rPr>
              <w:t>9</w:t>
            </w:r>
          </w:p>
        </w:tc>
        <w:tc>
          <w:tcPr>
            <w:tcW w:w="2684"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121°57′18.853″</w:t>
            </w:r>
          </w:p>
        </w:tc>
        <w:tc>
          <w:tcPr>
            <w:tcW w:w="3279"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30°20′41.243″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8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10</w:t>
            </w:r>
          </w:p>
        </w:tc>
        <w:tc>
          <w:tcPr>
            <w:tcW w:w="1284" w:type="dxa"/>
            <w:vAlign w:val="center"/>
          </w:tcPr>
          <w:p>
            <w:pPr>
              <w:spacing w:line="223"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南</w:t>
            </w:r>
            <w:r>
              <w:rPr>
                <w:rFonts w:ascii="Times New Roman" w:hAnsi="Times New Roman" w:eastAsia="Times New Roman" w:cs="Times New Roman"/>
                <w:color w:val="auto"/>
                <w:szCs w:val="21"/>
                <w:highlight w:val="none"/>
              </w:rPr>
              <w:t>1</w:t>
            </w:r>
          </w:p>
        </w:tc>
        <w:tc>
          <w:tcPr>
            <w:tcW w:w="2684"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121°57′06.565″</w:t>
            </w:r>
          </w:p>
        </w:tc>
        <w:tc>
          <w:tcPr>
            <w:tcW w:w="3279"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30°17′24.074″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8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11</w:t>
            </w:r>
          </w:p>
        </w:tc>
        <w:tc>
          <w:tcPr>
            <w:tcW w:w="1284" w:type="dxa"/>
            <w:vAlign w:val="center"/>
          </w:tcPr>
          <w:p>
            <w:pPr>
              <w:spacing w:line="223"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南</w:t>
            </w:r>
            <w:r>
              <w:rPr>
                <w:rFonts w:ascii="Times New Roman" w:hAnsi="Times New Roman" w:eastAsia="Times New Roman" w:cs="Times New Roman"/>
                <w:color w:val="auto"/>
                <w:szCs w:val="21"/>
                <w:highlight w:val="none"/>
              </w:rPr>
              <w:t>2</w:t>
            </w:r>
          </w:p>
        </w:tc>
        <w:tc>
          <w:tcPr>
            <w:tcW w:w="2684"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121°57′02.811″</w:t>
            </w:r>
          </w:p>
        </w:tc>
        <w:tc>
          <w:tcPr>
            <w:tcW w:w="3279"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30°17′23.357″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8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w:t>
            </w:r>
          </w:p>
        </w:tc>
        <w:tc>
          <w:tcPr>
            <w:tcW w:w="1284" w:type="dxa"/>
            <w:vAlign w:val="center"/>
          </w:tcPr>
          <w:p>
            <w:pPr>
              <w:spacing w:line="223"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南</w:t>
            </w:r>
            <w:r>
              <w:rPr>
                <w:rFonts w:ascii="Times New Roman" w:hAnsi="Times New Roman" w:eastAsia="Times New Roman" w:cs="Times New Roman"/>
                <w:color w:val="auto"/>
                <w:szCs w:val="21"/>
                <w:highlight w:val="none"/>
              </w:rPr>
              <w:t>3</w:t>
            </w:r>
          </w:p>
        </w:tc>
        <w:tc>
          <w:tcPr>
            <w:tcW w:w="2684" w:type="dxa"/>
            <w:vAlign w:val="center"/>
          </w:tcPr>
          <w:p>
            <w:pPr>
              <w:spacing w:line="190"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121°56′53.522″</w:t>
            </w:r>
          </w:p>
        </w:tc>
        <w:tc>
          <w:tcPr>
            <w:tcW w:w="3279"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30°17′21.736″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8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13</w:t>
            </w:r>
          </w:p>
        </w:tc>
        <w:tc>
          <w:tcPr>
            <w:tcW w:w="1284" w:type="dxa"/>
            <w:vAlign w:val="center"/>
          </w:tcPr>
          <w:p>
            <w:pPr>
              <w:spacing w:line="223"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南</w:t>
            </w:r>
            <w:r>
              <w:rPr>
                <w:rFonts w:ascii="Times New Roman" w:hAnsi="Times New Roman" w:eastAsia="Times New Roman" w:cs="Times New Roman"/>
                <w:color w:val="auto"/>
                <w:szCs w:val="21"/>
                <w:highlight w:val="none"/>
              </w:rPr>
              <w:t>4</w:t>
            </w:r>
          </w:p>
        </w:tc>
        <w:tc>
          <w:tcPr>
            <w:tcW w:w="2684"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121°57′08.763″</w:t>
            </w:r>
          </w:p>
        </w:tc>
        <w:tc>
          <w:tcPr>
            <w:tcW w:w="3279"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30°17′22.202″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28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14</w:t>
            </w:r>
          </w:p>
        </w:tc>
        <w:tc>
          <w:tcPr>
            <w:tcW w:w="1284" w:type="dxa"/>
            <w:vAlign w:val="center"/>
          </w:tcPr>
          <w:p>
            <w:pPr>
              <w:spacing w:line="223"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南</w:t>
            </w:r>
            <w:r>
              <w:rPr>
                <w:rFonts w:ascii="Times New Roman" w:hAnsi="Times New Roman" w:eastAsia="Times New Roman" w:cs="Times New Roman"/>
                <w:color w:val="auto"/>
                <w:szCs w:val="21"/>
                <w:highlight w:val="none"/>
              </w:rPr>
              <w:t>5</w:t>
            </w:r>
          </w:p>
        </w:tc>
        <w:tc>
          <w:tcPr>
            <w:tcW w:w="2684"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121°57′06.416″</w:t>
            </w:r>
          </w:p>
        </w:tc>
        <w:tc>
          <w:tcPr>
            <w:tcW w:w="3279"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30°17′19.434″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15</w:t>
            </w:r>
          </w:p>
        </w:tc>
        <w:tc>
          <w:tcPr>
            <w:tcW w:w="1284" w:type="dxa"/>
            <w:vAlign w:val="center"/>
          </w:tcPr>
          <w:p>
            <w:pPr>
              <w:spacing w:line="223"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南</w:t>
            </w:r>
            <w:r>
              <w:rPr>
                <w:rFonts w:ascii="Times New Roman" w:hAnsi="Times New Roman" w:eastAsia="Times New Roman" w:cs="Times New Roman"/>
                <w:color w:val="auto"/>
                <w:szCs w:val="21"/>
                <w:highlight w:val="none"/>
              </w:rPr>
              <w:t>6</w:t>
            </w:r>
          </w:p>
        </w:tc>
        <w:tc>
          <w:tcPr>
            <w:tcW w:w="2684"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121°57′01. 146″</w:t>
            </w:r>
          </w:p>
        </w:tc>
        <w:tc>
          <w:tcPr>
            <w:tcW w:w="3279"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30°17′12.346″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8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16</w:t>
            </w:r>
          </w:p>
        </w:tc>
        <w:tc>
          <w:tcPr>
            <w:tcW w:w="1284" w:type="dxa"/>
            <w:vAlign w:val="center"/>
          </w:tcPr>
          <w:p>
            <w:pPr>
              <w:spacing w:line="223"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南</w:t>
            </w:r>
            <w:r>
              <w:rPr>
                <w:rFonts w:ascii="Times New Roman" w:hAnsi="Times New Roman" w:eastAsia="Times New Roman" w:cs="Times New Roman"/>
                <w:color w:val="auto"/>
                <w:szCs w:val="21"/>
                <w:highlight w:val="none"/>
              </w:rPr>
              <w:t>7</w:t>
            </w:r>
          </w:p>
        </w:tc>
        <w:tc>
          <w:tcPr>
            <w:tcW w:w="2684"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121°57′12. 138″</w:t>
            </w:r>
          </w:p>
        </w:tc>
        <w:tc>
          <w:tcPr>
            <w:tcW w:w="3279"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30°17′21.369″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8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17</w:t>
            </w:r>
          </w:p>
        </w:tc>
        <w:tc>
          <w:tcPr>
            <w:tcW w:w="1284" w:type="dxa"/>
            <w:vAlign w:val="center"/>
          </w:tcPr>
          <w:p>
            <w:pPr>
              <w:spacing w:line="223"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南</w:t>
            </w:r>
            <w:r>
              <w:rPr>
                <w:rFonts w:ascii="Times New Roman" w:hAnsi="Times New Roman" w:eastAsia="Times New Roman" w:cs="Times New Roman"/>
                <w:color w:val="auto"/>
                <w:szCs w:val="21"/>
                <w:highlight w:val="none"/>
              </w:rPr>
              <w:t>8</w:t>
            </w:r>
          </w:p>
        </w:tc>
        <w:tc>
          <w:tcPr>
            <w:tcW w:w="2684"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121°57′13.956″</w:t>
            </w:r>
          </w:p>
        </w:tc>
        <w:tc>
          <w:tcPr>
            <w:tcW w:w="3279"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30°17′17.947″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286" w:type="dxa"/>
            <w:vAlign w:val="center"/>
          </w:tcPr>
          <w:p>
            <w:pPr>
              <w:spacing w:line="187"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18</w:t>
            </w:r>
          </w:p>
        </w:tc>
        <w:tc>
          <w:tcPr>
            <w:tcW w:w="1284" w:type="dxa"/>
            <w:vAlign w:val="center"/>
          </w:tcPr>
          <w:p>
            <w:pPr>
              <w:spacing w:line="223" w:lineRule="auto"/>
              <w:ind w:firstLine="0" w:firstLineChars="0"/>
              <w:jc w:val="center"/>
              <w:rPr>
                <w:rFonts w:ascii="Times New Roman" w:hAnsi="Times New Roman" w:eastAsia="Times New Roman" w:cs="Times New Roman"/>
                <w:color w:val="auto"/>
                <w:szCs w:val="21"/>
                <w:highlight w:val="none"/>
              </w:rPr>
            </w:pPr>
            <w:r>
              <w:rPr>
                <w:rFonts w:hAnsi="宋体"/>
                <w:color w:val="auto"/>
                <w:szCs w:val="21"/>
                <w:highlight w:val="none"/>
              </w:rPr>
              <w:t>南</w:t>
            </w:r>
            <w:r>
              <w:rPr>
                <w:rFonts w:ascii="Times New Roman" w:hAnsi="Times New Roman" w:eastAsia="Times New Roman" w:cs="Times New Roman"/>
                <w:color w:val="auto"/>
                <w:szCs w:val="21"/>
                <w:highlight w:val="none"/>
              </w:rPr>
              <w:t>9</w:t>
            </w:r>
          </w:p>
        </w:tc>
        <w:tc>
          <w:tcPr>
            <w:tcW w:w="2684"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121°57′17. 187″</w:t>
            </w:r>
          </w:p>
        </w:tc>
        <w:tc>
          <w:tcPr>
            <w:tcW w:w="3279" w:type="dxa"/>
            <w:vAlign w:val="center"/>
          </w:tcPr>
          <w:p>
            <w:pPr>
              <w:spacing w:line="189" w:lineRule="auto"/>
              <w:ind w:firstLine="0" w:firstLineChars="0"/>
              <w:jc w:val="center"/>
              <w:rPr>
                <w:rFonts w:ascii="Times New Roman" w:hAnsi="Times New Roman" w:eastAsia="Times New Roman" w:cs="Times New Roman"/>
                <w:color w:val="auto"/>
                <w:szCs w:val="21"/>
                <w:highlight w:val="none"/>
              </w:rPr>
            </w:pPr>
            <w:r>
              <w:rPr>
                <w:rFonts w:ascii="Times New Roman" w:hAnsi="Times New Roman" w:eastAsia="Times New Roman" w:cs="Times New Roman"/>
                <w:color w:val="auto"/>
                <w:szCs w:val="21"/>
                <w:highlight w:val="none"/>
              </w:rPr>
              <w:t>30°17′11.959″</w:t>
            </w:r>
          </w:p>
        </w:tc>
      </w:tr>
    </w:tbl>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 xml:space="preserve"> (2)监测内容：</w:t>
      </w:r>
    </w:p>
    <w:p>
      <w:pPr>
        <w:spacing w:before="78"/>
        <w:ind w:left="20" w:right="7" w:firstLine="422"/>
        <w:rPr>
          <w:rFonts w:hAnsi="宋体"/>
          <w:b/>
          <w:bCs/>
          <w:color w:val="auto"/>
          <w:szCs w:val="21"/>
          <w:highlight w:val="none"/>
        </w:rPr>
      </w:pPr>
      <w:r>
        <w:rPr>
          <w:rFonts w:hint="eastAsia" w:hAnsi="宋体"/>
          <w:b/>
          <w:bCs/>
          <w:color w:val="auto"/>
          <w:szCs w:val="21"/>
          <w:highlight w:val="none"/>
        </w:rPr>
        <w:t>水质和生态监测：</w:t>
      </w:r>
    </w:p>
    <w:p>
      <w:pPr>
        <w:spacing w:before="78"/>
        <w:ind w:left="20" w:right="7" w:firstLine="420"/>
        <w:rPr>
          <w:rFonts w:hAnsi="宋体"/>
          <w:color w:val="auto"/>
          <w:szCs w:val="21"/>
          <w:highlight w:val="none"/>
        </w:rPr>
      </w:pPr>
      <w:r>
        <w:rPr>
          <w:rFonts w:hint="eastAsia" w:hAnsi="宋体"/>
          <w:color w:val="auto"/>
          <w:szCs w:val="21"/>
          <w:highlight w:val="none"/>
        </w:rPr>
        <w:t>1)监测项目：水温、盐度、溶解氧、浊度、余氯和浮游生物。</w:t>
      </w:r>
    </w:p>
    <w:p>
      <w:pPr>
        <w:spacing w:before="78"/>
        <w:ind w:left="20" w:right="7" w:firstLine="420"/>
        <w:rPr>
          <w:rFonts w:hAnsi="宋体"/>
          <w:color w:val="auto"/>
          <w:szCs w:val="21"/>
          <w:highlight w:val="none"/>
        </w:rPr>
      </w:pPr>
      <w:r>
        <w:rPr>
          <w:rFonts w:hint="eastAsia" w:hAnsi="宋体"/>
          <w:color w:val="auto"/>
          <w:szCs w:val="21"/>
          <w:highlight w:val="none"/>
        </w:rPr>
        <w:t>2)采样层次：按照《海洋监测规范》(17378.3-2007)等中的有关技术要求执行。</w:t>
      </w:r>
    </w:p>
    <w:p>
      <w:pPr>
        <w:spacing w:before="78"/>
        <w:ind w:left="20" w:right="7" w:firstLine="420"/>
        <w:rPr>
          <w:rFonts w:hAnsi="宋体"/>
          <w:color w:val="auto"/>
          <w:szCs w:val="21"/>
          <w:highlight w:val="none"/>
        </w:rPr>
      </w:pPr>
      <w:r>
        <w:rPr>
          <w:rFonts w:hint="eastAsia" w:hAnsi="宋体"/>
          <w:color w:val="auto"/>
          <w:szCs w:val="21"/>
          <w:highlight w:val="none"/>
        </w:rPr>
        <w:t>3)监测时间和频率：全年监测4次，分别在3月、5月、8月和10月各观测1次。</w:t>
      </w:r>
    </w:p>
    <w:p>
      <w:pPr>
        <w:spacing w:before="78"/>
        <w:ind w:left="20" w:right="7" w:firstLine="422"/>
        <w:rPr>
          <w:rFonts w:hAnsi="宋体"/>
          <w:b/>
          <w:bCs/>
          <w:color w:val="auto"/>
          <w:szCs w:val="21"/>
          <w:highlight w:val="none"/>
        </w:rPr>
      </w:pPr>
      <w:r>
        <w:rPr>
          <w:rFonts w:hint="eastAsia" w:hAnsi="宋体"/>
          <w:b/>
          <w:bCs/>
          <w:color w:val="auto"/>
          <w:szCs w:val="21"/>
          <w:highlight w:val="none"/>
        </w:rPr>
        <w:t>水温和余氯走航监测：</w:t>
      </w:r>
    </w:p>
    <w:p>
      <w:pPr>
        <w:spacing w:before="78"/>
        <w:ind w:left="20" w:right="7" w:firstLine="420"/>
        <w:rPr>
          <w:rFonts w:hAnsi="宋体"/>
          <w:color w:val="auto"/>
          <w:szCs w:val="21"/>
          <w:highlight w:val="none"/>
        </w:rPr>
      </w:pPr>
      <w:r>
        <w:rPr>
          <w:rFonts w:hint="eastAsia" w:hAnsi="宋体"/>
          <w:color w:val="auto"/>
          <w:szCs w:val="21"/>
          <w:highlight w:val="none"/>
        </w:rPr>
        <w:t>1)监测项目：水温和余氯；</w:t>
      </w:r>
    </w:p>
    <w:p>
      <w:pPr>
        <w:spacing w:before="78"/>
        <w:ind w:left="20" w:right="7" w:firstLine="420"/>
        <w:rPr>
          <w:rFonts w:hAnsi="宋体"/>
          <w:color w:val="auto"/>
          <w:szCs w:val="21"/>
          <w:highlight w:val="none"/>
        </w:rPr>
      </w:pPr>
      <w:r>
        <w:rPr>
          <w:rFonts w:hint="eastAsia" w:hAnsi="宋体"/>
          <w:color w:val="auto"/>
          <w:szCs w:val="21"/>
          <w:highlight w:val="none"/>
        </w:rPr>
        <w:t>2)监测时间和频率：全年监测4次，分别在3月、5月、8月和10月小潮落憩各观测1次。</w:t>
      </w:r>
    </w:p>
    <w:p>
      <w:pPr>
        <w:spacing w:before="78"/>
        <w:ind w:left="20" w:right="7" w:firstLine="422"/>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浮游生物监测：</w:t>
      </w:r>
    </w:p>
    <w:p>
      <w:pPr>
        <w:spacing w:before="78"/>
        <w:ind w:left="20" w:right="7" w:firstLine="420"/>
        <w:rPr>
          <w:rFonts w:ascii="Times New Roman" w:hAnsi="Times New Roman" w:cs="Times New Roman"/>
          <w:color w:val="auto"/>
          <w:szCs w:val="21"/>
          <w:highlight w:val="none"/>
        </w:rPr>
      </w:pPr>
      <w:r>
        <w:rPr>
          <w:rFonts w:ascii="Times New Roman" w:hAnsi="Times New Roman" w:cs="Times New Roman"/>
          <w:color w:val="auto"/>
          <w:szCs w:val="21"/>
          <w:highlight w:val="none"/>
        </w:rPr>
        <w:t>1)监测项目：浮游植物(网采、水采)、浮游动物(网采)。</w:t>
      </w:r>
    </w:p>
    <w:p>
      <w:pPr>
        <w:spacing w:before="78"/>
        <w:ind w:left="20" w:right="7" w:firstLine="420"/>
        <w:rPr>
          <w:rFonts w:ascii="Times New Roman" w:hAnsi="Times New Roman" w:cs="Times New Roman"/>
          <w:color w:val="auto"/>
          <w:szCs w:val="21"/>
          <w:highlight w:val="none"/>
        </w:rPr>
      </w:pPr>
      <w:r>
        <w:rPr>
          <w:rFonts w:ascii="Times New Roman" w:hAnsi="Times New Roman" w:cs="Times New Roman"/>
          <w:color w:val="auto"/>
          <w:szCs w:val="21"/>
          <w:highlight w:val="none"/>
        </w:rPr>
        <w:t>2)采样要求：按照《海洋监测规范》(17378.3-2007)、《海洋调查规范》(GB/T12763-2007)、《海洋渔业资源调查规范》(SCT9403-2012)等中的有关技术要求进行。</w:t>
      </w:r>
    </w:p>
    <w:p>
      <w:pPr>
        <w:spacing w:before="78"/>
        <w:ind w:left="20" w:right="7" w:firstLine="420"/>
        <w:rPr>
          <w:rFonts w:hAnsi="宋体"/>
          <w:color w:val="auto"/>
          <w:szCs w:val="21"/>
          <w:highlight w:val="none"/>
        </w:rPr>
      </w:pPr>
      <w:r>
        <w:rPr>
          <w:rFonts w:hint="eastAsia" w:hAnsi="宋体"/>
          <w:color w:val="auto"/>
          <w:szCs w:val="21"/>
          <w:highlight w:val="none"/>
        </w:rPr>
        <w:t>(4)监测频次</w:t>
      </w:r>
    </w:p>
    <w:p>
      <w:pPr>
        <w:spacing w:before="78"/>
        <w:ind w:left="20" w:right="7" w:firstLine="420"/>
        <w:rPr>
          <w:rFonts w:hAnsi="宋体"/>
          <w:color w:val="auto"/>
          <w:szCs w:val="21"/>
          <w:highlight w:val="none"/>
        </w:rPr>
      </w:pPr>
      <w:r>
        <w:rPr>
          <w:rFonts w:hint="eastAsia" w:hAnsi="宋体"/>
          <w:color w:val="auto"/>
          <w:szCs w:val="21"/>
          <w:highlight w:val="none"/>
        </w:rPr>
        <w:t>全年监测4次,分别在3月、5月、8月和10月进行。</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4 生态用海用岛修复面积及效果监测</w:t>
      </w:r>
    </w:p>
    <w:p>
      <w:pPr>
        <w:spacing w:before="78"/>
        <w:ind w:left="20" w:right="7" w:firstLine="420"/>
        <w:rPr>
          <w:rFonts w:hAnsi="宋体"/>
          <w:color w:val="auto"/>
          <w:szCs w:val="21"/>
          <w:highlight w:val="none"/>
        </w:rPr>
      </w:pPr>
      <w:r>
        <w:rPr>
          <w:rFonts w:hint="eastAsia" w:hAnsi="宋体"/>
          <w:color w:val="auto"/>
          <w:szCs w:val="21"/>
          <w:highlight w:val="none"/>
        </w:rPr>
        <w:t>(1)监测内容：向陆侧海堤生态化的水系和绿化建设面积及效果，典型岸滩湿地修复互花米草整治、本地耐碱植被种植面积及效果。</w:t>
      </w:r>
    </w:p>
    <w:p>
      <w:pPr>
        <w:spacing w:before="78"/>
        <w:ind w:left="20" w:right="7" w:firstLine="420"/>
        <w:rPr>
          <w:rFonts w:hAnsi="宋体"/>
          <w:color w:val="auto"/>
          <w:szCs w:val="21"/>
          <w:highlight w:val="none"/>
        </w:rPr>
      </w:pPr>
      <w:r>
        <w:rPr>
          <w:rFonts w:hint="eastAsia" w:hAnsi="宋体"/>
          <w:color w:val="auto"/>
          <w:szCs w:val="21"/>
          <w:highlight w:val="none"/>
        </w:rPr>
        <w:t>(2)监测频次：每季度监测1次。</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四、成果</w:t>
      </w:r>
    </w:p>
    <w:p>
      <w:pPr>
        <w:spacing w:before="78"/>
        <w:ind w:left="20" w:right="7" w:firstLine="420"/>
        <w:rPr>
          <w:rFonts w:hAnsi="宋体"/>
          <w:color w:val="auto"/>
          <w:szCs w:val="21"/>
          <w:highlight w:val="none"/>
        </w:rPr>
      </w:pPr>
      <w:r>
        <w:rPr>
          <w:rFonts w:hint="eastAsia" w:hAnsi="宋体"/>
          <w:color w:val="auto"/>
          <w:szCs w:val="21"/>
          <w:highlight w:val="none"/>
        </w:rPr>
        <w:t>(1)图件：绘制生态资源分布及温升范围分布图等相关图件；</w:t>
      </w:r>
    </w:p>
    <w:p>
      <w:pPr>
        <w:spacing w:before="78"/>
        <w:ind w:left="20" w:right="7" w:firstLine="420"/>
        <w:rPr>
          <w:rFonts w:hAnsi="宋体"/>
          <w:color w:val="auto"/>
          <w:szCs w:val="21"/>
          <w:highlight w:val="none"/>
        </w:rPr>
      </w:pPr>
      <w:r>
        <w:rPr>
          <w:rFonts w:hint="eastAsia" w:hAnsi="宋体"/>
          <w:color w:val="auto"/>
          <w:szCs w:val="21"/>
          <w:highlight w:val="none"/>
        </w:rPr>
        <w:t>(2)报告：</w:t>
      </w:r>
    </w:p>
    <w:p>
      <w:pPr>
        <w:spacing w:before="78"/>
        <w:ind w:left="20" w:right="7" w:firstLine="420"/>
        <w:rPr>
          <w:rFonts w:hAnsi="宋体"/>
          <w:color w:val="auto"/>
          <w:szCs w:val="21"/>
          <w:highlight w:val="none"/>
        </w:rPr>
      </w:pPr>
      <w:r>
        <w:rPr>
          <w:rFonts w:hint="eastAsia" w:hAnsi="宋体"/>
          <w:color w:val="auto"/>
          <w:szCs w:val="21"/>
          <w:highlight w:val="none"/>
        </w:rPr>
        <w:t>1)《2023年舟山绿色石化基地围填海工程运行期海域生态资源跟踪监测报告(年度)》，海域报告将背景值监测的22个站位海域监测站位合并分析；</w:t>
      </w:r>
    </w:p>
    <w:p>
      <w:pPr>
        <w:spacing w:before="78"/>
        <w:ind w:left="20" w:right="7" w:firstLine="420"/>
        <w:rPr>
          <w:rFonts w:hAnsi="宋体"/>
          <w:color w:val="auto"/>
          <w:szCs w:val="21"/>
          <w:highlight w:val="none"/>
        </w:rPr>
      </w:pPr>
      <w:r>
        <w:rPr>
          <w:rFonts w:hint="eastAsia" w:hAnsi="宋体"/>
          <w:color w:val="auto"/>
          <w:szCs w:val="21"/>
          <w:highlight w:val="none"/>
        </w:rPr>
        <w:t>2)《2023年舟山绿色石化基地围填海工程运行期海岛生态资源跟踪监测报告(年度)》。</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五、服务期限：</w:t>
      </w:r>
      <w:r>
        <w:rPr>
          <w:rFonts w:hint="eastAsia" w:hAnsi="宋体"/>
          <w:color w:val="auto"/>
          <w:szCs w:val="21"/>
          <w:highlight w:val="none"/>
        </w:rPr>
        <w:t>自合同签订之日起一年。</w:t>
      </w:r>
    </w:p>
    <w:p>
      <w:pPr>
        <w:spacing w:before="78"/>
        <w:ind w:left="20" w:right="7" w:firstLine="420"/>
        <w:rPr>
          <w:rFonts w:hAnsi="宋体"/>
          <w:color w:val="auto"/>
          <w:szCs w:val="21"/>
          <w:highlight w:val="none"/>
          <w14:textOutline w14:w="5448" w14:cap="flat" w14:cmpd="sng" w14:algn="ctr">
            <w14:solidFill>
              <w14:srgbClr w14:val="000000"/>
            </w14:solidFill>
            <w14:prstDash w14:val="solid"/>
            <w14:miter w14:val="0"/>
          </w14:textOutline>
        </w:rPr>
      </w:pPr>
      <w:r>
        <w:rPr>
          <w:rFonts w:hint="eastAsia" w:hAnsi="宋体"/>
          <w:color w:val="auto"/>
          <w:szCs w:val="21"/>
          <w:highlight w:val="none"/>
          <w14:textOutline w14:w="5448" w14:cap="flat" w14:cmpd="sng" w14:algn="ctr">
            <w14:solidFill>
              <w14:srgbClr w14:val="000000"/>
            </w14:solidFill>
            <w14:prstDash w14:val="solid"/>
            <w14:miter w14:val="0"/>
          </w14:textOutline>
        </w:rPr>
        <w:t>六、付款方式</w:t>
      </w:r>
    </w:p>
    <w:p>
      <w:pPr>
        <w:adjustRightInd w:val="0"/>
        <w:ind w:firstLine="420"/>
        <w:rPr>
          <w:rFonts w:hAnsi="宋体"/>
          <w:bCs/>
          <w:color w:val="auto"/>
          <w:szCs w:val="21"/>
          <w:highlight w:val="none"/>
        </w:rPr>
      </w:pPr>
      <w:r>
        <w:rPr>
          <w:rFonts w:hint="eastAsia" w:hAnsi="宋体"/>
          <w:bCs/>
          <w:color w:val="auto"/>
          <w:szCs w:val="21"/>
          <w:highlight w:val="none"/>
        </w:rPr>
        <w:t>本项目分期支付价款：</w:t>
      </w:r>
    </w:p>
    <w:p>
      <w:pPr>
        <w:adjustRightInd w:val="0"/>
        <w:ind w:firstLine="420"/>
        <w:rPr>
          <w:rFonts w:hAnsi="宋体"/>
          <w:bCs/>
          <w:color w:val="auto"/>
          <w:szCs w:val="21"/>
          <w:highlight w:val="none"/>
        </w:rPr>
      </w:pPr>
      <w:r>
        <w:rPr>
          <w:rFonts w:hint="eastAsia" w:hAnsi="宋体"/>
          <w:bCs/>
          <w:color w:val="auto"/>
          <w:szCs w:val="21"/>
          <w:highlight w:val="none"/>
        </w:rPr>
        <w:t>第一次支付：合同签订后15个工作日内支付合同价款的40%；</w:t>
      </w:r>
    </w:p>
    <w:p>
      <w:pPr>
        <w:adjustRightInd w:val="0"/>
        <w:ind w:firstLine="420"/>
        <w:rPr>
          <w:rFonts w:hAnsi="宋体"/>
          <w:color w:val="auto"/>
          <w:szCs w:val="21"/>
          <w:highlight w:val="none"/>
        </w:rPr>
      </w:pPr>
      <w:r>
        <w:rPr>
          <w:rFonts w:hint="eastAsia" w:hAnsi="宋体"/>
          <w:bCs/>
          <w:color w:val="auto"/>
          <w:szCs w:val="21"/>
          <w:highlight w:val="none"/>
        </w:rPr>
        <w:t>第二次支付：</w:t>
      </w:r>
      <w:r>
        <w:rPr>
          <w:rFonts w:hint="eastAsia" w:hAnsi="宋体"/>
          <w:color w:val="auto"/>
          <w:szCs w:val="21"/>
          <w:highlight w:val="none"/>
        </w:rPr>
        <w:t>完成监测工作并提交监测报告(送审稿)后15个工作日内，支付合同价款的30%；</w:t>
      </w:r>
    </w:p>
    <w:p>
      <w:pPr>
        <w:adjustRightInd w:val="0"/>
        <w:ind w:firstLine="420"/>
        <w:rPr>
          <w:rFonts w:hAnsi="宋体"/>
          <w:color w:val="auto"/>
          <w:szCs w:val="21"/>
          <w:highlight w:val="none"/>
        </w:rPr>
      </w:pPr>
      <w:r>
        <w:rPr>
          <w:rFonts w:hint="eastAsia" w:hAnsi="宋体"/>
          <w:color w:val="auto"/>
          <w:szCs w:val="21"/>
          <w:highlight w:val="none"/>
        </w:rPr>
        <w:t>第三次支付：监测报告通过专家评审,提交最终稿后15个工作日内，支付合同价款的20%；</w:t>
      </w:r>
    </w:p>
    <w:p>
      <w:pPr>
        <w:ind w:firstLine="420"/>
        <w:rPr>
          <w:rFonts w:hint="eastAsia" w:ascii="宋体" w:hAnsi="宋体"/>
          <w:b w:val="0"/>
          <w:bCs w:val="0"/>
          <w:color w:val="auto"/>
          <w:szCs w:val="21"/>
          <w:highlight w:val="none"/>
          <w:u w:val="none"/>
        </w:rPr>
      </w:pPr>
      <w:r>
        <w:rPr>
          <w:rFonts w:hint="eastAsia" w:hAnsi="宋体"/>
          <w:color w:val="auto"/>
          <w:szCs w:val="21"/>
          <w:highlight w:val="none"/>
        </w:rPr>
        <w:t>第四次支付：监测报告上报行政</w:t>
      </w:r>
      <w:r>
        <w:rPr>
          <w:rFonts w:hAnsi="宋体"/>
          <w:color w:val="auto"/>
          <w:szCs w:val="21"/>
          <w:highlight w:val="none"/>
        </w:rPr>
        <w:t>管理部门</w:t>
      </w:r>
      <w:r>
        <w:rPr>
          <w:rFonts w:hint="eastAsia" w:hAnsi="宋体"/>
          <w:color w:val="auto"/>
          <w:szCs w:val="21"/>
          <w:highlight w:val="none"/>
        </w:rPr>
        <w:t>备案后15个工作日内付清剩余价款。</w:t>
      </w:r>
    </w:p>
    <w:p>
      <w:pPr>
        <w:pStyle w:val="6"/>
        <w:numPr>
          <w:ilvl w:val="1"/>
          <w:numId w:val="0"/>
        </w:numPr>
        <w:ind w:leftChars="0"/>
        <w:jc w:val="both"/>
        <w:rPr>
          <w:rFonts w:hint="eastAsia"/>
          <w:color w:val="auto"/>
          <w:highlight w:val="none"/>
          <w:lang w:val="en-US" w:eastAsia="zh-CN"/>
        </w:rPr>
      </w:pPr>
    </w:p>
    <w:p>
      <w:pPr>
        <w:ind w:firstLine="420"/>
        <w:rPr>
          <w:rFonts w:hint="eastAsia"/>
          <w:color w:val="auto"/>
          <w:highlight w:val="none"/>
          <w:u w:val="none"/>
          <w:lang w:val="en-US" w:eastAsia="zh-CN"/>
        </w:rPr>
      </w:pPr>
    </w:p>
    <w:p>
      <w:pPr>
        <w:ind w:firstLine="420"/>
        <w:rPr>
          <w:rFonts w:hint="eastAsia"/>
          <w:color w:val="auto"/>
          <w:highlight w:val="none"/>
          <w:u w:val="none"/>
          <w:lang w:val="en-US" w:eastAsia="zh-CN"/>
        </w:rPr>
        <w:sectPr>
          <w:footerReference r:id="rId6" w:type="default"/>
          <w:pgSz w:w="11907" w:h="16840"/>
          <w:pgMar w:top="1440" w:right="1440" w:bottom="1440" w:left="1440" w:header="851" w:footer="567" w:gutter="0"/>
          <w:pgNumType w:fmt="decimal" w:start="1"/>
          <w:cols w:space="720" w:num="1"/>
        </w:sectPr>
      </w:pPr>
    </w:p>
    <w:bookmarkEnd w:id="5"/>
    <w:p>
      <w:pPr>
        <w:pStyle w:val="5"/>
        <w:spacing w:after="156"/>
        <w:rPr>
          <w:color w:val="auto"/>
          <w:highlight w:val="none"/>
        </w:rPr>
      </w:pPr>
      <w:bookmarkStart w:id="6" w:name="_Toc72432385"/>
      <w:r>
        <w:rPr>
          <w:rFonts w:hint="eastAsia"/>
          <w:color w:val="auto"/>
          <w:highlight w:val="none"/>
        </w:rPr>
        <w:t>投标人须知</w:t>
      </w:r>
      <w:bookmarkEnd w:id="6"/>
    </w:p>
    <w:p>
      <w:pPr>
        <w:widowControl/>
        <w:wordWrap/>
        <w:spacing w:line="240" w:lineRule="auto"/>
        <w:ind w:firstLine="0" w:firstLineChars="0"/>
        <w:jc w:val="center"/>
        <w:rPr>
          <w:color w:val="auto"/>
          <w:highlight w:val="none"/>
        </w:rPr>
      </w:pPr>
      <w:r>
        <w:rPr>
          <w:rFonts w:hint="eastAsia"/>
          <w:b/>
          <w:bCs/>
          <w:color w:val="auto"/>
          <w:sz w:val="24"/>
          <w:szCs w:val="28"/>
          <w:highlight w:val="none"/>
        </w:rPr>
        <w:t>投标人须知前附表</w:t>
      </w:r>
    </w:p>
    <w:p>
      <w:pPr>
        <w:snapToGrid w:val="0"/>
        <w:spacing w:line="276" w:lineRule="auto"/>
        <w:jc w:val="center"/>
        <w:rPr>
          <w:rFonts w:ascii="宋体" w:hAnsi="宋体" w:cs="宋体"/>
          <w:b/>
          <w:color w:val="auto"/>
          <w:szCs w:val="21"/>
          <w:highlight w:val="none"/>
        </w:rPr>
      </w:pPr>
    </w:p>
    <w:tbl>
      <w:tblPr>
        <w:tblStyle w:val="26"/>
        <w:tblW w:w="10081" w:type="dxa"/>
        <w:jc w:val="center"/>
        <w:tblCellSpacing w:w="7" w:type="dxa"/>
        <w:tblLayout w:type="fixed"/>
        <w:tblCellMar>
          <w:top w:w="15" w:type="dxa"/>
          <w:left w:w="15" w:type="dxa"/>
          <w:bottom w:w="15" w:type="dxa"/>
          <w:right w:w="15" w:type="dxa"/>
        </w:tblCellMar>
      </w:tblPr>
      <w:tblGrid>
        <w:gridCol w:w="647"/>
        <w:gridCol w:w="1757"/>
        <w:gridCol w:w="7677"/>
      </w:tblGrid>
      <w:tr>
        <w:trPr>
          <w:trHeight w:val="567" w:hRule="atLeast"/>
          <w:tblCellSpacing w:w="7" w:type="dxa"/>
          <w:jc w:val="center"/>
        </w:trPr>
        <w:tc>
          <w:tcPr>
            <w:tcW w:w="626" w:type="dxa"/>
            <w:tcBorders>
              <w:top w:val="single" w:color="auto" w:sz="4" w:space="0"/>
              <w:left w:val="single" w:color="auto" w:sz="4" w:space="0"/>
              <w:bottom w:val="single" w:color="auto" w:sz="4" w:space="0"/>
              <w:right w:val="single" w:color="auto" w:sz="4" w:space="0"/>
            </w:tcBorders>
            <w:shd w:val="clear" w:color="auto" w:fill="E0E0E0"/>
            <w:vAlign w:val="center"/>
          </w:tcPr>
          <w:p>
            <w:pPr>
              <w:spacing w:line="300" w:lineRule="auto"/>
              <w:ind w:left="0" w:leftChars="0" w:firstLine="0" w:firstLineChars="0"/>
              <w:jc w:val="both"/>
              <w:rPr>
                <w:b/>
                <w:color w:val="auto"/>
                <w:szCs w:val="21"/>
                <w:highlight w:val="none"/>
              </w:rPr>
            </w:pPr>
            <w:r>
              <w:rPr>
                <w:b/>
                <w:color w:val="auto"/>
                <w:szCs w:val="21"/>
                <w:highlight w:val="none"/>
              </w:rPr>
              <w:t>序号</w:t>
            </w:r>
          </w:p>
        </w:tc>
        <w:tc>
          <w:tcPr>
            <w:tcW w:w="9413" w:type="dxa"/>
            <w:gridSpan w:val="2"/>
            <w:tcBorders>
              <w:top w:val="single" w:color="auto" w:sz="4" w:space="0"/>
              <w:left w:val="single" w:color="auto" w:sz="4" w:space="0"/>
              <w:bottom w:val="single" w:color="auto" w:sz="4" w:space="0"/>
              <w:right w:val="single" w:color="auto" w:sz="4" w:space="0"/>
            </w:tcBorders>
            <w:shd w:val="clear" w:color="auto" w:fill="E0E0E0"/>
            <w:vAlign w:val="center"/>
          </w:tcPr>
          <w:p>
            <w:pPr>
              <w:spacing w:line="300" w:lineRule="auto"/>
              <w:jc w:val="center"/>
              <w:rPr>
                <w:b/>
                <w:color w:val="auto"/>
                <w:szCs w:val="21"/>
                <w:highlight w:val="none"/>
              </w:rPr>
            </w:pPr>
            <w:r>
              <w:rPr>
                <w:b/>
                <w:color w:val="auto"/>
                <w:szCs w:val="21"/>
                <w:highlight w:val="none"/>
              </w:rPr>
              <w:t>内容说明及要求</w:t>
            </w:r>
          </w:p>
        </w:tc>
      </w:tr>
      <w:tr>
        <w:tblPrEx>
          <w:tblCellMar>
            <w:top w:w="15" w:type="dxa"/>
            <w:left w:w="15" w:type="dxa"/>
            <w:bottom w:w="15" w:type="dxa"/>
            <w:right w:w="15" w:type="dxa"/>
          </w:tblCellMar>
        </w:tblPrEx>
        <w:trPr>
          <w:trHeight w:val="534" w:hRule="atLeast"/>
          <w:tblCellSpacing w:w="7" w:type="dxa"/>
          <w:jc w:val="center"/>
        </w:trPr>
        <w:tc>
          <w:tcPr>
            <w:tcW w:w="626"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1</w:t>
            </w:r>
          </w:p>
        </w:tc>
        <w:tc>
          <w:tcPr>
            <w:tcW w:w="1743"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项目名称</w:t>
            </w:r>
          </w:p>
        </w:tc>
        <w:tc>
          <w:tcPr>
            <w:tcW w:w="765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wordWrap w:val="0"/>
              <w:overflowPunct/>
              <w:topLinePunct w:val="0"/>
              <w:autoSpaceDE/>
              <w:autoSpaceDN/>
              <w:bidi w:val="0"/>
              <w:adjustRightInd/>
              <w:snapToGrid/>
              <w:spacing w:line="380" w:lineRule="exact"/>
              <w:ind w:firstLine="6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shd w:val="clear" w:color="auto" w:fill="FFFFFF"/>
                <w:lang w:eastAsia="zh-CN"/>
              </w:rPr>
              <w:t>2023年舟山绿色石化基地围填海工程营运期海域、海岛生态环境跟踪监测</w:t>
            </w:r>
          </w:p>
        </w:tc>
      </w:tr>
      <w:tr>
        <w:tblPrEx>
          <w:tblCellMar>
            <w:top w:w="15" w:type="dxa"/>
            <w:left w:w="15" w:type="dxa"/>
            <w:bottom w:w="15" w:type="dxa"/>
            <w:right w:w="15" w:type="dxa"/>
          </w:tblCellMar>
        </w:tblPrEx>
        <w:trPr>
          <w:trHeight w:val="535" w:hRule="atLeast"/>
          <w:tblCellSpacing w:w="7" w:type="dxa"/>
          <w:jc w:val="center"/>
        </w:trPr>
        <w:tc>
          <w:tcPr>
            <w:tcW w:w="626"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2</w:t>
            </w:r>
          </w:p>
        </w:tc>
        <w:tc>
          <w:tcPr>
            <w:tcW w:w="1743"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采购人名称</w:t>
            </w:r>
          </w:p>
        </w:tc>
        <w:tc>
          <w:tcPr>
            <w:tcW w:w="765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wordWrap w:val="0"/>
              <w:overflowPunct/>
              <w:topLinePunct w:val="0"/>
              <w:autoSpaceDE/>
              <w:autoSpaceDN/>
              <w:bidi w:val="0"/>
              <w:adjustRightInd/>
              <w:snapToGrid/>
              <w:spacing w:line="380" w:lineRule="exact"/>
              <w:ind w:firstLine="60" w:firstLineChars="0"/>
              <w:textAlignment w:val="auto"/>
              <w:rPr>
                <w:rFonts w:hint="default" w:ascii="Times New Roman" w:hAnsi="Times New Roman" w:cs="Times New Roman"/>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舟山绿色石化基地管委会</w:t>
            </w:r>
          </w:p>
        </w:tc>
      </w:tr>
      <w:tr>
        <w:tblPrEx>
          <w:tblCellMar>
            <w:top w:w="15" w:type="dxa"/>
            <w:left w:w="15" w:type="dxa"/>
            <w:bottom w:w="15" w:type="dxa"/>
            <w:right w:w="15" w:type="dxa"/>
          </w:tblCellMar>
        </w:tblPrEx>
        <w:trPr>
          <w:trHeight w:val="509" w:hRule="atLeast"/>
          <w:tblCellSpacing w:w="7" w:type="dxa"/>
          <w:jc w:val="center"/>
        </w:trPr>
        <w:tc>
          <w:tcPr>
            <w:tcW w:w="626"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3</w:t>
            </w:r>
          </w:p>
        </w:tc>
        <w:tc>
          <w:tcPr>
            <w:tcW w:w="1743"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采购内容</w:t>
            </w:r>
          </w:p>
        </w:tc>
        <w:tc>
          <w:tcPr>
            <w:tcW w:w="765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wordWrap w:val="0"/>
              <w:overflowPunct/>
              <w:topLinePunct w:val="0"/>
              <w:autoSpaceDE/>
              <w:autoSpaceDN/>
              <w:bidi w:val="0"/>
              <w:adjustRightInd/>
              <w:snapToGrid/>
              <w:spacing w:line="380" w:lineRule="exact"/>
              <w:ind w:firstLine="60" w:firstLineChars="0"/>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详见采购需求</w:t>
            </w:r>
          </w:p>
        </w:tc>
      </w:tr>
      <w:tr>
        <w:trPr>
          <w:trHeight w:val="516" w:hRule="atLeast"/>
          <w:tblCellSpacing w:w="7" w:type="dxa"/>
          <w:jc w:val="center"/>
        </w:trPr>
        <w:tc>
          <w:tcPr>
            <w:tcW w:w="626"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4</w:t>
            </w:r>
          </w:p>
        </w:tc>
        <w:tc>
          <w:tcPr>
            <w:tcW w:w="1743"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color w:val="auto"/>
                <w:sz w:val="21"/>
                <w:szCs w:val="21"/>
                <w:highlight w:val="none"/>
                <w:lang w:eastAsia="zh-CN"/>
              </w:rPr>
            </w:pPr>
            <w:r>
              <w:rPr>
                <w:rFonts w:hint="eastAsia" w:ascii="Times New Roman" w:hAnsi="Times New Roman" w:cs="Times New Roman"/>
                <w:b/>
                <w:color w:val="auto"/>
                <w:sz w:val="21"/>
                <w:szCs w:val="21"/>
                <w:highlight w:val="none"/>
                <w:lang w:eastAsia="zh-CN"/>
              </w:rPr>
              <w:t>最高限价</w:t>
            </w:r>
          </w:p>
        </w:tc>
        <w:tc>
          <w:tcPr>
            <w:tcW w:w="765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tabs>
                <w:tab w:val="left" w:pos="3720"/>
              </w:tabs>
              <w:kinsoku/>
              <w:wordWrap w:val="0"/>
              <w:overflowPunct/>
              <w:topLinePunct w:val="0"/>
              <w:autoSpaceDE/>
              <w:autoSpaceDN/>
              <w:bidi w:val="0"/>
              <w:adjustRightInd/>
              <w:snapToGrid/>
              <w:spacing w:line="380" w:lineRule="exact"/>
              <w:ind w:firstLine="6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color w:val="auto"/>
                <w:sz w:val="21"/>
                <w:szCs w:val="21"/>
                <w:highlight w:val="none"/>
              </w:rPr>
              <w:t>人民币</w:t>
            </w:r>
            <w:r>
              <w:rPr>
                <w:rFonts w:hint="eastAsia" w:ascii="Times New Roman" w:hAnsi="Times New Roman" w:cs="Times New Roman"/>
                <w:b/>
                <w:color w:val="auto"/>
                <w:sz w:val="21"/>
                <w:szCs w:val="21"/>
                <w:highlight w:val="none"/>
                <w:lang w:eastAsia="zh-CN"/>
              </w:rPr>
              <w:t>肆佰肆拾肆</w:t>
            </w:r>
            <w:r>
              <w:rPr>
                <w:rFonts w:hint="default" w:ascii="Times New Roman" w:hAnsi="Times New Roman" w:cs="Times New Roman"/>
                <w:b/>
                <w:color w:val="auto"/>
                <w:sz w:val="21"/>
                <w:szCs w:val="21"/>
                <w:highlight w:val="none"/>
              </w:rPr>
              <w:t>万元整（</w:t>
            </w:r>
            <w:r>
              <w:rPr>
                <w:rFonts w:hint="eastAsia" w:ascii="Times New Roman" w:hAnsi="Times New Roman" w:cs="Times New Roman"/>
                <w:color w:val="auto"/>
                <w:sz w:val="21"/>
                <w:szCs w:val="21"/>
                <w:highlight w:val="none"/>
                <w:lang w:val="en-US" w:eastAsia="zh-CN"/>
              </w:rPr>
              <w:t>4440000</w:t>
            </w:r>
            <w:r>
              <w:rPr>
                <w:rFonts w:hint="default" w:ascii="Times New Roman" w:hAnsi="Times New Roman" w:cs="Times New Roman"/>
                <w:b/>
                <w:color w:val="auto"/>
                <w:sz w:val="21"/>
                <w:szCs w:val="21"/>
                <w:highlight w:val="none"/>
              </w:rPr>
              <w:t>元）</w:t>
            </w:r>
          </w:p>
        </w:tc>
      </w:tr>
      <w:tr>
        <w:tblPrEx>
          <w:tblCellMar>
            <w:top w:w="15" w:type="dxa"/>
            <w:left w:w="15" w:type="dxa"/>
            <w:bottom w:w="15" w:type="dxa"/>
            <w:right w:w="15" w:type="dxa"/>
          </w:tblCellMar>
        </w:tblPrEx>
        <w:trPr>
          <w:trHeight w:val="477" w:hRule="atLeast"/>
          <w:tblCellSpacing w:w="7" w:type="dxa"/>
          <w:jc w:val="center"/>
        </w:trPr>
        <w:tc>
          <w:tcPr>
            <w:tcW w:w="626"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5</w:t>
            </w:r>
          </w:p>
        </w:tc>
        <w:tc>
          <w:tcPr>
            <w:tcW w:w="1743"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color w:val="auto"/>
                <w:sz w:val="21"/>
                <w:szCs w:val="21"/>
                <w:highlight w:val="none"/>
                <w:lang w:eastAsia="zh-CN"/>
              </w:rPr>
            </w:pPr>
            <w:r>
              <w:rPr>
                <w:rFonts w:hint="eastAsia" w:ascii="Times New Roman" w:hAnsi="Times New Roman" w:cs="Times New Roman"/>
                <w:b/>
                <w:color w:val="auto"/>
                <w:sz w:val="21"/>
                <w:szCs w:val="21"/>
                <w:highlight w:val="none"/>
                <w:lang w:eastAsia="zh-CN"/>
              </w:rPr>
              <w:t>联合体投标</w:t>
            </w:r>
          </w:p>
        </w:tc>
        <w:tc>
          <w:tcPr>
            <w:tcW w:w="765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tabs>
                <w:tab w:val="left" w:pos="3720"/>
              </w:tabs>
              <w:kinsoku/>
              <w:wordWrap w:val="0"/>
              <w:overflowPunct/>
              <w:topLinePunct w:val="0"/>
              <w:autoSpaceDE/>
              <w:autoSpaceDN/>
              <w:bidi w:val="0"/>
              <w:adjustRightInd/>
              <w:snapToGrid/>
              <w:spacing w:line="380" w:lineRule="exact"/>
              <w:ind w:firstLine="60" w:firstLineChars="0"/>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rPr>
              <w:t>本项目</w:t>
            </w:r>
            <w:r>
              <w:rPr>
                <w:rFonts w:hint="eastAsia" w:ascii="Times New Roman" w:hAnsi="Times New Roman" w:cs="Times New Roman"/>
                <w:color w:val="auto"/>
                <w:sz w:val="21"/>
                <w:szCs w:val="21"/>
                <w:highlight w:val="none"/>
                <w:lang w:eastAsia="zh-CN"/>
              </w:rPr>
              <w:t>不</w:t>
            </w:r>
            <w:r>
              <w:rPr>
                <w:rFonts w:hint="default" w:ascii="Times New Roman" w:hAnsi="Times New Roman" w:cs="Times New Roman"/>
                <w:color w:val="auto"/>
                <w:sz w:val="21"/>
                <w:szCs w:val="21"/>
                <w:highlight w:val="none"/>
              </w:rPr>
              <w:t>接受联合体投标。</w:t>
            </w:r>
          </w:p>
        </w:tc>
      </w:tr>
      <w:tr>
        <w:tblPrEx>
          <w:tblCellMar>
            <w:top w:w="15" w:type="dxa"/>
            <w:left w:w="15" w:type="dxa"/>
            <w:bottom w:w="15" w:type="dxa"/>
            <w:right w:w="15" w:type="dxa"/>
          </w:tblCellMar>
        </w:tblPrEx>
        <w:trPr>
          <w:trHeight w:val="477" w:hRule="atLeast"/>
          <w:tblCellSpacing w:w="7" w:type="dxa"/>
          <w:jc w:val="center"/>
        </w:trPr>
        <w:tc>
          <w:tcPr>
            <w:tcW w:w="626"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6</w:t>
            </w:r>
          </w:p>
        </w:tc>
        <w:tc>
          <w:tcPr>
            <w:tcW w:w="1743"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color w:val="auto"/>
                <w:sz w:val="21"/>
                <w:szCs w:val="21"/>
                <w:highlight w:val="none"/>
                <w:lang w:eastAsia="zh-CN"/>
              </w:rPr>
            </w:pPr>
            <w:r>
              <w:rPr>
                <w:rFonts w:hint="eastAsia" w:ascii="Times New Roman" w:hAnsi="Times New Roman" w:cs="Times New Roman"/>
                <w:b/>
                <w:color w:val="auto"/>
                <w:sz w:val="21"/>
                <w:szCs w:val="21"/>
                <w:highlight w:val="none"/>
                <w:lang w:eastAsia="zh-CN"/>
              </w:rPr>
              <w:t>转包与分包</w:t>
            </w:r>
          </w:p>
        </w:tc>
        <w:tc>
          <w:tcPr>
            <w:tcW w:w="765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wordWrap w:val="0"/>
              <w:overflowPunct/>
              <w:topLinePunct w:val="0"/>
              <w:autoSpaceDE/>
              <w:autoSpaceDN/>
              <w:bidi w:val="0"/>
              <w:adjustRightInd/>
              <w:snapToGrid/>
              <w:spacing w:line="380" w:lineRule="exact"/>
              <w:ind w:firstLine="6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本项目不允许转包。</w:t>
            </w:r>
          </w:p>
          <w:p>
            <w:pPr>
              <w:keepNext w:val="0"/>
              <w:keepLines w:val="0"/>
              <w:pageBreakBefore w:val="0"/>
              <w:widowControl w:val="0"/>
              <w:kinsoku/>
              <w:wordWrap w:val="0"/>
              <w:overflowPunct/>
              <w:topLinePunct w:val="0"/>
              <w:autoSpaceDE/>
              <w:autoSpaceDN/>
              <w:bidi w:val="0"/>
              <w:adjustRightInd/>
              <w:snapToGrid/>
              <w:spacing w:line="380" w:lineRule="exact"/>
              <w:ind w:firstLine="6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highlight w:val="none"/>
              </w:rPr>
              <w:t>本项目未经招标人同意，不允许分包。</w:t>
            </w:r>
          </w:p>
        </w:tc>
      </w:tr>
      <w:tr>
        <w:tblPrEx>
          <w:tblCellMar>
            <w:top w:w="15" w:type="dxa"/>
            <w:left w:w="15" w:type="dxa"/>
            <w:bottom w:w="15" w:type="dxa"/>
            <w:right w:w="15" w:type="dxa"/>
          </w:tblCellMar>
        </w:tblPrEx>
        <w:trPr>
          <w:trHeight w:val="522" w:hRule="atLeast"/>
          <w:tblCellSpacing w:w="7" w:type="dxa"/>
          <w:jc w:val="center"/>
        </w:trPr>
        <w:tc>
          <w:tcPr>
            <w:tcW w:w="626"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7</w:t>
            </w:r>
          </w:p>
        </w:tc>
        <w:tc>
          <w:tcPr>
            <w:tcW w:w="1743"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服务期限</w:t>
            </w:r>
          </w:p>
        </w:tc>
        <w:tc>
          <w:tcPr>
            <w:tcW w:w="765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wordWrap w:val="0"/>
              <w:overflowPunct/>
              <w:topLinePunct w:val="0"/>
              <w:autoSpaceDE/>
              <w:autoSpaceDN/>
              <w:bidi w:val="0"/>
              <w:adjustRightInd/>
              <w:snapToGrid/>
              <w:spacing w:line="380" w:lineRule="exact"/>
              <w:ind w:firstLine="6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详见采购需求</w:t>
            </w:r>
          </w:p>
        </w:tc>
      </w:tr>
      <w:tr>
        <w:tblPrEx>
          <w:tblCellMar>
            <w:top w:w="15" w:type="dxa"/>
            <w:left w:w="15" w:type="dxa"/>
            <w:bottom w:w="15" w:type="dxa"/>
            <w:right w:w="15" w:type="dxa"/>
          </w:tblCellMar>
        </w:tblPrEx>
        <w:trPr>
          <w:trHeight w:val="567" w:hRule="atLeast"/>
          <w:tblCellSpacing w:w="7" w:type="dxa"/>
          <w:jc w:val="center"/>
        </w:trPr>
        <w:tc>
          <w:tcPr>
            <w:tcW w:w="626"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8</w:t>
            </w:r>
          </w:p>
        </w:tc>
        <w:tc>
          <w:tcPr>
            <w:tcW w:w="1743"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投标有效期</w:t>
            </w:r>
          </w:p>
        </w:tc>
        <w:tc>
          <w:tcPr>
            <w:tcW w:w="765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wordWrap w:val="0"/>
              <w:overflowPunct/>
              <w:topLinePunct w:val="0"/>
              <w:autoSpaceDE/>
              <w:autoSpaceDN/>
              <w:bidi w:val="0"/>
              <w:adjustRightInd/>
              <w:snapToGrid/>
              <w:spacing w:line="380" w:lineRule="exact"/>
              <w:ind w:firstLine="6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u w:val="single"/>
              </w:rPr>
              <w:t>90日</w:t>
            </w:r>
            <w:r>
              <w:rPr>
                <w:rFonts w:hint="default" w:ascii="Times New Roman" w:hAnsi="Times New Roman" w:cs="Times New Roman"/>
                <w:color w:val="auto"/>
                <w:sz w:val="21"/>
                <w:szCs w:val="21"/>
                <w:highlight w:val="none"/>
              </w:rPr>
              <w:t>历天。（从投标截止之日算起）</w:t>
            </w:r>
          </w:p>
        </w:tc>
      </w:tr>
      <w:tr>
        <w:tblPrEx>
          <w:tblCellMar>
            <w:top w:w="15" w:type="dxa"/>
            <w:left w:w="15" w:type="dxa"/>
            <w:bottom w:w="15" w:type="dxa"/>
            <w:right w:w="15" w:type="dxa"/>
          </w:tblCellMar>
        </w:tblPrEx>
        <w:trPr>
          <w:trHeight w:val="545" w:hRule="atLeast"/>
          <w:tblCellSpacing w:w="7" w:type="dxa"/>
          <w:jc w:val="center"/>
        </w:trPr>
        <w:tc>
          <w:tcPr>
            <w:tcW w:w="626"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30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9</w:t>
            </w:r>
          </w:p>
        </w:tc>
        <w:tc>
          <w:tcPr>
            <w:tcW w:w="1743"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评标办法</w:t>
            </w:r>
          </w:p>
        </w:tc>
        <w:tc>
          <w:tcPr>
            <w:tcW w:w="765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wordWrap w:val="0"/>
              <w:overflowPunct/>
              <w:topLinePunct w:val="0"/>
              <w:autoSpaceDE/>
              <w:autoSpaceDN/>
              <w:bidi w:val="0"/>
              <w:adjustRightInd/>
              <w:snapToGrid/>
              <w:spacing w:line="380" w:lineRule="exact"/>
              <w:ind w:firstLine="6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综合评分法</w:t>
            </w:r>
          </w:p>
        </w:tc>
      </w:tr>
      <w:tr>
        <w:tblPrEx>
          <w:tblCellMar>
            <w:top w:w="15" w:type="dxa"/>
            <w:left w:w="15" w:type="dxa"/>
            <w:bottom w:w="15" w:type="dxa"/>
            <w:right w:w="15" w:type="dxa"/>
          </w:tblCellMar>
        </w:tblPrEx>
        <w:trPr>
          <w:trHeight w:val="510" w:hRule="atLeast"/>
          <w:tblCellSpacing w:w="7" w:type="dxa"/>
          <w:jc w:val="center"/>
        </w:trPr>
        <w:tc>
          <w:tcPr>
            <w:tcW w:w="626"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10</w:t>
            </w:r>
          </w:p>
        </w:tc>
        <w:tc>
          <w:tcPr>
            <w:tcW w:w="1743"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资金结算方式</w:t>
            </w:r>
          </w:p>
        </w:tc>
        <w:tc>
          <w:tcPr>
            <w:tcW w:w="765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wordWrap w:val="0"/>
              <w:overflowPunct/>
              <w:topLinePunct w:val="0"/>
              <w:autoSpaceDE/>
              <w:autoSpaceDN/>
              <w:bidi w:val="0"/>
              <w:adjustRightInd/>
              <w:snapToGrid/>
              <w:spacing w:line="380" w:lineRule="exact"/>
              <w:ind w:firstLine="6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详见采购需求</w:t>
            </w:r>
          </w:p>
        </w:tc>
      </w:tr>
      <w:tr>
        <w:tblPrEx>
          <w:tblCellMar>
            <w:top w:w="15" w:type="dxa"/>
            <w:left w:w="15" w:type="dxa"/>
            <w:bottom w:w="15" w:type="dxa"/>
            <w:right w:w="15" w:type="dxa"/>
          </w:tblCellMar>
        </w:tblPrEx>
        <w:trPr>
          <w:trHeight w:val="567" w:hRule="atLeast"/>
          <w:tblCellSpacing w:w="7" w:type="dxa"/>
          <w:jc w:val="center"/>
        </w:trPr>
        <w:tc>
          <w:tcPr>
            <w:tcW w:w="626"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300" w:lineRule="auto"/>
              <w:ind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11</w:t>
            </w:r>
          </w:p>
        </w:tc>
        <w:tc>
          <w:tcPr>
            <w:tcW w:w="1743"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30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投标报价</w:t>
            </w:r>
          </w:p>
          <w:p>
            <w:pPr>
              <w:keepNext w:val="0"/>
              <w:keepLines w:val="0"/>
              <w:pageBreakBefore w:val="0"/>
              <w:widowControl w:val="0"/>
              <w:kinsoku/>
              <w:wordWrap w:val="0"/>
              <w:overflowPunct/>
              <w:topLinePunct w:val="0"/>
              <w:autoSpaceDE/>
              <w:autoSpaceDN/>
              <w:bidi w:val="0"/>
              <w:adjustRightInd/>
              <w:snapToGrid/>
              <w:spacing w:line="30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与相关费用</w:t>
            </w:r>
          </w:p>
        </w:tc>
        <w:tc>
          <w:tcPr>
            <w:tcW w:w="76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7"/>
              <w:keepNext w:val="0"/>
              <w:keepLines w:val="0"/>
              <w:pageBreakBefore w:val="0"/>
              <w:widowControl w:val="0"/>
              <w:kinsoku/>
              <w:wordWrap w:val="0"/>
              <w:overflowPunct/>
              <w:topLinePunct w:val="0"/>
              <w:autoSpaceDE/>
              <w:autoSpaceDN/>
              <w:bidi w:val="0"/>
              <w:adjustRightInd/>
              <w:snapToGrid/>
              <w:spacing w:line="380" w:lineRule="exact"/>
              <w:ind w:firstLine="422" w:firstLineChars="200"/>
              <w:jc w:val="left"/>
              <w:textAlignment w:val="auto"/>
              <w:rPr>
                <w:rFonts w:hint="eastAsia"/>
                <w:b/>
                <w:bCs/>
                <w:color w:val="auto"/>
                <w:sz w:val="21"/>
                <w:szCs w:val="21"/>
                <w:highlight w:val="none"/>
              </w:rPr>
            </w:pPr>
            <w:r>
              <w:rPr>
                <w:rFonts w:hint="default" w:ascii="Times New Roman" w:hAnsi="Times New Roman" w:cs="Times New Roman"/>
                <w:b/>
                <w:bCs/>
                <w:color w:val="auto"/>
                <w:sz w:val="21"/>
                <w:szCs w:val="21"/>
                <w:highlight w:val="none"/>
              </w:rPr>
              <w:t>1</w:t>
            </w:r>
            <w:r>
              <w:rPr>
                <w:rFonts w:hint="eastAsia" w:ascii="Times New Roman" w:hAnsi="Times New Roman"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rPr>
              <w:t>投标报价应以人民币报价，是履行合同的最终价格，</w:t>
            </w:r>
            <w:r>
              <w:rPr>
                <w:b/>
                <w:bCs/>
                <w:color w:val="auto"/>
                <w:sz w:val="21"/>
                <w:szCs w:val="21"/>
                <w:highlight w:val="none"/>
              </w:rPr>
              <w:t>包括人工费、监测设施费、消耗性材料费、</w:t>
            </w:r>
            <w:r>
              <w:rPr>
                <w:rFonts w:hint="eastAsia"/>
                <w:b/>
                <w:bCs/>
                <w:color w:val="auto"/>
                <w:sz w:val="21"/>
                <w:szCs w:val="21"/>
                <w:highlight w:val="none"/>
              </w:rPr>
              <w:t>临时设施费、交通费、</w:t>
            </w:r>
            <w:r>
              <w:rPr>
                <w:b/>
                <w:bCs/>
                <w:color w:val="auto"/>
                <w:sz w:val="21"/>
                <w:szCs w:val="21"/>
                <w:highlight w:val="none"/>
              </w:rPr>
              <w:t>监测设备折旧费等所有</w:t>
            </w:r>
            <w:r>
              <w:rPr>
                <w:rFonts w:hint="eastAsia"/>
                <w:b/>
                <w:bCs/>
                <w:color w:val="auto"/>
                <w:sz w:val="21"/>
                <w:szCs w:val="21"/>
                <w:highlight w:val="none"/>
              </w:rPr>
              <w:t>跟踪监测所</w:t>
            </w:r>
            <w:r>
              <w:rPr>
                <w:b/>
                <w:bCs/>
                <w:color w:val="auto"/>
                <w:sz w:val="21"/>
                <w:szCs w:val="21"/>
                <w:highlight w:val="none"/>
              </w:rPr>
              <w:t>需费用</w:t>
            </w:r>
            <w:r>
              <w:rPr>
                <w:rFonts w:hint="eastAsia"/>
                <w:b/>
                <w:bCs/>
                <w:color w:val="auto"/>
                <w:sz w:val="21"/>
                <w:szCs w:val="21"/>
                <w:highlight w:val="none"/>
              </w:rPr>
              <w:t>及监测相关报告编制费、监测验收现场会议费用（包括会务费、文本费、专家审查费等）、管理费、利润、税金等所有费用。投标</w:t>
            </w:r>
            <w:r>
              <w:rPr>
                <w:rFonts w:hint="eastAsia"/>
                <w:b/>
                <w:bCs/>
                <w:color w:val="auto"/>
                <w:sz w:val="21"/>
                <w:szCs w:val="21"/>
                <w:highlight w:val="none"/>
                <w:lang w:eastAsia="zh-CN"/>
              </w:rPr>
              <w:t>人</w:t>
            </w:r>
            <w:r>
              <w:rPr>
                <w:rFonts w:hint="eastAsia"/>
                <w:b/>
                <w:bCs/>
                <w:color w:val="auto"/>
                <w:sz w:val="21"/>
                <w:szCs w:val="21"/>
                <w:highlight w:val="none"/>
              </w:rPr>
              <w:t>在投标报价中应充分考虑所有可能发生的费用，否则采购人将视投标总价中已包括所有费用。</w:t>
            </w:r>
          </w:p>
          <w:p>
            <w:pPr>
              <w:pStyle w:val="47"/>
              <w:keepNext w:val="0"/>
              <w:keepLines w:val="0"/>
              <w:pageBreakBefore w:val="0"/>
              <w:widowControl w:val="0"/>
              <w:kinsoku/>
              <w:wordWrap w:val="0"/>
              <w:overflowPunct/>
              <w:topLinePunct w:val="0"/>
              <w:autoSpaceDE/>
              <w:autoSpaceDN/>
              <w:bidi w:val="0"/>
              <w:adjustRightInd/>
              <w:snapToGrid/>
              <w:spacing w:line="380" w:lineRule="exact"/>
              <w:ind w:firstLine="422" w:firstLineChars="200"/>
              <w:jc w:val="left"/>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2</w:t>
            </w:r>
            <w:r>
              <w:rPr>
                <w:rFonts w:hint="eastAsia" w:ascii="Times New Roman" w:hAnsi="Times New Roman"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rPr>
              <w:t>投标人应承担其参加本招标活动自身所发生的费用。</w:t>
            </w:r>
          </w:p>
          <w:p>
            <w:pPr>
              <w:pStyle w:val="47"/>
              <w:keepNext w:val="0"/>
              <w:keepLines w:val="0"/>
              <w:pageBreakBefore w:val="0"/>
              <w:widowControl w:val="0"/>
              <w:kinsoku/>
              <w:wordWrap w:val="0"/>
              <w:overflowPunct/>
              <w:topLinePunct w:val="0"/>
              <w:autoSpaceDE/>
              <w:autoSpaceDN/>
              <w:bidi w:val="0"/>
              <w:adjustRightInd/>
              <w:snapToGrid/>
              <w:spacing w:line="380" w:lineRule="exact"/>
              <w:ind w:firstLine="422" w:firstLineChars="200"/>
              <w:jc w:val="left"/>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3</w:t>
            </w:r>
            <w:r>
              <w:rPr>
                <w:rFonts w:hint="eastAsia" w:ascii="Times New Roman" w:hAnsi="Times New Roman"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rPr>
              <w:t>投标文件只允许有一个报价，有选择的、有条件的报价将被拒绝。</w:t>
            </w:r>
          </w:p>
          <w:p>
            <w:pPr>
              <w:keepNext w:val="0"/>
              <w:keepLines w:val="0"/>
              <w:pageBreakBefore w:val="0"/>
              <w:widowControl w:val="0"/>
              <w:kinsoku/>
              <w:wordWrap w:val="0"/>
              <w:overflowPunct/>
              <w:topLinePunct w:val="0"/>
              <w:autoSpaceDE/>
              <w:autoSpaceDN/>
              <w:bidi w:val="0"/>
              <w:adjustRightInd/>
              <w:snapToGrid/>
              <w:spacing w:line="380" w:lineRule="exact"/>
              <w:ind w:firstLine="422" w:firstLineChars="200"/>
              <w:textAlignment w:val="auto"/>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zh-CN"/>
              </w:rPr>
              <w:t>4</w:t>
            </w:r>
            <w:r>
              <w:rPr>
                <w:rFonts w:hint="eastAsia" w:ascii="Times New Roman" w:hAnsi="Times New Roman" w:cs="Times New Roman"/>
                <w:b/>
                <w:bCs/>
                <w:color w:val="auto"/>
                <w:sz w:val="21"/>
                <w:szCs w:val="21"/>
                <w:highlight w:val="none"/>
                <w:lang w:val="zh-CN"/>
              </w:rPr>
              <w:t>、</w:t>
            </w:r>
            <w:r>
              <w:rPr>
                <w:rFonts w:hint="default" w:ascii="Times New Roman" w:hAnsi="Times New Roman" w:cs="Times New Roman"/>
                <w:b/>
                <w:bCs/>
                <w:color w:val="auto"/>
                <w:sz w:val="21"/>
                <w:szCs w:val="21"/>
                <w:highlight w:val="none"/>
                <w:lang w:val="zh-CN"/>
              </w:rPr>
              <w:t>中标人须缴纳招标代理服务费，</w:t>
            </w:r>
            <w:r>
              <w:rPr>
                <w:rFonts w:hint="default" w:ascii="Times New Roman" w:hAnsi="Times New Roman" w:cs="Times New Roman"/>
                <w:b/>
                <w:bCs/>
                <w:color w:val="auto"/>
                <w:sz w:val="21"/>
                <w:szCs w:val="21"/>
                <w:highlight w:val="none"/>
              </w:rPr>
              <w:t>招标代理服务费为一口价包干：</w:t>
            </w:r>
            <w:r>
              <w:rPr>
                <w:rFonts w:hint="eastAsia" w:ascii="Times New Roman" w:hAnsi="Times New Roman" w:cs="Times New Roman"/>
                <w:b/>
                <w:bCs/>
                <w:color w:val="auto"/>
                <w:sz w:val="21"/>
                <w:szCs w:val="21"/>
                <w:highlight w:val="none"/>
                <w:lang w:val="en-US" w:eastAsia="zh-CN"/>
              </w:rPr>
              <w:t>28000</w:t>
            </w:r>
            <w:r>
              <w:rPr>
                <w:rFonts w:hint="default" w:ascii="Times New Roman" w:hAnsi="Times New Roman" w:cs="Times New Roman"/>
                <w:b/>
                <w:bCs/>
                <w:color w:val="auto"/>
                <w:sz w:val="21"/>
                <w:szCs w:val="21"/>
                <w:highlight w:val="none"/>
              </w:rPr>
              <w:t>元</w:t>
            </w:r>
            <w:r>
              <w:rPr>
                <w:rFonts w:hint="default" w:ascii="Times New Roman" w:hAnsi="Times New Roman" w:cs="Times New Roman"/>
                <w:b/>
                <w:bCs/>
                <w:color w:val="auto"/>
                <w:sz w:val="21"/>
                <w:szCs w:val="21"/>
                <w:highlight w:val="none"/>
                <w:lang w:val="zh-CN"/>
              </w:rPr>
              <w:t>。支付方式及时间为：中标通知书发出后5个工作日内一次性支付给招标代理机构。</w:t>
            </w:r>
          </w:p>
          <w:p>
            <w:pPr>
              <w:keepNext w:val="0"/>
              <w:keepLines w:val="0"/>
              <w:pageBreakBefore w:val="0"/>
              <w:widowControl w:val="0"/>
              <w:kinsoku/>
              <w:wordWrap w:val="0"/>
              <w:overflowPunct/>
              <w:topLinePunct w:val="0"/>
              <w:autoSpaceDE/>
              <w:autoSpaceDN/>
              <w:bidi w:val="0"/>
              <w:adjustRightInd/>
              <w:snapToGrid/>
              <w:spacing w:line="380" w:lineRule="exact"/>
              <w:ind w:firstLine="422" w:firstLineChars="200"/>
              <w:textAlignment w:val="auto"/>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zh-CN"/>
              </w:rPr>
              <w:t>收款单位名称：</w:t>
            </w:r>
            <w:r>
              <w:rPr>
                <w:rFonts w:hint="eastAsia" w:ascii="Times New Roman" w:hAnsi="Times New Roman" w:cs="Times New Roman"/>
                <w:b/>
                <w:bCs/>
                <w:color w:val="auto"/>
                <w:sz w:val="21"/>
                <w:szCs w:val="21"/>
                <w:highlight w:val="none"/>
                <w:lang w:val="zh-CN"/>
              </w:rPr>
              <w:t>浙江万事达建设工程管理有限公司</w:t>
            </w:r>
          </w:p>
          <w:p>
            <w:pPr>
              <w:keepNext w:val="0"/>
              <w:keepLines w:val="0"/>
              <w:pageBreakBefore w:val="0"/>
              <w:widowControl w:val="0"/>
              <w:kinsoku/>
              <w:wordWrap w:val="0"/>
              <w:overflowPunct/>
              <w:topLinePunct w:val="0"/>
              <w:autoSpaceDE/>
              <w:autoSpaceDN/>
              <w:bidi w:val="0"/>
              <w:adjustRightInd/>
              <w:snapToGrid/>
              <w:spacing w:line="380" w:lineRule="exact"/>
              <w:ind w:firstLine="422" w:firstLineChars="200"/>
              <w:textAlignment w:val="auto"/>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zh-CN"/>
              </w:rPr>
              <w:t>开户银行：</w:t>
            </w:r>
            <w:r>
              <w:rPr>
                <w:rFonts w:hint="eastAsia"/>
                <w:b/>
                <w:bCs/>
                <w:color w:val="auto"/>
                <w:szCs w:val="21"/>
                <w:highlight w:val="none"/>
                <w:lang w:eastAsia="zh-CN"/>
              </w:rPr>
              <w:t>建行舟山市分行营业部</w:t>
            </w:r>
          </w:p>
          <w:p>
            <w:pPr>
              <w:keepNext w:val="0"/>
              <w:keepLines w:val="0"/>
              <w:pageBreakBefore w:val="0"/>
              <w:widowControl w:val="0"/>
              <w:kinsoku/>
              <w:wordWrap w:val="0"/>
              <w:overflowPunct/>
              <w:topLinePunct w:val="0"/>
              <w:autoSpaceDE/>
              <w:autoSpaceDN/>
              <w:bidi w:val="0"/>
              <w:adjustRightInd/>
              <w:snapToGrid/>
              <w:spacing w:line="380" w:lineRule="exact"/>
              <w:ind w:firstLine="422"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zh-CN"/>
              </w:rPr>
              <w:t>银行账号：</w:t>
            </w:r>
            <w:r>
              <w:rPr>
                <w:rFonts w:hint="default" w:ascii="Times New Roman" w:hAnsi="Times New Roman" w:cs="Times New Roman"/>
                <w:b/>
                <w:bCs/>
                <w:color w:val="auto"/>
                <w:kern w:val="0"/>
                <w:szCs w:val="21"/>
                <w:highlight w:val="none"/>
                <w:lang w:val="en-US" w:eastAsia="zh-CN"/>
              </w:rPr>
              <w:t>33001706260050018397</w:t>
            </w:r>
          </w:p>
        </w:tc>
      </w:tr>
      <w:tr>
        <w:tblPrEx>
          <w:tblCellMar>
            <w:top w:w="15" w:type="dxa"/>
            <w:left w:w="15" w:type="dxa"/>
            <w:bottom w:w="15" w:type="dxa"/>
            <w:right w:w="15" w:type="dxa"/>
          </w:tblCellMar>
        </w:tblPrEx>
        <w:trPr>
          <w:trHeight w:val="567" w:hRule="atLeast"/>
          <w:tblCellSpacing w:w="7" w:type="dxa"/>
          <w:jc w:val="center"/>
        </w:trPr>
        <w:tc>
          <w:tcPr>
            <w:tcW w:w="626"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300" w:lineRule="auto"/>
              <w:ind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12</w:t>
            </w:r>
          </w:p>
        </w:tc>
        <w:tc>
          <w:tcPr>
            <w:tcW w:w="1743"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30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投标文件的组成</w:t>
            </w:r>
          </w:p>
        </w:tc>
        <w:tc>
          <w:tcPr>
            <w:tcW w:w="765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overflowPunct/>
              <w:topLinePunct w:val="0"/>
              <w:autoSpaceDE/>
              <w:autoSpaceDN/>
              <w:bidi w:val="0"/>
              <w:adjustRightInd/>
              <w:snapToGrid/>
              <w:spacing w:line="3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本项目实行网上投标。</w:t>
            </w:r>
          </w:p>
          <w:p>
            <w:pPr>
              <w:keepNext w:val="0"/>
              <w:keepLines w:val="0"/>
              <w:pageBreakBefore w:val="0"/>
              <w:widowControl w:val="0"/>
              <w:kinsoku/>
              <w:overflowPunct/>
              <w:topLinePunct w:val="0"/>
              <w:autoSpaceDE/>
              <w:autoSpaceDN/>
              <w:bidi w:val="0"/>
              <w:adjustRightInd/>
              <w:snapToGrid/>
              <w:spacing w:line="3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投标人应准备电子投标文件、以介质存储的数据电文形式的备份投标文件：</w:t>
            </w:r>
          </w:p>
          <w:p>
            <w:pPr>
              <w:keepNext w:val="0"/>
              <w:keepLines w:val="0"/>
              <w:pageBreakBefore w:val="0"/>
              <w:widowControl w:val="0"/>
              <w:kinsoku/>
              <w:overflowPunct/>
              <w:topLinePunct w:val="0"/>
              <w:autoSpaceDE/>
              <w:autoSpaceDN/>
              <w:bidi w:val="0"/>
              <w:adjustRightInd/>
              <w:snapToGrid/>
              <w:spacing w:line="3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（1）电子投标文件，按政采云投标人项目采购-电子招投标操作指南及本招标文件要求制作，加密并递交。</w:t>
            </w:r>
          </w:p>
          <w:p>
            <w:pPr>
              <w:keepNext w:val="0"/>
              <w:keepLines w:val="0"/>
              <w:pageBreakBefore w:val="0"/>
              <w:widowControl w:val="0"/>
              <w:kinsoku/>
              <w:overflowPunct/>
              <w:topLinePunct w:val="0"/>
              <w:autoSpaceDE/>
              <w:autoSpaceDN/>
              <w:bidi w:val="0"/>
              <w:adjustRightInd/>
              <w:snapToGrid/>
              <w:spacing w:line="380" w:lineRule="exact"/>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（2）以介质存储的数据电文形式的备份投标文件，按政采云投标人项目采购-电子招投标操作指南中制作的电子投标文件，以DVD光盘或U盘形式提供。数量为1份。</w:t>
            </w:r>
          </w:p>
        </w:tc>
      </w:tr>
      <w:tr>
        <w:tblPrEx>
          <w:tblCellMar>
            <w:top w:w="15" w:type="dxa"/>
            <w:left w:w="15" w:type="dxa"/>
            <w:bottom w:w="15" w:type="dxa"/>
            <w:right w:w="15" w:type="dxa"/>
          </w:tblCellMar>
        </w:tblPrEx>
        <w:trPr>
          <w:trHeight w:val="567" w:hRule="atLeast"/>
          <w:tblCellSpacing w:w="7" w:type="dxa"/>
          <w:jc w:val="center"/>
        </w:trPr>
        <w:tc>
          <w:tcPr>
            <w:tcW w:w="626"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300" w:lineRule="auto"/>
              <w:ind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13</w:t>
            </w:r>
          </w:p>
        </w:tc>
        <w:tc>
          <w:tcPr>
            <w:tcW w:w="1743"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30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开标地点</w:t>
            </w:r>
          </w:p>
        </w:tc>
        <w:tc>
          <w:tcPr>
            <w:tcW w:w="765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overflowPunct/>
              <w:topLinePunct w:val="0"/>
              <w:autoSpaceDE/>
              <w:autoSpaceDN/>
              <w:bidi w:val="0"/>
              <w:adjustRightInd/>
              <w:snapToGrid/>
              <w:spacing w:line="38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舟山市新城翁山路555号四楼舟山市公共资源交易中心(大宗商品交易中心同幢西边)）</w:t>
            </w:r>
            <w:r>
              <w:rPr>
                <w:rFonts w:hint="eastAsia" w:ascii="Times New Roman" w:hAnsi="Times New Roman" w:cs="Times New Roman"/>
                <w:b/>
                <w:bCs/>
                <w:color w:val="auto"/>
                <w:sz w:val="21"/>
                <w:szCs w:val="21"/>
                <w:highlight w:val="none"/>
                <w:lang w:eastAsia="zh-CN"/>
              </w:rPr>
              <w:t>；</w:t>
            </w:r>
            <w:r>
              <w:rPr>
                <w:rFonts w:hint="default" w:ascii="Times New Roman" w:hAnsi="Times New Roman" w:cs="Times New Roman"/>
                <w:color w:val="auto"/>
                <w:sz w:val="21"/>
                <w:szCs w:val="21"/>
                <w:highlight w:val="none"/>
              </w:rPr>
              <w:t>网址：浙江政府采购网（http://zfcg.czt.zj.gov.cn/）。</w:t>
            </w:r>
          </w:p>
        </w:tc>
      </w:tr>
      <w:tr>
        <w:tblPrEx>
          <w:tblCellMar>
            <w:top w:w="15" w:type="dxa"/>
            <w:left w:w="15" w:type="dxa"/>
            <w:bottom w:w="15" w:type="dxa"/>
            <w:right w:w="15" w:type="dxa"/>
          </w:tblCellMar>
        </w:tblPrEx>
        <w:trPr>
          <w:trHeight w:val="7112" w:hRule="atLeast"/>
          <w:tblCellSpacing w:w="7" w:type="dxa"/>
          <w:jc w:val="center"/>
        </w:trPr>
        <w:tc>
          <w:tcPr>
            <w:tcW w:w="626"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300" w:lineRule="auto"/>
              <w:ind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14</w:t>
            </w:r>
          </w:p>
        </w:tc>
        <w:tc>
          <w:tcPr>
            <w:tcW w:w="1743"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30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投标文件的递交</w:t>
            </w:r>
          </w:p>
        </w:tc>
        <w:tc>
          <w:tcPr>
            <w:tcW w:w="76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7"/>
              <w:keepNext w:val="0"/>
              <w:keepLines w:val="0"/>
              <w:pageBreakBefore w:val="0"/>
              <w:widowControl w:val="0"/>
              <w:kinsoku/>
              <w:wordWrap w:val="0"/>
              <w:overflowPunct/>
              <w:topLinePunct w:val="0"/>
              <w:autoSpaceDE/>
              <w:autoSpaceDN/>
              <w:bidi w:val="0"/>
              <w:adjustRightInd/>
              <w:snapToGrid/>
              <w:spacing w:line="380" w:lineRule="exact"/>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投标人应当在投标截止时间前完成电子投标文件的传输递交，并可以补充、修改或者撤回电子投标文件。补充或者修改电子投标文件的，应当先行撤回原文件，补充、修改后重新传输递交。投标截止时间前未完成传输递交的，视为撤回投标文件。投标、响应截止时间后传输递交的投标、投标文件，将被政采云平台拒收。</w:t>
            </w:r>
          </w:p>
          <w:p>
            <w:pPr>
              <w:pStyle w:val="47"/>
              <w:keepNext w:val="0"/>
              <w:keepLines w:val="0"/>
              <w:pageBreakBefore w:val="0"/>
              <w:widowControl w:val="0"/>
              <w:kinsoku/>
              <w:wordWrap w:val="0"/>
              <w:overflowPunct/>
              <w:topLinePunct w:val="0"/>
              <w:autoSpaceDE/>
              <w:autoSpaceDN/>
              <w:bidi w:val="0"/>
              <w:adjustRightInd/>
              <w:snapToGrid/>
              <w:spacing w:line="380" w:lineRule="exact"/>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r>
              <w:rPr>
                <w:color w:val="auto"/>
                <w:szCs w:val="21"/>
                <w:highlight w:val="none"/>
              </w:rPr>
              <w:t>投标人将加密的电子版投标文件于投标截止时间前上传到政采云系统中。投标人将备份投标文件于</w:t>
            </w:r>
            <w:r>
              <w:rPr>
                <w:rFonts w:hint="default" w:ascii="Times New Roman" w:hAnsi="Times New Roman" w:cs="Times New Roman"/>
                <w:color w:val="auto"/>
                <w:szCs w:val="21"/>
                <w:highlight w:val="none"/>
              </w:rPr>
              <w:t>2023</w:t>
            </w:r>
            <w:r>
              <w:rPr>
                <w:rFonts w:hint="default" w:ascii="Times New Roman" w:hAnsi="Times New Roman" w:cs="Times New Roman"/>
                <w:bCs/>
                <w:color w:val="auto"/>
                <w:szCs w:val="21"/>
                <w:highlight w:val="none"/>
              </w:rPr>
              <w:t>年</w:t>
            </w:r>
            <w:r>
              <w:rPr>
                <w:rFonts w:hint="eastAsia"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月</w:t>
            </w:r>
            <w:r>
              <w:rPr>
                <w:rFonts w:hint="eastAsia" w:ascii="Times New Roman" w:hAnsi="Times New Roman" w:cs="Times New Roman"/>
                <w:bCs/>
                <w:color w:val="auto"/>
                <w:szCs w:val="21"/>
                <w:highlight w:val="none"/>
                <w:lang w:val="en-US" w:eastAsia="zh-CN"/>
              </w:rPr>
              <w:t>6</w:t>
            </w:r>
            <w:r>
              <w:rPr>
                <w:rFonts w:hint="default" w:ascii="Times New Roman" w:hAnsi="Times New Roman" w:cs="Times New Roman"/>
                <w:bCs/>
                <w:color w:val="auto"/>
                <w:szCs w:val="21"/>
                <w:highlight w:val="none"/>
              </w:rPr>
              <w:t>日</w:t>
            </w:r>
            <w:r>
              <w:rPr>
                <w:rFonts w:hint="default" w:ascii="Times New Roman" w:hAnsi="Times New Roman" w:cs="Times New Roman"/>
                <w:bCs/>
                <w:color w:val="auto"/>
                <w:szCs w:val="21"/>
                <w:highlight w:val="none"/>
                <w:lang w:val="en-US" w:eastAsia="zh-CN"/>
              </w:rPr>
              <w:t>1</w:t>
            </w:r>
            <w:r>
              <w:rPr>
                <w:rFonts w:hint="eastAsia" w:ascii="Times New Roman" w:hAnsi="Times New Roman" w:cs="Times New Roman"/>
                <w:bCs/>
                <w:color w:val="auto"/>
                <w:szCs w:val="21"/>
                <w:highlight w:val="none"/>
                <w:lang w:val="en-US" w:eastAsia="zh-CN"/>
              </w:rPr>
              <w:t>2</w:t>
            </w:r>
            <w:r>
              <w:rPr>
                <w:rFonts w:hint="default" w:ascii="Times New Roman" w:hAnsi="Times New Roman" w:cs="Times New Roman"/>
                <w:bCs/>
                <w:color w:val="auto"/>
                <w:szCs w:val="21"/>
                <w:highlight w:val="none"/>
                <w:lang w:val="en-US" w:eastAsia="zh-CN"/>
              </w:rPr>
              <w:t>:00</w:t>
            </w:r>
            <w:r>
              <w:rPr>
                <w:rFonts w:hint="default" w:ascii="Times New Roman" w:hAnsi="Times New Roman" w:cs="Times New Roman"/>
                <w:color w:val="auto"/>
                <w:szCs w:val="21"/>
                <w:highlight w:val="none"/>
              </w:rPr>
              <w:t>（</w:t>
            </w:r>
            <w:r>
              <w:rPr>
                <w:color w:val="auto"/>
                <w:szCs w:val="21"/>
                <w:highlight w:val="none"/>
              </w:rPr>
              <w:t>北京时间）前通过邮寄或派人递送的方式送交到采购代理机构处（地址：</w:t>
            </w:r>
            <w:r>
              <w:rPr>
                <w:color w:val="auto"/>
                <w:szCs w:val="21"/>
                <w:highlight w:val="none"/>
                <w:shd w:val="clear" w:color="auto" w:fill="FFFFFF"/>
              </w:rPr>
              <w:t>舟山市</w:t>
            </w:r>
            <w:r>
              <w:rPr>
                <w:rFonts w:hint="eastAsia" w:ascii="Times New Roman" w:hAnsi="Times New Roman" w:cs="Times New Roman"/>
                <w:color w:val="auto"/>
                <w:szCs w:val="21"/>
                <w:highlight w:val="none"/>
                <w:lang w:eastAsia="zh-CN"/>
              </w:rPr>
              <w:t>临城新区</w:t>
            </w:r>
            <w:r>
              <w:rPr>
                <w:rFonts w:hint="default" w:ascii="Times New Roman" w:hAnsi="Times New Roman" w:cs="Times New Roman"/>
                <w:color w:val="auto"/>
                <w:szCs w:val="21"/>
                <w:highlight w:val="none"/>
              </w:rPr>
              <w:t>千岛路171号建设大厦A座1706室</w:t>
            </w:r>
            <w:r>
              <w:rPr>
                <w:color w:val="auto"/>
                <w:szCs w:val="21"/>
                <w:highlight w:val="none"/>
              </w:rPr>
              <w:t>；联系人：</w:t>
            </w:r>
            <w:r>
              <w:rPr>
                <w:rFonts w:hint="eastAsia"/>
                <w:color w:val="auto"/>
                <w:szCs w:val="21"/>
                <w:highlight w:val="none"/>
                <w:lang w:eastAsia="zh-CN"/>
              </w:rPr>
              <w:t>张燕玲</w:t>
            </w:r>
            <w:r>
              <w:rPr>
                <w:color w:val="auto"/>
                <w:szCs w:val="21"/>
                <w:highlight w:val="none"/>
              </w:rPr>
              <w:t>；联系方式：</w:t>
            </w:r>
            <w:r>
              <w:rPr>
                <w:rFonts w:hint="default" w:ascii="Times New Roman" w:hAnsi="Times New Roman" w:cs="Times New Roman"/>
                <w:color w:val="auto"/>
                <w:szCs w:val="22"/>
                <w:highlight w:val="none"/>
                <w:shd w:val="clear" w:color="auto" w:fill="FFFFFF"/>
              </w:rPr>
              <w:t>0580-2</w:t>
            </w:r>
            <w:r>
              <w:rPr>
                <w:rFonts w:hint="default" w:ascii="Times New Roman" w:hAnsi="Times New Roman" w:cs="Times New Roman"/>
                <w:color w:val="auto"/>
                <w:szCs w:val="22"/>
                <w:highlight w:val="none"/>
                <w:shd w:val="clear" w:color="auto" w:fill="FFFFFF"/>
                <w:lang w:val="en-US" w:eastAsia="zh-CN"/>
              </w:rPr>
              <w:t>183189</w:t>
            </w:r>
            <w:r>
              <w:rPr>
                <w:color w:val="auto"/>
                <w:szCs w:val="21"/>
                <w:highlight w:val="none"/>
              </w:rPr>
              <w:t>），也可以在开标时间前送至开标地点，未按时送达的自行承担风险。备份投标文件须密封完好，并注明投标人单位名称。投标人未按规定递交的备份投标文件，采购人有权拒收。</w:t>
            </w:r>
          </w:p>
          <w:p>
            <w:pPr>
              <w:pStyle w:val="47"/>
              <w:keepNext w:val="0"/>
              <w:keepLines w:val="0"/>
              <w:pageBreakBefore w:val="0"/>
              <w:widowControl w:val="0"/>
              <w:kinsoku/>
              <w:wordWrap w:val="0"/>
              <w:overflowPunct/>
              <w:topLinePunct w:val="0"/>
              <w:autoSpaceDE/>
              <w:autoSpaceDN/>
              <w:bidi w:val="0"/>
              <w:adjustRightInd/>
              <w:snapToGrid/>
              <w:spacing w:line="380" w:lineRule="exact"/>
              <w:ind w:firstLine="420" w:firstLineChars="200"/>
              <w:jc w:val="left"/>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、投标人递交备份投标文件时，如出现下列情况之一的，将被拒收：</w:t>
            </w:r>
          </w:p>
          <w:p>
            <w:pPr>
              <w:pStyle w:val="47"/>
              <w:keepNext w:val="0"/>
              <w:keepLines w:val="0"/>
              <w:pageBreakBefore w:val="0"/>
              <w:widowControl w:val="0"/>
              <w:kinsoku/>
              <w:wordWrap w:val="0"/>
              <w:overflowPunct/>
              <w:topLinePunct w:val="0"/>
              <w:autoSpaceDE/>
              <w:autoSpaceDN/>
              <w:bidi w:val="0"/>
              <w:adjustRightInd/>
              <w:snapToGrid/>
              <w:spacing w:line="380" w:lineRule="exact"/>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1）未按规定密封或标记的投标文件；</w:t>
            </w:r>
          </w:p>
          <w:p>
            <w:pPr>
              <w:pStyle w:val="47"/>
              <w:keepNext w:val="0"/>
              <w:keepLines w:val="0"/>
              <w:pageBreakBefore w:val="0"/>
              <w:widowControl w:val="0"/>
              <w:kinsoku/>
              <w:wordWrap w:val="0"/>
              <w:overflowPunct/>
              <w:topLinePunct w:val="0"/>
              <w:autoSpaceDE/>
              <w:autoSpaceDN/>
              <w:bidi w:val="0"/>
              <w:adjustRightInd/>
              <w:snapToGrid/>
              <w:spacing w:line="380" w:lineRule="exact"/>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2）由于包装不妥，在送交途中严重损坏的；</w:t>
            </w:r>
          </w:p>
          <w:p>
            <w:pPr>
              <w:pStyle w:val="47"/>
              <w:keepNext w:val="0"/>
              <w:keepLines w:val="0"/>
              <w:pageBreakBefore w:val="0"/>
              <w:widowControl w:val="0"/>
              <w:kinsoku/>
              <w:wordWrap w:val="0"/>
              <w:overflowPunct/>
              <w:topLinePunct w:val="0"/>
              <w:autoSpaceDE/>
              <w:autoSpaceDN/>
              <w:bidi w:val="0"/>
              <w:adjustRightInd/>
              <w:snapToGrid/>
              <w:spacing w:line="380" w:lineRule="exact"/>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3）超过</w:t>
            </w:r>
            <w:r>
              <w:rPr>
                <w:rFonts w:hint="eastAsia" w:ascii="Times New Roman" w:hAnsi="Times New Roman" w:cs="Times New Roman"/>
                <w:color w:val="auto"/>
                <w:sz w:val="21"/>
                <w:szCs w:val="21"/>
                <w:highlight w:val="none"/>
                <w:lang w:eastAsia="zh-CN"/>
              </w:rPr>
              <w:t>投标截止</w:t>
            </w:r>
            <w:r>
              <w:rPr>
                <w:rFonts w:hint="default" w:ascii="Times New Roman" w:hAnsi="Times New Roman" w:cs="Times New Roman"/>
                <w:color w:val="auto"/>
                <w:sz w:val="21"/>
                <w:szCs w:val="21"/>
                <w:highlight w:val="none"/>
              </w:rPr>
              <w:t>时间送达的；</w:t>
            </w:r>
          </w:p>
          <w:p>
            <w:pPr>
              <w:pStyle w:val="47"/>
              <w:keepNext w:val="0"/>
              <w:keepLines w:val="0"/>
              <w:pageBreakBefore w:val="0"/>
              <w:widowControl w:val="0"/>
              <w:kinsoku/>
              <w:wordWrap w:val="0"/>
              <w:overflowPunct/>
              <w:topLinePunct w:val="0"/>
              <w:autoSpaceDE/>
              <w:autoSpaceDN/>
              <w:bidi w:val="0"/>
              <w:adjustRightInd/>
              <w:snapToGrid/>
              <w:spacing w:line="380" w:lineRule="exact"/>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4）仅提供备份投标文件的。</w:t>
            </w:r>
          </w:p>
          <w:p>
            <w:pPr>
              <w:pStyle w:val="47"/>
              <w:keepNext w:val="0"/>
              <w:keepLines w:val="0"/>
              <w:pageBreakBefore w:val="0"/>
              <w:widowControl w:val="0"/>
              <w:kinsoku/>
              <w:wordWrap w:val="0"/>
              <w:overflowPunct/>
              <w:topLinePunct w:val="0"/>
              <w:autoSpaceDE/>
              <w:autoSpaceDN/>
              <w:bidi w:val="0"/>
              <w:adjustRightInd/>
              <w:snapToGrid/>
              <w:spacing w:line="380" w:lineRule="exact"/>
              <w:ind w:firstLine="420" w:firstLineChars="200"/>
              <w:jc w:val="left"/>
              <w:textAlignment w:val="auto"/>
              <w:rPr>
                <w:rFonts w:hint="default" w:ascii="Times New Roman" w:hAnsi="Times New Roman" w:cs="Times New Roman"/>
                <w:b/>
                <w:color w:val="auto"/>
                <w:kern w:val="0"/>
                <w:sz w:val="21"/>
                <w:szCs w:val="21"/>
                <w:highlight w:val="none"/>
              </w:rPr>
            </w:pP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、当发生解密失败或未按时解密的，投标人提供了备份投标文件的，以备份投标文件为依据，否则视为投标文件撤回。投标文件已按时解密的，备份投标文件自动失效。</w:t>
            </w:r>
          </w:p>
        </w:tc>
      </w:tr>
      <w:tr>
        <w:trPr>
          <w:trHeight w:val="567" w:hRule="atLeast"/>
          <w:tblCellSpacing w:w="7" w:type="dxa"/>
          <w:jc w:val="center"/>
        </w:trPr>
        <w:tc>
          <w:tcPr>
            <w:tcW w:w="626"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30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15</w:t>
            </w:r>
          </w:p>
        </w:tc>
        <w:tc>
          <w:tcPr>
            <w:tcW w:w="1743"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30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投标文件提交截止时间及开标时间</w:t>
            </w:r>
          </w:p>
        </w:tc>
        <w:tc>
          <w:tcPr>
            <w:tcW w:w="765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overflowPunct/>
              <w:topLinePunct w:val="0"/>
              <w:autoSpaceDE/>
              <w:autoSpaceDN/>
              <w:bidi w:val="0"/>
              <w:adjustRightInd/>
              <w:snapToGrid/>
              <w:spacing w:line="380" w:lineRule="exact"/>
              <w:jc w:val="left"/>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rPr>
              <w:t>2023年</w:t>
            </w:r>
            <w:r>
              <w:rPr>
                <w:rFonts w:hint="eastAsia" w:ascii="Times New Roman" w:hAnsi="Times New Roman" w:cs="Times New Roman"/>
                <w:b/>
                <w:color w:val="auto"/>
                <w:kern w:val="0"/>
                <w:sz w:val="21"/>
                <w:szCs w:val="21"/>
                <w:highlight w:val="none"/>
                <w:lang w:val="en-US" w:eastAsia="zh-CN"/>
              </w:rPr>
              <w:t>5</w:t>
            </w:r>
            <w:r>
              <w:rPr>
                <w:rFonts w:hint="default" w:ascii="Times New Roman" w:hAnsi="Times New Roman" w:cs="Times New Roman"/>
                <w:b/>
                <w:color w:val="auto"/>
                <w:kern w:val="0"/>
                <w:sz w:val="21"/>
                <w:szCs w:val="21"/>
                <w:highlight w:val="none"/>
              </w:rPr>
              <w:t>月</w:t>
            </w:r>
            <w:r>
              <w:rPr>
                <w:rFonts w:hint="eastAsia" w:ascii="Times New Roman" w:hAnsi="Times New Roman" w:cs="Times New Roman"/>
                <w:b/>
                <w:color w:val="auto"/>
                <w:kern w:val="0"/>
                <w:sz w:val="21"/>
                <w:szCs w:val="21"/>
                <w:highlight w:val="none"/>
                <w:lang w:val="en-US" w:eastAsia="zh-CN"/>
              </w:rPr>
              <w:t>6</w:t>
            </w:r>
            <w:r>
              <w:rPr>
                <w:rFonts w:hint="default" w:ascii="Times New Roman" w:hAnsi="Times New Roman" w:cs="Times New Roman"/>
                <w:b/>
                <w:color w:val="auto"/>
                <w:kern w:val="0"/>
                <w:sz w:val="21"/>
                <w:szCs w:val="21"/>
                <w:highlight w:val="none"/>
              </w:rPr>
              <w:t>日</w:t>
            </w:r>
            <w:r>
              <w:rPr>
                <w:rFonts w:hint="eastAsia" w:ascii="Times New Roman" w:hAnsi="Times New Roman" w:cs="Times New Roman"/>
                <w:b/>
                <w:color w:val="auto"/>
                <w:kern w:val="0"/>
                <w:sz w:val="21"/>
                <w:szCs w:val="21"/>
                <w:highlight w:val="none"/>
                <w:lang w:val="en-US" w:eastAsia="zh-CN"/>
              </w:rPr>
              <w:t>14</w:t>
            </w:r>
            <w:r>
              <w:rPr>
                <w:rFonts w:hint="default" w:ascii="Times New Roman" w:hAnsi="Times New Roman" w:cs="Times New Roman"/>
                <w:b/>
                <w:color w:val="auto"/>
                <w:kern w:val="0"/>
                <w:sz w:val="21"/>
                <w:szCs w:val="21"/>
                <w:highlight w:val="none"/>
              </w:rPr>
              <w:t>时</w:t>
            </w:r>
            <w:r>
              <w:rPr>
                <w:rFonts w:hint="eastAsia" w:ascii="Times New Roman" w:hAnsi="Times New Roman" w:cs="Times New Roman"/>
                <w:b/>
                <w:color w:val="auto"/>
                <w:kern w:val="0"/>
                <w:sz w:val="21"/>
                <w:szCs w:val="21"/>
                <w:highlight w:val="none"/>
                <w:lang w:val="en-US" w:eastAsia="zh-CN"/>
              </w:rPr>
              <w:t>3</w:t>
            </w:r>
            <w:r>
              <w:rPr>
                <w:rFonts w:hint="default" w:ascii="Times New Roman" w:hAnsi="Times New Roman" w:cs="Times New Roman"/>
                <w:b/>
                <w:color w:val="auto"/>
                <w:kern w:val="0"/>
                <w:sz w:val="21"/>
                <w:szCs w:val="21"/>
                <w:highlight w:val="none"/>
              </w:rPr>
              <w:t>0分</w:t>
            </w:r>
            <w:r>
              <w:rPr>
                <w:rFonts w:hint="default" w:ascii="Times New Roman" w:hAnsi="Times New Roman" w:cs="Times New Roman"/>
                <w:b/>
                <w:color w:val="auto"/>
                <w:sz w:val="21"/>
                <w:szCs w:val="21"/>
                <w:highlight w:val="none"/>
              </w:rPr>
              <w:t>（北京时间）</w:t>
            </w:r>
          </w:p>
        </w:tc>
      </w:tr>
      <w:tr>
        <w:tblPrEx>
          <w:tblCellMar>
            <w:top w:w="15" w:type="dxa"/>
            <w:left w:w="15" w:type="dxa"/>
            <w:bottom w:w="15" w:type="dxa"/>
            <w:right w:w="15" w:type="dxa"/>
          </w:tblCellMar>
        </w:tblPrEx>
        <w:trPr>
          <w:trHeight w:val="604" w:hRule="atLeast"/>
          <w:tblCellSpacing w:w="7" w:type="dxa"/>
          <w:jc w:val="center"/>
        </w:trPr>
        <w:tc>
          <w:tcPr>
            <w:tcW w:w="626"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30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eastAsia" w:ascii="Times New Roman" w:hAnsi="Times New Roman" w:cs="Times New Roman"/>
                <w:b/>
                <w:color w:val="auto"/>
                <w:sz w:val="21"/>
                <w:szCs w:val="21"/>
                <w:highlight w:val="none"/>
                <w:lang w:val="en-US" w:eastAsia="zh-CN"/>
              </w:rPr>
              <w:t>16</w:t>
            </w:r>
          </w:p>
        </w:tc>
        <w:tc>
          <w:tcPr>
            <w:tcW w:w="1743"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30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是否现场踏勘</w:t>
            </w:r>
          </w:p>
        </w:tc>
        <w:tc>
          <w:tcPr>
            <w:tcW w:w="76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4"/>
              <w:keepNext w:val="0"/>
              <w:keepLines w:val="0"/>
              <w:pageBreakBefore w:val="0"/>
              <w:widowControl w:val="0"/>
              <w:kinsoku/>
              <w:overflowPunct/>
              <w:topLinePunct w:val="0"/>
              <w:autoSpaceDE/>
              <w:autoSpaceDN/>
              <w:bidi w:val="0"/>
              <w:adjustRightInd/>
              <w:snapToGrid/>
              <w:spacing w:line="38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招标方不另行组织现场踏勘，投标人可根据需要自行联系采购人进行现场踏勘。</w:t>
            </w:r>
          </w:p>
        </w:tc>
      </w:tr>
      <w:tr>
        <w:tblPrEx>
          <w:tblCellMar>
            <w:top w:w="15" w:type="dxa"/>
            <w:left w:w="15" w:type="dxa"/>
            <w:bottom w:w="15" w:type="dxa"/>
            <w:right w:w="15" w:type="dxa"/>
          </w:tblCellMar>
        </w:tblPrEx>
        <w:trPr>
          <w:trHeight w:val="567" w:hRule="atLeast"/>
          <w:tblCellSpacing w:w="7" w:type="dxa"/>
          <w:jc w:val="center"/>
        </w:trPr>
        <w:tc>
          <w:tcPr>
            <w:tcW w:w="626"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30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1</w:t>
            </w:r>
            <w:r>
              <w:rPr>
                <w:rFonts w:hint="eastAsia" w:ascii="Times New Roman" w:hAnsi="Times New Roman" w:cs="Times New Roman"/>
                <w:b/>
                <w:color w:val="auto"/>
                <w:sz w:val="21"/>
                <w:szCs w:val="21"/>
                <w:highlight w:val="none"/>
                <w:lang w:val="en-US" w:eastAsia="zh-CN"/>
              </w:rPr>
              <w:t>7</w:t>
            </w:r>
          </w:p>
        </w:tc>
        <w:tc>
          <w:tcPr>
            <w:tcW w:w="1743" w:type="dxa"/>
            <w:tcBorders>
              <w:top w:val="single" w:color="auto" w:sz="4" w:space="0"/>
              <w:left w:val="single" w:color="auto" w:sz="4" w:space="0"/>
              <w:bottom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投标人注册</w:t>
            </w:r>
          </w:p>
        </w:tc>
        <w:tc>
          <w:tcPr>
            <w:tcW w:w="765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overflowPunct/>
              <w:topLinePunct w:val="0"/>
              <w:autoSpaceDE/>
              <w:autoSpaceDN/>
              <w:bidi w:val="0"/>
              <w:adjustRightInd/>
              <w:snapToGrid/>
              <w:spacing w:beforeLines="10" w:line="380" w:lineRule="exact"/>
              <w:ind w:firstLine="420"/>
              <w:jc w:val="left"/>
              <w:textAlignment w:val="auto"/>
              <w:rPr>
                <w:rFonts w:hint="default" w:ascii="Times New Roman" w:hAnsi="Times New Roman" w:cs="Times New Roman"/>
                <w:bCs/>
                <w:snapToGrid w:val="0"/>
                <w:color w:val="auto"/>
                <w:kern w:val="0"/>
                <w:sz w:val="21"/>
                <w:szCs w:val="21"/>
                <w:highlight w:val="none"/>
              </w:rPr>
            </w:pPr>
            <w:r>
              <w:rPr>
                <w:rFonts w:hint="default" w:ascii="Times New Roman" w:hAnsi="Times New Roman" w:cs="Times New Roman"/>
                <w:bCs/>
                <w:snapToGrid w:val="0"/>
                <w:color w:val="auto"/>
                <w:kern w:val="0"/>
                <w:sz w:val="21"/>
                <w:szCs w:val="21"/>
                <w:highlight w:val="none"/>
              </w:rPr>
              <w:t>各投标人须在投标截止时间前根据浙江省财政厅《关于开展政府采购投标人网上注册登记和诚信管理工作的通知》（浙财采监【2010】8号文）的要求，通过浙江政府采购网申请注册加入政府采购投标人库。以免影响享受相关政策优惠及成交后的款项支付。</w:t>
            </w:r>
          </w:p>
          <w:p>
            <w:pPr>
              <w:keepNext w:val="0"/>
              <w:keepLines w:val="0"/>
              <w:pageBreakBefore w:val="0"/>
              <w:widowControl w:val="0"/>
              <w:kinsoku/>
              <w:overflowPunct/>
              <w:topLinePunct w:val="0"/>
              <w:autoSpaceDE/>
              <w:autoSpaceDN/>
              <w:bidi w:val="0"/>
              <w:adjustRightInd/>
              <w:snapToGrid/>
              <w:spacing w:beforeLines="10" w:line="380" w:lineRule="exact"/>
              <w:ind w:firstLine="420" w:firstLineChars="200"/>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snapToGrid w:val="0"/>
                <w:color w:val="auto"/>
                <w:kern w:val="0"/>
                <w:sz w:val="21"/>
                <w:szCs w:val="21"/>
                <w:highlight w:val="none"/>
              </w:rPr>
              <w:t>投标人在申请注册前，请认真阅读，学习《中华人民共和国政府采购法》和《浙江省政府采购投标人注册及诚信管理暂行办法》等相关法规规定。</w:t>
            </w:r>
          </w:p>
        </w:tc>
      </w:tr>
      <w:tr>
        <w:tblPrEx>
          <w:tblCellMar>
            <w:top w:w="15" w:type="dxa"/>
            <w:left w:w="15" w:type="dxa"/>
            <w:bottom w:w="15" w:type="dxa"/>
            <w:right w:w="15" w:type="dxa"/>
          </w:tblCellMar>
        </w:tblPrEx>
        <w:trPr>
          <w:trHeight w:val="599" w:hRule="atLeast"/>
          <w:tblCellSpacing w:w="7" w:type="dxa"/>
          <w:jc w:val="center"/>
        </w:trPr>
        <w:tc>
          <w:tcPr>
            <w:tcW w:w="626" w:type="dxa"/>
            <w:vMerge w:val="restart"/>
            <w:tcBorders>
              <w:top w:val="single" w:color="auto" w:sz="4" w:space="0"/>
              <w:left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300" w:lineRule="auto"/>
              <w:ind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18</w:t>
            </w:r>
          </w:p>
        </w:tc>
        <w:tc>
          <w:tcPr>
            <w:tcW w:w="1743" w:type="dxa"/>
            <w:vMerge w:val="restart"/>
            <w:tcBorders>
              <w:top w:val="single" w:color="auto" w:sz="4" w:space="0"/>
              <w:left w:val="single" w:color="auto" w:sz="4" w:space="0"/>
              <w:right w:val="single" w:color="auto" w:sz="4" w:space="0"/>
            </w:tcBorders>
            <w:shd w:val="clear" w:color="auto" w:fill="E0E0E0"/>
            <w:vAlign w:val="center"/>
          </w:tcPr>
          <w:p>
            <w:pPr>
              <w:keepNext w:val="0"/>
              <w:keepLines w:val="0"/>
              <w:pageBreakBefore w:val="0"/>
              <w:widowControl w:val="0"/>
              <w:kinsoku/>
              <w:wordWrap w:val="0"/>
              <w:overflowPunct/>
              <w:topLinePunct w:val="0"/>
              <w:autoSpaceDE/>
              <w:autoSpaceDN/>
              <w:bidi w:val="0"/>
              <w:adjustRightInd/>
              <w:snapToGrid/>
              <w:spacing w:line="30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中小企业</w:t>
            </w:r>
          </w:p>
          <w:p>
            <w:pPr>
              <w:keepNext w:val="0"/>
              <w:keepLines w:val="0"/>
              <w:pageBreakBefore w:val="0"/>
              <w:widowControl w:val="0"/>
              <w:kinsoku/>
              <w:wordWrap w:val="0"/>
              <w:overflowPunct/>
              <w:topLinePunct w:val="0"/>
              <w:autoSpaceDE/>
              <w:autoSpaceDN/>
              <w:bidi w:val="0"/>
              <w:adjustRightInd/>
              <w:snapToGrid/>
              <w:spacing w:line="30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扶持政策</w:t>
            </w:r>
          </w:p>
        </w:tc>
        <w:tc>
          <w:tcPr>
            <w:tcW w:w="765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wordWrap w:val="0"/>
              <w:overflowPunct/>
              <w:topLinePunct w:val="0"/>
              <w:autoSpaceDE/>
              <w:autoSpaceDN/>
              <w:bidi w:val="0"/>
              <w:adjustRightInd/>
              <w:snapToGrid/>
              <w:spacing w:line="380" w:lineRule="exact"/>
              <w:jc w:val="left"/>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Cs/>
                <w:color w:val="auto"/>
                <w:kern w:val="0"/>
                <w:sz w:val="21"/>
                <w:szCs w:val="21"/>
                <w:highlight w:val="none"/>
              </w:rPr>
              <w:t>本项目</w:t>
            </w:r>
            <w:r>
              <w:rPr>
                <w:rFonts w:hint="eastAsia" w:ascii="Times New Roman" w:hAnsi="Times New Roman" w:cs="Times New Roman"/>
                <w:bCs/>
                <w:color w:val="auto"/>
                <w:kern w:val="0"/>
                <w:sz w:val="21"/>
                <w:szCs w:val="21"/>
                <w:highlight w:val="none"/>
                <w:lang w:eastAsia="zh-CN"/>
              </w:rPr>
              <w:t>未</w:t>
            </w:r>
            <w:r>
              <w:rPr>
                <w:rFonts w:hint="default" w:ascii="Times New Roman" w:hAnsi="Times New Roman" w:cs="Times New Roman"/>
                <w:bCs/>
                <w:color w:val="auto"/>
                <w:kern w:val="0"/>
                <w:sz w:val="21"/>
                <w:szCs w:val="21"/>
                <w:highlight w:val="none"/>
              </w:rPr>
              <w:t>预留份额专门面向中小企业采购。</w:t>
            </w:r>
          </w:p>
        </w:tc>
      </w:tr>
      <w:tr>
        <w:tblPrEx>
          <w:tblCellMar>
            <w:top w:w="15" w:type="dxa"/>
            <w:left w:w="15" w:type="dxa"/>
            <w:bottom w:w="15" w:type="dxa"/>
            <w:right w:w="15" w:type="dxa"/>
          </w:tblCellMar>
        </w:tblPrEx>
        <w:trPr>
          <w:trHeight w:val="872" w:hRule="atLeast"/>
          <w:tblCellSpacing w:w="7" w:type="dxa"/>
          <w:jc w:val="center"/>
        </w:trPr>
        <w:tc>
          <w:tcPr>
            <w:tcW w:w="626" w:type="dxa"/>
            <w:vMerge w:val="continue"/>
            <w:tcBorders>
              <w:left w:val="single" w:color="auto" w:sz="4" w:space="0"/>
              <w:right w:val="single" w:color="auto" w:sz="4" w:space="0"/>
            </w:tcBorders>
            <w:shd w:val="clear" w:color="auto" w:fill="E0E0E0"/>
            <w:vAlign w:val="center"/>
          </w:tcPr>
          <w:p>
            <w:pPr>
              <w:spacing w:line="300" w:lineRule="auto"/>
              <w:jc w:val="center"/>
              <w:rPr>
                <w:rFonts w:hint="default" w:ascii="Times New Roman" w:hAnsi="Times New Roman" w:cs="Times New Roman"/>
                <w:b/>
                <w:color w:val="auto"/>
                <w:sz w:val="21"/>
                <w:szCs w:val="21"/>
                <w:highlight w:val="none"/>
              </w:rPr>
            </w:pPr>
          </w:p>
        </w:tc>
        <w:tc>
          <w:tcPr>
            <w:tcW w:w="1743" w:type="dxa"/>
            <w:vMerge w:val="continue"/>
            <w:tcBorders>
              <w:left w:val="single" w:color="auto" w:sz="4" w:space="0"/>
              <w:right w:val="single" w:color="auto" w:sz="4" w:space="0"/>
            </w:tcBorders>
            <w:shd w:val="clear" w:color="auto" w:fill="E0E0E0"/>
            <w:vAlign w:val="center"/>
          </w:tcPr>
          <w:p>
            <w:pPr>
              <w:spacing w:line="300" w:lineRule="auto"/>
              <w:jc w:val="center"/>
              <w:rPr>
                <w:rFonts w:hint="default" w:ascii="Times New Roman" w:hAnsi="Times New Roman" w:cs="Times New Roman"/>
                <w:b/>
                <w:color w:val="auto"/>
                <w:sz w:val="21"/>
                <w:szCs w:val="21"/>
                <w:highlight w:val="none"/>
              </w:rPr>
            </w:pPr>
          </w:p>
        </w:tc>
        <w:tc>
          <w:tcPr>
            <w:tcW w:w="765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overflowPunct/>
              <w:topLinePunct w:val="0"/>
              <w:autoSpaceDE/>
              <w:autoSpaceDN/>
              <w:bidi w:val="0"/>
              <w:adjustRightInd/>
              <w:snapToGrid/>
              <w:spacing w:line="380" w:lineRule="exact"/>
              <w:jc w:val="left"/>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本项目为服务采购项目。</w:t>
            </w:r>
          </w:p>
          <w:p>
            <w:pPr>
              <w:keepNext w:val="0"/>
              <w:keepLines w:val="0"/>
              <w:pageBreakBefore w:val="0"/>
              <w:widowControl w:val="0"/>
              <w:kinsoku/>
              <w:overflowPunct/>
              <w:topLinePunct w:val="0"/>
              <w:autoSpaceDE/>
              <w:autoSpaceDN/>
              <w:bidi w:val="0"/>
              <w:adjustRightInd/>
              <w:snapToGrid/>
              <w:spacing w:line="380" w:lineRule="exact"/>
              <w:jc w:val="left"/>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sz w:val="21"/>
                <w:szCs w:val="21"/>
                <w:highlight w:val="none"/>
              </w:rPr>
              <w:t>本项目采购标的对应的中小企业划分标准所属行业：其他未列明行业。</w:t>
            </w:r>
          </w:p>
        </w:tc>
      </w:tr>
      <w:tr>
        <w:trPr>
          <w:trHeight w:val="6062" w:hRule="atLeast"/>
          <w:tblCellSpacing w:w="7" w:type="dxa"/>
          <w:jc w:val="center"/>
        </w:trPr>
        <w:tc>
          <w:tcPr>
            <w:tcW w:w="626" w:type="dxa"/>
            <w:vMerge w:val="continue"/>
            <w:tcBorders>
              <w:left w:val="single" w:color="auto" w:sz="4" w:space="0"/>
              <w:bottom w:val="single" w:color="auto" w:sz="4" w:space="0"/>
              <w:right w:val="single" w:color="auto" w:sz="4" w:space="0"/>
            </w:tcBorders>
            <w:shd w:val="clear" w:color="auto" w:fill="E0E0E0"/>
            <w:vAlign w:val="center"/>
          </w:tcPr>
          <w:p>
            <w:pPr>
              <w:spacing w:line="300" w:lineRule="auto"/>
              <w:jc w:val="center"/>
              <w:rPr>
                <w:rFonts w:hint="default" w:ascii="Times New Roman" w:hAnsi="Times New Roman" w:cs="Times New Roman"/>
                <w:b/>
                <w:color w:val="auto"/>
                <w:sz w:val="21"/>
                <w:szCs w:val="21"/>
                <w:highlight w:val="none"/>
              </w:rPr>
            </w:pPr>
          </w:p>
        </w:tc>
        <w:tc>
          <w:tcPr>
            <w:tcW w:w="1743" w:type="dxa"/>
            <w:vMerge w:val="continue"/>
            <w:tcBorders>
              <w:left w:val="single" w:color="auto" w:sz="4" w:space="0"/>
              <w:bottom w:val="single" w:color="auto" w:sz="4" w:space="0"/>
              <w:right w:val="single" w:color="auto" w:sz="4" w:space="0"/>
            </w:tcBorders>
            <w:shd w:val="clear" w:color="auto" w:fill="E0E0E0"/>
            <w:vAlign w:val="center"/>
          </w:tcPr>
          <w:p>
            <w:pPr>
              <w:spacing w:line="300" w:lineRule="auto"/>
              <w:jc w:val="center"/>
              <w:rPr>
                <w:rFonts w:hint="default" w:ascii="Times New Roman" w:hAnsi="Times New Roman" w:cs="Times New Roman"/>
                <w:b/>
                <w:color w:val="auto"/>
                <w:sz w:val="21"/>
                <w:szCs w:val="21"/>
                <w:highlight w:val="none"/>
              </w:rPr>
            </w:pPr>
          </w:p>
        </w:tc>
        <w:tc>
          <w:tcPr>
            <w:tcW w:w="765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overflowPunct/>
              <w:topLinePunct w:val="0"/>
              <w:autoSpaceDE/>
              <w:autoSpaceDN/>
              <w:bidi w:val="0"/>
              <w:adjustRightInd/>
              <w:snapToGrid/>
              <w:spacing w:line="380" w:lineRule="exact"/>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根据《政府采购促进中小企业发展管理办法》（财库[2020]46号）规定：</w:t>
            </w:r>
          </w:p>
          <w:p>
            <w:pPr>
              <w:keepNext w:val="0"/>
              <w:keepLines w:val="0"/>
              <w:pageBreakBefore w:val="0"/>
              <w:widowControl w:val="0"/>
              <w:kinsoku/>
              <w:overflowPunct/>
              <w:topLinePunct w:val="0"/>
              <w:autoSpaceDE/>
              <w:autoSpaceDN/>
              <w:bidi w:val="0"/>
              <w:adjustRightInd/>
              <w:snapToGrid/>
              <w:spacing w:line="380" w:lineRule="exact"/>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1.本办法所称中小企业，是指在中华人民共和国境内依法设立，依据国务院批准的中小企业划分标准确定的中型企业、小型企业和微型企业，但与大企业的负责人为同一人，或者与大企业存在直接控股、管理关系的除外。 </w:t>
            </w:r>
          </w:p>
          <w:p>
            <w:pPr>
              <w:keepNext w:val="0"/>
              <w:keepLines w:val="0"/>
              <w:pageBreakBefore w:val="0"/>
              <w:widowControl w:val="0"/>
              <w:kinsoku/>
              <w:overflowPunct/>
              <w:topLinePunct w:val="0"/>
              <w:autoSpaceDE/>
              <w:autoSpaceDN/>
              <w:bidi w:val="0"/>
              <w:adjustRightInd/>
              <w:snapToGrid/>
              <w:spacing w:line="380" w:lineRule="exact"/>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符合中小企业划分标准的个体工商户，在政府采购活动中视同中小企业。</w:t>
            </w:r>
          </w:p>
          <w:p>
            <w:pPr>
              <w:keepNext w:val="0"/>
              <w:keepLines w:val="0"/>
              <w:pageBreakBefore w:val="0"/>
              <w:widowControl w:val="0"/>
              <w:kinsoku/>
              <w:overflowPunct/>
              <w:topLinePunct w:val="0"/>
              <w:autoSpaceDE/>
              <w:autoSpaceDN/>
              <w:bidi w:val="0"/>
              <w:adjustRightInd/>
              <w:snapToGrid/>
              <w:spacing w:line="380" w:lineRule="exact"/>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2.在政府采购活动中，投标人提供的货物、工程或者服务符合下列情形的，享受本办法规定的中小企业扶持政策：</w:t>
            </w:r>
          </w:p>
          <w:p>
            <w:pPr>
              <w:keepNext w:val="0"/>
              <w:keepLines w:val="0"/>
              <w:pageBreakBefore w:val="0"/>
              <w:widowControl w:val="0"/>
              <w:kinsoku/>
              <w:overflowPunct/>
              <w:topLinePunct w:val="0"/>
              <w:autoSpaceDE/>
              <w:autoSpaceDN/>
              <w:bidi w:val="0"/>
              <w:adjustRightInd/>
              <w:snapToGrid/>
              <w:spacing w:line="380" w:lineRule="exact"/>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（1）在货物采购项目中，货物由中小企业制造，即货物由中小企业生产且使用该中小企业商号或者注册商标；</w:t>
            </w:r>
          </w:p>
          <w:p>
            <w:pPr>
              <w:keepNext w:val="0"/>
              <w:keepLines w:val="0"/>
              <w:pageBreakBefore w:val="0"/>
              <w:widowControl w:val="0"/>
              <w:kinsoku/>
              <w:overflowPunct/>
              <w:topLinePunct w:val="0"/>
              <w:autoSpaceDE/>
              <w:autoSpaceDN/>
              <w:bidi w:val="0"/>
              <w:adjustRightInd/>
              <w:snapToGrid/>
              <w:spacing w:line="380" w:lineRule="exact"/>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（2）在工程采购项目中，工程由中小企业承建，即工程施工单位为中小企业；</w:t>
            </w:r>
          </w:p>
          <w:p>
            <w:pPr>
              <w:keepNext w:val="0"/>
              <w:keepLines w:val="0"/>
              <w:pageBreakBefore w:val="0"/>
              <w:widowControl w:val="0"/>
              <w:kinsoku/>
              <w:overflowPunct/>
              <w:topLinePunct w:val="0"/>
              <w:autoSpaceDE/>
              <w:autoSpaceDN/>
              <w:bidi w:val="0"/>
              <w:adjustRightInd/>
              <w:snapToGrid/>
              <w:spacing w:line="380" w:lineRule="exact"/>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（3）在服务采购项目中，服务由中小企业承接，即提供服务的人员为中小企业依照《中华人民共和国劳动合同法》订立劳动合同的从业人员。 </w:t>
            </w:r>
          </w:p>
          <w:p>
            <w:pPr>
              <w:keepNext w:val="0"/>
              <w:keepLines w:val="0"/>
              <w:pageBreakBefore w:val="0"/>
              <w:widowControl w:val="0"/>
              <w:kinsoku/>
              <w:overflowPunct/>
              <w:topLinePunct w:val="0"/>
              <w:autoSpaceDE/>
              <w:autoSpaceDN/>
              <w:bidi w:val="0"/>
              <w:adjustRightInd/>
              <w:snapToGrid/>
              <w:spacing w:line="380" w:lineRule="exact"/>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在货物采购项目中，投标人提供的货物既有中小企业制造货物，也有大型企业制造货物的，不享受本办法规定的中小企业扶持政策。 </w:t>
            </w:r>
          </w:p>
          <w:p>
            <w:pPr>
              <w:pStyle w:val="36"/>
              <w:keepNext w:val="0"/>
              <w:keepLines w:val="0"/>
              <w:pageBreakBefore w:val="0"/>
              <w:widowControl w:val="0"/>
              <w:kinsoku/>
              <w:overflowPunct/>
              <w:topLinePunct w:val="0"/>
              <w:autoSpaceDE/>
              <w:autoSpaceDN/>
              <w:bidi w:val="0"/>
              <w:adjustRightInd/>
              <w:snapToGrid/>
              <w:spacing w:line="380" w:lineRule="exact"/>
              <w:ind w:left="0" w:firstLine="0"/>
              <w:textAlignment w:val="auto"/>
              <w:rPr>
                <w:rFonts w:hint="default" w:ascii="Times New Roman" w:hAnsi="Times New Roman" w:cs="Times New Roman"/>
                <w:b w:val="0"/>
                <w:bCs/>
                <w:color w:val="auto"/>
                <w:sz w:val="21"/>
                <w:szCs w:val="21"/>
                <w:highlight w:val="none"/>
              </w:rPr>
            </w:pPr>
            <w:r>
              <w:rPr>
                <w:rFonts w:hint="eastAsia" w:ascii="宋体" w:hAnsi="宋体" w:cs="宋体"/>
                <w:b w:val="0"/>
                <w:bCs/>
                <w:color w:val="auto"/>
                <w:kern w:val="0"/>
                <w:szCs w:val="21"/>
                <w:highlight w:val="none"/>
              </w:rPr>
              <w:t>以联合体形式参加政府采购活动，联合体各方均为中小企业的，联合体视同中小企业。其中，联合体各方均为小微企业的，联合体视同小微企业。</w:t>
            </w:r>
          </w:p>
          <w:p>
            <w:pPr>
              <w:pStyle w:val="36"/>
              <w:keepNext w:val="0"/>
              <w:keepLines w:val="0"/>
              <w:pageBreakBefore w:val="0"/>
              <w:widowControl w:val="0"/>
              <w:kinsoku/>
              <w:overflowPunct/>
              <w:topLinePunct w:val="0"/>
              <w:autoSpaceDE/>
              <w:autoSpaceDN/>
              <w:bidi w:val="0"/>
              <w:adjustRightInd/>
              <w:snapToGrid/>
              <w:spacing w:line="380" w:lineRule="exact"/>
              <w:ind w:left="0" w:firstLine="0"/>
              <w:textAlignment w:val="auto"/>
              <w:rPr>
                <w:rFonts w:hint="default" w:ascii="Times New Roman" w:hAnsi="Times New Roman" w:cs="Times New Roman"/>
                <w:color w:val="auto"/>
                <w:sz w:val="21"/>
                <w:szCs w:val="21"/>
                <w:highlight w:val="none"/>
              </w:rPr>
            </w:pPr>
            <w:r>
              <w:rPr>
                <w:rFonts w:hint="default" w:ascii="宋体" w:hAnsi="宋体" w:cs="宋体"/>
                <w:b w:val="0"/>
                <w:bCs/>
                <w:color w:val="auto"/>
                <w:kern w:val="0"/>
                <w:szCs w:val="21"/>
                <w:highlight w:val="none"/>
              </w:rPr>
              <w:t>3.</w:t>
            </w:r>
            <w:r>
              <w:rPr>
                <w:rFonts w:hint="eastAsia" w:ascii="宋体" w:hAnsi="宋体" w:cs="宋体"/>
                <w:b w:val="0"/>
                <w:bCs/>
                <w:color w:val="auto"/>
                <w:kern w:val="0"/>
                <w:szCs w:val="21"/>
                <w:highlight w:val="none"/>
              </w:rPr>
              <w:t>符合财政部 司法部关于政府采购支持监狱企业发展有关问题的通知（财库〔2014〕68号）的监狱企业、符合财政部民政部中国残疾人联合会关于促进残疾人就业政府采购政策的通知（财库〔2017〕141号）的残疾人福利性单位，</w:t>
            </w:r>
            <w:r>
              <w:rPr>
                <w:rFonts w:hint="default" w:ascii="宋体" w:hAnsi="宋体" w:cs="宋体"/>
                <w:b w:val="0"/>
                <w:bCs/>
                <w:color w:val="auto"/>
                <w:kern w:val="0"/>
                <w:szCs w:val="21"/>
                <w:highlight w:val="none"/>
              </w:rPr>
              <w:t>在政府采购活动中，监狱企业、残疾人福利性单位视同小型、微型企业，享受</w:t>
            </w:r>
            <w:r>
              <w:rPr>
                <w:rFonts w:hint="default" w:ascii="Times New Roman" w:hAnsi="Times New Roman" w:cs="Times New Roman"/>
                <w:color w:val="auto"/>
                <w:sz w:val="21"/>
                <w:szCs w:val="21"/>
                <w:highlight w:val="none"/>
              </w:rPr>
              <w:t>本办法规定的中小企业扶持政策；监狱企业、残疾人福利性单位属于小型、微型企业的，不重复享受政策。</w:t>
            </w:r>
          </w:p>
          <w:p>
            <w:pPr>
              <w:pStyle w:val="36"/>
              <w:keepNext w:val="0"/>
              <w:keepLines w:val="0"/>
              <w:pageBreakBefore w:val="0"/>
              <w:widowControl w:val="0"/>
              <w:kinsoku/>
              <w:overflowPunct/>
              <w:topLinePunct w:val="0"/>
              <w:autoSpaceDE/>
              <w:autoSpaceDN/>
              <w:bidi w:val="0"/>
              <w:adjustRightInd/>
              <w:snapToGrid/>
              <w:spacing w:line="380" w:lineRule="exact"/>
              <w:ind w:left="0" w:firstLine="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r>
              <w:rPr>
                <w:rFonts w:hint="eastAsia" w:ascii="Times New Roman" w:hAnsi="Times New Roman" w:cs="Times New Roman"/>
                <w:color w:val="auto"/>
                <w:sz w:val="21"/>
                <w:szCs w:val="21"/>
                <w:highlight w:val="none"/>
              </w:rPr>
              <w:t>依据本办法规定享受扶持政策获得政府采购合同的，小微企业不得将合同分包给大中型企业，中型企业不得将合同分包给大型企业。</w:t>
            </w:r>
          </w:p>
          <w:p>
            <w:pPr>
              <w:pStyle w:val="36"/>
              <w:keepNext w:val="0"/>
              <w:keepLines w:val="0"/>
              <w:pageBreakBefore w:val="0"/>
              <w:widowControl w:val="0"/>
              <w:kinsoku/>
              <w:overflowPunct/>
              <w:topLinePunct w:val="0"/>
              <w:autoSpaceDE/>
              <w:autoSpaceDN/>
              <w:bidi w:val="0"/>
              <w:adjustRightInd/>
              <w:snapToGrid/>
              <w:spacing w:line="380" w:lineRule="exact"/>
              <w:ind w:left="0" w:firstLine="0"/>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本项目中小企业扶持政策：</w:t>
            </w:r>
          </w:p>
          <w:p>
            <w:pPr>
              <w:pStyle w:val="36"/>
              <w:keepNext w:val="0"/>
              <w:keepLines w:val="0"/>
              <w:pageBreakBefore w:val="0"/>
              <w:widowControl w:val="0"/>
              <w:kinsoku/>
              <w:overflowPunct/>
              <w:topLinePunct w:val="0"/>
              <w:autoSpaceDE/>
              <w:autoSpaceDN/>
              <w:bidi w:val="0"/>
              <w:adjustRightInd/>
              <w:snapToGrid/>
              <w:spacing w:line="380" w:lineRule="exact"/>
              <w:ind w:left="0" w:firstLine="0"/>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【价格扣除优惠政策】本项目对符合本办法规定的小微企业报价给予</w:t>
            </w:r>
            <w:r>
              <w:rPr>
                <w:rFonts w:hint="default"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rPr>
              <w:t>0%的扣除，用扣除后的价格参加评审：</w:t>
            </w:r>
          </w:p>
          <w:p>
            <w:pPr>
              <w:pStyle w:val="36"/>
              <w:keepNext w:val="0"/>
              <w:keepLines w:val="0"/>
              <w:pageBreakBefore w:val="0"/>
              <w:widowControl w:val="0"/>
              <w:kinsoku/>
              <w:overflowPunct/>
              <w:topLinePunct w:val="0"/>
              <w:autoSpaceDE/>
              <w:autoSpaceDN/>
              <w:bidi w:val="0"/>
              <w:adjustRightInd/>
              <w:snapToGrid/>
              <w:spacing w:line="380" w:lineRule="exact"/>
              <w:ind w:left="0" w:firstLine="0"/>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rPr>
              <w:t>投标人须提供《中小企业声明函》（监狱企业须提供由省级以上监狱管理局、戒毒管理局（含新疆生产建设兵团）出具的属于监狱企业的证明文件；残疾人福利性单位须提供《残疾人福利性单位声明函》）附在投标报价文件内，否则不享受价格扣除优惠政策。</w:t>
            </w:r>
          </w:p>
        </w:tc>
      </w:tr>
    </w:tbl>
    <w:p>
      <w:pPr>
        <w:pStyle w:val="109"/>
        <w:ind w:left="0" w:firstLine="420" w:firstLineChars="200"/>
        <w:rPr>
          <w:rFonts w:hint="default" w:ascii="Times New Roman" w:hAnsi="Times New Roman" w:cs="Times New Roman"/>
          <w:color w:val="auto"/>
          <w:sz w:val="21"/>
          <w:szCs w:val="21"/>
          <w:highlight w:val="none"/>
        </w:rPr>
      </w:pPr>
    </w:p>
    <w:p>
      <w:pPr>
        <w:rPr>
          <w:color w:val="auto"/>
          <w:highlight w:val="none"/>
        </w:rPr>
      </w:pPr>
    </w:p>
    <w:p>
      <w:pPr>
        <w:pStyle w:val="6"/>
        <w:rPr>
          <w:color w:val="auto"/>
          <w:highlight w:val="none"/>
        </w:rPr>
      </w:pPr>
      <w:r>
        <w:rPr>
          <w:color w:val="auto"/>
          <w:highlight w:val="none"/>
        </w:rPr>
        <w:t>总则</w:t>
      </w:r>
    </w:p>
    <w:p>
      <w:pPr>
        <w:pStyle w:val="8"/>
        <w:keepNext w:val="0"/>
        <w:keepLines w:val="0"/>
        <w:pageBreakBefore w:val="0"/>
        <w:numPr>
          <w:ilvl w:val="0"/>
          <w:numId w:val="0"/>
        </w:numPr>
        <w:kinsoku/>
        <w:overflowPunct/>
        <w:topLinePunct w:val="0"/>
        <w:autoSpaceDE/>
        <w:autoSpaceDN/>
        <w:bidi w:val="0"/>
        <w:adjustRightInd/>
        <w:snapToGrid/>
        <w:ind w:firstLine="422" w:firstLineChars="200"/>
        <w:textAlignment w:val="auto"/>
        <w:rPr>
          <w:color w:val="auto"/>
          <w:highlight w:val="none"/>
        </w:rPr>
      </w:pPr>
      <w:r>
        <w:rPr>
          <w:rFonts w:hint="eastAsia"/>
          <w:color w:val="auto"/>
          <w:highlight w:val="none"/>
        </w:rPr>
        <w:t>（一）适用范围</w:t>
      </w:r>
    </w:p>
    <w:p>
      <w:pPr>
        <w:keepNext w:val="0"/>
        <w:keepLines w:val="0"/>
        <w:pageBreakBefore w:val="0"/>
        <w:kinsoku/>
        <w:overflowPunct/>
        <w:topLinePunct w:val="0"/>
        <w:autoSpaceDE/>
        <w:autoSpaceDN/>
        <w:bidi w:val="0"/>
        <w:adjustRightInd/>
        <w:snapToGrid/>
        <w:ind w:firstLine="420" w:firstLineChars="200"/>
        <w:textAlignment w:val="auto"/>
        <w:rPr>
          <w:color w:val="auto"/>
          <w:highlight w:val="none"/>
        </w:rPr>
      </w:pPr>
      <w:r>
        <w:rPr>
          <w:rFonts w:hint="eastAsia"/>
          <w:color w:val="auto"/>
          <w:highlight w:val="none"/>
        </w:rPr>
        <w:t>本</w:t>
      </w:r>
      <w:r>
        <w:rPr>
          <w:rFonts w:hint="eastAsia"/>
          <w:color w:val="auto"/>
          <w:highlight w:val="none"/>
          <w:lang w:eastAsia="zh-CN"/>
        </w:rPr>
        <w:t>采购文件</w:t>
      </w:r>
      <w:r>
        <w:rPr>
          <w:rFonts w:hint="eastAsia"/>
          <w:color w:val="auto"/>
          <w:highlight w:val="none"/>
        </w:rPr>
        <w:t>适用于</w:t>
      </w:r>
      <w:r>
        <w:rPr>
          <w:rFonts w:hint="eastAsia"/>
          <w:color w:val="auto"/>
          <w:highlight w:val="none"/>
          <w:lang w:eastAsia="zh-CN"/>
        </w:rPr>
        <w:t>2023年舟山绿色石化基地围填海工程营运期海域、海岛生态环境跟踪监测</w:t>
      </w:r>
      <w:r>
        <w:rPr>
          <w:rFonts w:hint="eastAsia"/>
          <w:color w:val="auto"/>
          <w:highlight w:val="none"/>
        </w:rPr>
        <w:t>的招标、投标、评标、定标、验收、合同履约、付款等行为（法律、法规另有规定的，从其规定）。</w:t>
      </w:r>
    </w:p>
    <w:p>
      <w:pPr>
        <w:pStyle w:val="8"/>
        <w:keepNext w:val="0"/>
        <w:keepLines w:val="0"/>
        <w:pageBreakBefore w:val="0"/>
        <w:numPr>
          <w:ilvl w:val="0"/>
          <w:numId w:val="0"/>
        </w:numPr>
        <w:kinsoku/>
        <w:overflowPunct/>
        <w:topLinePunct w:val="0"/>
        <w:autoSpaceDE/>
        <w:autoSpaceDN/>
        <w:bidi w:val="0"/>
        <w:adjustRightInd/>
        <w:snapToGrid/>
        <w:ind w:firstLine="422" w:firstLineChars="200"/>
        <w:textAlignment w:val="auto"/>
        <w:rPr>
          <w:color w:val="auto"/>
          <w:highlight w:val="none"/>
        </w:rPr>
      </w:pPr>
      <w:r>
        <w:rPr>
          <w:rFonts w:hint="eastAsia"/>
          <w:color w:val="auto"/>
          <w:highlight w:val="none"/>
        </w:rPr>
        <w:t>（二）定义</w:t>
      </w:r>
    </w:p>
    <w:p>
      <w:pPr>
        <w:pStyle w:val="45"/>
        <w:keepNext w:val="0"/>
        <w:keepLines w:val="0"/>
        <w:pageBreakBefore w:val="0"/>
        <w:numPr>
          <w:ilvl w:val="0"/>
          <w:numId w:val="7"/>
        </w:numPr>
        <w:kinsoku/>
        <w:overflowPunct/>
        <w:topLinePunct w:val="0"/>
        <w:autoSpaceDE/>
        <w:autoSpaceDN/>
        <w:bidi w:val="0"/>
        <w:adjustRightInd/>
        <w:snapToGrid/>
        <w:ind w:firstLine="420" w:firstLineChars="200"/>
        <w:textAlignment w:val="auto"/>
        <w:rPr>
          <w:color w:val="auto"/>
          <w:highlight w:val="none"/>
        </w:rPr>
      </w:pPr>
      <w:r>
        <w:rPr>
          <w:rFonts w:hint="eastAsia" w:hAnsi="宋体" w:eastAsia="宋体" w:cs="宋体"/>
          <w:color w:val="auto"/>
          <w:sz w:val="21"/>
          <w:szCs w:val="21"/>
          <w:highlight w:val="none"/>
        </w:rPr>
        <w:t>“采购人”、“招标人”系指组织本次采购的单位：</w:t>
      </w:r>
      <w:r>
        <w:rPr>
          <w:rFonts w:hint="eastAsia" w:hAnsi="宋体" w:eastAsia="宋体" w:cs="宋体"/>
          <w:color w:val="auto"/>
          <w:sz w:val="21"/>
          <w:szCs w:val="21"/>
          <w:highlight w:val="none"/>
          <w:lang w:val="en-US" w:eastAsia="zh-CN"/>
        </w:rPr>
        <w:t>舟山绿色石化基地管委会</w:t>
      </w:r>
      <w:r>
        <w:rPr>
          <w:rFonts w:hint="eastAsia" w:hAnsi="宋体" w:eastAsia="宋体" w:cs="宋体"/>
          <w:color w:val="auto"/>
          <w:sz w:val="21"/>
          <w:szCs w:val="21"/>
          <w:highlight w:val="none"/>
        </w:rPr>
        <w:t>。</w:t>
      </w:r>
    </w:p>
    <w:p>
      <w:pPr>
        <w:pStyle w:val="45"/>
        <w:keepNext w:val="0"/>
        <w:keepLines w:val="0"/>
        <w:pageBreakBefore w:val="0"/>
        <w:numPr>
          <w:ilvl w:val="0"/>
          <w:numId w:val="7"/>
        </w:numPr>
        <w:kinsoku/>
        <w:overflowPunct/>
        <w:topLinePunct w:val="0"/>
        <w:autoSpaceDE/>
        <w:autoSpaceDN/>
        <w:bidi w:val="0"/>
        <w:adjustRightInd/>
        <w:snapToGrid/>
        <w:ind w:firstLine="420" w:firstLineChars="200"/>
        <w:textAlignment w:val="auto"/>
        <w:rPr>
          <w:color w:val="auto"/>
          <w:highlight w:val="none"/>
        </w:rPr>
      </w:pPr>
      <w:r>
        <w:rPr>
          <w:rFonts w:hint="eastAsia" w:hAnsi="宋体" w:cs="宋体"/>
          <w:color w:val="auto"/>
          <w:sz w:val="21"/>
          <w:szCs w:val="21"/>
          <w:highlight w:val="none"/>
          <w:lang w:eastAsia="zh-CN"/>
        </w:rPr>
        <w:t>“采购代理机构”</w:t>
      </w:r>
      <w:r>
        <w:rPr>
          <w:rFonts w:hint="eastAsia" w:hAnsi="宋体" w:eastAsia="宋体" w:cs="宋体"/>
          <w:color w:val="auto"/>
          <w:sz w:val="21"/>
          <w:szCs w:val="21"/>
          <w:highlight w:val="none"/>
        </w:rPr>
        <w:t>系指</w:t>
      </w:r>
      <w:r>
        <w:rPr>
          <w:rFonts w:hint="eastAsia" w:hAnsi="宋体" w:cs="宋体"/>
          <w:color w:val="auto"/>
          <w:sz w:val="21"/>
          <w:szCs w:val="21"/>
          <w:highlight w:val="none"/>
          <w:lang w:eastAsia="zh-CN"/>
        </w:rPr>
        <w:t>浙江万事达建设工程管理有限公司。</w:t>
      </w:r>
    </w:p>
    <w:p>
      <w:pPr>
        <w:pStyle w:val="45"/>
        <w:keepNext w:val="0"/>
        <w:keepLines w:val="0"/>
        <w:pageBreakBefore w:val="0"/>
        <w:numPr>
          <w:ilvl w:val="0"/>
          <w:numId w:val="7"/>
        </w:numPr>
        <w:kinsoku/>
        <w:overflowPunct/>
        <w:topLinePunct w:val="0"/>
        <w:autoSpaceDE/>
        <w:autoSpaceDN/>
        <w:bidi w:val="0"/>
        <w:adjustRightInd/>
        <w:snapToGrid/>
        <w:ind w:firstLine="420" w:firstLineChars="200"/>
        <w:textAlignment w:val="auto"/>
        <w:rPr>
          <w:color w:val="auto"/>
          <w:highlight w:val="none"/>
        </w:rPr>
      </w:pPr>
      <w:r>
        <w:rPr>
          <w:rFonts w:hint="eastAsia"/>
          <w:color w:val="auto"/>
          <w:highlight w:val="none"/>
        </w:rPr>
        <w:t>“投标人”系指向采购人提交投标文件的的法人、其他组织。</w:t>
      </w:r>
    </w:p>
    <w:p>
      <w:pPr>
        <w:pStyle w:val="45"/>
        <w:keepNext w:val="0"/>
        <w:keepLines w:val="0"/>
        <w:pageBreakBefore w:val="0"/>
        <w:numPr>
          <w:ilvl w:val="0"/>
          <w:numId w:val="7"/>
        </w:numPr>
        <w:kinsoku/>
        <w:overflowPunct/>
        <w:topLinePunct w:val="0"/>
        <w:autoSpaceDE/>
        <w:autoSpaceDN/>
        <w:bidi w:val="0"/>
        <w:adjustRightInd/>
        <w:snapToGrid/>
        <w:ind w:firstLine="420" w:firstLineChars="200"/>
        <w:textAlignment w:val="auto"/>
        <w:rPr>
          <w:color w:val="auto"/>
          <w:highlight w:val="none"/>
        </w:rPr>
      </w:pPr>
      <w:r>
        <w:rPr>
          <w:rFonts w:hint="eastAsia"/>
          <w:color w:val="auto"/>
          <w:highlight w:val="none"/>
        </w:rPr>
        <w:t>“负责人”系指法人企业的法定代表人，或其他组织为法律、行政法规规定代表单位行使职权的主要负责人。</w:t>
      </w:r>
    </w:p>
    <w:p>
      <w:pPr>
        <w:pStyle w:val="45"/>
        <w:keepNext w:val="0"/>
        <w:keepLines w:val="0"/>
        <w:pageBreakBefore w:val="0"/>
        <w:numPr>
          <w:ilvl w:val="0"/>
          <w:numId w:val="7"/>
        </w:numPr>
        <w:kinsoku/>
        <w:overflowPunct/>
        <w:topLinePunct w:val="0"/>
        <w:autoSpaceDE/>
        <w:autoSpaceDN/>
        <w:bidi w:val="0"/>
        <w:adjustRightInd/>
        <w:snapToGrid/>
        <w:ind w:firstLine="420" w:firstLineChars="200"/>
        <w:textAlignment w:val="auto"/>
        <w:rPr>
          <w:color w:val="auto"/>
          <w:highlight w:val="none"/>
        </w:rPr>
      </w:pPr>
      <w:r>
        <w:rPr>
          <w:rFonts w:hint="eastAsia"/>
          <w:color w:val="auto"/>
          <w:highlight w:val="none"/>
        </w:rPr>
        <w:t>“中标人”是指经审查通过，并经公示无异议的投标人。</w:t>
      </w:r>
    </w:p>
    <w:p>
      <w:pPr>
        <w:pStyle w:val="45"/>
        <w:keepNext w:val="0"/>
        <w:keepLines w:val="0"/>
        <w:pageBreakBefore w:val="0"/>
        <w:numPr>
          <w:ilvl w:val="0"/>
          <w:numId w:val="7"/>
        </w:numPr>
        <w:kinsoku/>
        <w:overflowPunct/>
        <w:topLinePunct w:val="0"/>
        <w:autoSpaceDE/>
        <w:autoSpaceDN/>
        <w:bidi w:val="0"/>
        <w:adjustRightInd/>
        <w:snapToGrid/>
        <w:ind w:firstLine="420" w:firstLineChars="200"/>
        <w:textAlignment w:val="auto"/>
        <w:rPr>
          <w:color w:val="auto"/>
          <w:highlight w:val="none"/>
        </w:rPr>
      </w:pPr>
      <w:r>
        <w:rPr>
          <w:rFonts w:hint="eastAsia"/>
          <w:color w:val="auto"/>
          <w:highlight w:val="none"/>
          <w:lang w:eastAsia="zh-CN"/>
        </w:rPr>
        <w:t>“服务”</w:t>
      </w:r>
      <w:r>
        <w:rPr>
          <w:rFonts w:hint="eastAsia"/>
          <w:color w:val="auto"/>
          <w:highlight w:val="none"/>
        </w:rPr>
        <w:t>系指</w:t>
      </w:r>
      <w:r>
        <w:rPr>
          <w:rFonts w:hint="eastAsia"/>
          <w:color w:val="auto"/>
          <w:highlight w:val="none"/>
          <w:lang w:eastAsia="zh-CN"/>
        </w:rPr>
        <w:t>采购</w:t>
      </w:r>
      <w:r>
        <w:rPr>
          <w:rFonts w:hint="eastAsia" w:hAnsi="宋体" w:eastAsia="宋体" w:cs="宋体"/>
          <w:color w:val="auto"/>
          <w:sz w:val="21"/>
          <w:szCs w:val="21"/>
          <w:highlight w:val="none"/>
        </w:rPr>
        <w:t>文件规定投标人须承担的开展</w:t>
      </w:r>
      <w:r>
        <w:rPr>
          <w:rFonts w:hint="eastAsia" w:hAnsi="宋体" w:eastAsia="宋体" w:cs="宋体"/>
          <w:color w:val="auto"/>
          <w:sz w:val="21"/>
          <w:szCs w:val="21"/>
          <w:highlight w:val="none"/>
          <w:lang w:eastAsia="zh-CN"/>
        </w:rPr>
        <w:t>本项目工作。</w:t>
      </w:r>
    </w:p>
    <w:p>
      <w:pPr>
        <w:pStyle w:val="45"/>
        <w:keepNext w:val="0"/>
        <w:keepLines w:val="0"/>
        <w:pageBreakBefore w:val="0"/>
        <w:numPr>
          <w:ilvl w:val="0"/>
          <w:numId w:val="7"/>
        </w:numPr>
        <w:kinsoku/>
        <w:overflowPunct/>
        <w:topLinePunct w:val="0"/>
        <w:autoSpaceDE/>
        <w:autoSpaceDN/>
        <w:bidi w:val="0"/>
        <w:adjustRightInd/>
        <w:snapToGrid/>
        <w:ind w:firstLine="420" w:firstLineChars="200"/>
        <w:textAlignment w:val="auto"/>
        <w:rPr>
          <w:color w:val="auto"/>
          <w:highlight w:val="none"/>
        </w:rPr>
      </w:pPr>
      <w:r>
        <w:rPr>
          <w:rFonts w:hint="eastAsia"/>
          <w:color w:val="auto"/>
          <w:highlight w:val="none"/>
        </w:rPr>
        <w:t>“项目”系指投标人按</w:t>
      </w:r>
      <w:r>
        <w:rPr>
          <w:rFonts w:hint="eastAsia"/>
          <w:color w:val="auto"/>
          <w:highlight w:val="none"/>
          <w:lang w:eastAsia="zh-CN"/>
        </w:rPr>
        <w:t>采购文件</w:t>
      </w:r>
      <w:r>
        <w:rPr>
          <w:rFonts w:hint="eastAsia"/>
          <w:color w:val="auto"/>
          <w:highlight w:val="none"/>
        </w:rPr>
        <w:t>规定向采购人提供的服务。</w:t>
      </w:r>
    </w:p>
    <w:p>
      <w:pPr>
        <w:pStyle w:val="45"/>
        <w:keepNext w:val="0"/>
        <w:keepLines w:val="0"/>
        <w:pageBreakBefore w:val="0"/>
        <w:numPr>
          <w:ilvl w:val="0"/>
          <w:numId w:val="7"/>
        </w:numPr>
        <w:kinsoku/>
        <w:overflowPunct/>
        <w:topLinePunct w:val="0"/>
        <w:autoSpaceDE/>
        <w:autoSpaceDN/>
        <w:bidi w:val="0"/>
        <w:adjustRightInd/>
        <w:snapToGrid/>
        <w:ind w:firstLine="420" w:firstLineChars="200"/>
        <w:textAlignment w:val="auto"/>
        <w:rPr>
          <w:color w:val="auto"/>
          <w:highlight w:val="none"/>
        </w:rPr>
      </w:pPr>
      <w:r>
        <w:rPr>
          <w:rFonts w:hint="eastAsia"/>
          <w:color w:val="auto"/>
          <w:highlight w:val="none"/>
        </w:rPr>
        <w:t>“投标人代表”是指投标人法定代表人或被投标人法定代表人授权委托的人（注：投标人为其他组织的，投标人代表则须为单位负责人或单位负责人授权委托的人。以下如有涉及同样内容时，与此注表述一致）。</w:t>
      </w:r>
    </w:p>
    <w:p>
      <w:pPr>
        <w:pStyle w:val="45"/>
        <w:keepNext w:val="0"/>
        <w:keepLines w:val="0"/>
        <w:pageBreakBefore w:val="0"/>
        <w:numPr>
          <w:ilvl w:val="0"/>
          <w:numId w:val="7"/>
        </w:numPr>
        <w:kinsoku/>
        <w:overflowPunct/>
        <w:topLinePunct w:val="0"/>
        <w:autoSpaceDE/>
        <w:autoSpaceDN/>
        <w:bidi w:val="0"/>
        <w:adjustRightInd/>
        <w:snapToGrid/>
        <w:ind w:firstLine="420" w:firstLineChars="200"/>
        <w:textAlignment w:val="auto"/>
        <w:rPr>
          <w:color w:val="auto"/>
          <w:highlight w:val="none"/>
        </w:rPr>
      </w:pPr>
      <w:r>
        <w:rPr>
          <w:rFonts w:hint="eastAsia"/>
          <w:color w:val="auto"/>
          <w:highlight w:val="none"/>
        </w:rPr>
        <w:t>“书面形式”包括信函、传真、电报、电子签名的电子文档等。</w:t>
      </w:r>
    </w:p>
    <w:p>
      <w:pPr>
        <w:pStyle w:val="8"/>
        <w:keepNext w:val="0"/>
        <w:keepLines w:val="0"/>
        <w:pageBreakBefore w:val="0"/>
        <w:numPr>
          <w:ilvl w:val="0"/>
          <w:numId w:val="0"/>
        </w:numPr>
        <w:kinsoku/>
        <w:overflowPunct/>
        <w:topLinePunct w:val="0"/>
        <w:autoSpaceDE/>
        <w:autoSpaceDN/>
        <w:bidi w:val="0"/>
        <w:adjustRightInd/>
        <w:snapToGrid/>
        <w:ind w:firstLine="422" w:firstLineChars="200"/>
        <w:textAlignment w:val="auto"/>
        <w:rPr>
          <w:color w:val="auto"/>
          <w:highlight w:val="none"/>
        </w:rPr>
      </w:pPr>
      <w:r>
        <w:rPr>
          <w:rFonts w:hint="eastAsia"/>
          <w:color w:val="auto"/>
          <w:highlight w:val="none"/>
        </w:rPr>
        <w:t>（三）采购方式</w:t>
      </w:r>
    </w:p>
    <w:p>
      <w:pPr>
        <w:keepNext w:val="0"/>
        <w:keepLines w:val="0"/>
        <w:pageBreakBefore w:val="0"/>
        <w:kinsoku/>
        <w:overflowPunct/>
        <w:topLinePunct w:val="0"/>
        <w:autoSpaceDE/>
        <w:autoSpaceDN/>
        <w:bidi w:val="0"/>
        <w:adjustRightInd/>
        <w:snapToGrid/>
        <w:ind w:firstLine="420" w:firstLineChars="200"/>
        <w:textAlignment w:val="auto"/>
        <w:rPr>
          <w:rFonts w:hAnsi="宋体"/>
          <w:color w:val="auto"/>
          <w:szCs w:val="21"/>
          <w:highlight w:val="none"/>
        </w:rPr>
      </w:pPr>
      <w:r>
        <w:rPr>
          <w:rFonts w:hint="eastAsia"/>
          <w:color w:val="auto"/>
          <w:highlight w:val="none"/>
        </w:rPr>
        <w:t>本次采用公开招标方式进行</w:t>
      </w:r>
      <w:r>
        <w:rPr>
          <w:rFonts w:hAnsi="宋体"/>
          <w:color w:val="auto"/>
          <w:szCs w:val="21"/>
          <w:highlight w:val="none"/>
        </w:rPr>
        <w:t>。</w:t>
      </w:r>
    </w:p>
    <w:p>
      <w:pPr>
        <w:pStyle w:val="8"/>
        <w:keepNext w:val="0"/>
        <w:keepLines w:val="0"/>
        <w:pageBreakBefore w:val="0"/>
        <w:numPr>
          <w:ilvl w:val="0"/>
          <w:numId w:val="0"/>
        </w:numPr>
        <w:kinsoku/>
        <w:overflowPunct/>
        <w:topLinePunct w:val="0"/>
        <w:autoSpaceDE/>
        <w:autoSpaceDN/>
        <w:bidi w:val="0"/>
        <w:adjustRightInd/>
        <w:snapToGrid/>
        <w:ind w:firstLine="422" w:firstLineChars="200"/>
        <w:textAlignment w:val="auto"/>
        <w:rPr>
          <w:rFonts w:hint="eastAsia" w:eastAsia="宋体"/>
          <w:color w:val="auto"/>
          <w:highlight w:val="none"/>
          <w:lang w:eastAsia="zh-CN"/>
        </w:rPr>
      </w:pPr>
      <w:r>
        <w:rPr>
          <w:rFonts w:hint="eastAsia"/>
          <w:color w:val="auto"/>
          <w:highlight w:val="none"/>
        </w:rPr>
        <w:t>（四）</w:t>
      </w:r>
      <w:r>
        <w:rPr>
          <w:rFonts w:hint="eastAsia"/>
          <w:color w:val="auto"/>
          <w:highlight w:val="none"/>
          <w:lang w:eastAsia="zh-CN"/>
        </w:rPr>
        <w:t>最高限价</w:t>
      </w:r>
    </w:p>
    <w:p>
      <w:pPr>
        <w:keepNext w:val="0"/>
        <w:keepLines w:val="0"/>
        <w:pageBreakBefore w:val="0"/>
        <w:kinsoku/>
        <w:overflowPunct/>
        <w:topLinePunct w:val="0"/>
        <w:autoSpaceDE/>
        <w:autoSpaceDN/>
        <w:bidi w:val="0"/>
        <w:adjustRightInd/>
        <w:snapToGrid/>
        <w:ind w:firstLine="422" w:firstLineChars="200"/>
        <w:textAlignment w:val="auto"/>
        <w:rPr>
          <w:color w:val="auto"/>
          <w:highlight w:val="none"/>
        </w:rPr>
      </w:pPr>
      <w:r>
        <w:rPr>
          <w:b/>
          <w:bCs/>
          <w:color w:val="auto"/>
          <w:szCs w:val="21"/>
          <w:highlight w:val="none"/>
        </w:rPr>
        <w:t>本</w:t>
      </w:r>
      <w:r>
        <w:rPr>
          <w:b/>
          <w:color w:val="auto"/>
          <w:szCs w:val="21"/>
          <w:highlight w:val="none"/>
        </w:rPr>
        <w:t>项目的</w:t>
      </w:r>
      <w:r>
        <w:rPr>
          <w:rFonts w:hint="eastAsia" w:ascii="Cambria" w:hAnsi="Cambria" w:eastAsia="宋体" w:cs="宋体"/>
          <w:b/>
          <w:bCs/>
          <w:color w:val="auto"/>
          <w:kern w:val="2"/>
          <w:sz w:val="21"/>
          <w:szCs w:val="32"/>
          <w:highlight w:val="none"/>
          <w:lang w:val="en-US" w:eastAsia="zh-CN" w:bidi="ar-SA"/>
        </w:rPr>
        <w:t>最高限价为</w:t>
      </w:r>
      <w:r>
        <w:rPr>
          <w:rFonts w:ascii="Cambria" w:hAnsi="Cambria" w:eastAsia="宋体" w:cs="宋体"/>
          <w:b/>
          <w:bCs/>
          <w:color w:val="auto"/>
          <w:kern w:val="2"/>
          <w:sz w:val="21"/>
          <w:szCs w:val="32"/>
          <w:highlight w:val="none"/>
          <w:lang w:val="en-US" w:eastAsia="zh-CN" w:bidi="ar-SA"/>
        </w:rPr>
        <w:t>：</w:t>
      </w:r>
      <w:r>
        <w:rPr>
          <w:b/>
          <w:color w:val="auto"/>
          <w:szCs w:val="21"/>
          <w:highlight w:val="none"/>
        </w:rPr>
        <w:t>人民币</w:t>
      </w:r>
      <w:r>
        <w:rPr>
          <w:rFonts w:hint="eastAsia"/>
          <w:b/>
          <w:color w:val="auto"/>
          <w:szCs w:val="21"/>
          <w:highlight w:val="none"/>
          <w:lang w:eastAsia="zh-CN"/>
        </w:rPr>
        <w:t>肆佰肆拾肆</w:t>
      </w:r>
      <w:r>
        <w:rPr>
          <w:b/>
          <w:color w:val="auto"/>
          <w:szCs w:val="21"/>
          <w:highlight w:val="none"/>
        </w:rPr>
        <w:t>万元整（</w:t>
      </w:r>
      <w:r>
        <w:rPr>
          <w:rFonts w:hint="eastAsia"/>
          <w:b/>
          <w:bCs/>
          <w:color w:val="auto"/>
          <w:szCs w:val="21"/>
          <w:highlight w:val="none"/>
          <w:lang w:val="en-US" w:eastAsia="zh-CN"/>
        </w:rPr>
        <w:t>444</w:t>
      </w:r>
      <w:r>
        <w:rPr>
          <w:rFonts w:hint="eastAsia"/>
          <w:b/>
          <w:bCs/>
          <w:color w:val="auto"/>
          <w:szCs w:val="21"/>
          <w:highlight w:val="none"/>
        </w:rPr>
        <w:t>0000</w:t>
      </w:r>
      <w:r>
        <w:rPr>
          <w:b/>
          <w:color w:val="auto"/>
          <w:szCs w:val="21"/>
          <w:highlight w:val="none"/>
        </w:rPr>
        <w:t>元），超过作投标无效处理。</w:t>
      </w:r>
    </w:p>
    <w:p>
      <w:pPr>
        <w:numPr>
          <w:ilvl w:val="0"/>
          <w:numId w:val="8"/>
        </w:numPr>
        <w:snapToGrid w:val="0"/>
        <w:spacing w:line="360" w:lineRule="auto"/>
        <w:ind w:firstLine="422" w:firstLineChars="200"/>
        <w:jc w:val="left"/>
        <w:rPr>
          <w:b/>
          <w:color w:val="auto"/>
          <w:szCs w:val="21"/>
          <w:highlight w:val="none"/>
        </w:rPr>
      </w:pPr>
      <w:r>
        <w:rPr>
          <w:b/>
          <w:color w:val="auto"/>
          <w:szCs w:val="21"/>
          <w:highlight w:val="none"/>
        </w:rPr>
        <w:t>联合体投标</w:t>
      </w:r>
    </w:p>
    <w:p>
      <w:pPr>
        <w:pStyle w:val="14"/>
        <w:snapToGrid w:val="0"/>
        <w:spacing w:line="360" w:lineRule="auto"/>
        <w:ind w:firstLine="420" w:firstLineChars="200"/>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本项目</w:t>
      </w:r>
      <w:r>
        <w:rPr>
          <w:rFonts w:hint="eastAsia" w:ascii="Times New Roman" w:hAnsi="Times New Roman" w:eastAsia="宋体" w:cs="Times New Roman"/>
          <w:color w:val="auto"/>
          <w:kern w:val="0"/>
          <w:sz w:val="21"/>
          <w:szCs w:val="21"/>
          <w:highlight w:val="none"/>
          <w:lang w:eastAsia="zh-CN"/>
        </w:rPr>
        <w:t>不</w:t>
      </w:r>
      <w:r>
        <w:rPr>
          <w:rFonts w:hint="eastAsia" w:ascii="Times New Roman" w:hAnsi="Times New Roman" w:eastAsia="宋体" w:cs="Times New Roman"/>
          <w:color w:val="auto"/>
          <w:kern w:val="0"/>
          <w:sz w:val="21"/>
          <w:szCs w:val="21"/>
          <w:highlight w:val="none"/>
        </w:rPr>
        <w:t>接受联合体投标。</w:t>
      </w:r>
    </w:p>
    <w:p>
      <w:pPr>
        <w:snapToGrid w:val="0"/>
        <w:spacing w:line="360" w:lineRule="auto"/>
        <w:ind w:firstLine="422" w:firstLineChars="200"/>
        <w:jc w:val="left"/>
        <w:rPr>
          <w:b/>
          <w:color w:val="auto"/>
          <w:szCs w:val="21"/>
          <w:highlight w:val="none"/>
        </w:rPr>
      </w:pPr>
      <w:r>
        <w:rPr>
          <w:b/>
          <w:color w:val="auto"/>
          <w:szCs w:val="21"/>
          <w:highlight w:val="none"/>
        </w:rPr>
        <w:t>（六）转包与分包</w:t>
      </w:r>
    </w:p>
    <w:p>
      <w:pPr>
        <w:snapToGrid w:val="0"/>
        <w:spacing w:line="360" w:lineRule="auto"/>
        <w:ind w:firstLine="420" w:firstLineChars="200"/>
        <w:jc w:val="left"/>
        <w:rPr>
          <w:bCs/>
          <w:color w:val="auto"/>
          <w:highlight w:val="none"/>
        </w:rPr>
      </w:pPr>
      <w:r>
        <w:rPr>
          <w:bCs/>
          <w:color w:val="auto"/>
          <w:highlight w:val="none"/>
        </w:rPr>
        <w:t>1</w:t>
      </w:r>
      <w:r>
        <w:rPr>
          <w:rFonts w:hint="eastAsia"/>
          <w:bCs/>
          <w:color w:val="auto"/>
          <w:highlight w:val="none"/>
          <w:lang w:eastAsia="zh-CN"/>
        </w:rPr>
        <w:t>.</w:t>
      </w:r>
      <w:r>
        <w:rPr>
          <w:bCs/>
          <w:color w:val="auto"/>
          <w:highlight w:val="none"/>
        </w:rPr>
        <w:t>本项目不允许转包。</w:t>
      </w:r>
    </w:p>
    <w:p>
      <w:pPr>
        <w:snapToGrid w:val="0"/>
        <w:spacing w:line="360" w:lineRule="auto"/>
        <w:ind w:firstLine="420" w:firstLineChars="200"/>
        <w:jc w:val="left"/>
        <w:rPr>
          <w:bCs/>
          <w:color w:val="auto"/>
          <w:szCs w:val="21"/>
          <w:highlight w:val="none"/>
        </w:rPr>
      </w:pPr>
      <w:r>
        <w:rPr>
          <w:bCs/>
          <w:color w:val="auto"/>
          <w:szCs w:val="21"/>
          <w:highlight w:val="none"/>
        </w:rPr>
        <w:t>2.本项目</w:t>
      </w:r>
      <w:r>
        <w:rPr>
          <w:bCs/>
          <w:color w:val="auto"/>
          <w:highlight w:val="none"/>
        </w:rPr>
        <w:t>未经招标人同意，</w:t>
      </w:r>
      <w:r>
        <w:rPr>
          <w:bCs/>
          <w:color w:val="auto"/>
          <w:szCs w:val="21"/>
          <w:highlight w:val="none"/>
        </w:rPr>
        <w:t>不允许分包。</w:t>
      </w:r>
    </w:p>
    <w:p>
      <w:pPr>
        <w:snapToGrid w:val="0"/>
        <w:spacing w:line="360" w:lineRule="auto"/>
        <w:ind w:firstLine="422" w:firstLineChars="200"/>
        <w:jc w:val="left"/>
        <w:rPr>
          <w:b/>
          <w:color w:val="auto"/>
          <w:szCs w:val="21"/>
          <w:highlight w:val="none"/>
        </w:rPr>
      </w:pPr>
      <w:r>
        <w:rPr>
          <w:b/>
          <w:color w:val="auto"/>
          <w:szCs w:val="21"/>
          <w:highlight w:val="none"/>
        </w:rPr>
        <w:t>（七）投标费用</w:t>
      </w:r>
    </w:p>
    <w:p>
      <w:pPr>
        <w:snapToGrid w:val="0"/>
        <w:spacing w:line="360" w:lineRule="auto"/>
        <w:ind w:firstLine="420" w:firstLineChars="200"/>
        <w:jc w:val="left"/>
        <w:rPr>
          <w:color w:val="auto"/>
          <w:szCs w:val="21"/>
          <w:highlight w:val="none"/>
        </w:rPr>
      </w:pPr>
      <w:r>
        <w:rPr>
          <w:color w:val="auto"/>
          <w:szCs w:val="21"/>
          <w:highlight w:val="none"/>
        </w:rPr>
        <w:t>不论投标结果如何，投标人均应自行承担所有与投标有关的全部费用。</w:t>
      </w:r>
    </w:p>
    <w:p>
      <w:pPr>
        <w:pStyle w:val="14"/>
        <w:snapToGrid w:val="0"/>
        <w:spacing w:line="360" w:lineRule="auto"/>
        <w:ind w:firstLine="422" w:firstLineChars="200"/>
        <w:rPr>
          <w:rFonts w:ascii="Times New Roman" w:hAnsi="Times New Roman" w:eastAsia="宋体"/>
          <w:b/>
          <w:color w:val="auto"/>
          <w:kern w:val="0"/>
          <w:sz w:val="21"/>
          <w:szCs w:val="21"/>
          <w:highlight w:val="none"/>
        </w:rPr>
      </w:pPr>
      <w:r>
        <w:rPr>
          <w:rFonts w:ascii="Times New Roman" w:hAnsi="Times New Roman" w:eastAsia="宋体"/>
          <w:b/>
          <w:color w:val="auto"/>
          <w:kern w:val="0"/>
          <w:sz w:val="21"/>
          <w:szCs w:val="21"/>
          <w:highlight w:val="none"/>
        </w:rPr>
        <w:t>（八）答疑与澄清</w:t>
      </w:r>
    </w:p>
    <w:p>
      <w:pPr>
        <w:pStyle w:val="14"/>
        <w:snapToGrid w:val="0"/>
        <w:spacing w:line="360" w:lineRule="auto"/>
        <w:ind w:firstLine="420" w:firstLineChars="200"/>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olor w:val="auto"/>
          <w:kern w:val="0"/>
          <w:sz w:val="21"/>
          <w:szCs w:val="21"/>
          <w:highlight w:val="none"/>
        </w:rPr>
        <w:t>投标人如认为</w:t>
      </w:r>
      <w:r>
        <w:rPr>
          <w:rFonts w:hint="eastAsia" w:ascii="Times New Roman" w:hAnsi="Times New Roman" w:eastAsia="宋体"/>
          <w:color w:val="auto"/>
          <w:kern w:val="0"/>
          <w:sz w:val="21"/>
          <w:szCs w:val="21"/>
          <w:highlight w:val="none"/>
          <w:lang w:eastAsia="zh-CN"/>
        </w:rPr>
        <w:t>采购</w:t>
      </w:r>
      <w:r>
        <w:rPr>
          <w:rFonts w:hint="eastAsia" w:ascii="Times New Roman" w:hAnsi="Times New Roman" w:eastAsia="宋体"/>
          <w:color w:val="auto"/>
          <w:kern w:val="0"/>
          <w:sz w:val="21"/>
          <w:szCs w:val="21"/>
          <w:highlight w:val="none"/>
        </w:rPr>
        <w:t>文件表述不清晰、存在歧视性、排他性或者其他违法内容的，</w:t>
      </w:r>
      <w:r>
        <w:rPr>
          <w:rFonts w:hint="eastAsia" w:ascii="Times New Roman" w:hAnsi="Times New Roman" w:eastAsia="宋体" w:cs="Times New Roman"/>
          <w:color w:val="auto"/>
          <w:kern w:val="0"/>
          <w:sz w:val="21"/>
          <w:szCs w:val="21"/>
          <w:highlight w:val="none"/>
          <w:lang w:eastAsia="zh-CN"/>
        </w:rPr>
        <w:t>在规定的时间内</w:t>
      </w:r>
      <w:r>
        <w:rPr>
          <w:rFonts w:hint="eastAsia" w:ascii="Times New Roman" w:hAnsi="Times New Roman" w:eastAsia="宋体" w:cs="Times New Roman"/>
          <w:color w:val="auto"/>
          <w:kern w:val="0"/>
          <w:sz w:val="21"/>
          <w:szCs w:val="21"/>
          <w:highlight w:val="none"/>
        </w:rPr>
        <w:t>以书面形式要求采购人作出书面解释、澄清或者向采购人提出一次性书面质疑；采购人</w:t>
      </w:r>
      <w:r>
        <w:rPr>
          <w:rFonts w:hint="eastAsia" w:ascii="Times New Roman" w:hAnsi="Times New Roman" w:eastAsia="宋体"/>
          <w:color w:val="auto"/>
          <w:kern w:val="0"/>
          <w:sz w:val="21"/>
          <w:szCs w:val="21"/>
          <w:highlight w:val="none"/>
        </w:rPr>
        <w:t>将组织答疑；答疑内容是</w:t>
      </w:r>
      <w:r>
        <w:rPr>
          <w:rFonts w:hint="eastAsia" w:ascii="Times New Roman" w:hAnsi="Times New Roman" w:eastAsia="宋体"/>
          <w:color w:val="auto"/>
          <w:kern w:val="0"/>
          <w:sz w:val="21"/>
          <w:szCs w:val="21"/>
          <w:highlight w:val="none"/>
          <w:lang w:eastAsia="zh-CN"/>
        </w:rPr>
        <w:t>采购</w:t>
      </w:r>
      <w:r>
        <w:rPr>
          <w:rFonts w:hint="eastAsia" w:ascii="Times New Roman" w:hAnsi="Times New Roman" w:eastAsia="宋体"/>
          <w:color w:val="auto"/>
          <w:kern w:val="0"/>
          <w:sz w:val="21"/>
          <w:szCs w:val="21"/>
          <w:highlight w:val="none"/>
        </w:rPr>
        <w:t>文件的组成</w:t>
      </w:r>
      <w:r>
        <w:rPr>
          <w:rFonts w:hint="eastAsia" w:ascii="Times New Roman" w:hAnsi="Times New Roman" w:eastAsia="宋体"/>
          <w:color w:val="auto"/>
          <w:kern w:val="0"/>
          <w:sz w:val="21"/>
          <w:szCs w:val="21"/>
          <w:highlight w:val="none"/>
          <w:lang w:eastAsia="zh-CN"/>
        </w:rPr>
        <w:t>部分</w:t>
      </w:r>
      <w:r>
        <w:rPr>
          <w:rFonts w:hint="eastAsia" w:ascii="Times New Roman" w:hAnsi="Times New Roman" w:eastAsia="宋体"/>
          <w:color w:val="auto"/>
          <w:kern w:val="0"/>
          <w:sz w:val="21"/>
          <w:szCs w:val="21"/>
          <w:highlight w:val="none"/>
        </w:rPr>
        <w:t>，</w:t>
      </w:r>
      <w:r>
        <w:rPr>
          <w:rFonts w:hint="eastAsia" w:ascii="Times New Roman" w:hAnsi="Times New Roman" w:eastAsia="宋体" w:cs="Times New Roman"/>
          <w:color w:val="auto"/>
          <w:kern w:val="0"/>
          <w:sz w:val="21"/>
          <w:szCs w:val="21"/>
          <w:highlight w:val="none"/>
        </w:rPr>
        <w:t>在相关的采购信息发布媒体上发布更正公告，并通知所有已在政采云系统中获取采购文件参加本项目的潜在投标人。</w:t>
      </w:r>
    </w:p>
    <w:p>
      <w:pPr>
        <w:pStyle w:val="14"/>
        <w:snapToGrid w:val="0"/>
        <w:spacing w:line="360" w:lineRule="auto"/>
        <w:ind w:firstLine="420" w:firstLineChars="200"/>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1</w:t>
      </w:r>
      <w:r>
        <w:rPr>
          <w:rFonts w:hint="eastAsia" w:ascii="Times New Roman" w:hAnsi="Times New Roman" w:eastAsia="宋体"/>
          <w:color w:val="auto"/>
          <w:kern w:val="0"/>
          <w:sz w:val="21"/>
          <w:szCs w:val="21"/>
          <w:highlight w:val="none"/>
        </w:rPr>
        <w:t>.</w:t>
      </w:r>
      <w:r>
        <w:rPr>
          <w:rFonts w:ascii="Times New Roman" w:hAnsi="Times New Roman" w:eastAsia="宋体"/>
          <w:color w:val="auto"/>
          <w:kern w:val="0"/>
          <w:sz w:val="21"/>
          <w:szCs w:val="21"/>
          <w:highlight w:val="none"/>
        </w:rPr>
        <w:t>根据《中华人民共和国政府采购法实施条例》第五十三条：政府采购法第五十二条规定的投标人应知其权益受到损害之日，是指：</w:t>
      </w:r>
    </w:p>
    <w:p>
      <w:pPr>
        <w:pStyle w:val="14"/>
        <w:snapToGrid w:val="0"/>
        <w:spacing w:line="360" w:lineRule="auto"/>
        <w:ind w:firstLine="420" w:firstLineChars="200"/>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①对可以质疑的采购文件提出质疑的，为收到采购文件之日或者采购文件公告期限届满之日；</w:t>
      </w:r>
    </w:p>
    <w:p>
      <w:pPr>
        <w:pStyle w:val="14"/>
        <w:snapToGrid w:val="0"/>
        <w:spacing w:line="360" w:lineRule="auto"/>
        <w:ind w:firstLine="420" w:firstLineChars="200"/>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②对采购过程提出质疑的，为各采购程序环节结束之日；</w:t>
      </w:r>
    </w:p>
    <w:p>
      <w:pPr>
        <w:pStyle w:val="14"/>
        <w:snapToGrid w:val="0"/>
        <w:spacing w:line="360" w:lineRule="auto"/>
        <w:ind w:firstLine="420" w:firstLineChars="200"/>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③对中标或者成交结果提出质疑的，为中标或者成交结果公告期限届满之日。</w:t>
      </w:r>
    </w:p>
    <w:p>
      <w:pPr>
        <w:pStyle w:val="14"/>
        <w:snapToGrid w:val="0"/>
        <w:spacing w:line="360" w:lineRule="auto"/>
        <w:ind w:firstLine="420" w:firstLineChars="200"/>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2</w:t>
      </w:r>
      <w:r>
        <w:rPr>
          <w:rFonts w:hint="eastAsia" w:ascii="Times New Roman" w:hAnsi="Times New Roman" w:eastAsia="宋体"/>
          <w:color w:val="auto"/>
          <w:kern w:val="0"/>
          <w:sz w:val="21"/>
          <w:szCs w:val="21"/>
          <w:highlight w:val="none"/>
        </w:rPr>
        <w:t>.</w:t>
      </w:r>
      <w:r>
        <w:rPr>
          <w:rFonts w:ascii="Times New Roman" w:hAnsi="Times New Roman" w:eastAsia="宋体"/>
          <w:color w:val="auto"/>
          <w:kern w:val="0"/>
          <w:sz w:val="21"/>
          <w:szCs w:val="21"/>
          <w:highlight w:val="none"/>
        </w:rPr>
        <w:t>质疑书应包括下列主要内容：</w:t>
      </w:r>
    </w:p>
    <w:p>
      <w:pPr>
        <w:pStyle w:val="14"/>
        <w:snapToGrid w:val="0"/>
        <w:spacing w:line="360" w:lineRule="auto"/>
        <w:ind w:firstLine="420" w:firstLineChars="200"/>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①质疑人的名称、地址、邮政编码、联系人、联系电话，以及被质疑人名称及联系方式；</w:t>
      </w:r>
    </w:p>
    <w:p>
      <w:pPr>
        <w:pStyle w:val="14"/>
        <w:snapToGrid w:val="0"/>
        <w:spacing w:line="360" w:lineRule="auto"/>
        <w:ind w:firstLine="420" w:firstLineChars="200"/>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②被质疑采购项目名称、编号及采购内容；</w:t>
      </w:r>
    </w:p>
    <w:p>
      <w:pPr>
        <w:pStyle w:val="14"/>
        <w:snapToGrid w:val="0"/>
        <w:spacing w:line="360" w:lineRule="auto"/>
        <w:ind w:firstLine="420" w:firstLineChars="200"/>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③具体的质疑事项及事实依据；</w:t>
      </w:r>
    </w:p>
    <w:p>
      <w:pPr>
        <w:pStyle w:val="14"/>
        <w:snapToGrid w:val="0"/>
        <w:spacing w:line="360" w:lineRule="auto"/>
        <w:ind w:firstLine="420" w:firstLineChars="200"/>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④认为自己合法权益受到损害或可能受到损害的相关证据材料；</w:t>
      </w:r>
    </w:p>
    <w:p>
      <w:pPr>
        <w:pStyle w:val="14"/>
        <w:snapToGrid w:val="0"/>
        <w:spacing w:line="360" w:lineRule="auto"/>
        <w:ind w:firstLine="420" w:firstLineChars="200"/>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⑤提出质疑的日期。</w:t>
      </w:r>
    </w:p>
    <w:p>
      <w:pPr>
        <w:pStyle w:val="14"/>
        <w:snapToGrid w:val="0"/>
        <w:spacing w:line="360" w:lineRule="auto"/>
        <w:ind w:firstLine="420" w:firstLineChars="200"/>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3</w:t>
      </w:r>
      <w:r>
        <w:rPr>
          <w:rFonts w:hint="eastAsia" w:ascii="Times New Roman" w:hAnsi="Times New Roman" w:eastAsia="宋体"/>
          <w:color w:val="auto"/>
          <w:kern w:val="0"/>
          <w:sz w:val="21"/>
          <w:szCs w:val="21"/>
          <w:highlight w:val="none"/>
        </w:rPr>
        <w:t>.</w:t>
      </w:r>
      <w:r>
        <w:rPr>
          <w:rFonts w:ascii="Times New Roman" w:hAnsi="Times New Roman" w:eastAsia="宋体"/>
          <w:color w:val="auto"/>
          <w:kern w:val="0"/>
          <w:sz w:val="21"/>
          <w:szCs w:val="21"/>
          <w:highlight w:val="none"/>
        </w:rPr>
        <w:t>采购人或者采购代理机构应当在3个工作日内对投标人依法提出的询问作出答复。采购人或者采购代理机构应当在7个工作日内对投标人依法提出的质疑作出答复。投标人提出的询问或者质疑超出采购人对采购代理机构委托授权范围的，采购代理机构应当告知投标人向采购人提出。政府采购评审专家应当配合采购人或者采购代理机构答复投标人的询问和质疑。</w:t>
      </w:r>
    </w:p>
    <w:p>
      <w:pPr>
        <w:pStyle w:val="14"/>
        <w:snapToGrid w:val="0"/>
        <w:spacing w:line="360" w:lineRule="auto"/>
        <w:ind w:firstLine="420" w:firstLineChars="200"/>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4</w:t>
      </w:r>
      <w:r>
        <w:rPr>
          <w:rFonts w:hint="eastAsia" w:ascii="Times New Roman" w:hAnsi="Times New Roman" w:eastAsia="宋体"/>
          <w:color w:val="auto"/>
          <w:kern w:val="0"/>
          <w:sz w:val="21"/>
          <w:szCs w:val="21"/>
          <w:highlight w:val="none"/>
        </w:rPr>
        <w:t>.</w:t>
      </w:r>
      <w:r>
        <w:rPr>
          <w:rFonts w:ascii="Times New Roman" w:hAnsi="Times New Roman" w:eastAsia="宋体"/>
          <w:color w:val="auto"/>
          <w:kern w:val="0"/>
          <w:sz w:val="21"/>
          <w:szCs w:val="21"/>
          <w:highlight w:val="none"/>
        </w:rPr>
        <w:t>质疑投标人对采购人、采购代理机构的答复不满意或者采购人、采购代理机构未在规定的时间内作出答复的，可以在答复期满后</w:t>
      </w:r>
      <w:r>
        <w:rPr>
          <w:rFonts w:hint="eastAsia" w:ascii="Times New Roman" w:hAnsi="Times New Roman" w:eastAsia="宋体"/>
          <w:color w:val="auto"/>
          <w:kern w:val="0"/>
          <w:sz w:val="21"/>
          <w:szCs w:val="21"/>
          <w:highlight w:val="none"/>
          <w:lang w:val="en-US" w:eastAsia="zh-CN"/>
        </w:rPr>
        <w:t>15</w:t>
      </w:r>
      <w:r>
        <w:rPr>
          <w:rFonts w:ascii="Times New Roman" w:hAnsi="Times New Roman" w:eastAsia="宋体"/>
          <w:color w:val="auto"/>
          <w:kern w:val="0"/>
          <w:sz w:val="21"/>
          <w:szCs w:val="21"/>
          <w:highlight w:val="none"/>
        </w:rPr>
        <w:t>个工作日内向同级政府采购监督管理部门投诉。</w:t>
      </w:r>
    </w:p>
    <w:p>
      <w:pPr>
        <w:pStyle w:val="14"/>
        <w:snapToGrid w:val="0"/>
        <w:spacing w:line="360" w:lineRule="auto"/>
        <w:ind w:firstLine="420" w:firstLineChars="200"/>
        <w:rPr>
          <w:rFonts w:ascii="Times New Roman" w:hAnsi="Times New Roman" w:eastAsia="宋体"/>
          <w:b/>
          <w:color w:val="auto"/>
          <w:kern w:val="0"/>
          <w:sz w:val="21"/>
          <w:szCs w:val="21"/>
          <w:highlight w:val="none"/>
        </w:rPr>
      </w:pPr>
      <w:r>
        <w:rPr>
          <w:rFonts w:ascii="Times New Roman" w:hAnsi="Times New Roman" w:eastAsia="宋体"/>
          <w:color w:val="auto"/>
          <w:kern w:val="0"/>
          <w:sz w:val="21"/>
          <w:szCs w:val="21"/>
          <w:highlight w:val="none"/>
        </w:rPr>
        <w:t>5</w:t>
      </w:r>
      <w:r>
        <w:rPr>
          <w:rFonts w:hint="eastAsia" w:ascii="Times New Roman" w:hAnsi="Times New Roman" w:eastAsia="宋体"/>
          <w:color w:val="auto"/>
          <w:kern w:val="0"/>
          <w:sz w:val="21"/>
          <w:szCs w:val="21"/>
          <w:highlight w:val="none"/>
        </w:rPr>
        <w:t>.</w:t>
      </w:r>
      <w:r>
        <w:rPr>
          <w:rFonts w:ascii="Times New Roman" w:hAnsi="Times New Roman" w:eastAsia="宋体"/>
          <w:color w:val="auto"/>
          <w:kern w:val="0"/>
          <w:sz w:val="21"/>
          <w:szCs w:val="21"/>
          <w:highlight w:val="none"/>
        </w:rPr>
        <w:t>投标人质疑、投诉应当有明确的请求和必要的证明材料。投标人投诉的事项不得超出已质疑事项的范围。投诉人捏造事实、提供虚假材料或者以非法手段取得证明材料进行投诉的，财政部门应当予以驳回。财政部门受理投诉后，投诉人书面申请撤回投诉的，财政部门应当终止投诉处理程序。</w:t>
      </w:r>
    </w:p>
    <w:p>
      <w:pPr>
        <w:snapToGrid w:val="0"/>
        <w:spacing w:line="360" w:lineRule="auto"/>
        <w:ind w:firstLine="422" w:firstLineChars="200"/>
        <w:jc w:val="left"/>
        <w:rPr>
          <w:b/>
          <w:color w:val="auto"/>
          <w:szCs w:val="21"/>
          <w:highlight w:val="none"/>
        </w:rPr>
      </w:pPr>
      <w:r>
        <w:rPr>
          <w:b/>
          <w:color w:val="auto"/>
          <w:szCs w:val="21"/>
          <w:highlight w:val="none"/>
        </w:rPr>
        <w:t>（九）信用记录：</w:t>
      </w:r>
    </w:p>
    <w:p>
      <w:pPr>
        <w:snapToGrid w:val="0"/>
        <w:spacing w:line="360" w:lineRule="auto"/>
        <w:ind w:firstLine="420" w:firstLineChars="200"/>
        <w:jc w:val="left"/>
        <w:rPr>
          <w:color w:val="auto"/>
          <w:szCs w:val="21"/>
          <w:highlight w:val="none"/>
        </w:rPr>
      </w:pPr>
      <w:r>
        <w:rPr>
          <w:color w:val="auto"/>
          <w:szCs w:val="21"/>
          <w:highlight w:val="none"/>
        </w:rPr>
        <w:t>根据财库[2016]125号《关于在政府采购活动中查询及使用信用记录有关问题的通知》要求，采购代理机构会对投标人信用记录进行查询并甄别。</w:t>
      </w:r>
    </w:p>
    <w:p>
      <w:pPr>
        <w:snapToGrid w:val="0"/>
        <w:spacing w:line="360" w:lineRule="auto"/>
        <w:ind w:firstLine="420" w:firstLineChars="200"/>
        <w:jc w:val="left"/>
        <w:rPr>
          <w:color w:val="auto"/>
          <w:szCs w:val="21"/>
          <w:highlight w:val="none"/>
        </w:rPr>
      </w:pPr>
      <w:r>
        <w:rPr>
          <w:color w:val="auto"/>
          <w:szCs w:val="21"/>
          <w:highlight w:val="none"/>
        </w:rPr>
        <w:t>1</w:t>
      </w:r>
      <w:r>
        <w:rPr>
          <w:rFonts w:hint="eastAsia"/>
          <w:color w:val="auto"/>
          <w:szCs w:val="21"/>
          <w:highlight w:val="none"/>
        </w:rPr>
        <w:t>.</w:t>
      </w:r>
      <w:r>
        <w:rPr>
          <w:color w:val="auto"/>
          <w:szCs w:val="21"/>
          <w:highlight w:val="none"/>
        </w:rPr>
        <w:t>信用信息查询的截止时点：</w:t>
      </w:r>
      <w:r>
        <w:rPr>
          <w:rFonts w:hint="default" w:ascii="Times New Roman" w:hAnsi="Times New Roman" w:cs="Times New Roman"/>
          <w:color w:val="auto"/>
          <w:sz w:val="21"/>
          <w:szCs w:val="21"/>
          <w:highlight w:val="none"/>
        </w:rPr>
        <w:t>投标截止时间当日</w:t>
      </w:r>
      <w:r>
        <w:rPr>
          <w:color w:val="auto"/>
          <w:szCs w:val="21"/>
          <w:highlight w:val="none"/>
        </w:rPr>
        <w:t>；</w:t>
      </w:r>
    </w:p>
    <w:p>
      <w:pPr>
        <w:snapToGrid w:val="0"/>
        <w:spacing w:line="360" w:lineRule="auto"/>
        <w:ind w:firstLine="420" w:firstLineChars="200"/>
        <w:jc w:val="left"/>
        <w:rPr>
          <w:color w:val="auto"/>
          <w:szCs w:val="21"/>
          <w:highlight w:val="none"/>
        </w:rPr>
      </w:pPr>
      <w:r>
        <w:rPr>
          <w:color w:val="auto"/>
          <w:szCs w:val="21"/>
          <w:highlight w:val="none"/>
        </w:rPr>
        <w:t>2</w:t>
      </w:r>
      <w:r>
        <w:rPr>
          <w:rFonts w:hint="eastAsia"/>
          <w:color w:val="auto"/>
          <w:szCs w:val="21"/>
          <w:highlight w:val="none"/>
        </w:rPr>
        <w:t>.</w:t>
      </w:r>
      <w:r>
        <w:rPr>
          <w:color w:val="auto"/>
          <w:szCs w:val="21"/>
          <w:highlight w:val="none"/>
        </w:rPr>
        <w:t>查询渠道：</w:t>
      </w:r>
    </w:p>
    <w:p>
      <w:pPr>
        <w:snapToGrid w:val="0"/>
        <w:spacing w:line="360" w:lineRule="auto"/>
        <w:ind w:firstLine="420" w:firstLineChars="200"/>
        <w:jc w:val="left"/>
        <w:rPr>
          <w:color w:val="auto"/>
          <w:szCs w:val="21"/>
          <w:highlight w:val="none"/>
        </w:rPr>
      </w:pPr>
      <w:r>
        <w:rPr>
          <w:color w:val="auto"/>
          <w:szCs w:val="21"/>
          <w:highlight w:val="none"/>
        </w:rPr>
        <w:t>信用中国（www.creditchina.gov.cn）；</w:t>
      </w:r>
    </w:p>
    <w:p>
      <w:pPr>
        <w:snapToGrid w:val="0"/>
        <w:spacing w:line="360" w:lineRule="auto"/>
        <w:ind w:firstLine="420" w:firstLineChars="200"/>
        <w:jc w:val="left"/>
        <w:rPr>
          <w:color w:val="auto"/>
          <w:szCs w:val="21"/>
          <w:highlight w:val="none"/>
        </w:rPr>
      </w:pPr>
      <w:r>
        <w:rPr>
          <w:color w:val="auto"/>
          <w:szCs w:val="21"/>
          <w:highlight w:val="none"/>
        </w:rPr>
        <w:t>中国政府采购网（www.ccgp.gov.cn）；</w:t>
      </w:r>
    </w:p>
    <w:p>
      <w:pPr>
        <w:snapToGrid w:val="0"/>
        <w:spacing w:line="360" w:lineRule="auto"/>
        <w:ind w:firstLine="420" w:firstLineChars="200"/>
        <w:jc w:val="left"/>
        <w:rPr>
          <w:color w:val="auto"/>
          <w:szCs w:val="21"/>
          <w:highlight w:val="none"/>
        </w:rPr>
      </w:pPr>
      <w:r>
        <w:rPr>
          <w:color w:val="auto"/>
          <w:szCs w:val="21"/>
          <w:highlight w:val="none"/>
        </w:rPr>
        <w:t>3</w:t>
      </w:r>
      <w:r>
        <w:rPr>
          <w:rFonts w:hint="eastAsia"/>
          <w:color w:val="auto"/>
          <w:szCs w:val="21"/>
          <w:highlight w:val="none"/>
        </w:rPr>
        <w:t>.</w:t>
      </w:r>
      <w:r>
        <w:rPr>
          <w:color w:val="auto"/>
          <w:szCs w:val="21"/>
          <w:highlight w:val="none"/>
        </w:rPr>
        <w:t>信用信息查询记录和证据留存具体方式：采购代理机构经办人和监督人员将查询网页打印、签字与其他采购文件一并保存；</w:t>
      </w:r>
    </w:p>
    <w:p>
      <w:pPr>
        <w:snapToGrid w:val="0"/>
        <w:spacing w:line="360" w:lineRule="auto"/>
        <w:ind w:firstLine="420" w:firstLineChars="200"/>
        <w:jc w:val="left"/>
        <w:rPr>
          <w:color w:val="auto"/>
          <w:szCs w:val="21"/>
          <w:highlight w:val="none"/>
        </w:rPr>
      </w:pPr>
      <w:r>
        <w:rPr>
          <w:color w:val="auto"/>
          <w:szCs w:val="21"/>
          <w:highlight w:val="none"/>
        </w:rPr>
        <w:t>4</w:t>
      </w:r>
      <w:r>
        <w:rPr>
          <w:rFonts w:hint="eastAsia"/>
          <w:color w:val="auto"/>
          <w:szCs w:val="21"/>
          <w:highlight w:val="none"/>
        </w:rPr>
        <w:t>.</w:t>
      </w:r>
      <w:r>
        <w:rPr>
          <w:color w:val="auto"/>
          <w:szCs w:val="21"/>
          <w:highlight w:val="none"/>
        </w:rPr>
        <w:t>信用信息的使用规则：投标人存在不良信用记录的，其投标将被作为无效投标被拒绝。不良信用记录指：被列入失信被执行人、</w:t>
      </w:r>
      <w:r>
        <w:rPr>
          <w:rFonts w:hint="eastAsia"/>
          <w:color w:val="auto"/>
          <w:szCs w:val="21"/>
          <w:highlight w:val="none"/>
        </w:rPr>
        <w:t>税收违法黑名单</w:t>
      </w:r>
      <w:r>
        <w:rPr>
          <w:color w:val="auto"/>
          <w:szCs w:val="21"/>
          <w:highlight w:val="none"/>
        </w:rPr>
        <w:t>、政府采购严重违法失信行为记录名单。</w:t>
      </w:r>
    </w:p>
    <w:p>
      <w:pPr>
        <w:snapToGrid w:val="0"/>
        <w:spacing w:line="360" w:lineRule="auto"/>
        <w:ind w:firstLine="422" w:firstLineChars="200"/>
        <w:jc w:val="left"/>
        <w:rPr>
          <w:b/>
          <w:bCs/>
          <w:color w:val="auto"/>
          <w:szCs w:val="21"/>
          <w:highlight w:val="none"/>
        </w:rPr>
      </w:pPr>
      <w:r>
        <w:rPr>
          <w:b/>
          <w:bCs/>
          <w:color w:val="auto"/>
          <w:szCs w:val="21"/>
          <w:highlight w:val="none"/>
        </w:rPr>
        <w:t>（十）信贷政策</w:t>
      </w:r>
    </w:p>
    <w:p>
      <w:pPr>
        <w:snapToGrid w:val="0"/>
        <w:spacing w:line="360" w:lineRule="auto"/>
        <w:ind w:firstLine="420" w:firstLineChars="200"/>
        <w:jc w:val="left"/>
        <w:rPr>
          <w:b/>
          <w:bCs/>
          <w:color w:val="auto"/>
          <w:szCs w:val="21"/>
          <w:highlight w:val="none"/>
        </w:rPr>
      </w:pPr>
      <w:r>
        <w:rPr>
          <w:color w:val="auto"/>
          <w:szCs w:val="21"/>
          <w:highlight w:val="none"/>
        </w:rPr>
        <w:t>1</w:t>
      </w:r>
      <w:r>
        <w:rPr>
          <w:rFonts w:hint="eastAsia"/>
          <w:color w:val="auto"/>
          <w:szCs w:val="21"/>
          <w:highlight w:val="none"/>
        </w:rPr>
        <w:t>.</w:t>
      </w:r>
      <w:r>
        <w:rPr>
          <w:color w:val="auto"/>
          <w:szCs w:val="21"/>
          <w:highlight w:val="none"/>
        </w:rPr>
        <w:t>为有效破解当前中小微企业面临的</w:t>
      </w:r>
      <w:r>
        <w:rPr>
          <w:rFonts w:hint="eastAsia"/>
          <w:color w:val="auto"/>
          <w:szCs w:val="21"/>
          <w:highlight w:val="none"/>
          <w:lang w:eastAsia="zh-CN"/>
        </w:rPr>
        <w:t>“</w:t>
      </w:r>
      <w:r>
        <w:rPr>
          <w:color w:val="auto"/>
          <w:szCs w:val="21"/>
          <w:highlight w:val="none"/>
        </w:rPr>
        <w:t>融资难、融资贵</w:t>
      </w:r>
      <w:r>
        <w:rPr>
          <w:rFonts w:hint="eastAsia"/>
          <w:color w:val="auto"/>
          <w:szCs w:val="21"/>
          <w:highlight w:val="none"/>
          <w:lang w:eastAsia="zh-CN"/>
        </w:rPr>
        <w:t>”</w:t>
      </w:r>
      <w:r>
        <w:rPr>
          <w:color w:val="auto"/>
          <w:szCs w:val="21"/>
          <w:highlight w:val="none"/>
        </w:rPr>
        <w:t>困局，充分发挥好政府采购扶持小微企业发展的政策功能，属于舟山市内的各中小企业可凭政府采购项目中标通知书等材料向舟山市政府采购信用融资合作银行申请相关融资产品，有关的合作银行详见下表：</w:t>
      </w:r>
    </w:p>
    <w:tbl>
      <w:tblPr>
        <w:tblStyle w:val="26"/>
        <w:tblW w:w="95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4748"/>
        <w:gridCol w:w="1417"/>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581" w:type="dxa"/>
            <w:gridSpan w:val="4"/>
          </w:tcPr>
          <w:p>
            <w:pPr>
              <w:keepNext w:val="0"/>
              <w:keepLines w:val="0"/>
              <w:pageBreakBefore w:val="0"/>
              <w:widowControl w:val="0"/>
              <w:kinsoku/>
              <w:wordWrap w:val="0"/>
              <w:overflowPunct/>
              <w:topLinePunct w:val="0"/>
              <w:autoSpaceDE/>
              <w:autoSpaceDN/>
              <w:bidi w:val="0"/>
              <w:adjustRightInd/>
              <w:snapToGrid w:val="0"/>
              <w:spacing w:line="400" w:lineRule="exact"/>
              <w:ind w:firstLine="0" w:firstLineChars="0"/>
              <w:jc w:val="center"/>
              <w:textAlignment w:val="auto"/>
              <w:rPr>
                <w:color w:val="auto"/>
                <w:szCs w:val="21"/>
                <w:highlight w:val="none"/>
              </w:rPr>
            </w:pPr>
            <w:r>
              <w:rPr>
                <w:color w:val="auto"/>
                <w:szCs w:val="21"/>
                <w:highlight w:val="none"/>
              </w:rPr>
              <w:t>舟山市政府采购信用融资合作银行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811" w:type="dxa"/>
            <w:vAlign w:val="center"/>
          </w:tcPr>
          <w:p>
            <w:pPr>
              <w:keepNext w:val="0"/>
              <w:keepLines w:val="0"/>
              <w:pageBreakBefore w:val="0"/>
              <w:widowControl w:val="0"/>
              <w:kinsoku/>
              <w:wordWrap w:val="0"/>
              <w:overflowPunct/>
              <w:topLinePunct w:val="0"/>
              <w:autoSpaceDE/>
              <w:autoSpaceDN/>
              <w:bidi w:val="0"/>
              <w:adjustRightInd/>
              <w:snapToGrid w:val="0"/>
              <w:spacing w:line="400" w:lineRule="exact"/>
              <w:ind w:firstLine="0" w:firstLineChars="0"/>
              <w:jc w:val="center"/>
              <w:textAlignment w:val="auto"/>
              <w:rPr>
                <w:color w:val="auto"/>
                <w:szCs w:val="21"/>
                <w:highlight w:val="none"/>
              </w:rPr>
            </w:pPr>
            <w:r>
              <w:rPr>
                <w:color w:val="auto"/>
                <w:szCs w:val="21"/>
                <w:highlight w:val="none"/>
              </w:rPr>
              <w:t>银行名称</w:t>
            </w:r>
          </w:p>
        </w:tc>
        <w:tc>
          <w:tcPr>
            <w:tcW w:w="4748" w:type="dxa"/>
            <w:vAlign w:val="center"/>
          </w:tcPr>
          <w:p>
            <w:pPr>
              <w:keepNext w:val="0"/>
              <w:keepLines w:val="0"/>
              <w:pageBreakBefore w:val="0"/>
              <w:widowControl w:val="0"/>
              <w:kinsoku/>
              <w:wordWrap w:val="0"/>
              <w:overflowPunct/>
              <w:topLinePunct w:val="0"/>
              <w:autoSpaceDE/>
              <w:autoSpaceDN/>
              <w:bidi w:val="0"/>
              <w:adjustRightInd/>
              <w:snapToGrid w:val="0"/>
              <w:spacing w:line="400" w:lineRule="exact"/>
              <w:ind w:firstLine="0" w:firstLineChars="0"/>
              <w:jc w:val="center"/>
              <w:textAlignment w:val="auto"/>
              <w:rPr>
                <w:color w:val="auto"/>
                <w:szCs w:val="21"/>
                <w:highlight w:val="none"/>
              </w:rPr>
            </w:pPr>
            <w:r>
              <w:rPr>
                <w:color w:val="auto"/>
                <w:szCs w:val="21"/>
                <w:highlight w:val="none"/>
              </w:rPr>
              <w:t>产品特点</w:t>
            </w:r>
          </w:p>
        </w:tc>
        <w:tc>
          <w:tcPr>
            <w:tcW w:w="1417" w:type="dxa"/>
            <w:vAlign w:val="center"/>
          </w:tcPr>
          <w:p>
            <w:pPr>
              <w:keepNext w:val="0"/>
              <w:keepLines w:val="0"/>
              <w:pageBreakBefore w:val="0"/>
              <w:widowControl w:val="0"/>
              <w:kinsoku/>
              <w:wordWrap w:val="0"/>
              <w:overflowPunct/>
              <w:topLinePunct w:val="0"/>
              <w:autoSpaceDE/>
              <w:autoSpaceDN/>
              <w:bidi w:val="0"/>
              <w:adjustRightInd/>
              <w:snapToGrid w:val="0"/>
              <w:spacing w:line="400" w:lineRule="exact"/>
              <w:ind w:firstLine="0" w:firstLineChars="0"/>
              <w:jc w:val="center"/>
              <w:textAlignment w:val="auto"/>
              <w:rPr>
                <w:color w:val="auto"/>
                <w:szCs w:val="21"/>
                <w:highlight w:val="none"/>
              </w:rPr>
            </w:pPr>
            <w:r>
              <w:rPr>
                <w:color w:val="auto"/>
                <w:szCs w:val="21"/>
                <w:highlight w:val="none"/>
              </w:rPr>
              <w:t>经办人</w:t>
            </w:r>
          </w:p>
        </w:tc>
        <w:tc>
          <w:tcPr>
            <w:tcW w:w="1605" w:type="dxa"/>
            <w:vAlign w:val="center"/>
          </w:tcPr>
          <w:p>
            <w:pPr>
              <w:keepNext w:val="0"/>
              <w:keepLines w:val="0"/>
              <w:pageBreakBefore w:val="0"/>
              <w:widowControl w:val="0"/>
              <w:kinsoku/>
              <w:wordWrap w:val="0"/>
              <w:overflowPunct/>
              <w:topLinePunct w:val="0"/>
              <w:autoSpaceDE/>
              <w:autoSpaceDN/>
              <w:bidi w:val="0"/>
              <w:adjustRightInd/>
              <w:snapToGrid w:val="0"/>
              <w:spacing w:line="400" w:lineRule="exact"/>
              <w:ind w:firstLine="0" w:firstLineChars="0"/>
              <w:jc w:val="center"/>
              <w:textAlignment w:val="auto"/>
              <w:rPr>
                <w:color w:val="auto"/>
                <w:szCs w:val="21"/>
                <w:highlight w:val="none"/>
              </w:rPr>
            </w:pPr>
            <w:r>
              <w:rPr>
                <w:color w:val="auto"/>
                <w:szCs w:val="21"/>
                <w:highlight w:val="none"/>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中国工商银行股份有限公司舟山分行</w:t>
            </w:r>
          </w:p>
        </w:tc>
        <w:tc>
          <w:tcPr>
            <w:tcW w:w="4748"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210" w:firstLineChars="1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融资额度高，融资金额最高可至订单金额70%，线上申请，随借随还。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210" w:firstLineChars="1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融资利率低，最低可至当期LPR利率。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210" w:firstLineChars="1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担保方式灵活，以政府采购合同进行融资，无需另外抵押。</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柳超颖</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0580-2166242, </w:t>
            </w:r>
            <w:r>
              <w:rPr>
                <w:rFonts w:hint="eastAsia" w:ascii="宋体" w:hAnsi="宋体" w:eastAsia="宋体" w:cs="宋体"/>
                <w:color w:val="auto"/>
                <w:sz w:val="21"/>
                <w:szCs w:val="21"/>
                <w:highlight w:val="none"/>
              </w:rPr>
              <w:t>15858076468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811"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中国建设银行股份有限公司舟山分行</w:t>
            </w:r>
          </w:p>
        </w:tc>
        <w:tc>
          <w:tcPr>
            <w:tcW w:w="4748"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210" w:firstLineChars="1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快速便捷：全流程线上操作，通过浙江省政府采购网数据审核信用额度，建行供应链平台快速放款。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210" w:firstLineChars="1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申请额度高：单笔融资额度最高可达政府采购合同金额的90%，单户额度最高可达3000万。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210" w:firstLineChars="1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无需额外抵押：以浙江省政府采购网备案公示的政府采购合同进行融资，无需额外抵押担保。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210" w:firstLineChars="1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利率优惠：给予流动资金贷款最优惠利率。</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普陀片区：蔡妮妮</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定海片区：杨莹</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自贸区片区：</w:t>
            </w:r>
            <w:r>
              <w:rPr>
                <w:rFonts w:hint="eastAsia" w:ascii="宋体" w:hAnsi="宋体" w:eastAsia="宋体" w:cs="宋体"/>
                <w:color w:val="auto"/>
                <w:sz w:val="21"/>
                <w:szCs w:val="21"/>
                <w:highlight w:val="none"/>
                <w:lang w:eastAsia="zh-CN"/>
              </w:rPr>
              <w:t>方晓</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普陀片区：13957201791定海片区：13655803997</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自贸区片区：</w:t>
            </w:r>
            <w:r>
              <w:rPr>
                <w:rFonts w:hint="eastAsia" w:ascii="宋体" w:hAnsi="宋体" w:eastAsia="宋体" w:cs="宋体"/>
                <w:color w:val="auto"/>
                <w:sz w:val="21"/>
                <w:szCs w:val="21"/>
                <w:highlight w:val="none"/>
                <w:lang w:val="en-US" w:eastAsia="zh-CN"/>
              </w:rPr>
              <w:t>13587086324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杭州银行股份有限公司舟山市分行</w:t>
            </w:r>
          </w:p>
        </w:tc>
        <w:tc>
          <w:tcPr>
            <w:tcW w:w="4748"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leftChars="0" w:firstLine="210" w:firstLineChars="1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云采贷”是杭州银行为政府采购供应商提供的纯信用贷款产品。客户申请、签约、放款全流程线上化，平台注册入库并取得采购合同即可申请，融资比例最高达采购订单的80%，单户、单笔最高可达3000万，最长期限一年。</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方经理</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0580-2185201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18205800451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招商银行股份有限公司浙江自贸试验区舟山分行</w:t>
            </w:r>
          </w:p>
        </w:tc>
        <w:tc>
          <w:tcPr>
            <w:tcW w:w="4748" w:type="dxa"/>
            <w:vAlign w:val="top"/>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企业政采贷是招商银行为政府采购成交供应商提供的用于履行政府采购合同的专属融资产品。优势：一、额度高。根据企业上一年或近一年获得政府采购成交及成交通知的一定比例给予额度，最高可达3000万元，单笔提款金额最高至合同金额的90%。二、操作简便、模式丰富。客户通过我行一网通等渠道在线申请。支持线上用款，按日计息，随借随还，利率最低至当期LPR。三、担保方式灵活。实际控制人夫妇担保＋融资项下应收账款质押作为辅助，无需抵押，一次性签署合作协议。</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李玲</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0580-2061710</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13957227971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811"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温州银行股份有限公司舟山市分行</w:t>
            </w:r>
          </w:p>
        </w:tc>
        <w:tc>
          <w:tcPr>
            <w:tcW w:w="4748"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210" w:firstLineChars="1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单</w:t>
            </w:r>
            <w:r>
              <w:rPr>
                <w:rFonts w:hint="eastAsia" w:ascii="宋体" w:hAnsi="宋体" w:eastAsia="宋体" w:cs="宋体"/>
                <w:color w:val="auto"/>
                <w:sz w:val="21"/>
                <w:szCs w:val="21"/>
                <w:highlight w:val="none"/>
              </w:rPr>
              <w:t>户授信敞口最高不超过1000万元，且最高额度核定一般不超过借款人（含实际控制人控制的其他经营实体）最近13个月合计有效中标合同金额的70%</w:t>
            </w:r>
            <w:r>
              <w:rPr>
                <w:rFonts w:hint="eastAsia" w:ascii="宋体" w:hAnsi="宋体" w:eastAsia="宋体" w:cs="宋体"/>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210" w:firstLineChars="1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单笔借款额度最高不超过1000万元，单笔业务授信额度不超过“政采云平台”提供的中标通知书承载的中标金额或本次申请授信提供的采购合同金额的80%，且用信金额不超过采购合同未付金额的80%</w:t>
            </w:r>
            <w:r>
              <w:rPr>
                <w:rFonts w:hint="eastAsia" w:ascii="宋体" w:hAnsi="宋体" w:eastAsia="宋体" w:cs="宋体"/>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210" w:firstLineChars="1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借款人中标采购人自行采购项目并向我行发起授信申请的，单笔业务授信敞口不超500万元，且不超过借款人中标通知书承载的中标金额或本次申请授信提供的采购合同的80%。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210" w:firstLineChars="1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符合我行采购人资质的，且负债率不超75%，配合应收账款质押登记确认的，并可出具确认函，单笔借款额度可按不超过采购合同的90%办理。</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郑贤栋</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058—8866086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交通银行股份有限公司舟山分行</w:t>
            </w:r>
          </w:p>
        </w:tc>
        <w:tc>
          <w:tcPr>
            <w:tcW w:w="4748" w:type="dxa"/>
            <w:vAlign w:val="top"/>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交通银行政采贷，线上版本最长期限1年，融资金额一般不超过1000万；线下版本期限最长两年，额度最高2,000万，单笔提款金额最高至采购合同金额的70%。担保方式为信用（附加该笔业务项下未来应收账款质押、实际控制人及配偶个人保证），随借随还，利率最低至当期LPR。</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赵争艳</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0580-2260728</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13758007280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11"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中信银行股份有限公司舟山分行</w:t>
            </w:r>
          </w:p>
        </w:tc>
        <w:tc>
          <w:tcPr>
            <w:tcW w:w="4748" w:type="dxa"/>
            <w:vAlign w:val="top"/>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信银行“政采e贷”产品特点：根据政府采购成交通知书或合同，以政府财政支付资金为主要还款来源，为成交小微企业提供流动资金贷款。产品实现预授信、贷款申请、应收账款质押、授信审批、自助提款等环节的线上化、自动化处理，操作便利，授信额度最高不超过1000万元，贷款期限最长1年，利率低。</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黄丽</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13905808032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11"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泰隆银行舟山市分行</w:t>
            </w:r>
          </w:p>
        </w:tc>
        <w:tc>
          <w:tcPr>
            <w:tcW w:w="4748" w:type="dxa"/>
            <w:vAlign w:val="top"/>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符合我行基本准入，期限对照订单最长不超过1年，额度最高1000万，担保方式享受信用贷款执行，可由成交企业或其实际控制人出面申请，利率最低可至当期LPR ，对于合同期限确实超过一年的，可享受无还本续贷至合同付款日。</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胡亢宇</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17605868703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8" w:hRule="atLeast"/>
          <w:jc w:val="center"/>
        </w:trPr>
        <w:tc>
          <w:tcPr>
            <w:tcW w:w="1811"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中国农业银行股份有限公司舟山分行</w:t>
            </w:r>
          </w:p>
        </w:tc>
        <w:tc>
          <w:tcPr>
            <w:tcW w:w="4748" w:type="dxa"/>
            <w:vAlign w:val="top"/>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政采贷”业务原则上不超过政府采购合同实有金额的80%，单户借款额度不超过500万元。借款到期日不晚于合同约定付款日后90天，原则上不超过1年，最长可放宽至2年。应收账款形成前，可采用信用方式用信并追加供应商法定代表人或实际控制人连带责任保证担保；应收账款形成后，信用方式用信需变更为应收账款质押担保。</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苏华瞻</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13967228926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1811"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中国邮政储蓄银行股份有限公司舟山市分行</w:t>
            </w:r>
          </w:p>
        </w:tc>
        <w:tc>
          <w:tcPr>
            <w:tcW w:w="4748" w:type="dxa"/>
            <w:vAlign w:val="top"/>
          </w:tcPr>
          <w:p>
            <w:pPr>
              <w:keepNext w:val="0"/>
              <w:keepLines w:val="0"/>
              <w:pageBreakBefore w:val="0"/>
              <w:widowControl w:val="0"/>
              <w:tabs>
                <w:tab w:val="left" w:pos="0"/>
              </w:tabs>
              <w:kinsoku/>
              <w:wordWrap/>
              <w:overflowPunct/>
              <w:topLinePunct w:val="0"/>
              <w:autoSpaceDE/>
              <w:autoSpaceDN/>
              <w:bidi w:val="0"/>
              <w:adjustRightInd/>
              <w:snapToGrid/>
              <w:spacing w:line="36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符合我行基本准入，</w:t>
            </w:r>
            <w:r>
              <w:rPr>
                <w:rFonts w:hint="eastAsia" w:ascii="宋体" w:hAnsi="宋体" w:eastAsia="宋体" w:cs="宋体"/>
                <w:color w:val="auto"/>
                <w:sz w:val="21"/>
                <w:szCs w:val="21"/>
                <w:highlight w:val="none"/>
                <w:lang w:val="en-US" w:eastAsia="zh-CN"/>
              </w:rPr>
              <w:t>授信额度使用期最高为2年</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单户授信最高为500万</w:t>
            </w:r>
            <w:r>
              <w:rPr>
                <w:rFonts w:hint="eastAsia" w:ascii="宋体" w:hAnsi="宋体" w:eastAsia="宋体" w:cs="宋体"/>
                <w:color w:val="auto"/>
                <w:sz w:val="21"/>
                <w:szCs w:val="21"/>
                <w:highlight w:val="none"/>
              </w:rPr>
              <w:t>，担保方式享受信用贷款执行，利率最低可至当期LPR，</w:t>
            </w:r>
            <w:r>
              <w:rPr>
                <w:rFonts w:hint="eastAsia" w:ascii="宋体" w:hAnsi="宋体" w:eastAsia="宋体" w:cs="宋体"/>
                <w:color w:val="auto"/>
                <w:sz w:val="21"/>
                <w:szCs w:val="21"/>
                <w:highlight w:val="none"/>
                <w:lang w:val="en-US" w:eastAsia="zh-CN"/>
              </w:rPr>
              <w:t>有无还本续贷</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12月份线上产品可以自主自贷。</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蒋志燕</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13732527321</w:t>
            </w:r>
          </w:p>
        </w:tc>
      </w:tr>
    </w:tbl>
    <w:p>
      <w:pPr>
        <w:keepNext w:val="0"/>
        <w:keepLines w:val="0"/>
        <w:pageBreakBefore w:val="0"/>
        <w:widowControl w:val="0"/>
        <w:kinsoku/>
        <w:wordWrap w:val="0"/>
        <w:overflowPunct/>
        <w:topLinePunct w:val="0"/>
        <w:autoSpaceDE/>
        <w:autoSpaceDN/>
        <w:bidi w:val="0"/>
        <w:adjustRightInd/>
        <w:snapToGrid w:val="0"/>
        <w:spacing w:before="0" w:beforeLines="50" w:line="360" w:lineRule="auto"/>
        <w:ind w:firstLine="420" w:firstLineChars="200"/>
        <w:jc w:val="left"/>
        <w:textAlignment w:val="auto"/>
        <w:rPr>
          <w:color w:val="auto"/>
          <w:szCs w:val="21"/>
          <w:highlight w:val="none"/>
        </w:rPr>
      </w:pPr>
      <w:r>
        <w:rPr>
          <w:color w:val="auto"/>
          <w:szCs w:val="21"/>
          <w:highlight w:val="none"/>
        </w:rPr>
        <w:t>2.一般步骤</w:t>
      </w:r>
    </w:p>
    <w:p>
      <w:pPr>
        <w:snapToGrid w:val="0"/>
        <w:spacing w:line="360" w:lineRule="auto"/>
        <w:ind w:firstLine="420" w:firstLineChars="200"/>
        <w:jc w:val="left"/>
        <w:rPr>
          <w:color w:val="auto"/>
          <w:szCs w:val="21"/>
          <w:highlight w:val="none"/>
        </w:rPr>
      </w:pPr>
      <w:r>
        <w:rPr>
          <w:color w:val="auto"/>
          <w:szCs w:val="21"/>
          <w:highlight w:val="none"/>
        </w:rPr>
        <w:t>（1）投标人先与银行对接，办理融资前期手续；</w:t>
      </w:r>
    </w:p>
    <w:p>
      <w:pPr>
        <w:snapToGrid w:val="0"/>
        <w:spacing w:line="360" w:lineRule="auto"/>
        <w:ind w:firstLine="420" w:firstLineChars="200"/>
        <w:jc w:val="left"/>
        <w:rPr>
          <w:color w:val="auto"/>
          <w:szCs w:val="21"/>
          <w:highlight w:val="none"/>
        </w:rPr>
      </w:pPr>
      <w:r>
        <w:rPr>
          <w:color w:val="auto"/>
          <w:szCs w:val="21"/>
          <w:highlight w:val="none"/>
        </w:rPr>
        <w:t>（2）投标人中标后，凭中标通知书等材料，向相关合作银行发出融资申请；</w:t>
      </w:r>
    </w:p>
    <w:p>
      <w:pPr>
        <w:snapToGrid w:val="0"/>
        <w:spacing w:line="360" w:lineRule="auto"/>
        <w:ind w:firstLine="420" w:firstLineChars="200"/>
        <w:jc w:val="left"/>
        <w:rPr>
          <w:color w:val="auto"/>
          <w:szCs w:val="21"/>
          <w:highlight w:val="none"/>
        </w:rPr>
      </w:pPr>
      <w:r>
        <w:rPr>
          <w:color w:val="auto"/>
          <w:szCs w:val="21"/>
          <w:highlight w:val="none"/>
        </w:rPr>
        <w:t>（3）银行、投标人线</w:t>
      </w:r>
      <w:r>
        <w:rPr>
          <w:rFonts w:hint="eastAsia"/>
          <w:color w:val="auto"/>
          <w:szCs w:val="21"/>
          <w:highlight w:val="none"/>
          <w:lang w:eastAsia="zh-CN"/>
        </w:rPr>
        <w:t>上</w:t>
      </w:r>
      <w:r>
        <w:rPr>
          <w:color w:val="auto"/>
          <w:szCs w:val="21"/>
          <w:highlight w:val="none"/>
        </w:rPr>
        <w:t>办理审批、放贷事宜。</w:t>
      </w:r>
    </w:p>
    <w:p>
      <w:pPr>
        <w:snapToGrid w:val="0"/>
        <w:spacing w:line="360" w:lineRule="auto"/>
        <w:ind w:firstLine="420" w:firstLineChars="200"/>
        <w:jc w:val="left"/>
        <w:rPr>
          <w:color w:val="auto"/>
          <w:szCs w:val="21"/>
          <w:highlight w:val="none"/>
        </w:rPr>
      </w:pPr>
      <w:r>
        <w:rPr>
          <w:color w:val="auto"/>
          <w:szCs w:val="21"/>
          <w:highlight w:val="none"/>
        </w:rPr>
        <w:t>3.注意事项</w:t>
      </w:r>
    </w:p>
    <w:p>
      <w:pPr>
        <w:snapToGrid w:val="0"/>
        <w:spacing w:line="360" w:lineRule="auto"/>
        <w:ind w:firstLine="420" w:firstLineChars="200"/>
        <w:jc w:val="left"/>
        <w:rPr>
          <w:color w:val="auto"/>
          <w:szCs w:val="21"/>
          <w:highlight w:val="none"/>
        </w:rPr>
      </w:pPr>
      <w:r>
        <w:rPr>
          <w:color w:val="auto"/>
          <w:szCs w:val="21"/>
          <w:highlight w:val="none"/>
        </w:rPr>
        <w:t>（1）中标人需确保政府采购合同的收款账户与融资银行开户账户一致。</w:t>
      </w:r>
    </w:p>
    <w:p>
      <w:pPr>
        <w:snapToGrid w:val="0"/>
        <w:spacing w:line="360" w:lineRule="auto"/>
        <w:ind w:firstLine="420" w:firstLineChars="200"/>
        <w:jc w:val="left"/>
        <w:rPr>
          <w:color w:val="auto"/>
          <w:szCs w:val="21"/>
          <w:highlight w:val="none"/>
        </w:rPr>
      </w:pPr>
      <w:r>
        <w:rPr>
          <w:color w:val="auto"/>
          <w:szCs w:val="21"/>
          <w:highlight w:val="none"/>
        </w:rPr>
        <w:t>（2）用于政府采购信用融资的政府采购合同，应当包含如下条款：第   条：政府采购合同贷款</w:t>
      </w:r>
    </w:p>
    <w:p>
      <w:pPr>
        <w:snapToGrid w:val="0"/>
        <w:spacing w:line="360" w:lineRule="auto"/>
        <w:ind w:firstLine="420" w:firstLineChars="200"/>
        <w:jc w:val="left"/>
        <w:rPr>
          <w:color w:val="auto"/>
          <w:szCs w:val="21"/>
          <w:highlight w:val="none"/>
        </w:rPr>
      </w:pPr>
      <w:r>
        <w:rPr>
          <w:color w:val="auto"/>
          <w:szCs w:val="21"/>
          <w:highlight w:val="none"/>
        </w:rPr>
        <w:t>本合同同时用于乙方向</w:t>
      </w:r>
      <w:r>
        <w:rPr>
          <w:rFonts w:hint="eastAsia"/>
          <w:color w:val="auto"/>
          <w:szCs w:val="21"/>
          <w:highlight w:val="none"/>
          <w:lang w:val="en-US" w:eastAsia="zh-CN"/>
        </w:rPr>
        <w:t xml:space="preserve">      </w:t>
      </w:r>
      <w:r>
        <w:rPr>
          <w:color w:val="auto"/>
          <w:szCs w:val="21"/>
          <w:highlight w:val="none"/>
        </w:rPr>
        <w:t>银行（金融机构）申请政府采购信用贷款。</w:t>
      </w:r>
    </w:p>
    <w:p>
      <w:pPr>
        <w:snapToGrid w:val="0"/>
        <w:spacing w:line="360" w:lineRule="auto"/>
        <w:ind w:firstLine="420" w:firstLineChars="200"/>
        <w:jc w:val="left"/>
        <w:rPr>
          <w:color w:val="auto"/>
          <w:szCs w:val="21"/>
          <w:highlight w:val="none"/>
        </w:rPr>
      </w:pPr>
      <w:r>
        <w:rPr>
          <w:color w:val="auto"/>
          <w:szCs w:val="21"/>
          <w:highlight w:val="none"/>
        </w:rPr>
        <w:t>本合同一经签订，原则上不得更改乙方收款账户信息。确须更改的，乙方应取得原合同收款账户开户银行书面同意，否则修改后的合同不予备案，采购资金不予支付。</w:t>
      </w:r>
    </w:p>
    <w:p>
      <w:pPr>
        <w:ind w:firstLine="422"/>
        <w:rPr>
          <w:rFonts w:hint="eastAsia"/>
          <w:color w:val="auto"/>
          <w:highlight w:val="none"/>
          <w:lang w:eastAsia="zh-CN"/>
        </w:rPr>
      </w:pPr>
      <w:r>
        <w:rPr>
          <w:b/>
          <w:color w:val="auto"/>
          <w:szCs w:val="21"/>
          <w:highlight w:val="none"/>
        </w:rPr>
        <w:t>（十一）浙江</w:t>
      </w:r>
      <w:r>
        <w:rPr>
          <w:rFonts w:hint="eastAsia"/>
          <w:b/>
          <w:color w:val="auto"/>
          <w:szCs w:val="21"/>
          <w:highlight w:val="none"/>
          <w:lang w:eastAsia="zh-CN"/>
        </w:rPr>
        <w:t>万事达建设工程管理</w:t>
      </w:r>
      <w:r>
        <w:rPr>
          <w:b/>
          <w:color w:val="auto"/>
          <w:szCs w:val="21"/>
          <w:highlight w:val="none"/>
        </w:rPr>
        <w:t>有限公司拥有本</w:t>
      </w:r>
      <w:r>
        <w:rPr>
          <w:rFonts w:hint="eastAsia"/>
          <w:b/>
          <w:color w:val="auto"/>
          <w:szCs w:val="21"/>
          <w:highlight w:val="none"/>
          <w:lang w:eastAsia="zh-CN"/>
        </w:rPr>
        <w:t>采购</w:t>
      </w:r>
      <w:r>
        <w:rPr>
          <w:b/>
          <w:color w:val="auto"/>
          <w:szCs w:val="21"/>
          <w:highlight w:val="none"/>
        </w:rPr>
        <w:t>文件最终解释权。</w:t>
      </w:r>
    </w:p>
    <w:p>
      <w:pPr>
        <w:pStyle w:val="6"/>
        <w:rPr>
          <w:color w:val="auto"/>
          <w:highlight w:val="none"/>
        </w:rPr>
      </w:pPr>
      <w:r>
        <w:rPr>
          <w:rFonts w:hint="eastAsia"/>
          <w:color w:val="auto"/>
          <w:highlight w:val="none"/>
          <w:lang w:eastAsia="zh-CN"/>
        </w:rPr>
        <w:t>采购文件</w:t>
      </w:r>
    </w:p>
    <w:p>
      <w:pPr>
        <w:pStyle w:val="8"/>
        <w:numPr>
          <w:ilvl w:val="0"/>
          <w:numId w:val="0"/>
        </w:numPr>
        <w:rPr>
          <w:color w:val="auto"/>
          <w:highlight w:val="none"/>
        </w:rPr>
      </w:pPr>
      <w:r>
        <w:rPr>
          <w:rFonts w:hint="eastAsia"/>
          <w:color w:val="auto"/>
          <w:highlight w:val="none"/>
        </w:rPr>
        <w:t>（一）</w:t>
      </w:r>
      <w:r>
        <w:rPr>
          <w:rFonts w:hint="eastAsia"/>
          <w:color w:val="auto"/>
          <w:highlight w:val="none"/>
          <w:lang w:eastAsia="zh-CN"/>
        </w:rPr>
        <w:t>采购文件</w:t>
      </w:r>
      <w:r>
        <w:rPr>
          <w:rFonts w:hint="eastAsia"/>
          <w:color w:val="auto"/>
          <w:highlight w:val="none"/>
        </w:rPr>
        <w:t>的构成。本</w:t>
      </w:r>
      <w:r>
        <w:rPr>
          <w:rFonts w:hint="eastAsia"/>
          <w:color w:val="auto"/>
          <w:highlight w:val="none"/>
          <w:lang w:eastAsia="zh-CN"/>
        </w:rPr>
        <w:t>采购文件</w:t>
      </w:r>
      <w:r>
        <w:rPr>
          <w:rFonts w:hint="eastAsia"/>
          <w:color w:val="auto"/>
          <w:highlight w:val="none"/>
        </w:rPr>
        <w:t>由以下部份组成：</w:t>
      </w:r>
    </w:p>
    <w:p>
      <w:pPr>
        <w:ind w:firstLine="420"/>
        <w:rPr>
          <w:color w:val="auto"/>
          <w:highlight w:val="none"/>
        </w:rPr>
      </w:pPr>
      <w:r>
        <w:rPr>
          <w:rFonts w:hint="eastAsia"/>
          <w:color w:val="auto"/>
          <w:highlight w:val="none"/>
        </w:rPr>
        <w:t>第一章  招标公告</w:t>
      </w:r>
    </w:p>
    <w:p>
      <w:pPr>
        <w:ind w:firstLine="420"/>
        <w:rPr>
          <w:color w:val="auto"/>
          <w:highlight w:val="none"/>
        </w:rPr>
      </w:pPr>
      <w:r>
        <w:rPr>
          <w:rFonts w:hint="eastAsia"/>
          <w:color w:val="auto"/>
          <w:highlight w:val="none"/>
        </w:rPr>
        <w:t>第二章  采购需求</w:t>
      </w:r>
    </w:p>
    <w:p>
      <w:pPr>
        <w:ind w:firstLine="420"/>
        <w:rPr>
          <w:color w:val="auto"/>
          <w:highlight w:val="none"/>
        </w:rPr>
      </w:pPr>
      <w:r>
        <w:rPr>
          <w:rFonts w:hint="eastAsia"/>
          <w:color w:val="auto"/>
          <w:highlight w:val="none"/>
        </w:rPr>
        <w:t>第三章  投标人须知</w:t>
      </w:r>
    </w:p>
    <w:p>
      <w:pPr>
        <w:ind w:firstLine="420"/>
        <w:rPr>
          <w:color w:val="auto"/>
          <w:highlight w:val="none"/>
        </w:rPr>
      </w:pPr>
      <w:r>
        <w:rPr>
          <w:rFonts w:hint="eastAsia"/>
          <w:color w:val="auto"/>
          <w:highlight w:val="none"/>
        </w:rPr>
        <w:t>第四章  评标办法及评分标准</w:t>
      </w:r>
    </w:p>
    <w:p>
      <w:pPr>
        <w:ind w:firstLine="420"/>
        <w:rPr>
          <w:color w:val="auto"/>
          <w:highlight w:val="none"/>
        </w:rPr>
      </w:pPr>
      <w:r>
        <w:rPr>
          <w:rFonts w:hint="eastAsia"/>
          <w:color w:val="auto"/>
          <w:highlight w:val="none"/>
        </w:rPr>
        <w:t>第五章  合同主要条款</w:t>
      </w:r>
    </w:p>
    <w:p>
      <w:pPr>
        <w:ind w:firstLine="420"/>
        <w:rPr>
          <w:color w:val="auto"/>
          <w:highlight w:val="none"/>
        </w:rPr>
      </w:pPr>
      <w:r>
        <w:rPr>
          <w:rFonts w:hint="eastAsia"/>
          <w:color w:val="auto"/>
          <w:highlight w:val="none"/>
        </w:rPr>
        <w:t>第六章  投标文件</w:t>
      </w:r>
      <w:r>
        <w:rPr>
          <w:rFonts w:hint="eastAsia"/>
          <w:color w:val="auto"/>
          <w:highlight w:val="none"/>
          <w:lang w:eastAsia="zh-CN"/>
        </w:rPr>
        <w:t>组成</w:t>
      </w:r>
    </w:p>
    <w:p>
      <w:pPr>
        <w:ind w:firstLine="420"/>
        <w:rPr>
          <w:color w:val="auto"/>
          <w:highlight w:val="none"/>
        </w:rPr>
      </w:pPr>
      <w:r>
        <w:rPr>
          <w:rFonts w:hint="eastAsia"/>
          <w:color w:val="auto"/>
          <w:highlight w:val="none"/>
        </w:rPr>
        <w:t>其他有关补充文件（如有）</w:t>
      </w:r>
    </w:p>
    <w:p>
      <w:pPr>
        <w:pStyle w:val="8"/>
        <w:numPr>
          <w:ilvl w:val="0"/>
          <w:numId w:val="0"/>
        </w:numPr>
        <w:rPr>
          <w:color w:val="auto"/>
          <w:highlight w:val="none"/>
        </w:rPr>
      </w:pPr>
      <w:r>
        <w:rPr>
          <w:rFonts w:hint="eastAsia"/>
          <w:color w:val="auto"/>
          <w:highlight w:val="none"/>
        </w:rPr>
        <w:t>（二）</w:t>
      </w:r>
      <w:r>
        <w:rPr>
          <w:rFonts w:hint="eastAsia"/>
          <w:color w:val="auto"/>
          <w:highlight w:val="none"/>
          <w:lang w:eastAsia="zh-CN"/>
        </w:rPr>
        <w:t>采购文件</w:t>
      </w:r>
      <w:r>
        <w:rPr>
          <w:rFonts w:hint="eastAsia"/>
          <w:color w:val="auto"/>
          <w:highlight w:val="none"/>
        </w:rPr>
        <w:t>的澄清与修改</w:t>
      </w:r>
    </w:p>
    <w:p>
      <w:pPr>
        <w:pStyle w:val="14"/>
        <w:snapToGrid w:val="0"/>
        <w:spacing w:line="360" w:lineRule="auto"/>
        <w:ind w:firstLine="415" w:firstLineChars="198"/>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w:t>
      </w:r>
      <w:r>
        <w:rPr>
          <w:rFonts w:hint="eastAsia" w:ascii="Times New Roman" w:hAnsi="Times New Roman" w:eastAsia="宋体"/>
          <w:color w:val="auto"/>
          <w:sz w:val="21"/>
          <w:szCs w:val="21"/>
          <w:highlight w:val="none"/>
        </w:rPr>
        <w:t>.</w:t>
      </w:r>
      <w:r>
        <w:rPr>
          <w:rFonts w:ascii="Times New Roman" w:hAnsi="Times New Roman" w:eastAsia="宋体"/>
          <w:color w:val="auto"/>
          <w:sz w:val="21"/>
          <w:szCs w:val="21"/>
          <w:highlight w:val="none"/>
        </w:rPr>
        <w:t>投标人应认真阅读本招标文件，发现其中有误或有要求不合理的，投标人必须在投标截止前15天内以书面形式要求采购人澄清。采购人对已发出的招标文件进行必要澄清、答复、修改或补充的，应当在招标文件要求提交投标文件截止时间15天前，在相关的采购信息发布媒体上发布更正公告，并通知所有已依法获取采购文件的潜在投标人。</w:t>
      </w:r>
    </w:p>
    <w:p>
      <w:pPr>
        <w:pStyle w:val="14"/>
        <w:snapToGrid w:val="0"/>
        <w:spacing w:line="360" w:lineRule="auto"/>
        <w:ind w:firstLine="415" w:firstLineChars="198"/>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2</w:t>
      </w:r>
      <w:r>
        <w:rPr>
          <w:rFonts w:hint="eastAsia" w:ascii="Times New Roman" w:hAnsi="Times New Roman" w:eastAsia="宋体"/>
          <w:color w:val="auto"/>
          <w:sz w:val="21"/>
          <w:szCs w:val="21"/>
          <w:highlight w:val="none"/>
        </w:rPr>
        <w:t>.</w:t>
      </w:r>
      <w:r>
        <w:rPr>
          <w:rFonts w:ascii="Times New Roman" w:hAnsi="Times New Roman" w:eastAsia="宋体"/>
          <w:color w:val="auto"/>
          <w:sz w:val="21"/>
          <w:szCs w:val="21"/>
          <w:highlight w:val="none"/>
        </w:rPr>
        <w:t>采购人以书面形式答复投标人要求澄清的问题，并将不包含问题来源的答复书面通知所有已依法获取采购文件的潜在投标人；除书面答复以外的其他澄清方式及澄清内容均无效。</w:t>
      </w:r>
    </w:p>
    <w:p>
      <w:pPr>
        <w:pStyle w:val="14"/>
        <w:snapToGrid w:val="0"/>
        <w:spacing w:line="360" w:lineRule="auto"/>
        <w:ind w:firstLine="415" w:firstLineChars="198"/>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3</w:t>
      </w:r>
      <w:r>
        <w:rPr>
          <w:rFonts w:hint="eastAsia" w:ascii="Times New Roman" w:hAnsi="Times New Roman" w:eastAsia="宋体"/>
          <w:color w:val="auto"/>
          <w:sz w:val="21"/>
          <w:szCs w:val="21"/>
          <w:highlight w:val="none"/>
        </w:rPr>
        <w:t>.</w:t>
      </w:r>
      <w:r>
        <w:rPr>
          <w:rFonts w:ascii="Times New Roman" w:hAnsi="Times New Roman" w:eastAsia="宋体"/>
          <w:color w:val="auto"/>
          <w:sz w:val="21"/>
          <w:szCs w:val="21"/>
          <w:highlight w:val="none"/>
        </w:rPr>
        <w:t>招标文件的答复、澄清、修改、补充通知实质上改变采购需求相关内容，且自招标文件的答复、澄清、修改、补充通知发出之日起至投标截止时间止不足15天的，采购人可视情况推迟投标截止时间和开标时间，按规定在相关的采购信息发布媒体上发布变更公告，并将变更后的时间通知所有已依法获取采购文件的潜在投标人。</w:t>
      </w:r>
    </w:p>
    <w:p>
      <w:pPr>
        <w:pStyle w:val="14"/>
        <w:snapToGrid w:val="0"/>
        <w:spacing w:line="360" w:lineRule="auto"/>
        <w:ind w:firstLine="415" w:firstLineChars="198"/>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4</w:t>
      </w:r>
      <w:r>
        <w:rPr>
          <w:rFonts w:hint="eastAsia" w:ascii="Times New Roman" w:hAnsi="Times New Roman" w:eastAsia="宋体"/>
          <w:color w:val="auto"/>
          <w:sz w:val="21"/>
          <w:szCs w:val="21"/>
          <w:highlight w:val="none"/>
        </w:rPr>
        <w:t>.</w:t>
      </w:r>
      <w:r>
        <w:rPr>
          <w:rFonts w:ascii="Times New Roman" w:hAnsi="Times New Roman" w:eastAsia="宋体"/>
          <w:color w:val="auto"/>
          <w:sz w:val="21"/>
          <w:szCs w:val="21"/>
          <w:highlight w:val="none"/>
        </w:rPr>
        <w:t>招标文件澄清、答复、修改、补充的内容为招标文件的组成部分。当招标文件与招标文件的答复、澄清、修改、补充通知就同一内容的表述不一致时，以最后发出的书面文件为准。</w:t>
      </w:r>
    </w:p>
    <w:p>
      <w:pPr>
        <w:pStyle w:val="45"/>
        <w:numPr>
          <w:ilvl w:val="0"/>
          <w:numId w:val="0"/>
        </w:numPr>
        <w:ind w:left="403" w:leftChars="0"/>
        <w:rPr>
          <w:color w:val="auto"/>
          <w:highlight w:val="none"/>
        </w:rPr>
      </w:pPr>
      <w:r>
        <w:rPr>
          <w:rFonts w:ascii="Times New Roman" w:hAnsi="Times New Roman" w:eastAsia="宋体"/>
          <w:color w:val="auto"/>
          <w:sz w:val="21"/>
          <w:szCs w:val="21"/>
          <w:highlight w:val="none"/>
        </w:rPr>
        <w:t>5</w:t>
      </w:r>
      <w:r>
        <w:rPr>
          <w:rFonts w:hint="eastAsia" w:ascii="Times New Roman" w:hAnsi="Times New Roman" w:eastAsia="宋体"/>
          <w:color w:val="auto"/>
          <w:sz w:val="21"/>
          <w:szCs w:val="21"/>
          <w:highlight w:val="none"/>
        </w:rPr>
        <w:t>.</w:t>
      </w:r>
      <w:r>
        <w:rPr>
          <w:rFonts w:ascii="Times New Roman" w:hAnsi="Times New Roman" w:eastAsia="宋体"/>
          <w:color w:val="auto"/>
          <w:sz w:val="21"/>
          <w:szCs w:val="21"/>
          <w:highlight w:val="none"/>
        </w:rPr>
        <w:t>招标文件的澄清、答复、修改或补充都应该通过本采购代理机构以法定形式发布。</w:t>
      </w:r>
    </w:p>
    <w:p>
      <w:pPr>
        <w:pStyle w:val="6"/>
        <w:rPr>
          <w:color w:val="auto"/>
          <w:highlight w:val="none"/>
        </w:rPr>
      </w:pPr>
      <w:r>
        <w:rPr>
          <w:rFonts w:hint="eastAsia"/>
          <w:color w:val="auto"/>
          <w:highlight w:val="none"/>
        </w:rPr>
        <w:t>投标文件的编制</w:t>
      </w:r>
    </w:p>
    <w:p>
      <w:pPr>
        <w:pStyle w:val="8"/>
        <w:numPr>
          <w:ilvl w:val="0"/>
          <w:numId w:val="0"/>
        </w:numPr>
        <w:rPr>
          <w:rFonts w:hint="eastAsia" w:eastAsia="宋体"/>
          <w:color w:val="auto"/>
          <w:highlight w:val="none"/>
          <w:lang w:eastAsia="zh-CN"/>
        </w:rPr>
      </w:pPr>
      <w:r>
        <w:rPr>
          <w:rFonts w:hint="eastAsia"/>
          <w:color w:val="auto"/>
          <w:highlight w:val="none"/>
        </w:rPr>
        <w:t>（一）投标文件的签署</w:t>
      </w:r>
      <w:r>
        <w:rPr>
          <w:rFonts w:hint="eastAsia"/>
          <w:color w:val="auto"/>
          <w:highlight w:val="none"/>
          <w:lang w:eastAsia="zh-CN"/>
        </w:rPr>
        <w:t>和编制</w:t>
      </w:r>
    </w:p>
    <w:p>
      <w:pPr>
        <w:pStyle w:val="59"/>
        <w:rPr>
          <w:b/>
          <w:bCs/>
          <w:color w:val="auto"/>
          <w:highlight w:val="none"/>
        </w:rPr>
      </w:pPr>
      <w:r>
        <w:rPr>
          <w:rFonts w:hint="eastAsia"/>
          <w:b/>
          <w:bCs/>
          <w:color w:val="auto"/>
          <w:highlight w:val="none"/>
        </w:rPr>
        <w:t>电子投标文件部分：</w:t>
      </w:r>
    </w:p>
    <w:p>
      <w:pPr>
        <w:ind w:firstLine="420"/>
        <w:rPr>
          <w:b w:val="0"/>
          <w:bCs w:val="0"/>
          <w:color w:val="auto"/>
          <w:highlight w:val="none"/>
        </w:rPr>
      </w:pPr>
      <w:r>
        <w:rPr>
          <w:b w:val="0"/>
          <w:bCs w:val="0"/>
          <w:color w:val="auto"/>
          <w:szCs w:val="21"/>
          <w:highlight w:val="none"/>
        </w:rPr>
        <w:t>投标人应根据“政采云投标人项目采购-电子招投标操作指南”及本招标文件规定的格式和顺序编制电子投标文件并进行关联定位。</w:t>
      </w:r>
    </w:p>
    <w:p>
      <w:pPr>
        <w:pStyle w:val="59"/>
        <w:rPr>
          <w:b/>
          <w:bCs/>
          <w:color w:val="auto"/>
          <w:highlight w:val="none"/>
        </w:rPr>
      </w:pPr>
      <w:r>
        <w:rPr>
          <w:rFonts w:hint="eastAsia" w:ascii="宋体" w:hAnsi="Calibri" w:eastAsia="宋体" w:cs="宋体"/>
          <w:b/>
          <w:bCs/>
          <w:color w:val="auto"/>
          <w:kern w:val="2"/>
          <w:sz w:val="21"/>
          <w:szCs w:val="22"/>
          <w:highlight w:val="none"/>
          <w:lang w:val="en-US" w:eastAsia="zh-CN" w:bidi="ar-SA"/>
        </w:rPr>
        <w:t>以介质存储的数据电文形式的备份投标文件部分</w:t>
      </w:r>
      <w:r>
        <w:rPr>
          <w:rFonts w:hint="eastAsia"/>
          <w:b/>
          <w:bCs/>
          <w:color w:val="auto"/>
          <w:highlight w:val="none"/>
        </w:rPr>
        <w:t>：</w:t>
      </w:r>
    </w:p>
    <w:p>
      <w:pPr>
        <w:ind w:firstLine="420"/>
        <w:rPr>
          <w:b w:val="0"/>
          <w:bCs w:val="0"/>
          <w:color w:val="auto"/>
          <w:highlight w:val="none"/>
        </w:rPr>
      </w:pPr>
      <w:r>
        <w:rPr>
          <w:rFonts w:hint="eastAsia"/>
          <w:b w:val="0"/>
          <w:bCs w:val="0"/>
          <w:color w:val="auto"/>
          <w:highlight w:val="none"/>
        </w:rPr>
        <w:t>电子投标文件的备份文件，以</w:t>
      </w:r>
      <w:r>
        <w:rPr>
          <w:rFonts w:hint="eastAsia" w:ascii="宋体" w:eastAsia="宋体" w:cs="宋体"/>
          <w:b w:val="0"/>
          <w:bCs w:val="0"/>
          <w:color w:val="auto"/>
          <w:highlight w:val="none"/>
        </w:rPr>
        <w:t>DVD光盘或U盘</w:t>
      </w:r>
      <w:r>
        <w:rPr>
          <w:rFonts w:hint="eastAsia"/>
          <w:b w:val="0"/>
          <w:bCs w:val="0"/>
          <w:color w:val="auto"/>
          <w:highlight w:val="none"/>
        </w:rPr>
        <w:t>形式存储，并单独密封递交。</w:t>
      </w:r>
    </w:p>
    <w:p>
      <w:pPr>
        <w:pStyle w:val="59"/>
        <w:numPr>
          <w:ilvl w:val="0"/>
          <w:numId w:val="0"/>
        </w:numPr>
        <w:ind w:leftChars="0"/>
        <w:rPr>
          <w:color w:val="auto"/>
          <w:highlight w:val="none"/>
        </w:rPr>
      </w:pPr>
      <w:r>
        <w:rPr>
          <w:rFonts w:hint="eastAsia"/>
          <w:color w:val="auto"/>
          <w:highlight w:val="none"/>
          <w:lang w:eastAsia="zh-CN"/>
        </w:rPr>
        <w:t>（二）</w:t>
      </w:r>
      <w:r>
        <w:rPr>
          <w:rFonts w:hint="eastAsia"/>
          <w:color w:val="auto"/>
          <w:highlight w:val="none"/>
        </w:rPr>
        <w:t>投标文件的形式和效力</w:t>
      </w:r>
    </w:p>
    <w:p>
      <w:pPr>
        <w:ind w:firstLine="420"/>
        <w:rPr>
          <w:color w:val="auto"/>
          <w:highlight w:val="none"/>
        </w:rPr>
      </w:pPr>
      <w:r>
        <w:rPr>
          <w:rFonts w:hint="eastAsia"/>
          <w:color w:val="auto"/>
          <w:highlight w:val="none"/>
        </w:rPr>
        <w:t>投标文件分为电子投标文件以及备份投标文件，备份文件分为以介质存储的数据电文形式的备份投标文件。</w:t>
      </w:r>
    </w:p>
    <w:p>
      <w:pPr>
        <w:pStyle w:val="60"/>
        <w:ind w:firstLine="420" w:firstLineChars="200"/>
        <w:rPr>
          <w:color w:val="auto"/>
          <w:highlight w:val="none"/>
        </w:rPr>
      </w:pPr>
      <w:r>
        <w:rPr>
          <w:rFonts w:hint="eastAsia"/>
          <w:color w:val="auto"/>
          <w:highlight w:val="none"/>
        </w:rPr>
        <w:t>电子投标文件，按“政采云投标人项目采购-电子交易操作指南”及本</w:t>
      </w:r>
      <w:r>
        <w:rPr>
          <w:rFonts w:hint="eastAsia"/>
          <w:color w:val="auto"/>
          <w:highlight w:val="none"/>
          <w:lang w:eastAsia="zh-CN"/>
        </w:rPr>
        <w:t>采购文件</w:t>
      </w:r>
      <w:r>
        <w:rPr>
          <w:rFonts w:hint="eastAsia"/>
          <w:color w:val="auto"/>
          <w:highlight w:val="none"/>
        </w:rPr>
        <w:t>要求制作、加密并递交。</w:t>
      </w:r>
    </w:p>
    <w:p>
      <w:pPr>
        <w:pStyle w:val="60"/>
        <w:ind w:firstLine="420" w:firstLineChars="200"/>
        <w:rPr>
          <w:color w:val="auto"/>
          <w:highlight w:val="none"/>
        </w:rPr>
      </w:pPr>
      <w:r>
        <w:rPr>
          <w:rStyle w:val="64"/>
          <w:rFonts w:hint="eastAsia"/>
          <w:b w:val="0"/>
          <w:bCs w:val="0"/>
          <w:color w:val="auto"/>
          <w:highlight w:val="none"/>
        </w:rPr>
        <w:t>以介质存储的数据电文形式的备份投标文件，即电子投标文件按“政采云供应商项目采</w:t>
      </w:r>
      <w:r>
        <w:rPr>
          <w:rFonts w:hint="eastAsia"/>
          <w:color w:val="auto"/>
          <w:highlight w:val="none"/>
        </w:rPr>
        <w:t>购-电子交易操作指南”制作的备份文件。</w:t>
      </w:r>
    </w:p>
    <w:p>
      <w:pPr>
        <w:ind w:firstLine="422"/>
        <w:rPr>
          <w:b/>
          <w:bCs/>
          <w:color w:val="auto"/>
          <w:highlight w:val="none"/>
        </w:rPr>
      </w:pPr>
      <w:r>
        <w:rPr>
          <w:rFonts w:hint="eastAsia"/>
          <w:b/>
          <w:bCs/>
          <w:color w:val="auto"/>
          <w:highlight w:val="none"/>
        </w:rPr>
        <w:t>投标文件的启用，按先后顺位分别为电子投标文件、以介质存储的数据电文形式的备份投标文件。在下一顺位的投标文件启用时，前一顺位的投标文件自动失效。</w:t>
      </w:r>
    </w:p>
    <w:p>
      <w:pPr>
        <w:pStyle w:val="8"/>
        <w:numPr>
          <w:ilvl w:val="0"/>
          <w:numId w:val="0"/>
        </w:numPr>
        <w:rPr>
          <w:color w:val="auto"/>
          <w:highlight w:val="none"/>
        </w:rPr>
      </w:pPr>
      <w:r>
        <w:rPr>
          <w:rFonts w:hint="eastAsia"/>
          <w:color w:val="auto"/>
          <w:highlight w:val="none"/>
        </w:rPr>
        <w:t>（</w:t>
      </w:r>
      <w:r>
        <w:rPr>
          <w:rFonts w:hint="eastAsia"/>
          <w:color w:val="auto"/>
          <w:highlight w:val="none"/>
          <w:lang w:eastAsia="zh-CN"/>
        </w:rPr>
        <w:t>三</w:t>
      </w:r>
      <w:r>
        <w:rPr>
          <w:rFonts w:hint="eastAsia"/>
          <w:color w:val="auto"/>
          <w:highlight w:val="none"/>
        </w:rPr>
        <w:t>）投标文件的组成</w:t>
      </w:r>
    </w:p>
    <w:p>
      <w:pPr>
        <w:ind w:firstLine="422"/>
        <w:rPr>
          <w:rFonts w:hint="eastAsia" w:eastAsia="宋体"/>
          <w:color w:val="auto"/>
          <w:highlight w:val="none"/>
          <w:lang w:val="en-US" w:eastAsia="zh-CN"/>
        </w:rPr>
      </w:pPr>
      <w:r>
        <w:rPr>
          <w:rFonts w:hint="eastAsia"/>
          <w:b/>
          <w:bCs/>
          <w:color w:val="auto"/>
          <w:highlight w:val="none"/>
        </w:rPr>
        <w:t>投标文件由资格审查文件、商务及技术文件、报价文件三</w:t>
      </w:r>
      <w:r>
        <w:rPr>
          <w:rFonts w:hint="eastAsia"/>
          <w:b/>
          <w:bCs/>
          <w:color w:val="auto"/>
          <w:highlight w:val="none"/>
          <w:lang w:eastAsia="zh-CN"/>
        </w:rPr>
        <w:t>部分</w:t>
      </w:r>
      <w:r>
        <w:rPr>
          <w:rFonts w:hint="eastAsia"/>
          <w:b/>
          <w:bCs/>
          <w:color w:val="auto"/>
          <w:highlight w:val="none"/>
        </w:rPr>
        <w:t>组成。</w:t>
      </w:r>
      <w:r>
        <w:rPr>
          <w:rFonts w:hint="eastAsia"/>
          <w:color w:val="auto"/>
          <w:highlight w:val="none"/>
        </w:rPr>
        <w:t>电子投标文件中所须加盖公章部分均采用CA签章。</w:t>
      </w:r>
      <w:r>
        <w:rPr>
          <w:rFonts w:hint="eastAsia"/>
          <w:color w:val="auto"/>
          <w:highlight w:val="none"/>
          <w:lang w:val="en-US" w:eastAsia="zh-CN"/>
        </w:rPr>
        <w:t>(投标文件组成详见第六章）</w:t>
      </w:r>
    </w:p>
    <w:p>
      <w:pPr>
        <w:pStyle w:val="8"/>
        <w:numPr>
          <w:ilvl w:val="0"/>
          <w:numId w:val="0"/>
        </w:numPr>
        <w:rPr>
          <w:color w:val="auto"/>
          <w:highlight w:val="none"/>
        </w:rPr>
      </w:pPr>
      <w:r>
        <w:rPr>
          <w:rFonts w:hint="eastAsia"/>
          <w:color w:val="auto"/>
          <w:highlight w:val="none"/>
        </w:rPr>
        <w:t>（</w:t>
      </w:r>
      <w:r>
        <w:rPr>
          <w:rFonts w:hint="eastAsia"/>
          <w:color w:val="auto"/>
          <w:highlight w:val="none"/>
          <w:lang w:eastAsia="zh-CN"/>
        </w:rPr>
        <w:t>四</w:t>
      </w:r>
      <w:r>
        <w:rPr>
          <w:rFonts w:hint="eastAsia"/>
          <w:color w:val="auto"/>
          <w:highlight w:val="none"/>
        </w:rPr>
        <w:t>）投标文件的语言及计量</w:t>
      </w:r>
    </w:p>
    <w:p>
      <w:pPr>
        <w:ind w:firstLine="420"/>
        <w:rPr>
          <w:color w:val="auto"/>
          <w:highlight w:val="none"/>
        </w:rPr>
      </w:pPr>
      <w:r>
        <w:rPr>
          <w:rFonts w:hint="eastAsia"/>
          <w:color w:val="auto"/>
          <w:highlight w:val="none"/>
        </w:rPr>
        <w:t>1.投标文件以及投标人与采购人就有关投标事宜的所有来往函电，均应以中文汉语书写。除签名、盖章、专用名称等特殊情形外，以中文汉语以外的文字表述的投标文件视同未提供。</w:t>
      </w:r>
    </w:p>
    <w:p>
      <w:pPr>
        <w:ind w:firstLine="420"/>
        <w:rPr>
          <w:color w:val="auto"/>
          <w:highlight w:val="none"/>
        </w:rPr>
      </w:pPr>
      <w:r>
        <w:rPr>
          <w:rFonts w:hint="eastAsia"/>
          <w:color w:val="auto"/>
          <w:highlight w:val="none"/>
        </w:rPr>
        <w:t>2.投标计量单位，</w:t>
      </w:r>
      <w:r>
        <w:rPr>
          <w:rFonts w:hint="eastAsia"/>
          <w:color w:val="auto"/>
          <w:highlight w:val="none"/>
          <w:lang w:eastAsia="zh-CN"/>
        </w:rPr>
        <w:t>采购文件</w:t>
      </w:r>
      <w:r>
        <w:rPr>
          <w:rFonts w:hint="eastAsia"/>
          <w:color w:val="auto"/>
          <w:highlight w:val="none"/>
        </w:rPr>
        <w:t>已有明确规定的，使用</w:t>
      </w:r>
      <w:r>
        <w:rPr>
          <w:rFonts w:hint="eastAsia"/>
          <w:color w:val="auto"/>
          <w:highlight w:val="none"/>
          <w:lang w:eastAsia="zh-CN"/>
        </w:rPr>
        <w:t>采购文件</w:t>
      </w:r>
      <w:r>
        <w:rPr>
          <w:rFonts w:hint="eastAsia"/>
          <w:color w:val="auto"/>
          <w:highlight w:val="none"/>
        </w:rPr>
        <w:t>规定的计量单位；</w:t>
      </w:r>
      <w:r>
        <w:rPr>
          <w:rFonts w:hint="eastAsia"/>
          <w:color w:val="auto"/>
          <w:highlight w:val="none"/>
          <w:lang w:eastAsia="zh-CN"/>
        </w:rPr>
        <w:t>采购文件</w:t>
      </w:r>
      <w:r>
        <w:rPr>
          <w:rFonts w:hint="eastAsia"/>
          <w:color w:val="auto"/>
          <w:highlight w:val="none"/>
        </w:rPr>
        <w:t>没有规定的，应采用中华人民共和国法定计量单位（货币单位：人民币元），否则视同未响应。</w:t>
      </w:r>
    </w:p>
    <w:p>
      <w:pPr>
        <w:pStyle w:val="8"/>
        <w:numPr>
          <w:ilvl w:val="0"/>
          <w:numId w:val="0"/>
        </w:numPr>
        <w:rPr>
          <w:color w:val="auto"/>
          <w:highlight w:val="none"/>
        </w:rPr>
      </w:pPr>
      <w:r>
        <w:rPr>
          <w:rFonts w:hint="eastAsia"/>
          <w:color w:val="auto"/>
          <w:highlight w:val="none"/>
        </w:rPr>
        <w:t>（</w:t>
      </w:r>
      <w:r>
        <w:rPr>
          <w:rFonts w:hint="eastAsia"/>
          <w:color w:val="auto"/>
          <w:highlight w:val="none"/>
          <w:lang w:eastAsia="zh-CN"/>
        </w:rPr>
        <w:t>五</w:t>
      </w:r>
      <w:r>
        <w:rPr>
          <w:rFonts w:hint="eastAsia"/>
          <w:color w:val="auto"/>
          <w:highlight w:val="none"/>
        </w:rPr>
        <w:t>）投标报价</w:t>
      </w:r>
    </w:p>
    <w:p>
      <w:pPr>
        <w:ind w:firstLine="420"/>
        <w:rPr>
          <w:color w:val="auto"/>
          <w:highlight w:val="none"/>
        </w:rPr>
      </w:pPr>
      <w:r>
        <w:rPr>
          <w:rFonts w:hint="eastAsia"/>
          <w:color w:val="auto"/>
          <w:highlight w:val="none"/>
        </w:rPr>
        <w:t>详见投标人须知前附表：投标报价与费用。</w:t>
      </w:r>
    </w:p>
    <w:p>
      <w:pPr>
        <w:pStyle w:val="8"/>
        <w:numPr>
          <w:ilvl w:val="0"/>
          <w:numId w:val="0"/>
        </w:numPr>
        <w:rPr>
          <w:color w:val="auto"/>
          <w:highlight w:val="none"/>
        </w:rPr>
      </w:pPr>
      <w:r>
        <w:rPr>
          <w:rFonts w:hint="eastAsia"/>
          <w:color w:val="auto"/>
          <w:highlight w:val="none"/>
        </w:rPr>
        <w:t>（</w:t>
      </w:r>
      <w:r>
        <w:rPr>
          <w:rFonts w:hint="eastAsia"/>
          <w:color w:val="auto"/>
          <w:highlight w:val="none"/>
          <w:lang w:eastAsia="zh-CN"/>
        </w:rPr>
        <w:t>六</w:t>
      </w:r>
      <w:r>
        <w:rPr>
          <w:rFonts w:hint="eastAsia"/>
          <w:color w:val="auto"/>
          <w:highlight w:val="none"/>
        </w:rPr>
        <w:t>）投标文件的有效期</w:t>
      </w:r>
    </w:p>
    <w:p>
      <w:pPr>
        <w:ind w:firstLine="420"/>
        <w:rPr>
          <w:color w:val="auto"/>
          <w:highlight w:val="none"/>
        </w:rPr>
      </w:pPr>
      <w:r>
        <w:rPr>
          <w:rFonts w:hint="eastAsia"/>
          <w:color w:val="auto"/>
          <w:highlight w:val="none"/>
        </w:rPr>
        <w:t>1.自投标截止日起90天投标文件应保持有效。有效期不足的投标文件将被拒绝。</w:t>
      </w:r>
    </w:p>
    <w:p>
      <w:pPr>
        <w:ind w:firstLine="420"/>
        <w:rPr>
          <w:color w:val="auto"/>
          <w:highlight w:val="none"/>
        </w:rPr>
      </w:pPr>
      <w:r>
        <w:rPr>
          <w:rFonts w:hint="eastAsia"/>
          <w:color w:val="auto"/>
          <w:highlight w:val="none"/>
        </w:rPr>
        <w:t>2.在特殊情况下，采购人可与投标人协商延长投标书的有效期，这种要求和答复均以书面形式进行。</w:t>
      </w:r>
    </w:p>
    <w:p>
      <w:pPr>
        <w:ind w:firstLine="420"/>
        <w:rPr>
          <w:color w:val="auto"/>
          <w:highlight w:val="none"/>
        </w:rPr>
      </w:pPr>
      <w:r>
        <w:rPr>
          <w:rFonts w:hint="eastAsia"/>
          <w:color w:val="auto"/>
          <w:highlight w:val="none"/>
        </w:rPr>
        <w:t>3.中标人的投标文件自开标之日起至合同履行完毕止均应保持有效。</w:t>
      </w:r>
    </w:p>
    <w:p>
      <w:pPr>
        <w:pStyle w:val="8"/>
        <w:numPr>
          <w:ilvl w:val="0"/>
          <w:numId w:val="0"/>
        </w:numPr>
        <w:rPr>
          <w:color w:val="auto"/>
          <w:highlight w:val="none"/>
        </w:rPr>
      </w:pPr>
      <w:r>
        <w:rPr>
          <w:rFonts w:hint="eastAsia"/>
          <w:color w:val="auto"/>
          <w:highlight w:val="none"/>
        </w:rPr>
        <w:t>（</w:t>
      </w:r>
      <w:r>
        <w:rPr>
          <w:rFonts w:hint="eastAsia"/>
          <w:color w:val="auto"/>
          <w:highlight w:val="none"/>
          <w:lang w:eastAsia="zh-CN"/>
        </w:rPr>
        <w:t>七</w:t>
      </w:r>
      <w:r>
        <w:rPr>
          <w:rFonts w:hint="eastAsia"/>
          <w:color w:val="auto"/>
          <w:highlight w:val="none"/>
        </w:rPr>
        <w:t>）</w:t>
      </w:r>
      <w:r>
        <w:rPr>
          <w:rFonts w:hint="eastAsia" w:eastAsia="宋体" w:cs="宋体"/>
          <w:color w:val="auto"/>
          <w:highlight w:val="none"/>
        </w:rPr>
        <w:t>备份投标文件的包</w:t>
      </w:r>
      <w:r>
        <w:rPr>
          <w:rFonts w:hint="eastAsia"/>
          <w:color w:val="auto"/>
          <w:highlight w:val="none"/>
        </w:rPr>
        <w:t>装、递交、修改和撤回</w:t>
      </w:r>
    </w:p>
    <w:p>
      <w:pPr>
        <w:ind w:firstLine="420"/>
        <w:rPr>
          <w:color w:val="auto"/>
          <w:highlight w:val="none"/>
        </w:rPr>
      </w:pPr>
      <w:r>
        <w:rPr>
          <w:rFonts w:hint="eastAsia"/>
          <w:color w:val="auto"/>
          <w:highlight w:val="none"/>
        </w:rPr>
        <w:t>1、投标人除按规定时间在政采云系统中上传经加密的电子投标文件外，同时还应将以介质存储的数据电文形式的备份投标文件，按政采云平台项目采购-电子交易操作指南中上传的电子投标文件格式，以</w:t>
      </w:r>
      <w:r>
        <w:rPr>
          <w:rFonts w:hint="eastAsia" w:ascii="宋体" w:eastAsia="宋体" w:cs="宋体"/>
          <w:color w:val="auto"/>
          <w:highlight w:val="none"/>
        </w:rPr>
        <w:t>DVD光盘或U盘</w:t>
      </w:r>
      <w:r>
        <w:rPr>
          <w:rFonts w:hint="eastAsia"/>
          <w:color w:val="auto"/>
          <w:highlight w:val="none"/>
        </w:rPr>
        <w:t>形式提供，数量为1份，送达指定地点。</w:t>
      </w:r>
    </w:p>
    <w:p>
      <w:pPr>
        <w:ind w:firstLine="420"/>
        <w:rPr>
          <w:color w:val="auto"/>
          <w:highlight w:val="none"/>
        </w:rPr>
      </w:pPr>
      <w:r>
        <w:rPr>
          <w:rFonts w:hint="eastAsia"/>
          <w:color w:val="auto"/>
          <w:highlight w:val="none"/>
          <w:lang w:val="en-US" w:eastAsia="zh-CN"/>
        </w:rPr>
        <w:t>2</w:t>
      </w:r>
      <w:r>
        <w:rPr>
          <w:rFonts w:hint="eastAsia"/>
          <w:color w:val="auto"/>
          <w:highlight w:val="none"/>
        </w:rPr>
        <w:t>、备份投标文件须密封封装。包装封面上应注明投标人名称，封口处加盖投标人公章。</w:t>
      </w:r>
    </w:p>
    <w:p>
      <w:pPr>
        <w:ind w:firstLine="420"/>
        <w:rPr>
          <w:color w:val="auto"/>
          <w:highlight w:val="none"/>
        </w:rPr>
      </w:pPr>
      <w:r>
        <w:rPr>
          <w:rFonts w:hint="eastAsia"/>
          <w:color w:val="auto"/>
          <w:highlight w:val="none"/>
          <w:lang w:val="en-US" w:eastAsia="zh-CN"/>
        </w:rPr>
        <w:t>3</w:t>
      </w:r>
      <w:r>
        <w:rPr>
          <w:rFonts w:hint="eastAsia"/>
          <w:color w:val="auto"/>
          <w:highlight w:val="none"/>
        </w:rPr>
        <w:t>、投标人在投标截止时间之前，可以对已提交的</w:t>
      </w:r>
      <w:r>
        <w:rPr>
          <w:rFonts w:hint="eastAsia"/>
          <w:color w:val="auto"/>
          <w:highlight w:val="none"/>
          <w:lang w:eastAsia="zh-CN"/>
        </w:rPr>
        <w:t>备份</w:t>
      </w:r>
      <w:r>
        <w:rPr>
          <w:rFonts w:hint="eastAsia"/>
          <w:color w:val="auto"/>
          <w:highlight w:val="none"/>
        </w:rPr>
        <w:t>投标文件进行修改或撤回，并书面形式（投标人代表签字）通知代理机构；投标截止时间后，投标人不得撤回、修改投标文件。修改后重新递交的投标文件应当按本</w:t>
      </w:r>
      <w:r>
        <w:rPr>
          <w:rFonts w:hint="eastAsia"/>
          <w:color w:val="auto"/>
          <w:highlight w:val="none"/>
          <w:lang w:eastAsia="zh-CN"/>
        </w:rPr>
        <w:t>采购文件</w:t>
      </w:r>
      <w:r>
        <w:rPr>
          <w:rFonts w:hint="eastAsia"/>
          <w:color w:val="auto"/>
          <w:highlight w:val="none"/>
        </w:rPr>
        <w:t>的要求密封和签字。</w:t>
      </w:r>
    </w:p>
    <w:p>
      <w:pPr>
        <w:pStyle w:val="8"/>
        <w:numPr>
          <w:ilvl w:val="0"/>
          <w:numId w:val="0"/>
        </w:numPr>
        <w:rPr>
          <w:color w:val="auto"/>
          <w:highlight w:val="none"/>
        </w:rPr>
      </w:pPr>
      <w:r>
        <w:rPr>
          <w:rFonts w:hint="eastAsia"/>
          <w:color w:val="auto"/>
          <w:highlight w:val="none"/>
        </w:rPr>
        <w:t>（</w:t>
      </w:r>
      <w:r>
        <w:rPr>
          <w:rFonts w:hint="eastAsia"/>
          <w:color w:val="auto"/>
          <w:highlight w:val="none"/>
          <w:lang w:eastAsia="zh-CN"/>
        </w:rPr>
        <w:t>八</w:t>
      </w:r>
      <w:r>
        <w:rPr>
          <w:rFonts w:hint="eastAsia"/>
          <w:color w:val="auto"/>
          <w:highlight w:val="none"/>
        </w:rPr>
        <w:t>）投标无效的情形</w:t>
      </w:r>
    </w:p>
    <w:p>
      <w:pPr>
        <w:ind w:firstLine="420"/>
        <w:rPr>
          <w:color w:val="auto"/>
          <w:highlight w:val="none"/>
        </w:rPr>
      </w:pPr>
      <w:r>
        <w:rPr>
          <w:rFonts w:hint="eastAsia"/>
          <w:color w:val="auto"/>
          <w:highlight w:val="none"/>
        </w:rPr>
        <w:t>实质上没有响应</w:t>
      </w:r>
      <w:r>
        <w:rPr>
          <w:rFonts w:hint="eastAsia"/>
          <w:color w:val="auto"/>
          <w:highlight w:val="none"/>
          <w:lang w:eastAsia="zh-CN"/>
        </w:rPr>
        <w:t>采购文件</w:t>
      </w:r>
      <w:r>
        <w:rPr>
          <w:rFonts w:hint="eastAsia"/>
          <w:color w:val="auto"/>
          <w:highlight w:val="none"/>
        </w:rPr>
        <w:t>要求的投标将被视为无效投标。投标人不得通过修正或撤消不合要求的偏离或保留从而使其投标成为实质上响应的投标。经评标委员会认定属于投标人疏忽、笔误所造成的差错，应当允许其在评标结束之前进行修改或者补正（评标委员会和投标人通过电子交易平台交换数据电文）。修改或者补正投标文件必须以书面形式进行，并应在中标结果公告之前查核原件。限期内不补正或经补正后仍不符合</w:t>
      </w:r>
      <w:r>
        <w:rPr>
          <w:rFonts w:hint="eastAsia"/>
          <w:color w:val="auto"/>
          <w:highlight w:val="none"/>
          <w:lang w:eastAsia="zh-CN"/>
        </w:rPr>
        <w:t>采购文件</w:t>
      </w:r>
      <w:r>
        <w:rPr>
          <w:rFonts w:hint="eastAsia"/>
          <w:color w:val="auto"/>
          <w:highlight w:val="none"/>
        </w:rPr>
        <w:t>要求的，应认定其投标无效。投标人修改、补正投标文件后，不影响评标委员会对其投标文件所作的评价和评分结果。</w:t>
      </w:r>
    </w:p>
    <w:p>
      <w:pPr>
        <w:ind w:firstLine="422"/>
        <w:rPr>
          <w:b/>
          <w:bCs/>
          <w:color w:val="auto"/>
          <w:highlight w:val="none"/>
        </w:rPr>
      </w:pPr>
      <w:r>
        <w:rPr>
          <w:rFonts w:hint="eastAsia"/>
          <w:b/>
          <w:bCs/>
          <w:color w:val="auto"/>
          <w:highlight w:val="none"/>
        </w:rPr>
        <w:t>1.在符合性审查和商务评审时，如发现下列情形之一的，投标文件将被视为无效投标：</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1.1电子投标文件解密失败的，且未在规定时间内提交有效备份投标文件的；</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1.2未按</w:t>
      </w:r>
      <w:r>
        <w:rPr>
          <w:rFonts w:hint="default" w:ascii="Times New Roman" w:hAnsi="Times New Roman" w:cs="Times New Roman"/>
          <w:color w:val="auto"/>
          <w:highlight w:val="none"/>
          <w:lang w:eastAsia="zh-CN"/>
        </w:rPr>
        <w:t>采购文件</w:t>
      </w:r>
      <w:r>
        <w:rPr>
          <w:rFonts w:hint="default" w:ascii="Times New Roman" w:hAnsi="Times New Roman" w:cs="Times New Roman"/>
          <w:color w:val="auto"/>
          <w:highlight w:val="none"/>
        </w:rPr>
        <w:t>要求密封、签字、盖章的；</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1.3资格证明文件不全的，或者不符合</w:t>
      </w:r>
      <w:r>
        <w:rPr>
          <w:rFonts w:hint="default" w:ascii="Times New Roman" w:hAnsi="Times New Roman" w:cs="Times New Roman"/>
          <w:color w:val="auto"/>
          <w:highlight w:val="none"/>
          <w:lang w:eastAsia="zh-CN"/>
        </w:rPr>
        <w:t>采购文件</w:t>
      </w:r>
      <w:r>
        <w:rPr>
          <w:rFonts w:hint="default" w:ascii="Times New Roman" w:hAnsi="Times New Roman" w:cs="Times New Roman"/>
          <w:color w:val="auto"/>
          <w:highlight w:val="none"/>
        </w:rPr>
        <w:t>标明的资格要求的；</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1.4投标文件组成不全的；</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投标文件的实质性内容未使用中文表述、意思表述不明确、前后矛盾或者使用计量单位不符合</w:t>
      </w:r>
      <w:r>
        <w:rPr>
          <w:rFonts w:hint="default" w:ascii="Times New Roman" w:hAnsi="Times New Roman" w:cs="Times New Roman"/>
          <w:color w:val="auto"/>
          <w:highlight w:val="none"/>
          <w:lang w:eastAsia="zh-CN"/>
        </w:rPr>
        <w:t>采购文件</w:t>
      </w:r>
      <w:r>
        <w:rPr>
          <w:rFonts w:hint="default" w:ascii="Times New Roman" w:hAnsi="Times New Roman" w:cs="Times New Roman"/>
          <w:color w:val="auto"/>
          <w:highlight w:val="none"/>
        </w:rPr>
        <w:t>要求的；（经评审小组认定允许其在线更正的笔误除外）</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投标文件的关键内容字迹模糊、无法辨认的，或者投标文件中经修正的内容字迹模糊难以辩认或者修改处未按规定签名盖章的；</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lang w:eastAsia="zh-CN"/>
        </w:rPr>
        <w:t>实质性</w:t>
      </w:r>
      <w:r>
        <w:rPr>
          <w:rFonts w:hint="default" w:ascii="Times New Roman" w:hAnsi="Times New Roman" w:cs="Times New Roman"/>
          <w:color w:val="auto"/>
          <w:highlight w:val="none"/>
        </w:rPr>
        <w:t>条款不能满足</w:t>
      </w:r>
      <w:r>
        <w:rPr>
          <w:rFonts w:hint="default" w:ascii="Times New Roman" w:hAnsi="Times New Roman" w:cs="Times New Roman"/>
          <w:color w:val="auto"/>
          <w:highlight w:val="none"/>
          <w:lang w:eastAsia="zh-CN"/>
        </w:rPr>
        <w:t>采购文件</w:t>
      </w:r>
      <w:r>
        <w:rPr>
          <w:rFonts w:hint="default" w:ascii="Times New Roman" w:hAnsi="Times New Roman" w:cs="Times New Roman"/>
          <w:color w:val="auto"/>
          <w:highlight w:val="none"/>
        </w:rPr>
        <w:t>要求的；</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未响应</w:t>
      </w:r>
      <w:r>
        <w:rPr>
          <w:rFonts w:hint="default" w:ascii="Times New Roman" w:hAnsi="Times New Roman" w:cs="Times New Roman"/>
          <w:color w:val="auto"/>
          <w:highlight w:val="none"/>
          <w:lang w:eastAsia="zh-CN"/>
        </w:rPr>
        <w:t>采购文件</w:t>
      </w:r>
      <w:r>
        <w:rPr>
          <w:rFonts w:hint="default" w:ascii="Times New Roman" w:hAnsi="Times New Roman" w:cs="Times New Roman"/>
          <w:color w:val="auto"/>
          <w:highlight w:val="none"/>
        </w:rPr>
        <w:t>实质性要求或者投标文件有采购人不能接受的附加条件的；</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投标文件没有按</w:t>
      </w:r>
      <w:r>
        <w:rPr>
          <w:rFonts w:hint="default" w:ascii="Times New Roman" w:hAnsi="Times New Roman" w:cs="Times New Roman"/>
          <w:color w:val="auto"/>
          <w:highlight w:val="none"/>
          <w:lang w:eastAsia="zh-CN"/>
        </w:rPr>
        <w:t>采购文件</w:t>
      </w:r>
      <w:r>
        <w:rPr>
          <w:rFonts w:hint="default" w:ascii="Times New Roman" w:hAnsi="Times New Roman" w:cs="Times New Roman"/>
          <w:color w:val="auto"/>
          <w:highlight w:val="none"/>
        </w:rPr>
        <w:t>要求响应有标</w:t>
      </w:r>
      <w:r>
        <w:rPr>
          <w:rFonts w:hint="eastAsia" w:hAnsi="宋体" w:eastAsia="宋体" w:cs="宋体"/>
          <w:color w:val="auto"/>
          <w:sz w:val="21"/>
          <w:szCs w:val="21"/>
          <w:highlight w:val="none"/>
        </w:rPr>
        <w:t>“▲”</w:t>
      </w:r>
      <w:r>
        <w:rPr>
          <w:rFonts w:hint="default" w:ascii="Times New Roman" w:hAnsi="Times New Roman" w:cs="Times New Roman"/>
          <w:color w:val="auto"/>
          <w:highlight w:val="none"/>
        </w:rPr>
        <w:t>的条款的资料和材料的；</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1.1</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在资格证明文件、商务技术文件中出现投标报价的。</w:t>
      </w:r>
    </w:p>
    <w:p>
      <w:pPr>
        <w:ind w:firstLine="42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2.在技术评审时，如发现下列情形之一的，投标文件将被视为无效响应：</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2.1投标文件标明的响应或偏离与事实不符或虚假投标的；</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2.2明显不符合</w:t>
      </w:r>
      <w:r>
        <w:rPr>
          <w:rFonts w:hint="default" w:ascii="Times New Roman" w:hAnsi="Times New Roman" w:cs="Times New Roman"/>
          <w:color w:val="auto"/>
          <w:highlight w:val="none"/>
          <w:lang w:eastAsia="zh-CN"/>
        </w:rPr>
        <w:t>采购文件</w:t>
      </w:r>
      <w:r>
        <w:rPr>
          <w:rFonts w:hint="default" w:ascii="Times New Roman" w:hAnsi="Times New Roman" w:cs="Times New Roman"/>
          <w:color w:val="auto"/>
          <w:highlight w:val="none"/>
        </w:rPr>
        <w:t>标明的质量标准，或者</w:t>
      </w:r>
      <w:r>
        <w:rPr>
          <w:rFonts w:hint="default" w:ascii="Times New Roman" w:hAnsi="Times New Roman" w:cs="Times New Roman"/>
          <w:color w:val="auto"/>
          <w:highlight w:val="none"/>
          <w:lang w:eastAsia="zh-CN"/>
        </w:rPr>
        <w:t>采购文件</w:t>
      </w:r>
      <w:r>
        <w:rPr>
          <w:rFonts w:hint="default" w:ascii="Times New Roman" w:hAnsi="Times New Roman" w:cs="Times New Roman"/>
          <w:color w:val="auto"/>
          <w:highlight w:val="none"/>
        </w:rPr>
        <w:t>中标</w:t>
      </w:r>
      <w:r>
        <w:rPr>
          <w:rFonts w:hint="eastAsia" w:hAnsi="宋体" w:eastAsia="宋体" w:cs="宋体"/>
          <w:color w:val="auto"/>
          <w:sz w:val="21"/>
          <w:szCs w:val="21"/>
          <w:highlight w:val="none"/>
        </w:rPr>
        <w:t>“▲”</w:t>
      </w:r>
      <w:r>
        <w:rPr>
          <w:rFonts w:hint="default" w:ascii="Times New Roman" w:hAnsi="Times New Roman" w:cs="Times New Roman"/>
          <w:color w:val="auto"/>
          <w:highlight w:val="none"/>
        </w:rPr>
        <w:t>的技术参数、条款（如有）发生实质性偏离的；</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2.3投标技术方案不明确，存在一个或一个以上备选（替代）投标方案的；</w:t>
      </w:r>
    </w:p>
    <w:p>
      <w:pPr>
        <w:ind w:firstLine="42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3.在投标报价文件评审时，如发现下列情形之一的，投标文件将被视为无效响应：</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3.1未采用人民币报价或者未按照</w:t>
      </w:r>
      <w:r>
        <w:rPr>
          <w:rFonts w:hint="default" w:ascii="Times New Roman" w:hAnsi="Times New Roman" w:cs="Times New Roman"/>
          <w:color w:val="auto"/>
          <w:highlight w:val="none"/>
          <w:lang w:eastAsia="zh-CN"/>
        </w:rPr>
        <w:t>采购文件</w:t>
      </w:r>
      <w:r>
        <w:rPr>
          <w:rFonts w:hint="default" w:ascii="Times New Roman" w:hAnsi="Times New Roman" w:cs="Times New Roman"/>
          <w:color w:val="auto"/>
          <w:highlight w:val="none"/>
        </w:rPr>
        <w:t>标明的币种报价的；</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3.2报价超出</w:t>
      </w:r>
      <w:r>
        <w:rPr>
          <w:rFonts w:hint="eastAsia" w:ascii="Times New Roman" w:hAnsi="Times New Roman" w:cs="Times New Roman"/>
          <w:color w:val="auto"/>
          <w:highlight w:val="none"/>
          <w:lang w:eastAsia="zh-CN"/>
        </w:rPr>
        <w:t>项目</w:t>
      </w:r>
      <w:r>
        <w:rPr>
          <w:rFonts w:hint="default" w:ascii="Times New Roman" w:hAnsi="Times New Roman" w:cs="Times New Roman"/>
          <w:color w:val="auto"/>
          <w:highlight w:val="none"/>
        </w:rPr>
        <w:t>最高限价，或者超出采购预算金额，采购人不能支付的；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ind w:firstLine="42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3.3</w:t>
      </w:r>
      <w:r>
        <w:rPr>
          <w:rFonts w:hint="eastAsia" w:ascii="Times New Roman" w:hAnsi="Times New Roman" w:eastAsia="宋体" w:cs="Times New Roman"/>
          <w:color w:val="auto"/>
          <w:highlight w:val="none"/>
        </w:rPr>
        <w:t>有选择或有条件的报价的；</w:t>
      </w:r>
    </w:p>
    <w:p>
      <w:pPr>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3.4报价文件中缺失报价的。</w:t>
      </w:r>
    </w:p>
    <w:p>
      <w:pPr>
        <w:ind w:firstLine="422"/>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4.</w:t>
      </w:r>
      <w:r>
        <w:rPr>
          <w:rFonts w:hint="eastAsia" w:ascii="Times New Roman" w:hAnsi="Times New Roman" w:eastAsia="宋体" w:cs="Times New Roman"/>
          <w:b/>
          <w:bCs/>
          <w:color w:val="auto"/>
          <w:highlight w:val="none"/>
        </w:rPr>
        <w:t>被拒绝的投标文件为无效。</w:t>
      </w:r>
    </w:p>
    <w:p>
      <w:pPr>
        <w:pStyle w:val="8"/>
        <w:numPr>
          <w:ilvl w:val="0"/>
          <w:numId w:val="0"/>
        </w:numPr>
        <w:rPr>
          <w:color w:val="auto"/>
          <w:highlight w:val="none"/>
        </w:rPr>
      </w:pPr>
      <w:r>
        <w:rPr>
          <w:rFonts w:hint="eastAsia"/>
          <w:color w:val="auto"/>
          <w:highlight w:val="none"/>
        </w:rPr>
        <w:t>（</w:t>
      </w:r>
      <w:r>
        <w:rPr>
          <w:rFonts w:hint="eastAsia"/>
          <w:color w:val="auto"/>
          <w:highlight w:val="none"/>
          <w:lang w:eastAsia="zh-CN"/>
        </w:rPr>
        <w:t>九</w:t>
      </w:r>
      <w:r>
        <w:rPr>
          <w:rFonts w:hint="eastAsia"/>
          <w:color w:val="auto"/>
          <w:highlight w:val="none"/>
        </w:rPr>
        <w:t>）出现以下情形，导致电子交易平台无法正常运行，或者无法保证电子交易的公平、公正和安全时，中止电子交易活动：</w:t>
      </w:r>
    </w:p>
    <w:p>
      <w:pPr>
        <w:ind w:firstLine="420"/>
        <w:rPr>
          <w:color w:val="auto"/>
          <w:highlight w:val="none"/>
        </w:rPr>
      </w:pPr>
      <w:r>
        <w:rPr>
          <w:rFonts w:hint="eastAsia"/>
          <w:color w:val="auto"/>
          <w:highlight w:val="none"/>
        </w:rPr>
        <w:t>（1）电子交易平台发生故障而无法登录访问的；</w:t>
      </w:r>
    </w:p>
    <w:p>
      <w:pPr>
        <w:ind w:firstLine="420"/>
        <w:rPr>
          <w:color w:val="auto"/>
          <w:highlight w:val="none"/>
        </w:rPr>
      </w:pPr>
      <w:r>
        <w:rPr>
          <w:rFonts w:hint="eastAsia"/>
          <w:color w:val="auto"/>
          <w:highlight w:val="none"/>
        </w:rPr>
        <w:t>（2）电子交易平台应用或数据库出现错误，不能进行正常操作的；</w:t>
      </w:r>
    </w:p>
    <w:p>
      <w:pPr>
        <w:ind w:firstLine="420"/>
        <w:rPr>
          <w:color w:val="auto"/>
          <w:highlight w:val="none"/>
        </w:rPr>
      </w:pPr>
      <w:r>
        <w:rPr>
          <w:rFonts w:hint="eastAsia"/>
          <w:color w:val="auto"/>
          <w:highlight w:val="none"/>
        </w:rPr>
        <w:t>（3）电子交易平台发现严重安全漏洞，有潜在泄密危险的；</w:t>
      </w:r>
    </w:p>
    <w:p>
      <w:pPr>
        <w:ind w:firstLine="420"/>
        <w:rPr>
          <w:color w:val="auto"/>
          <w:highlight w:val="none"/>
        </w:rPr>
      </w:pPr>
      <w:r>
        <w:rPr>
          <w:rFonts w:hint="eastAsia"/>
          <w:color w:val="auto"/>
          <w:highlight w:val="none"/>
        </w:rPr>
        <w:t>（4）病毒发作导致不能进行正常操作的；</w:t>
      </w:r>
    </w:p>
    <w:p>
      <w:pPr>
        <w:ind w:firstLine="420"/>
        <w:rPr>
          <w:color w:val="auto"/>
          <w:highlight w:val="none"/>
        </w:rPr>
      </w:pPr>
      <w:r>
        <w:rPr>
          <w:rFonts w:hint="eastAsia"/>
          <w:color w:val="auto"/>
          <w:highlight w:val="none"/>
        </w:rPr>
        <w:t>（5）其他无法保证电子交易的公平、公正和安全的情况。</w:t>
      </w:r>
    </w:p>
    <w:p>
      <w:pPr>
        <w:ind w:firstLine="420"/>
        <w:rPr>
          <w:color w:val="auto"/>
          <w:highlight w:val="none"/>
        </w:rPr>
      </w:pPr>
      <w:r>
        <w:rPr>
          <w:rFonts w:hint="eastAsia"/>
          <w:color w:val="auto"/>
          <w:highlight w:val="none"/>
        </w:rPr>
        <w:t>出现前款规定情形，不影响采购公平、公正性的，代理机构可以待上述情形消除后继续组织电子交易活动，也可以决定某些环节以纸质形式进行；影响或可能影响采购公平、公正性的，重新采购。</w:t>
      </w:r>
    </w:p>
    <w:p>
      <w:pPr>
        <w:pStyle w:val="6"/>
        <w:rPr>
          <w:color w:val="auto"/>
          <w:highlight w:val="none"/>
        </w:rPr>
      </w:pPr>
      <w:r>
        <w:rPr>
          <w:rFonts w:hint="eastAsia"/>
          <w:color w:val="auto"/>
          <w:highlight w:val="none"/>
        </w:rPr>
        <w:t>开标</w:t>
      </w:r>
    </w:p>
    <w:p>
      <w:pPr>
        <w:pStyle w:val="14"/>
        <w:snapToGrid w:val="0"/>
        <w:spacing w:line="360" w:lineRule="auto"/>
        <w:ind w:firstLine="422" w:firstLineChars="200"/>
        <w:rPr>
          <w:rFonts w:hint="eastAsia" w:hAnsi="宋体" w:eastAsia="宋体" w:cs="宋体"/>
          <w:b/>
          <w:color w:val="auto"/>
          <w:sz w:val="21"/>
          <w:szCs w:val="21"/>
          <w:highlight w:val="none"/>
        </w:rPr>
      </w:pPr>
      <w:bookmarkStart w:id="7" w:name="_Hlk40358264"/>
      <w:r>
        <w:rPr>
          <w:rFonts w:hint="eastAsia" w:hAnsi="宋体" w:eastAsia="宋体" w:cs="宋体"/>
          <w:b/>
          <w:color w:val="auto"/>
          <w:sz w:val="21"/>
          <w:szCs w:val="21"/>
          <w:highlight w:val="none"/>
        </w:rPr>
        <w:t>（一）开标准备</w:t>
      </w:r>
    </w:p>
    <w:p>
      <w:pPr>
        <w:pStyle w:val="14"/>
        <w:snapToGrid w:val="0"/>
        <w:spacing w:line="360" w:lineRule="auto"/>
        <w:ind w:firstLine="415" w:firstLineChars="198"/>
        <w:rPr>
          <w:rFonts w:hint="eastAsia" w:hAnsi="宋体" w:eastAsia="宋体" w:cs="宋体"/>
          <w:color w:val="auto"/>
          <w:sz w:val="21"/>
          <w:szCs w:val="21"/>
          <w:highlight w:val="none"/>
        </w:rPr>
      </w:pPr>
      <w:r>
        <w:rPr>
          <w:rFonts w:hint="eastAsia" w:hAnsi="宋体" w:eastAsia="宋体" w:cs="宋体"/>
          <w:color w:val="auto"/>
          <w:sz w:val="21"/>
          <w:szCs w:val="21"/>
          <w:highlight w:val="none"/>
        </w:rPr>
        <w:t>采购代理机构将在规定的时间和地点进行开标。本项目不要求</w:t>
      </w:r>
      <w:r>
        <w:rPr>
          <w:rFonts w:hint="eastAsia" w:hAnsi="宋体" w:eastAsia="宋体" w:cs="宋体"/>
          <w:color w:val="auto"/>
          <w:sz w:val="21"/>
          <w:szCs w:val="21"/>
          <w:highlight w:val="none"/>
          <w:lang w:eastAsia="zh-CN"/>
        </w:rPr>
        <w:t>投标人</w:t>
      </w:r>
      <w:r>
        <w:rPr>
          <w:rFonts w:hint="eastAsia" w:hAnsi="宋体" w:eastAsia="宋体" w:cs="宋体"/>
          <w:color w:val="auto"/>
          <w:sz w:val="21"/>
          <w:szCs w:val="21"/>
          <w:highlight w:val="none"/>
        </w:rPr>
        <w:t>授权代表参加现场开标、开启响应文件活动。</w:t>
      </w:r>
    </w:p>
    <w:p>
      <w:pPr>
        <w:pStyle w:val="14"/>
        <w:snapToGrid w:val="0"/>
        <w:spacing w:line="360" w:lineRule="auto"/>
        <w:ind w:firstLine="417" w:firstLineChars="198"/>
        <w:rPr>
          <w:rFonts w:hint="eastAsia" w:hAnsi="宋体" w:eastAsia="宋体" w:cs="宋体"/>
          <w:b/>
          <w:color w:val="auto"/>
          <w:sz w:val="21"/>
          <w:szCs w:val="21"/>
          <w:highlight w:val="none"/>
        </w:rPr>
      </w:pPr>
      <w:r>
        <w:rPr>
          <w:rFonts w:hint="eastAsia" w:hAnsi="宋体" w:eastAsia="宋体" w:cs="宋体"/>
          <w:b/>
          <w:color w:val="auto"/>
          <w:sz w:val="21"/>
          <w:szCs w:val="21"/>
          <w:highlight w:val="none"/>
        </w:rPr>
        <w:t>（二）开标程序</w:t>
      </w:r>
    </w:p>
    <w:p>
      <w:pPr>
        <w:pStyle w:val="14"/>
        <w:snapToGrid w:val="0"/>
        <w:spacing w:line="360" w:lineRule="auto"/>
        <w:ind w:firstLine="415" w:firstLineChars="198"/>
        <w:rPr>
          <w:rFonts w:hint="eastAsia" w:hAnsi="宋体" w:eastAsia="宋体" w:cs="宋体"/>
          <w:color w:val="auto"/>
          <w:sz w:val="21"/>
          <w:szCs w:val="21"/>
          <w:highlight w:val="none"/>
        </w:rPr>
      </w:pPr>
      <w:r>
        <w:rPr>
          <w:rFonts w:hint="eastAsia" w:hAnsi="宋体" w:eastAsia="宋体" w:cs="宋体"/>
          <w:color w:val="auto"/>
          <w:sz w:val="21"/>
          <w:szCs w:val="21"/>
          <w:highlight w:val="none"/>
        </w:rPr>
        <w:t>1、开标会由采购代理机构相关工作人员主持，主持人宣布开标会议开始。</w:t>
      </w:r>
    </w:p>
    <w:p>
      <w:pPr>
        <w:pStyle w:val="14"/>
        <w:snapToGrid w:val="0"/>
        <w:spacing w:line="360" w:lineRule="auto"/>
        <w:ind w:firstLine="415" w:firstLineChars="198"/>
        <w:rPr>
          <w:rFonts w:hint="eastAsia" w:hAnsi="宋体" w:eastAsia="宋体" w:cs="宋体"/>
          <w:color w:val="auto"/>
          <w:sz w:val="21"/>
          <w:szCs w:val="21"/>
          <w:highlight w:val="none"/>
        </w:rPr>
      </w:pPr>
      <w:r>
        <w:rPr>
          <w:rFonts w:hint="eastAsia" w:hAnsi="宋体" w:eastAsia="宋体" w:cs="宋体"/>
          <w:color w:val="auto"/>
          <w:sz w:val="21"/>
          <w:szCs w:val="21"/>
          <w:highlight w:val="none"/>
        </w:rPr>
        <w:t>2、介绍参加开标会的人员名单。</w:t>
      </w:r>
    </w:p>
    <w:p>
      <w:pPr>
        <w:pStyle w:val="14"/>
        <w:snapToGrid w:val="0"/>
        <w:spacing w:line="360" w:lineRule="auto"/>
        <w:ind w:firstLine="415" w:firstLineChars="198"/>
        <w:rPr>
          <w:rFonts w:hint="eastAsia" w:hAnsi="宋体" w:eastAsia="宋体" w:cs="宋体"/>
          <w:color w:val="auto"/>
          <w:sz w:val="21"/>
          <w:szCs w:val="21"/>
          <w:highlight w:val="none"/>
        </w:rPr>
      </w:pPr>
      <w:r>
        <w:rPr>
          <w:rFonts w:hint="eastAsia" w:hAnsi="宋体" w:eastAsia="宋体" w:cs="宋体"/>
          <w:color w:val="auto"/>
          <w:sz w:val="21"/>
          <w:szCs w:val="21"/>
          <w:highlight w:val="none"/>
        </w:rPr>
        <w:t>3、宣布开标纪律和有关事项，告知应当回避的情形，提请有关人员回避。</w:t>
      </w:r>
    </w:p>
    <w:p>
      <w:pPr>
        <w:pStyle w:val="14"/>
        <w:snapToGrid w:val="0"/>
        <w:spacing w:line="360" w:lineRule="auto"/>
        <w:ind w:firstLine="415" w:firstLineChars="198"/>
        <w:rPr>
          <w:rFonts w:hint="eastAsia" w:hAnsi="宋体" w:eastAsia="宋体" w:cs="宋体"/>
          <w:color w:val="auto"/>
          <w:sz w:val="21"/>
          <w:szCs w:val="21"/>
          <w:highlight w:val="none"/>
        </w:rPr>
      </w:pPr>
      <w:r>
        <w:rPr>
          <w:rFonts w:hint="eastAsia" w:hAnsi="宋体" w:eastAsia="宋体" w:cs="宋体"/>
          <w:color w:val="auto"/>
          <w:sz w:val="21"/>
          <w:szCs w:val="21"/>
          <w:highlight w:val="none"/>
          <w:lang w:val="en-US" w:eastAsia="zh-CN"/>
        </w:rPr>
        <w:t>4、</w:t>
      </w:r>
      <w:r>
        <w:rPr>
          <w:rFonts w:hint="eastAsia" w:hAnsi="宋体" w:eastAsia="宋体" w:cs="宋体"/>
          <w:color w:val="auto"/>
          <w:sz w:val="21"/>
          <w:szCs w:val="21"/>
          <w:highlight w:val="none"/>
        </w:rPr>
        <w:t>电子招投标开标及评审程序</w:t>
      </w:r>
      <w:bookmarkEnd w:id="7"/>
    </w:p>
    <w:p>
      <w:pPr>
        <w:pStyle w:val="14"/>
        <w:snapToGrid w:val="0"/>
        <w:spacing w:line="360" w:lineRule="auto"/>
        <w:ind w:firstLine="415" w:firstLineChars="198"/>
        <w:rPr>
          <w:rFonts w:hint="eastAsia" w:hAnsi="宋体" w:eastAsia="宋体" w:cs="宋体"/>
          <w:color w:val="auto"/>
          <w:sz w:val="21"/>
          <w:szCs w:val="21"/>
          <w:highlight w:val="none"/>
        </w:rPr>
      </w:pPr>
      <w:r>
        <w:rPr>
          <w:rFonts w:hint="eastAsia" w:hAnsi="宋体" w:eastAsia="宋体" w:cs="宋体"/>
          <w:color w:val="auto"/>
          <w:sz w:val="21"/>
          <w:szCs w:val="21"/>
          <w:highlight w:val="none"/>
          <w:lang w:val="en-US" w:eastAsia="zh-CN"/>
        </w:rPr>
        <w:t>4.</w:t>
      </w:r>
      <w:r>
        <w:rPr>
          <w:rFonts w:hint="eastAsia" w:hAnsi="宋体" w:eastAsia="宋体" w:cs="宋体"/>
          <w:color w:val="auto"/>
          <w:sz w:val="21"/>
          <w:szCs w:val="21"/>
          <w:highlight w:val="none"/>
        </w:rPr>
        <w:t>1、招标代理机构按照规定的时间通过政采云系统组织开标、开启投标文件，所有投标人均应当准时在线参加。</w:t>
      </w:r>
    </w:p>
    <w:p>
      <w:pPr>
        <w:adjustRightInd w:val="0"/>
        <w:snapToGrid w:val="0"/>
        <w:ind w:firstLine="422"/>
        <w:jc w:val="left"/>
        <w:rPr>
          <w:b/>
          <w:bCs/>
          <w:color w:val="auto"/>
          <w:highlight w:val="none"/>
        </w:rPr>
      </w:pPr>
      <w:r>
        <w:rPr>
          <w:rFonts w:hint="eastAsia"/>
          <w:b/>
          <w:bCs/>
          <w:color w:val="auto"/>
          <w:highlight w:val="none"/>
          <w:lang w:val="en-US" w:eastAsia="zh-CN"/>
        </w:rPr>
        <w:t>4.</w:t>
      </w:r>
      <w:r>
        <w:rPr>
          <w:rFonts w:hint="eastAsia"/>
          <w:b/>
          <w:bCs/>
          <w:color w:val="auto"/>
          <w:highlight w:val="none"/>
        </w:rPr>
        <w:t>2、投标截止时间后，投标人登录政采云平台，用“项目采购-开标评标”功能对电子投标文件进行在线解密。</w:t>
      </w:r>
    </w:p>
    <w:p>
      <w:pPr>
        <w:adjustRightInd w:val="0"/>
        <w:snapToGrid w:val="0"/>
        <w:ind w:firstLine="420"/>
        <w:jc w:val="left"/>
        <w:rPr>
          <w:color w:val="auto"/>
          <w:highlight w:val="none"/>
        </w:rPr>
      </w:pPr>
      <w:r>
        <w:rPr>
          <w:rFonts w:hint="eastAsia"/>
          <w:color w:val="auto"/>
          <w:highlight w:val="none"/>
          <w:lang w:val="en-US" w:eastAsia="zh-CN"/>
        </w:rPr>
        <w:t>4.</w:t>
      </w:r>
      <w:r>
        <w:rPr>
          <w:rFonts w:hint="eastAsia"/>
          <w:color w:val="auto"/>
          <w:highlight w:val="none"/>
        </w:rPr>
        <w:t>3、采购代理机构对投标单位进行资格</w:t>
      </w:r>
      <w:r>
        <w:rPr>
          <w:rFonts w:hint="eastAsia"/>
          <w:color w:val="auto"/>
          <w:highlight w:val="none"/>
          <w:lang w:eastAsia="zh-CN"/>
        </w:rPr>
        <w:t>初审</w:t>
      </w:r>
      <w:r>
        <w:rPr>
          <w:rFonts w:hint="eastAsia"/>
          <w:color w:val="auto"/>
          <w:highlight w:val="none"/>
        </w:rPr>
        <w:t>；</w:t>
      </w:r>
    </w:p>
    <w:p>
      <w:pPr>
        <w:adjustRightInd w:val="0"/>
        <w:snapToGrid w:val="0"/>
        <w:ind w:firstLine="420"/>
        <w:jc w:val="left"/>
        <w:rPr>
          <w:color w:val="auto"/>
          <w:highlight w:val="none"/>
        </w:rPr>
      </w:pPr>
      <w:r>
        <w:rPr>
          <w:rFonts w:hint="eastAsia"/>
          <w:color w:val="auto"/>
          <w:highlight w:val="none"/>
          <w:lang w:val="en-US" w:eastAsia="zh-CN"/>
        </w:rPr>
        <w:t>4.</w:t>
      </w:r>
      <w:r>
        <w:rPr>
          <w:rFonts w:hint="eastAsia"/>
          <w:color w:val="auto"/>
          <w:highlight w:val="none"/>
        </w:rPr>
        <w:t>4、评标委员会对商务技术投标文件进行评审；</w:t>
      </w:r>
    </w:p>
    <w:p>
      <w:pPr>
        <w:adjustRightInd w:val="0"/>
        <w:snapToGrid w:val="0"/>
        <w:ind w:firstLine="420"/>
        <w:jc w:val="left"/>
        <w:rPr>
          <w:color w:val="auto"/>
          <w:highlight w:val="none"/>
        </w:rPr>
      </w:pPr>
      <w:r>
        <w:rPr>
          <w:rFonts w:hint="eastAsia"/>
          <w:color w:val="auto"/>
          <w:highlight w:val="none"/>
          <w:lang w:val="en-US" w:eastAsia="zh-CN"/>
        </w:rPr>
        <w:t>4.</w:t>
      </w:r>
      <w:r>
        <w:rPr>
          <w:rFonts w:hint="eastAsia"/>
          <w:color w:val="auto"/>
          <w:highlight w:val="none"/>
        </w:rPr>
        <w:t>5、在系统上公开资格和商务技术评审结果；</w:t>
      </w:r>
    </w:p>
    <w:p>
      <w:pPr>
        <w:adjustRightInd w:val="0"/>
        <w:snapToGrid w:val="0"/>
        <w:ind w:firstLine="420"/>
        <w:jc w:val="left"/>
        <w:rPr>
          <w:color w:val="auto"/>
          <w:highlight w:val="none"/>
        </w:rPr>
      </w:pPr>
      <w:r>
        <w:rPr>
          <w:rFonts w:hint="eastAsia"/>
          <w:color w:val="auto"/>
          <w:highlight w:val="none"/>
          <w:lang w:val="en-US" w:eastAsia="zh-CN"/>
        </w:rPr>
        <w:t>4.</w:t>
      </w:r>
      <w:r>
        <w:rPr>
          <w:rFonts w:hint="eastAsia"/>
          <w:color w:val="auto"/>
          <w:highlight w:val="none"/>
        </w:rPr>
        <w:t>6、在系统上公开报价开标情况；</w:t>
      </w:r>
    </w:p>
    <w:p>
      <w:pPr>
        <w:adjustRightInd w:val="0"/>
        <w:snapToGrid w:val="0"/>
        <w:ind w:firstLine="420"/>
        <w:jc w:val="left"/>
        <w:rPr>
          <w:color w:val="auto"/>
          <w:highlight w:val="none"/>
        </w:rPr>
      </w:pPr>
      <w:r>
        <w:rPr>
          <w:rFonts w:hint="eastAsia"/>
          <w:color w:val="auto"/>
          <w:highlight w:val="none"/>
          <w:lang w:val="en-US" w:eastAsia="zh-CN"/>
        </w:rPr>
        <w:t>4.</w:t>
      </w:r>
      <w:r>
        <w:rPr>
          <w:rFonts w:hint="eastAsia"/>
          <w:color w:val="auto"/>
          <w:highlight w:val="none"/>
        </w:rPr>
        <w:t>7、评标委员会对报价情况进行评审；</w:t>
      </w:r>
    </w:p>
    <w:p>
      <w:pPr>
        <w:adjustRightInd w:val="0"/>
        <w:snapToGrid w:val="0"/>
        <w:ind w:firstLine="420"/>
        <w:jc w:val="left"/>
        <w:rPr>
          <w:color w:val="auto"/>
          <w:highlight w:val="none"/>
        </w:rPr>
      </w:pPr>
      <w:r>
        <w:rPr>
          <w:rFonts w:hint="eastAsia"/>
          <w:color w:val="auto"/>
          <w:highlight w:val="none"/>
          <w:lang w:val="en-US" w:eastAsia="zh-CN"/>
        </w:rPr>
        <w:t>4.</w:t>
      </w:r>
      <w:r>
        <w:rPr>
          <w:rFonts w:hint="eastAsia"/>
          <w:color w:val="auto"/>
          <w:highlight w:val="none"/>
        </w:rPr>
        <w:t>8、在系统上公布评审结果。</w:t>
      </w:r>
    </w:p>
    <w:p>
      <w:pPr>
        <w:adjustRightInd w:val="0"/>
        <w:snapToGrid w:val="0"/>
        <w:ind w:firstLine="422"/>
        <w:jc w:val="left"/>
        <w:rPr>
          <w:rFonts w:hint="eastAsia"/>
          <w:b/>
          <w:bCs/>
          <w:color w:val="auto"/>
          <w:highlight w:val="none"/>
        </w:rPr>
      </w:pPr>
      <w:r>
        <w:rPr>
          <w:rFonts w:hint="eastAsia"/>
          <w:b/>
          <w:bCs/>
          <w:color w:val="auto"/>
          <w:highlight w:val="none"/>
        </w:rPr>
        <w:t>特别说明：政采云公司如对电子化开标及评审程序有调整的，按调整后的程序操作。</w:t>
      </w:r>
    </w:p>
    <w:p>
      <w:pPr>
        <w:pStyle w:val="14"/>
        <w:snapToGrid w:val="0"/>
        <w:spacing w:line="360" w:lineRule="auto"/>
        <w:ind w:firstLine="417" w:firstLineChars="198"/>
        <w:rPr>
          <w:rFonts w:hint="eastAsia" w:hAnsi="宋体" w:eastAsia="宋体" w:cs="宋体"/>
          <w:b/>
          <w:color w:val="auto"/>
          <w:sz w:val="21"/>
          <w:szCs w:val="21"/>
          <w:highlight w:val="none"/>
        </w:rPr>
      </w:pPr>
      <w:r>
        <w:rPr>
          <w:rFonts w:hint="eastAsia" w:hAnsi="宋体" w:eastAsia="宋体" w:cs="宋体"/>
          <w:b/>
          <w:color w:val="auto"/>
          <w:sz w:val="21"/>
          <w:szCs w:val="21"/>
          <w:highlight w:val="none"/>
        </w:rPr>
        <w:t>5、如遇电子招投标系统故障的，启用备份投标文件</w:t>
      </w:r>
    </w:p>
    <w:p>
      <w:pPr>
        <w:adjustRightInd w:val="0"/>
        <w:snapToGrid w:val="0"/>
        <w:ind w:firstLine="422"/>
        <w:jc w:val="left"/>
        <w:rPr>
          <w:rFonts w:hint="eastAsia"/>
          <w:b/>
          <w:bCs/>
          <w:color w:val="auto"/>
          <w:highlight w:val="none"/>
        </w:rPr>
      </w:pPr>
      <w:r>
        <w:rPr>
          <w:rFonts w:hint="eastAsia" w:ascii="宋体" w:hAnsi="宋体" w:cs="宋体"/>
          <w:b/>
          <w:bCs/>
          <w:color w:val="auto"/>
          <w:szCs w:val="21"/>
          <w:highlight w:val="none"/>
        </w:rPr>
        <w:t>6、本项目原则上采用政采云电子招投标开标及评审程序，但若投标人在规定时间内无法解密或解密失败，采购代理机构将开启未能在规定时间内解密的投标人递交的备份投标文件。</w:t>
      </w:r>
    </w:p>
    <w:p>
      <w:pPr>
        <w:pStyle w:val="6"/>
        <w:rPr>
          <w:color w:val="auto"/>
          <w:highlight w:val="none"/>
        </w:rPr>
      </w:pPr>
      <w:r>
        <w:rPr>
          <w:rFonts w:hint="eastAsia"/>
          <w:color w:val="auto"/>
          <w:highlight w:val="none"/>
        </w:rPr>
        <w:t>评标</w:t>
      </w:r>
    </w:p>
    <w:p>
      <w:pPr>
        <w:pStyle w:val="8"/>
        <w:numPr>
          <w:ilvl w:val="0"/>
          <w:numId w:val="0"/>
        </w:numPr>
        <w:rPr>
          <w:color w:val="auto"/>
          <w:highlight w:val="none"/>
        </w:rPr>
      </w:pPr>
      <w:r>
        <w:rPr>
          <w:rFonts w:hint="eastAsia"/>
          <w:color w:val="auto"/>
          <w:highlight w:val="none"/>
        </w:rPr>
        <w:t>（一）组建评标委员会</w:t>
      </w:r>
    </w:p>
    <w:p>
      <w:pPr>
        <w:ind w:right="-87" w:firstLine="420"/>
        <w:rPr>
          <w:rFonts w:ascii="宋体" w:eastAsia="宋体" w:cs="宋体"/>
          <w:color w:val="auto"/>
          <w:szCs w:val="21"/>
          <w:highlight w:val="none"/>
        </w:rPr>
      </w:pPr>
      <w:r>
        <w:rPr>
          <w:rFonts w:hint="eastAsia" w:ascii="宋体" w:eastAsia="宋体" w:cs="宋体"/>
          <w:color w:val="auto"/>
          <w:szCs w:val="21"/>
          <w:highlight w:val="none"/>
        </w:rPr>
        <w:t>评标委员会由采购人代表和评审专家组成，成员人数为5人以上单数，其中评审专家不少于成员总数的三分之二。</w:t>
      </w:r>
    </w:p>
    <w:p>
      <w:pPr>
        <w:pStyle w:val="8"/>
        <w:numPr>
          <w:ilvl w:val="0"/>
          <w:numId w:val="0"/>
        </w:numPr>
        <w:rPr>
          <w:color w:val="auto"/>
          <w:highlight w:val="none"/>
        </w:rPr>
      </w:pPr>
      <w:r>
        <w:rPr>
          <w:rFonts w:hint="eastAsia"/>
          <w:color w:val="auto"/>
          <w:highlight w:val="none"/>
        </w:rPr>
        <w:t>（二）评标程序</w:t>
      </w:r>
    </w:p>
    <w:p>
      <w:pPr>
        <w:ind w:right="-87" w:firstLine="422"/>
        <w:rPr>
          <w:color w:val="auto"/>
          <w:szCs w:val="21"/>
          <w:highlight w:val="none"/>
        </w:rPr>
      </w:pPr>
      <w:r>
        <w:rPr>
          <w:rFonts w:hint="eastAsia" w:hAnsi="宋体"/>
          <w:b/>
          <w:color w:val="auto"/>
          <w:szCs w:val="21"/>
          <w:highlight w:val="none"/>
        </w:rPr>
        <w:t>1.</w:t>
      </w:r>
      <w:r>
        <w:rPr>
          <w:b/>
          <w:color w:val="auto"/>
          <w:szCs w:val="21"/>
          <w:highlight w:val="none"/>
        </w:rPr>
        <w:t>投标文件初审。</w:t>
      </w:r>
    </w:p>
    <w:p>
      <w:pPr>
        <w:ind w:right="-87" w:firstLine="420"/>
        <w:rPr>
          <w:rFonts w:hAnsi="宋体"/>
          <w:b/>
          <w:color w:val="auto"/>
          <w:szCs w:val="21"/>
          <w:highlight w:val="none"/>
        </w:rPr>
      </w:pPr>
      <w:r>
        <w:rPr>
          <w:color w:val="auto"/>
          <w:szCs w:val="21"/>
          <w:highlight w:val="none"/>
        </w:rPr>
        <w:t>初审分为资格性检查和符合性检查。</w:t>
      </w:r>
    </w:p>
    <w:p>
      <w:pPr>
        <w:adjustRightInd w:val="0"/>
        <w:ind w:firstLine="420"/>
        <w:jc w:val="left"/>
        <w:rPr>
          <w:rFonts w:ascii="Times New Roman" w:hAnsi="Times New Roman"/>
          <w:color w:val="auto"/>
          <w:szCs w:val="21"/>
          <w:highlight w:val="none"/>
        </w:rPr>
      </w:pPr>
      <w:r>
        <w:rPr>
          <w:rFonts w:hint="eastAsia" w:ascii="Times New Roman" w:hAnsi="Times New Roman"/>
          <w:color w:val="auto"/>
          <w:szCs w:val="21"/>
          <w:highlight w:val="none"/>
        </w:rPr>
        <w:t>1.1</w:t>
      </w:r>
      <w:r>
        <w:rPr>
          <w:rFonts w:ascii="Times New Roman" w:hAnsi="Times New Roman"/>
          <w:color w:val="auto"/>
          <w:szCs w:val="21"/>
          <w:highlight w:val="none"/>
        </w:rPr>
        <w:t>资格性检查。依据法律法规和</w:t>
      </w:r>
      <w:r>
        <w:rPr>
          <w:rFonts w:hint="eastAsia" w:ascii="Times New Roman" w:hAnsi="Times New Roman"/>
          <w:color w:val="auto"/>
          <w:szCs w:val="21"/>
          <w:highlight w:val="none"/>
          <w:lang w:eastAsia="zh-CN"/>
        </w:rPr>
        <w:t>采购文件</w:t>
      </w:r>
      <w:r>
        <w:rPr>
          <w:rFonts w:ascii="Times New Roman" w:hAnsi="Times New Roman"/>
          <w:color w:val="auto"/>
          <w:szCs w:val="21"/>
          <w:highlight w:val="none"/>
        </w:rPr>
        <w:t>的规定，对投标文件中的资格证明等进行审查，以确定投标投标人是否具备投标资格。</w:t>
      </w:r>
    </w:p>
    <w:p>
      <w:pPr>
        <w:adjustRightInd w:val="0"/>
        <w:ind w:firstLine="420"/>
        <w:jc w:val="left"/>
        <w:rPr>
          <w:rFonts w:ascii="Times New Roman" w:hAnsi="Times New Roman"/>
          <w:color w:val="auto"/>
          <w:szCs w:val="21"/>
          <w:highlight w:val="none"/>
        </w:rPr>
      </w:pPr>
      <w:r>
        <w:rPr>
          <w:rFonts w:hint="eastAsia" w:ascii="Times New Roman" w:hAnsi="Times New Roman"/>
          <w:color w:val="auto"/>
          <w:szCs w:val="21"/>
          <w:highlight w:val="none"/>
        </w:rPr>
        <w:t>1.2</w:t>
      </w:r>
      <w:r>
        <w:rPr>
          <w:rFonts w:ascii="Times New Roman" w:hAnsi="Times New Roman"/>
          <w:color w:val="auto"/>
          <w:szCs w:val="21"/>
          <w:highlight w:val="none"/>
        </w:rPr>
        <w:t>符合性检查。依据</w:t>
      </w:r>
      <w:r>
        <w:rPr>
          <w:rFonts w:hint="eastAsia" w:ascii="Times New Roman" w:hAnsi="Times New Roman"/>
          <w:color w:val="auto"/>
          <w:szCs w:val="21"/>
          <w:highlight w:val="none"/>
          <w:lang w:eastAsia="zh-CN"/>
        </w:rPr>
        <w:t>采购文件</w:t>
      </w:r>
      <w:r>
        <w:rPr>
          <w:rFonts w:ascii="Times New Roman" w:hAnsi="Times New Roman"/>
          <w:color w:val="auto"/>
          <w:szCs w:val="21"/>
          <w:highlight w:val="none"/>
        </w:rPr>
        <w:t>的规定，从投标文件的有效性、完整性和对</w:t>
      </w:r>
      <w:r>
        <w:rPr>
          <w:rFonts w:hint="eastAsia" w:ascii="Times New Roman" w:hAnsi="Times New Roman"/>
          <w:color w:val="auto"/>
          <w:szCs w:val="21"/>
          <w:highlight w:val="none"/>
          <w:lang w:eastAsia="zh-CN"/>
        </w:rPr>
        <w:t>采购文件</w:t>
      </w:r>
      <w:r>
        <w:rPr>
          <w:rFonts w:ascii="Times New Roman" w:hAnsi="Times New Roman"/>
          <w:color w:val="auto"/>
          <w:szCs w:val="21"/>
          <w:highlight w:val="none"/>
        </w:rPr>
        <w:t>的响应程度进行审查，以确定是否对</w:t>
      </w:r>
      <w:r>
        <w:rPr>
          <w:rFonts w:hint="eastAsia" w:ascii="Times New Roman" w:hAnsi="Times New Roman"/>
          <w:color w:val="auto"/>
          <w:szCs w:val="21"/>
          <w:highlight w:val="none"/>
          <w:lang w:eastAsia="zh-CN"/>
        </w:rPr>
        <w:t>采购文件</w:t>
      </w:r>
      <w:r>
        <w:rPr>
          <w:rFonts w:ascii="Times New Roman" w:hAnsi="Times New Roman"/>
          <w:color w:val="auto"/>
          <w:szCs w:val="21"/>
          <w:highlight w:val="none"/>
        </w:rPr>
        <w:t>的实质性要求作出响应。</w:t>
      </w:r>
    </w:p>
    <w:p>
      <w:pPr>
        <w:ind w:right="-87" w:firstLine="482"/>
        <w:rPr>
          <w:rFonts w:hAnsi="宋体"/>
          <w:b/>
          <w:color w:val="auto"/>
          <w:sz w:val="24"/>
          <w:highlight w:val="none"/>
        </w:rPr>
      </w:pPr>
      <w:r>
        <w:rPr>
          <w:rFonts w:hint="eastAsia" w:hAnsi="宋体"/>
          <w:b/>
          <w:color w:val="auto"/>
          <w:sz w:val="24"/>
          <w:highlight w:val="none"/>
        </w:rPr>
        <w:t>2</w:t>
      </w:r>
      <w:r>
        <w:rPr>
          <w:rFonts w:hint="eastAsia" w:hAnsi="宋体"/>
          <w:b/>
          <w:color w:val="auto"/>
          <w:szCs w:val="21"/>
          <w:highlight w:val="none"/>
        </w:rPr>
        <w:t>.实质审查</w:t>
      </w:r>
    </w:p>
    <w:p>
      <w:pPr>
        <w:ind w:firstLine="420"/>
        <w:rPr>
          <w:rFonts w:hAnsi="宋体"/>
          <w:color w:val="auto"/>
          <w:kern w:val="0"/>
          <w:szCs w:val="21"/>
          <w:highlight w:val="none"/>
        </w:rPr>
      </w:pPr>
      <w:r>
        <w:rPr>
          <w:rFonts w:hint="eastAsia" w:hAnsi="宋体"/>
          <w:color w:val="auto"/>
          <w:kern w:val="0"/>
          <w:szCs w:val="21"/>
          <w:highlight w:val="none"/>
        </w:rPr>
        <w:t>（1）评标委员会审查投标文件的实质性内容是否符合</w:t>
      </w:r>
      <w:r>
        <w:rPr>
          <w:rFonts w:hint="eastAsia" w:hAnsi="宋体"/>
          <w:color w:val="auto"/>
          <w:kern w:val="0"/>
          <w:szCs w:val="21"/>
          <w:highlight w:val="none"/>
          <w:lang w:eastAsia="zh-CN"/>
        </w:rPr>
        <w:t>采购文件</w:t>
      </w:r>
      <w:r>
        <w:rPr>
          <w:rFonts w:hint="eastAsia" w:hAnsi="宋体"/>
          <w:color w:val="auto"/>
          <w:kern w:val="0"/>
          <w:szCs w:val="21"/>
          <w:highlight w:val="none"/>
        </w:rPr>
        <w:t>的实质性要求。</w:t>
      </w:r>
    </w:p>
    <w:p>
      <w:pPr>
        <w:ind w:firstLine="420"/>
        <w:rPr>
          <w:rFonts w:hAnsi="宋体"/>
          <w:color w:val="auto"/>
          <w:kern w:val="0"/>
          <w:szCs w:val="21"/>
          <w:highlight w:val="none"/>
        </w:rPr>
      </w:pPr>
      <w:r>
        <w:rPr>
          <w:rFonts w:hint="eastAsia" w:hAnsi="宋体"/>
          <w:color w:val="auto"/>
          <w:kern w:val="0"/>
          <w:szCs w:val="21"/>
          <w:highlight w:val="none"/>
        </w:rPr>
        <w:t>（2）评标委员会将根据投标人的投标文件进行审查、核对，如有疑问，将对投标人通过电子系统进行询标，投标人向评标委员会澄清有关问题，并最终以电子形式进行答复。投标人拒绝澄清或者澄清的内容改变了投标文件的实质性内容的，评标委员会有权对该投标文件作出不利于投标人的评判。</w:t>
      </w:r>
    </w:p>
    <w:p>
      <w:pPr>
        <w:ind w:firstLine="420"/>
        <w:rPr>
          <w:rFonts w:hint="eastAsia" w:ascii="宋体" w:hAnsi="宋体" w:eastAsia="宋体" w:cs="宋体"/>
          <w:color w:val="auto"/>
          <w:kern w:val="0"/>
          <w:szCs w:val="21"/>
          <w:highlight w:val="none"/>
        </w:rPr>
      </w:pPr>
      <w:r>
        <w:rPr>
          <w:rFonts w:hint="eastAsia" w:hAnsi="宋体"/>
          <w:color w:val="auto"/>
          <w:kern w:val="0"/>
          <w:szCs w:val="21"/>
          <w:highlight w:val="none"/>
        </w:rPr>
        <w:t>（</w:t>
      </w:r>
      <w:r>
        <w:rPr>
          <w:rFonts w:hint="eastAsia" w:ascii="宋体" w:hAnsi="宋体" w:eastAsia="宋体" w:cs="宋体"/>
          <w:color w:val="auto"/>
          <w:kern w:val="0"/>
          <w:szCs w:val="21"/>
          <w:highlight w:val="none"/>
        </w:rPr>
        <w:t>3）各投标人的商务技术得分由指定专人进行计算复核。</w:t>
      </w:r>
    </w:p>
    <w:p>
      <w:pPr>
        <w:ind w:firstLine="42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（4）各投标人报价得分根据评分标准计算。</w:t>
      </w:r>
    </w:p>
    <w:p>
      <w:pPr>
        <w:ind w:firstLine="420"/>
        <w:rPr>
          <w:rFonts w:hAnsi="宋体"/>
          <w:b/>
          <w:color w:val="auto"/>
          <w:szCs w:val="21"/>
          <w:highlight w:val="none"/>
        </w:rPr>
      </w:pPr>
      <w:r>
        <w:rPr>
          <w:rFonts w:hint="eastAsia" w:hAnsi="宋体"/>
          <w:color w:val="auto"/>
          <w:kern w:val="0"/>
          <w:szCs w:val="21"/>
          <w:highlight w:val="none"/>
        </w:rPr>
        <w:t>（5）评标委员会完成评标后，评委对各部分得分汇总，计算出本项目综合评估分。评标委员会</w:t>
      </w:r>
      <w:r>
        <w:rPr>
          <w:rFonts w:hint="eastAsia" w:ascii="宋体" w:hAnsi="宋体" w:eastAsia="宋体" w:cs="宋体"/>
          <w:color w:val="auto"/>
          <w:kern w:val="0"/>
          <w:szCs w:val="21"/>
          <w:highlight w:val="none"/>
        </w:rPr>
        <w:t>按评标原则推荐中标候选人同时起草评审报告。</w:t>
      </w:r>
    </w:p>
    <w:p>
      <w:pPr>
        <w:pStyle w:val="8"/>
        <w:numPr>
          <w:ilvl w:val="0"/>
          <w:numId w:val="0"/>
        </w:numPr>
        <w:rPr>
          <w:color w:val="auto"/>
          <w:highlight w:val="none"/>
        </w:rPr>
      </w:pPr>
      <w:r>
        <w:rPr>
          <w:rFonts w:hint="eastAsia"/>
          <w:color w:val="auto"/>
          <w:highlight w:val="none"/>
        </w:rPr>
        <w:t>（三）澄清问题的形式</w:t>
      </w:r>
    </w:p>
    <w:p>
      <w:pPr>
        <w:ind w:firstLine="420"/>
        <w:rPr>
          <w:rFonts w:hint="eastAsia" w:ascii="宋体" w:eastAsia="宋体" w:cs="宋体"/>
          <w:color w:val="auto"/>
          <w:highlight w:val="none"/>
        </w:rPr>
      </w:pPr>
      <w:r>
        <w:rPr>
          <w:rFonts w:hint="eastAsia"/>
          <w:color w:val="auto"/>
          <w:highlight w:val="none"/>
        </w:rPr>
        <w:t>对投标文件中含义不明确、同类问题表述不一致或者有明显文字和计算错误的内容，评标委员会可要求投标人作出必要的澄清、说明或者纠正。</w:t>
      </w:r>
      <w:r>
        <w:rPr>
          <w:rFonts w:hint="eastAsia" w:ascii="宋体" w:eastAsia="宋体" w:cs="宋体"/>
          <w:color w:val="auto"/>
          <w:highlight w:val="none"/>
        </w:rPr>
        <w:t>投标人的澄清、说明或者补正应当采用书面形式，由其全权代表签字或盖章确认，并不得超出投标文件的范围或者改变投标文件的实质性内容。</w:t>
      </w:r>
    </w:p>
    <w:p>
      <w:pPr>
        <w:pStyle w:val="8"/>
        <w:numPr>
          <w:ilvl w:val="0"/>
          <w:numId w:val="0"/>
        </w:numPr>
        <w:rPr>
          <w:color w:val="auto"/>
          <w:highlight w:val="none"/>
        </w:rPr>
      </w:pPr>
      <w:r>
        <w:rPr>
          <w:rFonts w:hint="eastAsia"/>
          <w:color w:val="auto"/>
          <w:highlight w:val="none"/>
        </w:rPr>
        <w:t>（四）错误修正</w:t>
      </w:r>
    </w:p>
    <w:p>
      <w:pPr>
        <w:pStyle w:val="14"/>
        <w:spacing w:line="360" w:lineRule="auto"/>
        <w:ind w:firstLine="415" w:firstLineChars="198"/>
        <w:rPr>
          <w:rFonts w:hAnsi="宋体" w:eastAsia="宋体" w:cs="宋体"/>
          <w:color w:val="auto"/>
          <w:sz w:val="21"/>
          <w:szCs w:val="21"/>
          <w:highlight w:val="none"/>
        </w:rPr>
      </w:pPr>
      <w:r>
        <w:rPr>
          <w:rFonts w:hint="eastAsia" w:hAnsi="宋体" w:eastAsia="宋体" w:cs="宋体"/>
          <w:color w:val="auto"/>
          <w:sz w:val="21"/>
          <w:szCs w:val="21"/>
          <w:highlight w:val="none"/>
        </w:rPr>
        <w:t>投标文件如果出现计算或表达上的错误，修正错误的原则如下：</w:t>
      </w:r>
    </w:p>
    <w:p>
      <w:pPr>
        <w:ind w:firstLine="420"/>
        <w:rPr>
          <w:color w:val="auto"/>
          <w:highlight w:val="none"/>
        </w:rPr>
      </w:pPr>
      <w:r>
        <w:rPr>
          <w:rFonts w:hint="eastAsia"/>
          <w:color w:val="auto"/>
          <w:highlight w:val="none"/>
        </w:rPr>
        <w:t>1、</w:t>
      </w:r>
      <w:r>
        <w:rPr>
          <w:color w:val="auto"/>
          <w:highlight w:val="none"/>
        </w:rPr>
        <w:t>投标文件中开标一览表内容与投标文件中相应内容不一致的，以开标一览表为准；</w:t>
      </w:r>
    </w:p>
    <w:p>
      <w:pPr>
        <w:ind w:firstLine="420"/>
        <w:rPr>
          <w:color w:val="auto"/>
          <w:highlight w:val="none"/>
        </w:rPr>
      </w:pPr>
      <w:r>
        <w:rPr>
          <w:rFonts w:hint="eastAsia"/>
          <w:color w:val="auto"/>
          <w:highlight w:val="none"/>
        </w:rPr>
        <w:t>2、</w:t>
      </w:r>
      <w:r>
        <w:rPr>
          <w:color w:val="auto"/>
          <w:highlight w:val="none"/>
        </w:rPr>
        <w:t>大写金额和小写金额不一致的，以大写金额为准；</w:t>
      </w:r>
    </w:p>
    <w:p>
      <w:pPr>
        <w:ind w:firstLine="420"/>
        <w:rPr>
          <w:color w:val="auto"/>
          <w:highlight w:val="none"/>
        </w:rPr>
      </w:pPr>
      <w:r>
        <w:rPr>
          <w:rFonts w:hint="eastAsia"/>
          <w:color w:val="auto"/>
          <w:highlight w:val="none"/>
        </w:rPr>
        <w:t>3、</w:t>
      </w:r>
      <w:r>
        <w:rPr>
          <w:color w:val="auto"/>
          <w:highlight w:val="none"/>
        </w:rPr>
        <w:t>单价金额小数点或者百分比有明显错位的，以开标一览表的总价为准，并修改单价；</w:t>
      </w:r>
    </w:p>
    <w:p>
      <w:pPr>
        <w:ind w:firstLine="420"/>
        <w:rPr>
          <w:color w:val="auto"/>
          <w:highlight w:val="none"/>
        </w:rPr>
      </w:pPr>
      <w:r>
        <w:rPr>
          <w:rFonts w:hint="eastAsia"/>
          <w:color w:val="auto"/>
          <w:highlight w:val="none"/>
        </w:rPr>
        <w:t>4、</w:t>
      </w:r>
      <w:r>
        <w:rPr>
          <w:color w:val="auto"/>
          <w:highlight w:val="none"/>
        </w:rPr>
        <w:t>总价金额与按单价汇总金额不一致的，以单价金额计算结果为准。</w:t>
      </w:r>
    </w:p>
    <w:p>
      <w:pPr>
        <w:pStyle w:val="14"/>
        <w:spacing w:line="360" w:lineRule="auto"/>
        <w:ind w:firstLine="415" w:firstLineChars="19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5、电子交易平台客户端里开标一览表录入的信息与投标文件不一致的，以投标文件为准。</w:t>
      </w:r>
    </w:p>
    <w:p>
      <w:pPr>
        <w:ind w:firstLine="42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同时出现两种以上不一致的，按照前款规定的顺序修正。按上</w:t>
      </w:r>
      <w:r>
        <w:rPr>
          <w:rFonts w:hint="eastAsia" w:hAnsi="宋体" w:eastAsia="宋体" w:cs="宋体"/>
          <w:b/>
          <w:color w:val="auto"/>
          <w:sz w:val="21"/>
          <w:szCs w:val="21"/>
          <w:highlight w:val="none"/>
        </w:rPr>
        <w:t>述修正错误的原则及方法调整或修正投标</w:t>
      </w:r>
      <w:r>
        <w:rPr>
          <w:rFonts w:hint="eastAsia" w:ascii="宋体" w:hAnsi="宋体" w:eastAsia="宋体" w:cs="宋体"/>
          <w:b/>
          <w:color w:val="auto"/>
          <w:sz w:val="21"/>
          <w:szCs w:val="21"/>
          <w:highlight w:val="none"/>
        </w:rPr>
        <w:t>文件的投标报价，投标人同意并签字确认后，调整后的投标报价对投标人具有约束作用。如果投标人不接受修正后的报价，则其投标将作为无效投标处理。</w:t>
      </w:r>
    </w:p>
    <w:p>
      <w:pPr>
        <w:pStyle w:val="8"/>
        <w:numPr>
          <w:ilvl w:val="0"/>
          <w:numId w:val="0"/>
        </w:numPr>
        <w:rPr>
          <w:color w:val="auto"/>
          <w:highlight w:val="none"/>
        </w:rPr>
      </w:pPr>
      <w:r>
        <w:rPr>
          <w:rFonts w:hint="eastAsia"/>
          <w:color w:val="auto"/>
          <w:highlight w:val="none"/>
        </w:rPr>
        <w:t>（五）评标原则和评标办法</w:t>
      </w:r>
    </w:p>
    <w:p>
      <w:pPr>
        <w:ind w:firstLine="420"/>
        <w:rPr>
          <w:color w:val="auto"/>
          <w:highlight w:val="none"/>
        </w:rPr>
      </w:pPr>
      <w:r>
        <w:rPr>
          <w:rFonts w:hint="eastAsia"/>
          <w:color w:val="auto"/>
          <w:highlight w:val="none"/>
        </w:rPr>
        <w:t>1.评标委员会必须公平、公正、客观，不带任何倾向性和启发性；不得向外界透露任何与评标有关的内容；任何单位和个人不得干扰、影响评标的正常进行；评标委员会及有关工作人员不得私下与投标人接触。</w:t>
      </w:r>
    </w:p>
    <w:p>
      <w:pPr>
        <w:ind w:firstLine="420"/>
        <w:rPr>
          <w:color w:val="auto"/>
          <w:highlight w:val="none"/>
        </w:rPr>
      </w:pPr>
      <w:r>
        <w:rPr>
          <w:rFonts w:hint="eastAsia"/>
          <w:color w:val="auto"/>
          <w:highlight w:val="none"/>
        </w:rPr>
        <w:t>2.评标办法。本项目评标办法是综合评分法，具体评标内容及评分标准等详见《第四章：评标办法及评分标准》。</w:t>
      </w:r>
    </w:p>
    <w:p>
      <w:pPr>
        <w:pStyle w:val="14"/>
        <w:snapToGrid w:val="0"/>
        <w:spacing w:line="360" w:lineRule="auto"/>
        <w:ind w:firstLine="420" w:firstLineChars="200"/>
        <w:rPr>
          <w:rFonts w:hint="eastAsia" w:hAnsi="宋体" w:eastAsia="宋体" w:cs="宋体"/>
          <w:color w:val="auto"/>
          <w:sz w:val="21"/>
          <w:szCs w:val="21"/>
          <w:highlight w:val="none"/>
        </w:rPr>
      </w:pPr>
      <w:r>
        <w:rPr>
          <w:rFonts w:hint="eastAsia" w:hAnsi="宋体" w:eastAsia="宋体" w:cs="宋体"/>
          <w:color w:val="auto"/>
          <w:sz w:val="21"/>
          <w:szCs w:val="21"/>
          <w:highlight w:val="none"/>
        </w:rPr>
        <w:t>3、《政府采购货物和服务招标投标管理办法》</w:t>
      </w:r>
    </w:p>
    <w:p>
      <w:pPr>
        <w:pStyle w:val="14"/>
        <w:snapToGrid w:val="0"/>
        <w:spacing w:line="360" w:lineRule="auto"/>
        <w:ind w:firstLine="420" w:firstLineChars="200"/>
        <w:rPr>
          <w:rFonts w:hint="eastAsia" w:hAnsi="宋体" w:eastAsia="宋体" w:cs="宋体"/>
          <w:color w:val="auto"/>
          <w:sz w:val="21"/>
          <w:szCs w:val="21"/>
          <w:highlight w:val="none"/>
        </w:rPr>
      </w:pPr>
      <w:r>
        <w:rPr>
          <w:rFonts w:hint="eastAsia" w:hAnsi="宋体" w:eastAsia="宋体" w:cs="宋体"/>
          <w:color w:val="auto"/>
          <w:sz w:val="21"/>
          <w:szCs w:val="21"/>
          <w:highlight w:val="none"/>
        </w:rPr>
        <w:t>第四十三条：公开招标数额标准以上的采购项目，投标截止后投标人不足3家或者通过资格审查或符合性审查的投标人不足3家的，除采购任务取消情形外，按照以下方式处理：</w:t>
      </w:r>
    </w:p>
    <w:p>
      <w:pPr>
        <w:pStyle w:val="14"/>
        <w:snapToGrid w:val="0"/>
        <w:spacing w:line="360" w:lineRule="auto"/>
        <w:ind w:firstLine="420" w:firstLineChars="200"/>
        <w:rPr>
          <w:rFonts w:hint="eastAsia" w:hAnsi="宋体" w:eastAsia="宋体" w:cs="宋体"/>
          <w:color w:val="auto"/>
          <w:sz w:val="21"/>
          <w:szCs w:val="21"/>
          <w:highlight w:val="none"/>
        </w:rPr>
      </w:pPr>
      <w:r>
        <w:rPr>
          <w:rFonts w:hint="eastAsia" w:hAnsi="宋体" w:eastAsia="宋体" w:cs="宋体"/>
          <w:color w:val="auto"/>
          <w:sz w:val="21"/>
          <w:szCs w:val="21"/>
          <w:highlight w:val="none"/>
        </w:rPr>
        <w:t>（一）招标文件存在不合理条款或者招标程序不符合规定的，采购人、采购代理机构改正后依法重新招标；</w:t>
      </w:r>
    </w:p>
    <w:p>
      <w:pPr>
        <w:pStyle w:val="14"/>
        <w:snapToGrid w:val="0"/>
        <w:spacing w:line="360" w:lineRule="auto"/>
        <w:ind w:firstLine="420" w:firstLineChars="200"/>
        <w:rPr>
          <w:rFonts w:hint="eastAsia" w:hAnsi="宋体" w:eastAsia="宋体" w:cs="宋体"/>
          <w:color w:val="auto"/>
          <w:sz w:val="21"/>
          <w:szCs w:val="21"/>
          <w:highlight w:val="none"/>
        </w:rPr>
      </w:pPr>
      <w:r>
        <w:rPr>
          <w:rFonts w:hint="eastAsia" w:hAnsi="宋体" w:eastAsia="宋体" w:cs="宋体"/>
          <w:color w:val="auto"/>
          <w:sz w:val="21"/>
          <w:szCs w:val="21"/>
          <w:highlight w:val="none"/>
        </w:rPr>
        <w:t>（二）招标文件没有不合理条款、招标程序符合规定，需要采用其他采购方式采购的，采购人应当依法报财政部门批准。</w:t>
      </w:r>
    </w:p>
    <w:p>
      <w:pPr>
        <w:pStyle w:val="8"/>
        <w:numPr>
          <w:ilvl w:val="0"/>
          <w:numId w:val="0"/>
        </w:numPr>
        <w:rPr>
          <w:color w:val="auto"/>
          <w:highlight w:val="none"/>
        </w:rPr>
      </w:pPr>
      <w:r>
        <w:rPr>
          <w:rFonts w:hint="eastAsia"/>
          <w:color w:val="auto"/>
          <w:highlight w:val="none"/>
        </w:rPr>
        <w:t>（六）评标过程的监控</w:t>
      </w:r>
    </w:p>
    <w:p>
      <w:pPr>
        <w:ind w:firstLine="420"/>
        <w:rPr>
          <w:color w:val="auto"/>
          <w:highlight w:val="none"/>
        </w:rPr>
      </w:pPr>
      <w:r>
        <w:rPr>
          <w:rFonts w:hint="eastAsia"/>
          <w:color w:val="auto"/>
          <w:highlight w:val="none"/>
        </w:rPr>
        <w:t>本项目评标过程实行全程录音、录像监</w:t>
      </w:r>
      <w:r>
        <w:rPr>
          <w:rFonts w:hint="eastAsia" w:ascii="宋体" w:eastAsia="宋体" w:cs="宋体"/>
          <w:color w:val="auto"/>
          <w:highlight w:val="none"/>
        </w:rPr>
        <w:t>控，投标人在评标过程中所进行的试图影响评标结果的不公正活动，可能导致其投标被拒绝。</w:t>
      </w:r>
    </w:p>
    <w:p>
      <w:pPr>
        <w:pStyle w:val="6"/>
        <w:rPr>
          <w:color w:val="auto"/>
          <w:highlight w:val="none"/>
        </w:rPr>
      </w:pPr>
      <w:r>
        <w:rPr>
          <w:rFonts w:hint="eastAsia"/>
          <w:color w:val="auto"/>
          <w:highlight w:val="none"/>
          <w:lang w:eastAsia="zh-CN"/>
        </w:rPr>
        <w:t>废标</w:t>
      </w:r>
    </w:p>
    <w:p>
      <w:pPr>
        <w:pStyle w:val="14"/>
        <w:snapToGrid w:val="0"/>
        <w:spacing w:line="360" w:lineRule="auto"/>
        <w:ind w:firstLine="420" w:firstLineChars="200"/>
        <w:rPr>
          <w:rFonts w:hint="eastAsia" w:hAnsi="宋体" w:eastAsia="宋体" w:cs="宋体"/>
          <w:color w:val="auto"/>
          <w:sz w:val="21"/>
          <w:szCs w:val="21"/>
          <w:highlight w:val="none"/>
        </w:rPr>
      </w:pPr>
      <w:r>
        <w:rPr>
          <w:rFonts w:hint="eastAsia" w:hAnsi="宋体" w:eastAsia="宋体" w:cs="宋体"/>
          <w:color w:val="auto"/>
          <w:sz w:val="21"/>
          <w:szCs w:val="21"/>
          <w:highlight w:val="none"/>
        </w:rPr>
        <w:t>根据《中华人民共和国政府采购法》第三十六条，出现下列情形之一的，应予以废标：</w:t>
      </w:r>
    </w:p>
    <w:p>
      <w:pPr>
        <w:pStyle w:val="14"/>
        <w:snapToGrid w:val="0"/>
        <w:spacing w:line="360" w:lineRule="auto"/>
        <w:ind w:firstLine="420" w:firstLineChars="200"/>
        <w:rPr>
          <w:rFonts w:hint="eastAsia" w:hAnsi="宋体" w:eastAsia="宋体" w:cs="宋体"/>
          <w:color w:val="auto"/>
          <w:sz w:val="21"/>
          <w:szCs w:val="21"/>
          <w:highlight w:val="none"/>
        </w:rPr>
      </w:pPr>
      <w:r>
        <w:rPr>
          <w:rFonts w:hint="eastAsia" w:hAnsi="宋体" w:eastAsia="宋体" w:cs="宋体"/>
          <w:color w:val="auto"/>
          <w:sz w:val="21"/>
          <w:szCs w:val="21"/>
          <w:highlight w:val="none"/>
        </w:rPr>
        <w:t>1、符合专业条件的供应商或者对招标文件作实质响应的供应商不足三家的；</w:t>
      </w:r>
    </w:p>
    <w:p>
      <w:pPr>
        <w:pStyle w:val="14"/>
        <w:snapToGrid w:val="0"/>
        <w:spacing w:line="360" w:lineRule="auto"/>
        <w:ind w:firstLine="420" w:firstLineChars="200"/>
        <w:rPr>
          <w:rFonts w:hint="eastAsia" w:hAnsi="宋体" w:eastAsia="宋体" w:cs="宋体"/>
          <w:color w:val="auto"/>
          <w:sz w:val="21"/>
          <w:szCs w:val="21"/>
          <w:highlight w:val="none"/>
        </w:rPr>
      </w:pPr>
      <w:r>
        <w:rPr>
          <w:rFonts w:hint="eastAsia" w:hAnsi="宋体" w:eastAsia="宋体" w:cs="宋体"/>
          <w:color w:val="auto"/>
          <w:sz w:val="21"/>
          <w:szCs w:val="21"/>
          <w:highlight w:val="none"/>
        </w:rPr>
        <w:t>2、出现影响采购公正的违法、违规行为的；</w:t>
      </w:r>
    </w:p>
    <w:p>
      <w:pPr>
        <w:pStyle w:val="14"/>
        <w:snapToGrid w:val="0"/>
        <w:spacing w:line="360" w:lineRule="auto"/>
        <w:ind w:firstLine="420" w:firstLineChars="200"/>
        <w:rPr>
          <w:rFonts w:hint="eastAsia" w:hAnsi="宋体" w:eastAsia="宋体" w:cs="宋体"/>
          <w:color w:val="auto"/>
          <w:sz w:val="21"/>
          <w:szCs w:val="21"/>
          <w:highlight w:val="none"/>
        </w:rPr>
      </w:pPr>
      <w:r>
        <w:rPr>
          <w:rFonts w:hint="eastAsia" w:hAnsi="宋体" w:eastAsia="宋体" w:cs="宋体"/>
          <w:color w:val="auto"/>
          <w:sz w:val="21"/>
          <w:szCs w:val="21"/>
          <w:highlight w:val="none"/>
        </w:rPr>
        <w:t>3、投标人的报价均超过了采购预算</w:t>
      </w:r>
      <w:r>
        <w:rPr>
          <w:rFonts w:hint="eastAsia" w:hAnsi="宋体" w:eastAsia="宋体" w:cs="宋体"/>
          <w:color w:val="auto"/>
          <w:sz w:val="21"/>
          <w:szCs w:val="21"/>
          <w:highlight w:val="none"/>
          <w:lang w:eastAsia="zh-CN"/>
        </w:rPr>
        <w:t>（或最高限价）</w:t>
      </w:r>
      <w:r>
        <w:rPr>
          <w:rFonts w:hint="eastAsia" w:hAnsi="宋体" w:eastAsia="宋体" w:cs="宋体"/>
          <w:color w:val="auto"/>
          <w:sz w:val="21"/>
          <w:szCs w:val="21"/>
          <w:highlight w:val="none"/>
        </w:rPr>
        <w:t>，采购人不能支付的；</w:t>
      </w:r>
    </w:p>
    <w:p>
      <w:pPr>
        <w:pStyle w:val="14"/>
        <w:snapToGrid w:val="0"/>
        <w:spacing w:line="360" w:lineRule="auto"/>
        <w:ind w:firstLine="420" w:firstLineChars="200"/>
        <w:rPr>
          <w:rFonts w:hint="eastAsia" w:hAnsi="宋体" w:eastAsia="宋体" w:cs="宋体"/>
          <w:color w:val="auto"/>
          <w:sz w:val="21"/>
          <w:szCs w:val="21"/>
          <w:highlight w:val="none"/>
        </w:rPr>
      </w:pPr>
      <w:r>
        <w:rPr>
          <w:rFonts w:hint="eastAsia" w:hAnsi="宋体" w:eastAsia="宋体" w:cs="宋体"/>
          <w:color w:val="auto"/>
          <w:sz w:val="21"/>
          <w:szCs w:val="21"/>
          <w:highlight w:val="none"/>
        </w:rPr>
        <w:t>4、因重大变故，采购任务取消的。</w:t>
      </w:r>
    </w:p>
    <w:p>
      <w:pPr>
        <w:pStyle w:val="14"/>
        <w:snapToGrid w:val="0"/>
        <w:spacing w:line="360" w:lineRule="auto"/>
        <w:ind w:firstLine="420" w:firstLineChars="200"/>
        <w:rPr>
          <w:rFonts w:hint="eastAsia" w:hAnsi="宋体" w:eastAsia="宋体" w:cs="宋体"/>
          <w:color w:val="auto"/>
          <w:sz w:val="21"/>
          <w:szCs w:val="21"/>
          <w:highlight w:val="none"/>
        </w:rPr>
      </w:pPr>
      <w:r>
        <w:rPr>
          <w:rFonts w:hint="eastAsia" w:hAnsi="宋体" w:eastAsia="宋体" w:cs="宋体"/>
          <w:color w:val="auto"/>
          <w:sz w:val="21"/>
          <w:szCs w:val="21"/>
          <w:highlight w:val="none"/>
        </w:rPr>
        <w:t>废标后，采购人应当将废标理由通知所有投标人，废标后，除采购任务取消情形外，应当重新组织招标。</w:t>
      </w:r>
    </w:p>
    <w:p>
      <w:pPr>
        <w:pStyle w:val="6"/>
        <w:rPr>
          <w:color w:val="auto"/>
          <w:highlight w:val="none"/>
        </w:rPr>
      </w:pPr>
      <w:r>
        <w:rPr>
          <w:rFonts w:hint="eastAsia"/>
          <w:color w:val="auto"/>
          <w:highlight w:val="none"/>
        </w:rPr>
        <w:t>定标</w:t>
      </w:r>
    </w:p>
    <w:p>
      <w:pPr>
        <w:ind w:firstLine="420"/>
        <w:rPr>
          <w:color w:val="auto"/>
          <w:highlight w:val="none"/>
        </w:rPr>
      </w:pPr>
      <w:r>
        <w:rPr>
          <w:rFonts w:hint="eastAsia"/>
          <w:color w:val="auto"/>
          <w:highlight w:val="none"/>
        </w:rPr>
        <w:t>（一）确定中标人。本项目由采购人事先授权</w:t>
      </w:r>
      <w:r>
        <w:rPr>
          <w:rFonts w:hint="eastAsia"/>
          <w:color w:val="auto"/>
          <w:highlight w:val="none"/>
          <w:lang w:eastAsia="zh-CN"/>
        </w:rPr>
        <w:t>评标委员会</w:t>
      </w:r>
      <w:r>
        <w:rPr>
          <w:rFonts w:hint="eastAsia"/>
          <w:color w:val="auto"/>
          <w:highlight w:val="none"/>
        </w:rPr>
        <w:t>确定中标候选人</w:t>
      </w:r>
      <w:r>
        <w:rPr>
          <w:rFonts w:hint="eastAsia"/>
          <w:color w:val="auto"/>
          <w:highlight w:val="none"/>
          <w:lang w:val="en-US" w:eastAsia="zh-CN"/>
        </w:rPr>
        <w:t>3</w:t>
      </w:r>
      <w:r>
        <w:rPr>
          <w:rFonts w:hint="eastAsia"/>
          <w:color w:val="auto"/>
          <w:highlight w:val="none"/>
        </w:rPr>
        <w:t>名。推荐第一名中标候选人为中标人，经采购人确认后，确定项目中标人，同时发布采购结果公告，发出中标通知书。</w:t>
      </w:r>
    </w:p>
    <w:p>
      <w:pPr>
        <w:ind w:firstLine="420"/>
        <w:rPr>
          <w:rFonts w:hint="eastAsia" w:ascii="宋体" w:eastAsia="宋体" w:cs="宋体"/>
          <w:color w:val="auto"/>
          <w:highlight w:val="none"/>
        </w:rPr>
      </w:pPr>
      <w:r>
        <w:rPr>
          <w:rFonts w:hint="eastAsia" w:ascii="宋体" w:eastAsia="宋体" w:cs="宋体"/>
          <w:color w:val="auto"/>
          <w:highlight w:val="none"/>
        </w:rPr>
        <w:t>1.采购代理机构在评标结束后在2个工作日内将评审报告交采购人确认。</w:t>
      </w:r>
    </w:p>
    <w:p>
      <w:pPr>
        <w:ind w:firstLine="420"/>
        <w:rPr>
          <w:rFonts w:hint="eastAsia" w:ascii="宋体" w:eastAsia="宋体" w:cs="宋体"/>
          <w:color w:val="auto"/>
          <w:highlight w:val="none"/>
        </w:rPr>
      </w:pPr>
      <w:r>
        <w:rPr>
          <w:rFonts w:hint="eastAsia" w:ascii="宋体" w:eastAsia="宋体" w:cs="宋体"/>
          <w:color w:val="auto"/>
          <w:highlight w:val="none"/>
        </w:rPr>
        <w:t>2.采购人应当自收到评审报告之日起5个工作日内在评审报告推荐的中标或者成交候选人中按顺序确定中标或者成交供应商。</w:t>
      </w:r>
    </w:p>
    <w:p>
      <w:pPr>
        <w:ind w:firstLine="420"/>
        <w:rPr>
          <w:rFonts w:hint="eastAsia" w:ascii="宋体" w:eastAsia="宋体" w:cs="宋体"/>
          <w:color w:val="auto"/>
          <w:highlight w:val="none"/>
        </w:rPr>
      </w:pPr>
      <w:r>
        <w:rPr>
          <w:rFonts w:hint="eastAsia" w:ascii="宋体" w:eastAsia="宋体" w:cs="宋体"/>
          <w:color w:val="auto"/>
          <w:highlight w:val="none"/>
        </w:rPr>
        <w:t>3.采购代理机构应当自中标、成交供应商确定之日起2个工作日内，发出中标、成交通知书，并在省级以上人民政府财政部门指定的媒体上公告中标、成交结果，招标文件随中标、成交结果同时公告。</w:t>
      </w:r>
    </w:p>
    <w:p>
      <w:pPr>
        <w:ind w:firstLine="420"/>
        <w:rPr>
          <w:color w:val="auto"/>
          <w:highlight w:val="none"/>
        </w:rPr>
      </w:pPr>
      <w:r>
        <w:rPr>
          <w:rFonts w:hint="eastAsia"/>
          <w:color w:val="auto"/>
          <w:highlight w:val="none"/>
        </w:rPr>
        <w:t>（二）中标人因自身原因放弃中标或因不可抗力不能履行合同的；经质疑，招标代理机构审查确认因中标人在本次采购活动中存在违法违规行为或其他原因使质疑成立的，如发生上述两种情况的，采购人可以与排位在中标人之后第一位的中标候选人签订采购合同，</w:t>
      </w:r>
      <w:r>
        <w:rPr>
          <w:rFonts w:hint="eastAsia" w:hAnsi="宋体" w:eastAsia="宋体" w:cs="宋体"/>
          <w:color w:val="auto"/>
          <w:sz w:val="21"/>
          <w:szCs w:val="21"/>
          <w:highlight w:val="none"/>
        </w:rPr>
        <w:t>以此类推</w:t>
      </w:r>
      <w:r>
        <w:rPr>
          <w:rFonts w:hint="eastAsia" w:hAnsi="宋体" w:eastAsia="宋体" w:cs="宋体"/>
          <w:color w:val="auto"/>
          <w:sz w:val="21"/>
          <w:szCs w:val="21"/>
          <w:highlight w:val="none"/>
          <w:lang w:eastAsia="zh-CN"/>
        </w:rPr>
        <w:t>，</w:t>
      </w:r>
      <w:r>
        <w:rPr>
          <w:rFonts w:hint="eastAsia"/>
          <w:color w:val="auto"/>
          <w:highlight w:val="none"/>
        </w:rPr>
        <w:t>也可以重新开展政府采购活动。</w:t>
      </w:r>
    </w:p>
    <w:p>
      <w:pPr>
        <w:pStyle w:val="6"/>
        <w:rPr>
          <w:color w:val="auto"/>
          <w:highlight w:val="none"/>
        </w:rPr>
      </w:pPr>
      <w:r>
        <w:rPr>
          <w:rFonts w:hint="eastAsia"/>
          <w:color w:val="auto"/>
          <w:highlight w:val="none"/>
        </w:rPr>
        <w:t>合同授予</w:t>
      </w:r>
    </w:p>
    <w:p>
      <w:pPr>
        <w:pStyle w:val="8"/>
        <w:numPr>
          <w:ilvl w:val="0"/>
          <w:numId w:val="0"/>
        </w:numPr>
        <w:rPr>
          <w:color w:val="auto"/>
          <w:highlight w:val="none"/>
        </w:rPr>
      </w:pPr>
      <w:r>
        <w:rPr>
          <w:rFonts w:hint="eastAsia"/>
          <w:color w:val="auto"/>
          <w:highlight w:val="none"/>
        </w:rPr>
        <w:t>（一）签订合同</w:t>
      </w:r>
    </w:p>
    <w:p>
      <w:pPr>
        <w:ind w:firstLine="420"/>
        <w:rPr>
          <w:color w:val="auto"/>
          <w:highlight w:val="none"/>
        </w:rPr>
      </w:pPr>
      <w:r>
        <w:rPr>
          <w:rFonts w:hint="eastAsia"/>
          <w:color w:val="auto"/>
          <w:highlight w:val="none"/>
        </w:rPr>
        <w:t>1、中标人应自接到中标通知书后30日内与采购人签订合同。同时，招标代理机构对合同内容进行审查，如发现与采购结果和投标承诺内容不一致的，应予以纠正。</w:t>
      </w:r>
    </w:p>
    <w:p>
      <w:pPr>
        <w:ind w:firstLine="420"/>
        <w:rPr>
          <w:color w:val="auto"/>
          <w:highlight w:val="none"/>
        </w:rPr>
      </w:pPr>
      <w:r>
        <w:rPr>
          <w:rFonts w:hint="eastAsia"/>
          <w:color w:val="auto"/>
          <w:highlight w:val="none"/>
        </w:rPr>
        <w:t>2、中标人拖延、拒签合同的，将上报监管部门并取消中标资格。</w:t>
      </w:r>
    </w:p>
    <w:p>
      <w:pPr>
        <w:ind w:firstLine="420"/>
        <w:rPr>
          <w:color w:val="auto"/>
          <w:highlight w:val="none"/>
        </w:rPr>
      </w:pPr>
      <w:r>
        <w:rPr>
          <w:rFonts w:hint="eastAsia"/>
          <w:color w:val="auto"/>
          <w:highlight w:val="none"/>
        </w:rPr>
        <w:t>3、中标人和采购人签订合同，按合同规定的供货时间供货并安装调试完毕。</w:t>
      </w:r>
    </w:p>
    <w:p>
      <w:pPr>
        <w:ind w:firstLine="420"/>
        <w:rPr>
          <w:color w:val="auto"/>
          <w:highlight w:val="none"/>
        </w:rPr>
      </w:pPr>
      <w:r>
        <w:rPr>
          <w:rFonts w:hint="eastAsia"/>
          <w:color w:val="auto"/>
          <w:highlight w:val="none"/>
        </w:rPr>
        <w:t>4、</w:t>
      </w:r>
      <w:r>
        <w:rPr>
          <w:rFonts w:hint="eastAsia" w:hAnsi="宋体" w:eastAsia="宋体" w:cs="宋体"/>
          <w:color w:val="auto"/>
          <w:sz w:val="21"/>
          <w:szCs w:val="21"/>
          <w:highlight w:val="none"/>
        </w:rPr>
        <w:t>中标或者成交供应商拒绝与采购人签订合同的，采购人可以按照评审报告推荐的中标或者成交候选人名单排序，确定下一候选人为中标或者成交供应商，也可以重新开展政府采购活动</w:t>
      </w:r>
      <w:r>
        <w:rPr>
          <w:rFonts w:hint="eastAsia"/>
          <w:color w:val="auto"/>
          <w:highlight w:val="none"/>
        </w:rPr>
        <w:t>。</w:t>
      </w:r>
    </w:p>
    <w:p>
      <w:pPr>
        <w:pStyle w:val="8"/>
        <w:numPr>
          <w:ilvl w:val="0"/>
          <w:numId w:val="0"/>
        </w:numPr>
        <w:rPr>
          <w:color w:val="auto"/>
          <w:highlight w:val="none"/>
        </w:rPr>
      </w:pPr>
      <w:r>
        <w:rPr>
          <w:rFonts w:hint="eastAsia"/>
          <w:color w:val="auto"/>
          <w:highlight w:val="none"/>
        </w:rPr>
        <w:t>（二）合同公告</w:t>
      </w:r>
    </w:p>
    <w:p>
      <w:pPr>
        <w:ind w:firstLine="420"/>
        <w:rPr>
          <w:color w:val="auto"/>
          <w:highlight w:val="none"/>
        </w:rPr>
      </w:pPr>
      <w:r>
        <w:rPr>
          <w:rFonts w:hint="eastAsia"/>
          <w:color w:val="auto"/>
          <w:highlight w:val="none"/>
        </w:rPr>
        <w:t>采购人应当自政府采购合同签订之日起2个工作日内，将政府采购合同在省级以上人民政府财政部门指定的媒体上公告，但政府采购合同中涉及国家秘密、商业秘密的内容除外。</w:t>
      </w:r>
    </w:p>
    <w:p>
      <w:pPr>
        <w:pStyle w:val="8"/>
        <w:numPr>
          <w:ilvl w:val="0"/>
          <w:numId w:val="0"/>
        </w:numPr>
        <w:rPr>
          <w:rFonts w:hint="eastAsia" w:eastAsia="宋体" w:cs="宋体"/>
          <w:color w:val="auto"/>
          <w:highlight w:val="none"/>
        </w:rPr>
      </w:pPr>
      <w:r>
        <w:rPr>
          <w:rFonts w:hint="eastAsia" w:eastAsia="宋体" w:cs="宋体"/>
          <w:color w:val="auto"/>
          <w:highlight w:val="none"/>
        </w:rPr>
        <w:t>（</w:t>
      </w:r>
      <w:r>
        <w:rPr>
          <w:rFonts w:hint="eastAsia" w:eastAsia="宋体" w:cs="宋体"/>
          <w:color w:val="auto"/>
          <w:highlight w:val="none"/>
          <w:lang w:val="en-US" w:eastAsia="zh-CN"/>
        </w:rPr>
        <w:t>三</w:t>
      </w:r>
      <w:r>
        <w:rPr>
          <w:rFonts w:hint="eastAsia" w:eastAsia="宋体" w:cs="宋体"/>
          <w:color w:val="auto"/>
          <w:highlight w:val="none"/>
        </w:rPr>
        <w:t>）履约保证金</w:t>
      </w:r>
    </w:p>
    <w:p>
      <w:pPr>
        <w:ind w:firstLine="420"/>
        <w:rPr>
          <w:rFonts w:hint="eastAsia" w:ascii="宋体" w:eastAsia="宋体" w:cs="宋体"/>
          <w:color w:val="auto"/>
          <w:highlight w:val="none"/>
        </w:rPr>
      </w:pPr>
      <w:r>
        <w:rPr>
          <w:rFonts w:hint="eastAsia" w:ascii="宋体" w:eastAsia="宋体" w:cs="宋体"/>
          <w:color w:val="auto"/>
          <w:highlight w:val="none"/>
        </w:rPr>
        <w:t>1．中标人应按采购代理机构根据</w:t>
      </w:r>
      <w:r>
        <w:rPr>
          <w:rFonts w:hint="eastAsia" w:ascii="宋体" w:eastAsia="宋体" w:cs="宋体"/>
          <w:color w:val="auto"/>
          <w:highlight w:val="none"/>
          <w:lang w:eastAsia="zh-CN"/>
        </w:rPr>
        <w:t>采购</w:t>
      </w:r>
      <w:r>
        <w:rPr>
          <w:rFonts w:hint="eastAsia" w:ascii="宋体" w:eastAsia="宋体" w:cs="宋体"/>
          <w:color w:val="auto"/>
          <w:highlight w:val="none"/>
        </w:rPr>
        <w:t>文件确定的履约保证金的金额，向采购人交纳履约保证金。</w:t>
      </w:r>
    </w:p>
    <w:p>
      <w:pPr>
        <w:ind w:firstLine="420"/>
        <w:rPr>
          <w:rFonts w:hint="eastAsia" w:ascii="宋体" w:eastAsia="宋体" w:cs="宋体"/>
          <w:color w:val="auto"/>
          <w:highlight w:val="none"/>
        </w:rPr>
      </w:pPr>
      <w:r>
        <w:rPr>
          <w:rFonts w:hint="eastAsia" w:ascii="宋体" w:eastAsia="宋体" w:cs="宋体"/>
          <w:color w:val="auto"/>
          <w:highlight w:val="none"/>
        </w:rPr>
        <w:t>2．签订合同后，如中标人不按双方合同约定履约，则履约保证金作为违约赔偿金不予返还，履约保证金不足以赔偿损失的，按实际损失赔偿。</w:t>
      </w:r>
      <w:bookmarkStart w:id="8" w:name="_Toc16492"/>
      <w:bookmarkStart w:id="9" w:name="_Toc6008"/>
      <w:bookmarkStart w:id="10" w:name="_Toc493058323"/>
      <w:bookmarkStart w:id="11" w:name="_Toc495957621"/>
    </w:p>
    <w:p>
      <w:pPr>
        <w:pStyle w:val="8"/>
        <w:numPr>
          <w:ilvl w:val="0"/>
          <w:numId w:val="0"/>
        </w:numPr>
        <w:rPr>
          <w:rFonts w:hint="eastAsia" w:eastAsia="宋体" w:cs="宋体"/>
          <w:color w:val="auto"/>
          <w:highlight w:val="none"/>
        </w:rPr>
      </w:pPr>
      <w:r>
        <w:rPr>
          <w:rFonts w:hint="eastAsia" w:eastAsia="宋体" w:cs="宋体"/>
          <w:color w:val="auto"/>
          <w:highlight w:val="none"/>
        </w:rPr>
        <w:t>（</w:t>
      </w:r>
      <w:r>
        <w:rPr>
          <w:rFonts w:hint="eastAsia" w:eastAsia="宋体" w:cs="宋体"/>
          <w:color w:val="auto"/>
          <w:highlight w:val="none"/>
          <w:lang w:val="en-US" w:eastAsia="zh-CN"/>
        </w:rPr>
        <w:t>四</w:t>
      </w:r>
      <w:r>
        <w:rPr>
          <w:rFonts w:hint="eastAsia" w:eastAsia="宋体" w:cs="宋体"/>
          <w:color w:val="auto"/>
          <w:highlight w:val="none"/>
        </w:rPr>
        <w:t>）履约验收</w:t>
      </w:r>
      <w:bookmarkEnd w:id="8"/>
      <w:bookmarkEnd w:id="9"/>
      <w:bookmarkEnd w:id="10"/>
      <w:bookmarkEnd w:id="11"/>
    </w:p>
    <w:p>
      <w:pPr>
        <w:ind w:firstLine="420"/>
        <w:rPr>
          <w:rFonts w:hint="eastAsia" w:ascii="宋体" w:eastAsia="宋体" w:cs="宋体"/>
          <w:color w:val="auto"/>
          <w:highlight w:val="none"/>
        </w:rPr>
      </w:pPr>
      <w:r>
        <w:rPr>
          <w:rFonts w:hint="eastAsia" w:ascii="宋体" w:eastAsia="宋体" w:cs="宋体"/>
          <w:color w:val="auto"/>
          <w:highlight w:val="none"/>
        </w:rPr>
        <w:t>采购人负责对中标人的履约行为进行验收。</w:t>
      </w:r>
      <w:r>
        <w:rPr>
          <w:rFonts w:hint="eastAsia" w:ascii="宋体" w:eastAsia="宋体" w:cs="宋体"/>
          <w:color w:val="auto"/>
          <w:highlight w:val="none"/>
        </w:rPr>
        <w:br w:type="page"/>
      </w:r>
    </w:p>
    <w:p>
      <w:pPr>
        <w:pStyle w:val="5"/>
        <w:spacing w:after="156"/>
        <w:rPr>
          <w:color w:val="auto"/>
          <w:highlight w:val="none"/>
        </w:rPr>
      </w:pPr>
      <w:bookmarkStart w:id="12" w:name="_Toc72432386"/>
      <w:r>
        <w:rPr>
          <w:rFonts w:hint="eastAsia"/>
          <w:color w:val="auto"/>
          <w:highlight w:val="none"/>
        </w:rPr>
        <w:t>评标办法及评分标准</w:t>
      </w:r>
      <w:bookmarkEnd w:id="12"/>
    </w:p>
    <w:p>
      <w:pPr>
        <w:ind w:firstLine="420"/>
        <w:rPr>
          <w:color w:val="auto"/>
          <w:highlight w:val="none"/>
        </w:rPr>
      </w:pPr>
      <w:r>
        <w:rPr>
          <w:rFonts w:hint="eastAsia"/>
          <w:color w:val="auto"/>
          <w:highlight w:val="none"/>
        </w:rPr>
        <w:t>为公正、公平、科学地选择</w:t>
      </w:r>
      <w:r>
        <w:rPr>
          <w:rFonts w:hint="eastAsia"/>
          <w:color w:val="auto"/>
          <w:highlight w:val="none"/>
          <w:lang w:eastAsia="zh-CN"/>
        </w:rPr>
        <w:t>中标</w:t>
      </w:r>
      <w:r>
        <w:rPr>
          <w:rFonts w:hint="eastAsia"/>
          <w:color w:val="auto"/>
          <w:highlight w:val="none"/>
        </w:rPr>
        <w:t>人，根据《中华人民共和国政府采购法》等有关法律法规的规定，并结合本项目的实际，制定本办法，本办法适用本项目的评标。</w:t>
      </w:r>
    </w:p>
    <w:p>
      <w:pPr>
        <w:pStyle w:val="8"/>
        <w:numPr>
          <w:ilvl w:val="0"/>
          <w:numId w:val="0"/>
        </w:numPr>
        <w:rPr>
          <w:color w:val="auto"/>
          <w:highlight w:val="none"/>
        </w:rPr>
      </w:pPr>
      <w:r>
        <w:rPr>
          <w:rFonts w:hint="eastAsia"/>
          <w:color w:val="auto"/>
          <w:highlight w:val="none"/>
        </w:rPr>
        <w:t>一</w:t>
      </w:r>
      <w:r>
        <w:rPr>
          <w:rFonts w:hint="eastAsia"/>
          <w:color w:val="auto"/>
          <w:highlight w:val="none"/>
          <w:lang w:eastAsia="zh-CN"/>
        </w:rPr>
        <w:t>、</w:t>
      </w:r>
      <w:r>
        <w:rPr>
          <w:rFonts w:hint="eastAsia"/>
          <w:color w:val="auto"/>
          <w:highlight w:val="none"/>
        </w:rPr>
        <w:t>中标候选人的选取</w:t>
      </w:r>
    </w:p>
    <w:p>
      <w:pPr>
        <w:ind w:firstLine="420"/>
        <w:rPr>
          <w:bCs/>
          <w:color w:val="auto"/>
          <w:highlight w:val="none"/>
        </w:rPr>
      </w:pPr>
      <w:r>
        <w:rPr>
          <w:rFonts w:hint="eastAsia"/>
          <w:bCs/>
          <w:color w:val="auto"/>
          <w:highlight w:val="none"/>
        </w:rPr>
        <w:t>将</w:t>
      </w:r>
      <w:r>
        <w:rPr>
          <w:rFonts w:hint="eastAsia"/>
          <w:color w:val="auto"/>
          <w:szCs w:val="21"/>
          <w:highlight w:val="none"/>
        </w:rPr>
        <w:t>合格投标人的</w:t>
      </w:r>
      <w:r>
        <w:rPr>
          <w:rFonts w:hint="eastAsia"/>
          <w:bCs/>
          <w:color w:val="auto"/>
          <w:highlight w:val="none"/>
        </w:rPr>
        <w:t>综合评估</w:t>
      </w:r>
      <w:r>
        <w:rPr>
          <w:rFonts w:hint="eastAsia"/>
          <w:bCs/>
          <w:color w:val="auto"/>
          <w:highlight w:val="none"/>
          <w:lang w:eastAsia="zh-CN"/>
        </w:rPr>
        <w:t>得</w:t>
      </w:r>
      <w:r>
        <w:rPr>
          <w:rFonts w:hint="eastAsia"/>
          <w:bCs/>
          <w:color w:val="auto"/>
          <w:highlight w:val="none"/>
        </w:rPr>
        <w:t>分</w:t>
      </w:r>
      <w:r>
        <w:rPr>
          <w:rFonts w:hint="eastAsia"/>
          <w:bCs/>
          <w:color w:val="auto"/>
          <w:highlight w:val="none"/>
          <w:lang w:eastAsia="zh-CN"/>
        </w:rPr>
        <w:t>由</w:t>
      </w:r>
      <w:r>
        <w:rPr>
          <w:rFonts w:hint="eastAsia"/>
          <w:bCs/>
          <w:color w:val="auto"/>
          <w:highlight w:val="none"/>
        </w:rPr>
        <w:t>高到低排序，得出</w:t>
      </w:r>
      <w:r>
        <w:rPr>
          <w:rFonts w:hint="eastAsia"/>
          <w:bCs/>
          <w:color w:val="auto"/>
          <w:highlight w:val="none"/>
          <w:lang w:eastAsia="zh-CN"/>
        </w:rPr>
        <w:t>各</w:t>
      </w:r>
      <w:r>
        <w:rPr>
          <w:rFonts w:hint="eastAsia"/>
          <w:bCs/>
          <w:color w:val="auto"/>
          <w:highlight w:val="none"/>
        </w:rPr>
        <w:t>投标人名次</w:t>
      </w:r>
      <w:r>
        <w:rPr>
          <w:rFonts w:hint="eastAsia"/>
          <w:bCs/>
          <w:color w:val="auto"/>
          <w:highlight w:val="none"/>
          <w:lang w:eastAsia="zh-CN"/>
        </w:rPr>
        <w:t>；</w:t>
      </w:r>
      <w:r>
        <w:rPr>
          <w:rFonts w:hint="eastAsia"/>
          <w:color w:val="auto"/>
          <w:szCs w:val="21"/>
          <w:highlight w:val="none"/>
        </w:rPr>
        <w:t>得分相同的，按投标报价由低到高顺序排列；得分且投标报价相同的，按</w:t>
      </w:r>
      <w:r>
        <w:rPr>
          <w:rFonts w:hint="eastAsia"/>
          <w:color w:val="auto"/>
          <w:szCs w:val="21"/>
          <w:highlight w:val="none"/>
          <w:lang w:eastAsia="zh-CN"/>
        </w:rPr>
        <w:t>商务技术</w:t>
      </w:r>
      <w:r>
        <w:rPr>
          <w:rFonts w:hint="eastAsia"/>
          <w:color w:val="auto"/>
          <w:szCs w:val="21"/>
          <w:highlight w:val="none"/>
        </w:rPr>
        <w:t>得分由高到低顺序排列。排名第一的投标人为中标候选人</w:t>
      </w:r>
      <w:r>
        <w:rPr>
          <w:rFonts w:hint="eastAsia"/>
          <w:color w:val="auto"/>
          <w:szCs w:val="21"/>
          <w:highlight w:val="none"/>
          <w:lang w:eastAsia="zh-CN"/>
        </w:rPr>
        <w:t>，</w:t>
      </w:r>
      <w:r>
        <w:rPr>
          <w:rFonts w:hint="eastAsia"/>
          <w:color w:val="auto"/>
          <w:szCs w:val="21"/>
          <w:highlight w:val="none"/>
        </w:rPr>
        <w:t>排名第二的投标人为候补中标候选人……其他投标人中标候选资格依此类推。</w:t>
      </w:r>
    </w:p>
    <w:p>
      <w:pPr>
        <w:pStyle w:val="8"/>
        <w:numPr>
          <w:ilvl w:val="0"/>
          <w:numId w:val="0"/>
        </w:numPr>
        <w:rPr>
          <w:color w:val="auto"/>
          <w:highlight w:val="none"/>
        </w:rPr>
      </w:pPr>
      <w:r>
        <w:rPr>
          <w:rFonts w:hint="eastAsia"/>
          <w:color w:val="auto"/>
          <w:highlight w:val="none"/>
        </w:rPr>
        <w:t>二</w:t>
      </w:r>
      <w:r>
        <w:rPr>
          <w:rFonts w:hint="eastAsia"/>
          <w:color w:val="auto"/>
          <w:highlight w:val="none"/>
          <w:lang w:eastAsia="zh-CN"/>
        </w:rPr>
        <w:t>、中标</w:t>
      </w:r>
      <w:r>
        <w:rPr>
          <w:rFonts w:hint="eastAsia"/>
          <w:color w:val="auto"/>
          <w:highlight w:val="none"/>
        </w:rPr>
        <w:t>人选取依据</w:t>
      </w:r>
    </w:p>
    <w:p>
      <w:pPr>
        <w:ind w:firstLine="420"/>
        <w:rPr>
          <w:color w:val="auto"/>
          <w:highlight w:val="none"/>
        </w:rPr>
      </w:pPr>
      <w:r>
        <w:rPr>
          <w:rFonts w:hint="eastAsia"/>
          <w:color w:val="auto"/>
          <w:highlight w:val="none"/>
        </w:rPr>
        <w:t>评审小组根据综合评估分得分排序，推荐第一名中标候选人为中标人，经采购人确认后，确定项目中标人，同时发布采购结果公告，发出中标通知书。</w:t>
      </w:r>
    </w:p>
    <w:p>
      <w:pPr>
        <w:ind w:firstLine="420"/>
        <w:rPr>
          <w:color w:val="auto"/>
          <w:highlight w:val="none"/>
        </w:rPr>
      </w:pPr>
      <w:r>
        <w:rPr>
          <w:rFonts w:hint="eastAsia"/>
          <w:color w:val="auto"/>
          <w:highlight w:val="none"/>
        </w:rPr>
        <w:t>中标人拒绝与采购人签订合同的，采购人可以按照评标报告推荐的中标</w:t>
      </w:r>
      <w:r>
        <w:rPr>
          <w:rFonts w:hint="eastAsia"/>
          <w:color w:val="auto"/>
          <w:highlight w:val="none"/>
          <w:lang w:eastAsia="zh-CN"/>
        </w:rPr>
        <w:t>候选人</w:t>
      </w:r>
      <w:r>
        <w:rPr>
          <w:rFonts w:hint="eastAsia"/>
          <w:color w:val="auto"/>
          <w:highlight w:val="none"/>
        </w:rPr>
        <w:t>名单排序，确定下一候选人为中标人，也可以重新开展政府采购活动。</w:t>
      </w:r>
    </w:p>
    <w:p>
      <w:pPr>
        <w:pStyle w:val="8"/>
        <w:numPr>
          <w:ilvl w:val="0"/>
          <w:numId w:val="0"/>
        </w:numPr>
        <w:rPr>
          <w:color w:val="auto"/>
          <w:highlight w:val="none"/>
        </w:rPr>
      </w:pPr>
      <w:r>
        <w:rPr>
          <w:rFonts w:hint="eastAsia"/>
          <w:color w:val="auto"/>
          <w:highlight w:val="none"/>
        </w:rPr>
        <w:t>三</w:t>
      </w:r>
      <w:r>
        <w:rPr>
          <w:rFonts w:hint="eastAsia"/>
          <w:color w:val="auto"/>
          <w:highlight w:val="none"/>
          <w:lang w:eastAsia="zh-CN"/>
        </w:rPr>
        <w:t>、</w:t>
      </w:r>
      <w:r>
        <w:rPr>
          <w:rFonts w:hint="eastAsia"/>
          <w:color w:val="auto"/>
          <w:highlight w:val="none"/>
        </w:rPr>
        <w:t>综合评估分计分方法</w:t>
      </w:r>
    </w:p>
    <w:p>
      <w:pPr>
        <w:ind w:firstLine="420"/>
        <w:rPr>
          <w:color w:val="auto"/>
          <w:highlight w:val="none"/>
        </w:rPr>
      </w:pPr>
      <w:r>
        <w:rPr>
          <w:rFonts w:hint="eastAsia"/>
          <w:color w:val="auto"/>
          <w:highlight w:val="none"/>
        </w:rPr>
        <w:t>分值权重分配如下：</w:t>
      </w:r>
    </w:p>
    <w:tbl>
      <w:tblPr>
        <w:tblStyle w:val="26"/>
        <w:tblW w:w="8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7"/>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387" w:type="dxa"/>
            <w:vAlign w:val="center"/>
          </w:tcPr>
          <w:p>
            <w:pPr>
              <w:pStyle w:val="47"/>
              <w:rPr>
                <w:color w:val="auto"/>
                <w:highlight w:val="none"/>
              </w:rPr>
            </w:pPr>
            <w:r>
              <w:rPr>
                <w:rFonts w:hint="eastAsia"/>
                <w:color w:val="auto"/>
                <w:highlight w:val="none"/>
                <w:lang w:val="zh-CN"/>
              </w:rPr>
              <w:t>评价指标</w:t>
            </w:r>
          </w:p>
        </w:tc>
        <w:tc>
          <w:tcPr>
            <w:tcW w:w="2693" w:type="dxa"/>
            <w:vAlign w:val="center"/>
          </w:tcPr>
          <w:p>
            <w:pPr>
              <w:pStyle w:val="47"/>
              <w:rPr>
                <w:color w:val="auto"/>
                <w:highlight w:val="none"/>
              </w:rPr>
            </w:pPr>
            <w:r>
              <w:rPr>
                <w:rFonts w:hint="eastAsia"/>
                <w:color w:val="auto"/>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387" w:type="dxa"/>
            <w:vAlign w:val="center"/>
          </w:tcPr>
          <w:p>
            <w:pPr>
              <w:pStyle w:val="47"/>
              <w:rPr>
                <w:color w:val="auto"/>
                <w:highlight w:val="none"/>
              </w:rPr>
            </w:pPr>
            <w:r>
              <w:rPr>
                <w:rFonts w:hint="eastAsia"/>
                <w:color w:val="auto"/>
                <w:highlight w:val="none"/>
              </w:rPr>
              <w:t>投标报价部分</w:t>
            </w:r>
          </w:p>
        </w:tc>
        <w:tc>
          <w:tcPr>
            <w:tcW w:w="2693" w:type="dxa"/>
            <w:vAlign w:val="center"/>
          </w:tcPr>
          <w:p>
            <w:pPr>
              <w:pStyle w:val="47"/>
              <w:rPr>
                <w:rFonts w:hint="default" w:eastAsia="宋体"/>
                <w:color w:val="auto"/>
                <w:highlight w:val="none"/>
                <w:lang w:val="en-US" w:eastAsia="zh-CN"/>
              </w:rPr>
            </w:pPr>
            <w:r>
              <w:rPr>
                <w:rFonts w:hint="eastAsia"/>
                <w:color w:val="auto"/>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387" w:type="dxa"/>
            <w:vAlign w:val="center"/>
          </w:tcPr>
          <w:p>
            <w:pPr>
              <w:pStyle w:val="47"/>
              <w:rPr>
                <w:color w:val="auto"/>
                <w:highlight w:val="none"/>
              </w:rPr>
            </w:pPr>
            <w:r>
              <w:rPr>
                <w:rFonts w:hint="eastAsia"/>
                <w:color w:val="auto"/>
                <w:highlight w:val="none"/>
              </w:rPr>
              <w:t>商务技术部分</w:t>
            </w:r>
          </w:p>
        </w:tc>
        <w:tc>
          <w:tcPr>
            <w:tcW w:w="2693" w:type="dxa"/>
            <w:vAlign w:val="center"/>
          </w:tcPr>
          <w:p>
            <w:pPr>
              <w:pStyle w:val="47"/>
              <w:rPr>
                <w:rFonts w:hint="default" w:eastAsia="宋体"/>
                <w:color w:val="auto"/>
                <w:highlight w:val="none"/>
                <w:lang w:val="en-US" w:eastAsia="zh-CN"/>
              </w:rPr>
            </w:pPr>
            <w:r>
              <w:rPr>
                <w:rFonts w:hint="eastAsia"/>
                <w:color w:val="auto"/>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387" w:type="dxa"/>
            <w:vAlign w:val="center"/>
          </w:tcPr>
          <w:p>
            <w:pPr>
              <w:pStyle w:val="47"/>
              <w:rPr>
                <w:color w:val="auto"/>
                <w:highlight w:val="none"/>
              </w:rPr>
            </w:pPr>
            <w:r>
              <w:rPr>
                <w:rFonts w:hint="eastAsia"/>
                <w:color w:val="auto"/>
                <w:highlight w:val="none"/>
              </w:rPr>
              <w:t>合计</w:t>
            </w:r>
          </w:p>
        </w:tc>
        <w:tc>
          <w:tcPr>
            <w:tcW w:w="2693" w:type="dxa"/>
            <w:vAlign w:val="center"/>
          </w:tcPr>
          <w:p>
            <w:pPr>
              <w:pStyle w:val="47"/>
              <w:rPr>
                <w:color w:val="auto"/>
                <w:highlight w:val="none"/>
              </w:rPr>
            </w:pPr>
            <w:r>
              <w:rPr>
                <w:color w:val="auto"/>
                <w:highlight w:val="none"/>
              </w:rPr>
              <w:t>100</w:t>
            </w:r>
          </w:p>
        </w:tc>
      </w:tr>
    </w:tbl>
    <w:p>
      <w:pPr>
        <w:ind w:firstLine="420"/>
        <w:rPr>
          <w:rFonts w:hint="eastAsia"/>
          <w:color w:val="auto"/>
          <w:highlight w:val="none"/>
        </w:rPr>
      </w:pPr>
      <w:r>
        <w:rPr>
          <w:rFonts w:hint="eastAsia"/>
          <w:color w:val="auto"/>
          <w:highlight w:val="none"/>
        </w:rPr>
        <w:t>在评分时，各投标人投标报价得分在计算中均保留小数点后二位，第三位四舍五入。评审专家打分准确到小数点后一位，商务技术部分得分为所有评委评分的算术平均值，得分保留小数点后二位，</w:t>
      </w:r>
      <w:r>
        <w:rPr>
          <w:rFonts w:hint="eastAsia"/>
          <w:b/>
          <w:bCs/>
          <w:color w:val="auto"/>
          <w:highlight w:val="none"/>
        </w:rPr>
        <w:t>综合评估分得分=商务技术部分得分＋投标报价得分。</w:t>
      </w:r>
    </w:p>
    <w:p>
      <w:pPr>
        <w:pStyle w:val="8"/>
        <w:numPr>
          <w:ilvl w:val="0"/>
          <w:numId w:val="0"/>
        </w:numPr>
        <w:rPr>
          <w:color w:val="auto"/>
          <w:highlight w:val="none"/>
        </w:rPr>
      </w:pPr>
      <w:r>
        <w:rPr>
          <w:rFonts w:hint="eastAsia"/>
          <w:color w:val="auto"/>
          <w:highlight w:val="none"/>
        </w:rPr>
        <w:t>四</w:t>
      </w:r>
      <w:r>
        <w:rPr>
          <w:rFonts w:hint="eastAsia"/>
          <w:color w:val="auto"/>
          <w:highlight w:val="none"/>
          <w:lang w:eastAsia="zh-CN"/>
        </w:rPr>
        <w:t>、</w:t>
      </w:r>
      <w:r>
        <w:rPr>
          <w:rFonts w:hint="eastAsia"/>
          <w:color w:val="auto"/>
          <w:highlight w:val="none"/>
        </w:rPr>
        <w:t>评标内容及标准</w:t>
      </w:r>
    </w:p>
    <w:p>
      <w:pPr>
        <w:ind w:firstLine="422"/>
        <w:rPr>
          <w:b/>
          <w:bCs/>
          <w:color w:val="auto"/>
          <w:highlight w:val="none"/>
        </w:rPr>
      </w:pPr>
      <w:bookmarkStart w:id="13" w:name="_Hlk45703311"/>
      <w:r>
        <w:rPr>
          <w:rFonts w:hint="eastAsia"/>
          <w:b/>
          <w:bCs/>
          <w:color w:val="auto"/>
          <w:highlight w:val="none"/>
        </w:rPr>
        <w:t>4</w:t>
      </w:r>
      <w:r>
        <w:rPr>
          <w:b/>
          <w:bCs/>
          <w:color w:val="auto"/>
          <w:highlight w:val="none"/>
        </w:rPr>
        <w:t>.1</w:t>
      </w:r>
      <w:r>
        <w:rPr>
          <w:rFonts w:hint="eastAsia"/>
          <w:b/>
          <w:bCs/>
          <w:color w:val="auto"/>
          <w:highlight w:val="none"/>
        </w:rPr>
        <w:t>资格审查</w:t>
      </w:r>
    </w:p>
    <w:p>
      <w:pPr>
        <w:ind w:firstLine="420"/>
        <w:rPr>
          <w:color w:val="auto"/>
          <w:highlight w:val="none"/>
        </w:rPr>
      </w:pPr>
      <w:r>
        <w:rPr>
          <w:rFonts w:hint="eastAsia"/>
          <w:color w:val="auto"/>
          <w:highlight w:val="none"/>
        </w:rPr>
        <w:t>采购代理机构根据</w:t>
      </w:r>
      <w:r>
        <w:rPr>
          <w:rFonts w:hint="eastAsia"/>
          <w:color w:val="auto"/>
          <w:highlight w:val="none"/>
          <w:lang w:eastAsia="zh-CN"/>
        </w:rPr>
        <w:t>采购文件</w:t>
      </w:r>
      <w:r>
        <w:rPr>
          <w:rFonts w:hint="eastAsia"/>
          <w:color w:val="auto"/>
          <w:highlight w:val="none"/>
        </w:rPr>
        <w:t>载明的资格审查内容对各投标人</w:t>
      </w:r>
      <w:r>
        <w:rPr>
          <w:rFonts w:hint="eastAsia"/>
          <w:color w:val="auto"/>
          <w:highlight w:val="none"/>
          <w:lang w:eastAsia="zh-CN"/>
        </w:rPr>
        <w:t>的</w:t>
      </w:r>
      <w:r>
        <w:rPr>
          <w:rFonts w:hint="eastAsia"/>
          <w:color w:val="auto"/>
          <w:highlight w:val="none"/>
        </w:rPr>
        <w:t>资格</w:t>
      </w:r>
      <w:r>
        <w:rPr>
          <w:rFonts w:hint="eastAsia"/>
          <w:color w:val="auto"/>
          <w:highlight w:val="none"/>
          <w:lang w:eastAsia="zh-CN"/>
        </w:rPr>
        <w:t>进行</w:t>
      </w:r>
      <w:r>
        <w:rPr>
          <w:rFonts w:hint="eastAsia"/>
          <w:color w:val="auto"/>
          <w:highlight w:val="none"/>
        </w:rPr>
        <w:t>评审。各投标人应完全满足</w:t>
      </w:r>
      <w:r>
        <w:rPr>
          <w:rFonts w:hint="eastAsia"/>
          <w:color w:val="auto"/>
          <w:highlight w:val="none"/>
          <w:lang w:eastAsia="zh-CN"/>
        </w:rPr>
        <w:t>采购文件</w:t>
      </w:r>
      <w:r>
        <w:rPr>
          <w:rFonts w:hint="eastAsia"/>
          <w:color w:val="auto"/>
          <w:highlight w:val="none"/>
        </w:rPr>
        <w:t>载明的资格审查内容要求，否则经采购代理机构评审该投标人将作资格审查不合格处理。</w:t>
      </w:r>
      <w:r>
        <w:rPr>
          <w:rFonts w:hint="eastAsia"/>
          <w:b/>
          <w:bCs/>
          <w:color w:val="auto"/>
          <w:highlight w:val="none"/>
        </w:rPr>
        <w:t>资格审查不合格的投标人视为无效投标，不再进入技术标和商务标评审</w:t>
      </w:r>
      <w:r>
        <w:rPr>
          <w:rFonts w:hint="eastAsia"/>
          <w:color w:val="auto"/>
          <w:highlight w:val="none"/>
        </w:rPr>
        <w:t>。如通过资格审查部分评审的投标人少于3个时，评标不再继续，视为本次招标失败。</w:t>
      </w:r>
    </w:p>
    <w:p>
      <w:pPr>
        <w:ind w:firstLine="422"/>
        <w:jc w:val="center"/>
        <w:rPr>
          <w:rFonts w:hint="eastAsia"/>
          <w:b/>
          <w:bCs/>
          <w:color w:val="auto"/>
          <w:highlight w:val="none"/>
        </w:rPr>
      </w:pPr>
      <w:r>
        <w:rPr>
          <w:rFonts w:hint="eastAsia"/>
          <w:b/>
          <w:bCs/>
          <w:color w:val="auto"/>
          <w:highlight w:val="none"/>
        </w:rPr>
        <w:t>资格审查内容</w:t>
      </w:r>
    </w:p>
    <w:tbl>
      <w:tblPr>
        <w:tblStyle w:val="26"/>
        <w:tblpPr w:leftFromText="180" w:rightFromText="180" w:vertAnchor="text" w:tblpXSpec="center" w:tblpY="1"/>
        <w:tblOverlap w:val="never"/>
        <w:tblW w:w="9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4713"/>
        <w:gridCol w:w="3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753" w:type="dxa"/>
            <w:noWrap w:val="0"/>
            <w:vAlign w:val="center"/>
          </w:tcPr>
          <w:p>
            <w:pPr>
              <w:spacing w:line="360" w:lineRule="exact"/>
              <w:ind w:firstLine="0" w:firstLineChars="0"/>
              <w:rPr>
                <w:rFonts w:hAnsi="宋体" w:cs="宋体"/>
                <w:b/>
                <w:color w:val="auto"/>
                <w:szCs w:val="21"/>
                <w:highlight w:val="none"/>
              </w:rPr>
            </w:pPr>
            <w:r>
              <w:rPr>
                <w:rFonts w:hint="eastAsia" w:hAnsi="宋体" w:cs="宋体"/>
                <w:b/>
                <w:color w:val="auto"/>
                <w:szCs w:val="21"/>
                <w:highlight w:val="none"/>
              </w:rPr>
              <w:t>序号</w:t>
            </w:r>
          </w:p>
        </w:tc>
        <w:tc>
          <w:tcPr>
            <w:tcW w:w="4713" w:type="dxa"/>
            <w:tcBorders>
              <w:tl2br w:val="single" w:color="auto" w:sz="4" w:space="0"/>
            </w:tcBorders>
            <w:noWrap w:val="0"/>
            <w:vAlign w:val="center"/>
          </w:tcPr>
          <w:p>
            <w:pPr>
              <w:spacing w:line="360" w:lineRule="exact"/>
              <w:ind w:firstLine="422"/>
              <w:jc w:val="right"/>
              <w:rPr>
                <w:rFonts w:hAnsi="宋体" w:cs="宋体"/>
                <w:b/>
                <w:color w:val="auto"/>
                <w:szCs w:val="21"/>
                <w:highlight w:val="none"/>
              </w:rPr>
            </w:pPr>
            <w:r>
              <w:rPr>
                <w:rFonts w:hint="eastAsia" w:hAnsi="宋体" w:cs="宋体"/>
                <w:b/>
                <w:color w:val="auto"/>
                <w:szCs w:val="21"/>
                <w:highlight w:val="none"/>
              </w:rPr>
              <w:t>投标人</w:t>
            </w:r>
          </w:p>
          <w:p>
            <w:pPr>
              <w:spacing w:line="360" w:lineRule="exact"/>
              <w:rPr>
                <w:rFonts w:hAnsi="宋体" w:cs="宋体"/>
                <w:b/>
                <w:color w:val="auto"/>
                <w:szCs w:val="21"/>
                <w:highlight w:val="none"/>
              </w:rPr>
            </w:pPr>
            <w:r>
              <w:rPr>
                <w:rFonts w:hint="eastAsia" w:hAnsi="宋体" w:cs="宋体"/>
                <w:b/>
                <w:color w:val="auto"/>
                <w:szCs w:val="21"/>
                <w:highlight w:val="none"/>
                <w:lang w:eastAsia="zh-CN"/>
              </w:rPr>
              <w:t>审查</w:t>
            </w:r>
            <w:r>
              <w:rPr>
                <w:rFonts w:hint="eastAsia" w:hAnsi="宋体" w:cs="宋体"/>
                <w:b/>
                <w:color w:val="auto"/>
                <w:szCs w:val="21"/>
                <w:highlight w:val="none"/>
              </w:rPr>
              <w:t>内容</w:t>
            </w:r>
          </w:p>
        </w:tc>
        <w:tc>
          <w:tcPr>
            <w:tcW w:w="3955" w:type="dxa"/>
            <w:noWrap w:val="0"/>
            <w:vAlign w:val="center"/>
          </w:tcPr>
          <w:p>
            <w:pPr>
              <w:spacing w:line="360" w:lineRule="exact"/>
              <w:ind w:firstLine="422"/>
              <w:jc w:val="center"/>
              <w:rPr>
                <w:rFonts w:hAnsi="宋体" w:cs="宋体"/>
                <w:b/>
                <w:color w:val="auto"/>
                <w:szCs w:val="21"/>
                <w:highlight w:val="none"/>
              </w:rPr>
            </w:pPr>
            <w:r>
              <w:rPr>
                <w:rFonts w:hint="eastAsia" w:hAnsi="宋体" w:cs="宋体"/>
                <w:b/>
                <w:color w:val="auto"/>
                <w:szCs w:val="21"/>
                <w:highlight w:val="none"/>
              </w:rPr>
              <w:t>审核标准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753" w:type="dxa"/>
            <w:noWrap w:val="0"/>
            <w:vAlign w:val="center"/>
          </w:tcPr>
          <w:p>
            <w:pPr>
              <w:spacing w:line="360" w:lineRule="exact"/>
              <w:ind w:firstLine="0" w:firstLineChars="0"/>
              <w:jc w:val="center"/>
              <w:rPr>
                <w:rFonts w:hAnsi="宋体" w:cs="宋体"/>
                <w:color w:val="auto"/>
                <w:szCs w:val="21"/>
                <w:highlight w:val="none"/>
              </w:rPr>
            </w:pPr>
            <w:r>
              <w:rPr>
                <w:rFonts w:hint="eastAsia" w:hAnsi="宋体" w:cs="宋体"/>
                <w:color w:val="auto"/>
                <w:szCs w:val="21"/>
                <w:highlight w:val="none"/>
              </w:rPr>
              <w:t>1</w:t>
            </w:r>
          </w:p>
        </w:tc>
        <w:tc>
          <w:tcPr>
            <w:tcW w:w="4713" w:type="dxa"/>
            <w:noWrap w:val="0"/>
            <w:vAlign w:val="center"/>
          </w:tcPr>
          <w:p>
            <w:pPr>
              <w:keepNext w:val="0"/>
              <w:keepLines w:val="0"/>
              <w:pageBreakBefore w:val="0"/>
              <w:kinsoku/>
              <w:wordWrap/>
              <w:overflowPunct/>
              <w:topLinePunct w:val="0"/>
              <w:autoSpaceDE/>
              <w:autoSpaceDN/>
              <w:bidi w:val="0"/>
              <w:spacing w:line="400" w:lineRule="exact"/>
              <w:ind w:firstLine="0" w:firstLineChars="0"/>
              <w:jc w:val="both"/>
              <w:textAlignment w:val="auto"/>
              <w:rPr>
                <w:rFonts w:hAnsi="宋体" w:cs="宋体"/>
                <w:color w:val="auto"/>
                <w:szCs w:val="21"/>
                <w:highlight w:val="none"/>
              </w:rPr>
            </w:pPr>
            <w:r>
              <w:rPr>
                <w:rFonts w:hint="eastAsia" w:ascii="宋体" w:hAnsi="宋体"/>
                <w:color w:val="auto"/>
                <w:szCs w:val="24"/>
                <w:highlight w:val="none"/>
                <w:lang w:eastAsia="zh-CN"/>
              </w:rPr>
              <w:t>投标人“多证合一”的营业执照</w:t>
            </w:r>
            <w:r>
              <w:rPr>
                <w:rFonts w:hint="eastAsia" w:ascii="宋体" w:hAnsi="宋体"/>
                <w:color w:val="auto"/>
                <w:szCs w:val="24"/>
                <w:highlight w:val="none"/>
                <w:lang w:val="en-US" w:eastAsia="zh-CN"/>
              </w:rPr>
              <w:t>或事业单位法人证书</w:t>
            </w:r>
          </w:p>
        </w:tc>
        <w:tc>
          <w:tcPr>
            <w:tcW w:w="3955" w:type="dxa"/>
            <w:noWrap w:val="0"/>
            <w:vAlign w:val="center"/>
          </w:tcPr>
          <w:p>
            <w:pPr>
              <w:tabs>
                <w:tab w:val="left" w:pos="0"/>
              </w:tabs>
              <w:spacing w:line="360" w:lineRule="exact"/>
              <w:ind w:firstLine="0" w:firstLineChars="0"/>
              <w:jc w:val="center"/>
              <w:rPr>
                <w:rFonts w:hAnsi="宋体" w:cs="宋体"/>
                <w:color w:val="auto"/>
                <w:szCs w:val="21"/>
                <w:highlight w:val="none"/>
              </w:rPr>
            </w:pPr>
            <w:r>
              <w:rPr>
                <w:rFonts w:hint="eastAsia" w:hAnsi="宋体" w:cs="宋体"/>
                <w:color w:val="auto"/>
                <w:szCs w:val="21"/>
                <w:highlight w:val="none"/>
              </w:rPr>
              <w:t>提供营业执照或事业单位法人证书</w:t>
            </w:r>
            <w:r>
              <w:rPr>
                <w:rFonts w:hint="eastAsia" w:hAnsi="宋体" w:cs="宋体"/>
                <w:color w:val="auto"/>
                <w:szCs w:val="21"/>
                <w:highlight w:val="none"/>
                <w:lang w:eastAsia="zh-CN"/>
              </w:rPr>
              <w:t>复印件或</w:t>
            </w:r>
            <w:r>
              <w:rPr>
                <w:rFonts w:hint="eastAsia" w:hAnsi="宋体" w:cs="宋体"/>
                <w:color w:val="auto"/>
                <w:szCs w:val="21"/>
                <w:highlight w:val="none"/>
              </w:rPr>
              <w:t>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753" w:type="dxa"/>
            <w:noWrap w:val="0"/>
            <w:vAlign w:val="center"/>
          </w:tcPr>
          <w:p>
            <w:pPr>
              <w:spacing w:line="360" w:lineRule="exact"/>
              <w:ind w:firstLine="0" w:firstLineChars="0"/>
              <w:jc w:val="center"/>
              <w:rPr>
                <w:rFonts w:hAnsi="宋体" w:cs="宋体"/>
                <w:color w:val="auto"/>
                <w:szCs w:val="21"/>
                <w:highlight w:val="none"/>
              </w:rPr>
            </w:pPr>
            <w:r>
              <w:rPr>
                <w:rFonts w:hint="eastAsia" w:hAnsi="宋体" w:cs="宋体"/>
                <w:color w:val="auto"/>
                <w:szCs w:val="21"/>
                <w:highlight w:val="none"/>
              </w:rPr>
              <w:t>2</w:t>
            </w:r>
          </w:p>
        </w:tc>
        <w:tc>
          <w:tcPr>
            <w:tcW w:w="4713" w:type="dxa"/>
            <w:noWrap w:val="0"/>
            <w:vAlign w:val="center"/>
          </w:tcPr>
          <w:p>
            <w:pPr>
              <w:keepNext w:val="0"/>
              <w:keepLines w:val="0"/>
              <w:pageBreakBefore w:val="0"/>
              <w:kinsoku/>
              <w:wordWrap/>
              <w:overflowPunct/>
              <w:topLinePunct w:val="0"/>
              <w:autoSpaceDE/>
              <w:autoSpaceDN/>
              <w:bidi w:val="0"/>
              <w:spacing w:line="400" w:lineRule="exact"/>
              <w:ind w:firstLine="0" w:firstLineChars="0"/>
              <w:jc w:val="both"/>
              <w:textAlignment w:val="auto"/>
              <w:rPr>
                <w:rFonts w:hAnsi="宋体" w:cs="宋体"/>
                <w:color w:val="auto"/>
                <w:szCs w:val="21"/>
                <w:highlight w:val="none"/>
              </w:rPr>
            </w:pPr>
            <w:r>
              <w:rPr>
                <w:rFonts w:hint="eastAsia" w:ascii="宋体" w:eastAsia="宋体" w:cs="宋体"/>
                <w:color w:val="auto"/>
                <w:highlight w:val="none"/>
              </w:rPr>
              <w:t>具备《中华人民共和国政府采购法》第二十二条规定的条件</w:t>
            </w:r>
          </w:p>
        </w:tc>
        <w:tc>
          <w:tcPr>
            <w:tcW w:w="3955" w:type="dxa"/>
            <w:noWrap w:val="0"/>
            <w:vAlign w:val="center"/>
          </w:tcPr>
          <w:p>
            <w:pPr>
              <w:tabs>
                <w:tab w:val="left" w:pos="0"/>
              </w:tabs>
              <w:spacing w:line="360" w:lineRule="exact"/>
              <w:ind w:firstLine="0" w:firstLineChars="0"/>
              <w:jc w:val="center"/>
              <w:rPr>
                <w:rFonts w:hAnsi="宋体" w:cs="宋体"/>
                <w:color w:val="auto"/>
                <w:szCs w:val="21"/>
                <w:highlight w:val="none"/>
              </w:rPr>
            </w:pPr>
            <w:r>
              <w:rPr>
                <w:rFonts w:hint="eastAsia" w:hAnsi="宋体" w:cs="宋体"/>
                <w:color w:val="auto"/>
                <w:szCs w:val="21"/>
                <w:highlight w:val="none"/>
              </w:rPr>
              <w:t>提供《</w:t>
            </w:r>
            <w:r>
              <w:rPr>
                <w:rFonts w:hint="eastAsia" w:hAnsi="宋体" w:cs="宋体"/>
                <w:color w:val="auto"/>
                <w:szCs w:val="21"/>
                <w:highlight w:val="none"/>
                <w:lang w:eastAsia="zh-CN"/>
              </w:rPr>
              <w:t>资格承诺</w:t>
            </w:r>
            <w:r>
              <w:rPr>
                <w:rFonts w:hint="eastAsia" w:hAnsi="宋体" w:cs="宋体"/>
                <w:color w:val="auto"/>
                <w:szCs w:val="21"/>
                <w:highlight w:val="none"/>
              </w:rPr>
              <w:t>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753" w:type="dxa"/>
            <w:noWrap w:val="0"/>
            <w:vAlign w:val="center"/>
          </w:tcPr>
          <w:p>
            <w:pPr>
              <w:spacing w:line="360" w:lineRule="exact"/>
              <w:ind w:firstLine="0" w:firstLineChars="0"/>
              <w:jc w:val="center"/>
              <w:rPr>
                <w:rFonts w:hAnsi="宋体" w:cs="宋体"/>
                <w:color w:val="auto"/>
                <w:szCs w:val="21"/>
                <w:highlight w:val="none"/>
              </w:rPr>
            </w:pPr>
            <w:r>
              <w:rPr>
                <w:rFonts w:hint="eastAsia" w:hAnsi="宋体" w:cs="宋体"/>
                <w:color w:val="auto"/>
                <w:szCs w:val="21"/>
                <w:highlight w:val="none"/>
              </w:rPr>
              <w:t>3</w:t>
            </w:r>
          </w:p>
        </w:tc>
        <w:tc>
          <w:tcPr>
            <w:tcW w:w="4713" w:type="dxa"/>
            <w:noWrap w:val="0"/>
            <w:vAlign w:val="center"/>
          </w:tcPr>
          <w:p>
            <w:pPr>
              <w:keepNext w:val="0"/>
              <w:keepLines w:val="0"/>
              <w:pageBreakBefore w:val="0"/>
              <w:kinsoku/>
              <w:wordWrap/>
              <w:overflowPunct/>
              <w:topLinePunct w:val="0"/>
              <w:autoSpaceDE/>
              <w:autoSpaceDN/>
              <w:bidi w:val="0"/>
              <w:spacing w:line="400" w:lineRule="exact"/>
              <w:ind w:firstLine="0" w:firstLineChars="0"/>
              <w:jc w:val="both"/>
              <w:textAlignment w:val="auto"/>
              <w:rPr>
                <w:rFonts w:hint="eastAsia" w:ascii="Times New Roman" w:hAnsi="宋体" w:eastAsia="宋体" w:cs="宋体"/>
                <w:color w:val="auto"/>
                <w:kern w:val="2"/>
                <w:sz w:val="21"/>
                <w:szCs w:val="21"/>
                <w:highlight w:val="none"/>
                <w:lang w:val="en-US" w:eastAsia="zh-CN" w:bidi="ar-SA"/>
              </w:rPr>
            </w:pPr>
            <w:r>
              <w:rPr>
                <w:rFonts w:hint="eastAsia" w:ascii="Times New Roman" w:hAnsi="宋体" w:eastAsia="宋体" w:cs="宋体"/>
                <w:color w:val="auto"/>
                <w:szCs w:val="21"/>
                <w:highlight w:val="none"/>
              </w:rPr>
              <w:t>未被信用中国（www.creditchina.gov.cn）、中国政府采购网（www.ccgp.gov.cn）列入失信被执行人、重大税收违法案件当事人名单、政府采购严重违法失信行为记录名单</w:t>
            </w:r>
          </w:p>
        </w:tc>
        <w:tc>
          <w:tcPr>
            <w:tcW w:w="3955" w:type="dxa"/>
            <w:noWrap w:val="0"/>
            <w:vAlign w:val="center"/>
          </w:tcPr>
          <w:p>
            <w:pPr>
              <w:tabs>
                <w:tab w:val="left" w:pos="0"/>
              </w:tabs>
              <w:spacing w:line="36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hAnsi="宋体" w:cs="宋体"/>
                <w:color w:val="auto"/>
                <w:szCs w:val="21"/>
                <w:highlight w:val="none"/>
              </w:rPr>
              <w:t>提供《</w:t>
            </w:r>
            <w:r>
              <w:rPr>
                <w:rFonts w:hint="eastAsia" w:hAnsi="宋体" w:cs="宋体"/>
                <w:color w:val="auto"/>
                <w:szCs w:val="21"/>
                <w:highlight w:val="none"/>
                <w:lang w:eastAsia="zh-CN"/>
              </w:rPr>
              <w:t>资格承诺</w:t>
            </w:r>
            <w:r>
              <w:rPr>
                <w:rFonts w:hint="eastAsia" w:hAnsi="宋体" w:cs="宋体"/>
                <w:color w:val="auto"/>
                <w:szCs w:val="21"/>
                <w:highlight w:val="none"/>
              </w:rPr>
              <w:t>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jc w:val="center"/>
        </w:trPr>
        <w:tc>
          <w:tcPr>
            <w:tcW w:w="753" w:type="dxa"/>
            <w:noWrap w:val="0"/>
            <w:vAlign w:val="center"/>
          </w:tcPr>
          <w:p>
            <w:pPr>
              <w:spacing w:line="360" w:lineRule="exact"/>
              <w:ind w:firstLine="0" w:firstLineChars="0"/>
              <w:jc w:val="center"/>
              <w:rPr>
                <w:rFonts w:hAnsi="宋体" w:cs="宋体"/>
                <w:color w:val="auto"/>
                <w:szCs w:val="21"/>
                <w:highlight w:val="none"/>
              </w:rPr>
            </w:pPr>
            <w:r>
              <w:rPr>
                <w:rFonts w:hint="eastAsia" w:hAnsi="宋体" w:cs="宋体"/>
                <w:color w:val="auto"/>
                <w:szCs w:val="21"/>
                <w:highlight w:val="none"/>
              </w:rPr>
              <w:t>4</w:t>
            </w:r>
          </w:p>
        </w:tc>
        <w:tc>
          <w:tcPr>
            <w:tcW w:w="4713" w:type="dxa"/>
            <w:noWrap w:val="0"/>
            <w:vAlign w:val="center"/>
          </w:tcPr>
          <w:p>
            <w:pPr>
              <w:keepNext w:val="0"/>
              <w:keepLines w:val="0"/>
              <w:pageBreakBefore w:val="0"/>
              <w:kinsoku/>
              <w:wordWrap/>
              <w:overflowPunct/>
              <w:topLinePunct w:val="0"/>
              <w:autoSpaceDE/>
              <w:autoSpaceDN/>
              <w:bidi w:val="0"/>
              <w:spacing w:line="400" w:lineRule="exact"/>
              <w:ind w:firstLine="0" w:firstLineChars="0"/>
              <w:jc w:val="both"/>
              <w:textAlignment w:val="auto"/>
              <w:rPr>
                <w:rFonts w:hint="eastAsia" w:ascii="Times New Roman" w:hAnsi="宋体" w:eastAsia="宋体" w:cs="宋体"/>
                <w:color w:val="auto"/>
                <w:kern w:val="2"/>
                <w:sz w:val="21"/>
                <w:szCs w:val="21"/>
                <w:highlight w:val="none"/>
                <w:lang w:val="en-US" w:eastAsia="zh-CN" w:bidi="ar-SA"/>
              </w:rPr>
            </w:pPr>
            <w:r>
              <w:rPr>
                <w:rFonts w:hint="eastAsia" w:ascii="Times New Roman" w:hAnsi="宋体" w:eastAsia="宋体" w:cs="宋体"/>
                <w:color w:val="auto"/>
                <w:szCs w:val="21"/>
                <w:highlight w:val="none"/>
              </w:rPr>
              <w:t>投标人法定代表人身份证复印件</w:t>
            </w:r>
          </w:p>
        </w:tc>
        <w:tc>
          <w:tcPr>
            <w:tcW w:w="3955" w:type="dxa"/>
            <w:noWrap w:val="0"/>
            <w:vAlign w:val="center"/>
          </w:tcPr>
          <w:p>
            <w:pPr>
              <w:tabs>
                <w:tab w:val="left" w:pos="0"/>
              </w:tabs>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jc w:val="center"/>
        </w:trPr>
        <w:tc>
          <w:tcPr>
            <w:tcW w:w="753" w:type="dxa"/>
            <w:noWrap w:val="0"/>
            <w:vAlign w:val="center"/>
          </w:tcPr>
          <w:p>
            <w:pPr>
              <w:spacing w:line="360" w:lineRule="exact"/>
              <w:ind w:firstLine="0" w:firstLineChars="0"/>
              <w:jc w:val="center"/>
              <w:rPr>
                <w:rFonts w:hAnsi="宋体" w:cs="宋体"/>
                <w:color w:val="auto"/>
                <w:szCs w:val="21"/>
                <w:highlight w:val="none"/>
              </w:rPr>
            </w:pPr>
            <w:r>
              <w:rPr>
                <w:rFonts w:hint="eastAsia" w:hAnsi="宋体" w:cs="宋体"/>
                <w:color w:val="auto"/>
                <w:szCs w:val="21"/>
                <w:highlight w:val="none"/>
              </w:rPr>
              <w:t>5</w:t>
            </w:r>
          </w:p>
        </w:tc>
        <w:tc>
          <w:tcPr>
            <w:tcW w:w="4713" w:type="dxa"/>
            <w:noWrap w:val="0"/>
            <w:vAlign w:val="center"/>
          </w:tcPr>
          <w:p>
            <w:pPr>
              <w:keepNext w:val="0"/>
              <w:keepLines w:val="0"/>
              <w:pageBreakBefore w:val="0"/>
              <w:kinsoku/>
              <w:wordWrap/>
              <w:overflowPunct/>
              <w:topLinePunct w:val="0"/>
              <w:autoSpaceDE/>
              <w:autoSpaceDN/>
              <w:bidi w:val="0"/>
              <w:spacing w:line="400" w:lineRule="exact"/>
              <w:ind w:firstLine="0" w:firstLineChars="0"/>
              <w:jc w:val="both"/>
              <w:textAlignment w:val="auto"/>
              <w:rPr>
                <w:rFonts w:hint="eastAsia" w:ascii="Times New Roman" w:hAnsi="宋体" w:eastAsia="宋体" w:cs="宋体"/>
                <w:color w:val="auto"/>
                <w:kern w:val="2"/>
                <w:sz w:val="21"/>
                <w:szCs w:val="21"/>
                <w:highlight w:val="none"/>
                <w:lang w:val="en-US" w:eastAsia="zh-CN" w:bidi="ar-SA"/>
              </w:rPr>
            </w:pPr>
            <w:r>
              <w:rPr>
                <w:rFonts w:hint="eastAsia" w:ascii="Times New Roman" w:hAnsi="宋体" w:eastAsia="宋体" w:cs="宋体"/>
                <w:color w:val="auto"/>
                <w:szCs w:val="21"/>
                <w:highlight w:val="none"/>
              </w:rPr>
              <w:t>法定代表人授权函</w:t>
            </w:r>
            <w:r>
              <w:rPr>
                <w:rFonts w:hint="eastAsia" w:ascii="Times New Roman" w:hAnsi="宋体" w:eastAsia="宋体" w:cs="宋体"/>
                <w:color w:val="auto"/>
                <w:szCs w:val="21"/>
                <w:highlight w:val="none"/>
                <w:lang w:eastAsia="zh-CN"/>
              </w:rPr>
              <w:t>及</w:t>
            </w:r>
            <w:r>
              <w:rPr>
                <w:rFonts w:hint="eastAsia" w:hAnsi="宋体" w:eastAsia="宋体" w:cs="Times New Roman"/>
                <w:color w:val="auto"/>
                <w:sz w:val="21"/>
                <w:szCs w:val="21"/>
                <w:highlight w:val="none"/>
                <w:lang w:eastAsia="zh-CN"/>
              </w:rPr>
              <w:t>被授权人身份证复印件</w:t>
            </w:r>
            <w:r>
              <w:rPr>
                <w:rFonts w:hint="eastAsia" w:ascii="Times New Roman" w:hAnsi="宋体" w:eastAsia="宋体" w:cs="宋体"/>
                <w:color w:val="auto"/>
                <w:szCs w:val="21"/>
                <w:highlight w:val="none"/>
              </w:rPr>
              <w:t>，非法定代表人参加投标时提供</w:t>
            </w:r>
          </w:p>
        </w:tc>
        <w:tc>
          <w:tcPr>
            <w:tcW w:w="3955" w:type="dxa"/>
            <w:noWrap w:val="0"/>
            <w:vAlign w:val="center"/>
          </w:tcPr>
          <w:p>
            <w:pPr>
              <w:tabs>
                <w:tab w:val="left" w:pos="0"/>
              </w:tabs>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jc w:val="center"/>
        </w:trPr>
        <w:tc>
          <w:tcPr>
            <w:tcW w:w="753" w:type="dxa"/>
            <w:noWrap w:val="0"/>
            <w:vAlign w:val="center"/>
          </w:tcPr>
          <w:p>
            <w:pPr>
              <w:spacing w:line="360" w:lineRule="exact"/>
              <w:ind w:firstLine="0" w:firstLineChars="0"/>
              <w:jc w:val="center"/>
              <w:rPr>
                <w:rFonts w:hAnsi="宋体" w:cs="宋体"/>
                <w:color w:val="auto"/>
                <w:szCs w:val="21"/>
                <w:highlight w:val="none"/>
              </w:rPr>
            </w:pPr>
            <w:r>
              <w:rPr>
                <w:rFonts w:hint="eastAsia" w:hAnsi="宋体" w:cs="宋体"/>
                <w:color w:val="auto"/>
                <w:szCs w:val="21"/>
                <w:highlight w:val="none"/>
              </w:rPr>
              <w:t>6</w:t>
            </w:r>
          </w:p>
        </w:tc>
        <w:tc>
          <w:tcPr>
            <w:tcW w:w="4713" w:type="dxa"/>
            <w:noWrap w:val="0"/>
            <w:vAlign w:val="center"/>
          </w:tcPr>
          <w:p>
            <w:pPr>
              <w:keepNext w:val="0"/>
              <w:keepLines w:val="0"/>
              <w:pageBreakBefore w:val="0"/>
              <w:kinsoku/>
              <w:wordWrap/>
              <w:overflowPunct/>
              <w:topLinePunct w:val="0"/>
              <w:autoSpaceDE/>
              <w:autoSpaceDN/>
              <w:bidi w:val="0"/>
              <w:spacing w:line="400" w:lineRule="exact"/>
              <w:ind w:firstLine="0" w:firstLineChars="0"/>
              <w:jc w:val="both"/>
              <w:textAlignment w:val="auto"/>
              <w:rPr>
                <w:rFonts w:hint="eastAsia" w:ascii="Times New Roman"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具有海洋测绘</w:t>
            </w:r>
            <w:r>
              <w:rPr>
                <w:rFonts w:hint="eastAsia" w:ascii="宋体" w:hAnsi="宋体" w:cs="宋体"/>
                <w:color w:val="auto"/>
                <w:szCs w:val="21"/>
                <w:highlight w:val="none"/>
                <w:lang w:eastAsia="zh-CN"/>
              </w:rPr>
              <w:t>乙</w:t>
            </w:r>
            <w:r>
              <w:rPr>
                <w:rFonts w:hint="eastAsia" w:ascii="宋体" w:hAnsi="宋体" w:cs="宋体"/>
                <w:color w:val="auto"/>
                <w:szCs w:val="21"/>
                <w:highlight w:val="none"/>
              </w:rPr>
              <w:t>级及以上资质，</w:t>
            </w:r>
            <w:r>
              <w:rPr>
                <w:rFonts w:hint="eastAsia" w:hAnsi="宋体" w:cs="宋体"/>
                <w:color w:val="auto"/>
                <w:szCs w:val="21"/>
                <w:highlight w:val="none"/>
                <w:lang w:eastAsia="zh-CN"/>
              </w:rPr>
              <w:t>且其本身或内设机构</w:t>
            </w:r>
            <w:r>
              <w:rPr>
                <w:rFonts w:hint="eastAsia" w:ascii="宋体" w:hAnsi="宋体" w:cs="宋体"/>
                <w:color w:val="auto"/>
                <w:szCs w:val="21"/>
                <w:highlight w:val="none"/>
              </w:rPr>
              <w:t>具有</w:t>
            </w:r>
            <w:r>
              <w:rPr>
                <w:rFonts w:hint="eastAsia" w:hAnsi="宋体" w:cs="宋体"/>
                <w:color w:val="auto"/>
                <w:szCs w:val="21"/>
                <w:highlight w:val="none"/>
                <w:lang w:eastAsia="zh-CN"/>
              </w:rPr>
              <w:t>省级及以上</w:t>
            </w:r>
            <w:r>
              <w:rPr>
                <w:rFonts w:hint="eastAsia" w:ascii="宋体" w:hAnsi="宋体" w:cs="宋体"/>
                <w:color w:val="auto"/>
                <w:szCs w:val="21"/>
                <w:highlight w:val="none"/>
              </w:rPr>
              <w:t>计量认证资质证书（CMA）</w:t>
            </w:r>
          </w:p>
        </w:tc>
        <w:tc>
          <w:tcPr>
            <w:tcW w:w="3955" w:type="dxa"/>
            <w:noWrap w:val="0"/>
            <w:vAlign w:val="center"/>
          </w:tcPr>
          <w:p>
            <w:pPr>
              <w:tabs>
                <w:tab w:val="left" w:pos="0"/>
              </w:tabs>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hAnsi="宋体" w:cs="宋体"/>
                <w:color w:val="auto"/>
                <w:szCs w:val="21"/>
                <w:highlight w:val="none"/>
                <w:lang w:eastAsia="zh-CN"/>
              </w:rPr>
              <w:t>提供测绘资质证书和计量认证资质证书复印件或</w:t>
            </w:r>
            <w:r>
              <w:rPr>
                <w:rFonts w:hint="eastAsia" w:hAnsi="宋体" w:cs="宋体"/>
                <w:color w:val="auto"/>
                <w:szCs w:val="21"/>
                <w:highlight w:val="none"/>
              </w:rPr>
              <w:t>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 w:hRule="atLeast"/>
          <w:jc w:val="center"/>
        </w:trPr>
        <w:tc>
          <w:tcPr>
            <w:tcW w:w="5466" w:type="dxa"/>
            <w:gridSpan w:val="2"/>
            <w:noWrap w:val="0"/>
            <w:vAlign w:val="center"/>
          </w:tcPr>
          <w:p>
            <w:pPr>
              <w:pStyle w:val="15"/>
              <w:spacing w:line="360" w:lineRule="exact"/>
              <w:ind w:firstLine="0" w:firstLineChars="0"/>
              <w:jc w:val="center"/>
              <w:rPr>
                <w:rFonts w:cs="宋体"/>
                <w:b/>
                <w:color w:val="auto"/>
                <w:sz w:val="21"/>
                <w:szCs w:val="21"/>
                <w:highlight w:val="none"/>
              </w:rPr>
            </w:pPr>
            <w:r>
              <w:rPr>
                <w:rFonts w:hint="eastAsia" w:cs="宋体"/>
                <w:b/>
                <w:color w:val="auto"/>
                <w:sz w:val="21"/>
                <w:szCs w:val="21"/>
                <w:highlight w:val="none"/>
              </w:rPr>
              <w:t>结   论</w:t>
            </w:r>
          </w:p>
        </w:tc>
        <w:tc>
          <w:tcPr>
            <w:tcW w:w="3955" w:type="dxa"/>
            <w:noWrap w:val="0"/>
            <w:vAlign w:val="center"/>
          </w:tcPr>
          <w:p>
            <w:pPr>
              <w:spacing w:line="360" w:lineRule="exact"/>
              <w:ind w:left="180" w:firstLine="422"/>
              <w:jc w:val="center"/>
              <w:rPr>
                <w:rFonts w:hAnsi="宋体" w:cs="宋体"/>
                <w:b/>
                <w:color w:val="auto"/>
                <w:szCs w:val="21"/>
                <w:highlight w:val="none"/>
              </w:rPr>
            </w:pPr>
          </w:p>
        </w:tc>
      </w:tr>
    </w:tbl>
    <w:p>
      <w:pPr>
        <w:autoSpaceDE w:val="0"/>
        <w:autoSpaceDN w:val="0"/>
        <w:adjustRightInd w:val="0"/>
        <w:spacing w:line="360" w:lineRule="auto"/>
        <w:ind w:firstLine="720"/>
        <w:rPr>
          <w:rFonts w:hint="eastAsia" w:ascii="宋体" w:hAnsi="宋体" w:cs="宋体"/>
          <w:color w:val="auto"/>
          <w:szCs w:val="21"/>
          <w:highlight w:val="none"/>
        </w:rPr>
      </w:pPr>
      <w:r>
        <w:rPr>
          <w:rFonts w:hint="eastAsia" w:ascii="宋体" w:hAnsi="宋体" w:cs="宋体"/>
          <w:color w:val="auto"/>
          <w:szCs w:val="21"/>
          <w:highlight w:val="none"/>
          <w:lang w:val="zh-CN"/>
        </w:rPr>
        <w:t>注：1、表中只需填写“√”或“×”；</w:t>
      </w:r>
      <w:r>
        <w:rPr>
          <w:rFonts w:hint="eastAsia" w:ascii="宋体" w:hAnsi="宋体" w:cs="宋体"/>
          <w:color w:val="auto"/>
          <w:szCs w:val="21"/>
          <w:highlight w:val="none"/>
        </w:rPr>
        <w:t xml:space="preserve"> </w:t>
      </w:r>
      <w:r>
        <w:rPr>
          <w:rFonts w:hint="eastAsia" w:ascii="宋体" w:hAnsi="宋体" w:cs="宋体"/>
          <w:color w:val="auto"/>
          <w:szCs w:val="21"/>
          <w:highlight w:val="none"/>
          <w:lang w:val="zh-CN"/>
        </w:rPr>
        <w:t>2、在结论栏中填写“合格”或“不合格”。</w:t>
      </w:r>
    </w:p>
    <w:p>
      <w:pPr>
        <w:pStyle w:val="37"/>
        <w:rPr>
          <w:color w:val="auto"/>
          <w:highlight w:val="none"/>
        </w:rPr>
      </w:pPr>
    </w:p>
    <w:p>
      <w:pPr>
        <w:ind w:firstLine="422"/>
        <w:rPr>
          <w:b/>
          <w:bCs/>
          <w:color w:val="auto"/>
          <w:highlight w:val="none"/>
        </w:rPr>
      </w:pPr>
      <w:r>
        <w:rPr>
          <w:b/>
          <w:bCs/>
          <w:color w:val="auto"/>
          <w:highlight w:val="none"/>
        </w:rPr>
        <w:t xml:space="preserve">4.2 </w:t>
      </w:r>
      <w:r>
        <w:rPr>
          <w:rFonts w:hint="eastAsia"/>
          <w:b/>
          <w:bCs/>
          <w:color w:val="auto"/>
          <w:highlight w:val="none"/>
        </w:rPr>
        <w:t>符合性审查</w:t>
      </w:r>
    </w:p>
    <w:p>
      <w:pPr>
        <w:ind w:firstLine="420"/>
        <w:rPr>
          <w:color w:val="auto"/>
          <w:highlight w:val="none"/>
        </w:rPr>
      </w:pPr>
      <w:r>
        <w:rPr>
          <w:rFonts w:hint="eastAsia"/>
          <w:color w:val="auto"/>
          <w:highlight w:val="none"/>
        </w:rPr>
        <w:t>评标委员会根据</w:t>
      </w:r>
      <w:r>
        <w:rPr>
          <w:rFonts w:hint="eastAsia"/>
          <w:color w:val="auto"/>
          <w:highlight w:val="none"/>
          <w:lang w:eastAsia="zh-CN"/>
        </w:rPr>
        <w:t>采购文件</w:t>
      </w:r>
      <w:r>
        <w:rPr>
          <w:rFonts w:hint="eastAsia"/>
          <w:color w:val="auto"/>
          <w:highlight w:val="none"/>
        </w:rPr>
        <w:t>载明的符合性评审内容对各投标人进行符合性评审。各投标人应完全满足</w:t>
      </w:r>
      <w:r>
        <w:rPr>
          <w:rFonts w:hint="eastAsia"/>
          <w:color w:val="auto"/>
          <w:highlight w:val="none"/>
          <w:lang w:eastAsia="zh-CN"/>
        </w:rPr>
        <w:t>采购文件</w:t>
      </w:r>
      <w:r>
        <w:rPr>
          <w:rFonts w:hint="eastAsia"/>
          <w:color w:val="auto"/>
          <w:highlight w:val="none"/>
        </w:rPr>
        <w:t>载明的符合性评审内容要求，否则经评标委员会评审，该投标人将作符合性审查不合格处理。</w:t>
      </w:r>
      <w:bookmarkEnd w:id="13"/>
      <w:r>
        <w:rPr>
          <w:rFonts w:hint="eastAsia"/>
          <w:b/>
          <w:bCs/>
          <w:color w:val="auto"/>
          <w:highlight w:val="none"/>
        </w:rPr>
        <w:t>符合性审查不合格的投标人视为无效投标</w:t>
      </w:r>
      <w:r>
        <w:rPr>
          <w:rFonts w:hint="eastAsia"/>
          <w:color w:val="auto"/>
          <w:highlight w:val="none"/>
        </w:rPr>
        <w:t>。符合性审查条件详见：第三章投标人须知中的</w:t>
      </w:r>
      <w:r>
        <w:rPr>
          <w:rFonts w:hint="eastAsia"/>
          <w:color w:val="auto"/>
          <w:highlight w:val="none"/>
          <w:lang w:eastAsia="zh-CN"/>
        </w:rPr>
        <w:t>“</w:t>
      </w:r>
      <w:r>
        <w:rPr>
          <w:rFonts w:hint="eastAsia"/>
          <w:b/>
          <w:bCs/>
          <w:color w:val="auto"/>
          <w:highlight w:val="none"/>
        </w:rPr>
        <w:t>投标无效的情形</w:t>
      </w:r>
      <w:r>
        <w:rPr>
          <w:rFonts w:hint="eastAsia"/>
          <w:color w:val="auto"/>
          <w:highlight w:val="none"/>
          <w:lang w:eastAsia="zh-CN"/>
        </w:rPr>
        <w:t>”</w:t>
      </w:r>
      <w:r>
        <w:rPr>
          <w:rFonts w:hint="eastAsia"/>
          <w:color w:val="auto"/>
          <w:highlight w:val="none"/>
        </w:rPr>
        <w:t>。</w:t>
      </w:r>
    </w:p>
    <w:p>
      <w:pPr>
        <w:ind w:firstLine="422"/>
        <w:rPr>
          <w:b/>
          <w:bCs/>
          <w:color w:val="auto"/>
          <w:highlight w:val="none"/>
        </w:rPr>
      </w:pPr>
      <w:r>
        <w:rPr>
          <w:rFonts w:hint="eastAsia"/>
          <w:b/>
          <w:bCs/>
          <w:color w:val="auto"/>
          <w:highlight w:val="none"/>
        </w:rPr>
        <w:t>4.</w:t>
      </w:r>
      <w:r>
        <w:rPr>
          <w:b/>
          <w:bCs/>
          <w:color w:val="auto"/>
          <w:highlight w:val="none"/>
        </w:rPr>
        <w:t>3</w:t>
      </w:r>
      <w:r>
        <w:rPr>
          <w:rFonts w:hint="eastAsia"/>
          <w:b/>
          <w:bCs/>
          <w:color w:val="auto"/>
          <w:highlight w:val="none"/>
        </w:rPr>
        <w:t>评分细则</w:t>
      </w:r>
    </w:p>
    <w:p>
      <w:pPr>
        <w:ind w:firstLine="422"/>
        <w:rPr>
          <w:rFonts w:hint="eastAsia" w:eastAsia="宋体"/>
          <w:b/>
          <w:bCs/>
          <w:color w:val="auto"/>
          <w:highlight w:val="none"/>
          <w:lang w:eastAsia="zh-CN"/>
        </w:rPr>
      </w:pPr>
      <w:r>
        <w:rPr>
          <w:rFonts w:hint="eastAsia"/>
          <w:b/>
          <w:bCs/>
          <w:color w:val="auto"/>
          <w:highlight w:val="none"/>
        </w:rPr>
        <w:t>4.3.1</w:t>
      </w:r>
      <w:r>
        <w:rPr>
          <w:rFonts w:hint="eastAsia"/>
          <w:b/>
          <w:bCs/>
          <w:color w:val="auto"/>
          <w:highlight w:val="none"/>
          <w:lang w:eastAsia="zh-CN"/>
        </w:rPr>
        <w:t>报价评分（满分</w:t>
      </w:r>
      <w:r>
        <w:rPr>
          <w:rFonts w:hint="eastAsia"/>
          <w:b/>
          <w:bCs/>
          <w:color w:val="auto"/>
          <w:highlight w:val="none"/>
          <w:lang w:val="en-US" w:eastAsia="zh-CN"/>
        </w:rPr>
        <w:t>10分</w:t>
      </w:r>
      <w:r>
        <w:rPr>
          <w:rFonts w:hint="eastAsia"/>
          <w:b/>
          <w:bCs/>
          <w:color w:val="auto"/>
          <w:highlight w:val="none"/>
          <w:lang w:eastAsia="zh-CN"/>
        </w:rPr>
        <w:t>）</w:t>
      </w:r>
    </w:p>
    <w:p>
      <w:pPr>
        <w:autoSpaceDE w:val="0"/>
        <w:autoSpaceDN w:val="0"/>
        <w:adjustRightInd w:val="0"/>
        <w:spacing w:line="360" w:lineRule="auto"/>
        <w:ind w:firstLine="420" w:firstLineChars="200"/>
        <w:rPr>
          <w:rFonts w:hint="eastAsia" w:ascii="宋体" w:hAnsi="宋体" w:cs="宋体"/>
          <w:color w:val="auto"/>
          <w:szCs w:val="21"/>
          <w:highlight w:val="none"/>
          <w:lang w:val="zh-CN"/>
        </w:rPr>
      </w:pPr>
      <w:r>
        <w:rPr>
          <w:rFonts w:hint="eastAsia" w:ascii="宋体" w:hAnsi="宋体" w:cs="宋体"/>
          <w:color w:val="auto"/>
          <w:szCs w:val="21"/>
          <w:highlight w:val="none"/>
          <w:lang w:val="zh-CN"/>
        </w:rPr>
        <w:t>满足招标文件要求且投标价格最低的投标报价为评标基准价，其价格分为满分</w:t>
      </w:r>
      <w:r>
        <w:rPr>
          <w:rFonts w:hint="eastAsia" w:hAnsi="宋体" w:cs="宋体"/>
          <w:color w:val="auto"/>
          <w:szCs w:val="21"/>
          <w:highlight w:val="none"/>
          <w:lang w:val="en-US" w:eastAsia="zh-CN"/>
        </w:rPr>
        <w:t>10分</w:t>
      </w:r>
      <w:r>
        <w:rPr>
          <w:rFonts w:hint="eastAsia" w:ascii="宋体" w:hAnsi="宋体" w:cs="宋体"/>
          <w:color w:val="auto"/>
          <w:szCs w:val="21"/>
          <w:highlight w:val="none"/>
          <w:lang w:val="zh-CN"/>
        </w:rPr>
        <w:t>，其他投标人的价格分按下列公式计算：投标报价得分＝（评标基准价/投标报价）×</w:t>
      </w:r>
      <w:r>
        <w:rPr>
          <w:rFonts w:hint="eastAsia" w:hAnsi="宋体" w:cs="宋体"/>
          <w:color w:val="auto"/>
          <w:szCs w:val="21"/>
          <w:highlight w:val="none"/>
          <w:lang w:val="en-US" w:eastAsia="zh-CN"/>
        </w:rPr>
        <w:t>10</w:t>
      </w:r>
      <w:r>
        <w:rPr>
          <w:rFonts w:hint="eastAsia" w:ascii="宋体" w:hAnsi="宋体" w:cs="宋体"/>
          <w:color w:val="auto"/>
          <w:szCs w:val="21"/>
          <w:highlight w:val="none"/>
          <w:lang w:val="zh-CN"/>
        </w:rPr>
        <w:t>。</w:t>
      </w:r>
    </w:p>
    <w:p>
      <w:pPr>
        <w:ind w:firstLine="420"/>
        <w:rPr>
          <w:rFonts w:hint="eastAsia"/>
          <w:b/>
          <w:bCs/>
          <w:color w:val="auto"/>
          <w:highlight w:val="none"/>
        </w:rPr>
      </w:pPr>
      <w:r>
        <w:rPr>
          <w:rFonts w:hint="eastAsia" w:ascii="宋体" w:hAnsi="宋体"/>
          <w:color w:val="auto"/>
          <w:szCs w:val="21"/>
          <w:highlight w:val="none"/>
          <w:lang w:val="zh-CN"/>
        </w:rPr>
        <w:t>根据《政府采购促进中小企业发展管理办法》（财库[2020]46号）规定：本项目对符合本办法规定的小微企业报价给予10%的扣除，用扣除后的价格参加评审。</w:t>
      </w:r>
    </w:p>
    <w:p>
      <w:pPr>
        <w:ind w:firstLine="420"/>
        <w:rPr>
          <w:rFonts w:hint="eastAsia"/>
          <w:b/>
          <w:bCs/>
          <w:color w:val="auto"/>
          <w:highlight w:val="none"/>
        </w:rPr>
      </w:pPr>
      <w:r>
        <w:rPr>
          <w:rFonts w:hint="eastAsia"/>
          <w:b/>
          <w:bCs/>
          <w:color w:val="auto"/>
          <w:highlight w:val="none"/>
        </w:rPr>
        <w:t>评标委员会认为投标人的报价明显低于其他通过符合性审查投标人的报价，有可能影响服务质量或者不能诚信履约的，应当要求其在评标现场合理的时间内提供书面说明，必要时提交相关证明材料</w:t>
      </w:r>
      <w:r>
        <w:rPr>
          <w:rFonts w:hint="eastAsia"/>
          <w:b/>
          <w:bCs/>
          <w:color w:val="auto"/>
          <w:highlight w:val="none"/>
          <w:lang w:eastAsia="zh-CN"/>
        </w:rPr>
        <w:t>；</w:t>
      </w:r>
      <w:r>
        <w:rPr>
          <w:rFonts w:hint="eastAsia"/>
          <w:b/>
          <w:bCs/>
          <w:color w:val="auto"/>
          <w:highlight w:val="none"/>
        </w:rPr>
        <w:t>投标人不能证明其报价合理性的，评标委员会应当将其作为无效投标处理。</w:t>
      </w:r>
    </w:p>
    <w:p>
      <w:pPr>
        <w:ind w:firstLine="422"/>
        <w:rPr>
          <w:rFonts w:hint="eastAsia"/>
          <w:b/>
          <w:bCs/>
          <w:color w:val="auto"/>
          <w:highlight w:val="none"/>
          <w:lang w:eastAsia="zh-CN"/>
        </w:rPr>
      </w:pPr>
      <w:r>
        <w:rPr>
          <w:rFonts w:hint="eastAsia"/>
          <w:b/>
          <w:bCs/>
          <w:color w:val="auto"/>
          <w:highlight w:val="none"/>
          <w:lang w:val="en-US" w:eastAsia="zh-CN"/>
        </w:rPr>
        <w:t>4.3.2</w:t>
      </w:r>
      <w:r>
        <w:rPr>
          <w:rFonts w:hint="eastAsia"/>
          <w:b/>
          <w:bCs/>
          <w:color w:val="auto"/>
          <w:highlight w:val="none"/>
        </w:rPr>
        <w:t>商务技术评分</w:t>
      </w:r>
      <w:r>
        <w:rPr>
          <w:rFonts w:hint="eastAsia"/>
          <w:b/>
          <w:bCs/>
          <w:color w:val="auto"/>
          <w:highlight w:val="none"/>
          <w:lang w:eastAsia="zh-CN"/>
        </w:rPr>
        <w:t>（满分</w:t>
      </w:r>
      <w:r>
        <w:rPr>
          <w:rFonts w:hint="eastAsia"/>
          <w:b/>
          <w:bCs/>
          <w:color w:val="auto"/>
          <w:highlight w:val="none"/>
          <w:lang w:val="en-US" w:eastAsia="zh-CN"/>
        </w:rPr>
        <w:t>90分</w:t>
      </w:r>
      <w:r>
        <w:rPr>
          <w:rFonts w:hint="eastAsia"/>
          <w:b/>
          <w:bCs/>
          <w:color w:val="auto"/>
          <w:highlight w:val="none"/>
          <w:lang w:eastAsia="zh-CN"/>
        </w:rPr>
        <w:t>）</w:t>
      </w:r>
    </w:p>
    <w:tbl>
      <w:tblPr>
        <w:tblStyle w:val="26"/>
        <w:tblW w:w="98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0"/>
        <w:gridCol w:w="1213"/>
        <w:gridCol w:w="17"/>
        <w:gridCol w:w="1273"/>
        <w:gridCol w:w="1088"/>
        <w:gridCol w:w="3491"/>
        <w:gridCol w:w="806"/>
        <w:gridCol w:w="12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0" w:hRule="atLeast"/>
          <w:jc w:val="center"/>
        </w:trPr>
        <w:tc>
          <w:tcPr>
            <w:tcW w:w="4291" w:type="dxa"/>
            <w:gridSpan w:val="5"/>
            <w:tcBorders>
              <w:top w:val="single" w:color="auto" w:sz="6" w:space="0"/>
              <w:left w:val="single" w:color="auto" w:sz="6" w:space="0"/>
              <w:bottom w:val="single" w:color="auto" w:sz="6" w:space="0"/>
              <w:right w:val="single" w:color="auto" w:sz="6" w:space="0"/>
            </w:tcBorders>
            <w:vAlign w:val="center"/>
          </w:tcPr>
          <w:p>
            <w:pPr>
              <w:spacing w:line="280" w:lineRule="exact"/>
              <w:ind w:firstLine="280"/>
              <w:jc w:val="center"/>
              <w:rPr>
                <w:rFonts w:ascii="宋体" w:hAnsi="宋体"/>
                <w:color w:val="auto"/>
                <w:highlight w:val="none"/>
              </w:rPr>
            </w:pPr>
            <w:r>
              <w:rPr>
                <w:rFonts w:hint="eastAsia" w:ascii="宋体" w:hAnsi="宋体"/>
                <w:color w:val="auto"/>
                <w:highlight w:val="none"/>
              </w:rPr>
              <w:t>评审因素与分值</w:t>
            </w:r>
          </w:p>
        </w:tc>
        <w:tc>
          <w:tcPr>
            <w:tcW w:w="3491" w:type="dxa"/>
            <w:vMerge w:val="restart"/>
            <w:tcBorders>
              <w:top w:val="single" w:color="auto" w:sz="6" w:space="0"/>
              <w:left w:val="single" w:color="auto" w:sz="6" w:space="0"/>
              <w:right w:val="single" w:color="auto" w:sz="6" w:space="0"/>
            </w:tcBorders>
            <w:vAlign w:val="center"/>
          </w:tcPr>
          <w:p>
            <w:pPr>
              <w:spacing w:line="280" w:lineRule="exact"/>
              <w:ind w:left="0" w:leftChars="0" w:firstLine="0" w:firstLineChars="0"/>
              <w:jc w:val="center"/>
              <w:rPr>
                <w:rFonts w:ascii="宋体" w:hAnsi="宋体"/>
                <w:color w:val="auto"/>
                <w:highlight w:val="none"/>
              </w:rPr>
            </w:pPr>
            <w:r>
              <w:rPr>
                <w:rFonts w:hint="eastAsia" w:ascii="宋体" w:hAnsi="宋体"/>
                <w:color w:val="auto"/>
                <w:highlight w:val="none"/>
              </w:rPr>
              <w:t>评分标准</w:t>
            </w:r>
          </w:p>
        </w:tc>
        <w:tc>
          <w:tcPr>
            <w:tcW w:w="2023" w:type="dxa"/>
            <w:gridSpan w:val="2"/>
            <w:vMerge w:val="restart"/>
            <w:tcBorders>
              <w:top w:val="single" w:color="auto" w:sz="6" w:space="0"/>
              <w:left w:val="single" w:color="auto" w:sz="6" w:space="0"/>
              <w:bottom w:val="single" w:color="auto" w:sz="6" w:space="0"/>
              <w:right w:val="single" w:color="auto" w:sz="6" w:space="0"/>
            </w:tcBorders>
            <w:vAlign w:val="center"/>
          </w:tcPr>
          <w:p>
            <w:pPr>
              <w:spacing w:line="280" w:lineRule="exact"/>
              <w:ind w:left="0" w:leftChars="0" w:firstLine="0" w:firstLineChars="0"/>
              <w:jc w:val="center"/>
              <w:rPr>
                <w:rFonts w:ascii="宋体" w:hAnsi="宋体"/>
                <w:color w:val="auto"/>
                <w:highlight w:val="none"/>
              </w:rPr>
            </w:pPr>
            <w:r>
              <w:rPr>
                <w:rFonts w:hint="eastAsia" w:ascii="宋体" w:hAnsi="宋体"/>
                <w:color w:val="auto"/>
                <w:highlight w:val="none"/>
              </w:rPr>
              <w:t>评分说明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jc w:val="center"/>
        </w:trPr>
        <w:tc>
          <w:tcPr>
            <w:tcW w:w="700" w:type="dxa"/>
            <w:tcBorders>
              <w:top w:val="single" w:color="auto" w:sz="6" w:space="0"/>
              <w:left w:val="single" w:color="auto" w:sz="6" w:space="0"/>
              <w:bottom w:val="single" w:color="auto" w:sz="6" w:space="0"/>
              <w:right w:val="single" w:color="auto" w:sz="6" w:space="0"/>
            </w:tcBorders>
            <w:vAlign w:val="center"/>
          </w:tcPr>
          <w:p>
            <w:pPr>
              <w:spacing w:line="340" w:lineRule="exact"/>
              <w:ind w:firstLine="0" w:firstLineChars="0"/>
              <w:rPr>
                <w:rFonts w:ascii="宋体" w:hAnsi="宋体"/>
                <w:color w:val="auto"/>
                <w:highlight w:val="none"/>
              </w:rPr>
            </w:pPr>
            <w:r>
              <w:rPr>
                <w:rFonts w:hint="eastAsia" w:ascii="宋体" w:hAnsi="宋体"/>
                <w:color w:val="auto"/>
                <w:highlight w:val="none"/>
              </w:rPr>
              <w:t>序号</w:t>
            </w:r>
          </w:p>
        </w:tc>
        <w:tc>
          <w:tcPr>
            <w:tcW w:w="2503" w:type="dxa"/>
            <w:gridSpan w:val="3"/>
            <w:tcBorders>
              <w:top w:val="single" w:color="auto" w:sz="6" w:space="0"/>
              <w:left w:val="single" w:color="auto" w:sz="6" w:space="0"/>
              <w:bottom w:val="single" w:color="auto" w:sz="6" w:space="0"/>
              <w:right w:val="single" w:color="auto" w:sz="6" w:space="0"/>
            </w:tcBorders>
            <w:vAlign w:val="center"/>
          </w:tcPr>
          <w:p>
            <w:pPr>
              <w:spacing w:line="280" w:lineRule="exact"/>
              <w:ind w:firstLine="210"/>
              <w:jc w:val="center"/>
              <w:rPr>
                <w:rFonts w:ascii="宋体" w:hAnsi="宋体"/>
                <w:color w:val="auto"/>
                <w:highlight w:val="none"/>
              </w:rPr>
            </w:pPr>
            <w:r>
              <w:rPr>
                <w:rFonts w:hint="eastAsia" w:ascii="宋体" w:hAnsi="宋体"/>
                <w:color w:val="auto"/>
                <w:highlight w:val="none"/>
              </w:rPr>
              <w:t>评审因素</w:t>
            </w:r>
          </w:p>
        </w:tc>
        <w:tc>
          <w:tcPr>
            <w:tcW w:w="1088" w:type="dxa"/>
            <w:tcBorders>
              <w:top w:val="single" w:color="auto" w:sz="6" w:space="0"/>
              <w:left w:val="single" w:color="auto" w:sz="6" w:space="0"/>
              <w:bottom w:val="single" w:color="auto" w:sz="6" w:space="0"/>
              <w:right w:val="single" w:color="auto" w:sz="6" w:space="0"/>
            </w:tcBorders>
            <w:vAlign w:val="center"/>
          </w:tcPr>
          <w:p>
            <w:pPr>
              <w:spacing w:line="280" w:lineRule="exact"/>
              <w:ind w:firstLine="0" w:firstLineChars="0"/>
              <w:jc w:val="center"/>
              <w:rPr>
                <w:rFonts w:ascii="宋体" w:hAnsi="宋体"/>
                <w:color w:val="auto"/>
                <w:highlight w:val="none"/>
              </w:rPr>
            </w:pPr>
            <w:r>
              <w:rPr>
                <w:rFonts w:hint="eastAsia" w:ascii="宋体" w:hAnsi="宋体"/>
                <w:color w:val="auto"/>
                <w:highlight w:val="none"/>
              </w:rPr>
              <w:t>分值</w:t>
            </w:r>
          </w:p>
        </w:tc>
        <w:tc>
          <w:tcPr>
            <w:tcW w:w="3491" w:type="dxa"/>
            <w:vMerge w:val="continue"/>
            <w:tcBorders>
              <w:left w:val="single" w:color="auto" w:sz="6" w:space="0"/>
              <w:bottom w:val="single" w:color="auto" w:sz="6" w:space="0"/>
              <w:right w:val="single" w:color="auto" w:sz="6" w:space="0"/>
            </w:tcBorders>
            <w:vAlign w:val="center"/>
          </w:tcPr>
          <w:p>
            <w:pPr>
              <w:spacing w:line="280" w:lineRule="exact"/>
              <w:ind w:firstLine="210"/>
              <w:jc w:val="center"/>
              <w:rPr>
                <w:rFonts w:ascii="宋体" w:hAnsi="宋体"/>
                <w:color w:val="auto"/>
                <w:highlight w:val="none"/>
              </w:rPr>
            </w:pPr>
          </w:p>
        </w:tc>
        <w:tc>
          <w:tcPr>
            <w:tcW w:w="2023" w:type="dxa"/>
            <w:gridSpan w:val="2"/>
            <w:vMerge w:val="continue"/>
            <w:tcBorders>
              <w:top w:val="single" w:color="auto" w:sz="6" w:space="0"/>
              <w:left w:val="single" w:color="auto" w:sz="6" w:space="0"/>
              <w:bottom w:val="single" w:color="auto" w:sz="6" w:space="0"/>
              <w:right w:val="single" w:color="auto" w:sz="6" w:space="0"/>
            </w:tcBorders>
            <w:vAlign w:val="center"/>
          </w:tcPr>
          <w:p>
            <w:pPr>
              <w:spacing w:line="280" w:lineRule="exact"/>
              <w:ind w:firstLine="210"/>
              <w:jc w:val="center"/>
              <w:rPr>
                <w:rFonts w:ascii="宋体" w:hAnsi="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14" w:hRule="atLeast"/>
          <w:jc w:val="center"/>
        </w:trPr>
        <w:tc>
          <w:tcPr>
            <w:tcW w:w="700" w:type="dxa"/>
            <w:vMerge w:val="restart"/>
            <w:tcBorders>
              <w:top w:val="single" w:color="auto" w:sz="6" w:space="0"/>
              <w:left w:val="single" w:color="auto" w:sz="6" w:space="0"/>
              <w:bottom w:val="single" w:color="auto" w:sz="6" w:space="0"/>
              <w:right w:val="single" w:color="auto" w:sz="6" w:space="0"/>
            </w:tcBorders>
            <w:vAlign w:val="center"/>
          </w:tcPr>
          <w:p>
            <w:pPr>
              <w:spacing w:line="300" w:lineRule="exact"/>
              <w:ind w:firstLine="0" w:firstLineChars="0"/>
              <w:jc w:val="center"/>
              <w:rPr>
                <w:rFonts w:ascii="宋体" w:hAnsi="宋体"/>
                <w:color w:val="auto"/>
                <w:highlight w:val="none"/>
              </w:rPr>
            </w:pPr>
            <w:r>
              <w:rPr>
                <w:rFonts w:hint="eastAsia" w:ascii="宋体" w:hAnsi="宋体"/>
                <w:color w:val="auto"/>
                <w:highlight w:val="none"/>
              </w:rPr>
              <w:t>1</w:t>
            </w:r>
          </w:p>
        </w:tc>
        <w:tc>
          <w:tcPr>
            <w:tcW w:w="2503" w:type="dxa"/>
            <w:gridSpan w:val="3"/>
            <w:vMerge w:val="restart"/>
            <w:tcBorders>
              <w:top w:val="single" w:color="auto" w:sz="6" w:space="0"/>
              <w:left w:val="single" w:color="auto" w:sz="6" w:space="0"/>
              <w:bottom w:val="single" w:color="auto" w:sz="6" w:space="0"/>
              <w:right w:val="single" w:color="auto" w:sz="6" w:space="0"/>
            </w:tcBorders>
            <w:vAlign w:val="center"/>
          </w:tcPr>
          <w:p>
            <w:pPr>
              <w:spacing w:line="280" w:lineRule="exact"/>
              <w:ind w:firstLine="0" w:firstLineChars="0"/>
              <w:rPr>
                <w:rFonts w:ascii="宋体" w:hAnsi="宋体"/>
                <w:color w:val="auto"/>
                <w:szCs w:val="21"/>
                <w:highlight w:val="none"/>
              </w:rPr>
            </w:pPr>
            <w:r>
              <w:rPr>
                <w:rFonts w:hint="eastAsia" w:ascii="宋体" w:hAnsi="宋体"/>
                <w:color w:val="auto"/>
                <w:szCs w:val="21"/>
                <w:highlight w:val="none"/>
              </w:rPr>
              <w:t>跟踪监测的目的、监测内容、方法；（15分）</w:t>
            </w:r>
          </w:p>
        </w:tc>
        <w:tc>
          <w:tcPr>
            <w:tcW w:w="1088" w:type="dxa"/>
            <w:tcBorders>
              <w:top w:val="single" w:color="auto" w:sz="6" w:space="0"/>
              <w:left w:val="single" w:color="auto" w:sz="6" w:space="0"/>
              <w:bottom w:val="single" w:color="auto" w:sz="6" w:space="0"/>
              <w:right w:val="single" w:color="auto" w:sz="6" w:space="0"/>
            </w:tcBorders>
            <w:vAlign w:val="center"/>
          </w:tcPr>
          <w:p>
            <w:pPr>
              <w:spacing w:line="240" w:lineRule="exact"/>
              <w:ind w:firstLine="0" w:firstLineChars="0"/>
              <w:jc w:val="center"/>
              <w:rPr>
                <w:rFonts w:ascii="宋体" w:hAnsi="宋体"/>
                <w:color w:val="auto"/>
                <w:szCs w:val="21"/>
                <w:highlight w:val="none"/>
              </w:rPr>
            </w:pPr>
            <w:r>
              <w:rPr>
                <w:rFonts w:hint="eastAsia" w:ascii="宋体" w:hAnsi="宋体"/>
                <w:color w:val="auto"/>
                <w:szCs w:val="21"/>
                <w:highlight w:val="none"/>
                <w:u w:val="single"/>
                <w:lang w:val="en-US" w:eastAsia="zh-CN"/>
              </w:rPr>
              <w:t>10</w:t>
            </w:r>
            <w:r>
              <w:rPr>
                <w:rFonts w:hint="eastAsia" w:ascii="宋体" w:hAnsi="宋体"/>
                <w:color w:val="auto"/>
                <w:szCs w:val="21"/>
                <w:highlight w:val="none"/>
                <w:u w:val="single"/>
              </w:rPr>
              <w:t>.1-15</w:t>
            </w:r>
            <w:r>
              <w:rPr>
                <w:rFonts w:hint="eastAsia" w:ascii="宋体" w:hAnsi="宋体"/>
                <w:color w:val="auto"/>
                <w:szCs w:val="21"/>
                <w:highlight w:val="none"/>
              </w:rPr>
              <w:t>分</w:t>
            </w:r>
          </w:p>
        </w:tc>
        <w:tc>
          <w:tcPr>
            <w:tcW w:w="3491" w:type="dxa"/>
            <w:tcBorders>
              <w:top w:val="single" w:color="auto" w:sz="6" w:space="0"/>
              <w:left w:val="single" w:color="auto" w:sz="6" w:space="0"/>
              <w:bottom w:val="single" w:color="auto" w:sz="6" w:space="0"/>
              <w:right w:val="single" w:color="auto" w:sz="6" w:space="0"/>
            </w:tcBorders>
            <w:vAlign w:val="center"/>
          </w:tcPr>
          <w:p>
            <w:pPr>
              <w:spacing w:line="240" w:lineRule="exact"/>
              <w:ind w:firstLine="210"/>
              <w:jc w:val="left"/>
              <w:rPr>
                <w:rFonts w:ascii="宋体" w:hAnsi="宋体"/>
                <w:color w:val="auto"/>
                <w:szCs w:val="21"/>
                <w:highlight w:val="none"/>
              </w:rPr>
            </w:pPr>
            <w:r>
              <w:rPr>
                <w:rFonts w:hint="eastAsia"/>
                <w:color w:val="auto"/>
                <w:highlight w:val="none"/>
              </w:rPr>
              <w:t>对监测目的理解透彻，监测工作的各环节考虑全面、充分。工作内容齐全，程序合理、观测方法科学简洁，精度满足工程需要。</w:t>
            </w:r>
          </w:p>
        </w:tc>
        <w:tc>
          <w:tcPr>
            <w:tcW w:w="2023" w:type="dxa"/>
            <w:gridSpan w:val="2"/>
            <w:vMerge w:val="restart"/>
            <w:tcBorders>
              <w:top w:val="single" w:color="auto" w:sz="6" w:space="0"/>
              <w:left w:val="single" w:color="auto" w:sz="6" w:space="0"/>
              <w:bottom w:val="single" w:color="auto" w:sz="6" w:space="0"/>
              <w:right w:val="single" w:color="auto" w:sz="6" w:space="0"/>
            </w:tcBorders>
            <w:vAlign w:val="center"/>
          </w:tcPr>
          <w:p>
            <w:pPr>
              <w:spacing w:line="240" w:lineRule="exact"/>
              <w:ind w:firstLine="0" w:firstLineChars="0"/>
              <w:jc w:val="left"/>
              <w:rPr>
                <w:rFonts w:hint="eastAsia" w:eastAsia="宋体"/>
                <w:color w:val="auto"/>
                <w:highlight w:val="none"/>
                <w:lang w:eastAsia="zh-CN"/>
              </w:rPr>
            </w:pPr>
            <w:r>
              <w:rPr>
                <w:rFonts w:hint="eastAsia"/>
                <w:color w:val="auto"/>
                <w:highlight w:val="none"/>
              </w:rPr>
              <w:t>1、对监测工作的目的、重要性等的理解和认识程度；</w:t>
            </w:r>
          </w:p>
          <w:p>
            <w:pPr>
              <w:spacing w:line="240" w:lineRule="exact"/>
              <w:ind w:firstLine="0" w:firstLineChars="0"/>
              <w:jc w:val="left"/>
              <w:rPr>
                <w:rFonts w:ascii="宋体" w:hAnsi="宋体"/>
                <w:color w:val="auto"/>
                <w:szCs w:val="21"/>
                <w:highlight w:val="none"/>
              </w:rPr>
            </w:pPr>
            <w:r>
              <w:rPr>
                <w:rFonts w:hint="eastAsia"/>
                <w:color w:val="auto"/>
                <w:highlight w:val="none"/>
              </w:rPr>
              <w:t>2、各种监测工作的工作内容、程序和方法是否科学、合理、可行。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8" w:hRule="atLeast"/>
          <w:jc w:val="center"/>
        </w:trPr>
        <w:tc>
          <w:tcPr>
            <w:tcW w:w="700" w:type="dxa"/>
            <w:vMerge w:val="continue"/>
            <w:tcBorders>
              <w:top w:val="single" w:color="auto" w:sz="6" w:space="0"/>
              <w:left w:val="single" w:color="auto" w:sz="6" w:space="0"/>
              <w:bottom w:val="single" w:color="auto" w:sz="6" w:space="0"/>
              <w:right w:val="single" w:color="auto" w:sz="6" w:space="0"/>
            </w:tcBorders>
            <w:vAlign w:val="center"/>
          </w:tcPr>
          <w:p>
            <w:pPr>
              <w:spacing w:line="300" w:lineRule="exact"/>
              <w:ind w:firstLine="210"/>
              <w:jc w:val="center"/>
              <w:rPr>
                <w:rFonts w:ascii="宋体" w:hAnsi="宋体"/>
                <w:color w:val="auto"/>
                <w:highlight w:val="none"/>
              </w:rPr>
            </w:pPr>
          </w:p>
        </w:tc>
        <w:tc>
          <w:tcPr>
            <w:tcW w:w="2503" w:type="dxa"/>
            <w:gridSpan w:val="3"/>
            <w:vMerge w:val="continue"/>
            <w:tcBorders>
              <w:top w:val="single" w:color="auto" w:sz="6" w:space="0"/>
              <w:left w:val="single" w:color="auto" w:sz="6" w:space="0"/>
              <w:bottom w:val="single" w:color="auto" w:sz="6" w:space="0"/>
              <w:right w:val="single" w:color="auto" w:sz="6" w:space="0"/>
            </w:tcBorders>
            <w:vAlign w:val="center"/>
          </w:tcPr>
          <w:p>
            <w:pPr>
              <w:spacing w:line="240" w:lineRule="exact"/>
              <w:ind w:firstLine="210"/>
              <w:rPr>
                <w:rFonts w:ascii="宋体" w:hAnsi="宋体"/>
                <w:color w:val="auto"/>
                <w:szCs w:val="21"/>
                <w:highlight w:val="none"/>
              </w:rPr>
            </w:pPr>
          </w:p>
        </w:tc>
        <w:tc>
          <w:tcPr>
            <w:tcW w:w="1088" w:type="dxa"/>
            <w:tcBorders>
              <w:top w:val="single" w:color="auto" w:sz="6" w:space="0"/>
              <w:left w:val="single" w:color="auto" w:sz="6" w:space="0"/>
              <w:bottom w:val="single" w:color="auto" w:sz="4" w:space="0"/>
              <w:right w:val="single" w:color="auto" w:sz="6" w:space="0"/>
            </w:tcBorders>
            <w:vAlign w:val="center"/>
          </w:tcPr>
          <w:p>
            <w:pPr>
              <w:spacing w:line="240" w:lineRule="exact"/>
              <w:ind w:firstLine="0" w:firstLineChars="0"/>
              <w:jc w:val="center"/>
              <w:rPr>
                <w:rFonts w:ascii="宋体" w:hAnsi="宋体"/>
                <w:color w:val="auto"/>
                <w:szCs w:val="21"/>
                <w:highlight w:val="none"/>
              </w:rPr>
            </w:pPr>
            <w:r>
              <w:rPr>
                <w:rFonts w:hint="eastAsia" w:hAnsi="宋体"/>
                <w:color w:val="auto"/>
                <w:szCs w:val="21"/>
                <w:highlight w:val="none"/>
                <w:u w:val="single"/>
                <w:lang w:val="en-US" w:eastAsia="zh-CN"/>
              </w:rPr>
              <w:t>5.1</w:t>
            </w:r>
            <w:r>
              <w:rPr>
                <w:rFonts w:hint="eastAsia" w:ascii="宋体" w:hAnsi="宋体"/>
                <w:color w:val="auto"/>
                <w:szCs w:val="21"/>
                <w:highlight w:val="none"/>
                <w:u w:val="single"/>
              </w:rPr>
              <w:t>-</w:t>
            </w:r>
            <w:r>
              <w:rPr>
                <w:rFonts w:hint="eastAsia" w:hAnsi="宋体"/>
                <w:color w:val="auto"/>
                <w:szCs w:val="21"/>
                <w:highlight w:val="none"/>
                <w:u w:val="single"/>
                <w:lang w:val="en-US" w:eastAsia="zh-CN"/>
              </w:rPr>
              <w:t>10</w:t>
            </w:r>
            <w:r>
              <w:rPr>
                <w:rFonts w:hint="eastAsia" w:ascii="宋体" w:hAnsi="宋体"/>
                <w:color w:val="auto"/>
                <w:szCs w:val="21"/>
                <w:highlight w:val="none"/>
              </w:rPr>
              <w:t>分</w:t>
            </w:r>
          </w:p>
        </w:tc>
        <w:tc>
          <w:tcPr>
            <w:tcW w:w="3491" w:type="dxa"/>
            <w:tcBorders>
              <w:top w:val="single" w:color="auto" w:sz="6" w:space="0"/>
              <w:left w:val="single" w:color="auto" w:sz="6" w:space="0"/>
              <w:bottom w:val="single" w:color="auto" w:sz="4" w:space="0"/>
              <w:right w:val="single" w:color="auto" w:sz="6" w:space="0"/>
            </w:tcBorders>
            <w:vAlign w:val="center"/>
          </w:tcPr>
          <w:p>
            <w:pPr>
              <w:spacing w:line="240" w:lineRule="exact"/>
              <w:ind w:firstLine="210"/>
              <w:rPr>
                <w:rFonts w:ascii="宋体" w:hAnsi="宋体" w:cs="宋体"/>
                <w:color w:val="auto"/>
                <w:kern w:val="0"/>
                <w:szCs w:val="21"/>
                <w:highlight w:val="none"/>
              </w:rPr>
            </w:pPr>
            <w:r>
              <w:rPr>
                <w:rFonts w:hint="eastAsia"/>
                <w:color w:val="auto"/>
                <w:highlight w:val="none"/>
              </w:rPr>
              <w:t>能基本理解监测的目的，监测工作的各环节考虑基本全面。工作内容基本齐全，观测方法基本满足工程需要。</w:t>
            </w:r>
          </w:p>
        </w:tc>
        <w:tc>
          <w:tcPr>
            <w:tcW w:w="2023" w:type="dxa"/>
            <w:gridSpan w:val="2"/>
            <w:vMerge w:val="continue"/>
            <w:tcBorders>
              <w:top w:val="single" w:color="auto" w:sz="6" w:space="0"/>
              <w:left w:val="single" w:color="auto" w:sz="6" w:space="0"/>
              <w:bottom w:val="single" w:color="auto" w:sz="6" w:space="0"/>
              <w:right w:val="single" w:color="auto" w:sz="6" w:space="0"/>
            </w:tcBorders>
            <w:vAlign w:val="center"/>
          </w:tcPr>
          <w:p>
            <w:pPr>
              <w:spacing w:line="240" w:lineRule="exact"/>
              <w:ind w:firstLine="210"/>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0" w:hRule="atLeast"/>
          <w:jc w:val="center"/>
        </w:trPr>
        <w:tc>
          <w:tcPr>
            <w:tcW w:w="700" w:type="dxa"/>
            <w:vMerge w:val="continue"/>
            <w:tcBorders>
              <w:left w:val="single" w:color="auto" w:sz="6" w:space="0"/>
              <w:bottom w:val="single" w:color="auto" w:sz="6" w:space="0"/>
              <w:right w:val="single" w:color="auto" w:sz="6" w:space="0"/>
            </w:tcBorders>
            <w:vAlign w:val="center"/>
          </w:tcPr>
          <w:p>
            <w:pPr>
              <w:spacing w:line="300" w:lineRule="exact"/>
              <w:ind w:firstLine="210"/>
              <w:jc w:val="center"/>
              <w:rPr>
                <w:rFonts w:ascii="宋体" w:hAnsi="宋体"/>
                <w:color w:val="auto"/>
                <w:highlight w:val="none"/>
              </w:rPr>
            </w:pPr>
          </w:p>
        </w:tc>
        <w:tc>
          <w:tcPr>
            <w:tcW w:w="2503" w:type="dxa"/>
            <w:gridSpan w:val="3"/>
            <w:vMerge w:val="continue"/>
            <w:tcBorders>
              <w:left w:val="single" w:color="auto" w:sz="6" w:space="0"/>
              <w:bottom w:val="single" w:color="auto" w:sz="6" w:space="0"/>
              <w:right w:val="single" w:color="auto" w:sz="6" w:space="0"/>
            </w:tcBorders>
            <w:vAlign w:val="center"/>
          </w:tcPr>
          <w:p>
            <w:pPr>
              <w:spacing w:line="240" w:lineRule="exact"/>
              <w:ind w:firstLine="210"/>
              <w:rPr>
                <w:rFonts w:ascii="宋体" w:hAnsi="宋体"/>
                <w:color w:val="auto"/>
                <w:szCs w:val="21"/>
                <w:highlight w:val="none"/>
              </w:rPr>
            </w:pPr>
          </w:p>
        </w:tc>
        <w:tc>
          <w:tcPr>
            <w:tcW w:w="1088" w:type="dxa"/>
            <w:tcBorders>
              <w:top w:val="single" w:color="auto" w:sz="4" w:space="0"/>
              <w:left w:val="single" w:color="auto" w:sz="6" w:space="0"/>
              <w:bottom w:val="single" w:color="auto" w:sz="6" w:space="0"/>
              <w:right w:val="single" w:color="auto" w:sz="6" w:space="0"/>
            </w:tcBorders>
            <w:vAlign w:val="center"/>
          </w:tcPr>
          <w:p>
            <w:pPr>
              <w:spacing w:line="240" w:lineRule="exact"/>
              <w:ind w:firstLine="0" w:firstLineChars="0"/>
              <w:jc w:val="center"/>
              <w:rPr>
                <w:rFonts w:hint="eastAsia" w:ascii="宋体" w:hAnsi="宋体"/>
                <w:color w:val="auto"/>
                <w:szCs w:val="21"/>
                <w:highlight w:val="none"/>
                <w:u w:val="single"/>
              </w:rPr>
            </w:pPr>
            <w:r>
              <w:rPr>
                <w:rFonts w:hint="eastAsia" w:hAnsi="宋体"/>
                <w:color w:val="auto"/>
                <w:szCs w:val="21"/>
                <w:highlight w:val="none"/>
                <w:u w:val="single"/>
                <w:lang w:val="en-US" w:eastAsia="zh-CN"/>
              </w:rPr>
              <w:t>0</w:t>
            </w:r>
            <w:r>
              <w:rPr>
                <w:rFonts w:hint="eastAsia" w:ascii="宋体" w:hAnsi="宋体"/>
                <w:color w:val="auto"/>
                <w:szCs w:val="21"/>
                <w:highlight w:val="none"/>
                <w:u w:val="single"/>
              </w:rPr>
              <w:t>-</w:t>
            </w:r>
            <w:r>
              <w:rPr>
                <w:rFonts w:hint="eastAsia" w:hAnsi="宋体"/>
                <w:color w:val="auto"/>
                <w:szCs w:val="21"/>
                <w:highlight w:val="none"/>
                <w:u w:val="single"/>
                <w:lang w:val="en-US" w:eastAsia="zh-CN"/>
              </w:rPr>
              <w:t>5</w:t>
            </w:r>
            <w:r>
              <w:rPr>
                <w:rFonts w:hint="eastAsia" w:ascii="宋体" w:hAnsi="宋体"/>
                <w:color w:val="auto"/>
                <w:szCs w:val="21"/>
                <w:highlight w:val="none"/>
              </w:rPr>
              <w:t>分</w:t>
            </w:r>
          </w:p>
        </w:tc>
        <w:tc>
          <w:tcPr>
            <w:tcW w:w="3491" w:type="dxa"/>
            <w:tcBorders>
              <w:top w:val="single" w:color="auto" w:sz="4" w:space="0"/>
              <w:left w:val="single" w:color="auto" w:sz="6" w:space="0"/>
              <w:bottom w:val="single" w:color="auto" w:sz="6" w:space="0"/>
              <w:right w:val="single" w:color="auto" w:sz="6" w:space="0"/>
            </w:tcBorders>
            <w:vAlign w:val="center"/>
          </w:tcPr>
          <w:p>
            <w:pPr>
              <w:spacing w:line="240" w:lineRule="exact"/>
              <w:ind w:firstLine="210"/>
              <w:rPr>
                <w:rFonts w:hint="eastAsia"/>
                <w:color w:val="auto"/>
                <w:highlight w:val="none"/>
              </w:rPr>
            </w:pPr>
            <w:r>
              <w:rPr>
                <w:rFonts w:hint="eastAsia"/>
                <w:color w:val="auto"/>
                <w:highlight w:val="none"/>
              </w:rPr>
              <w:t>监测目的</w:t>
            </w:r>
            <w:r>
              <w:rPr>
                <w:rFonts w:hint="eastAsia"/>
                <w:color w:val="auto"/>
                <w:highlight w:val="none"/>
                <w:lang w:eastAsia="zh-CN"/>
              </w:rPr>
              <w:t>不明确</w:t>
            </w:r>
            <w:r>
              <w:rPr>
                <w:rFonts w:hint="eastAsia"/>
                <w:color w:val="auto"/>
                <w:highlight w:val="none"/>
              </w:rPr>
              <w:t>，监测工作的各环节考虑</w:t>
            </w:r>
            <w:r>
              <w:rPr>
                <w:rFonts w:hint="eastAsia"/>
                <w:color w:val="auto"/>
                <w:highlight w:val="none"/>
                <w:lang w:eastAsia="zh-CN"/>
              </w:rPr>
              <w:t>不够</w:t>
            </w:r>
            <w:r>
              <w:rPr>
                <w:rFonts w:hint="eastAsia"/>
                <w:color w:val="auto"/>
                <w:highlight w:val="none"/>
              </w:rPr>
              <w:t>全面。工作内容</w:t>
            </w:r>
            <w:r>
              <w:rPr>
                <w:rFonts w:hint="eastAsia"/>
                <w:color w:val="auto"/>
                <w:highlight w:val="none"/>
                <w:lang w:eastAsia="zh-CN"/>
              </w:rPr>
              <w:t>欠缺</w:t>
            </w:r>
            <w:r>
              <w:rPr>
                <w:rFonts w:hint="eastAsia"/>
                <w:color w:val="auto"/>
                <w:highlight w:val="none"/>
              </w:rPr>
              <w:t>，观测方法</w:t>
            </w:r>
            <w:r>
              <w:rPr>
                <w:rFonts w:hint="eastAsia"/>
                <w:color w:val="auto"/>
                <w:highlight w:val="none"/>
                <w:lang w:eastAsia="zh-CN"/>
              </w:rPr>
              <w:t>简单、不合理</w:t>
            </w:r>
            <w:r>
              <w:rPr>
                <w:rFonts w:hint="eastAsia"/>
                <w:color w:val="auto"/>
                <w:highlight w:val="none"/>
              </w:rPr>
              <w:t>。</w:t>
            </w:r>
          </w:p>
        </w:tc>
        <w:tc>
          <w:tcPr>
            <w:tcW w:w="2023" w:type="dxa"/>
            <w:gridSpan w:val="2"/>
            <w:vMerge w:val="continue"/>
            <w:tcBorders>
              <w:left w:val="single" w:color="auto" w:sz="6" w:space="0"/>
              <w:bottom w:val="single" w:color="auto" w:sz="6" w:space="0"/>
              <w:right w:val="single" w:color="auto" w:sz="6" w:space="0"/>
            </w:tcBorders>
            <w:vAlign w:val="center"/>
          </w:tcPr>
          <w:p>
            <w:pPr>
              <w:spacing w:line="240" w:lineRule="exact"/>
              <w:ind w:firstLine="210"/>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8" w:hRule="atLeast"/>
          <w:jc w:val="center"/>
        </w:trPr>
        <w:tc>
          <w:tcPr>
            <w:tcW w:w="700" w:type="dxa"/>
            <w:vMerge w:val="restart"/>
            <w:tcBorders>
              <w:top w:val="single" w:color="auto" w:sz="6" w:space="0"/>
              <w:left w:val="single" w:color="auto" w:sz="6" w:space="0"/>
              <w:bottom w:val="single" w:color="auto" w:sz="6" w:space="0"/>
              <w:right w:val="single" w:color="auto" w:sz="6" w:space="0"/>
            </w:tcBorders>
            <w:vAlign w:val="center"/>
          </w:tcPr>
          <w:p>
            <w:pPr>
              <w:spacing w:line="300" w:lineRule="exact"/>
              <w:ind w:firstLine="0" w:firstLineChars="0"/>
              <w:jc w:val="center"/>
              <w:rPr>
                <w:rFonts w:ascii="宋体" w:hAnsi="宋体"/>
                <w:color w:val="auto"/>
                <w:highlight w:val="none"/>
              </w:rPr>
            </w:pPr>
            <w:r>
              <w:rPr>
                <w:rFonts w:hint="eastAsia" w:ascii="宋体" w:hAnsi="宋体"/>
                <w:color w:val="auto"/>
                <w:highlight w:val="none"/>
              </w:rPr>
              <w:t>2</w:t>
            </w:r>
          </w:p>
        </w:tc>
        <w:tc>
          <w:tcPr>
            <w:tcW w:w="2503" w:type="dxa"/>
            <w:gridSpan w:val="3"/>
            <w:vMerge w:val="restart"/>
            <w:tcBorders>
              <w:top w:val="single" w:color="auto" w:sz="6" w:space="0"/>
              <w:left w:val="single" w:color="auto" w:sz="6" w:space="0"/>
              <w:bottom w:val="single" w:color="auto" w:sz="6" w:space="0"/>
              <w:right w:val="single" w:color="auto" w:sz="6" w:space="0"/>
            </w:tcBorders>
            <w:vAlign w:val="center"/>
          </w:tcPr>
          <w:p>
            <w:pPr>
              <w:spacing w:line="280" w:lineRule="exact"/>
              <w:ind w:firstLine="0" w:firstLineChars="0"/>
              <w:rPr>
                <w:rFonts w:ascii="宋体" w:hAnsi="宋体"/>
                <w:color w:val="auto"/>
                <w:szCs w:val="21"/>
                <w:highlight w:val="none"/>
              </w:rPr>
            </w:pPr>
            <w:r>
              <w:rPr>
                <w:rFonts w:hint="eastAsia"/>
                <w:color w:val="auto"/>
                <w:highlight w:val="none"/>
              </w:rPr>
              <w:t>跟踪监测</w:t>
            </w:r>
            <w:r>
              <w:rPr>
                <w:rFonts w:hint="eastAsia" w:ascii="宋体" w:hAnsi="宋体"/>
                <w:color w:val="auto"/>
                <w:szCs w:val="21"/>
                <w:highlight w:val="none"/>
              </w:rPr>
              <w:t>的重点、难点分析；（</w:t>
            </w:r>
            <w:r>
              <w:rPr>
                <w:rFonts w:hint="eastAsia" w:hAnsi="宋体"/>
                <w:color w:val="auto"/>
                <w:szCs w:val="21"/>
                <w:highlight w:val="none"/>
                <w:lang w:val="en-US" w:eastAsia="zh-CN"/>
              </w:rPr>
              <w:t>9</w:t>
            </w:r>
            <w:r>
              <w:rPr>
                <w:rFonts w:hint="eastAsia" w:ascii="宋体" w:hAnsi="宋体"/>
                <w:color w:val="auto"/>
                <w:szCs w:val="21"/>
                <w:highlight w:val="none"/>
              </w:rPr>
              <w:t>分）</w:t>
            </w:r>
          </w:p>
        </w:tc>
        <w:tc>
          <w:tcPr>
            <w:tcW w:w="1088" w:type="dxa"/>
            <w:tcBorders>
              <w:top w:val="single" w:color="auto" w:sz="6" w:space="0"/>
              <w:left w:val="single" w:color="auto" w:sz="6" w:space="0"/>
              <w:bottom w:val="single" w:color="auto" w:sz="6" w:space="0"/>
              <w:right w:val="single" w:color="auto" w:sz="6" w:space="0"/>
            </w:tcBorders>
            <w:vAlign w:val="center"/>
          </w:tcPr>
          <w:p>
            <w:pPr>
              <w:spacing w:line="240" w:lineRule="exact"/>
              <w:ind w:firstLine="0" w:firstLineChars="0"/>
              <w:jc w:val="center"/>
              <w:rPr>
                <w:rFonts w:ascii="宋体" w:hAnsi="宋体"/>
                <w:color w:val="auto"/>
                <w:szCs w:val="21"/>
                <w:highlight w:val="none"/>
              </w:rPr>
            </w:pPr>
            <w:r>
              <w:rPr>
                <w:rFonts w:hint="eastAsia" w:hAnsi="宋体"/>
                <w:color w:val="auto"/>
                <w:szCs w:val="21"/>
                <w:highlight w:val="none"/>
                <w:u w:val="single"/>
                <w:lang w:val="en-US" w:eastAsia="zh-CN"/>
              </w:rPr>
              <w:t>6</w:t>
            </w:r>
            <w:r>
              <w:rPr>
                <w:rFonts w:hint="eastAsia" w:ascii="宋体" w:hAnsi="宋体"/>
                <w:color w:val="auto"/>
                <w:szCs w:val="21"/>
                <w:highlight w:val="none"/>
                <w:u w:val="single"/>
              </w:rPr>
              <w:t>.1-</w:t>
            </w:r>
            <w:r>
              <w:rPr>
                <w:rFonts w:hint="eastAsia" w:hAnsi="宋体"/>
                <w:color w:val="auto"/>
                <w:szCs w:val="21"/>
                <w:highlight w:val="none"/>
                <w:u w:val="single"/>
                <w:lang w:val="en-US" w:eastAsia="zh-CN"/>
              </w:rPr>
              <w:t>9</w:t>
            </w:r>
            <w:r>
              <w:rPr>
                <w:rFonts w:hint="eastAsia" w:ascii="宋体" w:hAnsi="宋体"/>
                <w:color w:val="auto"/>
                <w:szCs w:val="21"/>
                <w:highlight w:val="none"/>
              </w:rPr>
              <w:t>分</w:t>
            </w:r>
          </w:p>
        </w:tc>
        <w:tc>
          <w:tcPr>
            <w:tcW w:w="3491" w:type="dxa"/>
            <w:tcBorders>
              <w:top w:val="single" w:color="auto" w:sz="6" w:space="0"/>
              <w:left w:val="single" w:color="auto" w:sz="6" w:space="0"/>
              <w:bottom w:val="single" w:color="auto" w:sz="6" w:space="0"/>
              <w:right w:val="single" w:color="auto" w:sz="6" w:space="0"/>
            </w:tcBorders>
            <w:vAlign w:val="center"/>
          </w:tcPr>
          <w:p>
            <w:pPr>
              <w:pStyle w:val="111"/>
              <w:shd w:val="clear" w:color="auto" w:fill="auto"/>
              <w:spacing w:line="280" w:lineRule="exact"/>
              <w:ind w:firstLine="210"/>
              <w:rPr>
                <w:rFonts w:cs="宋体"/>
                <w:color w:val="auto"/>
                <w:kern w:val="2"/>
                <w:highlight w:val="none"/>
              </w:rPr>
            </w:pPr>
            <w:r>
              <w:rPr>
                <w:rFonts w:hint="eastAsia" w:cs="宋体"/>
                <w:color w:val="auto"/>
                <w:kern w:val="2"/>
                <w:highlight w:val="none"/>
              </w:rPr>
              <w:t>监测工作重点难点分析准确、</w:t>
            </w:r>
            <w:r>
              <w:rPr>
                <w:rFonts w:hint="eastAsia" w:cs="宋体"/>
                <w:color w:val="auto"/>
                <w:kern w:val="2"/>
                <w:highlight w:val="none"/>
                <w:lang w:eastAsia="zh-CN"/>
              </w:rPr>
              <w:t>清晰，</w:t>
            </w:r>
            <w:r>
              <w:rPr>
                <w:rFonts w:hint="eastAsia" w:cs="宋体"/>
                <w:color w:val="auto"/>
                <w:kern w:val="2"/>
                <w:highlight w:val="none"/>
              </w:rPr>
              <w:t>相应措施有效，建议</w:t>
            </w:r>
            <w:r>
              <w:rPr>
                <w:rFonts w:hint="eastAsia" w:cs="宋体"/>
                <w:color w:val="auto"/>
                <w:kern w:val="2"/>
                <w:highlight w:val="none"/>
                <w:lang w:eastAsia="zh-CN"/>
              </w:rPr>
              <w:t>科学</w:t>
            </w:r>
            <w:r>
              <w:rPr>
                <w:rFonts w:hint="eastAsia" w:cs="宋体"/>
                <w:color w:val="auto"/>
                <w:kern w:val="2"/>
                <w:highlight w:val="none"/>
              </w:rPr>
              <w:t>合理。</w:t>
            </w:r>
          </w:p>
        </w:tc>
        <w:tc>
          <w:tcPr>
            <w:tcW w:w="2023" w:type="dxa"/>
            <w:gridSpan w:val="2"/>
            <w:vMerge w:val="restart"/>
            <w:tcBorders>
              <w:top w:val="single" w:color="auto" w:sz="6" w:space="0"/>
              <w:left w:val="single" w:color="auto" w:sz="6" w:space="0"/>
              <w:bottom w:val="single" w:color="auto" w:sz="6" w:space="0"/>
              <w:right w:val="single" w:color="auto" w:sz="6" w:space="0"/>
            </w:tcBorders>
            <w:vAlign w:val="center"/>
          </w:tcPr>
          <w:p>
            <w:pPr>
              <w:spacing w:line="240" w:lineRule="exact"/>
              <w:ind w:firstLine="210"/>
              <w:rPr>
                <w:rFonts w:ascii="宋体" w:hAnsi="宋体"/>
                <w:color w:val="auto"/>
                <w:szCs w:val="21"/>
                <w:highlight w:val="none"/>
              </w:rPr>
            </w:pPr>
            <w:r>
              <w:rPr>
                <w:rFonts w:hint="eastAsia"/>
                <w:color w:val="auto"/>
                <w:highlight w:val="none"/>
              </w:rPr>
              <w:t>结合本工程的特点，提出该项目应注意的重点、难点，以及合理可行的应对措施和方法，对本项目有价值的建议。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700" w:type="dxa"/>
            <w:vMerge w:val="continue"/>
            <w:tcBorders>
              <w:top w:val="single" w:color="auto" w:sz="6" w:space="0"/>
              <w:left w:val="single" w:color="auto" w:sz="6" w:space="0"/>
              <w:bottom w:val="single" w:color="auto" w:sz="6" w:space="0"/>
              <w:right w:val="single" w:color="auto" w:sz="6" w:space="0"/>
            </w:tcBorders>
            <w:vAlign w:val="center"/>
          </w:tcPr>
          <w:p>
            <w:pPr>
              <w:spacing w:line="300" w:lineRule="exact"/>
              <w:ind w:firstLine="210"/>
              <w:jc w:val="center"/>
              <w:rPr>
                <w:rFonts w:ascii="宋体" w:hAnsi="宋体"/>
                <w:color w:val="auto"/>
                <w:highlight w:val="none"/>
              </w:rPr>
            </w:pPr>
          </w:p>
        </w:tc>
        <w:tc>
          <w:tcPr>
            <w:tcW w:w="2503" w:type="dxa"/>
            <w:gridSpan w:val="3"/>
            <w:vMerge w:val="continue"/>
            <w:tcBorders>
              <w:top w:val="single" w:color="auto" w:sz="6" w:space="0"/>
              <w:left w:val="single" w:color="auto" w:sz="6" w:space="0"/>
              <w:bottom w:val="single" w:color="auto" w:sz="6" w:space="0"/>
              <w:right w:val="single" w:color="auto" w:sz="6" w:space="0"/>
            </w:tcBorders>
            <w:vAlign w:val="center"/>
          </w:tcPr>
          <w:p>
            <w:pPr>
              <w:spacing w:line="240" w:lineRule="exact"/>
              <w:ind w:firstLine="210"/>
              <w:rPr>
                <w:rFonts w:ascii="宋体" w:hAnsi="宋体"/>
                <w:color w:val="auto"/>
                <w:szCs w:val="21"/>
                <w:highlight w:val="none"/>
              </w:rPr>
            </w:pPr>
          </w:p>
        </w:tc>
        <w:tc>
          <w:tcPr>
            <w:tcW w:w="1088" w:type="dxa"/>
            <w:tcBorders>
              <w:top w:val="single" w:color="auto" w:sz="6" w:space="0"/>
              <w:left w:val="single" w:color="auto" w:sz="6" w:space="0"/>
              <w:bottom w:val="single" w:color="auto" w:sz="4" w:space="0"/>
              <w:right w:val="single" w:color="auto" w:sz="6" w:space="0"/>
            </w:tcBorders>
            <w:vAlign w:val="center"/>
          </w:tcPr>
          <w:p>
            <w:pPr>
              <w:spacing w:line="240" w:lineRule="exact"/>
              <w:ind w:firstLine="0" w:firstLineChars="0"/>
              <w:jc w:val="center"/>
              <w:rPr>
                <w:rFonts w:ascii="宋体" w:hAnsi="宋体"/>
                <w:color w:val="auto"/>
                <w:szCs w:val="21"/>
                <w:highlight w:val="none"/>
              </w:rPr>
            </w:pPr>
            <w:r>
              <w:rPr>
                <w:rFonts w:hint="eastAsia" w:hAnsi="宋体"/>
                <w:color w:val="auto"/>
                <w:szCs w:val="21"/>
                <w:highlight w:val="none"/>
                <w:u w:val="single"/>
                <w:lang w:val="en-US" w:eastAsia="zh-CN"/>
              </w:rPr>
              <w:t>3.1</w:t>
            </w:r>
            <w:r>
              <w:rPr>
                <w:rFonts w:hint="eastAsia" w:ascii="宋体" w:hAnsi="宋体"/>
                <w:color w:val="auto"/>
                <w:szCs w:val="21"/>
                <w:highlight w:val="none"/>
                <w:u w:val="single"/>
              </w:rPr>
              <w:t>-</w:t>
            </w:r>
            <w:r>
              <w:rPr>
                <w:rFonts w:hint="eastAsia" w:hAnsi="宋体"/>
                <w:color w:val="auto"/>
                <w:szCs w:val="21"/>
                <w:highlight w:val="none"/>
                <w:u w:val="single"/>
                <w:lang w:val="en-US" w:eastAsia="zh-CN"/>
              </w:rPr>
              <w:t>6</w:t>
            </w:r>
            <w:r>
              <w:rPr>
                <w:rFonts w:hint="eastAsia" w:ascii="宋体" w:hAnsi="宋体"/>
                <w:color w:val="auto"/>
                <w:szCs w:val="21"/>
                <w:highlight w:val="none"/>
              </w:rPr>
              <w:t>分</w:t>
            </w:r>
          </w:p>
        </w:tc>
        <w:tc>
          <w:tcPr>
            <w:tcW w:w="3491" w:type="dxa"/>
            <w:tcBorders>
              <w:top w:val="single" w:color="auto" w:sz="6" w:space="0"/>
              <w:left w:val="single" w:color="auto" w:sz="6" w:space="0"/>
              <w:bottom w:val="single" w:color="auto" w:sz="4" w:space="0"/>
              <w:right w:val="single" w:color="auto" w:sz="6" w:space="0"/>
            </w:tcBorders>
            <w:vAlign w:val="center"/>
          </w:tcPr>
          <w:p>
            <w:pPr>
              <w:pStyle w:val="111"/>
              <w:shd w:val="clear" w:color="auto" w:fill="auto"/>
              <w:spacing w:line="280" w:lineRule="exact"/>
              <w:ind w:firstLine="210"/>
              <w:rPr>
                <w:rFonts w:cs="宋体"/>
                <w:color w:val="auto"/>
                <w:kern w:val="2"/>
                <w:highlight w:val="none"/>
              </w:rPr>
            </w:pPr>
            <w:r>
              <w:rPr>
                <w:rFonts w:hint="eastAsia" w:cs="宋体"/>
                <w:color w:val="auto"/>
                <w:kern w:val="2"/>
                <w:highlight w:val="none"/>
              </w:rPr>
              <w:t>监测工作重点难点分析较准确、相应措施相对有效</w:t>
            </w:r>
            <w:r>
              <w:rPr>
                <w:rFonts w:hint="eastAsia" w:cs="宋体"/>
                <w:color w:val="auto"/>
                <w:kern w:val="2"/>
                <w:highlight w:val="none"/>
                <w:lang w:eastAsia="zh-CN"/>
              </w:rPr>
              <w:t>、合理</w:t>
            </w:r>
            <w:r>
              <w:rPr>
                <w:rFonts w:hint="eastAsia" w:cs="宋体"/>
                <w:color w:val="auto"/>
                <w:kern w:val="2"/>
                <w:highlight w:val="none"/>
              </w:rPr>
              <w:t>。</w:t>
            </w:r>
          </w:p>
        </w:tc>
        <w:tc>
          <w:tcPr>
            <w:tcW w:w="2023" w:type="dxa"/>
            <w:gridSpan w:val="2"/>
            <w:vMerge w:val="continue"/>
            <w:tcBorders>
              <w:top w:val="single" w:color="auto" w:sz="6" w:space="0"/>
              <w:left w:val="single" w:color="auto" w:sz="6" w:space="0"/>
              <w:bottom w:val="single" w:color="auto" w:sz="6" w:space="0"/>
              <w:right w:val="single" w:color="auto" w:sz="6" w:space="0"/>
            </w:tcBorders>
            <w:vAlign w:val="center"/>
          </w:tcPr>
          <w:p>
            <w:pPr>
              <w:spacing w:line="240" w:lineRule="exact"/>
              <w:ind w:firstLine="210"/>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8" w:hRule="atLeast"/>
          <w:jc w:val="center"/>
        </w:trPr>
        <w:tc>
          <w:tcPr>
            <w:tcW w:w="700" w:type="dxa"/>
            <w:vMerge w:val="continue"/>
            <w:tcBorders>
              <w:left w:val="single" w:color="auto" w:sz="6" w:space="0"/>
              <w:bottom w:val="single" w:color="auto" w:sz="6" w:space="0"/>
              <w:right w:val="single" w:color="auto" w:sz="6" w:space="0"/>
            </w:tcBorders>
            <w:vAlign w:val="center"/>
          </w:tcPr>
          <w:p>
            <w:pPr>
              <w:spacing w:line="300" w:lineRule="exact"/>
              <w:ind w:firstLine="210"/>
              <w:jc w:val="center"/>
              <w:rPr>
                <w:rFonts w:ascii="宋体" w:hAnsi="宋体"/>
                <w:color w:val="auto"/>
                <w:highlight w:val="none"/>
              </w:rPr>
            </w:pPr>
          </w:p>
        </w:tc>
        <w:tc>
          <w:tcPr>
            <w:tcW w:w="2503" w:type="dxa"/>
            <w:gridSpan w:val="3"/>
            <w:vMerge w:val="continue"/>
            <w:tcBorders>
              <w:left w:val="single" w:color="auto" w:sz="6" w:space="0"/>
              <w:bottom w:val="single" w:color="auto" w:sz="6" w:space="0"/>
              <w:right w:val="single" w:color="auto" w:sz="6" w:space="0"/>
            </w:tcBorders>
            <w:vAlign w:val="center"/>
          </w:tcPr>
          <w:p>
            <w:pPr>
              <w:spacing w:line="240" w:lineRule="exact"/>
              <w:ind w:firstLine="210"/>
              <w:rPr>
                <w:rFonts w:ascii="宋体" w:hAnsi="宋体"/>
                <w:color w:val="auto"/>
                <w:szCs w:val="21"/>
                <w:highlight w:val="none"/>
              </w:rPr>
            </w:pPr>
          </w:p>
        </w:tc>
        <w:tc>
          <w:tcPr>
            <w:tcW w:w="1088" w:type="dxa"/>
            <w:tcBorders>
              <w:top w:val="single" w:color="auto" w:sz="4" w:space="0"/>
              <w:left w:val="single" w:color="auto" w:sz="6" w:space="0"/>
              <w:bottom w:val="single" w:color="auto" w:sz="6" w:space="0"/>
              <w:right w:val="single" w:color="auto" w:sz="6" w:space="0"/>
            </w:tcBorders>
            <w:vAlign w:val="center"/>
          </w:tcPr>
          <w:p>
            <w:pPr>
              <w:spacing w:line="240" w:lineRule="exact"/>
              <w:ind w:firstLine="0" w:firstLineChars="0"/>
              <w:jc w:val="center"/>
              <w:rPr>
                <w:rFonts w:hint="eastAsia" w:ascii="宋体" w:hAnsi="宋体"/>
                <w:color w:val="auto"/>
                <w:szCs w:val="21"/>
                <w:highlight w:val="none"/>
                <w:u w:val="single"/>
              </w:rPr>
            </w:pPr>
            <w:r>
              <w:rPr>
                <w:rFonts w:hint="eastAsia" w:hAnsi="宋体"/>
                <w:color w:val="auto"/>
                <w:szCs w:val="21"/>
                <w:highlight w:val="none"/>
                <w:u w:val="single"/>
                <w:lang w:val="en-US" w:eastAsia="zh-CN"/>
              </w:rPr>
              <w:t>0</w:t>
            </w:r>
            <w:r>
              <w:rPr>
                <w:rFonts w:hint="eastAsia" w:ascii="宋体" w:hAnsi="宋体"/>
                <w:color w:val="auto"/>
                <w:szCs w:val="21"/>
                <w:highlight w:val="none"/>
                <w:u w:val="single"/>
              </w:rPr>
              <w:t>-</w:t>
            </w:r>
            <w:r>
              <w:rPr>
                <w:rFonts w:hint="eastAsia" w:hAnsi="宋体"/>
                <w:color w:val="auto"/>
                <w:szCs w:val="21"/>
                <w:highlight w:val="none"/>
                <w:u w:val="single"/>
                <w:lang w:val="en-US" w:eastAsia="zh-CN"/>
              </w:rPr>
              <w:t>3</w:t>
            </w:r>
            <w:r>
              <w:rPr>
                <w:rFonts w:hint="eastAsia" w:ascii="宋体" w:hAnsi="宋体"/>
                <w:color w:val="auto"/>
                <w:szCs w:val="21"/>
                <w:highlight w:val="none"/>
              </w:rPr>
              <w:t>分</w:t>
            </w:r>
          </w:p>
        </w:tc>
        <w:tc>
          <w:tcPr>
            <w:tcW w:w="3491" w:type="dxa"/>
            <w:tcBorders>
              <w:top w:val="single" w:color="auto" w:sz="4" w:space="0"/>
              <w:left w:val="single" w:color="auto" w:sz="6" w:space="0"/>
              <w:bottom w:val="single" w:color="auto" w:sz="6" w:space="0"/>
              <w:right w:val="single" w:color="auto" w:sz="6" w:space="0"/>
            </w:tcBorders>
            <w:vAlign w:val="center"/>
          </w:tcPr>
          <w:p>
            <w:pPr>
              <w:pStyle w:val="111"/>
              <w:shd w:val="clear" w:color="auto" w:fill="auto"/>
              <w:spacing w:line="280" w:lineRule="exact"/>
              <w:ind w:firstLine="210"/>
              <w:rPr>
                <w:rFonts w:hint="eastAsia" w:eastAsia="宋体" w:cs="宋体"/>
                <w:color w:val="auto"/>
                <w:kern w:val="2"/>
                <w:highlight w:val="none"/>
                <w:lang w:eastAsia="zh-CN"/>
              </w:rPr>
            </w:pPr>
            <w:r>
              <w:rPr>
                <w:rFonts w:hint="eastAsia" w:cs="宋体"/>
                <w:color w:val="auto"/>
                <w:kern w:val="2"/>
                <w:highlight w:val="none"/>
              </w:rPr>
              <w:t>监测工作重点难点</w:t>
            </w:r>
            <w:r>
              <w:rPr>
                <w:rFonts w:hint="eastAsia" w:cs="宋体"/>
                <w:color w:val="auto"/>
                <w:kern w:val="2"/>
                <w:highlight w:val="none"/>
                <w:lang w:eastAsia="zh-CN"/>
              </w:rPr>
              <w:t>理解</w:t>
            </w:r>
            <w:r>
              <w:rPr>
                <w:rFonts w:hint="eastAsia" w:cs="宋体"/>
                <w:color w:val="auto"/>
                <w:kern w:val="2"/>
                <w:highlight w:val="none"/>
              </w:rPr>
              <w:t>分析</w:t>
            </w:r>
            <w:r>
              <w:rPr>
                <w:rFonts w:hint="eastAsia" w:cs="宋体"/>
                <w:color w:val="auto"/>
                <w:kern w:val="2"/>
                <w:highlight w:val="none"/>
                <w:lang w:eastAsia="zh-CN"/>
              </w:rPr>
              <w:t>一般，</w:t>
            </w:r>
            <w:r>
              <w:rPr>
                <w:rFonts w:hint="eastAsia" w:cs="宋体"/>
                <w:color w:val="auto"/>
                <w:kern w:val="2"/>
                <w:highlight w:val="none"/>
              </w:rPr>
              <w:t>相应措施</w:t>
            </w:r>
            <w:r>
              <w:rPr>
                <w:rFonts w:hint="eastAsia" w:cs="宋体"/>
                <w:color w:val="auto"/>
                <w:kern w:val="2"/>
                <w:highlight w:val="none"/>
                <w:lang w:eastAsia="zh-CN"/>
              </w:rPr>
              <w:t>不太合理或未提供。</w:t>
            </w:r>
          </w:p>
        </w:tc>
        <w:tc>
          <w:tcPr>
            <w:tcW w:w="2023" w:type="dxa"/>
            <w:gridSpan w:val="2"/>
            <w:vMerge w:val="continue"/>
            <w:tcBorders>
              <w:left w:val="single" w:color="auto" w:sz="6" w:space="0"/>
              <w:bottom w:val="single" w:color="auto" w:sz="6" w:space="0"/>
              <w:right w:val="single" w:color="auto" w:sz="6" w:space="0"/>
            </w:tcBorders>
            <w:vAlign w:val="center"/>
          </w:tcPr>
          <w:p>
            <w:pPr>
              <w:spacing w:line="240" w:lineRule="exact"/>
              <w:ind w:firstLine="210"/>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8" w:hRule="atLeast"/>
          <w:jc w:val="center"/>
        </w:trPr>
        <w:tc>
          <w:tcPr>
            <w:tcW w:w="700" w:type="dxa"/>
            <w:vMerge w:val="restart"/>
            <w:tcBorders>
              <w:left w:val="single" w:color="auto" w:sz="6" w:space="0"/>
              <w:right w:val="single" w:color="auto" w:sz="6" w:space="0"/>
            </w:tcBorders>
            <w:vAlign w:val="center"/>
          </w:tcPr>
          <w:p>
            <w:pPr>
              <w:spacing w:line="300" w:lineRule="exact"/>
              <w:ind w:firstLine="0" w:firstLineChars="0"/>
              <w:jc w:val="center"/>
              <w:rPr>
                <w:rFonts w:ascii="宋体" w:hAnsi="宋体"/>
                <w:color w:val="auto"/>
                <w:highlight w:val="none"/>
              </w:rPr>
            </w:pPr>
            <w:r>
              <w:rPr>
                <w:rFonts w:hint="eastAsia" w:ascii="宋体" w:hAnsi="宋体"/>
                <w:color w:val="auto"/>
                <w:highlight w:val="none"/>
              </w:rPr>
              <w:t>3</w:t>
            </w:r>
          </w:p>
        </w:tc>
        <w:tc>
          <w:tcPr>
            <w:tcW w:w="2503" w:type="dxa"/>
            <w:gridSpan w:val="3"/>
            <w:vMerge w:val="restart"/>
            <w:tcBorders>
              <w:left w:val="single" w:color="auto" w:sz="6" w:space="0"/>
              <w:right w:val="single" w:color="auto" w:sz="6" w:space="0"/>
            </w:tcBorders>
            <w:vAlign w:val="center"/>
          </w:tcPr>
          <w:p>
            <w:pPr>
              <w:widowControl/>
              <w:ind w:firstLine="0" w:firstLineChars="0"/>
              <w:rPr>
                <w:rFonts w:ascii="宋体" w:hAnsi="宋体" w:cs="宋体"/>
                <w:color w:val="auto"/>
                <w:kern w:val="0"/>
                <w:szCs w:val="21"/>
                <w:highlight w:val="none"/>
              </w:rPr>
            </w:pPr>
            <w:r>
              <w:rPr>
                <w:color w:val="auto"/>
                <w:highlight w:val="none"/>
              </w:rPr>
              <w:t>拟投入的主要</w:t>
            </w:r>
            <w:r>
              <w:rPr>
                <w:rFonts w:hint="eastAsia" w:ascii="宋体" w:hAnsi="宋体" w:cs="宋体"/>
                <w:color w:val="auto"/>
                <w:kern w:val="0"/>
                <w:szCs w:val="21"/>
                <w:highlight w:val="none"/>
              </w:rPr>
              <w:t>设备（</w:t>
            </w:r>
            <w:r>
              <w:rPr>
                <w:rFonts w:hint="eastAsia" w:hAnsi="宋体" w:cs="宋体"/>
                <w:color w:val="auto"/>
                <w:kern w:val="0"/>
                <w:szCs w:val="21"/>
                <w:highlight w:val="none"/>
                <w:lang w:val="en-US" w:eastAsia="zh-CN"/>
              </w:rPr>
              <w:t>9</w:t>
            </w:r>
            <w:r>
              <w:rPr>
                <w:rFonts w:hint="eastAsia" w:ascii="宋体" w:hAnsi="宋体" w:cs="宋体"/>
                <w:color w:val="auto"/>
                <w:kern w:val="0"/>
                <w:szCs w:val="21"/>
                <w:highlight w:val="none"/>
              </w:rPr>
              <w:t>分）</w:t>
            </w:r>
          </w:p>
        </w:tc>
        <w:tc>
          <w:tcPr>
            <w:tcW w:w="1088" w:type="dxa"/>
            <w:tcBorders>
              <w:top w:val="single" w:color="auto" w:sz="6" w:space="0"/>
              <w:left w:val="single" w:color="auto" w:sz="6" w:space="0"/>
              <w:bottom w:val="single" w:color="auto" w:sz="6" w:space="0"/>
              <w:right w:val="single" w:color="auto" w:sz="6" w:space="0"/>
            </w:tcBorders>
            <w:vAlign w:val="center"/>
          </w:tcPr>
          <w:p>
            <w:pPr>
              <w:widowControl/>
              <w:ind w:left="0" w:leftChars="0" w:firstLine="0" w:firstLineChars="0"/>
              <w:jc w:val="center"/>
              <w:rPr>
                <w:rFonts w:ascii="宋体" w:hAnsi="宋体" w:cs="宋体"/>
                <w:color w:val="auto"/>
                <w:kern w:val="0"/>
                <w:szCs w:val="21"/>
                <w:highlight w:val="none"/>
              </w:rPr>
            </w:pPr>
            <w:r>
              <w:rPr>
                <w:rFonts w:hint="eastAsia" w:ascii="宋体" w:hAnsi="宋体" w:cs="宋体"/>
                <w:color w:val="auto"/>
                <w:kern w:val="0"/>
                <w:szCs w:val="21"/>
                <w:highlight w:val="none"/>
                <w:u w:val="single"/>
              </w:rPr>
              <w:t>6.1-</w:t>
            </w:r>
            <w:r>
              <w:rPr>
                <w:rFonts w:hint="eastAsia" w:hAnsi="宋体" w:cs="宋体"/>
                <w:color w:val="auto"/>
                <w:kern w:val="0"/>
                <w:szCs w:val="21"/>
                <w:highlight w:val="none"/>
                <w:u w:val="single"/>
                <w:lang w:val="en-US" w:eastAsia="zh-CN"/>
              </w:rPr>
              <w:t>9</w:t>
            </w:r>
            <w:r>
              <w:rPr>
                <w:rFonts w:hint="eastAsia" w:ascii="宋体" w:hAnsi="宋体" w:cs="宋体"/>
                <w:color w:val="auto"/>
                <w:kern w:val="0"/>
                <w:szCs w:val="21"/>
                <w:highlight w:val="none"/>
              </w:rPr>
              <w:t>分</w:t>
            </w:r>
          </w:p>
        </w:tc>
        <w:tc>
          <w:tcPr>
            <w:tcW w:w="3491"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210"/>
              <w:rPr>
                <w:rFonts w:ascii="宋体" w:hAnsi="宋体" w:cs="宋体"/>
                <w:color w:val="auto"/>
                <w:kern w:val="0"/>
                <w:szCs w:val="21"/>
                <w:highlight w:val="none"/>
              </w:rPr>
            </w:pPr>
            <w:r>
              <w:rPr>
                <w:rFonts w:hint="eastAsia" w:ascii="宋体" w:hAnsi="宋体" w:cs="宋体"/>
                <w:color w:val="auto"/>
                <w:kern w:val="0"/>
                <w:szCs w:val="21"/>
                <w:highlight w:val="none"/>
              </w:rPr>
              <w:t>为完成本项目要求，拟投入设备清单中设备完备、先进。</w:t>
            </w:r>
          </w:p>
        </w:tc>
        <w:tc>
          <w:tcPr>
            <w:tcW w:w="2023" w:type="dxa"/>
            <w:gridSpan w:val="2"/>
            <w:vMerge w:val="restart"/>
            <w:tcBorders>
              <w:left w:val="single" w:color="auto" w:sz="6" w:space="0"/>
              <w:right w:val="single" w:color="auto" w:sz="6" w:space="0"/>
            </w:tcBorders>
            <w:vAlign w:val="center"/>
          </w:tcPr>
          <w:p>
            <w:pPr>
              <w:spacing w:line="240" w:lineRule="exact"/>
              <w:ind w:firstLine="210"/>
              <w:rPr>
                <w:rFonts w:ascii="宋体" w:hAnsi="宋体"/>
                <w:color w:val="auto"/>
                <w:szCs w:val="21"/>
                <w:highlight w:val="none"/>
              </w:rPr>
            </w:pPr>
            <w:r>
              <w:rPr>
                <w:rFonts w:hint="eastAsia" w:ascii="宋体" w:hAnsi="宋体" w:cs="宋体"/>
                <w:color w:val="auto"/>
                <w:kern w:val="0"/>
                <w:szCs w:val="21"/>
                <w:highlight w:val="none"/>
              </w:rPr>
              <w:t>根据投标人拟投入设备清单中设备是否满足项目需求，如采样设施（船舶及采样器材）、测量设备（无人机及测深仪）及样品测定设备（本项目所有指标的测试设备）等的完整性、先进性进行综合评分。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700" w:type="dxa"/>
            <w:vMerge w:val="continue"/>
            <w:tcBorders>
              <w:left w:val="single" w:color="auto" w:sz="6" w:space="0"/>
              <w:bottom w:val="single" w:color="auto" w:sz="6" w:space="0"/>
              <w:right w:val="single" w:color="auto" w:sz="6" w:space="0"/>
            </w:tcBorders>
            <w:vAlign w:val="center"/>
          </w:tcPr>
          <w:p>
            <w:pPr>
              <w:spacing w:line="300" w:lineRule="exact"/>
              <w:ind w:firstLine="210"/>
              <w:jc w:val="center"/>
              <w:rPr>
                <w:rFonts w:ascii="宋体" w:hAnsi="宋体"/>
                <w:color w:val="auto"/>
                <w:highlight w:val="none"/>
              </w:rPr>
            </w:pPr>
          </w:p>
        </w:tc>
        <w:tc>
          <w:tcPr>
            <w:tcW w:w="2503" w:type="dxa"/>
            <w:gridSpan w:val="3"/>
            <w:vMerge w:val="continue"/>
            <w:tcBorders>
              <w:left w:val="single" w:color="auto" w:sz="6" w:space="0"/>
              <w:bottom w:val="single" w:color="auto" w:sz="6" w:space="0"/>
              <w:right w:val="single" w:color="auto" w:sz="6" w:space="0"/>
            </w:tcBorders>
            <w:vAlign w:val="center"/>
          </w:tcPr>
          <w:p>
            <w:pPr>
              <w:widowControl/>
              <w:ind w:firstLine="210"/>
              <w:jc w:val="left"/>
              <w:rPr>
                <w:rFonts w:ascii="宋体" w:hAnsi="宋体" w:cs="宋体"/>
                <w:color w:val="auto"/>
                <w:kern w:val="0"/>
                <w:szCs w:val="21"/>
                <w:highlight w:val="none"/>
              </w:rPr>
            </w:pPr>
          </w:p>
        </w:tc>
        <w:tc>
          <w:tcPr>
            <w:tcW w:w="1088" w:type="dxa"/>
            <w:tcBorders>
              <w:top w:val="single" w:color="auto" w:sz="6" w:space="0"/>
              <w:left w:val="single" w:color="auto" w:sz="6" w:space="0"/>
              <w:bottom w:val="single" w:color="auto" w:sz="4" w:space="0"/>
              <w:right w:val="single" w:color="auto" w:sz="6" w:space="0"/>
            </w:tcBorders>
            <w:vAlign w:val="center"/>
          </w:tcPr>
          <w:p>
            <w:pPr>
              <w:widowControl/>
              <w:ind w:left="0" w:leftChars="0" w:firstLine="0" w:firstLineChars="0"/>
              <w:jc w:val="center"/>
              <w:rPr>
                <w:rFonts w:ascii="宋体" w:hAnsi="宋体" w:cs="宋体"/>
                <w:color w:val="auto"/>
                <w:kern w:val="0"/>
                <w:szCs w:val="21"/>
                <w:highlight w:val="none"/>
              </w:rPr>
            </w:pPr>
            <w:r>
              <w:rPr>
                <w:rFonts w:hint="eastAsia" w:ascii="宋体" w:hAnsi="宋体" w:cs="宋体"/>
                <w:color w:val="auto"/>
                <w:kern w:val="0"/>
                <w:szCs w:val="21"/>
                <w:highlight w:val="none"/>
                <w:u w:val="single"/>
                <w:lang w:val="en-US" w:eastAsia="zh-CN"/>
              </w:rPr>
              <w:t>3.1</w:t>
            </w:r>
            <w:r>
              <w:rPr>
                <w:rFonts w:hint="eastAsia" w:ascii="宋体" w:hAnsi="宋体" w:cs="宋体"/>
                <w:color w:val="auto"/>
                <w:kern w:val="0"/>
                <w:szCs w:val="21"/>
                <w:highlight w:val="none"/>
                <w:u w:val="single"/>
              </w:rPr>
              <w:t>-6</w:t>
            </w:r>
            <w:r>
              <w:rPr>
                <w:rFonts w:hint="eastAsia" w:ascii="宋体" w:hAnsi="宋体" w:cs="宋体"/>
                <w:color w:val="auto"/>
                <w:kern w:val="0"/>
                <w:szCs w:val="21"/>
                <w:highlight w:val="none"/>
              </w:rPr>
              <w:t>分</w:t>
            </w:r>
          </w:p>
        </w:tc>
        <w:tc>
          <w:tcPr>
            <w:tcW w:w="3491" w:type="dxa"/>
            <w:tcBorders>
              <w:top w:val="single" w:color="auto" w:sz="6" w:space="0"/>
              <w:left w:val="single" w:color="auto" w:sz="6" w:space="0"/>
              <w:bottom w:val="single" w:color="auto" w:sz="4" w:space="0"/>
              <w:right w:val="single" w:color="auto" w:sz="6" w:space="0"/>
            </w:tcBorders>
            <w:vAlign w:val="center"/>
          </w:tcPr>
          <w:p>
            <w:pPr>
              <w:widowControl/>
              <w:spacing w:line="300" w:lineRule="exact"/>
              <w:ind w:firstLine="210"/>
              <w:rPr>
                <w:rFonts w:ascii="宋体" w:hAnsi="宋体" w:cs="宋体"/>
                <w:color w:val="auto"/>
                <w:kern w:val="0"/>
                <w:szCs w:val="21"/>
                <w:highlight w:val="none"/>
              </w:rPr>
            </w:pPr>
            <w:r>
              <w:rPr>
                <w:rFonts w:hint="eastAsia" w:ascii="宋体" w:hAnsi="宋体" w:cs="宋体"/>
                <w:color w:val="auto"/>
                <w:kern w:val="0"/>
                <w:szCs w:val="21"/>
                <w:highlight w:val="none"/>
              </w:rPr>
              <w:t>为完成本项目工作需求，拟投入设备清单中设备基本满足跟踪监测要求。</w:t>
            </w:r>
          </w:p>
        </w:tc>
        <w:tc>
          <w:tcPr>
            <w:tcW w:w="2023" w:type="dxa"/>
            <w:gridSpan w:val="2"/>
            <w:vMerge w:val="continue"/>
            <w:tcBorders>
              <w:left w:val="single" w:color="auto" w:sz="6" w:space="0"/>
              <w:bottom w:val="single" w:color="auto" w:sz="6" w:space="0"/>
              <w:right w:val="single" w:color="auto" w:sz="6" w:space="0"/>
            </w:tcBorders>
            <w:vAlign w:val="center"/>
          </w:tcPr>
          <w:p>
            <w:pPr>
              <w:spacing w:line="240" w:lineRule="exact"/>
              <w:ind w:firstLine="210"/>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9" w:hRule="atLeast"/>
          <w:jc w:val="center"/>
        </w:trPr>
        <w:tc>
          <w:tcPr>
            <w:tcW w:w="700" w:type="dxa"/>
            <w:vMerge w:val="continue"/>
            <w:tcBorders>
              <w:left w:val="single" w:color="auto" w:sz="6" w:space="0"/>
              <w:bottom w:val="single" w:color="auto" w:sz="6" w:space="0"/>
              <w:right w:val="single" w:color="auto" w:sz="6" w:space="0"/>
            </w:tcBorders>
            <w:vAlign w:val="center"/>
          </w:tcPr>
          <w:p>
            <w:pPr>
              <w:spacing w:line="300" w:lineRule="exact"/>
              <w:ind w:firstLine="210"/>
              <w:jc w:val="center"/>
              <w:rPr>
                <w:rFonts w:ascii="宋体" w:hAnsi="宋体"/>
                <w:color w:val="auto"/>
                <w:highlight w:val="none"/>
              </w:rPr>
            </w:pPr>
          </w:p>
        </w:tc>
        <w:tc>
          <w:tcPr>
            <w:tcW w:w="2503" w:type="dxa"/>
            <w:gridSpan w:val="3"/>
            <w:vMerge w:val="continue"/>
            <w:tcBorders>
              <w:left w:val="single" w:color="auto" w:sz="6" w:space="0"/>
              <w:bottom w:val="single" w:color="auto" w:sz="6" w:space="0"/>
              <w:right w:val="single" w:color="auto" w:sz="6" w:space="0"/>
            </w:tcBorders>
            <w:vAlign w:val="center"/>
          </w:tcPr>
          <w:p>
            <w:pPr>
              <w:widowControl/>
              <w:ind w:firstLine="210"/>
              <w:jc w:val="left"/>
              <w:rPr>
                <w:rFonts w:ascii="宋体" w:hAnsi="宋体" w:cs="宋体"/>
                <w:color w:val="auto"/>
                <w:kern w:val="0"/>
                <w:szCs w:val="21"/>
                <w:highlight w:val="none"/>
              </w:rPr>
            </w:pPr>
          </w:p>
        </w:tc>
        <w:tc>
          <w:tcPr>
            <w:tcW w:w="1088" w:type="dxa"/>
            <w:tcBorders>
              <w:top w:val="single" w:color="auto" w:sz="4" w:space="0"/>
              <w:left w:val="single" w:color="auto" w:sz="6" w:space="0"/>
              <w:bottom w:val="single" w:color="auto" w:sz="6" w:space="0"/>
              <w:right w:val="single" w:color="auto" w:sz="6" w:space="0"/>
            </w:tcBorders>
            <w:vAlign w:val="center"/>
          </w:tcPr>
          <w:p>
            <w:pPr>
              <w:widowControl/>
              <w:ind w:left="0" w:leftChars="0" w:firstLine="0" w:firstLineChars="0"/>
              <w:jc w:val="center"/>
              <w:rPr>
                <w:rFonts w:hint="default" w:ascii="宋体" w:hAnsi="宋体" w:eastAsia="宋体" w:cs="宋体"/>
                <w:color w:val="auto"/>
                <w:kern w:val="0"/>
                <w:szCs w:val="21"/>
                <w:highlight w:val="none"/>
                <w:u w:val="single"/>
                <w:lang w:val="en-US" w:eastAsia="zh-CN"/>
              </w:rPr>
            </w:pPr>
            <w:r>
              <w:rPr>
                <w:rFonts w:hint="eastAsia" w:ascii="宋体" w:hAnsi="宋体" w:cs="宋体"/>
                <w:color w:val="auto"/>
                <w:kern w:val="0"/>
                <w:szCs w:val="21"/>
                <w:highlight w:val="none"/>
                <w:u w:val="single"/>
                <w:lang w:val="en-US" w:eastAsia="zh-CN"/>
              </w:rPr>
              <w:t>0-3分</w:t>
            </w:r>
          </w:p>
        </w:tc>
        <w:tc>
          <w:tcPr>
            <w:tcW w:w="3491" w:type="dxa"/>
            <w:tcBorders>
              <w:top w:val="single" w:color="auto" w:sz="4" w:space="0"/>
              <w:left w:val="single" w:color="auto" w:sz="6" w:space="0"/>
              <w:bottom w:val="single" w:color="auto" w:sz="6" w:space="0"/>
              <w:right w:val="single" w:color="auto" w:sz="6" w:space="0"/>
            </w:tcBorders>
            <w:vAlign w:val="center"/>
          </w:tcPr>
          <w:p>
            <w:pPr>
              <w:widowControl/>
              <w:spacing w:line="300" w:lineRule="exact"/>
              <w:ind w:firstLine="21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拟投入设备清单中设备</w:t>
            </w:r>
            <w:r>
              <w:rPr>
                <w:rFonts w:hint="eastAsia" w:hAnsi="宋体" w:cs="宋体"/>
                <w:color w:val="auto"/>
                <w:kern w:val="0"/>
                <w:szCs w:val="21"/>
                <w:highlight w:val="none"/>
                <w:lang w:eastAsia="zh-CN"/>
              </w:rPr>
              <w:t>不能</w:t>
            </w:r>
            <w:r>
              <w:rPr>
                <w:rFonts w:hint="eastAsia" w:ascii="宋体" w:hAnsi="宋体" w:cs="宋体"/>
                <w:color w:val="auto"/>
                <w:kern w:val="0"/>
                <w:szCs w:val="21"/>
                <w:highlight w:val="none"/>
              </w:rPr>
              <w:t>满足跟踪监测要求</w:t>
            </w:r>
            <w:r>
              <w:rPr>
                <w:rFonts w:hint="eastAsia" w:hAnsi="宋体" w:cs="宋体"/>
                <w:color w:val="auto"/>
                <w:kern w:val="0"/>
                <w:szCs w:val="21"/>
                <w:highlight w:val="none"/>
                <w:lang w:eastAsia="zh-CN"/>
              </w:rPr>
              <w:t>。</w:t>
            </w:r>
          </w:p>
        </w:tc>
        <w:tc>
          <w:tcPr>
            <w:tcW w:w="2023" w:type="dxa"/>
            <w:gridSpan w:val="2"/>
            <w:vMerge w:val="continue"/>
            <w:tcBorders>
              <w:left w:val="single" w:color="auto" w:sz="6" w:space="0"/>
              <w:bottom w:val="single" w:color="auto" w:sz="6" w:space="0"/>
              <w:right w:val="single" w:color="auto" w:sz="6" w:space="0"/>
            </w:tcBorders>
            <w:vAlign w:val="center"/>
          </w:tcPr>
          <w:p>
            <w:pPr>
              <w:spacing w:line="240" w:lineRule="exact"/>
              <w:ind w:firstLine="210"/>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3" w:hRule="atLeast"/>
          <w:jc w:val="center"/>
        </w:trPr>
        <w:tc>
          <w:tcPr>
            <w:tcW w:w="700" w:type="dxa"/>
            <w:vMerge w:val="restart"/>
            <w:tcBorders>
              <w:top w:val="single" w:color="auto" w:sz="6" w:space="0"/>
              <w:left w:val="single" w:color="auto" w:sz="6" w:space="0"/>
              <w:bottom w:val="single" w:color="auto" w:sz="6" w:space="0"/>
              <w:right w:val="single" w:color="auto" w:sz="6" w:space="0"/>
            </w:tcBorders>
            <w:vAlign w:val="center"/>
          </w:tcPr>
          <w:p>
            <w:pPr>
              <w:spacing w:line="300" w:lineRule="exact"/>
              <w:ind w:firstLine="0" w:firstLineChars="0"/>
              <w:jc w:val="center"/>
              <w:rPr>
                <w:rFonts w:ascii="宋体" w:hAnsi="宋体"/>
                <w:color w:val="auto"/>
                <w:highlight w:val="none"/>
              </w:rPr>
            </w:pPr>
            <w:r>
              <w:rPr>
                <w:rFonts w:hint="eastAsia" w:ascii="宋体" w:hAnsi="宋体"/>
                <w:color w:val="auto"/>
                <w:highlight w:val="none"/>
              </w:rPr>
              <w:t>4</w:t>
            </w:r>
          </w:p>
        </w:tc>
        <w:tc>
          <w:tcPr>
            <w:tcW w:w="1213" w:type="dxa"/>
            <w:vMerge w:val="restart"/>
            <w:tcBorders>
              <w:top w:val="single" w:color="auto" w:sz="6" w:space="0"/>
              <w:left w:val="single" w:color="auto" w:sz="6" w:space="0"/>
              <w:bottom w:val="single" w:color="auto" w:sz="6" w:space="0"/>
              <w:right w:val="single" w:color="auto" w:sz="6" w:space="0"/>
            </w:tcBorders>
            <w:vAlign w:val="center"/>
          </w:tcPr>
          <w:p>
            <w:pPr>
              <w:spacing w:line="280" w:lineRule="exact"/>
              <w:ind w:firstLine="0" w:firstLineChars="0"/>
              <w:jc w:val="left"/>
              <w:rPr>
                <w:rFonts w:ascii="宋体" w:hAnsi="宋体"/>
                <w:color w:val="auto"/>
                <w:szCs w:val="21"/>
                <w:highlight w:val="none"/>
              </w:rPr>
            </w:pPr>
            <w:r>
              <w:rPr>
                <w:rFonts w:hint="eastAsia" w:ascii="宋体" w:hAnsi="宋体"/>
                <w:color w:val="auto"/>
                <w:szCs w:val="21"/>
                <w:highlight w:val="none"/>
              </w:rPr>
              <w:t>质量保证措施及服务方案</w:t>
            </w:r>
            <w:r>
              <w:rPr>
                <w:rFonts w:hint="eastAsia" w:ascii="宋体" w:hAnsi="宋体" w:cs="宋体"/>
                <w:color w:val="auto"/>
                <w:szCs w:val="21"/>
                <w:highlight w:val="none"/>
              </w:rPr>
              <w:t>（</w:t>
            </w:r>
            <w:r>
              <w:rPr>
                <w:rFonts w:hint="eastAsia" w:hAnsi="宋体" w:cs="宋体"/>
                <w:color w:val="auto"/>
                <w:szCs w:val="21"/>
                <w:highlight w:val="none"/>
                <w:lang w:val="en-US" w:eastAsia="zh-CN"/>
              </w:rPr>
              <w:t>15</w:t>
            </w:r>
            <w:r>
              <w:rPr>
                <w:rFonts w:hint="eastAsia" w:ascii="宋体" w:hAnsi="宋体" w:cs="宋体"/>
                <w:color w:val="auto"/>
                <w:szCs w:val="21"/>
                <w:highlight w:val="none"/>
              </w:rPr>
              <w:t>分）</w:t>
            </w:r>
          </w:p>
        </w:tc>
        <w:tc>
          <w:tcPr>
            <w:tcW w:w="1290" w:type="dxa"/>
            <w:gridSpan w:val="2"/>
            <w:vMerge w:val="restart"/>
            <w:tcBorders>
              <w:top w:val="single" w:color="auto" w:sz="6" w:space="0"/>
              <w:left w:val="single" w:color="auto" w:sz="6" w:space="0"/>
              <w:bottom w:val="single" w:color="auto" w:sz="6" w:space="0"/>
              <w:right w:val="single" w:color="auto" w:sz="6" w:space="0"/>
            </w:tcBorders>
            <w:vAlign w:val="center"/>
          </w:tcPr>
          <w:p>
            <w:pPr>
              <w:spacing w:line="300" w:lineRule="exact"/>
              <w:ind w:firstLine="0" w:firstLineChars="0"/>
              <w:rPr>
                <w:rFonts w:hint="eastAsia" w:ascii="宋体" w:hAnsi="宋体" w:cs="宋体"/>
                <w:color w:val="auto"/>
                <w:szCs w:val="21"/>
                <w:highlight w:val="none"/>
              </w:rPr>
            </w:pPr>
            <w:r>
              <w:rPr>
                <w:rFonts w:hint="eastAsia" w:ascii="宋体" w:hAnsi="宋体" w:cs="宋体"/>
                <w:color w:val="auto"/>
                <w:szCs w:val="21"/>
                <w:highlight w:val="none"/>
              </w:rPr>
              <w:t>项目质量保证措施</w:t>
            </w:r>
          </w:p>
          <w:p>
            <w:pPr>
              <w:spacing w:line="300" w:lineRule="exact"/>
              <w:ind w:firstLine="0" w:firstLineChars="0"/>
              <w:rPr>
                <w:rFonts w:hint="eastAsia" w:ascii="宋体" w:hAnsi="宋体" w:eastAsia="宋体" w:cs="宋体"/>
                <w:color w:val="auto"/>
                <w:szCs w:val="21"/>
                <w:highlight w:val="none"/>
                <w:lang w:eastAsia="zh-CN"/>
              </w:rPr>
            </w:pPr>
            <w:r>
              <w:rPr>
                <w:rFonts w:hint="eastAsia" w:hAnsi="宋体" w:cs="宋体"/>
                <w:color w:val="auto"/>
                <w:szCs w:val="21"/>
                <w:highlight w:val="none"/>
                <w:lang w:eastAsia="zh-CN"/>
              </w:rPr>
              <w:t>（</w:t>
            </w:r>
            <w:r>
              <w:rPr>
                <w:rFonts w:hint="eastAsia" w:hAnsi="宋体" w:cs="宋体"/>
                <w:color w:val="auto"/>
                <w:szCs w:val="21"/>
                <w:highlight w:val="none"/>
                <w:lang w:val="en-US" w:eastAsia="zh-CN"/>
              </w:rPr>
              <w:t>5分</w:t>
            </w:r>
            <w:r>
              <w:rPr>
                <w:rFonts w:hint="eastAsia" w:hAnsi="宋体" w:cs="宋体"/>
                <w:color w:val="auto"/>
                <w:szCs w:val="21"/>
                <w:highlight w:val="none"/>
                <w:lang w:eastAsia="zh-CN"/>
              </w:rPr>
              <w:t>）</w:t>
            </w:r>
          </w:p>
        </w:tc>
        <w:tc>
          <w:tcPr>
            <w:tcW w:w="1088" w:type="dxa"/>
            <w:tcBorders>
              <w:top w:val="single" w:color="auto" w:sz="6" w:space="0"/>
              <w:left w:val="single" w:color="auto" w:sz="6" w:space="0"/>
              <w:bottom w:val="single" w:color="auto" w:sz="6" w:space="0"/>
              <w:right w:val="single" w:color="auto" w:sz="6" w:space="0"/>
            </w:tcBorders>
            <w:vAlign w:val="center"/>
          </w:tcPr>
          <w:p>
            <w:pPr>
              <w:spacing w:line="300" w:lineRule="exact"/>
              <w:ind w:firstLine="0" w:firstLineChars="0"/>
              <w:jc w:val="center"/>
              <w:rPr>
                <w:rFonts w:ascii="宋体" w:hAnsi="宋体" w:cs="宋体"/>
                <w:color w:val="auto"/>
                <w:szCs w:val="21"/>
                <w:highlight w:val="none"/>
              </w:rPr>
            </w:pPr>
            <w:r>
              <w:rPr>
                <w:rFonts w:hint="eastAsia" w:hAnsi="宋体" w:cs="宋体"/>
                <w:color w:val="auto"/>
                <w:szCs w:val="21"/>
                <w:highlight w:val="none"/>
                <w:u w:val="single"/>
                <w:lang w:val="en-US" w:eastAsia="zh-CN"/>
              </w:rPr>
              <w:t>3.6</w:t>
            </w:r>
            <w:r>
              <w:rPr>
                <w:rFonts w:hint="eastAsia" w:ascii="宋体" w:hAnsi="宋体" w:cs="宋体"/>
                <w:color w:val="auto"/>
                <w:szCs w:val="21"/>
                <w:highlight w:val="none"/>
                <w:u w:val="single"/>
              </w:rPr>
              <w:t>-5</w:t>
            </w:r>
            <w:r>
              <w:rPr>
                <w:rFonts w:hint="eastAsia" w:ascii="宋体" w:hAnsi="宋体" w:cs="宋体"/>
                <w:color w:val="auto"/>
                <w:szCs w:val="21"/>
                <w:highlight w:val="none"/>
              </w:rPr>
              <w:t>分</w:t>
            </w:r>
          </w:p>
        </w:tc>
        <w:tc>
          <w:tcPr>
            <w:tcW w:w="3491" w:type="dxa"/>
            <w:tcBorders>
              <w:top w:val="single" w:color="auto" w:sz="6" w:space="0"/>
              <w:left w:val="single" w:color="auto" w:sz="6" w:space="0"/>
              <w:bottom w:val="single" w:color="auto" w:sz="6" w:space="0"/>
              <w:right w:val="single" w:color="auto" w:sz="6" w:space="0"/>
            </w:tcBorders>
            <w:vAlign w:val="center"/>
          </w:tcPr>
          <w:p>
            <w:pPr>
              <w:spacing w:line="300" w:lineRule="exact"/>
              <w:ind w:firstLine="210"/>
              <w:rPr>
                <w:rFonts w:ascii="宋体" w:hAnsi="宋体" w:cs="宋体"/>
                <w:color w:val="auto"/>
                <w:szCs w:val="21"/>
                <w:highlight w:val="none"/>
              </w:rPr>
            </w:pPr>
            <w:r>
              <w:rPr>
                <w:rFonts w:hint="eastAsia" w:ascii="宋体" w:hAnsi="宋体" w:cs="宋体"/>
                <w:color w:val="auto"/>
                <w:szCs w:val="21"/>
                <w:highlight w:val="none"/>
              </w:rPr>
              <w:t>提供为本项目策划的质量保证大纲，质保大纲内容完整、描述清晰。</w:t>
            </w:r>
          </w:p>
        </w:tc>
        <w:tc>
          <w:tcPr>
            <w:tcW w:w="2023" w:type="dxa"/>
            <w:gridSpan w:val="2"/>
            <w:vMerge w:val="restart"/>
            <w:tcBorders>
              <w:top w:val="single" w:color="auto" w:sz="6" w:space="0"/>
              <w:left w:val="single" w:color="auto" w:sz="6" w:space="0"/>
              <w:bottom w:val="single" w:color="auto" w:sz="6" w:space="0"/>
              <w:right w:val="single" w:color="auto" w:sz="6" w:space="0"/>
            </w:tcBorders>
            <w:vAlign w:val="center"/>
          </w:tcPr>
          <w:p>
            <w:pPr>
              <w:spacing w:line="240" w:lineRule="exact"/>
              <w:ind w:firstLine="210"/>
              <w:rPr>
                <w:rFonts w:ascii="宋体" w:hAnsi="宋体"/>
                <w:color w:val="auto"/>
                <w:szCs w:val="21"/>
                <w:highlight w:val="none"/>
              </w:rPr>
            </w:pPr>
            <w:r>
              <w:rPr>
                <w:rFonts w:hint="eastAsia" w:ascii="宋体" w:hAnsi="宋体" w:cs="宋体"/>
                <w:color w:val="auto"/>
                <w:szCs w:val="21"/>
                <w:highlight w:val="none"/>
              </w:rPr>
              <w:t>对提供的质量保证内容进行综合评议。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4" w:hRule="atLeast"/>
          <w:jc w:val="center"/>
        </w:trPr>
        <w:tc>
          <w:tcPr>
            <w:tcW w:w="700" w:type="dxa"/>
            <w:vMerge w:val="continue"/>
            <w:tcBorders>
              <w:top w:val="single" w:color="auto" w:sz="6" w:space="0"/>
              <w:left w:val="single" w:color="auto" w:sz="6" w:space="0"/>
              <w:bottom w:val="single" w:color="auto" w:sz="6" w:space="0"/>
              <w:right w:val="single" w:color="auto" w:sz="6" w:space="0"/>
            </w:tcBorders>
            <w:vAlign w:val="center"/>
          </w:tcPr>
          <w:p>
            <w:pPr>
              <w:spacing w:line="300" w:lineRule="exact"/>
              <w:ind w:firstLine="210"/>
              <w:jc w:val="center"/>
              <w:rPr>
                <w:rFonts w:ascii="宋体" w:hAnsi="宋体"/>
                <w:color w:val="auto"/>
                <w:highlight w:val="none"/>
              </w:rPr>
            </w:pPr>
          </w:p>
        </w:tc>
        <w:tc>
          <w:tcPr>
            <w:tcW w:w="1213" w:type="dxa"/>
            <w:vMerge w:val="continue"/>
            <w:tcBorders>
              <w:top w:val="single" w:color="auto" w:sz="6" w:space="0"/>
              <w:left w:val="single" w:color="auto" w:sz="6" w:space="0"/>
              <w:bottom w:val="single" w:color="auto" w:sz="6" w:space="0"/>
              <w:right w:val="single" w:color="auto" w:sz="6" w:space="0"/>
            </w:tcBorders>
            <w:vAlign w:val="center"/>
          </w:tcPr>
          <w:p>
            <w:pPr>
              <w:spacing w:line="280" w:lineRule="exact"/>
              <w:ind w:firstLine="210"/>
              <w:jc w:val="left"/>
              <w:rPr>
                <w:rFonts w:ascii="宋体" w:hAnsi="宋体"/>
                <w:color w:val="auto"/>
                <w:szCs w:val="21"/>
                <w:highlight w:val="none"/>
              </w:rPr>
            </w:pPr>
          </w:p>
        </w:tc>
        <w:tc>
          <w:tcPr>
            <w:tcW w:w="1290" w:type="dxa"/>
            <w:gridSpan w:val="2"/>
            <w:vMerge w:val="continue"/>
            <w:tcBorders>
              <w:top w:val="single" w:color="auto" w:sz="6" w:space="0"/>
              <w:left w:val="single" w:color="auto" w:sz="6" w:space="0"/>
              <w:bottom w:val="single" w:color="auto" w:sz="6" w:space="0"/>
              <w:right w:val="single" w:color="auto" w:sz="6" w:space="0"/>
            </w:tcBorders>
            <w:vAlign w:val="center"/>
          </w:tcPr>
          <w:p>
            <w:pPr>
              <w:spacing w:line="300" w:lineRule="exact"/>
              <w:ind w:firstLine="0" w:firstLineChars="0"/>
              <w:rPr>
                <w:rFonts w:ascii="宋体" w:hAnsi="宋体" w:cs="宋体"/>
                <w:color w:val="auto"/>
                <w:szCs w:val="21"/>
                <w:highlight w:val="none"/>
              </w:rPr>
            </w:pPr>
          </w:p>
        </w:tc>
        <w:tc>
          <w:tcPr>
            <w:tcW w:w="1088" w:type="dxa"/>
            <w:tcBorders>
              <w:top w:val="single" w:color="auto" w:sz="6" w:space="0"/>
              <w:left w:val="single" w:color="auto" w:sz="6" w:space="0"/>
              <w:bottom w:val="single" w:color="auto" w:sz="4" w:space="0"/>
              <w:right w:val="single" w:color="auto" w:sz="6" w:space="0"/>
            </w:tcBorders>
            <w:vAlign w:val="center"/>
          </w:tcPr>
          <w:p>
            <w:pPr>
              <w:spacing w:line="300" w:lineRule="exact"/>
              <w:ind w:firstLine="0" w:firstLineChars="0"/>
              <w:jc w:val="center"/>
              <w:rPr>
                <w:rFonts w:ascii="宋体" w:hAnsi="宋体" w:cs="宋体"/>
                <w:color w:val="auto"/>
                <w:szCs w:val="21"/>
                <w:highlight w:val="none"/>
              </w:rPr>
            </w:pPr>
            <w:r>
              <w:rPr>
                <w:rFonts w:hint="eastAsia" w:hAnsi="宋体" w:cs="宋体"/>
                <w:color w:val="auto"/>
                <w:szCs w:val="21"/>
                <w:highlight w:val="none"/>
                <w:u w:val="single"/>
                <w:lang w:val="en-US" w:eastAsia="zh-CN"/>
              </w:rPr>
              <w:t>2</w:t>
            </w:r>
            <w:r>
              <w:rPr>
                <w:rFonts w:hint="eastAsia" w:ascii="宋体" w:hAnsi="宋体" w:cs="宋体"/>
                <w:color w:val="auto"/>
                <w:szCs w:val="21"/>
                <w:highlight w:val="none"/>
                <w:u w:val="single"/>
              </w:rPr>
              <w:t>-</w:t>
            </w:r>
            <w:r>
              <w:rPr>
                <w:rFonts w:hint="eastAsia" w:hAnsi="宋体" w:cs="宋体"/>
                <w:color w:val="auto"/>
                <w:szCs w:val="21"/>
                <w:highlight w:val="none"/>
                <w:u w:val="single"/>
                <w:lang w:val="en-US" w:eastAsia="zh-CN"/>
              </w:rPr>
              <w:t>3.5</w:t>
            </w:r>
            <w:r>
              <w:rPr>
                <w:rFonts w:hint="eastAsia" w:ascii="宋体" w:hAnsi="宋体" w:cs="宋体"/>
                <w:color w:val="auto"/>
                <w:szCs w:val="21"/>
                <w:highlight w:val="none"/>
              </w:rPr>
              <w:t>分</w:t>
            </w:r>
          </w:p>
        </w:tc>
        <w:tc>
          <w:tcPr>
            <w:tcW w:w="3491" w:type="dxa"/>
            <w:tcBorders>
              <w:top w:val="single" w:color="auto" w:sz="6" w:space="0"/>
              <w:left w:val="single" w:color="auto" w:sz="6" w:space="0"/>
              <w:bottom w:val="single" w:color="auto" w:sz="4" w:space="0"/>
              <w:right w:val="single" w:color="auto" w:sz="6" w:space="0"/>
            </w:tcBorders>
            <w:vAlign w:val="center"/>
          </w:tcPr>
          <w:p>
            <w:pPr>
              <w:spacing w:line="300" w:lineRule="exact"/>
              <w:ind w:firstLine="210"/>
              <w:rPr>
                <w:rFonts w:ascii="宋体" w:hAnsi="宋体" w:cs="宋体"/>
                <w:color w:val="auto"/>
                <w:szCs w:val="21"/>
                <w:highlight w:val="none"/>
              </w:rPr>
            </w:pPr>
            <w:r>
              <w:rPr>
                <w:rFonts w:hint="eastAsia" w:ascii="宋体" w:hAnsi="宋体" w:cs="宋体"/>
                <w:color w:val="auto"/>
                <w:szCs w:val="21"/>
                <w:highlight w:val="none"/>
              </w:rPr>
              <w:t>有较合理的质量和补救措施。</w:t>
            </w:r>
          </w:p>
        </w:tc>
        <w:tc>
          <w:tcPr>
            <w:tcW w:w="2023" w:type="dxa"/>
            <w:gridSpan w:val="2"/>
            <w:vMerge w:val="continue"/>
            <w:tcBorders>
              <w:top w:val="single" w:color="auto" w:sz="6" w:space="0"/>
              <w:left w:val="single" w:color="auto" w:sz="6" w:space="0"/>
              <w:bottom w:val="single" w:color="auto" w:sz="6" w:space="0"/>
              <w:right w:val="single" w:color="auto" w:sz="6" w:space="0"/>
            </w:tcBorders>
            <w:vAlign w:val="center"/>
          </w:tcPr>
          <w:p>
            <w:pPr>
              <w:spacing w:line="240" w:lineRule="exact"/>
              <w:ind w:firstLine="210"/>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700" w:type="dxa"/>
            <w:vMerge w:val="continue"/>
            <w:tcBorders>
              <w:top w:val="single" w:color="auto" w:sz="6" w:space="0"/>
              <w:left w:val="single" w:color="auto" w:sz="6" w:space="0"/>
              <w:bottom w:val="single" w:color="auto" w:sz="6" w:space="0"/>
              <w:right w:val="single" w:color="auto" w:sz="6" w:space="0"/>
            </w:tcBorders>
            <w:vAlign w:val="center"/>
          </w:tcPr>
          <w:p>
            <w:pPr>
              <w:spacing w:line="300" w:lineRule="exact"/>
              <w:ind w:firstLine="210"/>
              <w:jc w:val="center"/>
              <w:rPr>
                <w:rFonts w:ascii="宋体" w:hAnsi="宋体"/>
                <w:color w:val="auto"/>
                <w:highlight w:val="none"/>
              </w:rPr>
            </w:pPr>
          </w:p>
        </w:tc>
        <w:tc>
          <w:tcPr>
            <w:tcW w:w="1213" w:type="dxa"/>
            <w:vMerge w:val="continue"/>
            <w:tcBorders>
              <w:top w:val="single" w:color="auto" w:sz="6" w:space="0"/>
              <w:left w:val="single" w:color="auto" w:sz="6" w:space="0"/>
              <w:bottom w:val="single" w:color="auto" w:sz="6" w:space="0"/>
              <w:right w:val="single" w:color="auto" w:sz="6" w:space="0"/>
            </w:tcBorders>
            <w:vAlign w:val="center"/>
          </w:tcPr>
          <w:p>
            <w:pPr>
              <w:spacing w:line="280" w:lineRule="exact"/>
              <w:ind w:firstLine="210"/>
              <w:jc w:val="left"/>
              <w:rPr>
                <w:rFonts w:ascii="宋体" w:hAnsi="宋体"/>
                <w:color w:val="auto"/>
                <w:szCs w:val="21"/>
                <w:highlight w:val="none"/>
              </w:rPr>
            </w:pPr>
          </w:p>
        </w:tc>
        <w:tc>
          <w:tcPr>
            <w:tcW w:w="1290" w:type="dxa"/>
            <w:gridSpan w:val="2"/>
            <w:vMerge w:val="continue"/>
            <w:tcBorders>
              <w:left w:val="single" w:color="auto" w:sz="6" w:space="0"/>
              <w:bottom w:val="single" w:color="auto" w:sz="6" w:space="0"/>
              <w:right w:val="single" w:color="auto" w:sz="6" w:space="0"/>
            </w:tcBorders>
            <w:vAlign w:val="center"/>
          </w:tcPr>
          <w:p>
            <w:pPr>
              <w:spacing w:line="300" w:lineRule="exact"/>
              <w:ind w:firstLine="0" w:firstLineChars="0"/>
              <w:rPr>
                <w:rFonts w:ascii="宋体" w:hAnsi="宋体" w:cs="宋体"/>
                <w:color w:val="auto"/>
                <w:szCs w:val="21"/>
                <w:highlight w:val="none"/>
              </w:rPr>
            </w:pPr>
          </w:p>
        </w:tc>
        <w:tc>
          <w:tcPr>
            <w:tcW w:w="1088" w:type="dxa"/>
            <w:tcBorders>
              <w:top w:val="single" w:color="auto" w:sz="4" w:space="0"/>
              <w:left w:val="single" w:color="auto" w:sz="6" w:space="0"/>
              <w:bottom w:val="single" w:color="auto" w:sz="6" w:space="0"/>
              <w:right w:val="single" w:color="auto" w:sz="6" w:space="0"/>
            </w:tcBorders>
            <w:vAlign w:val="center"/>
          </w:tcPr>
          <w:p>
            <w:pPr>
              <w:spacing w:line="300" w:lineRule="exact"/>
              <w:ind w:firstLine="0" w:firstLineChars="0"/>
              <w:jc w:val="center"/>
              <w:rPr>
                <w:rFonts w:hint="default" w:ascii="宋体" w:hAnsi="宋体" w:eastAsia="宋体" w:cs="宋体"/>
                <w:color w:val="auto"/>
                <w:szCs w:val="21"/>
                <w:highlight w:val="none"/>
                <w:u w:val="single"/>
                <w:lang w:val="en-US" w:eastAsia="zh-CN"/>
              </w:rPr>
            </w:pPr>
            <w:r>
              <w:rPr>
                <w:rFonts w:hint="eastAsia" w:hAnsi="宋体" w:cs="宋体"/>
                <w:color w:val="auto"/>
                <w:szCs w:val="21"/>
                <w:highlight w:val="none"/>
                <w:u w:val="single"/>
                <w:lang w:val="en-US" w:eastAsia="zh-CN"/>
              </w:rPr>
              <w:t>0-1.9分</w:t>
            </w:r>
          </w:p>
        </w:tc>
        <w:tc>
          <w:tcPr>
            <w:tcW w:w="3491" w:type="dxa"/>
            <w:tcBorders>
              <w:top w:val="single" w:color="auto" w:sz="4" w:space="0"/>
              <w:left w:val="single" w:color="auto" w:sz="6" w:space="0"/>
              <w:bottom w:val="single" w:color="auto" w:sz="6" w:space="0"/>
              <w:right w:val="single" w:color="auto" w:sz="6" w:space="0"/>
            </w:tcBorders>
            <w:vAlign w:val="center"/>
          </w:tcPr>
          <w:p>
            <w:pPr>
              <w:spacing w:line="300" w:lineRule="exact"/>
              <w:ind w:firstLine="210"/>
              <w:rPr>
                <w:rFonts w:hint="eastAsia" w:ascii="宋体" w:hAnsi="宋体" w:cs="宋体"/>
                <w:color w:val="auto"/>
                <w:szCs w:val="21"/>
                <w:highlight w:val="none"/>
              </w:rPr>
            </w:pPr>
            <w:r>
              <w:rPr>
                <w:rFonts w:hint="eastAsia"/>
                <w:bCs/>
                <w:color w:val="auto"/>
                <w:highlight w:val="none"/>
                <w:lang w:eastAsia="zh-CN"/>
              </w:rPr>
              <w:t>质量</w:t>
            </w:r>
            <w:r>
              <w:rPr>
                <w:rFonts w:hint="eastAsia"/>
                <w:bCs/>
                <w:color w:val="auto"/>
                <w:highlight w:val="none"/>
              </w:rPr>
              <w:t>保证措施</w:t>
            </w:r>
            <w:r>
              <w:rPr>
                <w:rFonts w:hint="eastAsia"/>
                <w:bCs/>
                <w:color w:val="auto"/>
                <w:highlight w:val="none"/>
                <w:lang w:eastAsia="zh-CN"/>
              </w:rPr>
              <w:t>一般</w:t>
            </w:r>
            <w:r>
              <w:rPr>
                <w:rFonts w:hint="eastAsia"/>
                <w:bCs/>
                <w:color w:val="auto"/>
                <w:highlight w:val="none"/>
              </w:rPr>
              <w:t>，</w:t>
            </w:r>
            <w:r>
              <w:rPr>
                <w:rFonts w:hint="eastAsia" w:cs="宋体"/>
                <w:color w:val="auto"/>
                <w:kern w:val="2"/>
                <w:highlight w:val="none"/>
              </w:rPr>
              <w:t>没有</w:t>
            </w:r>
            <w:r>
              <w:rPr>
                <w:rFonts w:hint="eastAsia"/>
                <w:color w:val="auto"/>
                <w:highlight w:val="none"/>
              </w:rPr>
              <w:t>保证措施</w:t>
            </w:r>
            <w:r>
              <w:rPr>
                <w:rFonts w:hint="eastAsia"/>
                <w:color w:val="auto"/>
                <w:highlight w:val="none"/>
                <w:lang w:eastAsia="zh-CN"/>
              </w:rPr>
              <w:t>的</w:t>
            </w:r>
            <w:r>
              <w:rPr>
                <w:rFonts w:hint="eastAsia" w:cs="宋体"/>
                <w:color w:val="auto"/>
                <w:kern w:val="2"/>
                <w:highlight w:val="none"/>
              </w:rPr>
              <w:t>不得分。</w:t>
            </w:r>
          </w:p>
        </w:tc>
        <w:tc>
          <w:tcPr>
            <w:tcW w:w="2023" w:type="dxa"/>
            <w:gridSpan w:val="2"/>
            <w:vMerge w:val="continue"/>
            <w:tcBorders>
              <w:left w:val="single" w:color="auto" w:sz="6" w:space="0"/>
              <w:bottom w:val="single" w:color="auto" w:sz="6" w:space="0"/>
              <w:right w:val="single" w:color="auto" w:sz="6" w:space="0"/>
            </w:tcBorders>
            <w:vAlign w:val="center"/>
          </w:tcPr>
          <w:p>
            <w:pPr>
              <w:spacing w:line="240" w:lineRule="exact"/>
              <w:ind w:firstLine="210"/>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2" w:hRule="atLeast"/>
          <w:jc w:val="center"/>
        </w:trPr>
        <w:tc>
          <w:tcPr>
            <w:tcW w:w="700" w:type="dxa"/>
            <w:vMerge w:val="continue"/>
            <w:tcBorders>
              <w:top w:val="single" w:color="auto" w:sz="6" w:space="0"/>
              <w:left w:val="single" w:color="auto" w:sz="6" w:space="0"/>
              <w:bottom w:val="single" w:color="auto" w:sz="6" w:space="0"/>
              <w:right w:val="single" w:color="auto" w:sz="6" w:space="0"/>
            </w:tcBorders>
            <w:vAlign w:val="center"/>
          </w:tcPr>
          <w:p>
            <w:pPr>
              <w:spacing w:line="300" w:lineRule="exact"/>
              <w:ind w:firstLine="210"/>
              <w:jc w:val="center"/>
              <w:rPr>
                <w:rFonts w:ascii="宋体" w:hAnsi="宋体"/>
                <w:color w:val="auto"/>
                <w:highlight w:val="none"/>
              </w:rPr>
            </w:pPr>
          </w:p>
        </w:tc>
        <w:tc>
          <w:tcPr>
            <w:tcW w:w="1213" w:type="dxa"/>
            <w:vMerge w:val="continue"/>
            <w:tcBorders>
              <w:top w:val="single" w:color="auto" w:sz="6" w:space="0"/>
              <w:left w:val="single" w:color="auto" w:sz="6" w:space="0"/>
              <w:bottom w:val="single" w:color="auto" w:sz="6" w:space="0"/>
              <w:right w:val="single" w:color="auto" w:sz="6" w:space="0"/>
            </w:tcBorders>
            <w:vAlign w:val="center"/>
          </w:tcPr>
          <w:p>
            <w:pPr>
              <w:spacing w:line="280" w:lineRule="exact"/>
              <w:ind w:firstLine="210"/>
              <w:jc w:val="left"/>
              <w:rPr>
                <w:rFonts w:ascii="宋体" w:hAnsi="宋体"/>
                <w:color w:val="auto"/>
                <w:szCs w:val="21"/>
                <w:highlight w:val="none"/>
              </w:rPr>
            </w:pPr>
          </w:p>
        </w:tc>
        <w:tc>
          <w:tcPr>
            <w:tcW w:w="1290" w:type="dxa"/>
            <w:gridSpan w:val="2"/>
            <w:vMerge w:val="restart"/>
            <w:tcBorders>
              <w:top w:val="single" w:color="auto" w:sz="6" w:space="0"/>
              <w:left w:val="single" w:color="auto" w:sz="6" w:space="0"/>
              <w:bottom w:val="single" w:color="auto" w:sz="6" w:space="0"/>
              <w:right w:val="single" w:color="auto" w:sz="6" w:space="0"/>
            </w:tcBorders>
            <w:vAlign w:val="center"/>
          </w:tcPr>
          <w:p>
            <w:pPr>
              <w:spacing w:line="240" w:lineRule="exact"/>
              <w:ind w:firstLine="0" w:firstLineChars="0"/>
              <w:rPr>
                <w:rFonts w:hint="eastAsia"/>
                <w:color w:val="auto"/>
                <w:highlight w:val="none"/>
              </w:rPr>
            </w:pPr>
            <w:r>
              <w:rPr>
                <w:rFonts w:hint="eastAsia"/>
                <w:color w:val="auto"/>
                <w:highlight w:val="none"/>
              </w:rPr>
              <w:t>监测数据的整理与分析</w:t>
            </w:r>
          </w:p>
          <w:p>
            <w:pPr>
              <w:pStyle w:val="6"/>
              <w:numPr>
                <w:ilvl w:val="1"/>
                <w:numId w:val="0"/>
              </w:numPr>
              <w:ind w:leftChars="0"/>
              <w:jc w:val="both"/>
              <w:rPr>
                <w:color w:val="auto"/>
                <w:highlight w:val="none"/>
              </w:rPr>
            </w:pPr>
            <w:r>
              <w:rPr>
                <w:rFonts w:hint="eastAsia" w:ascii="宋体" w:hAnsi="宋体" w:eastAsia="宋体" w:cs="宋体"/>
                <w:b w:val="0"/>
                <w:bCs w:val="0"/>
                <w:color w:val="auto"/>
                <w:kern w:val="2"/>
                <w:sz w:val="21"/>
                <w:szCs w:val="21"/>
                <w:highlight w:val="none"/>
                <w:lang w:val="en-US" w:eastAsia="zh-CN" w:bidi="ar-SA"/>
              </w:rPr>
              <w:t>（5分）</w:t>
            </w:r>
          </w:p>
        </w:tc>
        <w:tc>
          <w:tcPr>
            <w:tcW w:w="1088" w:type="dxa"/>
            <w:tcBorders>
              <w:top w:val="single" w:color="auto" w:sz="6" w:space="0"/>
              <w:left w:val="single" w:color="auto" w:sz="6" w:space="0"/>
              <w:bottom w:val="single" w:color="auto" w:sz="6" w:space="0"/>
              <w:right w:val="single" w:color="auto" w:sz="6" w:space="0"/>
            </w:tcBorders>
            <w:vAlign w:val="center"/>
          </w:tcPr>
          <w:p>
            <w:pPr>
              <w:spacing w:line="300" w:lineRule="exact"/>
              <w:ind w:firstLine="0" w:firstLineChars="0"/>
              <w:jc w:val="center"/>
              <w:rPr>
                <w:rFonts w:cs="宋体"/>
                <w:color w:val="auto"/>
                <w:kern w:val="2"/>
                <w:highlight w:val="none"/>
              </w:rPr>
            </w:pPr>
            <w:r>
              <w:rPr>
                <w:rFonts w:hint="eastAsia" w:hAnsi="宋体" w:cs="宋体"/>
                <w:color w:val="auto"/>
                <w:szCs w:val="21"/>
                <w:highlight w:val="none"/>
                <w:u w:val="single"/>
                <w:lang w:val="en-US" w:eastAsia="zh-CN"/>
              </w:rPr>
              <w:t>3.6</w:t>
            </w:r>
            <w:r>
              <w:rPr>
                <w:rFonts w:hint="eastAsia" w:ascii="宋体" w:hAnsi="宋体" w:cs="宋体"/>
                <w:color w:val="auto"/>
                <w:szCs w:val="21"/>
                <w:highlight w:val="none"/>
                <w:u w:val="single"/>
              </w:rPr>
              <w:t>-5</w:t>
            </w:r>
            <w:r>
              <w:rPr>
                <w:rFonts w:hint="eastAsia" w:ascii="宋体" w:hAnsi="宋体" w:cs="宋体"/>
                <w:color w:val="auto"/>
                <w:szCs w:val="21"/>
                <w:highlight w:val="none"/>
              </w:rPr>
              <w:t>分</w:t>
            </w:r>
          </w:p>
        </w:tc>
        <w:tc>
          <w:tcPr>
            <w:tcW w:w="3491" w:type="dxa"/>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210"/>
              <w:rPr>
                <w:rFonts w:ascii="宋体" w:hAnsi="宋体"/>
                <w:color w:val="auto"/>
                <w:szCs w:val="21"/>
                <w:highlight w:val="none"/>
              </w:rPr>
            </w:pPr>
            <w:r>
              <w:rPr>
                <w:rFonts w:hint="eastAsia" w:ascii="宋体" w:hAnsi="宋体" w:cs="宋体"/>
                <w:color w:val="auto"/>
                <w:szCs w:val="21"/>
                <w:highlight w:val="none"/>
              </w:rPr>
              <w:t>原始数据的整理方法正确、分析方法合理适用；</w:t>
            </w:r>
          </w:p>
        </w:tc>
        <w:tc>
          <w:tcPr>
            <w:tcW w:w="2023" w:type="dxa"/>
            <w:gridSpan w:val="2"/>
            <w:vMerge w:val="restart"/>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210"/>
              <w:jc w:val="left"/>
              <w:rPr>
                <w:rFonts w:ascii="宋体" w:hAnsi="宋体"/>
                <w:color w:val="auto"/>
                <w:szCs w:val="21"/>
                <w:highlight w:val="none"/>
              </w:rPr>
            </w:pPr>
            <w:r>
              <w:rPr>
                <w:rFonts w:hint="eastAsia" w:ascii="宋体" w:hAnsi="宋体" w:cs="宋体"/>
                <w:color w:val="auto"/>
                <w:szCs w:val="21"/>
                <w:highlight w:val="none"/>
              </w:rPr>
              <w:t>对监测得到的原始数据的整理方法及其分析方法是否合理、规范、适用。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700" w:type="dxa"/>
            <w:vMerge w:val="continue"/>
            <w:tcBorders>
              <w:top w:val="single" w:color="auto" w:sz="6" w:space="0"/>
              <w:left w:val="single" w:color="auto" w:sz="6" w:space="0"/>
              <w:bottom w:val="single" w:color="auto" w:sz="6" w:space="0"/>
              <w:right w:val="single" w:color="auto" w:sz="6" w:space="0"/>
            </w:tcBorders>
            <w:vAlign w:val="center"/>
          </w:tcPr>
          <w:p>
            <w:pPr>
              <w:spacing w:line="300" w:lineRule="exact"/>
              <w:ind w:firstLine="210"/>
              <w:jc w:val="center"/>
              <w:rPr>
                <w:rFonts w:ascii="宋体" w:hAnsi="宋体"/>
                <w:color w:val="auto"/>
                <w:highlight w:val="none"/>
              </w:rPr>
            </w:pPr>
          </w:p>
        </w:tc>
        <w:tc>
          <w:tcPr>
            <w:tcW w:w="1213" w:type="dxa"/>
            <w:vMerge w:val="continue"/>
            <w:tcBorders>
              <w:top w:val="single" w:color="auto" w:sz="6" w:space="0"/>
              <w:left w:val="single" w:color="auto" w:sz="6" w:space="0"/>
              <w:bottom w:val="single" w:color="auto" w:sz="6" w:space="0"/>
              <w:right w:val="single" w:color="auto" w:sz="6" w:space="0"/>
            </w:tcBorders>
            <w:vAlign w:val="center"/>
          </w:tcPr>
          <w:p>
            <w:pPr>
              <w:spacing w:line="280" w:lineRule="exact"/>
              <w:ind w:firstLine="210"/>
              <w:jc w:val="left"/>
              <w:rPr>
                <w:rFonts w:ascii="宋体" w:hAnsi="宋体"/>
                <w:color w:val="auto"/>
                <w:szCs w:val="21"/>
                <w:highlight w:val="none"/>
              </w:rPr>
            </w:pPr>
          </w:p>
        </w:tc>
        <w:tc>
          <w:tcPr>
            <w:tcW w:w="1290" w:type="dxa"/>
            <w:gridSpan w:val="2"/>
            <w:vMerge w:val="continue"/>
            <w:tcBorders>
              <w:top w:val="single" w:color="auto" w:sz="6" w:space="0"/>
              <w:left w:val="single" w:color="auto" w:sz="6" w:space="0"/>
              <w:bottom w:val="single" w:color="auto" w:sz="6" w:space="0"/>
              <w:right w:val="single" w:color="auto" w:sz="6" w:space="0"/>
            </w:tcBorders>
            <w:vAlign w:val="center"/>
          </w:tcPr>
          <w:p>
            <w:pPr>
              <w:spacing w:line="240" w:lineRule="exact"/>
              <w:ind w:firstLine="210"/>
              <w:rPr>
                <w:rFonts w:ascii="宋体" w:hAnsi="宋体"/>
                <w:color w:val="auto"/>
                <w:szCs w:val="21"/>
                <w:highlight w:val="none"/>
              </w:rPr>
            </w:pPr>
          </w:p>
        </w:tc>
        <w:tc>
          <w:tcPr>
            <w:tcW w:w="1088" w:type="dxa"/>
            <w:tcBorders>
              <w:top w:val="single" w:color="auto" w:sz="6" w:space="0"/>
              <w:left w:val="single" w:color="auto" w:sz="6" w:space="0"/>
              <w:bottom w:val="single" w:color="auto" w:sz="4" w:space="0"/>
              <w:right w:val="single" w:color="auto" w:sz="6" w:space="0"/>
            </w:tcBorders>
            <w:vAlign w:val="center"/>
          </w:tcPr>
          <w:p>
            <w:pPr>
              <w:spacing w:line="300" w:lineRule="exact"/>
              <w:ind w:firstLine="0" w:firstLineChars="0"/>
              <w:jc w:val="center"/>
              <w:rPr>
                <w:rFonts w:cs="宋体"/>
                <w:color w:val="auto"/>
                <w:kern w:val="2"/>
                <w:highlight w:val="none"/>
              </w:rPr>
            </w:pPr>
            <w:r>
              <w:rPr>
                <w:rFonts w:hint="eastAsia" w:hAnsi="宋体" w:cs="宋体"/>
                <w:color w:val="auto"/>
                <w:szCs w:val="21"/>
                <w:highlight w:val="none"/>
                <w:u w:val="single"/>
                <w:lang w:val="en-US" w:eastAsia="zh-CN"/>
              </w:rPr>
              <w:t>2</w:t>
            </w:r>
            <w:r>
              <w:rPr>
                <w:rFonts w:hint="eastAsia" w:ascii="宋体" w:hAnsi="宋体" w:cs="宋体"/>
                <w:color w:val="auto"/>
                <w:szCs w:val="21"/>
                <w:highlight w:val="none"/>
                <w:u w:val="single"/>
              </w:rPr>
              <w:t>-</w:t>
            </w:r>
            <w:r>
              <w:rPr>
                <w:rFonts w:hint="eastAsia" w:hAnsi="宋体" w:cs="宋体"/>
                <w:color w:val="auto"/>
                <w:szCs w:val="21"/>
                <w:highlight w:val="none"/>
                <w:u w:val="single"/>
                <w:lang w:val="en-US" w:eastAsia="zh-CN"/>
              </w:rPr>
              <w:t>3.5</w:t>
            </w:r>
            <w:r>
              <w:rPr>
                <w:rFonts w:hint="eastAsia" w:ascii="宋体" w:hAnsi="宋体" w:cs="宋体"/>
                <w:color w:val="auto"/>
                <w:szCs w:val="21"/>
                <w:highlight w:val="none"/>
              </w:rPr>
              <w:t>分</w:t>
            </w:r>
          </w:p>
        </w:tc>
        <w:tc>
          <w:tcPr>
            <w:tcW w:w="3491" w:type="dxa"/>
            <w:tcBorders>
              <w:top w:val="single" w:color="auto" w:sz="6" w:space="0"/>
              <w:left w:val="single" w:color="auto" w:sz="6" w:space="0"/>
              <w:bottom w:val="single" w:color="auto" w:sz="4" w:space="0"/>
              <w:right w:val="single" w:color="auto" w:sz="6" w:space="0"/>
            </w:tcBorders>
            <w:vAlign w:val="center"/>
          </w:tcPr>
          <w:p>
            <w:pPr>
              <w:widowControl/>
              <w:spacing w:line="300" w:lineRule="exact"/>
              <w:ind w:firstLine="210"/>
              <w:rPr>
                <w:rFonts w:ascii="宋体" w:hAnsi="宋体"/>
                <w:color w:val="auto"/>
                <w:szCs w:val="21"/>
                <w:highlight w:val="none"/>
              </w:rPr>
            </w:pPr>
            <w:r>
              <w:rPr>
                <w:rFonts w:hint="eastAsia" w:ascii="宋体" w:hAnsi="宋体" w:cs="宋体"/>
                <w:color w:val="auto"/>
                <w:szCs w:val="21"/>
                <w:highlight w:val="none"/>
              </w:rPr>
              <w:t>对原始数据的整理方法可行、分析方法相对合理，数据比较可靠。</w:t>
            </w:r>
          </w:p>
        </w:tc>
        <w:tc>
          <w:tcPr>
            <w:tcW w:w="2023" w:type="dxa"/>
            <w:gridSpan w:val="2"/>
            <w:vMerge w:val="continue"/>
            <w:tcBorders>
              <w:top w:val="single" w:color="auto" w:sz="6" w:space="0"/>
              <w:left w:val="single" w:color="auto" w:sz="6" w:space="0"/>
              <w:bottom w:val="single" w:color="auto" w:sz="6" w:space="0"/>
              <w:right w:val="single" w:color="auto" w:sz="6" w:space="0"/>
            </w:tcBorders>
            <w:vAlign w:val="center"/>
          </w:tcPr>
          <w:p>
            <w:pPr>
              <w:spacing w:line="240" w:lineRule="exact"/>
              <w:ind w:firstLine="210"/>
              <w:jc w:val="left"/>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8" w:hRule="atLeast"/>
          <w:jc w:val="center"/>
        </w:trPr>
        <w:tc>
          <w:tcPr>
            <w:tcW w:w="700" w:type="dxa"/>
            <w:vMerge w:val="continue"/>
            <w:tcBorders>
              <w:top w:val="single" w:color="auto" w:sz="6" w:space="0"/>
              <w:left w:val="single" w:color="auto" w:sz="6" w:space="0"/>
              <w:bottom w:val="single" w:color="auto" w:sz="6" w:space="0"/>
              <w:right w:val="single" w:color="auto" w:sz="6" w:space="0"/>
            </w:tcBorders>
            <w:vAlign w:val="center"/>
          </w:tcPr>
          <w:p>
            <w:pPr>
              <w:spacing w:line="300" w:lineRule="exact"/>
              <w:ind w:firstLine="210"/>
              <w:jc w:val="center"/>
              <w:rPr>
                <w:rFonts w:ascii="宋体" w:hAnsi="宋体"/>
                <w:color w:val="auto"/>
                <w:highlight w:val="none"/>
              </w:rPr>
            </w:pPr>
          </w:p>
        </w:tc>
        <w:tc>
          <w:tcPr>
            <w:tcW w:w="1213" w:type="dxa"/>
            <w:vMerge w:val="continue"/>
            <w:tcBorders>
              <w:top w:val="single" w:color="auto" w:sz="6" w:space="0"/>
              <w:left w:val="single" w:color="auto" w:sz="6" w:space="0"/>
              <w:bottom w:val="single" w:color="auto" w:sz="6" w:space="0"/>
              <w:right w:val="single" w:color="auto" w:sz="6" w:space="0"/>
            </w:tcBorders>
            <w:vAlign w:val="center"/>
          </w:tcPr>
          <w:p>
            <w:pPr>
              <w:spacing w:line="280" w:lineRule="exact"/>
              <w:ind w:firstLine="210"/>
              <w:jc w:val="left"/>
              <w:rPr>
                <w:rFonts w:ascii="宋体" w:hAnsi="宋体"/>
                <w:color w:val="auto"/>
                <w:szCs w:val="21"/>
                <w:highlight w:val="none"/>
              </w:rPr>
            </w:pPr>
          </w:p>
        </w:tc>
        <w:tc>
          <w:tcPr>
            <w:tcW w:w="1290" w:type="dxa"/>
            <w:gridSpan w:val="2"/>
            <w:vMerge w:val="continue"/>
            <w:tcBorders>
              <w:left w:val="single" w:color="auto" w:sz="6" w:space="0"/>
              <w:bottom w:val="single" w:color="auto" w:sz="6" w:space="0"/>
              <w:right w:val="single" w:color="auto" w:sz="6" w:space="0"/>
            </w:tcBorders>
            <w:vAlign w:val="center"/>
          </w:tcPr>
          <w:p>
            <w:pPr>
              <w:spacing w:line="240" w:lineRule="exact"/>
              <w:ind w:firstLine="210"/>
              <w:rPr>
                <w:rFonts w:ascii="宋体" w:hAnsi="宋体"/>
                <w:color w:val="auto"/>
                <w:szCs w:val="21"/>
                <w:highlight w:val="none"/>
              </w:rPr>
            </w:pPr>
          </w:p>
        </w:tc>
        <w:tc>
          <w:tcPr>
            <w:tcW w:w="1088" w:type="dxa"/>
            <w:tcBorders>
              <w:top w:val="single" w:color="auto" w:sz="4" w:space="0"/>
              <w:left w:val="single" w:color="auto" w:sz="6" w:space="0"/>
              <w:bottom w:val="single" w:color="auto" w:sz="6" w:space="0"/>
              <w:right w:val="single" w:color="auto" w:sz="6" w:space="0"/>
            </w:tcBorders>
            <w:vAlign w:val="center"/>
          </w:tcPr>
          <w:p>
            <w:pPr>
              <w:spacing w:line="300" w:lineRule="exact"/>
              <w:ind w:firstLine="0" w:firstLineChars="0"/>
              <w:jc w:val="center"/>
              <w:rPr>
                <w:rStyle w:val="112"/>
                <w:rFonts w:hint="eastAsia"/>
                <w:color w:val="auto"/>
                <w:highlight w:val="none"/>
                <w:u w:val="single"/>
              </w:rPr>
            </w:pPr>
            <w:r>
              <w:rPr>
                <w:rFonts w:hint="eastAsia" w:hAnsi="宋体" w:cs="宋体"/>
                <w:color w:val="auto"/>
                <w:szCs w:val="21"/>
                <w:highlight w:val="none"/>
                <w:u w:val="single"/>
                <w:lang w:val="en-US" w:eastAsia="zh-CN"/>
              </w:rPr>
              <w:t>0-1.9分</w:t>
            </w:r>
          </w:p>
        </w:tc>
        <w:tc>
          <w:tcPr>
            <w:tcW w:w="3491" w:type="dxa"/>
            <w:tcBorders>
              <w:top w:val="single" w:color="auto" w:sz="4" w:space="0"/>
              <w:left w:val="single" w:color="auto" w:sz="6" w:space="0"/>
              <w:bottom w:val="single" w:color="auto" w:sz="6" w:space="0"/>
              <w:right w:val="single" w:color="auto" w:sz="6" w:space="0"/>
            </w:tcBorders>
            <w:vAlign w:val="center"/>
          </w:tcPr>
          <w:p>
            <w:pPr>
              <w:widowControl/>
              <w:spacing w:line="300" w:lineRule="exact"/>
              <w:ind w:firstLine="21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对原始数据的整理方法及其分析方法</w:t>
            </w:r>
            <w:r>
              <w:rPr>
                <w:rFonts w:hint="eastAsia" w:ascii="宋体" w:hAnsi="宋体" w:cs="宋体"/>
                <w:color w:val="auto"/>
                <w:szCs w:val="21"/>
                <w:highlight w:val="none"/>
                <w:lang w:eastAsia="zh-CN"/>
              </w:rPr>
              <w:t>不太合理或未提供。</w:t>
            </w:r>
          </w:p>
        </w:tc>
        <w:tc>
          <w:tcPr>
            <w:tcW w:w="2023" w:type="dxa"/>
            <w:gridSpan w:val="2"/>
            <w:vMerge w:val="continue"/>
            <w:tcBorders>
              <w:left w:val="single" w:color="auto" w:sz="6" w:space="0"/>
              <w:bottom w:val="single" w:color="auto" w:sz="6" w:space="0"/>
              <w:right w:val="single" w:color="auto" w:sz="6" w:space="0"/>
            </w:tcBorders>
            <w:vAlign w:val="center"/>
          </w:tcPr>
          <w:p>
            <w:pPr>
              <w:spacing w:line="240" w:lineRule="exact"/>
              <w:ind w:firstLine="210"/>
              <w:jc w:val="left"/>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7" w:hRule="atLeast"/>
          <w:jc w:val="center"/>
        </w:trPr>
        <w:tc>
          <w:tcPr>
            <w:tcW w:w="700" w:type="dxa"/>
            <w:vMerge w:val="continue"/>
            <w:tcBorders>
              <w:top w:val="single" w:color="auto" w:sz="6" w:space="0"/>
              <w:left w:val="single" w:color="auto" w:sz="6" w:space="0"/>
              <w:bottom w:val="single" w:color="auto" w:sz="6" w:space="0"/>
              <w:right w:val="single" w:color="auto" w:sz="6" w:space="0"/>
            </w:tcBorders>
            <w:vAlign w:val="center"/>
          </w:tcPr>
          <w:p>
            <w:pPr>
              <w:spacing w:line="300" w:lineRule="exact"/>
              <w:ind w:firstLine="210"/>
              <w:jc w:val="center"/>
              <w:rPr>
                <w:rFonts w:ascii="宋体" w:hAnsi="宋体"/>
                <w:color w:val="auto"/>
                <w:highlight w:val="none"/>
              </w:rPr>
            </w:pPr>
          </w:p>
        </w:tc>
        <w:tc>
          <w:tcPr>
            <w:tcW w:w="1213" w:type="dxa"/>
            <w:vMerge w:val="continue"/>
            <w:tcBorders>
              <w:top w:val="single" w:color="auto" w:sz="6" w:space="0"/>
              <w:left w:val="single" w:color="auto" w:sz="6" w:space="0"/>
              <w:bottom w:val="single" w:color="auto" w:sz="6" w:space="0"/>
              <w:right w:val="single" w:color="auto" w:sz="6" w:space="0"/>
            </w:tcBorders>
            <w:vAlign w:val="center"/>
          </w:tcPr>
          <w:p>
            <w:pPr>
              <w:spacing w:line="280" w:lineRule="exact"/>
              <w:ind w:firstLine="210"/>
              <w:jc w:val="left"/>
              <w:rPr>
                <w:rFonts w:ascii="宋体" w:hAnsi="宋体"/>
                <w:color w:val="auto"/>
                <w:szCs w:val="21"/>
                <w:highlight w:val="none"/>
              </w:rPr>
            </w:pPr>
          </w:p>
        </w:tc>
        <w:tc>
          <w:tcPr>
            <w:tcW w:w="1290" w:type="dxa"/>
            <w:gridSpan w:val="2"/>
            <w:vMerge w:val="restart"/>
            <w:tcBorders>
              <w:top w:val="single" w:color="auto" w:sz="6" w:space="0"/>
              <w:left w:val="single" w:color="auto" w:sz="6" w:space="0"/>
              <w:bottom w:val="single" w:color="auto" w:sz="6" w:space="0"/>
              <w:right w:val="single" w:color="auto" w:sz="6" w:space="0"/>
            </w:tcBorders>
            <w:vAlign w:val="center"/>
          </w:tcPr>
          <w:p>
            <w:pPr>
              <w:spacing w:line="240" w:lineRule="exact"/>
              <w:ind w:firstLine="0" w:firstLineChars="0"/>
              <w:rPr>
                <w:rFonts w:hint="eastAsia"/>
                <w:color w:val="auto"/>
                <w:highlight w:val="none"/>
              </w:rPr>
            </w:pPr>
            <w:r>
              <w:rPr>
                <w:rFonts w:hint="eastAsia"/>
                <w:color w:val="auto"/>
                <w:highlight w:val="none"/>
              </w:rPr>
              <w:t>监测工作进度计划</w:t>
            </w:r>
          </w:p>
          <w:p>
            <w:pPr>
              <w:pStyle w:val="6"/>
              <w:numPr>
                <w:ilvl w:val="1"/>
                <w:numId w:val="0"/>
              </w:numPr>
              <w:ind w:leftChars="0"/>
              <w:jc w:val="both"/>
              <w:rPr>
                <w:color w:val="auto"/>
                <w:highlight w:val="none"/>
              </w:rPr>
            </w:pPr>
            <w:r>
              <w:rPr>
                <w:rFonts w:hint="eastAsia" w:ascii="宋体" w:hAnsi="宋体" w:eastAsia="宋体" w:cs="宋体"/>
                <w:b w:val="0"/>
                <w:bCs w:val="0"/>
                <w:color w:val="auto"/>
                <w:kern w:val="2"/>
                <w:sz w:val="21"/>
                <w:szCs w:val="21"/>
                <w:highlight w:val="none"/>
                <w:lang w:val="en-US" w:eastAsia="zh-CN" w:bidi="ar-SA"/>
              </w:rPr>
              <w:t>（5分）</w:t>
            </w:r>
          </w:p>
        </w:tc>
        <w:tc>
          <w:tcPr>
            <w:tcW w:w="1088" w:type="dxa"/>
            <w:tcBorders>
              <w:top w:val="single" w:color="auto" w:sz="6" w:space="0"/>
              <w:left w:val="single" w:color="auto" w:sz="6" w:space="0"/>
              <w:bottom w:val="single" w:color="auto" w:sz="6" w:space="0"/>
              <w:right w:val="single" w:color="auto" w:sz="6" w:space="0"/>
            </w:tcBorders>
            <w:vAlign w:val="center"/>
          </w:tcPr>
          <w:p>
            <w:pPr>
              <w:spacing w:line="300" w:lineRule="exact"/>
              <w:ind w:firstLine="0" w:firstLineChars="0"/>
              <w:jc w:val="center"/>
              <w:rPr>
                <w:rFonts w:cs="宋体"/>
                <w:color w:val="auto"/>
                <w:kern w:val="2"/>
                <w:highlight w:val="none"/>
              </w:rPr>
            </w:pPr>
            <w:r>
              <w:rPr>
                <w:rFonts w:hint="eastAsia" w:hAnsi="宋体" w:cs="宋体"/>
                <w:color w:val="auto"/>
                <w:szCs w:val="21"/>
                <w:highlight w:val="none"/>
                <w:u w:val="single"/>
                <w:lang w:val="en-US" w:eastAsia="zh-CN"/>
              </w:rPr>
              <w:t>3.6</w:t>
            </w:r>
            <w:r>
              <w:rPr>
                <w:rFonts w:hint="eastAsia" w:ascii="宋体" w:hAnsi="宋体" w:cs="宋体"/>
                <w:color w:val="auto"/>
                <w:szCs w:val="21"/>
                <w:highlight w:val="none"/>
                <w:u w:val="single"/>
              </w:rPr>
              <w:t>-5</w:t>
            </w:r>
            <w:r>
              <w:rPr>
                <w:rFonts w:hint="eastAsia" w:ascii="宋体" w:hAnsi="宋体" w:cs="宋体"/>
                <w:color w:val="auto"/>
                <w:szCs w:val="21"/>
                <w:highlight w:val="none"/>
              </w:rPr>
              <w:t>分</w:t>
            </w:r>
          </w:p>
        </w:tc>
        <w:tc>
          <w:tcPr>
            <w:tcW w:w="3491" w:type="dxa"/>
            <w:tcBorders>
              <w:top w:val="single" w:color="auto" w:sz="6" w:space="0"/>
              <w:left w:val="single" w:color="auto" w:sz="6" w:space="0"/>
              <w:bottom w:val="single" w:color="auto" w:sz="6" w:space="0"/>
              <w:right w:val="single" w:color="auto" w:sz="6" w:space="0"/>
            </w:tcBorders>
            <w:vAlign w:val="center"/>
          </w:tcPr>
          <w:p>
            <w:pPr>
              <w:pStyle w:val="111"/>
              <w:shd w:val="clear" w:color="auto" w:fill="auto"/>
              <w:spacing w:line="280" w:lineRule="exact"/>
              <w:ind w:firstLine="210"/>
              <w:rPr>
                <w:rFonts w:cs="宋体"/>
                <w:color w:val="auto"/>
                <w:kern w:val="2"/>
                <w:highlight w:val="none"/>
              </w:rPr>
            </w:pPr>
            <w:r>
              <w:rPr>
                <w:rFonts w:hint="eastAsia" w:cs="宋体"/>
                <w:color w:val="auto"/>
                <w:kern w:val="2"/>
                <w:highlight w:val="none"/>
              </w:rPr>
              <w:t>统筹性较强，跟踪监测进度计划安排科学、合理；</w:t>
            </w:r>
          </w:p>
        </w:tc>
        <w:tc>
          <w:tcPr>
            <w:tcW w:w="2023" w:type="dxa"/>
            <w:gridSpan w:val="2"/>
            <w:vMerge w:val="restart"/>
            <w:tcBorders>
              <w:top w:val="single" w:color="auto" w:sz="6" w:space="0"/>
              <w:left w:val="single" w:color="auto" w:sz="6" w:space="0"/>
              <w:bottom w:val="single" w:color="auto" w:sz="6" w:space="0"/>
              <w:right w:val="single" w:color="auto" w:sz="6" w:space="0"/>
            </w:tcBorders>
            <w:vAlign w:val="center"/>
          </w:tcPr>
          <w:p>
            <w:pPr>
              <w:widowControl/>
              <w:spacing w:line="300" w:lineRule="exact"/>
              <w:ind w:firstLine="210"/>
              <w:jc w:val="left"/>
              <w:rPr>
                <w:rFonts w:ascii="宋体" w:hAnsi="宋体"/>
                <w:color w:val="auto"/>
                <w:szCs w:val="21"/>
                <w:highlight w:val="none"/>
              </w:rPr>
            </w:pPr>
            <w:r>
              <w:rPr>
                <w:rFonts w:hint="eastAsia" w:ascii="宋体" w:hAnsi="宋体"/>
                <w:color w:val="auto"/>
                <w:szCs w:val="21"/>
                <w:highlight w:val="none"/>
              </w:rPr>
              <w:t>对跟踪监测进度计划的安排及说明的科学性、合理性、有效性、紧密程度等情况进行综合评分</w:t>
            </w:r>
            <w:r>
              <w:rPr>
                <w:rFonts w:hint="eastAsia" w:cs="宋体"/>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7" w:hRule="atLeast"/>
          <w:jc w:val="center"/>
        </w:trPr>
        <w:tc>
          <w:tcPr>
            <w:tcW w:w="700" w:type="dxa"/>
            <w:vMerge w:val="continue"/>
            <w:tcBorders>
              <w:top w:val="single" w:color="auto" w:sz="6" w:space="0"/>
              <w:left w:val="single" w:color="auto" w:sz="6" w:space="0"/>
              <w:bottom w:val="single" w:color="auto" w:sz="6" w:space="0"/>
              <w:right w:val="single" w:color="auto" w:sz="6" w:space="0"/>
            </w:tcBorders>
            <w:vAlign w:val="center"/>
          </w:tcPr>
          <w:p>
            <w:pPr>
              <w:spacing w:line="300" w:lineRule="exact"/>
              <w:ind w:firstLine="210"/>
              <w:jc w:val="center"/>
              <w:rPr>
                <w:rFonts w:ascii="宋体" w:hAnsi="宋体"/>
                <w:color w:val="auto"/>
                <w:highlight w:val="none"/>
              </w:rPr>
            </w:pPr>
          </w:p>
        </w:tc>
        <w:tc>
          <w:tcPr>
            <w:tcW w:w="1213" w:type="dxa"/>
            <w:vMerge w:val="continue"/>
            <w:tcBorders>
              <w:top w:val="single" w:color="auto" w:sz="6" w:space="0"/>
              <w:left w:val="single" w:color="auto" w:sz="6" w:space="0"/>
              <w:bottom w:val="single" w:color="auto" w:sz="6" w:space="0"/>
              <w:right w:val="single" w:color="auto" w:sz="6" w:space="0"/>
            </w:tcBorders>
            <w:vAlign w:val="center"/>
          </w:tcPr>
          <w:p>
            <w:pPr>
              <w:spacing w:line="280" w:lineRule="exact"/>
              <w:ind w:firstLine="210"/>
              <w:jc w:val="left"/>
              <w:rPr>
                <w:rFonts w:ascii="宋体" w:hAnsi="宋体"/>
                <w:color w:val="auto"/>
                <w:szCs w:val="21"/>
                <w:highlight w:val="none"/>
              </w:rPr>
            </w:pPr>
          </w:p>
        </w:tc>
        <w:tc>
          <w:tcPr>
            <w:tcW w:w="1290" w:type="dxa"/>
            <w:gridSpan w:val="2"/>
            <w:vMerge w:val="continue"/>
            <w:tcBorders>
              <w:top w:val="single" w:color="auto" w:sz="6" w:space="0"/>
              <w:left w:val="single" w:color="auto" w:sz="6" w:space="0"/>
              <w:bottom w:val="single" w:color="auto" w:sz="6" w:space="0"/>
              <w:right w:val="single" w:color="auto" w:sz="6" w:space="0"/>
            </w:tcBorders>
            <w:vAlign w:val="center"/>
          </w:tcPr>
          <w:p>
            <w:pPr>
              <w:spacing w:line="240" w:lineRule="exact"/>
              <w:ind w:firstLine="210"/>
              <w:rPr>
                <w:rFonts w:ascii="宋体" w:hAnsi="宋体"/>
                <w:color w:val="auto"/>
                <w:szCs w:val="21"/>
                <w:highlight w:val="none"/>
              </w:rPr>
            </w:pPr>
          </w:p>
        </w:tc>
        <w:tc>
          <w:tcPr>
            <w:tcW w:w="1088" w:type="dxa"/>
            <w:tcBorders>
              <w:top w:val="single" w:color="auto" w:sz="6" w:space="0"/>
              <w:left w:val="single" w:color="auto" w:sz="6" w:space="0"/>
              <w:bottom w:val="single" w:color="auto" w:sz="4" w:space="0"/>
              <w:right w:val="single" w:color="auto" w:sz="6" w:space="0"/>
            </w:tcBorders>
            <w:vAlign w:val="center"/>
          </w:tcPr>
          <w:p>
            <w:pPr>
              <w:spacing w:line="300" w:lineRule="exact"/>
              <w:ind w:firstLine="0" w:firstLineChars="0"/>
              <w:jc w:val="center"/>
              <w:rPr>
                <w:rFonts w:cs="宋体"/>
                <w:color w:val="auto"/>
                <w:kern w:val="2"/>
                <w:highlight w:val="none"/>
              </w:rPr>
            </w:pPr>
            <w:r>
              <w:rPr>
                <w:rFonts w:hint="eastAsia" w:hAnsi="宋体" w:cs="宋体"/>
                <w:color w:val="auto"/>
                <w:szCs w:val="21"/>
                <w:highlight w:val="none"/>
                <w:u w:val="single"/>
                <w:lang w:val="en-US" w:eastAsia="zh-CN"/>
              </w:rPr>
              <w:t>2</w:t>
            </w:r>
            <w:r>
              <w:rPr>
                <w:rFonts w:hint="eastAsia" w:ascii="宋体" w:hAnsi="宋体" w:cs="宋体"/>
                <w:color w:val="auto"/>
                <w:szCs w:val="21"/>
                <w:highlight w:val="none"/>
                <w:u w:val="single"/>
              </w:rPr>
              <w:t>-</w:t>
            </w:r>
            <w:r>
              <w:rPr>
                <w:rFonts w:hint="eastAsia" w:hAnsi="宋体" w:cs="宋体"/>
                <w:color w:val="auto"/>
                <w:szCs w:val="21"/>
                <w:highlight w:val="none"/>
                <w:u w:val="single"/>
                <w:lang w:val="en-US" w:eastAsia="zh-CN"/>
              </w:rPr>
              <w:t>3.5</w:t>
            </w:r>
            <w:r>
              <w:rPr>
                <w:rFonts w:hint="eastAsia" w:ascii="宋体" w:hAnsi="宋体" w:cs="宋体"/>
                <w:color w:val="auto"/>
                <w:szCs w:val="21"/>
                <w:highlight w:val="none"/>
              </w:rPr>
              <w:t>分</w:t>
            </w:r>
          </w:p>
        </w:tc>
        <w:tc>
          <w:tcPr>
            <w:tcW w:w="3491" w:type="dxa"/>
            <w:tcBorders>
              <w:top w:val="single" w:color="auto" w:sz="6" w:space="0"/>
              <w:left w:val="single" w:color="auto" w:sz="6" w:space="0"/>
              <w:bottom w:val="single" w:color="auto" w:sz="4" w:space="0"/>
              <w:right w:val="single" w:color="auto" w:sz="6" w:space="0"/>
            </w:tcBorders>
            <w:vAlign w:val="center"/>
          </w:tcPr>
          <w:p>
            <w:pPr>
              <w:pStyle w:val="111"/>
              <w:shd w:val="clear" w:color="auto" w:fill="auto"/>
              <w:spacing w:line="280" w:lineRule="exact"/>
              <w:ind w:firstLine="210"/>
              <w:rPr>
                <w:rFonts w:cs="宋体"/>
                <w:color w:val="auto"/>
                <w:kern w:val="2"/>
                <w:highlight w:val="none"/>
              </w:rPr>
            </w:pPr>
            <w:r>
              <w:rPr>
                <w:rFonts w:hint="eastAsia" w:cs="宋体"/>
                <w:color w:val="auto"/>
                <w:kern w:val="2"/>
                <w:highlight w:val="none"/>
              </w:rPr>
              <w:t>基本满足需要，跟踪监测进度计划安排基本明确。</w:t>
            </w:r>
          </w:p>
        </w:tc>
        <w:tc>
          <w:tcPr>
            <w:tcW w:w="2023" w:type="dxa"/>
            <w:gridSpan w:val="2"/>
            <w:vMerge w:val="continue"/>
            <w:tcBorders>
              <w:top w:val="single" w:color="auto" w:sz="6" w:space="0"/>
              <w:left w:val="single" w:color="auto" w:sz="6" w:space="0"/>
              <w:bottom w:val="single" w:color="auto" w:sz="6" w:space="0"/>
              <w:right w:val="single" w:color="auto" w:sz="6" w:space="0"/>
            </w:tcBorders>
            <w:vAlign w:val="center"/>
          </w:tcPr>
          <w:p>
            <w:pPr>
              <w:spacing w:line="240" w:lineRule="exact"/>
              <w:ind w:firstLine="210"/>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8" w:hRule="atLeast"/>
          <w:jc w:val="center"/>
        </w:trPr>
        <w:tc>
          <w:tcPr>
            <w:tcW w:w="700" w:type="dxa"/>
            <w:vMerge w:val="continue"/>
            <w:tcBorders>
              <w:left w:val="single" w:color="auto" w:sz="6" w:space="0"/>
              <w:bottom w:val="single" w:color="auto" w:sz="6" w:space="0"/>
              <w:right w:val="single" w:color="auto" w:sz="6" w:space="0"/>
            </w:tcBorders>
            <w:vAlign w:val="center"/>
          </w:tcPr>
          <w:p>
            <w:pPr>
              <w:spacing w:line="300" w:lineRule="exact"/>
              <w:ind w:firstLine="210"/>
              <w:jc w:val="center"/>
              <w:rPr>
                <w:rFonts w:ascii="宋体" w:hAnsi="宋体"/>
                <w:color w:val="auto"/>
                <w:highlight w:val="none"/>
              </w:rPr>
            </w:pPr>
          </w:p>
        </w:tc>
        <w:tc>
          <w:tcPr>
            <w:tcW w:w="1213" w:type="dxa"/>
            <w:vMerge w:val="continue"/>
            <w:tcBorders>
              <w:left w:val="single" w:color="auto" w:sz="6" w:space="0"/>
              <w:bottom w:val="single" w:color="auto" w:sz="6" w:space="0"/>
              <w:right w:val="single" w:color="auto" w:sz="6" w:space="0"/>
            </w:tcBorders>
            <w:vAlign w:val="center"/>
          </w:tcPr>
          <w:p>
            <w:pPr>
              <w:spacing w:line="280" w:lineRule="exact"/>
              <w:ind w:firstLine="210"/>
              <w:jc w:val="left"/>
              <w:rPr>
                <w:rFonts w:ascii="宋体" w:hAnsi="宋体"/>
                <w:color w:val="auto"/>
                <w:szCs w:val="21"/>
                <w:highlight w:val="none"/>
              </w:rPr>
            </w:pPr>
          </w:p>
        </w:tc>
        <w:tc>
          <w:tcPr>
            <w:tcW w:w="1290" w:type="dxa"/>
            <w:gridSpan w:val="2"/>
            <w:vMerge w:val="continue"/>
            <w:tcBorders>
              <w:left w:val="single" w:color="auto" w:sz="6" w:space="0"/>
              <w:bottom w:val="single" w:color="auto" w:sz="6" w:space="0"/>
              <w:right w:val="single" w:color="auto" w:sz="6" w:space="0"/>
            </w:tcBorders>
            <w:vAlign w:val="center"/>
          </w:tcPr>
          <w:p>
            <w:pPr>
              <w:spacing w:line="240" w:lineRule="exact"/>
              <w:ind w:firstLine="210"/>
              <w:rPr>
                <w:rFonts w:ascii="宋体" w:hAnsi="宋体"/>
                <w:color w:val="auto"/>
                <w:szCs w:val="21"/>
                <w:highlight w:val="none"/>
              </w:rPr>
            </w:pPr>
          </w:p>
        </w:tc>
        <w:tc>
          <w:tcPr>
            <w:tcW w:w="1088" w:type="dxa"/>
            <w:tcBorders>
              <w:top w:val="single" w:color="auto" w:sz="4" w:space="0"/>
              <w:left w:val="single" w:color="auto" w:sz="6" w:space="0"/>
              <w:bottom w:val="single" w:color="auto" w:sz="6" w:space="0"/>
              <w:right w:val="single" w:color="auto" w:sz="6" w:space="0"/>
            </w:tcBorders>
            <w:vAlign w:val="center"/>
          </w:tcPr>
          <w:p>
            <w:pPr>
              <w:spacing w:line="300" w:lineRule="exact"/>
              <w:ind w:firstLine="0" w:firstLineChars="0"/>
              <w:jc w:val="center"/>
              <w:rPr>
                <w:rStyle w:val="112"/>
                <w:rFonts w:hint="eastAsia"/>
                <w:color w:val="auto"/>
                <w:highlight w:val="none"/>
                <w:u w:val="single"/>
              </w:rPr>
            </w:pPr>
            <w:r>
              <w:rPr>
                <w:rFonts w:hint="eastAsia" w:hAnsi="宋体" w:cs="宋体"/>
                <w:color w:val="auto"/>
                <w:szCs w:val="21"/>
                <w:highlight w:val="none"/>
                <w:u w:val="single"/>
                <w:lang w:val="en-US" w:eastAsia="zh-CN"/>
              </w:rPr>
              <w:t>0-1.9分</w:t>
            </w:r>
          </w:p>
        </w:tc>
        <w:tc>
          <w:tcPr>
            <w:tcW w:w="3491" w:type="dxa"/>
            <w:tcBorders>
              <w:top w:val="single" w:color="auto" w:sz="4" w:space="0"/>
              <w:left w:val="single" w:color="auto" w:sz="6" w:space="0"/>
              <w:bottom w:val="single" w:color="auto" w:sz="6" w:space="0"/>
              <w:right w:val="single" w:color="auto" w:sz="6" w:space="0"/>
            </w:tcBorders>
            <w:vAlign w:val="center"/>
          </w:tcPr>
          <w:p>
            <w:pPr>
              <w:pStyle w:val="111"/>
              <w:shd w:val="clear" w:color="auto" w:fill="auto"/>
              <w:spacing w:line="280" w:lineRule="exact"/>
              <w:ind w:firstLine="210"/>
              <w:rPr>
                <w:rFonts w:hint="eastAsia" w:eastAsia="宋体" w:cs="宋体"/>
                <w:color w:val="auto"/>
                <w:kern w:val="2"/>
                <w:highlight w:val="none"/>
                <w:lang w:eastAsia="zh-CN"/>
              </w:rPr>
            </w:pPr>
            <w:r>
              <w:rPr>
                <w:rFonts w:hint="eastAsia" w:cs="宋体"/>
                <w:color w:val="auto"/>
                <w:kern w:val="2"/>
                <w:highlight w:val="none"/>
                <w:lang w:eastAsia="zh-CN"/>
              </w:rPr>
              <w:t>进度计划安排不明确、不合理。</w:t>
            </w:r>
          </w:p>
        </w:tc>
        <w:tc>
          <w:tcPr>
            <w:tcW w:w="2023" w:type="dxa"/>
            <w:gridSpan w:val="2"/>
            <w:vMerge w:val="continue"/>
            <w:tcBorders>
              <w:left w:val="single" w:color="auto" w:sz="6" w:space="0"/>
              <w:bottom w:val="single" w:color="auto" w:sz="6" w:space="0"/>
              <w:right w:val="single" w:color="auto" w:sz="6" w:space="0"/>
            </w:tcBorders>
            <w:vAlign w:val="center"/>
          </w:tcPr>
          <w:p>
            <w:pPr>
              <w:spacing w:line="240" w:lineRule="exact"/>
              <w:ind w:firstLine="210"/>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1" w:hRule="atLeast"/>
          <w:jc w:val="center"/>
        </w:trPr>
        <w:tc>
          <w:tcPr>
            <w:tcW w:w="700" w:type="dxa"/>
            <w:vMerge w:val="restart"/>
            <w:tcBorders>
              <w:top w:val="single" w:color="auto" w:sz="6" w:space="0"/>
              <w:left w:val="single" w:color="auto" w:sz="6" w:space="0"/>
              <w:right w:val="single" w:color="auto" w:sz="6" w:space="0"/>
            </w:tcBorders>
            <w:vAlign w:val="center"/>
          </w:tcPr>
          <w:p>
            <w:pPr>
              <w:spacing w:line="300" w:lineRule="exact"/>
              <w:ind w:firstLine="0" w:firstLineChars="0"/>
              <w:jc w:val="center"/>
              <w:rPr>
                <w:rFonts w:ascii="宋体" w:hAnsi="宋体"/>
                <w:color w:val="auto"/>
                <w:highlight w:val="none"/>
              </w:rPr>
            </w:pPr>
            <w:r>
              <w:rPr>
                <w:rFonts w:hint="eastAsia" w:ascii="宋体" w:hAnsi="宋体"/>
                <w:color w:val="auto"/>
                <w:highlight w:val="none"/>
              </w:rPr>
              <w:t>5</w:t>
            </w:r>
          </w:p>
        </w:tc>
        <w:tc>
          <w:tcPr>
            <w:tcW w:w="2503" w:type="dxa"/>
            <w:gridSpan w:val="3"/>
            <w:vMerge w:val="restart"/>
            <w:tcBorders>
              <w:top w:val="single" w:color="auto" w:sz="6" w:space="0"/>
              <w:left w:val="single" w:color="auto" w:sz="6" w:space="0"/>
              <w:right w:val="single" w:color="auto" w:sz="6" w:space="0"/>
            </w:tcBorders>
            <w:vAlign w:val="center"/>
          </w:tcPr>
          <w:p>
            <w:pPr>
              <w:pStyle w:val="111"/>
              <w:shd w:val="clear" w:color="auto" w:fill="auto"/>
              <w:spacing w:line="280" w:lineRule="exact"/>
              <w:ind w:firstLine="210"/>
              <w:rPr>
                <w:rFonts w:cs="宋体"/>
                <w:color w:val="auto"/>
                <w:kern w:val="2"/>
                <w:highlight w:val="none"/>
              </w:rPr>
            </w:pPr>
            <w:r>
              <w:rPr>
                <w:rFonts w:hint="eastAsia"/>
                <w:color w:val="auto"/>
                <w:highlight w:val="none"/>
              </w:rPr>
              <w:t>安全保证措施（5分）</w:t>
            </w:r>
          </w:p>
        </w:tc>
        <w:tc>
          <w:tcPr>
            <w:tcW w:w="1088" w:type="dxa"/>
            <w:tcBorders>
              <w:top w:val="single" w:color="auto" w:sz="6" w:space="0"/>
              <w:left w:val="single" w:color="auto" w:sz="6" w:space="0"/>
              <w:bottom w:val="single" w:color="auto" w:sz="4" w:space="0"/>
              <w:right w:val="single" w:color="auto" w:sz="6" w:space="0"/>
            </w:tcBorders>
            <w:vAlign w:val="center"/>
          </w:tcPr>
          <w:p>
            <w:pPr>
              <w:pStyle w:val="111"/>
              <w:shd w:val="clear" w:color="auto" w:fill="auto"/>
              <w:spacing w:line="280" w:lineRule="exact"/>
              <w:ind w:firstLine="0" w:firstLineChars="0"/>
              <w:jc w:val="center"/>
              <w:rPr>
                <w:rFonts w:cs="宋体"/>
                <w:color w:val="auto"/>
                <w:kern w:val="2"/>
                <w:highlight w:val="none"/>
              </w:rPr>
            </w:pPr>
            <w:r>
              <w:rPr>
                <w:rStyle w:val="112"/>
                <w:rFonts w:hint="eastAsia"/>
                <w:color w:val="auto"/>
                <w:highlight w:val="none"/>
                <w:u w:val="single"/>
              </w:rPr>
              <w:t>3.1-5</w:t>
            </w:r>
            <w:r>
              <w:rPr>
                <w:rStyle w:val="112"/>
                <w:rFonts w:hint="eastAsia"/>
                <w:color w:val="auto"/>
                <w:highlight w:val="none"/>
              </w:rPr>
              <w:t>分</w:t>
            </w:r>
          </w:p>
        </w:tc>
        <w:tc>
          <w:tcPr>
            <w:tcW w:w="3491" w:type="dxa"/>
            <w:tcBorders>
              <w:top w:val="single" w:color="auto" w:sz="6" w:space="0"/>
              <w:left w:val="single" w:color="auto" w:sz="6" w:space="0"/>
              <w:bottom w:val="single" w:color="auto" w:sz="4" w:space="0"/>
              <w:right w:val="single" w:color="auto" w:sz="6" w:space="0"/>
            </w:tcBorders>
            <w:vAlign w:val="center"/>
          </w:tcPr>
          <w:p>
            <w:pPr>
              <w:pStyle w:val="111"/>
              <w:shd w:val="clear" w:color="auto" w:fill="auto"/>
              <w:spacing w:line="280" w:lineRule="exact"/>
              <w:ind w:firstLine="211"/>
              <w:rPr>
                <w:rFonts w:cs="宋体"/>
                <w:color w:val="auto"/>
                <w:kern w:val="2"/>
                <w:highlight w:val="none"/>
              </w:rPr>
            </w:pPr>
            <w:r>
              <w:rPr>
                <w:rFonts w:hint="eastAsia"/>
                <w:b/>
                <w:color w:val="auto"/>
                <w:highlight w:val="none"/>
              </w:rPr>
              <w:t>对本项目各项高风险作业进行了有效风险辨识，</w:t>
            </w:r>
            <w:r>
              <w:rPr>
                <w:rFonts w:hint="eastAsia"/>
                <w:bCs/>
                <w:color w:val="auto"/>
                <w:highlight w:val="none"/>
              </w:rPr>
              <w:t>针对现场高风险作业制定安全保证措施，安全保证措施有针对性、可操作性</w:t>
            </w:r>
            <w:r>
              <w:rPr>
                <w:rFonts w:hint="eastAsia" w:cs="宋体"/>
                <w:color w:val="auto"/>
                <w:kern w:val="2"/>
                <w:highlight w:val="none"/>
              </w:rPr>
              <w:t>。</w:t>
            </w:r>
          </w:p>
        </w:tc>
        <w:tc>
          <w:tcPr>
            <w:tcW w:w="2023" w:type="dxa"/>
            <w:gridSpan w:val="2"/>
            <w:vMerge w:val="restart"/>
            <w:tcBorders>
              <w:top w:val="single" w:color="auto" w:sz="6" w:space="0"/>
              <w:left w:val="single" w:color="auto" w:sz="6" w:space="0"/>
              <w:right w:val="single" w:color="auto" w:sz="6" w:space="0"/>
            </w:tcBorders>
            <w:vAlign w:val="center"/>
          </w:tcPr>
          <w:p>
            <w:pPr>
              <w:spacing w:line="240" w:lineRule="exact"/>
              <w:ind w:firstLine="210"/>
              <w:rPr>
                <w:rFonts w:ascii="宋体" w:hAnsi="宋体"/>
                <w:color w:val="auto"/>
                <w:szCs w:val="21"/>
                <w:highlight w:val="none"/>
              </w:rPr>
            </w:pPr>
            <w:r>
              <w:rPr>
                <w:rFonts w:hint="eastAsia" w:ascii="宋体" w:hAnsi="宋体"/>
                <w:color w:val="auto"/>
                <w:szCs w:val="21"/>
                <w:highlight w:val="none"/>
              </w:rPr>
              <w:t>根据安全保证措施内容进行综合评分。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700" w:type="dxa"/>
            <w:vMerge w:val="continue"/>
            <w:tcBorders>
              <w:left w:val="single" w:color="auto" w:sz="6" w:space="0"/>
              <w:bottom w:val="single" w:color="auto" w:sz="6" w:space="0"/>
              <w:right w:val="single" w:color="auto" w:sz="6" w:space="0"/>
            </w:tcBorders>
            <w:vAlign w:val="center"/>
          </w:tcPr>
          <w:p>
            <w:pPr>
              <w:spacing w:line="300" w:lineRule="exact"/>
              <w:ind w:firstLine="0" w:firstLineChars="0"/>
              <w:jc w:val="center"/>
              <w:rPr>
                <w:rFonts w:ascii="宋体" w:hAnsi="宋体"/>
                <w:color w:val="auto"/>
                <w:highlight w:val="none"/>
              </w:rPr>
            </w:pPr>
          </w:p>
        </w:tc>
        <w:tc>
          <w:tcPr>
            <w:tcW w:w="2503" w:type="dxa"/>
            <w:gridSpan w:val="3"/>
            <w:vMerge w:val="continue"/>
            <w:tcBorders>
              <w:left w:val="single" w:color="auto" w:sz="6" w:space="0"/>
              <w:bottom w:val="single" w:color="auto" w:sz="6" w:space="0"/>
              <w:right w:val="single" w:color="auto" w:sz="6" w:space="0"/>
            </w:tcBorders>
            <w:vAlign w:val="center"/>
          </w:tcPr>
          <w:p>
            <w:pPr>
              <w:pStyle w:val="111"/>
              <w:shd w:val="clear" w:color="auto" w:fill="auto"/>
              <w:spacing w:line="280" w:lineRule="exact"/>
              <w:ind w:firstLine="210"/>
              <w:rPr>
                <w:color w:val="auto"/>
                <w:highlight w:val="none"/>
              </w:rPr>
            </w:pPr>
          </w:p>
        </w:tc>
        <w:tc>
          <w:tcPr>
            <w:tcW w:w="1088" w:type="dxa"/>
            <w:tcBorders>
              <w:top w:val="single" w:color="auto" w:sz="4" w:space="0"/>
              <w:left w:val="single" w:color="auto" w:sz="6" w:space="0"/>
              <w:bottom w:val="single" w:color="auto" w:sz="6" w:space="0"/>
              <w:right w:val="single" w:color="auto" w:sz="6" w:space="0"/>
            </w:tcBorders>
            <w:vAlign w:val="center"/>
          </w:tcPr>
          <w:p>
            <w:pPr>
              <w:pStyle w:val="111"/>
              <w:shd w:val="clear" w:color="auto" w:fill="auto"/>
              <w:spacing w:line="280" w:lineRule="exact"/>
              <w:ind w:firstLine="0" w:firstLineChars="0"/>
              <w:jc w:val="center"/>
              <w:rPr>
                <w:rStyle w:val="112"/>
                <w:color w:val="auto"/>
                <w:highlight w:val="none"/>
                <w:u w:val="single"/>
              </w:rPr>
            </w:pPr>
            <w:r>
              <w:rPr>
                <w:rStyle w:val="112"/>
                <w:rFonts w:hint="eastAsia"/>
                <w:color w:val="auto"/>
                <w:highlight w:val="none"/>
                <w:u w:val="single"/>
              </w:rPr>
              <w:t>0-3</w:t>
            </w:r>
            <w:r>
              <w:rPr>
                <w:rStyle w:val="112"/>
                <w:rFonts w:hint="eastAsia"/>
                <w:color w:val="auto"/>
                <w:highlight w:val="none"/>
              </w:rPr>
              <w:t>分</w:t>
            </w:r>
          </w:p>
        </w:tc>
        <w:tc>
          <w:tcPr>
            <w:tcW w:w="3491" w:type="dxa"/>
            <w:tcBorders>
              <w:top w:val="single" w:color="auto" w:sz="4" w:space="0"/>
              <w:left w:val="single" w:color="auto" w:sz="6" w:space="0"/>
              <w:bottom w:val="single" w:color="auto" w:sz="6" w:space="0"/>
              <w:right w:val="single" w:color="auto" w:sz="6" w:space="0"/>
            </w:tcBorders>
            <w:vAlign w:val="center"/>
          </w:tcPr>
          <w:p>
            <w:pPr>
              <w:pStyle w:val="111"/>
              <w:shd w:val="clear" w:color="auto" w:fill="auto"/>
              <w:spacing w:line="280" w:lineRule="exact"/>
              <w:ind w:firstLine="210"/>
              <w:rPr>
                <w:b/>
                <w:color w:val="auto"/>
                <w:highlight w:val="none"/>
              </w:rPr>
            </w:pPr>
            <w:r>
              <w:rPr>
                <w:rFonts w:hint="eastAsia"/>
                <w:bCs/>
                <w:color w:val="auto"/>
                <w:highlight w:val="none"/>
              </w:rPr>
              <w:t>安全保证措施基本可行的酌情评分，</w:t>
            </w:r>
            <w:r>
              <w:rPr>
                <w:rFonts w:hint="eastAsia" w:cs="宋体"/>
                <w:color w:val="auto"/>
                <w:kern w:val="2"/>
                <w:highlight w:val="none"/>
              </w:rPr>
              <w:t>没有</w:t>
            </w:r>
            <w:r>
              <w:rPr>
                <w:rFonts w:hint="eastAsia"/>
                <w:color w:val="auto"/>
                <w:highlight w:val="none"/>
              </w:rPr>
              <w:t>安全保证措施</w:t>
            </w:r>
            <w:r>
              <w:rPr>
                <w:rFonts w:hint="eastAsia" w:cs="宋体"/>
                <w:color w:val="auto"/>
                <w:kern w:val="2"/>
                <w:highlight w:val="none"/>
              </w:rPr>
              <w:t>不得分。</w:t>
            </w:r>
          </w:p>
        </w:tc>
        <w:tc>
          <w:tcPr>
            <w:tcW w:w="2023" w:type="dxa"/>
            <w:gridSpan w:val="2"/>
            <w:vMerge w:val="continue"/>
            <w:tcBorders>
              <w:left w:val="single" w:color="auto" w:sz="6" w:space="0"/>
              <w:bottom w:val="single" w:color="auto" w:sz="6" w:space="0"/>
              <w:right w:val="single" w:color="auto" w:sz="6" w:space="0"/>
            </w:tcBorders>
            <w:vAlign w:val="center"/>
          </w:tcPr>
          <w:p>
            <w:pPr>
              <w:spacing w:line="240" w:lineRule="exact"/>
              <w:ind w:firstLine="210"/>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7" w:hRule="atLeast"/>
          <w:jc w:val="center"/>
        </w:trPr>
        <w:tc>
          <w:tcPr>
            <w:tcW w:w="700" w:type="dxa"/>
            <w:tcBorders>
              <w:top w:val="single" w:color="auto" w:sz="6" w:space="0"/>
              <w:left w:val="single" w:color="auto" w:sz="6" w:space="0"/>
              <w:bottom w:val="single" w:color="auto" w:sz="6" w:space="0"/>
              <w:right w:val="single" w:color="auto" w:sz="6" w:space="0"/>
            </w:tcBorders>
            <w:vAlign w:val="center"/>
          </w:tcPr>
          <w:p>
            <w:pPr>
              <w:spacing w:line="300" w:lineRule="exact"/>
              <w:ind w:firstLine="0" w:firstLineChars="0"/>
              <w:jc w:val="center"/>
              <w:rPr>
                <w:rFonts w:ascii="宋体" w:hAnsi="宋体"/>
                <w:color w:val="auto"/>
                <w:highlight w:val="none"/>
              </w:rPr>
            </w:pPr>
            <w:r>
              <w:rPr>
                <w:rFonts w:hint="eastAsia" w:ascii="宋体" w:hAnsi="宋体"/>
                <w:color w:val="auto"/>
                <w:highlight w:val="none"/>
              </w:rPr>
              <w:t>6</w:t>
            </w:r>
          </w:p>
        </w:tc>
        <w:tc>
          <w:tcPr>
            <w:tcW w:w="2503" w:type="dxa"/>
            <w:gridSpan w:val="3"/>
            <w:tcBorders>
              <w:top w:val="single" w:color="auto" w:sz="6" w:space="0"/>
              <w:left w:val="single" w:color="auto" w:sz="6" w:space="0"/>
              <w:bottom w:val="single" w:color="auto" w:sz="6" w:space="0"/>
              <w:right w:val="single" w:color="auto" w:sz="6" w:space="0"/>
            </w:tcBorders>
            <w:vAlign w:val="center"/>
          </w:tcPr>
          <w:p>
            <w:pPr>
              <w:pStyle w:val="111"/>
              <w:shd w:val="clear" w:color="auto" w:fill="auto"/>
              <w:spacing w:line="280" w:lineRule="exact"/>
              <w:ind w:firstLine="210"/>
              <w:rPr>
                <w:rFonts w:cs="宋体"/>
                <w:color w:val="auto"/>
                <w:kern w:val="2"/>
                <w:highlight w:val="none"/>
              </w:rPr>
            </w:pPr>
            <w:r>
              <w:rPr>
                <w:rFonts w:hint="eastAsia"/>
                <w:color w:val="auto"/>
                <w:highlight w:val="none"/>
              </w:rPr>
              <w:t>廉政措施（</w:t>
            </w:r>
            <w:r>
              <w:rPr>
                <w:rFonts w:hint="eastAsia"/>
                <w:color w:val="auto"/>
                <w:highlight w:val="none"/>
                <w:lang w:val="en-US" w:eastAsia="zh-CN"/>
              </w:rPr>
              <w:t>2</w:t>
            </w:r>
            <w:r>
              <w:rPr>
                <w:rFonts w:hint="eastAsia"/>
                <w:color w:val="auto"/>
                <w:highlight w:val="none"/>
              </w:rPr>
              <w:t>分）</w:t>
            </w:r>
          </w:p>
        </w:tc>
        <w:tc>
          <w:tcPr>
            <w:tcW w:w="1088" w:type="dxa"/>
            <w:tcBorders>
              <w:top w:val="single" w:color="auto" w:sz="6" w:space="0"/>
              <w:left w:val="single" w:color="auto" w:sz="6" w:space="0"/>
              <w:bottom w:val="single" w:color="auto" w:sz="6" w:space="0"/>
              <w:right w:val="single" w:color="auto" w:sz="6" w:space="0"/>
            </w:tcBorders>
            <w:vAlign w:val="center"/>
          </w:tcPr>
          <w:p>
            <w:pPr>
              <w:pStyle w:val="111"/>
              <w:shd w:val="clear" w:color="auto" w:fill="auto"/>
              <w:spacing w:line="280" w:lineRule="exact"/>
              <w:ind w:firstLine="0" w:firstLineChars="0"/>
              <w:jc w:val="center"/>
              <w:rPr>
                <w:rFonts w:cs="宋体"/>
                <w:color w:val="auto"/>
                <w:kern w:val="2"/>
                <w:highlight w:val="none"/>
              </w:rPr>
            </w:pPr>
            <w:r>
              <w:rPr>
                <w:rStyle w:val="112"/>
                <w:rFonts w:hint="eastAsia"/>
                <w:color w:val="auto"/>
                <w:highlight w:val="none"/>
                <w:u w:val="single"/>
              </w:rPr>
              <w:t>0-</w:t>
            </w:r>
            <w:r>
              <w:rPr>
                <w:rStyle w:val="112"/>
                <w:rFonts w:hint="eastAsia"/>
                <w:color w:val="auto"/>
                <w:highlight w:val="none"/>
                <w:u w:val="single"/>
                <w:lang w:val="en-US"/>
              </w:rPr>
              <w:t>2</w:t>
            </w:r>
            <w:r>
              <w:rPr>
                <w:rStyle w:val="112"/>
                <w:rFonts w:hint="eastAsia"/>
                <w:color w:val="auto"/>
                <w:highlight w:val="none"/>
              </w:rPr>
              <w:t>分</w:t>
            </w:r>
          </w:p>
        </w:tc>
        <w:tc>
          <w:tcPr>
            <w:tcW w:w="3491" w:type="dxa"/>
            <w:tcBorders>
              <w:top w:val="single" w:color="auto" w:sz="6" w:space="0"/>
              <w:left w:val="single" w:color="auto" w:sz="6" w:space="0"/>
              <w:bottom w:val="single" w:color="auto" w:sz="6" w:space="0"/>
              <w:right w:val="single" w:color="auto" w:sz="6" w:space="0"/>
            </w:tcBorders>
            <w:vAlign w:val="center"/>
          </w:tcPr>
          <w:p>
            <w:pPr>
              <w:pStyle w:val="111"/>
              <w:shd w:val="clear" w:color="auto" w:fill="auto"/>
              <w:spacing w:line="280" w:lineRule="exact"/>
              <w:ind w:firstLine="210"/>
              <w:rPr>
                <w:rFonts w:cs="宋体"/>
                <w:color w:val="auto"/>
                <w:kern w:val="2"/>
                <w:highlight w:val="none"/>
              </w:rPr>
            </w:pPr>
            <w:r>
              <w:rPr>
                <w:rFonts w:hint="eastAsia" w:cs="宋体"/>
                <w:color w:val="auto"/>
                <w:kern w:val="2"/>
                <w:highlight w:val="none"/>
              </w:rPr>
              <w:t>根据廉政措施得当情况</w:t>
            </w:r>
            <w:r>
              <w:rPr>
                <w:rFonts w:hint="eastAsia"/>
                <w:bCs/>
                <w:color w:val="auto"/>
                <w:highlight w:val="none"/>
              </w:rPr>
              <w:t>酌情评分，</w:t>
            </w:r>
            <w:r>
              <w:rPr>
                <w:rFonts w:hint="eastAsia" w:cs="宋体"/>
                <w:color w:val="auto"/>
                <w:kern w:val="2"/>
                <w:highlight w:val="none"/>
              </w:rPr>
              <w:t>没有廉政</w:t>
            </w:r>
            <w:r>
              <w:rPr>
                <w:rFonts w:hint="eastAsia"/>
                <w:color w:val="auto"/>
                <w:highlight w:val="none"/>
              </w:rPr>
              <w:t>措施</w:t>
            </w:r>
            <w:r>
              <w:rPr>
                <w:rFonts w:hint="eastAsia" w:cs="宋体"/>
                <w:color w:val="auto"/>
                <w:kern w:val="2"/>
                <w:highlight w:val="none"/>
              </w:rPr>
              <w:t>不得分。</w:t>
            </w:r>
          </w:p>
        </w:tc>
        <w:tc>
          <w:tcPr>
            <w:tcW w:w="2023" w:type="dxa"/>
            <w:gridSpan w:val="2"/>
            <w:tcBorders>
              <w:top w:val="single" w:color="auto" w:sz="6" w:space="0"/>
              <w:left w:val="single" w:color="auto" w:sz="6" w:space="0"/>
              <w:bottom w:val="single" w:color="auto" w:sz="6" w:space="0"/>
              <w:right w:val="single" w:color="auto" w:sz="6" w:space="0"/>
            </w:tcBorders>
            <w:vAlign w:val="center"/>
          </w:tcPr>
          <w:p>
            <w:pPr>
              <w:spacing w:line="240" w:lineRule="exact"/>
              <w:ind w:firstLine="210"/>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7" w:hRule="atLeast"/>
          <w:jc w:val="center"/>
        </w:trPr>
        <w:tc>
          <w:tcPr>
            <w:tcW w:w="700" w:type="dxa"/>
            <w:vMerge w:val="restart"/>
            <w:tcBorders>
              <w:top w:val="single" w:color="auto" w:sz="6" w:space="0"/>
              <w:left w:val="single" w:color="auto" w:sz="6" w:space="0"/>
              <w:right w:val="single" w:color="auto" w:sz="6" w:space="0"/>
            </w:tcBorders>
            <w:vAlign w:val="center"/>
          </w:tcPr>
          <w:p>
            <w:pPr>
              <w:spacing w:line="300" w:lineRule="exact"/>
              <w:ind w:firstLine="0" w:firstLineChars="0"/>
              <w:jc w:val="center"/>
              <w:rPr>
                <w:rFonts w:hint="eastAsia" w:ascii="宋体" w:hAnsi="宋体" w:eastAsia="宋体"/>
                <w:color w:val="auto"/>
                <w:highlight w:val="none"/>
                <w:lang w:val="en-US" w:eastAsia="zh-CN"/>
              </w:rPr>
            </w:pPr>
            <w:r>
              <w:rPr>
                <w:rFonts w:hint="eastAsia" w:hAnsi="宋体"/>
                <w:color w:val="auto"/>
                <w:highlight w:val="none"/>
                <w:lang w:val="en-US" w:eastAsia="zh-CN"/>
              </w:rPr>
              <w:t>7</w:t>
            </w:r>
          </w:p>
        </w:tc>
        <w:tc>
          <w:tcPr>
            <w:tcW w:w="1230" w:type="dxa"/>
            <w:gridSpan w:val="2"/>
            <w:vMerge w:val="restart"/>
            <w:tcBorders>
              <w:top w:val="single" w:color="auto" w:sz="6" w:space="0"/>
              <w:left w:val="single" w:color="auto" w:sz="6" w:space="0"/>
              <w:right w:val="single" w:color="auto" w:sz="4" w:space="0"/>
            </w:tcBorders>
            <w:vAlign w:val="center"/>
          </w:tcPr>
          <w:p>
            <w:pPr>
              <w:autoSpaceDE w:val="0"/>
              <w:autoSpaceDN w:val="0"/>
              <w:adjustRightInd w:val="0"/>
              <w:spacing w:line="24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rPr>
              <w:t>投标人与本项目相关的具体业绩及综合实力</w:t>
            </w:r>
          </w:p>
          <w:p>
            <w:pPr>
              <w:autoSpaceDE w:val="0"/>
              <w:autoSpaceDN w:val="0"/>
              <w:adjustRightInd w:val="0"/>
              <w:spacing w:line="240" w:lineRule="exact"/>
              <w:ind w:firstLine="0" w:firstLineChars="0"/>
              <w:jc w:val="left"/>
              <w:rPr>
                <w:rFonts w:hint="eastAsia"/>
                <w:color w:val="auto"/>
                <w:highlight w:val="none"/>
              </w:rPr>
            </w:pPr>
            <w:r>
              <w:rPr>
                <w:rFonts w:hint="eastAsia" w:ascii="宋体" w:hAnsi="宋体"/>
                <w:color w:val="auto"/>
                <w:szCs w:val="21"/>
                <w:highlight w:val="none"/>
              </w:rPr>
              <w:t>（</w:t>
            </w:r>
            <w:r>
              <w:rPr>
                <w:rFonts w:hint="eastAsia" w:hAnsi="宋体"/>
                <w:color w:val="auto"/>
                <w:szCs w:val="21"/>
                <w:highlight w:val="none"/>
                <w:lang w:val="en-US" w:eastAsia="zh-CN"/>
              </w:rPr>
              <w:t>13</w:t>
            </w:r>
            <w:r>
              <w:rPr>
                <w:rFonts w:hint="eastAsia" w:ascii="宋体" w:hAnsi="宋体"/>
                <w:color w:val="auto"/>
                <w:szCs w:val="21"/>
                <w:highlight w:val="none"/>
              </w:rPr>
              <w:t>分）</w:t>
            </w:r>
          </w:p>
        </w:tc>
        <w:tc>
          <w:tcPr>
            <w:tcW w:w="1273" w:type="dxa"/>
            <w:tcBorders>
              <w:top w:val="single" w:color="auto" w:sz="6" w:space="0"/>
              <w:left w:val="single" w:color="auto" w:sz="4" w:space="0"/>
              <w:bottom w:val="single" w:color="auto" w:sz="4" w:space="0"/>
              <w:right w:val="single" w:color="auto" w:sz="6" w:space="0"/>
            </w:tcBorders>
            <w:vAlign w:val="center"/>
          </w:tcPr>
          <w:p>
            <w:pPr>
              <w:pStyle w:val="111"/>
              <w:shd w:val="clear" w:color="auto" w:fill="auto"/>
              <w:spacing w:line="280" w:lineRule="exact"/>
              <w:ind w:left="0" w:leftChars="0" w:firstLine="0" w:firstLineChars="0"/>
              <w:rPr>
                <w:rFonts w:hint="eastAsia"/>
                <w:color w:val="auto"/>
                <w:highlight w:val="none"/>
              </w:rPr>
            </w:pPr>
            <w:r>
              <w:rPr>
                <w:rFonts w:hint="eastAsia" w:ascii="宋体" w:hAnsi="宋体"/>
                <w:color w:val="auto"/>
                <w:szCs w:val="21"/>
                <w:highlight w:val="none"/>
              </w:rPr>
              <w:t>类似跟踪监测项目业绩</w:t>
            </w:r>
          </w:p>
        </w:tc>
        <w:tc>
          <w:tcPr>
            <w:tcW w:w="1088" w:type="dxa"/>
            <w:tcBorders>
              <w:top w:val="single" w:color="auto" w:sz="6" w:space="0"/>
              <w:left w:val="single" w:color="auto" w:sz="6" w:space="0"/>
              <w:bottom w:val="single" w:color="auto" w:sz="4" w:space="0"/>
              <w:right w:val="single" w:color="auto" w:sz="6" w:space="0"/>
            </w:tcBorders>
            <w:vAlign w:val="center"/>
          </w:tcPr>
          <w:p>
            <w:pPr>
              <w:pStyle w:val="111"/>
              <w:shd w:val="clear" w:color="auto" w:fill="auto"/>
              <w:spacing w:line="280" w:lineRule="exact"/>
              <w:ind w:firstLine="0" w:firstLineChars="0"/>
              <w:jc w:val="center"/>
              <w:rPr>
                <w:rStyle w:val="112"/>
                <w:rFonts w:hint="default"/>
                <w:color w:val="auto"/>
                <w:highlight w:val="none"/>
                <w:u w:val="single"/>
                <w:lang w:val="en-US"/>
              </w:rPr>
            </w:pPr>
            <w:r>
              <w:rPr>
                <w:rStyle w:val="112"/>
                <w:rFonts w:hint="eastAsia"/>
                <w:color w:val="auto"/>
                <w:highlight w:val="none"/>
                <w:u w:val="none"/>
                <w:lang w:val="en-US"/>
              </w:rPr>
              <w:t>1分</w:t>
            </w:r>
          </w:p>
        </w:tc>
        <w:tc>
          <w:tcPr>
            <w:tcW w:w="5514" w:type="dxa"/>
            <w:gridSpan w:val="3"/>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firstLine="210" w:firstLineChars="100"/>
              <w:textAlignment w:val="auto"/>
              <w:rPr>
                <w:rFonts w:hint="eastAsia" w:cs="宋体"/>
                <w:color w:val="auto"/>
                <w:kern w:val="2"/>
                <w:highlight w:val="none"/>
                <w:lang w:val="zh-TW"/>
              </w:rPr>
            </w:pPr>
            <w:r>
              <w:rPr>
                <w:rFonts w:hint="eastAsia" w:cs="宋体"/>
                <w:color w:val="auto"/>
                <w:kern w:val="2"/>
                <w:highlight w:val="none"/>
                <w:lang w:val="zh-TW"/>
              </w:rPr>
              <w:t>自</w:t>
            </w:r>
            <w:r>
              <w:rPr>
                <w:rFonts w:hint="eastAsia" w:cs="宋体"/>
                <w:color w:val="auto"/>
                <w:kern w:val="2"/>
                <w:highlight w:val="none"/>
              </w:rPr>
              <w:t>201</w:t>
            </w:r>
            <w:r>
              <w:rPr>
                <w:rFonts w:hint="eastAsia" w:cs="宋体"/>
                <w:color w:val="auto"/>
                <w:kern w:val="2"/>
                <w:highlight w:val="none"/>
                <w:lang w:val="en-US" w:eastAsia="zh-CN"/>
              </w:rPr>
              <w:t>8</w:t>
            </w:r>
            <w:r>
              <w:rPr>
                <w:rFonts w:hint="eastAsia" w:cs="宋体"/>
                <w:color w:val="auto"/>
                <w:kern w:val="2"/>
                <w:highlight w:val="none"/>
              </w:rPr>
              <w:t>年1月1日</w:t>
            </w:r>
            <w:r>
              <w:rPr>
                <w:rFonts w:cs="宋体"/>
                <w:color w:val="auto"/>
                <w:kern w:val="2"/>
                <w:highlight w:val="none"/>
                <w:lang w:val="zh-TW"/>
              </w:rPr>
              <w:t>以来</w:t>
            </w:r>
            <w:r>
              <w:rPr>
                <w:rFonts w:hint="eastAsia"/>
                <w:color w:val="auto"/>
                <w:highlight w:val="none"/>
                <w:lang w:val="zh-TW"/>
              </w:rPr>
              <w:t>（以完成时间为准）</w:t>
            </w:r>
            <w:r>
              <w:rPr>
                <w:rFonts w:hint="eastAsia" w:cs="宋体"/>
                <w:color w:val="auto"/>
                <w:kern w:val="2"/>
                <w:highlight w:val="none"/>
                <w:lang w:val="zh-TW"/>
              </w:rPr>
              <w:t>完成</w:t>
            </w:r>
            <w:r>
              <w:rPr>
                <w:rFonts w:cs="宋体"/>
                <w:color w:val="auto"/>
                <w:kern w:val="2"/>
                <w:highlight w:val="none"/>
                <w:lang w:val="zh-TW"/>
              </w:rPr>
              <w:t>过</w:t>
            </w:r>
            <w:r>
              <w:rPr>
                <w:rFonts w:hint="eastAsia" w:cs="宋体"/>
                <w:color w:val="auto"/>
                <w:kern w:val="2"/>
                <w:highlight w:val="none"/>
              </w:rPr>
              <w:t>海域海洋环境监测的，每个项目得</w:t>
            </w:r>
            <w:r>
              <w:rPr>
                <w:rFonts w:hint="eastAsia" w:cs="宋体"/>
                <w:color w:val="auto"/>
                <w:kern w:val="2"/>
                <w:highlight w:val="none"/>
                <w:lang w:val="en-US" w:eastAsia="zh-CN"/>
              </w:rPr>
              <w:t>0.5</w:t>
            </w:r>
            <w:r>
              <w:rPr>
                <w:rFonts w:hint="eastAsia" w:cs="宋体"/>
                <w:color w:val="auto"/>
                <w:kern w:val="2"/>
                <w:highlight w:val="none"/>
              </w:rPr>
              <w:t>分，最多</w:t>
            </w:r>
            <w:r>
              <w:rPr>
                <w:rFonts w:hint="eastAsia" w:cs="宋体"/>
                <w:color w:val="auto"/>
                <w:kern w:val="2"/>
                <w:highlight w:val="none"/>
                <w:lang w:val="en-US" w:eastAsia="zh-CN"/>
              </w:rPr>
              <w:t>1</w:t>
            </w:r>
            <w:r>
              <w:rPr>
                <w:rFonts w:hint="eastAsia" w:cs="宋体"/>
                <w:color w:val="auto"/>
                <w:kern w:val="2"/>
                <w:highlight w:val="none"/>
              </w:rPr>
              <w:t>分；</w:t>
            </w:r>
          </w:p>
          <w:p>
            <w:pPr>
              <w:keepNext w:val="0"/>
              <w:keepLines w:val="0"/>
              <w:pageBreakBefore w:val="0"/>
              <w:widowControl w:val="0"/>
              <w:kinsoku/>
              <w:wordWrap w:val="0"/>
              <w:overflowPunct/>
              <w:topLinePunct w:val="0"/>
              <w:autoSpaceDE/>
              <w:autoSpaceDN/>
              <w:bidi w:val="0"/>
              <w:adjustRightInd/>
              <w:snapToGrid/>
              <w:spacing w:line="300" w:lineRule="exact"/>
              <w:ind w:left="0" w:leftChars="0" w:firstLine="0" w:firstLineChars="0"/>
              <w:textAlignment w:val="auto"/>
              <w:rPr>
                <w:rFonts w:ascii="宋体" w:hAnsi="宋体"/>
                <w:color w:val="auto"/>
                <w:szCs w:val="21"/>
                <w:highlight w:val="none"/>
              </w:rPr>
            </w:pPr>
            <w:r>
              <w:rPr>
                <w:rFonts w:hint="eastAsia"/>
                <w:color w:val="auto"/>
                <w:highlight w:val="none"/>
                <w:lang w:eastAsia="zh-CN"/>
              </w:rPr>
              <w:t>（需</w:t>
            </w:r>
            <w:r>
              <w:rPr>
                <w:rFonts w:hint="eastAsia" w:ascii="宋体" w:hAnsi="宋体"/>
                <w:snapToGrid w:val="0"/>
                <w:color w:val="auto"/>
                <w:spacing w:val="-4"/>
                <w:szCs w:val="21"/>
                <w:highlight w:val="none"/>
              </w:rPr>
              <w:t>提供项目合同关键页等相关证明材料并加盖单位公章</w:t>
            </w:r>
            <w:r>
              <w:rPr>
                <w:rFonts w:hint="eastAsia"/>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0" w:hRule="atLeast"/>
          <w:jc w:val="center"/>
        </w:trPr>
        <w:tc>
          <w:tcPr>
            <w:tcW w:w="700" w:type="dxa"/>
            <w:vMerge w:val="continue"/>
            <w:tcBorders>
              <w:left w:val="single" w:color="auto" w:sz="6" w:space="0"/>
              <w:right w:val="single" w:color="auto" w:sz="6" w:space="0"/>
            </w:tcBorders>
            <w:vAlign w:val="center"/>
          </w:tcPr>
          <w:p>
            <w:pPr>
              <w:spacing w:line="300" w:lineRule="exact"/>
              <w:ind w:firstLine="0" w:firstLineChars="0"/>
              <w:jc w:val="center"/>
              <w:rPr>
                <w:rFonts w:hint="eastAsia" w:hAnsi="宋体"/>
                <w:color w:val="auto"/>
                <w:highlight w:val="none"/>
                <w:lang w:val="en-US" w:eastAsia="zh-CN"/>
              </w:rPr>
            </w:pPr>
          </w:p>
        </w:tc>
        <w:tc>
          <w:tcPr>
            <w:tcW w:w="1230" w:type="dxa"/>
            <w:gridSpan w:val="2"/>
            <w:vMerge w:val="continue"/>
            <w:tcBorders>
              <w:left w:val="single" w:color="auto" w:sz="6" w:space="0"/>
              <w:right w:val="single" w:color="auto" w:sz="4" w:space="0"/>
            </w:tcBorders>
            <w:vAlign w:val="center"/>
          </w:tcPr>
          <w:p>
            <w:pPr>
              <w:pStyle w:val="111"/>
              <w:shd w:val="clear" w:color="auto" w:fill="auto"/>
              <w:spacing w:line="280" w:lineRule="exact"/>
              <w:ind w:firstLine="210"/>
              <w:rPr>
                <w:rFonts w:hint="eastAsia"/>
                <w:color w:val="auto"/>
                <w:highlight w:val="none"/>
              </w:rPr>
            </w:pPr>
          </w:p>
        </w:tc>
        <w:tc>
          <w:tcPr>
            <w:tcW w:w="1273" w:type="dxa"/>
            <w:tcBorders>
              <w:top w:val="single" w:color="auto" w:sz="4" w:space="0"/>
              <w:left w:val="single" w:color="auto" w:sz="4" w:space="0"/>
              <w:bottom w:val="single" w:color="auto" w:sz="4" w:space="0"/>
              <w:right w:val="single" w:color="auto" w:sz="6" w:space="0"/>
            </w:tcBorders>
            <w:vAlign w:val="center"/>
          </w:tcPr>
          <w:p>
            <w:pPr>
              <w:spacing w:line="300" w:lineRule="exact"/>
              <w:ind w:firstLine="0" w:firstLineChars="0"/>
              <w:rPr>
                <w:rFonts w:hint="eastAsia"/>
                <w:color w:val="auto"/>
                <w:highlight w:val="none"/>
              </w:rPr>
            </w:pPr>
            <w:r>
              <w:rPr>
                <w:rFonts w:ascii="宋体" w:hAnsi="宋体"/>
                <w:color w:val="auto"/>
                <w:szCs w:val="21"/>
                <w:highlight w:val="none"/>
              </w:rPr>
              <w:t>管理体系</w:t>
            </w:r>
            <w:r>
              <w:rPr>
                <w:rFonts w:hint="eastAsia" w:ascii="宋体" w:hAnsi="宋体"/>
                <w:color w:val="auto"/>
                <w:szCs w:val="21"/>
                <w:highlight w:val="none"/>
              </w:rPr>
              <w:t>认证证书</w:t>
            </w:r>
          </w:p>
        </w:tc>
        <w:tc>
          <w:tcPr>
            <w:tcW w:w="1088" w:type="dxa"/>
            <w:tcBorders>
              <w:top w:val="single" w:color="auto" w:sz="4" w:space="0"/>
              <w:left w:val="single" w:color="auto" w:sz="6" w:space="0"/>
              <w:bottom w:val="single" w:color="auto" w:sz="4" w:space="0"/>
              <w:right w:val="single" w:color="auto" w:sz="6" w:space="0"/>
            </w:tcBorders>
            <w:vAlign w:val="center"/>
          </w:tcPr>
          <w:p>
            <w:pPr>
              <w:spacing w:line="240" w:lineRule="exact"/>
              <w:ind w:firstLine="0" w:firstLineChars="0"/>
              <w:jc w:val="center"/>
              <w:rPr>
                <w:rStyle w:val="112"/>
                <w:rFonts w:hint="eastAsia"/>
                <w:color w:val="auto"/>
                <w:highlight w:val="none"/>
                <w:u w:val="single"/>
              </w:rPr>
            </w:pPr>
            <w:r>
              <w:rPr>
                <w:rFonts w:hint="eastAsia" w:ascii="宋体" w:hAnsi="宋体"/>
                <w:color w:val="auto"/>
                <w:szCs w:val="21"/>
                <w:highlight w:val="none"/>
              </w:rPr>
              <w:t>1分</w:t>
            </w:r>
          </w:p>
        </w:tc>
        <w:tc>
          <w:tcPr>
            <w:tcW w:w="5514" w:type="dxa"/>
            <w:gridSpan w:val="3"/>
            <w:tcBorders>
              <w:top w:val="single" w:color="auto" w:sz="4" w:space="0"/>
              <w:left w:val="single" w:color="auto" w:sz="6" w:space="0"/>
              <w:bottom w:val="single" w:color="auto" w:sz="4" w:space="0"/>
              <w:right w:val="single" w:color="auto" w:sz="6" w:space="0"/>
            </w:tcBorders>
            <w:vAlign w:val="center"/>
          </w:tcPr>
          <w:p>
            <w:pPr>
              <w:pStyle w:val="111"/>
              <w:keepNext w:val="0"/>
              <w:keepLines w:val="0"/>
              <w:pageBreakBefore w:val="0"/>
              <w:widowControl w:val="0"/>
              <w:numPr>
                <w:ilvl w:val="255"/>
                <w:numId w:val="0"/>
              </w:numPr>
              <w:shd w:val="clear" w:color="auto" w:fill="auto"/>
              <w:kinsoku/>
              <w:wordWrap w:val="0"/>
              <w:overflowPunct/>
              <w:topLinePunct w:val="0"/>
              <w:autoSpaceDE/>
              <w:autoSpaceDN/>
              <w:bidi w:val="0"/>
              <w:adjustRightInd/>
              <w:snapToGrid/>
              <w:spacing w:line="300" w:lineRule="exact"/>
              <w:ind w:firstLine="210" w:firstLineChars="100"/>
              <w:textAlignment w:val="auto"/>
              <w:rPr>
                <w:rFonts w:cs="宋体"/>
                <w:color w:val="auto"/>
                <w:highlight w:val="none"/>
              </w:rPr>
            </w:pPr>
            <w:r>
              <w:rPr>
                <w:rFonts w:hint="eastAsia" w:cs="宋体"/>
                <w:color w:val="auto"/>
                <w:highlight w:val="none"/>
              </w:rPr>
              <w:t>投标人具有ISO9001质量管理体系认证且在有效期内的，得1分；</w:t>
            </w:r>
          </w:p>
          <w:p>
            <w:pPr>
              <w:pStyle w:val="111"/>
              <w:keepNext w:val="0"/>
              <w:keepLines w:val="0"/>
              <w:pageBreakBefore w:val="0"/>
              <w:widowControl w:val="0"/>
              <w:numPr>
                <w:ilvl w:val="255"/>
                <w:numId w:val="0"/>
              </w:numPr>
              <w:shd w:val="clear" w:color="auto" w:fill="auto"/>
              <w:kinsoku/>
              <w:wordWrap w:val="0"/>
              <w:overflowPunct/>
              <w:topLinePunct w:val="0"/>
              <w:autoSpaceDE/>
              <w:autoSpaceDN/>
              <w:bidi w:val="0"/>
              <w:adjustRightInd/>
              <w:snapToGrid/>
              <w:spacing w:line="300" w:lineRule="exact"/>
              <w:ind w:left="0" w:leftChars="0" w:firstLine="210" w:firstLineChars="100"/>
              <w:textAlignment w:val="auto"/>
              <w:rPr>
                <w:rFonts w:ascii="宋体" w:hAnsi="宋体"/>
                <w:color w:val="auto"/>
                <w:szCs w:val="21"/>
                <w:highlight w:val="none"/>
              </w:rPr>
            </w:pPr>
            <w:r>
              <w:rPr>
                <w:rFonts w:hint="eastAsia" w:cs="宋体"/>
                <w:color w:val="auto"/>
                <w:highlight w:val="none"/>
                <w:lang w:eastAsia="zh-CN"/>
              </w:rPr>
              <w:t>（</w:t>
            </w:r>
            <w:r>
              <w:rPr>
                <w:rFonts w:hint="eastAsia" w:cs="宋体"/>
                <w:color w:val="auto"/>
                <w:highlight w:val="none"/>
              </w:rPr>
              <w:t>提供认证证书复印件并加盖单位公章。</w:t>
            </w:r>
            <w:r>
              <w:rPr>
                <w:rFonts w:hint="eastAsia" w:cs="宋体"/>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45" w:hRule="atLeast"/>
          <w:jc w:val="center"/>
        </w:trPr>
        <w:tc>
          <w:tcPr>
            <w:tcW w:w="700" w:type="dxa"/>
            <w:vMerge w:val="continue"/>
            <w:tcBorders>
              <w:left w:val="single" w:color="auto" w:sz="6" w:space="0"/>
              <w:right w:val="single" w:color="auto" w:sz="6" w:space="0"/>
            </w:tcBorders>
            <w:vAlign w:val="center"/>
          </w:tcPr>
          <w:p>
            <w:pPr>
              <w:spacing w:line="300" w:lineRule="exact"/>
              <w:ind w:firstLine="0" w:firstLineChars="0"/>
              <w:jc w:val="center"/>
              <w:rPr>
                <w:rFonts w:hint="eastAsia" w:hAnsi="宋体"/>
                <w:color w:val="auto"/>
                <w:highlight w:val="none"/>
                <w:lang w:val="en-US" w:eastAsia="zh-CN"/>
              </w:rPr>
            </w:pPr>
          </w:p>
        </w:tc>
        <w:tc>
          <w:tcPr>
            <w:tcW w:w="1230" w:type="dxa"/>
            <w:gridSpan w:val="2"/>
            <w:vMerge w:val="continue"/>
            <w:tcBorders>
              <w:left w:val="single" w:color="auto" w:sz="6" w:space="0"/>
              <w:right w:val="single" w:color="auto" w:sz="4" w:space="0"/>
            </w:tcBorders>
            <w:vAlign w:val="center"/>
          </w:tcPr>
          <w:p>
            <w:pPr>
              <w:pStyle w:val="111"/>
              <w:shd w:val="clear" w:color="auto" w:fill="auto"/>
              <w:spacing w:line="280" w:lineRule="exact"/>
              <w:ind w:firstLine="210"/>
              <w:rPr>
                <w:rFonts w:hint="eastAsia"/>
                <w:color w:val="auto"/>
                <w:highlight w:val="none"/>
              </w:rPr>
            </w:pPr>
          </w:p>
        </w:tc>
        <w:tc>
          <w:tcPr>
            <w:tcW w:w="1273" w:type="dxa"/>
            <w:tcBorders>
              <w:top w:val="single" w:color="auto" w:sz="4" w:space="0"/>
              <w:left w:val="single" w:color="auto" w:sz="4" w:space="0"/>
              <w:bottom w:val="single" w:color="auto" w:sz="4" w:space="0"/>
              <w:right w:val="single" w:color="auto" w:sz="6" w:space="0"/>
            </w:tcBorders>
            <w:vAlign w:val="center"/>
          </w:tcPr>
          <w:p>
            <w:pPr>
              <w:spacing w:line="300" w:lineRule="exact"/>
              <w:ind w:firstLine="0" w:firstLineChars="0"/>
              <w:rPr>
                <w:rFonts w:hint="eastAsia"/>
                <w:color w:val="auto"/>
                <w:highlight w:val="none"/>
              </w:rPr>
            </w:pPr>
            <w:r>
              <w:rPr>
                <w:rFonts w:hint="eastAsia" w:ascii="宋体" w:hAnsi="宋体"/>
                <w:color w:val="auto"/>
                <w:sz w:val="21"/>
                <w:szCs w:val="21"/>
                <w:highlight w:val="none"/>
              </w:rPr>
              <w:t>获奖情况</w:t>
            </w:r>
          </w:p>
        </w:tc>
        <w:tc>
          <w:tcPr>
            <w:tcW w:w="1088" w:type="dxa"/>
            <w:tcBorders>
              <w:top w:val="single" w:color="auto" w:sz="4" w:space="0"/>
              <w:left w:val="single" w:color="auto" w:sz="6" w:space="0"/>
              <w:bottom w:val="single" w:color="auto" w:sz="4" w:space="0"/>
              <w:right w:val="single" w:color="auto" w:sz="6" w:space="0"/>
            </w:tcBorders>
            <w:vAlign w:val="center"/>
          </w:tcPr>
          <w:p>
            <w:pPr>
              <w:spacing w:line="240" w:lineRule="exact"/>
              <w:ind w:firstLine="0" w:firstLineChars="0"/>
              <w:jc w:val="center"/>
              <w:rPr>
                <w:rStyle w:val="112"/>
                <w:rFonts w:hint="eastAsia"/>
                <w:color w:val="auto"/>
                <w:highlight w:val="none"/>
                <w:u w:val="single"/>
              </w:rPr>
            </w:pPr>
            <w:r>
              <w:rPr>
                <w:rFonts w:hint="eastAsia" w:ascii="宋体" w:hAnsi="宋体" w:cs="宋体"/>
                <w:color w:val="auto"/>
                <w:kern w:val="0"/>
                <w:sz w:val="21"/>
                <w:szCs w:val="21"/>
                <w:highlight w:val="none"/>
              </w:rPr>
              <w:t>5分</w:t>
            </w:r>
          </w:p>
        </w:tc>
        <w:tc>
          <w:tcPr>
            <w:tcW w:w="5514" w:type="dxa"/>
            <w:gridSpan w:val="3"/>
            <w:tcBorders>
              <w:top w:val="single" w:color="auto" w:sz="4" w:space="0"/>
              <w:left w:val="single" w:color="auto" w:sz="6" w:space="0"/>
              <w:bottom w:val="single" w:color="auto" w:sz="4" w:space="0"/>
              <w:right w:val="single" w:color="auto" w:sz="6" w:space="0"/>
            </w:tcBorders>
            <w:vAlign w:val="center"/>
          </w:tcPr>
          <w:p>
            <w:pPr>
              <w:pStyle w:val="111"/>
              <w:shd w:val="clear" w:color="auto" w:fill="auto"/>
              <w:spacing w:line="280" w:lineRule="exact"/>
              <w:ind w:left="0" w:leftChars="0" w:firstLine="210" w:firstLineChars="100"/>
              <w:rPr>
                <w:rFonts w:hint="eastAsia" w:cs="宋体"/>
                <w:color w:val="auto"/>
                <w:sz w:val="21"/>
                <w:szCs w:val="21"/>
                <w:highlight w:val="none"/>
              </w:rPr>
            </w:pPr>
            <w:r>
              <w:rPr>
                <w:rFonts w:hint="eastAsia" w:cs="宋体"/>
                <w:color w:val="auto"/>
                <w:sz w:val="21"/>
                <w:szCs w:val="21"/>
                <w:highlight w:val="none"/>
                <w:lang w:eastAsia="zh-CN"/>
              </w:rPr>
              <w:t>自</w:t>
            </w:r>
            <w:r>
              <w:rPr>
                <w:rFonts w:hint="eastAsia" w:cs="宋体"/>
                <w:color w:val="auto"/>
                <w:sz w:val="21"/>
                <w:szCs w:val="21"/>
                <w:highlight w:val="none"/>
              </w:rPr>
              <w:t>20</w:t>
            </w:r>
            <w:r>
              <w:rPr>
                <w:rFonts w:hint="eastAsia" w:cs="宋体"/>
                <w:color w:val="auto"/>
                <w:sz w:val="21"/>
                <w:szCs w:val="21"/>
                <w:highlight w:val="none"/>
                <w:lang w:val="en-US" w:eastAsia="zh-CN"/>
              </w:rPr>
              <w:t>18</w:t>
            </w:r>
            <w:r>
              <w:rPr>
                <w:rFonts w:hint="eastAsia" w:cs="宋体"/>
                <w:color w:val="auto"/>
                <w:sz w:val="21"/>
                <w:szCs w:val="21"/>
                <w:highlight w:val="none"/>
              </w:rPr>
              <w:t>年1月1日至今，在海洋技术服务项目中具有省部级及以上颁发的奖项的，每提供1个得2分；在海洋技术服务项目中具有地市级部门颁发的奖项的，每提供1个得1分；同一项目获奖</w:t>
            </w:r>
            <w:r>
              <w:rPr>
                <w:rFonts w:hint="eastAsia"/>
                <w:color w:val="auto"/>
                <w:sz w:val="21"/>
                <w:szCs w:val="21"/>
                <w:highlight w:val="none"/>
              </w:rPr>
              <w:t>就高计取，不累计</w:t>
            </w:r>
            <w:r>
              <w:rPr>
                <w:rFonts w:hint="eastAsia"/>
                <w:color w:val="auto"/>
                <w:sz w:val="21"/>
                <w:szCs w:val="21"/>
                <w:highlight w:val="none"/>
                <w:lang w:eastAsia="zh-CN"/>
              </w:rPr>
              <w:t>；</w:t>
            </w:r>
            <w:r>
              <w:rPr>
                <w:rFonts w:hint="eastAsia"/>
                <w:color w:val="auto"/>
                <w:highlight w:val="none"/>
              </w:rPr>
              <w:t>本项最高5分</w:t>
            </w:r>
            <w:r>
              <w:rPr>
                <w:rFonts w:hint="eastAsia" w:cs="宋体"/>
                <w:color w:val="auto"/>
                <w:sz w:val="21"/>
                <w:szCs w:val="21"/>
                <w:highlight w:val="none"/>
              </w:rPr>
              <w:t>。</w:t>
            </w:r>
          </w:p>
          <w:p>
            <w:pPr>
              <w:pStyle w:val="111"/>
              <w:shd w:val="clear" w:color="auto" w:fill="auto"/>
              <w:spacing w:line="280" w:lineRule="exact"/>
              <w:ind w:left="0" w:leftChars="0" w:firstLine="0" w:firstLineChars="0"/>
              <w:rPr>
                <w:rFonts w:ascii="宋体" w:hAnsi="宋体"/>
                <w:color w:val="auto"/>
                <w:szCs w:val="21"/>
                <w:highlight w:val="none"/>
              </w:rPr>
            </w:pPr>
            <w:r>
              <w:rPr>
                <w:rFonts w:hint="eastAsia" w:cs="宋体"/>
                <w:color w:val="auto"/>
                <w:sz w:val="21"/>
                <w:szCs w:val="21"/>
                <w:highlight w:val="none"/>
              </w:rPr>
              <w:t>（投标文件中提供获奖证书或获奖文件复印件加盖公章）。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5" w:hRule="atLeast"/>
          <w:jc w:val="center"/>
        </w:trPr>
        <w:tc>
          <w:tcPr>
            <w:tcW w:w="700" w:type="dxa"/>
            <w:vMerge w:val="continue"/>
            <w:tcBorders>
              <w:left w:val="single" w:color="auto" w:sz="6" w:space="0"/>
              <w:right w:val="single" w:color="auto" w:sz="6" w:space="0"/>
            </w:tcBorders>
            <w:vAlign w:val="center"/>
          </w:tcPr>
          <w:p>
            <w:pPr>
              <w:spacing w:line="300" w:lineRule="exact"/>
              <w:ind w:firstLine="0" w:firstLineChars="0"/>
              <w:jc w:val="center"/>
              <w:rPr>
                <w:rFonts w:hint="eastAsia" w:hAnsi="宋体"/>
                <w:color w:val="auto"/>
                <w:highlight w:val="none"/>
                <w:lang w:val="en-US" w:eastAsia="zh-CN"/>
              </w:rPr>
            </w:pPr>
          </w:p>
        </w:tc>
        <w:tc>
          <w:tcPr>
            <w:tcW w:w="1230" w:type="dxa"/>
            <w:gridSpan w:val="2"/>
            <w:vMerge w:val="continue"/>
            <w:tcBorders>
              <w:left w:val="single" w:color="auto" w:sz="6" w:space="0"/>
              <w:right w:val="single" w:color="auto" w:sz="4" w:space="0"/>
            </w:tcBorders>
            <w:vAlign w:val="center"/>
          </w:tcPr>
          <w:p>
            <w:pPr>
              <w:pStyle w:val="111"/>
              <w:shd w:val="clear" w:color="auto" w:fill="auto"/>
              <w:spacing w:line="280" w:lineRule="exact"/>
              <w:ind w:firstLine="210"/>
              <w:rPr>
                <w:rFonts w:hint="eastAsia"/>
                <w:color w:val="auto"/>
                <w:highlight w:val="none"/>
              </w:rPr>
            </w:pPr>
          </w:p>
        </w:tc>
        <w:tc>
          <w:tcPr>
            <w:tcW w:w="1273" w:type="dxa"/>
            <w:tcBorders>
              <w:top w:val="single" w:color="auto" w:sz="4" w:space="0"/>
              <w:left w:val="single" w:color="auto" w:sz="4" w:space="0"/>
              <w:bottom w:val="single" w:color="auto" w:sz="4" w:space="0"/>
              <w:right w:val="single" w:color="auto" w:sz="6" w:space="0"/>
            </w:tcBorders>
            <w:vAlign w:val="center"/>
          </w:tcPr>
          <w:p>
            <w:pPr>
              <w:spacing w:line="300" w:lineRule="exact"/>
              <w:ind w:firstLine="0" w:firstLineChars="0"/>
              <w:rPr>
                <w:rFonts w:hint="eastAsia" w:ascii="宋体" w:hAnsi="宋体"/>
                <w:color w:val="auto"/>
                <w:sz w:val="21"/>
                <w:szCs w:val="21"/>
                <w:highlight w:val="none"/>
              </w:rPr>
            </w:pPr>
            <w:r>
              <w:rPr>
                <w:rFonts w:hint="eastAsia" w:ascii="宋体" w:hAnsi="宋体"/>
                <w:color w:val="auto"/>
                <w:szCs w:val="21"/>
                <w:highlight w:val="none"/>
              </w:rPr>
              <w:t>测绘能力</w:t>
            </w:r>
          </w:p>
        </w:tc>
        <w:tc>
          <w:tcPr>
            <w:tcW w:w="1088" w:type="dxa"/>
            <w:tcBorders>
              <w:top w:val="single" w:color="auto" w:sz="4" w:space="0"/>
              <w:left w:val="single" w:color="auto" w:sz="6" w:space="0"/>
              <w:bottom w:val="single" w:color="auto" w:sz="4" w:space="0"/>
              <w:right w:val="single" w:color="auto" w:sz="6" w:space="0"/>
            </w:tcBorders>
            <w:vAlign w:val="center"/>
          </w:tcPr>
          <w:p>
            <w:pPr>
              <w:spacing w:line="240" w:lineRule="exact"/>
              <w:ind w:firstLine="0" w:firstLineChars="0"/>
              <w:jc w:val="center"/>
              <w:rPr>
                <w:rFonts w:hint="eastAsia" w:ascii="宋体" w:hAnsi="宋体" w:cs="宋体"/>
                <w:color w:val="auto"/>
                <w:kern w:val="0"/>
                <w:sz w:val="21"/>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分</w:t>
            </w:r>
          </w:p>
        </w:tc>
        <w:tc>
          <w:tcPr>
            <w:tcW w:w="5514" w:type="dxa"/>
            <w:gridSpan w:val="3"/>
            <w:tcBorders>
              <w:top w:val="single" w:color="auto" w:sz="4" w:space="0"/>
              <w:left w:val="single" w:color="auto" w:sz="6" w:space="0"/>
              <w:bottom w:val="single" w:color="auto" w:sz="4" w:space="0"/>
              <w:right w:val="single" w:color="auto" w:sz="6" w:space="0"/>
            </w:tcBorders>
            <w:vAlign w:val="center"/>
          </w:tcPr>
          <w:p>
            <w:pPr>
              <w:pStyle w:val="111"/>
              <w:numPr>
                <w:ilvl w:val="0"/>
                <w:numId w:val="0"/>
              </w:numPr>
              <w:shd w:val="clear" w:color="auto" w:fill="auto"/>
              <w:spacing w:line="280" w:lineRule="exact"/>
              <w:ind w:left="0" w:leftChars="0" w:firstLine="210" w:firstLineChars="100"/>
              <w:rPr>
                <w:rFonts w:hint="eastAsia" w:cs="宋体"/>
                <w:color w:val="auto"/>
                <w:sz w:val="21"/>
                <w:szCs w:val="21"/>
                <w:highlight w:val="none"/>
              </w:rPr>
            </w:pPr>
            <w:r>
              <w:rPr>
                <w:rFonts w:hint="eastAsia" w:cs="宋体"/>
                <w:color w:val="auto"/>
                <w:highlight w:val="none"/>
              </w:rPr>
              <w:t>投标人具有海洋测绘甲级资质的，得</w:t>
            </w:r>
            <w:r>
              <w:rPr>
                <w:rFonts w:hint="eastAsia" w:cs="宋体"/>
                <w:color w:val="auto"/>
                <w:highlight w:val="none"/>
                <w:lang w:val="en-US" w:eastAsia="zh-CN"/>
              </w:rPr>
              <w:t>1</w:t>
            </w:r>
            <w:r>
              <w:rPr>
                <w:rFonts w:hint="eastAsia" w:cs="宋体"/>
                <w:color w:val="auto"/>
                <w:highlight w:val="none"/>
              </w:rPr>
              <w:t>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8" w:hRule="atLeast"/>
          <w:jc w:val="center"/>
        </w:trPr>
        <w:tc>
          <w:tcPr>
            <w:tcW w:w="700" w:type="dxa"/>
            <w:vMerge w:val="continue"/>
            <w:tcBorders>
              <w:left w:val="single" w:color="auto" w:sz="6" w:space="0"/>
              <w:right w:val="single" w:color="auto" w:sz="6" w:space="0"/>
            </w:tcBorders>
            <w:vAlign w:val="center"/>
          </w:tcPr>
          <w:p>
            <w:pPr>
              <w:spacing w:line="300" w:lineRule="exact"/>
              <w:ind w:firstLine="0" w:firstLineChars="0"/>
              <w:jc w:val="center"/>
              <w:rPr>
                <w:rFonts w:hint="eastAsia" w:hAnsi="宋体"/>
                <w:color w:val="auto"/>
                <w:highlight w:val="none"/>
                <w:lang w:val="en-US" w:eastAsia="zh-CN"/>
              </w:rPr>
            </w:pPr>
          </w:p>
        </w:tc>
        <w:tc>
          <w:tcPr>
            <w:tcW w:w="1230" w:type="dxa"/>
            <w:gridSpan w:val="2"/>
            <w:vMerge w:val="continue"/>
            <w:tcBorders>
              <w:left w:val="single" w:color="auto" w:sz="6" w:space="0"/>
              <w:right w:val="single" w:color="auto" w:sz="4" w:space="0"/>
            </w:tcBorders>
            <w:vAlign w:val="center"/>
          </w:tcPr>
          <w:p>
            <w:pPr>
              <w:pStyle w:val="111"/>
              <w:shd w:val="clear" w:color="auto" w:fill="auto"/>
              <w:spacing w:line="280" w:lineRule="exact"/>
              <w:ind w:firstLine="210"/>
              <w:rPr>
                <w:rFonts w:hint="eastAsia"/>
                <w:color w:val="auto"/>
                <w:highlight w:val="none"/>
              </w:rPr>
            </w:pPr>
          </w:p>
        </w:tc>
        <w:tc>
          <w:tcPr>
            <w:tcW w:w="1273" w:type="dxa"/>
            <w:tcBorders>
              <w:top w:val="single" w:color="auto" w:sz="4" w:space="0"/>
              <w:left w:val="single" w:color="auto" w:sz="4" w:space="0"/>
              <w:bottom w:val="single" w:color="auto" w:sz="4" w:space="0"/>
              <w:right w:val="single" w:color="auto" w:sz="6" w:space="0"/>
            </w:tcBorders>
            <w:vAlign w:val="center"/>
          </w:tcPr>
          <w:p>
            <w:pPr>
              <w:spacing w:line="300" w:lineRule="exact"/>
              <w:ind w:firstLine="0" w:firstLineChars="0"/>
              <w:rPr>
                <w:rFonts w:hint="eastAsia"/>
                <w:color w:val="auto"/>
                <w:highlight w:val="none"/>
              </w:rPr>
            </w:pPr>
            <w:r>
              <w:rPr>
                <w:rFonts w:hint="eastAsia" w:ascii="宋体" w:hAnsi="宋体"/>
                <w:color w:val="auto"/>
                <w:szCs w:val="21"/>
                <w:highlight w:val="none"/>
              </w:rPr>
              <w:t>实验室能力</w:t>
            </w:r>
          </w:p>
        </w:tc>
        <w:tc>
          <w:tcPr>
            <w:tcW w:w="1088" w:type="dxa"/>
            <w:tcBorders>
              <w:top w:val="single" w:color="auto" w:sz="4" w:space="0"/>
              <w:left w:val="single" w:color="auto" w:sz="6" w:space="0"/>
              <w:bottom w:val="single" w:color="auto" w:sz="4" w:space="0"/>
              <w:right w:val="single" w:color="auto" w:sz="6" w:space="0"/>
            </w:tcBorders>
            <w:vAlign w:val="center"/>
          </w:tcPr>
          <w:p>
            <w:pPr>
              <w:spacing w:line="240" w:lineRule="exact"/>
              <w:ind w:firstLine="0" w:firstLineChars="0"/>
              <w:jc w:val="center"/>
              <w:rPr>
                <w:rStyle w:val="112"/>
                <w:rFonts w:hint="eastAsia"/>
                <w:color w:val="auto"/>
                <w:highlight w:val="none"/>
                <w:u w:val="single"/>
              </w:rPr>
            </w:pPr>
            <w:r>
              <w:rPr>
                <w:rFonts w:hint="eastAsia" w:ascii="宋体" w:hAnsi="宋体"/>
                <w:color w:val="auto"/>
                <w:szCs w:val="21"/>
                <w:highlight w:val="none"/>
              </w:rPr>
              <w:t>5分</w:t>
            </w:r>
          </w:p>
        </w:tc>
        <w:tc>
          <w:tcPr>
            <w:tcW w:w="5514" w:type="dxa"/>
            <w:gridSpan w:val="3"/>
            <w:tcBorders>
              <w:top w:val="single" w:color="auto" w:sz="4" w:space="0"/>
              <w:left w:val="single" w:color="auto" w:sz="6" w:space="0"/>
              <w:bottom w:val="single" w:color="auto" w:sz="4" w:space="0"/>
              <w:right w:val="single" w:color="auto" w:sz="6" w:space="0"/>
            </w:tcBorders>
            <w:vAlign w:val="center"/>
          </w:tcPr>
          <w:p>
            <w:pPr>
              <w:pStyle w:val="111"/>
              <w:shd w:val="clear" w:color="auto" w:fill="auto"/>
              <w:spacing w:line="280" w:lineRule="exact"/>
              <w:ind w:left="0" w:leftChars="0" w:firstLine="210" w:firstLineChars="100"/>
              <w:rPr>
                <w:rFonts w:hint="eastAsia"/>
                <w:color w:val="auto"/>
                <w:highlight w:val="none"/>
              </w:rPr>
            </w:pPr>
            <w:r>
              <w:rPr>
                <w:rFonts w:hint="eastAsia"/>
                <w:color w:val="auto"/>
                <w:highlight w:val="none"/>
              </w:rPr>
              <w:t>投标人</w:t>
            </w:r>
            <w:r>
              <w:rPr>
                <w:rFonts w:hint="eastAsia"/>
                <w:color w:val="auto"/>
                <w:highlight w:val="none"/>
                <w:lang w:eastAsia="zh-CN"/>
              </w:rPr>
              <w:t>所属实验室</w:t>
            </w:r>
            <w:r>
              <w:rPr>
                <w:rFonts w:hint="eastAsia"/>
                <w:color w:val="auto"/>
                <w:highlight w:val="none"/>
              </w:rPr>
              <w:t>自201</w:t>
            </w:r>
            <w:r>
              <w:rPr>
                <w:rFonts w:hint="eastAsia"/>
                <w:color w:val="auto"/>
                <w:highlight w:val="none"/>
                <w:lang w:val="en-US" w:eastAsia="zh-CN"/>
              </w:rPr>
              <w:t>8</w:t>
            </w:r>
            <w:r>
              <w:rPr>
                <w:rFonts w:hint="eastAsia"/>
                <w:color w:val="auto"/>
                <w:highlight w:val="none"/>
              </w:rPr>
              <w:t>年1月1日至今</w:t>
            </w:r>
            <w:r>
              <w:rPr>
                <w:rFonts w:hint="eastAsia"/>
                <w:color w:val="auto"/>
                <w:highlight w:val="none"/>
                <w:lang w:eastAsia="zh-CN"/>
              </w:rPr>
              <w:t>，</w:t>
            </w:r>
            <w:r>
              <w:rPr>
                <w:rFonts w:hint="eastAsia"/>
                <w:color w:val="auto"/>
                <w:highlight w:val="none"/>
              </w:rPr>
              <w:t>参加过地市级及以上行政管理部门组织的实验室能力考核获优秀的，每项得1分；本项最高得5分，同一考核内容就高计取，不累计。</w:t>
            </w:r>
          </w:p>
          <w:p>
            <w:pPr>
              <w:pStyle w:val="111"/>
              <w:shd w:val="clear" w:color="auto" w:fill="auto"/>
              <w:spacing w:line="280" w:lineRule="exact"/>
              <w:ind w:left="0" w:leftChars="0" w:firstLine="210" w:firstLineChars="100"/>
              <w:rPr>
                <w:rFonts w:ascii="宋体" w:hAnsi="宋体"/>
                <w:color w:val="auto"/>
                <w:szCs w:val="21"/>
                <w:highlight w:val="none"/>
              </w:rPr>
            </w:pPr>
            <w:r>
              <w:rPr>
                <w:rFonts w:hint="eastAsia"/>
                <w:color w:val="auto"/>
                <w:highlight w:val="none"/>
              </w:rPr>
              <w:t>（</w:t>
            </w:r>
            <w:r>
              <w:rPr>
                <w:rFonts w:hint="eastAsia"/>
                <w:color w:val="auto"/>
                <w:highlight w:val="none"/>
                <w:lang w:eastAsia="zh-CN"/>
              </w:rPr>
              <w:t>需</w:t>
            </w:r>
            <w:r>
              <w:rPr>
                <w:rFonts w:hint="eastAsia"/>
                <w:color w:val="auto"/>
                <w:highlight w:val="none"/>
              </w:rPr>
              <w:t>提供</w:t>
            </w:r>
            <w:r>
              <w:rPr>
                <w:b w:val="0"/>
                <w:bCs w:val="0"/>
                <w:color w:val="auto"/>
                <w:szCs w:val="21"/>
                <w:highlight w:val="none"/>
              </w:rPr>
              <w:t>考核结果证明文件或证书</w:t>
            </w:r>
            <w:r>
              <w:rPr>
                <w:rFonts w:hint="eastAsia"/>
                <w:color w:val="auto"/>
                <w:highlight w:val="none"/>
              </w:rPr>
              <w:t>复印件并加盖单位公章）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9" w:hRule="atLeast"/>
          <w:jc w:val="center"/>
        </w:trPr>
        <w:tc>
          <w:tcPr>
            <w:tcW w:w="700" w:type="dxa"/>
            <w:vMerge w:val="restart"/>
            <w:tcBorders>
              <w:left w:val="single" w:color="auto" w:sz="6" w:space="0"/>
              <w:right w:val="single" w:color="auto" w:sz="6" w:space="0"/>
            </w:tcBorders>
            <w:vAlign w:val="center"/>
          </w:tcPr>
          <w:p>
            <w:pPr>
              <w:spacing w:line="300" w:lineRule="exact"/>
              <w:ind w:firstLine="0" w:firstLineChars="0"/>
              <w:jc w:val="center"/>
              <w:rPr>
                <w:rFonts w:hint="default" w:hAnsi="宋体"/>
                <w:color w:val="auto"/>
                <w:highlight w:val="none"/>
                <w:lang w:val="en-US" w:eastAsia="zh-CN"/>
              </w:rPr>
            </w:pPr>
            <w:r>
              <w:rPr>
                <w:rFonts w:hint="eastAsia" w:hAnsi="宋体"/>
                <w:color w:val="auto"/>
                <w:highlight w:val="none"/>
                <w:lang w:val="en-US" w:eastAsia="zh-CN"/>
              </w:rPr>
              <w:t>8</w:t>
            </w:r>
          </w:p>
        </w:tc>
        <w:tc>
          <w:tcPr>
            <w:tcW w:w="1230" w:type="dxa"/>
            <w:gridSpan w:val="2"/>
            <w:vMerge w:val="restart"/>
            <w:tcBorders>
              <w:left w:val="single" w:color="auto" w:sz="6" w:space="0"/>
              <w:right w:val="single" w:color="auto" w:sz="4" w:space="0"/>
            </w:tcBorders>
            <w:vAlign w:val="center"/>
          </w:tcPr>
          <w:p>
            <w:pPr>
              <w:autoSpaceDE w:val="0"/>
              <w:autoSpaceDN w:val="0"/>
              <w:adjustRightInd w:val="0"/>
              <w:spacing w:line="24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rPr>
              <w:t>拟投入本项目的人员资格和能力</w:t>
            </w:r>
          </w:p>
          <w:p>
            <w:pPr>
              <w:autoSpaceDE w:val="0"/>
              <w:autoSpaceDN w:val="0"/>
              <w:adjustRightInd w:val="0"/>
              <w:spacing w:line="240" w:lineRule="exact"/>
              <w:ind w:firstLine="0" w:firstLineChars="0"/>
              <w:jc w:val="left"/>
              <w:rPr>
                <w:rFonts w:hint="eastAsia"/>
                <w:color w:val="auto"/>
                <w:highlight w:val="none"/>
              </w:rPr>
            </w:pPr>
            <w:r>
              <w:rPr>
                <w:rFonts w:hint="eastAsia" w:ascii="宋体" w:hAnsi="宋体"/>
                <w:color w:val="auto"/>
                <w:szCs w:val="21"/>
                <w:highlight w:val="none"/>
              </w:rPr>
              <w:t>（</w:t>
            </w:r>
            <w:r>
              <w:rPr>
                <w:rFonts w:hint="eastAsia" w:hAnsi="宋体"/>
                <w:color w:val="auto"/>
                <w:szCs w:val="21"/>
                <w:highlight w:val="none"/>
                <w:lang w:val="en-US" w:eastAsia="zh-CN"/>
              </w:rPr>
              <w:t>22</w:t>
            </w:r>
            <w:r>
              <w:rPr>
                <w:rFonts w:hint="eastAsia" w:ascii="宋体" w:hAnsi="宋体"/>
                <w:color w:val="auto"/>
                <w:szCs w:val="21"/>
                <w:highlight w:val="none"/>
              </w:rPr>
              <w:t>分）</w:t>
            </w:r>
          </w:p>
        </w:tc>
        <w:tc>
          <w:tcPr>
            <w:tcW w:w="1273" w:type="dxa"/>
            <w:vMerge w:val="restart"/>
            <w:tcBorders>
              <w:top w:val="single" w:color="auto" w:sz="4" w:space="0"/>
              <w:left w:val="single" w:color="auto" w:sz="4" w:space="0"/>
              <w:right w:val="single" w:color="auto" w:sz="6" w:space="0"/>
            </w:tcBorders>
            <w:vAlign w:val="center"/>
          </w:tcPr>
          <w:p>
            <w:pPr>
              <w:spacing w:line="300" w:lineRule="exact"/>
              <w:ind w:firstLine="0" w:firstLineChars="0"/>
              <w:rPr>
                <w:rFonts w:hint="eastAsia" w:ascii="宋体" w:hAnsi="宋体"/>
                <w:color w:val="auto"/>
                <w:szCs w:val="21"/>
                <w:highlight w:val="none"/>
              </w:rPr>
            </w:pPr>
            <w:r>
              <w:rPr>
                <w:rFonts w:hint="eastAsia" w:ascii="宋体" w:hAnsi="宋体"/>
                <w:color w:val="auto"/>
                <w:szCs w:val="21"/>
                <w:highlight w:val="none"/>
              </w:rPr>
              <w:t>项目负责人任职资格</w:t>
            </w:r>
          </w:p>
        </w:tc>
        <w:tc>
          <w:tcPr>
            <w:tcW w:w="1088" w:type="dxa"/>
            <w:tcBorders>
              <w:top w:val="single" w:color="auto" w:sz="4" w:space="0"/>
              <w:left w:val="single" w:color="auto" w:sz="6" w:space="0"/>
              <w:bottom w:val="single" w:color="auto" w:sz="4" w:space="0"/>
              <w:right w:val="single" w:color="auto" w:sz="6" w:space="0"/>
            </w:tcBorders>
            <w:vAlign w:val="center"/>
          </w:tcPr>
          <w:p>
            <w:pPr>
              <w:spacing w:line="240" w:lineRule="exact"/>
              <w:ind w:firstLine="0" w:firstLineChars="0"/>
              <w:jc w:val="center"/>
              <w:rPr>
                <w:rFonts w:hint="eastAsia" w:ascii="宋体" w:hAnsi="宋体" w:eastAsia="宋体"/>
                <w:color w:val="auto"/>
                <w:szCs w:val="21"/>
                <w:highlight w:val="none"/>
                <w:lang w:val="en-US" w:eastAsia="zh-CN"/>
              </w:rPr>
            </w:pPr>
            <w:r>
              <w:rPr>
                <w:rFonts w:hint="eastAsia" w:hAnsi="宋体"/>
                <w:color w:val="auto"/>
                <w:szCs w:val="21"/>
                <w:highlight w:val="none"/>
                <w:lang w:val="en-US" w:eastAsia="zh-CN"/>
              </w:rPr>
              <w:t>3分</w:t>
            </w:r>
          </w:p>
        </w:tc>
        <w:tc>
          <w:tcPr>
            <w:tcW w:w="4297" w:type="dxa"/>
            <w:gridSpan w:val="2"/>
            <w:tcBorders>
              <w:top w:val="single" w:color="auto" w:sz="4" w:space="0"/>
              <w:left w:val="single" w:color="auto" w:sz="6" w:space="0"/>
              <w:bottom w:val="single" w:color="auto" w:sz="4" w:space="0"/>
              <w:right w:val="single" w:color="auto" w:sz="4" w:space="0"/>
            </w:tcBorders>
            <w:vAlign w:val="center"/>
          </w:tcPr>
          <w:p>
            <w:pPr>
              <w:pStyle w:val="111"/>
              <w:shd w:val="clear" w:color="auto" w:fill="auto"/>
              <w:spacing w:line="280" w:lineRule="exact"/>
              <w:ind w:left="0" w:leftChars="0" w:firstLine="210" w:firstLineChars="100"/>
              <w:rPr>
                <w:rFonts w:hint="eastAsia" w:ascii="宋体" w:hAnsi="宋体" w:eastAsia="宋体" w:cs="宋体"/>
                <w:color w:val="auto"/>
                <w:highlight w:val="none"/>
              </w:rPr>
            </w:pPr>
            <w:r>
              <w:rPr>
                <w:rFonts w:hint="eastAsia" w:ascii="宋体" w:hAnsi="宋体" w:eastAsia="宋体" w:cs="宋体"/>
                <w:color w:val="auto"/>
                <w:highlight w:val="none"/>
              </w:rPr>
              <w:t>项目负责人具有海洋或环境相关专业正高级职称得3分；具有海洋或环境相关专业副高级职称得2分；其他不得分。</w:t>
            </w:r>
          </w:p>
          <w:p>
            <w:pPr>
              <w:pStyle w:val="111"/>
              <w:shd w:val="clear" w:color="auto" w:fill="auto"/>
              <w:spacing w:line="280" w:lineRule="exact"/>
              <w:ind w:left="0" w:leftChars="0" w:firstLine="210" w:firstLineChars="100"/>
              <w:rPr>
                <w:rFonts w:hint="eastAsia"/>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rPr>
              <w:t>提供相关职称证明材料</w:t>
            </w:r>
            <w:r>
              <w:rPr>
                <w:rFonts w:hint="eastAsia"/>
                <w:color w:val="auto"/>
                <w:highlight w:val="none"/>
              </w:rPr>
              <w:t>复印件并加盖单位公章</w:t>
            </w:r>
            <w:r>
              <w:rPr>
                <w:rFonts w:hint="eastAsia" w:ascii="宋体" w:hAnsi="宋体" w:eastAsia="宋体" w:cs="宋体"/>
                <w:color w:val="auto"/>
                <w:highlight w:val="none"/>
                <w:lang w:eastAsia="zh-CN"/>
              </w:rPr>
              <w:t>）</w:t>
            </w:r>
          </w:p>
        </w:tc>
        <w:tc>
          <w:tcPr>
            <w:tcW w:w="1217" w:type="dxa"/>
            <w:vMerge w:val="restart"/>
            <w:tcBorders>
              <w:top w:val="single" w:color="auto" w:sz="4" w:space="0"/>
              <w:left w:val="single" w:color="auto" w:sz="4" w:space="0"/>
              <w:right w:val="single" w:color="auto" w:sz="6" w:space="0"/>
            </w:tcBorders>
            <w:vAlign w:val="center"/>
          </w:tcPr>
          <w:p>
            <w:pPr>
              <w:pStyle w:val="111"/>
              <w:shd w:val="clear" w:color="auto" w:fill="auto"/>
              <w:spacing w:line="280" w:lineRule="exact"/>
              <w:ind w:left="0" w:leftChars="0" w:firstLine="210" w:firstLineChars="100"/>
              <w:rPr>
                <w:rFonts w:hint="eastAsia" w:ascii="宋体" w:hAnsi="宋体" w:eastAsia="宋体" w:cs="宋体"/>
                <w:color w:val="auto"/>
                <w:highlight w:val="none"/>
                <w:lang w:eastAsia="zh-CN"/>
              </w:rPr>
            </w:pPr>
            <w:r>
              <w:rPr>
                <w:rFonts w:hint="eastAsia" w:ascii="宋体" w:hAnsi="宋体" w:eastAsia="宋体" w:cs="宋体"/>
                <w:b w:val="0"/>
                <w:bCs w:val="0"/>
                <w:color w:val="auto"/>
                <w:sz w:val="21"/>
                <w:szCs w:val="21"/>
                <w:highlight w:val="none"/>
              </w:rPr>
              <w:t>上述人员须为</w:t>
            </w:r>
            <w:r>
              <w:rPr>
                <w:rFonts w:hint="eastAsia" w:ascii="宋体" w:hAnsi="宋体" w:eastAsia="宋体" w:cs="宋体"/>
                <w:b w:val="0"/>
                <w:bCs w:val="0"/>
                <w:color w:val="auto"/>
                <w:sz w:val="21"/>
                <w:szCs w:val="21"/>
                <w:highlight w:val="none"/>
                <w:lang w:eastAsia="zh-CN"/>
              </w:rPr>
              <w:t>本单位</w:t>
            </w:r>
            <w:r>
              <w:rPr>
                <w:rFonts w:hint="eastAsia" w:ascii="宋体" w:hAnsi="宋体" w:eastAsia="宋体" w:cs="宋体"/>
                <w:b w:val="0"/>
                <w:bCs w:val="0"/>
                <w:color w:val="auto"/>
                <w:sz w:val="21"/>
                <w:szCs w:val="21"/>
                <w:highlight w:val="none"/>
              </w:rPr>
              <w:t>正式在编人员，</w:t>
            </w:r>
            <w:r>
              <w:rPr>
                <w:rFonts w:hint="eastAsia" w:ascii="宋体" w:hAnsi="宋体" w:eastAsia="宋体" w:cs="宋体"/>
                <w:b w:val="0"/>
                <w:bCs w:val="0"/>
                <w:color w:val="auto"/>
                <w:sz w:val="21"/>
                <w:szCs w:val="21"/>
                <w:highlight w:val="none"/>
                <w:lang w:eastAsia="zh-CN"/>
              </w:rPr>
              <w:t>需</w:t>
            </w:r>
            <w:r>
              <w:rPr>
                <w:rFonts w:hint="eastAsia" w:ascii="宋体" w:hAnsi="宋体" w:eastAsia="宋体" w:cs="宋体"/>
                <w:b w:val="0"/>
                <w:bCs w:val="0"/>
                <w:color w:val="auto"/>
                <w:sz w:val="21"/>
                <w:szCs w:val="21"/>
                <w:highlight w:val="none"/>
              </w:rPr>
              <w:t>提供本单位近三个月</w:t>
            </w:r>
            <w:r>
              <w:rPr>
                <w:rFonts w:hint="eastAsia" w:cs="宋体"/>
                <w:b w:val="0"/>
                <w:bCs w:val="0"/>
                <w:color w:val="auto"/>
                <w:sz w:val="21"/>
                <w:szCs w:val="21"/>
                <w:highlight w:val="none"/>
                <w:lang w:eastAsia="zh-CN"/>
              </w:rPr>
              <w:t>内任意一个月的</w:t>
            </w:r>
            <w:r>
              <w:rPr>
                <w:rFonts w:hint="eastAsia" w:ascii="宋体" w:hAnsi="宋体" w:eastAsia="宋体" w:cs="宋体"/>
                <w:b w:val="0"/>
                <w:bCs w:val="0"/>
                <w:color w:val="auto"/>
                <w:sz w:val="21"/>
                <w:szCs w:val="21"/>
                <w:highlight w:val="none"/>
              </w:rPr>
              <w:t>社保证明或其他证明材料复印件加盖公章。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1" w:hRule="atLeast"/>
          <w:jc w:val="center"/>
        </w:trPr>
        <w:tc>
          <w:tcPr>
            <w:tcW w:w="700" w:type="dxa"/>
            <w:vMerge w:val="continue"/>
            <w:tcBorders>
              <w:left w:val="single" w:color="auto" w:sz="6" w:space="0"/>
              <w:right w:val="single" w:color="auto" w:sz="6" w:space="0"/>
            </w:tcBorders>
            <w:vAlign w:val="center"/>
          </w:tcPr>
          <w:p>
            <w:pPr>
              <w:spacing w:line="300" w:lineRule="exact"/>
              <w:ind w:firstLine="0" w:firstLineChars="0"/>
              <w:jc w:val="center"/>
              <w:rPr>
                <w:rFonts w:hint="eastAsia" w:hAnsi="宋体"/>
                <w:color w:val="auto"/>
                <w:highlight w:val="none"/>
                <w:lang w:val="en-US" w:eastAsia="zh-CN"/>
              </w:rPr>
            </w:pPr>
          </w:p>
        </w:tc>
        <w:tc>
          <w:tcPr>
            <w:tcW w:w="1230" w:type="dxa"/>
            <w:gridSpan w:val="2"/>
            <w:vMerge w:val="continue"/>
            <w:tcBorders>
              <w:left w:val="single" w:color="auto" w:sz="6" w:space="0"/>
              <w:right w:val="single" w:color="auto" w:sz="4" w:space="0"/>
            </w:tcBorders>
            <w:vAlign w:val="center"/>
          </w:tcPr>
          <w:p>
            <w:pPr>
              <w:autoSpaceDE w:val="0"/>
              <w:autoSpaceDN w:val="0"/>
              <w:adjustRightInd w:val="0"/>
              <w:spacing w:line="240" w:lineRule="exact"/>
              <w:ind w:firstLine="0" w:firstLineChars="0"/>
              <w:jc w:val="left"/>
              <w:rPr>
                <w:rFonts w:hint="eastAsia" w:ascii="宋体" w:hAnsi="宋体"/>
                <w:color w:val="auto"/>
                <w:szCs w:val="21"/>
                <w:highlight w:val="none"/>
              </w:rPr>
            </w:pPr>
          </w:p>
        </w:tc>
        <w:tc>
          <w:tcPr>
            <w:tcW w:w="1273" w:type="dxa"/>
            <w:vMerge w:val="continue"/>
            <w:tcBorders>
              <w:left w:val="single" w:color="auto" w:sz="4" w:space="0"/>
              <w:bottom w:val="single" w:color="auto" w:sz="4" w:space="0"/>
              <w:right w:val="single" w:color="auto" w:sz="6" w:space="0"/>
            </w:tcBorders>
            <w:vAlign w:val="center"/>
          </w:tcPr>
          <w:p>
            <w:pPr>
              <w:spacing w:line="300" w:lineRule="exact"/>
              <w:ind w:firstLine="0" w:firstLineChars="0"/>
              <w:rPr>
                <w:rFonts w:hint="eastAsia" w:ascii="宋体" w:hAnsi="宋体"/>
                <w:color w:val="auto"/>
                <w:szCs w:val="21"/>
                <w:highlight w:val="none"/>
              </w:rPr>
            </w:pPr>
          </w:p>
        </w:tc>
        <w:tc>
          <w:tcPr>
            <w:tcW w:w="1088" w:type="dxa"/>
            <w:tcBorders>
              <w:top w:val="single" w:color="auto" w:sz="4" w:space="0"/>
              <w:left w:val="single" w:color="auto" w:sz="6" w:space="0"/>
              <w:bottom w:val="single" w:color="auto" w:sz="4" w:space="0"/>
              <w:right w:val="single" w:color="auto" w:sz="6" w:space="0"/>
            </w:tcBorders>
            <w:vAlign w:val="center"/>
          </w:tcPr>
          <w:p>
            <w:pPr>
              <w:spacing w:line="240" w:lineRule="exact"/>
              <w:ind w:firstLine="0" w:firstLineChars="0"/>
              <w:jc w:val="center"/>
              <w:rPr>
                <w:rFonts w:hint="eastAsia" w:ascii="宋体" w:hAnsi="宋体"/>
                <w:color w:val="auto"/>
                <w:szCs w:val="21"/>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分</w:t>
            </w:r>
          </w:p>
        </w:tc>
        <w:tc>
          <w:tcPr>
            <w:tcW w:w="4297" w:type="dxa"/>
            <w:gridSpan w:val="2"/>
            <w:tcBorders>
              <w:top w:val="single" w:color="auto" w:sz="4" w:space="0"/>
              <w:left w:val="single" w:color="auto" w:sz="6" w:space="0"/>
              <w:bottom w:val="single" w:color="auto" w:sz="4" w:space="0"/>
              <w:right w:val="single" w:color="auto" w:sz="4" w:space="0"/>
            </w:tcBorders>
            <w:vAlign w:val="center"/>
          </w:tcPr>
          <w:p>
            <w:pPr>
              <w:pStyle w:val="111"/>
              <w:shd w:val="clear" w:color="auto" w:fill="auto"/>
              <w:spacing w:line="280" w:lineRule="exact"/>
              <w:ind w:left="0" w:leftChars="0" w:firstLine="210" w:firstLineChars="100"/>
              <w:rPr>
                <w:rFonts w:hint="eastAsia" w:ascii="宋体" w:hAnsi="宋体" w:eastAsia="宋体" w:cs="宋体"/>
                <w:color w:val="auto"/>
                <w:highlight w:val="none"/>
              </w:rPr>
            </w:pPr>
            <w:r>
              <w:rPr>
                <w:rFonts w:hint="eastAsia" w:ascii="宋体" w:hAnsi="宋体" w:eastAsia="宋体" w:cs="宋体"/>
                <w:color w:val="auto"/>
                <w:highlight w:val="none"/>
              </w:rPr>
              <w:t>根据项目负责人的资历、经验、业绩等情况由专家综合打分。（0-</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分）</w:t>
            </w:r>
          </w:p>
          <w:p>
            <w:pPr>
              <w:pStyle w:val="111"/>
              <w:shd w:val="clear" w:color="auto" w:fill="auto"/>
              <w:spacing w:line="280" w:lineRule="exact"/>
              <w:ind w:left="0" w:leftChars="0" w:firstLine="210" w:firstLineChars="100"/>
              <w:rPr>
                <w:rFonts w:hint="eastAsia" w:ascii="宋体" w:hAnsi="宋体" w:eastAsia="宋体" w:cs="宋体"/>
                <w:color w:val="auto"/>
                <w:highlight w:val="none"/>
              </w:rPr>
            </w:pPr>
            <w:r>
              <w:rPr>
                <w:rFonts w:hint="eastAsia" w:ascii="宋体" w:hAnsi="宋体" w:eastAsia="宋体" w:cs="宋体"/>
                <w:color w:val="auto"/>
                <w:highlight w:val="none"/>
              </w:rPr>
              <w:t>提供相关证明材料。</w:t>
            </w:r>
          </w:p>
        </w:tc>
        <w:tc>
          <w:tcPr>
            <w:tcW w:w="1217" w:type="dxa"/>
            <w:vMerge w:val="continue"/>
            <w:tcBorders>
              <w:left w:val="single" w:color="auto" w:sz="4" w:space="0"/>
              <w:right w:val="single" w:color="auto" w:sz="6" w:space="0"/>
            </w:tcBorders>
            <w:vAlign w:val="center"/>
          </w:tcPr>
          <w:p>
            <w:pPr>
              <w:pStyle w:val="111"/>
              <w:shd w:val="clear" w:color="auto" w:fill="auto"/>
              <w:spacing w:line="280" w:lineRule="exact"/>
              <w:ind w:left="0" w:leftChars="0" w:firstLine="210" w:firstLineChars="100"/>
              <w:rPr>
                <w:rFonts w:hint="eastAsia" w:ascii="宋体" w:hAnsi="宋体" w:eastAsia="宋体" w:cs="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40" w:hRule="atLeast"/>
          <w:jc w:val="center"/>
        </w:trPr>
        <w:tc>
          <w:tcPr>
            <w:tcW w:w="700" w:type="dxa"/>
            <w:vMerge w:val="continue"/>
            <w:tcBorders>
              <w:left w:val="single" w:color="auto" w:sz="6" w:space="0"/>
              <w:right w:val="single" w:color="auto" w:sz="6" w:space="0"/>
            </w:tcBorders>
            <w:vAlign w:val="center"/>
          </w:tcPr>
          <w:p>
            <w:pPr>
              <w:spacing w:line="300" w:lineRule="exact"/>
              <w:ind w:firstLine="0" w:firstLineChars="0"/>
              <w:jc w:val="center"/>
              <w:rPr>
                <w:rFonts w:hint="eastAsia" w:hAnsi="宋体"/>
                <w:color w:val="auto"/>
                <w:highlight w:val="none"/>
                <w:lang w:val="en-US" w:eastAsia="zh-CN"/>
              </w:rPr>
            </w:pPr>
          </w:p>
        </w:tc>
        <w:tc>
          <w:tcPr>
            <w:tcW w:w="1230" w:type="dxa"/>
            <w:gridSpan w:val="2"/>
            <w:vMerge w:val="continue"/>
            <w:tcBorders>
              <w:left w:val="single" w:color="auto" w:sz="6" w:space="0"/>
              <w:right w:val="single" w:color="auto" w:sz="4" w:space="0"/>
            </w:tcBorders>
            <w:vAlign w:val="center"/>
          </w:tcPr>
          <w:p>
            <w:pPr>
              <w:autoSpaceDE w:val="0"/>
              <w:autoSpaceDN w:val="0"/>
              <w:adjustRightInd w:val="0"/>
              <w:spacing w:line="240" w:lineRule="exact"/>
              <w:ind w:firstLine="0" w:firstLineChars="0"/>
              <w:jc w:val="left"/>
              <w:rPr>
                <w:rFonts w:hint="eastAsia" w:ascii="宋体" w:hAnsi="宋体"/>
                <w:color w:val="auto"/>
                <w:szCs w:val="21"/>
                <w:highlight w:val="none"/>
              </w:rPr>
            </w:pPr>
          </w:p>
        </w:tc>
        <w:tc>
          <w:tcPr>
            <w:tcW w:w="1273" w:type="dxa"/>
            <w:vMerge w:val="restart"/>
            <w:tcBorders>
              <w:top w:val="single" w:color="auto" w:sz="4" w:space="0"/>
              <w:left w:val="single" w:color="auto" w:sz="4" w:space="0"/>
              <w:right w:val="single" w:color="auto" w:sz="6" w:space="0"/>
            </w:tcBorders>
            <w:vAlign w:val="center"/>
          </w:tcPr>
          <w:p>
            <w:pPr>
              <w:spacing w:line="300" w:lineRule="exact"/>
              <w:ind w:firstLine="0" w:firstLineChars="0"/>
              <w:rPr>
                <w:rFonts w:hint="eastAsia" w:ascii="宋体" w:hAnsi="宋体" w:eastAsia="宋体"/>
                <w:color w:val="auto"/>
                <w:szCs w:val="21"/>
                <w:highlight w:val="none"/>
                <w:lang w:eastAsia="zh-CN"/>
              </w:rPr>
            </w:pPr>
            <w:r>
              <w:rPr>
                <w:rFonts w:hint="eastAsia" w:ascii="宋体" w:hAnsi="宋体"/>
                <w:color w:val="auto"/>
                <w:szCs w:val="21"/>
                <w:highlight w:val="none"/>
              </w:rPr>
              <w:t>其他监测人员</w:t>
            </w:r>
            <w:r>
              <w:rPr>
                <w:rFonts w:hint="eastAsia" w:ascii="宋体" w:hAnsi="宋体"/>
                <w:color w:val="auto"/>
                <w:szCs w:val="21"/>
                <w:highlight w:val="none"/>
                <w:lang w:eastAsia="zh-CN"/>
              </w:rPr>
              <w:t>（项目负责人除外）</w:t>
            </w:r>
          </w:p>
        </w:tc>
        <w:tc>
          <w:tcPr>
            <w:tcW w:w="1088" w:type="dxa"/>
            <w:tcBorders>
              <w:top w:val="single" w:color="auto" w:sz="4" w:space="0"/>
              <w:left w:val="single" w:color="auto" w:sz="6" w:space="0"/>
              <w:bottom w:val="single" w:color="auto" w:sz="4" w:space="0"/>
              <w:right w:val="single" w:color="auto" w:sz="6" w:space="0"/>
            </w:tcBorders>
            <w:vAlign w:val="center"/>
          </w:tcPr>
          <w:p>
            <w:pPr>
              <w:spacing w:line="240" w:lineRule="exact"/>
              <w:ind w:firstLine="0" w:firstLineChars="0"/>
              <w:jc w:val="center"/>
              <w:rPr>
                <w:rFonts w:hint="eastAsia" w:ascii="宋体" w:hAnsi="宋体"/>
                <w:color w:val="auto"/>
                <w:szCs w:val="21"/>
                <w:highlight w:val="none"/>
              </w:rPr>
            </w:pPr>
            <w:r>
              <w:rPr>
                <w:rFonts w:hint="eastAsia" w:hAnsi="宋体"/>
                <w:color w:val="auto"/>
                <w:szCs w:val="21"/>
                <w:highlight w:val="none"/>
                <w:lang w:val="en-US" w:eastAsia="zh-CN"/>
              </w:rPr>
              <w:t>10分</w:t>
            </w:r>
          </w:p>
        </w:tc>
        <w:tc>
          <w:tcPr>
            <w:tcW w:w="4297" w:type="dxa"/>
            <w:gridSpan w:val="2"/>
            <w:tcBorders>
              <w:top w:val="single" w:color="auto" w:sz="4" w:space="0"/>
              <w:left w:val="single" w:color="auto" w:sz="6" w:space="0"/>
              <w:bottom w:val="single" w:color="auto" w:sz="4" w:space="0"/>
              <w:right w:val="single" w:color="auto" w:sz="4" w:space="0"/>
            </w:tcBorders>
            <w:vAlign w:val="center"/>
          </w:tcPr>
          <w:p>
            <w:pPr>
              <w:pStyle w:val="111"/>
              <w:shd w:val="clear" w:color="auto" w:fill="auto"/>
              <w:spacing w:line="280" w:lineRule="exact"/>
              <w:ind w:left="0" w:leftChars="0" w:firstLine="210" w:firstLineChars="100"/>
              <w:rPr>
                <w:rFonts w:hint="eastAsia" w:ascii="宋体" w:hAnsi="宋体" w:eastAsia="宋体" w:cs="宋体"/>
                <w:color w:val="auto"/>
                <w:highlight w:val="none"/>
                <w:lang w:val="en-US" w:eastAsia="zh-CN"/>
              </w:rPr>
            </w:pPr>
            <w:r>
              <w:rPr>
                <w:rFonts w:hint="eastAsia" w:cs="宋体"/>
                <w:color w:val="auto"/>
                <w:highlight w:val="none"/>
              </w:rPr>
              <w:t>技术团队主要人员</w:t>
            </w:r>
            <w:r>
              <w:rPr>
                <w:rFonts w:hint="eastAsia" w:ascii="宋体" w:hAnsi="宋体"/>
                <w:color w:val="auto"/>
                <w:szCs w:val="21"/>
                <w:highlight w:val="none"/>
                <w:lang w:eastAsia="zh-CN"/>
              </w:rPr>
              <w:t>（项目负责人除外）</w:t>
            </w:r>
            <w:r>
              <w:rPr>
                <w:rFonts w:hint="eastAsia" w:ascii="宋体" w:hAnsi="宋体" w:eastAsia="宋体" w:cs="宋体"/>
                <w:color w:val="auto"/>
                <w:highlight w:val="none"/>
                <w:lang w:val="en-US" w:eastAsia="zh-CN"/>
              </w:rPr>
              <w:t>具备</w:t>
            </w:r>
            <w:r>
              <w:rPr>
                <w:rFonts w:hint="eastAsia" w:ascii="宋体" w:hAnsi="宋体" w:eastAsia="宋体" w:cs="宋体"/>
                <w:color w:val="auto"/>
                <w:highlight w:val="none"/>
              </w:rPr>
              <w:t>海洋或环境相关专业</w:t>
            </w:r>
            <w:r>
              <w:rPr>
                <w:rFonts w:hint="eastAsia" w:ascii="宋体" w:hAnsi="宋体" w:eastAsia="宋体" w:cs="宋体"/>
                <w:color w:val="auto"/>
                <w:highlight w:val="none"/>
                <w:lang w:val="en-US" w:eastAsia="zh-CN"/>
              </w:rPr>
              <w:t>中级职称的每人次计1分；具备</w:t>
            </w:r>
            <w:r>
              <w:rPr>
                <w:rFonts w:hint="eastAsia" w:ascii="宋体" w:hAnsi="宋体" w:eastAsia="宋体" w:cs="宋体"/>
                <w:color w:val="auto"/>
                <w:highlight w:val="none"/>
              </w:rPr>
              <w:t>海洋或环境相关专业</w:t>
            </w:r>
            <w:r>
              <w:rPr>
                <w:rFonts w:hint="eastAsia" w:ascii="宋体" w:hAnsi="宋体" w:eastAsia="宋体" w:cs="宋体"/>
                <w:color w:val="auto"/>
                <w:highlight w:val="none"/>
                <w:lang w:val="en-US" w:eastAsia="zh-CN"/>
              </w:rPr>
              <w:t>高级及以上职称的每人次计2分。</w:t>
            </w:r>
          </w:p>
          <w:p>
            <w:pPr>
              <w:pStyle w:val="111"/>
              <w:shd w:val="clear" w:color="auto" w:fill="auto"/>
              <w:spacing w:line="280" w:lineRule="exact"/>
              <w:ind w:left="0" w:leftChars="0" w:firstLine="210"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每人按得分最高的计取，不重复计分，本项最高得10分。</w:t>
            </w:r>
          </w:p>
          <w:p>
            <w:pPr>
              <w:pStyle w:val="111"/>
              <w:shd w:val="clear" w:color="auto" w:fill="auto"/>
              <w:spacing w:line="280" w:lineRule="exact"/>
              <w:ind w:left="0" w:leftChars="0" w:firstLine="210" w:firstLineChars="100"/>
              <w:rPr>
                <w:rFonts w:hint="eastAsia"/>
                <w:color w:val="auto"/>
                <w:highlight w:val="none"/>
              </w:rPr>
            </w:pPr>
            <w:r>
              <w:rPr>
                <w:rFonts w:hint="eastAsia" w:ascii="宋体" w:hAnsi="宋体" w:eastAsia="宋体" w:cs="宋体"/>
                <w:color w:val="auto"/>
                <w:highlight w:val="none"/>
                <w:lang w:val="en-US" w:eastAsia="zh-CN"/>
              </w:rPr>
              <w:t>提供相关职称证明材料。</w:t>
            </w:r>
          </w:p>
        </w:tc>
        <w:tc>
          <w:tcPr>
            <w:tcW w:w="1217" w:type="dxa"/>
            <w:vMerge w:val="continue"/>
            <w:tcBorders>
              <w:left w:val="single" w:color="auto" w:sz="4" w:space="0"/>
              <w:right w:val="single" w:color="auto" w:sz="6" w:space="0"/>
            </w:tcBorders>
            <w:vAlign w:val="center"/>
          </w:tcPr>
          <w:p>
            <w:pPr>
              <w:pStyle w:val="111"/>
              <w:shd w:val="clear" w:color="auto" w:fill="auto"/>
              <w:spacing w:line="280" w:lineRule="exact"/>
              <w:ind w:left="0" w:leftChars="0" w:firstLine="210" w:firstLineChars="100"/>
              <w:rPr>
                <w:rFonts w:hint="eastAsia" w:ascii="宋体" w:hAnsi="宋体" w:eastAsia="宋体" w:cs="宋体"/>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20" w:hRule="atLeast"/>
          <w:jc w:val="center"/>
        </w:trPr>
        <w:tc>
          <w:tcPr>
            <w:tcW w:w="700" w:type="dxa"/>
            <w:vMerge w:val="continue"/>
            <w:tcBorders>
              <w:left w:val="single" w:color="auto" w:sz="6" w:space="0"/>
              <w:bottom w:val="single" w:color="auto" w:sz="6" w:space="0"/>
              <w:right w:val="single" w:color="auto" w:sz="6" w:space="0"/>
            </w:tcBorders>
            <w:vAlign w:val="center"/>
          </w:tcPr>
          <w:p>
            <w:pPr>
              <w:spacing w:line="300" w:lineRule="exact"/>
              <w:ind w:firstLine="0" w:firstLineChars="0"/>
              <w:jc w:val="center"/>
              <w:rPr>
                <w:rFonts w:hint="eastAsia" w:hAnsi="宋体"/>
                <w:color w:val="auto"/>
                <w:highlight w:val="none"/>
                <w:lang w:val="en-US" w:eastAsia="zh-CN"/>
              </w:rPr>
            </w:pPr>
          </w:p>
        </w:tc>
        <w:tc>
          <w:tcPr>
            <w:tcW w:w="1230" w:type="dxa"/>
            <w:gridSpan w:val="2"/>
            <w:vMerge w:val="continue"/>
            <w:tcBorders>
              <w:left w:val="single" w:color="auto" w:sz="6" w:space="0"/>
              <w:bottom w:val="single" w:color="auto" w:sz="6" w:space="0"/>
              <w:right w:val="single" w:color="auto" w:sz="4" w:space="0"/>
            </w:tcBorders>
            <w:vAlign w:val="center"/>
          </w:tcPr>
          <w:p>
            <w:pPr>
              <w:autoSpaceDE w:val="0"/>
              <w:autoSpaceDN w:val="0"/>
              <w:adjustRightInd w:val="0"/>
              <w:spacing w:line="240" w:lineRule="exact"/>
              <w:ind w:firstLine="0" w:firstLineChars="0"/>
              <w:jc w:val="left"/>
              <w:rPr>
                <w:rFonts w:hint="eastAsia" w:ascii="宋体" w:hAnsi="宋体"/>
                <w:color w:val="auto"/>
                <w:szCs w:val="21"/>
                <w:highlight w:val="none"/>
              </w:rPr>
            </w:pPr>
          </w:p>
        </w:tc>
        <w:tc>
          <w:tcPr>
            <w:tcW w:w="1273" w:type="dxa"/>
            <w:vMerge w:val="continue"/>
            <w:tcBorders>
              <w:left w:val="single" w:color="auto" w:sz="4" w:space="0"/>
              <w:bottom w:val="single" w:color="auto" w:sz="6" w:space="0"/>
              <w:right w:val="single" w:color="auto" w:sz="6" w:space="0"/>
            </w:tcBorders>
            <w:vAlign w:val="center"/>
          </w:tcPr>
          <w:p>
            <w:pPr>
              <w:spacing w:line="300" w:lineRule="exact"/>
              <w:ind w:firstLine="0" w:firstLineChars="0"/>
              <w:rPr>
                <w:rFonts w:hint="eastAsia" w:ascii="宋体" w:hAnsi="宋体"/>
                <w:color w:val="auto"/>
                <w:szCs w:val="21"/>
                <w:highlight w:val="none"/>
              </w:rPr>
            </w:pPr>
          </w:p>
        </w:tc>
        <w:tc>
          <w:tcPr>
            <w:tcW w:w="1088" w:type="dxa"/>
            <w:tcBorders>
              <w:top w:val="single" w:color="auto" w:sz="4" w:space="0"/>
              <w:left w:val="single" w:color="auto" w:sz="6" w:space="0"/>
              <w:bottom w:val="single" w:color="auto" w:sz="6" w:space="0"/>
              <w:right w:val="single" w:color="auto" w:sz="6" w:space="0"/>
            </w:tcBorders>
            <w:vAlign w:val="center"/>
          </w:tcPr>
          <w:p>
            <w:pPr>
              <w:spacing w:line="240" w:lineRule="exact"/>
              <w:ind w:firstLine="0" w:firstLineChars="0"/>
              <w:jc w:val="center"/>
              <w:rPr>
                <w:rFonts w:hint="eastAsia" w:ascii="宋体" w:hAnsi="宋体" w:eastAsia="宋体"/>
                <w:color w:val="auto"/>
                <w:szCs w:val="21"/>
                <w:highlight w:val="none"/>
                <w:lang w:val="en-US" w:eastAsia="zh-CN"/>
              </w:rPr>
            </w:pPr>
            <w:r>
              <w:rPr>
                <w:rFonts w:hint="eastAsia" w:hAnsi="宋体"/>
                <w:color w:val="auto"/>
                <w:szCs w:val="21"/>
                <w:highlight w:val="none"/>
                <w:lang w:val="en-US" w:eastAsia="zh-CN"/>
              </w:rPr>
              <w:t>6分</w:t>
            </w:r>
          </w:p>
        </w:tc>
        <w:tc>
          <w:tcPr>
            <w:tcW w:w="4297" w:type="dxa"/>
            <w:gridSpan w:val="2"/>
            <w:tcBorders>
              <w:top w:val="single" w:color="auto" w:sz="4" w:space="0"/>
              <w:left w:val="single" w:color="auto" w:sz="6" w:space="0"/>
              <w:bottom w:val="single" w:color="auto" w:sz="6" w:space="0"/>
              <w:right w:val="single" w:color="auto" w:sz="4" w:space="0"/>
            </w:tcBorders>
            <w:vAlign w:val="center"/>
          </w:tcPr>
          <w:p>
            <w:pPr>
              <w:pStyle w:val="111"/>
              <w:shd w:val="clear" w:color="auto" w:fill="auto"/>
              <w:spacing w:line="280" w:lineRule="exact"/>
              <w:ind w:left="0" w:leftChars="0" w:firstLine="210" w:firstLineChars="100"/>
              <w:rPr>
                <w:rFonts w:hint="eastAsia" w:cs="宋体"/>
                <w:color w:val="auto"/>
                <w:highlight w:val="none"/>
              </w:rPr>
            </w:pPr>
            <w:r>
              <w:rPr>
                <w:rFonts w:hint="eastAsia" w:cs="宋体"/>
                <w:color w:val="auto"/>
                <w:highlight w:val="none"/>
              </w:rPr>
              <w:t>技术团队主要人员</w:t>
            </w:r>
            <w:r>
              <w:rPr>
                <w:rFonts w:hint="eastAsia" w:ascii="宋体" w:hAnsi="宋体"/>
                <w:color w:val="auto"/>
                <w:szCs w:val="21"/>
                <w:highlight w:val="none"/>
                <w:lang w:eastAsia="zh-CN"/>
              </w:rPr>
              <w:t>（项目负责人除外）</w:t>
            </w:r>
            <w:r>
              <w:rPr>
                <w:rFonts w:hint="eastAsia" w:cs="宋体"/>
                <w:color w:val="auto"/>
                <w:highlight w:val="none"/>
              </w:rPr>
              <w:t>具有海洋监/检测从业资格证书，每人得</w:t>
            </w:r>
            <w:r>
              <w:rPr>
                <w:rFonts w:hint="eastAsia" w:cs="宋体"/>
                <w:color w:val="auto"/>
                <w:highlight w:val="none"/>
                <w:lang w:val="en-US" w:eastAsia="zh-CN"/>
              </w:rPr>
              <w:t>1</w:t>
            </w:r>
            <w:r>
              <w:rPr>
                <w:rFonts w:hint="eastAsia" w:cs="宋体"/>
                <w:color w:val="auto"/>
                <w:highlight w:val="none"/>
              </w:rPr>
              <w:t>分，最多3分；具有海洋监/检测经验10年以上的，每人得</w:t>
            </w:r>
            <w:r>
              <w:rPr>
                <w:rFonts w:hint="eastAsia" w:cs="宋体"/>
                <w:color w:val="auto"/>
                <w:highlight w:val="none"/>
                <w:lang w:val="en-US" w:eastAsia="zh-CN"/>
              </w:rPr>
              <w:t>1</w:t>
            </w:r>
            <w:r>
              <w:rPr>
                <w:rFonts w:hint="eastAsia" w:cs="宋体"/>
                <w:color w:val="auto"/>
                <w:highlight w:val="none"/>
              </w:rPr>
              <w:t>分，最多3分。</w:t>
            </w:r>
          </w:p>
          <w:p>
            <w:pPr>
              <w:pStyle w:val="111"/>
              <w:shd w:val="clear" w:color="auto" w:fill="auto"/>
              <w:spacing w:line="280" w:lineRule="exact"/>
              <w:ind w:left="0" w:leftChars="0" w:firstLine="210" w:firstLineChars="100"/>
              <w:rPr>
                <w:rFonts w:hint="eastAsia" w:eastAsia="宋体" w:cs="宋体"/>
                <w:color w:val="auto"/>
                <w:highlight w:val="none"/>
                <w:lang w:eastAsia="zh-CN"/>
              </w:rPr>
            </w:pPr>
            <w:r>
              <w:rPr>
                <w:rFonts w:hint="eastAsia" w:cs="宋体"/>
                <w:color w:val="auto"/>
                <w:highlight w:val="none"/>
              </w:rPr>
              <w:t>提供证书复印件加盖单位公章；年限以首次获证日期起算，至投标截止日期。</w:t>
            </w:r>
          </w:p>
        </w:tc>
        <w:tc>
          <w:tcPr>
            <w:tcW w:w="1217" w:type="dxa"/>
            <w:vMerge w:val="continue"/>
            <w:tcBorders>
              <w:left w:val="single" w:color="auto" w:sz="4" w:space="0"/>
              <w:bottom w:val="single" w:color="auto" w:sz="6" w:space="0"/>
              <w:right w:val="single" w:color="auto" w:sz="6" w:space="0"/>
            </w:tcBorders>
            <w:vAlign w:val="center"/>
          </w:tcPr>
          <w:p>
            <w:pPr>
              <w:pStyle w:val="111"/>
              <w:shd w:val="clear" w:color="auto" w:fill="auto"/>
              <w:spacing w:line="280" w:lineRule="exact"/>
              <w:ind w:left="0" w:leftChars="0" w:firstLine="210" w:firstLineChars="100"/>
              <w:rPr>
                <w:rFonts w:hint="eastAsia" w:cs="宋体"/>
                <w:color w:val="auto"/>
                <w:highlight w:val="none"/>
              </w:rPr>
            </w:pPr>
          </w:p>
        </w:tc>
      </w:tr>
    </w:tbl>
    <w:p>
      <w:pPr>
        <w:pStyle w:val="37"/>
        <w:rPr>
          <w:rFonts w:hint="eastAsia"/>
          <w:b/>
          <w:bCs/>
          <w:color w:val="auto"/>
          <w:szCs w:val="21"/>
          <w:highlight w:val="none"/>
          <w:lang w:eastAsia="zh-CN"/>
        </w:rPr>
      </w:pPr>
    </w:p>
    <w:p>
      <w:pPr>
        <w:pStyle w:val="37"/>
        <w:rPr>
          <w:rFonts w:hint="eastAsia"/>
          <w:b/>
          <w:bCs/>
          <w:color w:val="auto"/>
          <w:szCs w:val="21"/>
          <w:highlight w:val="none"/>
        </w:rPr>
      </w:pPr>
      <w:r>
        <w:rPr>
          <w:rFonts w:hint="eastAsia"/>
          <w:b/>
          <w:bCs/>
          <w:color w:val="auto"/>
          <w:szCs w:val="21"/>
          <w:highlight w:val="none"/>
          <w:lang w:eastAsia="zh-CN"/>
        </w:rPr>
        <w:t>注：</w:t>
      </w:r>
    </w:p>
    <w:p>
      <w:pPr>
        <w:spacing w:line="240" w:lineRule="auto"/>
        <w:ind w:firstLine="0" w:firstLineChars="0"/>
        <w:rPr>
          <w:b/>
          <w:bCs/>
          <w:color w:val="auto"/>
          <w:highlight w:val="none"/>
        </w:rPr>
      </w:pPr>
      <w:bookmarkStart w:id="14" w:name="_Toc42850060"/>
      <w:bookmarkEnd w:id="14"/>
      <w:bookmarkStart w:id="15" w:name="_Toc42850057"/>
      <w:bookmarkEnd w:id="15"/>
      <w:bookmarkStart w:id="16" w:name="_Toc42850061"/>
      <w:bookmarkEnd w:id="16"/>
      <w:bookmarkStart w:id="17" w:name="_Toc42850055"/>
      <w:bookmarkEnd w:id="17"/>
      <w:bookmarkStart w:id="18" w:name="_Toc42850056"/>
      <w:bookmarkEnd w:id="18"/>
      <w:bookmarkStart w:id="19" w:name="_Toc42850058"/>
      <w:bookmarkEnd w:id="19"/>
      <w:bookmarkStart w:id="20" w:name="_Toc42850059"/>
      <w:bookmarkEnd w:id="20"/>
      <w:r>
        <w:rPr>
          <w:rFonts w:hint="eastAsia"/>
          <w:b/>
          <w:bCs/>
          <w:color w:val="auto"/>
          <w:highlight w:val="none"/>
        </w:rPr>
        <w:t>1、以上</w:t>
      </w:r>
      <w:r>
        <w:rPr>
          <w:rFonts w:hint="eastAsia"/>
          <w:b/>
          <w:bCs/>
          <w:color w:val="auto"/>
          <w:highlight w:val="none"/>
          <w:lang w:eastAsia="zh-CN"/>
        </w:rPr>
        <w:t>投标人及</w:t>
      </w:r>
      <w:r>
        <w:rPr>
          <w:rFonts w:hint="eastAsia"/>
          <w:b/>
          <w:bCs/>
          <w:color w:val="auto"/>
          <w:highlight w:val="none"/>
        </w:rPr>
        <w:t>人员各类证明文件（资格证、业绩证明</w:t>
      </w:r>
      <w:r>
        <w:rPr>
          <w:rFonts w:hint="eastAsia"/>
          <w:b/>
          <w:bCs/>
          <w:color w:val="auto"/>
          <w:highlight w:val="none"/>
          <w:lang w:eastAsia="zh-CN"/>
        </w:rPr>
        <w:t>、获奖证书</w:t>
      </w:r>
      <w:r>
        <w:rPr>
          <w:rFonts w:hint="eastAsia"/>
          <w:b/>
          <w:bCs/>
          <w:color w:val="auto"/>
          <w:highlight w:val="none"/>
        </w:rPr>
        <w:t>等）复印件需加盖</w:t>
      </w:r>
      <w:r>
        <w:rPr>
          <w:rFonts w:hint="eastAsia"/>
          <w:b/>
          <w:bCs/>
          <w:color w:val="auto"/>
          <w:highlight w:val="none"/>
          <w:lang w:eastAsia="zh-CN"/>
        </w:rPr>
        <w:t>投标人</w:t>
      </w:r>
      <w:r>
        <w:rPr>
          <w:rFonts w:hint="eastAsia"/>
          <w:b/>
          <w:bCs/>
          <w:color w:val="auto"/>
          <w:highlight w:val="none"/>
        </w:rPr>
        <w:t>公章附在</w:t>
      </w:r>
      <w:r>
        <w:rPr>
          <w:rFonts w:hint="eastAsia"/>
          <w:b/>
          <w:bCs/>
          <w:color w:val="auto"/>
          <w:highlight w:val="none"/>
          <w:lang w:eastAsia="zh-CN"/>
        </w:rPr>
        <w:t>投标文件</w:t>
      </w:r>
      <w:r>
        <w:rPr>
          <w:rFonts w:hint="eastAsia"/>
          <w:b/>
          <w:bCs/>
          <w:color w:val="auto"/>
          <w:highlight w:val="none"/>
        </w:rPr>
        <w:t>中，</w:t>
      </w:r>
      <w:r>
        <w:rPr>
          <w:rFonts w:hint="eastAsia"/>
          <w:b/>
          <w:bCs/>
          <w:color w:val="auto"/>
          <w:highlight w:val="none"/>
          <w:lang w:eastAsia="zh-CN"/>
        </w:rPr>
        <w:t>未提供的</w:t>
      </w:r>
      <w:r>
        <w:rPr>
          <w:rFonts w:hint="eastAsia" w:ascii="宋体" w:eastAsia="宋体" w:cs="宋体"/>
          <w:b/>
          <w:bCs/>
          <w:color w:val="auto"/>
          <w:szCs w:val="21"/>
          <w:highlight w:val="none"/>
          <w:lang w:eastAsia="zh-CN"/>
        </w:rPr>
        <w:t>或</w:t>
      </w:r>
      <w:r>
        <w:rPr>
          <w:rFonts w:hint="eastAsia" w:cs="宋体"/>
          <w:b/>
          <w:bCs/>
          <w:color w:val="auto"/>
          <w:szCs w:val="21"/>
          <w:highlight w:val="none"/>
          <w:lang w:eastAsia="zh-CN"/>
        </w:rPr>
        <w:t>提供的</w:t>
      </w:r>
      <w:r>
        <w:rPr>
          <w:rFonts w:hint="eastAsia" w:ascii="宋体" w:eastAsia="宋体" w:cs="宋体"/>
          <w:b/>
          <w:bCs/>
          <w:color w:val="auto"/>
          <w:szCs w:val="21"/>
          <w:highlight w:val="none"/>
          <w:lang w:eastAsia="zh-CN"/>
        </w:rPr>
        <w:t>证明</w:t>
      </w:r>
      <w:r>
        <w:rPr>
          <w:rFonts w:hint="eastAsia" w:cs="宋体"/>
          <w:b/>
          <w:bCs/>
          <w:color w:val="auto"/>
          <w:szCs w:val="21"/>
          <w:highlight w:val="none"/>
          <w:lang w:eastAsia="zh-CN"/>
        </w:rPr>
        <w:t>文件</w:t>
      </w:r>
      <w:r>
        <w:rPr>
          <w:rFonts w:hint="eastAsia" w:ascii="宋体" w:eastAsia="宋体" w:cs="宋体"/>
          <w:b/>
          <w:bCs/>
          <w:color w:val="auto"/>
          <w:szCs w:val="21"/>
          <w:highlight w:val="none"/>
          <w:lang w:eastAsia="zh-CN"/>
        </w:rPr>
        <w:t>体现信息不完整</w:t>
      </w:r>
      <w:r>
        <w:rPr>
          <w:rFonts w:hint="eastAsia" w:cs="宋体"/>
          <w:b/>
          <w:bCs/>
          <w:color w:val="auto"/>
          <w:szCs w:val="21"/>
          <w:highlight w:val="none"/>
          <w:lang w:eastAsia="zh-CN"/>
        </w:rPr>
        <w:t>的</w:t>
      </w:r>
      <w:r>
        <w:rPr>
          <w:rFonts w:hint="eastAsia"/>
          <w:b/>
          <w:bCs/>
          <w:color w:val="auto"/>
          <w:highlight w:val="none"/>
        </w:rPr>
        <w:t>不得分。</w:t>
      </w:r>
    </w:p>
    <w:p>
      <w:pPr>
        <w:spacing w:line="240" w:lineRule="auto"/>
        <w:ind w:firstLine="0" w:firstLineChars="0"/>
        <w:rPr>
          <w:rFonts w:hint="eastAsia"/>
          <w:b/>
          <w:bCs/>
          <w:color w:val="auto"/>
          <w:highlight w:val="none"/>
          <w:lang w:eastAsia="zh-CN"/>
        </w:rPr>
      </w:pPr>
      <w:r>
        <w:rPr>
          <w:b/>
          <w:bCs/>
          <w:color w:val="auto"/>
          <w:highlight w:val="none"/>
        </w:rPr>
        <w:t>2</w:t>
      </w:r>
      <w:r>
        <w:rPr>
          <w:rFonts w:hint="eastAsia"/>
          <w:b/>
          <w:bCs/>
          <w:color w:val="auto"/>
          <w:highlight w:val="none"/>
        </w:rPr>
        <w:t>、</w:t>
      </w:r>
      <w:r>
        <w:rPr>
          <w:rFonts w:hint="eastAsia"/>
          <w:b/>
          <w:bCs/>
          <w:color w:val="auto"/>
          <w:highlight w:val="none"/>
          <w:lang w:eastAsia="zh-CN"/>
        </w:rPr>
        <w:t>投标人应保证其证明材料的真实性和有效性，如出现与事实不符等情况，将根据有关规定以“提供虚假材料谋取中标”予以处罚。</w:t>
      </w:r>
    </w:p>
    <w:p>
      <w:pPr>
        <w:pStyle w:val="108"/>
        <w:rPr>
          <w:rFonts w:hint="eastAsia"/>
          <w:color w:val="auto"/>
          <w:highlight w:val="none"/>
          <w:lang w:val="en-US" w:eastAsia="zh-CN"/>
        </w:rPr>
      </w:pPr>
    </w:p>
    <w:p>
      <w:pPr>
        <w:pStyle w:val="5"/>
        <w:spacing w:after="156"/>
        <w:rPr>
          <w:color w:val="auto"/>
          <w:highlight w:val="none"/>
        </w:rPr>
      </w:pPr>
      <w:r>
        <w:rPr>
          <w:color w:val="auto"/>
          <w:highlight w:val="none"/>
        </w:rPr>
        <w:br w:type="page"/>
      </w:r>
      <w:bookmarkStart w:id="21" w:name="_Toc72432387"/>
      <w:r>
        <w:rPr>
          <w:rFonts w:hint="eastAsia"/>
          <w:color w:val="auto"/>
          <w:highlight w:val="none"/>
        </w:rPr>
        <w:t>合同主要条款</w:t>
      </w:r>
      <w:bookmarkEnd w:id="21"/>
    </w:p>
    <w:p>
      <w:pPr>
        <w:wordWrap/>
        <w:ind w:firstLine="480"/>
        <w:jc w:val="center"/>
        <w:rPr>
          <w:rFonts w:hAnsi="宋体"/>
          <w:color w:val="auto"/>
          <w:kern w:val="44"/>
          <w:sz w:val="32"/>
          <w:szCs w:val="32"/>
          <w:highlight w:val="none"/>
        </w:rPr>
      </w:pPr>
      <w:r>
        <w:rPr>
          <w:rFonts w:hint="eastAsia" w:hAnsi="宋体"/>
          <w:color w:val="auto"/>
          <w:kern w:val="44"/>
          <w:sz w:val="24"/>
          <w:highlight w:val="none"/>
        </w:rPr>
        <w:t>（本合同为参考合同，具体以最终签订合同为准）</w:t>
      </w:r>
    </w:p>
    <w:p>
      <w:pPr>
        <w:pStyle w:val="14"/>
        <w:ind w:firstLine="301"/>
        <w:rPr>
          <w:rFonts w:hAnsi="宋体"/>
          <w:color w:val="auto"/>
          <w:sz w:val="30"/>
          <w:highlight w:val="none"/>
        </w:rPr>
      </w:pPr>
      <w:r>
        <w:rPr>
          <w:rFonts w:hint="eastAsia" w:hAnsi="宋体"/>
          <w:b/>
          <w:bCs/>
          <w:color w:val="auto"/>
          <w:sz w:val="30"/>
          <w:highlight w:val="none"/>
        </w:rPr>
        <w:t>合同编号</w:t>
      </w:r>
      <w:r>
        <w:rPr>
          <w:rFonts w:hAnsi="宋体"/>
          <w:color w:val="auto"/>
          <w:sz w:val="30"/>
          <w:highlight w:val="none"/>
        </w:rPr>
        <w:t>:</w:t>
      </w:r>
    </w:p>
    <w:p>
      <w:pPr>
        <w:pStyle w:val="14"/>
        <w:ind w:firstLine="300"/>
        <w:rPr>
          <w:rFonts w:hAnsi="宋体"/>
          <w:color w:val="auto"/>
          <w:sz w:val="30"/>
          <w:highlight w:val="none"/>
        </w:rPr>
      </w:pPr>
    </w:p>
    <w:p>
      <w:pPr>
        <w:pStyle w:val="14"/>
        <w:ind w:firstLine="210"/>
        <w:rPr>
          <w:rFonts w:hAnsi="宋体"/>
          <w:color w:val="auto"/>
          <w:highlight w:val="none"/>
        </w:rPr>
      </w:pPr>
    </w:p>
    <w:p>
      <w:pPr>
        <w:pStyle w:val="14"/>
        <w:ind w:firstLine="210"/>
        <w:rPr>
          <w:rFonts w:hAnsi="宋体"/>
          <w:color w:val="auto"/>
          <w:highlight w:val="none"/>
        </w:rPr>
      </w:pPr>
    </w:p>
    <w:p>
      <w:pPr>
        <w:pStyle w:val="14"/>
        <w:ind w:firstLine="442"/>
        <w:jc w:val="center"/>
        <w:rPr>
          <w:rFonts w:hAnsi="宋体"/>
          <w:b/>
          <w:color w:val="auto"/>
          <w:sz w:val="44"/>
          <w:highlight w:val="none"/>
        </w:rPr>
      </w:pPr>
      <w:r>
        <w:rPr>
          <w:rFonts w:hint="eastAsia" w:hAnsi="宋体"/>
          <w:b/>
          <w:color w:val="auto"/>
          <w:sz w:val="44"/>
          <w:highlight w:val="none"/>
        </w:rPr>
        <w:t>技</w:t>
      </w:r>
      <w:r>
        <w:rPr>
          <w:rFonts w:hAnsi="宋体"/>
          <w:b/>
          <w:color w:val="auto"/>
          <w:sz w:val="44"/>
          <w:highlight w:val="none"/>
        </w:rPr>
        <w:t xml:space="preserve">  </w:t>
      </w:r>
      <w:r>
        <w:rPr>
          <w:rFonts w:hint="eastAsia" w:hAnsi="宋体"/>
          <w:b/>
          <w:color w:val="auto"/>
          <w:sz w:val="44"/>
          <w:highlight w:val="none"/>
        </w:rPr>
        <w:t>术</w:t>
      </w:r>
      <w:r>
        <w:rPr>
          <w:rFonts w:hAnsi="宋体"/>
          <w:b/>
          <w:color w:val="auto"/>
          <w:sz w:val="44"/>
          <w:highlight w:val="none"/>
        </w:rPr>
        <w:t xml:space="preserve">  </w:t>
      </w:r>
      <w:r>
        <w:rPr>
          <w:rFonts w:hint="eastAsia" w:hAnsi="宋体"/>
          <w:b/>
          <w:color w:val="auto"/>
          <w:sz w:val="44"/>
          <w:highlight w:val="none"/>
        </w:rPr>
        <w:t>咨</w:t>
      </w:r>
      <w:r>
        <w:rPr>
          <w:rFonts w:hAnsi="宋体"/>
          <w:b/>
          <w:color w:val="auto"/>
          <w:sz w:val="44"/>
          <w:highlight w:val="none"/>
        </w:rPr>
        <w:t xml:space="preserve">  </w:t>
      </w:r>
      <w:r>
        <w:rPr>
          <w:rFonts w:hint="eastAsia" w:hAnsi="宋体"/>
          <w:b/>
          <w:color w:val="auto"/>
          <w:sz w:val="44"/>
          <w:highlight w:val="none"/>
        </w:rPr>
        <w:t>询</w:t>
      </w:r>
      <w:r>
        <w:rPr>
          <w:rFonts w:hAnsi="宋体"/>
          <w:b/>
          <w:color w:val="auto"/>
          <w:sz w:val="44"/>
          <w:highlight w:val="none"/>
        </w:rPr>
        <w:t xml:space="preserve">  </w:t>
      </w:r>
      <w:r>
        <w:rPr>
          <w:rFonts w:hint="eastAsia" w:hAnsi="宋体"/>
          <w:b/>
          <w:color w:val="auto"/>
          <w:sz w:val="44"/>
          <w:highlight w:val="none"/>
        </w:rPr>
        <w:t>合</w:t>
      </w:r>
      <w:r>
        <w:rPr>
          <w:rFonts w:hAnsi="宋体"/>
          <w:b/>
          <w:color w:val="auto"/>
          <w:sz w:val="44"/>
          <w:highlight w:val="none"/>
        </w:rPr>
        <w:t xml:space="preserve">  </w:t>
      </w:r>
      <w:r>
        <w:rPr>
          <w:rFonts w:hint="eastAsia" w:hAnsi="宋体"/>
          <w:b/>
          <w:color w:val="auto"/>
          <w:sz w:val="44"/>
          <w:highlight w:val="none"/>
        </w:rPr>
        <w:t>同</w:t>
      </w:r>
      <w:r>
        <w:rPr>
          <w:rFonts w:hAnsi="宋体"/>
          <w:b/>
          <w:color w:val="auto"/>
          <w:sz w:val="44"/>
          <w:highlight w:val="none"/>
        </w:rPr>
        <w:t xml:space="preserve">  </w:t>
      </w:r>
      <w:r>
        <w:rPr>
          <w:rFonts w:hint="eastAsia" w:hAnsi="宋体"/>
          <w:b/>
          <w:color w:val="auto"/>
          <w:sz w:val="44"/>
          <w:highlight w:val="none"/>
        </w:rPr>
        <w:t>书</w:t>
      </w:r>
    </w:p>
    <w:p>
      <w:pPr>
        <w:pStyle w:val="14"/>
        <w:ind w:firstLine="280"/>
        <w:jc w:val="center"/>
        <w:rPr>
          <w:rFonts w:hAnsi="宋体"/>
          <w:color w:val="auto"/>
          <w:sz w:val="28"/>
          <w:highlight w:val="none"/>
        </w:rPr>
      </w:pPr>
    </w:p>
    <w:p>
      <w:pPr>
        <w:pStyle w:val="14"/>
        <w:ind w:firstLine="281"/>
        <w:jc w:val="center"/>
        <w:rPr>
          <w:rFonts w:hAnsi="宋体"/>
          <w:b/>
          <w:color w:val="auto"/>
          <w:sz w:val="28"/>
          <w:highlight w:val="none"/>
        </w:rPr>
      </w:pPr>
    </w:p>
    <w:p>
      <w:pPr>
        <w:pStyle w:val="14"/>
        <w:ind w:firstLine="281"/>
        <w:jc w:val="center"/>
        <w:rPr>
          <w:rFonts w:hAnsi="宋体"/>
          <w:b/>
          <w:color w:val="auto"/>
          <w:sz w:val="28"/>
          <w:highlight w:val="none"/>
        </w:rPr>
      </w:pPr>
    </w:p>
    <w:p>
      <w:pPr>
        <w:pStyle w:val="14"/>
        <w:ind w:firstLine="281"/>
        <w:jc w:val="center"/>
        <w:rPr>
          <w:rFonts w:hAnsi="宋体"/>
          <w:b/>
          <w:color w:val="auto"/>
          <w:sz w:val="28"/>
          <w:highlight w:val="none"/>
        </w:rPr>
      </w:pPr>
    </w:p>
    <w:p>
      <w:pPr>
        <w:pStyle w:val="14"/>
        <w:ind w:firstLine="281"/>
        <w:jc w:val="center"/>
        <w:rPr>
          <w:rFonts w:ascii="??_GB2312" w:hAnsi="宋体"/>
          <w:b/>
          <w:color w:val="auto"/>
          <w:sz w:val="28"/>
          <w:highlight w:val="none"/>
        </w:rPr>
      </w:pPr>
    </w:p>
    <w:p>
      <w:pPr>
        <w:pStyle w:val="14"/>
        <w:ind w:firstLine="562" w:firstLineChars="200"/>
        <w:rPr>
          <w:rFonts w:hint="eastAsia" w:hAnsi="宋体" w:cs="宋体"/>
          <w:b/>
          <w:bCs/>
          <w:color w:val="auto"/>
          <w:sz w:val="28"/>
          <w:szCs w:val="28"/>
          <w:highlight w:val="none"/>
          <w:u w:val="single"/>
          <w:lang w:val="en-US" w:eastAsia="zh-CN"/>
        </w:rPr>
      </w:pPr>
      <w:r>
        <w:rPr>
          <w:rFonts w:hint="eastAsia" w:hAnsi="宋体"/>
          <w:b/>
          <w:bCs/>
          <w:color w:val="auto"/>
          <w:sz w:val="28"/>
          <w:highlight w:val="none"/>
        </w:rPr>
        <w:t>项目名称：</w:t>
      </w:r>
      <w:r>
        <w:rPr>
          <w:rFonts w:hint="eastAsia" w:hAnsi="宋体" w:cs="宋体"/>
          <w:b/>
          <w:bCs/>
          <w:color w:val="auto"/>
          <w:sz w:val="28"/>
          <w:szCs w:val="28"/>
          <w:highlight w:val="none"/>
          <w:u w:val="single"/>
          <w:lang w:val="en-US" w:eastAsia="zh-CN"/>
        </w:rPr>
        <w:t>2023年舟山绿色石化基地围填海工程营运期海域、</w:t>
      </w:r>
    </w:p>
    <w:p>
      <w:pPr>
        <w:pStyle w:val="14"/>
        <w:ind w:firstLine="1968" w:firstLineChars="700"/>
        <w:rPr>
          <w:rFonts w:hAnsi="宋体"/>
          <w:b/>
          <w:bCs/>
          <w:color w:val="auto"/>
          <w:sz w:val="28"/>
          <w:highlight w:val="none"/>
        </w:rPr>
      </w:pPr>
      <w:r>
        <w:rPr>
          <w:rFonts w:hint="eastAsia" w:hAnsi="宋体" w:cs="宋体"/>
          <w:b/>
          <w:bCs/>
          <w:color w:val="auto"/>
          <w:sz w:val="28"/>
          <w:szCs w:val="28"/>
          <w:highlight w:val="none"/>
          <w:u w:val="single"/>
          <w:lang w:val="en-US" w:eastAsia="zh-CN"/>
        </w:rPr>
        <w:t>海岛生态环境跟踪监测</w:t>
      </w:r>
    </w:p>
    <w:p>
      <w:pPr>
        <w:pStyle w:val="14"/>
        <w:ind w:firstLine="280"/>
        <w:jc w:val="center"/>
        <w:rPr>
          <w:rFonts w:hAnsi="宋体"/>
          <w:color w:val="auto"/>
          <w:sz w:val="28"/>
          <w:highlight w:val="none"/>
          <w:u w:val="single"/>
        </w:rPr>
      </w:pPr>
    </w:p>
    <w:p>
      <w:pPr>
        <w:pStyle w:val="14"/>
        <w:spacing w:line="320" w:lineRule="exact"/>
        <w:ind w:firstLine="281"/>
        <w:rPr>
          <w:rFonts w:hAnsi="宋体"/>
          <w:b/>
          <w:bCs/>
          <w:color w:val="auto"/>
          <w:sz w:val="28"/>
          <w:highlight w:val="none"/>
        </w:rPr>
      </w:pPr>
    </w:p>
    <w:p>
      <w:pPr>
        <w:pStyle w:val="14"/>
        <w:spacing w:line="320" w:lineRule="exact"/>
        <w:ind w:firstLine="600" w:firstLineChars="200"/>
        <w:rPr>
          <w:rFonts w:hAnsi="宋体"/>
          <w:b/>
          <w:bCs/>
          <w:color w:val="auto"/>
          <w:sz w:val="28"/>
          <w:highlight w:val="none"/>
        </w:rPr>
      </w:pPr>
      <w:r>
        <w:rPr>
          <w:color w:val="auto"/>
          <w:highlight w:val="none"/>
        </w:rPr>
        <mc:AlternateContent>
          <mc:Choice Requires="wps">
            <w:drawing>
              <wp:anchor distT="0" distB="0" distL="114300" distR="114300" simplePos="0" relativeHeight="251661312" behindDoc="0" locked="0" layoutInCell="0" allowOverlap="1">
                <wp:simplePos x="0" y="0"/>
                <wp:positionH relativeFrom="column">
                  <wp:posOffset>800100</wp:posOffset>
                </wp:positionH>
                <wp:positionV relativeFrom="paragraph">
                  <wp:posOffset>309245</wp:posOffset>
                </wp:positionV>
                <wp:extent cx="635" cy="0"/>
                <wp:effectExtent l="0" t="0" r="0" b="0"/>
                <wp:wrapNone/>
                <wp:docPr id="10" name="直接连接符 10"/>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63pt;margin-top:24.35pt;height:0pt;width:0.05pt;z-index:251661312;mso-width-relative:page;mso-height-relative:page;" filled="f" stroked="t" coordsize="21600,21600" o:allowincell="f" o:gfxdata="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zm2LNYAAAAJAQAADwAAAAAAAAABACAAAAAiAAAAZHJzL2Rvd25yZXYueG1sUEsBAhQAFAAAAAgA&#10;h07iQJ07DhnuAQAA5AMAAA4AAAAAAAAAAQAgAAAAJQEAAGRycy9lMm9Eb2MueG1sUEsFBgAAAAAG&#10;AAYAWQEAAIUFAAAAAA==&#10;">
                <v:fill on="f" focussize="0,0"/>
                <v:stroke color="#000000" joinstyle="round"/>
                <v:imagedata o:title=""/>
                <o:lock v:ext="edit" aspectratio="f"/>
              </v:line>
            </w:pict>
          </mc:Fallback>
        </mc:AlternateContent>
      </w:r>
      <w:r>
        <w:rPr>
          <w:rFonts w:hint="eastAsia" w:hAnsi="宋体"/>
          <w:b/>
          <w:bCs/>
          <w:color w:val="auto"/>
          <w:sz w:val="28"/>
          <w:highlight w:val="none"/>
        </w:rPr>
        <w:t>委</w:t>
      </w:r>
      <w:r>
        <w:rPr>
          <w:rFonts w:hAnsi="宋体"/>
          <w:b/>
          <w:bCs/>
          <w:color w:val="auto"/>
          <w:sz w:val="28"/>
          <w:highlight w:val="none"/>
        </w:rPr>
        <w:t xml:space="preserve"> </w:t>
      </w:r>
      <w:r>
        <w:rPr>
          <w:rFonts w:hint="eastAsia" w:hAnsi="宋体"/>
          <w:b/>
          <w:bCs/>
          <w:color w:val="auto"/>
          <w:sz w:val="28"/>
          <w:highlight w:val="none"/>
        </w:rPr>
        <w:t>托</w:t>
      </w:r>
      <w:r>
        <w:rPr>
          <w:rFonts w:hAnsi="宋体"/>
          <w:b/>
          <w:bCs/>
          <w:color w:val="auto"/>
          <w:sz w:val="28"/>
          <w:highlight w:val="none"/>
        </w:rPr>
        <w:t xml:space="preserve"> </w:t>
      </w:r>
      <w:r>
        <w:rPr>
          <w:rFonts w:hint="eastAsia" w:hAnsi="宋体"/>
          <w:b/>
          <w:bCs/>
          <w:color w:val="auto"/>
          <w:sz w:val="28"/>
          <w:highlight w:val="none"/>
        </w:rPr>
        <w:t>方：</w:t>
      </w:r>
      <w:r>
        <w:rPr>
          <w:rFonts w:hAnsi="宋体"/>
          <w:b/>
          <w:bCs/>
          <w:color w:val="auto"/>
          <w:sz w:val="28"/>
          <w:highlight w:val="none"/>
          <w:u w:val="single"/>
        </w:rPr>
        <w:t xml:space="preserve">                                            </w:t>
      </w:r>
    </w:p>
    <w:p>
      <w:pPr>
        <w:pStyle w:val="14"/>
        <w:ind w:firstLine="562" w:firstLineChars="200"/>
        <w:rPr>
          <w:rFonts w:hAnsi="宋体"/>
          <w:b/>
          <w:bCs/>
          <w:color w:val="auto"/>
          <w:sz w:val="28"/>
          <w:highlight w:val="none"/>
        </w:rPr>
      </w:pPr>
      <w:r>
        <w:rPr>
          <w:rFonts w:hint="eastAsia" w:hAnsi="宋体"/>
          <w:b/>
          <w:bCs/>
          <w:color w:val="auto"/>
          <w:sz w:val="28"/>
          <w:highlight w:val="none"/>
        </w:rPr>
        <w:t>（甲</w:t>
      </w:r>
      <w:r>
        <w:rPr>
          <w:rFonts w:hAnsi="宋体"/>
          <w:b/>
          <w:bCs/>
          <w:color w:val="auto"/>
          <w:sz w:val="28"/>
          <w:highlight w:val="none"/>
        </w:rPr>
        <w:t xml:space="preserve"> </w:t>
      </w:r>
      <w:r>
        <w:rPr>
          <w:rFonts w:hint="eastAsia" w:hAnsi="宋体"/>
          <w:b/>
          <w:bCs/>
          <w:color w:val="auto"/>
          <w:sz w:val="28"/>
          <w:highlight w:val="none"/>
        </w:rPr>
        <w:t>方）</w:t>
      </w:r>
    </w:p>
    <w:p>
      <w:pPr>
        <w:pStyle w:val="14"/>
        <w:spacing w:line="320" w:lineRule="exact"/>
        <w:ind w:firstLine="280"/>
        <w:rPr>
          <w:rFonts w:hAnsi="宋体"/>
          <w:color w:val="auto"/>
          <w:sz w:val="28"/>
          <w:highlight w:val="none"/>
        </w:rPr>
      </w:pPr>
    </w:p>
    <w:p>
      <w:pPr>
        <w:pStyle w:val="14"/>
        <w:spacing w:line="320" w:lineRule="exact"/>
        <w:ind w:firstLine="562" w:firstLineChars="200"/>
        <w:rPr>
          <w:rFonts w:hAnsi="宋体"/>
          <w:b/>
          <w:bCs/>
          <w:color w:val="auto"/>
          <w:sz w:val="28"/>
          <w:highlight w:val="none"/>
        </w:rPr>
      </w:pPr>
      <w:r>
        <w:rPr>
          <w:rFonts w:hint="eastAsia" w:hAnsi="宋体"/>
          <w:b/>
          <w:bCs/>
          <w:color w:val="auto"/>
          <w:sz w:val="28"/>
          <w:highlight w:val="none"/>
        </w:rPr>
        <w:t>受 托</w:t>
      </w:r>
      <w:r>
        <w:rPr>
          <w:rFonts w:hAnsi="宋体"/>
          <w:b/>
          <w:bCs/>
          <w:color w:val="auto"/>
          <w:sz w:val="28"/>
          <w:highlight w:val="none"/>
        </w:rPr>
        <w:t xml:space="preserve"> </w:t>
      </w:r>
      <w:r>
        <w:rPr>
          <w:rFonts w:hint="eastAsia" w:hAnsi="宋体"/>
          <w:b/>
          <w:bCs/>
          <w:color w:val="auto"/>
          <w:sz w:val="28"/>
          <w:highlight w:val="none"/>
        </w:rPr>
        <w:t>方：</w:t>
      </w:r>
      <w:r>
        <w:rPr>
          <w:rFonts w:hAnsi="宋体"/>
          <w:b/>
          <w:bCs/>
          <w:color w:val="auto"/>
          <w:sz w:val="28"/>
          <w:highlight w:val="none"/>
          <w:u w:val="single"/>
        </w:rPr>
        <w:t xml:space="preserve">                                            </w:t>
      </w:r>
    </w:p>
    <w:p>
      <w:pPr>
        <w:pStyle w:val="14"/>
        <w:spacing w:line="320" w:lineRule="exact"/>
        <w:ind w:firstLine="562" w:firstLineChars="200"/>
        <w:rPr>
          <w:rFonts w:hAnsi="宋体"/>
          <w:b/>
          <w:bCs/>
          <w:color w:val="auto"/>
          <w:sz w:val="28"/>
          <w:highlight w:val="none"/>
        </w:rPr>
      </w:pPr>
      <w:r>
        <w:rPr>
          <w:rFonts w:hint="eastAsia" w:hAnsi="宋体"/>
          <w:b/>
          <w:bCs/>
          <w:color w:val="auto"/>
          <w:sz w:val="28"/>
          <w:highlight w:val="none"/>
        </w:rPr>
        <w:t>（乙</w:t>
      </w:r>
      <w:r>
        <w:rPr>
          <w:rFonts w:hAnsi="宋体"/>
          <w:b/>
          <w:bCs/>
          <w:color w:val="auto"/>
          <w:sz w:val="28"/>
          <w:highlight w:val="none"/>
        </w:rPr>
        <w:t xml:space="preserve"> </w:t>
      </w:r>
      <w:r>
        <w:rPr>
          <w:rFonts w:hint="eastAsia" w:hAnsi="宋体"/>
          <w:b/>
          <w:bCs/>
          <w:color w:val="auto"/>
          <w:sz w:val="28"/>
          <w:highlight w:val="none"/>
        </w:rPr>
        <w:t>方）</w:t>
      </w:r>
    </w:p>
    <w:p>
      <w:pPr>
        <w:pStyle w:val="14"/>
        <w:ind w:firstLine="281"/>
        <w:rPr>
          <w:rFonts w:hAnsi="宋体"/>
          <w:b/>
          <w:color w:val="auto"/>
          <w:sz w:val="28"/>
          <w:highlight w:val="none"/>
        </w:rPr>
      </w:pPr>
    </w:p>
    <w:p>
      <w:pPr>
        <w:pStyle w:val="14"/>
        <w:spacing w:line="480" w:lineRule="exact"/>
        <w:ind w:firstLine="281"/>
        <w:rPr>
          <w:rFonts w:hAnsi="宋体"/>
          <w:b/>
          <w:color w:val="auto"/>
          <w:sz w:val="28"/>
          <w:highlight w:val="none"/>
        </w:rPr>
      </w:pPr>
      <w:r>
        <w:rPr>
          <w:rFonts w:hAnsi="宋体"/>
          <w:b/>
          <w:color w:val="auto"/>
          <w:sz w:val="28"/>
          <w:highlight w:val="none"/>
        </w:rPr>
        <w:t xml:space="preserve">  </w:t>
      </w:r>
      <w:r>
        <w:rPr>
          <w:rFonts w:hint="eastAsia" w:hAnsi="宋体"/>
          <w:b/>
          <w:color w:val="auto"/>
          <w:sz w:val="28"/>
          <w:highlight w:val="none"/>
        </w:rPr>
        <w:t>签订地点：</w:t>
      </w:r>
    </w:p>
    <w:p>
      <w:pPr>
        <w:pStyle w:val="14"/>
        <w:spacing w:line="480" w:lineRule="exact"/>
        <w:ind w:firstLine="281"/>
        <w:rPr>
          <w:rFonts w:hAnsi="宋体"/>
          <w:b/>
          <w:color w:val="auto"/>
          <w:sz w:val="28"/>
          <w:highlight w:val="none"/>
        </w:rPr>
      </w:pPr>
      <w:r>
        <w:rPr>
          <w:rFonts w:hAnsi="宋体"/>
          <w:b/>
          <w:color w:val="auto"/>
          <w:sz w:val="28"/>
          <w:highlight w:val="none"/>
        </w:rPr>
        <w:t xml:space="preserve">  </w:t>
      </w:r>
      <w:r>
        <w:rPr>
          <w:rFonts w:hint="eastAsia" w:hAnsi="宋体"/>
          <w:b/>
          <w:color w:val="auto"/>
          <w:sz w:val="28"/>
          <w:highlight w:val="none"/>
        </w:rPr>
        <w:t>签订日期：</w:t>
      </w:r>
      <w:r>
        <w:rPr>
          <w:rFonts w:hAnsi="宋体"/>
          <w:b/>
          <w:color w:val="auto"/>
          <w:sz w:val="28"/>
          <w:highlight w:val="none"/>
        </w:rPr>
        <w:t xml:space="preserve">    </w:t>
      </w:r>
      <w:r>
        <w:rPr>
          <w:rFonts w:hint="eastAsia" w:hAnsi="宋体"/>
          <w:b/>
          <w:color w:val="auto"/>
          <w:sz w:val="28"/>
          <w:highlight w:val="none"/>
        </w:rPr>
        <w:t>年</w:t>
      </w:r>
      <w:r>
        <w:rPr>
          <w:rFonts w:hAnsi="宋体"/>
          <w:b/>
          <w:color w:val="auto"/>
          <w:sz w:val="28"/>
          <w:highlight w:val="none"/>
        </w:rPr>
        <w:t xml:space="preserve">  </w:t>
      </w:r>
      <w:r>
        <w:rPr>
          <w:rFonts w:hint="eastAsia" w:hAnsi="宋体"/>
          <w:b/>
          <w:color w:val="auto"/>
          <w:sz w:val="28"/>
          <w:highlight w:val="none"/>
        </w:rPr>
        <w:t>月</w:t>
      </w:r>
      <w:r>
        <w:rPr>
          <w:rFonts w:hAnsi="宋体"/>
          <w:b/>
          <w:color w:val="auto"/>
          <w:sz w:val="28"/>
          <w:highlight w:val="none"/>
        </w:rPr>
        <w:t xml:space="preserve">  </w:t>
      </w:r>
      <w:r>
        <w:rPr>
          <w:rFonts w:hint="eastAsia" w:hAnsi="宋体"/>
          <w:b/>
          <w:color w:val="auto"/>
          <w:sz w:val="28"/>
          <w:highlight w:val="none"/>
        </w:rPr>
        <w:t>日</w:t>
      </w:r>
    </w:p>
    <w:p>
      <w:pPr>
        <w:pStyle w:val="14"/>
        <w:spacing w:line="480" w:lineRule="exact"/>
        <w:ind w:firstLine="281"/>
        <w:rPr>
          <w:rFonts w:hAnsi="宋体"/>
          <w:b/>
          <w:color w:val="auto"/>
          <w:sz w:val="28"/>
          <w:highlight w:val="none"/>
        </w:rPr>
      </w:pPr>
      <w:r>
        <w:rPr>
          <w:rFonts w:hAnsi="宋体"/>
          <w:b/>
          <w:color w:val="auto"/>
          <w:sz w:val="28"/>
          <w:highlight w:val="none"/>
        </w:rPr>
        <w:t xml:space="preserve">  </w:t>
      </w:r>
      <w:r>
        <w:rPr>
          <w:rFonts w:hint="eastAsia" w:hAnsi="宋体"/>
          <w:b/>
          <w:color w:val="auto"/>
          <w:sz w:val="28"/>
          <w:highlight w:val="none"/>
        </w:rPr>
        <w:t>有效期限：</w:t>
      </w:r>
      <w:r>
        <w:rPr>
          <w:rFonts w:hAnsi="宋体"/>
          <w:b/>
          <w:color w:val="auto"/>
          <w:sz w:val="28"/>
          <w:highlight w:val="none"/>
        </w:rPr>
        <w:t xml:space="preserve">    </w:t>
      </w:r>
      <w:r>
        <w:rPr>
          <w:rFonts w:hint="eastAsia" w:hAnsi="宋体"/>
          <w:b/>
          <w:color w:val="auto"/>
          <w:sz w:val="28"/>
          <w:highlight w:val="none"/>
        </w:rPr>
        <w:t>年</w:t>
      </w:r>
      <w:r>
        <w:rPr>
          <w:rFonts w:hAnsi="宋体"/>
          <w:b/>
          <w:color w:val="auto"/>
          <w:sz w:val="28"/>
          <w:highlight w:val="none"/>
        </w:rPr>
        <w:t xml:space="preserve">  </w:t>
      </w:r>
      <w:r>
        <w:rPr>
          <w:rFonts w:hint="eastAsia" w:hAnsi="宋体"/>
          <w:b/>
          <w:color w:val="auto"/>
          <w:sz w:val="28"/>
          <w:highlight w:val="none"/>
        </w:rPr>
        <w:t>月</w:t>
      </w:r>
      <w:r>
        <w:rPr>
          <w:rFonts w:hAnsi="宋体"/>
          <w:b/>
          <w:color w:val="auto"/>
          <w:sz w:val="28"/>
          <w:highlight w:val="none"/>
        </w:rPr>
        <w:t xml:space="preserve">  </w:t>
      </w:r>
      <w:r>
        <w:rPr>
          <w:rFonts w:hint="eastAsia" w:hAnsi="宋体"/>
          <w:b/>
          <w:color w:val="auto"/>
          <w:sz w:val="28"/>
          <w:highlight w:val="none"/>
        </w:rPr>
        <w:t>日</w:t>
      </w:r>
      <w:r>
        <w:rPr>
          <w:rFonts w:hAnsi="宋体"/>
          <w:b/>
          <w:color w:val="auto"/>
          <w:sz w:val="28"/>
          <w:highlight w:val="none"/>
        </w:rPr>
        <w:t xml:space="preserve"> </w:t>
      </w:r>
      <w:r>
        <w:rPr>
          <w:rFonts w:hint="eastAsia" w:hAnsi="宋体"/>
          <w:b/>
          <w:color w:val="auto"/>
          <w:sz w:val="28"/>
          <w:highlight w:val="none"/>
        </w:rPr>
        <w:t>至</w:t>
      </w:r>
      <w:r>
        <w:rPr>
          <w:rFonts w:hAnsi="宋体"/>
          <w:b/>
          <w:color w:val="auto"/>
          <w:sz w:val="28"/>
          <w:highlight w:val="none"/>
        </w:rPr>
        <w:t xml:space="preserve">    </w:t>
      </w:r>
      <w:r>
        <w:rPr>
          <w:rFonts w:hint="eastAsia" w:hAnsi="宋体"/>
          <w:b/>
          <w:color w:val="auto"/>
          <w:sz w:val="28"/>
          <w:highlight w:val="none"/>
        </w:rPr>
        <w:t>年</w:t>
      </w:r>
      <w:r>
        <w:rPr>
          <w:rFonts w:hAnsi="宋体"/>
          <w:b/>
          <w:color w:val="auto"/>
          <w:sz w:val="28"/>
          <w:highlight w:val="none"/>
        </w:rPr>
        <w:t xml:space="preserve">  </w:t>
      </w:r>
      <w:r>
        <w:rPr>
          <w:rFonts w:hint="eastAsia" w:hAnsi="宋体"/>
          <w:b/>
          <w:color w:val="auto"/>
          <w:sz w:val="28"/>
          <w:highlight w:val="none"/>
        </w:rPr>
        <w:t>月</w:t>
      </w:r>
      <w:r>
        <w:rPr>
          <w:rFonts w:hAnsi="宋体"/>
          <w:b/>
          <w:color w:val="auto"/>
          <w:sz w:val="28"/>
          <w:highlight w:val="none"/>
        </w:rPr>
        <w:t xml:space="preserve">  </w:t>
      </w:r>
      <w:r>
        <w:rPr>
          <w:rFonts w:hint="eastAsia" w:hAnsi="宋体"/>
          <w:b/>
          <w:color w:val="auto"/>
          <w:sz w:val="28"/>
          <w:highlight w:val="none"/>
        </w:rPr>
        <w:t>日</w:t>
      </w:r>
    </w:p>
    <w:p>
      <w:pPr>
        <w:pStyle w:val="14"/>
        <w:spacing w:line="480" w:lineRule="exact"/>
        <w:ind w:firstLine="281"/>
        <w:rPr>
          <w:rFonts w:hAnsi="宋体"/>
          <w:b/>
          <w:bCs/>
          <w:color w:val="auto"/>
          <w:sz w:val="28"/>
          <w:highlight w:val="none"/>
        </w:rPr>
      </w:pPr>
    </w:p>
    <w:p>
      <w:pPr>
        <w:pStyle w:val="14"/>
        <w:ind w:firstLine="281"/>
        <w:jc w:val="center"/>
        <w:rPr>
          <w:rFonts w:hAnsi="宋体"/>
          <w:b/>
          <w:bCs/>
          <w:color w:val="auto"/>
          <w:sz w:val="28"/>
          <w:highlight w:val="none"/>
        </w:rPr>
      </w:pPr>
    </w:p>
    <w:p>
      <w:pPr>
        <w:pStyle w:val="14"/>
        <w:ind w:firstLine="281"/>
        <w:jc w:val="center"/>
        <w:rPr>
          <w:rFonts w:hAnsi="宋体"/>
          <w:b/>
          <w:bCs/>
          <w:color w:val="auto"/>
          <w:sz w:val="28"/>
          <w:highlight w:val="none"/>
        </w:rPr>
      </w:pPr>
    </w:p>
    <w:p>
      <w:pPr>
        <w:pStyle w:val="14"/>
        <w:ind w:firstLine="281"/>
        <w:jc w:val="center"/>
        <w:rPr>
          <w:rFonts w:hAnsi="宋体"/>
          <w:b/>
          <w:bCs/>
          <w:color w:val="auto"/>
          <w:sz w:val="28"/>
          <w:highlight w:val="none"/>
        </w:rPr>
      </w:pPr>
    </w:p>
    <w:p>
      <w:pPr>
        <w:pStyle w:val="14"/>
        <w:ind w:firstLine="281"/>
        <w:jc w:val="center"/>
        <w:rPr>
          <w:rFonts w:hAnsi="宋体"/>
          <w:b/>
          <w:bCs/>
          <w:color w:val="auto"/>
          <w:sz w:val="28"/>
          <w:highlight w:val="none"/>
        </w:rPr>
      </w:pPr>
    </w:p>
    <w:p>
      <w:pPr>
        <w:pStyle w:val="14"/>
        <w:keepNext w:val="0"/>
        <w:keepLines w:val="0"/>
        <w:pageBreakBefore w:val="0"/>
        <w:widowControl w:val="0"/>
        <w:kinsoku/>
        <w:overflowPunct/>
        <w:topLinePunct w:val="0"/>
        <w:autoSpaceDE/>
        <w:autoSpaceDN/>
        <w:bidi w:val="0"/>
        <w:spacing w:line="360" w:lineRule="auto"/>
        <w:ind w:left="0" w:leftChars="0" w:firstLine="616" w:firstLineChars="200"/>
        <w:jc w:val="left"/>
        <w:textAlignment w:val="auto"/>
        <w:rPr>
          <w:rFonts w:hint="eastAsia" w:ascii="宋体" w:hAnsi="宋体" w:eastAsia="宋体" w:cs="宋体"/>
          <w:color w:val="auto"/>
          <w:spacing w:val="0"/>
          <w:sz w:val="21"/>
          <w:szCs w:val="21"/>
          <w:highlight w:val="none"/>
        </w:rPr>
      </w:pPr>
      <w:r>
        <w:rPr>
          <w:rFonts w:hAnsi="宋体" w:cs="宋体"/>
          <w:color w:val="auto"/>
          <w:spacing w:val="4"/>
          <w:highlight w:val="none"/>
        </w:rPr>
        <w:br w:type="page"/>
      </w:r>
      <w:r>
        <w:rPr>
          <w:rFonts w:hint="eastAsia" w:ascii="宋体" w:hAnsi="宋体" w:eastAsia="宋体" w:cs="宋体"/>
          <w:color w:val="auto"/>
          <w:spacing w:val="0"/>
          <w:sz w:val="21"/>
          <w:szCs w:val="21"/>
          <w:highlight w:val="none"/>
        </w:rPr>
        <w:t>依据《中华人民共和国民法典》的规定，合同双方就</w:t>
      </w:r>
      <w:r>
        <w:rPr>
          <w:rFonts w:hint="eastAsia" w:ascii="宋体" w:hAnsi="宋体" w:eastAsia="宋体" w:cs="宋体"/>
          <w:bCs/>
          <w:iCs/>
          <w:color w:val="auto"/>
          <w:spacing w:val="0"/>
          <w:sz w:val="21"/>
          <w:szCs w:val="21"/>
          <w:highlight w:val="none"/>
          <w:u w:val="single"/>
          <w:lang w:val="en-US" w:eastAsia="zh-CN"/>
        </w:rPr>
        <w:t>2023年舟山绿色石化基地围填海工程营运期海域、海岛生态环境跟踪监测</w:t>
      </w:r>
      <w:r>
        <w:rPr>
          <w:rFonts w:hint="eastAsia" w:ascii="宋体" w:hAnsi="宋体" w:eastAsia="宋体" w:cs="宋体"/>
          <w:bCs/>
          <w:color w:val="auto"/>
          <w:spacing w:val="0"/>
          <w:kern w:val="10"/>
          <w:sz w:val="21"/>
          <w:szCs w:val="21"/>
          <w:highlight w:val="none"/>
        </w:rPr>
        <w:t>的</w:t>
      </w:r>
      <w:r>
        <w:rPr>
          <w:rFonts w:hint="eastAsia" w:ascii="宋体" w:hAnsi="宋体" w:eastAsia="宋体" w:cs="宋体"/>
          <w:color w:val="auto"/>
          <w:spacing w:val="0"/>
          <w:kern w:val="10"/>
          <w:sz w:val="21"/>
          <w:szCs w:val="21"/>
          <w:highlight w:val="none"/>
        </w:rPr>
        <w:t>技术咨询</w:t>
      </w:r>
      <w:r>
        <w:rPr>
          <w:rFonts w:hint="eastAsia" w:ascii="宋体" w:hAnsi="宋体" w:eastAsia="宋体" w:cs="宋体"/>
          <w:color w:val="auto"/>
          <w:spacing w:val="0"/>
          <w:sz w:val="21"/>
          <w:szCs w:val="21"/>
          <w:highlight w:val="none"/>
        </w:rPr>
        <w:t>，经协商一致，签订本合同。</w:t>
      </w:r>
    </w:p>
    <w:p>
      <w:pPr>
        <w:pStyle w:val="14"/>
        <w:keepNext w:val="0"/>
        <w:keepLines w:val="0"/>
        <w:pageBreakBefore w:val="0"/>
        <w:widowControl w:val="0"/>
        <w:kinsoku/>
        <w:overflowPunct/>
        <w:topLinePunct w:val="0"/>
        <w:autoSpaceDE/>
        <w:autoSpaceDN/>
        <w:bidi w:val="0"/>
        <w:spacing w:line="360" w:lineRule="auto"/>
        <w:ind w:left="0" w:leftChars="0" w:firstLine="422"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b/>
          <w:bCs/>
          <w:color w:val="auto"/>
          <w:spacing w:val="0"/>
          <w:sz w:val="21"/>
          <w:szCs w:val="21"/>
          <w:highlight w:val="none"/>
        </w:rPr>
        <w:t>一、咨询的内容、形式和要求：</w:t>
      </w:r>
    </w:p>
    <w:p>
      <w:pPr>
        <w:keepNext w:val="0"/>
        <w:keepLines w:val="0"/>
        <w:pageBreakBefore w:val="0"/>
        <w:widowControl w:val="0"/>
        <w:kinsoku/>
        <w:overflowPunct/>
        <w:topLinePunct w:val="0"/>
        <w:autoSpaceDE/>
        <w:autoSpaceDN/>
        <w:bidi w:val="0"/>
        <w:adjustRightInd w:val="0"/>
        <w:snapToGrid w:val="0"/>
        <w:spacing w:line="360" w:lineRule="auto"/>
        <w:ind w:left="0" w:leftChars="0" w:firstLine="420" w:firstLineChars="200"/>
        <w:textAlignment w:val="auto"/>
        <w:rPr>
          <w:rFonts w:hint="default" w:ascii="宋体" w:hAnsi="宋体" w:eastAsia="宋体" w:cs="宋体"/>
          <w:color w:val="auto"/>
          <w:spacing w:val="0"/>
          <w:sz w:val="21"/>
          <w:szCs w:val="21"/>
          <w:highlight w:val="none"/>
          <w:u w:val="single"/>
          <w:lang w:val="en-US" w:eastAsia="zh-CN"/>
        </w:rPr>
      </w:pPr>
      <w:r>
        <w:rPr>
          <w:rFonts w:hint="eastAsia" w:ascii="宋体" w:hAnsi="宋体" w:eastAsia="宋体" w:cs="宋体"/>
          <w:color w:val="auto"/>
          <w:spacing w:val="0"/>
          <w:sz w:val="21"/>
          <w:szCs w:val="21"/>
          <w:highlight w:val="none"/>
          <w:u w:val="single"/>
          <w:lang w:val="en-US" w:eastAsia="zh-CN"/>
        </w:rPr>
        <w:t xml:space="preserve">                                 </w:t>
      </w:r>
    </w:p>
    <w:p>
      <w:pPr>
        <w:pStyle w:val="14"/>
        <w:keepNext w:val="0"/>
        <w:keepLines w:val="0"/>
        <w:pageBreakBefore w:val="0"/>
        <w:widowControl w:val="0"/>
        <w:kinsoku/>
        <w:overflowPunct/>
        <w:topLinePunct w:val="0"/>
        <w:autoSpaceDE/>
        <w:autoSpaceDN/>
        <w:bidi w:val="0"/>
        <w:spacing w:line="360" w:lineRule="auto"/>
        <w:ind w:left="0" w:leftChars="0" w:firstLine="422" w:firstLineChars="200"/>
        <w:textAlignment w:val="auto"/>
        <w:rPr>
          <w:rFonts w:hint="eastAsia" w:ascii="宋体" w:hAnsi="宋体" w:eastAsia="宋体" w:cs="宋体"/>
          <w:b/>
          <w:bCs/>
          <w:i/>
          <w:color w:val="auto"/>
          <w:spacing w:val="0"/>
          <w:sz w:val="21"/>
          <w:szCs w:val="21"/>
          <w:highlight w:val="none"/>
        </w:rPr>
      </w:pPr>
      <w:r>
        <w:rPr>
          <w:rFonts w:hint="eastAsia" w:ascii="宋体" w:hAnsi="宋体" w:eastAsia="宋体" w:cs="宋体"/>
          <w:b/>
          <w:bCs/>
          <w:color w:val="auto"/>
          <w:spacing w:val="0"/>
          <w:sz w:val="21"/>
          <w:szCs w:val="21"/>
          <w:highlight w:val="none"/>
        </w:rPr>
        <w:t>二、履行期限、地点和方式：</w:t>
      </w:r>
    </w:p>
    <w:p>
      <w:pPr>
        <w:pStyle w:val="14"/>
        <w:keepNext w:val="0"/>
        <w:keepLines w:val="0"/>
        <w:pageBreakBefore w:val="0"/>
        <w:widowControl w:val="0"/>
        <w:kinsoku/>
        <w:overflowPunct/>
        <w:topLinePunct w:val="0"/>
        <w:autoSpaceDE/>
        <w:autoSpaceDN/>
        <w:bidi w:val="0"/>
        <w:spacing w:line="360" w:lineRule="auto"/>
        <w:ind w:left="0" w:leftChars="0" w:firstLine="420" w:firstLineChars="200"/>
        <w:textAlignment w:val="auto"/>
        <w:rPr>
          <w:rFonts w:hint="eastAsia" w:ascii="宋体" w:hAnsi="宋体" w:eastAsia="宋体" w:cs="宋体"/>
          <w:b/>
          <w:i/>
          <w:color w:val="auto"/>
          <w:spacing w:val="0"/>
          <w:sz w:val="21"/>
          <w:szCs w:val="21"/>
          <w:highlight w:val="none"/>
        </w:rPr>
      </w:pPr>
      <w:r>
        <w:rPr>
          <w:rFonts w:hint="eastAsia" w:ascii="宋体" w:hAnsi="宋体" w:eastAsia="宋体" w:cs="宋体"/>
          <w:bCs/>
          <w:iCs/>
          <w:color w:val="auto"/>
          <w:spacing w:val="0"/>
          <w:sz w:val="21"/>
          <w:szCs w:val="21"/>
          <w:highlight w:val="none"/>
        </w:rPr>
        <w:t>本合同自</w:t>
      </w:r>
      <w:r>
        <w:rPr>
          <w:rFonts w:hint="eastAsia" w:ascii="宋体" w:hAnsi="宋体" w:eastAsia="宋体" w:cs="宋体"/>
          <w:b/>
          <w:color w:val="auto"/>
          <w:spacing w:val="0"/>
          <w:sz w:val="21"/>
          <w:szCs w:val="21"/>
          <w:highlight w:val="none"/>
          <w:u w:val="single"/>
        </w:rPr>
        <w:t xml:space="preserve">    </w:t>
      </w:r>
      <w:r>
        <w:rPr>
          <w:rFonts w:hint="eastAsia" w:ascii="宋体" w:hAnsi="宋体" w:eastAsia="宋体" w:cs="宋体"/>
          <w:b/>
          <w:color w:val="auto"/>
          <w:spacing w:val="0"/>
          <w:sz w:val="21"/>
          <w:szCs w:val="21"/>
          <w:highlight w:val="none"/>
        </w:rPr>
        <w:t>年</w:t>
      </w:r>
      <w:r>
        <w:rPr>
          <w:rFonts w:hint="eastAsia" w:ascii="宋体" w:hAnsi="宋体" w:eastAsia="宋体" w:cs="宋体"/>
          <w:b/>
          <w:color w:val="auto"/>
          <w:spacing w:val="0"/>
          <w:sz w:val="21"/>
          <w:szCs w:val="21"/>
          <w:highlight w:val="none"/>
          <w:u w:val="single"/>
        </w:rPr>
        <w:t xml:space="preserve">   </w:t>
      </w:r>
      <w:r>
        <w:rPr>
          <w:rFonts w:hint="eastAsia" w:ascii="宋体" w:hAnsi="宋体" w:eastAsia="宋体" w:cs="宋体"/>
          <w:b/>
          <w:color w:val="auto"/>
          <w:spacing w:val="0"/>
          <w:sz w:val="21"/>
          <w:szCs w:val="21"/>
          <w:highlight w:val="none"/>
        </w:rPr>
        <w:t>月</w:t>
      </w:r>
      <w:r>
        <w:rPr>
          <w:rFonts w:hint="eastAsia" w:ascii="宋体" w:hAnsi="宋体" w:eastAsia="宋体" w:cs="宋体"/>
          <w:b/>
          <w:color w:val="auto"/>
          <w:spacing w:val="0"/>
          <w:sz w:val="21"/>
          <w:szCs w:val="21"/>
          <w:highlight w:val="none"/>
          <w:u w:val="single"/>
        </w:rPr>
        <w:t xml:space="preserve">   </w:t>
      </w:r>
      <w:r>
        <w:rPr>
          <w:rFonts w:hint="eastAsia" w:ascii="宋体" w:hAnsi="宋体" w:eastAsia="宋体" w:cs="宋体"/>
          <w:b/>
          <w:color w:val="auto"/>
          <w:spacing w:val="0"/>
          <w:sz w:val="21"/>
          <w:szCs w:val="21"/>
          <w:highlight w:val="none"/>
        </w:rPr>
        <w:t>日至</w:t>
      </w:r>
      <w:r>
        <w:rPr>
          <w:rFonts w:hint="eastAsia" w:ascii="宋体" w:hAnsi="宋体" w:eastAsia="宋体" w:cs="宋体"/>
          <w:b/>
          <w:color w:val="auto"/>
          <w:spacing w:val="0"/>
          <w:sz w:val="21"/>
          <w:szCs w:val="21"/>
          <w:highlight w:val="none"/>
          <w:u w:val="single"/>
        </w:rPr>
        <w:t xml:space="preserve">    </w:t>
      </w:r>
      <w:r>
        <w:rPr>
          <w:rFonts w:hint="eastAsia" w:ascii="宋体" w:hAnsi="宋体" w:eastAsia="宋体" w:cs="宋体"/>
          <w:b/>
          <w:color w:val="auto"/>
          <w:spacing w:val="0"/>
          <w:sz w:val="21"/>
          <w:szCs w:val="21"/>
          <w:highlight w:val="none"/>
        </w:rPr>
        <w:t>年</w:t>
      </w:r>
      <w:r>
        <w:rPr>
          <w:rFonts w:hint="eastAsia" w:ascii="宋体" w:hAnsi="宋体" w:eastAsia="宋体" w:cs="宋体"/>
          <w:b/>
          <w:color w:val="auto"/>
          <w:spacing w:val="0"/>
          <w:sz w:val="21"/>
          <w:szCs w:val="21"/>
          <w:highlight w:val="none"/>
          <w:u w:val="single"/>
        </w:rPr>
        <w:t xml:space="preserve">   </w:t>
      </w:r>
      <w:r>
        <w:rPr>
          <w:rFonts w:hint="eastAsia" w:ascii="宋体" w:hAnsi="宋体" w:eastAsia="宋体" w:cs="宋体"/>
          <w:b/>
          <w:color w:val="auto"/>
          <w:spacing w:val="0"/>
          <w:sz w:val="21"/>
          <w:szCs w:val="21"/>
          <w:highlight w:val="none"/>
        </w:rPr>
        <w:t>月</w:t>
      </w:r>
      <w:r>
        <w:rPr>
          <w:rFonts w:hint="eastAsia" w:ascii="宋体" w:hAnsi="宋体" w:eastAsia="宋体" w:cs="宋体"/>
          <w:b/>
          <w:color w:val="auto"/>
          <w:spacing w:val="0"/>
          <w:sz w:val="21"/>
          <w:szCs w:val="21"/>
          <w:highlight w:val="none"/>
          <w:u w:val="single"/>
        </w:rPr>
        <w:t xml:space="preserve">   </w:t>
      </w:r>
      <w:r>
        <w:rPr>
          <w:rFonts w:hint="eastAsia" w:ascii="宋体" w:hAnsi="宋体" w:eastAsia="宋体" w:cs="宋体"/>
          <w:b/>
          <w:color w:val="auto"/>
          <w:spacing w:val="0"/>
          <w:sz w:val="21"/>
          <w:szCs w:val="21"/>
          <w:highlight w:val="none"/>
        </w:rPr>
        <w:t>日</w:t>
      </w:r>
      <w:r>
        <w:rPr>
          <w:rFonts w:hint="eastAsia" w:ascii="宋体" w:hAnsi="宋体" w:eastAsia="宋体" w:cs="宋体"/>
          <w:bCs/>
          <w:iCs/>
          <w:color w:val="auto"/>
          <w:spacing w:val="0"/>
          <w:sz w:val="21"/>
          <w:szCs w:val="21"/>
          <w:highlight w:val="none"/>
        </w:rPr>
        <w:t>在</w:t>
      </w:r>
      <w:r>
        <w:rPr>
          <w:rFonts w:hint="eastAsia" w:ascii="宋体" w:hAnsi="宋体" w:eastAsia="宋体" w:cs="宋体"/>
          <w:b/>
          <w:bCs/>
          <w:iCs/>
          <w:color w:val="auto"/>
          <w:spacing w:val="0"/>
          <w:sz w:val="21"/>
          <w:szCs w:val="21"/>
          <w:highlight w:val="none"/>
          <w:u w:val="single"/>
        </w:rPr>
        <w:t xml:space="preserve">        </w:t>
      </w:r>
      <w:r>
        <w:rPr>
          <w:rFonts w:hint="eastAsia" w:ascii="宋体" w:hAnsi="宋体" w:eastAsia="宋体" w:cs="宋体"/>
          <w:bCs/>
          <w:iCs/>
          <w:color w:val="auto"/>
          <w:spacing w:val="0"/>
          <w:sz w:val="21"/>
          <w:szCs w:val="21"/>
          <w:highlight w:val="none"/>
        </w:rPr>
        <w:t>（地点）履行。</w:t>
      </w:r>
    </w:p>
    <w:p>
      <w:pPr>
        <w:pStyle w:val="14"/>
        <w:keepNext w:val="0"/>
        <w:keepLines w:val="0"/>
        <w:pageBreakBefore w:val="0"/>
        <w:widowControl w:val="0"/>
        <w:kinsoku/>
        <w:overflowPunct/>
        <w:topLinePunct w:val="0"/>
        <w:autoSpaceDE/>
        <w:autoSpaceDN/>
        <w:bidi w:val="0"/>
        <w:spacing w:line="360" w:lineRule="auto"/>
        <w:ind w:left="0" w:leftChars="0"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本合同的履行方式：</w:t>
      </w:r>
    </w:p>
    <w:p>
      <w:pPr>
        <w:pStyle w:val="14"/>
        <w:keepNext w:val="0"/>
        <w:keepLines w:val="0"/>
        <w:pageBreakBefore w:val="0"/>
        <w:widowControl w:val="0"/>
        <w:kinsoku/>
        <w:overflowPunct/>
        <w:topLinePunct w:val="0"/>
        <w:autoSpaceDE/>
        <w:autoSpaceDN/>
        <w:bidi w:val="0"/>
        <w:spacing w:line="360" w:lineRule="auto"/>
        <w:ind w:left="0" w:leftChars="0"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1、乙方根据相关规范及行政主管部门的要求，根据编制的工作大纲及工作方案进行海域、海岛生态环境跟踪监测，最终形成报告。</w:t>
      </w:r>
    </w:p>
    <w:p>
      <w:pPr>
        <w:pStyle w:val="14"/>
        <w:keepNext w:val="0"/>
        <w:keepLines w:val="0"/>
        <w:pageBreakBefore w:val="0"/>
        <w:widowControl w:val="0"/>
        <w:kinsoku/>
        <w:overflowPunct/>
        <w:topLinePunct w:val="0"/>
        <w:autoSpaceDE/>
        <w:autoSpaceDN/>
        <w:bidi w:val="0"/>
        <w:spacing w:line="360" w:lineRule="auto"/>
        <w:ind w:left="0" w:leftChars="0"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2、监测报告向甲方提交，同时报送相关行政</w:t>
      </w:r>
      <w:r>
        <w:rPr>
          <w:rFonts w:hint="eastAsia" w:ascii="宋体" w:hAnsi="宋体" w:eastAsia="宋体" w:cs="宋体"/>
          <w:color w:val="auto"/>
          <w:spacing w:val="0"/>
          <w:sz w:val="21"/>
          <w:szCs w:val="21"/>
          <w:highlight w:val="none"/>
          <w:lang w:eastAsia="zh-CN"/>
        </w:rPr>
        <w:t>主管</w:t>
      </w:r>
      <w:r>
        <w:rPr>
          <w:rFonts w:hint="eastAsia" w:ascii="宋体" w:hAnsi="宋体" w:eastAsia="宋体" w:cs="宋体"/>
          <w:color w:val="auto"/>
          <w:spacing w:val="0"/>
          <w:sz w:val="21"/>
          <w:szCs w:val="21"/>
          <w:highlight w:val="none"/>
        </w:rPr>
        <w:t>部门，作为项目验收的依据。</w:t>
      </w:r>
    </w:p>
    <w:p>
      <w:pPr>
        <w:pStyle w:val="14"/>
        <w:keepNext w:val="0"/>
        <w:keepLines w:val="0"/>
        <w:pageBreakBefore w:val="0"/>
        <w:widowControl w:val="0"/>
        <w:kinsoku/>
        <w:overflowPunct/>
        <w:topLinePunct w:val="0"/>
        <w:autoSpaceDE/>
        <w:autoSpaceDN/>
        <w:bidi w:val="0"/>
        <w:spacing w:line="360" w:lineRule="auto"/>
        <w:ind w:left="0" w:leftChars="0"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3、乙方按监测方案开展工作，甲方按约定方式支付合同款项。</w:t>
      </w:r>
    </w:p>
    <w:p>
      <w:pPr>
        <w:pStyle w:val="14"/>
        <w:keepNext w:val="0"/>
        <w:keepLines w:val="0"/>
        <w:pageBreakBefore w:val="0"/>
        <w:widowControl w:val="0"/>
        <w:kinsoku/>
        <w:overflowPunct/>
        <w:topLinePunct w:val="0"/>
        <w:autoSpaceDE/>
        <w:autoSpaceDN/>
        <w:bidi w:val="0"/>
        <w:spacing w:line="360" w:lineRule="auto"/>
        <w:ind w:left="0" w:leftChars="0" w:firstLine="422" w:firstLineChars="200"/>
        <w:textAlignment w:val="auto"/>
        <w:outlineLvl w:val="0"/>
        <w:rPr>
          <w:rFonts w:hint="eastAsia" w:ascii="宋体" w:hAnsi="宋体" w:eastAsia="宋体" w:cs="宋体"/>
          <w:b/>
          <w:bCs/>
          <w:color w:val="auto"/>
          <w:spacing w:val="0"/>
          <w:sz w:val="21"/>
          <w:szCs w:val="21"/>
          <w:highlight w:val="none"/>
          <w:lang w:eastAsia="zh-CN"/>
        </w:rPr>
      </w:pPr>
      <w:bookmarkStart w:id="22" w:name="_Toc450035194"/>
      <w:bookmarkStart w:id="23" w:name="_Toc449350763"/>
      <w:r>
        <w:rPr>
          <w:rFonts w:hint="eastAsia" w:ascii="宋体" w:hAnsi="宋体" w:eastAsia="宋体" w:cs="宋体"/>
          <w:b/>
          <w:bCs/>
          <w:color w:val="auto"/>
          <w:spacing w:val="0"/>
          <w:sz w:val="21"/>
          <w:szCs w:val="21"/>
          <w:highlight w:val="none"/>
        </w:rPr>
        <w:t>三、</w:t>
      </w:r>
      <w:bookmarkEnd w:id="22"/>
      <w:bookmarkEnd w:id="23"/>
      <w:r>
        <w:rPr>
          <w:rFonts w:hint="eastAsia" w:ascii="宋体" w:hAnsi="宋体" w:eastAsia="宋体" w:cs="宋体"/>
          <w:b/>
          <w:bCs/>
          <w:color w:val="auto"/>
          <w:spacing w:val="0"/>
          <w:sz w:val="21"/>
          <w:szCs w:val="21"/>
          <w:highlight w:val="none"/>
          <w:lang w:eastAsia="zh-CN"/>
        </w:rPr>
        <w:t>甲方的权利、义务和责任：</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1.检查项目组的组成和人员到位情况、人员稳定情况，考核主要专业负责人的工作能力，如因人力、能力不足致使工作不能按计划完成时，</w:t>
      </w:r>
      <w:r>
        <w:rPr>
          <w:rFonts w:hint="eastAsia" w:ascii="宋体" w:hAnsi="宋体" w:cs="宋体"/>
          <w:color w:val="auto"/>
          <w:szCs w:val="21"/>
          <w:highlight w:val="none"/>
          <w:lang w:eastAsia="zh-CN"/>
        </w:rPr>
        <w:t>甲方</w:t>
      </w:r>
      <w:r>
        <w:rPr>
          <w:rFonts w:ascii="宋体" w:hAnsi="宋体" w:cs="宋体"/>
          <w:color w:val="auto"/>
          <w:szCs w:val="21"/>
          <w:highlight w:val="none"/>
        </w:rPr>
        <w:t>有权要求其增加或调整相应的技术人员。</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2.在阶段审查或工作检查中，有权对</w:t>
      </w:r>
      <w:r>
        <w:rPr>
          <w:rFonts w:hint="eastAsia" w:ascii="宋体" w:hAnsi="宋体" w:cs="宋体"/>
          <w:color w:val="auto"/>
          <w:szCs w:val="21"/>
          <w:highlight w:val="none"/>
          <w:lang w:eastAsia="zh-CN"/>
        </w:rPr>
        <w:t>乙方</w:t>
      </w:r>
      <w:r>
        <w:rPr>
          <w:rFonts w:ascii="宋体" w:hAnsi="宋体" w:cs="宋体"/>
          <w:color w:val="auto"/>
          <w:szCs w:val="21"/>
          <w:highlight w:val="none"/>
        </w:rPr>
        <w:t>不胜任工作的人员发出撤换的指令，对不能胜任合同职责的，</w:t>
      </w:r>
      <w:r>
        <w:rPr>
          <w:rFonts w:hint="eastAsia" w:ascii="宋体" w:hAnsi="宋体" w:cs="宋体"/>
          <w:color w:val="auto"/>
          <w:szCs w:val="21"/>
          <w:highlight w:val="none"/>
          <w:lang w:eastAsia="zh-CN"/>
        </w:rPr>
        <w:t>甲方</w:t>
      </w:r>
      <w:r>
        <w:rPr>
          <w:rFonts w:ascii="宋体" w:hAnsi="宋体" w:cs="宋体"/>
          <w:color w:val="auto"/>
          <w:szCs w:val="21"/>
          <w:highlight w:val="none"/>
        </w:rPr>
        <w:t>有权予以相应处罚处置，直至解除合同，由此造成的费用增加和进度延期，</w:t>
      </w:r>
      <w:r>
        <w:rPr>
          <w:rFonts w:hint="eastAsia" w:ascii="宋体" w:hAnsi="宋体" w:cs="宋体"/>
          <w:color w:val="auto"/>
          <w:szCs w:val="21"/>
          <w:highlight w:val="none"/>
          <w:lang w:eastAsia="zh-CN"/>
        </w:rPr>
        <w:t>甲方</w:t>
      </w:r>
      <w:r>
        <w:rPr>
          <w:rFonts w:ascii="宋体" w:hAnsi="宋体" w:cs="宋体"/>
          <w:color w:val="auto"/>
          <w:szCs w:val="21"/>
          <w:highlight w:val="none"/>
        </w:rPr>
        <w:t>不承担任何责任。</w:t>
      </w:r>
      <w:r>
        <w:rPr>
          <w:rFonts w:hint="eastAsia" w:ascii="宋体" w:hAnsi="宋体" w:cs="宋体"/>
          <w:color w:val="auto"/>
          <w:szCs w:val="21"/>
          <w:highlight w:val="none"/>
          <w:lang w:eastAsia="zh-CN"/>
        </w:rPr>
        <w:t>甲方</w:t>
      </w:r>
      <w:r>
        <w:rPr>
          <w:rFonts w:ascii="宋体" w:hAnsi="宋体" w:cs="宋体"/>
          <w:color w:val="auto"/>
          <w:szCs w:val="21"/>
          <w:highlight w:val="none"/>
        </w:rPr>
        <w:t>有权根据工作需要将此不胜任的部分另行指定其它单位完成，费用从原合同价中开支。</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3.检查</w:t>
      </w:r>
      <w:r>
        <w:rPr>
          <w:rFonts w:hint="eastAsia" w:ascii="宋体" w:hAnsi="宋体" w:cs="宋体"/>
          <w:color w:val="auto"/>
          <w:szCs w:val="21"/>
          <w:highlight w:val="none"/>
          <w:lang w:eastAsia="zh-CN"/>
        </w:rPr>
        <w:t>乙方</w:t>
      </w:r>
      <w:r>
        <w:rPr>
          <w:rFonts w:ascii="宋体" w:hAnsi="宋体" w:cs="宋体"/>
          <w:color w:val="auto"/>
          <w:szCs w:val="21"/>
          <w:highlight w:val="none"/>
        </w:rPr>
        <w:t>是否按进度计划及要求开展工作，是否落实了进度控制的各项措施，</w:t>
      </w:r>
      <w:r>
        <w:rPr>
          <w:rFonts w:hint="eastAsia" w:ascii="宋体" w:hAnsi="宋体" w:cs="宋体"/>
          <w:color w:val="auto"/>
          <w:szCs w:val="21"/>
          <w:highlight w:val="none"/>
        </w:rPr>
        <w:t>因</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自身原因导致</w:t>
      </w:r>
      <w:r>
        <w:rPr>
          <w:rFonts w:ascii="宋体" w:hAnsi="宋体" w:cs="宋体"/>
          <w:color w:val="auto"/>
          <w:szCs w:val="21"/>
          <w:highlight w:val="none"/>
        </w:rPr>
        <w:t>未达到要求的，</w:t>
      </w:r>
      <w:r>
        <w:rPr>
          <w:rFonts w:hint="eastAsia" w:ascii="宋体" w:hAnsi="宋体" w:cs="宋体"/>
          <w:color w:val="auto"/>
          <w:szCs w:val="21"/>
          <w:highlight w:val="none"/>
          <w:lang w:eastAsia="zh-CN"/>
        </w:rPr>
        <w:t>甲方</w:t>
      </w:r>
      <w:r>
        <w:rPr>
          <w:rFonts w:ascii="宋体" w:hAnsi="宋体" w:cs="宋体"/>
          <w:color w:val="auto"/>
          <w:szCs w:val="21"/>
          <w:highlight w:val="none"/>
        </w:rPr>
        <w:t>有权要求</w:t>
      </w:r>
      <w:r>
        <w:rPr>
          <w:rFonts w:hint="eastAsia" w:ascii="宋体" w:hAnsi="宋体" w:cs="宋体"/>
          <w:color w:val="auto"/>
          <w:szCs w:val="21"/>
          <w:highlight w:val="none"/>
          <w:lang w:eastAsia="zh-CN"/>
        </w:rPr>
        <w:t>乙方</w:t>
      </w:r>
      <w:r>
        <w:rPr>
          <w:rFonts w:ascii="宋体" w:hAnsi="宋体" w:cs="宋体"/>
          <w:color w:val="auto"/>
          <w:szCs w:val="21"/>
          <w:highlight w:val="none"/>
        </w:rPr>
        <w:t>进行整改，整改后仍未达到要求的，</w:t>
      </w:r>
      <w:r>
        <w:rPr>
          <w:rFonts w:hint="eastAsia" w:ascii="宋体" w:hAnsi="宋体" w:cs="宋体"/>
          <w:color w:val="auto"/>
          <w:szCs w:val="21"/>
          <w:highlight w:val="none"/>
          <w:lang w:eastAsia="zh-CN"/>
        </w:rPr>
        <w:t>甲方</w:t>
      </w:r>
      <w:r>
        <w:rPr>
          <w:rFonts w:ascii="宋体" w:hAnsi="宋体" w:cs="宋体"/>
          <w:color w:val="auto"/>
          <w:szCs w:val="21"/>
          <w:highlight w:val="none"/>
        </w:rPr>
        <w:t>有权</w:t>
      </w:r>
      <w:r>
        <w:rPr>
          <w:rFonts w:hint="eastAsia" w:ascii="宋体" w:hAnsi="宋体" w:cs="宋体"/>
          <w:color w:val="auto"/>
          <w:szCs w:val="21"/>
          <w:highlight w:val="none"/>
        </w:rPr>
        <w:t>按照</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违约相关约定</w:t>
      </w:r>
      <w:r>
        <w:rPr>
          <w:rFonts w:ascii="宋体" w:hAnsi="宋体" w:cs="宋体"/>
          <w:color w:val="auto"/>
          <w:szCs w:val="21"/>
          <w:highlight w:val="none"/>
        </w:rPr>
        <w:t>给予处罚。</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4.确因工作需要，</w:t>
      </w:r>
      <w:r>
        <w:rPr>
          <w:rFonts w:hint="eastAsia" w:ascii="宋体" w:hAnsi="宋体" w:cs="宋体"/>
          <w:color w:val="auto"/>
          <w:szCs w:val="21"/>
          <w:highlight w:val="none"/>
          <w:lang w:eastAsia="zh-CN"/>
        </w:rPr>
        <w:t>甲方</w:t>
      </w:r>
      <w:r>
        <w:rPr>
          <w:rFonts w:ascii="宋体" w:hAnsi="宋体" w:cs="宋体"/>
          <w:color w:val="auto"/>
          <w:szCs w:val="21"/>
          <w:highlight w:val="none"/>
        </w:rPr>
        <w:t>有权提出本合同范围以外的相关工作内容，</w:t>
      </w:r>
      <w:r>
        <w:rPr>
          <w:rFonts w:hint="eastAsia" w:ascii="宋体" w:hAnsi="宋体" w:cs="宋体"/>
          <w:color w:val="auto"/>
          <w:szCs w:val="21"/>
          <w:highlight w:val="none"/>
        </w:rPr>
        <w:t>经双方友好协商的前提下，</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可配合</w:t>
      </w:r>
      <w:r>
        <w:rPr>
          <w:rFonts w:ascii="宋体" w:hAnsi="宋体" w:cs="宋体"/>
          <w:color w:val="auto"/>
          <w:szCs w:val="21"/>
          <w:highlight w:val="none"/>
        </w:rPr>
        <w:t>执行，所发生费用，由双方协商解决。</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5.在合同有效期内，</w:t>
      </w:r>
      <w:r>
        <w:rPr>
          <w:rFonts w:hint="eastAsia" w:ascii="宋体" w:hAnsi="宋体" w:cs="宋体"/>
          <w:color w:val="auto"/>
          <w:szCs w:val="21"/>
          <w:highlight w:val="none"/>
          <w:lang w:eastAsia="zh-CN"/>
        </w:rPr>
        <w:t>甲方</w:t>
      </w:r>
      <w:r>
        <w:rPr>
          <w:rFonts w:ascii="宋体" w:hAnsi="宋体" w:cs="宋体"/>
          <w:color w:val="auto"/>
          <w:szCs w:val="21"/>
          <w:highlight w:val="none"/>
        </w:rPr>
        <w:t>应当履行合同约定的义务，如有违反，则应当承担相应的违约责任。</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lang w:eastAsia="zh-CN"/>
        </w:rPr>
        <w:t>甲方</w:t>
      </w:r>
      <w:r>
        <w:rPr>
          <w:rFonts w:ascii="宋体" w:hAnsi="宋体" w:cs="宋体"/>
          <w:color w:val="auto"/>
          <w:szCs w:val="21"/>
          <w:highlight w:val="none"/>
        </w:rPr>
        <w:t>应维护</w:t>
      </w:r>
      <w:r>
        <w:rPr>
          <w:rFonts w:hint="eastAsia" w:ascii="宋体" w:hAnsi="宋体" w:cs="宋体"/>
          <w:color w:val="auto"/>
          <w:szCs w:val="21"/>
          <w:highlight w:val="none"/>
          <w:lang w:eastAsia="zh-CN"/>
        </w:rPr>
        <w:t>乙方</w:t>
      </w:r>
      <w:r>
        <w:rPr>
          <w:rFonts w:ascii="宋体" w:hAnsi="宋体" w:cs="宋体"/>
          <w:color w:val="auto"/>
          <w:szCs w:val="21"/>
          <w:highlight w:val="none"/>
        </w:rPr>
        <w:t>的成果，保护</w:t>
      </w:r>
      <w:r>
        <w:rPr>
          <w:rFonts w:hint="eastAsia" w:ascii="宋体" w:hAnsi="宋体" w:cs="宋体"/>
          <w:color w:val="auto"/>
          <w:szCs w:val="21"/>
          <w:highlight w:val="none"/>
          <w:lang w:eastAsia="zh-CN"/>
        </w:rPr>
        <w:t>乙方</w:t>
      </w:r>
      <w:r>
        <w:rPr>
          <w:rFonts w:ascii="宋体" w:hAnsi="宋体" w:cs="宋体"/>
          <w:color w:val="auto"/>
          <w:szCs w:val="21"/>
          <w:highlight w:val="none"/>
        </w:rPr>
        <w:t>的知识产权，不能擅自修改文件，不得将成果转让给与该项目无关的第三方使用。</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7.按合同规定支付合同费用。</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8.</w:t>
      </w:r>
      <w:r>
        <w:rPr>
          <w:rFonts w:hint="eastAsia" w:ascii="宋体" w:hAnsi="宋体" w:cs="宋体"/>
          <w:color w:val="auto"/>
          <w:szCs w:val="21"/>
          <w:highlight w:val="none"/>
          <w:lang w:eastAsia="zh-CN"/>
        </w:rPr>
        <w:t>甲方</w:t>
      </w:r>
      <w:r>
        <w:rPr>
          <w:rFonts w:ascii="宋体" w:hAnsi="宋体" w:cs="宋体"/>
          <w:color w:val="auto"/>
          <w:szCs w:val="21"/>
          <w:highlight w:val="none"/>
        </w:rPr>
        <w:t>对</w:t>
      </w:r>
      <w:r>
        <w:rPr>
          <w:rFonts w:hint="eastAsia" w:ascii="宋体" w:hAnsi="宋体" w:cs="宋体"/>
          <w:color w:val="auto"/>
          <w:szCs w:val="21"/>
          <w:highlight w:val="none"/>
        </w:rPr>
        <w:t>工作</w:t>
      </w:r>
      <w:r>
        <w:rPr>
          <w:rFonts w:ascii="宋体" w:hAnsi="宋体" w:cs="宋体"/>
          <w:color w:val="auto"/>
          <w:szCs w:val="21"/>
          <w:highlight w:val="none"/>
        </w:rPr>
        <w:t>过程中的决策、控制、实施等环节实行全面管理，协调和监督调查工作开展，进行中间检查，组织成果评审。</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9.审查</w:t>
      </w:r>
      <w:r>
        <w:rPr>
          <w:rFonts w:hint="eastAsia" w:ascii="宋体" w:hAnsi="宋体" w:cs="宋体"/>
          <w:color w:val="auto"/>
          <w:szCs w:val="21"/>
          <w:highlight w:val="none"/>
          <w:lang w:eastAsia="zh-CN"/>
        </w:rPr>
        <w:t>乙方</w:t>
      </w:r>
      <w:r>
        <w:rPr>
          <w:rFonts w:ascii="宋体" w:hAnsi="宋体" w:cs="宋体"/>
          <w:color w:val="auto"/>
          <w:szCs w:val="21"/>
          <w:highlight w:val="none"/>
        </w:rPr>
        <w:t>编制的相关文本及技术文件。</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10.</w:t>
      </w:r>
      <w:r>
        <w:rPr>
          <w:rFonts w:hint="eastAsia" w:ascii="宋体" w:hAnsi="宋体" w:cs="宋体"/>
          <w:color w:val="auto"/>
          <w:szCs w:val="21"/>
          <w:highlight w:val="none"/>
          <w:lang w:eastAsia="zh-CN"/>
        </w:rPr>
        <w:t>甲方</w:t>
      </w:r>
      <w:r>
        <w:rPr>
          <w:rFonts w:ascii="宋体" w:hAnsi="宋体" w:cs="宋体"/>
          <w:color w:val="auto"/>
          <w:szCs w:val="21"/>
          <w:highlight w:val="none"/>
        </w:rPr>
        <w:t>负责组织评审和确认成果及相关方案，</w:t>
      </w:r>
      <w:r>
        <w:rPr>
          <w:rFonts w:hint="eastAsia" w:ascii="宋体" w:hAnsi="宋体" w:cs="宋体"/>
          <w:color w:val="auto"/>
          <w:szCs w:val="21"/>
          <w:highlight w:val="none"/>
          <w:lang w:eastAsia="zh-CN"/>
        </w:rPr>
        <w:t>甲方</w:t>
      </w:r>
      <w:r>
        <w:rPr>
          <w:rFonts w:ascii="宋体" w:hAnsi="宋体" w:cs="宋体"/>
          <w:color w:val="auto"/>
          <w:szCs w:val="21"/>
          <w:highlight w:val="none"/>
        </w:rPr>
        <w:t>接到编制人交付的相关工作文本后，应及时组织评审，并将评审意见以书面方式通知</w:t>
      </w:r>
      <w:r>
        <w:rPr>
          <w:rFonts w:hint="eastAsia" w:ascii="宋体" w:hAnsi="宋体" w:cs="宋体"/>
          <w:color w:val="auto"/>
          <w:szCs w:val="21"/>
          <w:highlight w:val="none"/>
          <w:lang w:eastAsia="zh-CN"/>
        </w:rPr>
        <w:t>乙方</w:t>
      </w:r>
      <w:r>
        <w:rPr>
          <w:rFonts w:ascii="宋体" w:hAnsi="宋体" w:cs="宋体"/>
          <w:color w:val="auto"/>
          <w:szCs w:val="21"/>
          <w:highlight w:val="none"/>
        </w:rPr>
        <w:t>。</w:t>
      </w:r>
    </w:p>
    <w:p>
      <w:pPr>
        <w:keepNext w:val="0"/>
        <w:keepLines w:val="0"/>
        <w:pageBreakBefore w:val="0"/>
        <w:widowControl w:val="0"/>
        <w:kinsoku/>
        <w:overflowPunct/>
        <w:topLinePunct w:val="0"/>
        <w:autoSpaceDE/>
        <w:autoSpaceDN/>
        <w:bidi w:val="0"/>
        <w:spacing w:line="360" w:lineRule="auto"/>
        <w:ind w:firstLine="422" w:firstLineChars="200"/>
        <w:textAlignment w:val="auto"/>
        <w:rPr>
          <w:rFonts w:ascii="宋体" w:hAnsi="宋体" w:cs="宋体"/>
          <w:b w:val="0"/>
          <w:bCs/>
          <w:color w:val="auto"/>
          <w:szCs w:val="21"/>
          <w:highlight w:val="none"/>
        </w:rPr>
      </w:pPr>
      <w:r>
        <w:rPr>
          <w:rFonts w:ascii="宋体" w:hAnsi="宋体" w:cs="宋体"/>
          <w:b/>
          <w:bCs w:val="0"/>
          <w:color w:val="auto"/>
          <w:szCs w:val="21"/>
          <w:highlight w:val="none"/>
        </w:rPr>
        <w:t>四、</w:t>
      </w:r>
      <w:r>
        <w:rPr>
          <w:rFonts w:hint="eastAsia" w:ascii="宋体" w:hAnsi="宋体" w:cs="宋体"/>
          <w:b/>
          <w:bCs w:val="0"/>
          <w:color w:val="auto"/>
          <w:szCs w:val="21"/>
          <w:highlight w:val="none"/>
          <w:lang w:eastAsia="zh-CN"/>
        </w:rPr>
        <w:t>乙方</w:t>
      </w:r>
      <w:r>
        <w:rPr>
          <w:rFonts w:ascii="宋体" w:hAnsi="宋体" w:cs="宋体"/>
          <w:b/>
          <w:bCs w:val="0"/>
          <w:color w:val="auto"/>
          <w:szCs w:val="21"/>
          <w:highlight w:val="none"/>
        </w:rPr>
        <w:t>的权利、义务和责任：</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1.有权按合同约定提出本项目经费支付申请。</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2.根据工作需要，在合同规定的由</w:t>
      </w:r>
      <w:r>
        <w:rPr>
          <w:rFonts w:hint="eastAsia" w:ascii="宋体" w:hAnsi="宋体" w:cs="宋体"/>
          <w:color w:val="auto"/>
          <w:szCs w:val="21"/>
          <w:highlight w:val="none"/>
          <w:lang w:eastAsia="zh-CN"/>
        </w:rPr>
        <w:t>甲方</w:t>
      </w:r>
      <w:r>
        <w:rPr>
          <w:rFonts w:ascii="宋体" w:hAnsi="宋体" w:cs="宋体"/>
          <w:color w:val="auto"/>
          <w:szCs w:val="21"/>
          <w:highlight w:val="none"/>
        </w:rPr>
        <w:t>提供的资料范围内，</w:t>
      </w:r>
      <w:r>
        <w:rPr>
          <w:rFonts w:hint="eastAsia" w:ascii="宋体" w:hAnsi="宋体" w:cs="宋体"/>
          <w:color w:val="auto"/>
          <w:szCs w:val="21"/>
          <w:highlight w:val="none"/>
          <w:lang w:eastAsia="zh-CN"/>
        </w:rPr>
        <w:t>乙方</w:t>
      </w:r>
      <w:r>
        <w:rPr>
          <w:rFonts w:ascii="宋体" w:hAnsi="宋体" w:cs="宋体"/>
          <w:color w:val="auto"/>
          <w:szCs w:val="21"/>
          <w:highlight w:val="none"/>
        </w:rPr>
        <w:t>有权要求</w:t>
      </w:r>
      <w:r>
        <w:rPr>
          <w:rFonts w:hint="eastAsia" w:ascii="宋体" w:hAnsi="宋体" w:cs="宋体"/>
          <w:color w:val="auto"/>
          <w:szCs w:val="21"/>
          <w:highlight w:val="none"/>
          <w:lang w:eastAsia="zh-CN"/>
        </w:rPr>
        <w:t>甲方</w:t>
      </w:r>
      <w:r>
        <w:rPr>
          <w:rFonts w:ascii="宋体" w:hAnsi="宋体" w:cs="宋体"/>
          <w:color w:val="auto"/>
          <w:szCs w:val="21"/>
          <w:highlight w:val="none"/>
        </w:rPr>
        <w:t>提供相关资料。</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3.有义务配合</w:t>
      </w:r>
      <w:r>
        <w:rPr>
          <w:rFonts w:hint="eastAsia" w:ascii="宋体" w:hAnsi="宋体" w:cs="宋体"/>
          <w:color w:val="auto"/>
          <w:szCs w:val="21"/>
          <w:highlight w:val="none"/>
          <w:lang w:eastAsia="zh-CN"/>
        </w:rPr>
        <w:t>甲方</w:t>
      </w:r>
      <w:r>
        <w:rPr>
          <w:rFonts w:ascii="宋体" w:hAnsi="宋体" w:cs="宋体"/>
          <w:color w:val="auto"/>
          <w:szCs w:val="21"/>
          <w:highlight w:val="none"/>
        </w:rPr>
        <w:t>完成</w:t>
      </w:r>
      <w:r>
        <w:rPr>
          <w:rFonts w:hint="eastAsia" w:ascii="宋体" w:hAnsi="宋体" w:cs="宋体"/>
          <w:color w:val="auto"/>
          <w:szCs w:val="21"/>
          <w:highlight w:val="none"/>
        </w:rPr>
        <w:t>与该项目相关的</w:t>
      </w:r>
      <w:r>
        <w:rPr>
          <w:rFonts w:ascii="宋体" w:hAnsi="宋体" w:cs="宋体"/>
          <w:color w:val="auto"/>
          <w:szCs w:val="21"/>
          <w:highlight w:val="none"/>
        </w:rPr>
        <w:t>审查工作。</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4.有义务提供</w:t>
      </w:r>
      <w:r>
        <w:rPr>
          <w:rFonts w:hint="eastAsia" w:ascii="宋体" w:hAnsi="宋体" w:cs="宋体"/>
          <w:color w:val="auto"/>
          <w:szCs w:val="21"/>
          <w:highlight w:val="none"/>
        </w:rPr>
        <w:t>与该项目</w:t>
      </w:r>
      <w:r>
        <w:rPr>
          <w:rFonts w:ascii="宋体" w:hAnsi="宋体" w:cs="宋体"/>
          <w:color w:val="auto"/>
          <w:szCs w:val="21"/>
          <w:highlight w:val="none"/>
        </w:rPr>
        <w:t>相关</w:t>
      </w:r>
      <w:r>
        <w:rPr>
          <w:rFonts w:hint="eastAsia" w:ascii="宋体" w:hAnsi="宋体" w:cs="宋体"/>
          <w:color w:val="auto"/>
          <w:szCs w:val="21"/>
          <w:highlight w:val="none"/>
        </w:rPr>
        <w:t>的</w:t>
      </w:r>
      <w:r>
        <w:rPr>
          <w:rFonts w:ascii="宋体" w:hAnsi="宋体" w:cs="宋体"/>
          <w:color w:val="auto"/>
          <w:szCs w:val="21"/>
          <w:highlight w:val="none"/>
        </w:rPr>
        <w:t>咨询服务。</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5.有义务满足</w:t>
      </w:r>
      <w:r>
        <w:rPr>
          <w:rFonts w:hint="eastAsia" w:ascii="宋体" w:hAnsi="宋体" w:cs="宋体"/>
          <w:color w:val="auto"/>
          <w:szCs w:val="21"/>
          <w:highlight w:val="none"/>
          <w:lang w:eastAsia="zh-CN"/>
        </w:rPr>
        <w:t>甲方</w:t>
      </w:r>
      <w:r>
        <w:rPr>
          <w:rFonts w:ascii="宋体" w:hAnsi="宋体" w:cs="宋体"/>
          <w:color w:val="auto"/>
          <w:szCs w:val="21"/>
          <w:highlight w:val="none"/>
        </w:rPr>
        <w:t>提出的</w:t>
      </w:r>
      <w:r>
        <w:rPr>
          <w:rFonts w:hint="eastAsia" w:ascii="宋体" w:hAnsi="宋体" w:cs="宋体"/>
          <w:color w:val="auto"/>
          <w:szCs w:val="21"/>
          <w:highlight w:val="none"/>
        </w:rPr>
        <w:t>与该项目相关的</w:t>
      </w:r>
      <w:r>
        <w:rPr>
          <w:rFonts w:ascii="宋体" w:hAnsi="宋体" w:cs="宋体"/>
          <w:color w:val="auto"/>
          <w:szCs w:val="21"/>
          <w:highlight w:val="none"/>
        </w:rPr>
        <w:t>合理工作要求。</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lang w:eastAsia="zh-CN"/>
        </w:rPr>
        <w:t>乙方</w:t>
      </w:r>
      <w:r>
        <w:rPr>
          <w:rFonts w:ascii="宋体" w:hAnsi="宋体" w:cs="宋体"/>
          <w:color w:val="auto"/>
          <w:szCs w:val="21"/>
          <w:highlight w:val="none"/>
        </w:rPr>
        <w:t>须建立完善的组织，建立项目人员日常工作程序,配备足够的人员并保持基本稳定。</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lang w:eastAsia="zh-CN"/>
        </w:rPr>
        <w:t>乙方</w:t>
      </w:r>
      <w:r>
        <w:rPr>
          <w:rFonts w:ascii="宋体" w:hAnsi="宋体" w:cs="宋体"/>
          <w:color w:val="auto"/>
          <w:szCs w:val="21"/>
          <w:highlight w:val="none"/>
        </w:rPr>
        <w:t>应建立各项管理制度，</w:t>
      </w:r>
      <w:r>
        <w:rPr>
          <w:rFonts w:hint="eastAsia" w:ascii="宋体" w:hAnsi="宋体" w:cs="宋体"/>
          <w:color w:val="auto"/>
          <w:szCs w:val="21"/>
          <w:highlight w:val="none"/>
          <w:lang w:eastAsia="zh-CN"/>
        </w:rPr>
        <w:t>乙方</w:t>
      </w:r>
      <w:r>
        <w:rPr>
          <w:rFonts w:ascii="宋体" w:hAnsi="宋体" w:cs="宋体"/>
          <w:color w:val="auto"/>
          <w:szCs w:val="21"/>
          <w:highlight w:val="none"/>
        </w:rPr>
        <w:t>制定的管理制度必须与</w:t>
      </w:r>
      <w:r>
        <w:rPr>
          <w:rFonts w:hint="eastAsia" w:ascii="宋体" w:hAnsi="宋体" w:cs="宋体"/>
          <w:color w:val="auto"/>
          <w:szCs w:val="21"/>
          <w:highlight w:val="none"/>
          <w:lang w:eastAsia="zh-CN"/>
        </w:rPr>
        <w:t>甲方</w:t>
      </w:r>
      <w:r>
        <w:rPr>
          <w:rFonts w:ascii="宋体" w:hAnsi="宋体" w:cs="宋体"/>
          <w:color w:val="auto"/>
          <w:szCs w:val="21"/>
          <w:highlight w:val="none"/>
        </w:rPr>
        <w:t>有关管理制度相适应，确保</w:t>
      </w:r>
      <w:r>
        <w:rPr>
          <w:rFonts w:hint="eastAsia" w:ascii="宋体" w:hAnsi="宋体" w:cs="宋体"/>
          <w:color w:val="auto"/>
          <w:szCs w:val="21"/>
          <w:highlight w:val="none"/>
          <w:lang w:eastAsia="zh-CN"/>
        </w:rPr>
        <w:t>乙方</w:t>
      </w:r>
      <w:r>
        <w:rPr>
          <w:rFonts w:ascii="宋体" w:hAnsi="宋体" w:cs="宋体"/>
          <w:color w:val="auto"/>
          <w:szCs w:val="21"/>
          <w:highlight w:val="none"/>
        </w:rPr>
        <w:t>工作与</w:t>
      </w:r>
      <w:r>
        <w:rPr>
          <w:rFonts w:hint="eastAsia" w:ascii="宋体" w:hAnsi="宋体" w:cs="宋体"/>
          <w:color w:val="auto"/>
          <w:szCs w:val="21"/>
          <w:highlight w:val="none"/>
          <w:lang w:eastAsia="zh-CN"/>
        </w:rPr>
        <w:t>甲方</w:t>
      </w:r>
      <w:r>
        <w:rPr>
          <w:rFonts w:ascii="宋体" w:hAnsi="宋体" w:cs="宋体"/>
          <w:color w:val="auto"/>
          <w:szCs w:val="21"/>
          <w:highlight w:val="none"/>
        </w:rPr>
        <w:t>管理的协调一致。</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8.</w:t>
      </w:r>
      <w:r>
        <w:rPr>
          <w:rFonts w:hint="eastAsia" w:hAnsi="宋体" w:cs="宋体"/>
          <w:color w:val="auto"/>
          <w:szCs w:val="21"/>
          <w:highlight w:val="none"/>
          <w:lang w:eastAsia="zh-CN"/>
        </w:rPr>
        <w:t>乙方</w:t>
      </w:r>
      <w:r>
        <w:rPr>
          <w:rFonts w:ascii="宋体" w:hAnsi="宋体" w:cs="宋体"/>
          <w:color w:val="auto"/>
          <w:szCs w:val="21"/>
          <w:highlight w:val="none"/>
        </w:rPr>
        <w:t>有技术保密的责任和义务，对于</w:t>
      </w:r>
      <w:r>
        <w:rPr>
          <w:rFonts w:hint="eastAsia" w:ascii="宋体" w:hAnsi="宋体" w:cs="宋体"/>
          <w:color w:val="auto"/>
          <w:szCs w:val="21"/>
          <w:highlight w:val="none"/>
        </w:rPr>
        <w:t>工作</w:t>
      </w:r>
      <w:r>
        <w:rPr>
          <w:rFonts w:ascii="宋体" w:hAnsi="宋体" w:cs="宋体"/>
          <w:color w:val="auto"/>
          <w:szCs w:val="21"/>
          <w:highlight w:val="none"/>
        </w:rPr>
        <w:t>的过程文件、研究专题、成果文件等，</w:t>
      </w:r>
      <w:r>
        <w:rPr>
          <w:rFonts w:hint="eastAsia" w:ascii="宋体" w:hAnsi="宋体" w:cs="宋体"/>
          <w:color w:val="auto"/>
          <w:szCs w:val="21"/>
          <w:highlight w:val="none"/>
        </w:rPr>
        <w:t>除为了完成本项目以外，</w:t>
      </w:r>
      <w:r>
        <w:rPr>
          <w:rFonts w:ascii="宋体" w:hAnsi="宋体" w:cs="宋体"/>
          <w:color w:val="auto"/>
          <w:szCs w:val="21"/>
          <w:highlight w:val="none"/>
        </w:rPr>
        <w:t>未经</w:t>
      </w:r>
      <w:r>
        <w:rPr>
          <w:rFonts w:hint="eastAsia" w:hAnsi="宋体" w:cs="宋体"/>
          <w:color w:val="auto"/>
          <w:szCs w:val="21"/>
          <w:highlight w:val="none"/>
          <w:lang w:eastAsia="zh-CN"/>
        </w:rPr>
        <w:t>甲方</w:t>
      </w:r>
      <w:r>
        <w:rPr>
          <w:rFonts w:hint="eastAsia" w:ascii="宋体" w:hAnsi="宋体" w:cs="宋体"/>
          <w:color w:val="auto"/>
          <w:szCs w:val="21"/>
          <w:highlight w:val="none"/>
        </w:rPr>
        <w:t>书面</w:t>
      </w:r>
      <w:r>
        <w:rPr>
          <w:rFonts w:ascii="宋体" w:hAnsi="宋体" w:cs="宋体"/>
          <w:color w:val="auto"/>
          <w:szCs w:val="21"/>
          <w:highlight w:val="none"/>
        </w:rPr>
        <w:t>同意不得泄露或转让给第三方，如发生此类问题，</w:t>
      </w:r>
      <w:r>
        <w:rPr>
          <w:rFonts w:hint="eastAsia" w:hAnsi="宋体" w:cs="宋体"/>
          <w:color w:val="auto"/>
          <w:szCs w:val="21"/>
          <w:highlight w:val="none"/>
          <w:lang w:eastAsia="zh-CN"/>
        </w:rPr>
        <w:t>乙方</w:t>
      </w:r>
      <w:r>
        <w:rPr>
          <w:rFonts w:ascii="宋体" w:hAnsi="宋体" w:cs="宋体"/>
          <w:color w:val="auto"/>
          <w:szCs w:val="21"/>
          <w:highlight w:val="none"/>
        </w:rPr>
        <w:t>承担相应的</w:t>
      </w:r>
      <w:r>
        <w:rPr>
          <w:rFonts w:hint="eastAsia" w:ascii="宋体" w:hAnsi="宋体" w:cs="宋体"/>
          <w:color w:val="auto"/>
          <w:szCs w:val="21"/>
          <w:highlight w:val="none"/>
        </w:rPr>
        <w:t>违约</w:t>
      </w:r>
      <w:r>
        <w:rPr>
          <w:rFonts w:ascii="宋体" w:hAnsi="宋体" w:cs="宋体"/>
          <w:color w:val="auto"/>
          <w:szCs w:val="21"/>
          <w:highlight w:val="none"/>
        </w:rPr>
        <w:t>责任。</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9</w:t>
      </w:r>
      <w:r>
        <w:rPr>
          <w:rFonts w:ascii="宋体" w:hAnsi="宋体" w:eastAsia="宋体" w:cs="宋体"/>
          <w:color w:val="auto"/>
          <w:szCs w:val="21"/>
          <w:highlight w:val="none"/>
        </w:rPr>
        <w:t>.按合同约定提交成果。</w:t>
      </w:r>
    </w:p>
    <w:p>
      <w:pPr>
        <w:keepNext w:val="0"/>
        <w:keepLines w:val="0"/>
        <w:pageBreakBefore w:val="0"/>
        <w:widowControl w:val="0"/>
        <w:kinsoku/>
        <w:overflowPunct/>
        <w:topLinePunct w:val="0"/>
        <w:autoSpaceDE/>
        <w:autoSpaceDN/>
        <w:bidi w:val="0"/>
        <w:spacing w:line="360" w:lineRule="auto"/>
        <w:ind w:firstLine="422" w:firstLineChars="200"/>
        <w:textAlignment w:val="auto"/>
        <w:rPr>
          <w:rFonts w:hint="eastAsia" w:ascii="宋体" w:hAnsi="宋体" w:eastAsia="宋体" w:cs="宋体"/>
          <w:b/>
          <w:bCs/>
          <w:color w:val="auto"/>
          <w:szCs w:val="21"/>
          <w:highlight w:val="none"/>
        </w:rPr>
      </w:pPr>
      <w:bookmarkStart w:id="24" w:name="_Toc450035195"/>
      <w:bookmarkStart w:id="25" w:name="_Toc449350764"/>
      <w:r>
        <w:rPr>
          <w:rFonts w:hint="eastAsia" w:ascii="宋体" w:hAnsi="宋体" w:eastAsia="宋体" w:cs="宋体"/>
          <w:b/>
          <w:bCs/>
          <w:color w:val="auto"/>
          <w:szCs w:val="21"/>
          <w:highlight w:val="none"/>
          <w:lang w:eastAsia="zh-CN"/>
        </w:rPr>
        <w:t>五</w:t>
      </w:r>
      <w:r>
        <w:rPr>
          <w:rFonts w:hint="eastAsia" w:ascii="宋体" w:hAnsi="宋体" w:eastAsia="宋体" w:cs="宋体"/>
          <w:b/>
          <w:bCs/>
          <w:color w:val="auto"/>
          <w:szCs w:val="21"/>
          <w:highlight w:val="none"/>
        </w:rPr>
        <w:t>、</w:t>
      </w:r>
      <w:bookmarkEnd w:id="24"/>
      <w:bookmarkEnd w:id="25"/>
      <w:r>
        <w:rPr>
          <w:rFonts w:hint="eastAsia" w:ascii="宋体" w:hAnsi="宋体" w:eastAsia="宋体" w:cs="宋体"/>
          <w:b/>
          <w:bCs/>
          <w:color w:val="auto"/>
          <w:szCs w:val="21"/>
          <w:highlight w:val="none"/>
        </w:rPr>
        <w:t>知识产权及保密要求</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乙方应保证提供服务过程中不会侵犯任何第三方的知识产权。</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本次项目成果所有权和使用权均属于甲方。未经甲方书面同意，乙方不得向任何单位和个人转让和使用本项目成果，否则承担由此产生的一切法律和经济责任。</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与本项目有关的资料及数据成果中涉及国家秘密的内容，均要求按照《国家保密法》及相关法律法规执行。</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应当遵守相关保密法律、法规，确保</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和其他相关方的信息安全。</w:t>
      </w:r>
    </w:p>
    <w:p>
      <w:pPr>
        <w:keepNext w:val="0"/>
        <w:keepLines w:val="0"/>
        <w:pageBreakBefore w:val="0"/>
        <w:widowControl w:val="0"/>
        <w:kinsoku/>
        <w:overflowPunct/>
        <w:topLinePunct w:val="0"/>
        <w:autoSpaceDE/>
        <w:autoSpaceDN/>
        <w:bidi w:val="0"/>
        <w:spacing w:line="360" w:lineRule="auto"/>
        <w:ind w:firstLine="422" w:firstLineChars="200"/>
        <w:textAlignment w:val="auto"/>
        <w:rPr>
          <w:rFonts w:hint="eastAsia" w:ascii="宋体" w:hAnsi="宋体" w:eastAsia="宋体" w:cs="宋体"/>
          <w:b/>
          <w:bCs/>
          <w:color w:val="auto"/>
          <w:szCs w:val="21"/>
          <w:highlight w:val="none"/>
        </w:rPr>
      </w:pPr>
      <w:bookmarkStart w:id="26" w:name="_Toc449350765"/>
      <w:bookmarkStart w:id="27" w:name="_Toc450035196"/>
      <w:r>
        <w:rPr>
          <w:rFonts w:hint="eastAsia" w:ascii="宋体" w:hAnsi="宋体" w:eastAsia="宋体" w:cs="宋体"/>
          <w:b/>
          <w:bCs/>
          <w:color w:val="auto"/>
          <w:szCs w:val="21"/>
          <w:highlight w:val="none"/>
          <w:lang w:eastAsia="zh-CN"/>
        </w:rPr>
        <w:t>六</w:t>
      </w:r>
      <w:r>
        <w:rPr>
          <w:rFonts w:hint="eastAsia" w:ascii="宋体" w:hAnsi="宋体" w:eastAsia="宋体" w:cs="宋体"/>
          <w:b/>
          <w:bCs/>
          <w:color w:val="auto"/>
          <w:szCs w:val="21"/>
          <w:highlight w:val="none"/>
        </w:rPr>
        <w:t>、验收评价方法</w:t>
      </w:r>
      <w:bookmarkEnd w:id="26"/>
      <w:bookmarkEnd w:id="27"/>
    </w:p>
    <w:p>
      <w:pPr>
        <w:keepNext w:val="0"/>
        <w:keepLines w:val="0"/>
        <w:pageBreakBefore w:val="0"/>
        <w:widowControl w:val="0"/>
        <w:kinsoku/>
        <w:overflowPunct/>
        <w:topLinePunct w:val="0"/>
        <w:autoSpaceDE/>
        <w:autoSpaceDN/>
        <w:bidi w:val="0"/>
        <w:spacing w:line="360" w:lineRule="auto"/>
        <w:ind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zCs w:val="21"/>
          <w:highlight w:val="none"/>
        </w:rPr>
        <w:t>1.乙方应具备向社会提供海洋环</w:t>
      </w:r>
      <w:r>
        <w:rPr>
          <w:rFonts w:hint="eastAsia" w:ascii="宋体" w:hAnsi="宋体" w:eastAsia="宋体" w:cs="宋体"/>
          <w:color w:val="auto"/>
          <w:spacing w:val="0"/>
          <w:sz w:val="21"/>
          <w:szCs w:val="21"/>
          <w:highlight w:val="none"/>
        </w:rPr>
        <w:t>境监测、调查数据所需的资质。</w:t>
      </w:r>
    </w:p>
    <w:p>
      <w:pPr>
        <w:pStyle w:val="14"/>
        <w:keepNext w:val="0"/>
        <w:keepLines w:val="0"/>
        <w:pageBreakBefore w:val="0"/>
        <w:widowControl w:val="0"/>
        <w:kinsoku/>
        <w:overflowPunct/>
        <w:topLinePunct w:val="0"/>
        <w:autoSpaceDE/>
        <w:autoSpaceDN/>
        <w:bidi w:val="0"/>
        <w:spacing w:line="360" w:lineRule="auto"/>
        <w:ind w:left="0" w:leftChars="0" w:firstLine="420" w:firstLineChars="200"/>
        <w:textAlignment w:val="auto"/>
        <w:outlineLvl w:val="0"/>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2.乙方出具的监测报告应通过专家评审，并符合</w:t>
      </w:r>
      <w:r>
        <w:rPr>
          <w:rFonts w:hint="eastAsia" w:ascii="宋体" w:hAnsi="宋体" w:eastAsia="宋体" w:cs="宋体"/>
          <w:color w:val="auto"/>
          <w:spacing w:val="0"/>
          <w:sz w:val="21"/>
          <w:szCs w:val="21"/>
          <w:highlight w:val="none"/>
          <w:lang w:eastAsia="zh-CN"/>
        </w:rPr>
        <w:t>行政</w:t>
      </w:r>
      <w:r>
        <w:rPr>
          <w:rFonts w:hint="eastAsia" w:ascii="宋体" w:hAnsi="宋体" w:eastAsia="宋体" w:cs="宋体"/>
          <w:color w:val="auto"/>
          <w:spacing w:val="0"/>
          <w:sz w:val="21"/>
          <w:szCs w:val="21"/>
          <w:highlight w:val="none"/>
        </w:rPr>
        <w:t>主管部门的验收要求，同时要积极配合做好验收工作。</w:t>
      </w:r>
    </w:p>
    <w:p>
      <w:pPr>
        <w:pStyle w:val="14"/>
        <w:keepNext w:val="0"/>
        <w:keepLines w:val="0"/>
        <w:pageBreakBefore w:val="0"/>
        <w:widowControl w:val="0"/>
        <w:kinsoku/>
        <w:overflowPunct/>
        <w:topLinePunct w:val="0"/>
        <w:autoSpaceDE/>
        <w:autoSpaceDN/>
        <w:bidi w:val="0"/>
        <w:spacing w:line="360" w:lineRule="auto"/>
        <w:ind w:left="0" w:leftChars="0" w:firstLine="420" w:firstLineChars="200"/>
        <w:textAlignment w:val="auto"/>
        <w:outlineLvl w:val="0"/>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3.乙方外业调查、内业分析及评价方法均严格按照有关规范执行。</w:t>
      </w:r>
    </w:p>
    <w:p>
      <w:pPr>
        <w:pStyle w:val="14"/>
        <w:keepNext w:val="0"/>
        <w:keepLines w:val="0"/>
        <w:pageBreakBefore w:val="0"/>
        <w:widowControl w:val="0"/>
        <w:kinsoku/>
        <w:overflowPunct/>
        <w:topLinePunct w:val="0"/>
        <w:autoSpaceDE/>
        <w:autoSpaceDN/>
        <w:bidi w:val="0"/>
        <w:spacing w:line="360" w:lineRule="auto"/>
        <w:ind w:left="0" w:leftChars="0" w:firstLine="422" w:firstLineChars="200"/>
        <w:textAlignment w:val="auto"/>
        <w:rPr>
          <w:rFonts w:hint="eastAsia" w:ascii="宋体" w:hAnsi="宋体" w:eastAsia="宋体" w:cs="宋体"/>
          <w:b/>
          <w:bCs/>
          <w:color w:val="auto"/>
          <w:spacing w:val="0"/>
          <w:sz w:val="21"/>
          <w:szCs w:val="21"/>
          <w:highlight w:val="none"/>
        </w:rPr>
      </w:pPr>
      <w:r>
        <w:rPr>
          <w:rFonts w:hint="eastAsia" w:ascii="宋体" w:hAnsi="宋体" w:eastAsia="宋体" w:cs="宋体"/>
          <w:b/>
          <w:bCs/>
          <w:color w:val="auto"/>
          <w:spacing w:val="0"/>
          <w:sz w:val="21"/>
          <w:szCs w:val="21"/>
          <w:highlight w:val="none"/>
          <w:lang w:eastAsia="zh-CN"/>
        </w:rPr>
        <w:t>七</w:t>
      </w:r>
      <w:r>
        <w:rPr>
          <w:rFonts w:hint="eastAsia" w:ascii="宋体" w:hAnsi="宋体" w:eastAsia="宋体" w:cs="宋体"/>
          <w:b/>
          <w:bCs/>
          <w:color w:val="auto"/>
          <w:spacing w:val="0"/>
          <w:sz w:val="21"/>
          <w:szCs w:val="21"/>
          <w:highlight w:val="none"/>
        </w:rPr>
        <w:t>、报酬及其支付方式：</w:t>
      </w:r>
    </w:p>
    <w:p>
      <w:pPr>
        <w:pStyle w:val="14"/>
        <w:keepNext w:val="0"/>
        <w:keepLines w:val="0"/>
        <w:pageBreakBefore w:val="0"/>
        <w:widowControl w:val="0"/>
        <w:kinsoku/>
        <w:overflowPunct/>
        <w:topLinePunct w:val="0"/>
        <w:autoSpaceDE/>
        <w:autoSpaceDN/>
        <w:bidi w:val="0"/>
        <w:spacing w:line="360" w:lineRule="auto"/>
        <w:ind w:left="0" w:leftChars="0" w:firstLine="420" w:firstLineChars="200"/>
        <w:jc w:val="left"/>
        <w:textAlignment w:val="auto"/>
        <w:rPr>
          <w:rFonts w:hint="eastAsia" w:ascii="宋体" w:hAnsi="宋体" w:eastAsia="宋体" w:cs="宋体"/>
          <w:b/>
          <w:bCs/>
          <w:color w:val="auto"/>
          <w:spacing w:val="0"/>
          <w:sz w:val="21"/>
          <w:szCs w:val="21"/>
          <w:highlight w:val="none"/>
        </w:rPr>
      </w:pPr>
      <w:r>
        <w:rPr>
          <w:rFonts w:hint="eastAsia" w:ascii="宋体" w:hAnsi="宋体" w:eastAsia="宋体" w:cs="宋体"/>
          <w:color w:val="auto"/>
          <w:spacing w:val="0"/>
          <w:sz w:val="21"/>
          <w:szCs w:val="21"/>
          <w:highlight w:val="none"/>
        </w:rPr>
        <w:t>（一）本项目报酬（咨询经费）：</w:t>
      </w:r>
      <w:r>
        <w:rPr>
          <w:rFonts w:hint="eastAsia" w:ascii="宋体" w:hAnsi="宋体" w:eastAsia="宋体" w:cs="宋体"/>
          <w:b/>
          <w:color w:val="auto"/>
          <w:spacing w:val="0"/>
          <w:sz w:val="21"/>
          <w:szCs w:val="21"/>
          <w:highlight w:val="none"/>
        </w:rPr>
        <w:t>人民币</w:t>
      </w:r>
      <w:r>
        <w:rPr>
          <w:rFonts w:hint="eastAsia" w:ascii="宋体" w:hAnsi="宋体" w:eastAsia="宋体" w:cs="宋体"/>
          <w:b/>
          <w:color w:val="auto"/>
          <w:spacing w:val="0"/>
          <w:sz w:val="21"/>
          <w:szCs w:val="21"/>
          <w:highlight w:val="none"/>
          <w:u w:val="single"/>
        </w:rPr>
        <w:t xml:space="preserve">                </w:t>
      </w:r>
      <w:r>
        <w:rPr>
          <w:rFonts w:hint="eastAsia" w:ascii="宋体" w:hAnsi="宋体" w:eastAsia="宋体" w:cs="宋体"/>
          <w:b/>
          <w:color w:val="auto"/>
          <w:spacing w:val="0"/>
          <w:sz w:val="21"/>
          <w:szCs w:val="21"/>
          <w:highlight w:val="none"/>
        </w:rPr>
        <w:t>元</w:t>
      </w:r>
      <w:r>
        <w:rPr>
          <w:rFonts w:hint="eastAsia" w:ascii="宋体" w:hAnsi="宋体" w:eastAsia="宋体" w:cs="宋体"/>
          <w:b/>
          <w:bCs/>
          <w:color w:val="auto"/>
          <w:spacing w:val="0"/>
          <w:sz w:val="21"/>
          <w:szCs w:val="21"/>
          <w:highlight w:val="none"/>
        </w:rPr>
        <w:t>。费用</w:t>
      </w:r>
      <w:r>
        <w:rPr>
          <w:rFonts w:hint="eastAsia" w:ascii="宋体" w:hAnsi="宋体" w:eastAsia="宋体" w:cs="宋体"/>
          <w:b/>
          <w:color w:val="auto"/>
          <w:spacing w:val="0"/>
          <w:sz w:val="21"/>
          <w:szCs w:val="21"/>
          <w:highlight w:val="none"/>
        </w:rPr>
        <w:t>包括</w:t>
      </w:r>
      <w:r>
        <w:rPr>
          <w:rFonts w:hint="eastAsia" w:ascii="宋体" w:hAnsi="宋体" w:eastAsia="宋体" w:cs="宋体"/>
          <w:b/>
          <w:bCs/>
          <w:color w:val="auto"/>
          <w:spacing w:val="0"/>
          <w:sz w:val="21"/>
          <w:szCs w:val="21"/>
          <w:highlight w:val="none"/>
        </w:rPr>
        <w:t>人工费、监测设施费、消耗性材料费、临时设施费、交通费、监测设备折旧费等所有跟踪监测所需费用及监测相关报告编制费、监测验收现场会议费用（包括会务费、文本费、专家审查费等）、管理费、利润、税金等所有费用。</w:t>
      </w:r>
    </w:p>
    <w:p>
      <w:pPr>
        <w:pStyle w:val="14"/>
        <w:keepNext w:val="0"/>
        <w:keepLines w:val="0"/>
        <w:pageBreakBefore w:val="0"/>
        <w:widowControl w:val="0"/>
        <w:kinsoku/>
        <w:overflowPunct/>
        <w:topLinePunct w:val="0"/>
        <w:autoSpaceDE/>
        <w:autoSpaceDN/>
        <w:bidi w:val="0"/>
        <w:spacing w:line="360" w:lineRule="auto"/>
        <w:ind w:left="0" w:leftChars="0"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（二）支付方式（采用以下第</w:t>
      </w:r>
      <w:r>
        <w:rPr>
          <w:rFonts w:hint="eastAsia" w:hAnsi="宋体" w:eastAsia="宋体" w:cs="宋体"/>
          <w:color w:val="auto"/>
          <w:spacing w:val="0"/>
          <w:sz w:val="21"/>
          <w:szCs w:val="21"/>
          <w:highlight w:val="none"/>
          <w:u w:val="single"/>
          <w:lang w:val="en-US" w:eastAsia="zh-CN"/>
        </w:rPr>
        <w:t xml:space="preserve"> </w:t>
      </w:r>
      <w:r>
        <w:rPr>
          <w:rFonts w:hint="eastAsia" w:ascii="宋体" w:hAnsi="宋体" w:eastAsia="宋体" w:cs="宋体"/>
          <w:color w:val="auto"/>
          <w:spacing w:val="0"/>
          <w:sz w:val="21"/>
          <w:szCs w:val="21"/>
          <w:highlight w:val="none"/>
          <w:u w:val="single"/>
        </w:rPr>
        <w:t>②</w:t>
      </w:r>
      <w:r>
        <w:rPr>
          <w:rFonts w:hint="eastAsia" w:hAnsi="宋体" w:eastAsia="宋体" w:cs="宋体"/>
          <w:color w:val="auto"/>
          <w:spacing w:val="0"/>
          <w:sz w:val="21"/>
          <w:szCs w:val="21"/>
          <w:highlight w:val="none"/>
          <w:u w:val="single"/>
          <w:lang w:val="en-US" w:eastAsia="zh-CN"/>
        </w:rPr>
        <w:t xml:space="preserve"> </w:t>
      </w:r>
      <w:r>
        <w:rPr>
          <w:rFonts w:hint="eastAsia" w:ascii="宋体" w:hAnsi="宋体" w:eastAsia="宋体" w:cs="宋体"/>
          <w:color w:val="auto"/>
          <w:spacing w:val="0"/>
          <w:sz w:val="21"/>
          <w:szCs w:val="21"/>
          <w:highlight w:val="none"/>
        </w:rPr>
        <w:t>种方式）：</w:t>
      </w:r>
    </w:p>
    <w:p>
      <w:pPr>
        <w:pStyle w:val="14"/>
        <w:keepNext w:val="0"/>
        <w:keepLines w:val="0"/>
        <w:pageBreakBefore w:val="0"/>
        <w:widowControl w:val="0"/>
        <w:kinsoku/>
        <w:overflowPunct/>
        <w:topLinePunct w:val="0"/>
        <w:autoSpaceDE/>
        <w:autoSpaceDN/>
        <w:bidi w:val="0"/>
        <w:spacing w:line="360" w:lineRule="auto"/>
        <w:ind w:left="0" w:leftChars="0"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①一次支付：（/）</w:t>
      </w:r>
      <w:r>
        <w:rPr>
          <w:rFonts w:hint="eastAsia" w:ascii="宋体" w:hAnsi="宋体" w:eastAsia="宋体" w:cs="宋体"/>
          <w:bCs/>
          <w:iCs/>
          <w:color w:val="auto"/>
          <w:spacing w:val="0"/>
          <w:sz w:val="21"/>
          <w:szCs w:val="21"/>
          <w:highlight w:val="none"/>
        </w:rPr>
        <w:t>，</w:t>
      </w:r>
      <w:r>
        <w:rPr>
          <w:rFonts w:hint="eastAsia" w:ascii="宋体" w:hAnsi="宋体" w:eastAsia="宋体" w:cs="宋体"/>
          <w:color w:val="auto"/>
          <w:spacing w:val="0"/>
          <w:sz w:val="21"/>
          <w:szCs w:val="21"/>
          <w:highlight w:val="none"/>
        </w:rPr>
        <w:t>时间：（/）</w:t>
      </w:r>
    </w:p>
    <w:p>
      <w:pPr>
        <w:keepNext w:val="0"/>
        <w:keepLines w:val="0"/>
        <w:pageBreakBefore w:val="0"/>
        <w:widowControl w:val="0"/>
        <w:kinsoku/>
        <w:overflowPunct/>
        <w:topLinePunct w:val="0"/>
        <w:autoSpaceDE/>
        <w:autoSpaceDN/>
        <w:bidi w:val="0"/>
        <w:spacing w:line="360" w:lineRule="auto"/>
        <w:ind w:left="0" w:leftChars="0" w:firstLine="420" w:firstLineChars="200"/>
        <w:textAlignment w:val="auto"/>
        <w:rPr>
          <w:rFonts w:hint="eastAsia" w:ascii="宋体" w:hAnsi="宋体" w:eastAsia="宋体" w:cs="宋体"/>
          <w:b/>
          <w:bCs/>
          <w:color w:val="auto"/>
          <w:spacing w:val="0"/>
          <w:sz w:val="21"/>
          <w:szCs w:val="21"/>
          <w:highlight w:val="none"/>
          <w:u w:val="single"/>
        </w:rPr>
      </w:pPr>
      <w:r>
        <w:rPr>
          <w:rFonts w:hint="eastAsia" w:ascii="宋体" w:hAnsi="宋体" w:eastAsia="宋体" w:cs="宋体"/>
          <w:color w:val="auto"/>
          <w:spacing w:val="0"/>
          <w:sz w:val="21"/>
          <w:szCs w:val="21"/>
          <w:highlight w:val="none"/>
        </w:rPr>
        <w:t>②分期支付：</w:t>
      </w:r>
      <w:r>
        <w:rPr>
          <w:rFonts w:hint="eastAsia" w:ascii="宋体" w:hAnsi="宋体" w:eastAsia="宋体" w:cs="宋体"/>
          <w:b/>
          <w:bCs/>
          <w:color w:val="auto"/>
          <w:spacing w:val="0"/>
          <w:sz w:val="21"/>
          <w:szCs w:val="21"/>
          <w:highlight w:val="none"/>
          <w:u w:val="single"/>
        </w:rPr>
        <w:t>合同签订后15个工作日内支付合同价款的</w:t>
      </w:r>
      <w:r>
        <w:rPr>
          <w:rFonts w:hint="eastAsia" w:ascii="宋体" w:hAnsi="宋体" w:eastAsia="宋体" w:cs="宋体"/>
          <w:b/>
          <w:bCs/>
          <w:color w:val="auto"/>
          <w:spacing w:val="0"/>
          <w:sz w:val="21"/>
          <w:szCs w:val="21"/>
          <w:highlight w:val="none"/>
          <w:u w:val="single"/>
          <w:lang w:val="en-US" w:eastAsia="zh-CN"/>
        </w:rPr>
        <w:t>40</w:t>
      </w:r>
      <w:r>
        <w:rPr>
          <w:rFonts w:hint="eastAsia" w:ascii="宋体" w:hAnsi="宋体" w:eastAsia="宋体" w:cs="宋体"/>
          <w:b/>
          <w:bCs/>
          <w:color w:val="auto"/>
          <w:spacing w:val="0"/>
          <w:sz w:val="21"/>
          <w:szCs w:val="21"/>
          <w:highlight w:val="none"/>
          <w:u w:val="single"/>
        </w:rPr>
        <w:t>%；乙方完成监测工作并提交监测报告(送审稿)后15个工作日内，甲方向乙方支付合同价款的30%；监测报告通过专家评审,提交最终稿后15个工作日内，甲方再向乙方支付合同价款的</w:t>
      </w:r>
      <w:r>
        <w:rPr>
          <w:rFonts w:hint="eastAsia" w:ascii="宋体" w:hAnsi="宋体" w:eastAsia="宋体" w:cs="宋体"/>
          <w:b/>
          <w:bCs/>
          <w:color w:val="auto"/>
          <w:spacing w:val="0"/>
          <w:sz w:val="21"/>
          <w:szCs w:val="21"/>
          <w:highlight w:val="none"/>
          <w:u w:val="single"/>
          <w:lang w:val="en-US" w:eastAsia="zh-CN"/>
        </w:rPr>
        <w:t>20</w:t>
      </w:r>
      <w:r>
        <w:rPr>
          <w:rFonts w:hint="eastAsia" w:ascii="宋体" w:hAnsi="宋体" w:eastAsia="宋体" w:cs="宋体"/>
          <w:b/>
          <w:bCs/>
          <w:color w:val="auto"/>
          <w:spacing w:val="0"/>
          <w:sz w:val="21"/>
          <w:szCs w:val="21"/>
          <w:highlight w:val="none"/>
          <w:u w:val="single"/>
        </w:rPr>
        <w:t>%；剩余1</w:t>
      </w:r>
      <w:r>
        <w:rPr>
          <w:rFonts w:hint="eastAsia" w:ascii="宋体" w:hAnsi="宋体" w:eastAsia="宋体" w:cs="宋体"/>
          <w:b/>
          <w:bCs/>
          <w:color w:val="auto"/>
          <w:spacing w:val="0"/>
          <w:sz w:val="21"/>
          <w:szCs w:val="21"/>
          <w:highlight w:val="none"/>
          <w:u w:val="single"/>
          <w:lang w:val="en-US" w:eastAsia="zh-CN"/>
        </w:rPr>
        <w:t>0</w:t>
      </w:r>
      <w:r>
        <w:rPr>
          <w:rFonts w:hint="eastAsia" w:ascii="宋体" w:hAnsi="宋体" w:eastAsia="宋体" w:cs="宋体"/>
          <w:b/>
          <w:bCs/>
          <w:color w:val="auto"/>
          <w:spacing w:val="0"/>
          <w:sz w:val="21"/>
          <w:szCs w:val="21"/>
          <w:highlight w:val="none"/>
          <w:u w:val="single"/>
        </w:rPr>
        <w:t>%待监测报告上报海洋行政管理部门备案后15个工作日内付清。（甲方支付合同款前乙方需提供等额、真实有效的增值税专用发票）</w:t>
      </w:r>
    </w:p>
    <w:p>
      <w:pPr>
        <w:pStyle w:val="14"/>
        <w:keepNext w:val="0"/>
        <w:keepLines w:val="0"/>
        <w:pageBreakBefore w:val="0"/>
        <w:widowControl w:val="0"/>
        <w:kinsoku/>
        <w:overflowPunct/>
        <w:topLinePunct w:val="0"/>
        <w:autoSpaceDE/>
        <w:autoSpaceDN/>
        <w:bidi w:val="0"/>
        <w:spacing w:line="360" w:lineRule="auto"/>
        <w:ind w:left="0" w:leftChars="0"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③其它方式：（/）</w:t>
      </w:r>
    </w:p>
    <w:p>
      <w:pPr>
        <w:pStyle w:val="14"/>
        <w:keepNext w:val="0"/>
        <w:keepLines w:val="0"/>
        <w:pageBreakBefore w:val="0"/>
        <w:widowControl w:val="0"/>
        <w:kinsoku/>
        <w:overflowPunct/>
        <w:topLinePunct w:val="0"/>
        <w:autoSpaceDE/>
        <w:autoSpaceDN/>
        <w:bidi w:val="0"/>
        <w:spacing w:line="360" w:lineRule="auto"/>
        <w:ind w:left="0" w:leftChars="0" w:firstLine="420" w:firstLineChars="200"/>
        <w:textAlignment w:val="auto"/>
        <w:rPr>
          <w:rFonts w:hint="eastAsia" w:ascii="宋体" w:hAnsi="宋体" w:eastAsia="宋体" w:cs="宋体"/>
          <w:b/>
          <w:bCs/>
          <w:color w:val="auto"/>
          <w:spacing w:val="0"/>
          <w:sz w:val="21"/>
          <w:szCs w:val="21"/>
          <w:highlight w:val="none"/>
        </w:rPr>
      </w:pPr>
      <w:r>
        <w:rPr>
          <w:rFonts w:hint="eastAsia" w:ascii="宋体" w:hAnsi="宋体" w:eastAsia="宋体" w:cs="宋体"/>
          <w:color w:val="auto"/>
          <w:spacing w:val="0"/>
          <w:sz w:val="21"/>
          <w:szCs w:val="21"/>
          <w:highlight w:val="none"/>
        </w:rPr>
        <w:t>（三）合同价款调整：</w:t>
      </w:r>
      <w:r>
        <w:rPr>
          <w:rFonts w:hint="eastAsia" w:ascii="宋体" w:hAnsi="宋体" w:eastAsia="宋体" w:cs="宋体"/>
          <w:b/>
          <w:bCs/>
          <w:color w:val="auto"/>
          <w:spacing w:val="0"/>
          <w:sz w:val="21"/>
          <w:szCs w:val="21"/>
          <w:highlight w:val="none"/>
          <w:u w:val="single"/>
        </w:rPr>
        <w:t>本合同为固定总价合同，合同价款不作调整。</w:t>
      </w:r>
    </w:p>
    <w:p>
      <w:pPr>
        <w:pStyle w:val="14"/>
        <w:keepNext w:val="0"/>
        <w:keepLines w:val="0"/>
        <w:pageBreakBefore w:val="0"/>
        <w:widowControl w:val="0"/>
        <w:kinsoku/>
        <w:overflowPunct/>
        <w:topLinePunct w:val="0"/>
        <w:autoSpaceDE/>
        <w:autoSpaceDN/>
        <w:bidi w:val="0"/>
        <w:spacing w:line="360" w:lineRule="auto"/>
        <w:ind w:left="0" w:leftChars="0" w:firstLine="422" w:firstLineChars="200"/>
        <w:textAlignment w:val="auto"/>
        <w:rPr>
          <w:rFonts w:hint="eastAsia" w:ascii="宋体" w:hAnsi="宋体" w:eastAsia="宋体" w:cs="宋体"/>
          <w:b/>
          <w:bCs/>
          <w:color w:val="auto"/>
          <w:spacing w:val="0"/>
          <w:sz w:val="21"/>
          <w:szCs w:val="21"/>
          <w:highlight w:val="none"/>
        </w:rPr>
      </w:pPr>
      <w:r>
        <w:rPr>
          <w:rFonts w:hint="eastAsia" w:ascii="宋体" w:hAnsi="宋体" w:eastAsia="宋体" w:cs="宋体"/>
          <w:b/>
          <w:bCs/>
          <w:color w:val="auto"/>
          <w:spacing w:val="0"/>
          <w:sz w:val="21"/>
          <w:szCs w:val="21"/>
          <w:highlight w:val="none"/>
          <w:lang w:eastAsia="zh-CN"/>
        </w:rPr>
        <w:t>八</w:t>
      </w:r>
      <w:r>
        <w:rPr>
          <w:rFonts w:hint="eastAsia" w:ascii="宋体" w:hAnsi="宋体" w:eastAsia="宋体" w:cs="宋体"/>
          <w:b/>
          <w:bCs/>
          <w:color w:val="auto"/>
          <w:spacing w:val="0"/>
          <w:sz w:val="21"/>
          <w:szCs w:val="21"/>
          <w:highlight w:val="none"/>
        </w:rPr>
        <w:t>、违约金或者损失赔偿额的计算方法</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lang w:eastAsia="zh-CN"/>
        </w:rPr>
        <w:t>甲方</w:t>
      </w:r>
      <w:r>
        <w:rPr>
          <w:rFonts w:ascii="宋体" w:hAnsi="宋体" w:cs="宋体"/>
          <w:color w:val="auto"/>
          <w:szCs w:val="21"/>
          <w:highlight w:val="none"/>
        </w:rPr>
        <w:t>违约</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1.1</w:t>
      </w:r>
      <w:r>
        <w:rPr>
          <w:rFonts w:hint="eastAsia" w:ascii="宋体" w:hAnsi="宋体" w:cs="宋体"/>
          <w:color w:val="auto"/>
          <w:szCs w:val="21"/>
          <w:highlight w:val="none"/>
          <w:lang w:eastAsia="zh-CN"/>
        </w:rPr>
        <w:t>甲方</w:t>
      </w:r>
      <w:r>
        <w:rPr>
          <w:rFonts w:ascii="宋体" w:hAnsi="宋体" w:cs="宋体"/>
          <w:color w:val="auto"/>
          <w:szCs w:val="21"/>
          <w:highlight w:val="none"/>
        </w:rPr>
        <w:t>未按约定及时提供基础资料，或受客观原因的制约未能履行合同约定职责的，有责任采取措施，消除影响。</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1.2在合同履行期间，因</w:t>
      </w:r>
      <w:r>
        <w:rPr>
          <w:rFonts w:hint="eastAsia" w:ascii="宋体" w:hAnsi="宋体" w:cs="宋体"/>
          <w:color w:val="auto"/>
          <w:szCs w:val="21"/>
          <w:highlight w:val="none"/>
          <w:lang w:eastAsia="zh-CN"/>
        </w:rPr>
        <w:t>甲方</w:t>
      </w:r>
      <w:r>
        <w:rPr>
          <w:rFonts w:ascii="宋体" w:hAnsi="宋体" w:cs="宋体"/>
          <w:color w:val="auto"/>
          <w:szCs w:val="21"/>
          <w:highlight w:val="none"/>
        </w:rPr>
        <w:t>自身原因，</w:t>
      </w:r>
      <w:r>
        <w:rPr>
          <w:rFonts w:hint="eastAsia" w:ascii="宋体" w:hAnsi="宋体" w:cs="宋体"/>
          <w:color w:val="auto"/>
          <w:szCs w:val="21"/>
          <w:highlight w:val="none"/>
          <w:lang w:eastAsia="zh-CN"/>
        </w:rPr>
        <w:t>甲方</w:t>
      </w:r>
      <w:r>
        <w:rPr>
          <w:rFonts w:ascii="宋体" w:hAnsi="宋体" w:cs="宋体"/>
          <w:color w:val="auto"/>
          <w:szCs w:val="21"/>
          <w:highlight w:val="none"/>
        </w:rPr>
        <w:t>要求中止或解除合同，</w:t>
      </w:r>
      <w:r>
        <w:rPr>
          <w:rFonts w:hint="eastAsia" w:hAnsi="宋体" w:cs="宋体"/>
          <w:color w:val="auto"/>
          <w:szCs w:val="21"/>
          <w:highlight w:val="none"/>
          <w:lang w:val="en-US" w:eastAsia="zh-CN"/>
        </w:rPr>
        <w:t>乙方未开始工作的，</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应</w:t>
      </w:r>
      <w:r>
        <w:rPr>
          <w:rFonts w:ascii="宋体" w:hAnsi="宋体" w:cs="宋体"/>
          <w:color w:val="auto"/>
          <w:szCs w:val="21"/>
          <w:highlight w:val="none"/>
        </w:rPr>
        <w:t>退还</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已</w:t>
      </w:r>
      <w:r>
        <w:rPr>
          <w:rFonts w:ascii="宋体" w:hAnsi="宋体" w:cs="宋体"/>
          <w:color w:val="auto"/>
          <w:szCs w:val="21"/>
          <w:highlight w:val="none"/>
        </w:rPr>
        <w:t>付的合同款</w:t>
      </w:r>
      <w:r>
        <w:rPr>
          <w:rFonts w:hint="eastAsia" w:ascii="宋体" w:hAnsi="宋体" w:cs="宋体"/>
          <w:color w:val="auto"/>
          <w:szCs w:val="21"/>
          <w:highlight w:val="none"/>
        </w:rPr>
        <w:t>。</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已开始工作的，</w:t>
      </w:r>
      <w:r>
        <w:rPr>
          <w:rFonts w:hint="eastAsia" w:ascii="宋体" w:hAnsi="宋体" w:cs="宋体"/>
          <w:color w:val="auto"/>
          <w:szCs w:val="21"/>
          <w:highlight w:val="none"/>
          <w:lang w:eastAsia="zh-CN"/>
        </w:rPr>
        <w:t>甲方</w:t>
      </w:r>
      <w:r>
        <w:rPr>
          <w:rFonts w:ascii="宋体" w:hAnsi="宋体" w:cs="宋体"/>
          <w:color w:val="auto"/>
          <w:szCs w:val="21"/>
          <w:highlight w:val="none"/>
        </w:rPr>
        <w:t>应根据</w:t>
      </w:r>
      <w:r>
        <w:rPr>
          <w:rFonts w:hint="eastAsia" w:ascii="宋体" w:hAnsi="宋体" w:cs="宋体"/>
          <w:color w:val="auto"/>
          <w:szCs w:val="21"/>
          <w:highlight w:val="none"/>
          <w:lang w:eastAsia="zh-CN"/>
        </w:rPr>
        <w:t>乙方</w:t>
      </w:r>
      <w:r>
        <w:rPr>
          <w:rFonts w:ascii="宋体" w:hAnsi="宋体" w:cs="宋体"/>
          <w:color w:val="auto"/>
          <w:szCs w:val="21"/>
          <w:highlight w:val="none"/>
        </w:rPr>
        <w:t>已完成的实际工作量支付相应的费用</w:t>
      </w:r>
      <w:r>
        <w:rPr>
          <w:rFonts w:hint="eastAsia" w:ascii="宋体" w:hAnsi="宋体" w:cs="宋体"/>
          <w:color w:val="auto"/>
          <w:szCs w:val="21"/>
          <w:highlight w:val="none"/>
        </w:rPr>
        <w:t>。同时，</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应将已完成的阶段成果移交给</w:t>
      </w:r>
      <w:r>
        <w:rPr>
          <w:rFonts w:hint="eastAsia" w:ascii="宋体" w:hAnsi="宋体" w:cs="宋体"/>
          <w:color w:val="auto"/>
          <w:szCs w:val="21"/>
          <w:highlight w:val="none"/>
          <w:lang w:eastAsia="zh-CN"/>
        </w:rPr>
        <w:t>甲方</w:t>
      </w:r>
      <w:r>
        <w:rPr>
          <w:rFonts w:ascii="宋体" w:hAnsi="宋体" w:cs="宋体"/>
          <w:color w:val="auto"/>
          <w:szCs w:val="21"/>
          <w:highlight w:val="none"/>
        </w:rPr>
        <w:t>。</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hint="eastAsia" w:ascii="宋体" w:hAnsi="宋体" w:cs="宋体"/>
          <w:color w:val="auto"/>
          <w:szCs w:val="21"/>
          <w:highlight w:val="none"/>
        </w:rPr>
      </w:pPr>
      <w:r>
        <w:rPr>
          <w:rFonts w:ascii="宋体" w:hAnsi="宋体" w:cs="宋体"/>
          <w:color w:val="auto"/>
          <w:szCs w:val="21"/>
          <w:highlight w:val="none"/>
        </w:rPr>
        <w:t>1.3</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因自身原因导致</w:t>
      </w:r>
      <w:r>
        <w:rPr>
          <w:rFonts w:ascii="宋体" w:hAnsi="宋体" w:cs="宋体"/>
          <w:color w:val="auto"/>
          <w:szCs w:val="21"/>
          <w:highlight w:val="none"/>
        </w:rPr>
        <w:t>未按合同约定及时</w:t>
      </w:r>
      <w:r>
        <w:rPr>
          <w:rFonts w:hint="eastAsia" w:ascii="宋体" w:hAnsi="宋体" w:cs="宋体"/>
          <w:color w:val="auto"/>
          <w:szCs w:val="21"/>
          <w:highlight w:val="none"/>
        </w:rPr>
        <w:t>付款</w:t>
      </w:r>
      <w:r>
        <w:rPr>
          <w:rFonts w:ascii="宋体" w:hAnsi="宋体" w:cs="宋体"/>
          <w:color w:val="auto"/>
          <w:szCs w:val="21"/>
          <w:highlight w:val="none"/>
        </w:rPr>
        <w:t>，</w:t>
      </w:r>
      <w:r>
        <w:rPr>
          <w:rFonts w:hint="eastAsia" w:ascii="宋体" w:hAnsi="宋体" w:cs="宋体"/>
          <w:color w:val="auto"/>
          <w:szCs w:val="21"/>
          <w:highlight w:val="none"/>
          <w:lang w:eastAsia="zh-CN"/>
        </w:rPr>
        <w:t>甲方</w:t>
      </w:r>
      <w:r>
        <w:rPr>
          <w:rFonts w:ascii="宋体" w:hAnsi="宋体" w:cs="宋体"/>
          <w:color w:val="auto"/>
          <w:szCs w:val="21"/>
          <w:highlight w:val="none"/>
        </w:rPr>
        <w:t>应承担相应赔偿责任。每延迟一天，按</w:t>
      </w:r>
      <w:r>
        <w:rPr>
          <w:rFonts w:hint="eastAsia" w:hAnsi="宋体" w:cs="宋体"/>
          <w:color w:val="auto"/>
          <w:szCs w:val="21"/>
          <w:highlight w:val="none"/>
          <w:lang w:val="en-US" w:eastAsia="zh-CN"/>
        </w:rPr>
        <w:t>应付未付价款</w:t>
      </w:r>
      <w:r>
        <w:rPr>
          <w:rFonts w:hint="eastAsia" w:ascii="宋体" w:hAnsi="宋体" w:cs="宋体"/>
          <w:color w:val="auto"/>
          <w:szCs w:val="21"/>
          <w:highlight w:val="none"/>
        </w:rPr>
        <w:t>的</w:t>
      </w:r>
      <w:r>
        <w:rPr>
          <w:rFonts w:hint="eastAsia" w:hAnsi="宋体" w:cs="宋体"/>
          <w:color w:val="auto"/>
          <w:szCs w:val="21"/>
          <w:highlight w:val="none"/>
          <w:lang w:val="en-US" w:eastAsia="zh-CN"/>
        </w:rPr>
        <w:t>万分之五</w:t>
      </w:r>
      <w:r>
        <w:rPr>
          <w:rFonts w:hint="eastAsia" w:ascii="宋体" w:hAnsi="宋体" w:cs="宋体"/>
          <w:color w:val="auto"/>
          <w:szCs w:val="21"/>
          <w:highlight w:val="none"/>
        </w:rPr>
        <w:t>/天</w:t>
      </w:r>
      <w:r>
        <w:rPr>
          <w:rFonts w:ascii="宋体" w:hAnsi="宋体" w:cs="宋体"/>
          <w:color w:val="auto"/>
          <w:szCs w:val="21"/>
          <w:highlight w:val="none"/>
        </w:rPr>
        <w:t>的标准</w:t>
      </w:r>
      <w:r>
        <w:rPr>
          <w:rFonts w:hint="eastAsia" w:ascii="宋体" w:hAnsi="宋体" w:cs="宋体"/>
          <w:color w:val="auto"/>
          <w:szCs w:val="21"/>
          <w:highlight w:val="none"/>
        </w:rPr>
        <w:t>向</w:t>
      </w:r>
      <w:r>
        <w:rPr>
          <w:rFonts w:hint="eastAsia" w:ascii="宋体" w:hAnsi="宋体" w:cs="宋体"/>
          <w:color w:val="auto"/>
          <w:szCs w:val="21"/>
          <w:highlight w:val="none"/>
          <w:lang w:eastAsia="zh-CN"/>
        </w:rPr>
        <w:t>乙方</w:t>
      </w:r>
      <w:r>
        <w:rPr>
          <w:rFonts w:ascii="宋体" w:hAnsi="宋体" w:cs="宋体"/>
          <w:color w:val="auto"/>
          <w:szCs w:val="21"/>
          <w:highlight w:val="none"/>
        </w:rPr>
        <w:t>赔偿，最高赔偿额度为合同总价的10%</w:t>
      </w:r>
      <w:r>
        <w:rPr>
          <w:rFonts w:hint="eastAsia" w:ascii="宋体" w:hAnsi="宋体" w:cs="宋体"/>
          <w:color w:val="auto"/>
          <w:szCs w:val="21"/>
          <w:highlight w:val="none"/>
        </w:rPr>
        <w:t>，且</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提交成果文件的时间顺延。逾期超过15天以上时，</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有权暂停履行下阶段工作，并书面通知</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lang w:eastAsia="zh-CN"/>
        </w:rPr>
        <w:t>乙方</w:t>
      </w:r>
      <w:r>
        <w:rPr>
          <w:rFonts w:ascii="宋体" w:hAnsi="宋体" w:cs="宋体"/>
          <w:color w:val="auto"/>
          <w:szCs w:val="21"/>
          <w:highlight w:val="none"/>
        </w:rPr>
        <w:t>违约</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2.1</w:t>
      </w:r>
      <w:r>
        <w:rPr>
          <w:rFonts w:hint="eastAsia" w:ascii="宋体" w:hAnsi="宋体" w:cs="宋体"/>
          <w:color w:val="auto"/>
          <w:szCs w:val="21"/>
          <w:highlight w:val="none"/>
          <w:lang w:eastAsia="zh-CN"/>
        </w:rPr>
        <w:t>乙方</w:t>
      </w:r>
      <w:r>
        <w:rPr>
          <w:rFonts w:ascii="宋体" w:hAnsi="宋体" w:cs="宋体"/>
          <w:color w:val="auto"/>
          <w:szCs w:val="21"/>
          <w:highlight w:val="none"/>
        </w:rPr>
        <w:t>未按合同约定提供组织保证方面服务，影响履行职责的，应按</w:t>
      </w:r>
      <w:r>
        <w:rPr>
          <w:rFonts w:hint="eastAsia" w:ascii="宋体" w:hAnsi="宋体" w:cs="宋体"/>
          <w:color w:val="auto"/>
          <w:szCs w:val="21"/>
          <w:highlight w:val="none"/>
          <w:lang w:eastAsia="zh-CN"/>
        </w:rPr>
        <w:t>甲方</w:t>
      </w:r>
      <w:r>
        <w:rPr>
          <w:rFonts w:ascii="宋体" w:hAnsi="宋体" w:cs="宋体"/>
          <w:color w:val="auto"/>
          <w:szCs w:val="21"/>
          <w:highlight w:val="none"/>
        </w:rPr>
        <w:t>要求继续履行职责。如</w:t>
      </w:r>
      <w:r>
        <w:rPr>
          <w:rFonts w:hint="eastAsia" w:ascii="宋体" w:hAnsi="宋体" w:cs="宋体"/>
          <w:color w:val="auto"/>
          <w:szCs w:val="21"/>
          <w:highlight w:val="none"/>
        </w:rPr>
        <w:t>因</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自身原因</w:t>
      </w:r>
      <w:r>
        <w:rPr>
          <w:rFonts w:ascii="宋体" w:hAnsi="宋体" w:cs="宋体"/>
          <w:color w:val="auto"/>
          <w:szCs w:val="21"/>
          <w:highlight w:val="none"/>
        </w:rPr>
        <w:t>给</w:t>
      </w:r>
      <w:r>
        <w:rPr>
          <w:rFonts w:hint="eastAsia" w:ascii="宋体" w:hAnsi="宋体" w:cs="宋体"/>
          <w:color w:val="auto"/>
          <w:szCs w:val="21"/>
          <w:highlight w:val="none"/>
          <w:lang w:eastAsia="zh-CN"/>
        </w:rPr>
        <w:t>甲方</w:t>
      </w:r>
      <w:r>
        <w:rPr>
          <w:rFonts w:ascii="宋体" w:hAnsi="宋体" w:cs="宋体"/>
          <w:color w:val="auto"/>
          <w:szCs w:val="21"/>
          <w:highlight w:val="none"/>
        </w:rPr>
        <w:t>造成损失的，</w:t>
      </w:r>
      <w:r>
        <w:rPr>
          <w:rFonts w:hint="eastAsia" w:ascii="宋体" w:hAnsi="宋体" w:cs="宋体"/>
          <w:color w:val="auto"/>
          <w:szCs w:val="21"/>
          <w:highlight w:val="none"/>
          <w:lang w:eastAsia="zh-CN"/>
        </w:rPr>
        <w:t>乙方</w:t>
      </w:r>
      <w:r>
        <w:rPr>
          <w:rFonts w:ascii="宋体" w:hAnsi="宋体" w:cs="宋体"/>
          <w:color w:val="auto"/>
          <w:szCs w:val="21"/>
          <w:highlight w:val="none"/>
        </w:rPr>
        <w:t>应减收或免收工作费用，并给予相应损失的赔偿。</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2.2若因</w:t>
      </w:r>
      <w:r>
        <w:rPr>
          <w:rFonts w:hint="eastAsia" w:ascii="宋体" w:hAnsi="宋体" w:cs="宋体"/>
          <w:color w:val="auto"/>
          <w:szCs w:val="21"/>
          <w:highlight w:val="none"/>
          <w:lang w:eastAsia="zh-CN"/>
        </w:rPr>
        <w:t>乙方</w:t>
      </w:r>
      <w:r>
        <w:rPr>
          <w:rFonts w:ascii="宋体" w:hAnsi="宋体" w:cs="宋体"/>
          <w:color w:val="auto"/>
          <w:szCs w:val="21"/>
          <w:highlight w:val="none"/>
        </w:rPr>
        <w:t>原因导致提交的成果文件无法通过</w:t>
      </w:r>
      <w:r>
        <w:rPr>
          <w:rFonts w:hint="eastAsia" w:ascii="宋体" w:hAnsi="宋体" w:cs="宋体"/>
          <w:color w:val="auto"/>
          <w:szCs w:val="21"/>
          <w:highlight w:val="none"/>
          <w:lang w:eastAsia="zh-CN"/>
        </w:rPr>
        <w:t>甲方</w:t>
      </w:r>
      <w:r>
        <w:rPr>
          <w:rFonts w:ascii="宋体" w:hAnsi="宋体" w:cs="宋体"/>
          <w:color w:val="auto"/>
          <w:szCs w:val="21"/>
          <w:highlight w:val="none"/>
        </w:rPr>
        <w:t>组织的评审，</w:t>
      </w:r>
      <w:r>
        <w:rPr>
          <w:rFonts w:hint="eastAsia" w:ascii="宋体" w:hAnsi="宋体" w:cs="宋体"/>
          <w:color w:val="auto"/>
          <w:szCs w:val="21"/>
          <w:highlight w:val="none"/>
          <w:lang w:eastAsia="zh-CN"/>
        </w:rPr>
        <w:t>甲方</w:t>
      </w:r>
      <w:r>
        <w:rPr>
          <w:rFonts w:ascii="宋体" w:hAnsi="宋体" w:cs="宋体"/>
          <w:color w:val="auto"/>
          <w:szCs w:val="21"/>
          <w:highlight w:val="none"/>
        </w:rPr>
        <w:t>有权发出如下任一指令，</w:t>
      </w:r>
      <w:r>
        <w:rPr>
          <w:rFonts w:hint="eastAsia" w:ascii="宋体" w:hAnsi="宋体" w:cs="宋体"/>
          <w:color w:val="auto"/>
          <w:szCs w:val="21"/>
          <w:highlight w:val="none"/>
          <w:lang w:eastAsia="zh-CN"/>
        </w:rPr>
        <w:t>乙方</w:t>
      </w:r>
      <w:r>
        <w:rPr>
          <w:rFonts w:ascii="宋体" w:hAnsi="宋体" w:cs="宋体"/>
          <w:color w:val="auto"/>
          <w:szCs w:val="21"/>
          <w:highlight w:val="none"/>
        </w:rPr>
        <w:t>必须遵照执行。</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（1）对不合格部分重新进行编制，由此引起的费用增加和工期延误由</w:t>
      </w:r>
      <w:r>
        <w:rPr>
          <w:rFonts w:hint="eastAsia" w:ascii="宋体" w:hAnsi="宋体" w:cs="宋体"/>
          <w:color w:val="auto"/>
          <w:szCs w:val="21"/>
          <w:highlight w:val="none"/>
          <w:lang w:eastAsia="zh-CN"/>
        </w:rPr>
        <w:t>乙方</w:t>
      </w:r>
      <w:r>
        <w:rPr>
          <w:rFonts w:ascii="宋体" w:hAnsi="宋体" w:cs="宋体"/>
          <w:color w:val="auto"/>
          <w:szCs w:val="21"/>
          <w:highlight w:val="none"/>
        </w:rPr>
        <w:t>自行负责；</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hint="eastAsia" w:ascii="宋体" w:hAnsi="宋体" w:cs="宋体"/>
          <w:color w:val="auto"/>
          <w:szCs w:val="21"/>
          <w:highlight w:val="none"/>
        </w:rPr>
      </w:pPr>
      <w:r>
        <w:rPr>
          <w:rFonts w:ascii="宋体" w:hAnsi="宋体" w:cs="宋体"/>
          <w:color w:val="auto"/>
          <w:szCs w:val="21"/>
          <w:highlight w:val="none"/>
        </w:rPr>
        <w:t>（2）解除该不合格部分的合同，</w:t>
      </w:r>
      <w:r>
        <w:rPr>
          <w:rFonts w:hint="eastAsia" w:ascii="宋体" w:hAnsi="宋体" w:cs="宋体"/>
          <w:color w:val="auto"/>
          <w:szCs w:val="21"/>
          <w:highlight w:val="none"/>
          <w:lang w:eastAsia="zh-CN"/>
        </w:rPr>
        <w:t>甲方</w:t>
      </w:r>
      <w:r>
        <w:rPr>
          <w:rFonts w:ascii="宋体" w:hAnsi="宋体" w:cs="宋体"/>
          <w:color w:val="auto"/>
          <w:szCs w:val="21"/>
          <w:highlight w:val="none"/>
        </w:rPr>
        <w:t>将该不合格部分指定分包给其他单位，并扣除</w:t>
      </w:r>
      <w:r>
        <w:rPr>
          <w:rFonts w:hint="eastAsia" w:ascii="宋体" w:hAnsi="宋体" w:cs="宋体"/>
          <w:color w:val="auto"/>
          <w:szCs w:val="21"/>
          <w:highlight w:val="none"/>
          <w:lang w:eastAsia="zh-CN"/>
        </w:rPr>
        <w:t>乙方</w:t>
      </w:r>
      <w:r>
        <w:rPr>
          <w:rFonts w:ascii="宋体" w:hAnsi="宋体" w:cs="宋体"/>
          <w:color w:val="auto"/>
          <w:szCs w:val="21"/>
          <w:highlight w:val="none"/>
        </w:rPr>
        <w:t>合同总价中此部分的费用</w:t>
      </w:r>
      <w:r>
        <w:rPr>
          <w:rFonts w:hint="eastAsia" w:ascii="宋体" w:hAnsi="宋体" w:cs="宋体"/>
          <w:color w:val="auto"/>
          <w:szCs w:val="21"/>
          <w:highlight w:val="none"/>
        </w:rPr>
        <w:t>。</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2.3</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因自身原因导致</w:t>
      </w:r>
      <w:r>
        <w:rPr>
          <w:rFonts w:ascii="宋体" w:hAnsi="宋体" w:cs="宋体"/>
          <w:color w:val="auto"/>
          <w:szCs w:val="21"/>
          <w:highlight w:val="none"/>
        </w:rPr>
        <w:t>未按合同约定及时提交相关研究成果报告，影响</w:t>
      </w:r>
      <w:r>
        <w:rPr>
          <w:rFonts w:hint="eastAsia" w:ascii="宋体" w:hAnsi="宋体" w:cs="宋体"/>
          <w:color w:val="auto"/>
          <w:szCs w:val="21"/>
          <w:highlight w:val="none"/>
          <w:lang w:eastAsia="zh-CN"/>
        </w:rPr>
        <w:t>甲方</w:t>
      </w:r>
      <w:r>
        <w:rPr>
          <w:rFonts w:ascii="宋体" w:hAnsi="宋体" w:cs="宋体"/>
          <w:color w:val="auto"/>
          <w:szCs w:val="21"/>
          <w:highlight w:val="none"/>
        </w:rPr>
        <w:t>开展下一步工作的，</w:t>
      </w:r>
      <w:r>
        <w:rPr>
          <w:rFonts w:hint="eastAsia" w:ascii="宋体" w:hAnsi="宋体" w:cs="宋体"/>
          <w:color w:val="auto"/>
          <w:szCs w:val="21"/>
          <w:highlight w:val="none"/>
          <w:lang w:eastAsia="zh-CN"/>
        </w:rPr>
        <w:t>乙方</w:t>
      </w:r>
      <w:r>
        <w:rPr>
          <w:rFonts w:ascii="宋体" w:hAnsi="宋体" w:cs="宋体"/>
          <w:color w:val="auto"/>
          <w:szCs w:val="21"/>
          <w:highlight w:val="none"/>
        </w:rPr>
        <w:t>应承担相应赔偿责任。</w:t>
      </w:r>
    </w:p>
    <w:p>
      <w:pPr>
        <w:keepNext w:val="0"/>
        <w:keepLines w:val="0"/>
        <w:pageBreakBefore w:val="0"/>
        <w:widowControl w:val="0"/>
        <w:kinsoku/>
        <w:overflowPunct/>
        <w:topLinePunct w:val="0"/>
        <w:autoSpaceDE/>
        <w:autoSpaceDN/>
        <w:bidi w:val="0"/>
        <w:spacing w:line="360" w:lineRule="auto"/>
        <w:ind w:firstLine="420" w:firstLineChars="200"/>
        <w:textAlignment w:val="auto"/>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因自身原因导致</w:t>
      </w:r>
      <w:r>
        <w:rPr>
          <w:rFonts w:ascii="宋体" w:hAnsi="宋体" w:cs="宋体"/>
          <w:color w:val="auto"/>
          <w:szCs w:val="21"/>
          <w:highlight w:val="none"/>
        </w:rPr>
        <w:t>未按合同约定提交相应的研究成果</w:t>
      </w:r>
      <w:r>
        <w:rPr>
          <w:rFonts w:hint="eastAsia" w:hAnsi="宋体" w:cs="宋体"/>
          <w:color w:val="auto"/>
          <w:szCs w:val="21"/>
          <w:highlight w:val="none"/>
          <w:lang w:val="en-US" w:eastAsia="zh-CN"/>
        </w:rPr>
        <w:t>或未按约定通过评审、备案的</w:t>
      </w:r>
      <w:r>
        <w:rPr>
          <w:rFonts w:ascii="宋体" w:hAnsi="宋体" w:cs="宋体"/>
          <w:color w:val="auto"/>
          <w:szCs w:val="21"/>
          <w:highlight w:val="none"/>
        </w:rPr>
        <w:t>，每延迟一天，按</w:t>
      </w:r>
      <w:r>
        <w:rPr>
          <w:rFonts w:hint="eastAsia" w:ascii="宋体" w:hAnsi="宋体" w:cs="宋体"/>
          <w:color w:val="auto"/>
          <w:szCs w:val="21"/>
          <w:highlight w:val="none"/>
        </w:rPr>
        <w:t>合同总价的千分之一/天</w:t>
      </w:r>
      <w:r>
        <w:rPr>
          <w:rFonts w:ascii="宋体" w:hAnsi="宋体" w:cs="宋体"/>
          <w:color w:val="auto"/>
          <w:szCs w:val="21"/>
          <w:highlight w:val="none"/>
        </w:rPr>
        <w:t>的标准赔偿</w:t>
      </w:r>
      <w:r>
        <w:rPr>
          <w:rFonts w:hint="eastAsia" w:hAnsi="宋体" w:cs="宋体"/>
          <w:color w:val="auto"/>
          <w:szCs w:val="21"/>
          <w:highlight w:val="none"/>
          <w:lang w:eastAsia="zh-CN"/>
        </w:rPr>
        <w:t>。</w:t>
      </w:r>
      <w:r>
        <w:rPr>
          <w:rFonts w:hint="eastAsia" w:hAnsi="宋体" w:cs="宋体"/>
          <w:color w:val="auto"/>
          <w:szCs w:val="21"/>
          <w:highlight w:val="none"/>
          <w:lang w:val="en-US" w:eastAsia="zh-CN"/>
        </w:rPr>
        <w:t>逾期超过10天的，甲方有权单方解除合同，返还已支付款项，并要求乙方</w:t>
      </w:r>
      <w:r>
        <w:rPr>
          <w:rFonts w:hint="eastAsia" w:ascii="宋体" w:hAnsi="宋体" w:cs="宋体"/>
          <w:color w:val="auto"/>
          <w:szCs w:val="21"/>
          <w:highlight w:val="none"/>
        </w:rPr>
        <w:t>按照合同金额的20%</w:t>
      </w:r>
      <w:r>
        <w:rPr>
          <w:rFonts w:hint="eastAsia" w:hAnsi="宋体" w:cs="宋体"/>
          <w:color w:val="auto"/>
          <w:szCs w:val="21"/>
          <w:highlight w:val="none"/>
          <w:lang w:val="en-US" w:eastAsia="zh-CN"/>
        </w:rPr>
        <w:t>承担违约责任。</w:t>
      </w:r>
      <w:r>
        <w:rPr>
          <w:rFonts w:ascii="宋体" w:hAnsi="宋体" w:cs="宋体"/>
          <w:color w:val="auto"/>
          <w:szCs w:val="21"/>
          <w:highlight w:val="none"/>
        </w:rPr>
        <w:t>。</w:t>
      </w:r>
    </w:p>
    <w:p>
      <w:pPr>
        <w:keepNext w:val="0"/>
        <w:keepLines w:val="0"/>
        <w:pageBreakBefore w:val="0"/>
        <w:widowControl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pacing w:val="0"/>
          <w:sz w:val="21"/>
          <w:szCs w:val="21"/>
          <w:highlight w:val="none"/>
        </w:rPr>
      </w:pPr>
      <w:r>
        <w:rPr>
          <w:rFonts w:ascii="宋体" w:hAnsi="宋体" w:cs="宋体"/>
          <w:color w:val="auto"/>
          <w:szCs w:val="21"/>
          <w:highlight w:val="none"/>
        </w:rPr>
        <w:t>2.6合同生效后，</w:t>
      </w:r>
      <w:r>
        <w:rPr>
          <w:rFonts w:hint="eastAsia" w:ascii="宋体" w:hAnsi="宋体" w:cs="宋体"/>
          <w:color w:val="auto"/>
          <w:szCs w:val="21"/>
          <w:highlight w:val="none"/>
        </w:rPr>
        <w:t>因</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自身原因，</w:t>
      </w:r>
      <w:r>
        <w:rPr>
          <w:rFonts w:hint="eastAsia" w:ascii="宋体" w:hAnsi="宋体" w:cs="宋体"/>
          <w:color w:val="auto"/>
          <w:szCs w:val="21"/>
          <w:highlight w:val="none"/>
          <w:lang w:eastAsia="zh-CN"/>
        </w:rPr>
        <w:t>乙方</w:t>
      </w:r>
      <w:r>
        <w:rPr>
          <w:rFonts w:ascii="宋体" w:hAnsi="宋体" w:cs="宋体"/>
          <w:color w:val="auto"/>
          <w:szCs w:val="21"/>
          <w:highlight w:val="none"/>
        </w:rPr>
        <w:t>如要求中止或解除合同，</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未开始工作的，返还已支付款项，并按照合同金额的20%支付违约金；已开始工作的返还已支付款项，并交付已完成的成果，并按照合同金额的20%支付违约金</w:t>
      </w:r>
      <w:r>
        <w:rPr>
          <w:rFonts w:ascii="宋体" w:hAnsi="宋体" w:cs="宋体"/>
          <w:color w:val="auto"/>
          <w:szCs w:val="21"/>
          <w:highlight w:val="none"/>
        </w:rPr>
        <w:t>。</w:t>
      </w:r>
    </w:p>
    <w:p>
      <w:pPr>
        <w:keepNext w:val="0"/>
        <w:keepLines w:val="0"/>
        <w:pageBreakBefore w:val="0"/>
        <w:widowControl w:val="0"/>
        <w:kinsoku/>
        <w:overflowPunct/>
        <w:topLinePunct w:val="0"/>
        <w:autoSpaceDE/>
        <w:autoSpaceDN/>
        <w:bidi w:val="0"/>
        <w:adjustRightInd/>
        <w:snapToGrid/>
        <w:spacing w:before="161" w:beforeLines="50" w:after="161" w:afterLines="50" w:line="360" w:lineRule="auto"/>
        <w:textAlignment w:val="auto"/>
        <w:rPr>
          <w:rFonts w:hint="eastAsia" w:ascii="宋体" w:hAnsi="宋体"/>
          <w:b/>
          <w:color w:val="auto"/>
          <w:szCs w:val="21"/>
          <w:highlight w:val="none"/>
        </w:rPr>
      </w:pPr>
      <w:r>
        <w:rPr>
          <w:rFonts w:hint="eastAsia" w:ascii="宋体" w:hAnsi="宋体" w:eastAsia="宋体" w:cs="宋体"/>
          <w:b/>
          <w:bCs/>
          <w:color w:val="auto"/>
          <w:spacing w:val="0"/>
          <w:sz w:val="21"/>
          <w:szCs w:val="21"/>
          <w:highlight w:val="none"/>
          <w:lang w:eastAsia="zh-CN"/>
        </w:rPr>
        <w:t>九</w:t>
      </w:r>
      <w:r>
        <w:rPr>
          <w:rFonts w:hint="eastAsia" w:ascii="宋体" w:hAnsi="宋体" w:eastAsia="宋体" w:cs="宋体"/>
          <w:b/>
          <w:bCs/>
          <w:color w:val="auto"/>
          <w:spacing w:val="0"/>
          <w:sz w:val="21"/>
          <w:szCs w:val="21"/>
          <w:highlight w:val="none"/>
        </w:rPr>
        <w:t>、</w:t>
      </w:r>
      <w:r>
        <w:rPr>
          <w:rFonts w:hint="eastAsia" w:ascii="宋体" w:hAnsi="宋体"/>
          <w:b/>
          <w:color w:val="auto"/>
          <w:szCs w:val="21"/>
          <w:highlight w:val="none"/>
        </w:rPr>
        <w:t>履约保证金</w:t>
      </w:r>
    </w:p>
    <w:p>
      <w:pPr>
        <w:keepNext w:val="0"/>
        <w:keepLines w:val="0"/>
        <w:pageBreakBefore w:val="0"/>
        <w:widowControl w:val="0"/>
        <w:kinsoku/>
        <w:overflowPunct/>
        <w:topLinePunct w:val="0"/>
        <w:autoSpaceDE/>
        <w:autoSpaceDN/>
        <w:bidi w:val="0"/>
        <w:adjustRightInd/>
        <w:snapToGrid/>
        <w:spacing w:before="156" w:after="156" w:line="360" w:lineRule="auto"/>
        <w:ind w:firstLine="420" w:firstLineChars="200"/>
        <w:jc w:val="left"/>
        <w:textAlignment w:val="auto"/>
        <w:rPr>
          <w:rFonts w:hint="eastAsia" w:ascii="宋体" w:hAnsi="Courier New"/>
          <w:color w:val="auto"/>
          <w:szCs w:val="21"/>
          <w:highlight w:val="none"/>
        </w:rPr>
      </w:pPr>
      <w:r>
        <w:rPr>
          <w:rFonts w:hint="eastAsia" w:ascii="宋体" w:hAnsi="Courier New"/>
          <w:color w:val="auto"/>
          <w:szCs w:val="21"/>
          <w:highlight w:val="none"/>
        </w:rPr>
        <w:t>按以下第</w:t>
      </w:r>
      <w:r>
        <w:rPr>
          <w:rFonts w:hint="eastAsia" w:ascii="宋体" w:hAnsi="Courier New"/>
          <w:color w:val="auto"/>
          <w:szCs w:val="21"/>
          <w:highlight w:val="none"/>
          <w:u w:val="single"/>
        </w:rPr>
        <w:t xml:space="preserve">  </w:t>
      </w:r>
      <w:r>
        <w:rPr>
          <w:rFonts w:hint="eastAsia" w:ascii="宋体" w:hAnsi="Courier New"/>
          <w:color w:val="auto"/>
          <w:szCs w:val="21"/>
          <w:highlight w:val="none"/>
          <w:u w:val="single"/>
          <w:lang w:val="en-US" w:eastAsia="zh-CN"/>
        </w:rPr>
        <w:t>2</w:t>
      </w:r>
      <w:r>
        <w:rPr>
          <w:rFonts w:hint="eastAsia" w:ascii="宋体" w:hAnsi="Courier New"/>
          <w:color w:val="auto"/>
          <w:szCs w:val="21"/>
          <w:highlight w:val="none"/>
          <w:u w:val="single"/>
        </w:rPr>
        <w:t xml:space="preserve">  </w:t>
      </w:r>
      <w:r>
        <w:rPr>
          <w:rFonts w:hint="eastAsia" w:ascii="宋体" w:hAnsi="Courier New"/>
          <w:color w:val="auto"/>
          <w:szCs w:val="21"/>
          <w:highlight w:val="none"/>
        </w:rPr>
        <w:t>项处理：</w:t>
      </w:r>
    </w:p>
    <w:p>
      <w:pPr>
        <w:pStyle w:val="14"/>
        <w:keepNext w:val="0"/>
        <w:keepLines w:val="0"/>
        <w:pageBreakBefore w:val="0"/>
        <w:widowControl w:val="0"/>
        <w:kinsoku/>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1、本项目设置履约保证金，乙方应于</w:t>
      </w:r>
      <w:r>
        <w:rPr>
          <w:rFonts w:hint="eastAsia" w:ascii="宋体" w:hAnsi="宋体" w:eastAsia="宋体" w:cs="宋体"/>
          <w:color w:val="auto"/>
          <w:spacing w:val="0"/>
          <w:sz w:val="21"/>
          <w:szCs w:val="21"/>
          <w:highlight w:val="none"/>
          <w:u w:val="single"/>
        </w:rPr>
        <w:t xml:space="preserve">         </w:t>
      </w:r>
      <w:r>
        <w:rPr>
          <w:rFonts w:hint="eastAsia" w:ascii="宋体" w:hAnsi="宋体" w:eastAsia="宋体" w:cs="宋体"/>
          <w:color w:val="auto"/>
          <w:spacing w:val="0"/>
          <w:sz w:val="21"/>
          <w:szCs w:val="21"/>
          <w:highlight w:val="none"/>
        </w:rPr>
        <w:t>（时间）向甲方提交履约保证金</w:t>
      </w:r>
      <w:r>
        <w:rPr>
          <w:rFonts w:hint="eastAsia" w:ascii="宋体" w:hAnsi="宋体" w:eastAsia="宋体" w:cs="宋体"/>
          <w:color w:val="auto"/>
          <w:spacing w:val="0"/>
          <w:sz w:val="21"/>
          <w:szCs w:val="21"/>
          <w:highlight w:val="none"/>
          <w:u w:val="single"/>
        </w:rPr>
        <w:t xml:space="preserve">          </w:t>
      </w:r>
      <w:r>
        <w:rPr>
          <w:rFonts w:hint="eastAsia" w:ascii="宋体" w:hAnsi="宋体" w:eastAsia="宋体" w:cs="宋体"/>
          <w:color w:val="auto"/>
          <w:spacing w:val="0"/>
          <w:sz w:val="21"/>
          <w:szCs w:val="21"/>
          <w:highlight w:val="none"/>
        </w:rPr>
        <w:t>元（本合同金额的</w:t>
      </w:r>
      <w:r>
        <w:rPr>
          <w:rFonts w:hint="eastAsia" w:ascii="宋体" w:hAnsi="宋体" w:eastAsia="宋体" w:cs="宋体"/>
          <w:color w:val="auto"/>
          <w:spacing w:val="0"/>
          <w:sz w:val="21"/>
          <w:szCs w:val="21"/>
          <w:highlight w:val="none"/>
          <w:lang w:val="en-US" w:eastAsia="zh-CN"/>
        </w:rPr>
        <w:t>5</w:t>
      </w:r>
      <w:r>
        <w:rPr>
          <w:rFonts w:hint="eastAsia" w:ascii="宋体" w:hAnsi="宋体" w:eastAsia="宋体" w:cs="宋体"/>
          <w:color w:val="auto"/>
          <w:spacing w:val="0"/>
          <w:sz w:val="21"/>
          <w:szCs w:val="21"/>
          <w:highlight w:val="none"/>
        </w:rPr>
        <w:t>%）。履约保证金在乙方按合同约定完成服务工作并顺利交接后一个月内无息退还。</w:t>
      </w:r>
    </w:p>
    <w:p>
      <w:pPr>
        <w:pStyle w:val="14"/>
        <w:keepNext w:val="0"/>
        <w:keepLines w:val="0"/>
        <w:pageBreakBefore w:val="0"/>
        <w:widowControl w:val="0"/>
        <w:kinsoku/>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2、本项目不设置履约保证金。</w:t>
      </w:r>
    </w:p>
    <w:p>
      <w:pPr>
        <w:keepNext w:val="0"/>
        <w:keepLines w:val="0"/>
        <w:pageBreakBefore w:val="0"/>
        <w:widowControl w:val="0"/>
        <w:kinsoku/>
        <w:wordWrap w:val="0"/>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合同的变更和终止</w:t>
      </w:r>
    </w:p>
    <w:p>
      <w:pPr>
        <w:keepNext w:val="0"/>
        <w:keepLines w:val="0"/>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除《政府采购法》第49条、第50条第二款规定的情形外，本合同一经签订，甲乙双方不得擅自终止合同或对合同实质性条款进行变更。确有特殊情况的，须经同级财政部门备案同意。</w:t>
      </w:r>
    </w:p>
    <w:p>
      <w:pPr>
        <w:keepNext w:val="0"/>
        <w:keepLines w:val="0"/>
        <w:pageBreakBefore w:val="0"/>
        <w:widowControl w:val="0"/>
        <w:kinsoku/>
        <w:wordWrap w:val="0"/>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十一、合同的转让与分包</w:t>
      </w:r>
    </w:p>
    <w:p>
      <w:pPr>
        <w:pStyle w:val="14"/>
        <w:keepNext w:val="0"/>
        <w:keepLines w:val="0"/>
        <w:pageBreakBefore w:val="0"/>
        <w:widowControl w:val="0"/>
        <w:kinsoku/>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乙方不得擅自部分或全部转让其应履行的合同义务。乙方分包的，应经过甲方书面同意。</w:t>
      </w:r>
    </w:p>
    <w:p>
      <w:pPr>
        <w:pStyle w:val="14"/>
        <w:keepNext w:val="0"/>
        <w:keepLines w:val="0"/>
        <w:pageBreakBefore w:val="0"/>
        <w:widowControl w:val="0"/>
        <w:kinsoku/>
        <w:overflowPunct/>
        <w:topLinePunct w:val="0"/>
        <w:autoSpaceDE/>
        <w:autoSpaceDN/>
        <w:bidi w:val="0"/>
        <w:adjustRightInd/>
        <w:snapToGrid/>
        <w:spacing w:line="360" w:lineRule="auto"/>
        <w:ind w:left="0" w:leftChars="0" w:firstLine="422" w:firstLineChars="200"/>
        <w:textAlignment w:val="auto"/>
        <w:rPr>
          <w:rFonts w:hint="eastAsia" w:ascii="宋体" w:hAnsi="宋体" w:eastAsia="宋体" w:cs="宋体"/>
          <w:b/>
          <w:bCs/>
          <w:color w:val="auto"/>
          <w:spacing w:val="0"/>
          <w:sz w:val="21"/>
          <w:szCs w:val="21"/>
          <w:highlight w:val="none"/>
        </w:rPr>
      </w:pPr>
      <w:r>
        <w:rPr>
          <w:rFonts w:hint="eastAsia" w:hAnsi="宋体" w:eastAsia="宋体" w:cs="宋体"/>
          <w:b/>
          <w:bCs/>
          <w:color w:val="auto"/>
          <w:spacing w:val="0"/>
          <w:sz w:val="21"/>
          <w:szCs w:val="21"/>
          <w:highlight w:val="none"/>
          <w:lang w:eastAsia="zh-CN"/>
        </w:rPr>
        <w:t>十二、</w:t>
      </w:r>
      <w:r>
        <w:rPr>
          <w:rFonts w:hint="eastAsia" w:ascii="宋体" w:hAnsi="宋体" w:eastAsia="宋体" w:cs="宋体"/>
          <w:b/>
          <w:bCs/>
          <w:color w:val="auto"/>
          <w:spacing w:val="0"/>
          <w:sz w:val="21"/>
          <w:szCs w:val="21"/>
          <w:highlight w:val="none"/>
        </w:rPr>
        <w:t>争议的解决办法</w:t>
      </w:r>
    </w:p>
    <w:p>
      <w:pPr>
        <w:pStyle w:val="14"/>
        <w:keepNext w:val="0"/>
        <w:keepLines w:val="0"/>
        <w:pageBreakBefore w:val="0"/>
        <w:widowControl w:val="0"/>
        <w:kinsoku/>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在合同履行过程中发生争议，双方应当协商解决</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双方不愿协商、调解解决或者协商、调解不成的，双方商定，采用以下第（一）种方式解决。</w:t>
      </w:r>
    </w:p>
    <w:p>
      <w:pPr>
        <w:pStyle w:val="14"/>
        <w:keepNext w:val="0"/>
        <w:keepLines w:val="0"/>
        <w:pageBreakBefore w:val="0"/>
        <w:widowControl w:val="0"/>
        <w:kinsoku/>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（一）因本合同所发生任何争议，申请舟山仲裁委员会仲裁；</w:t>
      </w:r>
    </w:p>
    <w:p>
      <w:pPr>
        <w:pStyle w:val="14"/>
        <w:keepNext w:val="0"/>
        <w:keepLines w:val="0"/>
        <w:pageBreakBefore w:val="0"/>
        <w:widowControl w:val="0"/>
        <w:kinsoku/>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（二）按司法程序解决。</w:t>
      </w:r>
    </w:p>
    <w:p>
      <w:pPr>
        <w:keepNext w:val="0"/>
        <w:keepLines w:val="0"/>
        <w:pageBreakBefore w:val="0"/>
        <w:widowControl w:val="0"/>
        <w:kinsoku/>
        <w:wordWrap w:val="0"/>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spacing w:val="0"/>
          <w:sz w:val="21"/>
          <w:szCs w:val="21"/>
          <w:highlight w:val="none"/>
          <w:lang w:eastAsia="zh-CN"/>
        </w:rPr>
        <w:t>十</w:t>
      </w:r>
      <w:r>
        <w:rPr>
          <w:rFonts w:hint="eastAsia" w:hAnsi="宋体" w:cs="宋体"/>
          <w:b/>
          <w:bCs/>
          <w:color w:val="auto"/>
          <w:spacing w:val="0"/>
          <w:sz w:val="21"/>
          <w:szCs w:val="21"/>
          <w:highlight w:val="none"/>
          <w:lang w:eastAsia="zh-CN"/>
        </w:rPr>
        <w:t>三</w:t>
      </w:r>
      <w:r>
        <w:rPr>
          <w:rFonts w:hint="eastAsia" w:ascii="宋体" w:hAnsi="宋体" w:eastAsia="宋体" w:cs="宋体"/>
          <w:b/>
          <w:bCs/>
          <w:color w:val="auto"/>
          <w:spacing w:val="0"/>
          <w:sz w:val="21"/>
          <w:szCs w:val="21"/>
          <w:highlight w:val="none"/>
        </w:rPr>
        <w:t>、</w:t>
      </w:r>
      <w:r>
        <w:rPr>
          <w:rFonts w:hint="eastAsia" w:ascii="宋体" w:hAnsi="宋体" w:eastAsia="宋体" w:cs="宋体"/>
          <w:b/>
          <w:bCs/>
          <w:color w:val="auto"/>
          <w:highlight w:val="none"/>
        </w:rPr>
        <w:t>合同的生效及其他</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ascii="宋体" w:hAnsi="宋体"/>
          <w:color w:val="auto"/>
          <w:highlight w:val="none"/>
        </w:rPr>
      </w:pPr>
      <w:r>
        <w:rPr>
          <w:rFonts w:hint="eastAsia" w:ascii="宋体" w:hAnsi="宋体"/>
          <w:color w:val="auto"/>
          <w:highlight w:val="none"/>
        </w:rPr>
        <w:t>1、</w:t>
      </w:r>
      <w:r>
        <w:rPr>
          <w:rFonts w:ascii="宋体" w:hAnsi="宋体"/>
          <w:color w:val="auto"/>
          <w:highlight w:val="none"/>
        </w:rPr>
        <w:t>本合同经双方签字盖章之日起生效，甲、乙双方即开始履行各自的职责</w:t>
      </w:r>
      <w:r>
        <w:rPr>
          <w:rFonts w:hint="eastAsia" w:ascii="宋体" w:hAnsi="宋体"/>
          <w:color w:val="auto"/>
          <w:highlight w:val="none"/>
        </w:rPr>
        <w:t>。</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ascii="宋体" w:hAnsi="宋体"/>
          <w:color w:val="auto"/>
          <w:highlight w:val="none"/>
        </w:rPr>
      </w:pPr>
      <w:r>
        <w:rPr>
          <w:rFonts w:hint="eastAsia" w:ascii="宋体" w:hAnsi="宋体"/>
          <w:color w:val="auto"/>
          <w:highlight w:val="none"/>
        </w:rPr>
        <w:t>2、本合同自双方合同义务履行完毕后终止。在合同履行期间，如任何一方单方提出终止合同，给对方造成损失的，除不可归责于该方的事由以外，应当赔偿损失。</w:t>
      </w:r>
      <w:r>
        <w:rPr>
          <w:rFonts w:ascii="宋体" w:hAnsi="宋体"/>
          <w:color w:val="auto"/>
          <w:highlight w:val="none"/>
        </w:rPr>
        <w:t xml:space="preserve"> </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ascii="宋体" w:hAnsi="宋体"/>
          <w:color w:val="auto"/>
          <w:highlight w:val="none"/>
        </w:rPr>
      </w:pPr>
      <w:r>
        <w:rPr>
          <w:rFonts w:hint="eastAsia" w:ascii="宋体" w:hAnsi="宋体"/>
          <w:color w:val="auto"/>
          <w:highlight w:val="none"/>
        </w:rPr>
        <w:t>3、</w:t>
      </w:r>
      <w:r>
        <w:rPr>
          <w:rFonts w:ascii="宋体" w:hAnsi="宋体"/>
          <w:color w:val="auto"/>
          <w:highlight w:val="none"/>
        </w:rPr>
        <w:t>因非甲、乙双方原因需要终止合同的，甲、乙双方应协商妥善处理相关事宜；</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ascii="宋体" w:hAnsi="宋体"/>
          <w:color w:val="auto"/>
          <w:highlight w:val="none"/>
        </w:rPr>
      </w:pPr>
      <w:r>
        <w:rPr>
          <w:rFonts w:hint="eastAsia" w:ascii="宋体" w:hAnsi="宋体"/>
          <w:color w:val="auto"/>
          <w:highlight w:val="none"/>
        </w:rPr>
        <w:t>4、本合同未尽事宜，遵照《</w:t>
      </w:r>
      <w:r>
        <w:rPr>
          <w:rFonts w:hint="eastAsia" w:ascii="宋体" w:hAnsi="宋体"/>
          <w:color w:val="auto"/>
          <w:highlight w:val="none"/>
          <w:lang w:eastAsia="zh-CN"/>
        </w:rPr>
        <w:t>民法典</w:t>
      </w:r>
      <w:r>
        <w:rPr>
          <w:rFonts w:hint="eastAsia" w:ascii="宋体" w:hAnsi="宋体"/>
          <w:color w:val="auto"/>
          <w:highlight w:val="none"/>
        </w:rPr>
        <w:t>》有关条文执行。</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ascii="宋体" w:hAnsi="宋体"/>
          <w:color w:val="auto"/>
          <w:highlight w:val="none"/>
        </w:rPr>
      </w:pPr>
      <w:r>
        <w:rPr>
          <w:rFonts w:hint="eastAsia" w:ascii="宋体" w:hAnsi="宋体"/>
          <w:color w:val="auto"/>
          <w:highlight w:val="none"/>
        </w:rPr>
        <w:t>5、本合同正本一式四份，具有同等法律效力，甲乙双方各执二份。(如</w:t>
      </w:r>
      <w:r>
        <w:rPr>
          <w:rFonts w:hint="eastAsia" w:ascii="宋体" w:hAnsi="宋体"/>
          <w:color w:val="auto"/>
          <w:highlight w:val="none"/>
          <w:lang w:eastAsia="zh-CN"/>
        </w:rPr>
        <w:t>甲方</w:t>
      </w:r>
      <w:r>
        <w:rPr>
          <w:rFonts w:hint="eastAsia" w:ascii="宋体" w:hAnsi="宋体"/>
          <w:color w:val="auto"/>
          <w:highlight w:val="none"/>
        </w:rPr>
        <w:t>需要可增签合同份数)</w:t>
      </w:r>
    </w:p>
    <w:p>
      <w:pPr>
        <w:keepNext w:val="0"/>
        <w:keepLines w:val="0"/>
        <w:pageBreakBefore w:val="0"/>
        <w:kinsoku/>
        <w:wordWrap w:val="0"/>
        <w:overflowPunct/>
        <w:topLinePunct w:val="0"/>
        <w:autoSpaceDE/>
        <w:autoSpaceDN/>
        <w:bidi w:val="0"/>
        <w:spacing w:line="440" w:lineRule="exact"/>
        <w:ind w:firstLine="420" w:firstLineChars="200"/>
        <w:textAlignment w:val="auto"/>
        <w:rPr>
          <w:rFonts w:ascii="宋体" w:hAnsi="宋体"/>
          <w:color w:val="auto"/>
          <w:highlight w:val="none"/>
        </w:rPr>
      </w:pPr>
    </w:p>
    <w:p>
      <w:pPr>
        <w:keepNext w:val="0"/>
        <w:keepLines w:val="0"/>
        <w:pageBreakBefore w:val="0"/>
        <w:kinsoku/>
        <w:wordWrap w:val="0"/>
        <w:overflowPunct/>
        <w:topLinePunct w:val="0"/>
        <w:autoSpaceDE/>
        <w:autoSpaceDN/>
        <w:bidi w:val="0"/>
        <w:spacing w:line="440" w:lineRule="exact"/>
        <w:ind w:firstLine="420" w:firstLineChars="200"/>
        <w:textAlignment w:val="auto"/>
        <w:rPr>
          <w:rFonts w:ascii="宋体" w:hAnsi="宋体"/>
          <w:color w:val="auto"/>
          <w:sz w:val="21"/>
          <w:szCs w:val="21"/>
          <w:highlight w:val="none"/>
        </w:rPr>
      </w:pPr>
    </w:p>
    <w:p>
      <w:pPr>
        <w:keepNext w:val="0"/>
        <w:keepLines w:val="0"/>
        <w:pageBreakBefore w:val="0"/>
        <w:kinsoku/>
        <w:wordWrap w:val="0"/>
        <w:overflowPunct/>
        <w:topLinePunct w:val="0"/>
        <w:autoSpaceDE/>
        <w:autoSpaceDN/>
        <w:bidi w:val="0"/>
        <w:spacing w:line="440" w:lineRule="exact"/>
        <w:ind w:firstLine="420" w:firstLineChars="200"/>
        <w:textAlignment w:val="auto"/>
        <w:rPr>
          <w:rFonts w:ascii="宋体" w:hAnsi="宋体"/>
          <w:color w:val="auto"/>
          <w:sz w:val="21"/>
          <w:szCs w:val="21"/>
          <w:highlight w:val="none"/>
        </w:rPr>
      </w:pP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甲方（盖章）：                          乙方（盖章）：</w:t>
      </w: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法定代表人：                            法定代表人：</w:t>
      </w: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或授权代表（签字）：                    或授权代表（签字）：</w:t>
      </w: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地址：                                  地址：</w:t>
      </w: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电话：                                  电话：</w:t>
      </w: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开户银行及账号：</w:t>
      </w:r>
    </w:p>
    <w:p>
      <w:pPr>
        <w:keepNext w:val="0"/>
        <w:keepLines w:val="0"/>
        <w:pageBreakBefore w:val="0"/>
        <w:kinsoku/>
        <w:wordWrap w:val="0"/>
        <w:overflowPunct/>
        <w:topLinePunct w:val="0"/>
        <w:autoSpaceDE/>
        <w:autoSpaceDN/>
        <w:bidi w:val="0"/>
        <w:spacing w:line="440" w:lineRule="exact"/>
        <w:textAlignment w:val="auto"/>
        <w:rPr>
          <w:rFonts w:ascii="宋体" w:hAnsi="宋体"/>
          <w:color w:val="auto"/>
          <w:highlight w:val="none"/>
        </w:rPr>
      </w:pPr>
    </w:p>
    <w:p>
      <w:pPr>
        <w:keepNext w:val="0"/>
        <w:keepLines w:val="0"/>
        <w:pageBreakBefore w:val="0"/>
        <w:kinsoku/>
        <w:wordWrap w:val="0"/>
        <w:overflowPunct/>
        <w:topLinePunct w:val="0"/>
        <w:autoSpaceDE/>
        <w:autoSpaceDN/>
        <w:bidi w:val="0"/>
        <w:spacing w:line="440" w:lineRule="exact"/>
        <w:ind w:right="3" w:firstLine="322" w:firstLineChars="147"/>
        <w:jc w:val="left"/>
        <w:textAlignment w:val="auto"/>
        <w:rPr>
          <w:rFonts w:ascii="宋体" w:hAnsi="宋体"/>
          <w:b/>
          <w:color w:val="auto"/>
          <w:spacing w:val="4"/>
          <w:highlight w:val="none"/>
        </w:rPr>
      </w:pPr>
    </w:p>
    <w:p>
      <w:pPr>
        <w:keepNext w:val="0"/>
        <w:keepLines w:val="0"/>
        <w:pageBreakBefore w:val="0"/>
        <w:kinsoku/>
        <w:wordWrap w:val="0"/>
        <w:overflowPunct/>
        <w:topLinePunct w:val="0"/>
        <w:autoSpaceDE/>
        <w:autoSpaceDN/>
        <w:bidi w:val="0"/>
        <w:spacing w:line="440" w:lineRule="exact"/>
        <w:ind w:right="3"/>
        <w:jc w:val="left"/>
        <w:textAlignment w:val="auto"/>
        <w:rPr>
          <w:rFonts w:ascii="宋体" w:hAnsi="宋体"/>
          <w:color w:val="auto"/>
          <w:spacing w:val="4"/>
          <w:highlight w:val="none"/>
        </w:rPr>
      </w:pPr>
    </w:p>
    <w:p>
      <w:pPr>
        <w:keepNext w:val="0"/>
        <w:keepLines w:val="0"/>
        <w:pageBreakBefore w:val="0"/>
        <w:widowControl/>
        <w:kinsoku/>
        <w:wordWrap w:val="0"/>
        <w:overflowPunct/>
        <w:topLinePunct w:val="0"/>
        <w:autoSpaceDE/>
        <w:autoSpaceDN/>
        <w:bidi w:val="0"/>
        <w:spacing w:line="440" w:lineRule="exact"/>
        <w:jc w:val="left"/>
        <w:textAlignment w:val="auto"/>
        <w:rPr>
          <w:rFonts w:ascii="宋体" w:hAnsi="宋体" w:cs="宋体"/>
          <w:b/>
          <w:color w:val="auto"/>
          <w:sz w:val="28"/>
          <w:szCs w:val="32"/>
          <w:highlight w:val="none"/>
        </w:rPr>
        <w:sectPr>
          <w:pgSz w:w="11907" w:h="16840"/>
          <w:pgMar w:top="1440" w:right="1440" w:bottom="1440" w:left="1440" w:header="851" w:footer="567" w:gutter="0"/>
          <w:pgNumType w:fmt="decimal"/>
          <w:cols w:space="720" w:num="1"/>
          <w:titlePg/>
        </w:sectPr>
      </w:pPr>
    </w:p>
    <w:p>
      <w:pPr>
        <w:pStyle w:val="5"/>
        <w:spacing w:after="156"/>
        <w:rPr>
          <w:color w:val="auto"/>
          <w:highlight w:val="none"/>
        </w:rPr>
      </w:pPr>
      <w:bookmarkStart w:id="28" w:name="_Toc72432388"/>
      <w:r>
        <w:rPr>
          <w:rFonts w:hint="eastAsia"/>
          <w:color w:val="auto"/>
          <w:highlight w:val="none"/>
        </w:rPr>
        <w:t>投标文件</w:t>
      </w:r>
      <w:r>
        <w:rPr>
          <w:rFonts w:hint="eastAsia"/>
          <w:color w:val="auto"/>
          <w:highlight w:val="none"/>
          <w:lang w:eastAsia="zh-CN"/>
        </w:rPr>
        <w:t>组成及</w:t>
      </w:r>
      <w:r>
        <w:rPr>
          <w:rFonts w:hint="eastAsia"/>
          <w:color w:val="auto"/>
          <w:highlight w:val="none"/>
        </w:rPr>
        <w:t>相关格式</w:t>
      </w:r>
      <w:bookmarkEnd w:id="28"/>
    </w:p>
    <w:p>
      <w:pPr>
        <w:pStyle w:val="108"/>
        <w:rPr>
          <w:rFonts w:hint="eastAsia"/>
          <w:color w:val="auto"/>
          <w:highlight w:val="none"/>
          <w:lang w:eastAsia="zh-CN"/>
        </w:rPr>
      </w:pPr>
    </w:p>
    <w:p>
      <w:pPr>
        <w:snapToGrid w:val="0"/>
        <w:spacing w:line="360" w:lineRule="auto"/>
        <w:ind w:firstLine="417" w:firstLineChars="198"/>
        <w:rPr>
          <w:rFonts w:hint="eastAsia" w:ascii="宋体" w:hAnsi="宋体" w:cs="宋体"/>
          <w:b/>
          <w:color w:val="auto"/>
          <w:szCs w:val="21"/>
          <w:highlight w:val="none"/>
        </w:rPr>
      </w:pPr>
      <w:r>
        <w:rPr>
          <w:rFonts w:hint="eastAsia" w:ascii="宋体" w:hAnsi="宋体" w:cs="宋体"/>
          <w:b/>
          <w:color w:val="auto"/>
          <w:szCs w:val="21"/>
          <w:highlight w:val="none"/>
        </w:rPr>
        <w:t>投标文件由</w:t>
      </w:r>
      <w:r>
        <w:rPr>
          <w:rFonts w:hint="eastAsia" w:ascii="宋体" w:hAnsi="宋体" w:cs="宋体"/>
          <w:b/>
          <w:color w:val="auto"/>
          <w:szCs w:val="21"/>
          <w:highlight w:val="none"/>
          <w:lang w:val="en-US" w:eastAsia="zh-CN"/>
        </w:rPr>
        <w:t>资格审查文件、商务及技术文件</w:t>
      </w:r>
      <w:r>
        <w:rPr>
          <w:rFonts w:hint="eastAsia" w:hAnsi="宋体" w:cs="宋体"/>
          <w:b/>
          <w:color w:val="auto"/>
          <w:szCs w:val="21"/>
          <w:highlight w:val="none"/>
          <w:lang w:val="en-US" w:eastAsia="zh-CN"/>
        </w:rPr>
        <w:t>、</w:t>
      </w:r>
      <w:r>
        <w:rPr>
          <w:rFonts w:hint="eastAsia" w:ascii="宋体" w:hAnsi="宋体" w:cs="宋体"/>
          <w:b/>
          <w:color w:val="auto"/>
          <w:szCs w:val="21"/>
          <w:highlight w:val="none"/>
          <w:lang w:val="en-US" w:eastAsia="zh-CN"/>
        </w:rPr>
        <w:t>报价文件组成</w:t>
      </w:r>
      <w:r>
        <w:rPr>
          <w:rFonts w:hint="eastAsia" w:ascii="宋体" w:hAnsi="宋体" w:cs="宋体"/>
          <w:b/>
          <w:color w:val="auto"/>
          <w:szCs w:val="21"/>
          <w:highlight w:val="none"/>
        </w:rPr>
        <w:t>。投标文件中涉及的有关内容均须提供合法有效的证明材料复印件。（复印件未加盖公章作无效处理，特别注明的除外，有▲标识的条款为必须提交的资料）</w:t>
      </w:r>
    </w:p>
    <w:p>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hAnsi="宋体" w:cs="宋体"/>
          <w:b/>
          <w:color w:val="auto"/>
          <w:szCs w:val="21"/>
          <w:highlight w:val="none"/>
          <w:lang w:val="en-US" w:eastAsia="zh-CN"/>
        </w:rPr>
        <w:t>1</w:t>
      </w:r>
      <w:r>
        <w:rPr>
          <w:rFonts w:hint="eastAsia" w:ascii="宋体" w:hAnsi="宋体" w:cs="宋体"/>
          <w:b/>
          <w:color w:val="auto"/>
          <w:szCs w:val="21"/>
          <w:highlight w:val="none"/>
        </w:rPr>
        <w:t>、资格</w:t>
      </w:r>
      <w:r>
        <w:rPr>
          <w:rFonts w:hint="eastAsia" w:hAnsi="宋体" w:cs="宋体"/>
          <w:b/>
          <w:color w:val="auto"/>
          <w:szCs w:val="21"/>
          <w:highlight w:val="none"/>
          <w:lang w:eastAsia="zh-CN"/>
        </w:rPr>
        <w:t>审查</w:t>
      </w:r>
      <w:r>
        <w:rPr>
          <w:rFonts w:hint="eastAsia" w:ascii="宋体" w:hAnsi="宋体" w:cs="宋体"/>
          <w:b/>
          <w:color w:val="auto"/>
          <w:szCs w:val="21"/>
          <w:highlight w:val="none"/>
        </w:rPr>
        <w:t>文件部分</w:t>
      </w:r>
    </w:p>
    <w:p>
      <w:pPr>
        <w:snapToGrid w:val="0"/>
        <w:spacing w:line="360" w:lineRule="auto"/>
        <w:ind w:firstLine="420" w:firstLineChars="200"/>
        <w:jc w:val="left"/>
        <w:rPr>
          <w:rFonts w:hint="eastAsia" w:ascii="宋体" w:hAnsi="宋体"/>
          <w:color w:val="auto"/>
          <w:szCs w:val="24"/>
          <w:highlight w:val="none"/>
          <w:lang w:eastAsia="zh-CN"/>
        </w:rPr>
      </w:pPr>
      <w:r>
        <w:rPr>
          <w:rFonts w:hint="eastAsia" w:hAnsi="宋体"/>
          <w:color w:val="auto"/>
          <w:szCs w:val="24"/>
          <w:highlight w:val="none"/>
          <w:lang w:val="en-US" w:eastAsia="zh-CN"/>
        </w:rPr>
        <w:t>1.1</w:t>
      </w:r>
      <w:r>
        <w:rPr>
          <w:rFonts w:hint="eastAsia" w:ascii="宋体" w:hAnsi="宋体"/>
          <w:color w:val="auto"/>
          <w:szCs w:val="24"/>
          <w:highlight w:val="none"/>
          <w:lang w:eastAsia="zh-CN"/>
        </w:rPr>
        <w:t>投标人“多证合一”的营业执照</w:t>
      </w:r>
      <w:r>
        <w:rPr>
          <w:rFonts w:hint="eastAsia" w:ascii="宋体" w:hAnsi="宋体"/>
          <w:color w:val="auto"/>
          <w:szCs w:val="24"/>
          <w:highlight w:val="none"/>
          <w:lang w:val="en-US" w:eastAsia="zh-CN"/>
        </w:rPr>
        <w:t>或事业单位法人证书</w:t>
      </w:r>
      <w:r>
        <w:rPr>
          <w:rFonts w:hint="eastAsia" w:ascii="宋体" w:hAnsi="宋体"/>
          <w:color w:val="auto"/>
          <w:szCs w:val="24"/>
          <w:highlight w:val="none"/>
          <w:lang w:eastAsia="zh-CN"/>
        </w:rPr>
        <w:t>复印件；</w:t>
      </w:r>
    </w:p>
    <w:p>
      <w:pPr>
        <w:snapToGrid w:val="0"/>
        <w:spacing w:line="360" w:lineRule="auto"/>
        <w:ind w:firstLine="420" w:firstLineChars="200"/>
        <w:jc w:val="left"/>
        <w:rPr>
          <w:rFonts w:hint="eastAsia" w:hAnsi="宋体" w:eastAsia="宋体"/>
          <w:color w:val="auto"/>
          <w:szCs w:val="24"/>
          <w:highlight w:val="none"/>
          <w:lang w:val="en-US" w:eastAsia="zh-CN"/>
        </w:rPr>
      </w:pPr>
      <w:r>
        <w:rPr>
          <w:rFonts w:hint="eastAsia" w:hAnsi="宋体"/>
          <w:color w:val="auto"/>
          <w:szCs w:val="24"/>
          <w:highlight w:val="none"/>
          <w:lang w:val="en-US" w:eastAsia="zh-CN"/>
        </w:rPr>
        <w:t>1.2投标人的测绘证书和</w:t>
      </w:r>
      <w:r>
        <w:rPr>
          <w:rFonts w:hint="eastAsia" w:ascii="宋体" w:hAnsi="宋体" w:cs="宋体"/>
          <w:color w:val="auto"/>
          <w:szCs w:val="21"/>
          <w:highlight w:val="none"/>
        </w:rPr>
        <w:t>计量认证资质证书（CMA）</w:t>
      </w:r>
      <w:r>
        <w:rPr>
          <w:rFonts w:hint="eastAsia" w:hAnsi="宋体" w:cs="宋体"/>
          <w:color w:val="auto"/>
          <w:szCs w:val="21"/>
          <w:highlight w:val="none"/>
          <w:lang w:eastAsia="zh-CN"/>
        </w:rPr>
        <w:t>的复印件；</w:t>
      </w:r>
    </w:p>
    <w:p>
      <w:pPr>
        <w:snapToGrid w:val="0"/>
        <w:spacing w:line="360" w:lineRule="auto"/>
        <w:ind w:firstLine="420" w:firstLineChars="200"/>
        <w:jc w:val="left"/>
        <w:rPr>
          <w:rFonts w:hint="eastAsia" w:ascii="宋体" w:hAnsi="宋体"/>
          <w:color w:val="auto"/>
          <w:szCs w:val="24"/>
          <w:highlight w:val="none"/>
          <w:lang w:eastAsia="zh-CN"/>
        </w:rPr>
      </w:pPr>
      <w:r>
        <w:rPr>
          <w:rFonts w:hint="eastAsia" w:hAnsi="宋体"/>
          <w:color w:val="auto"/>
          <w:szCs w:val="24"/>
          <w:highlight w:val="none"/>
          <w:lang w:val="en-US" w:eastAsia="zh-CN"/>
        </w:rPr>
        <w:t>1.3</w:t>
      </w:r>
      <w:r>
        <w:rPr>
          <w:rFonts w:hint="eastAsia" w:ascii="宋体" w:hAnsi="宋体"/>
          <w:color w:val="auto"/>
          <w:szCs w:val="24"/>
          <w:highlight w:val="none"/>
          <w:lang w:eastAsia="zh-CN"/>
        </w:rPr>
        <w:t>投标函；（格式</w:t>
      </w:r>
      <w:r>
        <w:rPr>
          <w:rFonts w:hint="eastAsia" w:hAnsi="宋体"/>
          <w:color w:val="auto"/>
          <w:szCs w:val="24"/>
          <w:highlight w:val="none"/>
          <w:lang w:eastAsia="zh-CN"/>
        </w:rPr>
        <w:t>附后</w:t>
      </w:r>
      <w:r>
        <w:rPr>
          <w:rFonts w:hint="eastAsia" w:ascii="宋体" w:hAnsi="宋体"/>
          <w:color w:val="auto"/>
          <w:szCs w:val="24"/>
          <w:highlight w:val="none"/>
          <w:lang w:eastAsia="zh-CN"/>
        </w:rPr>
        <w:t>）</w:t>
      </w:r>
    </w:p>
    <w:p>
      <w:pPr>
        <w:snapToGrid w:val="0"/>
        <w:spacing w:line="360" w:lineRule="auto"/>
        <w:ind w:firstLine="420" w:firstLineChars="200"/>
        <w:jc w:val="left"/>
        <w:rPr>
          <w:rFonts w:hint="default" w:ascii="宋体" w:hAnsi="宋体"/>
          <w:color w:val="auto"/>
          <w:szCs w:val="24"/>
          <w:highlight w:val="none"/>
          <w:lang w:val="en-US" w:eastAsia="zh-CN"/>
        </w:rPr>
      </w:pPr>
      <w:r>
        <w:rPr>
          <w:rFonts w:hint="eastAsia" w:hAnsi="宋体"/>
          <w:color w:val="auto"/>
          <w:szCs w:val="24"/>
          <w:highlight w:val="none"/>
          <w:lang w:val="en-US" w:eastAsia="zh-CN"/>
        </w:rPr>
        <w:t>1.4资格承诺</w:t>
      </w:r>
      <w:r>
        <w:rPr>
          <w:rFonts w:hint="eastAsia" w:ascii="宋体" w:hAnsi="宋体"/>
          <w:color w:val="auto"/>
          <w:szCs w:val="24"/>
          <w:highlight w:val="none"/>
          <w:lang w:val="en-US" w:eastAsia="zh-CN"/>
        </w:rPr>
        <w:t>函；</w:t>
      </w:r>
      <w:r>
        <w:rPr>
          <w:rFonts w:hint="eastAsia" w:ascii="宋体" w:hAnsi="宋体"/>
          <w:color w:val="auto"/>
          <w:szCs w:val="24"/>
          <w:highlight w:val="none"/>
          <w:lang w:eastAsia="zh-CN"/>
        </w:rPr>
        <w:t>（格式</w:t>
      </w:r>
      <w:r>
        <w:rPr>
          <w:rFonts w:hint="eastAsia" w:hAnsi="宋体"/>
          <w:color w:val="auto"/>
          <w:szCs w:val="24"/>
          <w:highlight w:val="none"/>
          <w:lang w:eastAsia="zh-CN"/>
        </w:rPr>
        <w:t>附后</w:t>
      </w:r>
      <w:r>
        <w:rPr>
          <w:rFonts w:hint="eastAsia" w:ascii="宋体" w:hAnsi="宋体"/>
          <w:color w:val="auto"/>
          <w:szCs w:val="24"/>
          <w:highlight w:val="none"/>
          <w:lang w:eastAsia="zh-CN"/>
        </w:rPr>
        <w:t>）</w:t>
      </w:r>
    </w:p>
    <w:p>
      <w:pPr>
        <w:snapToGrid w:val="0"/>
        <w:spacing w:line="360" w:lineRule="auto"/>
        <w:ind w:firstLine="420" w:firstLineChars="200"/>
        <w:jc w:val="left"/>
        <w:rPr>
          <w:rFonts w:hint="eastAsia" w:ascii="宋体" w:hAnsi="宋体"/>
          <w:color w:val="auto"/>
          <w:szCs w:val="24"/>
          <w:highlight w:val="none"/>
          <w:lang w:eastAsia="zh-CN"/>
        </w:rPr>
      </w:pPr>
      <w:r>
        <w:rPr>
          <w:rFonts w:hint="eastAsia" w:hAnsi="宋体"/>
          <w:color w:val="auto"/>
          <w:szCs w:val="24"/>
          <w:highlight w:val="none"/>
          <w:lang w:val="en-US" w:eastAsia="zh-CN"/>
        </w:rPr>
        <w:t>1.5</w:t>
      </w:r>
      <w:r>
        <w:rPr>
          <w:rFonts w:hint="eastAsia" w:ascii="宋体" w:hAnsi="宋体"/>
          <w:color w:val="auto"/>
          <w:szCs w:val="24"/>
          <w:highlight w:val="none"/>
          <w:lang w:eastAsia="zh-CN"/>
        </w:rPr>
        <w:t>投标人法定代表人身份证复印件；</w:t>
      </w:r>
    </w:p>
    <w:p>
      <w:pPr>
        <w:snapToGrid w:val="0"/>
        <w:spacing w:line="360" w:lineRule="auto"/>
        <w:jc w:val="left"/>
        <w:rPr>
          <w:rFonts w:hint="eastAsia" w:ascii="宋体" w:hAnsi="宋体"/>
          <w:color w:val="auto"/>
          <w:szCs w:val="24"/>
          <w:highlight w:val="none"/>
          <w:lang w:eastAsia="zh-CN"/>
        </w:rPr>
      </w:pPr>
      <w:r>
        <w:rPr>
          <w:rFonts w:hint="eastAsia" w:hAnsi="宋体"/>
          <w:color w:val="auto"/>
          <w:szCs w:val="24"/>
          <w:highlight w:val="none"/>
          <w:lang w:val="en-US" w:eastAsia="zh-CN"/>
        </w:rPr>
        <w:t>1.6</w:t>
      </w:r>
      <w:r>
        <w:rPr>
          <w:rFonts w:hint="eastAsia" w:ascii="宋体" w:hAnsi="宋体"/>
          <w:color w:val="auto"/>
          <w:szCs w:val="24"/>
          <w:highlight w:val="none"/>
          <w:lang w:eastAsia="zh-CN"/>
        </w:rPr>
        <w:t>法定代表人授权函，非法定代表人参加投标时提供；（格式</w:t>
      </w:r>
      <w:r>
        <w:rPr>
          <w:rFonts w:hint="eastAsia" w:hAnsi="宋体"/>
          <w:color w:val="auto"/>
          <w:szCs w:val="24"/>
          <w:highlight w:val="none"/>
          <w:lang w:eastAsia="zh-CN"/>
        </w:rPr>
        <w:t>附后</w:t>
      </w:r>
      <w:r>
        <w:rPr>
          <w:rFonts w:hint="eastAsia" w:ascii="宋体" w:hAnsi="宋体"/>
          <w:color w:val="auto"/>
          <w:szCs w:val="24"/>
          <w:highlight w:val="none"/>
          <w:lang w:eastAsia="zh-CN"/>
        </w:rPr>
        <w:t>）</w:t>
      </w:r>
    </w:p>
    <w:p>
      <w:pPr>
        <w:snapToGrid w:val="0"/>
        <w:spacing w:line="360" w:lineRule="auto"/>
        <w:ind w:firstLine="420" w:firstLineChars="200"/>
        <w:jc w:val="left"/>
        <w:rPr>
          <w:rFonts w:hint="eastAsia" w:hAnsi="宋体"/>
          <w:color w:val="auto"/>
          <w:szCs w:val="24"/>
          <w:highlight w:val="none"/>
          <w:lang w:eastAsia="zh-CN"/>
        </w:rPr>
      </w:pPr>
      <w:r>
        <w:rPr>
          <w:rFonts w:hint="eastAsia" w:hAnsi="宋体"/>
          <w:color w:val="auto"/>
          <w:szCs w:val="24"/>
          <w:highlight w:val="none"/>
          <w:lang w:val="en-US" w:eastAsia="zh-CN"/>
        </w:rPr>
        <w:t>1.7</w:t>
      </w:r>
      <w:r>
        <w:rPr>
          <w:rFonts w:hint="eastAsia" w:ascii="宋体" w:hAnsi="宋体"/>
          <w:color w:val="auto"/>
          <w:szCs w:val="24"/>
          <w:highlight w:val="none"/>
          <w:lang w:eastAsia="zh-CN"/>
        </w:rPr>
        <w:t>投标人代表身份证复印件，非法定代表人参加投标时提供</w:t>
      </w:r>
      <w:r>
        <w:rPr>
          <w:rFonts w:hint="eastAsia" w:hAnsi="宋体"/>
          <w:color w:val="auto"/>
          <w:szCs w:val="24"/>
          <w:highlight w:val="none"/>
          <w:lang w:eastAsia="zh-CN"/>
        </w:rPr>
        <w:t>；</w:t>
      </w:r>
    </w:p>
    <w:p>
      <w:pPr>
        <w:snapToGrid w:val="0"/>
        <w:spacing w:line="360" w:lineRule="auto"/>
        <w:jc w:val="left"/>
        <w:rPr>
          <w:rFonts w:hint="eastAsia" w:ascii="宋体" w:hAnsi="宋体" w:cs="宋体"/>
          <w:b/>
          <w:color w:val="auto"/>
          <w:szCs w:val="21"/>
          <w:highlight w:val="none"/>
        </w:rPr>
      </w:pPr>
      <w:r>
        <w:rPr>
          <w:rFonts w:hint="eastAsia" w:ascii="宋体" w:hAnsi="宋体"/>
          <w:b/>
          <w:color w:val="auto"/>
          <w:highlight w:val="none"/>
          <w:lang w:val="en-US" w:eastAsia="zh-CN"/>
        </w:rPr>
        <w:t>2、</w:t>
      </w:r>
      <w:r>
        <w:rPr>
          <w:rFonts w:hint="eastAsia" w:ascii="宋体" w:hAnsi="宋体" w:cs="宋体"/>
          <w:b/>
          <w:color w:val="auto"/>
          <w:szCs w:val="21"/>
          <w:highlight w:val="none"/>
        </w:rPr>
        <w:t>商务及技术</w:t>
      </w:r>
      <w:r>
        <w:rPr>
          <w:rFonts w:hint="eastAsia" w:hAnsi="宋体" w:cs="宋体"/>
          <w:b/>
          <w:color w:val="auto"/>
          <w:szCs w:val="21"/>
          <w:highlight w:val="none"/>
          <w:lang w:eastAsia="zh-CN"/>
        </w:rPr>
        <w:t>文件</w:t>
      </w:r>
      <w:r>
        <w:rPr>
          <w:rFonts w:hint="eastAsia" w:ascii="宋体" w:hAnsi="宋体" w:cs="宋体"/>
          <w:b/>
          <w:color w:val="auto"/>
          <w:szCs w:val="21"/>
          <w:highlight w:val="none"/>
        </w:rPr>
        <w:t>部分：</w:t>
      </w:r>
    </w:p>
    <w:p>
      <w:pPr>
        <w:pStyle w:val="45"/>
        <w:numPr>
          <w:ilvl w:val="0"/>
          <w:numId w:val="0"/>
        </w:numPr>
        <w:ind w:left="403" w:leftChars="0"/>
        <w:rPr>
          <w:color w:val="auto"/>
          <w:highlight w:val="none"/>
        </w:rPr>
      </w:pPr>
      <w:r>
        <w:rPr>
          <w:rFonts w:hint="eastAsia"/>
          <w:color w:val="auto"/>
          <w:highlight w:val="none"/>
          <w:lang w:val="en-US" w:eastAsia="zh-CN"/>
        </w:rPr>
        <w:t>2.1</w:t>
      </w:r>
      <w:r>
        <w:rPr>
          <w:rFonts w:hint="eastAsia"/>
          <w:color w:val="auto"/>
          <w:highlight w:val="none"/>
        </w:rPr>
        <w:t>投标人评分指引表；（自拟）</w:t>
      </w:r>
    </w:p>
    <w:p>
      <w:pPr>
        <w:pStyle w:val="45"/>
        <w:numPr>
          <w:ilvl w:val="0"/>
          <w:numId w:val="0"/>
        </w:numPr>
        <w:ind w:left="403" w:leftChars="0"/>
        <w:rPr>
          <w:rFonts w:hint="eastAsia" w:eastAsia="宋体"/>
          <w:color w:val="auto"/>
          <w:highlight w:val="none"/>
          <w:lang w:eastAsia="zh-CN"/>
        </w:rPr>
      </w:pPr>
      <w:r>
        <w:rPr>
          <w:rFonts w:hint="eastAsia"/>
          <w:color w:val="auto"/>
          <w:highlight w:val="none"/>
          <w:lang w:val="en-US" w:eastAsia="zh-CN"/>
        </w:rPr>
        <w:t>2.2</w:t>
      </w:r>
      <w:r>
        <w:rPr>
          <w:rFonts w:hint="eastAsia"/>
          <w:color w:val="auto"/>
          <w:highlight w:val="none"/>
        </w:rPr>
        <w:t>投标人</w:t>
      </w:r>
      <w:r>
        <w:rPr>
          <w:rFonts w:hint="eastAsia"/>
          <w:color w:val="auto"/>
          <w:highlight w:val="none"/>
          <w:lang w:eastAsia="zh-CN"/>
        </w:rPr>
        <w:t>基本</w:t>
      </w:r>
      <w:r>
        <w:rPr>
          <w:rFonts w:hint="eastAsia"/>
          <w:color w:val="auto"/>
          <w:highlight w:val="none"/>
        </w:rPr>
        <w:t>情况表；</w:t>
      </w:r>
      <w:r>
        <w:rPr>
          <w:rFonts w:hint="eastAsia"/>
          <w:color w:val="auto"/>
          <w:highlight w:val="none"/>
          <w:lang w:eastAsia="zh-CN"/>
        </w:rPr>
        <w:t>（格式附后）</w:t>
      </w:r>
    </w:p>
    <w:p>
      <w:pPr>
        <w:pStyle w:val="45"/>
        <w:numPr>
          <w:ilvl w:val="0"/>
          <w:numId w:val="0"/>
        </w:numPr>
        <w:ind w:left="403" w:leftChars="0"/>
        <w:rPr>
          <w:rFonts w:hint="eastAsia" w:eastAsia="宋体"/>
          <w:color w:val="auto"/>
          <w:highlight w:val="none"/>
          <w:lang w:eastAsia="zh-CN"/>
        </w:rPr>
      </w:pPr>
      <w:r>
        <w:rPr>
          <w:rFonts w:hint="eastAsia"/>
          <w:color w:val="auto"/>
          <w:highlight w:val="none"/>
          <w:lang w:val="en-US" w:eastAsia="zh-CN"/>
        </w:rPr>
        <w:t>2.3</w:t>
      </w:r>
      <w:r>
        <w:rPr>
          <w:rFonts w:hint="eastAsia"/>
          <w:color w:val="auto"/>
          <w:highlight w:val="none"/>
        </w:rPr>
        <w:t>项目实施人员一览表；</w:t>
      </w:r>
      <w:r>
        <w:rPr>
          <w:rFonts w:hint="eastAsia"/>
          <w:color w:val="auto"/>
          <w:highlight w:val="none"/>
          <w:lang w:eastAsia="zh-CN"/>
        </w:rPr>
        <w:t>（格式附后）</w:t>
      </w:r>
    </w:p>
    <w:p>
      <w:pPr>
        <w:pStyle w:val="45"/>
        <w:numPr>
          <w:ilvl w:val="0"/>
          <w:numId w:val="0"/>
        </w:numPr>
        <w:ind w:left="403" w:leftChars="0"/>
        <w:rPr>
          <w:rFonts w:hint="eastAsia" w:eastAsia="宋体"/>
          <w:color w:val="auto"/>
          <w:highlight w:val="none"/>
          <w:lang w:eastAsia="zh-CN"/>
        </w:rPr>
      </w:pPr>
      <w:r>
        <w:rPr>
          <w:rFonts w:hint="eastAsia"/>
          <w:color w:val="auto"/>
          <w:highlight w:val="none"/>
          <w:lang w:val="en-US" w:eastAsia="zh-CN"/>
        </w:rPr>
        <w:t>2.4</w:t>
      </w:r>
      <w:r>
        <w:rPr>
          <w:rFonts w:hint="eastAsia"/>
          <w:color w:val="auto"/>
          <w:highlight w:val="none"/>
          <w:lang w:eastAsia="zh-CN"/>
        </w:rPr>
        <w:t>拟投入设备情况表</w:t>
      </w:r>
      <w:r>
        <w:rPr>
          <w:rFonts w:hint="eastAsia"/>
          <w:color w:val="auto"/>
          <w:highlight w:val="none"/>
        </w:rPr>
        <w:t>；</w:t>
      </w:r>
      <w:r>
        <w:rPr>
          <w:rFonts w:hint="eastAsia"/>
          <w:color w:val="auto"/>
          <w:highlight w:val="none"/>
          <w:lang w:eastAsia="zh-CN"/>
        </w:rPr>
        <w:t>（格式附后）</w:t>
      </w:r>
    </w:p>
    <w:p>
      <w:pPr>
        <w:pStyle w:val="45"/>
        <w:numPr>
          <w:ilvl w:val="0"/>
          <w:numId w:val="0"/>
        </w:numPr>
        <w:ind w:left="403" w:leftChars="0"/>
        <w:rPr>
          <w:rFonts w:hint="eastAsia"/>
          <w:color w:val="auto"/>
          <w:highlight w:val="none"/>
          <w:lang w:val="en-US" w:eastAsia="zh-CN"/>
        </w:rPr>
      </w:pPr>
      <w:r>
        <w:rPr>
          <w:rFonts w:hint="eastAsia"/>
          <w:color w:val="auto"/>
          <w:highlight w:val="none"/>
          <w:lang w:val="en-US" w:eastAsia="zh-CN"/>
        </w:rPr>
        <w:t>2.5业绩一览表；</w:t>
      </w:r>
      <w:r>
        <w:rPr>
          <w:rFonts w:hint="eastAsia"/>
          <w:color w:val="auto"/>
          <w:highlight w:val="none"/>
          <w:lang w:eastAsia="zh-CN"/>
        </w:rPr>
        <w:t>（格式附后）</w:t>
      </w:r>
    </w:p>
    <w:p>
      <w:pPr>
        <w:pStyle w:val="45"/>
        <w:numPr>
          <w:ilvl w:val="0"/>
          <w:numId w:val="0"/>
        </w:numPr>
        <w:ind w:left="403" w:leftChars="0"/>
        <w:rPr>
          <w:rFonts w:hint="default" w:eastAsia="宋体"/>
          <w:color w:val="auto"/>
          <w:highlight w:val="none"/>
          <w:lang w:val="en-US" w:eastAsia="zh-CN"/>
        </w:rPr>
      </w:pPr>
      <w:r>
        <w:rPr>
          <w:rFonts w:hint="eastAsia"/>
          <w:color w:val="auto"/>
          <w:highlight w:val="none"/>
          <w:lang w:val="en-US" w:eastAsia="zh-CN"/>
        </w:rPr>
        <w:t>2.6商务技术偏离表；</w:t>
      </w:r>
      <w:r>
        <w:rPr>
          <w:rFonts w:hint="eastAsia"/>
          <w:color w:val="auto"/>
          <w:highlight w:val="none"/>
          <w:lang w:eastAsia="zh-CN"/>
        </w:rPr>
        <w:t>（格式附后）</w:t>
      </w:r>
    </w:p>
    <w:p>
      <w:pPr>
        <w:pStyle w:val="45"/>
        <w:numPr>
          <w:ilvl w:val="0"/>
          <w:numId w:val="0"/>
        </w:numPr>
        <w:ind w:left="403" w:leftChars="0"/>
        <w:rPr>
          <w:color w:val="auto"/>
          <w:highlight w:val="none"/>
        </w:rPr>
      </w:pPr>
      <w:r>
        <w:rPr>
          <w:rFonts w:hint="eastAsia"/>
          <w:color w:val="auto"/>
          <w:highlight w:val="none"/>
          <w:lang w:val="en-US" w:eastAsia="zh-CN"/>
        </w:rPr>
        <w:t>2.7</w:t>
      </w:r>
      <w:r>
        <w:rPr>
          <w:rFonts w:hint="eastAsia"/>
          <w:color w:val="auto"/>
          <w:highlight w:val="none"/>
        </w:rPr>
        <w:t>《评标办法及评分标准》中涉及的评分用材料；</w:t>
      </w:r>
    </w:p>
    <w:p>
      <w:pPr>
        <w:pStyle w:val="45"/>
        <w:numPr>
          <w:ilvl w:val="0"/>
          <w:numId w:val="0"/>
        </w:numPr>
        <w:ind w:left="403" w:leftChars="0"/>
        <w:rPr>
          <w:rFonts w:hint="eastAsia" w:eastAsia="宋体"/>
          <w:color w:val="auto"/>
          <w:highlight w:val="none"/>
          <w:lang w:val="en-US" w:eastAsia="zh-CN"/>
        </w:rPr>
      </w:pPr>
      <w:r>
        <w:rPr>
          <w:rFonts w:hint="eastAsia"/>
          <w:color w:val="auto"/>
          <w:highlight w:val="none"/>
          <w:lang w:val="en-US" w:eastAsia="zh-CN"/>
        </w:rPr>
        <w:t>2.8</w:t>
      </w:r>
      <w:r>
        <w:rPr>
          <w:rFonts w:hint="eastAsia" w:ascii="宋体" w:eastAsia="宋体" w:cs="宋体"/>
          <w:color w:val="auto"/>
          <w:highlight w:val="none"/>
        </w:rPr>
        <w:t>跟踪监测实施方案</w:t>
      </w:r>
      <w:r>
        <w:rPr>
          <w:rFonts w:hint="eastAsia" w:ascii="宋体" w:eastAsia="宋体" w:cs="宋体"/>
          <w:color w:val="auto"/>
          <w:highlight w:val="none"/>
          <w:lang w:eastAsia="zh-CN"/>
        </w:rPr>
        <w:t>；</w:t>
      </w:r>
    </w:p>
    <w:p>
      <w:pPr>
        <w:pStyle w:val="45"/>
        <w:numPr>
          <w:ilvl w:val="0"/>
          <w:numId w:val="0"/>
        </w:numPr>
        <w:ind w:left="403" w:leftChars="0"/>
        <w:rPr>
          <w:color w:val="auto"/>
          <w:highlight w:val="none"/>
        </w:rPr>
      </w:pPr>
      <w:r>
        <w:rPr>
          <w:rFonts w:hint="eastAsia"/>
          <w:color w:val="auto"/>
          <w:highlight w:val="none"/>
          <w:lang w:val="en-US" w:eastAsia="zh-CN"/>
        </w:rPr>
        <w:t>2.9</w:t>
      </w:r>
      <w:r>
        <w:rPr>
          <w:rFonts w:hint="eastAsia"/>
          <w:color w:val="auto"/>
          <w:highlight w:val="none"/>
        </w:rPr>
        <w:t>投标人认为需要提供和</w:t>
      </w:r>
      <w:r>
        <w:rPr>
          <w:rFonts w:hint="eastAsia"/>
          <w:color w:val="auto"/>
          <w:highlight w:val="none"/>
          <w:lang w:eastAsia="zh-CN"/>
        </w:rPr>
        <w:t>采购</w:t>
      </w:r>
      <w:r>
        <w:rPr>
          <w:rFonts w:hint="eastAsia"/>
          <w:color w:val="auto"/>
          <w:highlight w:val="none"/>
        </w:rPr>
        <w:t>文件要求提供的其它技术文件和资料。</w:t>
      </w:r>
    </w:p>
    <w:p>
      <w:pPr>
        <w:numPr>
          <w:ilvl w:val="0"/>
          <w:numId w:val="0"/>
        </w:numPr>
        <w:snapToGrid w:val="0"/>
        <w:spacing w:line="360" w:lineRule="auto"/>
        <w:ind w:leftChars="200"/>
        <w:rPr>
          <w:rFonts w:ascii="宋体" w:hAnsi="宋体"/>
          <w:b/>
          <w:color w:val="auto"/>
          <w:highlight w:val="none"/>
        </w:rPr>
      </w:pPr>
      <w:r>
        <w:rPr>
          <w:rFonts w:hint="eastAsia" w:ascii="宋体" w:hAnsi="宋体"/>
          <w:b/>
          <w:color w:val="auto"/>
          <w:highlight w:val="none"/>
          <w:lang w:val="en-US" w:eastAsia="zh-CN"/>
        </w:rPr>
        <w:t>3、</w:t>
      </w:r>
      <w:r>
        <w:rPr>
          <w:rFonts w:ascii="宋体" w:hAnsi="宋体"/>
          <w:b/>
          <w:color w:val="auto"/>
          <w:highlight w:val="none"/>
        </w:rPr>
        <w:t>报价</w:t>
      </w:r>
      <w:r>
        <w:rPr>
          <w:rFonts w:hint="eastAsia" w:ascii="宋体" w:hAnsi="宋体"/>
          <w:b/>
          <w:color w:val="auto"/>
          <w:highlight w:val="none"/>
          <w:lang w:eastAsia="zh-CN"/>
        </w:rPr>
        <w:t>文件</w:t>
      </w:r>
      <w:r>
        <w:rPr>
          <w:rFonts w:hint="eastAsia" w:ascii="宋体" w:hAnsi="宋体"/>
          <w:b/>
          <w:color w:val="auto"/>
          <w:highlight w:val="none"/>
        </w:rPr>
        <w:t>部分</w:t>
      </w:r>
      <w:r>
        <w:rPr>
          <w:rFonts w:ascii="宋体" w:hAnsi="宋体"/>
          <w:b/>
          <w:color w:val="auto"/>
          <w:highlight w:val="none"/>
        </w:rPr>
        <w:t>：</w:t>
      </w:r>
    </w:p>
    <w:p>
      <w:pPr>
        <w:snapToGrid w:val="0"/>
        <w:spacing w:line="360" w:lineRule="auto"/>
        <w:ind w:firstLine="422" w:firstLineChars="200"/>
        <w:jc w:val="left"/>
        <w:rPr>
          <w:rFonts w:ascii="宋体" w:hAnsi="宋体" w:cs="宋体"/>
          <w:color w:val="auto"/>
          <w:highlight w:val="none"/>
        </w:rPr>
      </w:pPr>
      <w:r>
        <w:rPr>
          <w:rFonts w:hint="eastAsia" w:ascii="宋体" w:hAnsi="宋体" w:cs="宋体"/>
          <w:b/>
          <w:bCs/>
          <w:color w:val="auto"/>
          <w:szCs w:val="21"/>
          <w:highlight w:val="none"/>
        </w:rPr>
        <w:t>▲</w:t>
      </w:r>
      <w:r>
        <w:rPr>
          <w:rFonts w:hint="eastAsia" w:ascii="宋体" w:hAnsi="宋体" w:cs="宋体"/>
          <w:color w:val="auto"/>
          <w:highlight w:val="none"/>
        </w:rPr>
        <w:t>3.1</w:t>
      </w:r>
      <w:r>
        <w:rPr>
          <w:rFonts w:hint="eastAsia" w:ascii="宋体" w:hAnsi="宋体" w:cs="宋体"/>
          <w:color w:val="auto"/>
          <w:highlight w:val="none"/>
          <w:lang w:eastAsia="zh-CN"/>
        </w:rPr>
        <w:t>开标</w:t>
      </w:r>
      <w:r>
        <w:rPr>
          <w:rFonts w:hint="eastAsia" w:ascii="宋体" w:hAnsi="宋体" w:cs="宋体"/>
          <w:color w:val="auto"/>
          <w:highlight w:val="none"/>
        </w:rPr>
        <w:t>一览表</w:t>
      </w:r>
      <w:r>
        <w:rPr>
          <w:rFonts w:hint="eastAsia" w:ascii="宋体" w:hAnsi="宋体"/>
          <w:color w:val="auto"/>
          <w:szCs w:val="24"/>
          <w:highlight w:val="none"/>
        </w:rPr>
        <w:t>（格式附后）</w:t>
      </w:r>
      <w:r>
        <w:rPr>
          <w:rFonts w:hint="eastAsia" w:ascii="宋体" w:hAnsi="宋体" w:cs="宋体"/>
          <w:color w:val="auto"/>
          <w:highlight w:val="none"/>
        </w:rPr>
        <w:t>；</w:t>
      </w:r>
    </w:p>
    <w:p>
      <w:pPr>
        <w:snapToGrid w:val="0"/>
        <w:spacing w:line="360" w:lineRule="auto"/>
        <w:ind w:firstLine="422" w:firstLineChars="200"/>
        <w:jc w:val="left"/>
        <w:rPr>
          <w:rFonts w:hint="eastAsia" w:ascii="宋体" w:hAnsi="宋体" w:cs="宋体"/>
          <w:color w:val="auto"/>
          <w:highlight w:val="none"/>
        </w:rPr>
      </w:pPr>
      <w:r>
        <w:rPr>
          <w:rFonts w:hint="eastAsia" w:ascii="宋体" w:hAnsi="宋体" w:cs="宋体"/>
          <w:b/>
          <w:bCs/>
          <w:color w:val="auto"/>
          <w:szCs w:val="21"/>
          <w:highlight w:val="none"/>
        </w:rPr>
        <w:t>▲</w:t>
      </w:r>
      <w:r>
        <w:rPr>
          <w:rFonts w:hint="eastAsia" w:ascii="宋体" w:hAnsi="宋体" w:cs="宋体"/>
          <w:color w:val="auto"/>
          <w:highlight w:val="none"/>
        </w:rPr>
        <w:t>3.2</w:t>
      </w:r>
      <w:r>
        <w:rPr>
          <w:rFonts w:hint="eastAsia" w:ascii="宋体" w:hAnsi="宋体" w:cs="宋体"/>
          <w:color w:val="auto"/>
          <w:highlight w:val="none"/>
          <w:lang w:eastAsia="zh-CN"/>
        </w:rPr>
        <w:t>投标报价</w:t>
      </w:r>
      <w:r>
        <w:rPr>
          <w:rFonts w:hint="eastAsia" w:ascii="宋体" w:hAnsi="宋体" w:cs="宋体"/>
          <w:color w:val="auto"/>
          <w:highlight w:val="none"/>
        </w:rPr>
        <w:t>明细表（格式附后）；</w:t>
      </w:r>
    </w:p>
    <w:p>
      <w:pPr>
        <w:snapToGrid w:val="0"/>
        <w:spacing w:line="360" w:lineRule="auto"/>
        <w:ind w:firstLine="420" w:firstLineChars="200"/>
        <w:rPr>
          <w:rFonts w:hint="eastAsia" w:ascii="宋体" w:hAnsi="宋体" w:eastAsia="宋体" w:cs="宋体"/>
          <w:color w:val="auto"/>
          <w:szCs w:val="21"/>
          <w:highlight w:val="none"/>
          <w:lang w:eastAsia="zh-CN"/>
        </w:rPr>
      </w:pPr>
      <w:r>
        <w:rPr>
          <w:rFonts w:hint="eastAsia" w:hAnsi="宋体" w:cs="宋体"/>
          <w:color w:val="auto"/>
          <w:szCs w:val="21"/>
          <w:highlight w:val="none"/>
          <w:lang w:val="en-US" w:eastAsia="zh-CN"/>
        </w:rPr>
        <w:t>3.3</w:t>
      </w:r>
      <w:r>
        <w:rPr>
          <w:rFonts w:hint="eastAsia" w:ascii="宋体" w:hAnsi="宋体"/>
          <w:color w:val="auto"/>
          <w:szCs w:val="24"/>
          <w:highlight w:val="none"/>
          <w:lang w:eastAsia="zh-CN"/>
        </w:rPr>
        <w:t>享受</w:t>
      </w:r>
      <w:r>
        <w:rPr>
          <w:rFonts w:hint="eastAsia" w:ascii="宋体" w:hAnsi="宋体" w:cs="宋体"/>
          <w:color w:val="auto"/>
          <w:szCs w:val="21"/>
          <w:highlight w:val="none"/>
        </w:rPr>
        <w:t>评审中价格扣除政策</w:t>
      </w:r>
      <w:r>
        <w:rPr>
          <w:rFonts w:hint="eastAsia" w:ascii="宋体" w:hAnsi="宋体"/>
          <w:color w:val="auto"/>
          <w:szCs w:val="24"/>
          <w:highlight w:val="none"/>
          <w:lang w:eastAsia="zh-CN"/>
        </w:rPr>
        <w:t>相关证明</w:t>
      </w:r>
      <w:r>
        <w:rPr>
          <w:rFonts w:hint="eastAsia" w:ascii="宋体" w:hAnsi="宋体" w:cs="宋体"/>
          <w:color w:val="auto"/>
          <w:szCs w:val="21"/>
          <w:highlight w:val="none"/>
        </w:rPr>
        <w:t>文件（符合以下三个子项中的任意一项要求即可）</w:t>
      </w:r>
      <w:r>
        <w:rPr>
          <w:rFonts w:hint="eastAsia" w:hAnsi="宋体" w:cs="宋体"/>
          <w:color w:val="auto"/>
          <w:szCs w:val="21"/>
          <w:highlight w:val="none"/>
          <w:lang w:eastAsia="zh-CN"/>
        </w:rPr>
        <w:t>：</w:t>
      </w:r>
    </w:p>
    <w:p>
      <w:pPr>
        <w:snapToGrid w:val="0"/>
        <w:spacing w:line="360" w:lineRule="auto"/>
        <w:ind w:firstLine="420" w:firstLineChars="200"/>
        <w:rPr>
          <w:rFonts w:hint="eastAsia" w:ascii="宋体" w:hAnsi="宋体" w:cs="宋体"/>
          <w:color w:val="auto"/>
          <w:szCs w:val="21"/>
          <w:highlight w:val="none"/>
        </w:rPr>
      </w:pPr>
      <w:r>
        <w:rPr>
          <w:rFonts w:hint="eastAsia" w:hAnsi="宋体" w:cs="宋体"/>
          <w:color w:val="auto"/>
          <w:szCs w:val="21"/>
          <w:highlight w:val="none"/>
          <w:lang w:val="en-US" w:eastAsia="zh-CN"/>
        </w:rPr>
        <w:t>3.3.1</w:t>
      </w:r>
      <w:r>
        <w:rPr>
          <w:rFonts w:hint="eastAsia" w:ascii="宋体" w:hAnsi="宋体" w:cs="宋体"/>
          <w:color w:val="auto"/>
          <w:szCs w:val="21"/>
          <w:highlight w:val="none"/>
        </w:rPr>
        <w:t>小微企业：《中小企业声明函》（</w:t>
      </w:r>
      <w:r>
        <w:rPr>
          <w:rFonts w:hint="eastAsia" w:ascii="宋体" w:hAnsi="宋体" w:cs="宋体"/>
          <w:color w:val="auto"/>
          <w:highlight w:val="none"/>
        </w:rPr>
        <w:t>格式附后</w:t>
      </w:r>
      <w:r>
        <w:rPr>
          <w:rFonts w:hint="eastAsia" w:ascii="宋体" w:hAnsi="宋体" w:cs="宋体"/>
          <w:color w:val="auto"/>
          <w:szCs w:val="21"/>
          <w:highlight w:val="none"/>
        </w:rPr>
        <w:t>）</w:t>
      </w:r>
    </w:p>
    <w:p>
      <w:pPr>
        <w:snapToGrid w:val="0"/>
        <w:spacing w:line="360" w:lineRule="auto"/>
        <w:ind w:firstLine="420" w:firstLineChars="200"/>
        <w:rPr>
          <w:rFonts w:hint="eastAsia" w:ascii="宋体" w:hAnsi="宋体" w:cs="宋体"/>
          <w:color w:val="auto"/>
          <w:szCs w:val="21"/>
          <w:highlight w:val="none"/>
        </w:rPr>
      </w:pPr>
      <w:r>
        <w:rPr>
          <w:rFonts w:hint="eastAsia" w:hAnsi="宋体" w:cs="宋体"/>
          <w:color w:val="auto"/>
          <w:szCs w:val="21"/>
          <w:highlight w:val="none"/>
          <w:lang w:val="en-US" w:eastAsia="zh-CN"/>
        </w:rPr>
        <w:t>3.3.2</w:t>
      </w:r>
      <w:r>
        <w:rPr>
          <w:rFonts w:hint="eastAsia" w:ascii="宋体" w:hAnsi="宋体" w:cs="宋体"/>
          <w:color w:val="auto"/>
          <w:szCs w:val="21"/>
          <w:highlight w:val="none"/>
        </w:rPr>
        <w:t>监狱企业：由省级以上监狱管理局、戒毒管理局（含新疆生产建设兵团）出具的属于监狱企业的证明文件</w:t>
      </w:r>
    </w:p>
    <w:p>
      <w:pPr>
        <w:snapToGrid w:val="0"/>
        <w:spacing w:line="360" w:lineRule="auto"/>
        <w:ind w:firstLine="420" w:firstLineChars="200"/>
        <w:rPr>
          <w:rFonts w:hint="eastAsia" w:ascii="宋体" w:hAnsi="宋体" w:cs="宋体"/>
          <w:color w:val="auto"/>
          <w:szCs w:val="21"/>
          <w:highlight w:val="none"/>
        </w:rPr>
      </w:pPr>
      <w:r>
        <w:rPr>
          <w:rFonts w:hint="eastAsia" w:hAnsi="宋体" w:cs="宋体"/>
          <w:color w:val="auto"/>
          <w:szCs w:val="21"/>
          <w:highlight w:val="none"/>
          <w:lang w:val="en-US" w:eastAsia="zh-CN"/>
        </w:rPr>
        <w:t>3.3.3</w:t>
      </w:r>
      <w:r>
        <w:rPr>
          <w:rFonts w:hint="eastAsia" w:ascii="宋体" w:hAnsi="宋体" w:cs="宋体"/>
          <w:color w:val="auto"/>
          <w:szCs w:val="21"/>
          <w:highlight w:val="none"/>
        </w:rPr>
        <w:t>残疾人福利性单位：《残疾人福利性单位声明函》（</w:t>
      </w:r>
      <w:r>
        <w:rPr>
          <w:rFonts w:hint="eastAsia" w:ascii="宋体" w:hAnsi="宋体" w:cs="宋体"/>
          <w:color w:val="auto"/>
          <w:highlight w:val="none"/>
        </w:rPr>
        <w:t>格式附后</w:t>
      </w:r>
      <w:r>
        <w:rPr>
          <w:rFonts w:hint="eastAsia" w:ascii="宋体" w:hAnsi="宋体" w:cs="宋体"/>
          <w:color w:val="auto"/>
          <w:szCs w:val="21"/>
          <w:highlight w:val="none"/>
        </w:rPr>
        <w:t>）</w:t>
      </w:r>
    </w:p>
    <w:p>
      <w:pPr>
        <w:snapToGrid w:val="0"/>
        <w:spacing w:line="360" w:lineRule="auto"/>
        <w:ind w:firstLine="420" w:firstLineChars="200"/>
        <w:jc w:val="left"/>
        <w:rPr>
          <w:color w:val="auto"/>
          <w:highlight w:val="none"/>
        </w:rPr>
      </w:pPr>
      <w:r>
        <w:rPr>
          <w:rFonts w:hint="eastAsia" w:hAnsi="宋体" w:cs="宋体"/>
          <w:color w:val="auto"/>
          <w:highlight w:val="none"/>
          <w:lang w:val="en-US" w:eastAsia="zh-CN"/>
        </w:rPr>
        <w:t>3.4</w:t>
      </w:r>
      <w:r>
        <w:rPr>
          <w:rFonts w:hint="eastAsia" w:ascii="宋体" w:hAnsi="宋体" w:cs="宋体"/>
          <w:color w:val="auto"/>
          <w:highlight w:val="none"/>
        </w:rPr>
        <w:t>投标人针对报价需要说明的其他文件和说明（如有，格式自拟）。</w:t>
      </w:r>
    </w:p>
    <w:p>
      <w:pPr>
        <w:rPr>
          <w:rFonts w:hint="eastAsia" w:ascii="宋体" w:hAnsi="宋体" w:cs="宋体"/>
          <w:b/>
          <w:color w:val="auto"/>
          <w:sz w:val="28"/>
          <w:szCs w:val="28"/>
          <w:highlight w:val="none"/>
          <w:lang w:eastAsia="zh-CN"/>
        </w:rPr>
      </w:pPr>
      <w:r>
        <w:rPr>
          <w:rFonts w:hint="eastAsia" w:ascii="宋体" w:hAnsi="宋体" w:cs="宋体"/>
          <w:b/>
          <w:color w:val="auto"/>
          <w:sz w:val="28"/>
          <w:szCs w:val="28"/>
          <w:highlight w:val="none"/>
          <w:lang w:eastAsia="zh-CN"/>
        </w:rPr>
        <w:br w:type="page"/>
      </w:r>
    </w:p>
    <w:p>
      <w:pPr>
        <w:snapToGrid w:val="0"/>
        <w:spacing w:line="360" w:lineRule="auto"/>
        <w:ind w:left="0" w:leftChars="0" w:firstLine="0" w:firstLineChars="0"/>
        <w:jc w:val="both"/>
        <w:rPr>
          <w:rFonts w:hint="eastAsia" w:ascii="宋体" w:hAnsi="宋体" w:cs="宋体"/>
          <w:b/>
          <w:color w:val="auto"/>
          <w:sz w:val="28"/>
          <w:szCs w:val="28"/>
          <w:highlight w:val="none"/>
          <w:lang w:eastAsia="zh-CN"/>
        </w:rPr>
      </w:pPr>
      <w:r>
        <w:rPr>
          <w:rFonts w:hint="eastAsia" w:ascii="宋体" w:hAnsi="宋体" w:cs="宋体"/>
          <w:b/>
          <w:color w:val="auto"/>
          <w:sz w:val="28"/>
          <w:szCs w:val="28"/>
          <w:highlight w:val="none"/>
          <w:lang w:eastAsia="zh-CN"/>
        </w:rPr>
        <w:t>投标文件格式</w:t>
      </w:r>
      <w:r>
        <w:rPr>
          <w:rFonts w:hint="eastAsia" w:hAnsi="宋体" w:cs="宋体"/>
          <w:b/>
          <w:color w:val="auto"/>
          <w:sz w:val="28"/>
          <w:szCs w:val="28"/>
          <w:highlight w:val="none"/>
          <w:lang w:eastAsia="zh-CN"/>
        </w:rPr>
        <w:t>：</w:t>
      </w:r>
    </w:p>
    <w:p>
      <w:pPr>
        <w:pStyle w:val="8"/>
        <w:rPr>
          <w:color w:val="auto"/>
          <w:highlight w:val="none"/>
        </w:rPr>
      </w:pPr>
      <w:r>
        <w:rPr>
          <w:rFonts w:hint="eastAsia"/>
          <w:color w:val="auto"/>
          <w:highlight w:val="none"/>
        </w:rPr>
        <w:t>投标函格式</w:t>
      </w:r>
    </w:p>
    <w:p>
      <w:pPr>
        <w:pStyle w:val="76"/>
        <w:ind w:firstLine="0" w:firstLineChars="0"/>
        <w:jc w:val="center"/>
        <w:rPr>
          <w:b/>
          <w:bCs/>
          <w:color w:val="auto"/>
          <w:sz w:val="24"/>
          <w:szCs w:val="24"/>
          <w:highlight w:val="none"/>
        </w:rPr>
      </w:pPr>
      <w:r>
        <w:rPr>
          <w:rFonts w:hint="eastAsia"/>
          <w:b/>
          <w:bCs/>
          <w:color w:val="auto"/>
          <w:sz w:val="24"/>
          <w:szCs w:val="24"/>
          <w:highlight w:val="none"/>
        </w:rPr>
        <w:t>投 标</w:t>
      </w:r>
      <w:r>
        <w:rPr>
          <w:b/>
          <w:bCs/>
          <w:color w:val="auto"/>
          <w:sz w:val="24"/>
          <w:szCs w:val="24"/>
          <w:highlight w:val="none"/>
        </w:rPr>
        <w:t xml:space="preserve"> </w:t>
      </w:r>
      <w:r>
        <w:rPr>
          <w:rFonts w:hint="eastAsia"/>
          <w:b/>
          <w:bCs/>
          <w:color w:val="auto"/>
          <w:sz w:val="24"/>
          <w:szCs w:val="24"/>
          <w:highlight w:val="none"/>
        </w:rPr>
        <w:t>函</w:t>
      </w:r>
    </w:p>
    <w:p>
      <w:pPr>
        <w:keepNext w:val="0"/>
        <w:keepLines w:val="0"/>
        <w:pageBreakBefore w:val="0"/>
        <w:widowControl w:val="0"/>
        <w:kinsoku/>
        <w:overflowPunct/>
        <w:topLinePunct w:val="0"/>
        <w:autoSpaceDE/>
        <w:autoSpaceDN/>
        <w:bidi w:val="0"/>
        <w:adjustRightInd/>
        <w:snapToGrid w:val="0"/>
        <w:spacing w:line="400" w:lineRule="exact"/>
        <w:ind w:firstLine="0" w:firstLineChars="0"/>
        <w:textAlignment w:val="auto"/>
        <w:rPr>
          <w:color w:val="auto"/>
          <w:highlight w:val="none"/>
        </w:rPr>
      </w:pPr>
      <w:r>
        <w:rPr>
          <w:rFonts w:hint="eastAsia" w:hAnsi="宋体"/>
          <w:color w:val="auto"/>
          <w:highlight w:val="none"/>
        </w:rPr>
        <w:t>致：</w:t>
      </w:r>
      <w:r>
        <w:rPr>
          <w:rFonts w:hAnsi="宋体"/>
          <w:color w:val="auto"/>
          <w:highlight w:val="none"/>
          <w:u w:val="single"/>
        </w:rPr>
        <w:t xml:space="preserve"> </w:t>
      </w:r>
      <w:r>
        <w:rPr>
          <w:rFonts w:hAnsi="宋体"/>
          <w:color w:val="auto"/>
          <w:szCs w:val="21"/>
          <w:highlight w:val="none"/>
          <w:u w:val="single"/>
        </w:rPr>
        <w:t xml:space="preserve"> </w:t>
      </w:r>
      <w:r>
        <w:rPr>
          <w:rFonts w:hint="eastAsia" w:hAnsi="宋体"/>
          <w:b/>
          <w:bCs/>
          <w:color w:val="auto"/>
          <w:szCs w:val="21"/>
          <w:highlight w:val="none"/>
          <w:u w:val="single"/>
        </w:rPr>
        <w:t>（采购人）</w:t>
      </w:r>
      <w:r>
        <w:rPr>
          <w:rFonts w:hint="eastAsia" w:hAnsi="宋体"/>
          <w:color w:val="auto"/>
          <w:szCs w:val="21"/>
          <w:highlight w:val="none"/>
          <w:u w:val="single"/>
        </w:rPr>
        <w:t xml:space="preserve">     </w:t>
      </w:r>
      <w:r>
        <w:rPr>
          <w:rFonts w:hAnsi="宋体"/>
          <w:color w:val="auto"/>
          <w:highlight w:val="none"/>
          <w:u w:val="single"/>
        </w:rPr>
        <w:t xml:space="preserve"> </w:t>
      </w:r>
      <w:r>
        <w:rPr>
          <w:rFonts w:hint="eastAsia" w:hAnsi="宋体"/>
          <w:color w:val="auto"/>
          <w:highlight w:val="none"/>
        </w:rPr>
        <w:t>：</w:t>
      </w:r>
    </w:p>
    <w:p>
      <w:pPr>
        <w:pStyle w:val="71"/>
        <w:keepNext w:val="0"/>
        <w:keepLines w:val="0"/>
        <w:pageBreakBefore w:val="0"/>
        <w:widowControl w:val="0"/>
        <w:kinsoku/>
        <w:overflowPunct/>
        <w:topLinePunct w:val="0"/>
        <w:autoSpaceDE/>
        <w:autoSpaceDN/>
        <w:bidi w:val="0"/>
        <w:adjustRightInd/>
        <w:spacing w:line="400" w:lineRule="exact"/>
        <w:ind w:right="-91" w:firstLine="404" w:firstLineChars="200"/>
        <w:textAlignment w:val="auto"/>
        <w:rPr>
          <w:rFonts w:hAnsi="宋体"/>
          <w:color w:val="auto"/>
          <w:sz w:val="21"/>
          <w:szCs w:val="21"/>
          <w:highlight w:val="none"/>
        </w:rPr>
      </w:pPr>
      <w:r>
        <w:rPr>
          <w:rFonts w:hint="eastAsia" w:hAnsi="宋体"/>
          <w:color w:val="auto"/>
          <w:sz w:val="21"/>
          <w:szCs w:val="21"/>
          <w:highlight w:val="none"/>
        </w:rPr>
        <w:t>我方</w:t>
      </w:r>
      <w:r>
        <w:rPr>
          <w:rFonts w:hint="eastAsia" w:hAnsi="宋体"/>
          <w:b/>
          <w:color w:val="auto"/>
          <w:sz w:val="21"/>
          <w:szCs w:val="21"/>
          <w:highlight w:val="none"/>
          <w:u w:val="single"/>
        </w:rPr>
        <w:t>（投标人名称）</w:t>
      </w:r>
      <w:r>
        <w:rPr>
          <w:rFonts w:hint="eastAsia" w:hAnsi="宋体"/>
          <w:color w:val="auto"/>
          <w:sz w:val="21"/>
          <w:szCs w:val="21"/>
          <w:highlight w:val="none"/>
        </w:rPr>
        <w:t>已详细审查了贵方采购编号为</w:t>
      </w:r>
      <w:r>
        <w:rPr>
          <w:rFonts w:hint="eastAsia" w:hAnsi="宋体"/>
          <w:b/>
          <w:color w:val="auto"/>
          <w:spacing w:val="20"/>
          <w:sz w:val="21"/>
          <w:szCs w:val="21"/>
          <w:highlight w:val="none"/>
          <w:u w:val="single"/>
        </w:rPr>
        <w:t>（</w:t>
      </w:r>
      <w:r>
        <w:rPr>
          <w:rFonts w:hint="eastAsia" w:hAnsi="宋体"/>
          <w:b/>
          <w:color w:val="auto"/>
          <w:sz w:val="21"/>
          <w:szCs w:val="21"/>
          <w:highlight w:val="none"/>
          <w:u w:val="single"/>
        </w:rPr>
        <w:t>采购编号）</w:t>
      </w:r>
      <w:r>
        <w:rPr>
          <w:rFonts w:hint="eastAsia" w:hAnsi="宋体"/>
          <w:color w:val="auto"/>
          <w:sz w:val="21"/>
          <w:szCs w:val="21"/>
          <w:highlight w:val="none"/>
        </w:rPr>
        <w:t>的</w:t>
      </w:r>
      <w:r>
        <w:rPr>
          <w:rFonts w:hint="eastAsia" w:hAnsi="宋体"/>
          <w:b/>
          <w:color w:val="auto"/>
          <w:sz w:val="21"/>
          <w:szCs w:val="21"/>
          <w:highlight w:val="none"/>
          <w:u w:val="single"/>
        </w:rPr>
        <w:t>（项目名称）</w:t>
      </w:r>
      <w:r>
        <w:rPr>
          <w:rFonts w:hint="eastAsia" w:hAnsi="宋体"/>
          <w:color w:val="auto"/>
          <w:sz w:val="21"/>
          <w:szCs w:val="21"/>
          <w:highlight w:val="none"/>
        </w:rPr>
        <w:t>采购项目的</w:t>
      </w:r>
      <w:r>
        <w:rPr>
          <w:rFonts w:hint="eastAsia" w:hAnsi="宋体"/>
          <w:color w:val="auto"/>
          <w:sz w:val="21"/>
          <w:szCs w:val="21"/>
          <w:highlight w:val="none"/>
          <w:lang w:eastAsia="zh-CN"/>
        </w:rPr>
        <w:t>采购文件</w:t>
      </w:r>
      <w:r>
        <w:rPr>
          <w:rFonts w:hint="eastAsia" w:hAnsi="宋体"/>
          <w:color w:val="auto"/>
          <w:sz w:val="21"/>
          <w:szCs w:val="21"/>
          <w:highlight w:val="none"/>
        </w:rPr>
        <w:t>及其相关补充文件</w:t>
      </w:r>
      <w:r>
        <w:rPr>
          <w:rFonts w:hint="eastAsia" w:hAnsi="宋体"/>
          <w:b/>
          <w:color w:val="auto"/>
          <w:sz w:val="21"/>
          <w:szCs w:val="21"/>
          <w:highlight w:val="none"/>
        </w:rPr>
        <w:t>（若有）</w:t>
      </w:r>
      <w:r>
        <w:rPr>
          <w:rFonts w:hint="eastAsia" w:hAnsi="宋体"/>
          <w:color w:val="auto"/>
          <w:sz w:val="21"/>
          <w:szCs w:val="21"/>
          <w:highlight w:val="none"/>
        </w:rPr>
        <w:t>，并正式授权我公司的</w:t>
      </w:r>
      <w:r>
        <w:rPr>
          <w:rFonts w:hint="eastAsia" w:hAnsi="宋体"/>
          <w:b/>
          <w:color w:val="auto"/>
          <w:sz w:val="21"/>
          <w:szCs w:val="21"/>
          <w:highlight w:val="none"/>
          <w:u w:val="single"/>
        </w:rPr>
        <w:t>（被授权人姓名）</w:t>
      </w:r>
      <w:r>
        <w:rPr>
          <w:rFonts w:hAnsi="宋体"/>
          <w:b/>
          <w:color w:val="auto"/>
          <w:sz w:val="21"/>
          <w:szCs w:val="21"/>
          <w:highlight w:val="none"/>
          <w:u w:val="single"/>
        </w:rPr>
        <w:t xml:space="preserve">  </w:t>
      </w:r>
      <w:r>
        <w:rPr>
          <w:rFonts w:hint="eastAsia" w:hAnsi="宋体"/>
          <w:color w:val="auto"/>
          <w:sz w:val="21"/>
          <w:szCs w:val="21"/>
          <w:highlight w:val="none"/>
        </w:rPr>
        <w:t>以本公司名义，全权代表我方自愿参加上述招标项目的投标，现就有关事项向采购代理机构郑重承诺如下：</w:t>
      </w:r>
    </w:p>
    <w:p>
      <w:pPr>
        <w:keepNext w:val="0"/>
        <w:keepLines w:val="0"/>
        <w:pageBreakBefore w:val="0"/>
        <w:widowControl w:val="0"/>
        <w:kinsoku/>
        <w:wordWrap/>
        <w:overflowPunct/>
        <w:topLinePunct w:val="0"/>
        <w:autoSpaceDE/>
        <w:autoSpaceDN/>
        <w:bidi w:val="0"/>
        <w:adjustRightInd/>
        <w:spacing w:line="400" w:lineRule="exact"/>
        <w:ind w:firstLine="420"/>
        <w:jc w:val="left"/>
        <w:textAlignment w:val="auto"/>
        <w:rPr>
          <w:color w:val="auto"/>
          <w:szCs w:val="21"/>
          <w:highlight w:val="none"/>
        </w:rPr>
      </w:pPr>
      <w:r>
        <w:rPr>
          <w:rFonts w:hAnsi="宋体"/>
          <w:color w:val="auto"/>
          <w:szCs w:val="21"/>
          <w:highlight w:val="none"/>
        </w:rPr>
        <w:t>1</w:t>
      </w:r>
      <w:r>
        <w:rPr>
          <w:rFonts w:hint="eastAsia" w:hAnsi="宋体"/>
          <w:color w:val="auto"/>
          <w:szCs w:val="21"/>
          <w:highlight w:val="none"/>
        </w:rPr>
        <w:t>、我方已详细审查了</w:t>
      </w:r>
      <w:r>
        <w:rPr>
          <w:rFonts w:hint="eastAsia" w:hAnsi="宋体"/>
          <w:color w:val="auto"/>
          <w:szCs w:val="21"/>
          <w:highlight w:val="none"/>
          <w:lang w:eastAsia="zh-CN"/>
        </w:rPr>
        <w:t>采购文件</w:t>
      </w:r>
      <w:r>
        <w:rPr>
          <w:rFonts w:hint="eastAsia" w:hAnsi="宋体"/>
          <w:color w:val="auto"/>
          <w:szCs w:val="21"/>
          <w:highlight w:val="none"/>
        </w:rPr>
        <w:t>的全部内容及其相关补充文件（若有），并完全清晰理解全部内容及相关的补充文件（若有），不存在任何误解之处，同意放弃提出异议和质疑的权利。</w:t>
      </w:r>
    </w:p>
    <w:p>
      <w:pPr>
        <w:keepNext w:val="0"/>
        <w:keepLines w:val="0"/>
        <w:pageBreakBefore w:val="0"/>
        <w:widowControl w:val="0"/>
        <w:kinsoku/>
        <w:wordWrap/>
        <w:overflowPunct/>
        <w:topLinePunct w:val="0"/>
        <w:autoSpaceDE/>
        <w:autoSpaceDN/>
        <w:bidi w:val="0"/>
        <w:adjustRightInd/>
        <w:spacing w:line="400" w:lineRule="exact"/>
        <w:ind w:firstLine="420"/>
        <w:jc w:val="left"/>
        <w:textAlignment w:val="auto"/>
        <w:rPr>
          <w:rFonts w:hint="eastAsia" w:ascii="宋体" w:hAnsi="宋体" w:cs="宋体"/>
          <w:color w:val="auto"/>
          <w:spacing w:val="-4"/>
          <w:szCs w:val="21"/>
          <w:highlight w:val="none"/>
        </w:rPr>
      </w:pPr>
      <w:r>
        <w:rPr>
          <w:rFonts w:hint="eastAsia" w:ascii="宋体" w:hAnsi="宋体" w:cs="宋体"/>
          <w:color w:val="auto"/>
          <w:spacing w:val="-4"/>
          <w:szCs w:val="21"/>
          <w:highlight w:val="none"/>
        </w:rPr>
        <w:t>2、在项目实施过程中，我方完全响应招标文件的所有条款，履行合同义务。执行标准绝不低于招标文件的标准要求。</w:t>
      </w:r>
    </w:p>
    <w:p>
      <w:pPr>
        <w:keepNext w:val="0"/>
        <w:keepLines w:val="0"/>
        <w:pageBreakBefore w:val="0"/>
        <w:widowControl w:val="0"/>
        <w:kinsoku/>
        <w:wordWrap/>
        <w:overflowPunct/>
        <w:topLinePunct w:val="0"/>
        <w:autoSpaceDE/>
        <w:autoSpaceDN/>
        <w:bidi w:val="0"/>
        <w:adjustRightInd/>
        <w:spacing w:line="400" w:lineRule="exact"/>
        <w:ind w:firstLine="420"/>
        <w:jc w:val="left"/>
        <w:textAlignment w:val="auto"/>
        <w:rPr>
          <w:rFonts w:hAnsi="宋体"/>
          <w:color w:val="auto"/>
          <w:szCs w:val="21"/>
          <w:highlight w:val="none"/>
        </w:rPr>
      </w:pPr>
      <w:r>
        <w:rPr>
          <w:rFonts w:hint="eastAsia" w:hAnsi="宋体"/>
          <w:color w:val="auto"/>
          <w:szCs w:val="21"/>
          <w:highlight w:val="none"/>
          <w:lang w:val="en-US" w:eastAsia="zh-CN"/>
        </w:rPr>
        <w:t>3</w:t>
      </w:r>
      <w:r>
        <w:rPr>
          <w:rFonts w:hint="eastAsia" w:hAnsi="宋体"/>
          <w:color w:val="auto"/>
          <w:szCs w:val="21"/>
          <w:highlight w:val="none"/>
        </w:rPr>
        <w:t>、我方遵守《中华人民共和国政府采购法》及相关法律法规的规定。同意</w:t>
      </w:r>
      <w:r>
        <w:rPr>
          <w:rFonts w:hint="eastAsia" w:hAnsi="宋体"/>
          <w:color w:val="auto"/>
          <w:szCs w:val="21"/>
          <w:highlight w:val="none"/>
          <w:lang w:eastAsia="zh-CN"/>
        </w:rPr>
        <w:t>采购文件</w:t>
      </w:r>
      <w:r>
        <w:rPr>
          <w:rFonts w:hint="eastAsia" w:hAnsi="宋体"/>
          <w:color w:val="auto"/>
          <w:szCs w:val="21"/>
          <w:highlight w:val="none"/>
        </w:rPr>
        <w:t>中所提到的无效标条款，并服从有关开标现场的会议纪律。否则，同意被废除投标资格。</w:t>
      </w:r>
    </w:p>
    <w:p>
      <w:pPr>
        <w:keepNext w:val="0"/>
        <w:keepLines w:val="0"/>
        <w:pageBreakBefore w:val="0"/>
        <w:widowControl w:val="0"/>
        <w:kinsoku/>
        <w:wordWrap/>
        <w:overflowPunct/>
        <w:topLinePunct w:val="0"/>
        <w:autoSpaceDE/>
        <w:autoSpaceDN/>
        <w:bidi w:val="0"/>
        <w:adjustRightInd/>
        <w:spacing w:line="400" w:lineRule="exact"/>
        <w:ind w:firstLine="404"/>
        <w:jc w:val="left"/>
        <w:textAlignment w:val="auto"/>
        <w:rPr>
          <w:rFonts w:hAnsi="宋体"/>
          <w:color w:val="auto"/>
          <w:spacing w:val="-4"/>
          <w:szCs w:val="21"/>
          <w:highlight w:val="none"/>
        </w:rPr>
      </w:pPr>
      <w:r>
        <w:rPr>
          <w:rFonts w:hint="eastAsia" w:hAnsi="宋体"/>
          <w:color w:val="auto"/>
          <w:spacing w:val="-4"/>
          <w:szCs w:val="21"/>
          <w:highlight w:val="none"/>
          <w:lang w:val="en-US" w:eastAsia="zh-CN"/>
        </w:rPr>
        <w:t>4</w:t>
      </w:r>
      <w:r>
        <w:rPr>
          <w:rFonts w:hint="eastAsia" w:hAnsi="宋体"/>
          <w:color w:val="auto"/>
          <w:spacing w:val="-4"/>
          <w:szCs w:val="21"/>
          <w:highlight w:val="none"/>
        </w:rPr>
        <w:t>、我方所提供的一次性投标报价均具充分的合理性和准确性，保证不存在低于成本的恶意报价行为，同时清楚理解到报价最低并非意味着必定获得合同授予资格。</w:t>
      </w:r>
    </w:p>
    <w:p>
      <w:pPr>
        <w:keepNext w:val="0"/>
        <w:keepLines w:val="0"/>
        <w:pageBreakBefore w:val="0"/>
        <w:widowControl w:val="0"/>
        <w:kinsoku/>
        <w:wordWrap/>
        <w:overflowPunct/>
        <w:topLinePunct w:val="0"/>
        <w:autoSpaceDE/>
        <w:autoSpaceDN/>
        <w:bidi w:val="0"/>
        <w:adjustRightInd/>
        <w:spacing w:line="400" w:lineRule="exact"/>
        <w:ind w:firstLine="420"/>
        <w:jc w:val="left"/>
        <w:textAlignment w:val="auto"/>
        <w:rPr>
          <w:color w:val="auto"/>
          <w:szCs w:val="21"/>
          <w:highlight w:val="none"/>
        </w:rPr>
      </w:pPr>
      <w:r>
        <w:rPr>
          <w:rFonts w:hint="eastAsia"/>
          <w:color w:val="auto"/>
          <w:szCs w:val="21"/>
          <w:highlight w:val="none"/>
          <w:lang w:val="en-US" w:eastAsia="zh-CN"/>
        </w:rPr>
        <w:t>5</w:t>
      </w:r>
      <w:r>
        <w:rPr>
          <w:rFonts w:hint="eastAsia"/>
          <w:color w:val="auto"/>
          <w:szCs w:val="21"/>
          <w:highlight w:val="none"/>
        </w:rPr>
        <w:t>、投标有效期为自开标之日起90天内，如在投标有效期内撤回投标，我方同意被废除投标资格。</w:t>
      </w:r>
    </w:p>
    <w:p>
      <w:pPr>
        <w:keepNext w:val="0"/>
        <w:keepLines w:val="0"/>
        <w:pageBreakBefore w:val="0"/>
        <w:widowControl w:val="0"/>
        <w:kinsoku/>
        <w:wordWrap/>
        <w:overflowPunct/>
        <w:topLinePunct w:val="0"/>
        <w:autoSpaceDE/>
        <w:autoSpaceDN/>
        <w:bidi w:val="0"/>
        <w:adjustRightInd/>
        <w:spacing w:line="400" w:lineRule="exact"/>
        <w:ind w:firstLine="420"/>
        <w:jc w:val="left"/>
        <w:textAlignment w:val="auto"/>
        <w:rPr>
          <w:color w:val="auto"/>
          <w:szCs w:val="21"/>
          <w:highlight w:val="none"/>
        </w:rPr>
      </w:pPr>
      <w:r>
        <w:rPr>
          <w:rFonts w:hint="eastAsia"/>
          <w:color w:val="auto"/>
          <w:szCs w:val="21"/>
          <w:highlight w:val="none"/>
          <w:lang w:val="en-US" w:eastAsia="zh-CN"/>
        </w:rPr>
        <w:t>6</w:t>
      </w:r>
      <w:r>
        <w:rPr>
          <w:rFonts w:hint="eastAsia"/>
          <w:color w:val="auto"/>
          <w:szCs w:val="21"/>
          <w:highlight w:val="none"/>
        </w:rPr>
        <w:t>、</w:t>
      </w:r>
      <w:r>
        <w:rPr>
          <w:rFonts w:hint="eastAsia" w:hAnsi="宋体"/>
          <w:color w:val="auto"/>
          <w:szCs w:val="21"/>
          <w:highlight w:val="none"/>
        </w:rPr>
        <w:t>我方承诺所提供的一切投标文件经已认真严格审核，内容均为全面真实、准确有效且毫无保留，绝无任何遗漏、虚假、伪造和夸大的成份，若出现违背诚实信用和无如实告知之处，同意被废除投标资格和相关的处罚。</w:t>
      </w:r>
    </w:p>
    <w:p>
      <w:pPr>
        <w:pStyle w:val="12"/>
        <w:keepNext w:val="0"/>
        <w:keepLines w:val="0"/>
        <w:pageBreakBefore w:val="0"/>
        <w:widowControl w:val="0"/>
        <w:kinsoku/>
        <w:overflowPunct/>
        <w:topLinePunct w:val="0"/>
        <w:autoSpaceDE/>
        <w:autoSpaceDN/>
        <w:bidi w:val="0"/>
        <w:adjustRightInd/>
        <w:spacing w:line="400" w:lineRule="exact"/>
        <w:ind w:firstLine="422"/>
        <w:textAlignment w:val="auto"/>
        <w:rPr>
          <w:rFonts w:ascii="宋体" w:hAnsi="宋体"/>
          <w:color w:val="auto"/>
          <w:szCs w:val="21"/>
          <w:highlight w:val="none"/>
        </w:rPr>
      </w:pPr>
    </w:p>
    <w:p>
      <w:pPr>
        <w:snapToGrid w:val="0"/>
        <w:ind w:firstLine="420"/>
        <w:rPr>
          <w:color w:val="auto"/>
          <w:highlight w:val="none"/>
        </w:rPr>
      </w:pPr>
      <w:r>
        <w:rPr>
          <w:rFonts w:hint="eastAsia" w:hAnsi="宋体"/>
          <w:color w:val="auto"/>
          <w:highlight w:val="none"/>
        </w:rPr>
        <w:t>地址：</w:t>
      </w:r>
      <w:r>
        <w:rPr>
          <w:rFonts w:hAnsi="宋体"/>
          <w:color w:val="auto"/>
          <w:highlight w:val="none"/>
          <w:u w:val="single"/>
        </w:rPr>
        <w:t xml:space="preserve">              </w:t>
      </w:r>
      <w:r>
        <w:rPr>
          <w:rFonts w:hAnsi="宋体"/>
          <w:color w:val="auto"/>
          <w:highlight w:val="none"/>
        </w:rPr>
        <w:t xml:space="preserve"> </w:t>
      </w:r>
      <w:r>
        <w:rPr>
          <w:rFonts w:hint="eastAsia" w:hAnsi="宋体"/>
          <w:color w:val="auto"/>
          <w:highlight w:val="none"/>
        </w:rPr>
        <w:t>邮编：</w:t>
      </w:r>
      <w:r>
        <w:rPr>
          <w:rFonts w:hAnsi="宋体"/>
          <w:color w:val="auto"/>
          <w:highlight w:val="none"/>
        </w:rPr>
        <w:t xml:space="preserve">__________   </w:t>
      </w:r>
      <w:r>
        <w:rPr>
          <w:rFonts w:hint="eastAsia" w:hAnsi="宋体"/>
          <w:color w:val="auto"/>
          <w:highlight w:val="none"/>
        </w:rPr>
        <w:t>电话：</w:t>
      </w:r>
      <w:r>
        <w:rPr>
          <w:rFonts w:hAnsi="宋体"/>
          <w:color w:val="auto"/>
          <w:highlight w:val="none"/>
        </w:rPr>
        <w:t>______________</w:t>
      </w:r>
    </w:p>
    <w:p>
      <w:pPr>
        <w:snapToGrid w:val="0"/>
        <w:ind w:firstLine="420"/>
        <w:rPr>
          <w:color w:val="auto"/>
          <w:highlight w:val="none"/>
        </w:rPr>
      </w:pPr>
      <w:r>
        <w:rPr>
          <w:rFonts w:hint="eastAsia" w:hAnsi="宋体"/>
          <w:color w:val="auto"/>
          <w:highlight w:val="none"/>
        </w:rPr>
        <w:t>传真：</w:t>
      </w:r>
      <w:r>
        <w:rPr>
          <w:rFonts w:hAnsi="宋体"/>
          <w:color w:val="auto"/>
          <w:highlight w:val="none"/>
        </w:rPr>
        <w:t>______________</w:t>
      </w:r>
      <w:r>
        <w:rPr>
          <w:rFonts w:hint="eastAsia" w:hAnsi="宋体"/>
          <w:color w:val="auto"/>
          <w:highlight w:val="none"/>
        </w:rPr>
        <w:t>投标人代表姓名</w:t>
      </w:r>
      <w:r>
        <w:rPr>
          <w:rFonts w:hAnsi="宋体"/>
          <w:color w:val="auto"/>
          <w:highlight w:val="none"/>
        </w:rPr>
        <w:t xml:space="preserve"> ___________  </w:t>
      </w:r>
      <w:r>
        <w:rPr>
          <w:rFonts w:hint="eastAsia" w:hAnsi="宋体"/>
          <w:color w:val="auto"/>
          <w:highlight w:val="none"/>
        </w:rPr>
        <w:t>职务：</w:t>
      </w:r>
      <w:r>
        <w:rPr>
          <w:rFonts w:hAnsi="宋体"/>
          <w:color w:val="auto"/>
          <w:highlight w:val="none"/>
        </w:rPr>
        <w:t>_____________</w:t>
      </w:r>
    </w:p>
    <w:p>
      <w:pPr>
        <w:snapToGrid w:val="0"/>
        <w:ind w:firstLine="420"/>
        <w:rPr>
          <w:color w:val="auto"/>
          <w:highlight w:val="none"/>
        </w:rPr>
      </w:pPr>
      <w:r>
        <w:rPr>
          <w:rFonts w:hint="eastAsia" w:hAnsi="宋体"/>
          <w:color w:val="auto"/>
          <w:highlight w:val="none"/>
        </w:rPr>
        <w:t>投标人名称</w:t>
      </w:r>
      <w:r>
        <w:rPr>
          <w:rFonts w:hAnsi="宋体"/>
          <w:color w:val="auto"/>
          <w:highlight w:val="none"/>
        </w:rPr>
        <w:t>(</w:t>
      </w:r>
      <w:r>
        <w:rPr>
          <w:rFonts w:hint="eastAsia" w:hAnsi="宋体"/>
          <w:color w:val="auto"/>
          <w:highlight w:val="none"/>
        </w:rPr>
        <w:t>公章</w:t>
      </w:r>
      <w:r>
        <w:rPr>
          <w:rFonts w:hAnsi="宋体"/>
          <w:color w:val="auto"/>
          <w:highlight w:val="none"/>
        </w:rPr>
        <w:t>):___________________</w:t>
      </w:r>
    </w:p>
    <w:p>
      <w:pPr>
        <w:ind w:firstLine="420"/>
        <w:rPr>
          <w:rFonts w:hint="eastAsia" w:hAnsi="宋体"/>
          <w:color w:val="auto"/>
          <w:highlight w:val="none"/>
        </w:rPr>
      </w:pPr>
      <w:r>
        <w:rPr>
          <w:rFonts w:hint="eastAsia" w:hAnsi="宋体"/>
          <w:color w:val="auto"/>
          <w:highlight w:val="none"/>
        </w:rPr>
        <w:t>法定代表人或其授权代表签名或盖章:</w:t>
      </w:r>
      <w:r>
        <w:rPr>
          <w:rFonts w:hAnsi="宋体"/>
          <w:color w:val="auto"/>
          <w:highlight w:val="none"/>
          <w:u w:val="single"/>
        </w:rPr>
        <w:t xml:space="preserve">         </w:t>
      </w:r>
      <w:r>
        <w:rPr>
          <w:rFonts w:hint="eastAsia" w:hAnsi="宋体"/>
          <w:color w:val="auto"/>
          <w:highlight w:val="none"/>
        </w:rPr>
        <w:t xml:space="preserve">     日期:</w:t>
      </w:r>
      <w:r>
        <w:rPr>
          <w:rFonts w:hAnsi="宋体"/>
          <w:color w:val="auto"/>
          <w:highlight w:val="none"/>
          <w:u w:val="single"/>
        </w:rPr>
        <w:t xml:space="preserve">   </w:t>
      </w:r>
      <w:r>
        <w:rPr>
          <w:rFonts w:hint="eastAsia" w:hAnsi="宋体"/>
          <w:color w:val="auto"/>
          <w:highlight w:val="none"/>
        </w:rPr>
        <w:t>年</w:t>
      </w:r>
      <w:r>
        <w:rPr>
          <w:rFonts w:hAnsi="宋体"/>
          <w:color w:val="auto"/>
          <w:highlight w:val="none"/>
          <w:u w:val="single"/>
        </w:rPr>
        <w:t xml:space="preserve">   </w:t>
      </w:r>
      <w:r>
        <w:rPr>
          <w:rFonts w:hint="eastAsia" w:hAnsi="宋体"/>
          <w:color w:val="auto"/>
          <w:highlight w:val="none"/>
        </w:rPr>
        <w:t>月</w:t>
      </w:r>
      <w:r>
        <w:rPr>
          <w:rFonts w:hAnsi="宋体"/>
          <w:color w:val="auto"/>
          <w:highlight w:val="none"/>
          <w:u w:val="single"/>
        </w:rPr>
        <w:t xml:space="preserve">  </w:t>
      </w:r>
      <w:r>
        <w:rPr>
          <w:rFonts w:hint="eastAsia" w:hAnsi="宋体"/>
          <w:color w:val="auto"/>
          <w:highlight w:val="none"/>
        </w:rPr>
        <w:t>日</w:t>
      </w:r>
    </w:p>
    <w:p>
      <w:pPr>
        <w:rPr>
          <w:color w:val="auto"/>
          <w:highlight w:val="none"/>
        </w:rPr>
      </w:pPr>
      <w:r>
        <w:rPr>
          <w:color w:val="auto"/>
          <w:highlight w:val="none"/>
        </w:rPr>
        <w:br w:type="page"/>
      </w:r>
    </w:p>
    <w:p>
      <w:pPr>
        <w:pStyle w:val="8"/>
        <w:rPr>
          <w:color w:val="auto"/>
          <w:highlight w:val="none"/>
        </w:rPr>
      </w:pPr>
      <w:r>
        <w:rPr>
          <w:rFonts w:hint="eastAsia"/>
          <w:color w:val="auto"/>
          <w:highlight w:val="none"/>
          <w:lang w:eastAsia="zh-CN"/>
        </w:rPr>
        <w:t>资格承诺函</w:t>
      </w:r>
    </w:p>
    <w:p>
      <w:pPr>
        <w:jc w:val="center"/>
        <w:rPr>
          <w:b/>
          <w:bCs/>
          <w:color w:val="auto"/>
          <w:highlight w:val="none"/>
        </w:rPr>
      </w:pPr>
      <w:r>
        <w:rPr>
          <w:rFonts w:hint="eastAsia"/>
          <w:b/>
          <w:bCs/>
          <w:color w:val="auto"/>
          <w:highlight w:val="none"/>
        </w:rPr>
        <w:t>资格承诺函</w:t>
      </w:r>
    </w:p>
    <w:p>
      <w:pPr>
        <w:keepNext w:val="0"/>
        <w:keepLines w:val="0"/>
        <w:pageBreakBefore w:val="0"/>
        <w:widowControl w:val="0"/>
        <w:kinsoku/>
        <w:wordWrap/>
        <w:overflowPunct/>
        <w:topLinePunct w:val="0"/>
        <w:autoSpaceDE/>
        <w:autoSpaceDN/>
        <w:bidi w:val="0"/>
        <w:adjustRightInd/>
        <w:snapToGrid/>
        <w:spacing w:line="500" w:lineRule="exact"/>
        <w:textAlignment w:val="auto"/>
        <w:rPr>
          <w:color w:val="auto"/>
          <w:highlight w:val="none"/>
          <w:u w:val="single"/>
        </w:rPr>
      </w:pPr>
      <w:r>
        <w:rPr>
          <w:rFonts w:hint="eastAsia"/>
          <w:color w:val="auto"/>
          <w:highlight w:val="none"/>
          <w:u w:val="single"/>
        </w:rPr>
        <w:t>（采购人名称）：</w:t>
      </w:r>
    </w:p>
    <w:p>
      <w:pPr>
        <w:keepNext w:val="0"/>
        <w:keepLines w:val="0"/>
        <w:pageBreakBefore w:val="0"/>
        <w:widowControl w:val="0"/>
        <w:kinsoku/>
        <w:wordWrap/>
        <w:overflowPunct/>
        <w:topLinePunct w:val="0"/>
        <w:autoSpaceDE/>
        <w:autoSpaceDN/>
        <w:bidi w:val="0"/>
        <w:adjustRightInd/>
        <w:snapToGrid/>
        <w:spacing w:line="500" w:lineRule="exact"/>
        <w:textAlignment w:val="auto"/>
        <w:rPr>
          <w:color w:val="auto"/>
          <w:highlight w:val="none"/>
          <w:u w:val="single"/>
        </w:rPr>
      </w:pPr>
      <w:r>
        <w:rPr>
          <w:rFonts w:hint="eastAsia"/>
          <w:color w:val="auto"/>
          <w:highlight w:val="none"/>
          <w:u w:val="single"/>
        </w:rPr>
        <w:t>（采购代理机构名称）：</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color w:val="auto"/>
          <w:highlight w:val="none"/>
        </w:rPr>
      </w:pPr>
      <w:r>
        <w:rPr>
          <w:rFonts w:hint="eastAsia"/>
          <w:color w:val="auto"/>
          <w:highlight w:val="none"/>
        </w:rPr>
        <w:t>我方参加</w:t>
      </w:r>
      <w:r>
        <w:rPr>
          <w:rFonts w:hint="eastAsia"/>
          <w:color w:val="auto"/>
          <w:highlight w:val="none"/>
          <w:u w:val="single"/>
        </w:rPr>
        <w:t xml:space="preserve">           </w:t>
      </w:r>
      <w:r>
        <w:rPr>
          <w:color w:val="auto"/>
          <w:highlight w:val="none"/>
          <w:u w:val="single"/>
        </w:rPr>
        <w:t xml:space="preserve"> </w:t>
      </w:r>
      <w:r>
        <w:rPr>
          <w:rFonts w:hint="eastAsia"/>
          <w:color w:val="auto"/>
          <w:highlight w:val="none"/>
        </w:rPr>
        <w:t>（项目编号：</w:t>
      </w:r>
      <w:r>
        <w:rPr>
          <w:rFonts w:hint="eastAsia"/>
          <w:color w:val="auto"/>
          <w:highlight w:val="none"/>
          <w:u w:val="single"/>
          <w:lang w:val="en-US" w:eastAsia="zh-CN"/>
        </w:rPr>
        <w:t xml:space="preserve">               </w:t>
      </w:r>
      <w:r>
        <w:rPr>
          <w:rFonts w:hint="eastAsia"/>
          <w:color w:val="auto"/>
          <w:highlight w:val="none"/>
        </w:rPr>
        <w:t>）的政府采购活动，依据</w:t>
      </w:r>
      <w:r>
        <w:rPr>
          <w:rFonts w:hint="eastAsia"/>
          <w:color w:val="auto"/>
          <w:highlight w:val="none"/>
          <w:lang w:eastAsia="zh-CN"/>
        </w:rPr>
        <w:t>采购文件</w:t>
      </w:r>
      <w:r>
        <w:rPr>
          <w:rFonts w:hint="eastAsia"/>
          <w:color w:val="auto"/>
          <w:highlight w:val="none"/>
        </w:rPr>
        <w:t>相关规定，郑重承诺如下：</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eastAsia="宋体" w:cs="宋体"/>
          <w:color w:val="auto"/>
          <w:highlight w:val="none"/>
        </w:rPr>
      </w:pPr>
      <w:r>
        <w:rPr>
          <w:rFonts w:hint="eastAsia" w:ascii="宋体" w:eastAsia="宋体" w:cs="宋体"/>
          <w:color w:val="auto"/>
          <w:highlight w:val="none"/>
        </w:rPr>
        <w:t>（一）具备《中华人民共和国政府采购法》第二十二条规定的条件：</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eastAsia="宋体" w:cs="宋体"/>
          <w:color w:val="auto"/>
          <w:highlight w:val="none"/>
        </w:rPr>
      </w:pPr>
      <w:r>
        <w:rPr>
          <w:rFonts w:hint="eastAsia" w:ascii="宋体" w:eastAsia="宋体" w:cs="宋体"/>
          <w:color w:val="auto"/>
          <w:highlight w:val="none"/>
        </w:rPr>
        <w:t>1.具有独立承担民事责任的能力；</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eastAsia="宋体" w:cs="宋体"/>
          <w:color w:val="auto"/>
          <w:highlight w:val="none"/>
        </w:rPr>
      </w:pPr>
      <w:r>
        <w:rPr>
          <w:rFonts w:hint="eastAsia" w:ascii="宋体" w:eastAsia="宋体" w:cs="宋体"/>
          <w:color w:val="auto"/>
          <w:highlight w:val="none"/>
        </w:rPr>
        <w:t xml:space="preserve">2.具有良好的商业信誉和健全的财务会计制度； </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eastAsia="宋体" w:cs="宋体"/>
          <w:color w:val="auto"/>
          <w:highlight w:val="none"/>
        </w:rPr>
      </w:pPr>
      <w:r>
        <w:rPr>
          <w:rFonts w:hint="eastAsia" w:ascii="宋体" w:eastAsia="宋体" w:cs="宋体"/>
          <w:color w:val="auto"/>
          <w:highlight w:val="none"/>
        </w:rPr>
        <w:t>3.具有履行合同所必需的设备和专业技术能力；</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eastAsia="宋体" w:cs="宋体"/>
          <w:color w:val="auto"/>
          <w:highlight w:val="none"/>
        </w:rPr>
      </w:pPr>
      <w:r>
        <w:rPr>
          <w:rFonts w:hint="eastAsia" w:ascii="宋体" w:eastAsia="宋体" w:cs="宋体"/>
          <w:color w:val="auto"/>
          <w:highlight w:val="none"/>
        </w:rPr>
        <w:t>4.有依法缴纳税收和社会保障资金的良好记录；</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eastAsia="宋体" w:cs="宋体"/>
          <w:color w:val="auto"/>
          <w:highlight w:val="none"/>
        </w:rPr>
      </w:pPr>
      <w:r>
        <w:rPr>
          <w:rFonts w:hint="eastAsia" w:ascii="宋体" w:eastAsia="宋体" w:cs="宋体"/>
          <w:color w:val="auto"/>
          <w:highlight w:val="none"/>
        </w:rPr>
        <w:t>5.参加政府采购活动前三年内，在经营活动中没有重大违法记录；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eastAsia="宋体" w:cs="宋体"/>
          <w:color w:val="auto"/>
          <w:highlight w:val="none"/>
        </w:rPr>
      </w:pPr>
      <w:r>
        <w:rPr>
          <w:rFonts w:hint="eastAsia" w:ascii="宋体" w:eastAsia="宋体" w:cs="宋体"/>
          <w:color w:val="auto"/>
          <w:highlight w:val="none"/>
        </w:rPr>
        <w:t>6.具有法律、行政法规规定的其他条件。</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eastAsia="宋体" w:cs="宋体"/>
          <w:color w:val="auto"/>
          <w:highlight w:val="none"/>
        </w:rPr>
      </w:pPr>
      <w:r>
        <w:rPr>
          <w:rFonts w:hint="eastAsia" w:ascii="宋体" w:eastAsia="宋体" w:cs="宋体"/>
          <w:color w:val="auto"/>
          <w:highlight w:val="none"/>
        </w:rPr>
        <w:t>（二）未被信用中国（www.creditchina.gov.cn)、中国政府采购网（www.ccgp.gov.cn）列入失信被执行人、重大税收违法失信主体、政府采购严重违法失信行为记录名单。</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Times New Roman" w:hAnsi="Times New Roman" w:eastAsia="宋体" w:cs="Times New Roman"/>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b/>
          <w:bCs/>
          <w:color w:val="auto"/>
          <w:highlight w:val="none"/>
        </w:rPr>
      </w:pPr>
      <w:r>
        <w:rPr>
          <w:rFonts w:hint="eastAsia"/>
          <w:b/>
          <w:bCs/>
          <w:color w:val="auto"/>
          <w:highlight w:val="none"/>
        </w:rPr>
        <w:t>以上承诺如有虚假或隐瞒，采购人可取消我方任何资格（投标/中标/签订合同），我方对此无任何异议，并愿意承担一切后果和责任。</w:t>
      </w:r>
    </w:p>
    <w:p>
      <w:pPr>
        <w:keepNext w:val="0"/>
        <w:keepLines w:val="0"/>
        <w:pageBreakBefore w:val="0"/>
        <w:widowControl w:val="0"/>
        <w:kinsoku/>
        <w:wordWrap/>
        <w:overflowPunct/>
        <w:topLinePunct w:val="0"/>
        <w:autoSpaceDE/>
        <w:autoSpaceDN/>
        <w:bidi w:val="0"/>
        <w:adjustRightInd/>
        <w:snapToGrid/>
        <w:spacing w:line="500" w:lineRule="exact"/>
        <w:textAlignment w:val="auto"/>
        <w:rPr>
          <w:color w:val="auto"/>
          <w:highlight w:val="none"/>
        </w:rPr>
      </w:pPr>
    </w:p>
    <w:p>
      <w:pPr>
        <w:snapToGrid w:val="0"/>
        <w:ind w:firstLine="5040" w:firstLineChars="2400"/>
        <w:jc w:val="right"/>
        <w:rPr>
          <w:rFonts w:hint="eastAsia" w:hAnsi="宋体"/>
          <w:color w:val="auto"/>
          <w:kern w:val="0"/>
          <w:szCs w:val="21"/>
          <w:highlight w:val="none"/>
          <w:lang w:val="zh-CN"/>
        </w:rPr>
      </w:pPr>
    </w:p>
    <w:p>
      <w:pPr>
        <w:snapToGrid w:val="0"/>
        <w:ind w:firstLine="5040" w:firstLineChars="2400"/>
        <w:jc w:val="right"/>
        <w:rPr>
          <w:rFonts w:hAnsi="宋体"/>
          <w:color w:val="auto"/>
          <w:kern w:val="0"/>
          <w:szCs w:val="21"/>
          <w:highlight w:val="none"/>
        </w:rPr>
      </w:pPr>
      <w:r>
        <w:rPr>
          <w:rFonts w:hint="eastAsia" w:hAnsi="宋体"/>
          <w:color w:val="auto"/>
          <w:kern w:val="0"/>
          <w:szCs w:val="21"/>
          <w:highlight w:val="none"/>
          <w:lang w:val="zh-CN"/>
        </w:rPr>
        <w:t>投标人</w:t>
      </w:r>
      <w:r>
        <w:rPr>
          <w:rFonts w:hAnsi="宋体"/>
          <w:color w:val="auto"/>
          <w:kern w:val="0"/>
          <w:szCs w:val="21"/>
          <w:highlight w:val="none"/>
          <w:lang w:val="zh-CN"/>
        </w:rPr>
        <w:t>名称(公章)：</w:t>
      </w:r>
      <w:r>
        <w:rPr>
          <w:rFonts w:hint="eastAsia" w:hAnsi="宋体"/>
          <w:color w:val="auto"/>
          <w:kern w:val="0"/>
          <w:szCs w:val="21"/>
          <w:highlight w:val="none"/>
          <w:lang w:val="zh-CN"/>
        </w:rPr>
        <w:t xml:space="preserve"> </w:t>
      </w:r>
      <w:r>
        <w:rPr>
          <w:rFonts w:hAnsi="宋体"/>
          <w:color w:val="auto"/>
          <w:kern w:val="0"/>
          <w:szCs w:val="21"/>
          <w:highlight w:val="none"/>
          <w:lang w:val="zh-CN"/>
        </w:rPr>
        <w:t xml:space="preserve">           </w:t>
      </w:r>
    </w:p>
    <w:p>
      <w:pPr>
        <w:snapToGrid w:val="0"/>
        <w:ind w:firstLine="420"/>
        <w:jc w:val="right"/>
        <w:rPr>
          <w:rFonts w:hAnsi="宋体"/>
          <w:color w:val="auto"/>
          <w:kern w:val="0"/>
          <w:szCs w:val="21"/>
          <w:highlight w:val="none"/>
        </w:rPr>
      </w:pPr>
      <w:r>
        <w:rPr>
          <w:rFonts w:hAnsi="宋体"/>
          <w:color w:val="auto"/>
          <w:kern w:val="0"/>
          <w:szCs w:val="21"/>
          <w:highlight w:val="none"/>
          <w:lang w:val="zh-CN"/>
        </w:rPr>
        <w:t>法定代表人(签字或盖章)：</w:t>
      </w:r>
      <w:r>
        <w:rPr>
          <w:rFonts w:hint="eastAsia" w:hAnsi="宋体"/>
          <w:color w:val="auto"/>
          <w:kern w:val="0"/>
          <w:szCs w:val="21"/>
          <w:highlight w:val="none"/>
          <w:lang w:val="zh-CN"/>
        </w:rPr>
        <w:t xml:space="preserve"> </w:t>
      </w:r>
      <w:r>
        <w:rPr>
          <w:rFonts w:hAnsi="宋体"/>
          <w:color w:val="auto"/>
          <w:kern w:val="0"/>
          <w:szCs w:val="21"/>
          <w:highlight w:val="none"/>
          <w:lang w:val="zh-CN"/>
        </w:rPr>
        <w:t xml:space="preserve">           </w:t>
      </w:r>
    </w:p>
    <w:p>
      <w:pPr>
        <w:ind w:firstLine="420"/>
        <w:jc w:val="right"/>
        <w:rPr>
          <w:rFonts w:hAnsi="宋体"/>
          <w:color w:val="auto"/>
          <w:kern w:val="0"/>
          <w:szCs w:val="21"/>
          <w:highlight w:val="none"/>
          <w:lang w:val="zh-CN"/>
        </w:rPr>
      </w:pPr>
      <w:r>
        <w:rPr>
          <w:rFonts w:hAnsi="宋体"/>
          <w:color w:val="auto"/>
          <w:kern w:val="0"/>
          <w:szCs w:val="21"/>
          <w:highlight w:val="none"/>
          <w:lang w:val="zh-CN"/>
        </w:rPr>
        <w:t>日期：   年</w:t>
      </w:r>
      <w:r>
        <w:rPr>
          <w:rFonts w:hint="eastAsia" w:hAnsi="宋体"/>
          <w:color w:val="auto"/>
          <w:kern w:val="0"/>
          <w:szCs w:val="21"/>
          <w:highlight w:val="none"/>
          <w:lang w:val="zh-CN"/>
        </w:rPr>
        <w:t xml:space="preserve"> </w:t>
      </w:r>
      <w:r>
        <w:rPr>
          <w:rFonts w:hAnsi="宋体"/>
          <w:color w:val="auto"/>
          <w:kern w:val="0"/>
          <w:szCs w:val="21"/>
          <w:highlight w:val="none"/>
          <w:lang w:val="zh-CN"/>
        </w:rPr>
        <w:t xml:space="preserve">   月   日</w:t>
      </w:r>
    </w:p>
    <w:p>
      <w:pPr>
        <w:ind w:firstLine="420"/>
        <w:rPr>
          <w:color w:val="auto"/>
          <w:highlight w:val="none"/>
        </w:rPr>
      </w:pPr>
      <w:r>
        <w:rPr>
          <w:color w:val="auto"/>
          <w:highlight w:val="none"/>
        </w:rPr>
        <w:br w:type="page"/>
      </w:r>
    </w:p>
    <w:p>
      <w:pPr>
        <w:widowControl/>
        <w:wordWrap/>
        <w:spacing w:line="240" w:lineRule="auto"/>
        <w:ind w:firstLine="0" w:firstLineChars="0"/>
        <w:jc w:val="left"/>
        <w:rPr>
          <w:rFonts w:ascii="Cambria" w:hAnsi="Cambria"/>
          <w:b/>
          <w:bCs/>
          <w:color w:val="auto"/>
          <w:szCs w:val="32"/>
          <w:highlight w:val="none"/>
        </w:rPr>
      </w:pPr>
    </w:p>
    <w:p>
      <w:pPr>
        <w:pStyle w:val="8"/>
        <w:rPr>
          <w:color w:val="auto"/>
          <w:highlight w:val="none"/>
        </w:rPr>
      </w:pPr>
      <w:r>
        <w:rPr>
          <w:rFonts w:hint="eastAsia"/>
          <w:color w:val="auto"/>
          <w:highlight w:val="none"/>
        </w:rPr>
        <w:t>法定代表人授权函</w:t>
      </w:r>
    </w:p>
    <w:p>
      <w:pPr>
        <w:snapToGrid w:val="0"/>
        <w:ind w:firstLine="422"/>
        <w:jc w:val="center"/>
        <w:rPr>
          <w:rFonts w:hAnsi="宋体"/>
          <w:b/>
          <w:bCs/>
          <w:color w:val="auto"/>
          <w:szCs w:val="21"/>
          <w:highlight w:val="none"/>
          <w:lang w:val="zh-CN"/>
        </w:rPr>
      </w:pPr>
    </w:p>
    <w:p>
      <w:pPr>
        <w:snapToGrid w:val="0"/>
        <w:ind w:firstLine="422"/>
        <w:jc w:val="center"/>
        <w:rPr>
          <w:rFonts w:hAnsi="宋体"/>
          <w:color w:val="auto"/>
          <w:sz w:val="24"/>
          <w:highlight w:val="none"/>
        </w:rPr>
      </w:pPr>
      <w:r>
        <w:rPr>
          <w:rFonts w:hAnsi="宋体"/>
          <w:b/>
          <w:bCs/>
          <w:color w:val="auto"/>
          <w:szCs w:val="21"/>
          <w:highlight w:val="none"/>
          <w:lang w:val="zh-CN"/>
        </w:rPr>
        <w:t>法定代表人授权函</w:t>
      </w:r>
    </w:p>
    <w:p>
      <w:pPr>
        <w:snapToGrid w:val="0"/>
        <w:ind w:firstLine="0" w:firstLineChars="0"/>
        <w:rPr>
          <w:rFonts w:hAnsi="宋体"/>
          <w:color w:val="auto"/>
          <w:kern w:val="0"/>
          <w:szCs w:val="21"/>
          <w:highlight w:val="none"/>
        </w:rPr>
      </w:pPr>
      <w:r>
        <w:rPr>
          <w:rFonts w:hint="eastAsia" w:hAnsi="宋体"/>
          <w:color w:val="auto"/>
          <w:kern w:val="0"/>
          <w:szCs w:val="21"/>
          <w:highlight w:val="none"/>
          <w:lang w:val="zh-CN"/>
        </w:rPr>
        <w:t>（采购人名称）</w:t>
      </w:r>
      <w:r>
        <w:rPr>
          <w:rFonts w:hAnsi="宋体"/>
          <w:color w:val="auto"/>
          <w:kern w:val="0"/>
          <w:szCs w:val="21"/>
          <w:highlight w:val="none"/>
          <w:lang w:val="zh-CN"/>
        </w:rPr>
        <w:t>：</w:t>
      </w:r>
    </w:p>
    <w:p>
      <w:pPr>
        <w:ind w:firstLine="420"/>
        <w:rPr>
          <w:color w:val="auto"/>
          <w:highlight w:val="none"/>
        </w:rPr>
      </w:pPr>
      <w:r>
        <w:rPr>
          <w:color w:val="auto"/>
          <w:highlight w:val="none"/>
          <w:lang w:val="zh-CN"/>
        </w:rPr>
        <w:t>兹委派我公司</w:t>
      </w:r>
      <w:r>
        <w:rPr>
          <w:rFonts w:hint="eastAsia"/>
          <w:color w:val="auto"/>
          <w:highlight w:val="none"/>
          <w:u w:val="single"/>
          <w:lang w:val="zh-CN"/>
        </w:rPr>
        <w:t xml:space="preserve">    </w:t>
      </w:r>
      <w:r>
        <w:rPr>
          <w:color w:val="auto"/>
          <w:highlight w:val="none"/>
          <w:u w:val="single"/>
          <w:lang w:val="zh-CN"/>
        </w:rPr>
        <w:t xml:space="preserve">  </w:t>
      </w:r>
      <w:r>
        <w:rPr>
          <w:rFonts w:hint="eastAsia"/>
          <w:color w:val="auto"/>
          <w:highlight w:val="none"/>
          <w:u w:val="single"/>
          <w:lang w:val="zh-CN"/>
        </w:rPr>
        <w:t xml:space="preserve">  </w:t>
      </w:r>
      <w:r>
        <w:rPr>
          <w:color w:val="auto"/>
          <w:highlight w:val="none"/>
          <w:lang w:val="zh-CN"/>
        </w:rPr>
        <w:t>先生/女士(其在本公司的职务是：</w:t>
      </w:r>
      <w:r>
        <w:rPr>
          <w:color w:val="auto"/>
          <w:highlight w:val="none"/>
          <w:u w:val="single"/>
          <w:lang w:val="zh-CN"/>
        </w:rPr>
        <w:t xml:space="preserve">     </w:t>
      </w:r>
      <w:r>
        <w:rPr>
          <w:color w:val="auto"/>
          <w:highlight w:val="none"/>
          <w:lang w:val="zh-CN"/>
        </w:rPr>
        <w:t>，联系电话：</w:t>
      </w:r>
      <w:r>
        <w:rPr>
          <w:rFonts w:hint="eastAsia"/>
          <w:color w:val="auto"/>
          <w:highlight w:val="none"/>
          <w:u w:val="single"/>
          <w:lang w:val="zh-CN"/>
        </w:rPr>
        <w:t xml:space="preserve"> </w:t>
      </w:r>
      <w:r>
        <w:rPr>
          <w:color w:val="auto"/>
          <w:highlight w:val="none"/>
          <w:u w:val="single"/>
          <w:lang w:val="zh-CN"/>
        </w:rPr>
        <w:t xml:space="preserve">      </w:t>
      </w:r>
      <w:r>
        <w:rPr>
          <w:color w:val="auto"/>
          <w:highlight w:val="none"/>
          <w:lang w:val="zh-CN"/>
        </w:rPr>
        <w:t>手机：</w:t>
      </w:r>
      <w:r>
        <w:rPr>
          <w:rFonts w:hint="eastAsia"/>
          <w:color w:val="auto"/>
          <w:highlight w:val="none"/>
          <w:u w:val="single"/>
          <w:lang w:val="zh-CN"/>
        </w:rPr>
        <w:t xml:space="preserve"> </w:t>
      </w:r>
      <w:r>
        <w:rPr>
          <w:color w:val="auto"/>
          <w:highlight w:val="none"/>
          <w:u w:val="single"/>
          <w:lang w:val="zh-CN"/>
        </w:rPr>
        <w:t xml:space="preserve">      </w:t>
      </w:r>
      <w:r>
        <w:rPr>
          <w:color w:val="auto"/>
          <w:highlight w:val="none"/>
          <w:lang w:val="zh-CN"/>
        </w:rPr>
        <w:t>传真：</w:t>
      </w:r>
      <w:r>
        <w:rPr>
          <w:rFonts w:hint="eastAsia"/>
          <w:color w:val="auto"/>
          <w:highlight w:val="none"/>
          <w:u w:val="single"/>
          <w:lang w:val="zh-CN"/>
        </w:rPr>
        <w:t xml:space="preserve"> </w:t>
      </w:r>
      <w:r>
        <w:rPr>
          <w:color w:val="auto"/>
          <w:highlight w:val="none"/>
          <w:u w:val="single"/>
          <w:lang w:val="zh-CN"/>
        </w:rPr>
        <w:t xml:space="preserve">        </w:t>
      </w:r>
      <w:r>
        <w:rPr>
          <w:color w:val="auto"/>
          <w:highlight w:val="none"/>
          <w:lang w:val="zh-CN"/>
        </w:rPr>
        <w:t>)，代表我公司全权处理</w:t>
      </w:r>
      <w:r>
        <w:rPr>
          <w:color w:val="auto"/>
          <w:highlight w:val="none"/>
          <w:u w:val="single"/>
        </w:rPr>
        <w:t xml:space="preserve">                     【</w:t>
      </w:r>
      <w:r>
        <w:rPr>
          <w:rFonts w:hint="eastAsia"/>
          <w:color w:val="auto"/>
          <w:highlight w:val="none"/>
          <w:u w:val="single"/>
          <w:lang w:eastAsia="zh-CN"/>
        </w:rPr>
        <w:t>项目编号</w:t>
      </w:r>
      <w:r>
        <w:rPr>
          <w:color w:val="auto"/>
          <w:highlight w:val="none"/>
          <w:u w:val="single"/>
        </w:rPr>
        <w:t>：         】</w:t>
      </w:r>
      <w:r>
        <w:rPr>
          <w:color w:val="auto"/>
          <w:highlight w:val="none"/>
          <w:lang w:val="zh-CN"/>
        </w:rPr>
        <w:t>政府采购投标的一切事项，若中标则全权代表本公司签订相关合同，并负责处理合同履行等事宜。</w:t>
      </w:r>
    </w:p>
    <w:p>
      <w:pPr>
        <w:ind w:firstLine="420"/>
        <w:rPr>
          <w:color w:val="auto"/>
          <w:highlight w:val="none"/>
          <w:lang w:val="zh-CN"/>
        </w:rPr>
      </w:pPr>
      <w:r>
        <w:rPr>
          <w:color w:val="auto"/>
          <w:highlight w:val="none"/>
          <w:lang w:val="zh-CN"/>
        </w:rPr>
        <w:t>本授权书有效期：自   年   月  日起至  年  月  日止。</w:t>
      </w:r>
    </w:p>
    <w:p>
      <w:pPr>
        <w:ind w:firstLine="420"/>
        <w:rPr>
          <w:color w:val="auto"/>
          <w:highlight w:val="none"/>
        </w:rPr>
      </w:pPr>
      <w:r>
        <w:rPr>
          <w:color w:val="auto"/>
          <w:highlight w:val="none"/>
          <w:lang w:val="zh-CN"/>
        </w:rPr>
        <w:t>特此告知。</w:t>
      </w:r>
    </w:p>
    <w:p>
      <w:pPr>
        <w:snapToGrid w:val="0"/>
        <w:ind w:firstLine="5040" w:firstLineChars="2400"/>
        <w:jc w:val="right"/>
        <w:rPr>
          <w:rFonts w:hint="eastAsia" w:hAnsi="宋体"/>
          <w:color w:val="auto"/>
          <w:kern w:val="0"/>
          <w:szCs w:val="21"/>
          <w:highlight w:val="none"/>
          <w:lang w:val="zh-CN"/>
        </w:rPr>
      </w:pPr>
    </w:p>
    <w:p>
      <w:pPr>
        <w:snapToGrid w:val="0"/>
        <w:ind w:firstLine="5040" w:firstLineChars="2400"/>
        <w:jc w:val="right"/>
        <w:rPr>
          <w:rFonts w:hAnsi="宋体"/>
          <w:color w:val="auto"/>
          <w:kern w:val="0"/>
          <w:szCs w:val="21"/>
          <w:highlight w:val="none"/>
        </w:rPr>
      </w:pPr>
      <w:r>
        <w:rPr>
          <w:rFonts w:hint="eastAsia" w:hAnsi="宋体"/>
          <w:color w:val="auto"/>
          <w:kern w:val="0"/>
          <w:szCs w:val="21"/>
          <w:highlight w:val="none"/>
          <w:lang w:val="zh-CN"/>
        </w:rPr>
        <w:t>投标人</w:t>
      </w:r>
      <w:r>
        <w:rPr>
          <w:rFonts w:hAnsi="宋体"/>
          <w:color w:val="auto"/>
          <w:kern w:val="0"/>
          <w:szCs w:val="21"/>
          <w:highlight w:val="none"/>
          <w:lang w:val="zh-CN"/>
        </w:rPr>
        <w:t>名称(公章)：</w:t>
      </w:r>
      <w:r>
        <w:rPr>
          <w:rFonts w:hint="eastAsia" w:hAnsi="宋体"/>
          <w:color w:val="auto"/>
          <w:kern w:val="0"/>
          <w:szCs w:val="21"/>
          <w:highlight w:val="none"/>
          <w:lang w:val="zh-CN"/>
        </w:rPr>
        <w:t xml:space="preserve"> </w:t>
      </w:r>
      <w:r>
        <w:rPr>
          <w:rFonts w:hAnsi="宋体"/>
          <w:color w:val="auto"/>
          <w:kern w:val="0"/>
          <w:szCs w:val="21"/>
          <w:highlight w:val="none"/>
          <w:lang w:val="zh-CN"/>
        </w:rPr>
        <w:t xml:space="preserve">           </w:t>
      </w:r>
    </w:p>
    <w:p>
      <w:pPr>
        <w:snapToGrid w:val="0"/>
        <w:ind w:firstLine="420"/>
        <w:jc w:val="right"/>
        <w:rPr>
          <w:rFonts w:hAnsi="宋体"/>
          <w:color w:val="auto"/>
          <w:kern w:val="0"/>
          <w:szCs w:val="21"/>
          <w:highlight w:val="none"/>
        </w:rPr>
      </w:pPr>
      <w:r>
        <w:rPr>
          <w:rFonts w:hAnsi="宋体"/>
          <w:color w:val="auto"/>
          <w:kern w:val="0"/>
          <w:szCs w:val="21"/>
          <w:highlight w:val="none"/>
          <w:lang w:val="zh-CN"/>
        </w:rPr>
        <w:t>法定代表人(签字或盖章)：</w:t>
      </w:r>
      <w:r>
        <w:rPr>
          <w:rFonts w:hint="eastAsia" w:hAnsi="宋体"/>
          <w:color w:val="auto"/>
          <w:kern w:val="0"/>
          <w:szCs w:val="21"/>
          <w:highlight w:val="none"/>
          <w:lang w:val="zh-CN"/>
        </w:rPr>
        <w:t xml:space="preserve"> </w:t>
      </w:r>
      <w:r>
        <w:rPr>
          <w:rFonts w:hAnsi="宋体"/>
          <w:color w:val="auto"/>
          <w:kern w:val="0"/>
          <w:szCs w:val="21"/>
          <w:highlight w:val="none"/>
          <w:lang w:val="zh-CN"/>
        </w:rPr>
        <w:t xml:space="preserve">           </w:t>
      </w:r>
    </w:p>
    <w:p>
      <w:pPr>
        <w:ind w:firstLine="420"/>
        <w:jc w:val="right"/>
        <w:rPr>
          <w:rFonts w:hAnsi="宋体"/>
          <w:color w:val="auto"/>
          <w:kern w:val="0"/>
          <w:szCs w:val="21"/>
          <w:highlight w:val="none"/>
          <w:lang w:val="zh-CN"/>
        </w:rPr>
      </w:pPr>
      <w:r>
        <w:rPr>
          <w:rFonts w:hAnsi="宋体"/>
          <w:color w:val="auto"/>
          <w:kern w:val="0"/>
          <w:szCs w:val="21"/>
          <w:highlight w:val="none"/>
          <w:lang w:val="zh-CN"/>
        </w:rPr>
        <w:t>日期：   年</w:t>
      </w:r>
      <w:r>
        <w:rPr>
          <w:rFonts w:hint="eastAsia" w:hAnsi="宋体"/>
          <w:color w:val="auto"/>
          <w:kern w:val="0"/>
          <w:szCs w:val="21"/>
          <w:highlight w:val="none"/>
          <w:lang w:val="zh-CN"/>
        </w:rPr>
        <w:t xml:space="preserve"> </w:t>
      </w:r>
      <w:r>
        <w:rPr>
          <w:rFonts w:hAnsi="宋体"/>
          <w:color w:val="auto"/>
          <w:kern w:val="0"/>
          <w:szCs w:val="21"/>
          <w:highlight w:val="none"/>
          <w:lang w:val="zh-CN"/>
        </w:rPr>
        <w:t xml:space="preserve">   月   日</w:t>
      </w:r>
    </w:p>
    <w:p>
      <w:pPr>
        <w:ind w:firstLine="480"/>
        <w:jc w:val="center"/>
        <w:rPr>
          <w:rFonts w:hAnsi="宋体"/>
          <w:color w:val="auto"/>
          <w:kern w:val="0"/>
          <w:sz w:val="24"/>
          <w:highlight w:val="none"/>
          <w:lang w:val="zh-CN"/>
        </w:rPr>
      </w:pPr>
    </w:p>
    <w:p>
      <w:pPr>
        <w:spacing w:line="480" w:lineRule="auto"/>
        <w:ind w:firstLine="403" w:firstLineChars="192"/>
        <w:rPr>
          <w:color w:val="auto"/>
          <w:highlight w:val="none"/>
        </w:rPr>
      </w:pPr>
      <w:r>
        <w:rPr>
          <w:rFonts w:hAnsi="宋体"/>
          <w:color w:val="auto"/>
          <w:highlight w:val="none"/>
        </w:rPr>
        <w:t>附法人及</w:t>
      </w:r>
      <w:r>
        <w:rPr>
          <w:rFonts w:hAnsi="宋体"/>
          <w:color w:val="auto"/>
          <w:highlight w:val="none"/>
          <w:lang w:val="zh-CN"/>
        </w:rPr>
        <w:t>授权委托人身份证</w:t>
      </w:r>
      <w:r>
        <w:rPr>
          <w:rFonts w:hAnsi="宋体"/>
          <w:color w:val="auto"/>
          <w:highlight w:val="none"/>
        </w:rPr>
        <w:t>（复印件）</w:t>
      </w:r>
      <w:r>
        <w:rPr>
          <w:color w:val="auto"/>
          <w:highlight w:val="none"/>
        </w:rPr>
        <w:br w:type="page"/>
      </w:r>
    </w:p>
    <w:p>
      <w:pPr>
        <w:pStyle w:val="8"/>
        <w:rPr>
          <w:color w:val="auto"/>
          <w:highlight w:val="none"/>
        </w:rPr>
      </w:pPr>
      <w:r>
        <w:rPr>
          <w:rFonts w:hint="eastAsia"/>
          <w:color w:val="auto"/>
          <w:highlight w:val="none"/>
        </w:rPr>
        <w:t>投标人基本情况表</w:t>
      </w:r>
    </w:p>
    <w:p>
      <w:pPr>
        <w:ind w:firstLine="482"/>
        <w:jc w:val="center"/>
        <w:rPr>
          <w:b/>
          <w:bCs/>
          <w:color w:val="auto"/>
          <w:sz w:val="24"/>
          <w:szCs w:val="28"/>
          <w:highlight w:val="none"/>
        </w:rPr>
      </w:pPr>
    </w:p>
    <w:p>
      <w:pPr>
        <w:ind w:firstLine="482"/>
        <w:jc w:val="center"/>
        <w:rPr>
          <w:b/>
          <w:bCs/>
          <w:color w:val="auto"/>
          <w:sz w:val="24"/>
          <w:szCs w:val="28"/>
          <w:highlight w:val="none"/>
        </w:rPr>
      </w:pPr>
      <w:r>
        <w:rPr>
          <w:rFonts w:hint="eastAsia"/>
          <w:b/>
          <w:bCs/>
          <w:color w:val="auto"/>
          <w:sz w:val="24"/>
          <w:szCs w:val="28"/>
          <w:highlight w:val="none"/>
        </w:rPr>
        <w:t>投标人基本情况表</w:t>
      </w:r>
    </w:p>
    <w:tbl>
      <w:tblPr>
        <w:tblStyle w:val="26"/>
        <w:tblW w:w="9773"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800"/>
        <w:gridCol w:w="2119"/>
        <w:gridCol w:w="1920"/>
        <w:gridCol w:w="3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trPr>
        <w:tc>
          <w:tcPr>
            <w:tcW w:w="645" w:type="dxa"/>
            <w:vMerge w:val="restart"/>
            <w:vAlign w:val="center"/>
          </w:tcPr>
          <w:p>
            <w:pPr>
              <w:ind w:firstLine="0" w:firstLineChars="0"/>
              <w:jc w:val="center"/>
              <w:rPr>
                <w:color w:val="auto"/>
                <w:highlight w:val="none"/>
              </w:rPr>
            </w:pPr>
          </w:p>
          <w:p>
            <w:pPr>
              <w:ind w:firstLine="0" w:firstLineChars="0"/>
              <w:jc w:val="center"/>
              <w:rPr>
                <w:color w:val="auto"/>
                <w:highlight w:val="none"/>
              </w:rPr>
            </w:pPr>
          </w:p>
          <w:p>
            <w:pPr>
              <w:ind w:firstLine="0" w:firstLineChars="0"/>
              <w:jc w:val="center"/>
              <w:rPr>
                <w:color w:val="auto"/>
                <w:highlight w:val="none"/>
              </w:rPr>
            </w:pPr>
            <w:r>
              <w:rPr>
                <w:rFonts w:hAnsi="宋体"/>
                <w:color w:val="auto"/>
                <w:highlight w:val="none"/>
              </w:rPr>
              <w:t>应</w:t>
            </w:r>
          </w:p>
          <w:p>
            <w:pPr>
              <w:ind w:firstLine="0" w:firstLineChars="0"/>
              <w:jc w:val="center"/>
              <w:rPr>
                <w:color w:val="auto"/>
                <w:highlight w:val="none"/>
              </w:rPr>
            </w:pPr>
          </w:p>
          <w:p>
            <w:pPr>
              <w:ind w:firstLine="0" w:firstLineChars="0"/>
              <w:jc w:val="center"/>
              <w:rPr>
                <w:color w:val="auto"/>
                <w:highlight w:val="none"/>
              </w:rPr>
            </w:pPr>
            <w:r>
              <w:rPr>
                <w:rFonts w:hAnsi="宋体"/>
                <w:color w:val="auto"/>
                <w:highlight w:val="none"/>
              </w:rPr>
              <w:t>标</w:t>
            </w:r>
          </w:p>
          <w:p>
            <w:pPr>
              <w:ind w:firstLine="0" w:firstLineChars="0"/>
              <w:jc w:val="center"/>
              <w:rPr>
                <w:color w:val="auto"/>
                <w:highlight w:val="none"/>
              </w:rPr>
            </w:pPr>
          </w:p>
          <w:p>
            <w:pPr>
              <w:ind w:firstLine="0" w:firstLineChars="0"/>
              <w:jc w:val="center"/>
              <w:rPr>
                <w:color w:val="auto"/>
                <w:highlight w:val="none"/>
              </w:rPr>
            </w:pPr>
            <w:r>
              <w:rPr>
                <w:rFonts w:hAnsi="宋体"/>
                <w:color w:val="auto"/>
                <w:highlight w:val="none"/>
              </w:rPr>
              <w:t>人</w:t>
            </w:r>
          </w:p>
          <w:p>
            <w:pPr>
              <w:ind w:firstLine="0" w:firstLineChars="0"/>
              <w:jc w:val="center"/>
              <w:rPr>
                <w:color w:val="auto"/>
                <w:highlight w:val="none"/>
              </w:rPr>
            </w:pPr>
          </w:p>
          <w:p>
            <w:pPr>
              <w:ind w:firstLine="0" w:firstLineChars="0"/>
              <w:jc w:val="center"/>
              <w:rPr>
                <w:color w:val="auto"/>
                <w:highlight w:val="none"/>
              </w:rPr>
            </w:pPr>
            <w:r>
              <w:rPr>
                <w:rFonts w:hAnsi="宋体"/>
                <w:color w:val="auto"/>
                <w:highlight w:val="none"/>
              </w:rPr>
              <w:t>概</w:t>
            </w:r>
          </w:p>
          <w:p>
            <w:pPr>
              <w:ind w:firstLine="0" w:firstLineChars="0"/>
              <w:jc w:val="center"/>
              <w:rPr>
                <w:color w:val="auto"/>
                <w:highlight w:val="none"/>
              </w:rPr>
            </w:pPr>
          </w:p>
          <w:p>
            <w:pPr>
              <w:ind w:firstLine="0" w:firstLineChars="0"/>
              <w:jc w:val="center"/>
              <w:rPr>
                <w:color w:val="auto"/>
                <w:highlight w:val="none"/>
              </w:rPr>
            </w:pPr>
            <w:r>
              <w:rPr>
                <w:rFonts w:hAnsi="宋体"/>
                <w:color w:val="auto"/>
                <w:highlight w:val="none"/>
              </w:rPr>
              <w:t>况</w:t>
            </w:r>
          </w:p>
        </w:tc>
        <w:tc>
          <w:tcPr>
            <w:tcW w:w="1800" w:type="dxa"/>
            <w:vAlign w:val="center"/>
          </w:tcPr>
          <w:p>
            <w:pPr>
              <w:ind w:firstLine="0" w:firstLineChars="0"/>
              <w:jc w:val="center"/>
              <w:rPr>
                <w:color w:val="auto"/>
                <w:highlight w:val="none"/>
              </w:rPr>
            </w:pPr>
            <w:r>
              <w:rPr>
                <w:rFonts w:hAnsi="宋体"/>
                <w:color w:val="auto"/>
                <w:highlight w:val="none"/>
              </w:rPr>
              <w:t>公司名称</w:t>
            </w:r>
          </w:p>
        </w:tc>
        <w:tc>
          <w:tcPr>
            <w:tcW w:w="7328" w:type="dxa"/>
            <w:gridSpan w:val="3"/>
            <w:vAlign w:val="center"/>
          </w:tcPr>
          <w:p>
            <w:pPr>
              <w:ind w:firstLine="0" w:firstLine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trPr>
        <w:tc>
          <w:tcPr>
            <w:tcW w:w="645" w:type="dxa"/>
            <w:vMerge w:val="continue"/>
            <w:vAlign w:val="center"/>
          </w:tcPr>
          <w:p>
            <w:pPr>
              <w:ind w:firstLine="0" w:firstLineChars="0"/>
              <w:jc w:val="center"/>
              <w:rPr>
                <w:color w:val="auto"/>
                <w:highlight w:val="none"/>
              </w:rPr>
            </w:pPr>
          </w:p>
        </w:tc>
        <w:tc>
          <w:tcPr>
            <w:tcW w:w="1800" w:type="dxa"/>
            <w:vAlign w:val="center"/>
          </w:tcPr>
          <w:p>
            <w:pPr>
              <w:ind w:firstLine="0" w:firstLineChars="0"/>
              <w:jc w:val="center"/>
              <w:rPr>
                <w:color w:val="auto"/>
                <w:highlight w:val="none"/>
              </w:rPr>
            </w:pPr>
            <w:r>
              <w:rPr>
                <w:rFonts w:hAnsi="宋体"/>
                <w:color w:val="auto"/>
                <w:highlight w:val="none"/>
              </w:rPr>
              <w:t>地址</w:t>
            </w:r>
          </w:p>
        </w:tc>
        <w:tc>
          <w:tcPr>
            <w:tcW w:w="7328" w:type="dxa"/>
            <w:gridSpan w:val="3"/>
            <w:vAlign w:val="center"/>
          </w:tcPr>
          <w:p>
            <w:pPr>
              <w:ind w:firstLine="0" w:firstLine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645" w:type="dxa"/>
            <w:vMerge w:val="continue"/>
            <w:vAlign w:val="center"/>
          </w:tcPr>
          <w:p>
            <w:pPr>
              <w:ind w:firstLine="0" w:firstLineChars="0"/>
              <w:jc w:val="center"/>
              <w:rPr>
                <w:color w:val="auto"/>
                <w:highlight w:val="none"/>
              </w:rPr>
            </w:pPr>
          </w:p>
        </w:tc>
        <w:tc>
          <w:tcPr>
            <w:tcW w:w="1800" w:type="dxa"/>
            <w:vAlign w:val="center"/>
          </w:tcPr>
          <w:p>
            <w:pPr>
              <w:ind w:firstLine="0" w:firstLineChars="0"/>
              <w:jc w:val="center"/>
              <w:rPr>
                <w:color w:val="auto"/>
                <w:highlight w:val="none"/>
              </w:rPr>
            </w:pPr>
            <w:r>
              <w:rPr>
                <w:rFonts w:hAnsi="宋体"/>
                <w:color w:val="auto"/>
                <w:highlight w:val="none"/>
              </w:rPr>
              <w:t>经营范围</w:t>
            </w:r>
          </w:p>
        </w:tc>
        <w:tc>
          <w:tcPr>
            <w:tcW w:w="7328" w:type="dxa"/>
            <w:gridSpan w:val="3"/>
            <w:vAlign w:val="center"/>
          </w:tcPr>
          <w:p>
            <w:pPr>
              <w:ind w:firstLine="0" w:firstLine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645" w:type="dxa"/>
            <w:vMerge w:val="continue"/>
            <w:vAlign w:val="center"/>
          </w:tcPr>
          <w:p>
            <w:pPr>
              <w:ind w:firstLine="0" w:firstLineChars="0"/>
              <w:jc w:val="center"/>
              <w:rPr>
                <w:color w:val="auto"/>
                <w:highlight w:val="none"/>
              </w:rPr>
            </w:pPr>
          </w:p>
        </w:tc>
        <w:tc>
          <w:tcPr>
            <w:tcW w:w="1800" w:type="dxa"/>
            <w:vAlign w:val="center"/>
          </w:tcPr>
          <w:p>
            <w:pPr>
              <w:ind w:firstLine="0" w:firstLineChars="0"/>
              <w:jc w:val="center"/>
              <w:rPr>
                <w:color w:val="auto"/>
                <w:highlight w:val="none"/>
              </w:rPr>
            </w:pPr>
            <w:r>
              <w:rPr>
                <w:rFonts w:hAnsi="宋体"/>
                <w:color w:val="auto"/>
                <w:highlight w:val="none"/>
              </w:rPr>
              <w:t>成立时间</w:t>
            </w:r>
          </w:p>
        </w:tc>
        <w:tc>
          <w:tcPr>
            <w:tcW w:w="2119" w:type="dxa"/>
            <w:vAlign w:val="center"/>
          </w:tcPr>
          <w:p>
            <w:pPr>
              <w:ind w:firstLine="0" w:firstLineChars="0"/>
              <w:jc w:val="center"/>
              <w:rPr>
                <w:color w:val="auto"/>
                <w:highlight w:val="none"/>
              </w:rPr>
            </w:pPr>
          </w:p>
        </w:tc>
        <w:tc>
          <w:tcPr>
            <w:tcW w:w="1920" w:type="dxa"/>
            <w:vAlign w:val="center"/>
          </w:tcPr>
          <w:p>
            <w:pPr>
              <w:ind w:firstLine="0" w:firstLineChars="0"/>
              <w:jc w:val="center"/>
              <w:rPr>
                <w:color w:val="auto"/>
                <w:highlight w:val="none"/>
              </w:rPr>
            </w:pPr>
            <w:r>
              <w:rPr>
                <w:rFonts w:hAnsi="宋体"/>
                <w:color w:val="auto"/>
                <w:highlight w:val="none"/>
              </w:rPr>
              <w:t>经济性质</w:t>
            </w:r>
          </w:p>
        </w:tc>
        <w:tc>
          <w:tcPr>
            <w:tcW w:w="3289" w:type="dxa"/>
            <w:vAlign w:val="center"/>
          </w:tcPr>
          <w:p>
            <w:pPr>
              <w:ind w:firstLine="0" w:firstLine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645" w:type="dxa"/>
            <w:vMerge w:val="continue"/>
            <w:vAlign w:val="center"/>
          </w:tcPr>
          <w:p>
            <w:pPr>
              <w:ind w:firstLine="0" w:firstLineChars="0"/>
              <w:jc w:val="center"/>
              <w:rPr>
                <w:color w:val="auto"/>
                <w:highlight w:val="none"/>
              </w:rPr>
            </w:pPr>
          </w:p>
        </w:tc>
        <w:tc>
          <w:tcPr>
            <w:tcW w:w="1800" w:type="dxa"/>
            <w:vAlign w:val="center"/>
          </w:tcPr>
          <w:p>
            <w:pPr>
              <w:ind w:firstLine="0" w:firstLineChars="0"/>
              <w:jc w:val="center"/>
              <w:rPr>
                <w:color w:val="auto"/>
                <w:highlight w:val="none"/>
              </w:rPr>
            </w:pPr>
            <w:r>
              <w:rPr>
                <w:rFonts w:hAnsi="宋体"/>
                <w:color w:val="auto"/>
                <w:highlight w:val="none"/>
              </w:rPr>
              <w:t>法定代表人</w:t>
            </w:r>
          </w:p>
        </w:tc>
        <w:tc>
          <w:tcPr>
            <w:tcW w:w="2119" w:type="dxa"/>
            <w:vAlign w:val="center"/>
          </w:tcPr>
          <w:p>
            <w:pPr>
              <w:ind w:firstLine="0" w:firstLineChars="0"/>
              <w:jc w:val="center"/>
              <w:rPr>
                <w:color w:val="auto"/>
                <w:highlight w:val="none"/>
              </w:rPr>
            </w:pPr>
          </w:p>
        </w:tc>
        <w:tc>
          <w:tcPr>
            <w:tcW w:w="1920" w:type="dxa"/>
            <w:vAlign w:val="center"/>
          </w:tcPr>
          <w:p>
            <w:pPr>
              <w:ind w:firstLine="0" w:firstLineChars="0"/>
              <w:jc w:val="center"/>
              <w:rPr>
                <w:color w:val="auto"/>
                <w:highlight w:val="none"/>
              </w:rPr>
            </w:pPr>
            <w:r>
              <w:rPr>
                <w:rFonts w:hAnsi="宋体"/>
                <w:color w:val="auto"/>
                <w:highlight w:val="none"/>
              </w:rPr>
              <w:t>联系电话</w:t>
            </w:r>
          </w:p>
        </w:tc>
        <w:tc>
          <w:tcPr>
            <w:tcW w:w="3289" w:type="dxa"/>
            <w:vAlign w:val="center"/>
          </w:tcPr>
          <w:p>
            <w:pPr>
              <w:ind w:firstLine="0" w:firstLine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645" w:type="dxa"/>
            <w:vMerge w:val="continue"/>
            <w:vAlign w:val="center"/>
          </w:tcPr>
          <w:p>
            <w:pPr>
              <w:ind w:firstLine="0" w:firstLineChars="0"/>
              <w:jc w:val="center"/>
              <w:rPr>
                <w:color w:val="auto"/>
                <w:highlight w:val="none"/>
              </w:rPr>
            </w:pPr>
          </w:p>
        </w:tc>
        <w:tc>
          <w:tcPr>
            <w:tcW w:w="1800" w:type="dxa"/>
            <w:vAlign w:val="center"/>
          </w:tcPr>
          <w:p>
            <w:pPr>
              <w:ind w:firstLine="0" w:firstLineChars="0"/>
              <w:jc w:val="center"/>
              <w:rPr>
                <w:color w:val="auto"/>
                <w:highlight w:val="none"/>
              </w:rPr>
            </w:pPr>
            <w:r>
              <w:rPr>
                <w:rFonts w:hAnsi="宋体"/>
                <w:color w:val="auto"/>
                <w:highlight w:val="none"/>
              </w:rPr>
              <w:t>注册资金</w:t>
            </w:r>
          </w:p>
        </w:tc>
        <w:tc>
          <w:tcPr>
            <w:tcW w:w="2119" w:type="dxa"/>
            <w:vAlign w:val="center"/>
          </w:tcPr>
          <w:p>
            <w:pPr>
              <w:ind w:firstLine="0" w:firstLineChars="0"/>
              <w:jc w:val="center"/>
              <w:rPr>
                <w:color w:val="auto"/>
                <w:highlight w:val="none"/>
              </w:rPr>
            </w:pPr>
          </w:p>
        </w:tc>
        <w:tc>
          <w:tcPr>
            <w:tcW w:w="1920" w:type="dxa"/>
            <w:vAlign w:val="center"/>
          </w:tcPr>
          <w:p>
            <w:pPr>
              <w:ind w:firstLine="0" w:firstLineChars="0"/>
              <w:jc w:val="center"/>
              <w:rPr>
                <w:color w:val="auto"/>
                <w:highlight w:val="none"/>
              </w:rPr>
            </w:pPr>
            <w:r>
              <w:rPr>
                <w:rFonts w:hAnsi="宋体"/>
                <w:color w:val="auto"/>
                <w:highlight w:val="none"/>
              </w:rPr>
              <w:t>技术人员数</w:t>
            </w:r>
          </w:p>
        </w:tc>
        <w:tc>
          <w:tcPr>
            <w:tcW w:w="3289" w:type="dxa"/>
            <w:vAlign w:val="center"/>
          </w:tcPr>
          <w:p>
            <w:pPr>
              <w:ind w:firstLine="0" w:firstLine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645" w:type="dxa"/>
            <w:vMerge w:val="continue"/>
            <w:vAlign w:val="center"/>
          </w:tcPr>
          <w:p>
            <w:pPr>
              <w:ind w:firstLine="0" w:firstLineChars="0"/>
              <w:jc w:val="center"/>
              <w:rPr>
                <w:color w:val="auto"/>
                <w:highlight w:val="none"/>
              </w:rPr>
            </w:pPr>
          </w:p>
        </w:tc>
        <w:tc>
          <w:tcPr>
            <w:tcW w:w="1800" w:type="dxa"/>
            <w:vAlign w:val="center"/>
          </w:tcPr>
          <w:p>
            <w:pPr>
              <w:ind w:firstLine="0" w:firstLineChars="0"/>
              <w:jc w:val="center"/>
              <w:rPr>
                <w:color w:val="auto"/>
                <w:highlight w:val="none"/>
              </w:rPr>
            </w:pPr>
            <w:r>
              <w:rPr>
                <w:rFonts w:hAnsi="宋体"/>
                <w:color w:val="auto"/>
                <w:highlight w:val="none"/>
              </w:rPr>
              <w:t>资产总额</w:t>
            </w:r>
          </w:p>
        </w:tc>
        <w:tc>
          <w:tcPr>
            <w:tcW w:w="2119" w:type="dxa"/>
            <w:vAlign w:val="center"/>
          </w:tcPr>
          <w:p>
            <w:pPr>
              <w:ind w:firstLine="0" w:firstLineChars="0"/>
              <w:jc w:val="center"/>
              <w:rPr>
                <w:color w:val="auto"/>
                <w:highlight w:val="none"/>
              </w:rPr>
            </w:pPr>
          </w:p>
        </w:tc>
        <w:tc>
          <w:tcPr>
            <w:tcW w:w="1920" w:type="dxa"/>
            <w:vAlign w:val="center"/>
          </w:tcPr>
          <w:p>
            <w:pPr>
              <w:ind w:firstLine="0" w:firstLineChars="0"/>
              <w:jc w:val="center"/>
              <w:rPr>
                <w:color w:val="auto"/>
                <w:highlight w:val="none"/>
              </w:rPr>
            </w:pPr>
            <w:r>
              <w:rPr>
                <w:rFonts w:hAnsi="宋体"/>
                <w:color w:val="auto"/>
                <w:highlight w:val="none"/>
              </w:rPr>
              <w:t>净资产</w:t>
            </w:r>
          </w:p>
        </w:tc>
        <w:tc>
          <w:tcPr>
            <w:tcW w:w="3289" w:type="dxa"/>
            <w:vAlign w:val="center"/>
          </w:tcPr>
          <w:p>
            <w:pPr>
              <w:ind w:firstLine="0" w:firstLine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645" w:type="dxa"/>
            <w:vMerge w:val="continue"/>
            <w:vAlign w:val="center"/>
          </w:tcPr>
          <w:p>
            <w:pPr>
              <w:ind w:firstLine="0" w:firstLineChars="0"/>
              <w:jc w:val="center"/>
              <w:rPr>
                <w:color w:val="auto"/>
                <w:highlight w:val="none"/>
              </w:rPr>
            </w:pPr>
          </w:p>
        </w:tc>
        <w:tc>
          <w:tcPr>
            <w:tcW w:w="1800" w:type="dxa"/>
            <w:vAlign w:val="center"/>
          </w:tcPr>
          <w:p>
            <w:pPr>
              <w:ind w:firstLine="0" w:firstLineChars="0"/>
              <w:jc w:val="center"/>
              <w:rPr>
                <w:color w:val="auto"/>
                <w:highlight w:val="none"/>
              </w:rPr>
            </w:pPr>
            <w:r>
              <w:rPr>
                <w:rFonts w:hAnsi="宋体"/>
                <w:color w:val="auto"/>
                <w:highlight w:val="none"/>
              </w:rPr>
              <w:t>工商登记号</w:t>
            </w:r>
          </w:p>
        </w:tc>
        <w:tc>
          <w:tcPr>
            <w:tcW w:w="2119" w:type="dxa"/>
            <w:vAlign w:val="center"/>
          </w:tcPr>
          <w:p>
            <w:pPr>
              <w:ind w:firstLine="0" w:firstLineChars="0"/>
              <w:jc w:val="center"/>
              <w:rPr>
                <w:color w:val="auto"/>
                <w:highlight w:val="none"/>
              </w:rPr>
            </w:pPr>
          </w:p>
        </w:tc>
        <w:tc>
          <w:tcPr>
            <w:tcW w:w="1920" w:type="dxa"/>
            <w:vAlign w:val="center"/>
          </w:tcPr>
          <w:p>
            <w:pPr>
              <w:ind w:firstLine="0" w:firstLineChars="0"/>
              <w:jc w:val="center"/>
              <w:rPr>
                <w:color w:val="auto"/>
                <w:highlight w:val="none"/>
              </w:rPr>
            </w:pPr>
            <w:r>
              <w:rPr>
                <w:rFonts w:hAnsi="宋体"/>
                <w:color w:val="auto"/>
                <w:highlight w:val="none"/>
              </w:rPr>
              <w:t>税务登记号</w:t>
            </w:r>
          </w:p>
        </w:tc>
        <w:tc>
          <w:tcPr>
            <w:tcW w:w="3289" w:type="dxa"/>
            <w:vAlign w:val="center"/>
          </w:tcPr>
          <w:p>
            <w:pPr>
              <w:ind w:firstLine="0" w:firstLine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45" w:type="dxa"/>
            <w:vMerge w:val="continue"/>
            <w:vAlign w:val="center"/>
          </w:tcPr>
          <w:p>
            <w:pPr>
              <w:ind w:firstLine="0" w:firstLineChars="0"/>
              <w:jc w:val="center"/>
              <w:rPr>
                <w:color w:val="auto"/>
                <w:highlight w:val="none"/>
              </w:rPr>
            </w:pPr>
          </w:p>
        </w:tc>
        <w:tc>
          <w:tcPr>
            <w:tcW w:w="1800" w:type="dxa"/>
            <w:vAlign w:val="center"/>
          </w:tcPr>
          <w:p>
            <w:pPr>
              <w:ind w:firstLine="0" w:firstLineChars="0"/>
              <w:jc w:val="center"/>
              <w:rPr>
                <w:color w:val="auto"/>
                <w:highlight w:val="none"/>
              </w:rPr>
            </w:pPr>
            <w:r>
              <w:rPr>
                <w:rFonts w:hAnsi="宋体"/>
                <w:color w:val="auto"/>
                <w:highlight w:val="none"/>
              </w:rPr>
              <w:t>是否依法纳税</w:t>
            </w:r>
          </w:p>
        </w:tc>
        <w:tc>
          <w:tcPr>
            <w:tcW w:w="2119" w:type="dxa"/>
            <w:vAlign w:val="center"/>
          </w:tcPr>
          <w:p>
            <w:pPr>
              <w:ind w:firstLine="0" w:firstLineChars="0"/>
              <w:jc w:val="center"/>
              <w:rPr>
                <w:color w:val="auto"/>
                <w:highlight w:val="none"/>
              </w:rPr>
            </w:pPr>
          </w:p>
        </w:tc>
        <w:tc>
          <w:tcPr>
            <w:tcW w:w="1920" w:type="dxa"/>
            <w:vAlign w:val="center"/>
          </w:tcPr>
          <w:p>
            <w:pPr>
              <w:ind w:firstLine="0" w:firstLineChars="0"/>
              <w:jc w:val="center"/>
              <w:rPr>
                <w:color w:val="auto"/>
                <w:highlight w:val="none"/>
              </w:rPr>
            </w:pPr>
            <w:r>
              <w:rPr>
                <w:rFonts w:hAnsi="宋体"/>
                <w:color w:val="auto"/>
                <w:highlight w:val="none"/>
              </w:rPr>
              <w:t>是否参加社保</w:t>
            </w:r>
          </w:p>
        </w:tc>
        <w:tc>
          <w:tcPr>
            <w:tcW w:w="3289" w:type="dxa"/>
            <w:vAlign w:val="center"/>
          </w:tcPr>
          <w:p>
            <w:pPr>
              <w:ind w:firstLine="0" w:firstLine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1" w:hRule="atLeast"/>
        </w:trPr>
        <w:tc>
          <w:tcPr>
            <w:tcW w:w="645" w:type="dxa"/>
            <w:vMerge w:val="continue"/>
            <w:vAlign w:val="center"/>
          </w:tcPr>
          <w:p>
            <w:pPr>
              <w:ind w:firstLine="0" w:firstLineChars="0"/>
              <w:jc w:val="center"/>
              <w:rPr>
                <w:color w:val="auto"/>
                <w:highlight w:val="none"/>
              </w:rPr>
            </w:pPr>
          </w:p>
        </w:tc>
        <w:tc>
          <w:tcPr>
            <w:tcW w:w="1800" w:type="dxa"/>
            <w:vAlign w:val="center"/>
          </w:tcPr>
          <w:p>
            <w:pPr>
              <w:ind w:firstLine="0" w:firstLineChars="0"/>
              <w:jc w:val="center"/>
              <w:rPr>
                <w:color w:val="auto"/>
                <w:highlight w:val="none"/>
              </w:rPr>
            </w:pPr>
            <w:r>
              <w:rPr>
                <w:rFonts w:hAnsi="宋体"/>
                <w:color w:val="auto"/>
                <w:highlight w:val="none"/>
              </w:rPr>
              <w:t>企业信用、荣誉、证书等</w:t>
            </w:r>
          </w:p>
        </w:tc>
        <w:tc>
          <w:tcPr>
            <w:tcW w:w="7328" w:type="dxa"/>
            <w:gridSpan w:val="3"/>
            <w:vAlign w:val="center"/>
          </w:tcPr>
          <w:p>
            <w:pPr>
              <w:ind w:firstLine="0" w:firstLineChars="0"/>
              <w:jc w:val="center"/>
              <w:rPr>
                <w:color w:val="auto"/>
                <w:highlight w:val="none"/>
              </w:rPr>
            </w:pPr>
          </w:p>
          <w:p>
            <w:pPr>
              <w:ind w:firstLine="0" w:firstLineChars="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5" w:hRule="atLeast"/>
        </w:trPr>
        <w:tc>
          <w:tcPr>
            <w:tcW w:w="645" w:type="dxa"/>
            <w:vMerge w:val="continue"/>
            <w:vAlign w:val="center"/>
          </w:tcPr>
          <w:p>
            <w:pPr>
              <w:ind w:firstLine="0" w:firstLineChars="0"/>
              <w:jc w:val="center"/>
              <w:rPr>
                <w:color w:val="auto"/>
                <w:highlight w:val="none"/>
              </w:rPr>
            </w:pPr>
          </w:p>
        </w:tc>
        <w:tc>
          <w:tcPr>
            <w:tcW w:w="9128" w:type="dxa"/>
            <w:gridSpan w:val="4"/>
          </w:tcPr>
          <w:p>
            <w:pPr>
              <w:ind w:firstLine="0" w:firstLineChars="0"/>
              <w:rPr>
                <w:color w:val="auto"/>
                <w:highlight w:val="none"/>
              </w:rPr>
            </w:pPr>
            <w:r>
              <w:rPr>
                <w:rFonts w:hAnsi="宋体"/>
                <w:color w:val="auto"/>
                <w:highlight w:val="none"/>
              </w:rPr>
              <w:t>单位优势及服务特点：</w:t>
            </w:r>
          </w:p>
        </w:tc>
      </w:tr>
    </w:tbl>
    <w:p>
      <w:pPr>
        <w:widowControl/>
        <w:wordWrap/>
        <w:spacing w:line="240" w:lineRule="auto"/>
        <w:ind w:firstLine="0" w:firstLineChars="0"/>
        <w:jc w:val="left"/>
        <w:rPr>
          <w:color w:val="auto"/>
          <w:highlight w:val="none"/>
        </w:rPr>
      </w:pPr>
    </w:p>
    <w:p>
      <w:pPr>
        <w:keepNext w:val="0"/>
        <w:keepLines w:val="0"/>
        <w:pageBreakBefore w:val="0"/>
        <w:widowControl w:val="0"/>
        <w:kinsoku/>
        <w:wordWrap/>
        <w:overflowPunct/>
        <w:topLinePunct w:val="0"/>
        <w:autoSpaceDE/>
        <w:autoSpaceDN/>
        <w:bidi w:val="0"/>
        <w:adjustRightInd/>
        <w:snapToGrid/>
        <w:spacing w:line="500" w:lineRule="exact"/>
        <w:ind w:firstLine="404" w:firstLineChars="200"/>
        <w:jc w:val="left"/>
        <w:textAlignment w:val="auto"/>
        <w:rPr>
          <w:color w:val="auto"/>
          <w:highlight w:val="none"/>
        </w:rPr>
      </w:pPr>
      <w:r>
        <w:rPr>
          <w:rFonts w:hint="eastAsia" w:ascii="宋体" w:hAnsi="宋体" w:cs="宋体"/>
          <w:color w:val="auto"/>
          <w:spacing w:val="-4"/>
          <w:szCs w:val="21"/>
          <w:highlight w:val="none"/>
        </w:rPr>
        <w:t>投标人名称</w:t>
      </w:r>
      <w:r>
        <w:rPr>
          <w:rFonts w:hint="eastAsia"/>
          <w:color w:val="auto"/>
          <w:highlight w:val="none"/>
        </w:rPr>
        <w:t>：</w:t>
      </w:r>
      <w:r>
        <w:rPr>
          <w:color w:val="auto"/>
          <w:highlight w:val="none"/>
          <w:u w:val="single"/>
        </w:rPr>
        <w:t xml:space="preserve">                </w:t>
      </w:r>
      <w:r>
        <w:rPr>
          <w:rFonts w:hint="eastAsia"/>
          <w:color w:val="auto"/>
          <w:highlight w:val="none"/>
          <w:u w:val="none"/>
          <w:lang w:eastAsia="zh-CN"/>
        </w:rPr>
        <w:t>（</w:t>
      </w:r>
      <w:r>
        <w:rPr>
          <w:rFonts w:hint="eastAsia" w:ascii="宋体" w:hAnsi="宋体"/>
          <w:color w:val="auto"/>
          <w:szCs w:val="21"/>
          <w:highlight w:val="none"/>
          <w:u w:val="none"/>
          <w:lang w:eastAsia="zh-CN"/>
        </w:rPr>
        <w:t>盖单位</w:t>
      </w:r>
      <w:r>
        <w:rPr>
          <w:rFonts w:hint="eastAsia" w:ascii="宋体" w:hAnsi="宋体"/>
          <w:color w:val="auto"/>
          <w:szCs w:val="21"/>
          <w:highlight w:val="none"/>
          <w:lang w:eastAsia="zh-CN"/>
        </w:rPr>
        <w:t>公</w:t>
      </w:r>
      <w:r>
        <w:rPr>
          <w:rFonts w:ascii="宋体" w:hAnsi="宋体"/>
          <w:color w:val="auto"/>
          <w:szCs w:val="21"/>
          <w:highlight w:val="none"/>
          <w:u w:val="none"/>
        </w:rPr>
        <w:t>章</w:t>
      </w:r>
      <w:r>
        <w:rPr>
          <w:rFonts w:hint="eastAsia"/>
          <w:color w:val="auto"/>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color w:val="auto"/>
          <w:highlight w:val="none"/>
        </w:rPr>
      </w:pPr>
      <w:r>
        <w:rPr>
          <w:rFonts w:hint="eastAsia"/>
          <w:color w:val="auto"/>
          <w:highlight w:val="none"/>
        </w:rPr>
        <w:t>日期：</w:t>
      </w:r>
      <w:r>
        <w:rPr>
          <w:color w:val="auto"/>
          <w:highlight w:val="none"/>
          <w:u w:val="single"/>
        </w:rPr>
        <w:t xml:space="preserve">         </w:t>
      </w:r>
      <w:r>
        <w:rPr>
          <w:rFonts w:hint="eastAsia"/>
          <w:color w:val="auto"/>
          <w:highlight w:val="none"/>
        </w:rPr>
        <w:t>年</w:t>
      </w:r>
      <w:r>
        <w:rPr>
          <w:color w:val="auto"/>
          <w:highlight w:val="none"/>
          <w:u w:val="single"/>
        </w:rPr>
        <w:t xml:space="preserve">     </w:t>
      </w:r>
      <w:r>
        <w:rPr>
          <w:rFonts w:hint="eastAsia"/>
          <w:color w:val="auto"/>
          <w:highlight w:val="none"/>
        </w:rPr>
        <w:t>月</w:t>
      </w:r>
      <w:r>
        <w:rPr>
          <w:color w:val="auto"/>
          <w:highlight w:val="none"/>
          <w:u w:val="single"/>
        </w:rPr>
        <w:t xml:space="preserve">     </w:t>
      </w:r>
      <w:r>
        <w:rPr>
          <w:rFonts w:hint="eastAsia"/>
          <w:color w:val="auto"/>
          <w:highlight w:val="none"/>
        </w:rPr>
        <w:t>日</w:t>
      </w:r>
    </w:p>
    <w:p>
      <w:pPr>
        <w:widowControl/>
        <w:wordWrap/>
        <w:spacing w:line="240" w:lineRule="auto"/>
        <w:ind w:firstLine="0" w:firstLineChars="0"/>
        <w:jc w:val="left"/>
        <w:rPr>
          <w:color w:val="auto"/>
          <w:highlight w:val="none"/>
        </w:rPr>
      </w:pPr>
      <w:r>
        <w:rPr>
          <w:color w:val="auto"/>
          <w:highlight w:val="none"/>
        </w:rPr>
        <w:br w:type="page"/>
      </w:r>
    </w:p>
    <w:p>
      <w:pPr>
        <w:pStyle w:val="8"/>
        <w:rPr>
          <w:color w:val="auto"/>
          <w:highlight w:val="none"/>
        </w:rPr>
      </w:pPr>
      <w:r>
        <w:rPr>
          <w:rFonts w:hint="eastAsia"/>
          <w:color w:val="auto"/>
          <w:highlight w:val="none"/>
        </w:rPr>
        <w:t>项目实施人员一览表</w:t>
      </w:r>
    </w:p>
    <w:p>
      <w:pPr>
        <w:ind w:firstLine="240"/>
        <w:jc w:val="center"/>
        <w:rPr>
          <w:rFonts w:ascii="宋体" w:cs="宋体"/>
          <w:snapToGrid w:val="0"/>
          <w:color w:val="auto"/>
          <w:sz w:val="24"/>
          <w:highlight w:val="none"/>
        </w:rPr>
      </w:pPr>
      <w:r>
        <w:rPr>
          <w:rFonts w:hint="eastAsia" w:hAnsi="宋体" w:eastAsia="宋体"/>
          <w:b/>
          <w:color w:val="auto"/>
          <w:sz w:val="28"/>
          <w:szCs w:val="28"/>
          <w:highlight w:val="none"/>
        </w:rPr>
        <w:t>项目实施人员一览表</w:t>
      </w:r>
    </w:p>
    <w:tbl>
      <w:tblPr>
        <w:tblStyle w:val="26"/>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850"/>
        <w:gridCol w:w="567"/>
        <w:gridCol w:w="709"/>
        <w:gridCol w:w="851"/>
        <w:gridCol w:w="708"/>
        <w:gridCol w:w="993"/>
        <w:gridCol w:w="992"/>
        <w:gridCol w:w="1276"/>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542" w:type="dxa"/>
            <w:tcMar>
              <w:left w:w="28" w:type="dxa"/>
              <w:right w:w="28" w:type="dxa"/>
            </w:tcMar>
            <w:vAlign w:val="center"/>
          </w:tcPr>
          <w:p>
            <w:pPr>
              <w:tabs>
                <w:tab w:val="left" w:pos="10082"/>
              </w:tabs>
              <w:snapToGrid w:val="0"/>
              <w:ind w:firstLine="0" w:firstLineChars="0"/>
              <w:jc w:val="center"/>
              <w:rPr>
                <w:rFonts w:ascii="宋体" w:cs="宋体"/>
                <w:bCs/>
                <w:snapToGrid w:val="0"/>
                <w:color w:val="auto"/>
                <w:sz w:val="21"/>
                <w:szCs w:val="21"/>
                <w:highlight w:val="none"/>
              </w:rPr>
            </w:pPr>
            <w:r>
              <w:rPr>
                <w:rFonts w:hint="eastAsia" w:ascii="宋体" w:hAnsi="宋体" w:cs="宋体"/>
                <w:bCs/>
                <w:snapToGrid w:val="0"/>
                <w:color w:val="auto"/>
                <w:sz w:val="21"/>
                <w:szCs w:val="21"/>
                <w:highlight w:val="none"/>
              </w:rPr>
              <w:t>序号</w:t>
            </w:r>
          </w:p>
        </w:tc>
        <w:tc>
          <w:tcPr>
            <w:tcW w:w="850" w:type="dxa"/>
            <w:tcMar>
              <w:left w:w="28" w:type="dxa"/>
              <w:right w:w="28" w:type="dxa"/>
            </w:tcMar>
            <w:vAlign w:val="center"/>
          </w:tcPr>
          <w:p>
            <w:pPr>
              <w:tabs>
                <w:tab w:val="left" w:pos="10082"/>
              </w:tabs>
              <w:snapToGrid w:val="0"/>
              <w:ind w:firstLine="0" w:firstLineChars="0"/>
              <w:jc w:val="center"/>
              <w:rPr>
                <w:rFonts w:ascii="宋体" w:cs="宋体"/>
                <w:bCs/>
                <w:snapToGrid w:val="0"/>
                <w:color w:val="auto"/>
                <w:sz w:val="21"/>
                <w:szCs w:val="21"/>
                <w:highlight w:val="none"/>
              </w:rPr>
            </w:pPr>
            <w:r>
              <w:rPr>
                <w:rFonts w:hint="eastAsia" w:ascii="宋体" w:hAnsi="宋体" w:cs="宋体"/>
                <w:bCs/>
                <w:snapToGrid w:val="0"/>
                <w:color w:val="auto"/>
                <w:sz w:val="21"/>
                <w:szCs w:val="21"/>
                <w:highlight w:val="none"/>
              </w:rPr>
              <w:t>姓名</w:t>
            </w:r>
          </w:p>
        </w:tc>
        <w:tc>
          <w:tcPr>
            <w:tcW w:w="567" w:type="dxa"/>
            <w:tcMar>
              <w:left w:w="28" w:type="dxa"/>
              <w:right w:w="28" w:type="dxa"/>
            </w:tcMar>
            <w:vAlign w:val="center"/>
          </w:tcPr>
          <w:p>
            <w:pPr>
              <w:tabs>
                <w:tab w:val="left" w:pos="10082"/>
              </w:tabs>
              <w:snapToGrid w:val="0"/>
              <w:ind w:firstLine="0" w:firstLineChars="0"/>
              <w:jc w:val="center"/>
              <w:rPr>
                <w:rFonts w:ascii="宋体" w:cs="宋体"/>
                <w:bCs/>
                <w:snapToGrid w:val="0"/>
                <w:color w:val="auto"/>
                <w:sz w:val="21"/>
                <w:szCs w:val="21"/>
                <w:highlight w:val="none"/>
              </w:rPr>
            </w:pPr>
            <w:r>
              <w:rPr>
                <w:rFonts w:hint="eastAsia" w:ascii="宋体" w:hAnsi="宋体" w:cs="宋体"/>
                <w:bCs/>
                <w:snapToGrid w:val="0"/>
                <w:color w:val="auto"/>
                <w:sz w:val="21"/>
                <w:szCs w:val="21"/>
                <w:highlight w:val="none"/>
              </w:rPr>
              <w:t>年龄</w:t>
            </w:r>
          </w:p>
        </w:tc>
        <w:tc>
          <w:tcPr>
            <w:tcW w:w="709" w:type="dxa"/>
            <w:tcMar>
              <w:left w:w="28" w:type="dxa"/>
              <w:right w:w="28" w:type="dxa"/>
            </w:tcMar>
            <w:vAlign w:val="center"/>
          </w:tcPr>
          <w:p>
            <w:pPr>
              <w:tabs>
                <w:tab w:val="left" w:pos="10082"/>
              </w:tabs>
              <w:snapToGrid w:val="0"/>
              <w:ind w:firstLine="0" w:firstLineChars="0"/>
              <w:jc w:val="center"/>
              <w:rPr>
                <w:rFonts w:ascii="宋体" w:cs="宋体"/>
                <w:bCs/>
                <w:snapToGrid w:val="0"/>
                <w:color w:val="auto"/>
                <w:sz w:val="21"/>
                <w:szCs w:val="21"/>
                <w:highlight w:val="none"/>
              </w:rPr>
            </w:pPr>
            <w:r>
              <w:rPr>
                <w:rFonts w:hint="eastAsia" w:ascii="宋体" w:hAnsi="宋体" w:cs="宋体"/>
                <w:bCs/>
                <w:snapToGrid w:val="0"/>
                <w:color w:val="auto"/>
                <w:sz w:val="21"/>
                <w:szCs w:val="21"/>
                <w:highlight w:val="none"/>
              </w:rPr>
              <w:t>学历</w:t>
            </w:r>
          </w:p>
        </w:tc>
        <w:tc>
          <w:tcPr>
            <w:tcW w:w="851" w:type="dxa"/>
            <w:tcMar>
              <w:left w:w="28" w:type="dxa"/>
              <w:right w:w="28" w:type="dxa"/>
            </w:tcMar>
            <w:vAlign w:val="center"/>
          </w:tcPr>
          <w:p>
            <w:pPr>
              <w:tabs>
                <w:tab w:val="left" w:pos="10082"/>
              </w:tabs>
              <w:snapToGrid w:val="0"/>
              <w:ind w:firstLine="0" w:firstLineChars="0"/>
              <w:jc w:val="center"/>
              <w:rPr>
                <w:rFonts w:ascii="宋体" w:cs="宋体"/>
                <w:bCs/>
                <w:snapToGrid w:val="0"/>
                <w:color w:val="auto"/>
                <w:sz w:val="21"/>
                <w:szCs w:val="21"/>
                <w:highlight w:val="none"/>
              </w:rPr>
            </w:pPr>
            <w:r>
              <w:rPr>
                <w:rFonts w:hint="eastAsia" w:ascii="宋体" w:hAnsi="宋体" w:cs="宋体"/>
                <w:bCs/>
                <w:snapToGrid w:val="0"/>
                <w:color w:val="auto"/>
                <w:sz w:val="21"/>
                <w:szCs w:val="21"/>
                <w:highlight w:val="none"/>
              </w:rPr>
              <w:t>专业</w:t>
            </w:r>
          </w:p>
        </w:tc>
        <w:tc>
          <w:tcPr>
            <w:tcW w:w="708" w:type="dxa"/>
            <w:tcMar>
              <w:left w:w="28" w:type="dxa"/>
              <w:right w:w="28" w:type="dxa"/>
            </w:tcMar>
            <w:vAlign w:val="center"/>
          </w:tcPr>
          <w:p>
            <w:pPr>
              <w:tabs>
                <w:tab w:val="left" w:pos="10082"/>
              </w:tabs>
              <w:snapToGrid w:val="0"/>
              <w:ind w:firstLine="0" w:firstLineChars="0"/>
              <w:jc w:val="center"/>
              <w:rPr>
                <w:rFonts w:ascii="宋体" w:cs="宋体"/>
                <w:bCs/>
                <w:snapToGrid w:val="0"/>
                <w:color w:val="auto"/>
                <w:sz w:val="21"/>
                <w:szCs w:val="21"/>
                <w:highlight w:val="none"/>
              </w:rPr>
            </w:pPr>
            <w:r>
              <w:rPr>
                <w:rFonts w:hint="eastAsia" w:ascii="宋体" w:hAnsi="宋体" w:cs="宋体"/>
                <w:bCs/>
                <w:snapToGrid w:val="0"/>
                <w:color w:val="auto"/>
                <w:sz w:val="21"/>
                <w:szCs w:val="21"/>
                <w:highlight w:val="none"/>
              </w:rPr>
              <w:t>职务</w:t>
            </w:r>
          </w:p>
          <w:p>
            <w:pPr>
              <w:tabs>
                <w:tab w:val="left" w:pos="10082"/>
              </w:tabs>
              <w:snapToGrid w:val="0"/>
              <w:ind w:firstLine="0" w:firstLineChars="0"/>
              <w:jc w:val="center"/>
              <w:rPr>
                <w:rFonts w:ascii="宋体" w:cs="宋体"/>
                <w:bCs/>
                <w:snapToGrid w:val="0"/>
                <w:color w:val="auto"/>
                <w:sz w:val="21"/>
                <w:szCs w:val="21"/>
                <w:highlight w:val="none"/>
              </w:rPr>
            </w:pPr>
            <w:r>
              <w:rPr>
                <w:rFonts w:hint="eastAsia" w:ascii="宋体" w:hAnsi="宋体" w:cs="宋体"/>
                <w:bCs/>
                <w:snapToGrid w:val="0"/>
                <w:color w:val="auto"/>
                <w:sz w:val="21"/>
                <w:szCs w:val="21"/>
                <w:highlight w:val="none"/>
              </w:rPr>
              <w:t>职称</w:t>
            </w:r>
          </w:p>
        </w:tc>
        <w:tc>
          <w:tcPr>
            <w:tcW w:w="993" w:type="dxa"/>
            <w:vAlign w:val="center"/>
          </w:tcPr>
          <w:p>
            <w:pPr>
              <w:tabs>
                <w:tab w:val="left" w:pos="10082"/>
              </w:tabs>
              <w:snapToGrid w:val="0"/>
              <w:ind w:firstLine="0" w:firstLineChars="0"/>
              <w:jc w:val="center"/>
              <w:rPr>
                <w:rFonts w:ascii="宋体" w:cs="宋体"/>
                <w:bCs/>
                <w:snapToGrid w:val="0"/>
                <w:color w:val="auto"/>
                <w:sz w:val="21"/>
                <w:szCs w:val="21"/>
                <w:highlight w:val="none"/>
              </w:rPr>
            </w:pPr>
            <w:r>
              <w:rPr>
                <w:rFonts w:hint="eastAsia" w:ascii="宋体" w:hAnsi="宋体" w:cs="宋体"/>
                <w:bCs/>
                <w:snapToGrid w:val="0"/>
                <w:color w:val="auto"/>
                <w:sz w:val="21"/>
                <w:szCs w:val="21"/>
                <w:highlight w:val="none"/>
              </w:rPr>
              <w:t>何种执业资格证书</w:t>
            </w:r>
          </w:p>
        </w:tc>
        <w:tc>
          <w:tcPr>
            <w:tcW w:w="992" w:type="dxa"/>
            <w:vAlign w:val="center"/>
          </w:tcPr>
          <w:p>
            <w:pPr>
              <w:tabs>
                <w:tab w:val="left" w:pos="10082"/>
              </w:tabs>
              <w:snapToGrid w:val="0"/>
              <w:ind w:firstLine="0" w:firstLineChars="0"/>
              <w:jc w:val="center"/>
              <w:rPr>
                <w:rFonts w:ascii="宋体" w:cs="宋体"/>
                <w:bCs/>
                <w:snapToGrid w:val="0"/>
                <w:color w:val="auto"/>
                <w:sz w:val="21"/>
                <w:szCs w:val="21"/>
                <w:highlight w:val="none"/>
              </w:rPr>
            </w:pPr>
            <w:r>
              <w:rPr>
                <w:rFonts w:hint="eastAsia" w:ascii="宋体" w:hAnsi="宋体" w:cs="宋体"/>
                <w:bCs/>
                <w:snapToGrid w:val="0"/>
                <w:color w:val="auto"/>
                <w:sz w:val="21"/>
                <w:szCs w:val="21"/>
                <w:highlight w:val="none"/>
              </w:rPr>
              <w:t>证书号</w:t>
            </w:r>
          </w:p>
        </w:tc>
        <w:tc>
          <w:tcPr>
            <w:tcW w:w="1276" w:type="dxa"/>
            <w:vAlign w:val="center"/>
          </w:tcPr>
          <w:p>
            <w:pPr>
              <w:tabs>
                <w:tab w:val="left" w:pos="10082"/>
              </w:tabs>
              <w:snapToGrid w:val="0"/>
              <w:ind w:firstLine="0" w:firstLineChars="0"/>
              <w:jc w:val="center"/>
              <w:rPr>
                <w:rFonts w:ascii="宋体" w:cs="宋体"/>
                <w:bCs/>
                <w:snapToGrid w:val="0"/>
                <w:color w:val="auto"/>
                <w:sz w:val="21"/>
                <w:szCs w:val="21"/>
                <w:highlight w:val="none"/>
              </w:rPr>
            </w:pPr>
            <w:r>
              <w:rPr>
                <w:rFonts w:hint="eastAsia" w:ascii="宋体" w:hAnsi="宋体" w:cs="宋体"/>
                <w:bCs/>
                <w:snapToGrid w:val="0"/>
                <w:color w:val="auto"/>
                <w:sz w:val="21"/>
                <w:szCs w:val="21"/>
                <w:highlight w:val="none"/>
              </w:rPr>
              <w:t>拟担任本合同职务</w:t>
            </w:r>
          </w:p>
        </w:tc>
        <w:tc>
          <w:tcPr>
            <w:tcW w:w="1533" w:type="dxa"/>
            <w:tcMar>
              <w:left w:w="28" w:type="dxa"/>
              <w:right w:w="28" w:type="dxa"/>
            </w:tcMar>
            <w:vAlign w:val="center"/>
          </w:tcPr>
          <w:p>
            <w:pPr>
              <w:tabs>
                <w:tab w:val="left" w:pos="10082"/>
              </w:tabs>
              <w:snapToGrid w:val="0"/>
              <w:ind w:left="0" w:leftChars="0" w:firstLine="0" w:firstLineChars="0"/>
              <w:jc w:val="center"/>
              <w:rPr>
                <w:rFonts w:ascii="宋体" w:cs="宋体"/>
                <w:bCs/>
                <w:snapToGrid w:val="0"/>
                <w:color w:val="auto"/>
                <w:sz w:val="21"/>
                <w:szCs w:val="21"/>
                <w:highlight w:val="none"/>
              </w:rPr>
            </w:pPr>
            <w:r>
              <w:rPr>
                <w:rFonts w:hint="eastAsia" w:ascii="宋体" w:hAnsi="宋体" w:cs="宋体"/>
                <w:bCs/>
                <w:snapToGrid w:val="0"/>
                <w:color w:val="auto"/>
                <w:sz w:val="21"/>
                <w:szCs w:val="21"/>
                <w:highlight w:val="none"/>
              </w:rPr>
              <w:t>承担过类似工程的情况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2"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0"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567"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9"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1"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8"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993" w:type="dxa"/>
            <w:vAlign w:val="center"/>
          </w:tcPr>
          <w:p>
            <w:pPr>
              <w:tabs>
                <w:tab w:val="left" w:pos="10082"/>
              </w:tabs>
              <w:ind w:firstLine="240"/>
              <w:jc w:val="center"/>
              <w:rPr>
                <w:rFonts w:ascii="宋体" w:cs="宋体"/>
                <w:bCs/>
                <w:snapToGrid w:val="0"/>
                <w:color w:val="auto"/>
                <w:sz w:val="24"/>
                <w:highlight w:val="none"/>
              </w:rPr>
            </w:pPr>
          </w:p>
        </w:tc>
        <w:tc>
          <w:tcPr>
            <w:tcW w:w="992" w:type="dxa"/>
            <w:vAlign w:val="center"/>
          </w:tcPr>
          <w:p>
            <w:pPr>
              <w:tabs>
                <w:tab w:val="left" w:pos="10082"/>
              </w:tabs>
              <w:ind w:firstLine="240"/>
              <w:jc w:val="center"/>
              <w:rPr>
                <w:rFonts w:ascii="宋体" w:cs="宋体"/>
                <w:bCs/>
                <w:snapToGrid w:val="0"/>
                <w:color w:val="auto"/>
                <w:sz w:val="24"/>
                <w:highlight w:val="none"/>
              </w:rPr>
            </w:pPr>
          </w:p>
        </w:tc>
        <w:tc>
          <w:tcPr>
            <w:tcW w:w="1276" w:type="dxa"/>
            <w:vAlign w:val="center"/>
          </w:tcPr>
          <w:p>
            <w:pPr>
              <w:tabs>
                <w:tab w:val="left" w:pos="10082"/>
              </w:tabs>
              <w:ind w:firstLine="240"/>
              <w:jc w:val="center"/>
              <w:rPr>
                <w:rFonts w:ascii="宋体" w:cs="宋体"/>
                <w:bCs/>
                <w:snapToGrid w:val="0"/>
                <w:color w:val="auto"/>
                <w:sz w:val="24"/>
                <w:highlight w:val="none"/>
              </w:rPr>
            </w:pPr>
          </w:p>
        </w:tc>
        <w:tc>
          <w:tcPr>
            <w:tcW w:w="1533"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2"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0"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567"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9"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1"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8"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993" w:type="dxa"/>
            <w:vAlign w:val="center"/>
          </w:tcPr>
          <w:p>
            <w:pPr>
              <w:tabs>
                <w:tab w:val="left" w:pos="10082"/>
              </w:tabs>
              <w:ind w:firstLine="240"/>
              <w:jc w:val="center"/>
              <w:rPr>
                <w:rFonts w:ascii="宋体" w:cs="宋体"/>
                <w:bCs/>
                <w:snapToGrid w:val="0"/>
                <w:color w:val="auto"/>
                <w:sz w:val="24"/>
                <w:highlight w:val="none"/>
              </w:rPr>
            </w:pPr>
          </w:p>
        </w:tc>
        <w:tc>
          <w:tcPr>
            <w:tcW w:w="992" w:type="dxa"/>
            <w:vAlign w:val="center"/>
          </w:tcPr>
          <w:p>
            <w:pPr>
              <w:tabs>
                <w:tab w:val="left" w:pos="10082"/>
              </w:tabs>
              <w:ind w:firstLine="240"/>
              <w:jc w:val="center"/>
              <w:rPr>
                <w:rFonts w:ascii="宋体" w:cs="宋体"/>
                <w:bCs/>
                <w:snapToGrid w:val="0"/>
                <w:color w:val="auto"/>
                <w:sz w:val="24"/>
                <w:highlight w:val="none"/>
              </w:rPr>
            </w:pPr>
          </w:p>
        </w:tc>
        <w:tc>
          <w:tcPr>
            <w:tcW w:w="1276" w:type="dxa"/>
            <w:vAlign w:val="center"/>
          </w:tcPr>
          <w:p>
            <w:pPr>
              <w:tabs>
                <w:tab w:val="left" w:pos="10082"/>
              </w:tabs>
              <w:ind w:firstLine="240"/>
              <w:jc w:val="center"/>
              <w:rPr>
                <w:rFonts w:ascii="宋体" w:cs="宋体"/>
                <w:bCs/>
                <w:snapToGrid w:val="0"/>
                <w:color w:val="auto"/>
                <w:sz w:val="24"/>
                <w:highlight w:val="none"/>
              </w:rPr>
            </w:pPr>
          </w:p>
        </w:tc>
        <w:tc>
          <w:tcPr>
            <w:tcW w:w="1533"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2"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0"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567"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9"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1"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8"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993" w:type="dxa"/>
            <w:vAlign w:val="center"/>
          </w:tcPr>
          <w:p>
            <w:pPr>
              <w:tabs>
                <w:tab w:val="left" w:pos="10082"/>
              </w:tabs>
              <w:ind w:firstLine="240"/>
              <w:jc w:val="center"/>
              <w:rPr>
                <w:rFonts w:ascii="宋体" w:cs="宋体"/>
                <w:bCs/>
                <w:snapToGrid w:val="0"/>
                <w:color w:val="auto"/>
                <w:sz w:val="24"/>
                <w:highlight w:val="none"/>
              </w:rPr>
            </w:pPr>
          </w:p>
        </w:tc>
        <w:tc>
          <w:tcPr>
            <w:tcW w:w="992" w:type="dxa"/>
            <w:vAlign w:val="center"/>
          </w:tcPr>
          <w:p>
            <w:pPr>
              <w:tabs>
                <w:tab w:val="left" w:pos="10082"/>
              </w:tabs>
              <w:ind w:firstLine="240"/>
              <w:jc w:val="center"/>
              <w:rPr>
                <w:rFonts w:ascii="宋体" w:cs="宋体"/>
                <w:bCs/>
                <w:snapToGrid w:val="0"/>
                <w:color w:val="auto"/>
                <w:sz w:val="24"/>
                <w:highlight w:val="none"/>
              </w:rPr>
            </w:pPr>
          </w:p>
        </w:tc>
        <w:tc>
          <w:tcPr>
            <w:tcW w:w="1276" w:type="dxa"/>
            <w:vAlign w:val="center"/>
          </w:tcPr>
          <w:p>
            <w:pPr>
              <w:tabs>
                <w:tab w:val="left" w:pos="10082"/>
              </w:tabs>
              <w:ind w:firstLine="240"/>
              <w:jc w:val="center"/>
              <w:rPr>
                <w:rFonts w:ascii="宋体" w:cs="宋体"/>
                <w:bCs/>
                <w:snapToGrid w:val="0"/>
                <w:color w:val="auto"/>
                <w:sz w:val="24"/>
                <w:highlight w:val="none"/>
              </w:rPr>
            </w:pPr>
          </w:p>
        </w:tc>
        <w:tc>
          <w:tcPr>
            <w:tcW w:w="1533"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2"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0"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567"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9"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1"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8"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993" w:type="dxa"/>
            <w:vAlign w:val="center"/>
          </w:tcPr>
          <w:p>
            <w:pPr>
              <w:tabs>
                <w:tab w:val="left" w:pos="10082"/>
              </w:tabs>
              <w:ind w:firstLine="240"/>
              <w:jc w:val="center"/>
              <w:rPr>
                <w:rFonts w:ascii="宋体" w:cs="宋体"/>
                <w:bCs/>
                <w:snapToGrid w:val="0"/>
                <w:color w:val="auto"/>
                <w:sz w:val="24"/>
                <w:highlight w:val="none"/>
              </w:rPr>
            </w:pPr>
          </w:p>
        </w:tc>
        <w:tc>
          <w:tcPr>
            <w:tcW w:w="992" w:type="dxa"/>
            <w:vAlign w:val="center"/>
          </w:tcPr>
          <w:p>
            <w:pPr>
              <w:tabs>
                <w:tab w:val="left" w:pos="10082"/>
              </w:tabs>
              <w:ind w:firstLine="240"/>
              <w:jc w:val="center"/>
              <w:rPr>
                <w:rFonts w:ascii="宋体" w:cs="宋体"/>
                <w:bCs/>
                <w:snapToGrid w:val="0"/>
                <w:color w:val="auto"/>
                <w:sz w:val="24"/>
                <w:highlight w:val="none"/>
              </w:rPr>
            </w:pPr>
          </w:p>
        </w:tc>
        <w:tc>
          <w:tcPr>
            <w:tcW w:w="1276" w:type="dxa"/>
            <w:vAlign w:val="center"/>
          </w:tcPr>
          <w:p>
            <w:pPr>
              <w:tabs>
                <w:tab w:val="left" w:pos="10082"/>
              </w:tabs>
              <w:ind w:firstLine="240"/>
              <w:jc w:val="center"/>
              <w:rPr>
                <w:rFonts w:ascii="宋体" w:cs="宋体"/>
                <w:bCs/>
                <w:snapToGrid w:val="0"/>
                <w:color w:val="auto"/>
                <w:sz w:val="24"/>
                <w:highlight w:val="none"/>
              </w:rPr>
            </w:pPr>
          </w:p>
        </w:tc>
        <w:tc>
          <w:tcPr>
            <w:tcW w:w="1533"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2"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0"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567"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9"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1"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8"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993" w:type="dxa"/>
            <w:vAlign w:val="center"/>
          </w:tcPr>
          <w:p>
            <w:pPr>
              <w:tabs>
                <w:tab w:val="left" w:pos="10082"/>
              </w:tabs>
              <w:ind w:firstLine="240"/>
              <w:jc w:val="center"/>
              <w:rPr>
                <w:rFonts w:ascii="宋体" w:cs="宋体"/>
                <w:bCs/>
                <w:snapToGrid w:val="0"/>
                <w:color w:val="auto"/>
                <w:sz w:val="24"/>
                <w:highlight w:val="none"/>
              </w:rPr>
            </w:pPr>
          </w:p>
        </w:tc>
        <w:tc>
          <w:tcPr>
            <w:tcW w:w="992" w:type="dxa"/>
            <w:vAlign w:val="center"/>
          </w:tcPr>
          <w:p>
            <w:pPr>
              <w:tabs>
                <w:tab w:val="left" w:pos="10082"/>
              </w:tabs>
              <w:ind w:firstLine="240"/>
              <w:jc w:val="center"/>
              <w:rPr>
                <w:rFonts w:ascii="宋体" w:cs="宋体"/>
                <w:bCs/>
                <w:snapToGrid w:val="0"/>
                <w:color w:val="auto"/>
                <w:sz w:val="24"/>
                <w:highlight w:val="none"/>
              </w:rPr>
            </w:pPr>
          </w:p>
        </w:tc>
        <w:tc>
          <w:tcPr>
            <w:tcW w:w="1276" w:type="dxa"/>
            <w:vAlign w:val="center"/>
          </w:tcPr>
          <w:p>
            <w:pPr>
              <w:tabs>
                <w:tab w:val="left" w:pos="10082"/>
              </w:tabs>
              <w:ind w:firstLine="240"/>
              <w:jc w:val="center"/>
              <w:rPr>
                <w:rFonts w:ascii="宋体" w:cs="宋体"/>
                <w:bCs/>
                <w:snapToGrid w:val="0"/>
                <w:color w:val="auto"/>
                <w:sz w:val="24"/>
                <w:highlight w:val="none"/>
              </w:rPr>
            </w:pPr>
          </w:p>
        </w:tc>
        <w:tc>
          <w:tcPr>
            <w:tcW w:w="1533"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2"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0"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567"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9"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1"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8"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993" w:type="dxa"/>
            <w:vAlign w:val="center"/>
          </w:tcPr>
          <w:p>
            <w:pPr>
              <w:tabs>
                <w:tab w:val="left" w:pos="10082"/>
              </w:tabs>
              <w:ind w:firstLine="240"/>
              <w:jc w:val="center"/>
              <w:rPr>
                <w:rFonts w:ascii="宋体" w:cs="宋体"/>
                <w:bCs/>
                <w:snapToGrid w:val="0"/>
                <w:color w:val="auto"/>
                <w:sz w:val="24"/>
                <w:highlight w:val="none"/>
              </w:rPr>
            </w:pPr>
          </w:p>
        </w:tc>
        <w:tc>
          <w:tcPr>
            <w:tcW w:w="992" w:type="dxa"/>
            <w:vAlign w:val="center"/>
          </w:tcPr>
          <w:p>
            <w:pPr>
              <w:tabs>
                <w:tab w:val="left" w:pos="10082"/>
              </w:tabs>
              <w:ind w:firstLine="240"/>
              <w:jc w:val="center"/>
              <w:rPr>
                <w:rFonts w:ascii="宋体" w:cs="宋体"/>
                <w:bCs/>
                <w:snapToGrid w:val="0"/>
                <w:color w:val="auto"/>
                <w:sz w:val="24"/>
                <w:highlight w:val="none"/>
              </w:rPr>
            </w:pPr>
          </w:p>
        </w:tc>
        <w:tc>
          <w:tcPr>
            <w:tcW w:w="1276" w:type="dxa"/>
            <w:vAlign w:val="center"/>
          </w:tcPr>
          <w:p>
            <w:pPr>
              <w:tabs>
                <w:tab w:val="left" w:pos="10082"/>
              </w:tabs>
              <w:ind w:firstLine="240"/>
              <w:jc w:val="center"/>
              <w:rPr>
                <w:rFonts w:ascii="宋体" w:cs="宋体"/>
                <w:bCs/>
                <w:snapToGrid w:val="0"/>
                <w:color w:val="auto"/>
                <w:sz w:val="24"/>
                <w:highlight w:val="none"/>
              </w:rPr>
            </w:pPr>
          </w:p>
        </w:tc>
        <w:tc>
          <w:tcPr>
            <w:tcW w:w="1533"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2"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0"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567"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9"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1"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8"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993" w:type="dxa"/>
            <w:vAlign w:val="center"/>
          </w:tcPr>
          <w:p>
            <w:pPr>
              <w:tabs>
                <w:tab w:val="left" w:pos="10082"/>
              </w:tabs>
              <w:ind w:firstLine="240"/>
              <w:jc w:val="center"/>
              <w:rPr>
                <w:rFonts w:ascii="宋体" w:cs="宋体"/>
                <w:bCs/>
                <w:snapToGrid w:val="0"/>
                <w:color w:val="auto"/>
                <w:sz w:val="24"/>
                <w:highlight w:val="none"/>
              </w:rPr>
            </w:pPr>
          </w:p>
        </w:tc>
        <w:tc>
          <w:tcPr>
            <w:tcW w:w="992" w:type="dxa"/>
            <w:vAlign w:val="center"/>
          </w:tcPr>
          <w:p>
            <w:pPr>
              <w:tabs>
                <w:tab w:val="left" w:pos="10082"/>
              </w:tabs>
              <w:ind w:firstLine="240"/>
              <w:jc w:val="center"/>
              <w:rPr>
                <w:rFonts w:ascii="宋体" w:cs="宋体"/>
                <w:bCs/>
                <w:snapToGrid w:val="0"/>
                <w:color w:val="auto"/>
                <w:sz w:val="24"/>
                <w:highlight w:val="none"/>
              </w:rPr>
            </w:pPr>
          </w:p>
        </w:tc>
        <w:tc>
          <w:tcPr>
            <w:tcW w:w="1276" w:type="dxa"/>
            <w:vAlign w:val="center"/>
          </w:tcPr>
          <w:p>
            <w:pPr>
              <w:tabs>
                <w:tab w:val="left" w:pos="10082"/>
              </w:tabs>
              <w:ind w:firstLine="240"/>
              <w:jc w:val="center"/>
              <w:rPr>
                <w:rFonts w:ascii="宋体" w:cs="宋体"/>
                <w:bCs/>
                <w:snapToGrid w:val="0"/>
                <w:color w:val="auto"/>
                <w:sz w:val="24"/>
                <w:highlight w:val="none"/>
              </w:rPr>
            </w:pPr>
          </w:p>
        </w:tc>
        <w:tc>
          <w:tcPr>
            <w:tcW w:w="1533"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2"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0"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567"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9"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1"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8"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993" w:type="dxa"/>
            <w:vAlign w:val="center"/>
          </w:tcPr>
          <w:p>
            <w:pPr>
              <w:tabs>
                <w:tab w:val="left" w:pos="10082"/>
              </w:tabs>
              <w:ind w:firstLine="240"/>
              <w:jc w:val="center"/>
              <w:rPr>
                <w:rFonts w:ascii="宋体" w:cs="宋体"/>
                <w:bCs/>
                <w:snapToGrid w:val="0"/>
                <w:color w:val="auto"/>
                <w:sz w:val="24"/>
                <w:highlight w:val="none"/>
              </w:rPr>
            </w:pPr>
          </w:p>
        </w:tc>
        <w:tc>
          <w:tcPr>
            <w:tcW w:w="992" w:type="dxa"/>
            <w:vAlign w:val="center"/>
          </w:tcPr>
          <w:p>
            <w:pPr>
              <w:tabs>
                <w:tab w:val="left" w:pos="10082"/>
              </w:tabs>
              <w:ind w:firstLine="240"/>
              <w:jc w:val="center"/>
              <w:rPr>
                <w:rFonts w:ascii="宋体" w:cs="宋体"/>
                <w:bCs/>
                <w:snapToGrid w:val="0"/>
                <w:color w:val="auto"/>
                <w:sz w:val="24"/>
                <w:highlight w:val="none"/>
              </w:rPr>
            </w:pPr>
          </w:p>
        </w:tc>
        <w:tc>
          <w:tcPr>
            <w:tcW w:w="1276" w:type="dxa"/>
            <w:vAlign w:val="center"/>
          </w:tcPr>
          <w:p>
            <w:pPr>
              <w:tabs>
                <w:tab w:val="left" w:pos="10082"/>
              </w:tabs>
              <w:ind w:firstLine="240"/>
              <w:jc w:val="center"/>
              <w:rPr>
                <w:rFonts w:ascii="宋体" w:cs="宋体"/>
                <w:bCs/>
                <w:snapToGrid w:val="0"/>
                <w:color w:val="auto"/>
                <w:sz w:val="24"/>
                <w:highlight w:val="none"/>
              </w:rPr>
            </w:pPr>
          </w:p>
        </w:tc>
        <w:tc>
          <w:tcPr>
            <w:tcW w:w="1533"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2"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0"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567"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9"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1"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8"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993" w:type="dxa"/>
            <w:vAlign w:val="center"/>
          </w:tcPr>
          <w:p>
            <w:pPr>
              <w:tabs>
                <w:tab w:val="left" w:pos="10082"/>
              </w:tabs>
              <w:ind w:firstLine="240"/>
              <w:jc w:val="center"/>
              <w:rPr>
                <w:rFonts w:ascii="宋体" w:cs="宋体"/>
                <w:bCs/>
                <w:snapToGrid w:val="0"/>
                <w:color w:val="auto"/>
                <w:sz w:val="24"/>
                <w:highlight w:val="none"/>
              </w:rPr>
            </w:pPr>
          </w:p>
        </w:tc>
        <w:tc>
          <w:tcPr>
            <w:tcW w:w="992" w:type="dxa"/>
            <w:vAlign w:val="center"/>
          </w:tcPr>
          <w:p>
            <w:pPr>
              <w:tabs>
                <w:tab w:val="left" w:pos="10082"/>
              </w:tabs>
              <w:ind w:firstLine="240"/>
              <w:jc w:val="center"/>
              <w:rPr>
                <w:rFonts w:ascii="宋体" w:cs="宋体"/>
                <w:bCs/>
                <w:snapToGrid w:val="0"/>
                <w:color w:val="auto"/>
                <w:sz w:val="24"/>
                <w:highlight w:val="none"/>
              </w:rPr>
            </w:pPr>
          </w:p>
        </w:tc>
        <w:tc>
          <w:tcPr>
            <w:tcW w:w="1276" w:type="dxa"/>
            <w:vAlign w:val="center"/>
          </w:tcPr>
          <w:p>
            <w:pPr>
              <w:tabs>
                <w:tab w:val="left" w:pos="10082"/>
              </w:tabs>
              <w:ind w:firstLine="240"/>
              <w:jc w:val="center"/>
              <w:rPr>
                <w:rFonts w:ascii="宋体" w:cs="宋体"/>
                <w:bCs/>
                <w:snapToGrid w:val="0"/>
                <w:color w:val="auto"/>
                <w:sz w:val="24"/>
                <w:highlight w:val="none"/>
              </w:rPr>
            </w:pPr>
          </w:p>
        </w:tc>
        <w:tc>
          <w:tcPr>
            <w:tcW w:w="1533"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2"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0"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567"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9"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1"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8"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993" w:type="dxa"/>
            <w:vAlign w:val="center"/>
          </w:tcPr>
          <w:p>
            <w:pPr>
              <w:tabs>
                <w:tab w:val="left" w:pos="10082"/>
              </w:tabs>
              <w:ind w:firstLine="240"/>
              <w:jc w:val="center"/>
              <w:rPr>
                <w:rFonts w:ascii="宋体" w:cs="宋体"/>
                <w:bCs/>
                <w:snapToGrid w:val="0"/>
                <w:color w:val="auto"/>
                <w:sz w:val="24"/>
                <w:highlight w:val="none"/>
              </w:rPr>
            </w:pPr>
          </w:p>
        </w:tc>
        <w:tc>
          <w:tcPr>
            <w:tcW w:w="992" w:type="dxa"/>
            <w:vAlign w:val="center"/>
          </w:tcPr>
          <w:p>
            <w:pPr>
              <w:tabs>
                <w:tab w:val="left" w:pos="10082"/>
              </w:tabs>
              <w:ind w:firstLine="240"/>
              <w:jc w:val="center"/>
              <w:rPr>
                <w:rFonts w:ascii="宋体" w:cs="宋体"/>
                <w:bCs/>
                <w:snapToGrid w:val="0"/>
                <w:color w:val="auto"/>
                <w:sz w:val="24"/>
                <w:highlight w:val="none"/>
              </w:rPr>
            </w:pPr>
          </w:p>
        </w:tc>
        <w:tc>
          <w:tcPr>
            <w:tcW w:w="1276" w:type="dxa"/>
            <w:vAlign w:val="center"/>
          </w:tcPr>
          <w:p>
            <w:pPr>
              <w:tabs>
                <w:tab w:val="left" w:pos="10082"/>
              </w:tabs>
              <w:ind w:firstLine="240"/>
              <w:jc w:val="center"/>
              <w:rPr>
                <w:rFonts w:ascii="宋体" w:cs="宋体"/>
                <w:bCs/>
                <w:snapToGrid w:val="0"/>
                <w:color w:val="auto"/>
                <w:sz w:val="24"/>
                <w:highlight w:val="none"/>
              </w:rPr>
            </w:pPr>
          </w:p>
        </w:tc>
        <w:tc>
          <w:tcPr>
            <w:tcW w:w="1533"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2"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0"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567"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9"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1"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8"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993" w:type="dxa"/>
            <w:vAlign w:val="center"/>
          </w:tcPr>
          <w:p>
            <w:pPr>
              <w:tabs>
                <w:tab w:val="left" w:pos="10082"/>
              </w:tabs>
              <w:ind w:firstLine="240"/>
              <w:jc w:val="center"/>
              <w:rPr>
                <w:rFonts w:ascii="宋体" w:cs="宋体"/>
                <w:bCs/>
                <w:snapToGrid w:val="0"/>
                <w:color w:val="auto"/>
                <w:sz w:val="24"/>
                <w:highlight w:val="none"/>
              </w:rPr>
            </w:pPr>
          </w:p>
        </w:tc>
        <w:tc>
          <w:tcPr>
            <w:tcW w:w="992" w:type="dxa"/>
            <w:vAlign w:val="center"/>
          </w:tcPr>
          <w:p>
            <w:pPr>
              <w:tabs>
                <w:tab w:val="left" w:pos="10082"/>
              </w:tabs>
              <w:ind w:firstLine="240"/>
              <w:jc w:val="center"/>
              <w:rPr>
                <w:rFonts w:ascii="宋体" w:cs="宋体"/>
                <w:bCs/>
                <w:snapToGrid w:val="0"/>
                <w:color w:val="auto"/>
                <w:sz w:val="24"/>
                <w:highlight w:val="none"/>
              </w:rPr>
            </w:pPr>
          </w:p>
        </w:tc>
        <w:tc>
          <w:tcPr>
            <w:tcW w:w="1276" w:type="dxa"/>
            <w:vAlign w:val="center"/>
          </w:tcPr>
          <w:p>
            <w:pPr>
              <w:tabs>
                <w:tab w:val="left" w:pos="10082"/>
              </w:tabs>
              <w:ind w:firstLine="240"/>
              <w:jc w:val="center"/>
              <w:rPr>
                <w:rFonts w:ascii="宋体" w:cs="宋体"/>
                <w:bCs/>
                <w:snapToGrid w:val="0"/>
                <w:color w:val="auto"/>
                <w:sz w:val="24"/>
                <w:highlight w:val="none"/>
              </w:rPr>
            </w:pPr>
          </w:p>
        </w:tc>
        <w:tc>
          <w:tcPr>
            <w:tcW w:w="1533"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2"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0"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567"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9"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851"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708"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c>
          <w:tcPr>
            <w:tcW w:w="993" w:type="dxa"/>
            <w:vAlign w:val="center"/>
          </w:tcPr>
          <w:p>
            <w:pPr>
              <w:tabs>
                <w:tab w:val="left" w:pos="10082"/>
              </w:tabs>
              <w:ind w:firstLine="240"/>
              <w:jc w:val="center"/>
              <w:rPr>
                <w:rFonts w:ascii="宋体" w:cs="宋体"/>
                <w:bCs/>
                <w:snapToGrid w:val="0"/>
                <w:color w:val="auto"/>
                <w:sz w:val="24"/>
                <w:highlight w:val="none"/>
              </w:rPr>
            </w:pPr>
          </w:p>
        </w:tc>
        <w:tc>
          <w:tcPr>
            <w:tcW w:w="992" w:type="dxa"/>
            <w:vAlign w:val="center"/>
          </w:tcPr>
          <w:p>
            <w:pPr>
              <w:tabs>
                <w:tab w:val="left" w:pos="10082"/>
              </w:tabs>
              <w:ind w:firstLine="240"/>
              <w:jc w:val="center"/>
              <w:rPr>
                <w:rFonts w:ascii="宋体" w:cs="宋体"/>
                <w:bCs/>
                <w:snapToGrid w:val="0"/>
                <w:color w:val="auto"/>
                <w:sz w:val="24"/>
                <w:highlight w:val="none"/>
              </w:rPr>
            </w:pPr>
          </w:p>
        </w:tc>
        <w:tc>
          <w:tcPr>
            <w:tcW w:w="1276" w:type="dxa"/>
            <w:vAlign w:val="center"/>
          </w:tcPr>
          <w:p>
            <w:pPr>
              <w:tabs>
                <w:tab w:val="left" w:pos="10082"/>
              </w:tabs>
              <w:ind w:firstLine="240"/>
              <w:jc w:val="center"/>
              <w:rPr>
                <w:rFonts w:ascii="宋体" w:cs="宋体"/>
                <w:bCs/>
                <w:snapToGrid w:val="0"/>
                <w:color w:val="auto"/>
                <w:sz w:val="24"/>
                <w:highlight w:val="none"/>
              </w:rPr>
            </w:pPr>
          </w:p>
        </w:tc>
        <w:tc>
          <w:tcPr>
            <w:tcW w:w="1533" w:type="dxa"/>
            <w:tcMar>
              <w:left w:w="28" w:type="dxa"/>
              <w:right w:w="28" w:type="dxa"/>
            </w:tcMar>
            <w:vAlign w:val="center"/>
          </w:tcPr>
          <w:p>
            <w:pPr>
              <w:tabs>
                <w:tab w:val="left" w:pos="10082"/>
              </w:tabs>
              <w:ind w:firstLine="240"/>
              <w:jc w:val="center"/>
              <w:rPr>
                <w:rFonts w:ascii="宋体" w:cs="宋体"/>
                <w:bCs/>
                <w:snapToGrid w:val="0"/>
                <w:color w:val="auto"/>
                <w:sz w:val="24"/>
                <w:highlight w:val="none"/>
              </w:rPr>
            </w:pPr>
          </w:p>
        </w:tc>
      </w:tr>
    </w:tbl>
    <w:p>
      <w:pPr>
        <w:ind w:firstLine="0" w:firstLineChars="0"/>
        <w:rPr>
          <w:rFonts w:hAnsi="宋体"/>
          <w:color w:val="auto"/>
          <w:szCs w:val="21"/>
          <w:highlight w:val="none"/>
        </w:rPr>
      </w:pPr>
      <w:r>
        <w:rPr>
          <w:rFonts w:hAnsi="宋体"/>
          <w:color w:val="auto"/>
          <w:szCs w:val="21"/>
          <w:highlight w:val="none"/>
        </w:rPr>
        <w:t>注：1、请附相关证明材料，如职称、资格证书等</w:t>
      </w:r>
      <w:r>
        <w:rPr>
          <w:rFonts w:hint="eastAsia" w:hAnsi="宋体"/>
          <w:color w:val="auto"/>
          <w:szCs w:val="21"/>
          <w:highlight w:val="none"/>
          <w:lang w:eastAsia="zh-CN"/>
        </w:rPr>
        <w:t>复印件</w:t>
      </w:r>
      <w:r>
        <w:rPr>
          <w:rFonts w:hAnsi="宋体"/>
          <w:color w:val="auto"/>
          <w:szCs w:val="21"/>
          <w:highlight w:val="none"/>
        </w:rPr>
        <w:t>（加盖公章）。</w:t>
      </w:r>
    </w:p>
    <w:p>
      <w:pPr>
        <w:ind w:firstLine="420"/>
        <w:rPr>
          <w:rFonts w:hAnsi="宋体"/>
          <w:color w:val="auto"/>
          <w:szCs w:val="21"/>
          <w:highlight w:val="none"/>
        </w:rPr>
      </w:pPr>
      <w:r>
        <w:rPr>
          <w:rFonts w:hint="eastAsia" w:hAnsi="宋体"/>
          <w:color w:val="auto"/>
          <w:szCs w:val="21"/>
          <w:highlight w:val="none"/>
        </w:rPr>
        <w:t>2、上述人员提</w:t>
      </w:r>
      <w:r>
        <w:rPr>
          <w:rStyle w:val="82"/>
          <w:rFonts w:hint="eastAsia"/>
          <w:color w:val="auto"/>
          <w:highlight w:val="none"/>
        </w:rPr>
        <w:t>连续近三个月</w:t>
      </w:r>
      <w:r>
        <w:rPr>
          <w:rFonts w:hint="eastAsia" w:hAnsi="宋体"/>
          <w:color w:val="auto"/>
          <w:szCs w:val="21"/>
          <w:highlight w:val="none"/>
        </w:rPr>
        <w:t>社保证明材料。</w:t>
      </w:r>
      <w:r>
        <w:rPr>
          <w:color w:val="auto"/>
          <w:szCs w:val="21"/>
          <w:highlight w:val="none"/>
          <w:shd w:val="clear" w:color="auto" w:fill="FFFFFF"/>
        </w:rPr>
        <w:t>如因故无法提供社保证明，须提供能证明是本企业在职人员的相关证明材料</w:t>
      </w:r>
      <w:r>
        <w:rPr>
          <w:rFonts w:hint="eastAsia"/>
          <w:color w:val="auto"/>
          <w:szCs w:val="21"/>
          <w:highlight w:val="none"/>
          <w:shd w:val="clear" w:color="auto" w:fill="FFFFFF"/>
        </w:rPr>
        <w:t>（包括退休证及聘用合同等）；</w:t>
      </w:r>
    </w:p>
    <w:p>
      <w:pPr>
        <w:ind w:firstLine="420"/>
        <w:rPr>
          <w:rFonts w:hAnsi="宋体"/>
          <w:color w:val="auto"/>
          <w:szCs w:val="21"/>
          <w:highlight w:val="none"/>
        </w:rPr>
      </w:pPr>
    </w:p>
    <w:p>
      <w:pPr>
        <w:snapToGrid w:val="0"/>
        <w:spacing w:before="50" w:after="50"/>
        <w:ind w:left="-23" w:leftChars="-11" w:right="-817" w:rightChars="-389" w:firstLine="420"/>
        <w:jc w:val="left"/>
        <w:rPr>
          <w:rFonts w:hAnsi="宋体"/>
          <w:color w:val="auto"/>
          <w:szCs w:val="21"/>
          <w:highlight w:val="none"/>
        </w:rPr>
      </w:pPr>
      <w:r>
        <w:rPr>
          <w:rFonts w:hint="eastAsia" w:hAnsi="宋体"/>
          <w:color w:val="auto"/>
          <w:szCs w:val="21"/>
          <w:highlight w:val="none"/>
        </w:rPr>
        <w:t>投标人（盖章）：</w:t>
      </w:r>
    </w:p>
    <w:p>
      <w:pPr>
        <w:snapToGrid w:val="0"/>
        <w:spacing w:before="50" w:after="50"/>
        <w:ind w:left="-23" w:leftChars="-11" w:right="-817" w:rightChars="-389" w:firstLine="420"/>
        <w:jc w:val="left"/>
        <w:rPr>
          <w:rFonts w:hAnsi="宋体"/>
          <w:color w:val="auto"/>
          <w:szCs w:val="21"/>
          <w:highlight w:val="none"/>
        </w:rPr>
      </w:pPr>
      <w:r>
        <w:rPr>
          <w:rFonts w:hint="eastAsia" w:hAnsi="宋体"/>
          <w:color w:val="auto"/>
          <w:szCs w:val="21"/>
          <w:highlight w:val="none"/>
        </w:rPr>
        <w:t>法定代表人或授权代表（签字或盖章）：</w:t>
      </w:r>
    </w:p>
    <w:p>
      <w:pPr>
        <w:snapToGrid w:val="0"/>
        <w:spacing w:before="50" w:after="50"/>
        <w:ind w:left="-23" w:leftChars="-11" w:right="-817" w:rightChars="-389" w:firstLine="420"/>
        <w:jc w:val="left"/>
        <w:rPr>
          <w:rFonts w:hAnsi="宋体"/>
          <w:color w:val="auto"/>
          <w:szCs w:val="21"/>
          <w:highlight w:val="none"/>
        </w:rPr>
      </w:pPr>
    </w:p>
    <w:p>
      <w:pPr>
        <w:snapToGrid w:val="0"/>
        <w:spacing w:before="50" w:after="50"/>
        <w:ind w:firstLine="420"/>
        <w:jc w:val="left"/>
        <w:rPr>
          <w:rFonts w:hint="eastAsia" w:hAnsi="宋体"/>
          <w:color w:val="auto"/>
          <w:szCs w:val="21"/>
          <w:highlight w:val="none"/>
        </w:rPr>
      </w:pPr>
      <w:r>
        <w:rPr>
          <w:rFonts w:hint="eastAsia" w:hAnsi="宋体"/>
          <w:color w:val="auto"/>
          <w:szCs w:val="21"/>
          <w:highlight w:val="none"/>
        </w:rPr>
        <w:t>日期：  年   月   日</w:t>
      </w:r>
    </w:p>
    <w:p>
      <w:pPr>
        <w:widowControl/>
        <w:wordWrap/>
        <w:spacing w:line="240" w:lineRule="auto"/>
        <w:ind w:firstLine="0" w:firstLineChars="0"/>
        <w:jc w:val="left"/>
        <w:rPr>
          <w:rFonts w:hAnsi="宋体"/>
          <w:color w:val="auto"/>
          <w:szCs w:val="21"/>
          <w:highlight w:val="none"/>
        </w:rPr>
      </w:pPr>
      <w:r>
        <w:rPr>
          <w:rFonts w:hAnsi="宋体"/>
          <w:color w:val="auto"/>
          <w:szCs w:val="21"/>
          <w:highlight w:val="none"/>
        </w:rPr>
        <w:br w:type="page"/>
      </w:r>
    </w:p>
    <w:p>
      <w:pPr>
        <w:pStyle w:val="8"/>
        <w:rPr>
          <w:color w:val="auto"/>
          <w:highlight w:val="none"/>
        </w:rPr>
      </w:pPr>
      <w:r>
        <w:rPr>
          <w:rFonts w:hint="eastAsia"/>
          <w:color w:val="auto"/>
          <w:highlight w:val="none"/>
          <w:lang w:eastAsia="zh-CN"/>
        </w:rPr>
        <w:t>拟投入设备情况表</w:t>
      </w:r>
    </w:p>
    <w:p>
      <w:pPr>
        <w:ind w:firstLine="240"/>
        <w:jc w:val="center"/>
        <w:rPr>
          <w:rFonts w:hint="eastAsia" w:ascii="宋体" w:hAnsi="宋体" w:eastAsia="宋体" w:cs="宋体"/>
          <w:b/>
          <w:color w:val="auto"/>
          <w:sz w:val="28"/>
          <w:szCs w:val="28"/>
          <w:highlight w:val="none"/>
          <w:lang w:eastAsia="zh-CN"/>
        </w:rPr>
      </w:pPr>
    </w:p>
    <w:p>
      <w:pPr>
        <w:ind w:firstLine="24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eastAsia="zh-CN"/>
        </w:rPr>
        <w:t>拟投入设备情况表</w:t>
      </w:r>
    </w:p>
    <w:p>
      <w:pPr>
        <w:pStyle w:val="10"/>
        <w:overflowPunct w:val="0"/>
        <w:ind w:firstLine="422"/>
        <w:jc w:val="center"/>
        <w:rPr>
          <w:rFonts w:hint="eastAsia" w:ascii="宋体" w:hAnsi="宋体"/>
          <w:b/>
          <w:color w:val="auto"/>
          <w:szCs w:val="21"/>
          <w:highlight w:val="none"/>
        </w:rPr>
      </w:pPr>
    </w:p>
    <w:p>
      <w:pPr>
        <w:pStyle w:val="10"/>
        <w:overflowPunct w:val="0"/>
        <w:ind w:firstLine="422"/>
        <w:rPr>
          <w:rFonts w:hint="eastAsia" w:ascii="宋体" w:hAnsi="宋体"/>
          <w:b/>
          <w:color w:val="auto"/>
          <w:szCs w:val="21"/>
          <w:highlight w:val="none"/>
        </w:rPr>
      </w:pPr>
    </w:p>
    <w:tbl>
      <w:tblPr>
        <w:tblStyle w:val="2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2"/>
        <w:gridCol w:w="1816"/>
        <w:gridCol w:w="1211"/>
        <w:gridCol w:w="1211"/>
        <w:gridCol w:w="679"/>
        <w:gridCol w:w="679"/>
        <w:gridCol w:w="24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752" w:type="dxa"/>
            <w:noWrap w:val="0"/>
            <w:vAlign w:val="center"/>
          </w:tcPr>
          <w:p>
            <w:pPr>
              <w:pStyle w:val="117"/>
              <w:ind w:left="0" w:leftChars="0" w:firstLine="0" w:firstLineChars="0"/>
              <w:jc w:val="both"/>
              <w:rPr>
                <w:rFonts w:hAnsi="宋体"/>
                <w:color w:val="auto"/>
                <w:sz w:val="21"/>
                <w:szCs w:val="21"/>
                <w:highlight w:val="none"/>
              </w:rPr>
            </w:pPr>
            <w:r>
              <w:rPr>
                <w:rFonts w:hint="eastAsia" w:hAnsi="宋体"/>
                <w:color w:val="auto"/>
                <w:sz w:val="21"/>
                <w:szCs w:val="21"/>
                <w:highlight w:val="none"/>
              </w:rPr>
              <w:t>序号</w:t>
            </w:r>
          </w:p>
        </w:tc>
        <w:tc>
          <w:tcPr>
            <w:tcW w:w="1816" w:type="dxa"/>
            <w:noWrap w:val="0"/>
            <w:vAlign w:val="center"/>
          </w:tcPr>
          <w:p>
            <w:pPr>
              <w:pStyle w:val="117"/>
              <w:ind w:left="0" w:leftChars="0" w:firstLine="0" w:firstLineChars="0"/>
              <w:jc w:val="center"/>
              <w:rPr>
                <w:rFonts w:hAnsi="宋体"/>
                <w:color w:val="auto"/>
                <w:sz w:val="21"/>
                <w:szCs w:val="21"/>
                <w:highlight w:val="none"/>
              </w:rPr>
            </w:pPr>
            <w:r>
              <w:rPr>
                <w:rFonts w:hint="eastAsia" w:hAnsi="宋体"/>
                <w:color w:val="auto"/>
                <w:sz w:val="21"/>
                <w:szCs w:val="21"/>
                <w:highlight w:val="none"/>
                <w:lang w:eastAsia="zh-CN"/>
              </w:rPr>
              <w:t>设备</w:t>
            </w:r>
            <w:r>
              <w:rPr>
                <w:rFonts w:hint="eastAsia" w:hAnsi="宋体"/>
                <w:color w:val="auto"/>
                <w:sz w:val="21"/>
                <w:szCs w:val="21"/>
                <w:highlight w:val="none"/>
              </w:rPr>
              <w:t>名称</w:t>
            </w:r>
          </w:p>
        </w:tc>
        <w:tc>
          <w:tcPr>
            <w:tcW w:w="1211" w:type="dxa"/>
            <w:noWrap w:val="0"/>
            <w:vAlign w:val="center"/>
          </w:tcPr>
          <w:p>
            <w:pPr>
              <w:pStyle w:val="117"/>
              <w:ind w:left="0" w:leftChars="0" w:firstLine="0" w:firstLineChars="0"/>
              <w:jc w:val="center"/>
              <w:rPr>
                <w:rFonts w:hint="eastAsia" w:hAnsi="宋体"/>
                <w:color w:val="auto"/>
                <w:sz w:val="21"/>
                <w:szCs w:val="21"/>
                <w:highlight w:val="none"/>
              </w:rPr>
            </w:pPr>
            <w:r>
              <w:rPr>
                <w:rFonts w:hint="eastAsia" w:hAnsi="宋体"/>
                <w:color w:val="auto"/>
                <w:sz w:val="21"/>
                <w:szCs w:val="21"/>
                <w:highlight w:val="none"/>
              </w:rPr>
              <w:t>品牌</w:t>
            </w:r>
          </w:p>
        </w:tc>
        <w:tc>
          <w:tcPr>
            <w:tcW w:w="1211" w:type="dxa"/>
            <w:tcBorders>
              <w:bottom w:val="single" w:color="auto" w:sz="4" w:space="0"/>
            </w:tcBorders>
            <w:noWrap w:val="0"/>
            <w:vAlign w:val="center"/>
          </w:tcPr>
          <w:p>
            <w:pPr>
              <w:pStyle w:val="117"/>
              <w:ind w:left="0" w:leftChars="0" w:firstLine="0" w:firstLineChars="0"/>
              <w:jc w:val="both"/>
              <w:rPr>
                <w:rFonts w:hAnsi="宋体"/>
                <w:color w:val="auto"/>
                <w:sz w:val="21"/>
                <w:szCs w:val="21"/>
                <w:highlight w:val="none"/>
              </w:rPr>
            </w:pPr>
            <w:r>
              <w:rPr>
                <w:rFonts w:hint="eastAsia" w:hAnsi="宋体"/>
                <w:color w:val="auto"/>
                <w:sz w:val="21"/>
                <w:szCs w:val="21"/>
                <w:highlight w:val="none"/>
              </w:rPr>
              <w:t>型号、规格</w:t>
            </w:r>
          </w:p>
        </w:tc>
        <w:tc>
          <w:tcPr>
            <w:tcW w:w="679" w:type="dxa"/>
            <w:tcBorders>
              <w:right w:val="single" w:color="auto" w:sz="4" w:space="0"/>
            </w:tcBorders>
            <w:noWrap w:val="0"/>
            <w:vAlign w:val="center"/>
          </w:tcPr>
          <w:p>
            <w:pPr>
              <w:pStyle w:val="117"/>
              <w:ind w:left="0" w:leftChars="0" w:firstLine="0" w:firstLineChars="0"/>
              <w:jc w:val="both"/>
              <w:rPr>
                <w:rFonts w:hint="eastAsia" w:hAnsi="宋体"/>
                <w:color w:val="auto"/>
                <w:sz w:val="21"/>
                <w:szCs w:val="21"/>
                <w:highlight w:val="none"/>
              </w:rPr>
            </w:pPr>
            <w:r>
              <w:rPr>
                <w:rFonts w:hint="eastAsia" w:hAnsi="宋体"/>
                <w:color w:val="auto"/>
                <w:sz w:val="21"/>
                <w:szCs w:val="21"/>
                <w:highlight w:val="none"/>
              </w:rPr>
              <w:t>单位</w:t>
            </w:r>
          </w:p>
        </w:tc>
        <w:tc>
          <w:tcPr>
            <w:tcW w:w="679" w:type="dxa"/>
            <w:tcBorders>
              <w:left w:val="single" w:color="auto" w:sz="4" w:space="0"/>
            </w:tcBorders>
            <w:noWrap w:val="0"/>
            <w:vAlign w:val="center"/>
          </w:tcPr>
          <w:p>
            <w:pPr>
              <w:pStyle w:val="117"/>
              <w:ind w:left="0" w:leftChars="0" w:firstLine="0" w:firstLineChars="0"/>
              <w:jc w:val="both"/>
              <w:rPr>
                <w:rFonts w:hAnsi="宋体"/>
                <w:color w:val="auto"/>
                <w:sz w:val="21"/>
                <w:szCs w:val="21"/>
                <w:highlight w:val="none"/>
              </w:rPr>
            </w:pPr>
            <w:r>
              <w:rPr>
                <w:rFonts w:hint="eastAsia" w:hAnsi="宋体"/>
                <w:color w:val="auto"/>
                <w:sz w:val="21"/>
                <w:szCs w:val="21"/>
                <w:highlight w:val="none"/>
              </w:rPr>
              <w:t>数量</w:t>
            </w:r>
          </w:p>
        </w:tc>
        <w:tc>
          <w:tcPr>
            <w:tcW w:w="2401" w:type="dxa"/>
            <w:noWrap w:val="0"/>
            <w:vAlign w:val="center"/>
          </w:tcPr>
          <w:p>
            <w:pPr>
              <w:pStyle w:val="117"/>
              <w:ind w:left="0" w:leftChars="0" w:firstLine="0" w:firstLineChars="0"/>
              <w:jc w:val="both"/>
              <w:rPr>
                <w:rFonts w:hint="eastAsia" w:hAnsi="宋体"/>
                <w:color w:val="auto"/>
                <w:sz w:val="21"/>
                <w:szCs w:val="21"/>
                <w:highlight w:val="none"/>
              </w:rPr>
            </w:pPr>
            <w:r>
              <w:rPr>
                <w:rFonts w:hint="eastAsia" w:hAnsi="宋体"/>
                <w:color w:val="auto"/>
                <w:sz w:val="21"/>
                <w:szCs w:val="21"/>
                <w:highlight w:val="none"/>
              </w:rPr>
              <w:t>设备性质（自有/租赁）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752" w:type="dxa"/>
            <w:noWrap w:val="0"/>
            <w:vAlign w:val="center"/>
          </w:tcPr>
          <w:p>
            <w:pPr>
              <w:pStyle w:val="117"/>
              <w:jc w:val="center"/>
              <w:rPr>
                <w:rFonts w:hAnsi="宋体"/>
                <w:color w:val="auto"/>
                <w:sz w:val="21"/>
                <w:szCs w:val="21"/>
                <w:highlight w:val="none"/>
              </w:rPr>
            </w:pPr>
          </w:p>
        </w:tc>
        <w:tc>
          <w:tcPr>
            <w:tcW w:w="1816" w:type="dxa"/>
            <w:noWrap w:val="0"/>
            <w:vAlign w:val="center"/>
          </w:tcPr>
          <w:p>
            <w:pPr>
              <w:pStyle w:val="117"/>
              <w:jc w:val="center"/>
              <w:rPr>
                <w:rFonts w:hAnsi="宋体"/>
                <w:color w:val="auto"/>
                <w:sz w:val="21"/>
                <w:szCs w:val="21"/>
                <w:highlight w:val="none"/>
              </w:rPr>
            </w:pPr>
          </w:p>
        </w:tc>
        <w:tc>
          <w:tcPr>
            <w:tcW w:w="1211" w:type="dxa"/>
            <w:noWrap w:val="0"/>
            <w:vAlign w:val="top"/>
          </w:tcPr>
          <w:p>
            <w:pPr>
              <w:pStyle w:val="117"/>
              <w:jc w:val="center"/>
              <w:rPr>
                <w:rFonts w:hAnsi="宋体"/>
                <w:color w:val="auto"/>
                <w:sz w:val="21"/>
                <w:szCs w:val="21"/>
                <w:highlight w:val="none"/>
              </w:rPr>
            </w:pPr>
          </w:p>
        </w:tc>
        <w:tc>
          <w:tcPr>
            <w:tcW w:w="1211" w:type="dxa"/>
            <w:tcBorders>
              <w:top w:val="single" w:color="auto" w:sz="4" w:space="0"/>
            </w:tcBorders>
            <w:noWrap w:val="0"/>
            <w:vAlign w:val="center"/>
          </w:tcPr>
          <w:p>
            <w:pPr>
              <w:pStyle w:val="117"/>
              <w:jc w:val="center"/>
              <w:rPr>
                <w:rFonts w:hAnsi="宋体"/>
                <w:color w:val="auto"/>
                <w:sz w:val="21"/>
                <w:szCs w:val="21"/>
                <w:highlight w:val="none"/>
              </w:rPr>
            </w:pPr>
          </w:p>
        </w:tc>
        <w:tc>
          <w:tcPr>
            <w:tcW w:w="679" w:type="dxa"/>
            <w:tcBorders>
              <w:right w:val="single" w:color="auto" w:sz="4" w:space="0"/>
            </w:tcBorders>
            <w:noWrap w:val="0"/>
            <w:vAlign w:val="center"/>
          </w:tcPr>
          <w:p>
            <w:pPr>
              <w:pStyle w:val="117"/>
              <w:jc w:val="center"/>
              <w:rPr>
                <w:rFonts w:hAnsi="宋体"/>
                <w:color w:val="auto"/>
                <w:sz w:val="21"/>
                <w:szCs w:val="21"/>
                <w:highlight w:val="none"/>
              </w:rPr>
            </w:pPr>
          </w:p>
        </w:tc>
        <w:tc>
          <w:tcPr>
            <w:tcW w:w="679" w:type="dxa"/>
            <w:tcBorders>
              <w:left w:val="single" w:color="auto" w:sz="4" w:space="0"/>
            </w:tcBorders>
            <w:noWrap w:val="0"/>
            <w:vAlign w:val="center"/>
          </w:tcPr>
          <w:p>
            <w:pPr>
              <w:pStyle w:val="117"/>
              <w:jc w:val="center"/>
              <w:rPr>
                <w:rFonts w:hAnsi="宋体"/>
                <w:color w:val="auto"/>
                <w:sz w:val="21"/>
                <w:szCs w:val="21"/>
                <w:highlight w:val="none"/>
              </w:rPr>
            </w:pPr>
          </w:p>
        </w:tc>
        <w:tc>
          <w:tcPr>
            <w:tcW w:w="2401" w:type="dxa"/>
            <w:noWrap w:val="0"/>
            <w:vAlign w:val="center"/>
          </w:tcPr>
          <w:p>
            <w:pPr>
              <w:pStyle w:val="117"/>
              <w:jc w:val="center"/>
              <w:rPr>
                <w:rFonts w:hAnsi="宋体"/>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752" w:type="dxa"/>
            <w:noWrap w:val="0"/>
            <w:vAlign w:val="center"/>
          </w:tcPr>
          <w:p>
            <w:pPr>
              <w:pStyle w:val="117"/>
              <w:jc w:val="center"/>
              <w:rPr>
                <w:rFonts w:hAnsi="宋体"/>
                <w:color w:val="auto"/>
                <w:sz w:val="21"/>
                <w:szCs w:val="21"/>
                <w:highlight w:val="none"/>
              </w:rPr>
            </w:pPr>
          </w:p>
        </w:tc>
        <w:tc>
          <w:tcPr>
            <w:tcW w:w="1816" w:type="dxa"/>
            <w:noWrap w:val="0"/>
            <w:vAlign w:val="center"/>
          </w:tcPr>
          <w:p>
            <w:pPr>
              <w:pStyle w:val="117"/>
              <w:jc w:val="center"/>
              <w:rPr>
                <w:rFonts w:hAnsi="宋体"/>
                <w:color w:val="auto"/>
                <w:sz w:val="21"/>
                <w:szCs w:val="21"/>
                <w:highlight w:val="none"/>
              </w:rPr>
            </w:pPr>
          </w:p>
        </w:tc>
        <w:tc>
          <w:tcPr>
            <w:tcW w:w="1211" w:type="dxa"/>
            <w:noWrap w:val="0"/>
            <w:vAlign w:val="top"/>
          </w:tcPr>
          <w:p>
            <w:pPr>
              <w:pStyle w:val="117"/>
              <w:jc w:val="center"/>
              <w:rPr>
                <w:rFonts w:hAnsi="宋体"/>
                <w:color w:val="auto"/>
                <w:sz w:val="21"/>
                <w:szCs w:val="21"/>
                <w:highlight w:val="none"/>
              </w:rPr>
            </w:pPr>
          </w:p>
        </w:tc>
        <w:tc>
          <w:tcPr>
            <w:tcW w:w="1211" w:type="dxa"/>
            <w:noWrap w:val="0"/>
            <w:vAlign w:val="center"/>
          </w:tcPr>
          <w:p>
            <w:pPr>
              <w:pStyle w:val="117"/>
              <w:jc w:val="center"/>
              <w:rPr>
                <w:rFonts w:hAnsi="宋体"/>
                <w:color w:val="auto"/>
                <w:sz w:val="21"/>
                <w:szCs w:val="21"/>
                <w:highlight w:val="none"/>
              </w:rPr>
            </w:pPr>
          </w:p>
        </w:tc>
        <w:tc>
          <w:tcPr>
            <w:tcW w:w="679" w:type="dxa"/>
            <w:tcBorders>
              <w:right w:val="single" w:color="auto" w:sz="4" w:space="0"/>
            </w:tcBorders>
            <w:noWrap w:val="0"/>
            <w:vAlign w:val="center"/>
          </w:tcPr>
          <w:p>
            <w:pPr>
              <w:pStyle w:val="117"/>
              <w:jc w:val="center"/>
              <w:rPr>
                <w:rFonts w:hAnsi="宋体"/>
                <w:color w:val="auto"/>
                <w:sz w:val="21"/>
                <w:szCs w:val="21"/>
                <w:highlight w:val="none"/>
              </w:rPr>
            </w:pPr>
          </w:p>
        </w:tc>
        <w:tc>
          <w:tcPr>
            <w:tcW w:w="679" w:type="dxa"/>
            <w:tcBorders>
              <w:left w:val="single" w:color="auto" w:sz="4" w:space="0"/>
            </w:tcBorders>
            <w:noWrap w:val="0"/>
            <w:vAlign w:val="center"/>
          </w:tcPr>
          <w:p>
            <w:pPr>
              <w:pStyle w:val="117"/>
              <w:jc w:val="center"/>
              <w:rPr>
                <w:rFonts w:hAnsi="宋体"/>
                <w:color w:val="auto"/>
                <w:sz w:val="21"/>
                <w:szCs w:val="21"/>
                <w:highlight w:val="none"/>
              </w:rPr>
            </w:pPr>
          </w:p>
        </w:tc>
        <w:tc>
          <w:tcPr>
            <w:tcW w:w="2401" w:type="dxa"/>
            <w:noWrap w:val="0"/>
            <w:vAlign w:val="center"/>
          </w:tcPr>
          <w:p>
            <w:pPr>
              <w:pStyle w:val="117"/>
              <w:jc w:val="center"/>
              <w:rPr>
                <w:rFonts w:hAnsi="宋体"/>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752" w:type="dxa"/>
            <w:noWrap w:val="0"/>
            <w:vAlign w:val="center"/>
          </w:tcPr>
          <w:p>
            <w:pPr>
              <w:pStyle w:val="117"/>
              <w:jc w:val="center"/>
              <w:rPr>
                <w:rFonts w:hAnsi="宋体"/>
                <w:color w:val="auto"/>
                <w:sz w:val="21"/>
                <w:szCs w:val="21"/>
                <w:highlight w:val="none"/>
              </w:rPr>
            </w:pPr>
          </w:p>
        </w:tc>
        <w:tc>
          <w:tcPr>
            <w:tcW w:w="1816" w:type="dxa"/>
            <w:noWrap w:val="0"/>
            <w:vAlign w:val="center"/>
          </w:tcPr>
          <w:p>
            <w:pPr>
              <w:pStyle w:val="117"/>
              <w:jc w:val="center"/>
              <w:rPr>
                <w:rFonts w:hAnsi="宋体"/>
                <w:color w:val="auto"/>
                <w:sz w:val="21"/>
                <w:szCs w:val="21"/>
                <w:highlight w:val="none"/>
              </w:rPr>
            </w:pPr>
          </w:p>
        </w:tc>
        <w:tc>
          <w:tcPr>
            <w:tcW w:w="1211" w:type="dxa"/>
            <w:noWrap w:val="0"/>
            <w:vAlign w:val="top"/>
          </w:tcPr>
          <w:p>
            <w:pPr>
              <w:pStyle w:val="117"/>
              <w:jc w:val="center"/>
              <w:rPr>
                <w:rFonts w:hAnsi="宋体"/>
                <w:color w:val="auto"/>
                <w:sz w:val="21"/>
                <w:szCs w:val="21"/>
                <w:highlight w:val="none"/>
              </w:rPr>
            </w:pPr>
          </w:p>
        </w:tc>
        <w:tc>
          <w:tcPr>
            <w:tcW w:w="1211" w:type="dxa"/>
            <w:noWrap w:val="0"/>
            <w:vAlign w:val="center"/>
          </w:tcPr>
          <w:p>
            <w:pPr>
              <w:pStyle w:val="117"/>
              <w:jc w:val="center"/>
              <w:rPr>
                <w:rFonts w:hAnsi="宋体"/>
                <w:color w:val="auto"/>
                <w:sz w:val="21"/>
                <w:szCs w:val="21"/>
                <w:highlight w:val="none"/>
              </w:rPr>
            </w:pPr>
          </w:p>
        </w:tc>
        <w:tc>
          <w:tcPr>
            <w:tcW w:w="679" w:type="dxa"/>
            <w:tcBorders>
              <w:right w:val="single" w:color="auto" w:sz="4" w:space="0"/>
            </w:tcBorders>
            <w:noWrap w:val="0"/>
            <w:vAlign w:val="center"/>
          </w:tcPr>
          <w:p>
            <w:pPr>
              <w:pStyle w:val="117"/>
              <w:jc w:val="center"/>
              <w:rPr>
                <w:rFonts w:hAnsi="宋体"/>
                <w:color w:val="auto"/>
                <w:sz w:val="21"/>
                <w:szCs w:val="21"/>
                <w:highlight w:val="none"/>
              </w:rPr>
            </w:pPr>
          </w:p>
        </w:tc>
        <w:tc>
          <w:tcPr>
            <w:tcW w:w="679" w:type="dxa"/>
            <w:tcBorders>
              <w:left w:val="single" w:color="auto" w:sz="4" w:space="0"/>
            </w:tcBorders>
            <w:noWrap w:val="0"/>
            <w:vAlign w:val="center"/>
          </w:tcPr>
          <w:p>
            <w:pPr>
              <w:pStyle w:val="117"/>
              <w:jc w:val="center"/>
              <w:rPr>
                <w:rFonts w:hAnsi="宋体"/>
                <w:color w:val="auto"/>
                <w:sz w:val="21"/>
                <w:szCs w:val="21"/>
                <w:highlight w:val="none"/>
              </w:rPr>
            </w:pPr>
          </w:p>
        </w:tc>
        <w:tc>
          <w:tcPr>
            <w:tcW w:w="2401" w:type="dxa"/>
            <w:noWrap w:val="0"/>
            <w:vAlign w:val="center"/>
          </w:tcPr>
          <w:p>
            <w:pPr>
              <w:pStyle w:val="117"/>
              <w:jc w:val="center"/>
              <w:rPr>
                <w:rFonts w:hAnsi="宋体"/>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752" w:type="dxa"/>
            <w:noWrap w:val="0"/>
            <w:vAlign w:val="center"/>
          </w:tcPr>
          <w:p>
            <w:pPr>
              <w:pStyle w:val="117"/>
              <w:jc w:val="center"/>
              <w:rPr>
                <w:rFonts w:hAnsi="宋体"/>
                <w:color w:val="auto"/>
                <w:sz w:val="21"/>
                <w:szCs w:val="21"/>
                <w:highlight w:val="none"/>
              </w:rPr>
            </w:pPr>
          </w:p>
        </w:tc>
        <w:tc>
          <w:tcPr>
            <w:tcW w:w="1816" w:type="dxa"/>
            <w:noWrap w:val="0"/>
            <w:vAlign w:val="center"/>
          </w:tcPr>
          <w:p>
            <w:pPr>
              <w:pStyle w:val="117"/>
              <w:jc w:val="center"/>
              <w:rPr>
                <w:rFonts w:hAnsi="宋体"/>
                <w:color w:val="auto"/>
                <w:sz w:val="21"/>
                <w:szCs w:val="21"/>
                <w:highlight w:val="none"/>
              </w:rPr>
            </w:pPr>
          </w:p>
        </w:tc>
        <w:tc>
          <w:tcPr>
            <w:tcW w:w="1211" w:type="dxa"/>
            <w:noWrap w:val="0"/>
            <w:vAlign w:val="top"/>
          </w:tcPr>
          <w:p>
            <w:pPr>
              <w:pStyle w:val="117"/>
              <w:jc w:val="center"/>
              <w:rPr>
                <w:rFonts w:hAnsi="宋体"/>
                <w:color w:val="auto"/>
                <w:sz w:val="21"/>
                <w:szCs w:val="21"/>
                <w:highlight w:val="none"/>
              </w:rPr>
            </w:pPr>
          </w:p>
        </w:tc>
        <w:tc>
          <w:tcPr>
            <w:tcW w:w="1211" w:type="dxa"/>
            <w:noWrap w:val="0"/>
            <w:vAlign w:val="center"/>
          </w:tcPr>
          <w:p>
            <w:pPr>
              <w:pStyle w:val="117"/>
              <w:jc w:val="center"/>
              <w:rPr>
                <w:rFonts w:hAnsi="宋体"/>
                <w:color w:val="auto"/>
                <w:sz w:val="21"/>
                <w:szCs w:val="21"/>
                <w:highlight w:val="none"/>
              </w:rPr>
            </w:pPr>
          </w:p>
        </w:tc>
        <w:tc>
          <w:tcPr>
            <w:tcW w:w="679" w:type="dxa"/>
            <w:tcBorders>
              <w:right w:val="single" w:color="auto" w:sz="4" w:space="0"/>
            </w:tcBorders>
            <w:noWrap w:val="0"/>
            <w:vAlign w:val="center"/>
          </w:tcPr>
          <w:p>
            <w:pPr>
              <w:pStyle w:val="117"/>
              <w:jc w:val="center"/>
              <w:rPr>
                <w:rFonts w:hAnsi="宋体"/>
                <w:color w:val="auto"/>
                <w:sz w:val="21"/>
                <w:szCs w:val="21"/>
                <w:highlight w:val="none"/>
              </w:rPr>
            </w:pPr>
          </w:p>
        </w:tc>
        <w:tc>
          <w:tcPr>
            <w:tcW w:w="679" w:type="dxa"/>
            <w:tcBorders>
              <w:left w:val="single" w:color="auto" w:sz="4" w:space="0"/>
            </w:tcBorders>
            <w:noWrap w:val="0"/>
            <w:vAlign w:val="center"/>
          </w:tcPr>
          <w:p>
            <w:pPr>
              <w:pStyle w:val="117"/>
              <w:jc w:val="center"/>
              <w:rPr>
                <w:rFonts w:hAnsi="宋体"/>
                <w:color w:val="auto"/>
                <w:sz w:val="21"/>
                <w:szCs w:val="21"/>
                <w:highlight w:val="none"/>
              </w:rPr>
            </w:pPr>
          </w:p>
        </w:tc>
        <w:tc>
          <w:tcPr>
            <w:tcW w:w="2401" w:type="dxa"/>
            <w:noWrap w:val="0"/>
            <w:vAlign w:val="center"/>
          </w:tcPr>
          <w:p>
            <w:pPr>
              <w:pStyle w:val="117"/>
              <w:jc w:val="center"/>
              <w:rPr>
                <w:rFonts w:hAnsi="宋体"/>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752" w:type="dxa"/>
            <w:noWrap w:val="0"/>
            <w:vAlign w:val="center"/>
          </w:tcPr>
          <w:p>
            <w:pPr>
              <w:pStyle w:val="117"/>
              <w:jc w:val="center"/>
              <w:rPr>
                <w:rFonts w:hAnsi="宋体"/>
                <w:color w:val="auto"/>
                <w:sz w:val="21"/>
                <w:szCs w:val="21"/>
                <w:highlight w:val="none"/>
              </w:rPr>
            </w:pPr>
          </w:p>
        </w:tc>
        <w:tc>
          <w:tcPr>
            <w:tcW w:w="1816" w:type="dxa"/>
            <w:noWrap w:val="0"/>
            <w:vAlign w:val="center"/>
          </w:tcPr>
          <w:p>
            <w:pPr>
              <w:pStyle w:val="117"/>
              <w:jc w:val="center"/>
              <w:rPr>
                <w:rFonts w:hAnsi="宋体"/>
                <w:color w:val="auto"/>
                <w:sz w:val="21"/>
                <w:szCs w:val="21"/>
                <w:highlight w:val="none"/>
              </w:rPr>
            </w:pPr>
          </w:p>
        </w:tc>
        <w:tc>
          <w:tcPr>
            <w:tcW w:w="1211" w:type="dxa"/>
            <w:noWrap w:val="0"/>
            <w:vAlign w:val="top"/>
          </w:tcPr>
          <w:p>
            <w:pPr>
              <w:pStyle w:val="117"/>
              <w:jc w:val="center"/>
              <w:rPr>
                <w:rFonts w:hAnsi="宋体"/>
                <w:color w:val="auto"/>
                <w:sz w:val="21"/>
                <w:szCs w:val="21"/>
                <w:highlight w:val="none"/>
              </w:rPr>
            </w:pPr>
          </w:p>
        </w:tc>
        <w:tc>
          <w:tcPr>
            <w:tcW w:w="1211" w:type="dxa"/>
            <w:noWrap w:val="0"/>
            <w:vAlign w:val="center"/>
          </w:tcPr>
          <w:p>
            <w:pPr>
              <w:pStyle w:val="117"/>
              <w:jc w:val="center"/>
              <w:rPr>
                <w:rFonts w:hAnsi="宋体"/>
                <w:color w:val="auto"/>
                <w:sz w:val="21"/>
                <w:szCs w:val="21"/>
                <w:highlight w:val="none"/>
              </w:rPr>
            </w:pPr>
          </w:p>
        </w:tc>
        <w:tc>
          <w:tcPr>
            <w:tcW w:w="679" w:type="dxa"/>
            <w:tcBorders>
              <w:right w:val="single" w:color="auto" w:sz="4" w:space="0"/>
            </w:tcBorders>
            <w:noWrap w:val="0"/>
            <w:vAlign w:val="center"/>
          </w:tcPr>
          <w:p>
            <w:pPr>
              <w:pStyle w:val="117"/>
              <w:jc w:val="center"/>
              <w:rPr>
                <w:rFonts w:hAnsi="宋体"/>
                <w:color w:val="auto"/>
                <w:sz w:val="21"/>
                <w:szCs w:val="21"/>
                <w:highlight w:val="none"/>
              </w:rPr>
            </w:pPr>
          </w:p>
        </w:tc>
        <w:tc>
          <w:tcPr>
            <w:tcW w:w="679" w:type="dxa"/>
            <w:tcBorders>
              <w:left w:val="single" w:color="auto" w:sz="4" w:space="0"/>
            </w:tcBorders>
            <w:noWrap w:val="0"/>
            <w:vAlign w:val="center"/>
          </w:tcPr>
          <w:p>
            <w:pPr>
              <w:pStyle w:val="117"/>
              <w:jc w:val="center"/>
              <w:rPr>
                <w:rFonts w:hAnsi="宋体"/>
                <w:color w:val="auto"/>
                <w:sz w:val="21"/>
                <w:szCs w:val="21"/>
                <w:highlight w:val="none"/>
              </w:rPr>
            </w:pPr>
          </w:p>
        </w:tc>
        <w:tc>
          <w:tcPr>
            <w:tcW w:w="2401" w:type="dxa"/>
            <w:noWrap w:val="0"/>
            <w:vAlign w:val="center"/>
          </w:tcPr>
          <w:p>
            <w:pPr>
              <w:pStyle w:val="117"/>
              <w:jc w:val="center"/>
              <w:rPr>
                <w:rFonts w:hAnsi="宋体"/>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752" w:type="dxa"/>
            <w:noWrap w:val="0"/>
            <w:vAlign w:val="center"/>
          </w:tcPr>
          <w:p>
            <w:pPr>
              <w:pStyle w:val="117"/>
              <w:jc w:val="center"/>
              <w:rPr>
                <w:rFonts w:hAnsi="宋体"/>
                <w:color w:val="auto"/>
                <w:sz w:val="21"/>
                <w:szCs w:val="21"/>
                <w:highlight w:val="none"/>
              </w:rPr>
            </w:pPr>
          </w:p>
        </w:tc>
        <w:tc>
          <w:tcPr>
            <w:tcW w:w="1816" w:type="dxa"/>
            <w:noWrap w:val="0"/>
            <w:vAlign w:val="center"/>
          </w:tcPr>
          <w:p>
            <w:pPr>
              <w:pStyle w:val="117"/>
              <w:jc w:val="center"/>
              <w:rPr>
                <w:rFonts w:hAnsi="宋体"/>
                <w:color w:val="auto"/>
                <w:sz w:val="21"/>
                <w:szCs w:val="21"/>
                <w:highlight w:val="none"/>
              </w:rPr>
            </w:pPr>
          </w:p>
        </w:tc>
        <w:tc>
          <w:tcPr>
            <w:tcW w:w="1211" w:type="dxa"/>
            <w:noWrap w:val="0"/>
            <w:vAlign w:val="top"/>
          </w:tcPr>
          <w:p>
            <w:pPr>
              <w:pStyle w:val="117"/>
              <w:jc w:val="center"/>
              <w:rPr>
                <w:rFonts w:hAnsi="宋体"/>
                <w:color w:val="auto"/>
                <w:sz w:val="21"/>
                <w:szCs w:val="21"/>
                <w:highlight w:val="none"/>
              </w:rPr>
            </w:pPr>
          </w:p>
        </w:tc>
        <w:tc>
          <w:tcPr>
            <w:tcW w:w="1211" w:type="dxa"/>
            <w:noWrap w:val="0"/>
            <w:vAlign w:val="center"/>
          </w:tcPr>
          <w:p>
            <w:pPr>
              <w:pStyle w:val="117"/>
              <w:jc w:val="center"/>
              <w:rPr>
                <w:rFonts w:hAnsi="宋体"/>
                <w:color w:val="auto"/>
                <w:sz w:val="21"/>
                <w:szCs w:val="21"/>
                <w:highlight w:val="none"/>
              </w:rPr>
            </w:pPr>
          </w:p>
        </w:tc>
        <w:tc>
          <w:tcPr>
            <w:tcW w:w="679" w:type="dxa"/>
            <w:tcBorders>
              <w:right w:val="single" w:color="auto" w:sz="4" w:space="0"/>
            </w:tcBorders>
            <w:noWrap w:val="0"/>
            <w:vAlign w:val="center"/>
          </w:tcPr>
          <w:p>
            <w:pPr>
              <w:pStyle w:val="117"/>
              <w:jc w:val="center"/>
              <w:rPr>
                <w:rFonts w:hAnsi="宋体"/>
                <w:color w:val="auto"/>
                <w:sz w:val="21"/>
                <w:szCs w:val="21"/>
                <w:highlight w:val="none"/>
              </w:rPr>
            </w:pPr>
          </w:p>
        </w:tc>
        <w:tc>
          <w:tcPr>
            <w:tcW w:w="679" w:type="dxa"/>
            <w:tcBorders>
              <w:left w:val="single" w:color="auto" w:sz="4" w:space="0"/>
            </w:tcBorders>
            <w:noWrap w:val="0"/>
            <w:vAlign w:val="center"/>
          </w:tcPr>
          <w:p>
            <w:pPr>
              <w:pStyle w:val="117"/>
              <w:jc w:val="center"/>
              <w:rPr>
                <w:rFonts w:hAnsi="宋体"/>
                <w:color w:val="auto"/>
                <w:sz w:val="21"/>
                <w:szCs w:val="21"/>
                <w:highlight w:val="none"/>
              </w:rPr>
            </w:pPr>
          </w:p>
        </w:tc>
        <w:tc>
          <w:tcPr>
            <w:tcW w:w="2401" w:type="dxa"/>
            <w:noWrap w:val="0"/>
            <w:vAlign w:val="center"/>
          </w:tcPr>
          <w:p>
            <w:pPr>
              <w:pStyle w:val="117"/>
              <w:jc w:val="center"/>
              <w:rPr>
                <w:rFonts w:hAnsi="宋体"/>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752" w:type="dxa"/>
            <w:noWrap w:val="0"/>
            <w:vAlign w:val="center"/>
          </w:tcPr>
          <w:p>
            <w:pPr>
              <w:pStyle w:val="117"/>
              <w:jc w:val="center"/>
              <w:rPr>
                <w:rFonts w:hAnsi="宋体"/>
                <w:color w:val="auto"/>
                <w:sz w:val="21"/>
                <w:szCs w:val="21"/>
                <w:highlight w:val="none"/>
              </w:rPr>
            </w:pPr>
          </w:p>
        </w:tc>
        <w:tc>
          <w:tcPr>
            <w:tcW w:w="1816" w:type="dxa"/>
            <w:noWrap w:val="0"/>
            <w:vAlign w:val="center"/>
          </w:tcPr>
          <w:p>
            <w:pPr>
              <w:pStyle w:val="117"/>
              <w:jc w:val="center"/>
              <w:rPr>
                <w:rFonts w:hAnsi="宋体"/>
                <w:color w:val="auto"/>
                <w:sz w:val="21"/>
                <w:szCs w:val="21"/>
                <w:highlight w:val="none"/>
              </w:rPr>
            </w:pPr>
          </w:p>
        </w:tc>
        <w:tc>
          <w:tcPr>
            <w:tcW w:w="1211" w:type="dxa"/>
            <w:noWrap w:val="0"/>
            <w:vAlign w:val="top"/>
          </w:tcPr>
          <w:p>
            <w:pPr>
              <w:pStyle w:val="117"/>
              <w:jc w:val="center"/>
              <w:rPr>
                <w:rFonts w:hAnsi="宋体"/>
                <w:color w:val="auto"/>
                <w:sz w:val="21"/>
                <w:szCs w:val="21"/>
                <w:highlight w:val="none"/>
              </w:rPr>
            </w:pPr>
          </w:p>
        </w:tc>
        <w:tc>
          <w:tcPr>
            <w:tcW w:w="1211" w:type="dxa"/>
            <w:noWrap w:val="0"/>
            <w:vAlign w:val="center"/>
          </w:tcPr>
          <w:p>
            <w:pPr>
              <w:pStyle w:val="117"/>
              <w:jc w:val="center"/>
              <w:rPr>
                <w:rFonts w:hAnsi="宋体"/>
                <w:color w:val="auto"/>
                <w:sz w:val="21"/>
                <w:szCs w:val="21"/>
                <w:highlight w:val="none"/>
              </w:rPr>
            </w:pPr>
          </w:p>
        </w:tc>
        <w:tc>
          <w:tcPr>
            <w:tcW w:w="679" w:type="dxa"/>
            <w:tcBorders>
              <w:right w:val="single" w:color="auto" w:sz="4" w:space="0"/>
            </w:tcBorders>
            <w:noWrap w:val="0"/>
            <w:vAlign w:val="center"/>
          </w:tcPr>
          <w:p>
            <w:pPr>
              <w:pStyle w:val="117"/>
              <w:jc w:val="center"/>
              <w:rPr>
                <w:rFonts w:hAnsi="宋体"/>
                <w:color w:val="auto"/>
                <w:sz w:val="21"/>
                <w:szCs w:val="21"/>
                <w:highlight w:val="none"/>
              </w:rPr>
            </w:pPr>
          </w:p>
        </w:tc>
        <w:tc>
          <w:tcPr>
            <w:tcW w:w="679" w:type="dxa"/>
            <w:tcBorders>
              <w:left w:val="single" w:color="auto" w:sz="4" w:space="0"/>
            </w:tcBorders>
            <w:noWrap w:val="0"/>
            <w:vAlign w:val="center"/>
          </w:tcPr>
          <w:p>
            <w:pPr>
              <w:pStyle w:val="117"/>
              <w:jc w:val="center"/>
              <w:rPr>
                <w:rFonts w:hAnsi="宋体"/>
                <w:color w:val="auto"/>
                <w:sz w:val="21"/>
                <w:szCs w:val="21"/>
                <w:highlight w:val="none"/>
              </w:rPr>
            </w:pPr>
          </w:p>
        </w:tc>
        <w:tc>
          <w:tcPr>
            <w:tcW w:w="2401" w:type="dxa"/>
            <w:noWrap w:val="0"/>
            <w:vAlign w:val="center"/>
          </w:tcPr>
          <w:p>
            <w:pPr>
              <w:pStyle w:val="117"/>
              <w:jc w:val="center"/>
              <w:rPr>
                <w:rFonts w:hAnsi="宋体"/>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752" w:type="dxa"/>
            <w:noWrap w:val="0"/>
            <w:vAlign w:val="center"/>
          </w:tcPr>
          <w:p>
            <w:pPr>
              <w:pStyle w:val="117"/>
              <w:jc w:val="center"/>
              <w:rPr>
                <w:rFonts w:hAnsi="宋体"/>
                <w:color w:val="auto"/>
                <w:sz w:val="21"/>
                <w:szCs w:val="21"/>
                <w:highlight w:val="none"/>
              </w:rPr>
            </w:pPr>
          </w:p>
        </w:tc>
        <w:tc>
          <w:tcPr>
            <w:tcW w:w="1816" w:type="dxa"/>
            <w:noWrap w:val="0"/>
            <w:vAlign w:val="center"/>
          </w:tcPr>
          <w:p>
            <w:pPr>
              <w:pStyle w:val="117"/>
              <w:jc w:val="center"/>
              <w:rPr>
                <w:rFonts w:hAnsi="宋体"/>
                <w:color w:val="auto"/>
                <w:sz w:val="21"/>
                <w:szCs w:val="21"/>
                <w:highlight w:val="none"/>
              </w:rPr>
            </w:pPr>
          </w:p>
        </w:tc>
        <w:tc>
          <w:tcPr>
            <w:tcW w:w="1211" w:type="dxa"/>
            <w:noWrap w:val="0"/>
            <w:vAlign w:val="top"/>
          </w:tcPr>
          <w:p>
            <w:pPr>
              <w:pStyle w:val="117"/>
              <w:jc w:val="center"/>
              <w:rPr>
                <w:rFonts w:hAnsi="宋体"/>
                <w:color w:val="auto"/>
                <w:sz w:val="21"/>
                <w:szCs w:val="21"/>
                <w:highlight w:val="none"/>
              </w:rPr>
            </w:pPr>
          </w:p>
        </w:tc>
        <w:tc>
          <w:tcPr>
            <w:tcW w:w="1211" w:type="dxa"/>
            <w:noWrap w:val="0"/>
            <w:vAlign w:val="center"/>
          </w:tcPr>
          <w:p>
            <w:pPr>
              <w:pStyle w:val="117"/>
              <w:jc w:val="center"/>
              <w:rPr>
                <w:rFonts w:hAnsi="宋体"/>
                <w:color w:val="auto"/>
                <w:sz w:val="21"/>
                <w:szCs w:val="21"/>
                <w:highlight w:val="none"/>
              </w:rPr>
            </w:pPr>
          </w:p>
        </w:tc>
        <w:tc>
          <w:tcPr>
            <w:tcW w:w="679" w:type="dxa"/>
            <w:tcBorders>
              <w:right w:val="single" w:color="auto" w:sz="4" w:space="0"/>
            </w:tcBorders>
            <w:noWrap w:val="0"/>
            <w:vAlign w:val="center"/>
          </w:tcPr>
          <w:p>
            <w:pPr>
              <w:pStyle w:val="117"/>
              <w:jc w:val="center"/>
              <w:rPr>
                <w:rFonts w:hAnsi="宋体"/>
                <w:color w:val="auto"/>
                <w:sz w:val="21"/>
                <w:szCs w:val="21"/>
                <w:highlight w:val="none"/>
              </w:rPr>
            </w:pPr>
          </w:p>
        </w:tc>
        <w:tc>
          <w:tcPr>
            <w:tcW w:w="679" w:type="dxa"/>
            <w:tcBorders>
              <w:left w:val="single" w:color="auto" w:sz="4" w:space="0"/>
            </w:tcBorders>
            <w:noWrap w:val="0"/>
            <w:vAlign w:val="center"/>
          </w:tcPr>
          <w:p>
            <w:pPr>
              <w:pStyle w:val="117"/>
              <w:jc w:val="center"/>
              <w:rPr>
                <w:rFonts w:hAnsi="宋体"/>
                <w:color w:val="auto"/>
                <w:sz w:val="21"/>
                <w:szCs w:val="21"/>
                <w:highlight w:val="none"/>
              </w:rPr>
            </w:pPr>
          </w:p>
        </w:tc>
        <w:tc>
          <w:tcPr>
            <w:tcW w:w="2401" w:type="dxa"/>
            <w:noWrap w:val="0"/>
            <w:vAlign w:val="center"/>
          </w:tcPr>
          <w:p>
            <w:pPr>
              <w:pStyle w:val="117"/>
              <w:jc w:val="center"/>
              <w:rPr>
                <w:rFonts w:hAnsi="宋体"/>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752" w:type="dxa"/>
            <w:noWrap w:val="0"/>
            <w:vAlign w:val="center"/>
          </w:tcPr>
          <w:p>
            <w:pPr>
              <w:pStyle w:val="117"/>
              <w:jc w:val="center"/>
              <w:rPr>
                <w:rFonts w:hAnsi="宋体"/>
                <w:color w:val="auto"/>
                <w:sz w:val="21"/>
                <w:szCs w:val="21"/>
                <w:highlight w:val="none"/>
              </w:rPr>
            </w:pPr>
          </w:p>
        </w:tc>
        <w:tc>
          <w:tcPr>
            <w:tcW w:w="1816" w:type="dxa"/>
            <w:noWrap w:val="0"/>
            <w:vAlign w:val="center"/>
          </w:tcPr>
          <w:p>
            <w:pPr>
              <w:pStyle w:val="117"/>
              <w:jc w:val="center"/>
              <w:rPr>
                <w:rFonts w:hAnsi="宋体"/>
                <w:color w:val="auto"/>
                <w:sz w:val="21"/>
                <w:szCs w:val="21"/>
                <w:highlight w:val="none"/>
              </w:rPr>
            </w:pPr>
          </w:p>
        </w:tc>
        <w:tc>
          <w:tcPr>
            <w:tcW w:w="1211" w:type="dxa"/>
            <w:noWrap w:val="0"/>
            <w:vAlign w:val="top"/>
          </w:tcPr>
          <w:p>
            <w:pPr>
              <w:pStyle w:val="117"/>
              <w:jc w:val="center"/>
              <w:rPr>
                <w:rFonts w:hAnsi="宋体"/>
                <w:color w:val="auto"/>
                <w:sz w:val="21"/>
                <w:szCs w:val="21"/>
                <w:highlight w:val="none"/>
              </w:rPr>
            </w:pPr>
          </w:p>
        </w:tc>
        <w:tc>
          <w:tcPr>
            <w:tcW w:w="1211" w:type="dxa"/>
            <w:noWrap w:val="0"/>
            <w:vAlign w:val="center"/>
          </w:tcPr>
          <w:p>
            <w:pPr>
              <w:pStyle w:val="117"/>
              <w:jc w:val="center"/>
              <w:rPr>
                <w:rFonts w:hAnsi="宋体"/>
                <w:color w:val="auto"/>
                <w:sz w:val="21"/>
                <w:szCs w:val="21"/>
                <w:highlight w:val="none"/>
              </w:rPr>
            </w:pPr>
          </w:p>
        </w:tc>
        <w:tc>
          <w:tcPr>
            <w:tcW w:w="679" w:type="dxa"/>
            <w:tcBorders>
              <w:right w:val="single" w:color="auto" w:sz="4" w:space="0"/>
            </w:tcBorders>
            <w:noWrap w:val="0"/>
            <w:vAlign w:val="center"/>
          </w:tcPr>
          <w:p>
            <w:pPr>
              <w:pStyle w:val="117"/>
              <w:jc w:val="center"/>
              <w:rPr>
                <w:rFonts w:hAnsi="宋体"/>
                <w:color w:val="auto"/>
                <w:sz w:val="21"/>
                <w:szCs w:val="21"/>
                <w:highlight w:val="none"/>
              </w:rPr>
            </w:pPr>
          </w:p>
        </w:tc>
        <w:tc>
          <w:tcPr>
            <w:tcW w:w="679" w:type="dxa"/>
            <w:tcBorders>
              <w:left w:val="single" w:color="auto" w:sz="4" w:space="0"/>
            </w:tcBorders>
            <w:noWrap w:val="0"/>
            <w:vAlign w:val="center"/>
          </w:tcPr>
          <w:p>
            <w:pPr>
              <w:pStyle w:val="117"/>
              <w:jc w:val="center"/>
              <w:rPr>
                <w:rFonts w:hAnsi="宋体"/>
                <w:color w:val="auto"/>
                <w:sz w:val="21"/>
                <w:szCs w:val="21"/>
                <w:highlight w:val="none"/>
              </w:rPr>
            </w:pPr>
          </w:p>
        </w:tc>
        <w:tc>
          <w:tcPr>
            <w:tcW w:w="2401" w:type="dxa"/>
            <w:noWrap w:val="0"/>
            <w:vAlign w:val="center"/>
          </w:tcPr>
          <w:p>
            <w:pPr>
              <w:pStyle w:val="117"/>
              <w:jc w:val="center"/>
              <w:rPr>
                <w:rFonts w:hAnsi="宋体"/>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752" w:type="dxa"/>
            <w:noWrap w:val="0"/>
            <w:vAlign w:val="center"/>
          </w:tcPr>
          <w:p>
            <w:pPr>
              <w:pStyle w:val="117"/>
              <w:jc w:val="center"/>
              <w:rPr>
                <w:rFonts w:hAnsi="宋体"/>
                <w:color w:val="auto"/>
                <w:sz w:val="21"/>
                <w:szCs w:val="21"/>
                <w:highlight w:val="none"/>
              </w:rPr>
            </w:pPr>
          </w:p>
        </w:tc>
        <w:tc>
          <w:tcPr>
            <w:tcW w:w="1816" w:type="dxa"/>
            <w:noWrap w:val="0"/>
            <w:vAlign w:val="center"/>
          </w:tcPr>
          <w:p>
            <w:pPr>
              <w:pStyle w:val="117"/>
              <w:jc w:val="center"/>
              <w:rPr>
                <w:rFonts w:hAnsi="宋体"/>
                <w:color w:val="auto"/>
                <w:sz w:val="21"/>
                <w:szCs w:val="21"/>
                <w:highlight w:val="none"/>
              </w:rPr>
            </w:pPr>
          </w:p>
        </w:tc>
        <w:tc>
          <w:tcPr>
            <w:tcW w:w="1211" w:type="dxa"/>
            <w:noWrap w:val="0"/>
            <w:vAlign w:val="top"/>
          </w:tcPr>
          <w:p>
            <w:pPr>
              <w:pStyle w:val="117"/>
              <w:jc w:val="center"/>
              <w:rPr>
                <w:rFonts w:hAnsi="宋体"/>
                <w:color w:val="auto"/>
                <w:sz w:val="21"/>
                <w:szCs w:val="21"/>
                <w:highlight w:val="none"/>
              </w:rPr>
            </w:pPr>
          </w:p>
        </w:tc>
        <w:tc>
          <w:tcPr>
            <w:tcW w:w="1211" w:type="dxa"/>
            <w:noWrap w:val="0"/>
            <w:vAlign w:val="center"/>
          </w:tcPr>
          <w:p>
            <w:pPr>
              <w:pStyle w:val="117"/>
              <w:jc w:val="center"/>
              <w:rPr>
                <w:rFonts w:hAnsi="宋体"/>
                <w:color w:val="auto"/>
                <w:sz w:val="21"/>
                <w:szCs w:val="21"/>
                <w:highlight w:val="none"/>
              </w:rPr>
            </w:pPr>
          </w:p>
        </w:tc>
        <w:tc>
          <w:tcPr>
            <w:tcW w:w="679" w:type="dxa"/>
            <w:tcBorders>
              <w:right w:val="single" w:color="auto" w:sz="4" w:space="0"/>
            </w:tcBorders>
            <w:noWrap w:val="0"/>
            <w:vAlign w:val="center"/>
          </w:tcPr>
          <w:p>
            <w:pPr>
              <w:pStyle w:val="117"/>
              <w:jc w:val="center"/>
              <w:rPr>
                <w:rFonts w:hAnsi="宋体"/>
                <w:color w:val="auto"/>
                <w:sz w:val="21"/>
                <w:szCs w:val="21"/>
                <w:highlight w:val="none"/>
              </w:rPr>
            </w:pPr>
          </w:p>
        </w:tc>
        <w:tc>
          <w:tcPr>
            <w:tcW w:w="679" w:type="dxa"/>
            <w:tcBorders>
              <w:left w:val="single" w:color="auto" w:sz="4" w:space="0"/>
            </w:tcBorders>
            <w:noWrap w:val="0"/>
            <w:vAlign w:val="center"/>
          </w:tcPr>
          <w:p>
            <w:pPr>
              <w:pStyle w:val="117"/>
              <w:jc w:val="center"/>
              <w:rPr>
                <w:rFonts w:hAnsi="宋体"/>
                <w:color w:val="auto"/>
                <w:sz w:val="21"/>
                <w:szCs w:val="21"/>
                <w:highlight w:val="none"/>
              </w:rPr>
            </w:pPr>
          </w:p>
        </w:tc>
        <w:tc>
          <w:tcPr>
            <w:tcW w:w="2401" w:type="dxa"/>
            <w:noWrap w:val="0"/>
            <w:vAlign w:val="center"/>
          </w:tcPr>
          <w:p>
            <w:pPr>
              <w:pStyle w:val="117"/>
              <w:jc w:val="center"/>
              <w:rPr>
                <w:rFonts w:hAnsi="宋体"/>
                <w:color w:val="auto"/>
                <w:sz w:val="21"/>
                <w:szCs w:val="21"/>
                <w:highlight w:val="none"/>
              </w:rPr>
            </w:pPr>
          </w:p>
        </w:tc>
      </w:tr>
    </w:tbl>
    <w:p>
      <w:pPr>
        <w:snapToGrid w:val="0"/>
        <w:spacing w:before="50" w:after="50"/>
        <w:ind w:left="-23" w:leftChars="-11" w:right="-817" w:rightChars="-389" w:firstLine="420"/>
        <w:jc w:val="left"/>
        <w:rPr>
          <w:rFonts w:hint="eastAsia" w:hAnsi="宋体"/>
          <w:color w:val="auto"/>
          <w:szCs w:val="21"/>
          <w:highlight w:val="none"/>
        </w:rPr>
      </w:pPr>
    </w:p>
    <w:p>
      <w:pPr>
        <w:snapToGrid w:val="0"/>
        <w:spacing w:before="50" w:after="50"/>
        <w:ind w:left="-23" w:leftChars="-11" w:right="-817" w:rightChars="-389" w:firstLine="420"/>
        <w:jc w:val="left"/>
        <w:rPr>
          <w:rFonts w:hint="eastAsia" w:hAnsi="宋体"/>
          <w:color w:val="auto"/>
          <w:szCs w:val="21"/>
          <w:highlight w:val="none"/>
        </w:rPr>
      </w:pPr>
    </w:p>
    <w:p>
      <w:pPr>
        <w:snapToGrid w:val="0"/>
        <w:spacing w:before="50" w:after="50"/>
        <w:ind w:left="-23" w:leftChars="-11" w:right="-817" w:rightChars="-389" w:firstLine="420"/>
        <w:jc w:val="left"/>
        <w:rPr>
          <w:rFonts w:hAnsi="宋体"/>
          <w:color w:val="auto"/>
          <w:szCs w:val="21"/>
          <w:highlight w:val="none"/>
        </w:rPr>
      </w:pPr>
      <w:r>
        <w:rPr>
          <w:rFonts w:hint="eastAsia" w:hAnsi="宋体"/>
          <w:color w:val="auto"/>
          <w:szCs w:val="21"/>
          <w:highlight w:val="none"/>
        </w:rPr>
        <w:t>投标人（盖章）：</w:t>
      </w:r>
    </w:p>
    <w:p>
      <w:pPr>
        <w:snapToGrid w:val="0"/>
        <w:spacing w:before="50" w:after="50"/>
        <w:ind w:left="-23" w:leftChars="-11" w:right="-817" w:rightChars="-389" w:firstLine="420"/>
        <w:jc w:val="left"/>
        <w:rPr>
          <w:rFonts w:hAnsi="宋体"/>
          <w:color w:val="auto"/>
          <w:szCs w:val="21"/>
          <w:highlight w:val="none"/>
        </w:rPr>
      </w:pPr>
      <w:r>
        <w:rPr>
          <w:rFonts w:hint="eastAsia" w:hAnsi="宋体"/>
          <w:color w:val="auto"/>
          <w:szCs w:val="21"/>
          <w:highlight w:val="none"/>
        </w:rPr>
        <w:t>法定代表人或授权代表（签字或盖章）：</w:t>
      </w:r>
    </w:p>
    <w:p>
      <w:pPr>
        <w:snapToGrid w:val="0"/>
        <w:spacing w:before="50" w:after="50"/>
        <w:ind w:left="-23" w:leftChars="-11" w:right="-817" w:rightChars="-389" w:firstLine="420"/>
        <w:jc w:val="left"/>
        <w:rPr>
          <w:rFonts w:hAnsi="宋体"/>
          <w:color w:val="auto"/>
          <w:szCs w:val="21"/>
          <w:highlight w:val="none"/>
        </w:rPr>
      </w:pPr>
    </w:p>
    <w:p>
      <w:pPr>
        <w:rPr>
          <w:color w:val="auto"/>
          <w:highlight w:val="none"/>
        </w:rPr>
      </w:pPr>
      <w:r>
        <w:rPr>
          <w:rFonts w:hint="eastAsia" w:hAnsi="宋体"/>
          <w:color w:val="auto"/>
          <w:szCs w:val="21"/>
          <w:highlight w:val="none"/>
        </w:rPr>
        <w:t>日期：  年   月   日</w:t>
      </w:r>
      <w:r>
        <w:rPr>
          <w:rFonts w:hint="eastAsia"/>
          <w:color w:val="auto"/>
          <w:highlight w:val="none"/>
          <w:lang w:eastAsia="zh-CN"/>
        </w:rPr>
        <w:br w:type="page"/>
      </w:r>
    </w:p>
    <w:p>
      <w:pPr>
        <w:pStyle w:val="8"/>
        <w:rPr>
          <w:color w:val="auto"/>
          <w:highlight w:val="none"/>
        </w:rPr>
      </w:pPr>
      <w:r>
        <w:rPr>
          <w:rFonts w:hint="eastAsia"/>
          <w:color w:val="auto"/>
          <w:highlight w:val="none"/>
          <w:lang w:eastAsia="zh-CN"/>
        </w:rPr>
        <w:t>业绩一览</w:t>
      </w:r>
      <w:r>
        <w:rPr>
          <w:rFonts w:hint="eastAsia"/>
          <w:color w:val="auto"/>
          <w:highlight w:val="none"/>
        </w:rPr>
        <w:t>表</w:t>
      </w:r>
    </w:p>
    <w:p>
      <w:pPr>
        <w:pStyle w:val="14"/>
        <w:spacing w:line="440" w:lineRule="atLeast"/>
        <w:jc w:val="center"/>
        <w:rPr>
          <w:rFonts w:hint="eastAsia" w:ascii="宋体" w:hAnsi="宋体" w:eastAsia="宋体" w:cs="Verdana"/>
          <w:b w:val="0"/>
          <w:bCs/>
          <w:color w:val="auto"/>
          <w:sz w:val="36"/>
          <w:szCs w:val="36"/>
          <w:highlight w:val="none"/>
          <w:lang w:eastAsia="zh-CN"/>
        </w:rPr>
      </w:pPr>
      <w:r>
        <w:rPr>
          <w:rFonts w:ascii="宋体" w:hAnsi="宋体" w:eastAsia="宋体" w:cs="Verdana"/>
          <w:b w:val="0"/>
          <w:bCs/>
          <w:color w:val="auto"/>
          <w:sz w:val="28"/>
          <w:szCs w:val="28"/>
          <w:highlight w:val="none"/>
        </w:rPr>
        <w:t>业绩</w:t>
      </w:r>
      <w:r>
        <w:rPr>
          <w:rFonts w:hint="eastAsia" w:ascii="宋体" w:hAnsi="宋体" w:eastAsia="宋体" w:cs="Verdana"/>
          <w:b w:val="0"/>
          <w:bCs/>
          <w:color w:val="auto"/>
          <w:sz w:val="28"/>
          <w:szCs w:val="28"/>
          <w:highlight w:val="none"/>
          <w:lang w:eastAsia="zh-CN"/>
        </w:rPr>
        <w:t>一览表</w:t>
      </w:r>
    </w:p>
    <w:p>
      <w:pPr>
        <w:pStyle w:val="14"/>
        <w:spacing w:line="440" w:lineRule="atLeast"/>
        <w:jc w:val="center"/>
        <w:rPr>
          <w:rFonts w:hint="default" w:ascii="宋体" w:hAnsi="宋体" w:eastAsia="宋体" w:cs="Verdana"/>
          <w:b w:val="0"/>
          <w:bCs/>
          <w:color w:val="auto"/>
          <w:sz w:val="36"/>
          <w:szCs w:val="36"/>
          <w:highlight w:val="none"/>
        </w:rPr>
      </w:pPr>
      <w:r>
        <w:rPr>
          <w:rFonts w:ascii="宋体" w:hAnsi="宋体" w:eastAsia="宋体" w:cs="等线 Light"/>
          <w:b w:val="0"/>
          <w:color w:val="auto"/>
          <w:sz w:val="22"/>
          <w:highlight w:val="none"/>
        </w:rPr>
        <w:t>（如有则提供）</w:t>
      </w:r>
    </w:p>
    <w:tbl>
      <w:tblPr>
        <w:tblStyle w:val="26"/>
        <w:tblW w:w="0" w:type="auto"/>
        <w:tblInd w:w="-22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1266"/>
        <w:gridCol w:w="1477"/>
        <w:gridCol w:w="1491"/>
        <w:gridCol w:w="1555"/>
        <w:gridCol w:w="1556"/>
        <w:gridCol w:w="15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6" w:hRule="atLeast"/>
        </w:trPr>
        <w:tc>
          <w:tcPr>
            <w:tcW w:w="758" w:type="dxa"/>
            <w:noWrap w:val="0"/>
            <w:vAlign w:val="top"/>
          </w:tcPr>
          <w:p>
            <w:pPr>
              <w:pStyle w:val="14"/>
              <w:adjustRightInd w:val="0"/>
              <w:snapToGrid w:val="0"/>
              <w:spacing w:line="440" w:lineRule="atLeast"/>
              <w:jc w:val="center"/>
              <w:rPr>
                <w:rFonts w:hint="default" w:ascii="宋体" w:hAnsi="宋体" w:eastAsia="宋体" w:cs="等线"/>
                <w:b w:val="0"/>
                <w:color w:val="auto"/>
                <w:sz w:val="22"/>
                <w:szCs w:val="22"/>
                <w:highlight w:val="none"/>
                <w:lang w:val="en-US" w:eastAsia="zh-CN"/>
              </w:rPr>
            </w:pPr>
            <w:r>
              <w:rPr>
                <w:rFonts w:ascii="宋体" w:hAnsi="宋体" w:eastAsia="宋体" w:cs="等线"/>
                <w:b w:val="0"/>
                <w:color w:val="auto"/>
                <w:sz w:val="22"/>
                <w:szCs w:val="22"/>
                <w:highlight w:val="none"/>
                <w:lang w:val="en-US" w:eastAsia="zh-CN"/>
              </w:rPr>
              <w:t>序号</w:t>
            </w:r>
          </w:p>
        </w:tc>
        <w:tc>
          <w:tcPr>
            <w:tcW w:w="1266" w:type="dxa"/>
            <w:tcBorders>
              <w:right w:val="single" w:color="000000" w:sz="4" w:space="0"/>
            </w:tcBorders>
            <w:noWrap w:val="0"/>
            <w:vAlign w:val="top"/>
          </w:tcPr>
          <w:p>
            <w:pPr>
              <w:pStyle w:val="14"/>
              <w:adjustRightInd w:val="0"/>
              <w:snapToGrid w:val="0"/>
              <w:spacing w:line="440" w:lineRule="atLeast"/>
              <w:jc w:val="center"/>
              <w:rPr>
                <w:rFonts w:hint="default" w:ascii="宋体" w:hAnsi="宋体" w:eastAsia="宋体" w:cs="等线"/>
                <w:b w:val="0"/>
                <w:color w:val="auto"/>
                <w:sz w:val="22"/>
                <w:szCs w:val="22"/>
                <w:highlight w:val="none"/>
                <w:lang w:val="en-US" w:eastAsia="zh-CN"/>
              </w:rPr>
            </w:pPr>
            <w:r>
              <w:rPr>
                <w:rFonts w:ascii="宋体" w:hAnsi="宋体" w:eastAsia="宋体" w:cs="等线"/>
                <w:b w:val="0"/>
                <w:color w:val="auto"/>
                <w:sz w:val="22"/>
                <w:szCs w:val="22"/>
                <w:highlight w:val="none"/>
                <w:lang w:val="en-US" w:eastAsia="zh-CN"/>
              </w:rPr>
              <w:t>签订时间</w:t>
            </w:r>
          </w:p>
        </w:tc>
        <w:tc>
          <w:tcPr>
            <w:tcW w:w="1477" w:type="dxa"/>
            <w:tcBorders>
              <w:left w:val="single" w:color="000000" w:sz="4" w:space="0"/>
            </w:tcBorders>
            <w:noWrap w:val="0"/>
            <w:vAlign w:val="top"/>
          </w:tcPr>
          <w:p>
            <w:pPr>
              <w:pStyle w:val="14"/>
              <w:adjustRightInd w:val="0"/>
              <w:snapToGrid w:val="0"/>
              <w:spacing w:line="440" w:lineRule="atLeast"/>
              <w:jc w:val="center"/>
              <w:rPr>
                <w:rFonts w:hint="default" w:ascii="宋体" w:hAnsi="宋体" w:eastAsia="宋体" w:cs="等线"/>
                <w:b w:val="0"/>
                <w:color w:val="auto"/>
                <w:sz w:val="22"/>
                <w:szCs w:val="22"/>
                <w:highlight w:val="none"/>
                <w:lang w:val="en-US" w:eastAsia="zh-CN"/>
              </w:rPr>
            </w:pPr>
            <w:r>
              <w:rPr>
                <w:rFonts w:ascii="宋体" w:hAnsi="宋体" w:eastAsia="宋体" w:cs="等线"/>
                <w:b w:val="0"/>
                <w:color w:val="auto"/>
                <w:sz w:val="22"/>
                <w:szCs w:val="22"/>
                <w:highlight w:val="none"/>
                <w:lang w:val="en-US" w:eastAsia="zh-CN"/>
              </w:rPr>
              <w:t>用户名称</w:t>
            </w:r>
          </w:p>
        </w:tc>
        <w:tc>
          <w:tcPr>
            <w:tcW w:w="1491" w:type="dxa"/>
            <w:noWrap w:val="0"/>
            <w:vAlign w:val="top"/>
          </w:tcPr>
          <w:p>
            <w:pPr>
              <w:pStyle w:val="14"/>
              <w:adjustRightInd w:val="0"/>
              <w:snapToGrid w:val="0"/>
              <w:spacing w:line="440" w:lineRule="atLeast"/>
              <w:jc w:val="center"/>
              <w:rPr>
                <w:rFonts w:hint="default" w:ascii="宋体" w:hAnsi="宋体" w:eastAsia="宋体" w:cs="等线"/>
                <w:b w:val="0"/>
                <w:color w:val="auto"/>
                <w:sz w:val="22"/>
                <w:szCs w:val="22"/>
                <w:highlight w:val="none"/>
                <w:lang w:val="en-US" w:eastAsia="zh-CN"/>
              </w:rPr>
            </w:pPr>
            <w:r>
              <w:rPr>
                <w:rFonts w:ascii="宋体" w:hAnsi="宋体" w:eastAsia="宋体" w:cs="等线"/>
                <w:b w:val="0"/>
                <w:color w:val="auto"/>
                <w:sz w:val="22"/>
                <w:szCs w:val="22"/>
                <w:highlight w:val="none"/>
                <w:lang w:val="en-US" w:eastAsia="zh-CN"/>
              </w:rPr>
              <w:t>合同金额</w:t>
            </w:r>
          </w:p>
        </w:tc>
        <w:tc>
          <w:tcPr>
            <w:tcW w:w="1555" w:type="dxa"/>
            <w:noWrap w:val="0"/>
            <w:vAlign w:val="top"/>
          </w:tcPr>
          <w:p>
            <w:pPr>
              <w:pStyle w:val="14"/>
              <w:adjustRightInd w:val="0"/>
              <w:snapToGrid w:val="0"/>
              <w:spacing w:line="440" w:lineRule="atLeast"/>
              <w:jc w:val="center"/>
              <w:rPr>
                <w:rFonts w:hint="default" w:ascii="宋体" w:hAnsi="宋体" w:eastAsia="宋体" w:cs="等线"/>
                <w:b w:val="0"/>
                <w:color w:val="auto"/>
                <w:sz w:val="22"/>
                <w:szCs w:val="22"/>
                <w:highlight w:val="none"/>
                <w:lang w:val="en-US" w:eastAsia="zh-CN"/>
              </w:rPr>
            </w:pPr>
            <w:r>
              <w:rPr>
                <w:rFonts w:ascii="宋体" w:hAnsi="宋体" w:eastAsia="宋体" w:cs="等线"/>
                <w:b w:val="0"/>
                <w:color w:val="auto"/>
                <w:sz w:val="22"/>
                <w:szCs w:val="22"/>
                <w:highlight w:val="none"/>
                <w:lang w:val="en-US" w:eastAsia="zh-CN"/>
              </w:rPr>
              <w:t>联系人</w:t>
            </w:r>
          </w:p>
        </w:tc>
        <w:tc>
          <w:tcPr>
            <w:tcW w:w="1556" w:type="dxa"/>
            <w:noWrap w:val="0"/>
            <w:vAlign w:val="top"/>
          </w:tcPr>
          <w:p>
            <w:pPr>
              <w:pStyle w:val="14"/>
              <w:adjustRightInd w:val="0"/>
              <w:snapToGrid w:val="0"/>
              <w:spacing w:line="440" w:lineRule="atLeast"/>
              <w:jc w:val="center"/>
              <w:rPr>
                <w:rFonts w:hint="default" w:ascii="宋体" w:hAnsi="宋体" w:eastAsia="宋体" w:cs="等线"/>
                <w:b w:val="0"/>
                <w:color w:val="auto"/>
                <w:sz w:val="22"/>
                <w:szCs w:val="22"/>
                <w:highlight w:val="none"/>
                <w:lang w:val="en-US" w:eastAsia="zh-CN"/>
              </w:rPr>
            </w:pPr>
            <w:r>
              <w:rPr>
                <w:rFonts w:ascii="宋体" w:hAnsi="宋体" w:eastAsia="宋体" w:cs="等线"/>
                <w:b w:val="0"/>
                <w:color w:val="auto"/>
                <w:sz w:val="22"/>
                <w:szCs w:val="22"/>
                <w:highlight w:val="none"/>
                <w:lang w:val="en-US" w:eastAsia="zh-CN"/>
              </w:rPr>
              <w:t>联系电话</w:t>
            </w:r>
          </w:p>
        </w:tc>
        <w:tc>
          <w:tcPr>
            <w:tcW w:w="1556" w:type="dxa"/>
            <w:noWrap w:val="0"/>
            <w:vAlign w:val="top"/>
          </w:tcPr>
          <w:p>
            <w:pPr>
              <w:pStyle w:val="14"/>
              <w:adjustRightInd w:val="0"/>
              <w:snapToGrid w:val="0"/>
              <w:spacing w:line="440" w:lineRule="atLeast"/>
              <w:jc w:val="center"/>
              <w:rPr>
                <w:rFonts w:hint="default" w:ascii="宋体" w:hAnsi="宋体" w:eastAsia="宋体" w:cs="等线"/>
                <w:b w:val="0"/>
                <w:color w:val="auto"/>
                <w:sz w:val="22"/>
                <w:szCs w:val="22"/>
                <w:highlight w:val="none"/>
                <w:lang w:val="en-US" w:eastAsia="zh-CN"/>
              </w:rPr>
            </w:pPr>
            <w:r>
              <w:rPr>
                <w:rFonts w:ascii="宋体" w:hAnsi="宋体" w:eastAsia="宋体" w:cs="等线"/>
                <w:b w:val="0"/>
                <w:color w:val="auto"/>
                <w:sz w:val="22"/>
                <w:szCs w:val="22"/>
                <w:highlight w:val="none"/>
                <w:lang w:val="en-US" w:eastAsia="zh-CN"/>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6" w:hRule="atLeast"/>
        </w:trPr>
        <w:tc>
          <w:tcPr>
            <w:tcW w:w="758"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266" w:type="dxa"/>
            <w:tcBorders>
              <w:right w:val="single" w:color="000000" w:sz="4" w:space="0"/>
            </w:tcBorders>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477" w:type="dxa"/>
            <w:tcBorders>
              <w:left w:val="single" w:color="000000" w:sz="4" w:space="0"/>
            </w:tcBorders>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491"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5"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6"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6"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6" w:hRule="atLeast"/>
        </w:trPr>
        <w:tc>
          <w:tcPr>
            <w:tcW w:w="758"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266" w:type="dxa"/>
            <w:tcBorders>
              <w:right w:val="single" w:color="000000" w:sz="4" w:space="0"/>
            </w:tcBorders>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477" w:type="dxa"/>
            <w:tcBorders>
              <w:left w:val="single" w:color="000000" w:sz="4" w:space="0"/>
            </w:tcBorders>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491"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5"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6"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6"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6" w:hRule="atLeast"/>
        </w:trPr>
        <w:tc>
          <w:tcPr>
            <w:tcW w:w="758"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266" w:type="dxa"/>
            <w:tcBorders>
              <w:right w:val="single" w:color="000000" w:sz="4" w:space="0"/>
            </w:tcBorders>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477" w:type="dxa"/>
            <w:tcBorders>
              <w:left w:val="single" w:color="000000" w:sz="4" w:space="0"/>
            </w:tcBorders>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491"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5"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6"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6"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6" w:hRule="atLeast"/>
        </w:trPr>
        <w:tc>
          <w:tcPr>
            <w:tcW w:w="758"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266" w:type="dxa"/>
            <w:tcBorders>
              <w:right w:val="single" w:color="000000" w:sz="4" w:space="0"/>
            </w:tcBorders>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477" w:type="dxa"/>
            <w:tcBorders>
              <w:left w:val="single" w:color="000000" w:sz="4" w:space="0"/>
            </w:tcBorders>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491"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5"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6"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6"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6" w:hRule="atLeast"/>
        </w:trPr>
        <w:tc>
          <w:tcPr>
            <w:tcW w:w="758"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266" w:type="dxa"/>
            <w:tcBorders>
              <w:right w:val="single" w:color="000000" w:sz="4" w:space="0"/>
            </w:tcBorders>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477" w:type="dxa"/>
            <w:tcBorders>
              <w:left w:val="single" w:color="000000" w:sz="4" w:space="0"/>
            </w:tcBorders>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491"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5"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6"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6"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6" w:hRule="atLeast"/>
        </w:trPr>
        <w:tc>
          <w:tcPr>
            <w:tcW w:w="758"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266" w:type="dxa"/>
            <w:tcBorders>
              <w:right w:val="single" w:color="000000" w:sz="4" w:space="0"/>
            </w:tcBorders>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477" w:type="dxa"/>
            <w:tcBorders>
              <w:left w:val="single" w:color="000000" w:sz="4" w:space="0"/>
            </w:tcBorders>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491"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5"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6"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6"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6" w:hRule="atLeast"/>
        </w:trPr>
        <w:tc>
          <w:tcPr>
            <w:tcW w:w="758"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266" w:type="dxa"/>
            <w:tcBorders>
              <w:right w:val="single" w:color="000000" w:sz="4" w:space="0"/>
            </w:tcBorders>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477" w:type="dxa"/>
            <w:tcBorders>
              <w:left w:val="single" w:color="000000" w:sz="4" w:space="0"/>
            </w:tcBorders>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491"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5"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6"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6"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6" w:hRule="atLeast"/>
        </w:trPr>
        <w:tc>
          <w:tcPr>
            <w:tcW w:w="758"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266" w:type="dxa"/>
            <w:tcBorders>
              <w:right w:val="single" w:color="000000" w:sz="4" w:space="0"/>
            </w:tcBorders>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477" w:type="dxa"/>
            <w:tcBorders>
              <w:left w:val="single" w:color="000000" w:sz="4" w:space="0"/>
            </w:tcBorders>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491"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5"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6"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6"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6" w:hRule="atLeast"/>
        </w:trPr>
        <w:tc>
          <w:tcPr>
            <w:tcW w:w="758"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266" w:type="dxa"/>
            <w:tcBorders>
              <w:right w:val="single" w:color="000000" w:sz="4" w:space="0"/>
            </w:tcBorders>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477" w:type="dxa"/>
            <w:tcBorders>
              <w:left w:val="single" w:color="000000" w:sz="4" w:space="0"/>
            </w:tcBorders>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491"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5"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6"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6"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6" w:hRule="atLeast"/>
        </w:trPr>
        <w:tc>
          <w:tcPr>
            <w:tcW w:w="758"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266" w:type="dxa"/>
            <w:tcBorders>
              <w:right w:val="single" w:color="000000" w:sz="4" w:space="0"/>
            </w:tcBorders>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477" w:type="dxa"/>
            <w:tcBorders>
              <w:left w:val="single" w:color="000000" w:sz="4" w:space="0"/>
            </w:tcBorders>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491"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5"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6"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6"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6" w:hRule="atLeast"/>
        </w:trPr>
        <w:tc>
          <w:tcPr>
            <w:tcW w:w="758"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266" w:type="dxa"/>
            <w:tcBorders>
              <w:right w:val="single" w:color="000000" w:sz="4" w:space="0"/>
            </w:tcBorders>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477" w:type="dxa"/>
            <w:tcBorders>
              <w:left w:val="single" w:color="000000" w:sz="4" w:space="0"/>
            </w:tcBorders>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491"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5"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6"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c>
          <w:tcPr>
            <w:tcW w:w="1556" w:type="dxa"/>
            <w:noWrap w:val="0"/>
            <w:vAlign w:val="top"/>
          </w:tcPr>
          <w:p>
            <w:pPr>
              <w:pStyle w:val="14"/>
              <w:adjustRightInd w:val="0"/>
              <w:snapToGrid w:val="0"/>
              <w:spacing w:line="440" w:lineRule="atLeast"/>
              <w:rPr>
                <w:rFonts w:hint="default" w:ascii="宋体" w:hAnsi="宋体" w:eastAsia="宋体" w:cs="等线"/>
                <w:color w:val="auto"/>
                <w:sz w:val="22"/>
                <w:szCs w:val="22"/>
                <w:highlight w:val="none"/>
                <w:lang w:val="en-US" w:eastAsia="zh-CN"/>
              </w:rPr>
            </w:pPr>
          </w:p>
        </w:tc>
      </w:tr>
    </w:tbl>
    <w:p>
      <w:pPr>
        <w:rPr>
          <w:rFonts w:ascii="宋体" w:hAnsi="宋体" w:eastAsia="宋体"/>
          <w:color w:val="auto"/>
          <w:sz w:val="22"/>
          <w:highlight w:val="none"/>
        </w:rPr>
      </w:pPr>
      <w:r>
        <w:rPr>
          <w:rFonts w:ascii="宋体" w:hAnsi="宋体" w:eastAsia="宋体"/>
          <w:color w:val="auto"/>
          <w:sz w:val="22"/>
          <w:highlight w:val="none"/>
        </w:rPr>
        <w:t>说明：表后提供相关</w:t>
      </w:r>
      <w:r>
        <w:rPr>
          <w:rFonts w:hint="eastAsia" w:hAnsi="宋体"/>
          <w:color w:val="auto"/>
          <w:sz w:val="22"/>
          <w:highlight w:val="none"/>
          <w:lang w:eastAsia="zh-CN"/>
        </w:rPr>
        <w:t>业绩证明</w:t>
      </w:r>
      <w:r>
        <w:rPr>
          <w:rFonts w:ascii="宋体" w:hAnsi="宋体" w:eastAsia="宋体"/>
          <w:color w:val="auto"/>
          <w:sz w:val="22"/>
          <w:highlight w:val="none"/>
        </w:rPr>
        <w:t>材料</w:t>
      </w:r>
      <w:r>
        <w:rPr>
          <w:rFonts w:hAnsi="宋体"/>
          <w:color w:val="auto"/>
          <w:szCs w:val="21"/>
          <w:highlight w:val="none"/>
        </w:rPr>
        <w:t>等</w:t>
      </w:r>
      <w:r>
        <w:rPr>
          <w:rFonts w:hint="eastAsia" w:hAnsi="宋体"/>
          <w:color w:val="auto"/>
          <w:szCs w:val="21"/>
          <w:highlight w:val="none"/>
          <w:lang w:eastAsia="zh-CN"/>
        </w:rPr>
        <w:t>复印件</w:t>
      </w:r>
      <w:r>
        <w:rPr>
          <w:rFonts w:hAnsi="宋体"/>
          <w:color w:val="auto"/>
          <w:szCs w:val="21"/>
          <w:highlight w:val="none"/>
        </w:rPr>
        <w:t>（加盖公章）</w:t>
      </w:r>
      <w:r>
        <w:rPr>
          <w:rFonts w:ascii="宋体" w:hAnsi="宋体" w:eastAsia="宋体"/>
          <w:color w:val="auto"/>
          <w:sz w:val="22"/>
          <w:highlight w:val="none"/>
        </w:rPr>
        <w:t>。</w:t>
      </w:r>
    </w:p>
    <w:p>
      <w:pPr>
        <w:rPr>
          <w:rFonts w:ascii="宋体" w:hAnsi="宋体" w:eastAsia="宋体"/>
          <w:color w:val="auto"/>
          <w:sz w:val="22"/>
          <w:highlight w:val="none"/>
        </w:rPr>
      </w:pPr>
    </w:p>
    <w:p>
      <w:pPr>
        <w:ind w:firstLine="420"/>
        <w:jc w:val="right"/>
        <w:rPr>
          <w:rFonts w:hint="eastAsia" w:hAnsi="宋体"/>
          <w:color w:val="auto"/>
          <w:szCs w:val="21"/>
          <w:highlight w:val="none"/>
        </w:rPr>
      </w:pPr>
    </w:p>
    <w:p>
      <w:pPr>
        <w:snapToGrid w:val="0"/>
        <w:spacing w:before="50" w:after="50"/>
        <w:ind w:left="-23" w:leftChars="-11" w:right="-817" w:rightChars="-389" w:firstLine="420"/>
        <w:jc w:val="left"/>
        <w:rPr>
          <w:rFonts w:hAnsi="宋体"/>
          <w:color w:val="auto"/>
          <w:szCs w:val="21"/>
          <w:highlight w:val="none"/>
        </w:rPr>
      </w:pPr>
      <w:r>
        <w:rPr>
          <w:rFonts w:hint="eastAsia" w:hAnsi="宋体"/>
          <w:color w:val="auto"/>
          <w:szCs w:val="21"/>
          <w:highlight w:val="none"/>
        </w:rPr>
        <w:t>投标人（盖章）：</w:t>
      </w:r>
    </w:p>
    <w:p>
      <w:pPr>
        <w:snapToGrid w:val="0"/>
        <w:spacing w:before="50" w:after="50"/>
        <w:ind w:left="-23" w:leftChars="-11" w:right="-817" w:rightChars="-389" w:firstLine="420"/>
        <w:jc w:val="left"/>
        <w:rPr>
          <w:rFonts w:hAnsi="宋体"/>
          <w:color w:val="auto"/>
          <w:szCs w:val="21"/>
          <w:highlight w:val="none"/>
        </w:rPr>
      </w:pPr>
      <w:r>
        <w:rPr>
          <w:rFonts w:hint="eastAsia" w:hAnsi="宋体"/>
          <w:color w:val="auto"/>
          <w:szCs w:val="21"/>
          <w:highlight w:val="none"/>
        </w:rPr>
        <w:t>法定代表人或授权代表（签字或盖章）：</w:t>
      </w:r>
    </w:p>
    <w:p>
      <w:pPr>
        <w:snapToGrid w:val="0"/>
        <w:spacing w:before="50" w:after="50"/>
        <w:ind w:left="-23" w:leftChars="-11" w:right="-817" w:rightChars="-389" w:firstLine="420"/>
        <w:jc w:val="left"/>
        <w:rPr>
          <w:rFonts w:hAnsi="宋体"/>
          <w:color w:val="auto"/>
          <w:szCs w:val="21"/>
          <w:highlight w:val="none"/>
        </w:rPr>
      </w:pPr>
    </w:p>
    <w:p>
      <w:pPr>
        <w:snapToGrid w:val="0"/>
        <w:spacing w:before="50" w:after="50"/>
        <w:ind w:firstLine="420"/>
        <w:jc w:val="left"/>
        <w:rPr>
          <w:rFonts w:hint="eastAsia" w:hAnsi="宋体"/>
          <w:color w:val="auto"/>
          <w:szCs w:val="21"/>
          <w:highlight w:val="none"/>
        </w:rPr>
      </w:pPr>
      <w:r>
        <w:rPr>
          <w:rFonts w:hint="eastAsia" w:hAnsi="宋体"/>
          <w:color w:val="auto"/>
          <w:szCs w:val="21"/>
          <w:highlight w:val="none"/>
        </w:rPr>
        <w:t>日期：  年   月   日</w:t>
      </w:r>
    </w:p>
    <w:p>
      <w:pPr>
        <w:rPr>
          <w:color w:val="auto"/>
          <w:highlight w:val="none"/>
        </w:rPr>
      </w:pPr>
      <w:r>
        <w:rPr>
          <w:rFonts w:hint="eastAsia"/>
          <w:color w:val="auto"/>
          <w:highlight w:val="none"/>
        </w:rPr>
        <w:br w:type="page"/>
      </w:r>
    </w:p>
    <w:p>
      <w:pPr>
        <w:pStyle w:val="8"/>
        <w:rPr>
          <w:color w:val="auto"/>
          <w:highlight w:val="none"/>
        </w:rPr>
      </w:pPr>
      <w:r>
        <w:rPr>
          <w:rFonts w:hint="eastAsia"/>
          <w:color w:val="auto"/>
          <w:highlight w:val="none"/>
          <w:lang w:eastAsia="zh-CN"/>
        </w:rPr>
        <w:t>商务技术偏离</w:t>
      </w:r>
      <w:r>
        <w:rPr>
          <w:rFonts w:hint="eastAsia"/>
          <w:color w:val="auto"/>
          <w:highlight w:val="none"/>
        </w:rPr>
        <w:t>表</w:t>
      </w:r>
    </w:p>
    <w:p>
      <w:pPr>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商务技术偏离表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ind w:left="0" w:leftChars="0"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3683" w:type="dxa"/>
            <w:noWrap w:val="0"/>
            <w:vAlign w:val="top"/>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招标文件章节及具体内容</w:t>
            </w:r>
          </w:p>
        </w:tc>
        <w:tc>
          <w:tcPr>
            <w:tcW w:w="3546" w:type="dxa"/>
            <w:noWrap w:val="0"/>
            <w:vAlign w:val="top"/>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采购</w:t>
            </w:r>
            <w:r>
              <w:rPr>
                <w:rFonts w:hint="eastAsia" w:ascii="宋体" w:hAnsi="宋体" w:eastAsia="宋体" w:cs="宋体"/>
                <w:b/>
                <w:bCs/>
                <w:color w:val="auto"/>
                <w:sz w:val="21"/>
                <w:szCs w:val="21"/>
                <w:highlight w:val="none"/>
              </w:rPr>
              <w:t>文件章节及具体内容</w:t>
            </w:r>
          </w:p>
        </w:tc>
        <w:tc>
          <w:tcPr>
            <w:tcW w:w="1276" w:type="dxa"/>
            <w:noWrap w:val="0"/>
            <w:vAlign w:val="top"/>
          </w:tcPr>
          <w:p>
            <w:pPr>
              <w:ind w:left="0" w:leftChars="0" w:firstLine="0" w:firstLineChars="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ind w:left="0" w:lef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3683" w:type="dxa"/>
            <w:noWrap w:val="0"/>
            <w:vAlign w:val="top"/>
          </w:tcPr>
          <w:p>
            <w:pPr>
              <w:jc w:val="center"/>
              <w:rPr>
                <w:rFonts w:hint="eastAsia" w:ascii="宋体" w:hAnsi="宋体" w:eastAsia="宋体" w:cs="宋体"/>
                <w:b/>
                <w:color w:val="auto"/>
                <w:kern w:val="0"/>
                <w:sz w:val="21"/>
                <w:szCs w:val="21"/>
                <w:highlight w:val="none"/>
              </w:rPr>
            </w:pPr>
          </w:p>
        </w:tc>
        <w:tc>
          <w:tcPr>
            <w:tcW w:w="3546" w:type="dxa"/>
            <w:noWrap w:val="0"/>
            <w:vAlign w:val="top"/>
          </w:tcPr>
          <w:p>
            <w:pPr>
              <w:jc w:val="center"/>
              <w:rPr>
                <w:rFonts w:hint="eastAsia" w:ascii="宋体" w:hAnsi="宋体" w:eastAsia="宋体" w:cs="宋体"/>
                <w:b/>
                <w:color w:val="auto"/>
                <w:kern w:val="0"/>
                <w:sz w:val="21"/>
                <w:szCs w:val="21"/>
                <w:highlight w:val="none"/>
              </w:rPr>
            </w:pPr>
          </w:p>
        </w:tc>
        <w:tc>
          <w:tcPr>
            <w:tcW w:w="1276" w:type="dxa"/>
            <w:noWrap w:val="0"/>
            <w:vAlign w:val="top"/>
          </w:tcPr>
          <w:p>
            <w:pPr>
              <w:jc w:val="center"/>
              <w:rPr>
                <w:rFonts w:hint="eastAsia" w:ascii="宋体" w:hAnsi="宋体" w:eastAsia="宋体" w:cs="宋体"/>
                <w:b/>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ind w:left="0" w:lef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3683" w:type="dxa"/>
            <w:noWrap w:val="0"/>
            <w:vAlign w:val="top"/>
          </w:tcPr>
          <w:p>
            <w:pPr>
              <w:jc w:val="center"/>
              <w:rPr>
                <w:rFonts w:hint="eastAsia" w:ascii="宋体" w:hAnsi="宋体" w:eastAsia="宋体" w:cs="宋体"/>
                <w:b/>
                <w:color w:val="auto"/>
                <w:kern w:val="0"/>
                <w:sz w:val="21"/>
                <w:szCs w:val="21"/>
                <w:highlight w:val="none"/>
              </w:rPr>
            </w:pPr>
          </w:p>
        </w:tc>
        <w:tc>
          <w:tcPr>
            <w:tcW w:w="3546" w:type="dxa"/>
            <w:noWrap w:val="0"/>
            <w:vAlign w:val="top"/>
          </w:tcPr>
          <w:p>
            <w:pPr>
              <w:jc w:val="center"/>
              <w:rPr>
                <w:rFonts w:hint="eastAsia" w:ascii="宋体" w:hAnsi="宋体" w:eastAsia="宋体" w:cs="宋体"/>
                <w:b/>
                <w:color w:val="auto"/>
                <w:kern w:val="0"/>
                <w:sz w:val="21"/>
                <w:szCs w:val="21"/>
                <w:highlight w:val="none"/>
              </w:rPr>
            </w:pPr>
          </w:p>
        </w:tc>
        <w:tc>
          <w:tcPr>
            <w:tcW w:w="1276" w:type="dxa"/>
            <w:noWrap w:val="0"/>
            <w:vAlign w:val="top"/>
          </w:tcPr>
          <w:p>
            <w:pPr>
              <w:jc w:val="center"/>
              <w:rPr>
                <w:rFonts w:hint="eastAsia" w:ascii="宋体" w:hAnsi="宋体" w:eastAsia="宋体" w:cs="宋体"/>
                <w:b/>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ind w:left="0" w:lef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tc>
        <w:tc>
          <w:tcPr>
            <w:tcW w:w="3683" w:type="dxa"/>
            <w:noWrap w:val="0"/>
            <w:vAlign w:val="top"/>
          </w:tcPr>
          <w:p>
            <w:pPr>
              <w:jc w:val="center"/>
              <w:rPr>
                <w:rFonts w:hint="eastAsia" w:ascii="宋体" w:hAnsi="宋体" w:eastAsia="宋体" w:cs="宋体"/>
                <w:b/>
                <w:color w:val="auto"/>
                <w:kern w:val="0"/>
                <w:sz w:val="21"/>
                <w:szCs w:val="21"/>
                <w:highlight w:val="none"/>
              </w:rPr>
            </w:pPr>
          </w:p>
        </w:tc>
        <w:tc>
          <w:tcPr>
            <w:tcW w:w="3546" w:type="dxa"/>
            <w:noWrap w:val="0"/>
            <w:vAlign w:val="top"/>
          </w:tcPr>
          <w:p>
            <w:pPr>
              <w:jc w:val="center"/>
              <w:rPr>
                <w:rFonts w:hint="eastAsia" w:ascii="宋体" w:hAnsi="宋体" w:eastAsia="宋体" w:cs="宋体"/>
                <w:b/>
                <w:color w:val="auto"/>
                <w:kern w:val="0"/>
                <w:sz w:val="21"/>
                <w:szCs w:val="21"/>
                <w:highlight w:val="none"/>
              </w:rPr>
            </w:pPr>
          </w:p>
        </w:tc>
        <w:tc>
          <w:tcPr>
            <w:tcW w:w="1276" w:type="dxa"/>
            <w:noWrap w:val="0"/>
            <w:vAlign w:val="top"/>
          </w:tcPr>
          <w:p>
            <w:pPr>
              <w:jc w:val="center"/>
              <w:rPr>
                <w:rFonts w:hint="eastAsia" w:ascii="宋体" w:hAnsi="宋体" w:eastAsia="宋体" w:cs="宋体"/>
                <w:b/>
                <w:color w:val="auto"/>
                <w:kern w:val="0"/>
                <w:sz w:val="21"/>
                <w:szCs w:val="21"/>
                <w:highlight w:val="none"/>
              </w:rPr>
            </w:pPr>
          </w:p>
        </w:tc>
      </w:tr>
    </w:tbl>
    <w:p>
      <w:pP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投标人保证：除商务技术偏离表列出的偏离外，投标人响应</w:t>
      </w:r>
      <w:r>
        <w:rPr>
          <w:rFonts w:hint="eastAsia" w:ascii="宋体" w:hAnsi="宋体" w:eastAsia="宋体" w:cs="宋体"/>
          <w:color w:val="auto"/>
          <w:kern w:val="0"/>
          <w:sz w:val="21"/>
          <w:szCs w:val="21"/>
          <w:highlight w:val="none"/>
          <w:lang w:eastAsia="zh-CN"/>
        </w:rPr>
        <w:t>采购</w:t>
      </w:r>
      <w:r>
        <w:rPr>
          <w:rFonts w:hint="eastAsia" w:ascii="宋体" w:hAnsi="宋体" w:eastAsia="宋体" w:cs="宋体"/>
          <w:color w:val="auto"/>
          <w:kern w:val="0"/>
          <w:sz w:val="21"/>
          <w:szCs w:val="21"/>
          <w:highlight w:val="none"/>
        </w:rPr>
        <w:t>文件的全部要求</w:t>
      </w:r>
      <w:r>
        <w:rPr>
          <w:rFonts w:hint="eastAsia" w:ascii="宋体" w:hAnsi="宋体" w:eastAsia="宋体" w:cs="宋体"/>
          <w:color w:val="auto"/>
          <w:kern w:val="0"/>
          <w:sz w:val="21"/>
          <w:szCs w:val="21"/>
          <w:highlight w:val="none"/>
          <w:lang w:eastAsia="zh-CN"/>
        </w:rPr>
        <w:t>。</w:t>
      </w:r>
    </w:p>
    <w:p>
      <w:pPr>
        <w:ind w:firstLine="420"/>
        <w:jc w:val="right"/>
        <w:rPr>
          <w:rFonts w:hint="eastAsia" w:hAnsi="宋体"/>
          <w:color w:val="auto"/>
          <w:szCs w:val="21"/>
          <w:highlight w:val="none"/>
        </w:rPr>
      </w:pPr>
    </w:p>
    <w:p>
      <w:pPr>
        <w:ind w:firstLine="420"/>
        <w:jc w:val="right"/>
        <w:rPr>
          <w:rFonts w:hint="eastAsia" w:hAnsi="宋体"/>
          <w:color w:val="auto"/>
          <w:szCs w:val="21"/>
          <w:highlight w:val="none"/>
        </w:rPr>
      </w:pPr>
    </w:p>
    <w:p>
      <w:pPr>
        <w:snapToGrid w:val="0"/>
        <w:spacing w:before="50" w:after="50"/>
        <w:ind w:left="-23" w:leftChars="-11" w:right="-817" w:rightChars="-389" w:firstLine="420"/>
        <w:jc w:val="left"/>
        <w:rPr>
          <w:rFonts w:hAnsi="宋体"/>
          <w:color w:val="auto"/>
          <w:szCs w:val="21"/>
          <w:highlight w:val="none"/>
        </w:rPr>
      </w:pPr>
      <w:r>
        <w:rPr>
          <w:rFonts w:hint="eastAsia" w:hAnsi="宋体"/>
          <w:color w:val="auto"/>
          <w:szCs w:val="21"/>
          <w:highlight w:val="none"/>
        </w:rPr>
        <w:t>投标人（盖章）：</w:t>
      </w:r>
    </w:p>
    <w:p>
      <w:pPr>
        <w:snapToGrid w:val="0"/>
        <w:spacing w:before="50" w:after="50"/>
        <w:ind w:left="-23" w:leftChars="-11" w:right="-817" w:rightChars="-389" w:firstLine="420"/>
        <w:jc w:val="left"/>
        <w:rPr>
          <w:rFonts w:hAnsi="宋体"/>
          <w:color w:val="auto"/>
          <w:szCs w:val="21"/>
          <w:highlight w:val="none"/>
        </w:rPr>
      </w:pPr>
      <w:r>
        <w:rPr>
          <w:rFonts w:hint="eastAsia" w:hAnsi="宋体"/>
          <w:color w:val="auto"/>
          <w:szCs w:val="21"/>
          <w:highlight w:val="none"/>
        </w:rPr>
        <w:t>法定代表人或授权代表（签字或盖章）：</w:t>
      </w:r>
    </w:p>
    <w:p>
      <w:pPr>
        <w:snapToGrid w:val="0"/>
        <w:spacing w:before="50" w:after="50"/>
        <w:ind w:left="-23" w:leftChars="-11" w:right="-817" w:rightChars="-389" w:firstLine="420"/>
        <w:jc w:val="left"/>
        <w:rPr>
          <w:rFonts w:hAnsi="宋体"/>
          <w:color w:val="auto"/>
          <w:szCs w:val="21"/>
          <w:highlight w:val="none"/>
        </w:rPr>
      </w:pPr>
    </w:p>
    <w:p>
      <w:pPr>
        <w:snapToGrid w:val="0"/>
        <w:spacing w:before="50" w:after="50"/>
        <w:ind w:firstLine="420"/>
        <w:jc w:val="left"/>
        <w:rPr>
          <w:rFonts w:hint="eastAsia" w:hAnsi="宋体"/>
          <w:color w:val="auto"/>
          <w:szCs w:val="21"/>
          <w:highlight w:val="none"/>
        </w:rPr>
      </w:pPr>
      <w:r>
        <w:rPr>
          <w:rFonts w:hint="eastAsia" w:hAnsi="宋体"/>
          <w:color w:val="auto"/>
          <w:szCs w:val="21"/>
          <w:highlight w:val="none"/>
        </w:rPr>
        <w:t>日期：  年   月   日</w:t>
      </w:r>
    </w:p>
    <w:p>
      <w:pPr>
        <w:pStyle w:val="3"/>
        <w:rPr>
          <w:rFonts w:hint="eastAsia"/>
          <w:color w:val="auto"/>
          <w:highlight w:val="none"/>
          <w:lang w:eastAsia="zh-CN"/>
        </w:rPr>
      </w:pPr>
    </w:p>
    <w:p>
      <w:pPr>
        <w:rPr>
          <w:color w:val="auto"/>
          <w:sz w:val="21"/>
          <w:szCs w:val="21"/>
          <w:highlight w:val="none"/>
        </w:rPr>
      </w:pPr>
      <w:r>
        <w:rPr>
          <w:color w:val="auto"/>
          <w:sz w:val="21"/>
          <w:szCs w:val="21"/>
          <w:highlight w:val="none"/>
        </w:rPr>
        <w:br w:type="page"/>
      </w:r>
    </w:p>
    <w:p>
      <w:pPr>
        <w:pStyle w:val="8"/>
        <w:rPr>
          <w:color w:val="auto"/>
          <w:highlight w:val="none"/>
        </w:rPr>
      </w:pPr>
      <w:r>
        <w:rPr>
          <w:rFonts w:hint="eastAsia"/>
          <w:color w:val="auto"/>
          <w:highlight w:val="none"/>
        </w:rPr>
        <w:t>开标一览表</w:t>
      </w:r>
    </w:p>
    <w:p>
      <w:pPr>
        <w:ind w:firstLine="420"/>
        <w:rPr>
          <w:color w:val="auto"/>
          <w:highlight w:val="none"/>
        </w:rPr>
      </w:pPr>
    </w:p>
    <w:p>
      <w:pPr>
        <w:autoSpaceDE w:val="0"/>
        <w:autoSpaceDN w:val="0"/>
        <w:adjustRightInd w:val="0"/>
        <w:ind w:firstLine="0" w:firstLineChars="0"/>
        <w:jc w:val="center"/>
        <w:rPr>
          <w:rFonts w:hAnsi="宋体"/>
          <w:b/>
          <w:bCs/>
          <w:color w:val="auto"/>
          <w:sz w:val="28"/>
          <w:szCs w:val="28"/>
          <w:highlight w:val="none"/>
        </w:rPr>
      </w:pPr>
      <w:r>
        <w:rPr>
          <w:rFonts w:hint="eastAsia" w:hAnsi="宋体"/>
          <w:b/>
          <w:bCs/>
          <w:color w:val="auto"/>
          <w:sz w:val="28"/>
          <w:szCs w:val="28"/>
          <w:highlight w:val="none"/>
        </w:rPr>
        <w:t>开标一览表</w:t>
      </w:r>
    </w:p>
    <w:p>
      <w:pPr>
        <w:snapToGrid w:val="0"/>
        <w:spacing w:before="50" w:after="50"/>
        <w:ind w:right="480" w:firstLine="199" w:firstLineChars="95"/>
        <w:rPr>
          <w:rFonts w:hAnsi="宋体"/>
          <w:color w:val="auto"/>
          <w:szCs w:val="21"/>
          <w:highlight w:val="none"/>
        </w:rPr>
      </w:pPr>
    </w:p>
    <w:tbl>
      <w:tblPr>
        <w:tblStyle w:val="26"/>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8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trPr>
        <w:tc>
          <w:tcPr>
            <w:tcW w:w="1584" w:type="dxa"/>
            <w:vAlign w:val="center"/>
          </w:tcPr>
          <w:p>
            <w:pPr>
              <w:pStyle w:val="47"/>
              <w:rPr>
                <w:bCs/>
                <w:color w:val="auto"/>
                <w:highlight w:val="none"/>
              </w:rPr>
            </w:pPr>
            <w:r>
              <w:rPr>
                <w:rFonts w:hint="eastAsia"/>
                <w:color w:val="auto"/>
                <w:highlight w:val="none"/>
              </w:rPr>
              <w:t>项目名称</w:t>
            </w:r>
          </w:p>
        </w:tc>
        <w:tc>
          <w:tcPr>
            <w:tcW w:w="8192" w:type="dxa"/>
            <w:vAlign w:val="center"/>
          </w:tcPr>
          <w:p>
            <w:pPr>
              <w:pStyle w:val="47"/>
              <w:rPr>
                <w:bCs/>
                <w:color w:val="auto"/>
                <w:highlight w:val="none"/>
              </w:rPr>
            </w:pPr>
            <w:r>
              <w:rPr>
                <w:bCs/>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trPr>
        <w:tc>
          <w:tcPr>
            <w:tcW w:w="1584" w:type="dxa"/>
            <w:vAlign w:val="center"/>
          </w:tcPr>
          <w:p>
            <w:pPr>
              <w:pStyle w:val="47"/>
              <w:rPr>
                <w:color w:val="auto"/>
                <w:highlight w:val="none"/>
              </w:rPr>
            </w:pPr>
            <w:r>
              <w:rPr>
                <w:rFonts w:hint="eastAsia"/>
                <w:color w:val="auto"/>
                <w:highlight w:val="none"/>
              </w:rPr>
              <w:t>项目编号</w:t>
            </w:r>
          </w:p>
        </w:tc>
        <w:tc>
          <w:tcPr>
            <w:tcW w:w="8192" w:type="dxa"/>
            <w:vAlign w:val="center"/>
          </w:tcPr>
          <w:p>
            <w:pPr>
              <w:pStyle w:val="47"/>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trPr>
        <w:tc>
          <w:tcPr>
            <w:tcW w:w="1584" w:type="dxa"/>
            <w:vAlign w:val="center"/>
          </w:tcPr>
          <w:p>
            <w:pPr>
              <w:pStyle w:val="47"/>
              <w:rPr>
                <w:color w:val="auto"/>
                <w:highlight w:val="none"/>
              </w:rPr>
            </w:pPr>
            <w:r>
              <w:rPr>
                <w:rFonts w:hint="eastAsia"/>
                <w:color w:val="auto"/>
                <w:highlight w:val="none"/>
              </w:rPr>
              <w:t>投标报价</w:t>
            </w:r>
          </w:p>
        </w:tc>
        <w:tc>
          <w:tcPr>
            <w:tcW w:w="8192" w:type="dxa"/>
            <w:vAlign w:val="center"/>
          </w:tcPr>
          <w:p>
            <w:pPr>
              <w:pStyle w:val="47"/>
              <w:rPr>
                <w:bCs/>
                <w:color w:val="auto"/>
                <w:highlight w:val="none"/>
              </w:rPr>
            </w:pPr>
            <w:r>
              <w:rPr>
                <w:rFonts w:hint="eastAsia"/>
                <w:bCs/>
                <w:color w:val="auto"/>
                <w:highlight w:val="none"/>
              </w:rPr>
              <w:t>（大写）人民币</w:t>
            </w:r>
            <w:r>
              <w:rPr>
                <w:bCs/>
                <w:color w:val="auto"/>
                <w:highlight w:val="none"/>
                <w:u w:val="single"/>
              </w:rPr>
              <w:t xml:space="preserve">                </w:t>
            </w:r>
            <w:r>
              <w:rPr>
                <w:rFonts w:hint="eastAsia"/>
                <w:bCs/>
                <w:color w:val="auto"/>
                <w:highlight w:val="none"/>
              </w:rPr>
              <w:t>元</w:t>
            </w:r>
          </w:p>
          <w:p>
            <w:pPr>
              <w:pStyle w:val="47"/>
              <w:rPr>
                <w:bCs/>
                <w:color w:val="auto"/>
                <w:highlight w:val="none"/>
              </w:rPr>
            </w:pPr>
            <w:r>
              <w:rPr>
                <w:rFonts w:hint="eastAsia"/>
                <w:bCs/>
                <w:color w:val="auto"/>
                <w:highlight w:val="none"/>
              </w:rPr>
              <w:t>（小写）人民币</w:t>
            </w:r>
            <w:r>
              <w:rPr>
                <w:bCs/>
                <w:color w:val="auto"/>
                <w:highlight w:val="none"/>
                <w:u w:val="single"/>
              </w:rPr>
              <w:t xml:space="preserve">                </w:t>
            </w:r>
            <w:r>
              <w:rPr>
                <w:rFonts w:hint="eastAsia"/>
                <w:bCs/>
                <w:color w:val="auto"/>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2" w:hRule="atLeast"/>
        </w:trPr>
        <w:tc>
          <w:tcPr>
            <w:tcW w:w="1584" w:type="dxa"/>
            <w:vAlign w:val="center"/>
          </w:tcPr>
          <w:p>
            <w:pPr>
              <w:pStyle w:val="47"/>
              <w:rPr>
                <w:rFonts w:hint="eastAsia" w:eastAsia="宋体"/>
                <w:color w:val="auto"/>
                <w:highlight w:val="none"/>
                <w:lang w:eastAsia="zh-CN"/>
              </w:rPr>
            </w:pPr>
            <w:r>
              <w:rPr>
                <w:rFonts w:hint="eastAsia"/>
                <w:color w:val="auto"/>
                <w:highlight w:val="none"/>
                <w:lang w:eastAsia="zh-CN"/>
              </w:rPr>
              <w:t>服务期</w:t>
            </w:r>
          </w:p>
        </w:tc>
        <w:tc>
          <w:tcPr>
            <w:tcW w:w="8192" w:type="dxa"/>
            <w:vAlign w:val="center"/>
          </w:tcPr>
          <w:p>
            <w:pPr>
              <w:pStyle w:val="47"/>
              <w:rPr>
                <w:rFonts w:hint="eastAsia"/>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9776" w:type="dxa"/>
            <w:gridSpan w:val="2"/>
            <w:vAlign w:val="center"/>
          </w:tcPr>
          <w:p>
            <w:pPr>
              <w:pStyle w:val="47"/>
              <w:rPr>
                <w:color w:val="auto"/>
                <w:sz w:val="28"/>
                <w:szCs w:val="28"/>
                <w:highlight w:val="none"/>
              </w:rPr>
            </w:pPr>
            <w:r>
              <w:rPr>
                <w:rFonts w:hint="eastAsia"/>
                <w:color w:val="auto"/>
                <w:highlight w:val="none"/>
              </w:rPr>
              <w:t>备注：详细内容见《投标报价明细表》</w:t>
            </w:r>
          </w:p>
        </w:tc>
      </w:tr>
    </w:tbl>
    <w:p>
      <w:pPr>
        <w:snapToGrid w:val="0"/>
        <w:spacing w:before="50" w:after="50"/>
        <w:ind w:firstLine="422"/>
        <w:jc w:val="left"/>
        <w:rPr>
          <w:rFonts w:hAnsi="宋体"/>
          <w:b/>
          <w:color w:val="auto"/>
          <w:szCs w:val="21"/>
          <w:highlight w:val="none"/>
        </w:rPr>
      </w:pPr>
    </w:p>
    <w:p>
      <w:pPr>
        <w:snapToGrid w:val="0"/>
        <w:spacing w:before="50" w:after="50"/>
        <w:ind w:firstLine="422"/>
        <w:jc w:val="left"/>
        <w:rPr>
          <w:rFonts w:hAnsi="宋体"/>
          <w:b/>
          <w:color w:val="auto"/>
          <w:szCs w:val="21"/>
          <w:highlight w:val="none"/>
        </w:rPr>
      </w:pPr>
    </w:p>
    <w:p>
      <w:pPr>
        <w:ind w:firstLine="0" w:firstLineChars="0"/>
        <w:jc w:val="left"/>
        <w:rPr>
          <w:rFonts w:hAnsi="宋体"/>
          <w:b/>
          <w:color w:val="auto"/>
          <w:szCs w:val="21"/>
          <w:highlight w:val="none"/>
        </w:rPr>
      </w:pPr>
      <w:r>
        <w:rPr>
          <w:rFonts w:hint="eastAsia" w:hAnsi="宋体"/>
          <w:b/>
          <w:color w:val="auto"/>
          <w:szCs w:val="21"/>
          <w:highlight w:val="none"/>
        </w:rPr>
        <w:t>注</w:t>
      </w:r>
      <w:r>
        <w:rPr>
          <w:rFonts w:hAnsi="宋体"/>
          <w:b/>
          <w:color w:val="auto"/>
          <w:szCs w:val="21"/>
          <w:highlight w:val="none"/>
        </w:rPr>
        <w:t>:1</w:t>
      </w:r>
      <w:r>
        <w:rPr>
          <w:rFonts w:hint="eastAsia" w:hAnsi="宋体"/>
          <w:b/>
          <w:color w:val="auto"/>
          <w:szCs w:val="21"/>
          <w:highlight w:val="none"/>
        </w:rPr>
        <w:t>、报价一经涂改，应在涂改处加盖单位公章或者由法定代表人或被授权人签字（或盖章），否则其投标作无效标处理；</w:t>
      </w:r>
    </w:p>
    <w:p>
      <w:pPr>
        <w:ind w:firstLine="0" w:firstLineChars="0"/>
        <w:jc w:val="left"/>
        <w:rPr>
          <w:rFonts w:hAnsi="宋体"/>
          <w:b/>
          <w:color w:val="auto"/>
          <w:szCs w:val="21"/>
          <w:highlight w:val="none"/>
        </w:rPr>
      </w:pPr>
      <w:r>
        <w:rPr>
          <w:rFonts w:hAnsi="宋体"/>
          <w:b/>
          <w:color w:val="auto"/>
          <w:szCs w:val="21"/>
          <w:highlight w:val="none"/>
        </w:rPr>
        <w:t>2</w:t>
      </w:r>
      <w:r>
        <w:rPr>
          <w:rFonts w:hint="eastAsia" w:hAnsi="宋体"/>
          <w:b/>
          <w:color w:val="auto"/>
          <w:szCs w:val="21"/>
          <w:highlight w:val="none"/>
        </w:rPr>
        <w:t>、以上报价应与“投标报价明细表”中的“投标总价”相一致。</w:t>
      </w:r>
    </w:p>
    <w:p>
      <w:pPr>
        <w:snapToGrid w:val="0"/>
        <w:spacing w:before="50" w:after="50"/>
        <w:ind w:left="-23" w:leftChars="-11" w:right="-817" w:rightChars="-389" w:firstLine="420"/>
        <w:jc w:val="right"/>
        <w:rPr>
          <w:rFonts w:hAnsi="宋体"/>
          <w:color w:val="auto"/>
          <w:szCs w:val="21"/>
          <w:highlight w:val="none"/>
        </w:rPr>
      </w:pPr>
    </w:p>
    <w:p>
      <w:pPr>
        <w:snapToGrid w:val="0"/>
        <w:spacing w:before="50" w:after="50"/>
        <w:ind w:left="-23" w:leftChars="-11" w:right="-817" w:rightChars="-389" w:firstLine="420"/>
        <w:jc w:val="right"/>
        <w:rPr>
          <w:rFonts w:hAnsi="宋体"/>
          <w:color w:val="auto"/>
          <w:szCs w:val="21"/>
          <w:highlight w:val="none"/>
        </w:rPr>
      </w:pPr>
    </w:p>
    <w:p>
      <w:pPr>
        <w:snapToGrid w:val="0"/>
        <w:spacing w:before="50" w:after="50"/>
        <w:ind w:left="-23" w:leftChars="-11" w:right="-817" w:rightChars="-389" w:firstLine="420"/>
        <w:jc w:val="center"/>
        <w:rPr>
          <w:rFonts w:hAnsi="宋体"/>
          <w:color w:val="auto"/>
          <w:szCs w:val="21"/>
          <w:highlight w:val="none"/>
        </w:rPr>
      </w:pPr>
    </w:p>
    <w:p>
      <w:pPr>
        <w:snapToGrid w:val="0"/>
        <w:spacing w:before="50" w:after="50"/>
        <w:ind w:left="-23" w:leftChars="-11" w:right="-817" w:rightChars="-389" w:firstLine="420"/>
        <w:jc w:val="left"/>
        <w:rPr>
          <w:rFonts w:hAnsi="宋体"/>
          <w:color w:val="auto"/>
          <w:szCs w:val="21"/>
          <w:highlight w:val="none"/>
        </w:rPr>
      </w:pPr>
      <w:r>
        <w:rPr>
          <w:rFonts w:hint="eastAsia" w:hAnsi="宋体"/>
          <w:color w:val="auto"/>
          <w:szCs w:val="21"/>
          <w:highlight w:val="none"/>
        </w:rPr>
        <w:t>投标人（盖章）：</w:t>
      </w:r>
    </w:p>
    <w:p>
      <w:pPr>
        <w:snapToGrid w:val="0"/>
        <w:spacing w:before="50" w:after="50"/>
        <w:ind w:left="-23" w:leftChars="-11" w:right="-817" w:rightChars="-389" w:firstLine="420"/>
        <w:jc w:val="left"/>
        <w:rPr>
          <w:rFonts w:hAnsi="宋体"/>
          <w:color w:val="auto"/>
          <w:szCs w:val="21"/>
          <w:highlight w:val="none"/>
        </w:rPr>
      </w:pPr>
      <w:r>
        <w:rPr>
          <w:rFonts w:hint="eastAsia" w:hAnsi="宋体"/>
          <w:color w:val="auto"/>
          <w:szCs w:val="21"/>
          <w:highlight w:val="none"/>
        </w:rPr>
        <w:t>法定代表人或授权代表（签字或盖章）：</w:t>
      </w:r>
    </w:p>
    <w:p>
      <w:pPr>
        <w:snapToGrid w:val="0"/>
        <w:spacing w:before="50" w:after="50"/>
        <w:ind w:left="-23" w:leftChars="-11" w:right="-817" w:rightChars="-389" w:firstLine="420"/>
        <w:jc w:val="left"/>
        <w:rPr>
          <w:rFonts w:hAnsi="宋体"/>
          <w:color w:val="auto"/>
          <w:szCs w:val="21"/>
          <w:highlight w:val="none"/>
        </w:rPr>
      </w:pPr>
    </w:p>
    <w:p>
      <w:pPr>
        <w:snapToGrid w:val="0"/>
        <w:spacing w:before="50" w:after="50"/>
        <w:ind w:firstLine="420"/>
        <w:jc w:val="left"/>
        <w:rPr>
          <w:rFonts w:hint="eastAsia" w:hAnsi="宋体"/>
          <w:color w:val="auto"/>
          <w:szCs w:val="21"/>
          <w:highlight w:val="none"/>
        </w:rPr>
      </w:pPr>
      <w:r>
        <w:rPr>
          <w:rFonts w:hint="eastAsia" w:hAnsi="宋体"/>
          <w:color w:val="auto"/>
          <w:szCs w:val="21"/>
          <w:highlight w:val="none"/>
        </w:rPr>
        <w:t>日期：  年   月   日</w:t>
      </w:r>
    </w:p>
    <w:p>
      <w:pPr>
        <w:rPr>
          <w:color w:val="auto"/>
          <w:highlight w:val="none"/>
        </w:rPr>
      </w:pPr>
      <w:r>
        <w:rPr>
          <w:rFonts w:hint="eastAsia" w:hAnsi="宋体"/>
          <w:color w:val="auto"/>
          <w:szCs w:val="21"/>
          <w:highlight w:val="none"/>
        </w:rPr>
        <w:br w:type="page"/>
      </w:r>
    </w:p>
    <w:p>
      <w:pPr>
        <w:pStyle w:val="8"/>
        <w:rPr>
          <w:color w:val="auto"/>
          <w:highlight w:val="none"/>
        </w:rPr>
      </w:pPr>
      <w:r>
        <w:rPr>
          <w:rFonts w:hint="eastAsia"/>
          <w:color w:val="auto"/>
          <w:highlight w:val="none"/>
        </w:rPr>
        <w:t>投标报价明细表</w:t>
      </w:r>
    </w:p>
    <w:p>
      <w:pPr>
        <w:ind w:firstLineChars="95"/>
        <w:jc w:val="center"/>
        <w:rPr>
          <w:b/>
          <w:bCs/>
          <w:color w:val="auto"/>
          <w:sz w:val="28"/>
          <w:szCs w:val="28"/>
          <w:highlight w:val="none"/>
        </w:rPr>
      </w:pPr>
      <w:r>
        <w:rPr>
          <w:rFonts w:hint="eastAsia"/>
          <w:b/>
          <w:bCs/>
          <w:color w:val="auto"/>
          <w:sz w:val="28"/>
          <w:szCs w:val="28"/>
          <w:highlight w:val="none"/>
        </w:rPr>
        <w:t>投标报价明细表</w:t>
      </w:r>
    </w:p>
    <w:p>
      <w:pPr>
        <w:widowControl/>
        <w:wordWrap/>
        <w:spacing w:line="240" w:lineRule="auto"/>
        <w:ind w:firstLine="0" w:firstLineChars="0"/>
        <w:jc w:val="left"/>
        <w:rPr>
          <w:rFonts w:hAnsi="宋体"/>
          <w:color w:val="auto"/>
          <w:szCs w:val="21"/>
          <w:highlight w:val="none"/>
        </w:rPr>
      </w:pPr>
      <w:r>
        <w:rPr>
          <w:rFonts w:hint="eastAsia" w:hAnsi="宋体" w:eastAsia="宋体"/>
          <w:color w:val="auto"/>
          <w:sz w:val="21"/>
          <w:szCs w:val="21"/>
          <w:highlight w:val="none"/>
        </w:rPr>
        <w:t>项目名称：                                                  金额单位：人民币（元）</w:t>
      </w:r>
    </w:p>
    <w:tbl>
      <w:tblPr>
        <w:tblStyle w:val="27"/>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0" w:type="dxa"/>
        </w:tblCellMar>
      </w:tblPr>
      <w:tblGrid>
        <w:gridCol w:w="879"/>
        <w:gridCol w:w="3649"/>
        <w:gridCol w:w="2484"/>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25" w:hRule="atLeast"/>
        </w:trPr>
        <w:tc>
          <w:tcPr>
            <w:tcW w:w="87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eastAsia="宋体"/>
                <w:color w:val="auto"/>
                <w:szCs w:val="21"/>
                <w:highlight w:val="none"/>
                <w:vertAlign w:val="baseline"/>
                <w:lang w:eastAsia="zh-CN"/>
              </w:rPr>
            </w:pPr>
            <w:r>
              <w:rPr>
                <w:rFonts w:hint="eastAsia" w:hAnsi="宋体"/>
                <w:color w:val="auto"/>
                <w:szCs w:val="21"/>
                <w:highlight w:val="none"/>
                <w:vertAlign w:val="baseline"/>
                <w:lang w:eastAsia="zh-CN"/>
              </w:rPr>
              <w:t>序号</w:t>
            </w:r>
          </w:p>
        </w:tc>
        <w:tc>
          <w:tcPr>
            <w:tcW w:w="364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eastAsia="宋体"/>
                <w:color w:val="auto"/>
                <w:szCs w:val="21"/>
                <w:highlight w:val="none"/>
                <w:vertAlign w:val="baseline"/>
                <w:lang w:eastAsia="zh-CN"/>
              </w:rPr>
            </w:pPr>
            <w:r>
              <w:rPr>
                <w:rFonts w:hint="eastAsia" w:hAnsi="宋体"/>
                <w:color w:val="auto"/>
                <w:szCs w:val="21"/>
                <w:highlight w:val="none"/>
                <w:vertAlign w:val="baseline"/>
                <w:lang w:eastAsia="zh-CN"/>
              </w:rPr>
              <w:t>项目</w:t>
            </w:r>
          </w:p>
        </w:tc>
        <w:tc>
          <w:tcPr>
            <w:tcW w:w="2484"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eastAsia="宋体"/>
                <w:color w:val="auto"/>
                <w:szCs w:val="21"/>
                <w:highlight w:val="none"/>
                <w:vertAlign w:val="baseline"/>
                <w:lang w:eastAsia="zh-CN"/>
              </w:rPr>
            </w:pPr>
            <w:r>
              <w:rPr>
                <w:rFonts w:hint="eastAsia" w:hAnsi="宋体"/>
                <w:color w:val="auto"/>
                <w:szCs w:val="21"/>
                <w:highlight w:val="none"/>
                <w:vertAlign w:val="baseline"/>
                <w:lang w:eastAsia="zh-CN"/>
              </w:rPr>
              <w:t>报价</w:t>
            </w:r>
          </w:p>
        </w:tc>
        <w:tc>
          <w:tcPr>
            <w:tcW w:w="200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hAnsi="宋体" w:eastAsia="宋体"/>
                <w:color w:val="auto"/>
                <w:szCs w:val="21"/>
                <w:highlight w:val="none"/>
                <w:vertAlign w:val="baseline"/>
                <w:lang w:eastAsia="zh-CN"/>
              </w:rPr>
            </w:pPr>
            <w:r>
              <w:rPr>
                <w:rFonts w:hint="eastAsia" w:hAnsi="宋体"/>
                <w:color w:val="auto"/>
                <w:szCs w:val="21"/>
                <w:highlight w:val="none"/>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25" w:hRule="atLeast"/>
        </w:trPr>
        <w:tc>
          <w:tcPr>
            <w:tcW w:w="879" w:type="dxa"/>
            <w:vAlign w:val="center"/>
          </w:tcPr>
          <w:p>
            <w:pPr>
              <w:snapToGrid w:val="0"/>
              <w:spacing w:line="320" w:lineRule="exact"/>
              <w:ind w:firstLine="0" w:firstLineChars="0"/>
              <w:jc w:val="center"/>
              <w:rPr>
                <w:rFonts w:hAnsi="宋体"/>
                <w:color w:val="auto"/>
                <w:szCs w:val="21"/>
                <w:highlight w:val="none"/>
                <w:vertAlign w:val="baseline"/>
              </w:rPr>
            </w:pPr>
            <w:r>
              <w:rPr>
                <w:b/>
                <w:color w:val="auto"/>
                <w:kern w:val="0"/>
                <w:szCs w:val="21"/>
                <w:highlight w:val="none"/>
              </w:rPr>
              <w:t>（一）</w:t>
            </w:r>
          </w:p>
        </w:tc>
        <w:tc>
          <w:tcPr>
            <w:tcW w:w="3649"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r>
              <w:rPr>
                <w:b/>
                <w:color w:val="auto"/>
                <w:kern w:val="0"/>
                <w:szCs w:val="21"/>
                <w:highlight w:val="none"/>
              </w:rPr>
              <w:t>海域生态环境</w:t>
            </w:r>
            <w:r>
              <w:rPr>
                <w:rFonts w:hint="eastAsia"/>
                <w:b/>
                <w:color w:val="auto"/>
                <w:kern w:val="0"/>
                <w:szCs w:val="21"/>
                <w:highlight w:val="none"/>
              </w:rPr>
              <w:t>监测</w:t>
            </w:r>
          </w:p>
        </w:tc>
        <w:tc>
          <w:tcPr>
            <w:tcW w:w="2484"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
                <w:color w:val="auto"/>
                <w:kern w:val="0"/>
                <w:szCs w:val="21"/>
                <w:highlight w:val="none"/>
              </w:rPr>
            </w:pPr>
          </w:p>
        </w:tc>
        <w:tc>
          <w:tcPr>
            <w:tcW w:w="2006"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25" w:hRule="atLeast"/>
        </w:trPr>
        <w:tc>
          <w:tcPr>
            <w:tcW w:w="879" w:type="dxa"/>
            <w:vAlign w:val="center"/>
          </w:tcPr>
          <w:p>
            <w:pPr>
              <w:snapToGrid w:val="0"/>
              <w:spacing w:line="320" w:lineRule="exact"/>
              <w:ind w:firstLine="0" w:firstLineChars="0"/>
              <w:jc w:val="center"/>
              <w:rPr>
                <w:rFonts w:hint="eastAsia" w:hAnsi="宋体" w:eastAsia="宋体"/>
                <w:color w:val="auto"/>
                <w:sz w:val="21"/>
                <w:szCs w:val="21"/>
                <w:highlight w:val="none"/>
                <w:vertAlign w:val="baseline"/>
                <w:lang w:val="en-US" w:eastAsia="zh-CN"/>
              </w:rPr>
            </w:pPr>
            <w:r>
              <w:rPr>
                <w:rFonts w:hint="eastAsia" w:hAnsi="宋体"/>
                <w:color w:val="auto"/>
                <w:sz w:val="21"/>
                <w:szCs w:val="21"/>
                <w:highlight w:val="none"/>
                <w:vertAlign w:val="baseline"/>
                <w:lang w:val="en-US" w:eastAsia="zh-CN"/>
              </w:rPr>
              <w:t>1</w:t>
            </w:r>
          </w:p>
        </w:tc>
        <w:tc>
          <w:tcPr>
            <w:tcW w:w="3649" w:type="dxa"/>
            <w:vAlign w:val="center"/>
          </w:tcPr>
          <w:p>
            <w:pPr>
              <w:snapToGrid w:val="0"/>
              <w:spacing w:line="320" w:lineRule="exact"/>
              <w:ind w:firstLine="0" w:firstLineChars="0"/>
              <w:rPr>
                <w:rFonts w:hAnsi="宋体"/>
                <w:color w:val="auto"/>
                <w:sz w:val="21"/>
                <w:szCs w:val="21"/>
                <w:highlight w:val="none"/>
                <w:vertAlign w:val="baseline"/>
              </w:rPr>
            </w:pPr>
          </w:p>
        </w:tc>
        <w:tc>
          <w:tcPr>
            <w:tcW w:w="2484"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c>
          <w:tcPr>
            <w:tcW w:w="2006"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25" w:hRule="atLeast"/>
        </w:trPr>
        <w:tc>
          <w:tcPr>
            <w:tcW w:w="879" w:type="dxa"/>
            <w:vAlign w:val="center"/>
          </w:tcPr>
          <w:p>
            <w:pPr>
              <w:snapToGrid w:val="0"/>
              <w:spacing w:line="320" w:lineRule="exact"/>
              <w:ind w:firstLine="0" w:firstLineChars="0"/>
              <w:jc w:val="center"/>
              <w:rPr>
                <w:rFonts w:hint="eastAsia" w:hAnsi="宋体" w:eastAsia="宋体"/>
                <w:color w:val="auto"/>
                <w:sz w:val="21"/>
                <w:szCs w:val="21"/>
                <w:highlight w:val="none"/>
                <w:vertAlign w:val="baseline"/>
                <w:lang w:val="en-US" w:eastAsia="zh-CN"/>
              </w:rPr>
            </w:pPr>
            <w:r>
              <w:rPr>
                <w:rFonts w:hint="eastAsia" w:hAnsi="宋体"/>
                <w:color w:val="auto"/>
                <w:sz w:val="21"/>
                <w:szCs w:val="21"/>
                <w:highlight w:val="none"/>
                <w:vertAlign w:val="baseline"/>
                <w:lang w:val="en-US" w:eastAsia="zh-CN"/>
              </w:rPr>
              <w:t>2</w:t>
            </w:r>
          </w:p>
        </w:tc>
        <w:tc>
          <w:tcPr>
            <w:tcW w:w="3649" w:type="dxa"/>
            <w:vAlign w:val="center"/>
          </w:tcPr>
          <w:p>
            <w:pPr>
              <w:snapToGrid w:val="0"/>
              <w:spacing w:line="320" w:lineRule="exact"/>
              <w:ind w:firstLine="0" w:firstLineChars="0"/>
              <w:jc w:val="left"/>
              <w:rPr>
                <w:rFonts w:hAnsi="宋体"/>
                <w:color w:val="auto"/>
                <w:sz w:val="21"/>
                <w:szCs w:val="21"/>
                <w:highlight w:val="none"/>
                <w:vertAlign w:val="baseline"/>
              </w:rPr>
            </w:pPr>
          </w:p>
        </w:tc>
        <w:tc>
          <w:tcPr>
            <w:tcW w:w="2484"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c>
          <w:tcPr>
            <w:tcW w:w="2006"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25" w:hRule="atLeast"/>
        </w:trPr>
        <w:tc>
          <w:tcPr>
            <w:tcW w:w="879" w:type="dxa"/>
            <w:vAlign w:val="center"/>
          </w:tcPr>
          <w:p>
            <w:pPr>
              <w:snapToGrid w:val="0"/>
              <w:spacing w:line="320" w:lineRule="exact"/>
              <w:ind w:firstLine="0" w:firstLineChars="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3</w:t>
            </w:r>
          </w:p>
        </w:tc>
        <w:tc>
          <w:tcPr>
            <w:tcW w:w="3649" w:type="dxa"/>
            <w:vAlign w:val="center"/>
          </w:tcPr>
          <w:p>
            <w:pPr>
              <w:spacing w:before="72" w:line="221" w:lineRule="auto"/>
              <w:ind w:left="0" w:leftChars="0" w:firstLine="0" w:firstLineChars="0"/>
              <w:jc w:val="both"/>
              <w:rPr>
                <w:rFonts w:hAnsi="宋体"/>
                <w:color w:val="auto"/>
                <w:sz w:val="21"/>
                <w:szCs w:val="21"/>
                <w:highlight w:val="none"/>
                <w:vertAlign w:val="baseline"/>
              </w:rPr>
            </w:pPr>
          </w:p>
        </w:tc>
        <w:tc>
          <w:tcPr>
            <w:tcW w:w="2484"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c>
          <w:tcPr>
            <w:tcW w:w="2006"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25" w:hRule="atLeast"/>
        </w:trPr>
        <w:tc>
          <w:tcPr>
            <w:tcW w:w="879" w:type="dxa"/>
            <w:vAlign w:val="center"/>
          </w:tcPr>
          <w:p>
            <w:pPr>
              <w:snapToGrid w:val="0"/>
              <w:spacing w:line="320" w:lineRule="exact"/>
              <w:ind w:firstLine="0" w:firstLineChars="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w:t>
            </w:r>
          </w:p>
        </w:tc>
        <w:tc>
          <w:tcPr>
            <w:tcW w:w="3649" w:type="dxa"/>
            <w:vAlign w:val="center"/>
          </w:tcPr>
          <w:p>
            <w:pPr>
              <w:spacing w:before="53" w:line="220" w:lineRule="auto"/>
              <w:ind w:left="0" w:leftChars="0" w:firstLine="0" w:firstLineChars="0"/>
              <w:jc w:val="both"/>
              <w:rPr>
                <w:rFonts w:hAnsi="宋体"/>
                <w:color w:val="auto"/>
                <w:sz w:val="21"/>
                <w:szCs w:val="21"/>
                <w:highlight w:val="none"/>
                <w:vertAlign w:val="baseline"/>
              </w:rPr>
            </w:pPr>
          </w:p>
        </w:tc>
        <w:tc>
          <w:tcPr>
            <w:tcW w:w="2484"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c>
          <w:tcPr>
            <w:tcW w:w="2006"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25" w:hRule="atLeast"/>
        </w:trPr>
        <w:tc>
          <w:tcPr>
            <w:tcW w:w="879" w:type="dxa"/>
            <w:vAlign w:val="center"/>
          </w:tcPr>
          <w:p>
            <w:pPr>
              <w:snapToGrid w:val="0"/>
              <w:spacing w:line="340" w:lineRule="exact"/>
              <w:ind w:firstLine="0" w:firstLineChars="0"/>
              <w:jc w:val="center"/>
              <w:rPr>
                <w:rFonts w:hint="eastAsia" w:ascii="宋体" w:hAnsi="Calibri" w:eastAsia="宋体" w:cs="宋体"/>
                <w:color w:val="auto"/>
                <w:kern w:val="0"/>
                <w:sz w:val="21"/>
                <w:szCs w:val="21"/>
                <w:highlight w:val="none"/>
                <w:lang w:val="en-US" w:eastAsia="zh-CN" w:bidi="ar-SA"/>
              </w:rPr>
            </w:pPr>
          </w:p>
        </w:tc>
        <w:tc>
          <w:tcPr>
            <w:tcW w:w="364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kern w:val="2"/>
                <w:sz w:val="21"/>
                <w:szCs w:val="21"/>
                <w:highlight w:val="none"/>
                <w:vertAlign w:val="baseline"/>
                <w:lang w:val="en-US" w:eastAsia="zh-CN" w:bidi="ar-SA"/>
              </w:rPr>
            </w:pPr>
          </w:p>
        </w:tc>
        <w:tc>
          <w:tcPr>
            <w:tcW w:w="2484"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c>
          <w:tcPr>
            <w:tcW w:w="2006"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38" w:hRule="atLeast"/>
        </w:trPr>
        <w:tc>
          <w:tcPr>
            <w:tcW w:w="879" w:type="dxa"/>
            <w:vAlign w:val="center"/>
          </w:tcPr>
          <w:p>
            <w:pPr>
              <w:snapToGrid w:val="0"/>
              <w:spacing w:line="340" w:lineRule="exact"/>
              <w:ind w:firstLine="0" w:firstLineChars="0"/>
              <w:jc w:val="center"/>
              <w:rPr>
                <w:rFonts w:hint="eastAsia" w:ascii="宋体" w:hAnsi="Calibri" w:eastAsia="宋体" w:cs="宋体"/>
                <w:color w:val="auto"/>
                <w:kern w:val="0"/>
                <w:sz w:val="21"/>
                <w:szCs w:val="21"/>
                <w:highlight w:val="none"/>
                <w:lang w:val="en-US" w:eastAsia="zh-CN" w:bidi="ar-SA"/>
              </w:rPr>
            </w:pPr>
            <w:r>
              <w:rPr>
                <w:b/>
                <w:color w:val="auto"/>
                <w:kern w:val="0"/>
                <w:szCs w:val="21"/>
                <w:highlight w:val="none"/>
              </w:rPr>
              <w:t>（二）</w:t>
            </w:r>
          </w:p>
        </w:tc>
        <w:tc>
          <w:tcPr>
            <w:tcW w:w="364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402" w:firstLineChars="200"/>
              <w:jc w:val="both"/>
              <w:textAlignment w:val="auto"/>
              <w:rPr>
                <w:rFonts w:hint="eastAsia" w:ascii="宋体" w:hAnsi="宋体" w:eastAsia="宋体" w:cs="宋体"/>
                <w:color w:val="auto"/>
                <w:kern w:val="2"/>
                <w:sz w:val="21"/>
                <w:szCs w:val="21"/>
                <w:highlight w:val="none"/>
                <w:vertAlign w:val="baseline"/>
                <w:lang w:val="en-US" w:eastAsia="zh-CN" w:bidi="ar-SA"/>
              </w:rPr>
            </w:pPr>
            <w:r>
              <w:rPr>
                <w:b/>
                <w:color w:val="auto"/>
                <w:kern w:val="0"/>
                <w:sz w:val="20"/>
                <w:szCs w:val="21"/>
                <w:highlight w:val="none"/>
              </w:rPr>
              <w:t>海岛生态环境</w:t>
            </w:r>
            <w:r>
              <w:rPr>
                <w:rFonts w:hint="eastAsia"/>
                <w:b/>
                <w:color w:val="auto"/>
                <w:kern w:val="0"/>
                <w:sz w:val="20"/>
                <w:szCs w:val="21"/>
                <w:highlight w:val="none"/>
              </w:rPr>
              <w:t>监测</w:t>
            </w:r>
          </w:p>
        </w:tc>
        <w:tc>
          <w:tcPr>
            <w:tcW w:w="2484"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c>
          <w:tcPr>
            <w:tcW w:w="2006"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38" w:hRule="atLeast"/>
        </w:trPr>
        <w:tc>
          <w:tcPr>
            <w:tcW w:w="879" w:type="dxa"/>
            <w:vAlign w:val="center"/>
          </w:tcPr>
          <w:p>
            <w:pPr>
              <w:snapToGrid w:val="0"/>
              <w:spacing w:line="340" w:lineRule="exact"/>
              <w:ind w:firstLine="0" w:firstLineChars="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1</w:t>
            </w:r>
          </w:p>
        </w:tc>
        <w:tc>
          <w:tcPr>
            <w:tcW w:w="3649"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c>
          <w:tcPr>
            <w:tcW w:w="2484"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
                <w:color w:val="auto"/>
                <w:kern w:val="0"/>
                <w:sz w:val="20"/>
                <w:szCs w:val="21"/>
                <w:highlight w:val="none"/>
              </w:rPr>
            </w:pPr>
          </w:p>
        </w:tc>
        <w:tc>
          <w:tcPr>
            <w:tcW w:w="2006"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38" w:hRule="atLeast"/>
        </w:trPr>
        <w:tc>
          <w:tcPr>
            <w:tcW w:w="879" w:type="dxa"/>
            <w:vAlign w:val="center"/>
          </w:tcPr>
          <w:p>
            <w:pPr>
              <w:snapToGrid w:val="0"/>
              <w:spacing w:line="340" w:lineRule="exact"/>
              <w:ind w:firstLine="0" w:firstLineChars="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2</w:t>
            </w:r>
          </w:p>
        </w:tc>
        <w:tc>
          <w:tcPr>
            <w:tcW w:w="3649" w:type="dxa"/>
            <w:vAlign w:val="center"/>
          </w:tcPr>
          <w:p>
            <w:pPr>
              <w:snapToGrid w:val="0"/>
              <w:spacing w:line="340" w:lineRule="exact"/>
              <w:ind w:left="0" w:leftChars="0" w:firstLine="0" w:firstLineChars="0"/>
              <w:jc w:val="both"/>
              <w:rPr>
                <w:rFonts w:hint="eastAsia"/>
                <w:color w:val="auto"/>
                <w:kern w:val="0"/>
                <w:sz w:val="21"/>
                <w:szCs w:val="21"/>
                <w:highlight w:val="none"/>
                <w:lang w:val="en-US" w:eastAsia="zh-CN"/>
              </w:rPr>
            </w:pPr>
          </w:p>
        </w:tc>
        <w:tc>
          <w:tcPr>
            <w:tcW w:w="2484"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c>
          <w:tcPr>
            <w:tcW w:w="2006"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38" w:hRule="atLeast"/>
        </w:trPr>
        <w:tc>
          <w:tcPr>
            <w:tcW w:w="879" w:type="dxa"/>
            <w:vAlign w:val="center"/>
          </w:tcPr>
          <w:p>
            <w:pPr>
              <w:snapToGrid w:val="0"/>
              <w:spacing w:line="340" w:lineRule="exact"/>
              <w:ind w:firstLine="0" w:firstLineChars="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w:t>
            </w:r>
          </w:p>
        </w:tc>
        <w:tc>
          <w:tcPr>
            <w:tcW w:w="3649" w:type="dxa"/>
            <w:vAlign w:val="center"/>
          </w:tcPr>
          <w:p>
            <w:pPr>
              <w:spacing w:line="340" w:lineRule="exact"/>
              <w:ind w:left="0" w:leftChars="0" w:firstLine="0" w:firstLineChars="0"/>
              <w:jc w:val="both"/>
              <w:rPr>
                <w:rFonts w:hint="eastAsia"/>
                <w:color w:val="auto"/>
                <w:kern w:val="0"/>
                <w:sz w:val="21"/>
                <w:szCs w:val="21"/>
                <w:highlight w:val="none"/>
                <w:lang w:val="en-US" w:eastAsia="zh-CN"/>
              </w:rPr>
            </w:pPr>
          </w:p>
        </w:tc>
        <w:tc>
          <w:tcPr>
            <w:tcW w:w="2484"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c>
          <w:tcPr>
            <w:tcW w:w="2006"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38" w:hRule="atLeast"/>
        </w:trPr>
        <w:tc>
          <w:tcPr>
            <w:tcW w:w="879" w:type="dxa"/>
            <w:vAlign w:val="center"/>
          </w:tcPr>
          <w:p>
            <w:pPr>
              <w:snapToGrid w:val="0"/>
              <w:spacing w:line="340" w:lineRule="exact"/>
              <w:ind w:firstLine="0" w:firstLineChars="0"/>
              <w:jc w:val="center"/>
              <w:rPr>
                <w:rFonts w:hint="eastAsia"/>
                <w:color w:val="auto"/>
                <w:kern w:val="0"/>
                <w:sz w:val="21"/>
                <w:szCs w:val="21"/>
                <w:highlight w:val="none"/>
                <w:lang w:val="en-US" w:eastAsia="zh-CN"/>
              </w:rPr>
            </w:pPr>
            <w:r>
              <w:rPr>
                <w:b/>
                <w:color w:val="auto"/>
                <w:kern w:val="0"/>
                <w:szCs w:val="21"/>
                <w:highlight w:val="none"/>
              </w:rPr>
              <w:t>（三）</w:t>
            </w:r>
          </w:p>
        </w:tc>
        <w:tc>
          <w:tcPr>
            <w:tcW w:w="3649"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r>
              <w:rPr>
                <w:b/>
                <w:color w:val="auto"/>
                <w:kern w:val="0"/>
                <w:szCs w:val="21"/>
                <w:highlight w:val="none"/>
              </w:rPr>
              <w:t>重点风险源生态资源跟踪监测</w:t>
            </w:r>
          </w:p>
        </w:tc>
        <w:tc>
          <w:tcPr>
            <w:tcW w:w="2484"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
                <w:color w:val="auto"/>
                <w:kern w:val="0"/>
                <w:szCs w:val="21"/>
                <w:highlight w:val="none"/>
              </w:rPr>
            </w:pPr>
          </w:p>
        </w:tc>
        <w:tc>
          <w:tcPr>
            <w:tcW w:w="2006"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38" w:hRule="atLeast"/>
        </w:trPr>
        <w:tc>
          <w:tcPr>
            <w:tcW w:w="879" w:type="dxa"/>
            <w:vAlign w:val="center"/>
          </w:tcPr>
          <w:p>
            <w:pPr>
              <w:snapToGrid w:val="0"/>
              <w:spacing w:line="340" w:lineRule="exact"/>
              <w:ind w:firstLine="0" w:firstLineChars="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1</w:t>
            </w:r>
          </w:p>
        </w:tc>
        <w:tc>
          <w:tcPr>
            <w:tcW w:w="3649" w:type="dxa"/>
            <w:vAlign w:val="center"/>
          </w:tcPr>
          <w:p>
            <w:pPr>
              <w:spacing w:before="71" w:line="276" w:lineRule="auto"/>
              <w:ind w:left="0" w:leftChars="0" w:right="205" w:rightChars="0" w:firstLine="0" w:firstLineChars="0"/>
              <w:jc w:val="both"/>
              <w:rPr>
                <w:rFonts w:hint="eastAsia"/>
                <w:color w:val="auto"/>
                <w:kern w:val="0"/>
                <w:sz w:val="21"/>
                <w:szCs w:val="21"/>
                <w:highlight w:val="none"/>
                <w:lang w:val="en-US" w:eastAsia="zh-CN"/>
              </w:rPr>
            </w:pPr>
          </w:p>
        </w:tc>
        <w:tc>
          <w:tcPr>
            <w:tcW w:w="2484"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c>
          <w:tcPr>
            <w:tcW w:w="2006"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38" w:hRule="atLeast"/>
        </w:trPr>
        <w:tc>
          <w:tcPr>
            <w:tcW w:w="879" w:type="dxa"/>
            <w:vAlign w:val="center"/>
          </w:tcPr>
          <w:p>
            <w:pPr>
              <w:snapToGrid w:val="0"/>
              <w:spacing w:line="340" w:lineRule="exact"/>
              <w:ind w:firstLine="0" w:firstLineChars="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2</w:t>
            </w:r>
          </w:p>
        </w:tc>
        <w:tc>
          <w:tcPr>
            <w:tcW w:w="3649" w:type="dxa"/>
            <w:vAlign w:val="center"/>
          </w:tcPr>
          <w:p>
            <w:pPr>
              <w:spacing w:before="71" w:line="222" w:lineRule="auto"/>
              <w:ind w:left="0" w:leftChars="0" w:firstLine="0" w:firstLineChars="0"/>
              <w:jc w:val="both"/>
              <w:rPr>
                <w:rFonts w:hint="eastAsia"/>
                <w:color w:val="auto"/>
                <w:kern w:val="0"/>
                <w:sz w:val="21"/>
                <w:szCs w:val="21"/>
                <w:highlight w:val="none"/>
                <w:lang w:val="en-US" w:eastAsia="zh-CN"/>
              </w:rPr>
            </w:pPr>
          </w:p>
        </w:tc>
        <w:tc>
          <w:tcPr>
            <w:tcW w:w="2484"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c>
          <w:tcPr>
            <w:tcW w:w="2006"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38" w:hRule="atLeast"/>
        </w:trPr>
        <w:tc>
          <w:tcPr>
            <w:tcW w:w="879" w:type="dxa"/>
            <w:vAlign w:val="center"/>
          </w:tcPr>
          <w:p>
            <w:pPr>
              <w:snapToGrid w:val="0"/>
              <w:spacing w:line="340" w:lineRule="exact"/>
              <w:ind w:firstLine="0" w:firstLineChars="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w:t>
            </w:r>
          </w:p>
        </w:tc>
        <w:tc>
          <w:tcPr>
            <w:tcW w:w="3649" w:type="dxa"/>
            <w:vAlign w:val="center"/>
          </w:tcPr>
          <w:p>
            <w:pPr>
              <w:spacing w:before="47" w:line="252" w:lineRule="auto"/>
              <w:ind w:left="0" w:leftChars="0" w:right="205" w:rightChars="0" w:firstLine="0" w:firstLineChars="0"/>
              <w:jc w:val="both"/>
              <w:rPr>
                <w:rFonts w:hint="eastAsia"/>
                <w:color w:val="auto"/>
                <w:kern w:val="0"/>
                <w:sz w:val="21"/>
                <w:szCs w:val="21"/>
                <w:highlight w:val="none"/>
                <w:lang w:val="en-US" w:eastAsia="zh-CN"/>
              </w:rPr>
            </w:pPr>
          </w:p>
        </w:tc>
        <w:tc>
          <w:tcPr>
            <w:tcW w:w="2484"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c>
          <w:tcPr>
            <w:tcW w:w="2006"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38" w:hRule="atLeast"/>
        </w:trPr>
        <w:tc>
          <w:tcPr>
            <w:tcW w:w="879" w:type="dxa"/>
            <w:vAlign w:val="center"/>
          </w:tcPr>
          <w:p>
            <w:pPr>
              <w:snapToGrid w:val="0"/>
              <w:spacing w:line="340" w:lineRule="exact"/>
              <w:ind w:firstLine="0" w:firstLineChars="0"/>
              <w:jc w:val="center"/>
              <w:rPr>
                <w:rFonts w:hint="eastAsia"/>
                <w:b/>
                <w:color w:val="auto"/>
                <w:kern w:val="0"/>
                <w:szCs w:val="21"/>
                <w:highlight w:val="none"/>
                <w:lang w:val="en-US" w:eastAsia="zh-CN"/>
              </w:rPr>
            </w:pPr>
            <w:r>
              <w:rPr>
                <w:b/>
                <w:color w:val="auto"/>
                <w:kern w:val="0"/>
                <w:szCs w:val="21"/>
                <w:highlight w:val="none"/>
              </w:rPr>
              <w:t>（四）</w:t>
            </w:r>
          </w:p>
        </w:tc>
        <w:tc>
          <w:tcPr>
            <w:tcW w:w="3649"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r>
              <w:rPr>
                <w:b/>
                <w:color w:val="auto"/>
                <w:kern w:val="0"/>
                <w:szCs w:val="21"/>
                <w:highlight w:val="none"/>
              </w:rPr>
              <w:t>修复面积及效果监测</w:t>
            </w:r>
          </w:p>
        </w:tc>
        <w:tc>
          <w:tcPr>
            <w:tcW w:w="2484"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
                <w:color w:val="auto"/>
                <w:kern w:val="0"/>
                <w:szCs w:val="21"/>
                <w:highlight w:val="none"/>
              </w:rPr>
            </w:pPr>
          </w:p>
        </w:tc>
        <w:tc>
          <w:tcPr>
            <w:tcW w:w="2006"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38" w:hRule="atLeast"/>
        </w:trPr>
        <w:tc>
          <w:tcPr>
            <w:tcW w:w="879" w:type="dxa"/>
            <w:vAlign w:val="center"/>
          </w:tcPr>
          <w:p>
            <w:pPr>
              <w:snapToGrid w:val="0"/>
              <w:spacing w:line="340" w:lineRule="exact"/>
              <w:ind w:firstLine="0" w:firstLineChars="0"/>
              <w:jc w:val="center"/>
              <w:rPr>
                <w:rFonts w:hint="eastAsia"/>
                <w:b/>
                <w:color w:val="auto"/>
                <w:kern w:val="0"/>
                <w:szCs w:val="21"/>
                <w:highlight w:val="none"/>
                <w:lang w:val="en-US" w:eastAsia="zh-CN"/>
              </w:rPr>
            </w:pPr>
            <w:r>
              <w:rPr>
                <w:b/>
                <w:color w:val="auto"/>
                <w:kern w:val="0"/>
                <w:szCs w:val="21"/>
                <w:highlight w:val="none"/>
              </w:rPr>
              <w:t>（</w:t>
            </w:r>
            <w:r>
              <w:rPr>
                <w:rFonts w:hint="eastAsia"/>
                <w:b/>
                <w:color w:val="auto"/>
                <w:kern w:val="0"/>
                <w:szCs w:val="21"/>
                <w:highlight w:val="none"/>
                <w:lang w:eastAsia="zh-CN"/>
              </w:rPr>
              <w:t>五</w:t>
            </w:r>
            <w:r>
              <w:rPr>
                <w:b/>
                <w:color w:val="auto"/>
                <w:kern w:val="0"/>
                <w:szCs w:val="21"/>
                <w:highlight w:val="none"/>
              </w:rPr>
              <w:t>）</w:t>
            </w:r>
          </w:p>
        </w:tc>
        <w:tc>
          <w:tcPr>
            <w:tcW w:w="3649" w:type="dxa"/>
            <w:vAlign w:val="center"/>
          </w:tcPr>
          <w:p>
            <w:pPr>
              <w:snapToGrid w:val="0"/>
              <w:spacing w:line="340" w:lineRule="exact"/>
              <w:ind w:firstLine="422" w:firstLineChars="200"/>
              <w:jc w:val="both"/>
              <w:rPr>
                <w:rFonts w:hint="eastAsia"/>
                <w:color w:val="auto"/>
                <w:kern w:val="0"/>
                <w:sz w:val="21"/>
                <w:szCs w:val="21"/>
                <w:highlight w:val="none"/>
                <w:lang w:val="en-US" w:eastAsia="zh-CN"/>
              </w:rPr>
            </w:pPr>
            <w:r>
              <w:rPr>
                <w:b/>
                <w:color w:val="auto"/>
                <w:kern w:val="0"/>
                <w:szCs w:val="21"/>
                <w:highlight w:val="none"/>
              </w:rPr>
              <w:t>租船费</w:t>
            </w:r>
          </w:p>
        </w:tc>
        <w:tc>
          <w:tcPr>
            <w:tcW w:w="2484"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c>
          <w:tcPr>
            <w:tcW w:w="2006"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38" w:hRule="atLeast"/>
        </w:trPr>
        <w:tc>
          <w:tcPr>
            <w:tcW w:w="879" w:type="dxa"/>
            <w:vAlign w:val="center"/>
          </w:tcPr>
          <w:p>
            <w:pPr>
              <w:snapToGrid w:val="0"/>
              <w:spacing w:line="340" w:lineRule="exact"/>
              <w:ind w:firstLine="0" w:firstLineChars="0"/>
              <w:jc w:val="center"/>
              <w:rPr>
                <w:rFonts w:hint="eastAsia"/>
                <w:b/>
                <w:color w:val="auto"/>
                <w:kern w:val="0"/>
                <w:szCs w:val="21"/>
                <w:highlight w:val="none"/>
                <w:lang w:val="en-US" w:eastAsia="zh-CN"/>
              </w:rPr>
            </w:pPr>
            <w:r>
              <w:rPr>
                <w:rFonts w:hint="eastAsia"/>
                <w:b/>
                <w:color w:val="auto"/>
                <w:kern w:val="0"/>
                <w:szCs w:val="21"/>
                <w:highlight w:val="none"/>
              </w:rPr>
              <w:t>（</w:t>
            </w:r>
            <w:r>
              <w:rPr>
                <w:rFonts w:hint="eastAsia"/>
                <w:b/>
                <w:color w:val="auto"/>
                <w:kern w:val="0"/>
                <w:szCs w:val="21"/>
                <w:highlight w:val="none"/>
                <w:lang w:eastAsia="zh-CN"/>
              </w:rPr>
              <w:t>六</w:t>
            </w:r>
            <w:r>
              <w:rPr>
                <w:rFonts w:hint="eastAsia"/>
                <w:b/>
                <w:color w:val="auto"/>
                <w:kern w:val="0"/>
                <w:szCs w:val="21"/>
                <w:highlight w:val="none"/>
              </w:rPr>
              <w:t>）</w:t>
            </w:r>
          </w:p>
        </w:tc>
        <w:tc>
          <w:tcPr>
            <w:tcW w:w="3649"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r>
              <w:rPr>
                <w:b/>
                <w:color w:val="auto"/>
                <w:kern w:val="0"/>
                <w:szCs w:val="21"/>
                <w:highlight w:val="none"/>
              </w:rPr>
              <w:t>报告编制</w:t>
            </w:r>
          </w:p>
        </w:tc>
        <w:tc>
          <w:tcPr>
            <w:tcW w:w="2484"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
                <w:color w:val="auto"/>
                <w:kern w:val="0"/>
                <w:szCs w:val="21"/>
                <w:highlight w:val="none"/>
              </w:rPr>
            </w:pPr>
          </w:p>
        </w:tc>
        <w:tc>
          <w:tcPr>
            <w:tcW w:w="2006"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38" w:hRule="atLeast"/>
        </w:trPr>
        <w:tc>
          <w:tcPr>
            <w:tcW w:w="879" w:type="dxa"/>
            <w:vAlign w:val="center"/>
          </w:tcPr>
          <w:p>
            <w:pPr>
              <w:snapToGrid w:val="0"/>
              <w:spacing w:line="340" w:lineRule="exact"/>
              <w:ind w:firstLine="0" w:firstLineChars="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1</w:t>
            </w:r>
          </w:p>
        </w:tc>
        <w:tc>
          <w:tcPr>
            <w:tcW w:w="3649" w:type="dxa"/>
            <w:vAlign w:val="center"/>
          </w:tcPr>
          <w:p>
            <w:pPr>
              <w:snapToGrid w:val="0"/>
              <w:spacing w:line="340" w:lineRule="exact"/>
              <w:ind w:left="0" w:leftChars="0" w:firstLine="0" w:firstLineChars="0"/>
              <w:jc w:val="both"/>
              <w:rPr>
                <w:rFonts w:hint="eastAsia"/>
                <w:color w:val="auto"/>
                <w:kern w:val="0"/>
                <w:sz w:val="21"/>
                <w:szCs w:val="21"/>
                <w:highlight w:val="none"/>
                <w:lang w:val="en-US" w:eastAsia="zh-CN"/>
              </w:rPr>
            </w:pPr>
            <w:r>
              <w:rPr>
                <w:rFonts w:ascii="宋体" w:hAnsi="宋体" w:eastAsia="宋体" w:cs="宋体"/>
                <w:color w:val="auto"/>
                <w:spacing w:val="-1"/>
                <w:sz w:val="22"/>
                <w:szCs w:val="22"/>
                <w:highlight w:val="none"/>
              </w:rPr>
              <w:t>跟踪监测报</w:t>
            </w:r>
            <w:r>
              <w:rPr>
                <w:rFonts w:ascii="宋体" w:hAnsi="宋体" w:eastAsia="宋体" w:cs="宋体"/>
                <w:color w:val="auto"/>
                <w:sz w:val="22"/>
                <w:szCs w:val="22"/>
                <w:highlight w:val="none"/>
              </w:rPr>
              <w:t>告</w:t>
            </w:r>
          </w:p>
        </w:tc>
        <w:tc>
          <w:tcPr>
            <w:tcW w:w="2484"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c>
          <w:tcPr>
            <w:tcW w:w="2006"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38" w:hRule="atLeast"/>
        </w:trPr>
        <w:tc>
          <w:tcPr>
            <w:tcW w:w="879" w:type="dxa"/>
            <w:vAlign w:val="center"/>
          </w:tcPr>
          <w:p>
            <w:pPr>
              <w:snapToGrid w:val="0"/>
              <w:spacing w:line="340" w:lineRule="exact"/>
              <w:ind w:firstLine="0" w:firstLineChars="0"/>
              <w:jc w:val="center"/>
              <w:rPr>
                <w:rFonts w:hint="eastAsia"/>
                <w:b/>
                <w:color w:val="auto"/>
                <w:kern w:val="0"/>
                <w:szCs w:val="21"/>
                <w:highlight w:val="none"/>
                <w:lang w:val="en-US" w:eastAsia="zh-CN"/>
              </w:rPr>
            </w:pPr>
            <w:r>
              <w:rPr>
                <w:rFonts w:hint="eastAsia"/>
                <w:b/>
                <w:color w:val="auto"/>
                <w:kern w:val="0"/>
                <w:szCs w:val="21"/>
                <w:highlight w:val="none"/>
              </w:rPr>
              <w:t>（</w:t>
            </w:r>
            <w:r>
              <w:rPr>
                <w:rFonts w:hint="eastAsia"/>
                <w:b/>
                <w:color w:val="auto"/>
                <w:kern w:val="0"/>
                <w:szCs w:val="21"/>
                <w:highlight w:val="none"/>
                <w:lang w:eastAsia="zh-CN"/>
              </w:rPr>
              <w:t>七</w:t>
            </w:r>
            <w:r>
              <w:rPr>
                <w:rFonts w:hint="eastAsia"/>
                <w:b/>
                <w:color w:val="auto"/>
                <w:kern w:val="0"/>
                <w:szCs w:val="21"/>
                <w:highlight w:val="none"/>
              </w:rPr>
              <w:t>）</w:t>
            </w:r>
          </w:p>
        </w:tc>
        <w:tc>
          <w:tcPr>
            <w:tcW w:w="3649" w:type="dxa"/>
            <w:vAlign w:val="center"/>
          </w:tcPr>
          <w:p>
            <w:pPr>
              <w:snapToGrid w:val="0"/>
              <w:spacing w:line="340" w:lineRule="exact"/>
              <w:ind w:firstLine="422" w:firstLineChars="200"/>
              <w:jc w:val="both"/>
              <w:rPr>
                <w:rFonts w:hint="eastAsia"/>
                <w:color w:val="auto"/>
                <w:kern w:val="0"/>
                <w:sz w:val="21"/>
                <w:szCs w:val="21"/>
                <w:highlight w:val="none"/>
                <w:lang w:val="en-US" w:eastAsia="zh-CN"/>
              </w:rPr>
            </w:pPr>
            <w:r>
              <w:rPr>
                <w:rFonts w:hint="eastAsia"/>
                <w:b/>
                <w:color w:val="auto"/>
                <w:kern w:val="0"/>
                <w:szCs w:val="21"/>
                <w:highlight w:val="none"/>
                <w:lang w:eastAsia="zh-CN"/>
              </w:rPr>
              <w:t>税金</w:t>
            </w:r>
          </w:p>
        </w:tc>
        <w:tc>
          <w:tcPr>
            <w:tcW w:w="2484"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c>
          <w:tcPr>
            <w:tcW w:w="2006"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463" w:hRule="atLeast"/>
        </w:trPr>
        <w:tc>
          <w:tcPr>
            <w:tcW w:w="879" w:type="dxa"/>
            <w:vAlign w:val="top"/>
          </w:tcPr>
          <w:p>
            <w:pPr>
              <w:snapToGrid w:val="0"/>
              <w:spacing w:line="340" w:lineRule="exact"/>
              <w:ind w:firstLine="0" w:firstLineChars="0"/>
              <w:jc w:val="center"/>
              <w:rPr>
                <w:rFonts w:hint="eastAsia"/>
                <w:b/>
                <w:color w:val="auto"/>
                <w:kern w:val="0"/>
                <w:szCs w:val="21"/>
                <w:highlight w:val="none"/>
                <w:lang w:val="en-US" w:eastAsia="zh-CN"/>
              </w:rPr>
            </w:pPr>
            <w:r>
              <w:rPr>
                <w:rFonts w:hint="eastAsia"/>
                <w:b/>
                <w:color w:val="auto"/>
                <w:kern w:val="0"/>
                <w:szCs w:val="21"/>
                <w:highlight w:val="none"/>
              </w:rPr>
              <w:t>（</w:t>
            </w:r>
            <w:r>
              <w:rPr>
                <w:rFonts w:hint="eastAsia"/>
                <w:b/>
                <w:color w:val="auto"/>
                <w:kern w:val="0"/>
                <w:szCs w:val="21"/>
                <w:highlight w:val="none"/>
                <w:lang w:eastAsia="zh-CN"/>
              </w:rPr>
              <w:t>八</w:t>
            </w:r>
            <w:r>
              <w:rPr>
                <w:rFonts w:hint="eastAsia"/>
                <w:b/>
                <w:color w:val="auto"/>
                <w:kern w:val="0"/>
                <w:szCs w:val="21"/>
                <w:highlight w:val="none"/>
              </w:rPr>
              <w:t>）</w:t>
            </w:r>
          </w:p>
        </w:tc>
        <w:tc>
          <w:tcPr>
            <w:tcW w:w="3649" w:type="dxa"/>
            <w:vAlign w:val="top"/>
          </w:tcPr>
          <w:p>
            <w:pPr>
              <w:ind w:firstLine="422" w:firstLineChars="200"/>
              <w:jc w:val="both"/>
              <w:rPr>
                <w:rFonts w:hint="eastAsia" w:eastAsia="宋体"/>
                <w:color w:val="auto"/>
                <w:kern w:val="0"/>
                <w:sz w:val="21"/>
                <w:szCs w:val="21"/>
                <w:highlight w:val="none"/>
                <w:lang w:val="en-US" w:eastAsia="zh-CN"/>
              </w:rPr>
            </w:pPr>
            <w:r>
              <w:rPr>
                <w:b/>
                <w:color w:val="auto"/>
                <w:kern w:val="0"/>
                <w:szCs w:val="21"/>
                <w:highlight w:val="none"/>
              </w:rPr>
              <w:t>合计</w:t>
            </w:r>
            <w:r>
              <w:rPr>
                <w:rFonts w:hint="eastAsia"/>
                <w:b/>
                <w:color w:val="auto"/>
                <w:kern w:val="0"/>
                <w:szCs w:val="21"/>
                <w:highlight w:val="none"/>
                <w:lang w:eastAsia="zh-CN"/>
              </w:rPr>
              <w:t>总价</w:t>
            </w:r>
          </w:p>
        </w:tc>
        <w:tc>
          <w:tcPr>
            <w:tcW w:w="2484"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c>
          <w:tcPr>
            <w:tcW w:w="2006"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Ansi="宋体"/>
                <w:color w:val="auto"/>
                <w:szCs w:val="21"/>
                <w:highlight w:val="none"/>
                <w:vertAlign w:val="baseline"/>
              </w:rPr>
            </w:pPr>
          </w:p>
        </w:tc>
      </w:tr>
    </w:tbl>
    <w:p>
      <w:pPr>
        <w:widowControl/>
        <w:wordWrap/>
        <w:spacing w:line="240" w:lineRule="auto"/>
        <w:ind w:firstLine="0" w:firstLineChars="0"/>
        <w:jc w:val="left"/>
        <w:rPr>
          <w:rFonts w:hint="eastAsia"/>
          <w:color w:val="auto"/>
          <w:sz w:val="21"/>
          <w:szCs w:val="21"/>
          <w:highlight w:val="none"/>
        </w:rPr>
      </w:pPr>
      <w:r>
        <w:rPr>
          <w:color w:val="auto"/>
          <w:spacing w:val="20"/>
          <w:sz w:val="21"/>
          <w:highlight w:val="none"/>
        </w:rPr>
        <w:t>注：</w:t>
      </w:r>
      <w:r>
        <w:rPr>
          <w:rFonts w:hint="eastAsia"/>
          <w:color w:val="auto"/>
          <w:spacing w:val="20"/>
          <w:sz w:val="21"/>
          <w:highlight w:val="none"/>
          <w:lang w:val="en-US" w:eastAsia="zh-CN"/>
        </w:rPr>
        <w:t>1、</w:t>
      </w:r>
      <w:r>
        <w:rPr>
          <w:rFonts w:hint="eastAsia"/>
          <w:color w:val="auto"/>
          <w:sz w:val="21"/>
          <w:szCs w:val="21"/>
          <w:highlight w:val="none"/>
        </w:rPr>
        <w:t>以上监测费用</w:t>
      </w:r>
      <w:r>
        <w:rPr>
          <w:color w:val="auto"/>
          <w:sz w:val="21"/>
          <w:szCs w:val="21"/>
          <w:highlight w:val="none"/>
        </w:rPr>
        <w:t>包括人工费、监测设施费、消耗性材料费、</w:t>
      </w:r>
      <w:r>
        <w:rPr>
          <w:rFonts w:hint="eastAsia"/>
          <w:color w:val="auto"/>
          <w:sz w:val="21"/>
          <w:szCs w:val="21"/>
          <w:highlight w:val="none"/>
        </w:rPr>
        <w:t>临时设施费、交通费、</w:t>
      </w:r>
      <w:r>
        <w:rPr>
          <w:color w:val="auto"/>
          <w:sz w:val="21"/>
          <w:szCs w:val="21"/>
          <w:highlight w:val="none"/>
        </w:rPr>
        <w:t>监测设备折旧费等所有</w:t>
      </w:r>
      <w:r>
        <w:rPr>
          <w:rFonts w:hint="eastAsia"/>
          <w:color w:val="auto"/>
          <w:sz w:val="21"/>
          <w:szCs w:val="21"/>
          <w:highlight w:val="none"/>
        </w:rPr>
        <w:t>跟踪监测所</w:t>
      </w:r>
      <w:r>
        <w:rPr>
          <w:color w:val="auto"/>
          <w:sz w:val="21"/>
          <w:szCs w:val="21"/>
          <w:highlight w:val="none"/>
        </w:rPr>
        <w:t>需费用</w:t>
      </w:r>
      <w:r>
        <w:rPr>
          <w:rFonts w:hint="eastAsia"/>
          <w:color w:val="auto"/>
          <w:sz w:val="21"/>
          <w:szCs w:val="21"/>
          <w:highlight w:val="none"/>
        </w:rPr>
        <w:t>及监测相关报告编制费、监测验收现场会议费用（包括会务费、文本费、专家审查费等）、管理费、利润、税金等所有费用。</w:t>
      </w:r>
    </w:p>
    <w:p>
      <w:pPr>
        <w:widowControl/>
        <w:wordWrap/>
        <w:spacing w:line="240" w:lineRule="auto"/>
        <w:ind w:firstLine="420" w:firstLineChars="200"/>
        <w:jc w:val="left"/>
        <w:rPr>
          <w:rFonts w:hint="default"/>
          <w:color w:val="auto"/>
          <w:sz w:val="21"/>
          <w:szCs w:val="21"/>
          <w:highlight w:val="none"/>
          <w:lang w:val="en-US" w:eastAsia="zh-CN"/>
        </w:rPr>
      </w:pPr>
      <w:r>
        <w:rPr>
          <w:rFonts w:hint="eastAsia"/>
          <w:color w:val="auto"/>
          <w:sz w:val="21"/>
          <w:szCs w:val="21"/>
          <w:highlight w:val="none"/>
          <w:lang w:val="en-US" w:eastAsia="zh-CN"/>
        </w:rPr>
        <w:t>2、</w:t>
      </w:r>
      <w:r>
        <w:rPr>
          <w:rFonts w:hint="eastAsia"/>
          <w:color w:val="auto"/>
          <w:sz w:val="21"/>
          <w:szCs w:val="21"/>
          <w:highlight w:val="none"/>
        </w:rPr>
        <w:t>投标</w:t>
      </w:r>
      <w:r>
        <w:rPr>
          <w:rFonts w:hint="eastAsia"/>
          <w:color w:val="auto"/>
          <w:sz w:val="21"/>
          <w:szCs w:val="21"/>
          <w:highlight w:val="none"/>
          <w:lang w:eastAsia="zh-CN"/>
        </w:rPr>
        <w:t>人</w:t>
      </w:r>
      <w:r>
        <w:rPr>
          <w:rFonts w:hint="eastAsia"/>
          <w:color w:val="auto"/>
          <w:sz w:val="21"/>
          <w:szCs w:val="21"/>
          <w:highlight w:val="none"/>
        </w:rPr>
        <w:t>可根据本表结合实际自行扩充。</w:t>
      </w:r>
    </w:p>
    <w:p>
      <w:pPr>
        <w:snapToGrid w:val="0"/>
        <w:spacing w:before="50" w:after="50"/>
        <w:ind w:left="-23" w:leftChars="-11" w:right="-817" w:rightChars="-389" w:firstLine="420"/>
        <w:jc w:val="left"/>
        <w:rPr>
          <w:rFonts w:hint="eastAsia" w:hAnsi="宋体"/>
          <w:color w:val="auto"/>
          <w:szCs w:val="21"/>
          <w:highlight w:val="none"/>
        </w:rPr>
      </w:pPr>
    </w:p>
    <w:p>
      <w:pPr>
        <w:snapToGrid w:val="0"/>
        <w:spacing w:before="50" w:after="50"/>
        <w:ind w:left="-23" w:leftChars="-11" w:right="-817" w:rightChars="-389" w:firstLine="420"/>
        <w:jc w:val="left"/>
        <w:rPr>
          <w:rFonts w:hAnsi="宋体"/>
          <w:color w:val="auto"/>
          <w:szCs w:val="21"/>
          <w:highlight w:val="none"/>
        </w:rPr>
      </w:pPr>
      <w:r>
        <w:rPr>
          <w:rFonts w:hint="eastAsia" w:hAnsi="宋体"/>
          <w:color w:val="auto"/>
          <w:szCs w:val="21"/>
          <w:highlight w:val="none"/>
        </w:rPr>
        <w:t>投标人（盖章）：</w:t>
      </w:r>
    </w:p>
    <w:p>
      <w:pPr>
        <w:snapToGrid w:val="0"/>
        <w:spacing w:before="50" w:after="50"/>
        <w:ind w:left="-23" w:leftChars="-11" w:right="-817" w:rightChars="-389" w:firstLine="420"/>
        <w:jc w:val="left"/>
        <w:rPr>
          <w:rFonts w:hAnsi="宋体"/>
          <w:color w:val="auto"/>
          <w:szCs w:val="21"/>
          <w:highlight w:val="none"/>
        </w:rPr>
      </w:pPr>
      <w:r>
        <w:rPr>
          <w:rFonts w:hint="eastAsia" w:hAnsi="宋体"/>
          <w:color w:val="auto"/>
          <w:szCs w:val="21"/>
          <w:highlight w:val="none"/>
        </w:rPr>
        <w:t>法定代表人或授权代表（签字或盖章）：</w:t>
      </w:r>
    </w:p>
    <w:p>
      <w:pPr>
        <w:snapToGrid w:val="0"/>
        <w:spacing w:before="50" w:after="50"/>
        <w:ind w:firstLine="420"/>
        <w:jc w:val="left"/>
        <w:rPr>
          <w:rFonts w:hAnsi="宋体"/>
          <w:color w:val="auto"/>
          <w:szCs w:val="21"/>
          <w:highlight w:val="none"/>
        </w:rPr>
      </w:pPr>
      <w:r>
        <w:rPr>
          <w:rFonts w:hint="eastAsia" w:hAnsi="宋体"/>
          <w:color w:val="auto"/>
          <w:szCs w:val="21"/>
          <w:highlight w:val="none"/>
        </w:rPr>
        <w:t>日期：  年   月   日</w:t>
      </w:r>
    </w:p>
    <w:p>
      <w:pPr>
        <w:pStyle w:val="8"/>
        <w:rPr>
          <w:color w:val="auto"/>
          <w:highlight w:val="none"/>
        </w:rPr>
        <w:sectPr>
          <w:headerReference r:id="rId7" w:type="default"/>
          <w:footerReference r:id="rId9" w:type="default"/>
          <w:headerReference r:id="rId8" w:type="even"/>
          <w:footerReference r:id="rId10" w:type="even"/>
          <w:pgSz w:w="11906" w:h="16838"/>
          <w:pgMar w:top="1440" w:right="1440" w:bottom="1440" w:left="1440" w:header="851" w:footer="992" w:gutter="0"/>
          <w:pgNumType w:fmt="decimal"/>
          <w:cols w:space="425" w:num="1"/>
          <w:titlePg/>
          <w:docGrid w:type="lines" w:linePitch="312" w:charSpace="0"/>
        </w:sectPr>
      </w:pPr>
    </w:p>
    <w:p>
      <w:pPr>
        <w:pStyle w:val="37"/>
        <w:rPr>
          <w:rFonts w:hint="eastAsia"/>
          <w:color w:val="auto"/>
          <w:szCs w:val="21"/>
          <w:highlight w:val="none"/>
        </w:rPr>
      </w:pPr>
    </w:p>
    <w:p>
      <w:pPr>
        <w:pStyle w:val="8"/>
        <w:rPr>
          <w:color w:val="auto"/>
          <w:highlight w:val="none"/>
        </w:rPr>
      </w:pPr>
      <w:r>
        <w:rPr>
          <w:color w:val="auto"/>
          <w:highlight w:val="none"/>
        </w:rPr>
        <w:t>中小企业声明函</w:t>
      </w:r>
    </w:p>
    <w:p>
      <w:pPr>
        <w:widowControl/>
        <w:jc w:val="center"/>
        <w:rPr>
          <w:color w:val="auto"/>
          <w:szCs w:val="21"/>
          <w:highlight w:val="none"/>
        </w:rPr>
      </w:pPr>
      <w:r>
        <w:rPr>
          <w:rFonts w:hint="eastAsia" w:ascii="宋体" w:hAnsi="宋体" w:cs="宋体"/>
          <w:b/>
          <w:color w:val="auto"/>
          <w:kern w:val="0"/>
          <w:szCs w:val="21"/>
          <w:highlight w:val="none"/>
          <w:lang w:bidi="ar"/>
        </w:rPr>
        <w:t>中小企业声明函（服务）</w:t>
      </w:r>
    </w:p>
    <w:p>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kern w:val="0"/>
          <w:szCs w:val="21"/>
          <w:highlight w:val="none"/>
          <w:lang w:bidi="ar"/>
        </w:rPr>
        <w:t>本公司郑重声明，根据《政府采购促进中小企业发展管理办法》（财库﹝2020﹞46 号）的规定，本公司参加</w:t>
      </w:r>
      <w:r>
        <w:rPr>
          <w:rFonts w:hint="eastAsia" w:ascii="宋体" w:hAnsi="宋体" w:cs="宋体"/>
          <w:i/>
          <w:color w:val="auto"/>
          <w:kern w:val="0"/>
          <w:szCs w:val="21"/>
          <w:highlight w:val="none"/>
          <w:u w:val="single"/>
          <w:lang w:bidi="ar"/>
        </w:rPr>
        <w:t>（单位名称）</w:t>
      </w:r>
      <w:r>
        <w:rPr>
          <w:rFonts w:hint="eastAsia" w:ascii="宋体" w:hAnsi="宋体" w:cs="宋体"/>
          <w:color w:val="auto"/>
          <w:kern w:val="0"/>
          <w:szCs w:val="21"/>
          <w:highlight w:val="none"/>
          <w:lang w:bidi="ar"/>
        </w:rPr>
        <w:t>的</w:t>
      </w:r>
      <w:r>
        <w:rPr>
          <w:rFonts w:hint="eastAsia" w:ascii="宋体" w:hAnsi="宋体" w:cs="宋体"/>
          <w:i/>
          <w:color w:val="auto"/>
          <w:kern w:val="0"/>
          <w:szCs w:val="21"/>
          <w:highlight w:val="none"/>
          <w:u w:val="single"/>
          <w:lang w:bidi="ar"/>
        </w:rPr>
        <w:t>（项目名称）</w:t>
      </w:r>
      <w:r>
        <w:rPr>
          <w:rFonts w:hint="eastAsia" w:ascii="宋体" w:hAnsi="宋体" w:cs="宋体"/>
          <w:color w:val="auto"/>
          <w:kern w:val="0"/>
          <w:szCs w:val="21"/>
          <w:highlight w:val="none"/>
          <w:lang w:bidi="ar"/>
        </w:rPr>
        <w:t>采购活动，服务全部由符合政策要求的中小企业承接。相关企业的具体情况如下：</w:t>
      </w:r>
    </w:p>
    <w:p>
      <w:pPr>
        <w:keepNext w:val="0"/>
        <w:keepLines w:val="0"/>
        <w:pageBreakBefore w:val="0"/>
        <w:widowControl/>
        <w:kinsoku/>
        <w:wordWrap w:val="0"/>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w:t>
      </w:r>
      <w:r>
        <w:rPr>
          <w:rFonts w:hint="eastAsia" w:ascii="宋体" w:hAnsi="宋体" w:cs="宋体"/>
          <w:i/>
          <w:color w:val="auto"/>
          <w:kern w:val="0"/>
          <w:szCs w:val="21"/>
          <w:highlight w:val="none"/>
          <w:u w:val="single"/>
          <w:lang w:bidi="ar"/>
        </w:rPr>
        <w:t>（标的名称）</w:t>
      </w:r>
      <w:r>
        <w:rPr>
          <w:rFonts w:hint="eastAsia" w:ascii="宋体" w:hAnsi="宋体" w:cs="宋体"/>
          <w:color w:val="auto"/>
          <w:kern w:val="0"/>
          <w:szCs w:val="21"/>
          <w:highlight w:val="none"/>
          <w:lang w:bidi="ar"/>
        </w:rPr>
        <w:t>，属于</w:t>
      </w:r>
      <w:r>
        <w:rPr>
          <w:rFonts w:hint="eastAsia" w:ascii="宋体" w:hAnsi="宋体" w:cs="宋体"/>
          <w:i/>
          <w:color w:val="auto"/>
          <w:kern w:val="0"/>
          <w:szCs w:val="21"/>
          <w:highlight w:val="none"/>
          <w:u w:val="single"/>
          <w:lang w:bidi="ar"/>
        </w:rPr>
        <w:t>（采购文件中明确的所属行业）</w:t>
      </w:r>
      <w:r>
        <w:rPr>
          <w:rFonts w:hint="eastAsia" w:ascii="宋体" w:hAnsi="宋体" w:cs="宋体"/>
          <w:color w:val="auto"/>
          <w:kern w:val="0"/>
          <w:szCs w:val="21"/>
          <w:highlight w:val="none"/>
          <w:lang w:bidi="ar"/>
        </w:rPr>
        <w:t>；承接企业为</w:t>
      </w:r>
      <w:r>
        <w:rPr>
          <w:rFonts w:hint="eastAsia" w:ascii="宋体" w:hAnsi="宋体" w:cs="宋体"/>
          <w:i/>
          <w:color w:val="auto"/>
          <w:kern w:val="0"/>
          <w:szCs w:val="21"/>
          <w:highlight w:val="none"/>
          <w:u w:val="single"/>
          <w:lang w:bidi="ar"/>
        </w:rPr>
        <w:t>（企业名称）</w:t>
      </w:r>
      <w:r>
        <w:rPr>
          <w:rFonts w:hint="eastAsia" w:ascii="宋体" w:hAnsi="宋体" w:cs="宋体"/>
          <w:color w:val="auto"/>
          <w:kern w:val="0"/>
          <w:szCs w:val="21"/>
          <w:highlight w:val="none"/>
          <w:lang w:bidi="ar"/>
        </w:rPr>
        <w:t>，从业人员</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人，营业收入为</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万元，资产总额为</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万元，属于</w:t>
      </w:r>
      <w:r>
        <w:rPr>
          <w:rFonts w:hint="eastAsia" w:ascii="宋体" w:hAnsi="宋体" w:cs="宋体"/>
          <w:i/>
          <w:color w:val="auto"/>
          <w:kern w:val="0"/>
          <w:szCs w:val="21"/>
          <w:highlight w:val="none"/>
          <w:u w:val="single"/>
          <w:lang w:bidi="ar"/>
        </w:rPr>
        <w:t>（中型企业、小型企业、微型企业）</w:t>
      </w:r>
      <w:r>
        <w:rPr>
          <w:rFonts w:hint="eastAsia" w:ascii="宋体" w:hAnsi="宋体" w:cs="宋体"/>
          <w:color w:val="auto"/>
          <w:kern w:val="0"/>
          <w:szCs w:val="21"/>
          <w:highlight w:val="none"/>
          <w:lang w:bidi="ar"/>
        </w:rPr>
        <w:t>；</w:t>
      </w:r>
    </w:p>
    <w:p>
      <w:pPr>
        <w:keepNext w:val="0"/>
        <w:keepLines w:val="0"/>
        <w:pageBreakBefore w:val="0"/>
        <w:widowControl/>
        <w:kinsoku/>
        <w:wordWrap w:val="0"/>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kern w:val="0"/>
          <w:szCs w:val="21"/>
          <w:highlight w:val="none"/>
          <w:lang w:bidi="ar"/>
        </w:rPr>
        <w:t>2.</w:t>
      </w:r>
      <w:r>
        <w:rPr>
          <w:rFonts w:hint="eastAsia" w:ascii="宋体" w:hAnsi="宋体" w:cs="宋体"/>
          <w:i/>
          <w:color w:val="auto"/>
          <w:kern w:val="0"/>
          <w:szCs w:val="21"/>
          <w:highlight w:val="none"/>
          <w:u w:val="single"/>
          <w:lang w:bidi="ar"/>
        </w:rPr>
        <w:t>（标的名称）</w:t>
      </w:r>
      <w:r>
        <w:rPr>
          <w:rFonts w:hint="eastAsia" w:ascii="宋体" w:hAnsi="宋体" w:cs="宋体"/>
          <w:color w:val="auto"/>
          <w:kern w:val="0"/>
          <w:szCs w:val="21"/>
          <w:highlight w:val="none"/>
          <w:lang w:bidi="ar"/>
        </w:rPr>
        <w:t>，属于</w:t>
      </w:r>
      <w:r>
        <w:rPr>
          <w:rFonts w:hint="eastAsia" w:ascii="宋体" w:hAnsi="宋体" w:cs="宋体"/>
          <w:i/>
          <w:color w:val="auto"/>
          <w:kern w:val="0"/>
          <w:szCs w:val="21"/>
          <w:highlight w:val="none"/>
          <w:u w:val="single"/>
          <w:lang w:bidi="ar"/>
        </w:rPr>
        <w:t>（采购文件中明确的所属行业）</w:t>
      </w:r>
      <w:r>
        <w:rPr>
          <w:rFonts w:hint="eastAsia" w:ascii="宋体" w:hAnsi="宋体" w:cs="宋体"/>
          <w:color w:val="auto"/>
          <w:kern w:val="0"/>
          <w:szCs w:val="21"/>
          <w:highlight w:val="none"/>
          <w:lang w:bidi="ar"/>
        </w:rPr>
        <w:t>；承接企业为</w:t>
      </w:r>
      <w:r>
        <w:rPr>
          <w:rFonts w:hint="eastAsia" w:ascii="宋体" w:hAnsi="宋体" w:cs="宋体"/>
          <w:i/>
          <w:color w:val="auto"/>
          <w:kern w:val="0"/>
          <w:szCs w:val="21"/>
          <w:highlight w:val="none"/>
          <w:u w:val="single"/>
          <w:lang w:bidi="ar"/>
        </w:rPr>
        <w:t>（企业名称）</w:t>
      </w:r>
      <w:r>
        <w:rPr>
          <w:rFonts w:hint="eastAsia" w:ascii="宋体" w:hAnsi="宋体" w:cs="宋体"/>
          <w:color w:val="auto"/>
          <w:kern w:val="0"/>
          <w:szCs w:val="21"/>
          <w:highlight w:val="none"/>
          <w:lang w:bidi="ar"/>
        </w:rPr>
        <w:t>，从业人员</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人，营业收入为</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万元，资产总额为</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万元，属于</w:t>
      </w:r>
      <w:r>
        <w:rPr>
          <w:rFonts w:hint="eastAsia" w:ascii="宋体" w:hAnsi="宋体" w:cs="宋体"/>
          <w:i/>
          <w:color w:val="auto"/>
          <w:kern w:val="0"/>
          <w:szCs w:val="21"/>
          <w:highlight w:val="none"/>
          <w:u w:val="single"/>
          <w:lang w:bidi="ar"/>
        </w:rPr>
        <w:t>（中型企业、小型企业、微型企业）</w:t>
      </w:r>
      <w:r>
        <w:rPr>
          <w:rFonts w:hint="eastAsia" w:ascii="宋体" w:hAnsi="宋体" w:cs="宋体"/>
          <w:color w:val="auto"/>
          <w:kern w:val="0"/>
          <w:szCs w:val="21"/>
          <w:highlight w:val="none"/>
          <w:lang w:bidi="ar"/>
        </w:rPr>
        <w:t>；</w:t>
      </w:r>
    </w:p>
    <w:p>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kern w:val="0"/>
          <w:szCs w:val="21"/>
          <w:highlight w:val="none"/>
          <w:lang w:bidi="ar"/>
        </w:rPr>
        <w:t>……</w:t>
      </w:r>
    </w:p>
    <w:p>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kern w:val="0"/>
          <w:szCs w:val="21"/>
          <w:highlight w:val="none"/>
          <w:lang w:bidi="ar"/>
        </w:rPr>
        <w:t>以上企业，不属于大企业的分支机构，不存在控股股东为大企业的情形，也不存在与大企业的负责人为同一人的情形。</w:t>
      </w:r>
    </w:p>
    <w:p>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kern w:val="0"/>
          <w:szCs w:val="21"/>
          <w:highlight w:val="none"/>
          <w:lang w:bidi="ar"/>
        </w:rPr>
        <w:t xml:space="preserve">本企业对上述声明内容的真实性负责。如有虚假，将依法承担相应责任。 </w:t>
      </w:r>
    </w:p>
    <w:p>
      <w:pPr>
        <w:widowControl/>
        <w:spacing w:line="360" w:lineRule="auto"/>
        <w:ind w:firstLine="2520" w:firstLineChars="1200"/>
        <w:rPr>
          <w:rFonts w:hint="eastAsia" w:ascii="宋体" w:hAnsi="宋体" w:cs="宋体"/>
          <w:color w:val="auto"/>
          <w:szCs w:val="21"/>
          <w:highlight w:val="none"/>
        </w:rPr>
      </w:pPr>
      <w:r>
        <w:rPr>
          <w:rFonts w:hint="eastAsia" w:ascii="宋体" w:hAnsi="宋体" w:cs="宋体"/>
          <w:color w:val="auto"/>
          <w:kern w:val="0"/>
          <w:szCs w:val="21"/>
          <w:highlight w:val="none"/>
          <w:lang w:bidi="ar"/>
        </w:rPr>
        <w:t xml:space="preserve">企业名称（盖章）： </w:t>
      </w:r>
    </w:p>
    <w:p>
      <w:pPr>
        <w:widowControl/>
        <w:spacing w:line="360" w:lineRule="auto"/>
        <w:ind w:firstLine="2520" w:firstLineChars="1200"/>
        <w:rPr>
          <w:rFonts w:hint="eastAsia" w:ascii="宋体" w:hAnsi="宋体" w:cs="宋体"/>
          <w:color w:val="auto"/>
          <w:szCs w:val="21"/>
          <w:highlight w:val="none"/>
        </w:rPr>
      </w:pPr>
      <w:r>
        <w:rPr>
          <w:rFonts w:hint="eastAsia" w:ascii="宋体" w:hAnsi="宋体" w:cs="宋体"/>
          <w:color w:val="auto"/>
          <w:kern w:val="0"/>
          <w:szCs w:val="21"/>
          <w:highlight w:val="none"/>
          <w:lang w:bidi="ar"/>
        </w:rPr>
        <w:t xml:space="preserve">日 期： </w:t>
      </w:r>
    </w:p>
    <w:p>
      <w:pPr>
        <w:snapToGrid w:val="0"/>
        <w:spacing w:line="360" w:lineRule="auto"/>
        <w:rPr>
          <w:rFonts w:hint="eastAsia" w:ascii="宋体" w:hAnsi="宋体" w:cs="宋体"/>
          <w:b/>
          <w:color w:val="auto"/>
          <w:spacing w:val="0"/>
          <w:sz w:val="21"/>
          <w:szCs w:val="21"/>
          <w:highlight w:val="none"/>
        </w:rPr>
      </w:pPr>
    </w:p>
    <w:p>
      <w:pPr>
        <w:snapToGrid w:val="0"/>
        <w:spacing w:line="360" w:lineRule="auto"/>
        <w:rPr>
          <w:rFonts w:hint="eastAsia" w:ascii="宋体" w:hAnsi="宋体" w:cs="宋体"/>
          <w:b/>
          <w:color w:val="auto"/>
          <w:spacing w:val="0"/>
          <w:sz w:val="21"/>
          <w:szCs w:val="21"/>
          <w:highlight w:val="none"/>
        </w:rPr>
      </w:pPr>
      <w:r>
        <w:rPr>
          <w:rFonts w:hint="eastAsia" w:ascii="宋体" w:hAnsi="宋体" w:cs="宋体"/>
          <w:b/>
          <w:color w:val="auto"/>
          <w:spacing w:val="0"/>
          <w:sz w:val="21"/>
          <w:szCs w:val="21"/>
          <w:highlight w:val="none"/>
        </w:rPr>
        <w:t>注：</w:t>
      </w:r>
    </w:p>
    <w:p>
      <w:pPr>
        <w:snapToGrid w:val="0"/>
        <w:spacing w:line="360" w:lineRule="auto"/>
        <w:ind w:firstLine="422" w:firstLineChars="200"/>
        <w:rPr>
          <w:rFonts w:hint="eastAsia" w:ascii="宋体" w:hAnsi="宋体" w:cs="宋体"/>
          <w:b/>
          <w:color w:val="auto"/>
          <w:spacing w:val="0"/>
          <w:sz w:val="21"/>
          <w:szCs w:val="21"/>
          <w:highlight w:val="none"/>
        </w:rPr>
      </w:pPr>
      <w:r>
        <w:rPr>
          <w:rFonts w:hint="eastAsia" w:ascii="宋体" w:hAnsi="宋体" w:cs="宋体"/>
          <w:b/>
          <w:color w:val="auto"/>
          <w:spacing w:val="0"/>
          <w:sz w:val="21"/>
          <w:szCs w:val="21"/>
          <w:highlight w:val="none"/>
        </w:rPr>
        <w:t>1.从业人员、营业收入、资产总额填报上一年度数据，无上一年度数据的新成立企业可不填报。</w:t>
      </w:r>
    </w:p>
    <w:p>
      <w:pPr>
        <w:snapToGrid w:val="0"/>
        <w:spacing w:line="360" w:lineRule="auto"/>
        <w:ind w:firstLine="422" w:firstLineChars="200"/>
        <w:rPr>
          <w:rFonts w:hint="eastAsia" w:ascii="宋体" w:hAnsi="宋体" w:cs="宋体"/>
          <w:b/>
          <w:color w:val="auto"/>
          <w:spacing w:val="0"/>
          <w:sz w:val="21"/>
          <w:szCs w:val="21"/>
          <w:highlight w:val="none"/>
        </w:rPr>
      </w:pPr>
      <w:r>
        <w:rPr>
          <w:rFonts w:hint="eastAsia" w:ascii="宋体" w:hAnsi="宋体" w:cs="宋体"/>
          <w:b/>
          <w:color w:val="auto"/>
          <w:spacing w:val="0"/>
          <w:sz w:val="21"/>
          <w:szCs w:val="21"/>
          <w:highlight w:val="none"/>
        </w:rPr>
        <w:t>2.符合中小企业划分标准的个体工商户，在政府采购活动中视同中小企业。</w:t>
      </w:r>
    </w:p>
    <w:p>
      <w:pPr>
        <w:snapToGrid w:val="0"/>
        <w:spacing w:line="360" w:lineRule="auto"/>
        <w:ind w:firstLine="422" w:firstLineChars="200"/>
        <w:rPr>
          <w:rFonts w:hint="eastAsia" w:ascii="宋体" w:hAnsi="宋体" w:cs="宋体"/>
          <w:b/>
          <w:color w:val="auto"/>
          <w:spacing w:val="0"/>
          <w:sz w:val="21"/>
          <w:szCs w:val="21"/>
          <w:highlight w:val="none"/>
        </w:rPr>
      </w:pPr>
      <w:r>
        <w:rPr>
          <w:rFonts w:hint="eastAsia" w:ascii="宋体" w:hAnsi="宋体" w:cs="宋体"/>
          <w:b/>
          <w:color w:val="auto"/>
          <w:spacing w:val="0"/>
          <w:sz w:val="21"/>
          <w:szCs w:val="21"/>
          <w:highlight w:val="none"/>
        </w:rPr>
        <w:t>3.符合财政部 司法部关于政府采购支持监狱企业发展有关问题的通知（财库〔2014〕68 号）的监狱企业、符合财政部 民政部 中国残疾人联合会关于促进残疾人就业政府采购政策的通知（财库〔2017〕141 号）的残疾人福利性单位，在政府采购活动中，视同小型、微型企业，享受《政府采购促进中小企业发展管理办法》（财库[2020]46号）规定的中小企业扶持政策。监狱企业、残疾人福利性单位属于小型、微型企业的，不重复享受政策。</w:t>
      </w:r>
    </w:p>
    <w:p>
      <w:pPr>
        <w:snapToGrid w:val="0"/>
        <w:spacing w:line="360" w:lineRule="auto"/>
        <w:ind w:firstLine="422" w:firstLineChars="200"/>
        <w:rPr>
          <w:rFonts w:hint="eastAsia" w:ascii="宋体" w:hAnsi="宋体" w:cs="宋体"/>
          <w:b/>
          <w:color w:val="auto"/>
          <w:spacing w:val="0"/>
          <w:sz w:val="21"/>
          <w:szCs w:val="21"/>
          <w:highlight w:val="none"/>
        </w:rPr>
      </w:pPr>
      <w:r>
        <w:rPr>
          <w:rFonts w:hint="eastAsia" w:ascii="宋体" w:hAnsi="宋体" w:cs="宋体"/>
          <w:b/>
          <w:color w:val="auto"/>
          <w:spacing w:val="0"/>
          <w:sz w:val="21"/>
          <w:szCs w:val="21"/>
          <w:highlight w:val="none"/>
        </w:rPr>
        <w:t>4.中标、成交供应商享受《政府采购促进中小企业发展管理办法》（财库[2020]46号）规定的中小企业扶持政策的，《中小企业声明函》随中标、成交结果公开。</w:t>
      </w:r>
    </w:p>
    <w:p>
      <w:pPr>
        <w:snapToGrid w:val="0"/>
        <w:spacing w:line="360" w:lineRule="auto"/>
        <w:ind w:firstLine="422" w:firstLineChars="200"/>
        <w:rPr>
          <w:rFonts w:hint="eastAsia" w:ascii="宋体" w:hAnsi="宋体" w:cs="宋体"/>
          <w:b/>
          <w:color w:val="auto"/>
          <w:spacing w:val="0"/>
          <w:sz w:val="21"/>
          <w:szCs w:val="21"/>
          <w:highlight w:val="none"/>
        </w:rPr>
      </w:pPr>
      <w:r>
        <w:rPr>
          <w:rFonts w:hint="eastAsia" w:ascii="宋体" w:hAnsi="宋体" w:cs="宋体"/>
          <w:b/>
          <w:color w:val="auto"/>
          <w:spacing w:val="0"/>
          <w:sz w:val="21"/>
          <w:szCs w:val="21"/>
          <w:highlight w:val="none"/>
        </w:rPr>
        <w:t>5.供应商应当按照《政府采购促进中小企业发展管理办法》（财库[2020]46号）规定和《中小企业划型标准规定》（工信部联企业〔2011〕300号），如实填写并提交《中小企业声明函》。供应商对其声明内容的真实性负责，声明函内容不实的，属于提供虚假材料谋取中标、成交，依照《中华人民共和国政府采购法》等国家有关规定追究相应责任。</w:t>
      </w:r>
    </w:p>
    <w:p>
      <w:pPr>
        <w:wordWrap/>
        <w:spacing w:line="240" w:lineRule="auto"/>
        <w:ind w:firstLine="316" w:firstLineChars="150"/>
        <w:rPr>
          <w:rFonts w:hAnsi="宋体"/>
          <w:b/>
          <w:color w:val="auto"/>
          <w:spacing w:val="0"/>
          <w:sz w:val="21"/>
          <w:szCs w:val="21"/>
          <w:highlight w:val="none"/>
        </w:rPr>
      </w:pPr>
      <w:r>
        <w:rPr>
          <w:rFonts w:hint="eastAsia" w:ascii="宋体" w:hAnsi="宋体" w:cs="宋体"/>
          <w:b/>
          <w:color w:val="auto"/>
          <w:spacing w:val="0"/>
          <w:sz w:val="21"/>
          <w:szCs w:val="21"/>
          <w:highlight w:val="none"/>
        </w:rPr>
        <w:t>6.本项目采购标的对应的中小企业划分标准所属行业：其他未列明行业。</w:t>
      </w:r>
    </w:p>
    <w:p>
      <w:pPr>
        <w:wordWrap/>
        <w:spacing w:line="240" w:lineRule="auto"/>
        <w:ind w:firstLine="376" w:firstLineChars="150"/>
        <w:rPr>
          <w:rFonts w:hAnsi="宋体"/>
          <w:b/>
          <w:color w:val="auto"/>
          <w:spacing w:val="20"/>
          <w:szCs w:val="21"/>
          <w:highlight w:val="none"/>
        </w:rPr>
      </w:pPr>
      <w:r>
        <w:rPr>
          <w:rFonts w:hAnsi="宋体"/>
          <w:b/>
          <w:color w:val="auto"/>
          <w:spacing w:val="20"/>
          <w:szCs w:val="21"/>
          <w:highlight w:val="none"/>
        </w:rPr>
        <w:br w:type="page"/>
      </w:r>
    </w:p>
    <w:p>
      <w:pPr>
        <w:pStyle w:val="8"/>
        <w:rPr>
          <w:color w:val="auto"/>
          <w:highlight w:val="none"/>
        </w:rPr>
      </w:pPr>
      <w:r>
        <w:rPr>
          <w:rFonts w:hint="eastAsia"/>
          <w:color w:val="auto"/>
          <w:highlight w:val="none"/>
        </w:rPr>
        <w:t>监狱企业证明文件</w:t>
      </w:r>
    </w:p>
    <w:p>
      <w:pPr>
        <w:ind w:firstLine="0" w:firstLineChars="0"/>
        <w:rPr>
          <w:b/>
          <w:bCs/>
          <w:color w:val="auto"/>
          <w:highlight w:val="none"/>
        </w:rPr>
      </w:pPr>
    </w:p>
    <w:p>
      <w:pPr>
        <w:ind w:firstLine="0" w:firstLineChars="0"/>
        <w:jc w:val="center"/>
        <w:rPr>
          <w:color w:val="auto"/>
          <w:highlight w:val="none"/>
        </w:rPr>
      </w:pPr>
      <w:r>
        <w:rPr>
          <w:rFonts w:hint="eastAsia"/>
          <w:b/>
          <w:bCs/>
          <w:color w:val="auto"/>
          <w:highlight w:val="none"/>
        </w:rPr>
        <w:t>提供由省级以上监狱管理局、戒毒管理局（含新疆生产建设兵团）出具的属于监狱企业的证明文件</w:t>
      </w:r>
    </w:p>
    <w:p>
      <w:pPr>
        <w:ind w:firstLine="420"/>
        <w:rPr>
          <w:color w:val="auto"/>
          <w:highlight w:val="none"/>
        </w:rPr>
      </w:pPr>
      <w:r>
        <w:rPr>
          <w:color w:val="auto"/>
          <w:highlight w:val="none"/>
        </w:rPr>
        <w:br w:type="page"/>
      </w:r>
    </w:p>
    <w:p>
      <w:pPr>
        <w:pStyle w:val="8"/>
        <w:rPr>
          <w:color w:val="auto"/>
          <w:highlight w:val="none"/>
        </w:rPr>
      </w:pPr>
      <w:r>
        <w:rPr>
          <w:rFonts w:hint="eastAsia"/>
          <w:color w:val="auto"/>
          <w:highlight w:val="none"/>
        </w:rPr>
        <w:t>残疾人福利性单位声明函</w:t>
      </w:r>
    </w:p>
    <w:p>
      <w:pPr>
        <w:ind w:firstLine="0" w:firstLineChars="0"/>
        <w:jc w:val="center"/>
        <w:rPr>
          <w:b/>
          <w:bCs/>
          <w:color w:val="auto"/>
          <w:highlight w:val="none"/>
        </w:rPr>
      </w:pPr>
      <w:r>
        <w:rPr>
          <w:rFonts w:hint="eastAsia"/>
          <w:b/>
          <w:bCs/>
          <w:color w:val="auto"/>
          <w:highlight w:val="none"/>
        </w:rPr>
        <w:t>残疾人福利性单位声明函</w:t>
      </w:r>
      <w:r>
        <w:rPr>
          <w:rFonts w:hint="eastAsia" w:ascii="宋体" w:hAnsi="宋体" w:cs="宋体"/>
          <w:b/>
          <w:color w:val="auto"/>
          <w:spacing w:val="6"/>
          <w:kern w:val="0"/>
          <w:szCs w:val="21"/>
          <w:highlight w:val="none"/>
        </w:rPr>
        <w:t>（服务）</w:t>
      </w:r>
    </w:p>
    <w:p>
      <w:pPr>
        <w:ind w:firstLine="0" w:firstLineChars="0"/>
        <w:jc w:val="center"/>
        <w:rPr>
          <w:color w:val="auto"/>
          <w:highlight w:val="none"/>
        </w:rPr>
      </w:pPr>
      <w:r>
        <w:rPr>
          <w:rFonts w:hint="eastAsia"/>
          <w:color w:val="auto"/>
          <w:highlight w:val="none"/>
        </w:rPr>
        <w:t>【非残疾人福利性单位不用提供】</w:t>
      </w:r>
    </w:p>
    <w:p>
      <w:pPr>
        <w:widowControl/>
        <w:spacing w:before="312" w:beforeLines="100" w:line="500" w:lineRule="exact"/>
        <w:ind w:firstLine="601"/>
        <w:rPr>
          <w:rFonts w:hint="eastAsia" w:ascii="宋体" w:hAnsi="宋体" w:cs="宋体"/>
          <w:color w:val="auto"/>
          <w:szCs w:val="21"/>
          <w:highlight w:val="none"/>
        </w:rPr>
      </w:pPr>
      <w:r>
        <w:rPr>
          <w:rFonts w:hint="eastAsia" w:ascii="宋体" w:hAnsi="宋体" w:cs="宋体"/>
          <w:color w:val="auto"/>
          <w:szCs w:val="21"/>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中国残疾人联合会关于促进残疾人就业政府采购政策的通知》（财库〔2017〕141号）的规定，本单位为符合条件的残疾人福利性单位，且本单位参加______单位的______项目采购活动由本单位提供服务。</w:t>
      </w:r>
    </w:p>
    <w:p>
      <w:pPr>
        <w:ind w:firstLine="420"/>
        <w:rPr>
          <w:color w:val="auto"/>
          <w:highlight w:val="none"/>
        </w:rPr>
      </w:pPr>
      <w:r>
        <w:rPr>
          <w:rFonts w:hint="eastAsia" w:ascii="宋体" w:hAnsi="宋体" w:cs="宋体"/>
          <w:color w:val="auto"/>
          <w:szCs w:val="21"/>
          <w:highlight w:val="none"/>
        </w:rPr>
        <w:t>本单位对上述声明的真实性负责。如有虚假，将依法承担相应责任。</w:t>
      </w:r>
    </w:p>
    <w:p>
      <w:pPr>
        <w:ind w:firstLine="420"/>
        <w:rPr>
          <w:color w:val="auto"/>
          <w:highlight w:val="none"/>
        </w:rPr>
      </w:pPr>
    </w:p>
    <w:p>
      <w:pPr>
        <w:ind w:firstLine="420"/>
        <w:rPr>
          <w:color w:val="auto"/>
          <w:highlight w:val="none"/>
        </w:rPr>
      </w:pPr>
    </w:p>
    <w:p>
      <w:pPr>
        <w:ind w:firstLine="420"/>
        <w:jc w:val="right"/>
        <w:rPr>
          <w:color w:val="auto"/>
          <w:highlight w:val="none"/>
        </w:rPr>
      </w:pPr>
      <w:r>
        <w:rPr>
          <w:rFonts w:hint="eastAsia"/>
          <w:color w:val="auto"/>
          <w:highlight w:val="none"/>
        </w:rPr>
        <w:t>投标人名称</w:t>
      </w:r>
      <w:r>
        <w:rPr>
          <w:rFonts w:hint="eastAsia"/>
          <w:color w:val="auto"/>
          <w:highlight w:val="none"/>
          <w:lang w:eastAsia="zh-CN"/>
        </w:rPr>
        <w:t>（盖章）</w:t>
      </w:r>
      <w:r>
        <w:rPr>
          <w:rFonts w:hint="eastAsia"/>
          <w:color w:val="auto"/>
          <w:highlight w:val="none"/>
        </w:rPr>
        <w:t xml:space="preserve">： </w:t>
      </w:r>
    </w:p>
    <w:p>
      <w:pPr>
        <w:ind w:firstLine="420"/>
        <w:jc w:val="right"/>
        <w:rPr>
          <w:color w:val="auto"/>
          <w:highlight w:val="none"/>
        </w:rPr>
      </w:pPr>
      <w:r>
        <w:rPr>
          <w:rFonts w:hint="eastAsia"/>
          <w:color w:val="auto"/>
          <w:highlight w:val="none"/>
        </w:rPr>
        <w:t>日期：   年   月   日</w:t>
      </w:r>
    </w:p>
    <w:p>
      <w:pPr>
        <w:snapToGrid w:val="0"/>
        <w:spacing w:line="360" w:lineRule="auto"/>
        <w:ind w:left="0" w:leftChars="0" w:firstLine="0" w:firstLineChars="0"/>
        <w:jc w:val="left"/>
        <w:rPr>
          <w:rFonts w:hint="eastAsia"/>
          <w:b/>
          <w:bCs/>
          <w:color w:val="auto"/>
          <w:highlight w:val="none"/>
        </w:rPr>
      </w:pPr>
      <w:r>
        <w:rPr>
          <w:rFonts w:hint="eastAsia"/>
          <w:b/>
          <w:bCs/>
          <w:color w:val="auto"/>
          <w:highlight w:val="none"/>
        </w:rPr>
        <w:t>注：</w:t>
      </w:r>
    </w:p>
    <w:p>
      <w:pPr>
        <w:snapToGrid w:val="0"/>
        <w:spacing w:line="360" w:lineRule="auto"/>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1.中标、成交供应商为残疾人福利性单位的，《残疾人福利性单位声明函》随中标、成交结果同时公告，接受社会监督。</w:t>
      </w:r>
    </w:p>
    <w:p>
      <w:pPr>
        <w:ind w:firstLine="422"/>
        <w:rPr>
          <w:b/>
          <w:bCs/>
          <w:color w:val="auto"/>
          <w:highlight w:val="none"/>
        </w:rPr>
      </w:pPr>
      <w:r>
        <w:rPr>
          <w:rFonts w:hint="eastAsia" w:ascii="宋体" w:hAnsi="宋体" w:cs="宋体"/>
          <w:b/>
          <w:color w:val="auto"/>
          <w:szCs w:val="21"/>
          <w:highlight w:val="none"/>
        </w:rPr>
        <w:t>2.供应商提供的《残疾人福利性单位声明函》与事实不符的，依照《政府采购法》第七十七条第一款的规定追究法律责任。</w:t>
      </w:r>
    </w:p>
    <w:p>
      <w:pPr>
        <w:widowControl/>
        <w:wordWrap/>
        <w:spacing w:line="240" w:lineRule="auto"/>
        <w:ind w:firstLine="0" w:firstLineChars="0"/>
        <w:jc w:val="left"/>
        <w:rPr>
          <w:b/>
          <w:bCs/>
          <w:color w:val="auto"/>
          <w:highlight w:val="none"/>
        </w:rPr>
      </w:pPr>
    </w:p>
    <w:p>
      <w:pPr>
        <w:widowControl/>
        <w:wordWrap/>
        <w:spacing w:line="240" w:lineRule="auto"/>
        <w:ind w:firstLine="0" w:firstLineChars="0"/>
        <w:jc w:val="left"/>
        <w:rPr>
          <w:b/>
          <w:bCs/>
          <w:color w:val="auto"/>
          <w:highlight w:val="none"/>
        </w:rPr>
      </w:pPr>
    </w:p>
    <w:p>
      <w:pPr>
        <w:widowControl/>
        <w:wordWrap/>
        <w:spacing w:line="240" w:lineRule="auto"/>
        <w:ind w:firstLine="0" w:firstLineChars="0"/>
        <w:jc w:val="left"/>
        <w:rPr>
          <w:b/>
          <w:bCs/>
          <w:color w:val="auto"/>
          <w:highlight w:val="none"/>
        </w:rPr>
      </w:pPr>
    </w:p>
    <w:p>
      <w:pPr>
        <w:widowControl/>
        <w:wordWrap/>
        <w:spacing w:line="240" w:lineRule="auto"/>
        <w:ind w:firstLine="0" w:firstLineChars="0"/>
        <w:jc w:val="left"/>
        <w:rPr>
          <w:b/>
          <w:bCs/>
          <w:color w:val="auto"/>
          <w:highlight w:val="none"/>
        </w:rPr>
      </w:pPr>
      <w:r>
        <w:rPr>
          <w:b/>
          <w:bCs/>
          <w:color w:val="auto"/>
          <w:highlight w:val="none"/>
        </w:rPr>
        <w:br w:type="page"/>
      </w:r>
    </w:p>
    <w:p>
      <w:pPr>
        <w:pStyle w:val="8"/>
        <w:rPr>
          <w:color w:val="auto"/>
          <w:highlight w:val="none"/>
        </w:rPr>
      </w:pPr>
      <w:r>
        <w:rPr>
          <w:rFonts w:hint="eastAsia"/>
          <w:color w:val="auto"/>
          <w:highlight w:val="none"/>
        </w:rPr>
        <w:t>质疑函范本</w:t>
      </w:r>
    </w:p>
    <w:p>
      <w:pPr>
        <w:spacing w:line="360" w:lineRule="auto"/>
        <w:jc w:val="center"/>
        <w:rPr>
          <w:rFonts w:ascii="宋体" w:hAnsi="宋体"/>
          <w:color w:val="auto"/>
          <w:szCs w:val="21"/>
          <w:highlight w:val="none"/>
        </w:rPr>
      </w:pPr>
      <w:r>
        <w:rPr>
          <w:rFonts w:hint="eastAsia" w:ascii="宋体" w:hAnsi="宋体"/>
          <w:color w:val="auto"/>
          <w:szCs w:val="21"/>
          <w:highlight w:val="none"/>
        </w:rPr>
        <w:t>质疑函（格式）</w:t>
      </w:r>
    </w:p>
    <w:p>
      <w:pPr>
        <w:widowControl/>
        <w:spacing w:before="100" w:beforeAutospacing="1" w:after="100" w:afterAutospacing="1" w:line="276" w:lineRule="auto"/>
        <w:jc w:val="left"/>
        <w:rPr>
          <w:rFonts w:hint="eastAsia" w:ascii="宋体" w:hAnsi="宋体" w:cs="宋体"/>
          <w:color w:val="auto"/>
          <w:szCs w:val="21"/>
          <w:highlight w:val="none"/>
        </w:rPr>
      </w:pPr>
      <w:r>
        <w:rPr>
          <w:rFonts w:hint="eastAsia" w:ascii="宋体" w:hAnsi="宋体" w:cs="仿宋"/>
          <w:color w:val="auto"/>
          <w:kern w:val="0"/>
          <w:szCs w:val="21"/>
          <w:highlight w:val="none"/>
          <w:shd w:val="clear" w:color="auto" w:fill="FFFFFF"/>
          <w:lang w:bidi="ar"/>
        </w:rPr>
        <w:t>质疑供应商：</w:t>
      </w:r>
      <w:r>
        <w:rPr>
          <w:rFonts w:hint="eastAsia" w:ascii="宋体" w:hAnsi="宋体" w:cs="Calibri"/>
          <w:color w:val="auto"/>
          <w:kern w:val="0"/>
          <w:szCs w:val="21"/>
          <w:highlight w:val="none"/>
          <w:u w:val="single"/>
          <w:shd w:val="clear" w:color="auto" w:fill="FFFFFF"/>
          <w:lang w:bidi="ar"/>
        </w:rPr>
        <w:t xml:space="preserve">                                                                     </w:t>
      </w:r>
    </w:p>
    <w:p>
      <w:pPr>
        <w:widowControl/>
        <w:spacing w:before="100" w:beforeAutospacing="1" w:after="100" w:afterAutospacing="1" w:line="276" w:lineRule="auto"/>
        <w:jc w:val="left"/>
        <w:rPr>
          <w:rFonts w:hint="eastAsia" w:ascii="宋体" w:hAnsi="宋体" w:cs="宋体"/>
          <w:color w:val="auto"/>
          <w:szCs w:val="21"/>
          <w:highlight w:val="none"/>
        </w:rPr>
      </w:pPr>
      <w:r>
        <w:rPr>
          <w:rFonts w:hint="eastAsia" w:ascii="宋体" w:hAnsi="宋体" w:cs="仿宋"/>
          <w:color w:val="auto"/>
          <w:kern w:val="0"/>
          <w:szCs w:val="21"/>
          <w:highlight w:val="none"/>
          <w:shd w:val="clear" w:color="auto" w:fill="FFFFFF"/>
          <w:lang w:bidi="ar"/>
        </w:rPr>
        <w:t>地址：</w:t>
      </w:r>
      <w:r>
        <w:rPr>
          <w:rFonts w:hint="eastAsia" w:ascii="宋体" w:hAnsi="宋体" w:cs="Calibri"/>
          <w:color w:val="auto"/>
          <w:kern w:val="0"/>
          <w:szCs w:val="21"/>
          <w:highlight w:val="none"/>
          <w:u w:val="single"/>
          <w:shd w:val="clear" w:color="auto" w:fill="FFFFFF"/>
          <w:lang w:bidi="ar"/>
        </w:rPr>
        <w:t xml:space="preserve">                                                         </w:t>
      </w:r>
      <w:r>
        <w:rPr>
          <w:rFonts w:hint="eastAsia" w:ascii="宋体" w:hAnsi="宋体" w:cs="仿宋"/>
          <w:color w:val="auto"/>
          <w:kern w:val="0"/>
          <w:szCs w:val="21"/>
          <w:highlight w:val="none"/>
          <w:shd w:val="clear" w:color="auto" w:fill="FFFFFF"/>
          <w:lang w:bidi="ar"/>
        </w:rPr>
        <w:t>邮编：</w:t>
      </w:r>
      <w:r>
        <w:rPr>
          <w:rFonts w:hint="eastAsia" w:ascii="宋体" w:hAnsi="宋体" w:cs="Calibri"/>
          <w:color w:val="auto"/>
          <w:kern w:val="0"/>
          <w:szCs w:val="21"/>
          <w:highlight w:val="none"/>
          <w:u w:val="single"/>
          <w:shd w:val="clear" w:color="auto" w:fill="FFFFFF"/>
          <w:lang w:bidi="ar"/>
        </w:rPr>
        <w:t xml:space="preserve">             </w:t>
      </w:r>
    </w:p>
    <w:p>
      <w:pPr>
        <w:widowControl/>
        <w:spacing w:before="100" w:beforeAutospacing="1" w:after="100" w:afterAutospacing="1" w:line="276" w:lineRule="auto"/>
        <w:jc w:val="left"/>
        <w:rPr>
          <w:rFonts w:hint="eastAsia" w:ascii="宋体" w:hAnsi="宋体" w:cs="Calibri"/>
          <w:color w:val="auto"/>
          <w:kern w:val="0"/>
          <w:szCs w:val="21"/>
          <w:highlight w:val="none"/>
          <w:u w:val="single"/>
          <w:shd w:val="clear" w:color="auto" w:fill="FFFFFF"/>
          <w:lang w:bidi="ar"/>
        </w:rPr>
      </w:pPr>
      <w:r>
        <w:rPr>
          <w:rFonts w:hint="eastAsia" w:ascii="宋体" w:hAnsi="宋体" w:cs="仿宋"/>
          <w:color w:val="auto"/>
          <w:kern w:val="0"/>
          <w:szCs w:val="21"/>
          <w:highlight w:val="none"/>
          <w:shd w:val="clear" w:color="auto" w:fill="FFFFFF"/>
          <w:lang w:bidi="ar"/>
        </w:rPr>
        <w:t>联系人：</w:t>
      </w:r>
      <w:r>
        <w:rPr>
          <w:rFonts w:hint="eastAsia" w:ascii="宋体" w:hAnsi="宋体" w:cs="Calibri"/>
          <w:color w:val="auto"/>
          <w:kern w:val="0"/>
          <w:szCs w:val="21"/>
          <w:highlight w:val="none"/>
          <w:u w:val="single"/>
          <w:shd w:val="clear" w:color="auto" w:fill="FFFFFF"/>
          <w:lang w:bidi="ar"/>
        </w:rPr>
        <w:t xml:space="preserve">                                                                         </w:t>
      </w:r>
    </w:p>
    <w:p>
      <w:pPr>
        <w:widowControl/>
        <w:spacing w:before="100" w:beforeAutospacing="1" w:after="100" w:afterAutospacing="1" w:line="276" w:lineRule="auto"/>
        <w:jc w:val="left"/>
        <w:rPr>
          <w:rFonts w:hint="eastAsia" w:ascii="宋体" w:hAnsi="宋体" w:cs="宋体"/>
          <w:color w:val="auto"/>
          <w:szCs w:val="21"/>
          <w:highlight w:val="none"/>
        </w:rPr>
      </w:pPr>
      <w:r>
        <w:rPr>
          <w:rFonts w:hint="eastAsia" w:ascii="宋体" w:hAnsi="宋体" w:cs="仿宋"/>
          <w:color w:val="auto"/>
          <w:kern w:val="0"/>
          <w:szCs w:val="21"/>
          <w:highlight w:val="none"/>
          <w:shd w:val="clear" w:color="auto" w:fill="FFFFFF"/>
          <w:lang w:bidi="ar"/>
        </w:rPr>
        <w:t>联系电话：</w:t>
      </w:r>
      <w:r>
        <w:rPr>
          <w:rFonts w:hint="eastAsia" w:ascii="宋体" w:hAnsi="宋体" w:cs="Calibri"/>
          <w:color w:val="auto"/>
          <w:kern w:val="0"/>
          <w:szCs w:val="21"/>
          <w:highlight w:val="none"/>
          <w:u w:val="single"/>
          <w:shd w:val="clear" w:color="auto" w:fill="FFFFFF"/>
          <w:lang w:bidi="ar"/>
        </w:rPr>
        <w:t xml:space="preserve">                                                                       </w:t>
      </w:r>
    </w:p>
    <w:p>
      <w:pPr>
        <w:widowControl/>
        <w:spacing w:before="100" w:beforeAutospacing="1" w:after="100" w:afterAutospacing="1" w:line="276" w:lineRule="auto"/>
        <w:jc w:val="left"/>
        <w:rPr>
          <w:rFonts w:hint="eastAsia" w:ascii="宋体" w:hAnsi="宋体" w:cs="Calibri"/>
          <w:color w:val="auto"/>
          <w:kern w:val="0"/>
          <w:szCs w:val="21"/>
          <w:highlight w:val="none"/>
          <w:u w:val="single"/>
          <w:shd w:val="clear" w:color="auto" w:fill="FFFFFF"/>
          <w:lang w:bidi="ar"/>
        </w:rPr>
      </w:pPr>
      <w:r>
        <w:rPr>
          <w:rFonts w:hint="eastAsia" w:ascii="宋体" w:hAnsi="宋体" w:cs="仿宋"/>
          <w:color w:val="auto"/>
          <w:kern w:val="0"/>
          <w:szCs w:val="21"/>
          <w:highlight w:val="none"/>
          <w:shd w:val="clear" w:color="auto" w:fill="FFFFFF"/>
          <w:lang w:bidi="ar"/>
        </w:rPr>
        <w:t>授权代表：</w:t>
      </w:r>
      <w:r>
        <w:rPr>
          <w:rFonts w:hint="eastAsia" w:ascii="宋体" w:hAnsi="宋体" w:cs="Calibri"/>
          <w:color w:val="auto"/>
          <w:kern w:val="0"/>
          <w:szCs w:val="21"/>
          <w:highlight w:val="none"/>
          <w:u w:val="single"/>
          <w:shd w:val="clear" w:color="auto" w:fill="FFFFFF"/>
          <w:lang w:bidi="ar"/>
        </w:rPr>
        <w:t xml:space="preserve">                                                                       </w:t>
      </w:r>
    </w:p>
    <w:p>
      <w:pPr>
        <w:widowControl/>
        <w:spacing w:before="100" w:beforeAutospacing="1" w:after="100" w:afterAutospacing="1" w:line="276" w:lineRule="auto"/>
        <w:jc w:val="left"/>
        <w:rPr>
          <w:rFonts w:hint="eastAsia" w:ascii="宋体" w:hAnsi="宋体" w:cs="宋体"/>
          <w:color w:val="auto"/>
          <w:szCs w:val="21"/>
          <w:highlight w:val="none"/>
        </w:rPr>
      </w:pPr>
      <w:r>
        <w:rPr>
          <w:rFonts w:hint="eastAsia" w:ascii="宋体" w:hAnsi="宋体" w:cs="仿宋"/>
          <w:color w:val="auto"/>
          <w:kern w:val="0"/>
          <w:szCs w:val="21"/>
          <w:highlight w:val="none"/>
          <w:shd w:val="clear" w:color="auto" w:fill="FFFFFF"/>
          <w:lang w:bidi="ar"/>
        </w:rPr>
        <w:t>联系电话：</w:t>
      </w:r>
      <w:r>
        <w:rPr>
          <w:rFonts w:hint="eastAsia" w:ascii="宋体" w:hAnsi="宋体" w:cs="Calibri"/>
          <w:color w:val="auto"/>
          <w:kern w:val="0"/>
          <w:szCs w:val="21"/>
          <w:highlight w:val="none"/>
          <w:u w:val="single"/>
          <w:shd w:val="clear" w:color="auto" w:fill="FFFFFF"/>
          <w:lang w:bidi="ar"/>
        </w:rPr>
        <w:t xml:space="preserve">                                                                       </w:t>
      </w:r>
    </w:p>
    <w:p>
      <w:pPr>
        <w:widowControl/>
        <w:spacing w:before="100" w:beforeAutospacing="1" w:after="100" w:afterAutospacing="1" w:line="276" w:lineRule="auto"/>
        <w:jc w:val="left"/>
        <w:rPr>
          <w:rFonts w:hint="eastAsia" w:ascii="宋体" w:hAnsi="宋体" w:cs="宋体"/>
          <w:color w:val="auto"/>
          <w:szCs w:val="21"/>
          <w:highlight w:val="none"/>
        </w:rPr>
      </w:pPr>
      <w:r>
        <w:rPr>
          <w:rFonts w:hint="eastAsia" w:ascii="宋体" w:hAnsi="宋体" w:cs="仿宋"/>
          <w:color w:val="auto"/>
          <w:kern w:val="0"/>
          <w:szCs w:val="21"/>
          <w:highlight w:val="none"/>
          <w:shd w:val="clear" w:color="auto" w:fill="FFFFFF"/>
          <w:lang w:bidi="ar"/>
        </w:rPr>
        <w:t>地址：</w:t>
      </w:r>
      <w:r>
        <w:rPr>
          <w:rFonts w:hint="eastAsia" w:ascii="宋体" w:hAnsi="宋体" w:cs="Calibri"/>
          <w:color w:val="auto"/>
          <w:kern w:val="0"/>
          <w:szCs w:val="21"/>
          <w:highlight w:val="none"/>
          <w:u w:val="single"/>
          <w:shd w:val="clear" w:color="auto" w:fill="FFFFFF"/>
          <w:lang w:bidi="ar"/>
        </w:rPr>
        <w:t xml:space="preserve">                                                         </w:t>
      </w:r>
      <w:r>
        <w:rPr>
          <w:rFonts w:hint="eastAsia" w:ascii="宋体" w:hAnsi="宋体" w:cs="仿宋"/>
          <w:color w:val="auto"/>
          <w:kern w:val="0"/>
          <w:szCs w:val="21"/>
          <w:highlight w:val="none"/>
          <w:shd w:val="clear" w:color="auto" w:fill="FFFFFF"/>
          <w:lang w:bidi="ar"/>
        </w:rPr>
        <w:t>邮编：</w:t>
      </w:r>
      <w:r>
        <w:rPr>
          <w:rFonts w:hint="eastAsia" w:ascii="宋体" w:hAnsi="宋体" w:cs="Calibri"/>
          <w:color w:val="auto"/>
          <w:kern w:val="0"/>
          <w:szCs w:val="21"/>
          <w:highlight w:val="none"/>
          <w:u w:val="single"/>
          <w:shd w:val="clear" w:color="auto" w:fill="FFFFFF"/>
          <w:lang w:bidi="ar"/>
        </w:rPr>
        <w:t xml:space="preserve">             </w:t>
      </w:r>
    </w:p>
    <w:p>
      <w:pPr>
        <w:widowControl/>
        <w:spacing w:before="100" w:beforeAutospacing="1" w:after="100" w:afterAutospacing="1" w:line="360" w:lineRule="auto"/>
        <w:jc w:val="left"/>
        <w:rPr>
          <w:rFonts w:hint="eastAsia" w:ascii="宋体" w:hAnsi="宋体" w:cs="宋体"/>
          <w:color w:val="auto"/>
          <w:szCs w:val="21"/>
          <w:highlight w:val="none"/>
        </w:rPr>
      </w:pPr>
      <w:r>
        <w:rPr>
          <w:rFonts w:ascii="宋体" w:hAnsi="宋体" w:cs="黑体"/>
          <w:color w:val="auto"/>
          <w:kern w:val="0"/>
          <w:szCs w:val="21"/>
          <w:highlight w:val="none"/>
          <w:shd w:val="clear" w:color="auto" w:fill="FFFFFF"/>
          <w:lang w:bidi="ar"/>
        </w:rPr>
        <w:t>二、质疑项目基本情况</w:t>
      </w:r>
    </w:p>
    <w:p>
      <w:pPr>
        <w:widowControl/>
        <w:spacing w:before="100" w:beforeAutospacing="1" w:after="100" w:afterAutospacing="1" w:line="360" w:lineRule="auto"/>
        <w:jc w:val="left"/>
        <w:rPr>
          <w:rFonts w:hint="eastAsia" w:ascii="宋体" w:hAnsi="宋体" w:cs="宋体"/>
          <w:color w:val="auto"/>
          <w:szCs w:val="21"/>
          <w:highlight w:val="none"/>
        </w:rPr>
      </w:pPr>
      <w:r>
        <w:rPr>
          <w:rFonts w:hint="eastAsia" w:ascii="宋体" w:hAnsi="宋体" w:cs="仿宋"/>
          <w:color w:val="auto"/>
          <w:kern w:val="0"/>
          <w:szCs w:val="21"/>
          <w:highlight w:val="none"/>
          <w:shd w:val="clear" w:color="auto" w:fill="FFFFFF"/>
          <w:lang w:bidi="ar"/>
        </w:rPr>
        <w:t>质疑项目的名称：</w:t>
      </w:r>
      <w:r>
        <w:rPr>
          <w:rFonts w:hint="eastAsia" w:ascii="宋体" w:hAnsi="宋体" w:cs="Calibri"/>
          <w:color w:val="auto"/>
          <w:kern w:val="0"/>
          <w:szCs w:val="21"/>
          <w:highlight w:val="none"/>
          <w:u w:val="single"/>
          <w:shd w:val="clear" w:color="auto" w:fill="FFFFFF"/>
          <w:lang w:bidi="ar"/>
        </w:rPr>
        <w:t xml:space="preserve">                                                              </w:t>
      </w:r>
    </w:p>
    <w:p>
      <w:pPr>
        <w:widowControl/>
        <w:spacing w:before="100" w:beforeAutospacing="1" w:after="100" w:afterAutospacing="1" w:line="360" w:lineRule="auto"/>
        <w:jc w:val="left"/>
        <w:rPr>
          <w:rFonts w:hint="eastAsia" w:ascii="宋体" w:hAnsi="宋体" w:cs="宋体"/>
          <w:color w:val="auto"/>
          <w:szCs w:val="21"/>
          <w:highlight w:val="none"/>
        </w:rPr>
      </w:pPr>
      <w:r>
        <w:rPr>
          <w:rFonts w:hint="eastAsia" w:ascii="宋体" w:hAnsi="宋体" w:cs="仿宋"/>
          <w:color w:val="auto"/>
          <w:kern w:val="0"/>
          <w:szCs w:val="21"/>
          <w:highlight w:val="none"/>
          <w:shd w:val="clear" w:color="auto" w:fill="FFFFFF"/>
          <w:lang w:bidi="ar"/>
        </w:rPr>
        <w:t>质疑项目的编号：</w:t>
      </w:r>
      <w:r>
        <w:rPr>
          <w:rFonts w:hint="eastAsia" w:ascii="宋体" w:hAnsi="宋体" w:cs="Calibri"/>
          <w:color w:val="auto"/>
          <w:kern w:val="0"/>
          <w:szCs w:val="21"/>
          <w:highlight w:val="none"/>
          <w:u w:val="single"/>
          <w:shd w:val="clear" w:color="auto" w:fill="FFFFFF"/>
          <w:lang w:bidi="ar"/>
        </w:rPr>
        <w:t xml:space="preserve">                                                                 </w:t>
      </w:r>
    </w:p>
    <w:p>
      <w:pPr>
        <w:widowControl/>
        <w:spacing w:before="100" w:beforeAutospacing="1" w:after="100" w:afterAutospacing="1" w:line="360" w:lineRule="auto"/>
        <w:jc w:val="left"/>
        <w:rPr>
          <w:rFonts w:hint="eastAsia" w:ascii="宋体" w:hAnsi="宋体" w:cs="宋体"/>
          <w:color w:val="auto"/>
          <w:szCs w:val="21"/>
          <w:highlight w:val="none"/>
        </w:rPr>
      </w:pPr>
      <w:r>
        <w:rPr>
          <w:rFonts w:hint="eastAsia" w:ascii="宋体" w:hAnsi="宋体" w:cs="仿宋"/>
          <w:color w:val="auto"/>
          <w:kern w:val="0"/>
          <w:szCs w:val="21"/>
          <w:highlight w:val="none"/>
          <w:shd w:val="clear" w:color="auto" w:fill="FFFFFF"/>
          <w:lang w:bidi="ar"/>
        </w:rPr>
        <w:t>采购人名称：</w:t>
      </w:r>
      <w:r>
        <w:rPr>
          <w:rFonts w:hint="eastAsia" w:ascii="宋体" w:hAnsi="宋体" w:cs="Calibri"/>
          <w:color w:val="auto"/>
          <w:kern w:val="0"/>
          <w:szCs w:val="21"/>
          <w:highlight w:val="none"/>
          <w:u w:val="single"/>
          <w:shd w:val="clear" w:color="auto" w:fill="FFFFFF"/>
          <w:lang w:bidi="ar"/>
        </w:rPr>
        <w:t xml:space="preserve">                                                                  </w:t>
      </w:r>
    </w:p>
    <w:p>
      <w:pPr>
        <w:widowControl/>
        <w:spacing w:before="100" w:beforeAutospacing="1" w:after="100" w:afterAutospacing="1" w:line="360" w:lineRule="auto"/>
        <w:jc w:val="left"/>
        <w:rPr>
          <w:rFonts w:hint="eastAsia" w:ascii="宋体" w:hAnsi="宋体" w:cs="宋体"/>
          <w:color w:val="auto"/>
          <w:szCs w:val="21"/>
          <w:highlight w:val="none"/>
        </w:rPr>
      </w:pPr>
      <w:r>
        <w:rPr>
          <w:rFonts w:hint="eastAsia" w:ascii="宋体" w:hAnsi="宋体" w:cs="仿宋"/>
          <w:color w:val="auto"/>
          <w:kern w:val="0"/>
          <w:szCs w:val="21"/>
          <w:highlight w:val="none"/>
          <w:shd w:val="clear" w:color="auto" w:fill="FFFFFF"/>
          <w:lang w:bidi="ar"/>
        </w:rPr>
        <w:t>采购文件获取日期：</w:t>
      </w:r>
      <w:r>
        <w:rPr>
          <w:rFonts w:hint="eastAsia" w:ascii="宋体" w:hAnsi="宋体" w:cs="Calibri"/>
          <w:color w:val="auto"/>
          <w:kern w:val="0"/>
          <w:szCs w:val="21"/>
          <w:highlight w:val="none"/>
          <w:u w:val="single"/>
          <w:shd w:val="clear" w:color="auto" w:fill="FFFFFF"/>
          <w:lang w:bidi="ar"/>
        </w:rPr>
        <w:t xml:space="preserve">                                                              </w:t>
      </w:r>
    </w:p>
    <w:p>
      <w:pPr>
        <w:widowControl/>
        <w:spacing w:before="100" w:beforeAutospacing="1" w:after="100" w:afterAutospacing="1" w:line="360" w:lineRule="auto"/>
        <w:jc w:val="left"/>
        <w:rPr>
          <w:rFonts w:hint="eastAsia" w:ascii="宋体" w:hAnsi="宋体" w:cs="宋体"/>
          <w:color w:val="auto"/>
          <w:szCs w:val="21"/>
          <w:highlight w:val="none"/>
        </w:rPr>
      </w:pPr>
      <w:r>
        <w:rPr>
          <w:rFonts w:hint="eastAsia" w:ascii="宋体" w:hAnsi="宋体" w:cs="黑体"/>
          <w:color w:val="auto"/>
          <w:kern w:val="0"/>
          <w:szCs w:val="21"/>
          <w:highlight w:val="none"/>
          <w:shd w:val="clear" w:color="auto" w:fill="FFFFFF"/>
          <w:lang w:bidi="ar"/>
        </w:rPr>
        <w:t>三、质疑事项具体内容</w:t>
      </w:r>
    </w:p>
    <w:p>
      <w:pPr>
        <w:widowControl/>
        <w:spacing w:before="100" w:beforeAutospacing="1" w:after="100" w:afterAutospacing="1" w:line="360" w:lineRule="auto"/>
        <w:jc w:val="left"/>
        <w:rPr>
          <w:rFonts w:hint="eastAsia" w:ascii="宋体" w:hAnsi="宋体" w:cs="宋体"/>
          <w:color w:val="auto"/>
          <w:szCs w:val="21"/>
          <w:highlight w:val="none"/>
        </w:rPr>
      </w:pPr>
      <w:r>
        <w:rPr>
          <w:rFonts w:hint="eastAsia" w:ascii="宋体" w:hAnsi="宋体" w:cs="仿宋"/>
          <w:color w:val="auto"/>
          <w:kern w:val="0"/>
          <w:szCs w:val="21"/>
          <w:highlight w:val="none"/>
          <w:shd w:val="clear" w:color="auto" w:fill="FFFFFF"/>
          <w:lang w:bidi="ar"/>
        </w:rPr>
        <w:t>质疑事项1：</w:t>
      </w:r>
      <w:r>
        <w:rPr>
          <w:rFonts w:hint="eastAsia" w:ascii="宋体" w:hAnsi="宋体" w:cs="Calibri"/>
          <w:color w:val="auto"/>
          <w:kern w:val="0"/>
          <w:szCs w:val="21"/>
          <w:highlight w:val="none"/>
          <w:u w:val="single"/>
          <w:shd w:val="clear" w:color="auto" w:fill="FFFFFF"/>
          <w:lang w:bidi="ar"/>
        </w:rPr>
        <w:t xml:space="preserve">                                                                 </w:t>
      </w:r>
    </w:p>
    <w:p>
      <w:pPr>
        <w:widowControl/>
        <w:spacing w:before="100" w:beforeAutospacing="1" w:after="100" w:afterAutospacing="1" w:line="360" w:lineRule="auto"/>
        <w:jc w:val="left"/>
        <w:rPr>
          <w:rFonts w:hint="eastAsia" w:ascii="宋体" w:hAnsi="宋体" w:cs="宋体"/>
          <w:color w:val="auto"/>
          <w:szCs w:val="21"/>
          <w:highlight w:val="none"/>
        </w:rPr>
      </w:pPr>
      <w:r>
        <w:rPr>
          <w:rFonts w:hint="eastAsia" w:ascii="宋体" w:hAnsi="宋体" w:cs="仿宋"/>
          <w:color w:val="auto"/>
          <w:kern w:val="0"/>
          <w:szCs w:val="21"/>
          <w:highlight w:val="none"/>
          <w:shd w:val="clear" w:color="auto" w:fill="FFFFFF"/>
          <w:lang w:bidi="ar"/>
        </w:rPr>
        <w:t>事实依据：</w:t>
      </w:r>
      <w:r>
        <w:rPr>
          <w:rFonts w:hint="eastAsia" w:ascii="宋体" w:hAnsi="宋体" w:cs="Calibri"/>
          <w:color w:val="auto"/>
          <w:kern w:val="0"/>
          <w:szCs w:val="21"/>
          <w:highlight w:val="none"/>
          <w:u w:val="single"/>
          <w:shd w:val="clear" w:color="auto" w:fill="FFFFFF"/>
          <w:lang w:bidi="ar"/>
        </w:rPr>
        <w:t xml:space="preserve">                                                                 </w:t>
      </w:r>
    </w:p>
    <w:p>
      <w:pPr>
        <w:widowControl/>
        <w:spacing w:before="100" w:beforeAutospacing="1" w:after="100" w:afterAutospacing="1" w:line="360" w:lineRule="auto"/>
        <w:jc w:val="left"/>
        <w:rPr>
          <w:rFonts w:hint="eastAsia" w:ascii="宋体" w:hAnsi="宋体" w:cs="宋体"/>
          <w:color w:val="auto"/>
          <w:szCs w:val="21"/>
          <w:highlight w:val="none"/>
        </w:rPr>
      </w:pPr>
      <w:r>
        <w:rPr>
          <w:rFonts w:hint="eastAsia" w:ascii="宋体" w:hAnsi="宋体" w:cs="仿宋"/>
          <w:color w:val="auto"/>
          <w:kern w:val="0"/>
          <w:szCs w:val="21"/>
          <w:highlight w:val="none"/>
          <w:shd w:val="clear" w:color="auto" w:fill="FFFFFF"/>
          <w:lang w:bidi="ar"/>
        </w:rPr>
        <w:t>法律依据：</w:t>
      </w:r>
      <w:r>
        <w:rPr>
          <w:rFonts w:hint="eastAsia" w:ascii="宋体" w:hAnsi="宋体" w:cs="Calibri"/>
          <w:color w:val="auto"/>
          <w:kern w:val="0"/>
          <w:szCs w:val="21"/>
          <w:highlight w:val="none"/>
          <w:u w:val="single"/>
          <w:shd w:val="clear" w:color="auto" w:fill="FFFFFF"/>
          <w:lang w:bidi="ar"/>
        </w:rPr>
        <w:t xml:space="preserve">                                                                      </w:t>
      </w:r>
    </w:p>
    <w:p>
      <w:pPr>
        <w:widowControl/>
        <w:spacing w:before="100" w:beforeAutospacing="1" w:after="100" w:afterAutospacing="1" w:line="360" w:lineRule="auto"/>
        <w:jc w:val="left"/>
        <w:rPr>
          <w:rFonts w:hint="eastAsia" w:ascii="宋体" w:hAnsi="宋体" w:cs="宋体"/>
          <w:color w:val="auto"/>
          <w:szCs w:val="21"/>
          <w:highlight w:val="none"/>
        </w:rPr>
      </w:pPr>
      <w:r>
        <w:rPr>
          <w:rFonts w:hint="eastAsia" w:ascii="宋体" w:hAnsi="宋体" w:cs="仿宋"/>
          <w:color w:val="auto"/>
          <w:kern w:val="0"/>
          <w:szCs w:val="21"/>
          <w:highlight w:val="none"/>
          <w:shd w:val="clear" w:color="auto" w:fill="FFFFFF"/>
          <w:lang w:bidi="ar"/>
        </w:rPr>
        <w:t>质疑事项2</w:t>
      </w:r>
    </w:p>
    <w:p>
      <w:pPr>
        <w:widowControl/>
        <w:spacing w:before="100" w:beforeAutospacing="1" w:after="100" w:afterAutospacing="1" w:line="360" w:lineRule="auto"/>
        <w:jc w:val="left"/>
        <w:rPr>
          <w:rFonts w:hint="eastAsia" w:ascii="宋体" w:hAnsi="宋体" w:cs="宋体"/>
          <w:color w:val="auto"/>
          <w:szCs w:val="21"/>
          <w:highlight w:val="none"/>
        </w:rPr>
      </w:pPr>
      <w:r>
        <w:rPr>
          <w:rFonts w:hint="eastAsia" w:ascii="宋体" w:hAnsi="宋体" w:cs="仿宋"/>
          <w:color w:val="auto"/>
          <w:kern w:val="0"/>
          <w:szCs w:val="21"/>
          <w:highlight w:val="none"/>
          <w:shd w:val="clear" w:color="auto" w:fill="FFFFFF"/>
          <w:lang w:bidi="ar"/>
        </w:rPr>
        <w:t>……</w:t>
      </w:r>
    </w:p>
    <w:p>
      <w:pPr>
        <w:widowControl/>
        <w:spacing w:before="100" w:beforeAutospacing="1" w:after="100" w:afterAutospacing="1" w:line="360" w:lineRule="auto"/>
        <w:jc w:val="left"/>
        <w:rPr>
          <w:rFonts w:hint="eastAsia" w:ascii="宋体" w:hAnsi="宋体" w:cs="宋体"/>
          <w:color w:val="auto"/>
          <w:szCs w:val="21"/>
          <w:highlight w:val="none"/>
        </w:rPr>
      </w:pPr>
      <w:r>
        <w:rPr>
          <w:rFonts w:hint="eastAsia" w:ascii="宋体" w:hAnsi="宋体" w:cs="黑体"/>
          <w:color w:val="auto"/>
          <w:kern w:val="0"/>
          <w:szCs w:val="21"/>
          <w:highlight w:val="none"/>
          <w:shd w:val="clear" w:color="auto" w:fill="FFFFFF"/>
          <w:lang w:bidi="ar"/>
        </w:rPr>
        <w:t>四、与质疑事项相关的质疑请求</w:t>
      </w:r>
    </w:p>
    <w:p>
      <w:pPr>
        <w:widowControl/>
        <w:spacing w:before="100" w:beforeAutospacing="1" w:after="100" w:afterAutospacing="1" w:line="360" w:lineRule="auto"/>
        <w:jc w:val="left"/>
        <w:rPr>
          <w:rFonts w:hint="eastAsia" w:ascii="宋体" w:hAnsi="宋体" w:cs="Calibri"/>
          <w:color w:val="auto"/>
          <w:kern w:val="0"/>
          <w:szCs w:val="21"/>
          <w:highlight w:val="none"/>
          <w:u w:val="single"/>
          <w:shd w:val="clear" w:color="auto" w:fill="FFFFFF"/>
          <w:lang w:bidi="ar"/>
        </w:rPr>
      </w:pPr>
      <w:r>
        <w:rPr>
          <w:rFonts w:hint="eastAsia" w:ascii="宋体" w:hAnsi="宋体" w:cs="仿宋"/>
          <w:color w:val="auto"/>
          <w:kern w:val="0"/>
          <w:szCs w:val="21"/>
          <w:highlight w:val="none"/>
          <w:shd w:val="clear" w:color="auto" w:fill="FFFFFF"/>
          <w:lang w:bidi="ar"/>
        </w:rPr>
        <w:t>请求：</w:t>
      </w:r>
      <w:r>
        <w:rPr>
          <w:rFonts w:hint="eastAsia" w:ascii="宋体" w:hAnsi="宋体" w:cs="Calibri"/>
          <w:color w:val="auto"/>
          <w:kern w:val="0"/>
          <w:szCs w:val="21"/>
          <w:highlight w:val="none"/>
          <w:u w:val="single"/>
          <w:shd w:val="clear" w:color="auto" w:fill="FFFFFF"/>
          <w:lang w:bidi="ar"/>
        </w:rPr>
        <w:t xml:space="preserve">                                                                            </w:t>
      </w:r>
    </w:p>
    <w:p>
      <w:pPr>
        <w:widowControl/>
        <w:spacing w:before="100" w:beforeAutospacing="1" w:after="100" w:afterAutospacing="1" w:line="360" w:lineRule="auto"/>
        <w:jc w:val="left"/>
        <w:rPr>
          <w:rFonts w:hint="eastAsia" w:ascii="宋体" w:hAnsi="宋体" w:cs="宋体"/>
          <w:color w:val="auto"/>
          <w:szCs w:val="21"/>
          <w:highlight w:val="none"/>
        </w:rPr>
      </w:pPr>
    </w:p>
    <w:p>
      <w:pPr>
        <w:widowControl/>
        <w:spacing w:before="100" w:beforeAutospacing="1" w:after="100" w:afterAutospacing="1" w:line="360" w:lineRule="auto"/>
        <w:jc w:val="left"/>
        <w:rPr>
          <w:rFonts w:ascii="宋体" w:hAnsi="宋体" w:cs="仿宋_GB2312"/>
          <w:color w:val="auto"/>
          <w:kern w:val="0"/>
          <w:szCs w:val="21"/>
          <w:highlight w:val="none"/>
          <w:shd w:val="clear" w:color="auto" w:fill="FFFFFF"/>
          <w:lang w:bidi="ar"/>
        </w:rPr>
      </w:pPr>
      <w:r>
        <w:rPr>
          <w:rFonts w:ascii="宋体" w:hAnsi="宋体" w:cs="仿宋_GB2312"/>
          <w:color w:val="auto"/>
          <w:kern w:val="0"/>
          <w:szCs w:val="21"/>
          <w:highlight w:val="none"/>
          <w:shd w:val="clear" w:color="auto" w:fill="FFFFFF"/>
          <w:lang w:bidi="ar"/>
        </w:rPr>
        <w:t>签字(签章)：</w:t>
      </w:r>
    </w:p>
    <w:p>
      <w:pPr>
        <w:widowControl/>
        <w:spacing w:before="100" w:beforeAutospacing="1" w:after="100" w:afterAutospacing="1" w:line="360" w:lineRule="auto"/>
        <w:jc w:val="left"/>
        <w:rPr>
          <w:rFonts w:hint="eastAsia" w:ascii="宋体" w:hAnsi="宋体" w:cs="宋体"/>
          <w:color w:val="auto"/>
          <w:szCs w:val="21"/>
          <w:highlight w:val="none"/>
        </w:rPr>
      </w:pPr>
      <w:r>
        <w:rPr>
          <w:rFonts w:ascii="宋体" w:hAnsi="宋体" w:cs="仿宋_GB2312"/>
          <w:color w:val="auto"/>
          <w:kern w:val="0"/>
          <w:szCs w:val="21"/>
          <w:highlight w:val="none"/>
          <w:shd w:val="clear" w:color="auto" w:fill="FFFFFF"/>
          <w:lang w:bidi="ar"/>
        </w:rPr>
        <w:t>公章：</w:t>
      </w:r>
    </w:p>
    <w:p>
      <w:pPr>
        <w:widowControl/>
        <w:spacing w:before="100" w:beforeAutospacing="1" w:after="100" w:afterAutospacing="1" w:line="360" w:lineRule="auto"/>
        <w:jc w:val="left"/>
        <w:rPr>
          <w:rFonts w:hint="eastAsia" w:ascii="宋体" w:hAnsi="宋体" w:cs="Calibri"/>
          <w:color w:val="auto"/>
          <w:kern w:val="0"/>
          <w:szCs w:val="21"/>
          <w:highlight w:val="none"/>
          <w:shd w:val="clear" w:color="auto" w:fill="FFFFFF"/>
          <w:lang w:bidi="ar"/>
        </w:rPr>
      </w:pPr>
      <w:r>
        <w:rPr>
          <w:rFonts w:ascii="宋体" w:hAnsi="宋体" w:cs="仿宋_GB2312"/>
          <w:color w:val="auto"/>
          <w:kern w:val="0"/>
          <w:szCs w:val="21"/>
          <w:highlight w:val="none"/>
          <w:shd w:val="clear" w:color="auto" w:fill="FFFFFF"/>
          <w:lang w:bidi="ar"/>
        </w:rPr>
        <w:t>日期：</w:t>
      </w:r>
    </w:p>
    <w:p>
      <w:pPr>
        <w:widowControl/>
        <w:spacing w:before="100" w:beforeAutospacing="1" w:after="100" w:afterAutospacing="1" w:line="360" w:lineRule="auto"/>
        <w:jc w:val="left"/>
        <w:rPr>
          <w:rFonts w:hint="eastAsia" w:ascii="宋体" w:hAnsi="宋体" w:cs="宋体"/>
          <w:color w:val="auto"/>
          <w:szCs w:val="21"/>
          <w:highlight w:val="none"/>
        </w:rPr>
      </w:pPr>
    </w:p>
    <w:p>
      <w:pPr>
        <w:widowControl/>
        <w:spacing w:before="100" w:beforeAutospacing="1" w:after="100" w:afterAutospacing="1" w:line="360" w:lineRule="auto"/>
        <w:jc w:val="left"/>
        <w:rPr>
          <w:rFonts w:hint="eastAsia" w:ascii="宋体" w:hAnsi="宋体" w:cs="宋体"/>
          <w:color w:val="auto"/>
          <w:szCs w:val="21"/>
          <w:highlight w:val="none"/>
        </w:rPr>
      </w:pPr>
      <w:r>
        <w:rPr>
          <w:rFonts w:hint="eastAsia" w:ascii="宋体" w:hAnsi="宋体" w:cs="黑体"/>
          <w:b/>
          <w:color w:val="auto"/>
          <w:kern w:val="0"/>
          <w:szCs w:val="21"/>
          <w:highlight w:val="none"/>
          <w:shd w:val="clear" w:color="auto" w:fill="FFFFFF"/>
          <w:lang w:bidi="ar"/>
        </w:rPr>
        <w:t>质疑函制作说明：</w:t>
      </w:r>
    </w:p>
    <w:p>
      <w:pPr>
        <w:widowControl/>
        <w:spacing w:before="100" w:beforeAutospacing="1" w:after="100" w:afterAutospacing="1" w:line="360" w:lineRule="auto"/>
        <w:ind w:firstLine="640"/>
        <w:jc w:val="left"/>
        <w:rPr>
          <w:rFonts w:hint="eastAsia" w:ascii="宋体" w:hAnsi="宋体" w:cs="宋体"/>
          <w:color w:val="auto"/>
          <w:szCs w:val="21"/>
          <w:highlight w:val="none"/>
        </w:rPr>
      </w:pPr>
      <w:r>
        <w:rPr>
          <w:rFonts w:ascii="宋体" w:hAnsi="宋体" w:cs="仿宋_GB2312"/>
          <w:color w:val="auto"/>
          <w:kern w:val="0"/>
          <w:szCs w:val="21"/>
          <w:highlight w:val="none"/>
          <w:shd w:val="clear" w:color="auto" w:fill="FFFFFF"/>
          <w:lang w:bidi="ar"/>
        </w:rPr>
        <w:t>1.供应商提出质疑时，应提交质疑函和必要的证明材料。</w:t>
      </w:r>
    </w:p>
    <w:p>
      <w:pPr>
        <w:widowControl/>
        <w:spacing w:before="100" w:beforeAutospacing="1" w:after="100" w:afterAutospacing="1" w:line="360" w:lineRule="auto"/>
        <w:ind w:firstLine="640"/>
        <w:jc w:val="left"/>
        <w:rPr>
          <w:rFonts w:hint="eastAsia" w:ascii="宋体" w:hAnsi="宋体" w:cs="宋体"/>
          <w:color w:val="auto"/>
          <w:szCs w:val="21"/>
          <w:highlight w:val="none"/>
        </w:rPr>
      </w:pPr>
      <w:r>
        <w:rPr>
          <w:rFonts w:ascii="宋体" w:hAnsi="宋体" w:cs="仿宋_GB2312"/>
          <w:color w:val="auto"/>
          <w:kern w:val="0"/>
          <w:szCs w:val="21"/>
          <w:highlight w:val="none"/>
          <w:shd w:val="clear" w:color="auto" w:fill="FFFFFF"/>
          <w:lang w:bidi="ar"/>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widowControl/>
        <w:spacing w:before="100" w:beforeAutospacing="1" w:after="100" w:afterAutospacing="1" w:line="360" w:lineRule="auto"/>
        <w:ind w:firstLine="640"/>
        <w:jc w:val="left"/>
        <w:rPr>
          <w:rFonts w:hint="eastAsia" w:ascii="宋体" w:hAnsi="宋体" w:cs="宋体"/>
          <w:color w:val="auto"/>
          <w:szCs w:val="21"/>
          <w:highlight w:val="none"/>
        </w:rPr>
      </w:pPr>
      <w:r>
        <w:rPr>
          <w:rFonts w:ascii="宋体" w:hAnsi="宋体" w:cs="仿宋_GB2312"/>
          <w:color w:val="auto"/>
          <w:kern w:val="0"/>
          <w:szCs w:val="21"/>
          <w:highlight w:val="none"/>
          <w:shd w:val="clear" w:color="auto" w:fill="FFFFFF"/>
          <w:lang w:bidi="ar"/>
        </w:rPr>
        <w:t>3.质疑供应商若对项目的某一</w:t>
      </w:r>
      <w:r>
        <w:rPr>
          <w:rFonts w:hint="eastAsia" w:ascii="宋体" w:hAnsi="宋体" w:cs="仿宋_GB2312"/>
          <w:color w:val="auto"/>
          <w:kern w:val="0"/>
          <w:szCs w:val="21"/>
          <w:highlight w:val="none"/>
          <w:shd w:val="clear" w:color="auto" w:fill="FFFFFF"/>
          <w:lang w:bidi="ar"/>
        </w:rPr>
        <w:t>标项</w:t>
      </w:r>
      <w:r>
        <w:rPr>
          <w:rFonts w:ascii="宋体" w:hAnsi="宋体" w:cs="仿宋_GB2312"/>
          <w:color w:val="auto"/>
          <w:kern w:val="0"/>
          <w:szCs w:val="21"/>
          <w:highlight w:val="none"/>
          <w:shd w:val="clear" w:color="auto" w:fill="FFFFFF"/>
          <w:lang w:bidi="ar"/>
        </w:rPr>
        <w:t>进行质疑，质疑函中应列明具体</w:t>
      </w:r>
      <w:r>
        <w:rPr>
          <w:rFonts w:hint="eastAsia" w:ascii="宋体" w:hAnsi="宋体" w:cs="仿宋_GB2312"/>
          <w:color w:val="auto"/>
          <w:kern w:val="0"/>
          <w:szCs w:val="21"/>
          <w:highlight w:val="none"/>
          <w:shd w:val="clear" w:color="auto" w:fill="FFFFFF"/>
          <w:lang w:bidi="ar"/>
        </w:rPr>
        <w:t>标项</w:t>
      </w:r>
      <w:r>
        <w:rPr>
          <w:rFonts w:ascii="宋体" w:hAnsi="宋体" w:cs="仿宋_GB2312"/>
          <w:color w:val="auto"/>
          <w:kern w:val="0"/>
          <w:szCs w:val="21"/>
          <w:highlight w:val="none"/>
          <w:shd w:val="clear" w:color="auto" w:fill="FFFFFF"/>
          <w:lang w:bidi="ar"/>
        </w:rPr>
        <w:t>。</w:t>
      </w:r>
    </w:p>
    <w:p>
      <w:pPr>
        <w:widowControl/>
        <w:spacing w:before="100" w:beforeAutospacing="1" w:after="100" w:afterAutospacing="1" w:line="360" w:lineRule="auto"/>
        <w:ind w:firstLine="640"/>
        <w:jc w:val="left"/>
        <w:rPr>
          <w:rFonts w:hint="eastAsia" w:ascii="宋体" w:hAnsi="宋体" w:cs="宋体"/>
          <w:color w:val="auto"/>
          <w:szCs w:val="21"/>
          <w:highlight w:val="none"/>
        </w:rPr>
      </w:pPr>
      <w:r>
        <w:rPr>
          <w:rFonts w:ascii="宋体" w:hAnsi="宋体" w:cs="仿宋_GB2312"/>
          <w:color w:val="auto"/>
          <w:kern w:val="0"/>
          <w:szCs w:val="21"/>
          <w:highlight w:val="none"/>
          <w:shd w:val="clear" w:color="auto" w:fill="FFFFFF"/>
          <w:lang w:bidi="ar"/>
        </w:rPr>
        <w:t>4.质疑函的质疑事项应具体、明确，并有必要的事实依据和法律依据。</w:t>
      </w:r>
    </w:p>
    <w:p>
      <w:pPr>
        <w:widowControl/>
        <w:spacing w:before="100" w:beforeAutospacing="1" w:after="100" w:afterAutospacing="1" w:line="360" w:lineRule="auto"/>
        <w:ind w:firstLine="640"/>
        <w:jc w:val="left"/>
        <w:rPr>
          <w:rFonts w:hint="eastAsia" w:ascii="宋体" w:hAnsi="宋体" w:cs="宋体"/>
          <w:color w:val="auto"/>
          <w:szCs w:val="21"/>
          <w:highlight w:val="none"/>
        </w:rPr>
      </w:pPr>
      <w:r>
        <w:rPr>
          <w:rFonts w:ascii="宋体" w:hAnsi="宋体" w:cs="仿宋_GB2312"/>
          <w:color w:val="auto"/>
          <w:kern w:val="0"/>
          <w:szCs w:val="21"/>
          <w:highlight w:val="none"/>
          <w:shd w:val="clear" w:color="auto" w:fill="FFFFFF"/>
          <w:lang w:bidi="ar"/>
        </w:rPr>
        <w:t>5.质疑函的质疑请求应与质疑事项相关。</w:t>
      </w:r>
    </w:p>
    <w:p>
      <w:pPr>
        <w:ind w:firstLine="420" w:firstLineChars="200"/>
        <w:rPr>
          <w:color w:val="auto"/>
          <w:highlight w:val="none"/>
        </w:rPr>
      </w:pPr>
      <w:r>
        <w:rPr>
          <w:rFonts w:ascii="宋体" w:hAnsi="宋体" w:cs="仿宋_GB2312"/>
          <w:color w:val="auto"/>
          <w:kern w:val="0"/>
          <w:szCs w:val="21"/>
          <w:highlight w:val="none"/>
          <w:shd w:val="clear" w:color="auto" w:fill="FFFFFF"/>
          <w:lang w:bidi="ar"/>
        </w:rPr>
        <w:t>6.质疑供应商为自然人的，质疑函应由本人签字；质疑供应商为法人或者其他组织的，质疑函应由法定代表人、主要负责人，或者其授权代表签字或者盖章，并加盖公章。</w:t>
      </w:r>
    </w:p>
    <w:sectPr>
      <w:pgSz w:w="11906" w:h="16838"/>
      <w:pgMar w:top="1440" w:right="1440" w:bottom="1440" w:left="1440" w:header="851" w:footer="992" w:gutter="0"/>
      <w:pgNumType w:fmt="decimal"/>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
    <w:altName w:val="Times New Roman"/>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Century Gothic">
    <w:altName w:val="NumberOnly"/>
    <w:panose1 w:val="020B0502020202020204"/>
    <w:charset w:val="00"/>
    <w:family w:val="swiss"/>
    <w:pitch w:val="default"/>
    <w:sig w:usb0="00000000" w:usb1="00000000" w:usb2="00000000" w:usb3="00000000" w:csb0="2000009F" w:csb1="DFD70000"/>
  </w:font>
  <w:font w:name="楷体_GB2312">
    <w:altName w:val="楷体"/>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等线">
    <w:altName w:val="微软雅黑"/>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_GB2312">
    <w:altName w:val="Times New Roman"/>
    <w:panose1 w:val="00000000000000000000"/>
    <w:charset w:val="00"/>
    <w:family w:val="auto"/>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NumberOnly">
    <w:panose1 w:val="020B0500000000000000"/>
    <w:charset w:val="00"/>
    <w:family w:val="auto"/>
    <w:pitch w:val="default"/>
    <w:sig w:usb0="8000002F" w:usb1="10000048" w:usb2="00000000" w:usb3="00000000" w:csb0="00000111" w:csb1="4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58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58</w:t>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420"/>
      <w:jc w:val="cente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58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58</w:t>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245FDF"/>
    <w:multiLevelType w:val="singleLevel"/>
    <w:tmpl w:val="A7245FDF"/>
    <w:lvl w:ilvl="0" w:tentative="0">
      <w:start w:val="5"/>
      <w:numFmt w:val="chineseCounting"/>
      <w:suff w:val="nothing"/>
      <w:lvlText w:val="（%1）"/>
      <w:lvlJc w:val="left"/>
      <w:rPr>
        <w:rFonts w:hint="eastAsia"/>
      </w:rPr>
    </w:lvl>
  </w:abstractNum>
  <w:abstractNum w:abstractNumId="1">
    <w:nsid w:val="00000003"/>
    <w:multiLevelType w:val="multilevel"/>
    <w:tmpl w:val="00000003"/>
    <w:lvl w:ilvl="0" w:tentative="0">
      <w:start w:val="1"/>
      <w:numFmt w:val="ideographDigital"/>
      <w:pStyle w:val="5"/>
      <w:lvlText w:val="第%1章"/>
      <w:lvlJc w:val="left"/>
      <w:pPr>
        <w:ind w:left="0" w:firstLine="0"/>
      </w:pPr>
      <w:rPr>
        <w:rFonts w:hint="eastAsia" w:eastAsia="宋体"/>
        <w:b/>
        <w:i w:val="0"/>
        <w:sz w:val="36"/>
      </w:rPr>
    </w:lvl>
    <w:lvl w:ilvl="1" w:tentative="0">
      <w:start w:val="1"/>
      <w:numFmt w:val="japaneseCounting"/>
      <w:pStyle w:val="6"/>
      <w:lvlText w:val="%2"/>
      <w:lvlJc w:val="left"/>
      <w:pPr>
        <w:tabs>
          <w:tab w:val="left" w:pos="680"/>
        </w:tabs>
        <w:ind w:left="0" w:firstLine="0"/>
      </w:pPr>
      <w:rPr>
        <w:rFonts w:hint="eastAsia" w:eastAsia="宋体"/>
        <w:b/>
        <w:i w:val="0"/>
        <w:sz w:val="32"/>
      </w:rPr>
    </w:lvl>
    <w:lvl w:ilvl="2" w:tentative="0">
      <w:start w:val="1"/>
      <w:numFmt w:val="japaneseCounting"/>
      <w:pStyle w:val="8"/>
      <w:suff w:val="nothing"/>
      <w:lvlText w:val="（%3）"/>
      <w:lvlJc w:val="left"/>
      <w:pPr>
        <w:ind w:left="284" w:hanging="284"/>
      </w:pPr>
      <w:rPr>
        <w:rFonts w:hint="eastAsia" w:ascii="宋体" w:eastAsia="宋体"/>
        <w:b/>
        <w:i w:val="0"/>
        <w:sz w:val="21"/>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
    <w:nsid w:val="00000004"/>
    <w:multiLevelType w:val="multilevel"/>
    <w:tmpl w:val="00000004"/>
    <w:lvl w:ilvl="0" w:tentative="0">
      <w:start w:val="1"/>
      <w:numFmt w:val="decimal"/>
      <w:suff w:val="nothing"/>
      <w:lvlText w:val="%1."/>
      <w:lvlJc w:val="left"/>
      <w:pPr>
        <w:ind w:left="0" w:firstLine="403"/>
      </w:pPr>
      <w:rPr>
        <w:rFonts w:hint="eastAsia" w:ascii="宋体" w:eastAsia="宋体"/>
        <w:b w:val="0"/>
        <w:i w:val="0"/>
        <w:caps w:val="0"/>
        <w:snapToGrid/>
        <w:vanish w:val="0"/>
        <w:color w:val="000000"/>
        <w:spacing w:val="0"/>
        <w:w w:val="100"/>
        <w:kern w:val="0"/>
        <w:position w:val="0"/>
        <w:sz w:val="21"/>
        <w:u w:val="none"/>
        <w:vertAlign w:val="baseline"/>
      </w:rPr>
    </w:lvl>
    <w:lvl w:ilvl="1" w:tentative="0">
      <w:start w:val="1"/>
      <w:numFmt w:val="decimal"/>
      <w:suff w:val="space"/>
      <w:lvlText w:val="%1.%2"/>
      <w:lvlJc w:val="left"/>
      <w:pPr>
        <w:ind w:left="0" w:firstLine="403"/>
      </w:pPr>
      <w:rPr>
        <w:rFonts w:hint="eastAsia" w:ascii="宋体" w:eastAsia="宋体"/>
        <w:b w:val="0"/>
        <w:i w:val="0"/>
        <w:caps w:val="0"/>
        <w:vanish w:val="0"/>
        <w:color w:val="000000"/>
        <w:sz w:val="21"/>
        <w:vertAlign w:val="baseline"/>
      </w:rPr>
    </w:lvl>
    <w:lvl w:ilvl="2" w:tentative="0">
      <w:start w:val="1"/>
      <w:numFmt w:val="decimal"/>
      <w:pStyle w:val="54"/>
      <w:lvlText w:val="(%3)"/>
      <w:lvlJc w:val="left"/>
      <w:pPr>
        <w:ind w:left="0" w:firstLine="400"/>
      </w:pPr>
      <w:rPr>
        <w:rFonts w:hint="eastAsia"/>
        <w:b w:val="0"/>
        <w:i w:val="0"/>
        <w:sz w:val="21"/>
      </w:rPr>
    </w:lvl>
    <w:lvl w:ilvl="3" w:tentative="0">
      <w:start w:val="1"/>
      <w:numFmt w:val="decimal"/>
      <w:suff w:val="nothing"/>
      <w:lvlText w:val="%1.%2.%3.%4"/>
      <w:lvlJc w:val="left"/>
      <w:pPr>
        <w:ind w:left="0" w:firstLine="403"/>
      </w:pPr>
      <w:rPr>
        <w:rFonts w:hint="eastAsia"/>
      </w:rPr>
    </w:lvl>
    <w:lvl w:ilvl="4" w:tentative="0">
      <w:start w:val="1"/>
      <w:numFmt w:val="decimal"/>
      <w:suff w:val="nothing"/>
      <w:lvlText w:val="%1.%2.%3.%4.%5"/>
      <w:lvlJc w:val="left"/>
      <w:pPr>
        <w:ind w:left="0" w:firstLine="403"/>
      </w:pPr>
      <w:rPr>
        <w:rFonts w:hint="eastAsia"/>
      </w:rPr>
    </w:lvl>
    <w:lvl w:ilvl="5" w:tentative="0">
      <w:start w:val="1"/>
      <w:numFmt w:val="decimal"/>
      <w:suff w:val="nothing"/>
      <w:lvlText w:val="%1.%2.%3.%4.%5.%6"/>
      <w:lvlJc w:val="left"/>
      <w:pPr>
        <w:ind w:left="0" w:firstLine="403"/>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00000009"/>
    <w:multiLevelType w:val="multilevel"/>
    <w:tmpl w:val="00000009"/>
    <w:lvl w:ilvl="0" w:tentative="0">
      <w:start w:val="1"/>
      <w:numFmt w:val="japaneseCounting"/>
      <w:pStyle w:val="99"/>
      <w:suff w:val="nothing"/>
      <w:lvlText w:val="%1、"/>
      <w:lvlJc w:val="left"/>
      <w:pPr>
        <w:ind w:left="1838" w:firstLine="0"/>
      </w:pPr>
      <w:rPr>
        <w:rFonts w:hint="eastAsia" w:ascii="宋体" w:eastAsia="宋体"/>
        <w:b/>
        <w:i w:val="0"/>
        <w:sz w:val="28"/>
      </w:rPr>
    </w:lvl>
    <w:lvl w:ilvl="1" w:tentative="0">
      <w:start w:val="1"/>
      <w:numFmt w:val="japaneseCounting"/>
      <w:pStyle w:val="97"/>
      <w:suff w:val="nothing"/>
      <w:lvlText w:val="（%2）"/>
      <w:lvlJc w:val="left"/>
      <w:pPr>
        <w:ind w:left="0" w:firstLine="0"/>
      </w:pPr>
      <w:rPr>
        <w:rFonts w:hint="eastAsia" w:ascii="宋体" w:eastAsia="宋体"/>
        <w:b/>
        <w:i w:val="0"/>
        <w:sz w:val="24"/>
      </w:rPr>
    </w:lvl>
    <w:lvl w:ilvl="2" w:tentative="0">
      <w:start w:val="1"/>
      <w:numFmt w:val="decimal"/>
      <w:pStyle w:val="95"/>
      <w:lvlText w:val="%1.%2.%3"/>
      <w:lvlJc w:val="left"/>
      <w:pPr>
        <w:ind w:left="0" w:firstLine="0"/>
      </w:pPr>
      <w:rPr>
        <w:rFonts w:hint="eastAsia" w:ascii="宋体" w:eastAsia="宋体"/>
        <w:b/>
        <w:i w:val="0"/>
        <w:sz w:val="24"/>
      </w:rPr>
    </w:lvl>
    <w:lvl w:ilvl="3" w:tentative="0">
      <w:start w:val="1"/>
      <w:numFmt w:val="decimal"/>
      <w:pStyle w:val="94"/>
      <w:lvlText w:val="%1.%2.%3.%4"/>
      <w:lvlJc w:val="left"/>
      <w:pPr>
        <w:ind w:left="0" w:firstLine="0"/>
      </w:pPr>
      <w:rPr>
        <w:rFonts w:hint="eastAsia" w:ascii="宋体" w:eastAsia="宋体"/>
        <w:b/>
        <w:i w:val="0"/>
        <w:sz w:val="21"/>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
    <w:nsid w:val="0000000A"/>
    <w:multiLevelType w:val="multilevel"/>
    <w:tmpl w:val="0000000A"/>
    <w:lvl w:ilvl="0" w:tentative="0">
      <w:start w:val="1"/>
      <w:numFmt w:val="decimal"/>
      <w:pStyle w:val="59"/>
      <w:suff w:val="space"/>
      <w:lvlText w:val="%1."/>
      <w:lvlJc w:val="left"/>
      <w:pPr>
        <w:ind w:left="0" w:firstLine="403"/>
      </w:pPr>
      <w:rPr>
        <w:rFonts w:hint="eastAsia" w:ascii="宋体" w:eastAsia="宋体"/>
        <w:b/>
        <w:i w:val="0"/>
        <w:caps w:val="0"/>
        <w:snapToGrid/>
        <w:vanish w:val="0"/>
        <w:color w:val="000000"/>
        <w:spacing w:val="0"/>
        <w:w w:val="100"/>
        <w:kern w:val="0"/>
        <w:position w:val="0"/>
        <w:sz w:val="21"/>
        <w:u w:val="none"/>
        <w:vertAlign w:val="baseline"/>
      </w:rPr>
    </w:lvl>
    <w:lvl w:ilvl="1" w:tentative="0">
      <w:start w:val="1"/>
      <w:numFmt w:val="decimal"/>
      <w:suff w:val="space"/>
      <w:lvlText w:val="%1.%2"/>
      <w:lvlJc w:val="left"/>
      <w:pPr>
        <w:ind w:left="0" w:firstLine="403"/>
      </w:pPr>
      <w:rPr>
        <w:rFonts w:hint="eastAsia" w:ascii="宋体" w:eastAsia="宋体"/>
        <w:b w:val="0"/>
        <w:i w:val="0"/>
        <w:caps w:val="0"/>
        <w:vanish w:val="0"/>
        <w:color w:val="000000"/>
        <w:sz w:val="21"/>
        <w:vertAlign w:val="baseline"/>
      </w:rPr>
    </w:lvl>
    <w:lvl w:ilvl="2" w:tentative="0">
      <w:start w:val="1"/>
      <w:numFmt w:val="decimal"/>
      <w:suff w:val="nothing"/>
      <w:lvlText w:val="%1.%2.%3"/>
      <w:lvlJc w:val="left"/>
      <w:pPr>
        <w:ind w:left="0" w:firstLine="400"/>
      </w:pPr>
      <w:rPr>
        <w:rFonts w:hint="eastAsia" w:ascii="宋体" w:eastAsia="宋体"/>
        <w:b w:val="0"/>
        <w:i w:val="0"/>
        <w:sz w:val="21"/>
      </w:rPr>
    </w:lvl>
    <w:lvl w:ilvl="3" w:tentative="0">
      <w:start w:val="1"/>
      <w:numFmt w:val="decimal"/>
      <w:suff w:val="nothing"/>
      <w:lvlText w:val="%1.%2.%3.%4"/>
      <w:lvlJc w:val="left"/>
      <w:pPr>
        <w:ind w:left="0" w:firstLine="403"/>
      </w:pPr>
      <w:rPr>
        <w:rFonts w:hint="eastAsia"/>
      </w:rPr>
    </w:lvl>
    <w:lvl w:ilvl="4" w:tentative="0">
      <w:start w:val="1"/>
      <w:numFmt w:val="decimal"/>
      <w:suff w:val="nothing"/>
      <w:lvlText w:val="%1.%2.%3.%4.%5"/>
      <w:lvlJc w:val="left"/>
      <w:pPr>
        <w:ind w:left="0" w:firstLine="403"/>
      </w:pPr>
      <w:rPr>
        <w:rFonts w:hint="eastAsia"/>
      </w:rPr>
    </w:lvl>
    <w:lvl w:ilvl="5" w:tentative="0">
      <w:start w:val="1"/>
      <w:numFmt w:val="decimal"/>
      <w:suff w:val="nothing"/>
      <w:lvlText w:val="%1.%2.%3.%4.%5.%6"/>
      <w:lvlJc w:val="left"/>
      <w:pPr>
        <w:ind w:left="0" w:firstLine="403"/>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0000000D"/>
    <w:multiLevelType w:val="multilevel"/>
    <w:tmpl w:val="0000000D"/>
    <w:lvl w:ilvl="0" w:tentative="0">
      <w:start w:val="1"/>
      <w:numFmt w:val="decimal"/>
      <w:suff w:val="nothing"/>
      <w:lvlText w:val="%1."/>
      <w:lvlJc w:val="left"/>
      <w:pPr>
        <w:ind w:left="0" w:firstLine="403"/>
      </w:pPr>
      <w:rPr>
        <w:rFonts w:hint="eastAsia" w:ascii="宋体" w:eastAsia="宋体"/>
        <w:b w:val="0"/>
        <w:i w:val="0"/>
        <w:caps w:val="0"/>
        <w:snapToGrid/>
        <w:vanish w:val="0"/>
        <w:color w:val="000000"/>
        <w:spacing w:val="0"/>
        <w:w w:val="100"/>
        <w:kern w:val="0"/>
        <w:position w:val="0"/>
        <w:sz w:val="21"/>
        <w:u w:val="none"/>
        <w:vertAlign w:val="baseline"/>
      </w:rPr>
    </w:lvl>
    <w:lvl w:ilvl="1" w:tentative="0">
      <w:start w:val="1"/>
      <w:numFmt w:val="decimal"/>
      <w:suff w:val="nothing"/>
      <w:lvlText w:val="%1.%2"/>
      <w:lvlJc w:val="left"/>
      <w:pPr>
        <w:ind w:left="0" w:firstLine="403"/>
      </w:pPr>
      <w:rPr>
        <w:rFonts w:hint="eastAsia" w:ascii="宋体" w:eastAsia="宋体"/>
        <w:b w:val="0"/>
        <w:i w:val="0"/>
        <w:caps w:val="0"/>
        <w:vanish w:val="0"/>
        <w:color w:val="000000"/>
        <w:sz w:val="21"/>
        <w:vertAlign w:val="baseline"/>
      </w:rPr>
    </w:lvl>
    <w:lvl w:ilvl="2" w:tentative="0">
      <w:start w:val="1"/>
      <w:numFmt w:val="decimal"/>
      <w:suff w:val="nothing"/>
      <w:lvlText w:val="%1.%2.%3"/>
      <w:lvlJc w:val="left"/>
      <w:pPr>
        <w:ind w:left="0" w:firstLine="400"/>
      </w:pPr>
      <w:rPr>
        <w:rFonts w:hint="eastAsia" w:ascii="宋体" w:eastAsia="宋体"/>
        <w:b w:val="0"/>
        <w:i w:val="0"/>
        <w:sz w:val="21"/>
      </w:rPr>
    </w:lvl>
    <w:lvl w:ilvl="3" w:tentative="0">
      <w:start w:val="1"/>
      <w:numFmt w:val="decimal"/>
      <w:suff w:val="nothing"/>
      <w:lvlText w:val="%1.%2.%3.%4"/>
      <w:lvlJc w:val="left"/>
      <w:pPr>
        <w:ind w:left="0" w:firstLine="403"/>
      </w:pPr>
      <w:rPr>
        <w:rFonts w:hint="eastAsia"/>
      </w:rPr>
    </w:lvl>
    <w:lvl w:ilvl="4" w:tentative="0">
      <w:start w:val="1"/>
      <w:numFmt w:val="decimal"/>
      <w:suff w:val="nothing"/>
      <w:lvlText w:val="%1.%2.%3.%4.%5"/>
      <w:lvlJc w:val="left"/>
      <w:pPr>
        <w:ind w:left="0" w:firstLine="403"/>
      </w:pPr>
      <w:rPr>
        <w:rFonts w:hint="eastAsia"/>
      </w:rPr>
    </w:lvl>
    <w:lvl w:ilvl="5" w:tentative="0">
      <w:start w:val="1"/>
      <w:numFmt w:val="decimal"/>
      <w:suff w:val="nothing"/>
      <w:lvlText w:val="%1.%2.%3.%4.%5.%6"/>
      <w:lvlJc w:val="left"/>
      <w:pPr>
        <w:ind w:left="0" w:firstLine="403"/>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2"/>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54F90B2A"/>
    <w:multiLevelType w:val="multilevel"/>
    <w:tmpl w:val="54F90B2A"/>
    <w:lvl w:ilvl="0" w:tentative="0">
      <w:start w:val="2"/>
      <w:numFmt w:val="chineseCounting"/>
      <w:suff w:val="space"/>
      <w:lvlText w:val="第%1章"/>
      <w:lvlJc w:val="left"/>
    </w:lvl>
    <w:lvl w:ilvl="1" w:tentative="0">
      <w:start w:val="1"/>
      <w:numFmt w:val="chineseCounting"/>
      <w:suff w:val="nothing"/>
      <w:lvlText w:val="%2、"/>
      <w:lvlJc w:val="left"/>
    </w:lvl>
    <w:lvl w:ilvl="2" w:tentative="0">
      <w:start w:val="1"/>
      <w:numFmt w:val="chineseCounting"/>
      <w:suff w:val="nothing"/>
      <w:lvlText w:val="（%3）"/>
      <w:lvlJc w:val="left"/>
    </w:lvl>
    <w:lvl w:ilvl="3" w:tentative="0">
      <w:start w:val="1"/>
      <w:numFmt w:val="decimal"/>
      <w:suff w:val="nothing"/>
      <w:lvlText w:val="%4．"/>
      <w:lvlJc w:val="left"/>
    </w:lvl>
    <w:lvl w:ilvl="4" w:tentative="0">
      <w:start w:val="1"/>
      <w:numFmt w:val="decimal"/>
      <w:pStyle w:val="7"/>
      <w:suff w:val="nothing"/>
      <w:lvlText w:val="（%5）"/>
      <w:lvlJc w:val="left"/>
    </w:lvl>
    <w:lvl w:ilvl="5" w:tentative="0">
      <w:start w:val="1"/>
      <w:numFmt w:val="decimalEnclosedCircleChinese"/>
      <w:suff w:val="nothing"/>
      <w:lvlText w:val="%6"/>
      <w:lvlJc w:val="left"/>
    </w:lvl>
    <w:lvl w:ilvl="6" w:tentative="0">
      <w:start w:val="1"/>
      <w:numFmt w:val="decimal"/>
      <w:suff w:val="nothing"/>
      <w:lvlText w:val="%7）"/>
      <w:lvlJc w:val="left"/>
    </w:lvl>
    <w:lvl w:ilvl="7" w:tentative="0">
      <w:start w:val="1"/>
      <w:numFmt w:val="lowerLetter"/>
      <w:suff w:val="nothing"/>
      <w:lvlText w:val="%8．"/>
      <w:lvlJc w:val="left"/>
    </w:lvl>
    <w:lvl w:ilvl="8" w:tentative="0">
      <w:start w:val="1"/>
      <w:numFmt w:val="lowerLetter"/>
      <w:suff w:val="nothing"/>
      <w:lvlText w:val="%9）"/>
      <w:lvlJc w:val="left"/>
    </w:lvl>
  </w:abstractNum>
  <w:num w:numId="1">
    <w:abstractNumId w:val="1"/>
  </w:num>
  <w:num w:numId="2">
    <w:abstractNumId w:val="6"/>
  </w:num>
  <w:num w:numId="3">
    <w:abstractNumId w:val="7"/>
  </w:num>
  <w:num w:numId="4">
    <w:abstractNumId w:val="2"/>
  </w:num>
  <w:num w:numId="5">
    <w:abstractNumId w:val="4"/>
  </w:num>
  <w:num w:numId="6">
    <w:abstractNumId w:val="3"/>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mYzg5YmU4NjNiMjJmNTM4ZTc2ZWU2ODFmNmM5N2UifQ=="/>
  </w:docVars>
  <w:rsids>
    <w:rsidRoot w:val="00172A27"/>
    <w:rsid w:val="00013B65"/>
    <w:rsid w:val="00020B75"/>
    <w:rsid w:val="0002336B"/>
    <w:rsid w:val="000309BB"/>
    <w:rsid w:val="00030F49"/>
    <w:rsid w:val="00032680"/>
    <w:rsid w:val="0004359B"/>
    <w:rsid w:val="00052257"/>
    <w:rsid w:val="000579CD"/>
    <w:rsid w:val="00070A0C"/>
    <w:rsid w:val="000712B8"/>
    <w:rsid w:val="000A5378"/>
    <w:rsid w:val="000B3F77"/>
    <w:rsid w:val="000C5A01"/>
    <w:rsid w:val="000C7C63"/>
    <w:rsid w:val="00103B8F"/>
    <w:rsid w:val="0011210E"/>
    <w:rsid w:val="00114288"/>
    <w:rsid w:val="001237D5"/>
    <w:rsid w:val="00123DB3"/>
    <w:rsid w:val="0012494B"/>
    <w:rsid w:val="00153661"/>
    <w:rsid w:val="001674BE"/>
    <w:rsid w:val="00172A27"/>
    <w:rsid w:val="0017688C"/>
    <w:rsid w:val="00186DDC"/>
    <w:rsid w:val="00192104"/>
    <w:rsid w:val="001C2B2B"/>
    <w:rsid w:val="001D44D3"/>
    <w:rsid w:val="001D54B8"/>
    <w:rsid w:val="001E6620"/>
    <w:rsid w:val="00211094"/>
    <w:rsid w:val="00213D20"/>
    <w:rsid w:val="0022632A"/>
    <w:rsid w:val="00227F0C"/>
    <w:rsid w:val="0023564B"/>
    <w:rsid w:val="00236B83"/>
    <w:rsid w:val="00251EFE"/>
    <w:rsid w:val="00256F4A"/>
    <w:rsid w:val="00257102"/>
    <w:rsid w:val="002731D5"/>
    <w:rsid w:val="0027537E"/>
    <w:rsid w:val="002909B7"/>
    <w:rsid w:val="002A2B33"/>
    <w:rsid w:val="002A2DEC"/>
    <w:rsid w:val="002A454D"/>
    <w:rsid w:val="002B412C"/>
    <w:rsid w:val="002C00B9"/>
    <w:rsid w:val="002E03E9"/>
    <w:rsid w:val="002E3054"/>
    <w:rsid w:val="002E50C1"/>
    <w:rsid w:val="002F66DA"/>
    <w:rsid w:val="002F7F76"/>
    <w:rsid w:val="00322FA7"/>
    <w:rsid w:val="00342844"/>
    <w:rsid w:val="0038690D"/>
    <w:rsid w:val="00390EEF"/>
    <w:rsid w:val="003A3716"/>
    <w:rsid w:val="003A3CC5"/>
    <w:rsid w:val="003F30E4"/>
    <w:rsid w:val="0040767B"/>
    <w:rsid w:val="004078CA"/>
    <w:rsid w:val="00412414"/>
    <w:rsid w:val="004221A7"/>
    <w:rsid w:val="0042267F"/>
    <w:rsid w:val="00430EFC"/>
    <w:rsid w:val="004367B9"/>
    <w:rsid w:val="00442C18"/>
    <w:rsid w:val="0046660F"/>
    <w:rsid w:val="00490311"/>
    <w:rsid w:val="00490992"/>
    <w:rsid w:val="004A1274"/>
    <w:rsid w:val="004C4306"/>
    <w:rsid w:val="004E0445"/>
    <w:rsid w:val="004E69A3"/>
    <w:rsid w:val="00501370"/>
    <w:rsid w:val="00511BF1"/>
    <w:rsid w:val="00552FFD"/>
    <w:rsid w:val="00582C0C"/>
    <w:rsid w:val="00586688"/>
    <w:rsid w:val="005A57F3"/>
    <w:rsid w:val="005E2E3D"/>
    <w:rsid w:val="005F68B3"/>
    <w:rsid w:val="00611132"/>
    <w:rsid w:val="00644D26"/>
    <w:rsid w:val="0064782F"/>
    <w:rsid w:val="00653C83"/>
    <w:rsid w:val="006602C0"/>
    <w:rsid w:val="00662237"/>
    <w:rsid w:val="00677CED"/>
    <w:rsid w:val="006933EB"/>
    <w:rsid w:val="006A1532"/>
    <w:rsid w:val="006A4EB4"/>
    <w:rsid w:val="00702E32"/>
    <w:rsid w:val="00712C98"/>
    <w:rsid w:val="00713610"/>
    <w:rsid w:val="00717289"/>
    <w:rsid w:val="007216BA"/>
    <w:rsid w:val="00752FF7"/>
    <w:rsid w:val="007663CF"/>
    <w:rsid w:val="007A2388"/>
    <w:rsid w:val="007A34F3"/>
    <w:rsid w:val="007B555C"/>
    <w:rsid w:val="007C47B4"/>
    <w:rsid w:val="007D24D2"/>
    <w:rsid w:val="007E738F"/>
    <w:rsid w:val="007F5C8D"/>
    <w:rsid w:val="00805AC8"/>
    <w:rsid w:val="00820839"/>
    <w:rsid w:val="00831A75"/>
    <w:rsid w:val="0084137B"/>
    <w:rsid w:val="00851695"/>
    <w:rsid w:val="0085243B"/>
    <w:rsid w:val="008910BA"/>
    <w:rsid w:val="00893E37"/>
    <w:rsid w:val="008A3DCC"/>
    <w:rsid w:val="008B1782"/>
    <w:rsid w:val="008B3D62"/>
    <w:rsid w:val="008B554B"/>
    <w:rsid w:val="008F033E"/>
    <w:rsid w:val="00904E40"/>
    <w:rsid w:val="00905169"/>
    <w:rsid w:val="0090786A"/>
    <w:rsid w:val="00923365"/>
    <w:rsid w:val="00925E76"/>
    <w:rsid w:val="009413E1"/>
    <w:rsid w:val="00953B84"/>
    <w:rsid w:val="00984E04"/>
    <w:rsid w:val="009B6415"/>
    <w:rsid w:val="009D1D9F"/>
    <w:rsid w:val="009D2EC1"/>
    <w:rsid w:val="009D5331"/>
    <w:rsid w:val="009E3CF5"/>
    <w:rsid w:val="009F4C54"/>
    <w:rsid w:val="009F6B24"/>
    <w:rsid w:val="00A01D45"/>
    <w:rsid w:val="00A17184"/>
    <w:rsid w:val="00A30202"/>
    <w:rsid w:val="00A43D0B"/>
    <w:rsid w:val="00A5657E"/>
    <w:rsid w:val="00A72D21"/>
    <w:rsid w:val="00A8053E"/>
    <w:rsid w:val="00A87D2A"/>
    <w:rsid w:val="00AB0529"/>
    <w:rsid w:val="00AD1A32"/>
    <w:rsid w:val="00AD2349"/>
    <w:rsid w:val="00B042B6"/>
    <w:rsid w:val="00B41FB8"/>
    <w:rsid w:val="00B64479"/>
    <w:rsid w:val="00B815BC"/>
    <w:rsid w:val="00B90161"/>
    <w:rsid w:val="00B961D1"/>
    <w:rsid w:val="00BA25AC"/>
    <w:rsid w:val="00BC2C3A"/>
    <w:rsid w:val="00BC2DF1"/>
    <w:rsid w:val="00BE115F"/>
    <w:rsid w:val="00BE2E1D"/>
    <w:rsid w:val="00BE70D8"/>
    <w:rsid w:val="00C10C4B"/>
    <w:rsid w:val="00C1389A"/>
    <w:rsid w:val="00C14DAC"/>
    <w:rsid w:val="00C23F6E"/>
    <w:rsid w:val="00C2578F"/>
    <w:rsid w:val="00C46E4C"/>
    <w:rsid w:val="00C66B7C"/>
    <w:rsid w:val="00C84D85"/>
    <w:rsid w:val="00C87946"/>
    <w:rsid w:val="00C87C07"/>
    <w:rsid w:val="00C912C5"/>
    <w:rsid w:val="00CA06D1"/>
    <w:rsid w:val="00CF2A60"/>
    <w:rsid w:val="00D0224B"/>
    <w:rsid w:val="00D10073"/>
    <w:rsid w:val="00D253DB"/>
    <w:rsid w:val="00D34272"/>
    <w:rsid w:val="00D45A25"/>
    <w:rsid w:val="00D578D4"/>
    <w:rsid w:val="00D607A7"/>
    <w:rsid w:val="00D666C0"/>
    <w:rsid w:val="00D71895"/>
    <w:rsid w:val="00D8242E"/>
    <w:rsid w:val="00D9086B"/>
    <w:rsid w:val="00DA2175"/>
    <w:rsid w:val="00DA4221"/>
    <w:rsid w:val="00DC62DA"/>
    <w:rsid w:val="00DD13BA"/>
    <w:rsid w:val="00DE2352"/>
    <w:rsid w:val="00DE2DCD"/>
    <w:rsid w:val="00DF2658"/>
    <w:rsid w:val="00DF7EB4"/>
    <w:rsid w:val="00E31599"/>
    <w:rsid w:val="00E7123F"/>
    <w:rsid w:val="00EA1DA8"/>
    <w:rsid w:val="00EB1F00"/>
    <w:rsid w:val="00F03DD9"/>
    <w:rsid w:val="00F14A81"/>
    <w:rsid w:val="00F367DE"/>
    <w:rsid w:val="00F565D0"/>
    <w:rsid w:val="00F605DF"/>
    <w:rsid w:val="00F8717C"/>
    <w:rsid w:val="00FD4973"/>
    <w:rsid w:val="00FE44D4"/>
    <w:rsid w:val="02DF39F5"/>
    <w:rsid w:val="038541EC"/>
    <w:rsid w:val="04313F84"/>
    <w:rsid w:val="056F05D8"/>
    <w:rsid w:val="05FB7C61"/>
    <w:rsid w:val="07302C1E"/>
    <w:rsid w:val="08245EDB"/>
    <w:rsid w:val="08CA6597"/>
    <w:rsid w:val="0A14016F"/>
    <w:rsid w:val="0B685E20"/>
    <w:rsid w:val="0E552DBD"/>
    <w:rsid w:val="113A22D2"/>
    <w:rsid w:val="114A473B"/>
    <w:rsid w:val="116127F6"/>
    <w:rsid w:val="126A6C21"/>
    <w:rsid w:val="151D2886"/>
    <w:rsid w:val="15991506"/>
    <w:rsid w:val="169C1D48"/>
    <w:rsid w:val="169E29B2"/>
    <w:rsid w:val="197C6F1C"/>
    <w:rsid w:val="1B122846"/>
    <w:rsid w:val="1E000596"/>
    <w:rsid w:val="1E463D5A"/>
    <w:rsid w:val="1EAC2BFE"/>
    <w:rsid w:val="1ED4635D"/>
    <w:rsid w:val="224C0052"/>
    <w:rsid w:val="228257BD"/>
    <w:rsid w:val="27274CCB"/>
    <w:rsid w:val="29052D90"/>
    <w:rsid w:val="29476D7A"/>
    <w:rsid w:val="29B45CC8"/>
    <w:rsid w:val="29D640F5"/>
    <w:rsid w:val="29F920BB"/>
    <w:rsid w:val="2A486AD9"/>
    <w:rsid w:val="2A753876"/>
    <w:rsid w:val="2B4D00CC"/>
    <w:rsid w:val="2C0E56CF"/>
    <w:rsid w:val="2C467A4A"/>
    <w:rsid w:val="2D6019C9"/>
    <w:rsid w:val="2D6F67AF"/>
    <w:rsid w:val="2E104221"/>
    <w:rsid w:val="2EB060C2"/>
    <w:rsid w:val="2F200595"/>
    <w:rsid w:val="2FB22A01"/>
    <w:rsid w:val="31B8075A"/>
    <w:rsid w:val="33107D3E"/>
    <w:rsid w:val="333E0C05"/>
    <w:rsid w:val="334976F5"/>
    <w:rsid w:val="34CD11A5"/>
    <w:rsid w:val="37746FFE"/>
    <w:rsid w:val="37755D3D"/>
    <w:rsid w:val="37BE063B"/>
    <w:rsid w:val="387D5B1C"/>
    <w:rsid w:val="38C91884"/>
    <w:rsid w:val="39561FEF"/>
    <w:rsid w:val="39ED41C5"/>
    <w:rsid w:val="3D115F7D"/>
    <w:rsid w:val="3D63377E"/>
    <w:rsid w:val="3D9138AE"/>
    <w:rsid w:val="3DFB47CF"/>
    <w:rsid w:val="3E352801"/>
    <w:rsid w:val="3E7D24A6"/>
    <w:rsid w:val="3F212819"/>
    <w:rsid w:val="3F4D5267"/>
    <w:rsid w:val="3F4F7231"/>
    <w:rsid w:val="3F736AA4"/>
    <w:rsid w:val="40AF1399"/>
    <w:rsid w:val="430664B8"/>
    <w:rsid w:val="4321103A"/>
    <w:rsid w:val="43C00F7F"/>
    <w:rsid w:val="478706ED"/>
    <w:rsid w:val="496A065B"/>
    <w:rsid w:val="4A7A1270"/>
    <w:rsid w:val="4B8A7998"/>
    <w:rsid w:val="4BED555A"/>
    <w:rsid w:val="4BFA3A50"/>
    <w:rsid w:val="4D2717ED"/>
    <w:rsid w:val="4D2C5C79"/>
    <w:rsid w:val="4DA83FA4"/>
    <w:rsid w:val="4DF94F37"/>
    <w:rsid w:val="4F5876A0"/>
    <w:rsid w:val="4FCE42F8"/>
    <w:rsid w:val="4FF10A94"/>
    <w:rsid w:val="508B2529"/>
    <w:rsid w:val="5210727E"/>
    <w:rsid w:val="538A6632"/>
    <w:rsid w:val="54A36737"/>
    <w:rsid w:val="54F77CF7"/>
    <w:rsid w:val="567809C3"/>
    <w:rsid w:val="579C4E17"/>
    <w:rsid w:val="580F00F8"/>
    <w:rsid w:val="585B691C"/>
    <w:rsid w:val="588E4370"/>
    <w:rsid w:val="59580B2D"/>
    <w:rsid w:val="59CA7197"/>
    <w:rsid w:val="59D03846"/>
    <w:rsid w:val="5B4B2214"/>
    <w:rsid w:val="5CC91C79"/>
    <w:rsid w:val="5D573851"/>
    <w:rsid w:val="5F1930FE"/>
    <w:rsid w:val="5F5D1F0E"/>
    <w:rsid w:val="5FB2151B"/>
    <w:rsid w:val="60B65DDF"/>
    <w:rsid w:val="60E9469A"/>
    <w:rsid w:val="6315308D"/>
    <w:rsid w:val="636659D6"/>
    <w:rsid w:val="644017A3"/>
    <w:rsid w:val="668B3A9E"/>
    <w:rsid w:val="66FF2AC0"/>
    <w:rsid w:val="674949A5"/>
    <w:rsid w:val="67585379"/>
    <w:rsid w:val="67A35C12"/>
    <w:rsid w:val="691F20AE"/>
    <w:rsid w:val="6A4E7F61"/>
    <w:rsid w:val="6A51224A"/>
    <w:rsid w:val="6B471453"/>
    <w:rsid w:val="6B8B4412"/>
    <w:rsid w:val="6BF752B4"/>
    <w:rsid w:val="6C5F6931"/>
    <w:rsid w:val="6DFB0EED"/>
    <w:rsid w:val="6EB9003D"/>
    <w:rsid w:val="6ECC256C"/>
    <w:rsid w:val="704E2A69"/>
    <w:rsid w:val="71BC55D0"/>
    <w:rsid w:val="742D7F41"/>
    <w:rsid w:val="77522B7F"/>
    <w:rsid w:val="77726E8C"/>
    <w:rsid w:val="7775F1AC"/>
    <w:rsid w:val="796E5F2A"/>
    <w:rsid w:val="799C685B"/>
    <w:rsid w:val="79C46E5C"/>
    <w:rsid w:val="79F41B44"/>
    <w:rsid w:val="7A5A6604"/>
    <w:rsid w:val="7A7C15F3"/>
    <w:rsid w:val="7AE63FB7"/>
    <w:rsid w:val="7DA74413"/>
    <w:rsid w:val="7E3612D0"/>
    <w:rsid w:val="7F3ECC96"/>
    <w:rsid w:val="EFDFCC8C"/>
    <w:rsid w:val="EFE70672"/>
    <w:rsid w:val="FBFCA92C"/>
    <w:rsid w:val="FC7E1A6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99" w:semiHidden="0" w:name="footnote reference"/>
    <w:lsdException w:qFormat="1" w:unhideWhenUsed="0" w:uiPriority="99"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11" w:semiHidden="0" w:name="Subtitle"/>
    <w:lsdException w:uiPriority="0" w:name="Salutation"/>
    <w:lsdException w:uiPriority="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nhideWhenUsed="0" w:uiPriority="99" w:semiHidden="0" w:name="Body Text Indent 2"/>
    <w:lsdException w:uiPriority="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qFormat="1" w:unhideWhenUsed="0"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wordWrap w:val="0"/>
      <w:spacing w:line="360" w:lineRule="auto"/>
      <w:ind w:firstLine="200" w:firstLineChars="200"/>
      <w:jc w:val="both"/>
    </w:pPr>
    <w:rPr>
      <w:rFonts w:ascii="宋体" w:hAnsi="Calibri" w:eastAsia="宋体" w:cs="宋体"/>
      <w:kern w:val="2"/>
      <w:sz w:val="21"/>
      <w:szCs w:val="22"/>
      <w:lang w:val="en-US" w:eastAsia="zh-CN" w:bidi="ar-SA"/>
    </w:rPr>
  </w:style>
  <w:style w:type="paragraph" w:styleId="5">
    <w:name w:val="heading 1"/>
    <w:basedOn w:val="1"/>
    <w:next w:val="1"/>
    <w:link w:val="39"/>
    <w:qFormat/>
    <w:uiPriority w:val="9"/>
    <w:pPr>
      <w:numPr>
        <w:ilvl w:val="0"/>
        <w:numId w:val="1"/>
      </w:numPr>
      <w:spacing w:afterLines="50" w:line="360" w:lineRule="auto"/>
      <w:jc w:val="center"/>
      <w:outlineLvl w:val="0"/>
    </w:pPr>
    <w:rPr>
      <w:rFonts w:hAnsi="宋体"/>
      <w:sz w:val="36"/>
      <w:szCs w:val="36"/>
    </w:rPr>
  </w:style>
  <w:style w:type="paragraph" w:styleId="6">
    <w:name w:val="heading 2"/>
    <w:basedOn w:val="1"/>
    <w:next w:val="7"/>
    <w:link w:val="46"/>
    <w:qFormat/>
    <w:uiPriority w:val="9"/>
    <w:pPr>
      <w:numPr>
        <w:ilvl w:val="1"/>
        <w:numId w:val="1"/>
      </w:numPr>
      <w:ind w:firstLineChars="0"/>
      <w:jc w:val="center"/>
      <w:outlineLvl w:val="1"/>
    </w:pPr>
    <w:rPr>
      <w:rFonts w:ascii="Cambria" w:hAnsi="Cambria"/>
      <w:b/>
      <w:bCs/>
      <w:sz w:val="32"/>
      <w:szCs w:val="48"/>
    </w:rPr>
  </w:style>
  <w:style w:type="paragraph" w:styleId="8">
    <w:name w:val="heading 3"/>
    <w:next w:val="1"/>
    <w:link w:val="58"/>
    <w:qFormat/>
    <w:uiPriority w:val="9"/>
    <w:pPr>
      <w:numPr>
        <w:ilvl w:val="2"/>
        <w:numId w:val="1"/>
      </w:numPr>
      <w:spacing w:line="360" w:lineRule="auto"/>
      <w:outlineLvl w:val="2"/>
    </w:pPr>
    <w:rPr>
      <w:rFonts w:ascii="Cambria" w:hAnsi="Cambria" w:eastAsia="宋体" w:cs="宋体"/>
      <w:b/>
      <w:bCs/>
      <w:kern w:val="2"/>
      <w:sz w:val="21"/>
      <w:szCs w:val="32"/>
      <w:lang w:val="en-US" w:eastAsia="zh-CN" w:bidi="ar-SA"/>
    </w:rPr>
  </w:style>
  <w:style w:type="paragraph" w:styleId="9">
    <w:name w:val="heading 4"/>
    <w:basedOn w:val="1"/>
    <w:next w:val="1"/>
    <w:qFormat/>
    <w:uiPriority w:val="99"/>
    <w:pPr>
      <w:keepNext/>
      <w:keepLines/>
      <w:spacing w:before="280" w:after="290" w:line="376" w:lineRule="auto"/>
      <w:outlineLvl w:val="3"/>
    </w:pPr>
    <w:rPr>
      <w:rFonts w:ascii="Arial" w:hAnsi="Arial" w:eastAsia="黑体"/>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numPr>
        <w:ilvl w:val="2"/>
        <w:numId w:val="2"/>
      </w:numPr>
      <w:adjustRightInd w:val="0"/>
      <w:spacing w:line="360" w:lineRule="atLeast"/>
      <w:ind w:left="420" w:firstLine="420" w:firstLineChars="200"/>
      <w:jc w:val="left"/>
      <w:textAlignment w:val="baseline"/>
    </w:pPr>
    <w:rPr>
      <w:kern w:val="0"/>
      <w:sz w:val="20"/>
      <w:szCs w:val="20"/>
    </w:rPr>
  </w:style>
  <w:style w:type="paragraph" w:styleId="3">
    <w:name w:val="Body Text Indent"/>
    <w:basedOn w:val="1"/>
    <w:next w:val="1"/>
    <w:link w:val="102"/>
    <w:qFormat/>
    <w:uiPriority w:val="99"/>
    <w:pPr>
      <w:spacing w:after="120"/>
      <w:ind w:left="420" w:leftChars="200"/>
    </w:pPr>
  </w:style>
  <w:style w:type="paragraph" w:customStyle="1" w:styleId="4">
    <w:name w:val="xl53"/>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rPr>
  </w:style>
  <w:style w:type="paragraph" w:customStyle="1" w:styleId="7">
    <w:name w:val="标准正文"/>
    <w:basedOn w:val="1"/>
    <w:qFormat/>
    <w:uiPriority w:val="0"/>
    <w:pPr>
      <w:numPr>
        <w:ilvl w:val="4"/>
        <w:numId w:val="3"/>
      </w:numPr>
      <w:spacing w:line="0" w:lineRule="atLeast"/>
    </w:pPr>
    <w:rPr>
      <w:rFonts w:ascii="宋体" w:hAnsi="宋体"/>
      <w:szCs w:val="20"/>
    </w:rPr>
  </w:style>
  <w:style w:type="paragraph" w:styleId="10">
    <w:name w:val="Normal Indent"/>
    <w:basedOn w:val="1"/>
    <w:link w:val="78"/>
    <w:qFormat/>
    <w:uiPriority w:val="0"/>
    <w:pPr>
      <w:wordWrap/>
      <w:spacing w:line="240" w:lineRule="auto"/>
      <w:ind w:firstLine="420" w:firstLineChars="0"/>
    </w:pPr>
    <w:rPr>
      <w:rFonts w:ascii="Calibri"/>
    </w:rPr>
  </w:style>
  <w:style w:type="paragraph" w:styleId="11">
    <w:name w:val="annotation text"/>
    <w:basedOn w:val="1"/>
    <w:link w:val="90"/>
    <w:qFormat/>
    <w:uiPriority w:val="99"/>
    <w:pPr>
      <w:jc w:val="left"/>
    </w:pPr>
  </w:style>
  <w:style w:type="paragraph" w:styleId="12">
    <w:name w:val="Body Text"/>
    <w:basedOn w:val="1"/>
    <w:next w:val="13"/>
    <w:link w:val="49"/>
    <w:qFormat/>
    <w:uiPriority w:val="0"/>
    <w:pPr>
      <w:wordWrap/>
      <w:spacing w:after="120" w:line="240" w:lineRule="auto"/>
      <w:ind w:firstLine="0" w:firstLineChars="0"/>
    </w:pPr>
    <w:rPr>
      <w:rFonts w:ascii="Calibri" w:cs="Times New Roman"/>
      <w:sz w:val="24"/>
      <w:szCs w:val="24"/>
    </w:rPr>
  </w:style>
  <w:style w:type="paragraph" w:styleId="13">
    <w:name w:val="Body Text First Indent"/>
    <w:basedOn w:val="12"/>
    <w:next w:val="1"/>
    <w:qFormat/>
    <w:uiPriority w:val="0"/>
    <w:pPr>
      <w:spacing w:after="120"/>
      <w:ind w:firstLine="420" w:firstLineChars="100"/>
    </w:pPr>
    <w:rPr>
      <w:rFonts w:eastAsia="??"/>
      <w:szCs w:val="24"/>
    </w:rPr>
  </w:style>
  <w:style w:type="paragraph" w:styleId="14">
    <w:name w:val="Plain Text"/>
    <w:basedOn w:val="1"/>
    <w:next w:val="1"/>
    <w:link w:val="50"/>
    <w:qFormat/>
    <w:uiPriority w:val="0"/>
    <w:pPr>
      <w:wordWrap/>
      <w:spacing w:line="240" w:lineRule="auto"/>
      <w:ind w:firstLine="0" w:firstLineChars="0"/>
    </w:pPr>
    <w:rPr>
      <w:rFonts w:hAnsi="Courier New" w:eastAsia="仿宋_GB2312" w:cs="Times New Roman"/>
      <w:sz w:val="30"/>
      <w:szCs w:val="24"/>
    </w:rPr>
  </w:style>
  <w:style w:type="paragraph" w:styleId="15">
    <w:name w:val="Body Text Indent 2"/>
    <w:basedOn w:val="1"/>
    <w:link w:val="93"/>
    <w:qFormat/>
    <w:uiPriority w:val="99"/>
    <w:pPr>
      <w:spacing w:after="120" w:line="480" w:lineRule="auto"/>
      <w:ind w:left="420" w:leftChars="200"/>
    </w:pPr>
  </w:style>
  <w:style w:type="paragraph" w:styleId="16">
    <w:name w:val="Balloon Text"/>
    <w:basedOn w:val="1"/>
    <w:link w:val="51"/>
    <w:qFormat/>
    <w:uiPriority w:val="99"/>
    <w:pPr>
      <w:spacing w:line="240" w:lineRule="auto"/>
    </w:pPr>
    <w:rPr>
      <w:sz w:val="18"/>
      <w:szCs w:val="18"/>
    </w:rPr>
  </w:style>
  <w:style w:type="paragraph" w:styleId="17">
    <w:name w:val="footer"/>
    <w:basedOn w:val="1"/>
    <w:link w:val="65"/>
    <w:qFormat/>
    <w:uiPriority w:val="0"/>
    <w:pPr>
      <w:widowControl/>
      <w:tabs>
        <w:tab w:val="center" w:pos="4153"/>
        <w:tab w:val="right" w:pos="8306"/>
      </w:tabs>
      <w:wordWrap/>
      <w:overflowPunct w:val="0"/>
      <w:autoSpaceDE w:val="0"/>
      <w:autoSpaceDN w:val="0"/>
      <w:adjustRightInd w:val="0"/>
      <w:spacing w:line="240" w:lineRule="auto"/>
      <w:ind w:firstLine="0" w:firstLineChars="0"/>
      <w:textAlignment w:val="baseline"/>
    </w:pPr>
    <w:rPr>
      <w:rFonts w:ascii="Calibri" w:cs="Times New Roman"/>
      <w:kern w:val="0"/>
      <w:sz w:val="20"/>
      <w:szCs w:val="20"/>
    </w:rPr>
  </w:style>
  <w:style w:type="paragraph" w:styleId="18">
    <w:name w:val="header"/>
    <w:basedOn w:val="1"/>
    <w:link w:val="66"/>
    <w:qFormat/>
    <w:uiPriority w:val="99"/>
    <w:pPr>
      <w:pBdr>
        <w:top w:val="none" w:color="auto" w:sz="0" w:space="1"/>
        <w:left w:val="none" w:color="auto" w:sz="0" w:space="4"/>
        <w:bottom w:val="none" w:color="auto" w:sz="0" w:space="1"/>
        <w:right w:val="none" w:color="auto" w:sz="0" w:space="4"/>
      </w:pBdr>
      <w:tabs>
        <w:tab w:val="center" w:pos="4153"/>
        <w:tab w:val="right" w:pos="8306"/>
      </w:tabs>
      <w:wordWrap/>
      <w:snapToGrid w:val="0"/>
      <w:spacing w:line="240" w:lineRule="auto"/>
      <w:ind w:firstLine="0" w:firstLineChars="0"/>
    </w:pPr>
    <w:rPr>
      <w:rFonts w:ascii="Calibri" w:cs="Times New Roman"/>
      <w:sz w:val="18"/>
      <w:szCs w:val="24"/>
    </w:rPr>
  </w:style>
  <w:style w:type="paragraph" w:styleId="19">
    <w:name w:val="toc 1"/>
    <w:basedOn w:val="1"/>
    <w:next w:val="1"/>
    <w:link w:val="42"/>
    <w:qFormat/>
    <w:uiPriority w:val="39"/>
    <w:pPr>
      <w:tabs>
        <w:tab w:val="left" w:pos="1050"/>
        <w:tab w:val="left" w:pos="1470"/>
        <w:tab w:val="right" w:leader="dot" w:pos="8296"/>
      </w:tabs>
      <w:ind w:firstLine="0" w:firstLineChars="0"/>
    </w:pPr>
    <w:rPr>
      <w:sz w:val="28"/>
    </w:rPr>
  </w:style>
  <w:style w:type="paragraph" w:styleId="20">
    <w:name w:val="Subtitle"/>
    <w:basedOn w:val="1"/>
    <w:next w:val="1"/>
    <w:link w:val="57"/>
    <w:qFormat/>
    <w:uiPriority w:val="11"/>
    <w:pPr>
      <w:spacing w:before="240" w:after="60" w:line="312" w:lineRule="auto"/>
      <w:jc w:val="center"/>
      <w:outlineLvl w:val="1"/>
    </w:pPr>
    <w:rPr>
      <w:rFonts w:ascii="Calibri"/>
      <w:b/>
      <w:bCs/>
      <w:kern w:val="28"/>
      <w:sz w:val="32"/>
      <w:szCs w:val="32"/>
    </w:rPr>
  </w:style>
  <w:style w:type="paragraph" w:styleId="21">
    <w:name w:val="footnote text"/>
    <w:basedOn w:val="1"/>
    <w:link w:val="88"/>
    <w:qFormat/>
    <w:uiPriority w:val="99"/>
    <w:pPr>
      <w:snapToGrid w:val="0"/>
      <w:jc w:val="left"/>
    </w:pPr>
    <w:rPr>
      <w:sz w:val="18"/>
      <w:szCs w:val="18"/>
    </w:rPr>
  </w:style>
  <w:style w:type="paragraph" w:styleId="22">
    <w:name w:val="toc 2"/>
    <w:basedOn w:val="1"/>
    <w:next w:val="1"/>
    <w:qFormat/>
    <w:uiPriority w:val="39"/>
    <w:pPr>
      <w:ind w:left="420" w:leftChars="200"/>
    </w:pPr>
  </w:style>
  <w:style w:type="paragraph" w:styleId="23">
    <w:name w:val="Normal (Web)"/>
    <w:basedOn w:val="1"/>
    <w:qFormat/>
    <w:uiPriority w:val="99"/>
    <w:pPr>
      <w:spacing w:before="100" w:beforeAutospacing="1" w:after="100" w:afterAutospacing="1" w:line="240" w:lineRule="auto"/>
      <w:ind w:firstLine="0" w:firstLineChars="0"/>
      <w:jc w:val="left"/>
    </w:pPr>
    <w:rPr>
      <w:rFonts w:ascii="Calibri" w:cs="Times New Roman"/>
      <w:kern w:val="0"/>
      <w:szCs w:val="24"/>
    </w:rPr>
  </w:style>
  <w:style w:type="paragraph" w:styleId="24">
    <w:name w:val="Title"/>
    <w:basedOn w:val="1"/>
    <w:next w:val="1"/>
    <w:link w:val="53"/>
    <w:qFormat/>
    <w:uiPriority w:val="10"/>
    <w:pPr>
      <w:spacing w:before="240" w:after="60"/>
      <w:jc w:val="center"/>
      <w:outlineLvl w:val="0"/>
    </w:pPr>
    <w:rPr>
      <w:rFonts w:ascii="Cambria" w:hAnsi="Cambria"/>
      <w:b/>
      <w:bCs/>
      <w:sz w:val="32"/>
      <w:szCs w:val="32"/>
    </w:rPr>
  </w:style>
  <w:style w:type="paragraph" w:styleId="25">
    <w:name w:val="annotation subject"/>
    <w:basedOn w:val="11"/>
    <w:next w:val="11"/>
    <w:link w:val="91"/>
    <w:qFormat/>
    <w:uiPriority w:val="99"/>
    <w:rPr>
      <w:b/>
      <w:bCs/>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22"/>
  </w:style>
  <w:style w:type="character" w:styleId="30">
    <w:name w:val="FollowedHyperlink"/>
    <w:basedOn w:val="28"/>
    <w:qFormat/>
    <w:uiPriority w:val="99"/>
    <w:rPr>
      <w:color w:val="800080"/>
      <w:u w:val="single"/>
    </w:rPr>
  </w:style>
  <w:style w:type="character" w:styleId="31">
    <w:name w:val="Hyperlink"/>
    <w:qFormat/>
    <w:uiPriority w:val="99"/>
    <w:rPr>
      <w:color w:val="0000FF"/>
      <w:u w:val="single"/>
    </w:rPr>
  </w:style>
  <w:style w:type="character" w:styleId="32">
    <w:name w:val="annotation reference"/>
    <w:basedOn w:val="28"/>
    <w:qFormat/>
    <w:uiPriority w:val="99"/>
    <w:rPr>
      <w:sz w:val="21"/>
      <w:szCs w:val="21"/>
    </w:rPr>
  </w:style>
  <w:style w:type="character" w:styleId="33">
    <w:name w:val="footnote reference"/>
    <w:basedOn w:val="28"/>
    <w:qFormat/>
    <w:uiPriority w:val="99"/>
    <w:rPr>
      <w:vertAlign w:val="superscript"/>
    </w:rPr>
  </w:style>
  <w:style w:type="paragraph" w:customStyle="1" w:styleId="34">
    <w:name w:val="正文文本首行缩进 2"/>
    <w:basedOn w:val="3"/>
    <w:qFormat/>
    <w:uiPriority w:val="99"/>
    <w:pPr>
      <w:spacing w:line="200" w:lineRule="atLeast"/>
      <w:ind w:firstLine="420"/>
    </w:pPr>
    <w:rPr>
      <w:rFonts w:ascii="宋体" w:hAnsi="Courier New"/>
      <w:spacing w:val="-4"/>
      <w:sz w:val="18"/>
    </w:rPr>
  </w:style>
  <w:style w:type="paragraph" w:customStyle="1" w:styleId="35">
    <w:name w:val="cover"/>
    <w:link w:val="40"/>
    <w:qFormat/>
    <w:uiPriority w:val="0"/>
    <w:rPr>
      <w:rFonts w:ascii="宋体" w:hAnsi="Cambria" w:eastAsia="宋体" w:cs="宋体"/>
      <w:b/>
      <w:kern w:val="2"/>
      <w:sz w:val="52"/>
      <w:szCs w:val="22"/>
      <w:lang w:val="en-US" w:eastAsia="zh-CN" w:bidi="ar-SA"/>
    </w:rPr>
  </w:style>
  <w:style w:type="paragraph" w:customStyle="1" w:styleId="36">
    <w:name w:val="正文1"/>
    <w:basedOn w:val="1"/>
    <w:qFormat/>
    <w:uiPriority w:val="0"/>
    <w:pPr>
      <w:adjustRightInd w:val="0"/>
      <w:spacing w:line="318" w:lineRule="atLeast"/>
      <w:ind w:left="369" w:firstLine="369"/>
      <w:textAlignment w:val="baseline"/>
    </w:pPr>
    <w:rPr>
      <w:rFonts w:ascii="宋体"/>
    </w:rPr>
  </w:style>
  <w:style w:type="paragraph" w:customStyle="1" w:styleId="37">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8">
    <w:name w:val="表格文字"/>
    <w:basedOn w:val="1"/>
    <w:next w:val="12"/>
    <w:qFormat/>
    <w:uiPriority w:val="99"/>
    <w:rPr>
      <w:sz w:val="18"/>
    </w:rPr>
  </w:style>
  <w:style w:type="character" w:customStyle="1" w:styleId="39">
    <w:name w:val="标题 1 字符"/>
    <w:basedOn w:val="28"/>
    <w:link w:val="5"/>
    <w:qFormat/>
    <w:uiPriority w:val="9"/>
    <w:rPr>
      <w:rFonts w:ascii="宋体" w:hAnsi="宋体" w:eastAsia="宋体"/>
      <w:b/>
      <w:sz w:val="36"/>
      <w:szCs w:val="36"/>
    </w:rPr>
  </w:style>
  <w:style w:type="character" w:customStyle="1" w:styleId="40">
    <w:name w:val="cover 字符"/>
    <w:basedOn w:val="28"/>
    <w:link w:val="35"/>
    <w:qFormat/>
    <w:uiPriority w:val="0"/>
    <w:rPr>
      <w:rFonts w:ascii="宋体" w:hAnsi="Cambria" w:eastAsia="宋体"/>
      <w:b/>
      <w:sz w:val="52"/>
    </w:rPr>
  </w:style>
  <w:style w:type="paragraph" w:customStyle="1" w:styleId="41">
    <w:name w:val="index"/>
    <w:basedOn w:val="19"/>
    <w:link w:val="43"/>
    <w:qFormat/>
    <w:uiPriority w:val="0"/>
    <w:pPr>
      <w:tabs>
        <w:tab w:val="left" w:pos="1190"/>
      </w:tabs>
    </w:pPr>
    <w:rPr>
      <w:szCs w:val="32"/>
    </w:rPr>
  </w:style>
  <w:style w:type="character" w:customStyle="1" w:styleId="42">
    <w:name w:val="TOC 1 字符"/>
    <w:basedOn w:val="28"/>
    <w:link w:val="19"/>
    <w:qFormat/>
    <w:uiPriority w:val="39"/>
    <w:rPr>
      <w:rFonts w:ascii="宋体" w:eastAsia="宋体"/>
      <w:sz w:val="28"/>
    </w:rPr>
  </w:style>
  <w:style w:type="character" w:customStyle="1" w:styleId="43">
    <w:name w:val="index 字符"/>
    <w:basedOn w:val="42"/>
    <w:link w:val="41"/>
    <w:qFormat/>
    <w:uiPriority w:val="0"/>
    <w:rPr>
      <w:rFonts w:ascii="宋体" w:eastAsia="宋体"/>
      <w:sz w:val="28"/>
      <w:szCs w:val="32"/>
    </w:rPr>
  </w:style>
  <w:style w:type="paragraph" w:customStyle="1" w:styleId="44">
    <w:name w:val="普通(网站)11"/>
    <w:basedOn w:val="1"/>
    <w:qFormat/>
    <w:uiPriority w:val="0"/>
    <w:pPr>
      <w:widowControl/>
      <w:spacing w:beforeAutospacing="1" w:afterAutospacing="1" w:line="240" w:lineRule="auto"/>
      <w:ind w:firstLine="0" w:firstLineChars="0"/>
      <w:jc w:val="left"/>
    </w:pPr>
    <w:rPr>
      <w:rFonts w:hAnsi="宋体" w:cs="Times New Roman"/>
      <w:kern w:val="0"/>
      <w:szCs w:val="24"/>
    </w:rPr>
  </w:style>
  <w:style w:type="paragraph" w:styleId="45">
    <w:name w:val="List Paragraph"/>
    <w:basedOn w:val="1"/>
    <w:link w:val="55"/>
    <w:qFormat/>
    <w:uiPriority w:val="34"/>
    <w:pPr>
      <w:ind w:firstLine="420"/>
    </w:pPr>
  </w:style>
  <w:style w:type="character" w:customStyle="1" w:styleId="46">
    <w:name w:val="标题 2 字符"/>
    <w:basedOn w:val="28"/>
    <w:link w:val="6"/>
    <w:qFormat/>
    <w:uiPriority w:val="9"/>
    <w:rPr>
      <w:rFonts w:ascii="Cambria" w:hAnsi="Cambria" w:eastAsia="宋体" w:cs="宋体"/>
      <w:b/>
      <w:bCs/>
      <w:sz w:val="32"/>
      <w:szCs w:val="48"/>
    </w:rPr>
  </w:style>
  <w:style w:type="paragraph" w:customStyle="1" w:styleId="47">
    <w:name w:val="form"/>
    <w:basedOn w:val="1"/>
    <w:link w:val="48"/>
    <w:qFormat/>
    <w:uiPriority w:val="0"/>
    <w:pPr>
      <w:snapToGrid w:val="0"/>
      <w:spacing w:line="240" w:lineRule="auto"/>
      <w:ind w:firstLine="0" w:firstLineChars="0"/>
      <w:jc w:val="center"/>
    </w:pPr>
    <w:rPr>
      <w:szCs w:val="21"/>
    </w:rPr>
  </w:style>
  <w:style w:type="character" w:customStyle="1" w:styleId="48">
    <w:name w:val="form 字符"/>
    <w:basedOn w:val="28"/>
    <w:link w:val="47"/>
    <w:qFormat/>
    <w:uiPriority w:val="0"/>
    <w:rPr>
      <w:rFonts w:ascii="宋体" w:eastAsia="宋体"/>
      <w:szCs w:val="21"/>
    </w:rPr>
  </w:style>
  <w:style w:type="character" w:customStyle="1" w:styleId="49">
    <w:name w:val="正文文本 字符"/>
    <w:basedOn w:val="28"/>
    <w:link w:val="12"/>
    <w:qFormat/>
    <w:uiPriority w:val="0"/>
    <w:rPr>
      <w:rFonts w:ascii="Calibri" w:hAnsi="Calibri" w:eastAsia="宋体" w:cs="Times New Roman"/>
      <w:sz w:val="24"/>
      <w:szCs w:val="24"/>
    </w:rPr>
  </w:style>
  <w:style w:type="character" w:customStyle="1" w:styleId="50">
    <w:name w:val="纯文本 字符"/>
    <w:basedOn w:val="28"/>
    <w:link w:val="14"/>
    <w:qFormat/>
    <w:uiPriority w:val="0"/>
    <w:rPr>
      <w:rFonts w:ascii="宋体" w:hAnsi="Courier New" w:eastAsia="仿宋_GB2312" w:cs="Times New Roman"/>
      <w:sz w:val="30"/>
      <w:szCs w:val="24"/>
    </w:rPr>
  </w:style>
  <w:style w:type="character" w:customStyle="1" w:styleId="51">
    <w:name w:val="批注框文本 字符"/>
    <w:basedOn w:val="28"/>
    <w:link w:val="16"/>
    <w:qFormat/>
    <w:uiPriority w:val="99"/>
    <w:rPr>
      <w:rFonts w:ascii="宋体" w:eastAsia="宋体"/>
      <w:sz w:val="18"/>
      <w:szCs w:val="18"/>
    </w:rPr>
  </w:style>
  <w:style w:type="paragraph" w:customStyle="1" w:styleId="52">
    <w:name w:val="修订1"/>
    <w:qFormat/>
    <w:uiPriority w:val="99"/>
    <w:rPr>
      <w:rFonts w:ascii="宋体" w:hAnsi="Calibri" w:eastAsia="宋体" w:cs="宋体"/>
      <w:kern w:val="2"/>
      <w:sz w:val="21"/>
      <w:szCs w:val="22"/>
      <w:lang w:val="en-US" w:eastAsia="zh-CN" w:bidi="ar-SA"/>
    </w:rPr>
  </w:style>
  <w:style w:type="character" w:customStyle="1" w:styleId="53">
    <w:name w:val="标题 字符"/>
    <w:basedOn w:val="28"/>
    <w:link w:val="24"/>
    <w:qFormat/>
    <w:uiPriority w:val="10"/>
    <w:rPr>
      <w:rFonts w:ascii="Cambria" w:hAnsi="Cambria" w:eastAsia="宋体" w:cs="宋体"/>
      <w:b/>
      <w:bCs/>
      <w:sz w:val="32"/>
      <w:szCs w:val="32"/>
    </w:rPr>
  </w:style>
  <w:style w:type="paragraph" w:customStyle="1" w:styleId="54">
    <w:name w:val="序号列"/>
    <w:basedOn w:val="45"/>
    <w:link w:val="56"/>
    <w:qFormat/>
    <w:uiPriority w:val="0"/>
    <w:pPr>
      <w:numPr>
        <w:ilvl w:val="2"/>
        <w:numId w:val="4"/>
      </w:numPr>
      <w:ind w:firstLine="0" w:firstLineChars="0"/>
    </w:pPr>
  </w:style>
  <w:style w:type="character" w:customStyle="1" w:styleId="55">
    <w:name w:val="列表段落 字符"/>
    <w:basedOn w:val="28"/>
    <w:link w:val="45"/>
    <w:qFormat/>
    <w:uiPriority w:val="34"/>
    <w:rPr>
      <w:rFonts w:ascii="宋体" w:eastAsia="宋体"/>
    </w:rPr>
  </w:style>
  <w:style w:type="character" w:customStyle="1" w:styleId="56">
    <w:name w:val="序号列 字符"/>
    <w:basedOn w:val="55"/>
    <w:link w:val="54"/>
    <w:qFormat/>
    <w:uiPriority w:val="0"/>
    <w:rPr>
      <w:rFonts w:ascii="宋体" w:eastAsia="宋体"/>
    </w:rPr>
  </w:style>
  <w:style w:type="character" w:customStyle="1" w:styleId="57">
    <w:name w:val="副标题 字符"/>
    <w:basedOn w:val="28"/>
    <w:link w:val="20"/>
    <w:qFormat/>
    <w:uiPriority w:val="11"/>
    <w:rPr>
      <w:b/>
      <w:bCs/>
      <w:kern w:val="28"/>
      <w:sz w:val="32"/>
      <w:szCs w:val="32"/>
    </w:rPr>
  </w:style>
  <w:style w:type="character" w:customStyle="1" w:styleId="58">
    <w:name w:val="标题 3 字符"/>
    <w:basedOn w:val="28"/>
    <w:link w:val="8"/>
    <w:qFormat/>
    <w:uiPriority w:val="9"/>
    <w:rPr>
      <w:rFonts w:ascii="Cambria" w:hAnsi="Cambria" w:eastAsia="宋体" w:cs="宋体"/>
      <w:b/>
      <w:bCs/>
      <w:kern w:val="2"/>
      <w:sz w:val="21"/>
      <w:szCs w:val="32"/>
    </w:rPr>
  </w:style>
  <w:style w:type="paragraph" w:customStyle="1" w:styleId="59">
    <w:name w:val="加粗子列表"/>
    <w:basedOn w:val="45"/>
    <w:link w:val="61"/>
    <w:qFormat/>
    <w:uiPriority w:val="0"/>
    <w:pPr>
      <w:numPr>
        <w:ilvl w:val="0"/>
        <w:numId w:val="5"/>
      </w:numPr>
      <w:ind w:firstLine="0" w:firstLineChars="0"/>
    </w:pPr>
    <w:rPr>
      <w:b/>
      <w:bCs/>
    </w:rPr>
  </w:style>
  <w:style w:type="paragraph" w:customStyle="1" w:styleId="60">
    <w:name w:val="子列2"/>
    <w:basedOn w:val="59"/>
    <w:link w:val="64"/>
    <w:qFormat/>
    <w:uiPriority w:val="0"/>
    <w:pPr>
      <w:numPr>
        <w:ilvl w:val="1"/>
        <w:numId w:val="0"/>
      </w:numPr>
    </w:pPr>
    <w:rPr>
      <w:b w:val="0"/>
      <w:bCs w:val="0"/>
    </w:rPr>
  </w:style>
  <w:style w:type="character" w:customStyle="1" w:styleId="61">
    <w:name w:val="加粗子列表 字符"/>
    <w:basedOn w:val="55"/>
    <w:link w:val="59"/>
    <w:qFormat/>
    <w:uiPriority w:val="0"/>
    <w:rPr>
      <w:rFonts w:ascii="宋体" w:eastAsia="宋体"/>
      <w:b/>
      <w:bCs/>
    </w:rPr>
  </w:style>
  <w:style w:type="character" w:customStyle="1" w:styleId="62">
    <w:name w:val="纯文本 Char"/>
    <w:link w:val="63"/>
    <w:qFormat/>
    <w:uiPriority w:val="0"/>
    <w:rPr>
      <w:rFonts w:ascii="宋体" w:hAnsi="Courier New" w:eastAsia="仿宋_GB2312"/>
      <w:sz w:val="30"/>
      <w:szCs w:val="24"/>
    </w:rPr>
  </w:style>
  <w:style w:type="paragraph" w:customStyle="1" w:styleId="63">
    <w:name w:val="纯文本1"/>
    <w:basedOn w:val="1"/>
    <w:link w:val="62"/>
    <w:qFormat/>
    <w:uiPriority w:val="0"/>
    <w:pPr>
      <w:wordWrap/>
      <w:spacing w:beforeLines="50" w:afterLines="50" w:line="400" w:lineRule="exact"/>
      <w:ind w:firstLine="0" w:firstLineChars="0"/>
    </w:pPr>
    <w:rPr>
      <w:rFonts w:hAnsi="Courier New" w:eastAsia="仿宋_GB2312"/>
      <w:sz w:val="30"/>
      <w:szCs w:val="24"/>
    </w:rPr>
  </w:style>
  <w:style w:type="character" w:customStyle="1" w:styleId="64">
    <w:name w:val="子列2 字符"/>
    <w:basedOn w:val="61"/>
    <w:link w:val="60"/>
    <w:qFormat/>
    <w:uiPriority w:val="0"/>
    <w:rPr>
      <w:rFonts w:ascii="宋体" w:eastAsia="宋体"/>
      <w:b w:val="0"/>
      <w:bCs w:val="0"/>
    </w:rPr>
  </w:style>
  <w:style w:type="character" w:customStyle="1" w:styleId="65">
    <w:name w:val="页脚 字符"/>
    <w:basedOn w:val="28"/>
    <w:link w:val="17"/>
    <w:qFormat/>
    <w:uiPriority w:val="99"/>
    <w:rPr>
      <w:rFonts w:ascii="Calibri" w:hAnsi="Calibri" w:eastAsia="宋体" w:cs="Times New Roman"/>
      <w:kern w:val="0"/>
      <w:sz w:val="20"/>
      <w:szCs w:val="20"/>
    </w:rPr>
  </w:style>
  <w:style w:type="character" w:customStyle="1" w:styleId="66">
    <w:name w:val="页眉 字符"/>
    <w:basedOn w:val="28"/>
    <w:link w:val="18"/>
    <w:qFormat/>
    <w:uiPriority w:val="99"/>
    <w:rPr>
      <w:rFonts w:ascii="Calibri" w:hAnsi="Calibri" w:eastAsia="宋体" w:cs="Times New Roman"/>
      <w:sz w:val="18"/>
      <w:szCs w:val="24"/>
    </w:rPr>
  </w:style>
  <w:style w:type="paragraph" w:customStyle="1" w:styleId="67">
    <w:name w:val="文本块2"/>
    <w:basedOn w:val="1"/>
    <w:qFormat/>
    <w:uiPriority w:val="0"/>
    <w:pPr>
      <w:wordWrap/>
      <w:adjustRightInd w:val="0"/>
      <w:snapToGrid w:val="0"/>
      <w:spacing w:line="300" w:lineRule="auto"/>
      <w:ind w:left="958" w:right="-120" w:rightChars="-120" w:firstLine="0" w:firstLineChars="0"/>
      <w:jc w:val="left"/>
    </w:pPr>
    <w:rPr>
      <w:rFonts w:hint="eastAsia" w:ascii="Century Gothic" w:hAnsi="Century Gothic" w:cs="Times New Roman"/>
      <w:sz w:val="28"/>
      <w:szCs w:val="20"/>
    </w:rPr>
  </w:style>
  <w:style w:type="paragraph" w:customStyle="1" w:styleId="68">
    <w:name w:val="纯文本3"/>
    <w:basedOn w:val="1"/>
    <w:qFormat/>
    <w:uiPriority w:val="0"/>
    <w:pPr>
      <w:wordWrap/>
      <w:adjustRightInd w:val="0"/>
      <w:spacing w:line="240" w:lineRule="auto"/>
      <w:ind w:firstLine="0" w:firstLineChars="0"/>
      <w:textAlignment w:val="baseline"/>
    </w:pPr>
    <w:rPr>
      <w:rFonts w:hAnsi="Courier New" w:eastAsia="楷体_GB2312" w:cs="Times New Roman"/>
      <w:sz w:val="26"/>
      <w:szCs w:val="20"/>
    </w:rPr>
  </w:style>
  <w:style w:type="paragraph" w:customStyle="1" w:styleId="69">
    <w:name w:val="表内文字"/>
    <w:basedOn w:val="1"/>
    <w:qFormat/>
    <w:uiPriority w:val="0"/>
    <w:pPr>
      <w:tabs>
        <w:tab w:val="left" w:pos="1418"/>
      </w:tabs>
      <w:wordWrap/>
      <w:ind w:firstLine="0" w:firstLineChars="0"/>
      <w:jc w:val="center"/>
    </w:pPr>
    <w:rPr>
      <w:rFonts w:ascii="仿宋_GB2312" w:eastAsia="仿宋_GB2312" w:cs="Times New Roman"/>
      <w:spacing w:val="-20"/>
      <w:kern w:val="0"/>
      <w:sz w:val="24"/>
      <w:szCs w:val="24"/>
    </w:rPr>
  </w:style>
  <w:style w:type="paragraph" w:customStyle="1" w:styleId="70">
    <w:name w:val="纯文本2"/>
    <w:basedOn w:val="1"/>
    <w:qFormat/>
    <w:uiPriority w:val="0"/>
    <w:pPr>
      <w:wordWrap/>
      <w:spacing w:line="240" w:lineRule="auto"/>
      <w:ind w:firstLine="0" w:firstLineChars="0"/>
    </w:pPr>
    <w:rPr>
      <w:rFonts w:hAnsi="Courier New" w:eastAsia="仿宋_GB2312" w:cs="Times New Roman"/>
      <w:sz w:val="30"/>
      <w:szCs w:val="24"/>
    </w:rPr>
  </w:style>
  <w:style w:type="paragraph" w:customStyle="1" w:styleId="71">
    <w:name w:val="Body Text Indent1"/>
    <w:basedOn w:val="1"/>
    <w:qFormat/>
    <w:uiPriority w:val="99"/>
    <w:pPr>
      <w:wordWrap/>
      <w:spacing w:line="200" w:lineRule="exact"/>
      <w:ind w:firstLine="301" w:firstLineChars="0"/>
    </w:pPr>
    <w:rPr>
      <w:rFonts w:hAnsi="Courier New" w:cs="Times New Roman"/>
      <w:spacing w:val="-4"/>
      <w:kern w:val="0"/>
      <w:sz w:val="18"/>
      <w:szCs w:val="24"/>
    </w:rPr>
  </w:style>
  <w:style w:type="paragraph" w:customStyle="1" w:styleId="72">
    <w:name w:val="默认段落字体 Para Char Char Char Char Char Char Char Char Char1 Char Char Char Char"/>
    <w:basedOn w:val="1"/>
    <w:qFormat/>
    <w:uiPriority w:val="99"/>
    <w:pPr>
      <w:wordWrap/>
      <w:spacing w:line="240" w:lineRule="auto"/>
      <w:ind w:firstLine="0" w:firstLineChars="0"/>
    </w:pPr>
    <w:rPr>
      <w:rFonts w:ascii="Tahoma" w:hAnsi="Tahoma" w:cs="Times New Roman"/>
      <w:sz w:val="24"/>
      <w:szCs w:val="20"/>
    </w:rPr>
  </w:style>
  <w:style w:type="character" w:customStyle="1" w:styleId="73">
    <w:name w:val="批注框文本 Char"/>
    <w:basedOn w:val="28"/>
    <w:link w:val="74"/>
    <w:qFormat/>
    <w:uiPriority w:val="0"/>
    <w:rPr>
      <w:rFonts w:ascii="Calibri" w:hAnsi="Calibri"/>
      <w:sz w:val="18"/>
      <w:szCs w:val="18"/>
    </w:rPr>
  </w:style>
  <w:style w:type="paragraph" w:customStyle="1" w:styleId="74">
    <w:name w:val="批注框文本1"/>
    <w:basedOn w:val="1"/>
    <w:link w:val="73"/>
    <w:qFormat/>
    <w:uiPriority w:val="0"/>
    <w:pPr>
      <w:wordWrap/>
      <w:spacing w:line="240" w:lineRule="auto"/>
      <w:ind w:firstLine="0" w:firstLineChars="0"/>
    </w:pPr>
    <w:rPr>
      <w:rFonts w:ascii="Calibri"/>
      <w:sz w:val="18"/>
      <w:szCs w:val="18"/>
    </w:rPr>
  </w:style>
  <w:style w:type="paragraph" w:customStyle="1" w:styleId="75">
    <w:name w:val="纯文本5"/>
    <w:basedOn w:val="1"/>
    <w:qFormat/>
    <w:uiPriority w:val="0"/>
    <w:pPr>
      <w:wordWrap/>
      <w:spacing w:line="240" w:lineRule="auto"/>
      <w:ind w:firstLine="0" w:firstLineChars="0"/>
    </w:pPr>
    <w:rPr>
      <w:rFonts w:hAnsi="Courier New" w:eastAsia="仿宋_GB2312" w:cs="Times New Roman"/>
      <w:sz w:val="30"/>
      <w:szCs w:val="24"/>
    </w:rPr>
  </w:style>
  <w:style w:type="paragraph" w:customStyle="1" w:styleId="76">
    <w:name w:val="附件格式"/>
    <w:basedOn w:val="1"/>
    <w:link w:val="77"/>
    <w:qFormat/>
    <w:uiPriority w:val="0"/>
    <w:rPr>
      <w:sz w:val="28"/>
    </w:rPr>
  </w:style>
  <w:style w:type="character" w:customStyle="1" w:styleId="77">
    <w:name w:val="附件格式 字符"/>
    <w:basedOn w:val="28"/>
    <w:link w:val="76"/>
    <w:qFormat/>
    <w:uiPriority w:val="0"/>
    <w:rPr>
      <w:rFonts w:ascii="宋体"/>
      <w:sz w:val="28"/>
    </w:rPr>
  </w:style>
  <w:style w:type="character" w:customStyle="1" w:styleId="78">
    <w:name w:val="正文缩进 字符"/>
    <w:link w:val="10"/>
    <w:qFormat/>
    <w:uiPriority w:val="0"/>
    <w:rPr>
      <w:rFonts w:eastAsia="宋体"/>
    </w:rPr>
  </w:style>
  <w:style w:type="paragraph" w:customStyle="1" w:styleId="79">
    <w:name w:val="大纲"/>
    <w:next w:val="1"/>
    <w:link w:val="80"/>
    <w:qFormat/>
    <w:uiPriority w:val="0"/>
    <w:pPr>
      <w:spacing w:line="360" w:lineRule="auto"/>
      <w:outlineLvl w:val="1"/>
    </w:pPr>
    <w:rPr>
      <w:rFonts w:ascii="宋体" w:hAnsi="Calibri" w:eastAsia="宋体" w:cs="宋体"/>
      <w:b/>
      <w:bCs/>
      <w:kern w:val="2"/>
      <w:sz w:val="24"/>
      <w:szCs w:val="22"/>
      <w:lang w:val="en-US" w:eastAsia="zh-CN" w:bidi="ar-SA"/>
    </w:rPr>
  </w:style>
  <w:style w:type="character" w:customStyle="1" w:styleId="80">
    <w:name w:val="大纲 字符"/>
    <w:basedOn w:val="28"/>
    <w:link w:val="79"/>
    <w:qFormat/>
    <w:uiPriority w:val="0"/>
    <w:rPr>
      <w:rFonts w:ascii="宋体" w:eastAsia="宋体"/>
      <w:b/>
      <w:bCs/>
      <w:kern w:val="2"/>
      <w:sz w:val="24"/>
      <w:szCs w:val="22"/>
    </w:rPr>
  </w:style>
  <w:style w:type="character" w:customStyle="1" w:styleId="81">
    <w:name w:val="fontstyle01"/>
    <w:qFormat/>
    <w:uiPriority w:val="0"/>
    <w:rPr>
      <w:rFonts w:hint="eastAsia" w:ascii="宋体" w:hAnsi="宋体" w:eastAsia="宋体"/>
      <w:color w:val="000000"/>
      <w:sz w:val="44"/>
      <w:szCs w:val="44"/>
    </w:rPr>
  </w:style>
  <w:style w:type="character" w:customStyle="1" w:styleId="82">
    <w:name w:val="bookmark-item"/>
    <w:basedOn w:val="28"/>
    <w:qFormat/>
    <w:uiPriority w:val="0"/>
  </w:style>
  <w:style w:type="character" w:customStyle="1" w:styleId="83">
    <w:name w:val="Body Text Indent Char Char"/>
    <w:basedOn w:val="28"/>
    <w:link w:val="84"/>
    <w:qFormat/>
    <w:uiPriority w:val="0"/>
  </w:style>
  <w:style w:type="paragraph" w:customStyle="1" w:styleId="84">
    <w:name w:val="正文文本缩进1"/>
    <w:basedOn w:val="1"/>
    <w:link w:val="83"/>
    <w:qFormat/>
    <w:uiPriority w:val="0"/>
    <w:pPr>
      <w:wordWrap/>
      <w:spacing w:line="200" w:lineRule="exact"/>
      <w:ind w:firstLine="301" w:firstLineChars="0"/>
    </w:pPr>
    <w:rPr>
      <w:rFonts w:ascii="Calibri"/>
    </w:rPr>
  </w:style>
  <w:style w:type="paragraph" w:customStyle="1" w:styleId="85">
    <w:name w:val="l正文"/>
    <w:basedOn w:val="1"/>
    <w:qFormat/>
    <w:uiPriority w:val="0"/>
    <w:pPr>
      <w:wordWrap/>
      <w:spacing w:line="300" w:lineRule="auto"/>
      <w:jc w:val="left"/>
    </w:pPr>
    <w:rPr>
      <w:rFonts w:ascii="楷体_GB2312" w:hAnsi="Times" w:eastAsia="楷体_GB2312" w:cs="等线"/>
      <w:sz w:val="24"/>
      <w:szCs w:val="24"/>
    </w:rPr>
  </w:style>
  <w:style w:type="character" w:customStyle="1" w:styleId="86">
    <w:name w:val="纯文本 字符1"/>
    <w:qFormat/>
    <w:uiPriority w:val="0"/>
    <w:rPr>
      <w:rFonts w:ascii="宋体" w:hAnsi="Courier New" w:eastAsia="仿宋_GB2312"/>
      <w:kern w:val="2"/>
      <w:sz w:val="30"/>
      <w:lang w:val="en-US" w:eastAsia="zh-CN" w:bidi="ar-SA"/>
    </w:rPr>
  </w:style>
  <w:style w:type="paragraph" w:customStyle="1" w:styleId="8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88">
    <w:name w:val="脚注文本 字符"/>
    <w:basedOn w:val="28"/>
    <w:link w:val="21"/>
    <w:qFormat/>
    <w:uiPriority w:val="99"/>
    <w:rPr>
      <w:rFonts w:ascii="宋体" w:eastAsia="宋体"/>
      <w:sz w:val="18"/>
      <w:szCs w:val="18"/>
    </w:rPr>
  </w:style>
  <w:style w:type="character" w:styleId="89">
    <w:name w:val="Placeholder Text"/>
    <w:basedOn w:val="28"/>
    <w:qFormat/>
    <w:uiPriority w:val="99"/>
    <w:rPr>
      <w:color w:val="808080"/>
    </w:rPr>
  </w:style>
  <w:style w:type="character" w:customStyle="1" w:styleId="90">
    <w:name w:val="批注文字 字符"/>
    <w:basedOn w:val="28"/>
    <w:link w:val="11"/>
    <w:qFormat/>
    <w:uiPriority w:val="99"/>
    <w:rPr>
      <w:rFonts w:ascii="宋体" w:eastAsia="宋体"/>
    </w:rPr>
  </w:style>
  <w:style w:type="character" w:customStyle="1" w:styleId="91">
    <w:name w:val="批注主题 字符"/>
    <w:basedOn w:val="90"/>
    <w:link w:val="25"/>
    <w:qFormat/>
    <w:uiPriority w:val="99"/>
    <w:rPr>
      <w:rFonts w:ascii="宋体" w:eastAsia="宋体"/>
      <w:b/>
      <w:bCs/>
    </w:rPr>
  </w:style>
  <w:style w:type="paragraph" w:customStyle="1" w:styleId="92">
    <w:name w:val="Char Char1"/>
    <w:basedOn w:val="1"/>
    <w:qFormat/>
    <w:uiPriority w:val="0"/>
    <w:pPr>
      <w:wordWrap/>
    </w:pPr>
    <w:rPr>
      <w:rFonts w:hAnsi="宋体"/>
      <w:sz w:val="24"/>
      <w:szCs w:val="24"/>
    </w:rPr>
  </w:style>
  <w:style w:type="character" w:customStyle="1" w:styleId="93">
    <w:name w:val="正文文本缩进 2 字符"/>
    <w:basedOn w:val="28"/>
    <w:link w:val="15"/>
    <w:qFormat/>
    <w:uiPriority w:val="99"/>
    <w:rPr>
      <w:rFonts w:ascii="宋体" w:eastAsia="宋体"/>
      <w:kern w:val="2"/>
      <w:sz w:val="21"/>
      <w:szCs w:val="22"/>
    </w:rPr>
  </w:style>
  <w:style w:type="paragraph" w:customStyle="1" w:styleId="94">
    <w:name w:val="4需求"/>
    <w:next w:val="1"/>
    <w:link w:val="96"/>
    <w:qFormat/>
    <w:uiPriority w:val="0"/>
    <w:pPr>
      <w:numPr>
        <w:ilvl w:val="3"/>
        <w:numId w:val="6"/>
      </w:numPr>
    </w:pPr>
    <w:rPr>
      <w:rFonts w:ascii="宋体" w:hAnsi="Calibri" w:eastAsia="宋体" w:cs="宋体"/>
      <w:b/>
      <w:bCs/>
      <w:kern w:val="2"/>
      <w:sz w:val="21"/>
      <w:szCs w:val="22"/>
      <w:lang w:val="en-US" w:eastAsia="zh-CN" w:bidi="ar-SA"/>
    </w:rPr>
  </w:style>
  <w:style w:type="paragraph" w:customStyle="1" w:styleId="95">
    <w:name w:val="3需求"/>
    <w:next w:val="94"/>
    <w:link w:val="98"/>
    <w:qFormat/>
    <w:uiPriority w:val="0"/>
    <w:pPr>
      <w:numPr>
        <w:ilvl w:val="2"/>
        <w:numId w:val="6"/>
      </w:numPr>
      <w:snapToGrid w:val="0"/>
      <w:spacing w:beforeLines="50"/>
    </w:pPr>
    <w:rPr>
      <w:rFonts w:ascii="宋体" w:hAnsi="Calibri" w:eastAsia="宋体" w:cs="宋体"/>
      <w:b/>
      <w:bCs/>
      <w:kern w:val="2"/>
      <w:sz w:val="24"/>
      <w:szCs w:val="22"/>
      <w:lang w:val="en-US" w:eastAsia="zh-CN" w:bidi="ar-SA"/>
    </w:rPr>
  </w:style>
  <w:style w:type="character" w:customStyle="1" w:styleId="96">
    <w:name w:val="4需求 字符"/>
    <w:basedOn w:val="28"/>
    <w:link w:val="94"/>
    <w:qFormat/>
    <w:uiPriority w:val="0"/>
    <w:rPr>
      <w:rFonts w:ascii="宋体" w:eastAsia="宋体"/>
      <w:b/>
      <w:bCs/>
      <w:kern w:val="2"/>
      <w:sz w:val="21"/>
      <w:szCs w:val="22"/>
    </w:rPr>
  </w:style>
  <w:style w:type="paragraph" w:customStyle="1" w:styleId="97">
    <w:name w:val="2需求"/>
    <w:next w:val="1"/>
    <w:link w:val="100"/>
    <w:qFormat/>
    <w:uiPriority w:val="0"/>
    <w:pPr>
      <w:numPr>
        <w:ilvl w:val="1"/>
        <w:numId w:val="6"/>
      </w:numPr>
      <w:snapToGrid w:val="0"/>
      <w:spacing w:beforeLines="50"/>
    </w:pPr>
    <w:rPr>
      <w:rFonts w:ascii="宋体" w:hAnsi="Calibri" w:eastAsia="宋体" w:cs="宋体"/>
      <w:b/>
      <w:bCs/>
      <w:kern w:val="2"/>
      <w:sz w:val="24"/>
      <w:szCs w:val="22"/>
      <w:lang w:val="en-US" w:eastAsia="zh-CN" w:bidi="ar-SA"/>
    </w:rPr>
  </w:style>
  <w:style w:type="character" w:customStyle="1" w:styleId="98">
    <w:name w:val="3需求 字符"/>
    <w:basedOn w:val="28"/>
    <w:link w:val="95"/>
    <w:qFormat/>
    <w:uiPriority w:val="0"/>
    <w:rPr>
      <w:rFonts w:ascii="宋体" w:eastAsia="宋体"/>
      <w:b/>
      <w:bCs/>
      <w:kern w:val="2"/>
      <w:sz w:val="24"/>
      <w:szCs w:val="22"/>
    </w:rPr>
  </w:style>
  <w:style w:type="paragraph" w:customStyle="1" w:styleId="99">
    <w:name w:val="1需求"/>
    <w:next w:val="1"/>
    <w:link w:val="101"/>
    <w:qFormat/>
    <w:uiPriority w:val="0"/>
    <w:pPr>
      <w:numPr>
        <w:ilvl w:val="0"/>
        <w:numId w:val="6"/>
      </w:numPr>
      <w:snapToGrid w:val="0"/>
      <w:spacing w:beforeLines="50"/>
      <w:ind w:left="0"/>
    </w:pPr>
    <w:rPr>
      <w:rFonts w:ascii="宋体" w:hAnsi="Calibri" w:eastAsia="宋体" w:cs="宋体"/>
      <w:b/>
      <w:bCs/>
      <w:kern w:val="2"/>
      <w:sz w:val="28"/>
      <w:szCs w:val="22"/>
      <w:lang w:val="en-US" w:eastAsia="zh-CN" w:bidi="ar-SA"/>
    </w:rPr>
  </w:style>
  <w:style w:type="character" w:customStyle="1" w:styleId="100">
    <w:name w:val="2需求 字符"/>
    <w:basedOn w:val="28"/>
    <w:link w:val="97"/>
    <w:qFormat/>
    <w:uiPriority w:val="0"/>
    <w:rPr>
      <w:rFonts w:ascii="宋体" w:eastAsia="宋体"/>
      <w:b/>
      <w:bCs/>
      <w:kern w:val="2"/>
      <w:sz w:val="24"/>
      <w:szCs w:val="22"/>
    </w:rPr>
  </w:style>
  <w:style w:type="character" w:customStyle="1" w:styleId="101">
    <w:name w:val="1需求 字符"/>
    <w:basedOn w:val="28"/>
    <w:link w:val="99"/>
    <w:qFormat/>
    <w:uiPriority w:val="0"/>
    <w:rPr>
      <w:rFonts w:ascii="宋体" w:eastAsia="宋体"/>
      <w:b/>
      <w:bCs/>
      <w:kern w:val="2"/>
      <w:sz w:val="28"/>
      <w:szCs w:val="22"/>
    </w:rPr>
  </w:style>
  <w:style w:type="character" w:customStyle="1" w:styleId="102">
    <w:name w:val="正文文本缩进 字符"/>
    <w:basedOn w:val="28"/>
    <w:link w:val="3"/>
    <w:qFormat/>
    <w:uiPriority w:val="99"/>
    <w:rPr>
      <w:rFonts w:ascii="宋体" w:eastAsia="宋体"/>
      <w:kern w:val="2"/>
      <w:sz w:val="21"/>
      <w:szCs w:val="22"/>
    </w:rPr>
  </w:style>
  <w:style w:type="paragraph" w:customStyle="1" w:styleId="103">
    <w:name w:val="国普正文"/>
    <w:basedOn w:val="1"/>
    <w:qFormat/>
    <w:uiPriority w:val="0"/>
    <w:pPr>
      <w:wordWrap/>
      <w:ind w:firstLine="600"/>
    </w:pPr>
    <w:rPr>
      <w:rFonts w:ascii="仿宋_GB2312" w:eastAsia="仿宋_GB2312" w:cs="Times New Roman"/>
      <w:sz w:val="30"/>
      <w:szCs w:val="30"/>
    </w:rPr>
  </w:style>
  <w:style w:type="paragraph" w:customStyle="1" w:styleId="104">
    <w:name w:val="Body text|1"/>
    <w:basedOn w:val="1"/>
    <w:qFormat/>
    <w:uiPriority w:val="0"/>
    <w:pPr>
      <w:spacing w:line="437" w:lineRule="auto"/>
    </w:pPr>
    <w:rPr>
      <w:rFonts w:hAnsi="宋体"/>
      <w:sz w:val="26"/>
      <w:szCs w:val="26"/>
      <w:lang w:val="zh-TW" w:eastAsia="zh-TW" w:bidi="zh-TW"/>
    </w:rPr>
  </w:style>
  <w:style w:type="paragraph" w:customStyle="1" w:styleId="105">
    <w:name w:val="Body text|2"/>
    <w:basedOn w:val="1"/>
    <w:qFormat/>
    <w:uiPriority w:val="0"/>
    <w:pPr>
      <w:spacing w:after="560"/>
      <w:ind w:firstLine="80"/>
    </w:pPr>
    <w:rPr>
      <w:rFonts w:hAnsi="宋体"/>
      <w:sz w:val="30"/>
      <w:szCs w:val="30"/>
      <w:lang w:val="zh-TW" w:eastAsia="zh-TW" w:bidi="zh-TW"/>
    </w:rPr>
  </w:style>
  <w:style w:type="character" w:customStyle="1" w:styleId="106">
    <w:name w:val="正文缩进 Char"/>
    <w:qFormat/>
    <w:uiPriority w:val="0"/>
    <w:rPr>
      <w:rFonts w:ascii="仿宋_GB2312" w:eastAsia="宋体"/>
      <w:b/>
      <w:kern w:val="2"/>
      <w:sz w:val="21"/>
      <w:szCs w:val="32"/>
      <w:lang w:val="en-US" w:eastAsia="zh-CN" w:bidi="ar-SA"/>
    </w:rPr>
  </w:style>
  <w:style w:type="paragraph" w:customStyle="1" w:styleId="107">
    <w:name w:val="Default Text"/>
    <w:basedOn w:val="1"/>
    <w:qFormat/>
    <w:uiPriority w:val="0"/>
    <w:pPr>
      <w:widowControl/>
      <w:overflowPunct w:val="0"/>
      <w:autoSpaceDE w:val="0"/>
      <w:autoSpaceDN w:val="0"/>
      <w:adjustRightInd w:val="0"/>
      <w:jc w:val="left"/>
      <w:textAlignment w:val="baseline"/>
    </w:pPr>
    <w:rPr>
      <w:kern w:val="0"/>
      <w:sz w:val="24"/>
    </w:rPr>
  </w:style>
  <w:style w:type="paragraph" w:customStyle="1" w:styleId="108">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09">
    <w:name w:val="正文2"/>
    <w:basedOn w:val="1"/>
    <w:qFormat/>
    <w:uiPriority w:val="0"/>
    <w:pPr>
      <w:adjustRightInd w:val="0"/>
      <w:spacing w:line="318" w:lineRule="atLeast"/>
      <w:ind w:left="369" w:firstLine="369"/>
      <w:textAlignment w:val="baseline"/>
    </w:pPr>
    <w:rPr>
      <w:rFonts w:ascii="宋体"/>
    </w:rPr>
  </w:style>
  <w:style w:type="paragraph" w:customStyle="1" w:styleId="110">
    <w:name w:val="文本正文"/>
    <w:basedOn w:val="1"/>
    <w:qFormat/>
    <w:uiPriority w:val="0"/>
    <w:pPr>
      <w:adjustRightInd w:val="0"/>
      <w:spacing w:line="360" w:lineRule="auto"/>
      <w:ind w:firstLine="599" w:firstLineChars="214"/>
      <w:jc w:val="left"/>
    </w:pPr>
    <w:rPr>
      <w:rFonts w:ascii="宋体" w:hAnsi="宋体"/>
      <w:sz w:val="24"/>
      <w:szCs w:val="28"/>
    </w:rPr>
  </w:style>
  <w:style w:type="paragraph" w:customStyle="1" w:styleId="111">
    <w:name w:val="表格标题 (2)1"/>
    <w:basedOn w:val="1"/>
    <w:qFormat/>
    <w:uiPriority w:val="0"/>
    <w:pPr>
      <w:shd w:val="clear" w:color="auto" w:fill="FFFFFF"/>
      <w:spacing w:line="240" w:lineRule="atLeast"/>
    </w:pPr>
    <w:rPr>
      <w:rFonts w:ascii="宋体" w:hAnsi="宋体"/>
      <w:kern w:val="0"/>
      <w:szCs w:val="21"/>
    </w:rPr>
  </w:style>
  <w:style w:type="character" w:customStyle="1" w:styleId="112">
    <w:name w:val="正文文本 (2)_"/>
    <w:link w:val="113"/>
    <w:qFormat/>
    <w:locked/>
    <w:uiPriority w:val="99"/>
    <w:rPr>
      <w:rFonts w:ascii="宋体" w:hAnsi="宋体" w:eastAsia="宋体" w:cs="宋体"/>
      <w:sz w:val="21"/>
      <w:szCs w:val="21"/>
      <w:lang w:val="en-US" w:eastAsia="zh-CN" w:bidi="ar-SA"/>
    </w:rPr>
  </w:style>
  <w:style w:type="paragraph" w:customStyle="1" w:styleId="113">
    <w:name w:val="正文文本 (2)1"/>
    <w:link w:val="112"/>
    <w:qFormat/>
    <w:uiPriority w:val="99"/>
    <w:pPr>
      <w:shd w:val="clear" w:color="auto" w:fill="FFFFFF"/>
      <w:spacing w:before="60" w:after="60" w:line="240" w:lineRule="atLeast"/>
      <w:ind w:hanging="3960"/>
    </w:pPr>
    <w:rPr>
      <w:rFonts w:ascii="宋体" w:hAnsi="宋体" w:eastAsia="宋体" w:cs="宋体"/>
      <w:sz w:val="21"/>
      <w:szCs w:val="21"/>
      <w:lang w:val="en-US" w:eastAsia="zh-CN" w:bidi="ar-SA"/>
    </w:rPr>
  </w:style>
  <w:style w:type="table" w:customStyle="1" w:styleId="114">
    <w:name w:val="Table Normal"/>
    <w:semiHidden/>
    <w:unhideWhenUsed/>
    <w:qFormat/>
    <w:uiPriority w:val="0"/>
    <w:tblPr>
      <w:tblCellMar>
        <w:top w:w="0" w:type="dxa"/>
        <w:left w:w="0" w:type="dxa"/>
        <w:bottom w:w="0" w:type="dxa"/>
        <w:right w:w="0" w:type="dxa"/>
      </w:tblCellMar>
    </w:tblPr>
  </w:style>
  <w:style w:type="paragraph" w:customStyle="1" w:styleId="115">
    <w:name w:val="p0"/>
    <w:basedOn w:val="1"/>
    <w:qFormat/>
    <w:uiPriority w:val="0"/>
    <w:pPr>
      <w:widowControl/>
    </w:pPr>
    <w:rPr>
      <w:kern w:val="0"/>
      <w:szCs w:val="21"/>
    </w:rPr>
  </w:style>
  <w:style w:type="paragraph" w:customStyle="1" w:styleId="116">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117">
    <w:name w:val="Plain Text"/>
    <w:basedOn w:val="1"/>
    <w:qFormat/>
    <w:uiPriority w:val="0"/>
    <w:rPr>
      <w:rFonts w:ascii="宋体" w:hAnsi="Courier New"/>
      <w:kern w:val="2"/>
      <w:sz w:val="24"/>
      <w:szCs w:val="24"/>
    </w:rPr>
  </w:style>
  <w:style w:type="paragraph" w:customStyle="1" w:styleId="118">
    <w:name w:val="DAS正文"/>
    <w:basedOn w:val="1"/>
    <w:qFormat/>
    <w:uiPriority w:val="0"/>
    <w:pPr>
      <w:spacing w:before="100" w:beforeAutospacing="1" w:after="100" w:afterAutospacing="1" w:line="360" w:lineRule="auto"/>
      <w:ind w:right="181" w:firstLine="480" w:firstLineChars="200"/>
    </w:pPr>
    <w:rPr>
      <w:rFonts w:ascii="Verdana" w:hAnsi="Verdana"/>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59</Pages>
  <Words>32374</Words>
  <Characters>37179</Characters>
  <Lines>223</Lines>
  <Paragraphs>62</Paragraphs>
  <TotalTime>0</TotalTime>
  <ScaleCrop>false</ScaleCrop>
  <LinksUpToDate>false</LinksUpToDate>
  <CharactersWithSpaces>39185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2021-09-13T01:05:00Z</dcterms:created>
  <dc:creator>YaeSaya</dc:creator>
  <cp:lastModifiedBy>张燕玲</cp:lastModifiedBy>
  <cp:lastPrinted>2021-09-10T06:20:00Z</cp:lastPrinted>
  <dcterms:modified xsi:type="dcterms:W3CDTF">2023-04-13T01:18:58Z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AC808CF4CBA6444B85CC6942CCCF0C3D</vt:lpwstr>
  </property>
</Properties>
</file>