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eastAsia="微软雅黑" w:cs="宋体"/>
          <w:b/>
          <w:bCs/>
          <w:kern w:val="0"/>
          <w:sz w:val="48"/>
          <w:szCs w:val="48"/>
        </w:rPr>
      </w:pPr>
      <w:bookmarkStart w:id="0" w:name="EB507d39ea196e495e875fd4b489b501ab"/>
    </w:p>
    <w:p>
      <w:pPr>
        <w:jc w:val="center"/>
        <w:rPr>
          <w:rFonts w:hAnsi="宋体" w:eastAsia="微软雅黑" w:cs="宋体"/>
          <w:b/>
          <w:bCs/>
          <w:kern w:val="0"/>
          <w:sz w:val="48"/>
          <w:szCs w:val="48"/>
        </w:rPr>
      </w:pPr>
    </w:p>
    <w:bookmarkEnd w:id="0"/>
    <w:p>
      <w:pPr>
        <w:jc w:val="center"/>
        <w:rPr>
          <w:rFonts w:ascii="宋体" w:hAnsi="宋体" w:eastAsia="微软雅黑"/>
          <w:b/>
          <w:spacing w:val="-23"/>
          <w:sz w:val="48"/>
          <w:szCs w:val="48"/>
        </w:rPr>
      </w:pPr>
      <w:r>
        <w:rPr>
          <w:rFonts w:hint="eastAsia" w:hAnsi="宋体" w:eastAsia="微软雅黑" w:cs="宋体"/>
          <w:b/>
          <w:bCs/>
          <w:kern w:val="0"/>
          <w:sz w:val="48"/>
          <w:szCs w:val="48"/>
        </w:rPr>
        <w:t>普陀区X波段相控阵天气雷达建设项目</w:t>
      </w:r>
    </w:p>
    <w:p>
      <w:pPr>
        <w:pStyle w:val="9"/>
        <w:rPr>
          <w:rFonts w:ascii="宋体" w:hAnsi="宋体"/>
          <w:b/>
          <w:spacing w:val="12"/>
          <w:sz w:val="44"/>
          <w:szCs w:val="44"/>
        </w:rPr>
      </w:pPr>
    </w:p>
    <w:p>
      <w:pPr>
        <w:pStyle w:val="9"/>
        <w:rPr>
          <w:rFonts w:ascii="宋体" w:hAnsi="宋体"/>
          <w:b/>
          <w:spacing w:val="12"/>
          <w:sz w:val="44"/>
          <w:szCs w:val="44"/>
        </w:rPr>
      </w:pPr>
    </w:p>
    <w:p>
      <w:pPr>
        <w:spacing w:after="156"/>
        <w:jc w:val="center"/>
        <w:outlineLvl w:val="0"/>
        <w:rPr>
          <w:rFonts w:ascii="宋体" w:hAnsi="宋体"/>
          <w:b/>
          <w:spacing w:val="12"/>
          <w:sz w:val="44"/>
          <w:szCs w:val="44"/>
        </w:rPr>
      </w:pPr>
    </w:p>
    <w:p>
      <w:pPr>
        <w:spacing w:before="120" w:beforeLines="50"/>
        <w:jc w:val="center"/>
        <w:rPr>
          <w:rFonts w:ascii="宋体" w:hAnsi="宋体"/>
          <w:b/>
          <w:sz w:val="52"/>
          <w:szCs w:val="52"/>
        </w:rPr>
      </w:pPr>
      <w:r>
        <w:rPr>
          <w:rFonts w:ascii="宋体" w:hAnsi="宋体"/>
          <w:b/>
          <w:sz w:val="52"/>
          <w:szCs w:val="52"/>
        </w:rPr>
        <w:t>公开招标采购文件</w:t>
      </w: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snapToGrid w:val="0"/>
        <w:spacing w:before="120" w:beforeLines="50" w:line="360" w:lineRule="auto"/>
        <w:rPr>
          <w:rFonts w:ascii="宋体" w:hAnsi="宋体"/>
          <w:b/>
          <w:sz w:val="30"/>
          <w:szCs w:val="72"/>
        </w:rPr>
      </w:pPr>
    </w:p>
    <w:p>
      <w:pPr>
        <w:pStyle w:val="9"/>
        <w:rPr>
          <w:rFonts w:ascii="宋体" w:hAnsi="宋体"/>
        </w:rPr>
      </w:pPr>
    </w:p>
    <w:p>
      <w:pPr>
        <w:pStyle w:val="9"/>
        <w:rPr>
          <w:rFonts w:ascii="宋体" w:hAnsi="宋体"/>
        </w:rPr>
      </w:pPr>
    </w:p>
    <w:p>
      <w:pPr>
        <w:widowControl/>
        <w:spacing w:line="360" w:lineRule="auto"/>
        <w:jc w:val="left"/>
        <w:rPr>
          <w:rFonts w:ascii="宋体" w:hAnsi="宋体"/>
          <w:b/>
          <w:sz w:val="32"/>
          <w:szCs w:val="32"/>
        </w:rPr>
      </w:pPr>
      <w:r>
        <w:rPr>
          <w:rFonts w:ascii="宋体" w:hAnsi="宋体"/>
          <w:b/>
          <w:sz w:val="30"/>
          <w:szCs w:val="72"/>
        </w:rPr>
        <w:t>项目编号：</w:t>
      </w:r>
      <w:r>
        <w:rPr>
          <w:rFonts w:hint="eastAsia" w:ascii="宋体" w:hAnsi="宋体"/>
          <w:b/>
          <w:spacing w:val="-11"/>
          <w:sz w:val="30"/>
          <w:szCs w:val="72"/>
        </w:rPr>
        <w:t>ZSJY2023-ZFCG-211</w:t>
      </w:r>
    </w:p>
    <w:p>
      <w:pPr>
        <w:snapToGrid w:val="0"/>
        <w:spacing w:before="120" w:beforeLines="50" w:line="360" w:lineRule="auto"/>
        <w:rPr>
          <w:rFonts w:ascii="宋体" w:hAnsi="宋体"/>
          <w:b/>
          <w:spacing w:val="-11"/>
          <w:sz w:val="28"/>
          <w:szCs w:val="28"/>
        </w:rPr>
      </w:pPr>
      <w:r>
        <w:rPr>
          <w:rFonts w:ascii="宋体" w:hAnsi="宋体"/>
          <w:b/>
          <w:sz w:val="30"/>
          <w:szCs w:val="72"/>
        </w:rPr>
        <w:t>项目名称：</w:t>
      </w:r>
      <w:r>
        <w:rPr>
          <w:rFonts w:hint="eastAsia" w:ascii="宋体" w:hAnsi="宋体"/>
          <w:b/>
          <w:sz w:val="30"/>
          <w:szCs w:val="72"/>
        </w:rPr>
        <w:t>普陀区X波段相控阵天气雷达建设项目</w:t>
      </w:r>
    </w:p>
    <w:p>
      <w:pPr>
        <w:snapToGrid w:val="0"/>
        <w:spacing w:before="120" w:beforeLines="50" w:line="360" w:lineRule="auto"/>
        <w:rPr>
          <w:rFonts w:ascii="宋体" w:hAnsi="宋体"/>
          <w:b/>
          <w:sz w:val="30"/>
          <w:szCs w:val="72"/>
        </w:rPr>
      </w:pPr>
      <w:r>
        <w:rPr>
          <w:rFonts w:ascii="宋体" w:hAnsi="宋体"/>
          <w:b/>
          <w:sz w:val="30"/>
          <w:szCs w:val="72"/>
        </w:rPr>
        <w:t>采</w:t>
      </w:r>
      <w:r>
        <w:rPr>
          <w:rFonts w:hint="eastAsia" w:ascii="宋体" w:hAnsi="宋体"/>
          <w:b/>
          <w:sz w:val="30"/>
          <w:szCs w:val="72"/>
        </w:rPr>
        <w:t xml:space="preserve"> </w:t>
      </w:r>
      <w:r>
        <w:rPr>
          <w:rFonts w:ascii="宋体" w:hAnsi="宋体"/>
          <w:b/>
          <w:sz w:val="30"/>
          <w:szCs w:val="72"/>
        </w:rPr>
        <w:t>购</w:t>
      </w:r>
      <w:r>
        <w:rPr>
          <w:rFonts w:hint="eastAsia" w:ascii="宋体" w:hAnsi="宋体"/>
          <w:b/>
          <w:sz w:val="30"/>
          <w:szCs w:val="72"/>
        </w:rPr>
        <w:t xml:space="preserve"> </w:t>
      </w:r>
      <w:r>
        <w:rPr>
          <w:rFonts w:ascii="宋体" w:hAnsi="宋体"/>
          <w:b/>
          <w:sz w:val="30"/>
          <w:szCs w:val="72"/>
        </w:rPr>
        <w:t>人：舟山市</w:t>
      </w:r>
      <w:r>
        <w:rPr>
          <w:rFonts w:hint="eastAsia" w:ascii="宋体" w:hAnsi="宋体"/>
          <w:b/>
          <w:sz w:val="30"/>
          <w:szCs w:val="72"/>
        </w:rPr>
        <w:t>普陀区气象局</w:t>
      </w:r>
    </w:p>
    <w:p>
      <w:pPr>
        <w:snapToGrid w:val="0"/>
        <w:spacing w:before="120" w:beforeLines="50" w:line="360" w:lineRule="auto"/>
        <w:rPr>
          <w:rFonts w:ascii="宋体" w:hAnsi="宋体"/>
          <w:b/>
          <w:sz w:val="30"/>
          <w:szCs w:val="72"/>
        </w:rPr>
      </w:pPr>
      <w:r>
        <w:rPr>
          <w:rFonts w:hint="eastAsia" w:ascii="宋体" w:hAnsi="宋体"/>
          <w:b/>
          <w:sz w:val="30"/>
          <w:szCs w:val="72"/>
        </w:rPr>
        <w:t>采购</w:t>
      </w:r>
      <w:r>
        <w:rPr>
          <w:rFonts w:ascii="宋体" w:hAnsi="宋体"/>
          <w:b/>
          <w:sz w:val="30"/>
          <w:szCs w:val="72"/>
        </w:rPr>
        <w:t>代理机构：</w:t>
      </w:r>
      <w:r>
        <w:rPr>
          <w:rFonts w:hint="eastAsia" w:ascii="宋体" w:hAnsi="宋体"/>
          <w:b/>
          <w:sz w:val="30"/>
          <w:szCs w:val="72"/>
        </w:rPr>
        <w:t>舟山建银工程造价审查中心有限公司</w:t>
      </w:r>
    </w:p>
    <w:p>
      <w:pPr>
        <w:pStyle w:val="9"/>
        <w:spacing w:line="360" w:lineRule="auto"/>
        <w:rPr>
          <w:rFonts w:ascii="宋体" w:hAnsi="宋体"/>
          <w:b/>
          <w:sz w:val="30"/>
          <w:szCs w:val="72"/>
        </w:rPr>
      </w:pPr>
      <w:r>
        <w:rPr>
          <w:rFonts w:ascii="宋体" w:hAnsi="宋体"/>
          <w:b/>
          <w:sz w:val="30"/>
          <w:szCs w:val="72"/>
        </w:rPr>
        <w:t>时    间：</w:t>
      </w:r>
      <w:r>
        <w:rPr>
          <w:rFonts w:hint="eastAsia" w:ascii="宋体" w:hAnsi="宋体"/>
          <w:b/>
          <w:sz w:val="30"/>
          <w:szCs w:val="72"/>
        </w:rPr>
        <w:t>2023</w:t>
      </w:r>
      <w:r>
        <w:rPr>
          <w:rFonts w:ascii="宋体" w:hAnsi="宋体"/>
          <w:b/>
          <w:sz w:val="30"/>
          <w:szCs w:val="72"/>
        </w:rPr>
        <w:t>年</w:t>
      </w:r>
      <w:r>
        <w:rPr>
          <w:rFonts w:hint="eastAsia" w:ascii="宋体" w:hAnsi="宋体"/>
          <w:b/>
          <w:sz w:val="30"/>
          <w:szCs w:val="72"/>
        </w:rPr>
        <w:t>10</w:t>
      </w:r>
      <w:r>
        <w:rPr>
          <w:rFonts w:ascii="宋体" w:hAnsi="宋体"/>
          <w:b/>
          <w:sz w:val="30"/>
          <w:szCs w:val="72"/>
        </w:rPr>
        <w:t>月</w:t>
      </w:r>
      <w:r>
        <w:rPr>
          <w:rFonts w:hint="eastAsia" w:ascii="宋体" w:hAnsi="宋体"/>
          <w:b/>
          <w:sz w:val="30"/>
          <w:szCs w:val="72"/>
          <w:lang w:val="en-US" w:eastAsia="zh-CN"/>
        </w:rPr>
        <w:t>23</w:t>
      </w:r>
      <w:r>
        <w:rPr>
          <w:rFonts w:hint="eastAsia" w:ascii="宋体" w:hAnsi="宋体"/>
          <w:b/>
          <w:sz w:val="30"/>
          <w:szCs w:val="72"/>
        </w:rPr>
        <w:t xml:space="preserve">日 </w:t>
      </w:r>
    </w:p>
    <w:p>
      <w:pPr>
        <w:pStyle w:val="42"/>
        <w:spacing w:before="120" w:after="120" w:line="360" w:lineRule="auto"/>
        <w:jc w:val="center"/>
        <w:rPr>
          <w:rFonts w:hAnsi="宋体" w:eastAsia="宋体"/>
          <w:sz w:val="32"/>
          <w:szCs w:val="32"/>
        </w:rPr>
      </w:pPr>
    </w:p>
    <w:p>
      <w:pPr>
        <w:pStyle w:val="42"/>
        <w:spacing w:before="120" w:after="120" w:line="360" w:lineRule="auto"/>
        <w:jc w:val="center"/>
        <w:rPr>
          <w:rFonts w:hAnsi="宋体" w:eastAsia="宋体"/>
          <w:sz w:val="32"/>
          <w:szCs w:val="32"/>
        </w:rPr>
      </w:pPr>
    </w:p>
    <w:p>
      <w:pPr>
        <w:pStyle w:val="42"/>
        <w:spacing w:before="120" w:after="120" w:line="360" w:lineRule="auto"/>
        <w:jc w:val="center"/>
        <w:rPr>
          <w:rFonts w:hAnsi="宋体" w:eastAsia="宋体"/>
          <w:sz w:val="32"/>
          <w:szCs w:val="32"/>
        </w:rPr>
        <w:sectPr>
          <w:type w:val="continuous"/>
          <w:pgSz w:w="11906" w:h="16838"/>
          <w:pgMar w:top="1304" w:right="707" w:bottom="1304" w:left="1531" w:header="1304" w:footer="1304" w:gutter="0"/>
          <w:pgNumType w:start="1"/>
          <w:cols w:space="720" w:num="1"/>
        </w:sectPr>
      </w:pPr>
    </w:p>
    <w:p>
      <w:pPr>
        <w:pStyle w:val="42"/>
        <w:spacing w:before="120" w:after="120" w:line="360" w:lineRule="auto"/>
        <w:jc w:val="center"/>
        <w:rPr>
          <w:rFonts w:hAnsi="宋体" w:eastAsia="宋体"/>
          <w:sz w:val="32"/>
          <w:szCs w:val="32"/>
        </w:rPr>
      </w:pPr>
    </w:p>
    <w:p>
      <w:pPr>
        <w:pStyle w:val="42"/>
        <w:spacing w:before="120" w:after="120" w:line="360" w:lineRule="auto"/>
        <w:jc w:val="center"/>
        <w:sectPr>
          <w:footerReference r:id="rId3" w:type="default"/>
          <w:pgSz w:w="11906" w:h="16838"/>
          <w:pgMar w:top="1304" w:right="1106" w:bottom="1304" w:left="1531" w:header="1304" w:footer="1304" w:gutter="0"/>
          <w:pgNumType w:start="1"/>
          <w:cols w:space="720" w:num="1"/>
        </w:sectPr>
      </w:pPr>
    </w:p>
    <w:p>
      <w:pPr>
        <w:pStyle w:val="42"/>
        <w:spacing w:before="120" w:after="120" w:line="360" w:lineRule="auto"/>
        <w:jc w:val="center"/>
        <w:rPr>
          <w:rFonts w:hAnsi="宋体" w:eastAsia="宋体"/>
          <w:sz w:val="32"/>
          <w:szCs w:val="32"/>
        </w:rPr>
      </w:pPr>
      <w:r>
        <w:rPr>
          <w:rFonts w:hAnsi="宋体" w:eastAsia="宋体"/>
          <w:sz w:val="32"/>
          <w:szCs w:val="32"/>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before="120" w:line="360" w:lineRule="auto"/>
        <w:ind w:firstLine="1120" w:firstLineChars="400"/>
        <w:rPr>
          <w:rFonts w:ascii="宋体" w:hAnsi="宋体"/>
          <w:sz w:val="28"/>
          <w:szCs w:val="28"/>
        </w:rPr>
      </w:pPr>
      <w:r>
        <w:rPr>
          <w:rFonts w:ascii="宋体" w:hAnsi="宋体"/>
          <w:sz w:val="28"/>
          <w:szCs w:val="28"/>
        </w:rPr>
        <w:t>前附表</w:t>
      </w:r>
    </w:p>
    <w:p>
      <w:pPr>
        <w:spacing w:before="120" w:line="360" w:lineRule="auto"/>
        <w:ind w:firstLine="560" w:firstLineChars="200"/>
        <w:rPr>
          <w:rFonts w:ascii="宋体" w:hAnsi="宋体"/>
          <w:sz w:val="28"/>
          <w:szCs w:val="28"/>
        </w:rPr>
      </w:pPr>
      <w:r>
        <w:rPr>
          <w:rFonts w:ascii="宋体" w:hAnsi="宋体"/>
          <w:sz w:val="28"/>
          <w:szCs w:val="28"/>
        </w:rPr>
        <w:t>一、总 则</w:t>
      </w:r>
    </w:p>
    <w:p>
      <w:pPr>
        <w:spacing w:before="120"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投标</w:t>
      </w:r>
      <w:r>
        <w:rPr>
          <w:rFonts w:ascii="宋体" w:hAnsi="宋体"/>
          <w:sz w:val="28"/>
          <w:szCs w:val="28"/>
        </w:rPr>
        <w:t>文件</w:t>
      </w:r>
    </w:p>
    <w:p>
      <w:pPr>
        <w:spacing w:before="120"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560" w:firstLineChars="200"/>
        <w:rPr>
          <w:rFonts w:ascii="宋体" w:hAnsi="宋体"/>
        </w:rPr>
      </w:pPr>
      <w:r>
        <w:rPr>
          <w:rFonts w:ascii="宋体" w:hAnsi="宋体"/>
          <w:sz w:val="28"/>
          <w:szCs w:val="28"/>
        </w:rPr>
        <w:t>五、评</w:t>
      </w:r>
      <w:r>
        <w:rPr>
          <w:rFonts w:hint="eastAsia" w:ascii="宋体" w:hAnsi="宋体"/>
          <w:sz w:val="28"/>
          <w:szCs w:val="28"/>
        </w:rPr>
        <w:t>标</w:t>
      </w:r>
    </w:p>
    <w:p>
      <w:pPr>
        <w:spacing w:before="120" w:line="360" w:lineRule="auto"/>
        <w:ind w:firstLine="560" w:firstLineChars="200"/>
        <w:rPr>
          <w:rFonts w:ascii="宋体" w:hAnsi="宋体"/>
          <w:sz w:val="28"/>
          <w:szCs w:val="28"/>
        </w:rPr>
      </w:pPr>
      <w:r>
        <w:rPr>
          <w:rFonts w:ascii="宋体" w:hAnsi="宋体"/>
          <w:sz w:val="28"/>
          <w:szCs w:val="28"/>
        </w:rPr>
        <w:t>六、定标</w:t>
      </w:r>
    </w:p>
    <w:p>
      <w:pPr>
        <w:spacing w:before="120" w:line="360" w:lineRule="auto"/>
        <w:ind w:firstLine="560" w:firstLineChars="200"/>
        <w:rPr>
          <w:rFonts w:ascii="宋体" w:hAnsi="宋体"/>
          <w:sz w:val="28"/>
          <w:szCs w:val="28"/>
        </w:rPr>
      </w:pPr>
      <w:r>
        <w:rPr>
          <w:rFonts w:ascii="宋体" w:hAnsi="宋体"/>
          <w:sz w:val="28"/>
          <w:szCs w:val="28"/>
        </w:rPr>
        <w:t>七、合同授予</w:t>
      </w:r>
    </w:p>
    <w:p>
      <w:pPr>
        <w:spacing w:before="120" w:line="360" w:lineRule="auto"/>
        <w:ind w:firstLine="560" w:firstLineChars="200"/>
        <w:rPr>
          <w:rFonts w:ascii="宋体" w:hAnsi="宋体"/>
          <w:sz w:val="28"/>
          <w:szCs w:val="28"/>
        </w:rPr>
      </w:pPr>
      <w:r>
        <w:rPr>
          <w:rFonts w:hint="eastAsia" w:ascii="宋体" w:hAnsi="宋体"/>
          <w:sz w:val="28"/>
          <w:szCs w:val="28"/>
        </w:rPr>
        <w:t>八、招标代理费</w:t>
      </w:r>
    </w:p>
    <w:p>
      <w:pPr>
        <w:spacing w:before="120" w:line="360" w:lineRule="auto"/>
        <w:ind w:firstLine="560" w:firstLineChars="200"/>
        <w:rPr>
          <w:rFonts w:ascii="宋体" w:hAnsi="宋体"/>
          <w:sz w:val="28"/>
          <w:szCs w:val="28"/>
        </w:rPr>
      </w:pPr>
      <w:r>
        <w:rPr>
          <w:rFonts w:hint="eastAsia" w:ascii="宋体" w:hAnsi="宋体"/>
          <w:sz w:val="28"/>
          <w:szCs w:val="28"/>
        </w:rPr>
        <w:t>九、政府采购政策</w:t>
      </w:r>
    </w:p>
    <w:p>
      <w:pPr>
        <w:spacing w:before="120" w:line="360" w:lineRule="auto"/>
        <w:ind w:firstLine="560" w:firstLineChars="200"/>
        <w:rPr>
          <w:rFonts w:ascii="宋体" w:hAnsi="宋体"/>
          <w:sz w:val="28"/>
          <w:szCs w:val="28"/>
        </w:rPr>
      </w:pPr>
      <w:r>
        <w:rPr>
          <w:rFonts w:hint="eastAsia" w:ascii="宋体" w:hAnsi="宋体"/>
          <w:sz w:val="28"/>
          <w:szCs w:val="28"/>
        </w:rPr>
        <w:t>十、解释权</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
      <w:pPr>
        <w:pStyle w:val="9"/>
      </w:pPr>
    </w:p>
    <w:p>
      <w:pPr>
        <w:pStyle w:val="10"/>
        <w:ind w:firstLine="0" w:firstLineChars="0"/>
      </w:pPr>
    </w:p>
    <w:p>
      <w:pPr>
        <w:pStyle w:val="10"/>
        <w:ind w:firstLine="0" w:firstLineChars="0"/>
      </w:pPr>
    </w:p>
    <w:p>
      <w:pPr>
        <w:pStyle w:val="10"/>
        <w:ind w:firstLine="0" w:firstLineChars="0"/>
      </w:pPr>
    </w:p>
    <w:p>
      <w:pPr>
        <w:numPr>
          <w:ilvl w:val="0"/>
          <w:numId w:val="4"/>
        </w:numPr>
        <w:spacing w:line="360" w:lineRule="auto"/>
        <w:jc w:val="center"/>
        <w:rPr>
          <w:rFonts w:ascii="宋体" w:hAnsi="宋体"/>
          <w:b/>
          <w:sz w:val="30"/>
          <w:szCs w:val="30"/>
        </w:rPr>
      </w:pPr>
      <w:bookmarkStart w:id="1" w:name="OLE_LINK1"/>
      <w:r>
        <w:rPr>
          <w:rFonts w:ascii="宋体" w:hAnsi="宋体"/>
          <w:b/>
          <w:sz w:val="30"/>
          <w:szCs w:val="30"/>
        </w:rPr>
        <w:t>采购公告</w:t>
      </w:r>
      <w:bookmarkEnd w:id="1"/>
    </w:p>
    <w:tbl>
      <w:tblPr>
        <w:tblStyle w:val="30"/>
        <w:tblpPr w:leftFromText="180" w:rightFromText="180" w:vertAnchor="text" w:horzAnchor="page" w:tblpX="1587" w:tblpY="1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060" w:type="dxa"/>
          </w:tcPr>
          <w:p>
            <w:pPr>
              <w:pStyle w:val="22"/>
              <w:widowControl/>
              <w:spacing w:before="0" w:beforeAutospacing="0" w:after="0" w:afterAutospacing="0" w:line="360" w:lineRule="auto"/>
              <w:jc w:val="center"/>
              <w:rPr>
                <w:rFonts w:ascii="宋体" w:hAnsi="宋体" w:cs="宋体"/>
                <w:sz w:val="21"/>
                <w:szCs w:val="21"/>
              </w:rPr>
            </w:pPr>
            <w:r>
              <w:rPr>
                <w:rFonts w:hint="eastAsia" w:ascii="宋体" w:hAnsi="宋体" w:cs="宋体"/>
                <w:sz w:val="21"/>
                <w:szCs w:val="21"/>
              </w:rPr>
              <w:t>项目概况</w:t>
            </w:r>
          </w:p>
          <w:p>
            <w:pPr>
              <w:pStyle w:val="22"/>
              <w:widowControl/>
              <w:adjustRightInd w:val="0"/>
              <w:snapToGrid w:val="0"/>
              <w:spacing w:before="0" w:beforeAutospacing="0" w:after="0" w:afterAutospacing="0" w:line="360" w:lineRule="auto"/>
              <w:jc w:val="both"/>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u w:val="single"/>
              </w:rPr>
              <w:t>普陀区X波段相控阵天气雷达建设项目</w:t>
            </w:r>
            <w:r>
              <w:rPr>
                <w:rFonts w:hint="eastAsia" w:ascii="宋体" w:hAnsi="宋体" w:cs="宋体"/>
                <w:sz w:val="21"/>
                <w:szCs w:val="21"/>
              </w:rPr>
              <w:t>招标项目的潜在投标人应在浙江省政府采购网zfcg.czt.zj.gov.cn（用“政采云”注册账号、密码登录系统后获取采购文件）获取招标文件，并于2023年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15</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时</w:t>
            </w:r>
            <w:r>
              <w:rPr>
                <w:rFonts w:hint="eastAsia" w:ascii="宋体" w:hAnsi="宋体" w:cs="宋体"/>
                <w:sz w:val="21"/>
                <w:szCs w:val="21"/>
                <w:lang w:val="en-US" w:eastAsia="zh-CN"/>
              </w:rPr>
              <w:t>00</w:t>
            </w:r>
            <w:r>
              <w:rPr>
                <w:rFonts w:hint="eastAsia" w:ascii="宋体" w:hAnsi="宋体" w:cs="宋体"/>
                <w:sz w:val="21"/>
                <w:szCs w:val="21"/>
              </w:rPr>
              <w:t>分（北京时间）前递交投标文件。</w:t>
            </w:r>
          </w:p>
        </w:tc>
      </w:tr>
    </w:tbl>
    <w:p>
      <w:pPr>
        <w:pStyle w:val="22"/>
        <w:widowControl/>
        <w:spacing w:before="0" w:beforeAutospacing="0" w:after="0" w:afterAutospacing="0" w:line="288" w:lineRule="auto"/>
        <w:jc w:val="both"/>
        <w:rPr>
          <w:rStyle w:val="32"/>
          <w:rFonts w:ascii="宋体" w:hAnsi="宋体" w:cs="宋体"/>
          <w:sz w:val="21"/>
          <w:szCs w:val="21"/>
        </w:rPr>
      </w:pPr>
    </w:p>
    <w:p>
      <w:pPr>
        <w:pStyle w:val="22"/>
        <w:widowControl/>
        <w:spacing w:before="0" w:beforeAutospacing="0" w:after="0" w:afterAutospacing="0" w:line="288" w:lineRule="auto"/>
        <w:jc w:val="both"/>
        <w:rPr>
          <w:rFonts w:ascii="宋体" w:hAnsi="宋体" w:cs="宋体"/>
          <w:sz w:val="21"/>
          <w:szCs w:val="21"/>
        </w:rPr>
      </w:pPr>
      <w:r>
        <w:rPr>
          <w:rStyle w:val="32"/>
          <w:rFonts w:hint="eastAsia" w:ascii="宋体" w:hAnsi="宋体" w:cs="宋体"/>
          <w:sz w:val="21"/>
          <w:szCs w:val="21"/>
        </w:rPr>
        <w:t>一、项目基本情况</w:t>
      </w:r>
    </w:p>
    <w:p>
      <w:pPr>
        <w:pStyle w:val="22"/>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   项目编号：ZSJY2023-ZFCG-211</w:t>
      </w:r>
    </w:p>
    <w:p>
      <w:pPr>
        <w:pStyle w:val="22"/>
        <w:widowControl/>
        <w:spacing w:before="0" w:beforeAutospacing="0" w:after="0" w:afterAutospacing="0" w:line="288" w:lineRule="auto"/>
        <w:ind w:firstLine="420" w:firstLineChars="200"/>
        <w:jc w:val="both"/>
        <w:rPr>
          <w:rFonts w:ascii="宋体" w:hAnsi="宋体" w:cs="宋体"/>
          <w:sz w:val="21"/>
          <w:szCs w:val="21"/>
        </w:rPr>
      </w:pPr>
      <w:r>
        <w:rPr>
          <w:rFonts w:hint="eastAsia" w:ascii="宋体" w:hAnsi="宋体" w:cs="宋体"/>
          <w:sz w:val="21"/>
          <w:szCs w:val="21"/>
        </w:rPr>
        <w:t>项目名称：普陀区X波段相控阵天气雷达建设项目</w:t>
      </w:r>
    </w:p>
    <w:p>
      <w:pPr>
        <w:pStyle w:val="22"/>
        <w:widowControl/>
        <w:spacing w:before="0" w:beforeAutospacing="0" w:after="0" w:afterAutospacing="0" w:line="288" w:lineRule="auto"/>
        <w:ind w:firstLine="420" w:firstLineChars="200"/>
        <w:jc w:val="both"/>
        <w:rPr>
          <w:rFonts w:ascii="宋体" w:hAnsi="宋体" w:cs="宋体"/>
          <w:sz w:val="21"/>
          <w:szCs w:val="21"/>
        </w:rPr>
      </w:pPr>
      <w:r>
        <w:rPr>
          <w:rFonts w:hint="eastAsia" w:ascii="宋体" w:hAnsi="宋体" w:cs="宋体"/>
          <w:sz w:val="21"/>
          <w:szCs w:val="21"/>
        </w:rPr>
        <w:t>采购方式：公开招标 </w:t>
      </w:r>
    </w:p>
    <w:p>
      <w:pPr>
        <w:pStyle w:val="22"/>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   预算金额（元）：913.0445万元</w:t>
      </w:r>
    </w:p>
    <w:p>
      <w:pPr>
        <w:pStyle w:val="22"/>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   最高限价（元）：913.0445万元</w:t>
      </w:r>
    </w:p>
    <w:p>
      <w:pPr>
        <w:widowControl/>
        <w:spacing w:line="288" w:lineRule="auto"/>
        <w:ind w:firstLine="420" w:firstLineChars="200"/>
        <w:jc w:val="left"/>
        <w:rPr>
          <w:rFonts w:ascii="宋体" w:hAnsi="宋体" w:cs="宋体"/>
          <w:szCs w:val="21"/>
        </w:rPr>
      </w:pPr>
      <w:r>
        <w:rPr>
          <w:rFonts w:hint="eastAsia" w:ascii="宋体" w:hAnsi="宋体" w:cs="宋体"/>
          <w:szCs w:val="21"/>
        </w:rPr>
        <w:t>采购需求：</w:t>
      </w:r>
      <w:r>
        <w:rPr>
          <w:rFonts w:hint="eastAsia" w:ascii="宋体" w:hAnsi="宋体" w:cs="宋体"/>
          <w:kern w:val="0"/>
          <w:szCs w:val="21"/>
        </w:rPr>
        <w:t>标项一 </w:t>
      </w:r>
      <w:r>
        <w:rPr>
          <w:rFonts w:hint="eastAsia" w:ascii="宋体" w:hAnsi="宋体" w:cs="宋体"/>
          <w:kern w:val="0"/>
          <w:szCs w:val="21"/>
        </w:rPr>
        <w:br w:type="textWrapping"/>
      </w:r>
      <w:r>
        <w:rPr>
          <w:rFonts w:hint="eastAsia" w:ascii="宋体" w:hAnsi="宋体" w:cs="宋体"/>
          <w:kern w:val="0"/>
          <w:szCs w:val="21"/>
        </w:rPr>
        <w:t>   数量：1 </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单位：项 </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简要规格描述：详见采购需求 </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备注： </w:t>
      </w:r>
    </w:p>
    <w:p>
      <w:pPr>
        <w:spacing w:line="360" w:lineRule="exact"/>
        <w:ind w:firstLine="420" w:firstLineChars="200"/>
        <w:rPr>
          <w:rFonts w:ascii="宋体" w:hAnsi="宋体" w:cs="宋体"/>
          <w:kern w:val="0"/>
          <w:szCs w:val="21"/>
        </w:rPr>
      </w:pPr>
      <w:r>
        <w:rPr>
          <w:rFonts w:hint="eastAsia" w:ascii="宋体" w:hAnsi="宋体" w:cs="宋体"/>
          <w:kern w:val="0"/>
          <w:szCs w:val="21"/>
        </w:rPr>
        <w:t>合同履行期限：合同签订后</w:t>
      </w:r>
      <w:r>
        <w:rPr>
          <w:rFonts w:ascii="宋体" w:hAnsi="宋体" w:cs="宋体"/>
          <w:kern w:val="0"/>
          <w:szCs w:val="21"/>
        </w:rPr>
        <w:t>300</w:t>
      </w:r>
      <w:r>
        <w:rPr>
          <w:rFonts w:hint="eastAsia" w:ascii="宋体" w:hAnsi="宋体" w:cs="宋体"/>
          <w:kern w:val="0"/>
          <w:szCs w:val="21"/>
        </w:rPr>
        <w:t>天内完成。</w:t>
      </w:r>
    </w:p>
    <w:p>
      <w:pPr>
        <w:pStyle w:val="22"/>
        <w:widowControl/>
        <w:spacing w:before="0" w:beforeAutospacing="0" w:after="0" w:afterAutospacing="0" w:line="288" w:lineRule="auto"/>
        <w:jc w:val="both"/>
        <w:rPr>
          <w:rFonts w:ascii="宋体" w:hAnsi="宋体" w:cs="宋体"/>
          <w:sz w:val="21"/>
          <w:szCs w:val="21"/>
          <w:highlight w:val="none"/>
        </w:rPr>
      </w:pPr>
      <w:r>
        <w:rPr>
          <w:rFonts w:hint="eastAsia" w:ascii="宋体" w:hAnsi="宋体" w:cs="宋体"/>
          <w:sz w:val="21"/>
          <w:szCs w:val="21"/>
        </w:rPr>
        <w:t> </w:t>
      </w:r>
      <w:r>
        <w:rPr>
          <w:rFonts w:hint="eastAsia" w:ascii="宋体" w:hAnsi="宋体" w:cs="宋体"/>
          <w:sz w:val="21"/>
          <w:szCs w:val="21"/>
          <w:highlight w:val="none"/>
        </w:rPr>
        <w:t xml:space="preserve">  本项目接受联合体投标。</w:t>
      </w:r>
    </w:p>
    <w:p>
      <w:pPr>
        <w:pStyle w:val="22"/>
        <w:widowControl/>
        <w:spacing w:before="0" w:beforeAutospacing="0" w:after="0" w:afterAutospacing="0" w:line="288" w:lineRule="auto"/>
        <w:jc w:val="both"/>
        <w:rPr>
          <w:rFonts w:ascii="宋体" w:hAnsi="宋体" w:cs="宋体"/>
          <w:sz w:val="21"/>
          <w:szCs w:val="21"/>
        </w:rPr>
      </w:pPr>
      <w:r>
        <w:rPr>
          <w:rStyle w:val="32"/>
          <w:rFonts w:hint="eastAsia" w:ascii="宋体" w:hAnsi="宋体" w:cs="宋体"/>
          <w:sz w:val="21"/>
          <w:szCs w:val="21"/>
        </w:rPr>
        <w:t>二、申请人的资格要求：</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1.满足《中华人民共和国政府采购法》第二十二条规定；未被“信用中国”（www.creditchina.gov.cn)、中国政府采购网（www.ccgp.gov.cn）列入失信被执行人、重大税收违法案件当事人名单、政府采购严重违法失信行为记录名单。  </w:t>
      </w:r>
    </w:p>
    <w:p>
      <w:pPr>
        <w:pStyle w:val="22"/>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highlight w:val="none"/>
        </w:rPr>
        <w:t xml:space="preserve">   2.本项目已预留份额给中小企业，预留预算总额的70%以上专门面向中小企业采购</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其中60</w:t>
      </w:r>
      <w:r>
        <w:rPr>
          <w:rFonts w:hint="eastAsia" w:ascii="宋体" w:hAnsi="宋体" w:cs="宋体"/>
          <w:sz w:val="21"/>
          <w:szCs w:val="21"/>
          <w:highlight w:val="none"/>
        </w:rPr>
        <w:t>%以上专门面向小</w:t>
      </w:r>
      <w:r>
        <w:rPr>
          <w:rFonts w:hint="eastAsia" w:ascii="宋体" w:hAnsi="宋体" w:cs="宋体"/>
          <w:sz w:val="21"/>
          <w:szCs w:val="21"/>
          <w:highlight w:val="none"/>
          <w:lang w:val="en-US" w:eastAsia="zh-CN"/>
        </w:rPr>
        <w:t>微</w:t>
      </w:r>
      <w:r>
        <w:rPr>
          <w:rFonts w:hint="eastAsia" w:ascii="宋体" w:hAnsi="宋体" w:cs="宋体"/>
          <w:sz w:val="21"/>
          <w:szCs w:val="21"/>
          <w:highlight w:val="none"/>
        </w:rPr>
        <w:t>企业采购。要求供应商以联合体形式参加采购活动，合同总额的70%以上须由联合体中享受中小企业扶持政策的企业承担，提供联合协议和中小企业声明函;如果供应商自身享受中小企业扶持政策，则无需组成联合体参加本次政府采购活动，无需提供联合协议。</w:t>
      </w:r>
    </w:p>
    <w:p>
      <w:pPr>
        <w:pStyle w:val="22"/>
        <w:widowControl/>
        <w:spacing w:before="0" w:beforeAutospacing="0" w:after="0" w:afterAutospacing="0" w:line="288" w:lineRule="auto"/>
        <w:ind w:firstLine="630" w:firstLineChars="300"/>
        <w:jc w:val="both"/>
        <w:rPr>
          <w:rFonts w:ascii="宋体" w:hAnsi="宋体" w:cs="宋体"/>
          <w:sz w:val="21"/>
          <w:szCs w:val="21"/>
        </w:rPr>
      </w:pPr>
      <w:r>
        <w:rPr>
          <w:rFonts w:hint="eastAsia" w:ascii="宋体" w:hAnsi="宋体" w:cs="宋体"/>
          <w:sz w:val="21"/>
          <w:szCs w:val="21"/>
        </w:rPr>
        <w:t>3.本项目的特定资格要求：无 </w:t>
      </w:r>
    </w:p>
    <w:p>
      <w:pPr>
        <w:pStyle w:val="22"/>
        <w:widowControl/>
        <w:spacing w:before="0" w:beforeAutospacing="0" w:after="0" w:afterAutospacing="0" w:line="288" w:lineRule="auto"/>
        <w:jc w:val="both"/>
        <w:rPr>
          <w:rFonts w:ascii="宋体" w:hAnsi="宋体" w:cs="宋体"/>
          <w:sz w:val="21"/>
          <w:szCs w:val="21"/>
        </w:rPr>
      </w:pPr>
      <w:r>
        <w:rPr>
          <w:rStyle w:val="32"/>
          <w:rFonts w:hint="eastAsia" w:ascii="宋体" w:hAnsi="宋体" w:cs="宋体"/>
          <w:sz w:val="21"/>
          <w:szCs w:val="21"/>
        </w:rPr>
        <w:t>三、获取（下载）采购文件</w:t>
      </w:r>
    </w:p>
    <w:p>
      <w:pPr>
        <w:pStyle w:val="22"/>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 xml:space="preserve">    时间：/至2023年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15</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时</w:t>
      </w:r>
      <w:r>
        <w:rPr>
          <w:rFonts w:hint="eastAsia" w:ascii="宋体" w:hAnsi="宋体" w:cs="宋体"/>
          <w:sz w:val="21"/>
          <w:szCs w:val="21"/>
          <w:lang w:val="en-US" w:eastAsia="zh-CN"/>
        </w:rPr>
        <w:t>00</w:t>
      </w:r>
      <w:r>
        <w:rPr>
          <w:rFonts w:hint="eastAsia" w:ascii="宋体" w:hAnsi="宋体" w:cs="宋体"/>
          <w:sz w:val="21"/>
          <w:szCs w:val="21"/>
        </w:rPr>
        <w:t>分，每天上午00:00至12:00，下午12:00至23:59（北京时间，线上获取法定节假日均可，线下获取文件法定节假日除外）</w:t>
      </w:r>
    </w:p>
    <w:p>
      <w:pPr>
        <w:pStyle w:val="22"/>
        <w:widowControl/>
        <w:spacing w:before="0" w:beforeAutospacing="0" w:after="0" w:afterAutospacing="0" w:line="288" w:lineRule="auto"/>
        <w:ind w:firstLine="420" w:firstLineChars="200"/>
        <w:rPr>
          <w:rFonts w:ascii="宋体" w:hAnsi="宋体" w:cs="宋体"/>
          <w:sz w:val="21"/>
          <w:szCs w:val="21"/>
        </w:rPr>
      </w:pPr>
      <w:r>
        <w:rPr>
          <w:rFonts w:hint="eastAsia" w:ascii="宋体" w:hAnsi="宋体" w:cs="宋体"/>
          <w:sz w:val="21"/>
          <w:szCs w:val="21"/>
        </w:rPr>
        <w:t>地点（网址）：浙江政府采购网http://zfcg.czt.zj.gov.cn/（用“政采云”注册账号、密码登录系统后获取招标文件）  </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方式：网上获取。免费注册网址：浙江政府采购网（供应商注册页面）：https://middle.zcygov.cn/settle-front/#/registry“政采云”，已经注册成功的供应商无需重复注册，本项目实行电子投标。投标人在使用系统进行投标的过程中涉及平台使用的任何问题可致电政采云平台技术支持热线：400-881-7190。  </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售价（元）：0 </w:t>
      </w:r>
    </w:p>
    <w:p>
      <w:pPr>
        <w:pStyle w:val="22"/>
        <w:widowControl/>
        <w:spacing w:before="0" w:beforeAutospacing="0" w:after="0" w:afterAutospacing="0" w:line="288" w:lineRule="auto"/>
        <w:jc w:val="both"/>
        <w:rPr>
          <w:rFonts w:ascii="宋体" w:hAnsi="宋体" w:cs="宋体"/>
          <w:sz w:val="21"/>
          <w:szCs w:val="21"/>
        </w:rPr>
      </w:pPr>
      <w:r>
        <w:rPr>
          <w:rStyle w:val="32"/>
          <w:rFonts w:hint="eastAsia" w:ascii="宋体" w:hAnsi="宋体" w:cs="宋体"/>
          <w:sz w:val="21"/>
          <w:szCs w:val="21"/>
        </w:rPr>
        <w:t>四、响应文件提交（上传）</w:t>
      </w:r>
      <w:r>
        <w:rPr>
          <w:rFonts w:hint="eastAsia" w:ascii="宋体" w:hAnsi="宋体" w:cs="宋体"/>
          <w:sz w:val="21"/>
          <w:szCs w:val="21"/>
        </w:rPr>
        <w:t> </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截止时间：2023年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15</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时</w:t>
      </w:r>
      <w:r>
        <w:rPr>
          <w:rFonts w:hint="eastAsia" w:ascii="宋体" w:hAnsi="宋体" w:cs="宋体"/>
          <w:sz w:val="21"/>
          <w:szCs w:val="21"/>
          <w:lang w:val="en-US" w:eastAsia="zh-CN"/>
        </w:rPr>
        <w:t>00</w:t>
      </w:r>
      <w:r>
        <w:rPr>
          <w:rFonts w:hint="eastAsia" w:ascii="宋体" w:hAnsi="宋体" w:cs="宋体"/>
          <w:sz w:val="21"/>
          <w:szCs w:val="21"/>
        </w:rPr>
        <w:t>分（北京时间）</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地点（网址）：政采云上递交 </w:t>
      </w:r>
    </w:p>
    <w:p>
      <w:pPr>
        <w:pStyle w:val="22"/>
        <w:widowControl/>
        <w:spacing w:before="0" w:beforeAutospacing="0" w:after="0" w:afterAutospacing="0" w:line="288" w:lineRule="auto"/>
        <w:jc w:val="both"/>
        <w:rPr>
          <w:rFonts w:ascii="宋体" w:hAnsi="宋体" w:cs="宋体"/>
          <w:sz w:val="21"/>
          <w:szCs w:val="21"/>
        </w:rPr>
      </w:pPr>
      <w:r>
        <w:rPr>
          <w:rStyle w:val="32"/>
          <w:rFonts w:hint="eastAsia" w:ascii="宋体" w:hAnsi="宋体" w:cs="宋体"/>
          <w:sz w:val="21"/>
          <w:szCs w:val="21"/>
        </w:rPr>
        <w:t>五、响应文件开启</w:t>
      </w:r>
      <w:r>
        <w:rPr>
          <w:rFonts w:hint="eastAsia" w:ascii="宋体" w:hAnsi="宋体" w:cs="宋体"/>
          <w:sz w:val="21"/>
          <w:szCs w:val="21"/>
        </w:rPr>
        <w:t> </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开启时间：2023年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15</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时</w:t>
      </w:r>
      <w:r>
        <w:rPr>
          <w:rFonts w:hint="eastAsia" w:ascii="宋体" w:hAnsi="宋体" w:cs="宋体"/>
          <w:sz w:val="21"/>
          <w:szCs w:val="21"/>
          <w:lang w:val="en-US" w:eastAsia="zh-CN"/>
        </w:rPr>
        <w:t>00</w:t>
      </w:r>
      <w:r>
        <w:rPr>
          <w:rFonts w:hint="eastAsia" w:ascii="宋体" w:hAnsi="宋体" w:cs="宋体"/>
          <w:sz w:val="21"/>
          <w:szCs w:val="21"/>
        </w:rPr>
        <w:t>分（北京时间）</w:t>
      </w:r>
    </w:p>
    <w:p>
      <w:pPr>
        <w:pStyle w:val="22"/>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地点（网址）：政采云 </w:t>
      </w:r>
    </w:p>
    <w:p>
      <w:pPr>
        <w:pStyle w:val="22"/>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六、公告期限</w:t>
      </w:r>
    </w:p>
    <w:p>
      <w:pPr>
        <w:pStyle w:val="22"/>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    自本公告发布之日起5个工作日。</w:t>
      </w:r>
    </w:p>
    <w:p>
      <w:pPr>
        <w:pStyle w:val="22"/>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七、其他补充事宜 </w:t>
      </w:r>
    </w:p>
    <w:p>
      <w:pPr>
        <w:pStyle w:val="22"/>
        <w:widowControl/>
        <w:spacing w:before="0" w:beforeAutospacing="0" w:after="0" w:afterAutospacing="0" w:line="288" w:lineRule="auto"/>
        <w:ind w:firstLine="420" w:firstLineChars="200"/>
        <w:jc w:val="both"/>
        <w:rPr>
          <w:rFonts w:ascii="宋体" w:hAnsi="宋体" w:cs="宋体"/>
          <w:sz w:val="21"/>
          <w:szCs w:val="21"/>
          <w:highlight w:val="none"/>
        </w:rPr>
      </w:pPr>
      <w:r>
        <w:rPr>
          <w:rFonts w:hint="eastAsia" w:ascii="宋体" w:hAnsi="宋体" w:cs="宋体"/>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sz w:val="21"/>
          <w:szCs w:val="21"/>
        </w:rPr>
        <w:br w:type="textWrapping"/>
      </w:r>
      <w:r>
        <w:rPr>
          <w:rFonts w:hint="eastAsia" w:ascii="宋体" w:hAnsi="宋体" w:cs="宋体"/>
          <w:sz w:val="21"/>
          <w:szCs w:val="21"/>
        </w:rPr>
        <w:t>   2.其他事项：（1）电子交易平台为政采云平台。登录网址：</w:t>
      </w:r>
      <w:r>
        <w:rPr>
          <w:highlight w:val="none"/>
        </w:rPr>
        <w:fldChar w:fldCharType="begin"/>
      </w:r>
      <w:r>
        <w:rPr>
          <w:highlight w:val="none"/>
        </w:rPr>
        <w:instrText xml:space="preserve"> HYPERLINK "https://www.zcygov.cn。（2）供应商如中标，必须在签订政府采购合同前完成纸质材料递交、公示结束成为正式供应商。（如以联合体形式参加政府采购活动的，联合体成员各方均需注册）。" </w:instrText>
      </w:r>
      <w:r>
        <w:rPr>
          <w:highlight w:val="none"/>
        </w:rPr>
        <w:fldChar w:fldCharType="separate"/>
      </w:r>
      <w:r>
        <w:rPr>
          <w:rFonts w:hint="eastAsia" w:ascii="宋体" w:hAnsi="宋体" w:cs="宋体"/>
          <w:sz w:val="21"/>
          <w:szCs w:val="21"/>
          <w:highlight w:val="none"/>
        </w:rPr>
        <w:t>https://www.zcygov.cn。（2）供应商如中标，必须在签订政府采购合同前完成纸质材料递交、公示结束成为正式供应商。（如以联合体形式参加政府采购活动的，联合体成员各方均需注册）。</w:t>
      </w:r>
      <w:r>
        <w:rPr>
          <w:rFonts w:hint="eastAsia" w:ascii="宋体" w:hAnsi="宋体" w:cs="宋体"/>
          <w:sz w:val="21"/>
          <w:szCs w:val="21"/>
          <w:highlight w:val="none"/>
        </w:rPr>
        <w:fldChar w:fldCharType="end"/>
      </w:r>
    </w:p>
    <w:p>
      <w:pPr>
        <w:pStyle w:val="22"/>
        <w:widowControl/>
        <w:spacing w:before="170" w:beforeAutospacing="0" w:after="170" w:afterAutospacing="0" w:line="320" w:lineRule="atLeast"/>
        <w:jc w:val="both"/>
        <w:rPr>
          <w:rFonts w:ascii="宋体" w:hAnsi="宋体" w:cs="宋体"/>
          <w:sz w:val="21"/>
          <w:szCs w:val="21"/>
          <w:highlight w:val="none"/>
        </w:rPr>
      </w:pPr>
      <w:r>
        <w:rPr>
          <w:rStyle w:val="32"/>
          <w:rFonts w:hint="eastAsia" w:ascii="宋体" w:hAnsi="宋体" w:cs="宋体"/>
          <w:sz w:val="21"/>
          <w:szCs w:val="21"/>
          <w:highlight w:val="none"/>
        </w:rPr>
        <w:t>八、凡对本次招标提出询问、质疑、投诉，请按以下方式联系</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1.采购人信息</w:t>
      </w:r>
    </w:p>
    <w:p>
      <w:pPr>
        <w:pStyle w:val="22"/>
        <w:widowControl/>
        <w:spacing w:before="50" w:beforeAutospacing="0" w:after="50" w:afterAutospacing="0"/>
        <w:ind w:firstLine="630" w:firstLineChars="300"/>
        <w:rPr>
          <w:rFonts w:ascii="宋体" w:hAnsi="宋体" w:cs="宋体"/>
          <w:color w:val="000000"/>
          <w:sz w:val="21"/>
          <w:szCs w:val="21"/>
        </w:rPr>
      </w:pPr>
      <w:r>
        <w:rPr>
          <w:rFonts w:hint="eastAsia" w:ascii="宋体" w:hAnsi="宋体" w:cs="宋体"/>
          <w:color w:val="000000"/>
          <w:sz w:val="21"/>
          <w:szCs w:val="21"/>
        </w:rPr>
        <w:t>名    称：舟山市</w:t>
      </w:r>
      <w:r>
        <w:rPr>
          <w:rFonts w:hint="eastAsia" w:ascii="宋体" w:hAnsi="宋体" w:cs="宋体"/>
          <w:sz w:val="21"/>
          <w:szCs w:val="21"/>
        </w:rPr>
        <w:t>普陀区气象局</w:t>
      </w:r>
      <w:r>
        <w:rPr>
          <w:rFonts w:hint="eastAsia" w:ascii="宋体" w:hAnsi="宋体" w:cs="宋体"/>
          <w:color w:val="000000"/>
          <w:sz w:val="21"/>
          <w:szCs w:val="21"/>
        </w:rPr>
        <w:t xml:space="preserve">  </w:t>
      </w:r>
    </w:p>
    <w:p>
      <w:pPr>
        <w:pStyle w:val="22"/>
        <w:widowControl/>
        <w:spacing w:before="50" w:beforeAutospacing="0" w:after="50" w:afterAutospacing="0"/>
        <w:rPr>
          <w:rFonts w:ascii="宋体" w:hAnsi="宋体" w:cs="宋体"/>
          <w:color w:val="000000"/>
          <w:sz w:val="21"/>
          <w:szCs w:val="21"/>
        </w:rPr>
      </w:pPr>
      <w:r>
        <w:rPr>
          <w:rFonts w:hint="eastAsia" w:ascii="宋体" w:hAnsi="宋体" w:cs="宋体"/>
          <w:color w:val="000000"/>
          <w:sz w:val="21"/>
          <w:szCs w:val="21"/>
        </w:rPr>
        <w:t>     地       址：舟山市普陀区东港街道海印路1号</w:t>
      </w:r>
    </w:p>
    <w:p>
      <w:pPr>
        <w:pStyle w:val="22"/>
        <w:widowControl/>
        <w:spacing w:before="50" w:beforeAutospacing="0" w:after="50" w:afterAutospacing="0"/>
        <w:rPr>
          <w:rFonts w:ascii="宋体" w:hAnsi="宋体" w:cs="宋体"/>
          <w:color w:val="000000"/>
          <w:sz w:val="21"/>
          <w:szCs w:val="21"/>
        </w:rPr>
      </w:pPr>
      <w:r>
        <w:rPr>
          <w:rFonts w:hint="eastAsia" w:ascii="宋体" w:hAnsi="宋体" w:cs="宋体"/>
          <w:color w:val="000000"/>
          <w:sz w:val="21"/>
          <w:szCs w:val="21"/>
        </w:rPr>
        <w:t xml:space="preserve">      传    真：/ </w:t>
      </w:r>
    </w:p>
    <w:p>
      <w:pPr>
        <w:pStyle w:val="22"/>
        <w:widowControl/>
        <w:spacing w:before="50" w:beforeAutospacing="0" w:after="50" w:afterAutospacing="0"/>
        <w:rPr>
          <w:rFonts w:ascii="宋体" w:hAnsi="宋体" w:cs="宋体"/>
          <w:color w:val="000000"/>
          <w:sz w:val="21"/>
          <w:szCs w:val="21"/>
        </w:rPr>
      </w:pPr>
      <w:r>
        <w:rPr>
          <w:rFonts w:hint="eastAsia" w:ascii="宋体" w:hAnsi="宋体" w:cs="宋体"/>
          <w:color w:val="000000"/>
          <w:sz w:val="21"/>
          <w:szCs w:val="21"/>
        </w:rPr>
        <w:t>    项目联系人（询问）：</w:t>
      </w:r>
      <w:r>
        <w:rPr>
          <w:rFonts w:ascii="宋体" w:hAnsi="宋体" w:cs="宋体"/>
          <w:color w:val="000000"/>
          <w:sz w:val="21"/>
          <w:szCs w:val="21"/>
        </w:rPr>
        <w:t>华先生</w:t>
      </w:r>
    </w:p>
    <w:p>
      <w:pPr>
        <w:pStyle w:val="22"/>
        <w:widowControl/>
        <w:spacing w:before="50" w:beforeAutospacing="0" w:after="50" w:afterAutospacing="0"/>
        <w:ind w:firstLine="630"/>
        <w:rPr>
          <w:rFonts w:ascii="宋体" w:hAnsi="宋体" w:cs="宋体"/>
          <w:color w:val="000000"/>
          <w:sz w:val="21"/>
          <w:szCs w:val="21"/>
        </w:rPr>
      </w:pPr>
      <w:r>
        <w:rPr>
          <w:rFonts w:hint="eastAsia" w:ascii="宋体" w:hAnsi="宋体" w:cs="宋体"/>
          <w:color w:val="000000"/>
          <w:sz w:val="21"/>
          <w:szCs w:val="21"/>
        </w:rPr>
        <w:t>项目联系方式（询问）：</w:t>
      </w:r>
      <w:r>
        <w:rPr>
          <w:rFonts w:ascii="宋体" w:hAnsi="宋体" w:cs="宋体"/>
          <w:color w:val="000000"/>
          <w:sz w:val="21"/>
          <w:szCs w:val="21"/>
        </w:rPr>
        <w:t>18962160766</w:t>
      </w:r>
    </w:p>
    <w:p>
      <w:pPr>
        <w:pStyle w:val="22"/>
        <w:widowControl/>
        <w:spacing w:before="50" w:beforeAutospacing="0" w:after="50" w:afterAutospacing="0"/>
        <w:ind w:firstLine="630"/>
        <w:rPr>
          <w:rFonts w:ascii="宋体" w:hAnsi="宋体" w:cs="宋体"/>
          <w:color w:val="000000"/>
          <w:sz w:val="21"/>
          <w:szCs w:val="21"/>
        </w:rPr>
      </w:pPr>
      <w:r>
        <w:rPr>
          <w:rFonts w:hint="eastAsia" w:ascii="宋体" w:hAnsi="宋体" w:cs="宋体"/>
          <w:color w:val="000000"/>
          <w:sz w:val="21"/>
          <w:szCs w:val="21"/>
        </w:rPr>
        <w:t>质疑联系人：</w:t>
      </w:r>
      <w:r>
        <w:rPr>
          <w:rFonts w:ascii="宋体" w:hAnsi="宋体" w:cs="宋体"/>
          <w:color w:val="000000"/>
          <w:sz w:val="21"/>
          <w:szCs w:val="21"/>
        </w:rPr>
        <w:t>华先生</w:t>
      </w:r>
    </w:p>
    <w:p>
      <w:pPr>
        <w:pStyle w:val="22"/>
        <w:widowControl/>
        <w:spacing w:before="50" w:beforeAutospacing="0" w:after="50" w:afterAutospacing="0"/>
        <w:rPr>
          <w:rFonts w:ascii="Times New Roman" w:hAnsi="Times New Roman"/>
          <w:sz w:val="21"/>
          <w:szCs w:val="21"/>
          <w:shd w:val="clear" w:color="auto" w:fill="FFFFFF"/>
        </w:rPr>
      </w:pPr>
      <w:r>
        <w:rPr>
          <w:rFonts w:hint="eastAsia" w:ascii="宋体" w:hAnsi="宋体" w:cs="宋体"/>
          <w:color w:val="000000"/>
          <w:sz w:val="21"/>
          <w:szCs w:val="21"/>
        </w:rPr>
        <w:t xml:space="preserve">      质疑联系方式： </w:t>
      </w:r>
      <w:r>
        <w:rPr>
          <w:rFonts w:ascii="宋体" w:hAnsi="宋体" w:cs="宋体"/>
          <w:color w:val="000000"/>
          <w:sz w:val="21"/>
          <w:szCs w:val="21"/>
        </w:rPr>
        <w:t>18962160766</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xml:space="preserve">      2.采购代理机构信息</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名    称：舟山建银工程造价审查中心有限公司 </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地    址：</w:t>
      </w:r>
      <w:r>
        <w:rPr>
          <w:rFonts w:hint="eastAsia" w:ascii="Times New Roman" w:hAnsi="Times New Roman"/>
          <w:sz w:val="21"/>
          <w:szCs w:val="21"/>
          <w:shd w:val="clear" w:color="auto" w:fill="FFFFFF"/>
        </w:rPr>
        <w:t>舟山市定海区临城街道定沈路</w:t>
      </w:r>
      <w:r>
        <w:rPr>
          <w:rFonts w:ascii="Times New Roman" w:hAnsi="Times New Roman"/>
          <w:sz w:val="21"/>
          <w:szCs w:val="21"/>
          <w:shd w:val="clear" w:color="auto" w:fill="FFFFFF"/>
        </w:rPr>
        <w:t>586</w:t>
      </w:r>
      <w:r>
        <w:rPr>
          <w:rFonts w:hint="eastAsia" w:ascii="Times New Roman" w:hAnsi="Times New Roman"/>
          <w:sz w:val="21"/>
          <w:szCs w:val="21"/>
          <w:shd w:val="clear" w:color="auto" w:fill="FFFFFF"/>
        </w:rPr>
        <w:t>号建设大厦</w:t>
      </w:r>
      <w:r>
        <w:rPr>
          <w:rFonts w:ascii="Times New Roman" w:hAnsi="Times New Roman"/>
          <w:sz w:val="21"/>
          <w:szCs w:val="21"/>
          <w:shd w:val="clear" w:color="auto" w:fill="FFFFFF"/>
        </w:rPr>
        <w:t>D</w:t>
      </w:r>
      <w:r>
        <w:rPr>
          <w:rFonts w:hint="eastAsia" w:ascii="Times New Roman" w:hAnsi="Times New Roman"/>
          <w:sz w:val="21"/>
          <w:szCs w:val="21"/>
          <w:shd w:val="clear" w:color="auto" w:fill="FFFFFF"/>
        </w:rPr>
        <w:t>座</w:t>
      </w:r>
      <w:r>
        <w:rPr>
          <w:rFonts w:ascii="Times New Roman" w:hAnsi="Times New Roman"/>
          <w:sz w:val="21"/>
          <w:szCs w:val="21"/>
          <w:shd w:val="clear" w:color="auto" w:fill="FFFFFF"/>
        </w:rPr>
        <w:t>11</w:t>
      </w:r>
      <w:r>
        <w:rPr>
          <w:rFonts w:hint="eastAsia" w:ascii="Times New Roman" w:hAnsi="Times New Roman"/>
          <w:sz w:val="21"/>
          <w:szCs w:val="21"/>
          <w:shd w:val="clear" w:color="auto" w:fill="FFFFFF"/>
        </w:rPr>
        <w:t>楼</w:t>
      </w:r>
      <w:r>
        <w:rPr>
          <w:rFonts w:hint="eastAsia" w:ascii="宋体" w:hAnsi="宋体" w:cs="宋体"/>
          <w:sz w:val="21"/>
          <w:szCs w:val="21"/>
          <w:shd w:val="clear" w:color="auto" w:fill="FFFFFF"/>
        </w:rPr>
        <w:t>1106室</w:t>
      </w:r>
      <w:r>
        <w:rPr>
          <w:rFonts w:hint="eastAsia" w:ascii="宋体" w:hAnsi="宋体" w:cs="宋体"/>
          <w:sz w:val="21"/>
          <w:szCs w:val="21"/>
        </w:rPr>
        <w:t> </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传    真：</w:t>
      </w:r>
      <w:r>
        <w:rPr>
          <w:rFonts w:hint="eastAsia" w:ascii="宋体" w:hAnsi="宋体" w:cs="宋体"/>
          <w:sz w:val="21"/>
          <w:szCs w:val="21"/>
          <w:shd w:val="clear" w:color="auto" w:fill="FFFFFF"/>
        </w:rPr>
        <w:t>0580-2615853</w:t>
      </w:r>
      <w:r>
        <w:rPr>
          <w:rFonts w:hint="eastAsia" w:ascii="宋体" w:hAnsi="宋体" w:cs="宋体"/>
          <w:sz w:val="21"/>
          <w:szCs w:val="21"/>
        </w:rPr>
        <w:t>  </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项目联系人（询问）：陈萍  </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项目联系方式（询问）：0580-2608985 </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质疑联系人：刘晓梦</w:t>
      </w:r>
    </w:p>
    <w:p>
      <w:pPr>
        <w:pStyle w:val="22"/>
        <w:widowControl/>
        <w:spacing w:before="50" w:beforeAutospacing="0" w:after="50" w:afterAutospacing="0"/>
        <w:rPr>
          <w:rFonts w:ascii="宋体" w:hAnsi="宋体" w:cs="宋体"/>
          <w:sz w:val="21"/>
          <w:szCs w:val="21"/>
        </w:rPr>
      </w:pPr>
      <w:r>
        <w:rPr>
          <w:rFonts w:hint="eastAsia" w:ascii="宋体" w:hAnsi="宋体" w:cs="宋体"/>
          <w:sz w:val="21"/>
          <w:szCs w:val="21"/>
        </w:rPr>
        <w:t>    质疑联系方式：</w:t>
      </w:r>
      <w:r>
        <w:rPr>
          <w:rFonts w:hint="eastAsia" w:ascii="宋体" w:hAnsi="宋体" w:cs="宋体"/>
          <w:sz w:val="21"/>
          <w:szCs w:val="21"/>
          <w:shd w:val="clear" w:color="auto" w:fill="FFFFFF"/>
        </w:rPr>
        <w:t>0580-</w:t>
      </w:r>
      <w:r>
        <w:rPr>
          <w:rFonts w:hint="eastAsia" w:ascii="宋体" w:hAnsi="宋体" w:cs="宋体"/>
          <w:sz w:val="21"/>
          <w:szCs w:val="21"/>
        </w:rPr>
        <w:t>2608985</w:t>
      </w:r>
      <w:r>
        <w:rPr>
          <w:rFonts w:hint="eastAsia" w:ascii="宋体" w:hAnsi="宋体" w:cs="宋体"/>
          <w:sz w:val="21"/>
          <w:szCs w:val="21"/>
        </w:rPr>
        <w:br w:type="textWrapping"/>
      </w:r>
      <w:r>
        <w:rPr>
          <w:rFonts w:hint="eastAsia" w:ascii="宋体" w:hAnsi="宋体" w:cs="宋体"/>
          <w:sz w:val="21"/>
          <w:szCs w:val="21"/>
        </w:rPr>
        <w:t>    3.同级政府采购监督管理部门</w:t>
      </w:r>
    </w:p>
    <w:p>
      <w:pPr>
        <w:pStyle w:val="22"/>
        <w:widowControl/>
        <w:spacing w:before="50" w:beforeAutospacing="0" w:after="50" w:afterAutospacing="0"/>
        <w:ind w:firstLine="420" w:firstLineChars="200"/>
        <w:rPr>
          <w:rFonts w:ascii="宋体" w:hAnsi="宋体" w:cs="宋体"/>
          <w:sz w:val="21"/>
          <w:szCs w:val="21"/>
        </w:rPr>
      </w:pPr>
      <w:r>
        <w:rPr>
          <w:rFonts w:hint="eastAsia" w:ascii="宋体" w:hAnsi="宋体" w:cs="宋体"/>
          <w:sz w:val="21"/>
          <w:szCs w:val="21"/>
        </w:rPr>
        <w:t> 名    称：舟山市普陀区财政局 　　　　　　　　　　　</w:t>
      </w:r>
    </w:p>
    <w:p>
      <w:pPr>
        <w:pStyle w:val="22"/>
        <w:widowControl/>
        <w:spacing w:before="50" w:beforeAutospacing="0" w:after="50" w:afterAutospacing="0"/>
        <w:ind w:firstLine="420" w:firstLineChars="200"/>
        <w:rPr>
          <w:rFonts w:ascii="宋体" w:hAnsi="宋体" w:cs="宋体"/>
          <w:sz w:val="21"/>
          <w:szCs w:val="21"/>
        </w:rPr>
      </w:pPr>
      <w:r>
        <w:rPr>
          <w:rFonts w:hint="eastAsia" w:ascii="宋体" w:hAnsi="宋体" w:cs="宋体"/>
          <w:sz w:val="21"/>
          <w:szCs w:val="21"/>
        </w:rPr>
        <w:t> 地    址： /  　　　　　　　　　　　</w:t>
      </w:r>
    </w:p>
    <w:p>
      <w:pPr>
        <w:pStyle w:val="22"/>
        <w:widowControl/>
        <w:spacing w:before="50" w:beforeAutospacing="0" w:after="50" w:afterAutospacing="0"/>
        <w:ind w:firstLine="420" w:firstLineChars="200"/>
        <w:rPr>
          <w:rFonts w:ascii="宋体" w:hAnsi="宋体" w:cs="宋体"/>
          <w:sz w:val="21"/>
          <w:szCs w:val="21"/>
        </w:rPr>
      </w:pPr>
      <w:r>
        <w:rPr>
          <w:rFonts w:hint="eastAsia" w:ascii="宋体" w:hAnsi="宋体" w:cs="宋体"/>
          <w:sz w:val="21"/>
          <w:szCs w:val="21"/>
        </w:rPr>
        <w:t> 传     真： / 　   </w:t>
      </w:r>
    </w:p>
    <w:p>
      <w:pPr>
        <w:pStyle w:val="22"/>
        <w:widowControl/>
        <w:spacing w:before="50" w:beforeAutospacing="0" w:after="50" w:afterAutospacing="0"/>
        <w:ind w:firstLine="420" w:firstLineChars="200"/>
        <w:rPr>
          <w:rFonts w:ascii="宋体" w:hAnsi="宋体" w:cs="宋体"/>
          <w:sz w:val="21"/>
          <w:szCs w:val="21"/>
        </w:rPr>
      </w:pPr>
      <w:r>
        <w:rPr>
          <w:rFonts w:hint="eastAsia" w:ascii="宋体" w:hAnsi="宋体" w:cs="宋体"/>
          <w:sz w:val="21"/>
          <w:szCs w:val="21"/>
        </w:rPr>
        <w:t> 联系人 ： 徐女士   　　　　　　　　　　　</w:t>
      </w:r>
    </w:p>
    <w:p>
      <w:pPr>
        <w:pStyle w:val="22"/>
        <w:widowControl/>
        <w:spacing w:before="50" w:beforeAutospacing="0" w:after="50" w:afterAutospacing="0"/>
        <w:ind w:firstLine="420" w:firstLineChars="200"/>
        <w:rPr>
          <w:rFonts w:ascii="宋体" w:hAnsi="宋体" w:cs="宋体"/>
          <w:sz w:val="21"/>
          <w:szCs w:val="21"/>
        </w:rPr>
      </w:pPr>
      <w:r>
        <w:rPr>
          <w:rFonts w:hint="eastAsia" w:ascii="宋体" w:hAnsi="宋体" w:cs="宋体"/>
          <w:sz w:val="21"/>
          <w:szCs w:val="21"/>
        </w:rPr>
        <w:t> 监督投诉电话：0580-3062881 　　</w:t>
      </w:r>
    </w:p>
    <w:p>
      <w:pPr>
        <w:pStyle w:val="22"/>
        <w:widowControl/>
        <w:spacing w:before="50" w:beforeAutospacing="0" w:after="50" w:afterAutospacing="0"/>
        <w:ind w:firstLine="420" w:firstLineChars="200"/>
        <w:rPr>
          <w:rFonts w:ascii="宋体" w:hAnsi="宋体" w:cs="宋体"/>
          <w:sz w:val="21"/>
          <w:szCs w:val="21"/>
        </w:rPr>
      </w:pPr>
      <w:r>
        <w:rPr>
          <w:rFonts w:hint="eastAsia" w:ascii="宋体" w:hAnsi="宋体" w:cs="宋体"/>
          <w:sz w:val="21"/>
          <w:szCs w:val="21"/>
        </w:rPr>
        <w:t>若对项目采购电子交易系统操作有疑问，可登录政采云（https://www.zcygov.cn/），点击右侧咨询小采，获取采小蜜智能服务管家帮助，或拨打政采云服务热线400-881-7190获取热线服务帮助。        </w:t>
      </w:r>
    </w:p>
    <w:p>
      <w:pPr>
        <w:pStyle w:val="22"/>
        <w:widowControl/>
        <w:spacing w:before="50" w:beforeAutospacing="0" w:after="50" w:afterAutospacing="0"/>
      </w:pPr>
      <w:r>
        <w:rPr>
          <w:rFonts w:hint="eastAsia" w:ascii="宋体" w:hAnsi="宋体" w:cs="宋体"/>
          <w:sz w:val="21"/>
          <w:szCs w:val="21"/>
        </w:rPr>
        <w:t>CA问题联系电话（人工）：汇信CA 400-888-4636；天谷CA 400-087-8198。</w:t>
      </w:r>
    </w:p>
    <w:p>
      <w:pPr>
        <w:pStyle w:val="10"/>
        <w:ind w:firstLine="0" w:firstLineChars="0"/>
      </w:pPr>
    </w:p>
    <w:p>
      <w:pPr>
        <w:pStyle w:val="11"/>
      </w:pPr>
    </w:p>
    <w:p>
      <w:pPr>
        <w:widowControl/>
        <w:numPr>
          <w:ilvl w:val="0"/>
          <w:numId w:val="4"/>
        </w:numPr>
        <w:jc w:val="center"/>
        <w:rPr>
          <w:b/>
        </w:rPr>
      </w:pPr>
      <w:r>
        <w:rPr>
          <w:rFonts w:hint="eastAsia"/>
          <w:b/>
          <w:sz w:val="36"/>
          <w:szCs w:val="36"/>
        </w:rPr>
        <w:t>采购需求</w:t>
      </w:r>
    </w:p>
    <w:p>
      <w:pPr>
        <w:rPr>
          <w:rFonts w:ascii="宋体" w:hAnsi="宋体"/>
          <w:b/>
          <w:bCs/>
          <w:sz w:val="24"/>
        </w:rPr>
      </w:pPr>
      <w:r>
        <w:rPr>
          <w:rFonts w:hint="eastAsia" w:ascii="宋体" w:hAnsi="宋体"/>
          <w:b/>
          <w:bCs/>
          <w:sz w:val="24"/>
        </w:rPr>
        <w:t>一、采购清单：</w:t>
      </w:r>
    </w:p>
    <w:tbl>
      <w:tblPr>
        <w:tblStyle w:val="30"/>
        <w:tblW w:w="7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5633"/>
        <w:gridCol w:w="798"/>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序号</w:t>
            </w:r>
          </w:p>
        </w:tc>
        <w:tc>
          <w:tcPr>
            <w:tcW w:w="5633" w:type="dxa"/>
          </w:tcPr>
          <w:p>
            <w:pPr>
              <w:jc w:val="center"/>
            </w:pPr>
            <w:r>
              <w:rPr>
                <w:rFonts w:hint="eastAsia"/>
              </w:rPr>
              <w:t>采购内容</w:t>
            </w:r>
          </w:p>
        </w:tc>
        <w:tc>
          <w:tcPr>
            <w:tcW w:w="798" w:type="dxa"/>
          </w:tcPr>
          <w:p>
            <w:pPr>
              <w:jc w:val="center"/>
            </w:pPr>
            <w:r>
              <w:rPr>
                <w:rFonts w:hint="eastAsia"/>
              </w:rPr>
              <w:t>数量</w:t>
            </w:r>
          </w:p>
        </w:tc>
        <w:tc>
          <w:tcPr>
            <w:tcW w:w="673" w:type="dxa"/>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1</w:t>
            </w:r>
          </w:p>
        </w:tc>
        <w:tc>
          <w:tcPr>
            <w:tcW w:w="5633" w:type="dxa"/>
          </w:tcPr>
          <w:p>
            <w:pPr>
              <w:jc w:val="center"/>
            </w:pPr>
            <w:r>
              <w:rPr>
                <w:rFonts w:hint="eastAsia"/>
              </w:rPr>
              <w:t>X波段双偏振相控阵天气雷达及配套设备</w:t>
            </w:r>
          </w:p>
        </w:tc>
        <w:tc>
          <w:tcPr>
            <w:tcW w:w="798" w:type="dxa"/>
          </w:tcPr>
          <w:p>
            <w:pPr>
              <w:jc w:val="center"/>
            </w:pP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1</w:t>
            </w:r>
            <w:r>
              <w:t>.1</w:t>
            </w:r>
          </w:p>
        </w:tc>
        <w:tc>
          <w:tcPr>
            <w:tcW w:w="5633" w:type="dxa"/>
          </w:tcPr>
          <w:p>
            <w:pPr>
              <w:jc w:val="center"/>
            </w:pPr>
            <w:r>
              <w:rPr>
                <w:rFonts w:hint="eastAsia"/>
              </w:rPr>
              <w:t>雷达主设备及专用配套软件</w:t>
            </w:r>
          </w:p>
        </w:tc>
        <w:tc>
          <w:tcPr>
            <w:tcW w:w="798" w:type="dxa"/>
          </w:tcPr>
          <w:p>
            <w:pPr>
              <w:jc w:val="center"/>
            </w:pPr>
            <w:r>
              <w:rPr>
                <w:rFonts w:hint="eastAsia"/>
              </w:rPr>
              <w:t>1套</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1</w:t>
            </w:r>
            <w:r>
              <w:t>.2</w:t>
            </w:r>
          </w:p>
        </w:tc>
        <w:tc>
          <w:tcPr>
            <w:tcW w:w="5633" w:type="dxa"/>
          </w:tcPr>
          <w:p>
            <w:pPr>
              <w:jc w:val="center"/>
            </w:pPr>
            <w:r>
              <w:rPr>
                <w:rFonts w:hint="eastAsia"/>
              </w:rPr>
              <w:t>雷达专用配套设备</w:t>
            </w:r>
          </w:p>
        </w:tc>
        <w:tc>
          <w:tcPr>
            <w:tcW w:w="798" w:type="dxa"/>
          </w:tcPr>
          <w:p>
            <w:pPr>
              <w:jc w:val="center"/>
            </w:pPr>
            <w:r>
              <w:rPr>
                <w:rFonts w:hint="eastAsia"/>
              </w:rPr>
              <w:t>1套</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1</w:t>
            </w:r>
            <w:r>
              <w:t>.3</w:t>
            </w:r>
          </w:p>
        </w:tc>
        <w:tc>
          <w:tcPr>
            <w:tcW w:w="5633" w:type="dxa"/>
          </w:tcPr>
          <w:p>
            <w:pPr>
              <w:jc w:val="center"/>
            </w:pPr>
            <w:r>
              <w:rPr>
                <w:rFonts w:hint="eastAsia"/>
              </w:rPr>
              <w:t>铁塔设备</w:t>
            </w:r>
          </w:p>
        </w:tc>
        <w:tc>
          <w:tcPr>
            <w:tcW w:w="798" w:type="dxa"/>
          </w:tcPr>
          <w:p>
            <w:pPr>
              <w:jc w:val="center"/>
            </w:pPr>
            <w:r>
              <w:rPr>
                <w:rFonts w:hint="eastAsia"/>
              </w:rPr>
              <w:t>1套</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1</w:t>
            </w:r>
            <w:r>
              <w:t>.4</w:t>
            </w:r>
          </w:p>
        </w:tc>
        <w:tc>
          <w:tcPr>
            <w:tcW w:w="5633" w:type="dxa"/>
          </w:tcPr>
          <w:p>
            <w:pPr>
              <w:jc w:val="center"/>
            </w:pPr>
            <w:r>
              <w:rPr>
                <w:rFonts w:hint="eastAsia"/>
              </w:rPr>
              <w:t>机房配套设备</w:t>
            </w:r>
          </w:p>
        </w:tc>
        <w:tc>
          <w:tcPr>
            <w:tcW w:w="798" w:type="dxa"/>
          </w:tcPr>
          <w:p>
            <w:pPr>
              <w:jc w:val="center"/>
            </w:pPr>
            <w:r>
              <w:rPr>
                <w:rFonts w:hint="eastAsia"/>
              </w:rPr>
              <w:t>1套</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1</w:t>
            </w:r>
            <w:r>
              <w:t>.5</w:t>
            </w:r>
          </w:p>
        </w:tc>
        <w:tc>
          <w:tcPr>
            <w:tcW w:w="5633" w:type="dxa"/>
          </w:tcPr>
          <w:p>
            <w:pPr>
              <w:jc w:val="center"/>
            </w:pPr>
            <w:r>
              <w:rPr>
                <w:rFonts w:hint="eastAsia"/>
              </w:rPr>
              <w:t>天线罩内配套设备</w:t>
            </w:r>
          </w:p>
        </w:tc>
        <w:tc>
          <w:tcPr>
            <w:tcW w:w="798" w:type="dxa"/>
          </w:tcPr>
          <w:p>
            <w:pPr>
              <w:jc w:val="center"/>
            </w:pPr>
            <w:r>
              <w:rPr>
                <w:rFonts w:hint="eastAsia"/>
              </w:rPr>
              <w:t>1套</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1</w:t>
            </w:r>
            <w:r>
              <w:t>.6</w:t>
            </w:r>
          </w:p>
        </w:tc>
        <w:tc>
          <w:tcPr>
            <w:tcW w:w="5633" w:type="dxa"/>
          </w:tcPr>
          <w:p>
            <w:pPr>
              <w:jc w:val="center"/>
            </w:pPr>
            <w:r>
              <w:rPr>
                <w:rFonts w:hint="eastAsia"/>
              </w:rPr>
              <w:t>供电设备</w:t>
            </w:r>
          </w:p>
        </w:tc>
        <w:tc>
          <w:tcPr>
            <w:tcW w:w="798" w:type="dxa"/>
          </w:tcPr>
          <w:p>
            <w:pPr>
              <w:jc w:val="center"/>
            </w:pPr>
            <w:r>
              <w:rPr>
                <w:rFonts w:hint="eastAsia"/>
              </w:rPr>
              <w:t>1套</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t>2</w:t>
            </w:r>
          </w:p>
        </w:tc>
        <w:tc>
          <w:tcPr>
            <w:tcW w:w="5633" w:type="dxa"/>
          </w:tcPr>
          <w:p>
            <w:pPr>
              <w:jc w:val="center"/>
            </w:pPr>
            <w:r>
              <w:rPr>
                <w:rFonts w:hint="eastAsia"/>
              </w:rPr>
              <w:t>雷达站基础工程建设</w:t>
            </w:r>
          </w:p>
        </w:tc>
        <w:tc>
          <w:tcPr>
            <w:tcW w:w="798" w:type="dxa"/>
          </w:tcPr>
          <w:p>
            <w:pPr>
              <w:jc w:val="center"/>
              <w:rPr>
                <w:highlight w:val="yellow"/>
              </w:rPr>
            </w:pPr>
          </w:p>
        </w:tc>
        <w:tc>
          <w:tcPr>
            <w:tcW w:w="673" w:type="dxa"/>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2</w:t>
            </w:r>
            <w:r>
              <w:t>.1</w:t>
            </w:r>
          </w:p>
        </w:tc>
        <w:tc>
          <w:tcPr>
            <w:tcW w:w="5633" w:type="dxa"/>
          </w:tcPr>
          <w:p>
            <w:pPr>
              <w:jc w:val="center"/>
            </w:pPr>
            <w:r>
              <w:rPr>
                <w:rFonts w:hint="eastAsia"/>
              </w:rPr>
              <w:t>雷达安装</w:t>
            </w:r>
          </w:p>
        </w:tc>
        <w:tc>
          <w:tcPr>
            <w:tcW w:w="798" w:type="dxa"/>
          </w:tcPr>
          <w:p>
            <w:pPr>
              <w:jc w:val="center"/>
            </w:pPr>
            <w:r>
              <w:rPr>
                <w:rFonts w:hint="eastAsia"/>
              </w:rPr>
              <w:t>1项</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2</w:t>
            </w:r>
            <w:r>
              <w:t>.2</w:t>
            </w:r>
          </w:p>
        </w:tc>
        <w:tc>
          <w:tcPr>
            <w:tcW w:w="5633" w:type="dxa"/>
          </w:tcPr>
          <w:p>
            <w:pPr>
              <w:jc w:val="center"/>
            </w:pPr>
            <w:r>
              <w:rPr>
                <w:rFonts w:hint="eastAsia"/>
              </w:rPr>
              <w:t>铁塔安装及基础建设</w:t>
            </w:r>
          </w:p>
        </w:tc>
        <w:tc>
          <w:tcPr>
            <w:tcW w:w="798" w:type="dxa"/>
          </w:tcPr>
          <w:p>
            <w:pPr>
              <w:jc w:val="center"/>
            </w:pPr>
            <w:r>
              <w:rPr>
                <w:rFonts w:hint="eastAsia"/>
              </w:rPr>
              <w:t>1项</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2</w:t>
            </w:r>
            <w:r>
              <w:t>.3</w:t>
            </w:r>
          </w:p>
        </w:tc>
        <w:tc>
          <w:tcPr>
            <w:tcW w:w="5633" w:type="dxa"/>
          </w:tcPr>
          <w:p>
            <w:pPr>
              <w:jc w:val="center"/>
            </w:pPr>
            <w:r>
              <w:rPr>
                <w:rFonts w:hint="eastAsia"/>
              </w:rPr>
              <w:t>机房</w:t>
            </w:r>
          </w:p>
        </w:tc>
        <w:tc>
          <w:tcPr>
            <w:tcW w:w="798" w:type="dxa"/>
          </w:tcPr>
          <w:p>
            <w:pPr>
              <w:jc w:val="center"/>
            </w:pPr>
            <w:r>
              <w:rPr>
                <w:rFonts w:hint="eastAsia"/>
              </w:rPr>
              <w:t>1项</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2</w:t>
            </w:r>
            <w:r>
              <w:t>.4</w:t>
            </w:r>
          </w:p>
        </w:tc>
        <w:tc>
          <w:tcPr>
            <w:tcW w:w="5633" w:type="dxa"/>
          </w:tcPr>
          <w:p>
            <w:pPr>
              <w:jc w:val="center"/>
            </w:pPr>
            <w:r>
              <w:rPr>
                <w:rFonts w:hint="eastAsia"/>
              </w:rPr>
              <w:t>供电</w:t>
            </w:r>
          </w:p>
        </w:tc>
        <w:tc>
          <w:tcPr>
            <w:tcW w:w="798" w:type="dxa"/>
          </w:tcPr>
          <w:p>
            <w:pPr>
              <w:jc w:val="center"/>
            </w:pPr>
            <w:r>
              <w:rPr>
                <w:rFonts w:hint="eastAsia"/>
              </w:rPr>
              <w:t>1项</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2</w:t>
            </w:r>
            <w:r>
              <w:t>.5</w:t>
            </w:r>
          </w:p>
        </w:tc>
        <w:tc>
          <w:tcPr>
            <w:tcW w:w="5633" w:type="dxa"/>
          </w:tcPr>
          <w:p>
            <w:pPr>
              <w:jc w:val="center"/>
            </w:pPr>
            <w:r>
              <w:rPr>
                <w:rFonts w:hint="eastAsia"/>
              </w:rPr>
              <w:t>通信</w:t>
            </w:r>
          </w:p>
        </w:tc>
        <w:tc>
          <w:tcPr>
            <w:tcW w:w="798" w:type="dxa"/>
          </w:tcPr>
          <w:p>
            <w:pPr>
              <w:jc w:val="center"/>
            </w:pPr>
            <w:r>
              <w:rPr>
                <w:rFonts w:hint="eastAsia"/>
              </w:rPr>
              <w:t>1项</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2</w:t>
            </w:r>
            <w:r>
              <w:t>.6</w:t>
            </w:r>
          </w:p>
        </w:tc>
        <w:tc>
          <w:tcPr>
            <w:tcW w:w="5633" w:type="dxa"/>
          </w:tcPr>
          <w:p>
            <w:pPr>
              <w:jc w:val="center"/>
            </w:pPr>
            <w:r>
              <w:rPr>
                <w:rFonts w:hint="eastAsia"/>
              </w:rPr>
              <w:t>防雷工程</w:t>
            </w:r>
          </w:p>
        </w:tc>
        <w:tc>
          <w:tcPr>
            <w:tcW w:w="798" w:type="dxa"/>
          </w:tcPr>
          <w:p>
            <w:pPr>
              <w:jc w:val="center"/>
            </w:pPr>
            <w:r>
              <w:rPr>
                <w:rFonts w:hint="eastAsia"/>
              </w:rPr>
              <w:t>1项</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rPr>
                <w:rFonts w:hint="eastAsia"/>
              </w:rPr>
              <w:t>2</w:t>
            </w:r>
            <w:r>
              <w:t>.7</w:t>
            </w:r>
          </w:p>
        </w:tc>
        <w:tc>
          <w:tcPr>
            <w:tcW w:w="5633" w:type="dxa"/>
          </w:tcPr>
          <w:p>
            <w:pPr>
              <w:jc w:val="center"/>
            </w:pPr>
            <w:r>
              <w:rPr>
                <w:rFonts w:hint="eastAsia"/>
              </w:rPr>
              <w:t>航空警示及照明</w:t>
            </w:r>
          </w:p>
        </w:tc>
        <w:tc>
          <w:tcPr>
            <w:tcW w:w="798" w:type="dxa"/>
          </w:tcPr>
          <w:p>
            <w:pPr>
              <w:jc w:val="center"/>
            </w:pPr>
            <w:r>
              <w:rPr>
                <w:rFonts w:hint="eastAsia"/>
              </w:rPr>
              <w:t>1项</w:t>
            </w:r>
          </w:p>
        </w:tc>
        <w:tc>
          <w:tcPr>
            <w:tcW w:w="67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Pr>
          <w:p>
            <w:pPr>
              <w:jc w:val="center"/>
            </w:pPr>
            <w:r>
              <w:t>2.8</w:t>
            </w:r>
          </w:p>
        </w:tc>
        <w:tc>
          <w:tcPr>
            <w:tcW w:w="5633" w:type="dxa"/>
          </w:tcPr>
          <w:p>
            <w:pPr>
              <w:jc w:val="center"/>
            </w:pPr>
            <w:r>
              <w:t>道路修整、平台绿化及安全防护措施（围栏、消防、警示牌）</w:t>
            </w:r>
          </w:p>
        </w:tc>
        <w:tc>
          <w:tcPr>
            <w:tcW w:w="798" w:type="dxa"/>
          </w:tcPr>
          <w:p>
            <w:pPr>
              <w:jc w:val="center"/>
            </w:pPr>
            <w:r>
              <w:t>1项</w:t>
            </w:r>
          </w:p>
        </w:tc>
        <w:tc>
          <w:tcPr>
            <w:tcW w:w="673" w:type="dxa"/>
          </w:tcPr>
          <w:p>
            <w:pPr>
              <w:jc w:val="center"/>
            </w:pPr>
          </w:p>
        </w:tc>
      </w:tr>
    </w:tbl>
    <w:p>
      <w:pPr>
        <w:spacing w:line="400" w:lineRule="exact"/>
        <w:rPr>
          <w:rFonts w:ascii="宋体" w:hAnsi="宋体" w:cs="宋体"/>
          <w:b/>
          <w:bCs/>
          <w:kern w:val="1"/>
        </w:rPr>
      </w:pPr>
    </w:p>
    <w:p>
      <w:pPr>
        <w:rPr>
          <w:rFonts w:ascii="宋体" w:hAnsi="宋体"/>
          <w:b/>
          <w:bCs/>
          <w:sz w:val="24"/>
        </w:rPr>
      </w:pPr>
      <w:r>
        <w:rPr>
          <w:rFonts w:hint="eastAsia" w:ascii="宋体" w:hAnsi="宋体"/>
          <w:b/>
          <w:bCs/>
          <w:sz w:val="24"/>
        </w:rPr>
        <w:t>二、技术参数：</w:t>
      </w:r>
    </w:p>
    <w:p>
      <w:pPr>
        <w:spacing w:line="400" w:lineRule="exact"/>
        <w:rPr>
          <w:rFonts w:ascii="宋体" w:hAnsi="宋体" w:cs="宋体"/>
          <w:b/>
          <w:bCs/>
          <w:kern w:val="1"/>
        </w:rPr>
      </w:pPr>
      <w:r>
        <w:rPr>
          <w:rFonts w:hint="eastAsia" w:ascii="宋体" w:hAnsi="宋体" w:cs="宋体"/>
          <w:b/>
          <w:bCs/>
          <w:kern w:val="1"/>
          <w:sz w:val="24"/>
        </w:rPr>
        <w:t>1</w:t>
      </w:r>
      <w:r>
        <w:rPr>
          <w:rFonts w:ascii="宋体" w:hAnsi="宋体" w:cs="宋体"/>
          <w:b/>
          <w:bCs/>
          <w:kern w:val="1"/>
          <w:sz w:val="24"/>
        </w:rPr>
        <w:t>.</w:t>
      </w:r>
      <w:r>
        <w:rPr>
          <w:rFonts w:hint="eastAsia" w:ascii="宋体" w:hAnsi="宋体"/>
          <w:b/>
          <w:bCs/>
          <w:sz w:val="24"/>
        </w:rPr>
        <w:t xml:space="preserve"> X波段双偏振相控阵天气雷达及配套设备</w:t>
      </w:r>
    </w:p>
    <w:p>
      <w:pPr>
        <w:spacing w:line="400" w:lineRule="exact"/>
        <w:rPr>
          <w:rFonts w:ascii="宋体" w:hAnsi="宋体"/>
          <w:b/>
          <w:bCs/>
          <w:sz w:val="24"/>
        </w:rPr>
      </w:pPr>
      <w:r>
        <w:rPr>
          <w:rFonts w:hint="eastAsia" w:ascii="宋体" w:hAnsi="宋体" w:cs="宋体"/>
          <w:b/>
          <w:bCs/>
          <w:kern w:val="1"/>
          <w:sz w:val="24"/>
        </w:rPr>
        <w:t>1</w:t>
      </w:r>
      <w:r>
        <w:rPr>
          <w:rFonts w:ascii="宋体" w:hAnsi="宋体" w:cs="宋体"/>
          <w:b/>
          <w:bCs/>
          <w:kern w:val="1"/>
          <w:sz w:val="24"/>
        </w:rPr>
        <w:t>.1</w:t>
      </w:r>
      <w:r>
        <w:rPr>
          <w:rFonts w:hint="eastAsia" w:ascii="宋体" w:hAnsi="宋体"/>
          <w:b/>
          <w:bCs/>
          <w:sz w:val="24"/>
        </w:rPr>
        <w:t>雷达主设备及专用配套软件</w:t>
      </w:r>
    </w:p>
    <w:tbl>
      <w:tblPr>
        <w:tblStyle w:val="29"/>
        <w:tblW w:w="8966" w:type="dxa"/>
        <w:tblInd w:w="0" w:type="dxa"/>
        <w:tblLayout w:type="fixed"/>
        <w:tblCellMar>
          <w:top w:w="0" w:type="dxa"/>
          <w:left w:w="108" w:type="dxa"/>
          <w:bottom w:w="0" w:type="dxa"/>
          <w:right w:w="108" w:type="dxa"/>
        </w:tblCellMar>
      </w:tblPr>
      <w:tblGrid>
        <w:gridCol w:w="805"/>
        <w:gridCol w:w="793"/>
        <w:gridCol w:w="1002"/>
        <w:gridCol w:w="2376"/>
        <w:gridCol w:w="3990"/>
      </w:tblGrid>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b/>
                <w:bCs/>
                <w:szCs w:val="21"/>
              </w:rPr>
            </w:pPr>
            <w:r>
              <w:rPr>
                <w:rFonts w:ascii="宋体" w:hAnsi="宋体" w:cs="宋体"/>
                <w:b/>
                <w:bCs/>
                <w:szCs w:val="21"/>
              </w:rPr>
              <w:t>序号</w:t>
            </w:r>
          </w:p>
        </w:tc>
        <w:tc>
          <w:tcPr>
            <w:tcW w:w="793"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b/>
                <w:bCs/>
                <w:szCs w:val="21"/>
              </w:rPr>
            </w:pPr>
            <w:r>
              <w:rPr>
                <w:rFonts w:ascii="宋体" w:hAnsi="宋体" w:cs="宋体"/>
                <w:b/>
                <w:bCs/>
                <w:szCs w:val="21"/>
              </w:rPr>
              <w:t>名称</w:t>
            </w: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b/>
                <w:bCs/>
                <w:szCs w:val="21"/>
              </w:rPr>
            </w:pPr>
            <w:r>
              <w:rPr>
                <w:rFonts w:ascii="宋体" w:hAnsi="宋体" w:cs="宋体"/>
                <w:b/>
                <w:bCs/>
                <w:szCs w:val="21"/>
              </w:rPr>
              <w:t>项目</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b/>
                <w:bCs/>
                <w:szCs w:val="21"/>
              </w:rPr>
            </w:pPr>
            <w:r>
              <w:rPr>
                <w:rFonts w:ascii="宋体" w:hAnsi="宋体" w:cs="宋体"/>
                <w:b/>
                <w:bCs/>
                <w:szCs w:val="21"/>
              </w:rPr>
              <w:t>性能指标</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宋体" w:hAnsi="宋体" w:cs="宋体"/>
                <w:sz w:val="22"/>
                <w:szCs w:val="22"/>
                <w:lang w:bidi="ar-SA"/>
              </w:rPr>
            </w:pPr>
            <w:r>
              <w:rPr>
                <w:rFonts w:ascii="宋体" w:hAnsi="宋体" w:cs="宋体"/>
                <w:sz w:val="22"/>
                <w:szCs w:val="22"/>
                <w:lang w:bidi="ar-SA"/>
              </w:rPr>
              <w:t>1</w:t>
            </w:r>
          </w:p>
        </w:tc>
        <w:tc>
          <w:tcPr>
            <w:tcW w:w="793"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总体技术指标要求</w:t>
            </w: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 w:val="24"/>
              </w:rPr>
              <w:t>△</w:t>
            </w:r>
            <w:r>
              <w:rPr>
                <w:rFonts w:ascii="宋体" w:hAnsi="宋体" w:cs="宋体"/>
                <w:szCs w:val="21"/>
              </w:rPr>
              <w:t>入网许可</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投标产品具有中国气象局颁发有效期内的《气象专用技术装备使用许可证》。</w:t>
            </w:r>
            <w:r>
              <w:rPr>
                <w:rFonts w:ascii="宋体" w:hAnsi="宋体" w:cs="宋体"/>
                <w:szCs w:val="21"/>
                <w:lang w:val="en-US" w:eastAsia="zh-CN"/>
              </w:rPr>
              <w:t>需要提供证书扫描件并加盖公章。</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宋体" w:hAnsi="宋体" w:eastAsia="宋体" w:cs="宋体"/>
                <w:kern w:val="2"/>
                <w:sz w:val="22"/>
                <w:szCs w:val="22"/>
                <w:lang w:val="en-US" w:eastAsia="zh-CN" w:bidi="ar-SA"/>
              </w:rPr>
            </w:pPr>
            <w:r>
              <w:rPr>
                <w:rFonts w:ascii="宋体" w:hAnsi="宋体" w:cs="宋体"/>
                <w:sz w:val="22"/>
                <w:szCs w:val="22"/>
                <w:lang w:bidi="ar-SA"/>
              </w:rPr>
              <w:t>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▲雷达体制</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全固态、全相参多普勒、方位机扫、俯仰相扫、双线偏振、数字波束形成。</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9.3 ～ 9.5GHz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整机寿命</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≥15年</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探测距离范围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警戒≥1</w:t>
            </w:r>
            <w:r>
              <w:rPr>
                <w:rFonts w:hint="eastAsia" w:ascii="宋体" w:hAnsi="宋体" w:cs="宋体"/>
                <w:szCs w:val="21"/>
                <w:highlight w:val="none"/>
                <w:lang w:val="en-US" w:eastAsia="zh-CN"/>
              </w:rPr>
              <w:t>2</w:t>
            </w:r>
            <w:r>
              <w:rPr>
                <w:rFonts w:ascii="宋体" w:hAnsi="宋体" w:cs="宋体"/>
                <w:szCs w:val="21"/>
                <w:highlight w:val="none"/>
              </w:rPr>
              <w:t>0km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定量≥</w:t>
            </w:r>
            <w:r>
              <w:rPr>
                <w:rFonts w:hint="eastAsia" w:ascii="宋体" w:hAnsi="宋体" w:cs="宋体"/>
                <w:szCs w:val="21"/>
                <w:highlight w:val="none"/>
                <w:lang w:val="en-US" w:eastAsia="zh-CN"/>
              </w:rPr>
              <w:t>60</w:t>
            </w:r>
            <w:r>
              <w:rPr>
                <w:rFonts w:ascii="宋体" w:hAnsi="宋体" w:cs="宋体"/>
                <w:szCs w:val="21"/>
                <w:highlight w:val="none"/>
              </w:rPr>
              <w:t>km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近距离盲区范围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≤300米</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red"/>
              </w:rPr>
            </w:pPr>
            <w:r>
              <w:rPr>
                <w:rFonts w:ascii="宋体" w:hAnsi="宋体" w:cs="宋体"/>
                <w:sz w:val="24"/>
              </w:rPr>
              <w:t>△</w:t>
            </w:r>
            <w:r>
              <w:rPr>
                <w:rFonts w:ascii="宋体" w:hAnsi="宋体" w:cs="宋体"/>
                <w:szCs w:val="21"/>
              </w:rPr>
              <w:t>50千米处可探测的最小反射率因子</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≤12dBZ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9</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测量范围</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强度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hint="eastAsia" w:ascii="宋体" w:hAnsi="宋体" w:cs="宋体"/>
                <w:szCs w:val="21"/>
                <w:highlight w:val="none"/>
                <w:lang w:val="en-US" w:eastAsia="zh-CN"/>
              </w:rPr>
              <w:t>-15</w:t>
            </w:r>
            <w:r>
              <w:rPr>
                <w:rFonts w:ascii="宋体" w:hAnsi="宋体" w:cs="宋体"/>
                <w:szCs w:val="21"/>
                <w:highlight w:val="none"/>
              </w:rPr>
              <w:t>dBz ～ +</w:t>
            </w:r>
            <w:r>
              <w:rPr>
                <w:rFonts w:hint="eastAsia" w:ascii="宋体" w:hAnsi="宋体" w:cs="宋体"/>
                <w:szCs w:val="21"/>
                <w:highlight w:val="none"/>
                <w:lang w:val="en-US" w:eastAsia="zh-CN"/>
              </w:rPr>
              <w:t>8</w:t>
            </w:r>
            <w:r>
              <w:rPr>
                <w:rFonts w:ascii="宋体" w:hAnsi="宋体" w:cs="宋体"/>
                <w:szCs w:val="21"/>
                <w:highlight w:val="none"/>
              </w:rPr>
              <w:t>0dBz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速度</w:t>
            </w:r>
          </w:p>
        </w:tc>
        <w:tc>
          <w:tcPr>
            <w:tcW w:w="3990"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-48m/s ～ +48m/s</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谱宽</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0m/s～16m/s</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差分反射率因子</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-7.9dB～+7.9dB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差分传播相位</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-90°～+90°或-180°～+180°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差分传播相位率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-2°/km～+20°/km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相关系数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参数测量精度</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强度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距离</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≤30m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速度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 m/s</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19</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谱宽</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 m/s</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eastAsia="宋体"/>
                <w:lang w:eastAsia="zh-CN"/>
              </w:rPr>
            </w:pPr>
            <w:r>
              <w:rPr>
                <w:rFonts w:ascii="宋体" w:hAnsi="宋体" w:cs="宋体"/>
                <w:sz w:val="22"/>
                <w:szCs w:val="22"/>
                <w:lang w:bidi="ar-SA"/>
              </w:rPr>
              <w:t>2</w:t>
            </w:r>
            <w:r>
              <w:rPr>
                <w:rFonts w:ascii="宋体" w:hAnsi="宋体" w:cs="宋体"/>
                <w:sz w:val="22"/>
                <w:szCs w:val="22"/>
                <w:lang w:val="en-US" w:eastAsia="zh-CN" w:bidi="ar-SA"/>
              </w:rPr>
              <w:t>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差分反射率因子</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≤0.2dB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差分传播相位</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差分传播相位率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≤0.2°/km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相关系数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系统相位噪声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≤0.2°</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地物杂波抑制比</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收发单元通道幅相一致性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幅度波动小于±0.5dB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相位波动均方根误差小于±3°</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输出参数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强度、速度、谱宽、差分反射率因子、差分传播相位、差分传播相位率、相关系数</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30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电源要求</w:t>
            </w:r>
          </w:p>
        </w:tc>
        <w:tc>
          <w:tcPr>
            <w:tcW w:w="3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三相AC380V±10%，50Hz±5%</w:t>
            </w:r>
          </w:p>
          <w:p>
            <w:pPr>
              <w:widowControl w:val="0"/>
              <w:spacing w:before="0" w:after="0"/>
              <w:jc w:val="center"/>
              <w:rPr>
                <w:rFonts w:ascii="宋体" w:hAnsi="宋体" w:cs="宋体"/>
                <w:szCs w:val="21"/>
              </w:rPr>
            </w:pPr>
            <w:r>
              <w:rPr>
                <w:rFonts w:ascii="宋体" w:hAnsi="宋体" w:cs="宋体"/>
                <w:szCs w:val="21"/>
              </w:rPr>
              <w:t>或单相AC220V±10%，50Hz±5%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环境要求</w:t>
            </w: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工作温度</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室外、车厢外装备：-40～+50℃，室内、车厢内装备：0～+40℃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宋体" w:hAnsi="宋体" w:eastAsia="宋体" w:cs="宋体"/>
                <w:color w:val="auto"/>
                <w:kern w:val="2"/>
                <w:sz w:val="22"/>
                <w:szCs w:val="22"/>
                <w:lang w:val="en-US" w:eastAsia="zh-CN" w:bidi="ar-SA"/>
              </w:rPr>
            </w:pPr>
            <w:r>
              <w:rPr>
                <w:rFonts w:ascii="宋体" w:hAnsi="宋体" w:cs="宋体"/>
                <w:sz w:val="22"/>
                <w:szCs w:val="22"/>
                <w:lang w:bidi="ar-SA"/>
              </w:rPr>
              <w:t>32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贮存温度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-40～+60℃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最大湿度（+30℃）</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室内：≤90%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工作高度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海拔高度：≤3000m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冲击、振动、淋雨</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符合国家有关部门规定，且满足野外运输要求</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抗干扰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电源干扰、电磁干扰、无线电频率干扰</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其它</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防水、防霉、防盐雾</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任务可靠性时间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≥2000h</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39</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平均故障修复时间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≤0.5h</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架设方式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red"/>
              </w:rPr>
            </w:pPr>
            <w:r>
              <w:rPr>
                <w:rFonts w:ascii="宋体" w:hAnsi="宋体" w:cs="宋体"/>
                <w:szCs w:val="21"/>
              </w:rPr>
              <w:t>固定架设</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连续工作时间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可24h工作</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微波辐射安全性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雷达微波漏能功率密度应符合GJB5313-2004的要求。</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安全标记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雷达高压部位、微波泄漏部位、机械转动部位应有清晰、醒目的安全警示标记。</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互换性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雷达备份零件、部件、组件和功能单元均能在现场更换，无需调整而正常工作。</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w:t>
            </w:r>
            <w:r>
              <w:rPr>
                <w:rFonts w:ascii="宋体" w:hAnsi="宋体" w:cs="宋体"/>
                <w:sz w:val="22"/>
                <w:szCs w:val="22"/>
                <w:lang w:val="en-US" w:eastAsia="zh-CN" w:bidi="ar-SA"/>
              </w:rPr>
              <w:t>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电磁兼容性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雷达具有市电滤波和防电磁干扰的能力，设置静电屏蔽、磁屏蔽、电磁屏蔽，模拟地线、数字地线和安全地线严格分开。</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安全性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雷达应有安全性设计,确保雷达按规定条件进行制造、安装、运输、贮存、使用和维护时的人身安全和设备安全。</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防雷要求</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雷达站避雷针接地系统应与建筑物接地系统分开,避雷针应避开雷达的主要探测方向,其高度应使天线处于45°保护角内,避雷针接地电阻应不大于4Ω。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雷达电源线输入端应加装防雷滤波器，室外电缆一律采用屏蔽电缆。</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49</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绝缘性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雷达各初级电源与大地间绝缘电阻应大于1MΩ。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其他</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有关冲击、振动、跑车、淋雨等符合国家有关部门规定。</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外观质量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外观应协调一致。外表面应无凹痕、碰伤、裂痕和变形等缺陷；镀涂层不起泡、龟裂和脱落；金属零件无锈蚀、毛刺及其它机械损伤。</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标记与代号</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机柜、机箱、插件和线缆等应有统一的编号和标记，符合国家标准。</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印制板、主要元器件等应在相应位置印有与电路图中项目代号相符的标记。</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标记的文字、字母和符号应完整、规范、清晰和牢固，且便于识读。</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环境噪声要求</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工作机房噪声不大于85dB终端操作室噪声不大于65dB。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雷达应有的铭牌包括的内容</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雷达的名称、型号(代号)；出厂编号；出厂年月；制造厂商标。</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57</w:t>
            </w:r>
          </w:p>
        </w:tc>
        <w:tc>
          <w:tcPr>
            <w:tcW w:w="793"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天线技术指标要求</w:t>
            </w: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天线形式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双线偏振相控阵阵列天线</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9.3GHz～9.5GHz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▲极化方式</w:t>
            </w:r>
          </w:p>
        </w:tc>
        <w:tc>
          <w:tcPr>
            <w:tcW w:w="3990" w:type="dxa"/>
            <w:tcBorders>
              <w:bottom w:val="single" w:color="000000" w:sz="4" w:space="0"/>
              <w:right w:val="single" w:color="000000" w:sz="4" w:space="0"/>
            </w:tcBorders>
            <w:shd w:val="clear" w:color="auto" w:fill="FFFFFF"/>
            <w:vAlign w:val="center"/>
          </w:tcPr>
          <w:p>
            <w:pPr>
              <w:widowControl w:val="0"/>
              <w:spacing w:before="0" w:after="0"/>
              <w:rPr>
                <w:rFonts w:ascii="宋体" w:hAnsi="宋体" w:cs="宋体"/>
                <w:szCs w:val="21"/>
                <w:highlight w:val="none"/>
              </w:rPr>
            </w:pPr>
            <w:r>
              <w:rPr>
                <w:rFonts w:ascii="宋体" w:hAnsi="宋体" w:cs="宋体"/>
                <w:szCs w:val="21"/>
                <w:lang w:val="en-US" w:eastAsia="zh-CN" w:bidi="ar-SA"/>
              </w:rPr>
              <w:t>线性</w:t>
            </w:r>
            <w:r>
              <w:rPr>
                <w:rFonts w:ascii="宋体" w:hAnsi="宋体" w:cs="宋体"/>
                <w:szCs w:val="21"/>
                <w:lang w:bidi="ar-SA"/>
              </w:rPr>
              <w:t>水平、垂直极化、水平&amp;垂直双极化</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波束水平宽度（水平偏振和垂直偏振）（法向）</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≤1.8°</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波束垂直宽度（水平偏振和垂直偏振）（法向）</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≤1.8°</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增益（法向）</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≥38dB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第一副瓣电平</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yellow"/>
              </w:rPr>
            </w:pPr>
            <w:r>
              <w:rPr>
                <w:rFonts w:ascii="宋体" w:hAnsi="宋体" w:cs="宋体"/>
                <w:szCs w:val="21"/>
              </w:rPr>
              <w:t>≤-25dB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交叉极化隔离度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水平方向上双线偏振波束角度误差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val="en-US" w:eastAsia="zh-CN" w:bidi="ar-SA"/>
              </w:rPr>
              <w:t>66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水平方向上双线偏振3dB波束宽度差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抗风能力（阵风）</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有天线罩：1</w:t>
            </w:r>
            <w:r>
              <w:rPr>
                <w:rFonts w:hint="eastAsia" w:ascii="宋体" w:hAnsi="宋体" w:cs="宋体"/>
                <w:szCs w:val="21"/>
                <w:highlight w:val="none"/>
                <w:lang w:val="en-US" w:eastAsia="zh-CN"/>
              </w:rPr>
              <w:t>7</w:t>
            </w:r>
            <w:r>
              <w:rPr>
                <w:rFonts w:ascii="宋体" w:hAnsi="宋体" w:cs="宋体"/>
                <w:szCs w:val="21"/>
                <w:highlight w:val="none"/>
              </w:rPr>
              <w:t>级风速下正常工作</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68</w:t>
            </w:r>
          </w:p>
        </w:tc>
        <w:tc>
          <w:tcPr>
            <w:tcW w:w="793"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天线阵面和伺服系统技术指标</w:t>
            </w: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天线阵面扫描方式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PPI、RHI、体扫、扇扫、定点、用户自定义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天线阵面扫描范围</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方位机械扫描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0</w:t>
            </w:r>
            <w:r>
              <w:rPr>
                <w:rFonts w:hint="eastAsia" w:ascii="宋体" w:hAnsi="宋体" w:cs="宋体"/>
                <w:szCs w:val="21"/>
                <w:highlight w:val="none"/>
                <w:lang w:val="en-US" w:eastAsia="zh-CN"/>
              </w:rPr>
              <w:t>°</w:t>
            </w:r>
            <w:r>
              <w:rPr>
                <w:rFonts w:ascii="宋体" w:hAnsi="宋体" w:cs="宋体"/>
                <w:szCs w:val="21"/>
                <w:highlight w:val="none"/>
              </w:rPr>
              <w:t xml:space="preserve"> ～ 360°连续扫描</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俯仰电子扫描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0</w:t>
            </w:r>
            <w:r>
              <w:rPr>
                <w:rFonts w:hint="eastAsia" w:ascii="宋体" w:hAnsi="宋体" w:cs="宋体"/>
                <w:szCs w:val="21"/>
                <w:highlight w:val="none"/>
                <w:lang w:val="en-US" w:eastAsia="zh-CN"/>
              </w:rPr>
              <w:t>°</w:t>
            </w:r>
            <w:r>
              <w:rPr>
                <w:rFonts w:ascii="宋体" w:hAnsi="宋体" w:cs="宋体"/>
                <w:szCs w:val="21"/>
                <w:highlight w:val="none"/>
              </w:rPr>
              <w:t xml:space="preserve">- </w:t>
            </w:r>
            <w:r>
              <w:rPr>
                <w:rFonts w:hint="eastAsia" w:ascii="宋体" w:hAnsi="宋体" w:cs="宋体"/>
                <w:szCs w:val="21"/>
                <w:highlight w:val="none"/>
                <w:lang w:val="en-US" w:eastAsia="zh-CN"/>
              </w:rPr>
              <w:t>60</w:t>
            </w:r>
            <w:r>
              <w:rPr>
                <w:rFonts w:ascii="宋体" w:hAnsi="宋体" w:cs="宋体"/>
                <w:szCs w:val="21"/>
                <w:highlight w:val="none"/>
              </w:rPr>
              <w:t>°</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俯仰机械调整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w:t>
            </w:r>
            <w:r>
              <w:rPr>
                <w:rFonts w:hint="eastAsia" w:ascii="宋体" w:hAnsi="宋体" w:cs="宋体"/>
                <w:szCs w:val="21"/>
                <w:lang w:val="en-US" w:eastAsia="zh-CN"/>
              </w:rPr>
              <w:t>°</w:t>
            </w:r>
            <w:r>
              <w:rPr>
                <w:rFonts w:ascii="宋体" w:hAnsi="宋体" w:cs="宋体"/>
                <w:szCs w:val="21"/>
              </w:rPr>
              <w:t xml:space="preserve"> ～ +90°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体扫时间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2"/>
                <w:highlight w:val="none"/>
              </w:rPr>
            </w:pPr>
            <w:r>
              <w:rPr>
                <w:rFonts w:ascii="宋体" w:hAnsi="宋体" w:cs="宋体"/>
                <w:szCs w:val="22"/>
                <w:highlight w:val="none"/>
              </w:rPr>
              <w:t>体扫时间≤30S（方位0°-360°，俯仰0°-</w:t>
            </w:r>
            <w:r>
              <w:rPr>
                <w:rFonts w:hint="eastAsia" w:ascii="宋体" w:hAnsi="宋体" w:cs="宋体"/>
                <w:szCs w:val="22"/>
                <w:highlight w:val="none"/>
                <w:lang w:val="en-US" w:eastAsia="zh-CN"/>
              </w:rPr>
              <w:t>60°范围，</w:t>
            </w:r>
            <w:r>
              <w:rPr>
                <w:rFonts w:ascii="宋体" w:hAnsi="宋体" w:cs="宋体"/>
                <w:szCs w:val="22"/>
                <w:highlight w:val="none"/>
              </w:rPr>
              <w:t>无间隔扫描）</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天线阵面定位精度</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方位</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俯仰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天线阵面控制精度</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方位</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天线阵面控制字长</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≥14位</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角度编码器字长</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≥14位</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伺服同步误差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雷达具备远程同步控制能力，雷达时间同步误差：≤0.2s，雷达方位角同步误差：≤0.5°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安全与保护</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天线阵面应设有辅助支撑锁定机构，以保证其在运输架设时的安全性和稳定性。天线阵面的方位运转系统中应具有安全保护措施并具备锁定功能。</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80</w:t>
            </w:r>
          </w:p>
        </w:tc>
        <w:tc>
          <w:tcPr>
            <w:tcW w:w="793"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收发、接收通道技术指标</w:t>
            </w: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发射通道技术性能指标表</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发射通道形式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全固态分布式</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发射通道数量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≥64</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9.3 ～ 9.5GHz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脉冲峰值功率（每个极化）</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eastAsia="宋体"/>
                <w:sz w:val="32"/>
                <w:szCs w:val="32"/>
                <w:highlight w:val="none"/>
              </w:rPr>
            </w:pPr>
            <w:r>
              <w:rPr>
                <w:b w:val="0"/>
                <w:bCs w:val="0"/>
                <w:highlight w:val="none"/>
              </w:rPr>
              <w:t>≥200W</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发射脉冲宽度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 ～200μs（可选）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脉冲重复频率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≥500Hz(警戒)</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&gt;1000Hz(定量)</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发射通道输出端极限改善因子</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w:t>
            </w:r>
            <w:r>
              <w:rPr>
                <w:rFonts w:ascii="宋体" w:hAnsi="宋体" w:cs="宋体"/>
                <w:sz w:val="22"/>
                <w:szCs w:val="22"/>
                <w:lang w:val="en-US" w:eastAsia="zh-CN" w:bidi="ar-SA"/>
              </w:rPr>
              <w:t>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发射通道频谱特性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符合相关规定中对所占频谱的要求</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谐波和杂散抑制</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≥40dB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故障检测和保护</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发生过温，过压，过流等情况时可报警并实现自保，输出功率低时输出报警信号</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接收通道技术性能指标表</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9.3 ～ 9.5GHz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噪声系数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highlight w:val="none"/>
              </w:rPr>
              <w:t>≤</w:t>
            </w:r>
            <w:r>
              <w:rPr>
                <w:rFonts w:hint="eastAsia" w:ascii="宋体" w:hAnsi="宋体" w:cs="宋体"/>
                <w:szCs w:val="21"/>
                <w:highlight w:val="none"/>
                <w:lang w:val="en-US" w:eastAsia="zh-CN"/>
              </w:rPr>
              <w:t>4</w:t>
            </w:r>
            <w:r>
              <w:rPr>
                <w:rFonts w:ascii="宋体" w:hAnsi="宋体" w:cs="宋体"/>
                <w:szCs w:val="21"/>
                <w:highlight w:val="none"/>
              </w:rPr>
              <w:t>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接收系统动态范围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最小可测功率（灵敏度）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≤-110dBm（带宽1 MHz）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镜频抑制度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≥60dB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lang w:bidi="ar-SA"/>
              </w:rPr>
              <w:t>接收通道数量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lang w:bidi="ar-SA"/>
              </w:rPr>
              <w:t>≥64</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模数A/D变换位数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≥14位</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模数转换（AD）通道数量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≥64</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宋体" w:hAnsi="宋体" w:eastAsia="宋体" w:cs="宋体"/>
                <w:color w:val="auto"/>
                <w:kern w:val="2"/>
                <w:sz w:val="22"/>
                <w:szCs w:val="22"/>
                <w:lang w:val="en-US" w:eastAsia="zh-CN" w:bidi="ar-SA"/>
              </w:rPr>
            </w:pPr>
            <w:r>
              <w:rPr>
                <w:rFonts w:ascii="宋体" w:hAnsi="宋体" w:cs="宋体"/>
                <w:sz w:val="22"/>
                <w:szCs w:val="22"/>
                <w:lang w:bidi="ar-SA"/>
              </w:rPr>
              <w:t>99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最大脉冲压缩比</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≥100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故障检测和保护</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发生本振故障，时钟故障，噪声系数超限，双通道幅相一致性超限等情况时可报警。</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波束控制与合成单元技术性能指标表</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波束控制和合成形式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数字域</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波束控制精度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电扫方向上双线偏振波束角度误差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电扫方向上双线偏振3dB波束宽度误差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同时接收波束数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≥16个波束（数字波束）</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电扫方向发射第一副瓣电平</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数字域：≤-22 dB（窄发窄收）</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电扫方向接收第一副瓣电平</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数字域：≤-40dB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rPr>
              <w:t>扫描模式要求</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rPr>
            </w:pPr>
            <w:r>
              <w:rPr>
                <w:rFonts w:ascii="宋体" w:hAnsi="宋体" w:cs="宋体"/>
              </w:rPr>
              <w:t>需能满足以下两种扫描模式：宽发窄收模式、混合波束扫描模式（即在一个体扫中，RHI方向上既有窄发窄收也有宽发窄收的混合波束扫描能力）</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信号处理单元技术性能指标</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bookmarkStart w:id="2" w:name="RANGE!D111"/>
            <w:r>
              <w:rPr>
                <w:rFonts w:ascii="宋体" w:hAnsi="宋体" w:cs="宋体"/>
                <w:szCs w:val="21"/>
              </w:rPr>
              <w:t>脉冲压缩主副瓣比</w:t>
            </w:r>
            <w:bookmarkEnd w:id="2"/>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≥40dB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距离库长度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≤30m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w:t>
            </w:r>
            <w:r>
              <w:rPr>
                <w:rFonts w:ascii="宋体" w:hAnsi="宋体" w:cs="宋体"/>
                <w:sz w:val="22"/>
                <w:szCs w:val="22"/>
                <w:lang w:val="en-US" w:eastAsia="zh-CN" w:bidi="ar-SA"/>
              </w:rPr>
              <w:t>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bookmarkStart w:id="3" w:name="RANGE!D113"/>
            <w:r>
              <w:rPr>
                <w:rFonts w:ascii="宋体" w:hAnsi="宋体" w:cs="宋体"/>
                <w:szCs w:val="21"/>
              </w:rPr>
              <w:t>距离库数</w:t>
            </w:r>
            <w:bookmarkEnd w:id="3"/>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≥5000个</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脉冲累计平均次数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16、32、64、128、256可选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强度处理方式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DVIP（数字视频积分）</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速度处理方式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FFT/PPP处理</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相关系数处理方式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一阶相关或多阶相关</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116</w:t>
            </w: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bookmarkStart w:id="4" w:name="RANGE!D118"/>
            <w:r>
              <w:rPr>
                <w:rFonts w:ascii="宋体" w:hAnsi="宋体" w:cs="宋体"/>
                <w:szCs w:val="21"/>
              </w:rPr>
              <w:t>处理对数</w:t>
            </w:r>
            <w:bookmarkEnd w:id="4"/>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32、64、128、256可选</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117</w:t>
            </w: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距离退模糊方法</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相位编码或其他等效方法</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118</w:t>
            </w: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速度退模糊方法</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双PRF或其他等效方法</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119</w:t>
            </w: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故障检测和保护</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数据丢包，参数输出等故障</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120</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雷达配套软件技术指标</w:t>
            </w: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r>
              <w:rPr>
                <w:rFonts w:ascii="宋体" w:hAnsi="宋体" w:cs="宋体"/>
                <w:szCs w:val="21"/>
              </w:rPr>
              <w:t>监控状态终端软件</w:t>
            </w:r>
          </w:p>
        </w:tc>
        <w:tc>
          <w:tcPr>
            <w:tcW w:w="6366"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rPr>
                <w:rFonts w:eastAsia="宋体"/>
                <w:sz w:val="32"/>
                <w:szCs w:val="32"/>
              </w:rPr>
            </w:pPr>
            <w:r>
              <w:t>包含但不限于以下内容：</w:t>
            </w:r>
          </w:p>
          <w:p>
            <w:pPr>
              <w:widowControl w:val="0"/>
              <w:spacing w:before="0" w:after="0"/>
              <w:rPr>
                <w:rFonts w:eastAsia="宋体"/>
                <w:sz w:val="32"/>
                <w:szCs w:val="32"/>
              </w:rPr>
            </w:pPr>
            <w:r>
              <w:t>远程</w:t>
            </w:r>
            <w:r>
              <w:rPr>
                <w:lang w:eastAsia="zh-Hans"/>
              </w:rPr>
              <w:t>控制</w:t>
            </w:r>
            <w:r>
              <w:t>：远程一键式开关机、自动故障检测及</w:t>
            </w:r>
            <w:r>
              <w:rPr>
                <w:lang w:eastAsia="zh-Hans"/>
              </w:rPr>
              <w:t>报警</w:t>
            </w:r>
            <w:r>
              <w:t>、</w:t>
            </w:r>
            <w:r>
              <w:rPr>
                <w:lang w:eastAsia="zh-Hans"/>
              </w:rPr>
              <w:t>多种探测</w:t>
            </w:r>
            <w:r>
              <w:t>模式切换、</w:t>
            </w:r>
            <w:r>
              <w:rPr>
                <w:lang w:eastAsia="zh-Hans"/>
              </w:rPr>
              <w:t>雷达运行</w:t>
            </w:r>
            <w:r>
              <w:t>参数调整、</w:t>
            </w:r>
            <w:r>
              <w:rPr>
                <w:lang w:eastAsia="zh-Hans"/>
              </w:rPr>
              <w:t>数据质控参数的设置和调整</w:t>
            </w:r>
            <w:r>
              <w:t>。</w:t>
            </w:r>
          </w:p>
          <w:p>
            <w:pPr>
              <w:widowControl w:val="0"/>
              <w:spacing w:before="0" w:after="0"/>
              <w:rPr>
                <w:rFonts w:eastAsia="宋体"/>
                <w:sz w:val="32"/>
                <w:szCs w:val="32"/>
              </w:rPr>
            </w:pPr>
            <w:r>
              <w:t>远程监视：监视雷达工作方式、工作状态、主要故障、雷达运行状态日志记录和分析、雷达运行状态异常报警。</w:t>
            </w:r>
          </w:p>
          <w:p>
            <w:pPr>
              <w:widowControl w:val="0"/>
              <w:spacing w:before="0" w:after="0"/>
              <w:rPr>
                <w:rFonts w:eastAsia="宋体"/>
                <w:sz w:val="32"/>
                <w:szCs w:val="32"/>
              </w:rPr>
            </w:pPr>
            <w:r>
              <w:t>协同控制：在多雷达进行协同探测时，根据各雷达所在地理位置，自动计算多雷达扫描组、扫描顺序、扫描方向等参数；在多雷达进行协同探测时，一键式进行协同扫描的开、关机；多雷达协同探测方位角误差统计和校准。</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121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r>
              <w:rPr>
                <w:rFonts w:ascii="宋体" w:hAnsi="宋体" w:cs="宋体"/>
                <w:szCs w:val="21"/>
              </w:rPr>
              <w:t>雷达基础产品软件显示要求</w:t>
            </w:r>
          </w:p>
        </w:tc>
        <w:tc>
          <w:tcPr>
            <w:tcW w:w="6366"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eastAsia="宋体"/>
                <w:sz w:val="32"/>
                <w:szCs w:val="32"/>
              </w:rPr>
            </w:pPr>
            <w:r>
              <w:t>气象产品包含但不限于以下内容：</w:t>
            </w:r>
          </w:p>
          <w:p>
            <w:pPr>
              <w:widowControl w:val="0"/>
              <w:spacing w:before="0" w:after="0"/>
              <w:jc w:val="left"/>
              <w:rPr>
                <w:rFonts w:eastAsia="宋体"/>
                <w:sz w:val="32"/>
                <w:szCs w:val="32"/>
              </w:rPr>
            </w:pPr>
            <w:r>
              <w:t>1）基本数据产品：PPI 显示、RHI 显示、CAPPI 显示、垂直剖面、</w:t>
            </w:r>
          </w:p>
          <w:p>
            <w:pPr>
              <w:widowControl w:val="0"/>
              <w:spacing w:before="0" w:after="0"/>
              <w:jc w:val="left"/>
              <w:rPr>
                <w:rFonts w:eastAsia="宋体"/>
                <w:sz w:val="32"/>
                <w:szCs w:val="32"/>
              </w:rPr>
            </w:pPr>
            <w:r>
              <w:t>组合反射率（CR）、最大值显示（MAX）；</w:t>
            </w:r>
          </w:p>
          <w:p>
            <w:pPr>
              <w:widowControl w:val="0"/>
              <w:spacing w:before="0" w:after="0"/>
              <w:jc w:val="left"/>
              <w:rPr>
                <w:rFonts w:eastAsia="宋体"/>
                <w:sz w:val="32"/>
                <w:szCs w:val="32"/>
              </w:rPr>
            </w:pPr>
            <w:r>
              <w:t>2）物理量产品：回波顶高（ET）、回波底高（EB）、1 小时累积降</w:t>
            </w:r>
          </w:p>
          <w:p>
            <w:pPr>
              <w:widowControl w:val="0"/>
              <w:spacing w:before="0" w:after="0"/>
              <w:jc w:val="left"/>
              <w:rPr>
                <w:rFonts w:eastAsia="宋体"/>
                <w:sz w:val="32"/>
                <w:szCs w:val="32"/>
              </w:rPr>
            </w:pPr>
            <w:r>
              <w:t>水量（OHP）、3 小时累积降水量（THP）、N 小时累积降水量（NHP）、</w:t>
            </w:r>
          </w:p>
          <w:p>
            <w:pPr>
              <w:widowControl w:val="0"/>
              <w:spacing w:before="0" w:after="0"/>
              <w:jc w:val="left"/>
              <w:rPr>
                <w:rFonts w:eastAsia="宋体"/>
                <w:sz w:val="32"/>
                <w:szCs w:val="32"/>
              </w:rPr>
            </w:pPr>
            <w:r>
              <w:t>风暴总积累降水量（STP）、垂直积分液态水（VIL）、最强回波高度、</w:t>
            </w:r>
          </w:p>
          <w:p>
            <w:pPr>
              <w:widowControl w:val="0"/>
              <w:spacing w:before="0" w:after="0"/>
              <w:jc w:val="left"/>
              <w:rPr>
                <w:rFonts w:eastAsia="宋体"/>
                <w:sz w:val="32"/>
                <w:szCs w:val="32"/>
              </w:rPr>
            </w:pPr>
            <w:r>
              <w:t>质心高度； 3）风场产品：速度方位显示（VAD）、速度方位显示风廓线（VWP）、</w:t>
            </w:r>
          </w:p>
          <w:p>
            <w:pPr>
              <w:widowControl w:val="0"/>
              <w:spacing w:before="0" w:after="0"/>
              <w:jc w:val="left"/>
              <w:rPr>
                <w:rFonts w:eastAsia="宋体"/>
                <w:sz w:val="32"/>
                <w:szCs w:val="32"/>
              </w:rPr>
            </w:pPr>
            <w:r>
              <w:t>风场反演；</w:t>
            </w:r>
          </w:p>
          <w:p>
            <w:pPr>
              <w:widowControl w:val="0"/>
              <w:spacing w:before="0" w:after="0"/>
              <w:jc w:val="left"/>
              <w:rPr>
                <w:rFonts w:eastAsia="宋体"/>
                <w:sz w:val="32"/>
                <w:szCs w:val="32"/>
              </w:rPr>
            </w:pPr>
            <w:r>
              <w:t>4）强天气识别产品：风暴结构分析（SS）、冰雹指数（HI）、风暴追踪信息（STI）、中尺度气旋（M）、龙卷涡旋特征（TVS）； 5)偏振数据产品：粒子相态识别、融化层识别、双线偏振定量降</w:t>
            </w:r>
          </w:p>
          <w:p>
            <w:pPr>
              <w:pStyle w:val="25"/>
              <w:widowControl w:val="0"/>
              <w:spacing w:before="0" w:after="120"/>
              <w:jc w:val="left"/>
              <w:rPr>
                <w:rFonts w:eastAsia="宋体"/>
                <w:sz w:val="32"/>
                <w:szCs w:val="32"/>
              </w:rPr>
            </w:pPr>
            <w:r>
              <w:t>水估测。</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122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r>
              <w:rPr>
                <w:rFonts w:ascii="宋体" w:hAnsi="宋体" w:cs="宋体"/>
                <w:szCs w:val="21"/>
              </w:rPr>
              <w:t>雷达基础产品软件处理要求</w:t>
            </w:r>
          </w:p>
        </w:tc>
        <w:tc>
          <w:tcPr>
            <w:tcW w:w="6366"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r>
              <w:rPr>
                <w:rFonts w:ascii="宋体" w:hAnsi="宋体" w:cs="宋体"/>
                <w:szCs w:val="21"/>
              </w:rPr>
              <w:t>多要素显示：</w:t>
            </w:r>
          </w:p>
          <w:p>
            <w:pPr>
              <w:widowControl w:val="0"/>
              <w:spacing w:before="0" w:after="0"/>
              <w:jc w:val="left"/>
              <w:rPr>
                <w:rFonts w:ascii="宋体" w:hAnsi="宋体" w:cs="宋体"/>
                <w:szCs w:val="21"/>
              </w:rPr>
            </w:pPr>
            <w:r>
              <w:rPr>
                <w:rFonts w:ascii="宋体" w:hAnsi="宋体" w:cs="宋体"/>
                <w:szCs w:val="21"/>
              </w:rPr>
              <w:t>多层 CAPPI 显示；</w:t>
            </w:r>
          </w:p>
          <w:p>
            <w:pPr>
              <w:widowControl w:val="0"/>
              <w:spacing w:before="0" w:after="0"/>
              <w:jc w:val="left"/>
              <w:rPr>
                <w:rFonts w:ascii="宋体" w:hAnsi="宋体" w:cs="宋体"/>
                <w:szCs w:val="21"/>
              </w:rPr>
            </w:pPr>
            <w:r>
              <w:rPr>
                <w:rFonts w:ascii="宋体" w:hAnsi="宋体" w:cs="宋体"/>
                <w:szCs w:val="21"/>
              </w:rPr>
              <w:t>多仰角多画面显示；</w:t>
            </w:r>
          </w:p>
          <w:p>
            <w:pPr>
              <w:widowControl w:val="0"/>
              <w:spacing w:before="0" w:after="0"/>
              <w:jc w:val="left"/>
              <w:rPr>
                <w:rFonts w:ascii="宋体" w:hAnsi="宋体" w:cs="宋体"/>
                <w:szCs w:val="21"/>
              </w:rPr>
            </w:pPr>
            <w:r>
              <w:rPr>
                <w:rFonts w:ascii="宋体" w:hAnsi="宋体" w:cs="宋体"/>
                <w:szCs w:val="21"/>
              </w:rPr>
              <w:t>体扫多仰角 PPI 同时预览；</w:t>
            </w:r>
          </w:p>
          <w:p>
            <w:pPr>
              <w:widowControl w:val="0"/>
              <w:spacing w:before="0" w:after="0"/>
              <w:jc w:val="left"/>
              <w:rPr>
                <w:rFonts w:ascii="宋体" w:hAnsi="宋体" w:cs="宋体"/>
                <w:szCs w:val="21"/>
              </w:rPr>
            </w:pPr>
            <w:r>
              <w:rPr>
                <w:rFonts w:ascii="宋体" w:hAnsi="宋体" w:cs="宋体"/>
                <w:szCs w:val="21"/>
              </w:rPr>
              <w:t>体扫所有方位角 RHI 同时阅览；</w:t>
            </w:r>
          </w:p>
          <w:p>
            <w:pPr>
              <w:widowControl w:val="0"/>
              <w:spacing w:before="0" w:after="0"/>
              <w:jc w:val="left"/>
              <w:rPr>
                <w:rFonts w:ascii="宋体" w:hAnsi="宋体" w:cs="宋体"/>
                <w:szCs w:val="21"/>
              </w:rPr>
            </w:pPr>
            <w:r>
              <w:rPr>
                <w:rFonts w:ascii="宋体" w:hAnsi="宋体" w:cs="宋体"/>
                <w:szCs w:val="21"/>
              </w:rPr>
              <w:t>体扫无间隔 RHI 扫描显示预览；</w:t>
            </w:r>
          </w:p>
          <w:p>
            <w:pPr>
              <w:widowControl w:val="0"/>
              <w:spacing w:before="0" w:after="0"/>
              <w:jc w:val="left"/>
              <w:rPr>
                <w:rFonts w:ascii="宋体" w:hAnsi="宋体" w:cs="宋体"/>
                <w:szCs w:val="21"/>
              </w:rPr>
            </w:pPr>
            <w:r>
              <w:rPr>
                <w:rFonts w:ascii="宋体" w:hAnsi="宋体" w:cs="宋体"/>
                <w:szCs w:val="21"/>
              </w:rPr>
              <w:t>动画回放；</w:t>
            </w:r>
          </w:p>
          <w:p>
            <w:pPr>
              <w:widowControl w:val="0"/>
              <w:spacing w:before="0" w:after="0"/>
              <w:jc w:val="left"/>
              <w:rPr>
                <w:rFonts w:ascii="宋体" w:hAnsi="宋体" w:cs="宋体"/>
                <w:szCs w:val="21"/>
              </w:rPr>
            </w:pPr>
            <w:r>
              <w:rPr>
                <w:rFonts w:ascii="宋体" w:hAnsi="宋体" w:cs="宋体"/>
                <w:szCs w:val="21"/>
              </w:rPr>
              <w:t>图形放大、平滑、透明；</w:t>
            </w:r>
          </w:p>
          <w:p>
            <w:pPr>
              <w:widowControl w:val="0"/>
              <w:spacing w:before="0" w:after="0"/>
              <w:jc w:val="left"/>
              <w:rPr>
                <w:rFonts w:ascii="宋体" w:hAnsi="宋体" w:cs="宋体"/>
                <w:szCs w:val="21"/>
              </w:rPr>
            </w:pPr>
            <w:r>
              <w:rPr>
                <w:rFonts w:ascii="宋体" w:hAnsi="宋体" w:cs="宋体"/>
                <w:szCs w:val="21"/>
              </w:rPr>
              <w:t>图形存储和背景图加载；</w:t>
            </w:r>
          </w:p>
          <w:p>
            <w:pPr>
              <w:widowControl w:val="0"/>
              <w:spacing w:before="0" w:after="0"/>
              <w:jc w:val="left"/>
              <w:rPr>
                <w:rFonts w:ascii="宋体" w:hAnsi="宋体" w:cs="宋体"/>
                <w:szCs w:val="21"/>
              </w:rPr>
            </w:pPr>
            <w:r>
              <w:rPr>
                <w:rFonts w:ascii="宋体" w:hAnsi="宋体" w:cs="宋体"/>
                <w:szCs w:val="21"/>
              </w:rPr>
              <w:t>直方图显示；</w:t>
            </w:r>
          </w:p>
          <w:p>
            <w:pPr>
              <w:widowControl w:val="0"/>
              <w:spacing w:before="0" w:after="0"/>
              <w:jc w:val="left"/>
              <w:rPr>
                <w:rFonts w:ascii="宋体" w:hAnsi="宋体" w:cs="宋体"/>
                <w:szCs w:val="21"/>
              </w:rPr>
            </w:pPr>
            <w:r>
              <w:rPr>
                <w:rFonts w:ascii="宋体" w:hAnsi="宋体" w:cs="宋体"/>
                <w:szCs w:val="21"/>
              </w:rPr>
              <w:t>等值线显示；</w:t>
            </w:r>
          </w:p>
          <w:p>
            <w:pPr>
              <w:widowControl w:val="0"/>
              <w:spacing w:before="0" w:after="0"/>
              <w:jc w:val="left"/>
              <w:rPr>
                <w:rFonts w:ascii="宋体" w:hAnsi="宋体" w:cs="宋体"/>
                <w:szCs w:val="21"/>
              </w:rPr>
            </w:pPr>
            <w:r>
              <w:rPr>
                <w:rFonts w:ascii="宋体" w:hAnsi="宋体" w:cs="宋体"/>
                <w:szCs w:val="21"/>
              </w:rPr>
              <w:t>游标引导：通过游标录取并显示游标所在点的方位、高度、距离、回波强度等数据；</w:t>
            </w:r>
          </w:p>
          <w:p>
            <w:pPr>
              <w:widowControl w:val="0"/>
              <w:spacing w:before="0" w:after="0"/>
              <w:jc w:val="left"/>
              <w:rPr>
                <w:rFonts w:ascii="宋体" w:hAnsi="宋体" w:cs="宋体"/>
                <w:szCs w:val="21"/>
              </w:rPr>
            </w:pPr>
            <w:r>
              <w:rPr>
                <w:rFonts w:ascii="宋体" w:hAnsi="宋体" w:cs="宋体"/>
                <w:szCs w:val="21"/>
              </w:rPr>
              <w:t>PPI 滑动 RHI 选择：通过在 PPI 上波动选择指针方位角度，双击选中角度，可获取对应位置 RHI；</w:t>
            </w:r>
          </w:p>
          <w:p>
            <w:pPr>
              <w:widowControl w:val="0"/>
              <w:spacing w:before="0" w:after="0"/>
              <w:jc w:val="left"/>
              <w:rPr>
                <w:rFonts w:ascii="宋体" w:hAnsi="宋体" w:cs="宋体"/>
                <w:szCs w:val="21"/>
              </w:rPr>
            </w:pPr>
            <w:r>
              <w:rPr>
                <w:rFonts w:ascii="宋体" w:hAnsi="宋体" w:cs="宋体"/>
                <w:szCs w:val="21"/>
              </w:rPr>
              <w:t>图像选择编辑工具：图片图像在线编辑、文字编辑，图像图形圈选功能。</w:t>
            </w:r>
          </w:p>
          <w:p>
            <w:pPr>
              <w:widowControl w:val="0"/>
              <w:spacing w:before="0" w:after="0"/>
              <w:jc w:val="left"/>
              <w:rPr>
                <w:rFonts w:ascii="宋体" w:hAnsi="宋体" w:cs="宋体"/>
                <w:szCs w:val="21"/>
              </w:rPr>
            </w:pPr>
            <w:r>
              <w:rPr>
                <w:rFonts w:ascii="宋体" w:hAnsi="宋体" w:cs="宋体"/>
                <w:szCs w:val="21"/>
              </w:rPr>
              <w:t>光标联动。</w:t>
            </w:r>
          </w:p>
        </w:tc>
      </w:tr>
    </w:tbl>
    <w:p>
      <w:pPr>
        <w:spacing w:line="400" w:lineRule="exact"/>
        <w:rPr>
          <w:rFonts w:ascii="宋体" w:hAnsi="宋体" w:cs="宋体"/>
          <w:b/>
          <w:bCs/>
          <w:kern w:val="1"/>
        </w:rPr>
      </w:pPr>
    </w:p>
    <w:p>
      <w:pPr>
        <w:spacing w:line="400" w:lineRule="exact"/>
        <w:rPr>
          <w:rFonts w:ascii="宋体" w:hAnsi="宋体" w:cs="宋体"/>
          <w:b/>
          <w:bCs/>
          <w:kern w:val="1"/>
        </w:rPr>
      </w:pPr>
      <w:r>
        <w:rPr>
          <w:rFonts w:hint="eastAsia" w:ascii="宋体" w:hAnsi="宋体"/>
          <w:b/>
          <w:bCs/>
          <w:sz w:val="24"/>
        </w:rPr>
        <w:t>1</w:t>
      </w:r>
      <w:r>
        <w:rPr>
          <w:rFonts w:ascii="宋体" w:hAnsi="宋体"/>
          <w:b/>
          <w:bCs/>
          <w:sz w:val="24"/>
        </w:rPr>
        <w:t>.2</w:t>
      </w:r>
      <w:r>
        <w:rPr>
          <w:rFonts w:hint="eastAsia" w:ascii="宋体" w:hAnsi="宋体"/>
          <w:b/>
          <w:bCs/>
          <w:sz w:val="24"/>
        </w:rPr>
        <w:t>雷达专用配套设备</w:t>
      </w:r>
    </w:p>
    <w:tbl>
      <w:tblPr>
        <w:tblStyle w:val="29"/>
        <w:tblW w:w="8731" w:type="dxa"/>
        <w:jc w:val="center"/>
        <w:tblLayout w:type="fixed"/>
        <w:tblCellMar>
          <w:top w:w="0" w:type="dxa"/>
          <w:left w:w="108" w:type="dxa"/>
          <w:bottom w:w="0" w:type="dxa"/>
          <w:right w:w="108" w:type="dxa"/>
        </w:tblCellMar>
      </w:tblPr>
      <w:tblGrid>
        <w:gridCol w:w="562"/>
        <w:gridCol w:w="1134"/>
        <w:gridCol w:w="6080"/>
        <w:gridCol w:w="955"/>
      </w:tblGrid>
      <w:tr>
        <w:tblPrEx>
          <w:tblCellMar>
            <w:top w:w="0" w:type="dxa"/>
            <w:left w:w="108" w:type="dxa"/>
            <w:bottom w:w="0" w:type="dxa"/>
            <w:right w:w="108" w:type="dxa"/>
          </w:tblCellMar>
        </w:tblPrEx>
        <w:trPr>
          <w:trHeight w:val="634"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序号</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设备名称</w:t>
            </w:r>
          </w:p>
        </w:tc>
        <w:tc>
          <w:tcPr>
            <w:tcW w:w="6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简要规格</w:t>
            </w:r>
          </w:p>
        </w:tc>
        <w:tc>
          <w:tcPr>
            <w:tcW w:w="95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szCs w:val="21"/>
                <w:lang w:bidi="ar"/>
              </w:rPr>
            </w:pPr>
            <w:r>
              <w:rPr>
                <w:rFonts w:hint="eastAsia" w:ascii="宋体" w:hAnsi="宋体" w:cs="宋体"/>
                <w:szCs w:val="21"/>
                <w:lang w:bidi="ar"/>
              </w:rPr>
              <w:t>数量</w:t>
            </w:r>
          </w:p>
        </w:tc>
      </w:tr>
      <w:tr>
        <w:tblPrEx>
          <w:tblCellMar>
            <w:top w:w="0" w:type="dxa"/>
            <w:left w:w="108" w:type="dxa"/>
            <w:bottom w:w="0" w:type="dxa"/>
            <w:right w:w="108" w:type="dxa"/>
          </w:tblCellMar>
        </w:tblPrEx>
        <w:trPr>
          <w:trHeight w:val="624"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天线罩</w:t>
            </w:r>
          </w:p>
        </w:tc>
        <w:tc>
          <w:tcPr>
            <w:tcW w:w="608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cs="宋体"/>
                <w:szCs w:val="21"/>
                <w:highlight w:val="none"/>
                <w:lang w:bidi="ar"/>
              </w:rPr>
            </w:pPr>
            <w:r>
              <w:rPr>
                <w:rFonts w:hint="eastAsia" w:ascii="宋体" w:hAnsi="宋体" w:eastAsia="宋体" w:cs="宋体"/>
                <w:szCs w:val="21"/>
                <w:highlight w:val="none"/>
              </w:rPr>
              <w:t>天线罩直径</w:t>
            </w:r>
            <w:r>
              <w:rPr>
                <w:rFonts w:hint="eastAsia" w:ascii="宋体" w:hAnsi="宋体" w:eastAsia="宋体" w:cs="宋体"/>
                <w:szCs w:val="21"/>
                <w:highlight w:val="none"/>
                <w:lang w:eastAsia="zh-CN"/>
              </w:rPr>
              <w:t>小于</w:t>
            </w: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0米</w:t>
            </w:r>
            <w:r>
              <w:rPr>
                <w:rFonts w:hint="eastAsia" w:ascii="宋体" w:hAnsi="宋体" w:eastAsia="宋体" w:cs="宋体"/>
                <w:szCs w:val="21"/>
                <w:highlight w:val="none"/>
                <w:lang w:eastAsia="zh-CN"/>
              </w:rPr>
              <w:t>且能满足设备安装需求</w:t>
            </w:r>
            <w:r>
              <w:rPr>
                <w:rFonts w:hint="eastAsia" w:ascii="宋体" w:hAnsi="宋体" w:eastAsia="宋体" w:cs="宋体"/>
                <w:szCs w:val="21"/>
                <w:highlight w:val="none"/>
              </w:rPr>
              <w:t>；</w:t>
            </w:r>
          </w:p>
          <w:p>
            <w:pPr>
              <w:widowControl/>
              <w:jc w:val="left"/>
              <w:textAlignment w:val="center"/>
              <w:rPr>
                <w:rFonts w:hint="eastAsia" w:ascii="宋体" w:hAnsi="宋体" w:cs="宋体"/>
                <w:szCs w:val="21"/>
                <w:highlight w:val="none"/>
                <w:lang w:bidi="ar"/>
              </w:rPr>
            </w:pPr>
            <w:r>
              <w:rPr>
                <w:rFonts w:hint="eastAsia" w:ascii="宋体" w:hAnsi="宋体" w:cs="宋体"/>
                <w:szCs w:val="21"/>
                <w:highlight w:val="none"/>
                <w:lang w:bidi="ar"/>
              </w:rPr>
              <w:t>玻璃钢材质；</w:t>
            </w:r>
          </w:p>
          <w:p>
            <w:pPr>
              <w:widowControl/>
              <w:jc w:val="left"/>
              <w:textAlignment w:val="center"/>
              <w:rPr>
                <w:rFonts w:hint="eastAsia" w:ascii="宋体" w:hAnsi="宋体" w:cs="宋体"/>
                <w:szCs w:val="21"/>
                <w:highlight w:val="none"/>
                <w:lang w:bidi="ar"/>
              </w:rPr>
            </w:pPr>
            <w:r>
              <w:rPr>
                <w:rFonts w:hint="eastAsia" w:ascii="宋体" w:hAnsi="宋体" w:cs="宋体"/>
                <w:szCs w:val="21"/>
                <w:highlight w:val="none"/>
                <w:lang w:bidi="ar"/>
              </w:rPr>
              <w:t>天线罩工作频段及损耗：X频段：9.3GHz~ 9.5GHz≤0.5dB。</w:t>
            </w:r>
          </w:p>
          <w:p>
            <w:pPr>
              <w:widowControl/>
              <w:jc w:val="left"/>
              <w:textAlignment w:val="center"/>
              <w:rPr>
                <w:rFonts w:ascii="宋体" w:hAnsi="宋体" w:cs="宋体"/>
                <w:szCs w:val="21"/>
                <w:lang w:bidi="ar"/>
              </w:rPr>
            </w:pPr>
            <w:r>
              <w:rPr>
                <w:rFonts w:hint="eastAsia" w:ascii="宋体" w:hAnsi="宋体" w:cs="宋体"/>
                <w:szCs w:val="21"/>
                <w:highlight w:val="none"/>
                <w:lang w:bidi="ar"/>
              </w:rPr>
              <w:t>天线罩抗风等级≥1</w:t>
            </w:r>
            <w:r>
              <w:rPr>
                <w:rFonts w:hint="eastAsia" w:ascii="宋体" w:hAnsi="宋体" w:cs="宋体"/>
                <w:szCs w:val="21"/>
                <w:highlight w:val="none"/>
                <w:lang w:val="en-US" w:eastAsia="zh-CN" w:bidi="ar"/>
              </w:rPr>
              <w:t>7</w:t>
            </w:r>
            <w:r>
              <w:rPr>
                <w:rFonts w:hint="eastAsia" w:ascii="宋体" w:hAnsi="宋体" w:cs="宋体"/>
                <w:szCs w:val="21"/>
                <w:highlight w:val="none"/>
                <w:lang w:bidi="ar"/>
              </w:rPr>
              <w:t>级。</w:t>
            </w:r>
          </w:p>
        </w:tc>
        <w:tc>
          <w:tcPr>
            <w:tcW w:w="955"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441"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防火墙</w:t>
            </w:r>
          </w:p>
        </w:tc>
        <w:tc>
          <w:tcPr>
            <w:tcW w:w="608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szCs w:val="21"/>
                <w:lang w:bidi="ar"/>
              </w:rPr>
              <w:t>8GE+2GE(Bypass)+2Combo</w:t>
            </w:r>
          </w:p>
          <w:p>
            <w:pPr>
              <w:widowControl/>
              <w:jc w:val="left"/>
              <w:textAlignment w:val="center"/>
              <w:rPr>
                <w:rFonts w:ascii="宋体" w:hAnsi="宋体" w:cs="宋体"/>
                <w:szCs w:val="21"/>
                <w:lang w:bidi="ar"/>
              </w:rPr>
            </w:pPr>
            <w:r>
              <w:rPr>
                <w:rFonts w:hint="eastAsia" w:ascii="宋体" w:hAnsi="宋体" w:cs="宋体"/>
                <w:szCs w:val="21"/>
                <w:lang w:bidi="ar"/>
              </w:rPr>
              <w:t>运行模式：路由模式，透明模式，混杂模式</w:t>
            </w:r>
          </w:p>
          <w:p>
            <w:pPr>
              <w:widowControl/>
              <w:jc w:val="left"/>
              <w:textAlignment w:val="center"/>
              <w:rPr>
                <w:rFonts w:ascii="宋体" w:hAnsi="宋体" w:cs="宋体"/>
                <w:szCs w:val="21"/>
                <w:lang w:bidi="ar"/>
              </w:rPr>
            </w:pPr>
            <w:r>
              <w:rPr>
                <w:rFonts w:hint="eastAsia" w:ascii="宋体" w:hAnsi="宋体" w:cs="宋体"/>
                <w:szCs w:val="21"/>
                <w:lang w:bidi="ar"/>
              </w:rPr>
              <w:t>病毒防护：基于病毒特征进行检测；支持病毒库手动和自动升级；报文流处理模式；支持HTTP、FTP、SMTP、POP3协议；支持的病毒类型：Backdoor、Email-Worm、P2P-Worm、Trojan、AdWare、Virus等；支持病毒日志和报表；</w:t>
            </w:r>
          </w:p>
          <w:p>
            <w:pPr>
              <w:widowControl/>
              <w:jc w:val="left"/>
              <w:textAlignment w:val="center"/>
              <w:rPr>
                <w:rFonts w:ascii="宋体" w:hAnsi="宋体" w:cs="宋体"/>
                <w:szCs w:val="21"/>
                <w:lang w:bidi="ar"/>
              </w:rPr>
            </w:pPr>
            <w:r>
              <w:rPr>
                <w:rFonts w:hint="eastAsia" w:ascii="宋体" w:hAnsi="宋体" w:cs="宋体"/>
                <w:szCs w:val="21"/>
                <w:lang w:bidi="ar"/>
              </w:rPr>
              <w:t>含防火墙防病毒模块授权码、配标准机柜挂耳。</w:t>
            </w:r>
          </w:p>
        </w:tc>
        <w:tc>
          <w:tcPr>
            <w:tcW w:w="955"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966"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B0F0"/>
                <w:szCs w:val="21"/>
                <w:lang w:bidi="ar"/>
              </w:rPr>
            </w:pPr>
            <w:r>
              <w:rPr>
                <w:rFonts w:hint="eastAsia" w:ascii="宋体" w:hAnsi="宋体" w:cs="宋体"/>
                <w:sz w:val="24"/>
              </w:rPr>
              <w:t>△</w:t>
            </w:r>
            <w:r>
              <w:rPr>
                <w:rFonts w:hint="eastAsia" w:ascii="宋体" w:hAnsi="宋体" w:cs="宋体"/>
                <w:color w:val="000000"/>
                <w:szCs w:val="21"/>
                <w:lang w:bidi="ar"/>
              </w:rPr>
              <w:t>产品服务器（GPU）</w:t>
            </w:r>
          </w:p>
        </w:tc>
        <w:tc>
          <w:tcPr>
            <w:tcW w:w="608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B0F0"/>
                <w:szCs w:val="21"/>
                <w:lang w:bidi="ar"/>
              </w:rPr>
            </w:pPr>
            <w:r>
              <w:rPr>
                <w:rFonts w:hint="eastAsia" w:ascii="宋体" w:hAnsi="宋体" w:cs="宋体"/>
                <w:color w:val="000000"/>
                <w:szCs w:val="21"/>
                <w:lang w:bidi="ar"/>
              </w:rPr>
              <w:t>CPU:2颗Silver 4210R CPU @ 2.40GHz；/显卡：RTX5000 16G/384bit/CUDA核心3072/4*DP/电源接口6pin+8pin/最大功耗265W；/内存：128GB DDR4 RECC内存；/硬盘：2块10000转600G机械盘；/RAID卡：H330支持RAID0,1,5,10;；/网卡：双口万兆光口（含2个模块）；功率：1100W电源冗余电源；/含idrac授权码/配安装导轨。</w:t>
            </w:r>
          </w:p>
        </w:tc>
        <w:tc>
          <w:tcPr>
            <w:tcW w:w="955"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3</w:t>
            </w:r>
          </w:p>
        </w:tc>
      </w:tr>
      <w:tr>
        <w:tblPrEx>
          <w:tblCellMar>
            <w:top w:w="0" w:type="dxa"/>
            <w:left w:w="108" w:type="dxa"/>
            <w:bottom w:w="0" w:type="dxa"/>
            <w:right w:w="108" w:type="dxa"/>
          </w:tblCellMar>
        </w:tblPrEx>
        <w:trPr>
          <w:trHeight w:val="946"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color w:val="000000"/>
                <w:szCs w:val="21"/>
                <w:lang w:bidi="ar"/>
              </w:rPr>
              <w:t>显示PC</w:t>
            </w:r>
          </w:p>
        </w:tc>
        <w:tc>
          <w:tcPr>
            <w:tcW w:w="608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szCs w:val="21"/>
                <w:lang w:bidi="ar"/>
              </w:rPr>
              <w:t>处理器：i5一12500 6核6线程，18M高速缓存，4.60GHz；CPU：4核以上；内存：16GB；硬盘：固态SSD 2T；显卡：1660-6G；系统：正版win10</w:t>
            </w:r>
            <w:r>
              <w:rPr>
                <w:rFonts w:ascii="宋体" w:hAnsi="宋体" w:cs="宋体"/>
                <w:szCs w:val="21"/>
                <w:lang w:bidi="ar"/>
              </w:rPr>
              <w:t xml:space="preserve"> </w:t>
            </w:r>
            <w:r>
              <w:rPr>
                <w:rFonts w:hint="eastAsia" w:ascii="宋体" w:hAnsi="宋体" w:cs="宋体"/>
                <w:szCs w:val="21"/>
                <w:lang w:bidi="ar"/>
              </w:rPr>
              <w:t>pro。</w:t>
            </w:r>
          </w:p>
        </w:tc>
        <w:tc>
          <w:tcPr>
            <w:tcW w:w="955"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2</w:t>
            </w:r>
          </w:p>
        </w:tc>
      </w:tr>
      <w:tr>
        <w:tblPrEx>
          <w:tblCellMar>
            <w:top w:w="0" w:type="dxa"/>
            <w:left w:w="108" w:type="dxa"/>
            <w:bottom w:w="0" w:type="dxa"/>
            <w:right w:w="108" w:type="dxa"/>
          </w:tblCellMar>
        </w:tblPrEx>
        <w:trPr>
          <w:trHeight w:val="705"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显示器（32寸）</w:t>
            </w:r>
          </w:p>
        </w:tc>
        <w:tc>
          <w:tcPr>
            <w:tcW w:w="608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szCs w:val="21"/>
                <w:lang w:bidi="ar"/>
              </w:rPr>
              <w:t>32英寸/IPS屏/16：9/3840×2160/微边框全面屏旋转升降广角电脑。</w:t>
            </w:r>
          </w:p>
        </w:tc>
        <w:tc>
          <w:tcPr>
            <w:tcW w:w="955"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2</w:t>
            </w:r>
          </w:p>
        </w:tc>
      </w:tr>
    </w:tbl>
    <w:p>
      <w:pPr>
        <w:spacing w:line="400" w:lineRule="exact"/>
        <w:rPr>
          <w:rFonts w:ascii="宋体" w:hAnsi="宋体" w:cs="宋体"/>
          <w:b/>
          <w:bCs/>
          <w:kern w:val="1"/>
        </w:rPr>
      </w:pPr>
      <w:r>
        <w:rPr>
          <w:rFonts w:hint="eastAsia" w:ascii="宋体" w:hAnsi="宋体" w:cs="宋体"/>
          <w:b/>
          <w:bCs/>
          <w:kern w:val="1"/>
          <w:sz w:val="24"/>
        </w:rPr>
        <w:t>1</w:t>
      </w:r>
      <w:r>
        <w:rPr>
          <w:rFonts w:ascii="宋体" w:hAnsi="宋体" w:cs="宋体"/>
          <w:b/>
          <w:bCs/>
          <w:kern w:val="1"/>
          <w:sz w:val="24"/>
        </w:rPr>
        <w:t>.3</w:t>
      </w:r>
      <w:r>
        <w:rPr>
          <w:rFonts w:hint="eastAsia" w:ascii="宋体" w:hAnsi="宋体"/>
          <w:b/>
          <w:bCs/>
          <w:sz w:val="24"/>
        </w:rPr>
        <w:t>铁塔设备</w:t>
      </w:r>
    </w:p>
    <w:p>
      <w:pPr>
        <w:ind w:firstLine="420" w:firstLineChars="200"/>
      </w:pPr>
      <w:r>
        <w:rPr>
          <w:rFonts w:hint="eastAsia"/>
        </w:rPr>
        <w:t>本项目主要采用新建铁塔。根据X波段双偏振相控阵天气雷达的规格，结合《天气雷达钢塔技术要求》（QX/T588-2020）的相关标准规范，本项目雷达塔设计满足以下技术要求：</w:t>
      </w:r>
    </w:p>
    <w:p>
      <w:pPr>
        <w:ind w:firstLine="420" w:firstLineChars="200"/>
      </w:pPr>
      <w:r>
        <w:rPr>
          <w:rFonts w:hint="eastAsia"/>
        </w:rPr>
        <w:t>铁塔高度：10米；</w:t>
      </w:r>
    </w:p>
    <w:p>
      <w:pPr>
        <w:ind w:firstLine="420" w:firstLineChars="200"/>
      </w:pPr>
      <w:r>
        <w:rPr>
          <w:rFonts w:hint="eastAsia"/>
        </w:rPr>
        <w:t>天气雷达钢塔设计使用年限：50年；</w:t>
      </w:r>
    </w:p>
    <w:p>
      <w:pPr>
        <w:ind w:firstLine="420" w:firstLineChars="200"/>
      </w:pPr>
      <w:r>
        <w:rPr>
          <w:rFonts w:hint="eastAsia"/>
        </w:rPr>
        <w:t>建设承重：大于1.8吨；</w:t>
      </w:r>
    </w:p>
    <w:p>
      <w:pPr>
        <w:ind w:firstLine="420" w:firstLineChars="200"/>
      </w:pPr>
      <w:r>
        <w:rPr>
          <w:rFonts w:hint="eastAsia"/>
        </w:rPr>
        <w:t>承受天线罩上的冰雪荷载：235Kg/m2；</w:t>
      </w:r>
    </w:p>
    <w:p>
      <w:pPr>
        <w:ind w:firstLine="420" w:firstLineChars="200"/>
      </w:pPr>
      <w:r>
        <w:rPr>
          <w:rFonts w:hint="eastAsia"/>
        </w:rPr>
        <w:t>建筑物—铁塔（装上设备后）的自振频率：&gt;1Hz；</w:t>
      </w:r>
    </w:p>
    <w:p>
      <w:pPr>
        <w:ind w:firstLine="420" w:firstLineChars="200"/>
      </w:pPr>
      <w:r>
        <w:rPr>
          <w:rFonts w:hint="eastAsia"/>
        </w:rPr>
        <w:t>铁塔摇摆速度：&lt;1m/s；</w:t>
      </w:r>
    </w:p>
    <w:p>
      <w:pPr>
        <w:ind w:firstLine="420" w:firstLineChars="200"/>
      </w:pPr>
      <w:r>
        <w:rPr>
          <w:rFonts w:hint="eastAsia"/>
        </w:rPr>
        <w:t>塔顶水平位移与塔高比值小于1/300;</w:t>
      </w:r>
    </w:p>
    <w:p>
      <w:pPr>
        <w:ind w:firstLine="420" w:firstLineChars="200"/>
      </w:pPr>
      <w:r>
        <w:rPr>
          <w:rFonts w:hint="eastAsia"/>
        </w:rPr>
        <w:t>自振频率大于1Hz；</w:t>
      </w:r>
    </w:p>
    <w:p>
      <w:pPr>
        <w:ind w:firstLine="420" w:firstLineChars="200"/>
      </w:pPr>
      <w:r>
        <w:rPr>
          <w:rFonts w:hint="eastAsia"/>
        </w:rPr>
        <w:t>方位角偏差小于0.125°;</w:t>
      </w:r>
    </w:p>
    <w:p>
      <w:pPr>
        <w:ind w:firstLine="420" w:firstLineChars="200"/>
      </w:pPr>
      <w:r>
        <w:rPr>
          <w:rFonts w:hint="eastAsia"/>
        </w:rPr>
        <w:t>俯仰角偏差小于0.125°;</w:t>
      </w:r>
    </w:p>
    <w:p>
      <w:pPr>
        <w:ind w:firstLine="420" w:firstLineChars="200"/>
      </w:pPr>
      <w:r>
        <w:rPr>
          <w:rFonts w:hint="eastAsia"/>
        </w:rPr>
        <w:t>抗震设防烈度为</w:t>
      </w:r>
      <w:r>
        <w:t>7</w:t>
      </w:r>
      <w:r>
        <w:rPr>
          <w:rFonts w:hint="eastAsia"/>
        </w:rPr>
        <w:t>度；</w:t>
      </w:r>
    </w:p>
    <w:p>
      <w:pPr>
        <w:ind w:firstLine="420" w:firstLineChars="200"/>
        <w:rPr>
          <w:rFonts w:hint="eastAsia"/>
        </w:rPr>
      </w:pPr>
      <w:r>
        <w:rPr>
          <w:rFonts w:hint="eastAsia"/>
        </w:rPr>
        <w:t>抗风等级：1</w:t>
      </w:r>
      <w:r>
        <w:t>6</w:t>
      </w:r>
      <w:r>
        <w:rPr>
          <w:rFonts w:hint="eastAsia"/>
        </w:rPr>
        <w:t>级。</w:t>
      </w:r>
    </w:p>
    <w:p>
      <w:pPr>
        <w:spacing w:line="400" w:lineRule="exact"/>
        <w:rPr>
          <w:rFonts w:ascii="宋体" w:hAnsi="宋体" w:cs="宋体"/>
          <w:b/>
          <w:bCs/>
          <w:kern w:val="1"/>
        </w:rPr>
      </w:pPr>
      <w:r>
        <w:rPr>
          <w:rFonts w:hint="eastAsia" w:ascii="宋体" w:hAnsi="宋体"/>
          <w:b/>
          <w:bCs/>
          <w:sz w:val="24"/>
        </w:rPr>
        <w:t>1</w:t>
      </w:r>
      <w:r>
        <w:rPr>
          <w:rFonts w:ascii="宋体" w:hAnsi="宋体"/>
          <w:b/>
          <w:bCs/>
          <w:sz w:val="24"/>
        </w:rPr>
        <w:t>.4</w:t>
      </w:r>
      <w:r>
        <w:rPr>
          <w:rFonts w:hint="eastAsia" w:ascii="宋体" w:hAnsi="宋体"/>
          <w:b/>
          <w:bCs/>
          <w:sz w:val="24"/>
        </w:rPr>
        <w:t>机房配套设备</w:t>
      </w:r>
    </w:p>
    <w:tbl>
      <w:tblPr>
        <w:tblStyle w:val="29"/>
        <w:tblpPr w:leftFromText="180" w:rightFromText="180" w:vertAnchor="text" w:horzAnchor="page" w:tblpX="2149" w:tblpY="401"/>
        <w:tblOverlap w:val="never"/>
        <w:tblW w:w="8423" w:type="dxa"/>
        <w:tblInd w:w="0" w:type="dxa"/>
        <w:tblLayout w:type="fixed"/>
        <w:tblCellMar>
          <w:top w:w="0" w:type="dxa"/>
          <w:left w:w="108" w:type="dxa"/>
          <w:bottom w:w="0" w:type="dxa"/>
          <w:right w:w="108" w:type="dxa"/>
        </w:tblCellMar>
      </w:tblPr>
      <w:tblGrid>
        <w:gridCol w:w="850"/>
        <w:gridCol w:w="1975"/>
        <w:gridCol w:w="4606"/>
        <w:gridCol w:w="992"/>
      </w:tblGrid>
      <w:tr>
        <w:tblPrEx>
          <w:tblCellMar>
            <w:top w:w="0" w:type="dxa"/>
            <w:left w:w="108" w:type="dxa"/>
            <w:bottom w:w="0" w:type="dxa"/>
            <w:right w:w="108" w:type="dxa"/>
          </w:tblCellMar>
        </w:tblPrEx>
        <w:trPr>
          <w:trHeight w:val="312"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序号</w:t>
            </w:r>
          </w:p>
        </w:tc>
        <w:tc>
          <w:tcPr>
            <w:tcW w:w="1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设备名称</w:t>
            </w:r>
          </w:p>
        </w:tc>
        <w:tc>
          <w:tcPr>
            <w:tcW w:w="4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简要规格</w:t>
            </w:r>
          </w:p>
        </w:tc>
        <w:tc>
          <w:tcPr>
            <w:tcW w:w="992"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szCs w:val="21"/>
                <w:lang w:bidi="ar"/>
              </w:rPr>
            </w:pPr>
            <w:r>
              <w:rPr>
                <w:rFonts w:hint="eastAsia" w:ascii="宋体" w:hAnsi="宋体" w:cs="宋体"/>
                <w:szCs w:val="21"/>
                <w:lang w:bidi="ar"/>
              </w:rPr>
              <w:t>数量</w:t>
            </w:r>
          </w:p>
        </w:tc>
      </w:tr>
      <w:tr>
        <w:tblPrEx>
          <w:tblCellMar>
            <w:top w:w="0" w:type="dxa"/>
            <w:left w:w="108" w:type="dxa"/>
            <w:bottom w:w="0" w:type="dxa"/>
            <w:right w:w="108" w:type="dxa"/>
          </w:tblCellMar>
        </w:tblPrEx>
        <w:trPr>
          <w:trHeight w:val="312"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46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p>
        </w:tc>
      </w:tr>
      <w:tr>
        <w:tblPrEx>
          <w:tblCellMar>
            <w:top w:w="0" w:type="dxa"/>
            <w:left w:w="108" w:type="dxa"/>
            <w:bottom w:w="0" w:type="dxa"/>
            <w:right w:w="108" w:type="dxa"/>
          </w:tblCellMar>
        </w:tblPrEx>
        <w:trPr>
          <w:trHeight w:val="22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1</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挂式空调</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3匹， 直流变频，冷暖电辅， 三级能效，支持远程监控和开关机。</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59"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2</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除湿设备</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除湿机，除湿量：不少于</w:t>
            </w:r>
            <w:r>
              <w:t>150</w:t>
            </w:r>
            <w:r>
              <w:rPr>
                <w:rFonts w:hint="eastAsia"/>
              </w:rPr>
              <w:t>L/天(35℃ 90%RH)。</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eastAsiaTheme="minorEastAsia"/>
                <w:szCs w:val="21"/>
              </w:rPr>
              <w:t>1</w:t>
            </w:r>
          </w:p>
        </w:tc>
      </w:tr>
      <w:tr>
        <w:tblPrEx>
          <w:tblCellMar>
            <w:top w:w="0" w:type="dxa"/>
            <w:left w:w="108" w:type="dxa"/>
            <w:bottom w:w="0" w:type="dxa"/>
            <w:right w:w="108" w:type="dxa"/>
          </w:tblCellMar>
        </w:tblPrEx>
        <w:trPr>
          <w:trHeight w:val="38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3</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自动灭火装置</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七氟丙烷自动灭火装置购置和安装。</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40"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4</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集成综合机柜</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含网关、光模块。</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247"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5</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雷达站专用存储 NAS</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存储服务器，配备8个希捷NAS 硬盘12TB。</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70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6</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路由器</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包转发率&gt;=9Mpps配置双电源，4个千兆Combo口，2个千兆光口，配置2个千兆单模光模块。</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eastAsiaTheme="minorEastAsia"/>
                <w:szCs w:val="21"/>
              </w:rPr>
              <w:t>2</w:t>
            </w:r>
          </w:p>
        </w:tc>
      </w:tr>
      <w:tr>
        <w:tblPrEx>
          <w:tblCellMar>
            <w:top w:w="0" w:type="dxa"/>
            <w:left w:w="108" w:type="dxa"/>
            <w:bottom w:w="0" w:type="dxa"/>
            <w:right w:w="108" w:type="dxa"/>
          </w:tblCellMar>
        </w:tblPrEx>
        <w:trPr>
          <w:trHeight w:val="70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7</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防火墙</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szCs w:val="21"/>
                <w:lang w:bidi="ar"/>
              </w:rPr>
              <w:t>8GE+2GE(Bypass)+2Combo</w:t>
            </w:r>
          </w:p>
          <w:p>
            <w:pPr>
              <w:widowControl/>
              <w:jc w:val="left"/>
              <w:textAlignment w:val="center"/>
              <w:rPr>
                <w:rFonts w:ascii="宋体" w:hAnsi="宋体" w:cs="宋体"/>
                <w:szCs w:val="21"/>
                <w:lang w:bidi="ar"/>
              </w:rPr>
            </w:pPr>
            <w:r>
              <w:rPr>
                <w:rFonts w:hint="eastAsia" w:ascii="宋体" w:hAnsi="宋体" w:cs="宋体"/>
                <w:szCs w:val="21"/>
                <w:lang w:bidi="ar"/>
              </w:rPr>
              <w:t>运行模式：路由模式，透明模式，混杂模式</w:t>
            </w:r>
          </w:p>
          <w:p>
            <w:pPr>
              <w:widowControl/>
              <w:jc w:val="left"/>
              <w:textAlignment w:val="center"/>
              <w:rPr>
                <w:rFonts w:ascii="宋体" w:hAnsi="宋体" w:cs="宋体"/>
                <w:szCs w:val="21"/>
                <w:lang w:bidi="ar"/>
              </w:rPr>
            </w:pPr>
            <w:r>
              <w:rPr>
                <w:rFonts w:hint="eastAsia" w:ascii="宋体" w:hAnsi="宋体" w:cs="宋体"/>
                <w:szCs w:val="21"/>
                <w:lang w:bidi="ar"/>
              </w:rPr>
              <w:t>病毒防护：基于病毒特征进行检测；支持病毒库手动和自动升级；报文流处理模式；支持HTTP、FTP、SMTP、POP3协议；支持的病毒类型：Backdoor、Email-Worm、P2P-Worm、Trojan、AdWare、Virus等；支持病毒日志和报表；</w:t>
            </w:r>
          </w:p>
          <w:p>
            <w:pPr>
              <w:widowControl/>
              <w:jc w:val="left"/>
              <w:textAlignment w:val="center"/>
              <w:rPr>
                <w:rFonts w:ascii="宋体" w:hAnsi="宋体" w:cs="宋体"/>
                <w:szCs w:val="21"/>
                <w:lang w:bidi="ar"/>
              </w:rPr>
            </w:pPr>
            <w:r>
              <w:rPr>
                <w:rFonts w:hint="eastAsia" w:ascii="宋体" w:hAnsi="宋体" w:cs="宋体"/>
                <w:szCs w:val="21"/>
                <w:lang w:bidi="ar"/>
              </w:rPr>
              <w:t>含防火墙防病毒模块授权码、配标准机柜挂耳。</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70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8</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交换机</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24口千兆企业级三层网管以太网络核心交换机；传输速率10/100/1000Mbps；包转发率108Mbps/126Mbps；配置双电源，4个万兆SFP+。</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70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9</w:t>
            </w:r>
          </w:p>
        </w:tc>
        <w:tc>
          <w:tcPr>
            <w:tcW w:w="19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视频监控系统</w:t>
            </w:r>
          </w:p>
        </w:tc>
        <w:tc>
          <w:tcPr>
            <w:tcW w:w="460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包含5个摄像头、8路NVR。</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bl>
    <w:p>
      <w:pPr>
        <w:rPr>
          <w:rFonts w:ascii="宋体" w:hAnsi="宋体"/>
          <w:b/>
          <w:bCs/>
          <w:sz w:val="24"/>
        </w:rPr>
      </w:pPr>
    </w:p>
    <w:p>
      <w:pPr>
        <w:spacing w:line="400" w:lineRule="exact"/>
        <w:rPr>
          <w:rFonts w:ascii="宋体" w:hAnsi="宋体" w:cs="宋体"/>
          <w:b/>
          <w:bCs/>
          <w:kern w:val="1"/>
        </w:rPr>
      </w:pPr>
      <w:r>
        <w:rPr>
          <w:rFonts w:hint="eastAsia" w:ascii="宋体" w:hAnsi="宋体" w:cs="宋体"/>
          <w:b/>
          <w:bCs/>
          <w:kern w:val="1"/>
          <w:sz w:val="24"/>
        </w:rPr>
        <w:t>1</w:t>
      </w:r>
      <w:r>
        <w:rPr>
          <w:rFonts w:ascii="宋体" w:hAnsi="宋体" w:cs="宋体"/>
          <w:b/>
          <w:bCs/>
          <w:kern w:val="1"/>
          <w:sz w:val="24"/>
        </w:rPr>
        <w:t>.5</w:t>
      </w:r>
      <w:r>
        <w:rPr>
          <w:rFonts w:hint="eastAsia" w:ascii="宋体" w:hAnsi="宋体"/>
          <w:b/>
          <w:bCs/>
          <w:sz w:val="24"/>
        </w:rPr>
        <w:t>天线罩内配套设备</w:t>
      </w:r>
    </w:p>
    <w:tbl>
      <w:tblPr>
        <w:tblStyle w:val="29"/>
        <w:tblW w:w="8436" w:type="dxa"/>
        <w:jc w:val="right"/>
        <w:tblLayout w:type="fixed"/>
        <w:tblCellMar>
          <w:top w:w="0" w:type="dxa"/>
          <w:left w:w="108" w:type="dxa"/>
          <w:bottom w:w="0" w:type="dxa"/>
          <w:right w:w="108" w:type="dxa"/>
        </w:tblCellMar>
      </w:tblPr>
      <w:tblGrid>
        <w:gridCol w:w="825"/>
        <w:gridCol w:w="2148"/>
        <w:gridCol w:w="4471"/>
        <w:gridCol w:w="992"/>
      </w:tblGrid>
      <w:tr>
        <w:tblPrEx>
          <w:tblCellMar>
            <w:top w:w="0" w:type="dxa"/>
            <w:left w:w="108" w:type="dxa"/>
            <w:bottom w:w="0" w:type="dxa"/>
            <w:right w:w="108" w:type="dxa"/>
          </w:tblCellMar>
        </w:tblPrEx>
        <w:trPr>
          <w:trHeight w:val="312" w:hRule="atLeast"/>
          <w:jc w:val="right"/>
        </w:trPr>
        <w:tc>
          <w:tcPr>
            <w:tcW w:w="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序号</w:t>
            </w:r>
          </w:p>
        </w:tc>
        <w:tc>
          <w:tcPr>
            <w:tcW w:w="21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设备名称</w:t>
            </w:r>
          </w:p>
        </w:tc>
        <w:tc>
          <w:tcPr>
            <w:tcW w:w="4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简要规格</w:t>
            </w:r>
          </w:p>
        </w:tc>
        <w:tc>
          <w:tcPr>
            <w:tcW w:w="992"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szCs w:val="21"/>
                <w:lang w:bidi="ar"/>
              </w:rPr>
            </w:pPr>
            <w:r>
              <w:rPr>
                <w:rFonts w:hint="eastAsia" w:ascii="宋体" w:hAnsi="宋体" w:cs="宋体"/>
                <w:szCs w:val="21"/>
                <w:lang w:bidi="ar"/>
              </w:rPr>
              <w:t>数量</w:t>
            </w:r>
          </w:p>
        </w:tc>
      </w:tr>
      <w:tr>
        <w:tblPrEx>
          <w:tblCellMar>
            <w:top w:w="0" w:type="dxa"/>
            <w:left w:w="108" w:type="dxa"/>
            <w:bottom w:w="0" w:type="dxa"/>
            <w:right w:w="108" w:type="dxa"/>
          </w:tblCellMar>
        </w:tblPrEx>
        <w:trPr>
          <w:trHeight w:val="312" w:hRule="atLeast"/>
          <w:jc w:val="right"/>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21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447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p>
        </w:tc>
      </w:tr>
      <w:tr>
        <w:tblPrEx>
          <w:tblCellMar>
            <w:top w:w="0" w:type="dxa"/>
            <w:left w:w="108" w:type="dxa"/>
            <w:bottom w:w="0" w:type="dxa"/>
            <w:right w:w="108" w:type="dxa"/>
          </w:tblCellMar>
        </w:tblPrEx>
        <w:trPr>
          <w:trHeight w:val="225" w:hRule="atLeast"/>
          <w:jc w:val="righ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1</w:t>
            </w:r>
          </w:p>
        </w:tc>
        <w:tc>
          <w:tcPr>
            <w:tcW w:w="214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挂式空调</w:t>
            </w:r>
          </w:p>
        </w:tc>
        <w:tc>
          <w:tcPr>
            <w:tcW w:w="4471"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cs="宋体"/>
                <w:szCs w:val="21"/>
                <w:lang w:bidi="ar"/>
              </w:rPr>
            </w:pPr>
            <w:r>
              <w:rPr>
                <w:rFonts w:hint="eastAsia"/>
              </w:rPr>
              <w:t>3匹、直流变频、冷暖电辅、三级能效、支持远程监控和开关机。</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59" w:hRule="atLeast"/>
          <w:jc w:val="righ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2</w:t>
            </w:r>
          </w:p>
        </w:tc>
        <w:tc>
          <w:tcPr>
            <w:tcW w:w="214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除湿设备</w:t>
            </w:r>
          </w:p>
        </w:tc>
        <w:tc>
          <w:tcPr>
            <w:tcW w:w="4471"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cs="宋体"/>
                <w:szCs w:val="21"/>
                <w:lang w:bidi="ar"/>
              </w:rPr>
            </w:pPr>
            <w:r>
              <w:rPr>
                <w:rFonts w:hint="eastAsia"/>
              </w:rPr>
              <w:t>除湿机，除湿量：2</w:t>
            </w:r>
            <w:r>
              <w:t>0</w:t>
            </w:r>
            <w:r>
              <w:rPr>
                <w:rFonts w:hint="eastAsia"/>
              </w:rPr>
              <w:t>L/天(35℃ 90%RH)</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eastAsiaTheme="minorEastAsia"/>
                <w:szCs w:val="21"/>
              </w:rPr>
              <w:t>1</w:t>
            </w:r>
          </w:p>
        </w:tc>
      </w:tr>
      <w:tr>
        <w:tblPrEx>
          <w:tblCellMar>
            <w:top w:w="0" w:type="dxa"/>
            <w:left w:w="108" w:type="dxa"/>
            <w:bottom w:w="0" w:type="dxa"/>
            <w:right w:w="108" w:type="dxa"/>
          </w:tblCellMar>
        </w:tblPrEx>
        <w:trPr>
          <w:trHeight w:val="385" w:hRule="atLeast"/>
          <w:jc w:val="righ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3</w:t>
            </w:r>
          </w:p>
        </w:tc>
        <w:tc>
          <w:tcPr>
            <w:tcW w:w="214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塔上天线罩内配套</w:t>
            </w:r>
          </w:p>
        </w:tc>
        <w:tc>
          <w:tcPr>
            <w:tcW w:w="4471"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cs="宋体"/>
                <w:szCs w:val="21"/>
                <w:lang w:bidi="ar"/>
              </w:rPr>
            </w:pPr>
            <w:r>
              <w:rPr>
                <w:rFonts w:hint="eastAsia"/>
              </w:rPr>
              <w:t>配电箱；排风扇；天线罩内监控摄像头2个；照明设备等。</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40" w:hRule="atLeast"/>
          <w:jc w:val="righ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4</w:t>
            </w:r>
          </w:p>
        </w:tc>
        <w:tc>
          <w:tcPr>
            <w:tcW w:w="214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航空警示灯</w:t>
            </w:r>
          </w:p>
        </w:tc>
        <w:tc>
          <w:tcPr>
            <w:tcW w:w="4471"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cs="宋体"/>
                <w:szCs w:val="21"/>
                <w:lang w:bidi="ar"/>
              </w:rPr>
            </w:pPr>
            <w:r>
              <w:rPr>
                <w:rFonts w:hint="eastAsia"/>
              </w:rPr>
              <w:t>LED航空障碍灯航标灯警示灯高楼信号灯铁塔灯中光强航空灯自带光控灯。</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eastAsiaTheme="minorEastAsia"/>
                <w:szCs w:val="21"/>
              </w:rPr>
              <w:t>3</w:t>
            </w:r>
          </w:p>
        </w:tc>
      </w:tr>
    </w:tbl>
    <w:p/>
    <w:p>
      <w:pPr>
        <w:spacing w:line="400" w:lineRule="exact"/>
        <w:rPr>
          <w:rFonts w:ascii="宋体" w:hAnsi="宋体" w:cs="宋体"/>
          <w:b/>
          <w:bCs/>
          <w:kern w:val="1"/>
        </w:rPr>
      </w:pPr>
      <w:r>
        <w:rPr>
          <w:rFonts w:hint="eastAsia" w:ascii="宋体" w:hAnsi="宋体" w:cs="宋体"/>
          <w:b/>
          <w:bCs/>
          <w:kern w:val="1"/>
          <w:sz w:val="24"/>
        </w:rPr>
        <w:t>1</w:t>
      </w:r>
      <w:r>
        <w:rPr>
          <w:rFonts w:ascii="宋体" w:hAnsi="宋体" w:cs="宋体"/>
          <w:b/>
          <w:bCs/>
          <w:kern w:val="1"/>
          <w:sz w:val="24"/>
        </w:rPr>
        <w:t>.6</w:t>
      </w:r>
      <w:r>
        <w:rPr>
          <w:rFonts w:hint="eastAsia" w:ascii="宋体" w:hAnsi="宋体"/>
          <w:b/>
          <w:bCs/>
          <w:sz w:val="24"/>
        </w:rPr>
        <w:t>供电设备</w:t>
      </w:r>
    </w:p>
    <w:tbl>
      <w:tblPr>
        <w:tblStyle w:val="29"/>
        <w:tblW w:w="8436" w:type="dxa"/>
        <w:jc w:val="right"/>
        <w:tblLayout w:type="fixed"/>
        <w:tblCellMar>
          <w:top w:w="0" w:type="dxa"/>
          <w:left w:w="108" w:type="dxa"/>
          <w:bottom w:w="0" w:type="dxa"/>
          <w:right w:w="108" w:type="dxa"/>
        </w:tblCellMar>
      </w:tblPr>
      <w:tblGrid>
        <w:gridCol w:w="825"/>
        <w:gridCol w:w="2148"/>
        <w:gridCol w:w="4471"/>
        <w:gridCol w:w="992"/>
      </w:tblGrid>
      <w:tr>
        <w:tblPrEx>
          <w:tblCellMar>
            <w:top w:w="0" w:type="dxa"/>
            <w:left w:w="108" w:type="dxa"/>
            <w:bottom w:w="0" w:type="dxa"/>
            <w:right w:w="108" w:type="dxa"/>
          </w:tblCellMar>
        </w:tblPrEx>
        <w:trPr>
          <w:trHeight w:val="312" w:hRule="atLeast"/>
          <w:jc w:val="right"/>
        </w:trPr>
        <w:tc>
          <w:tcPr>
            <w:tcW w:w="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序号</w:t>
            </w:r>
          </w:p>
        </w:tc>
        <w:tc>
          <w:tcPr>
            <w:tcW w:w="21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设备名称</w:t>
            </w:r>
          </w:p>
        </w:tc>
        <w:tc>
          <w:tcPr>
            <w:tcW w:w="4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简要规格</w:t>
            </w:r>
          </w:p>
        </w:tc>
        <w:tc>
          <w:tcPr>
            <w:tcW w:w="992"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szCs w:val="21"/>
                <w:lang w:bidi="ar"/>
              </w:rPr>
            </w:pPr>
            <w:r>
              <w:rPr>
                <w:rFonts w:hint="eastAsia" w:ascii="宋体" w:hAnsi="宋体" w:cs="宋体"/>
                <w:szCs w:val="21"/>
                <w:lang w:bidi="ar"/>
              </w:rPr>
              <w:t>数量</w:t>
            </w:r>
          </w:p>
        </w:tc>
      </w:tr>
      <w:tr>
        <w:tblPrEx>
          <w:tblCellMar>
            <w:top w:w="0" w:type="dxa"/>
            <w:left w:w="108" w:type="dxa"/>
            <w:bottom w:w="0" w:type="dxa"/>
            <w:right w:w="108" w:type="dxa"/>
          </w:tblCellMar>
        </w:tblPrEx>
        <w:trPr>
          <w:trHeight w:val="312" w:hRule="atLeast"/>
          <w:jc w:val="right"/>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21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447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p>
        </w:tc>
      </w:tr>
      <w:tr>
        <w:tblPrEx>
          <w:tblCellMar>
            <w:top w:w="0" w:type="dxa"/>
            <w:left w:w="108" w:type="dxa"/>
            <w:bottom w:w="0" w:type="dxa"/>
            <w:right w:w="108" w:type="dxa"/>
          </w:tblCellMar>
        </w:tblPrEx>
        <w:trPr>
          <w:trHeight w:val="247" w:hRule="atLeast"/>
          <w:jc w:val="righ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1</w:t>
            </w:r>
          </w:p>
        </w:tc>
        <w:tc>
          <w:tcPr>
            <w:tcW w:w="214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UPS不间断电源</w:t>
            </w:r>
          </w:p>
        </w:tc>
        <w:tc>
          <w:tcPr>
            <w:tcW w:w="4471"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cs="宋体"/>
                <w:szCs w:val="21"/>
                <w:lang w:bidi="ar"/>
              </w:rPr>
            </w:pPr>
            <w:r>
              <w:rPr>
                <w:rFonts w:hint="eastAsia"/>
              </w:rPr>
              <w:t>单进单出，保证15K</w:t>
            </w:r>
            <w:r>
              <w:t>VA</w:t>
            </w:r>
            <w:r>
              <w:rPr>
                <w:rFonts w:hint="eastAsia"/>
              </w:rPr>
              <w:t>续航6小时不间断续航，具备断电自动切换和远程监控等功能。</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bl>
    <w:p>
      <w:pPr>
        <w:spacing w:line="400" w:lineRule="exact"/>
        <w:rPr>
          <w:rFonts w:ascii="宋体" w:hAnsi="宋体" w:cs="宋体"/>
          <w:b/>
          <w:bCs/>
          <w:kern w:val="1"/>
          <w:sz w:val="24"/>
        </w:rPr>
      </w:pPr>
    </w:p>
    <w:p>
      <w:pPr>
        <w:spacing w:line="400" w:lineRule="exact"/>
        <w:rPr>
          <w:rFonts w:ascii="宋体" w:hAnsi="宋体" w:cs="宋体"/>
          <w:b/>
          <w:bCs/>
          <w:kern w:val="1"/>
          <w:sz w:val="24"/>
        </w:rPr>
      </w:pPr>
      <w:r>
        <w:rPr>
          <w:rFonts w:hint="eastAsia" w:ascii="宋体" w:hAnsi="宋体" w:cs="宋体"/>
          <w:b/>
          <w:bCs/>
          <w:kern w:val="1"/>
          <w:sz w:val="24"/>
        </w:rPr>
        <w:t>2</w:t>
      </w:r>
      <w:r>
        <w:rPr>
          <w:rFonts w:ascii="宋体" w:hAnsi="宋体" w:cs="宋体"/>
          <w:b/>
          <w:bCs/>
          <w:kern w:val="1"/>
          <w:sz w:val="24"/>
        </w:rPr>
        <w:t>.</w:t>
      </w:r>
      <w:r>
        <w:rPr>
          <w:rFonts w:hint="eastAsia" w:ascii="宋体" w:hAnsi="宋体"/>
          <w:b/>
          <w:bCs/>
          <w:sz w:val="24"/>
        </w:rPr>
        <w:t xml:space="preserve"> 雷达站基础工程建设</w:t>
      </w:r>
    </w:p>
    <w:tbl>
      <w:tblPr>
        <w:tblStyle w:val="29"/>
        <w:tblW w:w="8498" w:type="dxa"/>
        <w:jc w:val="right"/>
        <w:tblLayout w:type="fixed"/>
        <w:tblCellMar>
          <w:top w:w="0" w:type="dxa"/>
          <w:left w:w="108" w:type="dxa"/>
          <w:bottom w:w="0" w:type="dxa"/>
          <w:right w:w="108" w:type="dxa"/>
        </w:tblCellMar>
      </w:tblPr>
      <w:tblGrid>
        <w:gridCol w:w="862"/>
        <w:gridCol w:w="2173"/>
        <w:gridCol w:w="4471"/>
        <w:gridCol w:w="992"/>
      </w:tblGrid>
      <w:tr>
        <w:trPr>
          <w:trHeight w:val="312" w:hRule="atLeast"/>
          <w:jc w:val="right"/>
        </w:trPr>
        <w:tc>
          <w:tcPr>
            <w:tcW w:w="8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序号</w:t>
            </w:r>
          </w:p>
        </w:tc>
        <w:tc>
          <w:tcPr>
            <w:tcW w:w="2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设备名称</w:t>
            </w:r>
          </w:p>
        </w:tc>
        <w:tc>
          <w:tcPr>
            <w:tcW w:w="4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简要规格</w:t>
            </w:r>
          </w:p>
        </w:tc>
        <w:tc>
          <w:tcPr>
            <w:tcW w:w="992"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szCs w:val="21"/>
                <w:lang w:bidi="ar"/>
              </w:rPr>
            </w:pPr>
            <w:r>
              <w:rPr>
                <w:rFonts w:hint="eastAsia" w:ascii="宋体" w:hAnsi="宋体" w:cs="宋体"/>
                <w:szCs w:val="21"/>
                <w:lang w:bidi="ar"/>
              </w:rPr>
              <w:t>数量</w:t>
            </w:r>
          </w:p>
        </w:tc>
      </w:tr>
      <w:tr>
        <w:tblPrEx>
          <w:tblCellMar>
            <w:top w:w="0" w:type="dxa"/>
            <w:left w:w="108" w:type="dxa"/>
            <w:bottom w:w="0" w:type="dxa"/>
            <w:right w:w="108" w:type="dxa"/>
          </w:tblCellMar>
        </w:tblPrEx>
        <w:trPr>
          <w:trHeight w:val="312" w:hRule="atLeast"/>
          <w:jc w:val="right"/>
        </w:trPr>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447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lang w:bidi="ar"/>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p>
        </w:tc>
      </w:tr>
      <w:tr>
        <w:tblPrEx>
          <w:tblCellMar>
            <w:top w:w="0" w:type="dxa"/>
            <w:left w:w="108" w:type="dxa"/>
            <w:bottom w:w="0" w:type="dxa"/>
            <w:right w:w="108" w:type="dxa"/>
          </w:tblCellMar>
        </w:tblPrEx>
        <w:trPr>
          <w:trHeight w:val="225" w:hRule="atLeast"/>
          <w:jc w:val="righ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1</w:t>
            </w:r>
          </w:p>
        </w:tc>
        <w:tc>
          <w:tcPr>
            <w:tcW w:w="217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雷达安装</w:t>
            </w:r>
          </w:p>
        </w:tc>
        <w:tc>
          <w:tcPr>
            <w:tcW w:w="447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雷达</w:t>
            </w:r>
            <w:r>
              <w:rPr>
                <w:rFonts w:hint="eastAsia"/>
                <w:lang w:eastAsia="zh-CN"/>
              </w:rPr>
              <w:t>、</w:t>
            </w:r>
            <w:r>
              <w:rPr>
                <w:rFonts w:hint="eastAsia"/>
                <w:highlight w:val="none"/>
                <w:lang w:eastAsia="zh-CN"/>
              </w:rPr>
              <w:t>天线罩</w:t>
            </w:r>
            <w:r>
              <w:rPr>
                <w:rFonts w:hint="eastAsia"/>
              </w:rPr>
              <w:t>及配套设备二次运输、吊装及安装。</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59" w:hRule="atLeast"/>
          <w:jc w:val="righ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2</w:t>
            </w:r>
          </w:p>
        </w:tc>
        <w:tc>
          <w:tcPr>
            <w:tcW w:w="217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铁塔安装及基础建设</w:t>
            </w:r>
          </w:p>
        </w:tc>
        <w:tc>
          <w:tcPr>
            <w:tcW w:w="447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铁塔安装及铁塔基础建设</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eastAsiaTheme="minorEastAsia"/>
                <w:szCs w:val="21"/>
              </w:rPr>
              <w:t>1</w:t>
            </w:r>
          </w:p>
        </w:tc>
      </w:tr>
      <w:tr>
        <w:tblPrEx>
          <w:tblCellMar>
            <w:top w:w="0" w:type="dxa"/>
            <w:left w:w="108" w:type="dxa"/>
            <w:bottom w:w="0" w:type="dxa"/>
            <w:right w:w="108" w:type="dxa"/>
          </w:tblCellMar>
        </w:tblPrEx>
        <w:trPr>
          <w:trHeight w:val="385" w:hRule="atLeast"/>
          <w:jc w:val="righ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3</w:t>
            </w:r>
          </w:p>
        </w:tc>
        <w:tc>
          <w:tcPr>
            <w:tcW w:w="217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机房建设</w:t>
            </w:r>
          </w:p>
        </w:tc>
        <w:tc>
          <w:tcPr>
            <w:tcW w:w="447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旧机房改造。</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40" w:hRule="atLeast"/>
          <w:jc w:val="righ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4</w:t>
            </w:r>
          </w:p>
        </w:tc>
        <w:tc>
          <w:tcPr>
            <w:tcW w:w="217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供电建设</w:t>
            </w:r>
          </w:p>
        </w:tc>
        <w:tc>
          <w:tcPr>
            <w:tcW w:w="4471" w:type="dxa"/>
            <w:tcBorders>
              <w:top w:val="nil"/>
              <w:left w:val="nil"/>
              <w:bottom w:val="single" w:color="auto" w:sz="4" w:space="0"/>
              <w:right w:val="single" w:color="auto" w:sz="4" w:space="0"/>
            </w:tcBorders>
            <w:shd w:val="clear" w:color="auto" w:fill="auto"/>
          </w:tcPr>
          <w:p>
            <w:pPr>
              <w:widowControl/>
              <w:jc w:val="left"/>
              <w:textAlignment w:val="center"/>
              <w:rPr>
                <w:rFonts w:ascii="宋体" w:hAnsi="宋体" w:cs="宋体"/>
                <w:szCs w:val="21"/>
                <w:lang w:bidi="ar"/>
              </w:rPr>
            </w:pPr>
            <w:r>
              <w:rPr>
                <w:rFonts w:hint="eastAsia"/>
              </w:rPr>
              <w:t>拉380V电力到站点附近。</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247" w:hRule="atLeast"/>
          <w:jc w:val="righ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5</w:t>
            </w:r>
          </w:p>
        </w:tc>
        <w:tc>
          <w:tcPr>
            <w:tcW w:w="217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通信</w:t>
            </w:r>
          </w:p>
        </w:tc>
        <w:tc>
          <w:tcPr>
            <w:tcW w:w="4471" w:type="dxa"/>
            <w:tcBorders>
              <w:top w:val="nil"/>
              <w:left w:val="nil"/>
              <w:bottom w:val="single" w:color="auto" w:sz="4" w:space="0"/>
              <w:right w:val="single" w:color="auto" w:sz="4" w:space="0"/>
            </w:tcBorders>
            <w:shd w:val="clear" w:color="auto" w:fill="auto"/>
          </w:tcPr>
          <w:p>
            <w:pPr>
              <w:widowControl/>
              <w:jc w:val="left"/>
              <w:textAlignment w:val="center"/>
            </w:pPr>
            <w:r>
              <w:rPr>
                <w:rFonts w:hint="eastAsia"/>
              </w:rPr>
              <w:t>开通雷达站点到舟山市气象局中心机房专线网络，带宽不少于1</w:t>
            </w:r>
            <w:r>
              <w:t>00M</w:t>
            </w:r>
            <w:r>
              <w:rPr>
                <w:rFonts w:hint="eastAsia"/>
              </w:rPr>
              <w:t>，一主（中国电信）一备（其它）。</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705" w:hRule="atLeast"/>
          <w:jc w:val="righ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Cs w:val="21"/>
                <w:lang w:bidi="ar"/>
              </w:rPr>
              <w:t>6</w:t>
            </w:r>
          </w:p>
        </w:tc>
        <w:tc>
          <w:tcPr>
            <w:tcW w:w="217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ascii="宋体" w:hAnsi="宋体" w:cs="宋体"/>
                <w:sz w:val="24"/>
              </w:rPr>
              <w:t>△</w:t>
            </w:r>
            <w:r>
              <w:rPr>
                <w:rFonts w:hint="eastAsia"/>
              </w:rPr>
              <w:t>防雷工程</w:t>
            </w:r>
          </w:p>
        </w:tc>
        <w:tc>
          <w:tcPr>
            <w:tcW w:w="447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防雷地网、避雷针、降阻等，确保电阻小于4Ω。</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r>
        <w:tblPrEx>
          <w:tblCellMar>
            <w:top w:w="0" w:type="dxa"/>
            <w:left w:w="108" w:type="dxa"/>
            <w:bottom w:w="0" w:type="dxa"/>
            <w:right w:w="108" w:type="dxa"/>
          </w:tblCellMar>
        </w:tblPrEx>
        <w:trPr>
          <w:trHeight w:val="705" w:hRule="atLeast"/>
          <w:jc w:val="righ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7</w:t>
            </w:r>
          </w:p>
        </w:tc>
        <w:tc>
          <w:tcPr>
            <w:tcW w:w="2173" w:type="dxa"/>
            <w:tcBorders>
              <w:top w:val="nil"/>
              <w:left w:val="nil"/>
              <w:bottom w:val="single" w:color="auto" w:sz="4" w:space="0"/>
              <w:right w:val="single" w:color="auto" w:sz="4" w:space="0"/>
            </w:tcBorders>
            <w:shd w:val="clear" w:color="auto" w:fill="auto"/>
            <w:vAlign w:val="center"/>
          </w:tcPr>
          <w:p>
            <w:pPr>
              <w:widowControl/>
              <w:jc w:val="center"/>
              <w:textAlignment w:val="center"/>
            </w:pPr>
            <w:r>
              <w:t>航空警示及照明</w:t>
            </w:r>
          </w:p>
        </w:tc>
        <w:tc>
          <w:tcPr>
            <w:tcW w:w="4471" w:type="dxa"/>
            <w:tcBorders>
              <w:top w:val="nil"/>
              <w:left w:val="nil"/>
              <w:bottom w:val="single" w:color="auto" w:sz="4" w:space="0"/>
              <w:right w:val="single" w:color="auto" w:sz="4" w:space="0"/>
            </w:tcBorders>
            <w:shd w:val="clear" w:color="auto" w:fill="auto"/>
            <w:vAlign w:val="center"/>
          </w:tcPr>
          <w:p>
            <w:pPr>
              <w:widowControl/>
              <w:jc w:val="left"/>
              <w:textAlignment w:val="center"/>
            </w:pPr>
            <w:r>
              <w:rPr>
                <w:rFonts w:hint="eastAsia"/>
              </w:rPr>
              <w:t>雷达站点位于机场净空保护区、航路下方的天气雷达钢塔设置航空障碍灯，并符合 MH/T 6012一2015 的规定。</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eastAsiaTheme="minorEastAsia"/>
                <w:szCs w:val="21"/>
              </w:rPr>
              <w:t>1</w:t>
            </w:r>
          </w:p>
        </w:tc>
      </w:tr>
      <w:tr>
        <w:tblPrEx>
          <w:tblCellMar>
            <w:top w:w="0" w:type="dxa"/>
            <w:left w:w="108" w:type="dxa"/>
            <w:bottom w:w="0" w:type="dxa"/>
            <w:right w:w="108" w:type="dxa"/>
          </w:tblCellMar>
        </w:tblPrEx>
        <w:trPr>
          <w:trHeight w:val="705" w:hRule="atLeast"/>
          <w:jc w:val="righ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ascii="宋体" w:hAnsi="宋体" w:cs="宋体"/>
                <w:szCs w:val="21"/>
                <w:lang w:bidi="ar"/>
              </w:rPr>
              <w:t>8</w:t>
            </w:r>
          </w:p>
        </w:tc>
        <w:tc>
          <w:tcPr>
            <w:tcW w:w="217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lang w:bidi="ar"/>
              </w:rPr>
            </w:pPr>
            <w:r>
              <w:rPr>
                <w:rFonts w:hint="eastAsia"/>
              </w:rPr>
              <w:t>道路修整、平台绿化及安全防护措施（围栏、消防、警示牌）</w:t>
            </w:r>
          </w:p>
        </w:tc>
        <w:tc>
          <w:tcPr>
            <w:tcW w:w="447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rPr>
              <w:t>道路修整、平台绿化及安全防护措施（围栏、消防、警示牌）。</w:t>
            </w:r>
          </w:p>
        </w:tc>
        <w:tc>
          <w:tcPr>
            <w:tcW w:w="992" w:type="dxa"/>
            <w:tcBorders>
              <w:top w:val="single" w:color="auto" w:sz="4" w:space="0"/>
              <w:bottom w:val="single" w:color="auto" w:sz="4" w:space="0"/>
              <w:right w:val="single" w:color="auto" w:sz="4" w:space="0"/>
            </w:tcBorders>
            <w:vAlign w:val="center"/>
          </w:tcPr>
          <w:p>
            <w:pPr>
              <w:widowControl/>
              <w:jc w:val="center"/>
              <w:rPr>
                <w:rFonts w:eastAsiaTheme="minorEastAsia"/>
                <w:szCs w:val="21"/>
              </w:rPr>
            </w:pPr>
            <w:r>
              <w:rPr>
                <w:rFonts w:hint="eastAsia" w:eastAsiaTheme="minorEastAsia"/>
                <w:szCs w:val="21"/>
              </w:rPr>
              <w:t>1</w:t>
            </w:r>
          </w:p>
        </w:tc>
      </w:tr>
    </w:tbl>
    <w:p>
      <w:pPr>
        <w:autoSpaceDE w:val="0"/>
        <w:adjustRightInd w:val="0"/>
        <w:spacing w:line="480" w:lineRule="exact"/>
        <w:jc w:val="left"/>
        <w:rPr>
          <w:rFonts w:ascii="宋体" w:hAnsi="宋体" w:cs="宋体"/>
          <w:sz w:val="24"/>
        </w:rPr>
      </w:pPr>
      <w:r>
        <w:rPr>
          <w:rFonts w:hint="eastAsia" w:ascii="宋体" w:hAnsi="宋体"/>
          <w:sz w:val="24"/>
        </w:rPr>
        <w:t>三、</w:t>
      </w:r>
      <w:r>
        <w:rPr>
          <w:rFonts w:hint="eastAsia" w:ascii="宋体" w:hAnsi="宋体" w:cs="宋体"/>
          <w:sz w:val="24"/>
        </w:rPr>
        <w:t>商务条款</w:t>
      </w:r>
    </w:p>
    <w:p>
      <w:pPr>
        <w:autoSpaceDE w:val="0"/>
        <w:adjustRightInd w:val="0"/>
        <w:spacing w:line="480" w:lineRule="exact"/>
        <w:jc w:val="left"/>
        <w:rPr>
          <w:rFonts w:ascii="宋体" w:hAnsi="宋体" w:cs="宋体"/>
          <w:sz w:val="24"/>
        </w:rPr>
      </w:pPr>
      <w:r>
        <w:rPr>
          <w:rFonts w:hint="eastAsia" w:ascii="宋体" w:hAnsi="宋体" w:cs="宋体"/>
          <w:sz w:val="24"/>
        </w:rPr>
        <w:t>1、签订合同后，</w:t>
      </w:r>
      <w:r>
        <w:rPr>
          <w:rFonts w:ascii="宋体" w:hAnsi="宋体" w:cs="宋体"/>
          <w:sz w:val="24"/>
        </w:rPr>
        <w:t>300</w:t>
      </w:r>
      <w:r>
        <w:rPr>
          <w:rFonts w:hint="eastAsia" w:ascii="宋体" w:hAnsi="宋体" w:cs="宋体"/>
          <w:sz w:val="24"/>
        </w:rPr>
        <w:t>日历天内按采购单位要求完成。</w:t>
      </w:r>
    </w:p>
    <w:p>
      <w:pPr>
        <w:autoSpaceDE w:val="0"/>
        <w:adjustRightInd w:val="0"/>
        <w:spacing w:line="480" w:lineRule="exact"/>
        <w:jc w:val="left"/>
        <w:rPr>
          <w:rFonts w:ascii="宋体" w:hAnsi="宋体" w:cs="宋体"/>
          <w:sz w:val="24"/>
        </w:rPr>
      </w:pPr>
      <w:r>
        <w:rPr>
          <w:rFonts w:hint="eastAsia" w:ascii="宋体" w:hAnsi="宋体" w:cs="宋体"/>
          <w:sz w:val="24"/>
        </w:rPr>
        <w:t>2、验收标准：应与投标人提供的产品原始技术资料及投标文件技术文件一致，并符合我国有关技术规范和技术标准。</w:t>
      </w:r>
    </w:p>
    <w:p>
      <w:pPr>
        <w:autoSpaceDE w:val="0"/>
        <w:adjustRightInd w:val="0"/>
        <w:spacing w:line="480" w:lineRule="exact"/>
        <w:jc w:val="left"/>
        <w:rPr>
          <w:rFonts w:ascii="宋体" w:hAnsi="宋体" w:cs="宋体"/>
          <w:sz w:val="24"/>
        </w:rPr>
      </w:pPr>
      <w:r>
        <w:rPr>
          <w:rFonts w:hint="eastAsia" w:ascii="宋体" w:hAnsi="宋体" w:cs="宋体"/>
          <w:sz w:val="24"/>
        </w:rPr>
        <w:t>3、验收时间及方式：安装调试完成并试运行3个月后，6</w:t>
      </w:r>
      <w:r>
        <w:rPr>
          <w:rFonts w:ascii="宋体" w:hAnsi="宋体" w:cs="宋体"/>
          <w:sz w:val="24"/>
        </w:rPr>
        <w:t>0</w:t>
      </w:r>
      <w:r>
        <w:rPr>
          <w:rFonts w:hint="eastAsia" w:ascii="宋体" w:hAnsi="宋体" w:cs="宋体"/>
          <w:sz w:val="24"/>
        </w:rPr>
        <w:t>天内组织验收。</w:t>
      </w:r>
    </w:p>
    <w:p>
      <w:pPr>
        <w:autoSpaceDE w:val="0"/>
        <w:adjustRightInd w:val="0"/>
        <w:spacing w:line="480" w:lineRule="exact"/>
        <w:jc w:val="left"/>
        <w:rPr>
          <w:rFonts w:ascii="宋体" w:hAnsi="宋体" w:cs="宋体"/>
          <w:sz w:val="24"/>
        </w:rPr>
      </w:pPr>
      <w:r>
        <w:rPr>
          <w:rFonts w:hint="eastAsia" w:ascii="宋体" w:hAnsi="宋体" w:cs="宋体"/>
          <w:sz w:val="24"/>
        </w:rPr>
        <w:t>4、质保和售后服务</w:t>
      </w:r>
    </w:p>
    <w:p>
      <w:pPr>
        <w:autoSpaceDE w:val="0"/>
        <w:adjustRightInd w:val="0"/>
        <w:spacing w:line="480" w:lineRule="exact"/>
        <w:ind w:firstLine="480" w:firstLineChars="200"/>
        <w:jc w:val="left"/>
        <w:rPr>
          <w:rFonts w:ascii="宋体" w:hAnsi="宋体" w:cs="宋体"/>
          <w:sz w:val="24"/>
        </w:rPr>
      </w:pPr>
      <w:r>
        <w:rPr>
          <w:rFonts w:hint="eastAsia" w:ascii="宋体" w:hAnsi="宋体" w:cs="宋体"/>
          <w:sz w:val="24"/>
        </w:rPr>
        <w:t>（1）免费质保期：不少于四年（特殊标注除外）。在质保期内，供应商免费修理并负责更换有缺陷零件。供应商应保证产品完全符合合同约定的质量、规格的要求，同时还应保证其产品在经安装、正常运转和保养的条件下，在其使用寿命期内具有满足技术规范要求的性能。在此期间如发现货物不符合要求或由于供应商责任所造成的任何货物质量问题，采购人于发现质量问题的5日内向供应商提出异议和处理意见。供应商在收到甲方提出的异议和处理意见后必须在5日内负责处理，否则即视同默认采购人提出的异议和处理意见。</w:t>
      </w:r>
    </w:p>
    <w:p>
      <w:pPr>
        <w:autoSpaceDE w:val="0"/>
        <w:adjustRightInd w:val="0"/>
        <w:spacing w:line="480" w:lineRule="exact"/>
        <w:ind w:firstLine="480" w:firstLineChars="200"/>
        <w:jc w:val="left"/>
        <w:rPr>
          <w:rFonts w:ascii="宋体" w:hAnsi="宋体" w:cs="宋体"/>
          <w:sz w:val="24"/>
        </w:rPr>
      </w:pPr>
      <w:r>
        <w:rPr>
          <w:rFonts w:hint="eastAsia" w:ascii="宋体" w:hAnsi="宋体" w:cs="宋体"/>
          <w:sz w:val="24"/>
        </w:rPr>
        <w:t>（2） 在产品免费质保期之内，供应商对由于产品设计、工艺、材料、制造等方面的缺陷而造成的任何产品质量问题或故障负责并承担相应所有费用；供应商对其提供的货物进行现场维修、损坏件免费更换，不收取额外费用。因前述原因导致的再次检测费用由供应商承担。</w:t>
      </w:r>
    </w:p>
    <w:p>
      <w:pPr>
        <w:autoSpaceDE w:val="0"/>
        <w:adjustRightInd w:val="0"/>
        <w:spacing w:line="480" w:lineRule="exact"/>
        <w:ind w:firstLine="480" w:firstLineChars="200"/>
        <w:jc w:val="left"/>
        <w:rPr>
          <w:rFonts w:ascii="宋体" w:hAnsi="宋体" w:cs="宋体"/>
          <w:sz w:val="24"/>
        </w:rPr>
      </w:pPr>
      <w:r>
        <w:rPr>
          <w:rFonts w:hint="eastAsia" w:ascii="宋体" w:hAnsi="宋体" w:cs="宋体"/>
          <w:sz w:val="24"/>
        </w:rPr>
        <w:t>（3）对于非产品质量原因出现的损坏事故，供应商应无条件地提供备品配件，参与服务，只收取成本费用。</w:t>
      </w:r>
    </w:p>
    <w:p>
      <w:pPr>
        <w:autoSpaceDE w:val="0"/>
        <w:adjustRightInd w:val="0"/>
        <w:spacing w:line="480" w:lineRule="exact"/>
        <w:ind w:firstLine="480" w:firstLineChars="200"/>
        <w:jc w:val="left"/>
        <w:rPr>
          <w:rFonts w:ascii="宋体" w:hAnsi="宋体" w:cs="宋体"/>
          <w:sz w:val="24"/>
        </w:rPr>
      </w:pPr>
      <w:r>
        <w:rPr>
          <w:rFonts w:hint="eastAsia" w:ascii="宋体" w:hAnsi="宋体" w:cs="宋体"/>
          <w:sz w:val="24"/>
        </w:rPr>
        <w:t>（4） 投标人在投标文件中应提供具体售后服务的内容、服务措施、服务响应时间、相关承诺等。</w:t>
      </w:r>
    </w:p>
    <w:p>
      <w:pPr>
        <w:autoSpaceDE w:val="0"/>
        <w:adjustRightInd w:val="0"/>
        <w:spacing w:line="480" w:lineRule="exact"/>
        <w:ind w:firstLine="480" w:firstLineChars="200"/>
        <w:jc w:val="left"/>
        <w:rPr>
          <w:rFonts w:ascii="宋体" w:hAnsi="宋体" w:cs="宋体"/>
          <w:sz w:val="24"/>
        </w:rPr>
      </w:pPr>
      <w:r>
        <w:rPr>
          <w:rFonts w:hint="eastAsia" w:ascii="宋体" w:hAnsi="宋体" w:cs="宋体"/>
          <w:sz w:val="24"/>
        </w:rPr>
        <w:t>（5） 除非经采购人同意外，供应商应在收到故障通知后24小时内到达现场，并应在收到通知后24小时内免费修复或更换。</w:t>
      </w:r>
    </w:p>
    <w:p>
      <w:pPr>
        <w:autoSpaceDE w:val="0"/>
        <w:adjustRightInd w:val="0"/>
        <w:spacing w:line="480" w:lineRule="exact"/>
        <w:ind w:firstLine="480" w:firstLineChars="200"/>
        <w:jc w:val="left"/>
        <w:rPr>
          <w:rFonts w:ascii="宋体" w:hAnsi="宋体" w:cs="宋体"/>
          <w:sz w:val="24"/>
        </w:rPr>
      </w:pPr>
      <w:r>
        <w:rPr>
          <w:rFonts w:hint="eastAsia" w:ascii="宋体" w:hAnsi="宋体" w:cs="宋体"/>
          <w:sz w:val="24"/>
        </w:rPr>
        <w:t>（6）如果供应商在收到通知后24小时没有修复或更换，采购人可采取必须的补救措施，但风险和费用将由供应商承担。</w:t>
      </w:r>
    </w:p>
    <w:p>
      <w:pPr>
        <w:autoSpaceDE w:val="0"/>
        <w:adjustRightInd w:val="0"/>
        <w:spacing w:line="480" w:lineRule="exact"/>
        <w:jc w:val="left"/>
        <w:rPr>
          <w:rFonts w:ascii="宋体" w:hAnsi="宋体" w:cs="宋体"/>
          <w:sz w:val="24"/>
        </w:rPr>
      </w:pPr>
      <w:r>
        <w:rPr>
          <w:rFonts w:hint="eastAsia" w:ascii="宋体" w:hAnsi="宋体" w:cs="宋体"/>
          <w:sz w:val="24"/>
        </w:rPr>
        <w:t>5、付款方式：本合同签订后</w:t>
      </w:r>
      <w:r>
        <w:rPr>
          <w:rFonts w:ascii="宋体" w:hAnsi="宋体" w:cs="宋体"/>
          <w:sz w:val="24"/>
        </w:rPr>
        <w:t>30</w:t>
      </w:r>
      <w:r>
        <w:rPr>
          <w:rFonts w:hint="eastAsia" w:ascii="宋体" w:hAnsi="宋体" w:cs="宋体"/>
          <w:sz w:val="24"/>
        </w:rPr>
        <w:t>个工作日内，采购人支付65%合同款；项目安装调试完成后采购人支付15%合同款，验收合格后</w:t>
      </w:r>
      <w:r>
        <w:rPr>
          <w:rFonts w:ascii="宋体" w:hAnsi="宋体" w:cs="宋体"/>
          <w:sz w:val="24"/>
        </w:rPr>
        <w:t>30</w:t>
      </w:r>
      <w:r>
        <w:rPr>
          <w:rFonts w:hint="eastAsia" w:ascii="宋体" w:hAnsi="宋体" w:cs="宋体"/>
          <w:sz w:val="24"/>
        </w:rPr>
        <w:t>个工作日内，采购人支付15%合同款；项目免费运行维护期结束后，无任何问题，且无合同纠纷的</w:t>
      </w:r>
      <w:r>
        <w:rPr>
          <w:rFonts w:ascii="宋体" w:hAnsi="宋体" w:cs="宋体"/>
          <w:sz w:val="24"/>
        </w:rPr>
        <w:t>30</w:t>
      </w:r>
      <w:r>
        <w:rPr>
          <w:rFonts w:hint="eastAsia" w:ascii="宋体" w:hAnsi="宋体" w:cs="宋体"/>
          <w:sz w:val="24"/>
        </w:rPr>
        <w:t>个工作日内支付5%的尾款。</w:t>
      </w:r>
    </w:p>
    <w:p>
      <w:pPr>
        <w:pStyle w:val="3"/>
        <w:rPr>
          <w:rFonts w:ascii="宋体" w:hAnsi="宋体" w:cs="宋体"/>
          <w:sz w:val="24"/>
          <w:highlight w:val="yellow"/>
        </w:rPr>
      </w:pPr>
    </w:p>
    <w:p/>
    <w:p/>
    <w:p>
      <w:pPr>
        <w:spacing w:line="360" w:lineRule="auto"/>
        <w:jc w:val="center"/>
        <w:rPr>
          <w:rFonts w:ascii="宋体" w:hAnsi="宋体"/>
          <w:b/>
          <w:spacing w:val="12"/>
          <w:sz w:val="40"/>
          <w:szCs w:val="40"/>
        </w:rPr>
      </w:pPr>
      <w:r>
        <w:rPr>
          <w:rFonts w:ascii="宋体" w:hAnsi="宋体"/>
          <w:b/>
          <w:sz w:val="30"/>
          <w:szCs w:val="30"/>
        </w:rPr>
        <w:t xml:space="preserve">第三章   </w:t>
      </w:r>
      <w:r>
        <w:rPr>
          <w:rFonts w:hint="eastAsia" w:ascii="宋体" w:hAnsi="宋体"/>
          <w:b/>
          <w:sz w:val="30"/>
          <w:szCs w:val="30"/>
        </w:rPr>
        <w:t>投标人</w:t>
      </w:r>
      <w:r>
        <w:rPr>
          <w:rFonts w:ascii="宋体" w:hAnsi="宋体"/>
          <w:b/>
          <w:sz w:val="30"/>
          <w:szCs w:val="30"/>
        </w:rPr>
        <w:t>须知</w:t>
      </w:r>
    </w:p>
    <w:p>
      <w:pPr>
        <w:spacing w:line="360" w:lineRule="auto"/>
        <w:jc w:val="center"/>
        <w:rPr>
          <w:rFonts w:ascii="宋体" w:hAnsi="宋体"/>
          <w:b/>
          <w:sz w:val="30"/>
          <w:szCs w:val="30"/>
        </w:rPr>
      </w:pPr>
      <w:r>
        <w:rPr>
          <w:rFonts w:ascii="宋体" w:hAnsi="宋体"/>
          <w:b/>
          <w:sz w:val="30"/>
          <w:szCs w:val="30"/>
        </w:rPr>
        <w:t>前附表</w:t>
      </w:r>
    </w:p>
    <w:tbl>
      <w:tblPr>
        <w:tblStyle w:val="29"/>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3878"/>
        <w:gridCol w:w="29"/>
        <w:gridCol w:w="1228"/>
        <w:gridCol w:w="19"/>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序号</w:t>
            </w:r>
          </w:p>
        </w:tc>
        <w:tc>
          <w:tcPr>
            <w:tcW w:w="9419" w:type="dxa"/>
            <w:gridSpan w:val="6"/>
            <w:shd w:val="clear" w:color="auto" w:fill="E0E0E0"/>
            <w:vAlign w:val="center"/>
          </w:tcPr>
          <w:p>
            <w:pPr>
              <w:spacing w:line="360" w:lineRule="auto"/>
              <w:jc w:val="center"/>
              <w:rPr>
                <w:rFonts w:ascii="宋体" w:hAnsi="宋体"/>
                <w:b/>
                <w:szCs w:val="21"/>
              </w:rPr>
            </w:pPr>
            <w:r>
              <w:rPr>
                <w:rFonts w:ascii="宋体" w:hAnsi="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1</w:t>
            </w:r>
          </w:p>
        </w:tc>
        <w:tc>
          <w:tcPr>
            <w:tcW w:w="1511" w:type="dxa"/>
            <w:shd w:val="clear" w:color="auto" w:fill="E0E0E0"/>
            <w:vAlign w:val="center"/>
          </w:tcPr>
          <w:p>
            <w:pPr>
              <w:spacing w:line="360" w:lineRule="auto"/>
              <w:jc w:val="center"/>
              <w:rPr>
                <w:rFonts w:ascii="宋体" w:hAnsi="宋体"/>
                <w:b/>
                <w:szCs w:val="21"/>
              </w:rPr>
            </w:pPr>
            <w:r>
              <w:rPr>
                <w:rFonts w:ascii="宋体" w:hAnsi="宋体"/>
                <w:b/>
                <w:szCs w:val="21"/>
              </w:rPr>
              <w:t>项目名称</w:t>
            </w:r>
          </w:p>
        </w:tc>
        <w:tc>
          <w:tcPr>
            <w:tcW w:w="3893" w:type="dxa"/>
            <w:gridSpan w:val="2"/>
            <w:shd w:val="clear" w:color="auto" w:fill="FFFFFF"/>
            <w:vAlign w:val="center"/>
          </w:tcPr>
          <w:p>
            <w:pPr>
              <w:spacing w:line="360" w:lineRule="auto"/>
              <w:rPr>
                <w:rFonts w:ascii="宋体" w:hAnsi="宋体"/>
                <w:kern w:val="0"/>
                <w:szCs w:val="21"/>
              </w:rPr>
            </w:pPr>
            <w:r>
              <w:rPr>
                <w:rFonts w:hint="eastAsia" w:ascii="宋体" w:hAnsi="宋体"/>
                <w:kern w:val="0"/>
                <w:szCs w:val="21"/>
              </w:rPr>
              <w:t>普陀区X波段相控阵天气雷达建设项目</w:t>
            </w:r>
          </w:p>
        </w:tc>
        <w:tc>
          <w:tcPr>
            <w:tcW w:w="1214" w:type="dxa"/>
            <w:shd w:val="clear" w:color="auto" w:fill="E0E0E0"/>
            <w:vAlign w:val="center"/>
          </w:tcPr>
          <w:p>
            <w:pPr>
              <w:spacing w:line="360" w:lineRule="auto"/>
              <w:jc w:val="center"/>
              <w:rPr>
                <w:rFonts w:ascii="宋体" w:hAnsi="宋体"/>
                <w:b/>
                <w:szCs w:val="21"/>
              </w:rPr>
            </w:pPr>
            <w:r>
              <w:rPr>
                <w:rFonts w:ascii="宋体" w:hAnsi="宋体"/>
                <w:b/>
                <w:szCs w:val="21"/>
              </w:rPr>
              <w:t>采购编号</w:t>
            </w:r>
          </w:p>
        </w:tc>
        <w:tc>
          <w:tcPr>
            <w:tcW w:w="2759" w:type="dxa"/>
            <w:gridSpan w:val="2"/>
            <w:shd w:val="clear" w:color="auto" w:fill="FFFFFF"/>
            <w:vAlign w:val="center"/>
          </w:tcPr>
          <w:p>
            <w:pPr>
              <w:spacing w:line="360" w:lineRule="auto"/>
              <w:rPr>
                <w:rFonts w:ascii="宋体" w:hAnsi="宋体"/>
                <w:szCs w:val="21"/>
              </w:rPr>
            </w:pPr>
            <w:r>
              <w:rPr>
                <w:rFonts w:hint="eastAsia" w:ascii="宋体" w:hAnsi="宋体"/>
                <w:szCs w:val="21"/>
                <w:shd w:val="clear" w:color="auto" w:fill="FFFFFF"/>
              </w:rPr>
              <w:t xml:space="preserve"> ZSJY2023-ZFCG-211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2</w:t>
            </w:r>
          </w:p>
        </w:tc>
        <w:tc>
          <w:tcPr>
            <w:tcW w:w="1511" w:type="dxa"/>
            <w:shd w:val="clear" w:color="auto" w:fill="E0E0E0"/>
            <w:vAlign w:val="center"/>
          </w:tcPr>
          <w:p>
            <w:pPr>
              <w:spacing w:line="360" w:lineRule="auto"/>
              <w:jc w:val="center"/>
              <w:rPr>
                <w:rFonts w:ascii="宋体" w:hAnsi="宋体"/>
                <w:b/>
                <w:szCs w:val="21"/>
              </w:rPr>
            </w:pPr>
            <w:r>
              <w:rPr>
                <w:rFonts w:ascii="宋体" w:hAnsi="宋体"/>
                <w:b/>
                <w:szCs w:val="21"/>
              </w:rPr>
              <w:t>采购内容</w:t>
            </w:r>
          </w:p>
        </w:tc>
        <w:tc>
          <w:tcPr>
            <w:tcW w:w="3864" w:type="dxa"/>
            <w:tcBorders>
              <w:right w:val="single" w:color="auto" w:sz="4" w:space="0"/>
            </w:tcBorders>
            <w:shd w:val="clear" w:color="auto" w:fill="FFFFFF"/>
            <w:vAlign w:val="center"/>
          </w:tcPr>
          <w:p>
            <w:pPr>
              <w:spacing w:line="360" w:lineRule="auto"/>
              <w:rPr>
                <w:rFonts w:ascii="宋体" w:hAnsi="宋体"/>
                <w:szCs w:val="21"/>
                <w:shd w:val="clear" w:color="auto" w:fill="FFFFFF"/>
              </w:rPr>
            </w:pPr>
            <w:r>
              <w:rPr>
                <w:rFonts w:ascii="宋体" w:hAnsi="宋体"/>
                <w:szCs w:val="21"/>
              </w:rPr>
              <w:t>详见第二章采购需求</w:t>
            </w:r>
          </w:p>
        </w:tc>
        <w:tc>
          <w:tcPr>
            <w:tcW w:w="1262" w:type="dxa"/>
            <w:gridSpan w:val="3"/>
            <w:tcBorders>
              <w:left w:val="single" w:color="auto" w:sz="4" w:space="0"/>
              <w:right w:val="single" w:color="auto" w:sz="4" w:space="0"/>
            </w:tcBorders>
            <w:shd w:val="clear" w:color="auto" w:fill="FFFFFF"/>
            <w:vAlign w:val="center"/>
          </w:tcPr>
          <w:p>
            <w:pPr>
              <w:spacing w:line="276" w:lineRule="auto"/>
              <w:jc w:val="center"/>
              <w:rPr>
                <w:rFonts w:ascii="宋体" w:hAnsi="宋体"/>
                <w:b/>
                <w:szCs w:val="21"/>
              </w:rPr>
            </w:pPr>
            <w:r>
              <w:rPr>
                <w:rFonts w:ascii="宋体" w:hAnsi="宋体"/>
                <w:b/>
                <w:szCs w:val="21"/>
              </w:rPr>
              <w:t>资金来源</w:t>
            </w:r>
          </w:p>
        </w:tc>
        <w:tc>
          <w:tcPr>
            <w:tcW w:w="2740" w:type="dxa"/>
            <w:tcBorders>
              <w:left w:val="single" w:color="auto" w:sz="4" w:space="0"/>
            </w:tcBorders>
            <w:shd w:val="clear" w:color="auto" w:fill="FFFFFF"/>
            <w:vAlign w:val="center"/>
          </w:tcPr>
          <w:p>
            <w:pPr>
              <w:spacing w:line="276" w:lineRule="auto"/>
              <w:rPr>
                <w:rFonts w:ascii="宋体" w:hAnsi="宋体"/>
                <w:szCs w:val="21"/>
                <w:shd w:val="clear" w:color="auto" w:fill="FFFFFF"/>
              </w:rPr>
            </w:pPr>
            <w:r>
              <w:rPr>
                <w:rFonts w:ascii="宋体" w:hAnsi="宋体"/>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3</w:t>
            </w:r>
          </w:p>
        </w:tc>
        <w:tc>
          <w:tcPr>
            <w:tcW w:w="1511" w:type="dxa"/>
            <w:shd w:val="clear" w:color="auto" w:fill="E0E0E0"/>
            <w:vAlign w:val="center"/>
          </w:tcPr>
          <w:p>
            <w:pPr>
              <w:jc w:val="center"/>
              <w:rPr>
                <w:rFonts w:ascii="宋体" w:hAnsi="宋体"/>
                <w:b/>
                <w:szCs w:val="21"/>
              </w:rPr>
            </w:pPr>
            <w:r>
              <w:rPr>
                <w:rFonts w:ascii="宋体" w:hAnsi="宋体"/>
                <w:b/>
                <w:szCs w:val="21"/>
              </w:rPr>
              <w:t>项目预算</w:t>
            </w:r>
          </w:p>
        </w:tc>
        <w:tc>
          <w:tcPr>
            <w:tcW w:w="7894" w:type="dxa"/>
            <w:gridSpan w:val="5"/>
            <w:shd w:val="clear" w:color="auto" w:fill="FFFFFF"/>
            <w:vAlign w:val="center"/>
          </w:tcPr>
          <w:p>
            <w:pPr>
              <w:rPr>
                <w:rFonts w:ascii="宋体" w:cs="宋体"/>
                <w:kern w:val="0"/>
                <w:szCs w:val="21"/>
              </w:rPr>
            </w:pPr>
            <w:r>
              <w:rPr>
                <w:rFonts w:hint="eastAsia" w:ascii="宋体" w:hAnsi="宋体" w:cs="宋体"/>
                <w:szCs w:val="21"/>
              </w:rPr>
              <w:t>913.0445</w:t>
            </w:r>
            <w:r>
              <w:rPr>
                <w:rFonts w:ascii="宋体" w:hAnsi="宋体"/>
                <w:szCs w:val="21"/>
              </w:rPr>
              <w:t>万</w:t>
            </w: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4</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踏勘现场</w:t>
            </w:r>
          </w:p>
        </w:tc>
        <w:tc>
          <w:tcPr>
            <w:tcW w:w="7894" w:type="dxa"/>
            <w:gridSpan w:val="5"/>
            <w:shd w:val="clear" w:color="auto" w:fill="FFFFFF"/>
            <w:vAlign w:val="center"/>
          </w:tcPr>
          <w:p>
            <w:pPr>
              <w:spacing w:line="276" w:lineRule="auto"/>
              <w:rPr>
                <w:rFonts w:ascii="宋体" w:hAnsi="宋体"/>
                <w:szCs w:val="21"/>
              </w:rPr>
            </w:pPr>
            <w:r>
              <w:rPr>
                <w:rFonts w:hint="eastAsia" w:ascii="宋体" w:hAnsi="宋体"/>
                <w:szCs w:val="21"/>
              </w:rPr>
              <w:t>本项目要求投标人</w:t>
            </w:r>
            <w:r>
              <w:rPr>
                <w:rFonts w:ascii="宋体" w:hAnsi="宋体"/>
                <w:szCs w:val="21"/>
              </w:rPr>
              <w:t>进行现场踏勘，代理机构不组织踏勘</w:t>
            </w:r>
            <w:r>
              <w:rPr>
                <w:rFonts w:hint="eastAsia" w:ascii="宋体" w:hAnsi="宋体"/>
                <w:szCs w:val="21"/>
              </w:rPr>
              <w:t>，投标人自行与采购人联系进</w:t>
            </w:r>
            <w:r>
              <w:rPr>
                <w:rFonts w:ascii="宋体" w:hAnsi="宋体"/>
                <w:szCs w:val="21"/>
              </w:rPr>
              <w:t>行</w:t>
            </w:r>
            <w:r>
              <w:rPr>
                <w:rFonts w:hint="eastAsia" w:ascii="宋体" w:hAnsi="宋体"/>
                <w:szCs w:val="21"/>
              </w:rPr>
              <w:t>现场</w:t>
            </w:r>
            <w:r>
              <w:rPr>
                <w:rFonts w:ascii="宋体" w:hAnsi="宋体"/>
                <w:szCs w:val="21"/>
              </w:rPr>
              <w:t>踏勘</w:t>
            </w:r>
            <w:r>
              <w:rPr>
                <w:rFonts w:hint="eastAsia" w:ascii="宋体" w:hAnsi="宋体"/>
                <w:szCs w:val="21"/>
              </w:rPr>
              <w:t>，投标人没有</w:t>
            </w:r>
            <w:r>
              <w:rPr>
                <w:rFonts w:ascii="宋体" w:hAnsi="宋体"/>
                <w:szCs w:val="21"/>
              </w:rPr>
              <w:t>现场踏勘</w:t>
            </w:r>
            <w:r>
              <w:rPr>
                <w:rFonts w:hint="eastAsia" w:ascii="宋体" w:hAnsi="宋体"/>
                <w:szCs w:val="21"/>
              </w:rPr>
              <w:t>的，</w:t>
            </w:r>
            <w:r>
              <w:rPr>
                <w:rFonts w:ascii="宋体" w:hAnsi="宋体"/>
                <w:szCs w:val="21"/>
              </w:rPr>
              <w:t>应承</w:t>
            </w:r>
            <w:r>
              <w:rPr>
                <w:rFonts w:hint="eastAsia" w:ascii="宋体" w:hAnsi="宋体"/>
                <w:szCs w:val="21"/>
              </w:rPr>
              <w:t>相应的</w:t>
            </w:r>
            <w:r>
              <w:rPr>
                <w:rFonts w:ascii="宋体" w:hAnsi="宋体"/>
                <w:szCs w:val="21"/>
              </w:rPr>
              <w:t>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5</w:t>
            </w:r>
          </w:p>
        </w:tc>
        <w:tc>
          <w:tcPr>
            <w:tcW w:w="1511" w:type="dxa"/>
            <w:shd w:val="clear" w:color="auto" w:fill="E0E0E0"/>
            <w:vAlign w:val="center"/>
          </w:tcPr>
          <w:p>
            <w:pPr>
              <w:jc w:val="center"/>
              <w:rPr>
                <w:rFonts w:ascii="宋体" w:hAnsi="宋体"/>
                <w:szCs w:val="21"/>
              </w:rPr>
            </w:pPr>
            <w:r>
              <w:rPr>
                <w:rFonts w:hint="eastAsia" w:ascii="宋体" w:hAnsi="宋体"/>
                <w:b/>
                <w:szCs w:val="21"/>
              </w:rPr>
              <w:t>服务期</w:t>
            </w:r>
          </w:p>
        </w:tc>
        <w:tc>
          <w:tcPr>
            <w:tcW w:w="7894" w:type="dxa"/>
            <w:gridSpan w:val="5"/>
            <w:shd w:val="clear" w:color="auto" w:fill="FFFFFF"/>
            <w:vAlign w:val="center"/>
          </w:tcPr>
          <w:p>
            <w:pPr>
              <w:spacing w:line="360" w:lineRule="exact"/>
              <w:rPr>
                <w:rFonts w:ascii="宋体" w:hAnsi="宋体"/>
                <w:szCs w:val="21"/>
              </w:rPr>
            </w:pPr>
            <w:r>
              <w:rPr>
                <w:rFonts w:hint="eastAsia" w:ascii="宋体" w:hAnsi="宋体" w:cs="宋体"/>
                <w:kern w:val="0"/>
                <w:szCs w:val="21"/>
              </w:rPr>
              <w:t>合同签订后</w:t>
            </w:r>
            <w:r>
              <w:rPr>
                <w:rFonts w:ascii="宋体" w:hAnsi="宋体" w:cs="宋体"/>
                <w:kern w:val="0"/>
                <w:szCs w:val="21"/>
              </w:rPr>
              <w:t>300</w:t>
            </w:r>
            <w:r>
              <w:rPr>
                <w:rFonts w:hint="eastAsia" w:ascii="宋体" w:hAnsi="宋体" w:cs="宋体"/>
                <w:kern w:val="0"/>
                <w:szCs w:val="21"/>
              </w:rPr>
              <w:t>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6</w:t>
            </w:r>
          </w:p>
        </w:tc>
        <w:tc>
          <w:tcPr>
            <w:tcW w:w="1511" w:type="dxa"/>
            <w:shd w:val="clear" w:color="auto" w:fill="E0E0E0"/>
            <w:vAlign w:val="center"/>
          </w:tcPr>
          <w:p>
            <w:pPr>
              <w:spacing w:line="276" w:lineRule="auto"/>
              <w:jc w:val="center"/>
              <w:rPr>
                <w:rFonts w:ascii="宋体" w:hAnsi="宋体" w:cs="宋体"/>
                <w:szCs w:val="21"/>
              </w:rPr>
            </w:pPr>
            <w:r>
              <w:rPr>
                <w:rFonts w:ascii="宋体" w:hAnsi="宋体"/>
                <w:b/>
                <w:szCs w:val="21"/>
              </w:rPr>
              <w:t>投标有效期</w:t>
            </w:r>
          </w:p>
        </w:tc>
        <w:tc>
          <w:tcPr>
            <w:tcW w:w="7894" w:type="dxa"/>
            <w:gridSpan w:val="5"/>
            <w:shd w:val="clear" w:color="auto" w:fill="FFFFFF"/>
            <w:vAlign w:val="center"/>
          </w:tcPr>
          <w:p>
            <w:pPr>
              <w:spacing w:line="276" w:lineRule="auto"/>
              <w:rPr>
                <w:rFonts w:ascii="宋体" w:hAnsi="宋体" w:cs="宋体"/>
                <w:szCs w:val="21"/>
              </w:rPr>
            </w:pPr>
            <w:r>
              <w:rPr>
                <w:rFonts w:ascii="宋体" w:hAnsi="宋体"/>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7</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评标办法</w:t>
            </w:r>
          </w:p>
        </w:tc>
        <w:tc>
          <w:tcPr>
            <w:tcW w:w="7894" w:type="dxa"/>
            <w:gridSpan w:val="5"/>
            <w:shd w:val="clear" w:color="auto" w:fill="FFFFFF"/>
            <w:vAlign w:val="center"/>
          </w:tcPr>
          <w:p>
            <w:pPr>
              <w:spacing w:line="276" w:lineRule="auto"/>
              <w:rPr>
                <w:rFonts w:ascii="宋体" w:hAnsi="宋体"/>
                <w:szCs w:val="21"/>
              </w:rPr>
            </w:pPr>
            <w:r>
              <w:rPr>
                <w:rFonts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8</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签订合同</w:t>
            </w:r>
          </w:p>
        </w:tc>
        <w:tc>
          <w:tcPr>
            <w:tcW w:w="7894" w:type="dxa"/>
            <w:gridSpan w:val="5"/>
            <w:shd w:val="clear" w:color="auto" w:fill="FFFFFF"/>
            <w:vAlign w:val="center"/>
          </w:tcPr>
          <w:p>
            <w:pPr>
              <w:spacing w:line="276" w:lineRule="auto"/>
              <w:rPr>
                <w:rFonts w:ascii="宋体" w:hAnsi="宋体"/>
                <w:szCs w:val="21"/>
              </w:rPr>
            </w:pPr>
            <w:r>
              <w:rPr>
                <w:rFonts w:ascii="宋体" w:hAnsi="宋体"/>
                <w:szCs w:val="21"/>
              </w:rPr>
              <w:t>中标通知书发出后</w:t>
            </w:r>
            <w:r>
              <w:rPr>
                <w:rFonts w:ascii="宋体" w:hAnsi="宋体"/>
                <w:szCs w:val="21"/>
                <w:u w:val="single"/>
              </w:rPr>
              <w:t xml:space="preserve"> </w:t>
            </w:r>
            <w:r>
              <w:rPr>
                <w:rFonts w:hint="eastAsia" w:ascii="宋体" w:hAnsi="宋体"/>
                <w:szCs w:val="21"/>
                <w:u w:val="single"/>
              </w:rPr>
              <w:t>1</w:t>
            </w:r>
            <w:r>
              <w:rPr>
                <w:rFonts w:ascii="宋体" w:hAnsi="宋体"/>
                <w:szCs w:val="21"/>
                <w:u w:val="single"/>
              </w:rPr>
              <w:t xml:space="preserve">0 </w:t>
            </w:r>
            <w:r>
              <w:rPr>
                <w:rFonts w:ascii="宋体" w:hAnsi="宋体"/>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9</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资金结算</w:t>
            </w:r>
          </w:p>
        </w:tc>
        <w:tc>
          <w:tcPr>
            <w:tcW w:w="7894" w:type="dxa"/>
            <w:gridSpan w:val="5"/>
            <w:shd w:val="clear" w:color="auto" w:fill="FFFFFF"/>
            <w:vAlign w:val="center"/>
          </w:tcPr>
          <w:p>
            <w:pPr>
              <w:adjustRightInd w:val="0"/>
              <w:snapToGrid w:val="0"/>
            </w:pPr>
            <w:r>
              <w:rPr>
                <w:rFonts w:hint="eastAsia" w:ascii="宋体" w:hAnsi="宋体"/>
                <w:szCs w:val="21"/>
              </w:rPr>
              <w:t>本合同签订后</w:t>
            </w:r>
            <w:r>
              <w:rPr>
                <w:rFonts w:ascii="宋体" w:hAnsi="宋体"/>
                <w:szCs w:val="21"/>
              </w:rPr>
              <w:t>30</w:t>
            </w:r>
            <w:r>
              <w:rPr>
                <w:rFonts w:hint="eastAsia" w:ascii="宋体" w:hAnsi="宋体"/>
                <w:szCs w:val="21"/>
              </w:rPr>
              <w:t>个工作日内，采购人支付65%合同款；项目安装调试完成后采购人支付15%合同款，验收合格后</w:t>
            </w:r>
            <w:r>
              <w:rPr>
                <w:rFonts w:ascii="宋体" w:hAnsi="宋体"/>
                <w:szCs w:val="21"/>
              </w:rPr>
              <w:t>30</w:t>
            </w:r>
            <w:r>
              <w:rPr>
                <w:rFonts w:hint="eastAsia" w:ascii="宋体" w:hAnsi="宋体"/>
                <w:szCs w:val="21"/>
              </w:rPr>
              <w:t>个工作日内，采购人支付15%合同款；项目免费运行维护期结束后，无任何问题，且无合同纠纷的</w:t>
            </w:r>
            <w:r>
              <w:rPr>
                <w:rFonts w:ascii="宋体" w:hAnsi="宋体"/>
                <w:szCs w:val="21"/>
              </w:rPr>
              <w:t>30</w:t>
            </w:r>
            <w:r>
              <w:rPr>
                <w:rFonts w:hint="eastAsia" w:ascii="宋体" w:hAnsi="宋体"/>
                <w:szCs w:val="21"/>
              </w:rPr>
              <w:t>个工作日内支付5%的尾款。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10</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投标报价</w:t>
            </w:r>
          </w:p>
          <w:p>
            <w:pPr>
              <w:spacing w:line="276" w:lineRule="auto"/>
              <w:jc w:val="center"/>
              <w:rPr>
                <w:rFonts w:ascii="宋体" w:hAnsi="宋体"/>
                <w:b/>
                <w:szCs w:val="21"/>
              </w:rPr>
            </w:pPr>
            <w:r>
              <w:rPr>
                <w:rFonts w:ascii="宋体" w:hAnsi="宋体"/>
                <w:b/>
                <w:szCs w:val="21"/>
              </w:rPr>
              <w:t>与费用</w:t>
            </w:r>
          </w:p>
        </w:tc>
        <w:tc>
          <w:tcPr>
            <w:tcW w:w="7894" w:type="dxa"/>
            <w:gridSpan w:val="5"/>
            <w:shd w:val="clear" w:color="auto" w:fill="FFFFFF"/>
            <w:vAlign w:val="center"/>
          </w:tcPr>
          <w:p>
            <w:pPr>
              <w:adjustRightInd w:val="0"/>
              <w:snapToGrid w:val="0"/>
              <w:rPr>
                <w:rFonts w:ascii="宋体" w:hAnsi="宋体"/>
                <w:szCs w:val="21"/>
              </w:rPr>
            </w:pPr>
            <w:r>
              <w:rPr>
                <w:rFonts w:hint="eastAsia" w:ascii="宋体" w:hAnsi="宋体"/>
                <w:szCs w:val="21"/>
              </w:rPr>
              <w:t>1、投标报价是履行合同的最终价格。投标报价为投标供应商所能承受的最低、最终一次性报价。供应商的报价为整个采购项目的总报价，清单或报价明细表如有漏项，视同漏项内容已包含在其总报价中，合同总价不做调整。</w:t>
            </w:r>
          </w:p>
          <w:p>
            <w:pPr>
              <w:adjustRightInd w:val="0"/>
              <w:snapToGrid w:val="0"/>
            </w:pPr>
            <w:r>
              <w:rPr>
                <w:rFonts w:hint="eastAsia" w:ascii="宋体" w:hAnsi="宋体"/>
                <w:szCs w:val="21"/>
              </w:rPr>
              <w:t>2、投标人应承担其参加本招标活动自身所发生的费用。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1</w:t>
            </w:r>
          </w:p>
        </w:tc>
        <w:tc>
          <w:tcPr>
            <w:tcW w:w="1511" w:type="dxa"/>
            <w:shd w:val="clear" w:color="auto" w:fill="E0E0E0"/>
            <w:vAlign w:val="center"/>
          </w:tcPr>
          <w:p>
            <w:pPr>
              <w:adjustRightInd w:val="0"/>
              <w:snapToGrid w:val="0"/>
              <w:jc w:val="center"/>
              <w:rPr>
                <w:rFonts w:ascii="宋体" w:hAnsi="宋体"/>
                <w:b/>
                <w:szCs w:val="21"/>
                <w:highlight w:val="yellow"/>
              </w:rPr>
            </w:pPr>
            <w:r>
              <w:rPr>
                <w:rFonts w:hint="eastAsia" w:ascii="宋体" w:hAnsi="宋体" w:cs="宋体"/>
                <w:b/>
                <w:szCs w:val="21"/>
              </w:rPr>
              <w:t>履约保证金</w:t>
            </w:r>
          </w:p>
        </w:tc>
        <w:tc>
          <w:tcPr>
            <w:tcW w:w="7894" w:type="dxa"/>
            <w:gridSpan w:val="5"/>
            <w:shd w:val="clear" w:color="auto" w:fill="FFFFFF"/>
            <w:vAlign w:val="center"/>
          </w:tcPr>
          <w:p>
            <w:pPr>
              <w:spacing w:line="276" w:lineRule="auto"/>
              <w:rPr>
                <w:rFonts w:hAnsi="宋体"/>
                <w:highlight w:val="yellow"/>
              </w:rPr>
            </w:pPr>
            <w:r>
              <w:rPr>
                <w:rFonts w:hint="eastAsia"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2</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投标文件</w:t>
            </w:r>
          </w:p>
          <w:p>
            <w:pPr>
              <w:spacing w:line="276" w:lineRule="auto"/>
              <w:jc w:val="center"/>
              <w:rPr>
                <w:rFonts w:ascii="宋体" w:hAnsi="宋体"/>
                <w:b/>
                <w:szCs w:val="21"/>
              </w:rPr>
            </w:pPr>
            <w:r>
              <w:rPr>
                <w:rFonts w:ascii="宋体" w:hAnsi="宋体"/>
                <w:b/>
                <w:szCs w:val="21"/>
              </w:rPr>
              <w:t>的组成</w:t>
            </w:r>
          </w:p>
        </w:tc>
        <w:tc>
          <w:tcPr>
            <w:tcW w:w="7894" w:type="dxa"/>
            <w:gridSpan w:val="5"/>
            <w:shd w:val="clear" w:color="auto" w:fill="FFFFFF"/>
            <w:vAlign w:val="center"/>
          </w:tcPr>
          <w:p>
            <w:pPr>
              <w:pStyle w:val="9"/>
              <w:spacing w:line="276" w:lineRule="auto"/>
              <w:rPr>
                <w:rFonts w:ascii="宋体" w:hAnsi="宋体"/>
              </w:rPr>
            </w:pPr>
            <w:r>
              <w:rPr>
                <w:rFonts w:ascii="宋体" w:hAnsi="宋体"/>
                <w:sz w:val="21"/>
              </w:rPr>
              <w:t>投标文件</w:t>
            </w:r>
            <w:r>
              <w:rPr>
                <w:rFonts w:hint="eastAsia" w:ascii="宋体" w:hAnsi="宋体"/>
                <w:sz w:val="21"/>
              </w:rPr>
              <w:t>由资格响应文件</w:t>
            </w:r>
            <w:r>
              <w:rPr>
                <w:rFonts w:ascii="宋体" w:hAnsi="宋体"/>
                <w:sz w:val="21"/>
              </w:rPr>
              <w:t>、</w:t>
            </w:r>
            <w:r>
              <w:rPr>
                <w:rFonts w:hint="eastAsia" w:ascii="宋体" w:hAnsi="宋体"/>
                <w:sz w:val="21"/>
              </w:rPr>
              <w:t>商务及技术响应文件</w:t>
            </w:r>
            <w:r>
              <w:rPr>
                <w:rFonts w:ascii="宋体" w:hAnsi="宋体"/>
                <w:sz w:val="21"/>
              </w:rPr>
              <w:t>、报价</w:t>
            </w:r>
            <w:r>
              <w:rPr>
                <w:rFonts w:hint="eastAsia" w:ascii="宋体" w:hAnsi="宋体"/>
                <w:sz w:val="21"/>
              </w:rPr>
              <w:t>文件三</w:t>
            </w:r>
            <w:r>
              <w:rPr>
                <w:rFonts w:ascii="宋体" w:hAnsi="宋体"/>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p>
        </w:tc>
        <w:tc>
          <w:tcPr>
            <w:tcW w:w="1511" w:type="dxa"/>
            <w:shd w:val="clear" w:color="auto" w:fill="E0E0E0"/>
            <w:vAlign w:val="center"/>
          </w:tcPr>
          <w:p>
            <w:pPr>
              <w:spacing w:line="276" w:lineRule="auto"/>
              <w:jc w:val="center"/>
              <w:rPr>
                <w:rFonts w:ascii="宋体" w:hAnsi="宋体"/>
                <w:b/>
                <w:szCs w:val="21"/>
              </w:rPr>
            </w:pPr>
            <w:r>
              <w:rPr>
                <w:rFonts w:hint="eastAsia" w:ascii="宋体" w:hAnsi="宋体"/>
                <w:b/>
                <w:szCs w:val="21"/>
              </w:rPr>
              <w:t>投标文件</w:t>
            </w:r>
          </w:p>
          <w:p>
            <w:pPr>
              <w:spacing w:line="276" w:lineRule="auto"/>
              <w:jc w:val="center"/>
              <w:rPr>
                <w:rFonts w:ascii="宋体" w:hAnsi="宋体"/>
                <w:b/>
                <w:szCs w:val="21"/>
              </w:rPr>
            </w:pPr>
            <w:r>
              <w:rPr>
                <w:rFonts w:hint="eastAsia" w:ascii="宋体" w:hAnsi="宋体"/>
                <w:b/>
                <w:szCs w:val="21"/>
              </w:rPr>
              <w:t>的递交</w:t>
            </w:r>
          </w:p>
        </w:tc>
        <w:tc>
          <w:tcPr>
            <w:tcW w:w="7894" w:type="dxa"/>
            <w:gridSpan w:val="5"/>
            <w:shd w:val="clear" w:color="auto" w:fill="FFFFFF"/>
            <w:vAlign w:val="center"/>
          </w:tcPr>
          <w:p>
            <w:pPr>
              <w:wordWrap w:val="0"/>
              <w:spacing w:line="360" w:lineRule="exact"/>
            </w:pPr>
            <w:r>
              <w:rPr>
                <w:rFonts w:hint="eastAsia"/>
              </w:rPr>
              <w:t>在开标截至时间前须在政采云系统里上传加密的电子版投标文件。同时还须递交一份未加密的电子版投标文件，该电子投标文件应为政采云投标客户端生成的电子标书（后缀名为.bfbs）,投标人解密异常或未按时解密时应急使用），介质可以是U盘或DVD光盘。</w:t>
            </w:r>
          </w:p>
          <w:p>
            <w:pPr>
              <w:pStyle w:val="9"/>
              <w:rPr>
                <w:sz w:val="21"/>
              </w:rPr>
            </w:pPr>
            <w:r>
              <w:rPr>
                <w:rFonts w:hint="eastAsia"/>
                <w:sz w:val="21"/>
              </w:rPr>
              <w:t>备份投标文件于</w:t>
            </w:r>
            <w:r>
              <w:rPr>
                <w:rFonts w:hint="eastAsia" w:ascii="宋体" w:hAnsi="宋体" w:cs="宋体"/>
                <w:sz w:val="21"/>
                <w:szCs w:val="21"/>
              </w:rPr>
              <w:t>2023年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14</w:t>
            </w:r>
            <w:r>
              <w:rPr>
                <w:rFonts w:hint="eastAsia" w:ascii="宋体" w:hAnsi="宋体" w:cs="宋体"/>
                <w:sz w:val="21"/>
                <w:szCs w:val="21"/>
              </w:rPr>
              <w:t>日</w:t>
            </w:r>
            <w:r>
              <w:rPr>
                <w:rFonts w:hint="eastAsia" w:ascii="宋体" w:hAnsi="宋体" w:cs="宋体"/>
                <w:sz w:val="21"/>
                <w:szCs w:val="21"/>
                <w:lang w:val="en-US" w:eastAsia="zh-CN"/>
              </w:rPr>
              <w:t>17</w:t>
            </w:r>
            <w:r>
              <w:rPr>
                <w:rFonts w:hint="eastAsia" w:ascii="宋体" w:hAnsi="宋体" w:cs="宋体"/>
                <w:sz w:val="21"/>
                <w:szCs w:val="21"/>
              </w:rPr>
              <w:t>时</w:t>
            </w:r>
            <w:r>
              <w:rPr>
                <w:rFonts w:hint="eastAsia" w:ascii="宋体" w:hAnsi="宋体" w:cs="宋体"/>
                <w:sz w:val="21"/>
                <w:szCs w:val="21"/>
                <w:lang w:val="en-US" w:eastAsia="zh-CN"/>
              </w:rPr>
              <w:t>00</w:t>
            </w:r>
            <w:r>
              <w:rPr>
                <w:rFonts w:hint="eastAsia" w:ascii="宋体" w:hAnsi="宋体" w:cs="宋体"/>
                <w:sz w:val="21"/>
                <w:szCs w:val="21"/>
              </w:rPr>
              <w:t>分</w:t>
            </w:r>
            <w:r>
              <w:rPr>
                <w:rFonts w:hint="eastAsia"/>
                <w:sz w:val="21"/>
              </w:rPr>
              <w:t>（北京时间）前通过邮寄或派人递送的方式送交到招标代理机构处（地址详见联系方式），未按时送达的自行承担风险；也可以开标现场递交。备份投标文件须密封完好，并注明投标人单位名称。投标人未按规定递交的备份投标文件，采购人有权拒收。</w:t>
            </w:r>
          </w:p>
          <w:p>
            <w:pPr>
              <w:snapToGrid w:val="0"/>
            </w:pPr>
            <w:r>
              <w:rPr>
                <w:rFonts w:hint="eastAsia"/>
              </w:rPr>
              <w:t>邮寄地址：舟山市定海区临城街道定沈路586号建设大厦D座11楼1106室</w:t>
            </w:r>
          </w:p>
          <w:p>
            <w:pPr>
              <w:snapToGrid w:val="0"/>
              <w:rPr>
                <w:szCs w:val="22"/>
              </w:rPr>
            </w:pPr>
            <w:r>
              <w:rPr>
                <w:rFonts w:hint="eastAsia"/>
              </w:rPr>
              <w:t>收件人：陈萍，电话：0580-2608985</w:t>
            </w:r>
          </w:p>
          <w:p>
            <w:pPr>
              <w:ind w:firstLine="420" w:firstLineChars="200"/>
              <w:rPr>
                <w:b/>
                <w:bCs/>
                <w:szCs w:val="22"/>
              </w:rPr>
            </w:pPr>
            <w:r>
              <w:rPr>
                <w:rFonts w:hint="eastAsia"/>
                <w:szCs w:val="22"/>
              </w:rPr>
              <w:t>投标人递交备份投标文件时，如出现下列情况之一的，</w:t>
            </w:r>
            <w:r>
              <w:rPr>
                <w:rFonts w:hint="eastAsia"/>
                <w:b/>
                <w:bCs/>
                <w:szCs w:val="22"/>
              </w:rPr>
              <w:t>将被拒收：</w:t>
            </w:r>
          </w:p>
          <w:p>
            <w:pPr>
              <w:ind w:firstLine="420" w:firstLineChars="200"/>
              <w:rPr>
                <w:szCs w:val="22"/>
              </w:rPr>
            </w:pPr>
            <w:r>
              <w:rPr>
                <w:rFonts w:hint="eastAsia"/>
                <w:szCs w:val="22"/>
              </w:rPr>
              <w:t>1、未按规定密封或标记的投标文件；</w:t>
            </w:r>
          </w:p>
          <w:p>
            <w:pPr>
              <w:ind w:firstLine="420" w:firstLineChars="200"/>
              <w:rPr>
                <w:szCs w:val="22"/>
              </w:rPr>
            </w:pPr>
            <w:r>
              <w:rPr>
                <w:rFonts w:hint="eastAsia"/>
                <w:szCs w:val="22"/>
              </w:rPr>
              <w:t>2、仅提供备份投标文件的，投标无效。</w:t>
            </w:r>
          </w:p>
          <w:p>
            <w:pPr>
              <w:wordWrap w:val="0"/>
              <w:spacing w:line="360" w:lineRule="exact"/>
            </w:pPr>
            <w:r>
              <w:rPr>
                <w:rFonts w:hint="eastAsia"/>
              </w:rPr>
              <w:t>当发生解密失败或未按时解密的，如投标人未按要求提交备份电子投标文件的，造成项目开评标活动无法进行下去的，投标无效，</w:t>
            </w:r>
            <w:r>
              <w:rPr>
                <w:rFonts w:hint="eastAsia"/>
                <w:szCs w:val="22"/>
              </w:rPr>
              <w:t>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tblCellSpacing w:w="7" w:type="dxa"/>
          <w:jc w:val="center"/>
        </w:trPr>
        <w:tc>
          <w:tcPr>
            <w:tcW w:w="598" w:type="dxa"/>
            <w:shd w:val="clear" w:color="auto" w:fill="E0E0E0"/>
            <w:vAlign w:val="center"/>
          </w:tcPr>
          <w:p>
            <w:pPr>
              <w:spacing w:line="276" w:lineRule="auto"/>
              <w:jc w:val="center"/>
              <w:rPr>
                <w:rFonts w:ascii="宋体" w:hAnsi="宋体"/>
                <w:b/>
              </w:rPr>
            </w:pPr>
            <w:r>
              <w:rPr>
                <w:rFonts w:ascii="宋体" w:hAnsi="宋体"/>
                <w:b/>
                <w:szCs w:val="21"/>
              </w:rPr>
              <w:t>1</w:t>
            </w:r>
            <w:r>
              <w:rPr>
                <w:rFonts w:hint="eastAsia" w:ascii="宋体" w:hAnsi="宋体"/>
                <w:b/>
                <w:szCs w:val="21"/>
              </w:rPr>
              <w:t>3</w:t>
            </w:r>
          </w:p>
        </w:tc>
        <w:tc>
          <w:tcPr>
            <w:tcW w:w="1511" w:type="dxa"/>
            <w:shd w:val="clear" w:color="auto" w:fill="E0E0E0"/>
            <w:vAlign w:val="center"/>
          </w:tcPr>
          <w:p>
            <w:pPr>
              <w:spacing w:line="276" w:lineRule="auto"/>
              <w:jc w:val="center"/>
              <w:rPr>
                <w:rFonts w:ascii="宋体" w:hAnsi="宋体"/>
                <w:b/>
                <w:szCs w:val="21"/>
              </w:rPr>
            </w:pPr>
            <w:r>
              <w:rPr>
                <w:rFonts w:hint="eastAsia" w:ascii="宋体" w:hAnsi="宋体"/>
                <w:b/>
                <w:szCs w:val="21"/>
              </w:rPr>
              <w:t>投标文件</w:t>
            </w:r>
          </w:p>
          <w:p>
            <w:pPr>
              <w:spacing w:line="276" w:lineRule="auto"/>
              <w:jc w:val="center"/>
              <w:rPr>
                <w:rFonts w:ascii="宋体" w:hAnsi="宋体"/>
                <w:b/>
                <w:szCs w:val="21"/>
              </w:rPr>
            </w:pPr>
            <w:r>
              <w:rPr>
                <w:rFonts w:hint="eastAsia" w:ascii="宋体" w:hAnsi="宋体"/>
                <w:b/>
                <w:szCs w:val="21"/>
              </w:rPr>
              <w:t>的密封要求</w:t>
            </w:r>
          </w:p>
        </w:tc>
        <w:tc>
          <w:tcPr>
            <w:tcW w:w="7894" w:type="dxa"/>
            <w:gridSpan w:val="5"/>
            <w:shd w:val="clear" w:color="auto" w:fill="FFFFFF"/>
            <w:vAlign w:val="center"/>
          </w:tcPr>
          <w:p>
            <w:pPr>
              <w:wordWrap w:val="0"/>
              <w:spacing w:line="360" w:lineRule="exact"/>
            </w:pPr>
            <w:r>
              <w:rPr>
                <w:rFonts w:hint="eastAsia"/>
              </w:rPr>
              <w:t>投标人线上制作投标文件并采用CA数字证书进行电子签章及加密。</w:t>
            </w:r>
          </w:p>
          <w:p>
            <w:pPr>
              <w:pStyle w:val="9"/>
            </w:pPr>
            <w:r>
              <w:rPr>
                <w:rFonts w:hint="eastAsia" w:ascii="宋体" w:cs="宋体"/>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4</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投标文件提交</w:t>
            </w:r>
            <w:r>
              <w:rPr>
                <w:rFonts w:hint="eastAsia" w:ascii="宋体" w:hAnsi="宋体"/>
                <w:b/>
                <w:szCs w:val="21"/>
              </w:rPr>
              <w:t>/开标</w:t>
            </w:r>
            <w:r>
              <w:rPr>
                <w:rFonts w:ascii="宋体" w:hAnsi="宋体"/>
                <w:b/>
                <w:szCs w:val="21"/>
              </w:rPr>
              <w:t>截止时间</w:t>
            </w:r>
          </w:p>
        </w:tc>
        <w:tc>
          <w:tcPr>
            <w:tcW w:w="7894" w:type="dxa"/>
            <w:gridSpan w:val="5"/>
            <w:shd w:val="clear" w:color="auto" w:fill="FFFFFF"/>
            <w:vAlign w:val="center"/>
          </w:tcPr>
          <w:p>
            <w:pPr>
              <w:spacing w:line="276" w:lineRule="auto"/>
            </w:pPr>
            <w:r>
              <w:rPr>
                <w:rFonts w:hint="eastAsia" w:ascii="宋体" w:hAnsi="宋体" w:cs="宋体"/>
                <w:sz w:val="21"/>
                <w:szCs w:val="21"/>
              </w:rPr>
              <w:t>2023年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15</w:t>
            </w:r>
            <w:r>
              <w:rPr>
                <w:rFonts w:hint="eastAsia" w:ascii="宋体" w:hAnsi="宋体" w:cs="宋体"/>
                <w:sz w:val="21"/>
                <w:szCs w:val="21"/>
              </w:rPr>
              <w:t>日</w:t>
            </w:r>
            <w:r>
              <w:rPr>
                <w:rFonts w:hint="eastAsia" w:ascii="宋体" w:hAnsi="宋体" w:cs="宋体"/>
                <w:sz w:val="21"/>
                <w:szCs w:val="21"/>
                <w:lang w:val="en-US" w:eastAsia="zh-CN"/>
              </w:rPr>
              <w:t>9</w:t>
            </w:r>
            <w:r>
              <w:rPr>
                <w:rFonts w:hint="eastAsia" w:ascii="宋体" w:hAnsi="宋体" w:cs="宋体"/>
                <w:sz w:val="21"/>
                <w:szCs w:val="21"/>
              </w:rPr>
              <w:t>时</w:t>
            </w:r>
            <w:r>
              <w:rPr>
                <w:rFonts w:hint="eastAsia" w:ascii="宋体" w:hAnsi="宋体" w:cs="宋体"/>
                <w:sz w:val="21"/>
                <w:szCs w:val="21"/>
                <w:lang w:val="en-US" w:eastAsia="zh-CN"/>
              </w:rPr>
              <w:t>00</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rPr>
            </w:pPr>
            <w:r>
              <w:rPr>
                <w:rFonts w:ascii="宋体" w:hAnsi="宋体"/>
                <w:b/>
                <w:szCs w:val="21"/>
              </w:rPr>
              <w:t>1</w:t>
            </w:r>
            <w:r>
              <w:rPr>
                <w:rFonts w:hint="eastAsia" w:ascii="宋体" w:hAnsi="宋体"/>
                <w:b/>
                <w:szCs w:val="21"/>
              </w:rPr>
              <w:t>5</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答疑与澄清</w:t>
            </w:r>
          </w:p>
        </w:tc>
        <w:tc>
          <w:tcPr>
            <w:tcW w:w="7894" w:type="dxa"/>
            <w:gridSpan w:val="5"/>
            <w:shd w:val="clear" w:color="auto" w:fill="FFFFFF"/>
            <w:vAlign w:val="center"/>
          </w:tcPr>
          <w:p>
            <w:pPr>
              <w:spacing w:line="276" w:lineRule="auto"/>
              <w:rPr>
                <w:rFonts w:ascii="宋体" w:cs="宋体"/>
                <w:szCs w:val="21"/>
              </w:rPr>
            </w:pPr>
            <w:r>
              <w:rPr>
                <w:rFonts w:hint="eastAsia" w:ascii="宋体" w:hAnsi="宋体"/>
              </w:rPr>
              <w:t>投标人</w:t>
            </w:r>
            <w:r>
              <w:rPr>
                <w:rFonts w:ascii="宋体" w:hAnsi="宋体"/>
              </w:rPr>
              <w:t>如认为</w:t>
            </w:r>
            <w:r>
              <w:rPr>
                <w:rFonts w:hint="eastAsia" w:ascii="宋体" w:hAnsi="宋体"/>
              </w:rPr>
              <w:t>采购文件</w:t>
            </w:r>
            <w:r>
              <w:rPr>
                <w:rFonts w:ascii="宋体" w:hAnsi="宋体"/>
              </w:rPr>
              <w:t>表述不清晰、存在歧视性、排他性或者其他违法内容的，应当于20</w:t>
            </w:r>
            <w:r>
              <w:rPr>
                <w:rFonts w:hint="eastAsia" w:ascii="宋体" w:hAnsi="宋体"/>
              </w:rPr>
              <w:t>23</w:t>
            </w:r>
            <w:r>
              <w:rPr>
                <w:rFonts w:ascii="宋体" w:hAnsi="宋体"/>
              </w:rPr>
              <w:t>年</w:t>
            </w:r>
            <w:r>
              <w:rPr>
                <w:rFonts w:hint="eastAsia" w:ascii="宋体" w:hAnsi="宋体"/>
                <w:lang w:val="en-US" w:eastAsia="zh-CN"/>
              </w:rPr>
              <w:t>10</w:t>
            </w:r>
            <w:r>
              <w:rPr>
                <w:rFonts w:ascii="宋体" w:hAnsi="宋体"/>
              </w:rPr>
              <w:t>月</w:t>
            </w:r>
            <w:r>
              <w:rPr>
                <w:rFonts w:hint="eastAsia" w:ascii="宋体" w:hAnsi="宋体"/>
                <w:lang w:val="en-US" w:eastAsia="zh-CN"/>
              </w:rPr>
              <w:t>31</w:t>
            </w:r>
            <w:r>
              <w:rPr>
                <w:rFonts w:ascii="宋体" w:hAnsi="宋体"/>
              </w:rPr>
              <w:t>日</w:t>
            </w:r>
            <w:r>
              <w:rPr>
                <w:rFonts w:hint="eastAsia" w:ascii="宋体" w:hAnsi="宋体"/>
              </w:rPr>
              <w:t>17</w:t>
            </w:r>
            <w:r>
              <w:rPr>
                <w:rFonts w:ascii="宋体" w:hAnsi="宋体"/>
              </w:rPr>
              <w:t>前，以书面形式要求</w:t>
            </w:r>
            <w:r>
              <w:rPr>
                <w:rFonts w:hint="eastAsia" w:ascii="宋体" w:hAnsi="宋体"/>
              </w:rPr>
              <w:t>采购代理机构</w:t>
            </w:r>
            <w:r>
              <w:rPr>
                <w:rFonts w:ascii="宋体" w:hAnsi="宋体"/>
              </w:rPr>
              <w:t>作出书面解释、澄清或者向</w:t>
            </w:r>
            <w:r>
              <w:rPr>
                <w:rFonts w:hint="eastAsia" w:ascii="宋体" w:hAnsi="宋体"/>
              </w:rPr>
              <w:t>采购代理机构</w:t>
            </w:r>
            <w:r>
              <w:rPr>
                <w:rFonts w:ascii="宋体" w:hAnsi="宋体"/>
              </w:rPr>
              <w:t>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16</w:t>
            </w:r>
          </w:p>
        </w:tc>
        <w:tc>
          <w:tcPr>
            <w:tcW w:w="1511" w:type="dxa"/>
            <w:shd w:val="clear" w:color="auto" w:fill="E0E0E0"/>
            <w:vAlign w:val="center"/>
          </w:tcPr>
          <w:p>
            <w:pPr>
              <w:spacing w:line="360" w:lineRule="auto"/>
              <w:jc w:val="center"/>
              <w:rPr>
                <w:rFonts w:ascii="宋体" w:hAnsi="宋体"/>
                <w:b/>
                <w:szCs w:val="21"/>
              </w:rPr>
            </w:pPr>
            <w:r>
              <w:rPr>
                <w:rFonts w:hint="eastAsia" w:ascii="宋体" w:hAnsi="宋体"/>
                <w:b/>
                <w:szCs w:val="21"/>
              </w:rPr>
              <w:t>投标人</w:t>
            </w:r>
            <w:r>
              <w:rPr>
                <w:rFonts w:ascii="宋体" w:hAnsi="宋体"/>
                <w:b/>
                <w:szCs w:val="21"/>
              </w:rPr>
              <w:t>注册</w:t>
            </w:r>
          </w:p>
        </w:tc>
        <w:tc>
          <w:tcPr>
            <w:tcW w:w="7894" w:type="dxa"/>
            <w:gridSpan w:val="5"/>
            <w:shd w:val="clear" w:color="auto" w:fill="FFFFFF"/>
            <w:vAlign w:val="center"/>
          </w:tcPr>
          <w:p>
            <w:pPr>
              <w:spacing w:before="24" w:beforeLines="10" w:line="340" w:lineRule="atLeast"/>
              <w:ind w:firstLine="420"/>
              <w:jc w:val="left"/>
              <w:rPr>
                <w:rFonts w:ascii="宋体" w:hAnsi="宋体"/>
                <w:bCs/>
                <w:snapToGrid w:val="0"/>
                <w:kern w:val="0"/>
              </w:rPr>
            </w:pPr>
            <w:r>
              <w:rPr>
                <w:rFonts w:ascii="宋体" w:hAnsi="宋体"/>
                <w:bCs/>
                <w:snapToGrid w:val="0"/>
                <w:kern w:val="0"/>
              </w:rPr>
              <w:t>各</w:t>
            </w:r>
            <w:r>
              <w:rPr>
                <w:rFonts w:hint="eastAsia" w:ascii="宋体" w:hAnsi="宋体"/>
                <w:bCs/>
                <w:snapToGrid w:val="0"/>
                <w:kern w:val="0"/>
              </w:rPr>
              <w:t>投标人</w:t>
            </w:r>
            <w:r>
              <w:rPr>
                <w:rFonts w:ascii="宋体" w:hAnsi="宋体"/>
                <w:bCs/>
                <w:snapToGrid w:val="0"/>
                <w:kern w:val="0"/>
              </w:rPr>
              <w:t>须在投标截止时间前根据浙江省财政厅《关于开展政府采购</w:t>
            </w:r>
            <w:r>
              <w:rPr>
                <w:rFonts w:hint="eastAsia" w:ascii="宋体" w:hAnsi="宋体"/>
                <w:bCs/>
                <w:snapToGrid w:val="0"/>
                <w:kern w:val="0"/>
              </w:rPr>
              <w:t>投标人</w:t>
            </w:r>
            <w:r>
              <w:rPr>
                <w:rFonts w:ascii="宋体" w:hAnsi="宋体"/>
                <w:bCs/>
                <w:snapToGrid w:val="0"/>
                <w:kern w:val="0"/>
              </w:rPr>
              <w:t>网上注册登记和诚信管理工作的通知》（浙财采监【2010】8号文）的要求，通过浙江政府采购网申请注册加入政府采购</w:t>
            </w:r>
            <w:r>
              <w:rPr>
                <w:rFonts w:hint="eastAsia" w:ascii="宋体" w:hAnsi="宋体"/>
                <w:bCs/>
                <w:snapToGrid w:val="0"/>
                <w:kern w:val="0"/>
              </w:rPr>
              <w:t>投标人</w:t>
            </w:r>
            <w:r>
              <w:rPr>
                <w:rFonts w:ascii="宋体" w:hAnsi="宋体"/>
                <w:bCs/>
                <w:snapToGrid w:val="0"/>
                <w:kern w:val="0"/>
              </w:rPr>
              <w:t>库。以免影响享受相关政策优惠及成交后的款项支付。</w:t>
            </w:r>
          </w:p>
          <w:p>
            <w:pPr>
              <w:spacing w:before="24" w:beforeLines="10" w:line="340" w:lineRule="atLeast"/>
              <w:ind w:firstLine="420"/>
              <w:jc w:val="left"/>
              <w:rPr>
                <w:rFonts w:ascii="宋体" w:hAnsi="宋体"/>
                <w:szCs w:val="21"/>
              </w:rPr>
            </w:pPr>
            <w:r>
              <w:rPr>
                <w:rFonts w:hint="eastAsia" w:ascii="宋体" w:hAnsi="宋体"/>
                <w:bCs/>
                <w:snapToGrid w:val="0"/>
                <w:kern w:val="0"/>
              </w:rPr>
              <w:t>投标人</w:t>
            </w:r>
            <w:r>
              <w:rPr>
                <w:rFonts w:ascii="宋体" w:hAnsi="宋体"/>
                <w:bCs/>
                <w:snapToGrid w:val="0"/>
                <w:kern w:val="0"/>
              </w:rPr>
              <w:t>在申请注册前，请认真阅读，学习《中华人民共和国政府采购法》和《浙江省政府采购</w:t>
            </w:r>
            <w:r>
              <w:rPr>
                <w:rFonts w:hint="eastAsia" w:ascii="宋体" w:hAnsi="宋体"/>
                <w:bCs/>
                <w:snapToGrid w:val="0"/>
                <w:kern w:val="0"/>
              </w:rPr>
              <w:t>投标人</w:t>
            </w:r>
            <w:r>
              <w:rPr>
                <w:rFonts w:ascii="宋体" w:hAnsi="宋体"/>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17</w:t>
            </w:r>
          </w:p>
        </w:tc>
        <w:tc>
          <w:tcPr>
            <w:tcW w:w="1511" w:type="dxa"/>
            <w:shd w:val="clear" w:color="auto" w:fill="E0E0E0"/>
            <w:vAlign w:val="center"/>
          </w:tcPr>
          <w:p>
            <w:pPr>
              <w:jc w:val="center"/>
              <w:rPr>
                <w:rFonts w:ascii="宋体" w:hAnsi="宋体"/>
                <w:b/>
                <w:szCs w:val="21"/>
              </w:rPr>
            </w:pPr>
            <w:r>
              <w:rPr>
                <w:rFonts w:ascii="宋体" w:hAnsi="宋体"/>
                <w:b/>
                <w:szCs w:val="21"/>
              </w:rPr>
              <w:t>不良信用记录查询</w:t>
            </w:r>
          </w:p>
        </w:tc>
        <w:tc>
          <w:tcPr>
            <w:tcW w:w="7894" w:type="dxa"/>
            <w:gridSpan w:val="5"/>
            <w:shd w:val="clear" w:color="auto" w:fill="FFFFFF"/>
            <w:vAlign w:val="center"/>
          </w:tcPr>
          <w:p>
            <w:pPr>
              <w:ind w:firstLine="420"/>
              <w:jc w:val="left"/>
              <w:rPr>
                <w:rFonts w:ascii="宋体" w:hAnsi="宋体"/>
              </w:rPr>
            </w:pPr>
            <w:r>
              <w:rPr>
                <w:rFonts w:ascii="宋体" w:hAnsi="宋体"/>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等文件的有关要求，采购代理机构将在投标截止时间当日通过“信用中国”（www.creditchina.gov.cn）、“中国政府采购网”（www.ccgp.gov.cn）</w:t>
            </w:r>
            <w:r>
              <w:rPr>
                <w:rFonts w:hint="eastAsia" w:ascii="宋体" w:hAnsi="宋体"/>
              </w:rPr>
              <w:t>二</w:t>
            </w:r>
            <w:r>
              <w:rPr>
                <w:rFonts w:ascii="宋体" w:hAnsi="宋体"/>
              </w:rPr>
              <w:t>个渠道对本项目投标供应商信用记录进行符合查询。被列入失信被执行人、重大税收违法案件当事人名单、政府采购严重违法失信行为记录名单及其他不符合《中华人民共和国政府采购法》第二十二条规定条件的供应商，将被拒绝参与本项目政府采购活动。两个以上的自然人、法人或者其他组织组成一个联合体，以一个供应商的身份共同参加政府采购活动的，若联合体成员存在不良信用记录的，视同联合体存在不良信用记录。</w:t>
            </w:r>
          </w:p>
          <w:p>
            <w:pPr>
              <w:ind w:firstLine="420"/>
              <w:rPr>
                <w:rFonts w:ascii="宋体" w:hAnsi="宋体"/>
              </w:rPr>
            </w:pPr>
            <w:r>
              <w:rPr>
                <w:rFonts w:ascii="宋体" w:hAnsi="宋体"/>
              </w:rPr>
              <w:t>根据财库[2016]125号《关于在政府采购活动中查询及使用信用记录有关问题的通知》要求，采购代理机构会对供应商信用记录进行查询并甄别。</w:t>
            </w:r>
          </w:p>
          <w:p>
            <w:pPr>
              <w:ind w:firstLine="420"/>
              <w:rPr>
                <w:rFonts w:ascii="宋体" w:hAnsi="宋体"/>
              </w:rPr>
            </w:pPr>
            <w:r>
              <w:rPr>
                <w:rFonts w:ascii="宋体" w:hAnsi="宋体"/>
              </w:rPr>
              <w:t>1）信用信息查询的截止时点：</w:t>
            </w:r>
            <w:r>
              <w:rPr>
                <w:rFonts w:ascii="Times New Roman" w:hAnsi="Times New Roman"/>
              </w:rPr>
              <w:t>投标截止时间当日</w:t>
            </w:r>
            <w:r>
              <w:rPr>
                <w:rFonts w:ascii="宋体" w:hAnsi="宋体"/>
              </w:rPr>
              <w:t>；</w:t>
            </w:r>
          </w:p>
          <w:p>
            <w:pPr>
              <w:ind w:firstLine="420"/>
              <w:rPr>
                <w:rFonts w:ascii="宋体" w:hAnsi="宋体"/>
              </w:rPr>
            </w:pPr>
            <w:r>
              <w:rPr>
                <w:rFonts w:ascii="宋体" w:hAnsi="宋体"/>
              </w:rPr>
              <w:t>2）查询渠道：“信用中国”（www.creditchina.gov.cn）、“中国政府采购网”（www.ccgp.gov.cn）；</w:t>
            </w:r>
          </w:p>
          <w:p>
            <w:pPr>
              <w:ind w:firstLine="420"/>
              <w:rPr>
                <w:rFonts w:ascii="宋体" w:hAnsi="宋体"/>
              </w:rPr>
            </w:pPr>
            <w:r>
              <w:rPr>
                <w:rFonts w:ascii="宋体" w:hAnsi="宋体"/>
              </w:rPr>
              <w:t>3）信用信息查询记录和证据留存具体方式：采购代理机构经办人和监督人员将查询网页打印、签字与其他采购文件一并保存；</w:t>
            </w:r>
          </w:p>
          <w:p>
            <w:pPr>
              <w:ind w:firstLine="420"/>
              <w:rPr>
                <w:rFonts w:ascii="宋体" w:hAnsi="宋体"/>
              </w:rPr>
            </w:pPr>
            <w:r>
              <w:rPr>
                <w:rFonts w:ascii="宋体" w:hAnsi="宋体"/>
              </w:rPr>
              <w:t>4）信用信息的使用规则：投标人存在不良信用记录的，其投标将被作为无效投标被拒绝。</w:t>
            </w:r>
          </w:p>
          <w:p>
            <w:pPr>
              <w:widowControl/>
              <w:shd w:val="clear" w:color="auto" w:fill="FDFAF5"/>
              <w:ind w:left="1523" w:leftChars="225" w:hanging="1050" w:hangingChars="500"/>
              <w:jc w:val="left"/>
              <w:rPr>
                <w:rFonts w:ascii="宋体" w:hAnsi="宋体"/>
              </w:rPr>
            </w:pPr>
            <w:r>
              <w:rPr>
                <w:rFonts w:ascii="宋体" w:hAnsi="宋体"/>
              </w:rPr>
              <w:t>不良信用记录指：被列入失信被执行人、重大税收违法案件当事人名单、政府采</w:t>
            </w:r>
          </w:p>
          <w:p>
            <w:pPr>
              <w:widowControl/>
              <w:shd w:val="clear" w:color="auto" w:fill="FDFAF5"/>
              <w:jc w:val="left"/>
              <w:rPr>
                <w:rFonts w:ascii="宋体" w:hAnsi="宋体"/>
                <w:szCs w:val="21"/>
              </w:rPr>
            </w:pPr>
            <w:r>
              <w:rPr>
                <w:rFonts w:ascii="宋体" w:hAnsi="宋体"/>
              </w:rPr>
              <w:t>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spacing w:line="360" w:lineRule="auto"/>
              <w:jc w:val="center"/>
              <w:rPr>
                <w:rFonts w:ascii="宋体" w:hAnsi="宋体"/>
                <w:b/>
                <w:szCs w:val="21"/>
              </w:rPr>
            </w:pPr>
            <w:r>
              <w:rPr>
                <w:rFonts w:hint="eastAsia" w:asciiTheme="minorEastAsia" w:hAnsiTheme="minorEastAsia" w:eastAsiaTheme="minorEastAsia"/>
                <w:b/>
                <w:szCs w:val="21"/>
              </w:rPr>
              <w:t>18</w:t>
            </w:r>
          </w:p>
        </w:tc>
        <w:tc>
          <w:tcPr>
            <w:tcW w:w="1511" w:type="dxa"/>
            <w:vMerge w:val="restart"/>
            <w:shd w:val="clear" w:color="auto" w:fill="E0E0E0"/>
            <w:vAlign w:val="center"/>
          </w:tcPr>
          <w:p>
            <w:pPr>
              <w:jc w:val="center"/>
              <w:rPr>
                <w:rFonts w:ascii="宋体" w:hAnsi="宋体"/>
                <w:b/>
                <w:szCs w:val="21"/>
              </w:rPr>
            </w:pPr>
            <w:r>
              <w:rPr>
                <w:rFonts w:hint="eastAsia" w:asciiTheme="minorEastAsia" w:hAnsiTheme="minorEastAsia" w:eastAsiaTheme="minorEastAsia"/>
                <w:b/>
                <w:szCs w:val="21"/>
              </w:rPr>
              <w:t>小微企业有关政策</w:t>
            </w:r>
          </w:p>
        </w:tc>
        <w:tc>
          <w:tcPr>
            <w:tcW w:w="7894" w:type="dxa"/>
            <w:gridSpan w:val="5"/>
            <w:shd w:val="clear" w:color="auto" w:fill="FFFFFF"/>
            <w:vAlign w:val="center"/>
          </w:tcPr>
          <w:p>
            <w:pPr>
              <w:rPr>
                <w:rFonts w:ascii="宋体" w:hAnsi="宋体"/>
              </w:rPr>
            </w:pPr>
            <w:r>
              <w:rPr>
                <w:rFonts w:hint="eastAsia" w:ascii="宋体" w:hAnsi="宋体" w:cs="宋体"/>
                <w:b/>
                <w:kern w:val="0"/>
                <w:szCs w:val="21"/>
              </w:rPr>
              <w:t>中小企业预留份额情况：根据《政府采购促进中小企业发展管理办法》（财库〔2020〕46号）：本项目已预留份额给中小企业，预留预算总额的70%以上专门面向中小企业采购</w:t>
            </w:r>
            <w:r>
              <w:rPr>
                <w:rFonts w:hint="eastAsia" w:ascii="宋体" w:hAnsi="宋体" w:cs="宋体"/>
                <w:b/>
                <w:kern w:val="0"/>
                <w:szCs w:val="21"/>
                <w:lang w:eastAsia="zh-CN"/>
              </w:rPr>
              <w:t>，</w:t>
            </w:r>
            <w:r>
              <w:rPr>
                <w:rFonts w:hint="eastAsia" w:ascii="宋体" w:hAnsi="宋体" w:cs="宋体"/>
                <w:b/>
                <w:kern w:val="0"/>
                <w:szCs w:val="21"/>
                <w:lang w:val="en-US" w:eastAsia="zh-CN"/>
              </w:rPr>
              <w:t>其中60</w:t>
            </w:r>
            <w:r>
              <w:rPr>
                <w:rFonts w:hint="eastAsia" w:ascii="宋体" w:hAnsi="宋体" w:cs="宋体"/>
                <w:b/>
                <w:kern w:val="0"/>
                <w:szCs w:val="21"/>
              </w:rPr>
              <w:t>%以上专门面向小</w:t>
            </w:r>
            <w:r>
              <w:rPr>
                <w:rFonts w:hint="eastAsia" w:ascii="宋体" w:hAnsi="宋体" w:cs="宋体"/>
                <w:b/>
                <w:kern w:val="0"/>
                <w:szCs w:val="21"/>
                <w:lang w:val="en-US" w:eastAsia="zh-CN"/>
              </w:rPr>
              <w:t>微</w:t>
            </w:r>
            <w:r>
              <w:rPr>
                <w:rFonts w:hint="eastAsia" w:ascii="宋体" w:hAnsi="宋体" w:cs="宋体"/>
                <w:b/>
                <w:kern w:val="0"/>
                <w:szCs w:val="21"/>
              </w:rPr>
              <w:t>企业采购。要求供应商以联合体形式参加采购活动，合同总额的70%以上须由联合体中享受中小企业扶持政策的企业承担，提供联合协议和中小企业声明函;如果供应商自身享受中小企业扶持政策，则无需组成联合体参加本次政府采购活动，无需提供联合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宋体" w:hAnsi="宋体"/>
                <w:b/>
                <w:szCs w:val="21"/>
              </w:rPr>
            </w:pPr>
          </w:p>
        </w:tc>
        <w:tc>
          <w:tcPr>
            <w:tcW w:w="1511" w:type="dxa"/>
            <w:vMerge w:val="continue"/>
            <w:shd w:val="clear" w:color="auto" w:fill="E0E0E0"/>
            <w:vAlign w:val="center"/>
          </w:tcPr>
          <w:p>
            <w:pPr>
              <w:jc w:val="center"/>
              <w:rPr>
                <w:rFonts w:ascii="宋体" w:hAnsi="宋体"/>
                <w:b/>
                <w:szCs w:val="21"/>
              </w:rPr>
            </w:pPr>
          </w:p>
        </w:tc>
        <w:tc>
          <w:tcPr>
            <w:tcW w:w="7894" w:type="dxa"/>
            <w:gridSpan w:val="5"/>
            <w:shd w:val="clear" w:color="auto" w:fill="FFFFFF"/>
            <w:vAlign w:val="center"/>
          </w:tcPr>
          <w:p>
            <w:pPr>
              <w:rPr>
                <w:rFonts w:ascii="宋体" w:hAnsi="宋体"/>
              </w:rPr>
            </w:pPr>
            <w:r>
              <w:rPr>
                <w:rFonts w:hint="eastAsia" w:ascii="宋体" w:hAnsi="宋体" w:cs="宋体"/>
                <w:b/>
                <w:kern w:val="0"/>
                <w:szCs w:val="21"/>
              </w:rPr>
              <w:t>本项目采购标的对应的中小企业划分标准所属行业：工业。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宋体" w:hAnsi="宋体"/>
                <w:b/>
                <w:szCs w:val="21"/>
              </w:rPr>
            </w:pPr>
          </w:p>
        </w:tc>
        <w:tc>
          <w:tcPr>
            <w:tcW w:w="1511" w:type="dxa"/>
            <w:vMerge w:val="continue"/>
            <w:shd w:val="clear" w:color="auto" w:fill="E0E0E0"/>
            <w:vAlign w:val="center"/>
          </w:tcPr>
          <w:p>
            <w:pPr>
              <w:jc w:val="center"/>
              <w:rPr>
                <w:rFonts w:ascii="宋体" w:hAnsi="宋体"/>
                <w:b/>
                <w:szCs w:val="21"/>
              </w:rPr>
            </w:pPr>
          </w:p>
        </w:tc>
        <w:tc>
          <w:tcPr>
            <w:tcW w:w="7894" w:type="dxa"/>
            <w:gridSpan w:val="5"/>
            <w:shd w:val="clear" w:color="auto" w:fill="FFFFFF"/>
            <w:vAlign w:val="center"/>
          </w:tcPr>
          <w:p>
            <w:pPr>
              <w:rPr>
                <w:rFonts w:ascii="宋体" w:hAnsi="宋体"/>
              </w:rPr>
            </w:pPr>
            <w:r>
              <w:rPr>
                <w:rFonts w:hint="eastAsia" w:ascii="宋体" w:hAnsi="宋体" w:cs="宋体"/>
                <w:b/>
                <w:kern w:val="0"/>
                <w:szCs w:val="21"/>
              </w:rPr>
              <w:t>本项目为货物类采购项目。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宋体" w:hAnsi="宋体"/>
                <w:b/>
                <w:szCs w:val="21"/>
              </w:rPr>
            </w:pPr>
          </w:p>
        </w:tc>
        <w:tc>
          <w:tcPr>
            <w:tcW w:w="1511" w:type="dxa"/>
            <w:vMerge w:val="continue"/>
            <w:shd w:val="clear" w:color="auto" w:fill="E0E0E0"/>
            <w:vAlign w:val="center"/>
          </w:tcPr>
          <w:p>
            <w:pPr>
              <w:jc w:val="center"/>
              <w:rPr>
                <w:rFonts w:ascii="宋体" w:hAnsi="宋体"/>
                <w:b/>
                <w:szCs w:val="21"/>
              </w:rPr>
            </w:pPr>
          </w:p>
        </w:tc>
        <w:tc>
          <w:tcPr>
            <w:tcW w:w="7894" w:type="dxa"/>
            <w:gridSpan w:val="5"/>
            <w:shd w:val="clear" w:color="auto" w:fill="FFFFFF"/>
            <w:vAlign w:val="center"/>
          </w:tcPr>
          <w:p>
            <w:pPr>
              <w:ind w:firstLine="420"/>
              <w:rPr>
                <w:rFonts w:ascii="宋体" w:hAnsi="宋体"/>
              </w:rPr>
            </w:pPr>
            <w:r>
              <w:rPr>
                <w:rFonts w:hint="eastAsia" w:ascii="宋体" w:hAnsi="宋体"/>
              </w:rPr>
              <w:t>一、根据《政府采购促进中小企业发展管理办法》（财库[2020]46号）规定：</w:t>
            </w:r>
          </w:p>
          <w:p>
            <w:pPr>
              <w:ind w:firstLine="420"/>
              <w:rPr>
                <w:rFonts w:ascii="宋体" w:hAnsi="宋体"/>
              </w:rPr>
            </w:pPr>
            <w:r>
              <w:rPr>
                <w:rFonts w:hint="eastAsia" w:ascii="宋体" w:hAnsi="宋体"/>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ind w:firstLine="420"/>
              <w:rPr>
                <w:rFonts w:ascii="宋体" w:hAnsi="宋体"/>
              </w:rPr>
            </w:pPr>
            <w:r>
              <w:rPr>
                <w:rFonts w:hint="eastAsia" w:ascii="宋体" w:hAnsi="宋体"/>
              </w:rPr>
              <w:t>符合中小企业划分标准的个体工商户，在政府采购活动中视同中小企业。</w:t>
            </w:r>
          </w:p>
          <w:p>
            <w:pPr>
              <w:ind w:firstLine="420"/>
              <w:rPr>
                <w:rFonts w:ascii="宋体" w:hAnsi="宋体"/>
              </w:rPr>
            </w:pPr>
            <w:r>
              <w:rPr>
                <w:rFonts w:hint="eastAsia" w:ascii="宋体" w:hAnsi="宋体"/>
              </w:rPr>
              <w:t>2.在政府采购活动中，供应商提供的货物、工程或者服务符合下列情形的，享受本办法规定的中小企业扶持政策：</w:t>
            </w:r>
          </w:p>
          <w:p>
            <w:pPr>
              <w:ind w:firstLine="420"/>
              <w:rPr>
                <w:rFonts w:ascii="宋体" w:hAnsi="宋体"/>
              </w:rPr>
            </w:pPr>
            <w:r>
              <w:rPr>
                <w:rFonts w:hint="eastAsia" w:ascii="宋体" w:hAnsi="宋体"/>
              </w:rPr>
              <w:t xml:space="preserve">（1）在货物采购项目中，货物由中小企业制造，即货物由中小企业生产且使用该中小企业商号或者注册商标； </w:t>
            </w:r>
          </w:p>
          <w:p>
            <w:pPr>
              <w:ind w:firstLine="420"/>
              <w:rPr>
                <w:rFonts w:ascii="宋体" w:hAnsi="宋体"/>
              </w:rPr>
            </w:pPr>
            <w:r>
              <w:rPr>
                <w:rFonts w:hint="eastAsia" w:ascii="宋体" w:hAnsi="宋体"/>
              </w:rPr>
              <w:t xml:space="preserve">（2）在工程采购项目中，工程由中小企业承建，即工程施工单位为中小企业； </w:t>
            </w:r>
          </w:p>
          <w:p>
            <w:pPr>
              <w:ind w:firstLine="420"/>
              <w:rPr>
                <w:rFonts w:ascii="宋体" w:hAnsi="宋体"/>
              </w:rPr>
            </w:pPr>
            <w:r>
              <w:rPr>
                <w:rFonts w:hint="eastAsia" w:ascii="宋体" w:hAnsi="宋体"/>
              </w:rPr>
              <w:t xml:space="preserve">（3）在服务采购项目中，服务由中小企业承接，即提供服务的人员为中小企业依照《中华人民共和国劳动合同法》订立劳动合同的从业人员。 </w:t>
            </w:r>
          </w:p>
          <w:p>
            <w:pPr>
              <w:ind w:firstLine="420"/>
              <w:rPr>
                <w:rFonts w:ascii="宋体" w:hAnsi="宋体"/>
              </w:rPr>
            </w:pPr>
            <w:r>
              <w:rPr>
                <w:rFonts w:hint="eastAsia" w:ascii="宋体" w:hAnsi="宋体"/>
              </w:rPr>
              <w:t>在货物采购项目中，投标人提供的货物既有中小企业制造货物，也有大型企业制造货物的，不享受中小企业扶持政策。</w:t>
            </w:r>
          </w:p>
          <w:p>
            <w:pPr>
              <w:ind w:firstLine="420"/>
              <w:rPr>
                <w:rFonts w:ascii="宋体" w:hAnsi="宋体"/>
              </w:rPr>
            </w:pPr>
            <w:r>
              <w:rPr>
                <w:rFonts w:hint="eastAsia" w:ascii="宋体" w:hAnsi="宋体"/>
              </w:rPr>
              <w:t xml:space="preserve">以联合体形式参加政府采购活动，联合体各方均为中小企业的，联合体视同中小企业。其中，联合体各方均为小微企业的，联合体视同小微企业。 </w:t>
            </w:r>
          </w:p>
          <w:p>
            <w:pPr>
              <w:ind w:firstLine="420"/>
              <w:rPr>
                <w:rFonts w:ascii="宋体" w:hAnsi="宋体"/>
              </w:rPr>
            </w:pPr>
            <w:r>
              <w:rPr>
                <w:rFonts w:hint="eastAsia" w:ascii="宋体" w:hAnsi="宋体"/>
              </w:rPr>
              <w:t>3.在政府采购活动中，监狱企业、残疾人福利性单位视同小型、微型企业，享受本办法规定的中小企业扶持政策；监狱企业、残疾人福利性单位属于小型、微型企业的，不重复享受政策。</w:t>
            </w:r>
          </w:p>
          <w:p>
            <w:pPr>
              <w:ind w:firstLine="420"/>
              <w:rPr>
                <w:rFonts w:ascii="宋体" w:hAnsi="宋体"/>
              </w:rPr>
            </w:pPr>
            <w:r>
              <w:rPr>
                <w:rFonts w:hint="eastAsia" w:ascii="宋体" w:hAnsi="宋体"/>
              </w:rPr>
              <w:t>二、本项目中小企业扶持政策：</w:t>
            </w:r>
          </w:p>
          <w:p>
            <w:pPr>
              <w:ind w:firstLine="422" w:firstLineChars="200"/>
              <w:rPr>
                <w:rFonts w:ascii="宋体" w:hAnsi="宋体"/>
                <w:b/>
                <w:bCs/>
                <w:highlight w:val="none"/>
              </w:rPr>
            </w:pPr>
            <w:r>
              <w:rPr>
                <w:rFonts w:ascii="宋体" w:hAnsi="宋体"/>
                <w:b/>
                <w:bCs/>
                <w:highlight w:val="none"/>
              </w:rPr>
              <w:t>A.</w:t>
            </w:r>
            <w:r>
              <w:rPr>
                <w:rFonts w:hint="eastAsia" w:ascii="宋体" w:hAnsi="宋体"/>
                <w:b/>
                <w:bCs/>
                <w:highlight w:val="none"/>
              </w:rPr>
              <w:t>专门面向中小企业，货物全部由符合政策要求的中小企业（或小微企业）制造或者服务全部由符合政策要求的中小企业（或小微企业）承接的，提供相应的中小企业声明函。</w:t>
            </w:r>
            <w:r>
              <w:rPr>
                <w:rFonts w:ascii="宋体" w:hAnsi="宋体"/>
                <w:b/>
                <w:bCs/>
                <w:highlight w:val="none"/>
              </w:rPr>
              <w:t xml:space="preserve"> </w:t>
            </w:r>
          </w:p>
          <w:p>
            <w:pPr>
              <w:ind w:firstLine="422" w:firstLineChars="200"/>
              <w:rPr>
                <w:rFonts w:ascii="宋体" w:hAnsi="宋体"/>
              </w:rPr>
            </w:pPr>
            <w:r>
              <w:rPr>
                <w:rFonts w:ascii="宋体" w:hAnsi="宋体"/>
                <w:b/>
                <w:bCs/>
                <w:highlight w:val="none"/>
              </w:rPr>
              <w:t>B.</w:t>
            </w:r>
            <w:r>
              <w:rPr>
                <w:rFonts w:hint="eastAsia" w:ascii="宋体" w:hAnsi="宋体"/>
                <w:b/>
                <w:bCs/>
                <w:highlight w:val="none"/>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tc>
      </w:tr>
    </w:tbl>
    <w:p>
      <w:pPr>
        <w:pStyle w:val="42"/>
        <w:snapToGrid w:val="0"/>
        <w:spacing w:before="120" w:after="120"/>
        <w:rPr>
          <w:rFonts w:hAnsi="宋体" w:eastAsia="宋体"/>
          <w:b/>
          <w:bCs/>
          <w:sz w:val="28"/>
        </w:rPr>
      </w:pPr>
    </w:p>
    <w:p>
      <w:pPr>
        <w:pStyle w:val="42"/>
        <w:snapToGrid w:val="0"/>
        <w:spacing w:before="120" w:after="120"/>
        <w:jc w:val="center"/>
        <w:rPr>
          <w:rFonts w:hAnsi="宋体" w:eastAsia="宋体"/>
          <w:b/>
          <w:bCs/>
          <w:sz w:val="28"/>
        </w:rPr>
      </w:pPr>
      <w:r>
        <w:rPr>
          <w:rFonts w:hAnsi="宋体" w:eastAsia="宋体"/>
          <w:b/>
          <w:bCs/>
          <w:sz w:val="28"/>
        </w:rPr>
        <w:t>一   总  则</w:t>
      </w:r>
    </w:p>
    <w:p>
      <w:pPr>
        <w:pStyle w:val="42"/>
        <w:snapToGrid w:val="0"/>
        <w:spacing w:before="120" w:after="120" w:line="360" w:lineRule="auto"/>
        <w:ind w:firstLine="422" w:firstLineChars="200"/>
        <w:rPr>
          <w:rFonts w:hAnsi="宋体" w:eastAsia="宋体"/>
          <w:b/>
          <w:bCs/>
          <w:sz w:val="21"/>
        </w:rPr>
      </w:pPr>
      <w:r>
        <w:rPr>
          <w:rFonts w:hAnsi="宋体" w:eastAsia="宋体"/>
          <w:b/>
          <w:bCs/>
          <w:sz w:val="21"/>
        </w:rPr>
        <w:t>（一）适用范围</w:t>
      </w:r>
    </w:p>
    <w:p>
      <w:pPr>
        <w:snapToGrid w:val="0"/>
        <w:spacing w:line="360" w:lineRule="auto"/>
        <w:ind w:right="-506" w:rightChars="-241" w:firstLine="420" w:firstLineChars="200"/>
        <w:jc w:val="left"/>
        <w:rPr>
          <w:rFonts w:ascii="宋体" w:hAnsi="宋体"/>
        </w:rPr>
      </w:pPr>
      <w:r>
        <w:rPr>
          <w:rFonts w:ascii="宋体" w:hAnsi="宋体"/>
        </w:rPr>
        <w:t>本</w:t>
      </w:r>
      <w:r>
        <w:rPr>
          <w:rFonts w:hint="eastAsia" w:ascii="宋体" w:hAnsi="宋体"/>
        </w:rPr>
        <w:t>采购</w:t>
      </w:r>
      <w:r>
        <w:rPr>
          <w:rFonts w:ascii="宋体" w:hAnsi="宋体"/>
        </w:rPr>
        <w:t>文件适用于</w:t>
      </w:r>
      <w:r>
        <w:rPr>
          <w:rFonts w:hint="eastAsia" w:ascii="宋体" w:hAnsi="宋体"/>
          <w:szCs w:val="21"/>
          <w:u w:val="single"/>
          <w:shd w:val="clear" w:color="auto" w:fill="FFFFFF"/>
        </w:rPr>
        <w:t xml:space="preserve"> 普陀区X波段相控阵天气雷达建设项目</w:t>
      </w:r>
      <w:r>
        <w:rPr>
          <w:rFonts w:ascii="宋体" w:hAnsi="宋体"/>
        </w:rPr>
        <w:t>的招标、投标、评标、定标、验收、合同履约、付款等行为（法律、法规另有规定的，从其规定）。</w:t>
      </w:r>
    </w:p>
    <w:p>
      <w:pPr>
        <w:pStyle w:val="42"/>
        <w:snapToGrid w:val="0"/>
        <w:spacing w:before="120" w:after="120" w:line="360" w:lineRule="auto"/>
        <w:ind w:firstLine="422" w:firstLineChars="200"/>
        <w:rPr>
          <w:rFonts w:hAnsi="宋体" w:eastAsia="宋体"/>
          <w:b/>
          <w:bCs/>
          <w:sz w:val="21"/>
        </w:rPr>
      </w:pPr>
      <w:r>
        <w:rPr>
          <w:rFonts w:hAnsi="宋体" w:eastAsia="宋体"/>
          <w:b/>
          <w:bCs/>
          <w:sz w:val="21"/>
        </w:rPr>
        <w:t>（二）定义</w:t>
      </w:r>
    </w:p>
    <w:p>
      <w:pPr>
        <w:snapToGrid w:val="0"/>
        <w:spacing w:line="360" w:lineRule="auto"/>
        <w:ind w:right="-506" w:rightChars="-241" w:firstLine="420" w:firstLineChars="200"/>
        <w:jc w:val="left"/>
        <w:rPr>
          <w:rFonts w:ascii="宋体" w:hAnsi="宋体"/>
          <w:szCs w:val="21"/>
        </w:rPr>
      </w:pPr>
      <w:r>
        <w:rPr>
          <w:rFonts w:ascii="宋体" w:hAnsi="宋体"/>
          <w:szCs w:val="21"/>
        </w:rPr>
        <w:t>1.招标采购单位系指组织本次招标的代理机构（“</w:t>
      </w:r>
      <w:r>
        <w:rPr>
          <w:rFonts w:hint="eastAsia" w:ascii="宋体" w:hAnsi="宋体"/>
          <w:szCs w:val="21"/>
        </w:rPr>
        <w:t>采购人</w:t>
      </w:r>
      <w:r>
        <w:rPr>
          <w:rFonts w:ascii="宋体" w:hAnsi="宋体"/>
          <w:szCs w:val="21"/>
        </w:rPr>
        <w:t>”）和采购单位。</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投标人</w:t>
      </w:r>
      <w:r>
        <w:rPr>
          <w:rFonts w:ascii="宋体" w:hAnsi="宋体"/>
          <w:szCs w:val="21"/>
        </w:rPr>
        <w:t>”系指向</w:t>
      </w:r>
      <w:r>
        <w:rPr>
          <w:rFonts w:hint="eastAsia" w:ascii="宋体" w:hAnsi="宋体"/>
          <w:szCs w:val="21"/>
        </w:rPr>
        <w:t>采购人</w:t>
      </w:r>
      <w:r>
        <w:rPr>
          <w:rFonts w:ascii="宋体" w:hAnsi="宋体"/>
          <w:szCs w:val="21"/>
        </w:rPr>
        <w:t>提交</w:t>
      </w:r>
      <w:r>
        <w:rPr>
          <w:rFonts w:hint="eastAsia" w:ascii="宋体" w:hAnsi="宋体"/>
          <w:szCs w:val="21"/>
        </w:rPr>
        <w:t>投标响应文件</w:t>
      </w:r>
      <w:r>
        <w:rPr>
          <w:rFonts w:ascii="宋体" w:hAnsi="宋体"/>
          <w:szCs w:val="21"/>
        </w:rPr>
        <w:t>的单位或个人。</w:t>
      </w:r>
    </w:p>
    <w:p>
      <w:pPr>
        <w:snapToGrid w:val="0"/>
        <w:spacing w:line="360" w:lineRule="auto"/>
        <w:ind w:right="-506" w:rightChars="-241" w:firstLine="420" w:firstLineChars="200"/>
        <w:jc w:val="left"/>
        <w:rPr>
          <w:rFonts w:ascii="宋体" w:hAnsi="宋体"/>
          <w:szCs w:val="21"/>
        </w:rPr>
      </w:pPr>
      <w:r>
        <w:rPr>
          <w:rFonts w:ascii="宋体" w:hAnsi="宋体"/>
          <w:szCs w:val="21"/>
        </w:rPr>
        <w:t>3.“产品”系指供方按</w:t>
      </w:r>
      <w:r>
        <w:rPr>
          <w:rFonts w:hint="eastAsia" w:ascii="宋体" w:hAnsi="宋体"/>
          <w:szCs w:val="21"/>
        </w:rPr>
        <w:t>采购文件</w:t>
      </w:r>
      <w:r>
        <w:rPr>
          <w:rFonts w:ascii="宋体" w:hAnsi="宋体"/>
          <w:szCs w:val="21"/>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宋体" w:hAnsi="宋体"/>
          <w:szCs w:val="21"/>
        </w:rPr>
      </w:pPr>
      <w:r>
        <w:rPr>
          <w:rFonts w:ascii="宋体" w:hAnsi="宋体"/>
          <w:szCs w:val="21"/>
        </w:rPr>
        <w:t>4.“服务”系指</w:t>
      </w:r>
      <w:r>
        <w:rPr>
          <w:rFonts w:hint="eastAsia" w:ascii="宋体" w:hAnsi="宋体"/>
          <w:szCs w:val="21"/>
        </w:rPr>
        <w:t>采购文件</w:t>
      </w:r>
      <w:r>
        <w:rPr>
          <w:rFonts w:ascii="宋体" w:hAnsi="宋体"/>
          <w:szCs w:val="21"/>
        </w:rPr>
        <w:t>规定</w:t>
      </w:r>
      <w:r>
        <w:rPr>
          <w:rFonts w:hint="eastAsia" w:ascii="宋体" w:hAnsi="宋体"/>
          <w:szCs w:val="21"/>
        </w:rPr>
        <w:t>投标人</w:t>
      </w:r>
      <w:r>
        <w:rPr>
          <w:rFonts w:ascii="宋体" w:hAnsi="宋体"/>
          <w:szCs w:val="21"/>
        </w:rPr>
        <w:t>须承担的安装、调试、技术协助、校准、培训、技术指导以及其他类似的义务。</w:t>
      </w:r>
    </w:p>
    <w:p>
      <w:pPr>
        <w:snapToGrid w:val="0"/>
        <w:spacing w:line="360" w:lineRule="auto"/>
        <w:ind w:right="-506" w:rightChars="-241" w:firstLine="420" w:firstLineChars="200"/>
        <w:jc w:val="left"/>
        <w:rPr>
          <w:rFonts w:ascii="宋体" w:hAnsi="宋体"/>
          <w:szCs w:val="21"/>
        </w:rPr>
      </w:pPr>
      <w:r>
        <w:rPr>
          <w:rFonts w:ascii="宋体" w:hAnsi="宋体"/>
          <w:szCs w:val="21"/>
        </w:rPr>
        <w:t>5.“项目”系指</w:t>
      </w:r>
      <w:r>
        <w:rPr>
          <w:rFonts w:hint="eastAsia" w:ascii="宋体" w:hAnsi="宋体"/>
          <w:szCs w:val="21"/>
        </w:rPr>
        <w:t>投标人</w:t>
      </w:r>
      <w:r>
        <w:rPr>
          <w:rFonts w:ascii="宋体" w:hAnsi="宋体"/>
          <w:szCs w:val="21"/>
        </w:rPr>
        <w:t>按</w:t>
      </w:r>
      <w:r>
        <w:rPr>
          <w:rFonts w:hint="eastAsia" w:ascii="宋体" w:hAnsi="宋体"/>
          <w:szCs w:val="21"/>
        </w:rPr>
        <w:t>采购文件</w:t>
      </w:r>
      <w:r>
        <w:rPr>
          <w:rFonts w:ascii="宋体" w:hAnsi="宋体"/>
          <w:szCs w:val="21"/>
        </w:rPr>
        <w:t>规定向采购人提供的产品和服务。</w:t>
      </w:r>
    </w:p>
    <w:p>
      <w:pPr>
        <w:spacing w:line="360" w:lineRule="auto"/>
        <w:ind w:right="3" w:firstLine="420" w:firstLineChars="200"/>
        <w:rPr>
          <w:rFonts w:ascii="宋体" w:hAnsi="宋体"/>
        </w:rPr>
      </w:pPr>
      <w:r>
        <w:rPr>
          <w:rFonts w:hint="eastAsia" w:ascii="宋体" w:hAnsi="宋体"/>
        </w:rPr>
        <w:t>6.“中标人”是指经审查通过，并经公示无异议的投标人。</w:t>
      </w:r>
    </w:p>
    <w:p>
      <w:pPr>
        <w:spacing w:line="360" w:lineRule="auto"/>
        <w:ind w:right="3" w:firstLine="420" w:firstLineChars="200"/>
      </w:pPr>
      <w:r>
        <w:rPr>
          <w:rFonts w:hint="eastAsia" w:ascii="宋体" w:hAnsi="宋体"/>
        </w:rPr>
        <w:t>7“</w:t>
      </w:r>
      <w:r>
        <w:rPr>
          <w:rFonts w:hint="eastAsia" w:ascii="宋体" w:hAnsi="宋体"/>
          <w:szCs w:val="21"/>
        </w:rPr>
        <w:t>投标人代表”</w:t>
      </w:r>
      <w:r>
        <w:rPr>
          <w:rFonts w:hint="eastAsia" w:ascii="宋体" w:hAnsi="宋体"/>
        </w:rPr>
        <w:t>是</w:t>
      </w:r>
      <w:r>
        <w:rPr>
          <w:rFonts w:hint="eastAsia" w:ascii="宋体" w:hAnsi="宋体"/>
          <w:szCs w:val="21"/>
        </w:rPr>
        <w:t>指投标人法定代表人或被投标人法定代表人授权委托的人。</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8</w:t>
      </w:r>
      <w:r>
        <w:rPr>
          <w:rFonts w:ascii="宋体" w:hAnsi="宋体"/>
          <w:szCs w:val="21"/>
        </w:rPr>
        <w:t>.“书面形式”包括信函、传真、电报、电子文档等。</w:t>
      </w:r>
    </w:p>
    <w:p>
      <w:pPr>
        <w:snapToGrid w:val="0"/>
        <w:spacing w:line="360" w:lineRule="auto"/>
        <w:ind w:firstLine="422" w:firstLineChars="200"/>
        <w:jc w:val="left"/>
        <w:outlineLvl w:val="1"/>
        <w:rPr>
          <w:rFonts w:ascii="宋体" w:hAnsi="宋体"/>
          <w:b/>
          <w:szCs w:val="21"/>
        </w:rPr>
      </w:pPr>
      <w:r>
        <w:rPr>
          <w:rFonts w:ascii="宋体" w:hAnsi="宋体"/>
          <w:b/>
          <w:szCs w:val="21"/>
        </w:rPr>
        <w:t>（三）采购方式</w:t>
      </w:r>
    </w:p>
    <w:p>
      <w:pPr>
        <w:snapToGrid w:val="0"/>
        <w:spacing w:line="360" w:lineRule="auto"/>
        <w:ind w:right="-506" w:rightChars="-241" w:firstLine="420" w:firstLineChars="200"/>
        <w:jc w:val="left"/>
        <w:rPr>
          <w:rFonts w:ascii="宋体" w:hAnsi="宋体"/>
          <w:szCs w:val="21"/>
        </w:rPr>
      </w:pPr>
      <w:r>
        <w:rPr>
          <w:rFonts w:ascii="宋体" w:hAnsi="宋体"/>
          <w:szCs w:val="21"/>
        </w:rPr>
        <w:t>本次采购采用</w:t>
      </w:r>
      <w:r>
        <w:rPr>
          <w:rFonts w:hint="eastAsia" w:ascii="宋体" w:hAnsi="宋体"/>
          <w:szCs w:val="21"/>
        </w:rPr>
        <w:t>公开采购方</w:t>
      </w:r>
      <w:r>
        <w:rPr>
          <w:rFonts w:ascii="宋体" w:hAnsi="宋体"/>
          <w:szCs w:val="21"/>
        </w:rPr>
        <w:t>式进行。</w:t>
      </w:r>
    </w:p>
    <w:p>
      <w:pPr>
        <w:pStyle w:val="42"/>
        <w:snapToGrid w:val="0"/>
        <w:spacing w:before="120" w:after="120" w:line="360" w:lineRule="auto"/>
        <w:ind w:firstLine="417" w:firstLineChars="198"/>
        <w:rPr>
          <w:rFonts w:hAnsi="宋体" w:eastAsia="宋体"/>
          <w:b/>
          <w:sz w:val="21"/>
        </w:rPr>
      </w:pPr>
      <w:r>
        <w:rPr>
          <w:rFonts w:hAnsi="宋体" w:eastAsia="宋体"/>
          <w:b/>
          <w:sz w:val="21"/>
        </w:rPr>
        <w:t>（四）采购预算</w:t>
      </w:r>
    </w:p>
    <w:p>
      <w:pPr>
        <w:pStyle w:val="9"/>
        <w:spacing w:after="0" w:line="360" w:lineRule="auto"/>
        <w:ind w:firstLine="420" w:firstLineChars="200"/>
        <w:rPr>
          <w:rFonts w:ascii="宋体" w:hAnsi="宋体"/>
        </w:rPr>
      </w:pPr>
      <w:r>
        <w:rPr>
          <w:rFonts w:ascii="宋体" w:hAnsi="宋体"/>
          <w:sz w:val="21"/>
          <w:szCs w:val="21"/>
        </w:rPr>
        <w:t>本次采购以</w:t>
      </w:r>
      <w:r>
        <w:rPr>
          <w:rFonts w:ascii="宋体" w:hAnsi="宋体"/>
          <w:b/>
          <w:sz w:val="21"/>
          <w:szCs w:val="21"/>
        </w:rPr>
        <w:t>预算价</w:t>
      </w:r>
      <w:r>
        <w:rPr>
          <w:rFonts w:ascii="宋体" w:hAnsi="宋体"/>
          <w:sz w:val="21"/>
          <w:szCs w:val="21"/>
        </w:rPr>
        <w:t>作为上限价。</w:t>
      </w:r>
    </w:p>
    <w:p>
      <w:pPr>
        <w:pStyle w:val="42"/>
        <w:numPr>
          <w:ilvl w:val="0"/>
          <w:numId w:val="5"/>
        </w:numPr>
        <w:snapToGrid w:val="0"/>
        <w:spacing w:before="120" w:after="120" w:line="360" w:lineRule="auto"/>
        <w:ind w:firstLine="417" w:firstLineChars="198"/>
        <w:rPr>
          <w:rFonts w:hAnsi="宋体" w:eastAsia="宋体"/>
          <w:b/>
          <w:sz w:val="21"/>
        </w:rPr>
      </w:pPr>
      <w:r>
        <w:rPr>
          <w:rFonts w:hAnsi="宋体" w:eastAsia="宋体"/>
          <w:b/>
          <w:sz w:val="21"/>
        </w:rPr>
        <w:t>投标委托</w:t>
      </w:r>
    </w:p>
    <w:p>
      <w:pPr>
        <w:snapToGrid w:val="0"/>
        <w:spacing w:line="360" w:lineRule="auto"/>
        <w:ind w:right="-506" w:rightChars="-241" w:firstLine="420" w:firstLineChars="200"/>
        <w:jc w:val="left"/>
        <w:rPr>
          <w:rFonts w:ascii="宋体" w:hAnsi="宋体"/>
          <w:szCs w:val="21"/>
        </w:rPr>
      </w:pPr>
      <w:r>
        <w:rPr>
          <w:rFonts w:ascii="宋体" w:hAnsi="宋体"/>
          <w:szCs w:val="21"/>
        </w:rPr>
        <w:t>如</w:t>
      </w:r>
      <w:r>
        <w:rPr>
          <w:rFonts w:hint="eastAsia" w:ascii="宋体" w:hAnsi="宋体"/>
          <w:szCs w:val="21"/>
        </w:rPr>
        <w:t>投标人</w:t>
      </w:r>
      <w:r>
        <w:rPr>
          <w:rFonts w:ascii="宋体" w:hAnsi="宋体"/>
          <w:szCs w:val="21"/>
        </w:rPr>
        <w:t>代表不是法定代表人，须有法定代表人出具的授权委托书（格式见第六章）。</w:t>
      </w:r>
    </w:p>
    <w:p>
      <w:pPr>
        <w:pStyle w:val="42"/>
        <w:numPr>
          <w:ilvl w:val="0"/>
          <w:numId w:val="5"/>
        </w:numPr>
        <w:snapToGrid w:val="0"/>
        <w:spacing w:before="120" w:after="120" w:line="360" w:lineRule="auto"/>
        <w:ind w:firstLine="417" w:firstLineChars="198"/>
        <w:rPr>
          <w:rFonts w:hAnsi="宋体" w:eastAsia="宋体"/>
          <w:b/>
          <w:sz w:val="21"/>
        </w:rPr>
      </w:pPr>
      <w:r>
        <w:rPr>
          <w:rFonts w:hAnsi="宋体" w:eastAsia="宋体"/>
          <w:b/>
          <w:sz w:val="21"/>
        </w:rPr>
        <w:t>费用</w:t>
      </w:r>
    </w:p>
    <w:p>
      <w:pPr>
        <w:snapToGrid w:val="0"/>
        <w:spacing w:line="360" w:lineRule="auto"/>
        <w:ind w:right="-506" w:rightChars="-241" w:firstLine="420" w:firstLineChars="200"/>
        <w:jc w:val="left"/>
        <w:rPr>
          <w:rFonts w:ascii="宋体" w:hAnsi="宋体"/>
          <w:szCs w:val="21"/>
        </w:rPr>
      </w:pPr>
      <w:r>
        <w:rPr>
          <w:rFonts w:ascii="宋体" w:hAnsi="宋体"/>
          <w:szCs w:val="21"/>
        </w:rPr>
        <w:t>不论</w:t>
      </w:r>
      <w:r>
        <w:rPr>
          <w:rFonts w:hint="eastAsia" w:ascii="宋体" w:hAnsi="宋体"/>
          <w:szCs w:val="21"/>
        </w:rPr>
        <w:t>采购</w:t>
      </w:r>
      <w:r>
        <w:rPr>
          <w:rFonts w:ascii="宋体" w:hAnsi="宋体"/>
          <w:szCs w:val="21"/>
        </w:rPr>
        <w:t>结果如何，</w:t>
      </w:r>
      <w:r>
        <w:rPr>
          <w:rFonts w:hint="eastAsia" w:ascii="宋体" w:hAnsi="宋体"/>
          <w:szCs w:val="21"/>
        </w:rPr>
        <w:t>投标人</w:t>
      </w:r>
      <w:r>
        <w:rPr>
          <w:rFonts w:ascii="宋体" w:hAnsi="宋体"/>
          <w:szCs w:val="21"/>
        </w:rPr>
        <w:t>均应自行承担所有与投标有关的全部费用（</w:t>
      </w:r>
      <w:r>
        <w:rPr>
          <w:rFonts w:hint="eastAsia" w:ascii="宋体" w:hAnsi="宋体"/>
          <w:szCs w:val="21"/>
        </w:rPr>
        <w:t>采购</w:t>
      </w:r>
      <w:r>
        <w:rPr>
          <w:rFonts w:ascii="宋体" w:hAnsi="宋体"/>
          <w:szCs w:val="21"/>
        </w:rPr>
        <w:t>文件另有规定除外）。</w:t>
      </w:r>
    </w:p>
    <w:p>
      <w:pPr>
        <w:pStyle w:val="42"/>
        <w:numPr>
          <w:ilvl w:val="0"/>
          <w:numId w:val="5"/>
        </w:numPr>
        <w:snapToGrid w:val="0"/>
        <w:spacing w:before="120" w:after="120" w:line="360" w:lineRule="auto"/>
        <w:ind w:firstLine="417" w:firstLineChars="198"/>
        <w:rPr>
          <w:rFonts w:hAnsi="宋体" w:eastAsia="宋体"/>
          <w:b/>
          <w:sz w:val="21"/>
        </w:rPr>
      </w:pPr>
      <w:r>
        <w:rPr>
          <w:rFonts w:hAnsi="宋体" w:eastAsia="宋体"/>
          <w:b/>
          <w:sz w:val="21"/>
        </w:rPr>
        <w:t>联合体投标</w:t>
      </w:r>
    </w:p>
    <w:p>
      <w:pPr>
        <w:snapToGrid w:val="0"/>
        <w:spacing w:line="360" w:lineRule="auto"/>
        <w:ind w:right="-506" w:rightChars="-241" w:firstLine="420" w:firstLineChars="200"/>
        <w:jc w:val="left"/>
        <w:rPr>
          <w:rFonts w:ascii="宋体" w:hAnsi="宋体"/>
          <w:szCs w:val="21"/>
          <w:highlight w:val="none"/>
        </w:rPr>
      </w:pPr>
      <w:r>
        <w:rPr>
          <w:rFonts w:ascii="宋体" w:hAnsi="宋体"/>
          <w:szCs w:val="21"/>
          <w:highlight w:val="none"/>
        </w:rPr>
        <w:t>本项目接受联合体投标。</w:t>
      </w:r>
    </w:p>
    <w:p>
      <w:pPr>
        <w:pStyle w:val="42"/>
        <w:numPr>
          <w:ilvl w:val="0"/>
          <w:numId w:val="5"/>
        </w:numPr>
        <w:snapToGrid w:val="0"/>
        <w:spacing w:before="120" w:after="120" w:line="360" w:lineRule="auto"/>
        <w:ind w:firstLine="417" w:firstLineChars="198"/>
        <w:rPr>
          <w:rFonts w:hAnsi="宋体" w:eastAsia="宋体"/>
          <w:b/>
          <w:sz w:val="21"/>
        </w:rPr>
      </w:pPr>
      <w:r>
        <w:rPr>
          <w:rFonts w:hAnsi="宋体" w:eastAsia="宋体"/>
          <w:b/>
          <w:sz w:val="21"/>
        </w:rPr>
        <w:t>转包与分包</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1.</w:t>
      </w:r>
      <w:r>
        <w:rPr>
          <w:rFonts w:ascii="宋体" w:hAnsi="宋体"/>
          <w:szCs w:val="21"/>
        </w:rPr>
        <w:t>本项目不允许转包。</w:t>
      </w:r>
    </w:p>
    <w:p>
      <w:pPr>
        <w:snapToGrid w:val="0"/>
        <w:spacing w:line="360" w:lineRule="auto"/>
        <w:ind w:right="-506" w:rightChars="-241" w:firstLine="420" w:firstLineChars="200"/>
        <w:jc w:val="left"/>
        <w:rPr>
          <w:rFonts w:ascii="宋体" w:hAnsi="宋体"/>
          <w:szCs w:val="21"/>
        </w:rPr>
      </w:pPr>
      <w:r>
        <w:rPr>
          <w:rFonts w:ascii="宋体" w:hAnsi="宋体"/>
          <w:szCs w:val="21"/>
        </w:rPr>
        <w:t>2.本项目允许分包，允许分包内容为：雷达站基础工程内的相关项目允许分包。</w:t>
      </w:r>
    </w:p>
    <w:p>
      <w:pPr>
        <w:pStyle w:val="42"/>
        <w:snapToGrid w:val="0"/>
        <w:spacing w:before="120" w:after="120" w:line="360" w:lineRule="auto"/>
        <w:ind w:left="416" w:leftChars="198"/>
        <w:rPr>
          <w:rFonts w:hAnsi="宋体" w:eastAsia="宋体"/>
          <w:b/>
          <w:sz w:val="21"/>
        </w:rPr>
      </w:pPr>
      <w:r>
        <w:rPr>
          <w:rFonts w:hAnsi="宋体" w:eastAsia="宋体"/>
          <w:b/>
          <w:sz w:val="21"/>
        </w:rPr>
        <w:t>（九）特别说明：</w:t>
      </w:r>
    </w:p>
    <w:p>
      <w:pPr>
        <w:pStyle w:val="9"/>
        <w:spacing w:after="0" w:line="360" w:lineRule="auto"/>
        <w:ind w:firstLine="480"/>
        <w:rPr>
          <w:rFonts w:ascii="宋体" w:hAnsi="宋体"/>
        </w:rPr>
      </w:pPr>
      <w:r>
        <w:rPr>
          <w:rFonts w:hint="eastAsia" w:ascii="宋体" w:hAnsi="宋体"/>
          <w:snapToGrid w:val="0"/>
          <w:sz w:val="21"/>
          <w:szCs w:val="21"/>
        </w:rPr>
        <w:t>1.对投标人的限制</w:t>
      </w:r>
    </w:p>
    <w:p>
      <w:pPr>
        <w:snapToGrid w:val="0"/>
        <w:spacing w:line="360" w:lineRule="auto"/>
        <w:ind w:firstLine="422" w:firstLineChars="200"/>
        <w:jc w:val="left"/>
        <w:rPr>
          <w:rFonts w:ascii="宋体" w:hAnsi="宋体"/>
          <w:b/>
          <w:bCs/>
          <w:szCs w:val="21"/>
        </w:rPr>
      </w:pPr>
      <w:r>
        <w:rPr>
          <w:rFonts w:hint="eastAsia" w:ascii="宋体" w:hAnsi="宋体"/>
          <w:b/>
        </w:rPr>
        <w:t>★</w:t>
      </w:r>
      <w:r>
        <w:rPr>
          <w:rFonts w:hint="eastAsia" w:ascii="宋体" w:hAnsi="宋体"/>
          <w:b/>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投标人投标</w:t>
      </w:r>
      <w:r>
        <w:rPr>
          <w:rFonts w:ascii="宋体" w:hAnsi="宋体"/>
          <w:szCs w:val="21"/>
        </w:rPr>
        <w:t>所使用的资格、信誉、荣誉、业绩与企业认证必须为本法人所拥有。</w:t>
      </w:r>
      <w:r>
        <w:rPr>
          <w:rFonts w:hint="eastAsia" w:ascii="宋体" w:hAnsi="宋体"/>
          <w:szCs w:val="21"/>
        </w:rPr>
        <w:t>投标人</w:t>
      </w:r>
      <w:r>
        <w:rPr>
          <w:rFonts w:ascii="宋体" w:hAnsi="宋体"/>
          <w:szCs w:val="21"/>
        </w:rPr>
        <w:t>投标所使用的采购项目实施人员必须为本法人员工（或必须为本法人或控股公司正式员工）。</w:t>
      </w:r>
    </w:p>
    <w:p>
      <w:pPr>
        <w:snapToGrid w:val="0"/>
        <w:spacing w:line="360" w:lineRule="auto"/>
        <w:ind w:right="-506" w:rightChars="-241" w:firstLine="420" w:firstLineChars="200"/>
        <w:jc w:val="left"/>
        <w:rPr>
          <w:rFonts w:ascii="宋体" w:hAnsi="宋体"/>
          <w:szCs w:val="21"/>
        </w:rPr>
      </w:pPr>
      <w:r>
        <w:rPr>
          <w:rFonts w:ascii="宋体" w:hAnsi="宋体"/>
          <w:szCs w:val="21"/>
        </w:rPr>
        <w:t>3.</w:t>
      </w:r>
      <w:r>
        <w:rPr>
          <w:rFonts w:hint="eastAsia" w:ascii="宋体" w:hAnsi="宋体"/>
          <w:szCs w:val="21"/>
        </w:rPr>
        <w:t>投标人</w:t>
      </w:r>
      <w:r>
        <w:rPr>
          <w:rFonts w:ascii="宋体" w:hAnsi="宋体"/>
          <w:szCs w:val="21"/>
        </w:rPr>
        <w:t>应仔细阅读</w:t>
      </w:r>
      <w:r>
        <w:rPr>
          <w:rFonts w:hint="eastAsia" w:ascii="宋体" w:hAnsi="宋体"/>
          <w:szCs w:val="21"/>
        </w:rPr>
        <w:t>采购</w:t>
      </w:r>
      <w:r>
        <w:rPr>
          <w:rFonts w:ascii="宋体" w:hAnsi="宋体"/>
          <w:szCs w:val="21"/>
        </w:rPr>
        <w:t>文件的所有内容，按照</w:t>
      </w:r>
      <w:r>
        <w:rPr>
          <w:rFonts w:hint="eastAsia" w:ascii="宋体" w:hAnsi="宋体"/>
          <w:szCs w:val="21"/>
        </w:rPr>
        <w:t>采购文件</w:t>
      </w:r>
      <w:r>
        <w:rPr>
          <w:rFonts w:ascii="宋体" w:hAnsi="宋体"/>
          <w:szCs w:val="21"/>
        </w:rPr>
        <w:t>的要求提交</w:t>
      </w:r>
      <w:r>
        <w:rPr>
          <w:rFonts w:hint="eastAsia" w:ascii="宋体" w:hAnsi="宋体"/>
          <w:szCs w:val="21"/>
        </w:rPr>
        <w:t>投标响应文件</w:t>
      </w:r>
      <w:r>
        <w:rPr>
          <w:rFonts w:ascii="宋体" w:hAnsi="宋体"/>
          <w:szCs w:val="21"/>
        </w:rPr>
        <w:t>，并对所提供的全部资料的真实性承担法律责任。</w:t>
      </w:r>
    </w:p>
    <w:p>
      <w:pPr>
        <w:snapToGrid w:val="0"/>
        <w:spacing w:line="360" w:lineRule="auto"/>
        <w:ind w:right="-506" w:rightChars="-241" w:firstLine="420" w:firstLineChars="200"/>
        <w:jc w:val="left"/>
        <w:rPr>
          <w:rFonts w:ascii="宋体" w:hAnsi="宋体"/>
          <w:szCs w:val="21"/>
        </w:rPr>
      </w:pPr>
      <w:r>
        <w:rPr>
          <w:rFonts w:ascii="宋体" w:hAnsi="宋体"/>
          <w:szCs w:val="21"/>
        </w:rPr>
        <w:t>4.</w:t>
      </w:r>
      <w:r>
        <w:rPr>
          <w:rFonts w:hint="eastAsia" w:ascii="宋体" w:hAnsi="宋体"/>
          <w:szCs w:val="21"/>
        </w:rPr>
        <w:t>投标人</w:t>
      </w:r>
      <w:r>
        <w:rPr>
          <w:rFonts w:ascii="宋体" w:hAnsi="宋体"/>
          <w:szCs w:val="21"/>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宋体" w:hAnsi="宋体"/>
          <w:szCs w:val="21"/>
        </w:rPr>
        <w:t>投标人</w:t>
      </w:r>
      <w:r>
        <w:rPr>
          <w:rFonts w:ascii="宋体" w:hAnsi="宋体"/>
          <w:szCs w:val="21"/>
        </w:rPr>
        <w:t>的行政与刑事责任。</w:t>
      </w:r>
    </w:p>
    <w:p>
      <w:pPr>
        <w:pStyle w:val="42"/>
        <w:snapToGrid w:val="0"/>
        <w:spacing w:before="120" w:after="120" w:line="360" w:lineRule="auto"/>
        <w:ind w:left="416" w:leftChars="198"/>
        <w:rPr>
          <w:rFonts w:hAnsi="宋体" w:eastAsia="宋体"/>
          <w:b/>
          <w:sz w:val="21"/>
        </w:rPr>
      </w:pPr>
      <w:r>
        <w:rPr>
          <w:rFonts w:hAnsi="宋体" w:eastAsia="宋体"/>
          <w:b/>
          <w:sz w:val="21"/>
        </w:rPr>
        <w:t>（十）质疑和投诉</w:t>
      </w:r>
    </w:p>
    <w:p>
      <w:pPr>
        <w:pStyle w:val="42"/>
        <w:snapToGrid w:val="0"/>
        <w:spacing w:before="120" w:after="120" w:line="360" w:lineRule="auto"/>
        <w:ind w:firstLine="413" w:firstLineChars="196"/>
        <w:rPr>
          <w:rFonts w:hAnsi="宋体" w:eastAsia="宋体"/>
          <w:b/>
          <w:bCs/>
          <w:sz w:val="21"/>
        </w:rPr>
      </w:pPr>
      <w:r>
        <w:rPr>
          <w:rFonts w:hAnsi="宋体" w:eastAsia="宋体"/>
          <w:b/>
          <w:sz w:val="21"/>
        </w:rPr>
        <w:t>1、</w:t>
      </w:r>
      <w:r>
        <w:rPr>
          <w:rFonts w:hAnsi="宋体" w:eastAsia="宋体"/>
          <w:b/>
          <w:bCs/>
          <w:sz w:val="21"/>
        </w:rPr>
        <w:t>质疑</w:t>
      </w:r>
    </w:p>
    <w:p>
      <w:pPr>
        <w:spacing w:line="360" w:lineRule="auto"/>
        <w:ind w:firstLine="420"/>
        <w:rPr>
          <w:rFonts w:ascii="宋体" w:hAnsi="宋体"/>
        </w:rPr>
      </w:pPr>
      <w:r>
        <w:rPr>
          <w:rFonts w:ascii="宋体" w:hAnsi="宋体"/>
        </w:rPr>
        <w:t>1.1</w:t>
      </w:r>
      <w:r>
        <w:rPr>
          <w:rFonts w:ascii="宋体" w:hAnsi="宋体"/>
          <w:kern w:val="0"/>
          <w:szCs w:val="21"/>
        </w:rPr>
        <w:t>根据财政部94号令（《政府采购质疑和投诉办法》）的规定，</w:t>
      </w:r>
      <w:r>
        <w:rPr>
          <w:rFonts w:ascii="宋体" w:hAnsi="宋体"/>
        </w:rPr>
        <w:t>投标人认为</w:t>
      </w:r>
      <w:r>
        <w:rPr>
          <w:rFonts w:hint="eastAsia" w:ascii="宋体" w:hAnsi="宋体"/>
        </w:rPr>
        <w:t>采购文件</w:t>
      </w:r>
      <w:r>
        <w:rPr>
          <w:rFonts w:ascii="宋体" w:hAnsi="宋体"/>
        </w:rPr>
        <w:t>、招标过程和中标、成交结果使自己的权益受到损害的，可以在知道或者应知其权益受到损害之日起七个工作日内，以书面形式向招标代理机构提出质疑，</w:t>
      </w:r>
      <w:r>
        <w:rPr>
          <w:rFonts w:hint="eastAsia" w:ascii="宋体" w:hAnsi="宋体"/>
        </w:rPr>
        <w:t>投标人</w:t>
      </w:r>
      <w:r>
        <w:rPr>
          <w:rFonts w:ascii="宋体" w:hAnsi="宋体"/>
        </w:rPr>
        <w:t>在法定质疑期内一次性提出针对同一采购程序环节的质疑。</w:t>
      </w:r>
    </w:p>
    <w:p>
      <w:pPr>
        <w:spacing w:line="360" w:lineRule="auto"/>
        <w:ind w:firstLine="420"/>
        <w:rPr>
          <w:rFonts w:ascii="宋体" w:hAnsi="宋体"/>
        </w:rPr>
      </w:pPr>
      <w:r>
        <w:rPr>
          <w:rFonts w:ascii="宋体" w:hAnsi="宋体"/>
        </w:rPr>
        <w:t>（1）投标人如认为招标公告信息使自身的合法权益受到损害的，应于自招标公告</w:t>
      </w:r>
      <w:r>
        <w:rPr>
          <w:rFonts w:hint="eastAsia" w:ascii="宋体" w:hAnsi="宋体"/>
        </w:rPr>
        <w:t>期限届满</w:t>
      </w:r>
      <w:r>
        <w:rPr>
          <w:rFonts w:ascii="宋体" w:hAnsi="宋体"/>
        </w:rPr>
        <w:t>之日起七个工作日内以书面形式向招标代理机构提出质疑；</w:t>
      </w:r>
    </w:p>
    <w:p>
      <w:pPr>
        <w:spacing w:line="360" w:lineRule="auto"/>
        <w:ind w:firstLine="420"/>
        <w:rPr>
          <w:rFonts w:ascii="宋体" w:hAnsi="宋体"/>
        </w:rPr>
      </w:pPr>
      <w:r>
        <w:rPr>
          <w:rFonts w:ascii="宋体" w:hAnsi="宋体"/>
        </w:rPr>
        <w:t>（2）投标人如认为</w:t>
      </w:r>
      <w:r>
        <w:rPr>
          <w:rFonts w:hint="eastAsia" w:ascii="宋体" w:hAnsi="宋体"/>
        </w:rPr>
        <w:t>采购</w:t>
      </w:r>
      <w:r>
        <w:rPr>
          <w:rFonts w:ascii="宋体" w:hAnsi="宋体"/>
        </w:rPr>
        <w:t>文件使自身的合法权益受到损害的，应按投标人须知前附表中质疑一栏中规定时间内提出要求；</w:t>
      </w:r>
    </w:p>
    <w:p>
      <w:pPr>
        <w:spacing w:line="360" w:lineRule="auto"/>
        <w:ind w:firstLine="420"/>
        <w:rPr>
          <w:rFonts w:ascii="宋体" w:hAnsi="宋体"/>
        </w:rPr>
      </w:pPr>
      <w:r>
        <w:rPr>
          <w:rFonts w:ascii="宋体" w:hAnsi="宋体"/>
        </w:rPr>
        <w:t>（3）对采购过程提出质疑的，为各采购程序环节结束之日；</w:t>
      </w:r>
    </w:p>
    <w:p>
      <w:pPr>
        <w:spacing w:line="360" w:lineRule="auto"/>
        <w:ind w:firstLine="420"/>
        <w:rPr>
          <w:rFonts w:ascii="宋体" w:hAnsi="宋体"/>
        </w:rPr>
      </w:pPr>
      <w:r>
        <w:rPr>
          <w:rFonts w:ascii="宋体" w:hAnsi="宋体"/>
        </w:rPr>
        <w:t>（4）投标人如认为招标过程和中标结果使自身的合法权益受到损害的，应于中标结果公告</w:t>
      </w:r>
      <w:r>
        <w:rPr>
          <w:rFonts w:hint="eastAsia" w:ascii="宋体" w:hAnsi="宋体"/>
        </w:rPr>
        <w:t>期限届满</w:t>
      </w:r>
      <w:r>
        <w:rPr>
          <w:rFonts w:ascii="宋体" w:hAnsi="宋体"/>
        </w:rPr>
        <w:t>之日起七个工作日内以书面形式向招标代理机构一次性提出针对同一采购程序环节的质疑。</w:t>
      </w:r>
    </w:p>
    <w:p>
      <w:pPr>
        <w:spacing w:line="360" w:lineRule="auto"/>
        <w:ind w:firstLine="420"/>
        <w:rPr>
          <w:rFonts w:ascii="宋体" w:hAnsi="宋体"/>
        </w:rPr>
      </w:pPr>
      <w:r>
        <w:rPr>
          <w:rFonts w:ascii="宋体" w:hAnsi="宋体"/>
        </w:rPr>
        <w:t>1.2提出质疑的</w:t>
      </w:r>
      <w:r>
        <w:rPr>
          <w:rFonts w:hint="eastAsia" w:ascii="宋体" w:hAnsi="宋体"/>
        </w:rPr>
        <w:t>投标人</w:t>
      </w:r>
      <w:r>
        <w:rPr>
          <w:rFonts w:ascii="宋体" w:hAnsi="宋体"/>
        </w:rPr>
        <w:t>（以下简称质疑</w:t>
      </w:r>
      <w:r>
        <w:rPr>
          <w:rFonts w:hint="eastAsia" w:ascii="宋体" w:hAnsi="宋体"/>
        </w:rPr>
        <w:t>投标人</w:t>
      </w:r>
      <w:r>
        <w:rPr>
          <w:rFonts w:ascii="宋体" w:hAnsi="宋体"/>
        </w:rPr>
        <w:t>）应当是参与所质疑项目采购活动的</w:t>
      </w:r>
      <w:r>
        <w:rPr>
          <w:rFonts w:hint="eastAsia" w:ascii="宋体" w:hAnsi="宋体"/>
        </w:rPr>
        <w:t>投标人</w:t>
      </w:r>
      <w:r>
        <w:rPr>
          <w:rFonts w:ascii="宋体" w:hAnsi="宋体"/>
        </w:rPr>
        <w:t>。</w:t>
      </w:r>
    </w:p>
    <w:p>
      <w:pPr>
        <w:spacing w:line="360" w:lineRule="auto"/>
        <w:ind w:firstLine="420"/>
        <w:rPr>
          <w:rFonts w:ascii="宋体" w:hAnsi="宋体"/>
        </w:rPr>
      </w:pPr>
      <w:r>
        <w:rPr>
          <w:rFonts w:ascii="宋体" w:hAnsi="宋体"/>
        </w:rPr>
        <w:t>1.3</w:t>
      </w:r>
      <w:r>
        <w:rPr>
          <w:rFonts w:hint="eastAsia" w:ascii="宋体" w:hAnsi="宋体"/>
        </w:rPr>
        <w:t>投标人</w:t>
      </w:r>
      <w:r>
        <w:rPr>
          <w:rFonts w:ascii="宋体" w:hAnsi="宋体"/>
        </w:rPr>
        <w:t>为自然人的，应当由本人签字；</w:t>
      </w:r>
      <w:r>
        <w:rPr>
          <w:rFonts w:hint="eastAsia" w:ascii="宋体" w:hAnsi="宋体"/>
        </w:rPr>
        <w:t>投标人</w:t>
      </w:r>
      <w:r>
        <w:rPr>
          <w:rFonts w:ascii="宋体" w:hAnsi="宋体"/>
        </w:rPr>
        <w:t>为法人或者其他组织的，应当由法定代表人、主要负责人，或者其授权代表签字或者盖章，并加盖公章。</w:t>
      </w:r>
    </w:p>
    <w:p>
      <w:pPr>
        <w:spacing w:line="360" w:lineRule="auto"/>
        <w:ind w:firstLine="420"/>
        <w:rPr>
          <w:rFonts w:ascii="宋体" w:hAnsi="宋体"/>
        </w:rPr>
      </w:pPr>
      <w:r>
        <w:rPr>
          <w:rFonts w:hint="eastAsia" w:ascii="宋体" w:hAnsi="宋体"/>
        </w:rPr>
        <w:t>投标人</w:t>
      </w:r>
      <w:r>
        <w:rPr>
          <w:rFonts w:ascii="宋体" w:hAnsi="宋体"/>
        </w:rPr>
        <w:t>可以委托代理人进行质疑和投诉。其授权委托书应当载明代理人的姓名或者名称、代理事项、具体权限、期限和相关事项。</w:t>
      </w:r>
      <w:r>
        <w:rPr>
          <w:rFonts w:hint="eastAsia" w:ascii="宋体" w:hAnsi="宋体"/>
        </w:rPr>
        <w:t>投标人</w:t>
      </w:r>
      <w:r>
        <w:rPr>
          <w:rFonts w:ascii="宋体" w:hAnsi="宋体"/>
        </w:rPr>
        <w:t>为自然人的，应当由本人签字；</w:t>
      </w:r>
      <w:r>
        <w:rPr>
          <w:rFonts w:hint="eastAsia" w:ascii="宋体" w:hAnsi="宋体"/>
        </w:rPr>
        <w:t>投标人</w:t>
      </w:r>
      <w:r>
        <w:rPr>
          <w:rFonts w:ascii="宋体" w:hAnsi="宋体"/>
        </w:rPr>
        <w:t>为法人或者其他组织的，应当由法定代表人、主要负责人签字或者盖章，并加盖公章。代理人提出质疑和投诉，应当提交</w:t>
      </w:r>
      <w:r>
        <w:rPr>
          <w:rFonts w:hint="eastAsia" w:ascii="宋体" w:hAnsi="宋体"/>
        </w:rPr>
        <w:t>投标人</w:t>
      </w:r>
      <w:r>
        <w:rPr>
          <w:rFonts w:ascii="宋体" w:hAnsi="宋体"/>
        </w:rPr>
        <w:t>签署的授权委托书。</w:t>
      </w:r>
    </w:p>
    <w:p>
      <w:pPr>
        <w:spacing w:line="360" w:lineRule="auto"/>
        <w:ind w:firstLine="420"/>
        <w:rPr>
          <w:rFonts w:ascii="宋体" w:hAnsi="宋体"/>
        </w:rPr>
      </w:pPr>
      <w:r>
        <w:rPr>
          <w:rFonts w:ascii="宋体" w:hAnsi="宋体"/>
        </w:rPr>
        <w:t>以联合体形式参加政府采购活动的，其投诉应当由组成联合体的所有</w:t>
      </w:r>
      <w:r>
        <w:rPr>
          <w:rFonts w:hint="eastAsia" w:ascii="宋体" w:hAnsi="宋体"/>
        </w:rPr>
        <w:t>投标人</w:t>
      </w:r>
      <w:r>
        <w:rPr>
          <w:rFonts w:ascii="宋体" w:hAnsi="宋体"/>
        </w:rPr>
        <w:t>共同提出。</w:t>
      </w:r>
    </w:p>
    <w:p>
      <w:pPr>
        <w:spacing w:line="360" w:lineRule="auto"/>
        <w:ind w:firstLine="420"/>
        <w:rPr>
          <w:rFonts w:ascii="宋体" w:hAnsi="宋体"/>
        </w:rPr>
      </w:pPr>
      <w:r>
        <w:rPr>
          <w:rFonts w:ascii="宋体" w:hAnsi="宋体"/>
        </w:rPr>
        <w:t>1.4投标人提交的质疑书需一式三份，质疑书至少应包括下列主要内容：</w:t>
      </w:r>
    </w:p>
    <w:p>
      <w:pPr>
        <w:spacing w:line="360" w:lineRule="auto"/>
        <w:ind w:firstLine="420"/>
        <w:rPr>
          <w:rFonts w:ascii="宋体" w:hAnsi="宋体"/>
        </w:rPr>
      </w:pPr>
      <w:r>
        <w:rPr>
          <w:rFonts w:ascii="宋体" w:hAnsi="宋体"/>
        </w:rPr>
        <w:t>（一）</w:t>
      </w:r>
      <w:r>
        <w:rPr>
          <w:rFonts w:hint="eastAsia" w:ascii="宋体" w:hAnsi="宋体"/>
        </w:rPr>
        <w:t>投标人</w:t>
      </w:r>
      <w:r>
        <w:rPr>
          <w:rFonts w:ascii="宋体" w:hAnsi="宋体"/>
        </w:rPr>
        <w:t>的姓名或者名称、地址、邮编、联系人及联系电话；</w:t>
      </w:r>
    </w:p>
    <w:p>
      <w:pPr>
        <w:spacing w:line="360" w:lineRule="auto"/>
        <w:ind w:firstLine="420"/>
        <w:rPr>
          <w:rFonts w:ascii="宋体" w:hAnsi="宋体"/>
        </w:rPr>
      </w:pPr>
      <w:r>
        <w:rPr>
          <w:rFonts w:ascii="宋体" w:hAnsi="宋体"/>
        </w:rPr>
        <w:t>（二）质疑项目的名称、编号；</w:t>
      </w:r>
    </w:p>
    <w:p>
      <w:pPr>
        <w:spacing w:line="360" w:lineRule="auto"/>
        <w:ind w:firstLine="420"/>
        <w:rPr>
          <w:rFonts w:ascii="宋体" w:hAnsi="宋体"/>
        </w:rPr>
      </w:pPr>
      <w:r>
        <w:rPr>
          <w:rFonts w:ascii="宋体" w:hAnsi="宋体"/>
        </w:rPr>
        <w:t>（三）具体、明确的质疑事项和与质疑事项相关的请求；</w:t>
      </w:r>
    </w:p>
    <w:p>
      <w:pPr>
        <w:spacing w:line="360" w:lineRule="auto"/>
        <w:ind w:firstLine="420"/>
        <w:rPr>
          <w:rFonts w:ascii="宋体" w:hAnsi="宋体"/>
        </w:rPr>
      </w:pPr>
      <w:r>
        <w:rPr>
          <w:rFonts w:ascii="宋体" w:hAnsi="宋体"/>
        </w:rPr>
        <w:t>（四）事实依据；</w:t>
      </w:r>
    </w:p>
    <w:p>
      <w:pPr>
        <w:spacing w:line="360" w:lineRule="auto"/>
        <w:ind w:firstLine="420"/>
        <w:rPr>
          <w:rFonts w:ascii="宋体" w:hAnsi="宋体"/>
        </w:rPr>
      </w:pPr>
      <w:r>
        <w:rPr>
          <w:rFonts w:ascii="宋体" w:hAnsi="宋体"/>
        </w:rPr>
        <w:t>（五）必要的法律依据；</w:t>
      </w:r>
    </w:p>
    <w:p>
      <w:pPr>
        <w:spacing w:line="360" w:lineRule="auto"/>
        <w:ind w:firstLine="420"/>
        <w:rPr>
          <w:rFonts w:ascii="宋体" w:hAnsi="宋体"/>
        </w:rPr>
      </w:pPr>
      <w:r>
        <w:rPr>
          <w:rFonts w:ascii="宋体" w:hAnsi="宋体"/>
        </w:rPr>
        <w:t>（六）提出质疑的日期。</w:t>
      </w:r>
    </w:p>
    <w:p>
      <w:pPr>
        <w:spacing w:line="360" w:lineRule="auto"/>
        <w:ind w:firstLine="420"/>
        <w:rPr>
          <w:rFonts w:ascii="宋体" w:hAnsi="宋体"/>
          <w:shd w:val="clear" w:color="auto" w:fill="FFFFFF"/>
        </w:rPr>
      </w:pPr>
      <w:r>
        <w:rPr>
          <w:rFonts w:ascii="宋体" w:hAnsi="宋体"/>
        </w:rPr>
        <w:t>1.5</w:t>
      </w:r>
      <w:r>
        <w:rPr>
          <w:rFonts w:ascii="宋体" w:hAnsi="宋体"/>
          <w:shd w:val="clear" w:color="auto" w:fill="FFFFFF"/>
        </w:rPr>
        <w:t>采购人、采购代理机构不得拒收质疑</w:t>
      </w:r>
      <w:r>
        <w:rPr>
          <w:rFonts w:hint="eastAsia" w:ascii="宋体" w:hAnsi="宋体"/>
          <w:shd w:val="clear" w:color="auto" w:fill="FFFFFF"/>
        </w:rPr>
        <w:t>投标人</w:t>
      </w:r>
      <w:r>
        <w:rPr>
          <w:rFonts w:ascii="宋体" w:hAnsi="宋体"/>
          <w:shd w:val="clear" w:color="auto" w:fill="FFFFFF"/>
        </w:rPr>
        <w:t>在法定质疑期内发出的质疑函，应当在收到质疑函后7个工作日内作出答复，质疑答复的内容不得涉及商业秘密，并以书面形式通知质疑</w:t>
      </w:r>
      <w:r>
        <w:rPr>
          <w:rFonts w:hint="eastAsia" w:ascii="宋体" w:hAnsi="宋体"/>
          <w:shd w:val="clear" w:color="auto" w:fill="FFFFFF"/>
        </w:rPr>
        <w:t>投标人</w:t>
      </w:r>
      <w:r>
        <w:rPr>
          <w:rFonts w:ascii="宋体" w:hAnsi="宋体"/>
          <w:shd w:val="clear" w:color="auto" w:fill="FFFFFF"/>
        </w:rPr>
        <w:t>和其他有关</w:t>
      </w:r>
      <w:r>
        <w:rPr>
          <w:rFonts w:hint="eastAsia" w:ascii="宋体" w:hAnsi="宋体"/>
          <w:shd w:val="clear" w:color="auto" w:fill="FFFFFF"/>
        </w:rPr>
        <w:t>投标人</w:t>
      </w:r>
      <w:r>
        <w:rPr>
          <w:rFonts w:ascii="宋体" w:hAnsi="宋体"/>
          <w:shd w:val="clear" w:color="auto" w:fill="FFFFFF"/>
        </w:rPr>
        <w:t>。</w:t>
      </w:r>
    </w:p>
    <w:p>
      <w:pPr>
        <w:pStyle w:val="42"/>
        <w:snapToGrid w:val="0"/>
        <w:spacing w:before="120" w:after="120" w:line="360" w:lineRule="auto"/>
        <w:ind w:firstLine="413" w:firstLineChars="196"/>
        <w:rPr>
          <w:rFonts w:hAnsi="宋体" w:eastAsia="宋体"/>
          <w:b/>
          <w:bCs/>
          <w:sz w:val="21"/>
        </w:rPr>
      </w:pPr>
      <w:r>
        <w:rPr>
          <w:rFonts w:hAnsi="宋体" w:eastAsia="宋体"/>
          <w:b/>
          <w:bCs/>
          <w:sz w:val="21"/>
        </w:rPr>
        <w:t>2、投诉</w:t>
      </w:r>
    </w:p>
    <w:p>
      <w:pPr>
        <w:spacing w:line="360" w:lineRule="auto"/>
        <w:ind w:firstLine="420"/>
        <w:rPr>
          <w:rFonts w:ascii="宋体" w:hAnsi="宋体"/>
          <w:shd w:val="clear" w:color="auto" w:fill="FFFFFF"/>
        </w:rPr>
      </w:pPr>
      <w:r>
        <w:rPr>
          <w:rFonts w:ascii="宋体" w:hAnsi="宋体"/>
          <w:shd w:val="clear" w:color="auto" w:fill="FFFFFF"/>
        </w:rPr>
        <w:t>2.1质疑</w:t>
      </w:r>
      <w:r>
        <w:rPr>
          <w:rFonts w:hint="eastAsia" w:ascii="宋体" w:hAnsi="宋体"/>
          <w:shd w:val="clear" w:color="auto" w:fill="FFFFFF"/>
        </w:rPr>
        <w:t>投标人</w:t>
      </w:r>
      <w:r>
        <w:rPr>
          <w:rFonts w:ascii="宋体" w:hAnsi="宋体"/>
          <w:shd w:val="clear" w:color="auto" w:fill="FFFFFF"/>
        </w:rPr>
        <w:t>对采购人、采购代理机构的答复不满意，或者采购人、采购代理机构未在规定时间内作出答复的，可以在答复期满后15个工作日内向</w:t>
      </w:r>
      <w:r>
        <w:rPr>
          <w:rFonts w:ascii="宋体" w:hAnsi="宋体"/>
          <w:kern w:val="0"/>
          <w:szCs w:val="21"/>
        </w:rPr>
        <w:t>《政府采购质疑和投诉办法》</w:t>
      </w:r>
      <w:r>
        <w:rPr>
          <w:rFonts w:ascii="宋体" w:hAnsi="宋体"/>
          <w:shd w:val="clear" w:color="auto" w:fill="FFFFFF"/>
        </w:rPr>
        <w:t>第六条规定的财政部门提起投诉。</w:t>
      </w:r>
    </w:p>
    <w:p>
      <w:pPr>
        <w:spacing w:line="360" w:lineRule="auto"/>
        <w:ind w:firstLine="420"/>
        <w:rPr>
          <w:rFonts w:ascii="宋体" w:hAnsi="宋体"/>
          <w:shd w:val="clear" w:color="auto" w:fill="FFFFFF"/>
        </w:rPr>
      </w:pPr>
      <w:r>
        <w:rPr>
          <w:rFonts w:ascii="宋体" w:hAnsi="宋体"/>
          <w:shd w:val="clear" w:color="auto" w:fill="FFFFFF"/>
        </w:rPr>
        <w:t>2.2</w:t>
      </w:r>
      <w:r>
        <w:rPr>
          <w:rFonts w:hint="eastAsia" w:ascii="宋体" w:hAnsi="宋体"/>
          <w:shd w:val="clear" w:color="auto" w:fill="FFFFFF"/>
        </w:rPr>
        <w:t>投标人</w:t>
      </w:r>
      <w:r>
        <w:rPr>
          <w:rFonts w:ascii="宋体" w:hAnsi="宋体"/>
          <w:shd w:val="clear" w:color="auto" w:fill="FFFFFF"/>
        </w:rPr>
        <w:t>投诉的事项不得超出已质疑事项的范围，但基于质疑答复内容提出的投诉事项除外。</w:t>
      </w:r>
    </w:p>
    <w:p>
      <w:pPr>
        <w:spacing w:line="360" w:lineRule="auto"/>
        <w:ind w:firstLine="420"/>
        <w:rPr>
          <w:rFonts w:ascii="宋体" w:hAnsi="宋体"/>
          <w:shd w:val="clear" w:color="auto" w:fill="FFFFFF"/>
        </w:rPr>
      </w:pPr>
      <w:r>
        <w:rPr>
          <w:rFonts w:ascii="宋体" w:hAnsi="宋体"/>
          <w:shd w:val="clear" w:color="auto" w:fill="FFFFFF"/>
        </w:rPr>
        <w:t>2.3投诉人提起投诉应当符合下列条件：</w:t>
      </w:r>
    </w:p>
    <w:p>
      <w:pPr>
        <w:spacing w:line="360" w:lineRule="auto"/>
        <w:ind w:firstLine="420"/>
        <w:rPr>
          <w:rFonts w:ascii="宋体" w:hAnsi="宋体"/>
          <w:shd w:val="clear" w:color="auto" w:fill="FFFFFF"/>
        </w:rPr>
      </w:pPr>
      <w:r>
        <w:rPr>
          <w:rFonts w:ascii="宋体" w:hAnsi="宋体"/>
          <w:shd w:val="clear" w:color="auto" w:fill="FFFFFF"/>
        </w:rPr>
        <w:t>（一）提起投诉前已依法进行质疑；</w:t>
      </w:r>
    </w:p>
    <w:p>
      <w:pPr>
        <w:spacing w:line="360" w:lineRule="auto"/>
        <w:ind w:firstLine="420"/>
        <w:rPr>
          <w:rFonts w:ascii="宋体" w:hAnsi="宋体"/>
          <w:shd w:val="clear" w:color="auto" w:fill="FFFFFF"/>
        </w:rPr>
      </w:pPr>
      <w:r>
        <w:rPr>
          <w:rFonts w:ascii="宋体" w:hAnsi="宋体"/>
          <w:shd w:val="clear" w:color="auto" w:fill="FFFFFF"/>
        </w:rPr>
        <w:t>（二）投诉书内容符合本办法的规定；</w:t>
      </w:r>
    </w:p>
    <w:p>
      <w:pPr>
        <w:spacing w:line="360" w:lineRule="auto"/>
        <w:ind w:firstLine="420"/>
        <w:rPr>
          <w:rFonts w:ascii="宋体" w:hAnsi="宋体"/>
          <w:shd w:val="clear" w:color="auto" w:fill="FFFFFF"/>
        </w:rPr>
      </w:pPr>
      <w:r>
        <w:rPr>
          <w:rFonts w:ascii="宋体" w:hAnsi="宋体"/>
          <w:shd w:val="clear" w:color="auto" w:fill="FFFFFF"/>
        </w:rPr>
        <w:t>（三）在投诉有效期限内提起投诉；</w:t>
      </w:r>
    </w:p>
    <w:p>
      <w:pPr>
        <w:spacing w:line="360" w:lineRule="auto"/>
        <w:ind w:firstLine="420"/>
        <w:rPr>
          <w:rFonts w:ascii="宋体" w:hAnsi="宋体"/>
          <w:shd w:val="clear" w:color="auto" w:fill="FFFFFF"/>
        </w:rPr>
      </w:pPr>
      <w:r>
        <w:rPr>
          <w:rFonts w:ascii="宋体" w:hAnsi="宋体"/>
          <w:shd w:val="clear" w:color="auto" w:fill="FFFFFF"/>
        </w:rPr>
        <w:t>（四）同一投诉事项未经财政部门投诉处理；</w:t>
      </w:r>
    </w:p>
    <w:p>
      <w:pPr>
        <w:spacing w:line="360" w:lineRule="auto"/>
        <w:ind w:firstLine="420"/>
        <w:rPr>
          <w:rFonts w:ascii="宋体" w:hAnsi="宋体"/>
          <w:shd w:val="clear" w:color="auto" w:fill="FFFFFF"/>
        </w:rPr>
      </w:pPr>
      <w:r>
        <w:rPr>
          <w:rFonts w:ascii="宋体" w:hAnsi="宋体"/>
          <w:shd w:val="clear" w:color="auto" w:fill="FFFFFF"/>
        </w:rPr>
        <w:t>（五）财政部规定的其他条件。</w:t>
      </w:r>
    </w:p>
    <w:p>
      <w:pPr>
        <w:spacing w:line="360" w:lineRule="auto"/>
        <w:ind w:firstLine="420"/>
        <w:rPr>
          <w:rFonts w:ascii="宋体" w:hAnsi="宋体"/>
          <w:shd w:val="clear" w:color="auto" w:fill="FFFFFF"/>
        </w:rPr>
      </w:pPr>
      <w:r>
        <w:rPr>
          <w:rFonts w:ascii="宋体" w:hAnsi="宋体"/>
          <w:shd w:val="clear" w:color="auto" w:fill="FFFFFF"/>
        </w:rPr>
        <w:t>2.4投诉人在全国范围12个月内三次以上投诉查无实据的，由财政部门列入不良行为记录名单。</w:t>
      </w:r>
    </w:p>
    <w:p>
      <w:pPr>
        <w:spacing w:line="360" w:lineRule="auto"/>
        <w:ind w:firstLine="420"/>
        <w:rPr>
          <w:rFonts w:ascii="宋体" w:hAnsi="宋体"/>
          <w:shd w:val="clear" w:color="auto" w:fill="FFFFFF"/>
        </w:rPr>
      </w:pPr>
      <w:r>
        <w:rPr>
          <w:rFonts w:ascii="宋体" w:hAnsi="宋体"/>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宋体" w:hAnsi="宋体"/>
          <w:shd w:val="clear" w:color="auto" w:fill="FFFFFF"/>
        </w:rPr>
      </w:pPr>
      <w:r>
        <w:rPr>
          <w:rFonts w:ascii="宋体" w:hAnsi="宋体"/>
          <w:shd w:val="clear" w:color="auto" w:fill="FFFFFF"/>
        </w:rPr>
        <w:t>（一）捏造事实</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（二）提供虚假材料</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宋体" w:hAnsi="宋体"/>
          <w:bCs/>
          <w:szCs w:val="21"/>
          <w:shd w:val="clear" w:color="auto" w:fill="FFFFFF"/>
        </w:rPr>
      </w:pPr>
      <w:r>
        <w:rPr>
          <w:rFonts w:ascii="宋体" w:hAnsi="宋体"/>
          <w:shd w:val="clear" w:color="auto" w:fill="FFFFFF"/>
        </w:rPr>
        <w:t>2.6</w:t>
      </w:r>
      <w:r>
        <w:rPr>
          <w:rFonts w:ascii="宋体" w:hAnsi="宋体"/>
          <w:bCs/>
          <w:kern w:val="0"/>
          <w:szCs w:val="21"/>
        </w:rPr>
        <w:t>政府采购</w:t>
      </w:r>
      <w:r>
        <w:rPr>
          <w:rFonts w:hint="eastAsia" w:ascii="宋体" w:hAnsi="宋体"/>
          <w:bCs/>
          <w:kern w:val="0"/>
          <w:szCs w:val="21"/>
        </w:rPr>
        <w:t>投标人</w:t>
      </w:r>
      <w:r>
        <w:rPr>
          <w:rFonts w:ascii="宋体" w:hAnsi="宋体"/>
          <w:bCs/>
          <w:kern w:val="0"/>
          <w:szCs w:val="21"/>
        </w:rPr>
        <w:t>质疑函范本，详见附件</w:t>
      </w:r>
      <w:r>
        <w:rPr>
          <w:rFonts w:hint="eastAsia" w:ascii="宋体" w:hAnsi="宋体"/>
          <w:bCs/>
          <w:kern w:val="0"/>
          <w:szCs w:val="21"/>
        </w:rPr>
        <w:t>。</w:t>
      </w:r>
    </w:p>
    <w:p>
      <w:pPr>
        <w:pStyle w:val="42"/>
        <w:snapToGrid w:val="0"/>
        <w:spacing w:before="120" w:after="120" w:line="360" w:lineRule="auto"/>
        <w:ind w:right="-506" w:rightChars="-241"/>
        <w:jc w:val="center"/>
        <w:rPr>
          <w:rFonts w:hAnsi="宋体" w:eastAsia="宋体"/>
          <w:b/>
          <w:sz w:val="28"/>
          <w:szCs w:val="28"/>
        </w:rPr>
      </w:pPr>
      <w:r>
        <w:rPr>
          <w:rFonts w:hAnsi="宋体" w:eastAsia="宋体"/>
          <w:b/>
          <w:sz w:val="28"/>
          <w:szCs w:val="28"/>
        </w:rPr>
        <w:t xml:space="preserve">二 </w:t>
      </w:r>
      <w:r>
        <w:rPr>
          <w:rFonts w:hint="eastAsia" w:hAnsi="宋体" w:eastAsia="宋体"/>
          <w:b/>
          <w:sz w:val="28"/>
          <w:szCs w:val="28"/>
        </w:rPr>
        <w:t>投标</w:t>
      </w:r>
      <w:r>
        <w:rPr>
          <w:rFonts w:hAnsi="宋体" w:eastAsia="宋体"/>
          <w:b/>
          <w:sz w:val="28"/>
          <w:szCs w:val="28"/>
        </w:rPr>
        <w:t>文件</w:t>
      </w:r>
    </w:p>
    <w:p>
      <w:pPr>
        <w:snapToGrid w:val="0"/>
        <w:spacing w:line="360" w:lineRule="auto"/>
        <w:ind w:right="-241"/>
        <w:jc w:val="left"/>
        <w:rPr>
          <w:rFonts w:ascii="宋体" w:hAnsi="宋体"/>
          <w:b/>
          <w:szCs w:val="21"/>
        </w:rPr>
      </w:pPr>
      <w:r>
        <w:rPr>
          <w:rFonts w:ascii="宋体" w:hAnsi="宋体"/>
          <w:b/>
          <w:szCs w:val="21"/>
        </w:rPr>
        <w:t>（一）</w:t>
      </w:r>
      <w:r>
        <w:rPr>
          <w:rFonts w:hint="eastAsia" w:ascii="宋体" w:hAnsi="宋体"/>
          <w:b/>
          <w:szCs w:val="21"/>
        </w:rPr>
        <w:t>采购文件</w:t>
      </w:r>
      <w:r>
        <w:rPr>
          <w:rFonts w:ascii="宋体" w:hAnsi="宋体"/>
          <w:b/>
          <w:szCs w:val="21"/>
        </w:rPr>
        <w:t>的构成。本</w:t>
      </w:r>
      <w:r>
        <w:rPr>
          <w:rFonts w:hint="eastAsia" w:ascii="宋体" w:hAnsi="宋体"/>
          <w:b/>
          <w:szCs w:val="21"/>
        </w:rPr>
        <w:t>采购文件</w:t>
      </w:r>
      <w:r>
        <w:rPr>
          <w:rFonts w:ascii="宋体" w:hAnsi="宋体"/>
          <w:b/>
          <w:szCs w:val="21"/>
        </w:rPr>
        <w:t>由以下部份组成：</w:t>
      </w:r>
    </w:p>
    <w:p>
      <w:pPr>
        <w:spacing w:line="360" w:lineRule="auto"/>
        <w:ind w:firstLine="420" w:firstLineChars="200"/>
        <w:rPr>
          <w:rFonts w:ascii="宋体" w:hAnsi="宋体"/>
        </w:rPr>
      </w:pPr>
      <w:r>
        <w:rPr>
          <w:rFonts w:ascii="宋体" w:hAnsi="宋体"/>
        </w:rPr>
        <w:t xml:space="preserve">第一章  </w:t>
      </w:r>
      <w:r>
        <w:rPr>
          <w:rFonts w:hint="eastAsia" w:ascii="宋体" w:hAnsi="宋体"/>
        </w:rPr>
        <w:t>采购</w:t>
      </w:r>
      <w:r>
        <w:rPr>
          <w:rFonts w:ascii="宋体" w:hAnsi="宋体"/>
        </w:rPr>
        <w:t>公告</w:t>
      </w:r>
    </w:p>
    <w:p>
      <w:pPr>
        <w:spacing w:line="360" w:lineRule="auto"/>
        <w:ind w:firstLine="420" w:firstLineChars="200"/>
        <w:rPr>
          <w:rFonts w:ascii="宋体" w:hAnsi="宋体"/>
        </w:rPr>
      </w:pPr>
      <w:r>
        <w:rPr>
          <w:rFonts w:ascii="宋体" w:hAnsi="宋体"/>
        </w:rPr>
        <w:t>第二章  采购需求</w:t>
      </w:r>
    </w:p>
    <w:p>
      <w:pPr>
        <w:spacing w:line="360" w:lineRule="auto"/>
        <w:ind w:firstLine="420" w:firstLineChars="200"/>
        <w:rPr>
          <w:rFonts w:ascii="宋体" w:hAnsi="宋体"/>
        </w:rPr>
      </w:pPr>
      <w:r>
        <w:rPr>
          <w:rFonts w:ascii="宋体" w:hAnsi="宋体"/>
        </w:rPr>
        <w:t xml:space="preserve">第三章  </w:t>
      </w:r>
      <w:r>
        <w:rPr>
          <w:rFonts w:hint="eastAsia" w:ascii="宋体" w:hAnsi="宋体"/>
        </w:rPr>
        <w:t>投标人</w:t>
      </w:r>
      <w:r>
        <w:rPr>
          <w:rFonts w:ascii="宋体" w:hAnsi="宋体"/>
        </w:rPr>
        <w:t>须知</w:t>
      </w:r>
    </w:p>
    <w:p>
      <w:pPr>
        <w:spacing w:line="360" w:lineRule="auto"/>
        <w:ind w:firstLine="420" w:firstLineChars="200"/>
        <w:rPr>
          <w:rFonts w:ascii="宋体" w:hAnsi="宋体"/>
        </w:rPr>
      </w:pPr>
      <w:r>
        <w:rPr>
          <w:rFonts w:ascii="宋体" w:hAnsi="宋体"/>
        </w:rPr>
        <w:t xml:space="preserve">第四章  </w:t>
      </w:r>
      <w:r>
        <w:rPr>
          <w:rFonts w:hint="eastAsia" w:ascii="宋体" w:hAnsi="宋体"/>
        </w:rPr>
        <w:t>评标</w:t>
      </w:r>
      <w:r>
        <w:rPr>
          <w:rFonts w:ascii="宋体" w:hAnsi="宋体"/>
        </w:rPr>
        <w:t>办法及标准</w:t>
      </w:r>
    </w:p>
    <w:p>
      <w:pPr>
        <w:spacing w:line="360" w:lineRule="auto"/>
        <w:ind w:firstLine="420" w:firstLineChars="200"/>
        <w:rPr>
          <w:rFonts w:ascii="宋体" w:hAnsi="宋体"/>
        </w:rPr>
      </w:pPr>
      <w:r>
        <w:rPr>
          <w:rFonts w:ascii="宋体" w:hAnsi="宋体"/>
        </w:rPr>
        <w:t>第五章  合同主要条款</w:t>
      </w:r>
    </w:p>
    <w:p>
      <w:pPr>
        <w:spacing w:line="360" w:lineRule="auto"/>
        <w:ind w:firstLine="420" w:firstLineChars="200"/>
        <w:rPr>
          <w:rFonts w:ascii="宋体" w:hAnsi="宋体"/>
        </w:rPr>
      </w:pPr>
      <w:r>
        <w:rPr>
          <w:rFonts w:ascii="宋体" w:hAnsi="宋体"/>
        </w:rPr>
        <w:t xml:space="preserve">第六章  </w:t>
      </w:r>
      <w:r>
        <w:rPr>
          <w:rFonts w:hint="eastAsia" w:ascii="宋体" w:hAnsi="宋体"/>
        </w:rPr>
        <w:t>投标文件相关格式</w:t>
      </w:r>
    </w:p>
    <w:p>
      <w:pPr>
        <w:snapToGrid w:val="0"/>
        <w:spacing w:line="360" w:lineRule="auto"/>
        <w:ind w:right="-238"/>
        <w:jc w:val="left"/>
        <w:rPr>
          <w:rFonts w:ascii="宋体" w:hAnsi="宋体"/>
          <w:b/>
          <w:szCs w:val="21"/>
        </w:rPr>
      </w:pPr>
      <w:r>
        <w:rPr>
          <w:rFonts w:ascii="宋体" w:hAnsi="宋体"/>
          <w:b/>
          <w:szCs w:val="21"/>
        </w:rPr>
        <w:t>（二）</w:t>
      </w:r>
      <w:r>
        <w:rPr>
          <w:rFonts w:hint="eastAsia" w:ascii="宋体" w:hAnsi="宋体"/>
          <w:b/>
          <w:szCs w:val="21"/>
        </w:rPr>
        <w:t>投标人</w:t>
      </w:r>
      <w:r>
        <w:rPr>
          <w:rFonts w:ascii="宋体" w:hAnsi="宋体"/>
          <w:b/>
          <w:szCs w:val="21"/>
        </w:rPr>
        <w:t>的风险</w:t>
      </w:r>
    </w:p>
    <w:p>
      <w:pPr>
        <w:spacing w:line="360" w:lineRule="auto"/>
        <w:ind w:firstLine="420" w:firstLineChars="200"/>
        <w:rPr>
          <w:rFonts w:ascii="宋体" w:hAnsi="宋体"/>
          <w:szCs w:val="21"/>
        </w:rPr>
      </w:pPr>
      <w:r>
        <w:rPr>
          <w:rFonts w:hint="eastAsia" w:ascii="宋体" w:hAnsi="宋体"/>
          <w:szCs w:val="21"/>
        </w:rPr>
        <w:t>投标人</w:t>
      </w:r>
      <w:r>
        <w:rPr>
          <w:rFonts w:ascii="宋体" w:hAnsi="宋体"/>
          <w:szCs w:val="21"/>
        </w:rPr>
        <w:t>没有按照</w:t>
      </w:r>
      <w:r>
        <w:rPr>
          <w:rFonts w:hint="eastAsia" w:ascii="宋体" w:hAnsi="宋体"/>
          <w:szCs w:val="21"/>
        </w:rPr>
        <w:t>采购文件</w:t>
      </w:r>
      <w:r>
        <w:rPr>
          <w:rFonts w:ascii="宋体" w:hAnsi="宋体"/>
          <w:szCs w:val="21"/>
        </w:rPr>
        <w:t>要求提供全部资料，或者</w:t>
      </w:r>
      <w:r>
        <w:rPr>
          <w:rFonts w:hint="eastAsia" w:ascii="宋体" w:hAnsi="宋体"/>
          <w:szCs w:val="21"/>
        </w:rPr>
        <w:t>投标人</w:t>
      </w:r>
      <w:r>
        <w:rPr>
          <w:rFonts w:ascii="宋体" w:hAnsi="宋体"/>
          <w:szCs w:val="21"/>
        </w:rPr>
        <w:t>没有对</w:t>
      </w:r>
      <w:r>
        <w:rPr>
          <w:rFonts w:hint="eastAsia" w:ascii="宋体" w:hAnsi="宋体"/>
          <w:szCs w:val="21"/>
        </w:rPr>
        <w:t>采购文件</w:t>
      </w:r>
      <w:r>
        <w:rPr>
          <w:rFonts w:ascii="宋体" w:hAnsi="宋体"/>
          <w:szCs w:val="21"/>
        </w:rPr>
        <w:t>在各方面作出实质性响应是</w:t>
      </w:r>
      <w:r>
        <w:rPr>
          <w:rFonts w:hint="eastAsia" w:ascii="宋体" w:hAnsi="宋体"/>
          <w:szCs w:val="21"/>
        </w:rPr>
        <w:t>投标人</w:t>
      </w:r>
      <w:r>
        <w:rPr>
          <w:rFonts w:ascii="宋体" w:hAnsi="宋体"/>
          <w:szCs w:val="21"/>
        </w:rPr>
        <w:t>的风险，</w:t>
      </w:r>
      <w:r>
        <w:rPr>
          <w:rFonts w:hint="eastAsia" w:ascii="宋体" w:cs="宋体"/>
          <w:szCs w:val="21"/>
        </w:rPr>
        <w:t>责任自负</w:t>
      </w:r>
      <w:r>
        <w:rPr>
          <w:rFonts w:ascii="宋体" w:hAnsi="宋体"/>
          <w:szCs w:val="21"/>
        </w:rPr>
        <w:t>。</w:t>
      </w:r>
    </w:p>
    <w:p>
      <w:pPr>
        <w:snapToGrid w:val="0"/>
        <w:spacing w:line="360" w:lineRule="auto"/>
        <w:ind w:right="-238"/>
        <w:jc w:val="left"/>
        <w:rPr>
          <w:rFonts w:ascii="宋体" w:hAnsi="宋体"/>
          <w:b/>
          <w:szCs w:val="21"/>
        </w:rPr>
      </w:pPr>
      <w:r>
        <w:rPr>
          <w:rFonts w:ascii="宋体" w:hAnsi="宋体"/>
          <w:b/>
          <w:szCs w:val="21"/>
        </w:rPr>
        <w:t>（三）</w:t>
      </w:r>
      <w:r>
        <w:rPr>
          <w:rFonts w:hint="eastAsia" w:ascii="宋体" w:hAnsi="宋体"/>
          <w:b/>
          <w:szCs w:val="21"/>
        </w:rPr>
        <w:t>采购文件</w:t>
      </w:r>
      <w:r>
        <w:rPr>
          <w:rFonts w:ascii="宋体" w:hAnsi="宋体"/>
          <w:b/>
          <w:szCs w:val="21"/>
        </w:rPr>
        <w:t xml:space="preserve">的澄清与修改 </w:t>
      </w:r>
    </w:p>
    <w:p>
      <w:pPr>
        <w:pStyle w:val="42"/>
        <w:widowControl/>
        <w:snapToGrid w:val="0"/>
        <w:spacing w:before="120" w:after="120" w:line="360" w:lineRule="auto"/>
        <w:ind w:right="-87" w:firstLine="415" w:firstLineChars="198"/>
        <w:rPr>
          <w:rFonts w:hAnsi="宋体" w:eastAsia="宋体"/>
          <w:sz w:val="21"/>
        </w:rPr>
      </w:pPr>
      <w:r>
        <w:rPr>
          <w:rFonts w:hAnsi="宋体" w:eastAsia="宋体"/>
          <w:sz w:val="21"/>
        </w:rPr>
        <w:t>1、投标人应认真阅读本</w:t>
      </w:r>
      <w:r>
        <w:rPr>
          <w:rFonts w:hint="eastAsia" w:hAnsi="宋体" w:eastAsia="宋体"/>
          <w:sz w:val="21"/>
        </w:rPr>
        <w:t>采购文件</w:t>
      </w:r>
      <w:r>
        <w:rPr>
          <w:rFonts w:hAnsi="宋体" w:eastAsia="宋体"/>
          <w:sz w:val="21"/>
        </w:rPr>
        <w:t>，发现其中有误或有要求不合理的，投标人须</w:t>
      </w:r>
      <w:r>
        <w:rPr>
          <w:rFonts w:hint="eastAsia" w:hAnsi="宋体" w:eastAsia="宋体"/>
          <w:sz w:val="21"/>
        </w:rPr>
        <w:t>在</w:t>
      </w:r>
      <w:r>
        <w:rPr>
          <w:rFonts w:hAnsi="宋体" w:eastAsia="宋体"/>
          <w:sz w:val="21"/>
        </w:rPr>
        <w:t>采购公告期限届满之日起7个工作日内，以书面形式一次性向采购人和采购代理机构提出。招标</w:t>
      </w:r>
      <w:r>
        <w:rPr>
          <w:rFonts w:hint="eastAsia" w:hAnsi="宋体" w:eastAsia="宋体"/>
          <w:sz w:val="21"/>
        </w:rPr>
        <w:t>、</w:t>
      </w:r>
      <w:r>
        <w:rPr>
          <w:rFonts w:hAnsi="宋体" w:eastAsia="宋体"/>
          <w:sz w:val="21"/>
        </w:rPr>
        <w:t>采购单位对已发出的</w:t>
      </w:r>
      <w:r>
        <w:rPr>
          <w:rFonts w:hint="eastAsia" w:hAnsi="宋体" w:eastAsia="宋体"/>
          <w:sz w:val="21"/>
        </w:rPr>
        <w:t>采购文件</w:t>
      </w:r>
      <w:r>
        <w:rPr>
          <w:rFonts w:hAnsi="宋体" w:eastAsia="宋体"/>
          <w:sz w:val="21"/>
        </w:rPr>
        <w:t>进行必要澄清、答复、修改或补充的，应当在</w:t>
      </w:r>
      <w:r>
        <w:rPr>
          <w:rFonts w:hint="eastAsia" w:hAnsi="宋体" w:eastAsia="宋体"/>
          <w:sz w:val="21"/>
        </w:rPr>
        <w:t>采购文件</w:t>
      </w:r>
      <w:r>
        <w:rPr>
          <w:rFonts w:hAnsi="宋体" w:eastAsia="宋体"/>
          <w:sz w:val="21"/>
        </w:rPr>
        <w:t>要求提交投标文件截止时间15天前，在财政部门指定的政府采购信息发布媒体上发布更正公告，并通知所有已报名的潜在投标人。</w:t>
      </w:r>
    </w:p>
    <w:p>
      <w:pPr>
        <w:pStyle w:val="42"/>
        <w:widowControl/>
        <w:snapToGrid w:val="0"/>
        <w:spacing w:before="120" w:after="120" w:line="360" w:lineRule="auto"/>
        <w:ind w:right="-87" w:firstLine="415" w:firstLineChars="198"/>
        <w:rPr>
          <w:rFonts w:hAnsi="宋体" w:eastAsia="宋体"/>
          <w:sz w:val="21"/>
        </w:rPr>
      </w:pPr>
      <w:r>
        <w:rPr>
          <w:rFonts w:hAnsi="宋体" w:eastAsia="宋体"/>
          <w:sz w:val="21"/>
        </w:rPr>
        <w:t>2、</w:t>
      </w:r>
      <w:r>
        <w:rPr>
          <w:rFonts w:hint="eastAsia" w:hAnsi="宋体" w:eastAsia="宋体"/>
          <w:sz w:val="21"/>
        </w:rPr>
        <w:t>采购文件</w:t>
      </w:r>
      <w:r>
        <w:rPr>
          <w:rFonts w:hAnsi="宋体" w:eastAsia="宋体"/>
          <w:sz w:val="21"/>
        </w:rPr>
        <w:t>的答复、澄清、修改、补充通知实质上改变采购需求相关内容，且自</w:t>
      </w:r>
      <w:r>
        <w:rPr>
          <w:rFonts w:hint="eastAsia" w:hAnsi="宋体" w:eastAsia="宋体"/>
          <w:sz w:val="21"/>
        </w:rPr>
        <w:t>采购文件</w:t>
      </w:r>
      <w:r>
        <w:rPr>
          <w:rFonts w:hAnsi="宋体" w:eastAsia="宋体"/>
          <w:sz w:val="21"/>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42"/>
        <w:widowControl/>
        <w:snapToGrid w:val="0"/>
        <w:spacing w:before="120" w:after="120" w:line="360" w:lineRule="auto"/>
        <w:ind w:right="-87" w:firstLine="415" w:firstLineChars="198"/>
        <w:rPr>
          <w:rFonts w:hAnsi="宋体" w:eastAsia="宋体"/>
          <w:sz w:val="21"/>
        </w:rPr>
      </w:pPr>
      <w:r>
        <w:rPr>
          <w:rFonts w:hAnsi="宋体" w:eastAsia="宋体"/>
          <w:sz w:val="21"/>
        </w:rPr>
        <w:t>3、</w:t>
      </w:r>
      <w:r>
        <w:rPr>
          <w:rFonts w:hint="eastAsia" w:hAnsi="宋体" w:eastAsia="宋体"/>
          <w:sz w:val="21"/>
        </w:rPr>
        <w:t>采购文件</w:t>
      </w:r>
      <w:r>
        <w:rPr>
          <w:rFonts w:hAnsi="宋体" w:eastAsia="宋体"/>
          <w:sz w:val="21"/>
        </w:rPr>
        <w:t>澄清、答复、修改、补充的内容为采购文件的组成部分。当</w:t>
      </w:r>
      <w:r>
        <w:rPr>
          <w:rFonts w:hint="eastAsia" w:hAnsi="宋体" w:eastAsia="宋体"/>
          <w:sz w:val="21"/>
        </w:rPr>
        <w:t>采购文件</w:t>
      </w:r>
      <w:r>
        <w:rPr>
          <w:rFonts w:hAnsi="宋体" w:eastAsia="宋体"/>
          <w:sz w:val="21"/>
        </w:rPr>
        <w:t>与</w:t>
      </w:r>
      <w:r>
        <w:rPr>
          <w:rFonts w:hint="eastAsia" w:hAnsi="宋体" w:eastAsia="宋体"/>
          <w:sz w:val="21"/>
        </w:rPr>
        <w:t>采购文件</w:t>
      </w:r>
      <w:r>
        <w:rPr>
          <w:rFonts w:hAnsi="宋体" w:eastAsia="宋体"/>
          <w:sz w:val="21"/>
        </w:rPr>
        <w:t>的答复、澄清、修改、补充通知就同一内容的表述不一致时，以最后发出的变更公告为准。</w:t>
      </w:r>
    </w:p>
    <w:p>
      <w:pPr>
        <w:pStyle w:val="42"/>
        <w:snapToGrid w:val="0"/>
        <w:spacing w:before="120" w:after="120" w:line="360" w:lineRule="auto"/>
        <w:ind w:right="-506" w:rightChars="-241" w:firstLine="420" w:firstLineChars="200"/>
        <w:rPr>
          <w:rFonts w:hAnsi="宋体"/>
          <w:b/>
          <w:sz w:val="28"/>
        </w:rPr>
      </w:pPr>
      <w:r>
        <w:rPr>
          <w:rFonts w:hAnsi="宋体" w:eastAsia="宋体"/>
          <w:sz w:val="21"/>
        </w:rPr>
        <w:t>4</w:t>
      </w:r>
      <w:r>
        <w:rPr>
          <w:rFonts w:hint="eastAsia" w:hAnsi="宋体" w:eastAsia="宋体"/>
          <w:sz w:val="21"/>
        </w:rPr>
        <w:t>、采购文件的澄清、答复、修改或补充都应该通过本代理机构以法定形式发布。</w:t>
      </w:r>
    </w:p>
    <w:p>
      <w:pPr>
        <w:pStyle w:val="42"/>
        <w:snapToGrid w:val="0"/>
        <w:spacing w:before="120" w:after="120" w:line="360" w:lineRule="auto"/>
        <w:ind w:right="-506" w:rightChars="-241"/>
        <w:jc w:val="center"/>
        <w:rPr>
          <w:rFonts w:hAnsi="宋体" w:eastAsia="宋体"/>
          <w:b/>
          <w:sz w:val="28"/>
          <w:szCs w:val="28"/>
        </w:rPr>
      </w:pPr>
      <w:r>
        <w:rPr>
          <w:rFonts w:hAnsi="宋体" w:eastAsia="宋体"/>
          <w:b/>
          <w:sz w:val="28"/>
          <w:szCs w:val="28"/>
        </w:rPr>
        <w:t>三、</w:t>
      </w:r>
      <w:r>
        <w:rPr>
          <w:rFonts w:hint="eastAsia" w:hAnsi="宋体" w:eastAsia="宋体"/>
          <w:b/>
          <w:sz w:val="28"/>
          <w:szCs w:val="28"/>
        </w:rPr>
        <w:t>投标</w:t>
      </w:r>
      <w:r>
        <w:rPr>
          <w:rFonts w:hAnsi="宋体" w:eastAsia="宋体"/>
          <w:b/>
          <w:sz w:val="28"/>
          <w:szCs w:val="28"/>
        </w:rPr>
        <w:t>文件的编制</w:t>
      </w:r>
    </w:p>
    <w:p>
      <w:pPr>
        <w:pStyle w:val="9"/>
        <w:spacing w:after="0" w:line="360" w:lineRule="auto"/>
        <w:ind w:firstLine="211" w:firstLineChars="100"/>
        <w:rPr>
          <w:rFonts w:ascii="宋体" w:hAnsi="宋体"/>
          <w:b/>
          <w:sz w:val="21"/>
          <w:szCs w:val="21"/>
        </w:rPr>
      </w:pPr>
      <w:r>
        <w:rPr>
          <w:rFonts w:hint="eastAsia" w:ascii="宋体" w:hAnsi="宋体"/>
          <w:b/>
          <w:sz w:val="21"/>
          <w:szCs w:val="21"/>
        </w:rPr>
        <w:t>（一）投标文件的签署</w:t>
      </w:r>
    </w:p>
    <w:p>
      <w:pPr>
        <w:pStyle w:val="9"/>
        <w:spacing w:after="0" w:line="360" w:lineRule="auto"/>
        <w:ind w:firstLine="420"/>
        <w:rPr>
          <w:rFonts w:ascii="Times New Roman" w:hAnsi="Times New Roman"/>
          <w:b/>
          <w:bCs/>
          <w:sz w:val="21"/>
          <w:szCs w:val="21"/>
        </w:rPr>
      </w:pPr>
      <w:r>
        <w:rPr>
          <w:rFonts w:hint="eastAsia" w:ascii="Times New Roman" w:hAnsi="Times New Roman"/>
          <w:b/>
          <w:bCs/>
          <w:sz w:val="21"/>
          <w:szCs w:val="21"/>
        </w:rPr>
        <w:t>1.1电子投标文件部分：</w:t>
      </w:r>
    </w:p>
    <w:p>
      <w:pPr>
        <w:pStyle w:val="9"/>
        <w:spacing w:after="0" w:line="360" w:lineRule="auto"/>
        <w:ind w:firstLine="420"/>
        <w:rPr>
          <w:rFonts w:ascii="Times New Roman" w:hAnsi="Times New Roman"/>
          <w:sz w:val="21"/>
          <w:szCs w:val="21"/>
        </w:rPr>
      </w:pPr>
      <w:r>
        <w:rPr>
          <w:rFonts w:hint="eastAsia" w:ascii="Times New Roman" w:hAnsi="Times New Roman"/>
          <w:sz w:val="21"/>
          <w:szCs w:val="21"/>
        </w:rPr>
        <w:t>投标人应根据“政采云供应商项目采购-电子交易操作指南”及本招标文件规定的格式和顺序编制电子投标文件并进行关联定位。</w:t>
      </w:r>
    </w:p>
    <w:p>
      <w:pPr>
        <w:pStyle w:val="9"/>
        <w:spacing w:after="0" w:line="360" w:lineRule="auto"/>
        <w:ind w:firstLine="420"/>
        <w:rPr>
          <w:rFonts w:ascii="Times New Roman" w:hAnsi="Times New Roman"/>
          <w:b/>
          <w:bCs/>
          <w:sz w:val="21"/>
          <w:szCs w:val="21"/>
        </w:rPr>
      </w:pPr>
      <w:r>
        <w:rPr>
          <w:rFonts w:hint="eastAsia" w:ascii="Times New Roman" w:hAnsi="Times New Roman"/>
          <w:b/>
          <w:bCs/>
          <w:sz w:val="21"/>
          <w:szCs w:val="21"/>
        </w:rPr>
        <w:t>1.2备份投标文件部分：</w:t>
      </w:r>
    </w:p>
    <w:p>
      <w:pPr>
        <w:pStyle w:val="42"/>
        <w:snapToGrid w:val="0"/>
        <w:spacing w:beforeLines="0" w:afterLines="0" w:line="360" w:lineRule="auto"/>
        <w:ind w:right="-506" w:rightChars="-241" w:firstLine="420" w:firstLineChars="200"/>
        <w:rPr>
          <w:rFonts w:hAnsi="宋体" w:eastAsia="宋体"/>
          <w:b/>
          <w:sz w:val="28"/>
          <w:szCs w:val="28"/>
        </w:rPr>
      </w:pPr>
      <w:r>
        <w:rPr>
          <w:rFonts w:hint="eastAsia" w:ascii="Times New Roman" w:hAnsi="Times New Roman" w:eastAsia="宋体"/>
          <w:sz w:val="21"/>
        </w:rPr>
        <w:t>电子投标文件的备份文件，以DVD光盘或U盘形式存储，并单独密封递交。</w:t>
      </w:r>
    </w:p>
    <w:p>
      <w:pPr>
        <w:tabs>
          <w:tab w:val="left" w:pos="0"/>
        </w:tabs>
        <w:spacing w:line="360" w:lineRule="auto"/>
        <w:ind w:firstLine="211" w:firstLineChars="100"/>
        <w:rPr>
          <w:rFonts w:ascii="宋体" w:hAnsi="宋体"/>
          <w:b/>
          <w:szCs w:val="21"/>
        </w:rPr>
      </w:pPr>
      <w:r>
        <w:rPr>
          <w:rFonts w:hint="eastAsia" w:ascii="宋体" w:hAnsi="宋体"/>
          <w:b/>
          <w:szCs w:val="21"/>
        </w:rPr>
        <w:t>（二）投标文件</w:t>
      </w:r>
      <w:r>
        <w:rPr>
          <w:rFonts w:ascii="宋体" w:hAnsi="宋体"/>
          <w:b/>
          <w:szCs w:val="21"/>
        </w:rPr>
        <w:t>的组成</w:t>
      </w:r>
    </w:p>
    <w:p>
      <w:pPr>
        <w:tabs>
          <w:tab w:val="left" w:pos="0"/>
        </w:tabs>
        <w:spacing w:line="360" w:lineRule="auto"/>
        <w:ind w:firstLine="422" w:firstLineChars="200"/>
        <w:rPr>
          <w:rFonts w:ascii="宋体" w:hAnsi="宋体"/>
          <w:b/>
          <w:bCs/>
          <w:szCs w:val="21"/>
        </w:rPr>
      </w:pPr>
      <w:r>
        <w:rPr>
          <w:rFonts w:hint="eastAsia" w:ascii="宋体" w:hAnsi="宋体"/>
          <w:b/>
          <w:bCs/>
          <w:szCs w:val="21"/>
        </w:rPr>
        <w:t>投标</w:t>
      </w:r>
      <w:r>
        <w:rPr>
          <w:rFonts w:ascii="宋体" w:hAnsi="宋体"/>
          <w:b/>
          <w:bCs/>
          <w:szCs w:val="21"/>
        </w:rPr>
        <w:t>文件由</w:t>
      </w:r>
      <w:r>
        <w:rPr>
          <w:rFonts w:hint="eastAsia" w:ascii="宋体" w:hAnsi="宋体"/>
          <w:b/>
          <w:bCs/>
          <w:szCs w:val="21"/>
        </w:rPr>
        <w:t>资格响应文件</w:t>
      </w:r>
      <w:r>
        <w:rPr>
          <w:rFonts w:ascii="宋体" w:hAnsi="宋体"/>
          <w:b/>
          <w:bCs/>
          <w:szCs w:val="21"/>
        </w:rPr>
        <w:t>、</w:t>
      </w:r>
      <w:r>
        <w:rPr>
          <w:rFonts w:hint="eastAsia" w:ascii="宋体" w:hAnsi="宋体"/>
          <w:b/>
          <w:bCs/>
          <w:szCs w:val="21"/>
        </w:rPr>
        <w:t>商务及技术响应文件</w:t>
      </w:r>
      <w:r>
        <w:rPr>
          <w:rFonts w:ascii="宋体" w:hAnsi="宋体"/>
          <w:b/>
          <w:bCs/>
          <w:szCs w:val="21"/>
        </w:rPr>
        <w:t>、报价</w:t>
      </w:r>
      <w:r>
        <w:rPr>
          <w:rFonts w:hint="eastAsia" w:ascii="宋体" w:hAnsi="宋体"/>
          <w:b/>
          <w:bCs/>
          <w:szCs w:val="21"/>
        </w:rPr>
        <w:t>文件三</w:t>
      </w:r>
      <w:r>
        <w:rPr>
          <w:rFonts w:ascii="宋体" w:hAnsi="宋体"/>
          <w:b/>
          <w:bCs/>
          <w:szCs w:val="21"/>
        </w:rPr>
        <w:t>部份组成。</w:t>
      </w:r>
      <w:r>
        <w:rPr>
          <w:rFonts w:hint="eastAsia" w:ascii="Times New Roman" w:hAnsi="Times New Roman"/>
          <w:szCs w:val="21"/>
        </w:rPr>
        <w:t>电子投标文件中所须加盖公章部分均采用CA签章。</w:t>
      </w:r>
    </w:p>
    <w:p>
      <w:pPr>
        <w:pStyle w:val="14"/>
        <w:numPr>
          <w:ilvl w:val="0"/>
          <w:numId w:val="6"/>
        </w:numPr>
        <w:snapToGrid w:val="0"/>
        <w:spacing w:line="360" w:lineRule="auto"/>
        <w:rPr>
          <w:rFonts w:hAnsi="宋体" w:eastAsia="宋体"/>
          <w:b/>
          <w:sz w:val="21"/>
          <w:szCs w:val="21"/>
        </w:rPr>
      </w:pPr>
      <w:r>
        <w:rPr>
          <w:rFonts w:hAnsi="宋体" w:eastAsia="宋体"/>
          <w:b/>
          <w:sz w:val="21"/>
          <w:szCs w:val="21"/>
        </w:rPr>
        <w:t>资格</w:t>
      </w:r>
      <w:r>
        <w:rPr>
          <w:rFonts w:hint="eastAsia" w:hAnsi="宋体" w:eastAsia="宋体"/>
          <w:b/>
          <w:sz w:val="21"/>
          <w:szCs w:val="21"/>
        </w:rPr>
        <w:t>响应部份</w:t>
      </w:r>
      <w:r>
        <w:rPr>
          <w:rFonts w:hAnsi="宋体" w:eastAsia="宋体"/>
          <w:b/>
          <w:sz w:val="21"/>
          <w:szCs w:val="21"/>
        </w:rPr>
        <w:t>：</w:t>
      </w:r>
    </w:p>
    <w:p>
      <w:pPr>
        <w:spacing w:line="360" w:lineRule="auto"/>
        <w:ind w:left="417"/>
        <w:rPr>
          <w:rFonts w:ascii="宋体"/>
        </w:rPr>
      </w:pPr>
      <w:r>
        <w:rPr>
          <w:rFonts w:ascii="宋体" w:hAnsi="宋体"/>
        </w:rPr>
        <w:t>1.1</w:t>
      </w:r>
      <w:r>
        <w:rPr>
          <w:rFonts w:hint="eastAsia" w:ascii="宋体" w:hAnsi="宋体"/>
        </w:rPr>
        <w:t>基本资格条件：符合《中华人民共和国政府采购法》第二十二条的规定；</w:t>
      </w:r>
    </w:p>
    <w:p>
      <w:pPr>
        <w:spacing w:line="360" w:lineRule="auto"/>
        <w:ind w:firstLine="420" w:firstLineChars="200"/>
        <w:rPr>
          <w:rFonts w:ascii="宋体" w:hAnsi="宋体"/>
        </w:rPr>
      </w:pPr>
      <w:r>
        <w:rPr>
          <w:rFonts w:hint="eastAsia" w:ascii="宋体" w:hAnsi="宋体"/>
        </w:rPr>
        <w:t>（以下</w:t>
      </w:r>
      <w:r>
        <w:rPr>
          <w:rFonts w:ascii="宋体" w:hAnsi="宋体"/>
        </w:rPr>
        <w:t>A~E</w:t>
      </w:r>
      <w:r>
        <w:rPr>
          <w:rFonts w:hint="eastAsia" w:ascii="宋体" w:hAnsi="宋体"/>
        </w:rPr>
        <w:t>项是第二十二条要求及对应证明材料的具体内容，各投标人须在投标文件中出具对应证明材料）</w:t>
      </w:r>
    </w:p>
    <w:p>
      <w:pPr>
        <w:spacing w:line="360" w:lineRule="auto"/>
        <w:ind w:firstLine="482" w:firstLineChars="200"/>
        <w:rPr>
          <w:rFonts w:ascii="宋体"/>
          <w:b/>
          <w:bCs/>
        </w:rPr>
      </w:pPr>
      <w:r>
        <w:rPr>
          <w:rFonts w:ascii="宋体" w:hAnsi="宋体"/>
          <w:b/>
          <w:bCs/>
          <w:sz w:val="24"/>
        </w:rPr>
        <w:t>A</w:t>
      </w:r>
      <w:r>
        <w:rPr>
          <w:rFonts w:ascii="宋体" w:cs="宋体"/>
          <w:b/>
          <w:bCs/>
          <w:sz w:val="24"/>
        </w:rPr>
        <w:t>.</w:t>
      </w:r>
      <w:r>
        <w:rPr>
          <w:rFonts w:hint="eastAsia" w:ascii="宋体" w:hAnsi="宋体"/>
          <w:b/>
          <w:bCs/>
        </w:rPr>
        <w:t>具有独立承担民事责任的能力：</w:t>
      </w:r>
    </w:p>
    <w:p>
      <w:pPr>
        <w:spacing w:line="360" w:lineRule="auto"/>
        <w:rPr>
          <w:rFonts w:ascii="宋体"/>
          <w:b/>
          <w:bCs/>
        </w:rPr>
      </w:pPr>
      <w:r>
        <w:rPr>
          <w:rFonts w:ascii="宋体" w:hAnsi="宋体"/>
          <w:b/>
          <w:bCs/>
        </w:rPr>
        <w:t xml:space="preserve">  </w:t>
      </w:r>
      <w:r>
        <w:rPr>
          <w:rFonts w:ascii="宋体" w:hAnsi="宋体"/>
        </w:rPr>
        <w:t xml:space="preserve">  </w:t>
      </w:r>
      <w:r>
        <w:rPr>
          <w:rFonts w:hint="eastAsia" w:ascii="宋体" w:hAnsi="宋体"/>
        </w:rPr>
        <w:t>投标人须在投标文件中出具符合以下情况的证明材料复印件</w:t>
      </w:r>
      <w:r>
        <w:rPr>
          <w:rFonts w:hint="eastAsia" w:ascii="宋体" w:hAnsi="宋体"/>
          <w:b/>
          <w:bCs/>
        </w:rPr>
        <w:t>（五选一）：</w:t>
      </w:r>
    </w:p>
    <w:p>
      <w:pPr>
        <w:spacing w:line="360" w:lineRule="auto"/>
        <w:ind w:firstLine="420" w:firstLineChars="200"/>
        <w:rPr>
          <w:rFonts w:ascii="宋体"/>
        </w:rPr>
      </w:pPr>
      <w:r>
        <w:rPr>
          <w:rFonts w:ascii="宋体" w:hAnsi="宋体" w:cs="Calibri"/>
        </w:rPr>
        <w:fldChar w:fldCharType="begin"/>
      </w:r>
      <w:r>
        <w:rPr>
          <w:rFonts w:ascii="宋体" w:hAnsi="宋体" w:cs="Calibri"/>
        </w:rPr>
        <w:instrText xml:space="preserve"> EQ \o\ac(</w:instrText>
      </w:r>
      <w:r>
        <w:rPr>
          <w:rFonts w:hint="eastAsia" w:ascii="宋体" w:hAnsi="宋体" w:cs="Calibri"/>
        </w:rPr>
        <w:instrText xml:space="preserve">○</w:instrText>
      </w:r>
      <w:r>
        <w:rPr>
          <w:rFonts w:ascii="宋体" w:hAnsi="宋体" w:cs="Calibri"/>
        </w:rPr>
        <w:instrText xml:space="preserve">,1)</w:instrText>
      </w:r>
      <w:r>
        <w:rPr>
          <w:rFonts w:ascii="宋体" w:hAnsi="宋体" w:cs="Calibri"/>
        </w:rPr>
        <w:fldChar w:fldCharType="end"/>
      </w:r>
      <w:r>
        <w:rPr>
          <w:rFonts w:hint="eastAsia" w:ascii="宋体" w:hAnsi="宋体"/>
        </w:rPr>
        <w:t>如投标人是企业（包括合伙企业），提供在工商部门注册的有效“企业法人营业执照”或“营业执照”；</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2</w:instrText>
      </w:r>
      <w:r>
        <w:rPr>
          <w:rFonts w:ascii="宋体" w:hAnsi="宋体"/>
        </w:rPr>
        <w:instrText xml:space="preserve">)</w:instrText>
      </w:r>
      <w:r>
        <w:rPr>
          <w:rFonts w:ascii="宋体" w:hAnsi="宋体"/>
        </w:rPr>
        <w:fldChar w:fldCharType="end"/>
      </w:r>
      <w:r>
        <w:rPr>
          <w:rFonts w:hint="eastAsia" w:ascii="宋体" w:hAnsi="宋体"/>
        </w:rPr>
        <w:t>如投标人是事业单位，</w:t>
      </w:r>
      <w:r>
        <w:rPr>
          <w:rFonts w:ascii="宋体" w:hAnsi="宋体"/>
        </w:rPr>
        <w:t xml:space="preserve"> </w:t>
      </w:r>
      <w:r>
        <w:rPr>
          <w:rFonts w:hint="eastAsia" w:ascii="宋体" w:hAnsi="宋体"/>
        </w:rPr>
        <w:t>提供有效的“事业单位法人证书”；</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3</w:instrText>
      </w:r>
      <w:r>
        <w:rPr>
          <w:rFonts w:ascii="宋体" w:hAnsi="宋体"/>
        </w:rPr>
        <w:instrText xml:space="preserve">)</w:instrText>
      </w:r>
      <w:r>
        <w:rPr>
          <w:rFonts w:ascii="宋体" w:hAnsi="宋体"/>
        </w:rPr>
        <w:fldChar w:fldCharType="end"/>
      </w:r>
      <w:r>
        <w:rPr>
          <w:rFonts w:hint="eastAsia" w:ascii="宋体" w:hAnsi="宋体"/>
        </w:rPr>
        <w:t>如投标人是非企业专业服务机构的，提供执业许可证等证明文件等证明文件；</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,4)</w:instrText>
      </w:r>
      <w:r>
        <w:rPr>
          <w:rFonts w:ascii="宋体" w:hAnsi="宋体" w:cs="宋体"/>
        </w:rPr>
        <w:fldChar w:fldCharType="end"/>
      </w:r>
      <w:r>
        <w:rPr>
          <w:rFonts w:hint="eastAsia" w:ascii="宋体" w:hAnsi="宋体" w:cs="宋体"/>
        </w:rPr>
        <w:t>如投标人是个体工商户，提供有效的“个体工商户营业执照”；</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,5)</w:instrText>
      </w:r>
      <w:r>
        <w:rPr>
          <w:rFonts w:ascii="宋体" w:hAnsi="宋体" w:cs="宋体"/>
        </w:rPr>
        <w:fldChar w:fldCharType="end"/>
      </w:r>
      <w:r>
        <w:rPr>
          <w:rFonts w:hint="eastAsia" w:ascii="宋体" w:hAnsi="宋体" w:cs="宋体"/>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cs="宋体"/>
          <w:b/>
          <w:bCs/>
        </w:rPr>
      </w:pPr>
      <w:r>
        <w:rPr>
          <w:rFonts w:ascii="宋体" w:hAnsi="宋体" w:cs="宋体"/>
          <w:b/>
          <w:bCs/>
          <w:szCs w:val="21"/>
        </w:rPr>
        <w:t>B.</w:t>
      </w:r>
      <w:r>
        <w:rPr>
          <w:rFonts w:hint="eastAsia" w:ascii="宋体" w:hAnsi="宋体" w:cs="宋体"/>
          <w:b/>
          <w:bCs/>
        </w:rPr>
        <w:t>具有良好的商业信誉和健全的财务会计制度：</w:t>
      </w:r>
    </w:p>
    <w:p>
      <w:pPr>
        <w:spacing w:line="360" w:lineRule="auto"/>
        <w:ind w:firstLine="420" w:firstLineChars="200"/>
        <w:rPr>
          <w:rFonts w:asci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良好的商业信誉：</w:t>
      </w:r>
    </w:p>
    <w:p>
      <w:pPr>
        <w:spacing w:line="360" w:lineRule="auto"/>
        <w:ind w:firstLine="420" w:firstLineChars="200"/>
        <w:rPr>
          <w:rFonts w:ascii="宋体" w:hAnsi="宋体" w:cs="宋体"/>
        </w:rPr>
      </w:pPr>
      <w:r>
        <w:rPr>
          <w:rFonts w:hint="eastAsia" w:ascii="宋体" w:hAnsi="宋体" w:cs="宋体"/>
        </w:rPr>
        <w:t>至本项目投标截止时间止未列入失信被执行人、重大税收违法案件当事人名单、政府采购严重违法失信行为记录名单网页查询记录截图。</w:t>
      </w:r>
    </w:p>
    <w:p>
      <w:pPr>
        <w:spacing w:line="360" w:lineRule="auto"/>
        <w:ind w:firstLine="420" w:firstLineChars="200"/>
        <w:rPr>
          <w:rFonts w:ascii="宋体" w:cs="宋体"/>
          <w:highlight w:val="cyan"/>
        </w:rPr>
      </w:pPr>
      <w:r>
        <w:rPr>
          <w:rFonts w:hint="eastAsia" w:ascii="宋体" w:hAnsi="宋体" w:cs="宋体"/>
        </w:rPr>
        <w:t>以代理机构在开标当日在“信用中国”（</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）网页查询记录为准）。</w:t>
      </w:r>
    </w:p>
    <w:p>
      <w:pPr>
        <w:spacing w:line="360" w:lineRule="auto"/>
        <w:ind w:firstLine="420" w:firstLineChars="200"/>
        <w:rPr>
          <w:rFonts w:ascii="宋体" w:hAnsi="宋体" w:cs="宋体"/>
        </w:rPr>
      </w:pPr>
      <w:r>
        <w:rPr>
          <w:rFonts w:hint="eastAsia" w:ascii="宋体" w:hAnsi="宋体" w:cs="宋体"/>
          <w:szCs w:val="21"/>
        </w:rPr>
        <w:t>对</w:t>
      </w:r>
      <w:r>
        <w:rPr>
          <w:rFonts w:hint="eastAsia" w:ascii="宋体" w:hAnsi="宋体" w:cs="宋体"/>
        </w:rPr>
        <w:t>列入失信被执行人、重大税收违法案件当事人名单、政府采购严重违法失信行为记录名单的投标人，其投标将作无效标处理。</w:t>
      </w:r>
    </w:p>
    <w:p>
      <w:pPr>
        <w:pStyle w:val="3"/>
        <w:ind w:firstLine="422" w:firstLineChars="200"/>
        <w:rPr>
          <w:highlight w:val="none"/>
        </w:rPr>
      </w:pPr>
      <w:r>
        <w:rPr>
          <w:rFonts w:hint="eastAsia" w:ascii="宋体" w:hAnsi="宋体" w:cs="宋体"/>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ascii="宋体" w:cs="宋体"/>
        </w:rPr>
      </w:pPr>
      <w:r>
        <w:rPr>
          <w:rFonts w:hint="eastAsia" w:ascii="宋体" w:cs="宋体"/>
        </w:rPr>
        <w:t>②</w:t>
      </w:r>
      <w:r>
        <w:rPr>
          <w:rFonts w:hint="eastAsia" w:ascii="宋体" w:hAnsi="宋体" w:cs="宋体"/>
        </w:rPr>
        <w:t>健全的财务会计制度：</w:t>
      </w:r>
    </w:p>
    <w:p>
      <w:pPr>
        <w:spacing w:line="360" w:lineRule="auto"/>
        <w:ind w:firstLine="420" w:firstLineChars="200"/>
        <w:rPr>
          <w:rFonts w:ascii="宋体" w:cs="宋体"/>
        </w:rPr>
      </w:pPr>
      <w:r>
        <w:rPr>
          <w:rFonts w:hint="eastAsia" w:ascii="宋体" w:hAnsi="宋体" w:cs="宋体"/>
        </w:rPr>
        <w:t>投标人须在投标文件中出具符合以下情况的证明材料复印件</w:t>
      </w:r>
      <w:r>
        <w:rPr>
          <w:rFonts w:hint="eastAsia" w:ascii="宋体" w:hAnsi="宋体" w:cs="宋体"/>
          <w:b/>
          <w:bCs/>
        </w:rPr>
        <w:t>（三选一）</w:t>
      </w:r>
      <w:r>
        <w:rPr>
          <w:rFonts w:hint="eastAsia" w:ascii="宋体" w:hAnsi="宋体" w:cs="宋体"/>
        </w:rPr>
        <w:t>：</w:t>
      </w:r>
    </w:p>
    <w:p>
      <w:pPr>
        <w:numPr>
          <w:ilvl w:val="0"/>
          <w:numId w:val="7"/>
        </w:numPr>
        <w:spacing w:line="360" w:lineRule="auto"/>
        <w:ind w:firstLine="420" w:firstLineChars="200"/>
        <w:rPr>
          <w:rFonts w:ascii="宋体" w:cs="宋体"/>
        </w:rPr>
      </w:pPr>
      <w:r>
        <w:rPr>
          <w:rFonts w:hint="eastAsia" w:ascii="宋体" w:hAnsi="宋体" w:cs="宋体"/>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7"/>
        </w:numPr>
        <w:spacing w:line="360" w:lineRule="auto"/>
        <w:ind w:firstLine="420" w:firstLineChars="200"/>
        <w:rPr>
          <w:rFonts w:ascii="宋体"/>
        </w:rPr>
      </w:pPr>
      <w:r>
        <w:rPr>
          <w:rFonts w:hint="eastAsia" w:ascii="宋体" w:hAnsi="宋体"/>
        </w:rPr>
        <w:t>其他组织和自然人如没有经审计的财务报告的，可以提供资产负债表、利润表、现金流量表。</w:t>
      </w:r>
    </w:p>
    <w:p>
      <w:pPr>
        <w:numPr>
          <w:ilvl w:val="0"/>
          <w:numId w:val="7"/>
        </w:numPr>
        <w:spacing w:line="360" w:lineRule="auto"/>
        <w:ind w:firstLine="420" w:firstLineChars="200"/>
        <w:rPr>
          <w:rFonts w:ascii="宋体"/>
        </w:rPr>
      </w:pPr>
      <w:r>
        <w:rPr>
          <w:rFonts w:hint="eastAsia" w:ascii="宋体" w:hAnsi="宋体"/>
        </w:rPr>
        <w:t>新成立不足一年的公司须出具情况说明。</w:t>
      </w:r>
    </w:p>
    <w:p>
      <w:pPr>
        <w:pStyle w:val="77"/>
        <w:spacing w:line="360" w:lineRule="auto"/>
        <w:ind w:left="420" w:firstLine="0" w:firstLineChars="0"/>
        <w:rPr>
          <w:rFonts w:ascii="宋体" w:cs="宋体"/>
          <w:b/>
          <w:bCs/>
          <w:szCs w:val="21"/>
        </w:rPr>
      </w:pPr>
      <w:r>
        <w:rPr>
          <w:rFonts w:ascii="宋体" w:hAnsi="宋体" w:cs="宋体"/>
          <w:b/>
          <w:bCs/>
          <w:szCs w:val="21"/>
        </w:rPr>
        <w:t>C.</w:t>
      </w:r>
      <w:r>
        <w:rPr>
          <w:rFonts w:hint="eastAsia" w:ascii="宋体" w:hAnsi="宋体" w:cs="宋体"/>
          <w:b/>
          <w:bCs/>
          <w:szCs w:val="21"/>
        </w:rPr>
        <w:t>具有履行合同所必需的设备和专业技术能力：</w:t>
      </w:r>
    </w:p>
    <w:p>
      <w:pPr>
        <w:pStyle w:val="77"/>
        <w:spacing w:line="360" w:lineRule="auto"/>
        <w:ind w:left="420" w:firstLine="0" w:firstLineChars="0"/>
        <w:rPr>
          <w:rFonts w:ascii="宋体" w:cs="宋体"/>
          <w:szCs w:val="21"/>
        </w:rPr>
      </w:pPr>
      <w:r>
        <w:rPr>
          <w:rFonts w:hint="eastAsia" w:ascii="宋体" w:hAnsi="宋体" w:cs="宋体"/>
          <w:szCs w:val="21"/>
        </w:rPr>
        <w:t>投标人须在投标文件中出具具有履行合同所必需的设备和专业技术能力的《投标函》。</w:t>
      </w:r>
    </w:p>
    <w:p>
      <w:pPr>
        <w:pStyle w:val="77"/>
        <w:spacing w:line="360" w:lineRule="auto"/>
        <w:ind w:left="420" w:firstLine="0" w:firstLineChars="0"/>
        <w:rPr>
          <w:rFonts w:ascii="宋体" w:cs="宋体"/>
          <w:b/>
          <w:bCs/>
          <w:szCs w:val="21"/>
        </w:rPr>
      </w:pPr>
      <w:r>
        <w:rPr>
          <w:rFonts w:ascii="宋体" w:hAnsi="宋体" w:cs="宋体"/>
          <w:b/>
          <w:bCs/>
          <w:szCs w:val="21"/>
        </w:rPr>
        <w:t>D.</w:t>
      </w:r>
      <w:r>
        <w:rPr>
          <w:rFonts w:hint="eastAsia" w:ascii="宋体" w:hAnsi="宋体" w:cs="宋体"/>
          <w:b/>
          <w:bCs/>
          <w:szCs w:val="21"/>
        </w:rPr>
        <w:t>有依法缴纳税收和社会保障资金的良好记录：</w:t>
      </w:r>
    </w:p>
    <w:p>
      <w:pPr>
        <w:spacing w:line="360" w:lineRule="auto"/>
        <w:ind w:firstLine="420" w:firstLineChars="200"/>
        <w:rPr>
          <w:rFonts w:ascii="宋体"/>
        </w:rPr>
      </w:pPr>
      <w:r>
        <w:rPr>
          <w:rFonts w:hint="eastAsia" w:ascii="宋体" w:hAnsi="宋体"/>
        </w:rPr>
        <w:t>1投标人须在投标文件中同时出具满足以下要求的证明材料复印件：</w:t>
      </w:r>
    </w:p>
    <w:p>
      <w:pPr>
        <w:spacing w:line="360" w:lineRule="auto"/>
        <w:ind w:firstLine="420" w:firstLineChars="200"/>
        <w:rPr>
          <w:rFonts w:ascii="宋体" w:hAns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投标人须提供由税务部门出具的最近三个月内的纳税证明。</w:t>
      </w:r>
    </w:p>
    <w:p>
      <w:pPr>
        <w:spacing w:line="360" w:lineRule="auto"/>
        <w:ind w:firstLine="420" w:firstLineChars="200"/>
        <w:rPr>
          <w:rFonts w:ascii="宋体" w:hAnsi="宋体"/>
        </w:rPr>
      </w:pPr>
      <w:r>
        <w:rPr>
          <w:rFonts w:hint="eastAsia" w:ascii="宋体" w:hAnsi="宋体"/>
        </w:rPr>
        <w:t>②投标人须提供最近三个月内缴纳社会保险的凭据（缴税付款凭证或社会保险缴纳证明）</w:t>
      </w:r>
    </w:p>
    <w:p>
      <w:pPr>
        <w:spacing w:line="360" w:lineRule="auto"/>
        <w:ind w:firstLine="420" w:firstLineChars="200"/>
        <w:rPr>
          <w:rFonts w:ascii="宋体" w:hAnsi="宋体"/>
        </w:rPr>
      </w:pPr>
      <w:r>
        <w:rPr>
          <w:rFonts w:hint="eastAsia" w:ascii="宋体" w:hAnsi="宋体"/>
        </w:rPr>
        <w:t>依法免税或不需要缴纳社会保障资金的投标人，应提供相应文件证明其依法免税或不需要缴纳社会保障资金。</w:t>
      </w:r>
    </w:p>
    <w:p>
      <w:pPr>
        <w:spacing w:line="360" w:lineRule="auto"/>
        <w:ind w:firstLine="422" w:firstLineChars="200"/>
        <w:rPr>
          <w:rFonts w:ascii="宋体"/>
          <w:b/>
          <w:bCs/>
        </w:rPr>
      </w:pPr>
      <w:r>
        <w:rPr>
          <w:rFonts w:ascii="宋体" w:hAnsi="宋体"/>
          <w:b/>
          <w:bCs/>
        </w:rPr>
        <w:t>E.</w:t>
      </w:r>
      <w:r>
        <w:rPr>
          <w:rFonts w:hint="eastAsia" w:ascii="宋体" w:hAnsi="宋体"/>
          <w:b/>
          <w:bCs/>
        </w:rPr>
        <w:t>参加政府采购活动前三年内，在经营活动中没有重大违法记录：</w:t>
      </w:r>
    </w:p>
    <w:p>
      <w:pPr>
        <w:spacing w:line="360" w:lineRule="auto"/>
        <w:ind w:firstLine="420" w:firstLineChars="200"/>
        <w:rPr>
          <w:rFonts w:hAnsi="宋体" w:cs="宋体"/>
          <w:szCs w:val="21"/>
        </w:rPr>
      </w:pPr>
      <w:r>
        <w:rPr>
          <w:rFonts w:hint="eastAsia" w:ascii="宋体" w:hAnsi="宋体"/>
        </w:rPr>
        <w:t>投标人须在投标文件中出具《声明函》。（格式见附件）</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1.2《法定代表人授权函》原件，非法定代表人参加投标时用；</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1.3投标人代表身份证复印件，非法定代表人参加投标时用；</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1.4《中小企业声明函》；（格式见附件）</w:t>
      </w:r>
    </w:p>
    <w:p>
      <w:pPr>
        <w:spacing w:line="360" w:lineRule="auto"/>
        <w:ind w:firstLine="420" w:firstLineChars="200"/>
        <w:rPr>
          <w:rFonts w:ascii="宋体" w:hAnsi="宋体" w:cs="宋体"/>
          <w:szCs w:val="21"/>
        </w:rPr>
      </w:pPr>
      <w:r>
        <w:rPr>
          <w:rFonts w:hint="eastAsia" w:ascii="宋体" w:hAnsi="宋体" w:cs="宋体"/>
          <w:szCs w:val="21"/>
        </w:rPr>
        <w:t>1.5.残疾人福利性单位声明函或监狱企业证明文件（如有）（格式见附件）。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1.6.联合体协议；（如有）</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注：证明材料均需加盖签章。</w:t>
      </w:r>
    </w:p>
    <w:p>
      <w:pPr>
        <w:pStyle w:val="42"/>
        <w:numPr>
          <w:ilvl w:val="0"/>
          <w:numId w:val="8"/>
        </w:numPr>
        <w:snapToGrid w:val="0"/>
        <w:spacing w:before="120" w:after="120" w:line="360" w:lineRule="auto"/>
        <w:ind w:right="-506" w:rightChars="-241" w:firstLine="417" w:firstLineChars="198"/>
        <w:rPr>
          <w:rFonts w:hAnsi="宋体" w:eastAsia="宋体"/>
          <w:b/>
          <w:sz w:val="21"/>
        </w:rPr>
      </w:pPr>
      <w:r>
        <w:rPr>
          <w:rFonts w:hAnsi="宋体" w:eastAsia="宋体"/>
          <w:b/>
          <w:sz w:val="21"/>
        </w:rPr>
        <w:t>商务</w:t>
      </w:r>
      <w:r>
        <w:rPr>
          <w:rFonts w:hint="eastAsia" w:hAnsi="宋体" w:eastAsia="宋体"/>
          <w:b/>
          <w:sz w:val="21"/>
        </w:rPr>
        <w:t>及技术部分</w:t>
      </w:r>
      <w:r>
        <w:rPr>
          <w:rFonts w:hAnsi="宋体" w:eastAsia="宋体"/>
          <w:b/>
          <w:sz w:val="21"/>
        </w:rPr>
        <w:t>：</w:t>
      </w:r>
    </w:p>
    <w:p>
      <w:pPr>
        <w:spacing w:line="360" w:lineRule="auto"/>
        <w:ind w:firstLine="420" w:firstLineChars="200"/>
        <w:jc w:val="left"/>
        <w:rPr>
          <w:rFonts w:ascii="宋体" w:hAnsi="宋体"/>
          <w:szCs w:val="21"/>
        </w:rPr>
      </w:pPr>
      <w:r>
        <w:rPr>
          <w:rFonts w:hint="eastAsia" w:ascii="宋体" w:hAnsi="宋体"/>
          <w:szCs w:val="21"/>
        </w:rPr>
        <w:t>2.1</w:t>
      </w:r>
      <w:r>
        <w:rPr>
          <w:rFonts w:hint="eastAsia" w:ascii="宋体" w:hAnsi="宋体"/>
          <w:bCs/>
          <w:szCs w:val="21"/>
        </w:rPr>
        <w:t>投标人</w:t>
      </w:r>
      <w:r>
        <w:rPr>
          <w:rFonts w:ascii="宋体" w:hAnsi="宋体"/>
          <w:bCs/>
          <w:szCs w:val="21"/>
        </w:rPr>
        <w:t>基本情况表</w:t>
      </w:r>
      <w:r>
        <w:rPr>
          <w:rFonts w:hint="eastAsia" w:ascii="宋体" w:hAnsi="宋体"/>
          <w:bCs/>
          <w:szCs w:val="21"/>
        </w:rPr>
        <w:t>（如有）</w:t>
      </w:r>
      <w:r>
        <w:rPr>
          <w:rFonts w:ascii="宋体" w:hAnsi="宋体"/>
          <w:bCs/>
          <w:szCs w:val="21"/>
        </w:rPr>
        <w:t>；</w:t>
      </w:r>
    </w:p>
    <w:p>
      <w:pPr>
        <w:spacing w:line="360" w:lineRule="auto"/>
        <w:ind w:firstLine="420"/>
        <w:rPr>
          <w:rFonts w:ascii="宋体" w:hAnsi="宋体"/>
        </w:rPr>
      </w:pPr>
      <w:r>
        <w:rPr>
          <w:rFonts w:hint="eastAsia" w:ascii="宋体" w:hAnsi="宋体"/>
          <w:szCs w:val="21"/>
        </w:rPr>
        <w:t>2.2</w:t>
      </w:r>
      <w:r>
        <w:rPr>
          <w:rFonts w:hint="eastAsia" w:ascii="宋体" w:hAnsi="宋体"/>
        </w:rPr>
        <w:t>项目组成人员情况表（格式见附件）；</w:t>
      </w:r>
    </w:p>
    <w:p>
      <w:pPr>
        <w:spacing w:line="360" w:lineRule="auto"/>
        <w:ind w:firstLine="420"/>
        <w:rPr>
          <w:rFonts w:ascii="宋体" w:hAnsi="宋体"/>
        </w:rPr>
      </w:pPr>
      <w:r>
        <w:rPr>
          <w:rFonts w:hint="eastAsia" w:ascii="宋体" w:hAnsi="宋体"/>
        </w:rPr>
        <w:t>2.3</w:t>
      </w:r>
      <w:r>
        <w:rPr>
          <w:rFonts w:ascii="宋体" w:hAnsi="宋体"/>
        </w:rPr>
        <w:t>成功案例及业绩（如有）；</w:t>
      </w:r>
    </w:p>
    <w:p>
      <w:pPr>
        <w:pStyle w:val="9"/>
        <w:ind w:firstLine="420" w:firstLineChars="200"/>
        <w:rPr>
          <w:rFonts w:ascii="宋体" w:hAnsi="宋体" w:cs="宋体"/>
          <w:sz w:val="21"/>
          <w:szCs w:val="21"/>
        </w:rPr>
      </w:pPr>
      <w:r>
        <w:rPr>
          <w:rFonts w:hint="eastAsia" w:ascii="宋体" w:hAnsi="宋体" w:cs="宋体"/>
          <w:sz w:val="21"/>
          <w:szCs w:val="21"/>
        </w:rPr>
        <w:t>2.4评分规则中涉及的所需提交的材料；</w:t>
      </w:r>
    </w:p>
    <w:p>
      <w:pPr>
        <w:adjustRightInd w:val="0"/>
        <w:snapToGrid w:val="0"/>
        <w:spacing w:line="360" w:lineRule="auto"/>
        <w:ind w:firstLine="420" w:firstLineChars="200"/>
        <w:rPr>
          <w:rFonts w:ascii="宋体" w:hAnsi="宋体"/>
          <w:szCs w:val="21"/>
        </w:rPr>
      </w:pPr>
      <w:r>
        <w:rPr>
          <w:rFonts w:hint="eastAsia" w:ascii="宋体" w:hAnsi="宋体"/>
          <w:szCs w:val="21"/>
        </w:rPr>
        <w:t>2.5本招标文件要求提供的和投标人认为需要提供的其它证书复印件、说明或资料，具体由投标人根据要求进行编制。</w:t>
      </w:r>
    </w:p>
    <w:p>
      <w:pPr>
        <w:pStyle w:val="42"/>
        <w:snapToGrid w:val="0"/>
        <w:spacing w:before="120" w:after="120" w:line="360" w:lineRule="auto"/>
        <w:ind w:firstLine="422" w:firstLineChars="200"/>
        <w:rPr>
          <w:rFonts w:hAnsi="宋体" w:eastAsia="宋体"/>
          <w:b/>
          <w:sz w:val="21"/>
        </w:rPr>
      </w:pPr>
      <w:r>
        <w:rPr>
          <w:rFonts w:hint="eastAsia" w:hAnsi="宋体" w:eastAsia="宋体"/>
          <w:b/>
          <w:sz w:val="21"/>
        </w:rPr>
        <w:t>3、</w:t>
      </w:r>
      <w:r>
        <w:rPr>
          <w:rFonts w:hAnsi="宋体" w:eastAsia="宋体"/>
          <w:b/>
          <w:sz w:val="21"/>
        </w:rPr>
        <w:t>报价</w:t>
      </w:r>
      <w:r>
        <w:rPr>
          <w:rFonts w:hint="eastAsia" w:hAnsi="宋体" w:eastAsia="宋体"/>
          <w:b/>
          <w:sz w:val="21"/>
        </w:rPr>
        <w:t>部分</w:t>
      </w:r>
      <w:r>
        <w:rPr>
          <w:rFonts w:hAnsi="宋体" w:eastAsia="宋体"/>
          <w:b/>
          <w:sz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3.1投标报价一览表</w:t>
      </w:r>
      <w:r>
        <w:rPr>
          <w:rFonts w:hint="eastAsia" w:ascii="宋体" w:hAnsi="宋体"/>
        </w:rPr>
        <w:t>（格式见附件）</w:t>
      </w:r>
      <w:r>
        <w:rPr>
          <w:rFonts w:hint="eastAsia" w:ascii="宋体" w:hAnsi="宋体" w:cs="宋体"/>
          <w:szCs w:val="21"/>
        </w:rPr>
        <w:t>；</w:t>
      </w:r>
    </w:p>
    <w:p>
      <w:pPr>
        <w:tabs>
          <w:tab w:val="left" w:pos="3870"/>
          <w:tab w:val="left" w:pos="4085"/>
        </w:tabs>
        <w:snapToGrid w:val="0"/>
        <w:spacing w:line="360" w:lineRule="auto"/>
        <w:ind w:firstLine="420" w:firstLineChars="200"/>
        <w:jc w:val="left"/>
        <w:rPr>
          <w:rFonts w:ascii="宋体" w:hAnsi="宋体" w:cs="宋体"/>
          <w:szCs w:val="21"/>
        </w:rPr>
      </w:pPr>
      <w:r>
        <w:rPr>
          <w:rFonts w:hint="eastAsia" w:ascii="宋体" w:hAnsi="宋体" w:cs="宋体"/>
          <w:szCs w:val="21"/>
        </w:rPr>
        <w:t>3.2报价明细表</w:t>
      </w:r>
      <w:r>
        <w:rPr>
          <w:rFonts w:hint="eastAsia" w:ascii="宋体" w:hAnsi="宋体"/>
        </w:rPr>
        <w:t>（格式见附件）</w:t>
      </w:r>
      <w:r>
        <w:rPr>
          <w:rFonts w:hint="eastAsia" w:ascii="宋体" w:hAnsi="宋体" w:cs="宋体"/>
          <w:szCs w:val="21"/>
        </w:rPr>
        <w:t>；</w:t>
      </w:r>
    </w:p>
    <w:p>
      <w:pPr>
        <w:snapToGrid w:val="0"/>
        <w:spacing w:line="360" w:lineRule="auto"/>
        <w:ind w:right="55" w:firstLine="411" w:firstLineChars="196"/>
        <w:jc w:val="left"/>
        <w:outlineLvl w:val="0"/>
        <w:rPr>
          <w:rFonts w:ascii="宋体" w:hAnsi="宋体" w:cs="宋体"/>
          <w:szCs w:val="21"/>
        </w:rPr>
      </w:pPr>
      <w:r>
        <w:rPr>
          <w:rFonts w:hint="eastAsia" w:ascii="宋体" w:hAnsi="宋体" w:cs="宋体"/>
          <w:szCs w:val="21"/>
        </w:rPr>
        <w:t>3.3投标人针对报价需要说明的其他文件和说明（如有，格式自拟）。</w:t>
      </w:r>
    </w:p>
    <w:p>
      <w:pPr>
        <w:snapToGrid w:val="0"/>
        <w:spacing w:line="360" w:lineRule="auto"/>
        <w:ind w:right="55" w:firstLine="413" w:firstLineChars="196"/>
        <w:jc w:val="left"/>
        <w:outlineLvl w:val="0"/>
        <w:rPr>
          <w:rFonts w:ascii="宋体" w:hAnsi="宋体"/>
          <w:b/>
          <w:sz w:val="24"/>
        </w:rPr>
      </w:pPr>
      <w:r>
        <w:rPr>
          <w:rFonts w:ascii="宋体" w:hAnsi="宋体"/>
          <w:b/>
          <w:szCs w:val="21"/>
        </w:rPr>
        <w:t>（二）</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（三）响应报价</w:t>
      </w:r>
    </w:p>
    <w:p>
      <w:pPr>
        <w:pStyle w:val="14"/>
        <w:spacing w:line="360" w:lineRule="auto"/>
        <w:ind w:firstLine="625" w:firstLineChars="298"/>
        <w:rPr>
          <w:rFonts w:hAnsi="宋体" w:cs="宋体"/>
          <w:b/>
          <w:bCs/>
          <w:szCs w:val="21"/>
        </w:rPr>
      </w:pPr>
      <w:r>
        <w:rPr>
          <w:rFonts w:hint="eastAsia" w:hAnsi="宋体" w:eastAsia="宋体" w:cs="宋体"/>
          <w:sz w:val="21"/>
          <w:szCs w:val="21"/>
        </w:rPr>
        <w:t>1. 投标报价应以人民币报价，</w:t>
      </w:r>
      <w:r>
        <w:rPr>
          <w:rFonts w:hint="eastAsia" w:hAnsi="宋体" w:eastAsia="宋体" w:cs="宋体"/>
          <w:sz w:val="21"/>
        </w:rPr>
        <w:t>是履行合同的最终价格，</w:t>
      </w:r>
      <w:r>
        <w:rPr>
          <w:rFonts w:hint="eastAsia" w:hAnsi="宋体" w:eastAsia="宋体" w:cs="宋体"/>
          <w:sz w:val="21"/>
          <w:szCs w:val="21"/>
        </w:rPr>
        <w:t>供应商的总报价，应是在要求服务期内完成服务范围全部项目内容的所有费用，包括因承包本项目实施所需的人工、材料、食宿、交通、管理费用、税费、完成合同所需的一切本身和不可或缺的所有工作开支、政策性文件规定计合同包含的所有风险、责任等各项全部费用</w:t>
      </w:r>
      <w:r>
        <w:rPr>
          <w:rFonts w:hint="eastAsia" w:hAnsi="宋体" w:eastAsia="宋体" w:cs="宋体"/>
          <w:sz w:val="21"/>
        </w:rPr>
        <w:t>。未计入报价而应该发生的费用的，视为已含在其他分项投标报价中。供应商应根据上述因素自行考虑含入总价。如以后已实施而未列入报价的费用将被视为供应商优惠，采购人均不予支付。</w:t>
      </w:r>
    </w:p>
    <w:p>
      <w:pPr>
        <w:spacing w:line="360" w:lineRule="auto"/>
        <w:ind w:firstLine="420"/>
        <w:rPr>
          <w:rFonts w:ascii="宋体" w:hAnsi="宋体"/>
        </w:rPr>
      </w:pPr>
      <w:r>
        <w:rPr>
          <w:rFonts w:ascii="宋体" w:hAnsi="宋体" w:cs="宋体"/>
          <w:b/>
          <w:bCs/>
          <w:szCs w:val="21"/>
        </w:rPr>
        <w:t>2.</w:t>
      </w:r>
      <w:r>
        <w:rPr>
          <w:rFonts w:hint="eastAsia" w:ascii="宋体" w:hAnsi="宋体" w:cs="宋体"/>
          <w:b/>
          <w:bCs/>
          <w:szCs w:val="21"/>
        </w:rPr>
        <w:t>投标文件针对同一内容只允许有一个报价，有选择的或有条件的报价将不予接受。</w:t>
      </w:r>
    </w:p>
    <w:p>
      <w:pPr>
        <w:snapToGrid w:val="0"/>
        <w:spacing w:line="360" w:lineRule="auto"/>
        <w:ind w:firstLine="413" w:firstLineChars="196"/>
        <w:jc w:val="left"/>
        <w:outlineLvl w:val="0"/>
        <w:rPr>
          <w:rFonts w:ascii="宋体" w:hAnsi="宋体"/>
          <w:b/>
          <w:szCs w:val="21"/>
        </w:rPr>
      </w:pPr>
      <w:r>
        <w:rPr>
          <w:rFonts w:ascii="宋体" w:hAnsi="宋体"/>
          <w:b/>
          <w:szCs w:val="21"/>
        </w:rPr>
        <w:t>（四）</w:t>
      </w:r>
      <w:r>
        <w:rPr>
          <w:rFonts w:hint="eastAsia" w:ascii="宋体" w:hAnsi="宋体"/>
          <w:b/>
          <w:szCs w:val="21"/>
        </w:rPr>
        <w:t>投标</w:t>
      </w:r>
      <w:r>
        <w:rPr>
          <w:rFonts w:ascii="宋体" w:hAnsi="宋体"/>
          <w:b/>
          <w:szCs w:val="21"/>
        </w:rPr>
        <w:t>文件的有效期</w:t>
      </w:r>
    </w:p>
    <w:p>
      <w:pPr>
        <w:pStyle w:val="5"/>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1.自投标截止日起</w:t>
      </w:r>
      <w:r>
        <w:rPr>
          <w:rFonts w:hint="eastAsia" w:ascii="宋体" w:hAnsi="宋体"/>
          <w:b/>
          <w:u w:val="single"/>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rightChars="-41" w:firstLine="420" w:firstLineChars="200"/>
        <w:jc w:val="left"/>
        <w:outlineLvl w:val="0"/>
        <w:rPr>
          <w:rFonts w:ascii="宋体" w:hAnsi="宋体"/>
        </w:rPr>
      </w:pPr>
      <w:r>
        <w:rPr>
          <w:rFonts w:hint="eastAsia" w:ascii="宋体" w:hAnsi="宋体"/>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宋体" w:hAnsi="宋体"/>
        </w:rPr>
      </w:pPr>
      <w:r>
        <w:rPr>
          <w:rFonts w:hint="eastAsia" w:ascii="宋体" w:hAnsi="宋体"/>
        </w:rPr>
        <w:t>3.中标人的投标文件自开标之日起至合同履行完毕止均应保持有效。</w:t>
      </w:r>
    </w:p>
    <w:p>
      <w:pPr>
        <w:snapToGrid w:val="0"/>
        <w:spacing w:line="360" w:lineRule="auto"/>
        <w:ind w:firstLine="413" w:firstLineChars="196"/>
        <w:jc w:val="left"/>
        <w:rPr>
          <w:rFonts w:ascii="宋体" w:hAns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rPr>
      </w:pPr>
      <w:r>
        <w:rPr>
          <w:rFonts w:hint="eastAsia" w:ascii="宋体" w:hAnsi="宋体"/>
        </w:rPr>
        <w:t>1、投标人应当在截止时间前完成电子版响应文件的传输递交，并可以补充、修改或者撤回响应文件。补充或者修改响应文件的，应当先行撤回原文件，补充、修改后重新传输递交。投标截止时间前未完成传输的，视为撤回响应文件。响应截止时间后送达的响应文件，将被政采云平台拒收。</w:t>
      </w:r>
    </w:p>
    <w:p>
      <w:pPr>
        <w:snapToGrid w:val="0"/>
        <w:spacing w:line="360" w:lineRule="auto"/>
        <w:ind w:right="-86" w:rightChars="-41" w:firstLine="420" w:firstLineChars="200"/>
        <w:jc w:val="left"/>
        <w:rPr>
          <w:rFonts w:ascii="宋体" w:hAnsi="宋体"/>
        </w:rPr>
      </w:pPr>
      <w:r>
        <w:rPr>
          <w:rFonts w:hint="eastAsia" w:ascii="宋体" w:hAnsi="宋体"/>
        </w:rPr>
        <w:t>2、投标人除按规定时间在政采云系统中上传经加密的电子投标文件外，同时还需邮寄一份未经加密的电子投标文件送达指定地点。</w:t>
      </w:r>
    </w:p>
    <w:p>
      <w:pPr>
        <w:snapToGrid w:val="0"/>
        <w:spacing w:line="360" w:lineRule="auto"/>
        <w:ind w:right="-86" w:rightChars="-41" w:firstLine="420" w:firstLineChars="200"/>
        <w:jc w:val="left"/>
        <w:rPr>
          <w:rFonts w:ascii="宋体" w:hAnsi="宋体"/>
        </w:rPr>
      </w:pPr>
      <w:r>
        <w:rPr>
          <w:rFonts w:hint="eastAsia" w:ascii="宋体" w:hAnsi="宋体"/>
        </w:rPr>
        <w:t>3、响应文件未按时解密，投标人提供了备份响应文件的，以备份响应文件作为依据，否则视为响应文件撤回。响应文件已按时解密的，备份响应文件自动失效。</w:t>
      </w:r>
    </w:p>
    <w:p>
      <w:pPr>
        <w:snapToGrid w:val="0"/>
        <w:spacing w:line="360" w:lineRule="auto"/>
        <w:ind w:right="-86" w:rightChars="-41" w:firstLine="420" w:firstLineChars="200"/>
        <w:jc w:val="left"/>
        <w:rPr>
          <w:rFonts w:ascii="宋体" w:hAnsi="宋体"/>
        </w:rPr>
      </w:pPr>
      <w:r>
        <w:rPr>
          <w:rFonts w:hint="eastAsia" w:ascii="宋体" w:hAnsi="宋体"/>
        </w:rPr>
        <w:t>4、备份投标文件须密封封装。包装封面上应注明投标人名称，封口处加盖投标人公章。</w:t>
      </w:r>
    </w:p>
    <w:p>
      <w:pPr>
        <w:spacing w:line="360" w:lineRule="auto"/>
        <w:ind w:firstLine="420"/>
        <w:rPr>
          <w:rFonts w:ascii="宋体" w:hAnsi="宋体"/>
        </w:rPr>
      </w:pPr>
      <w:r>
        <w:rPr>
          <w:rFonts w:ascii="宋体" w:hAnsi="宋体"/>
          <w:b/>
          <w:szCs w:val="21"/>
        </w:rPr>
        <w:t>（</w:t>
      </w:r>
      <w:r>
        <w:rPr>
          <w:rFonts w:hint="eastAsia" w:ascii="宋体" w:hAnsi="宋体"/>
          <w:b/>
          <w:szCs w:val="21"/>
        </w:rPr>
        <w:t>六</w:t>
      </w:r>
      <w:r>
        <w:rPr>
          <w:rFonts w:ascii="宋体" w:hAnsi="宋体"/>
          <w:b/>
          <w:szCs w:val="21"/>
        </w:rPr>
        <w:t>）投标无效的情形</w:t>
      </w:r>
    </w:p>
    <w:p>
      <w:pPr>
        <w:pStyle w:val="42"/>
        <w:snapToGrid w:val="0"/>
        <w:spacing w:beforeLines="0" w:afterLines="0" w:line="360" w:lineRule="auto"/>
        <w:ind w:right="-86" w:rightChars="-41" w:firstLine="415" w:firstLineChars="198"/>
        <w:rPr>
          <w:rFonts w:hAnsi="宋体" w:eastAsia="宋体"/>
          <w:sz w:val="21"/>
        </w:rPr>
      </w:pPr>
      <w:r>
        <w:rPr>
          <w:rFonts w:hint="eastAsia" w:hAnsi="宋体" w:eastAsia="宋体"/>
          <w:sz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42"/>
        <w:snapToGrid w:val="0"/>
        <w:spacing w:before="120" w:after="120" w:line="360" w:lineRule="auto"/>
        <w:ind w:firstLine="417" w:firstLineChars="198"/>
        <w:rPr>
          <w:rFonts w:hAnsi="宋体" w:eastAsia="宋体"/>
          <w:sz w:val="21"/>
        </w:rPr>
      </w:pPr>
      <w:r>
        <w:rPr>
          <w:rFonts w:hAnsi="宋体" w:eastAsia="宋体"/>
          <w:b/>
          <w:bCs/>
          <w:sz w:val="21"/>
        </w:rPr>
        <w:t>1、在</w:t>
      </w:r>
      <w:r>
        <w:rPr>
          <w:rFonts w:hint="eastAsia" w:hAnsi="宋体" w:eastAsia="宋体"/>
          <w:b/>
          <w:bCs/>
          <w:sz w:val="21"/>
        </w:rPr>
        <w:t>符合性审查</w:t>
      </w:r>
      <w:r>
        <w:rPr>
          <w:rFonts w:hAnsi="宋体" w:eastAsia="宋体"/>
          <w:b/>
          <w:bCs/>
          <w:sz w:val="21"/>
        </w:rPr>
        <w:t>和商务评审时，如发现下列情形之一的，</w:t>
      </w:r>
      <w:r>
        <w:rPr>
          <w:rFonts w:hint="eastAsia" w:hAnsi="宋体" w:eastAsia="宋体"/>
          <w:b/>
          <w:bCs/>
          <w:sz w:val="21"/>
        </w:rPr>
        <w:t>投标</w:t>
      </w:r>
      <w:r>
        <w:rPr>
          <w:rFonts w:hAnsi="宋体" w:eastAsia="宋体"/>
          <w:b/>
          <w:bCs/>
          <w:sz w:val="21"/>
        </w:rPr>
        <w:t>文件将被视为无效投标：</w:t>
      </w:r>
    </w:p>
    <w:p>
      <w:pPr>
        <w:pStyle w:val="42"/>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1投标</w:t>
      </w:r>
      <w:r>
        <w:rPr>
          <w:rFonts w:hAnsi="宋体" w:eastAsia="宋体"/>
          <w:bCs/>
          <w:sz w:val="21"/>
        </w:rPr>
        <w:t>文件未按</w:t>
      </w:r>
      <w:r>
        <w:rPr>
          <w:rFonts w:hint="eastAsia" w:hAnsi="宋体" w:eastAsia="宋体"/>
          <w:bCs/>
          <w:sz w:val="21"/>
        </w:rPr>
        <w:t>采购文件</w:t>
      </w:r>
      <w:r>
        <w:rPr>
          <w:rFonts w:hAnsi="宋体" w:eastAsia="宋体"/>
          <w:bCs/>
          <w:sz w:val="21"/>
        </w:rPr>
        <w:t>要求密封、签字、盖章的；</w:t>
      </w:r>
    </w:p>
    <w:p>
      <w:pPr>
        <w:pStyle w:val="42"/>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2</w:t>
      </w:r>
      <w:r>
        <w:rPr>
          <w:rFonts w:hint="eastAsia" w:hAnsi="宋体" w:eastAsia="宋体" w:cs="宋体"/>
          <w:sz w:val="21"/>
        </w:rPr>
        <w:t>资格证明文件不全的，或者不符合采购文件标明的资格要求的</w:t>
      </w:r>
      <w:r>
        <w:rPr>
          <w:rFonts w:hAnsi="宋体" w:eastAsia="宋体"/>
          <w:bCs/>
          <w:sz w:val="21"/>
        </w:rPr>
        <w:t>；</w:t>
      </w:r>
    </w:p>
    <w:p>
      <w:pPr>
        <w:pStyle w:val="14"/>
        <w:snapToGrid w:val="0"/>
        <w:spacing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cs="宋体"/>
          <w:sz w:val="21"/>
          <w:szCs w:val="21"/>
        </w:rPr>
        <w:t>3投标文件组成不全的；</w:t>
      </w:r>
    </w:p>
    <w:p>
      <w:pPr>
        <w:pStyle w:val="42"/>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4投标</w:t>
      </w:r>
      <w:r>
        <w:rPr>
          <w:rFonts w:hAnsi="宋体" w:eastAsia="宋体"/>
          <w:bCs/>
          <w:sz w:val="21"/>
        </w:rPr>
        <w:t>文件无法定代表人或授权人签字；或未提供法定代表人授权委托书；</w:t>
      </w:r>
    </w:p>
    <w:p>
      <w:pPr>
        <w:pStyle w:val="42"/>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5</w:t>
      </w:r>
      <w:r>
        <w:rPr>
          <w:rFonts w:hAnsi="宋体" w:eastAsia="宋体"/>
          <w:bCs/>
          <w:sz w:val="21"/>
        </w:rPr>
        <w:t>投标代表人未能出具身份证明或与法定代表人授权委托人身份不符的；</w:t>
      </w:r>
    </w:p>
    <w:p>
      <w:pPr>
        <w:pStyle w:val="42"/>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6投标</w:t>
      </w:r>
      <w:r>
        <w:rPr>
          <w:rFonts w:hAnsi="宋体" w:eastAsia="宋体"/>
          <w:bCs/>
          <w:sz w:val="21"/>
        </w:rPr>
        <w:t>文件的实质性内容未使用中文表述、意思表述不明确、前后矛盾或者使用计量单位不符合</w:t>
      </w:r>
      <w:r>
        <w:rPr>
          <w:rFonts w:hint="eastAsia" w:hAnsi="宋体" w:eastAsia="宋体"/>
          <w:bCs/>
          <w:sz w:val="21"/>
        </w:rPr>
        <w:t>采购文件</w:t>
      </w:r>
      <w:r>
        <w:rPr>
          <w:rFonts w:hAnsi="宋体" w:eastAsia="宋体"/>
          <w:bCs/>
          <w:sz w:val="21"/>
        </w:rPr>
        <w:t>要求的；（</w:t>
      </w:r>
      <w:r>
        <w:rPr>
          <w:rFonts w:hint="eastAsia" w:hAnsi="宋体" w:eastAsia="宋体" w:cs="宋体"/>
          <w:sz w:val="21"/>
        </w:rPr>
        <w:t>经评审小组认定允许其在线更正的笔误除外</w:t>
      </w:r>
      <w:r>
        <w:rPr>
          <w:rFonts w:hAnsi="宋体" w:eastAsia="宋体"/>
          <w:bCs/>
          <w:sz w:val="21"/>
        </w:rPr>
        <w:t>）</w:t>
      </w:r>
    </w:p>
    <w:p>
      <w:pPr>
        <w:pStyle w:val="42"/>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7投标</w:t>
      </w:r>
      <w:r>
        <w:rPr>
          <w:rFonts w:hAnsi="宋体" w:eastAsia="宋体"/>
          <w:bCs/>
          <w:sz w:val="21"/>
        </w:rPr>
        <w:t>文件的关键内容字迹模糊、无法辨认的，或者</w:t>
      </w:r>
      <w:r>
        <w:rPr>
          <w:rFonts w:hint="eastAsia" w:hAnsi="宋体" w:eastAsia="宋体"/>
          <w:bCs/>
          <w:sz w:val="21"/>
        </w:rPr>
        <w:t>投标</w:t>
      </w:r>
      <w:r>
        <w:rPr>
          <w:rFonts w:hAnsi="宋体" w:eastAsia="宋体"/>
          <w:bCs/>
          <w:sz w:val="21"/>
        </w:rPr>
        <w:t>文件中经修正的内容字迹模糊难以辩认或者修改处未按规定签名盖章的；</w:t>
      </w:r>
    </w:p>
    <w:p>
      <w:pPr>
        <w:pStyle w:val="42"/>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8投标有效期、交货时间、质保期等</w:t>
      </w:r>
      <w:r>
        <w:rPr>
          <w:rFonts w:hAnsi="宋体" w:eastAsia="宋体"/>
          <w:bCs/>
          <w:sz w:val="21"/>
        </w:rPr>
        <w:t>商务条款不能满足</w:t>
      </w:r>
      <w:r>
        <w:rPr>
          <w:rFonts w:hint="eastAsia" w:hAnsi="宋体" w:eastAsia="宋体"/>
          <w:bCs/>
          <w:sz w:val="21"/>
        </w:rPr>
        <w:t>采购文件</w:t>
      </w:r>
      <w:r>
        <w:rPr>
          <w:rFonts w:hAnsi="宋体" w:eastAsia="宋体"/>
          <w:bCs/>
          <w:sz w:val="21"/>
        </w:rPr>
        <w:t>要求的；</w:t>
      </w:r>
    </w:p>
    <w:p>
      <w:pPr>
        <w:pStyle w:val="42"/>
        <w:snapToGrid w:val="0"/>
        <w:spacing w:beforeLines="0" w:afterLines="0" w:line="360" w:lineRule="auto"/>
        <w:ind w:firstLine="415" w:firstLineChars="198"/>
        <w:rPr>
          <w:rFonts w:hAnsi="宋体" w:eastAsia="宋体"/>
          <w:bCs/>
          <w:sz w:val="21"/>
        </w:rPr>
      </w:pPr>
      <w:r>
        <w:rPr>
          <w:rFonts w:hint="eastAsia" w:hAnsi="宋体" w:eastAsia="宋体"/>
          <w:bCs/>
          <w:sz w:val="21"/>
        </w:rPr>
        <w:t>1.9投标报价文件在投标文件商务技术部分中出现投标报价信息的。</w:t>
      </w:r>
    </w:p>
    <w:p>
      <w:pPr>
        <w:pStyle w:val="42"/>
        <w:snapToGrid w:val="0"/>
        <w:spacing w:beforeLines="0" w:afterLines="0" w:line="360" w:lineRule="auto"/>
        <w:ind w:firstLine="415" w:firstLineChars="198"/>
        <w:rPr>
          <w:rFonts w:hAnsi="宋体" w:eastAsia="宋体"/>
          <w:bCs/>
          <w:sz w:val="21"/>
        </w:rPr>
      </w:pPr>
      <w:r>
        <w:rPr>
          <w:rFonts w:hint="eastAsia" w:hAnsi="宋体" w:eastAsia="宋体"/>
          <w:bCs/>
          <w:sz w:val="21"/>
        </w:rPr>
        <w:t>1.10未</w:t>
      </w:r>
      <w:r>
        <w:rPr>
          <w:rFonts w:hAnsi="宋体" w:eastAsia="宋体"/>
          <w:bCs/>
          <w:sz w:val="21"/>
        </w:rPr>
        <w:t>响应</w:t>
      </w:r>
      <w:r>
        <w:rPr>
          <w:rFonts w:hint="eastAsia" w:hAnsi="宋体" w:eastAsia="宋体"/>
          <w:bCs/>
          <w:sz w:val="21"/>
        </w:rPr>
        <w:t>采购文件</w:t>
      </w:r>
      <w:r>
        <w:rPr>
          <w:rFonts w:hAnsi="宋体" w:eastAsia="宋体"/>
          <w:bCs/>
          <w:sz w:val="21"/>
        </w:rPr>
        <w:t>实质性要求或者</w:t>
      </w:r>
      <w:r>
        <w:rPr>
          <w:rFonts w:hint="eastAsia" w:hAnsi="宋体" w:eastAsia="宋体"/>
          <w:bCs/>
          <w:sz w:val="21"/>
        </w:rPr>
        <w:t>投标文件</w:t>
      </w:r>
      <w:r>
        <w:rPr>
          <w:rFonts w:hAnsi="宋体" w:eastAsia="宋体"/>
          <w:bCs/>
          <w:sz w:val="21"/>
        </w:rPr>
        <w:t>有</w:t>
      </w:r>
      <w:r>
        <w:rPr>
          <w:rFonts w:hint="eastAsia" w:hAnsi="宋体" w:eastAsia="宋体"/>
          <w:bCs/>
          <w:sz w:val="21"/>
        </w:rPr>
        <w:t>采购人</w:t>
      </w:r>
      <w:r>
        <w:rPr>
          <w:rFonts w:hAnsi="宋体" w:eastAsia="宋体"/>
          <w:bCs/>
          <w:sz w:val="21"/>
        </w:rPr>
        <w:t>不能接受的附加条件的；</w:t>
      </w:r>
    </w:p>
    <w:p>
      <w:pPr>
        <w:spacing w:line="360" w:lineRule="auto"/>
        <w:ind w:firstLine="420"/>
        <w:rPr>
          <w:rFonts w:ascii="宋体" w:hAnsi="宋体"/>
          <w:szCs w:val="21"/>
        </w:rPr>
      </w:pPr>
      <w:r>
        <w:rPr>
          <w:rFonts w:ascii="宋体" w:hAnsi="宋体"/>
          <w:b/>
          <w:bCs/>
        </w:rPr>
        <w:t>2、在技术评审时，如发现下列情形之一的，</w:t>
      </w:r>
      <w:r>
        <w:rPr>
          <w:rFonts w:hint="eastAsia" w:ascii="宋体" w:hAnsi="宋体"/>
          <w:b/>
          <w:bCs/>
        </w:rPr>
        <w:t>投标文件</w:t>
      </w:r>
      <w:r>
        <w:rPr>
          <w:rFonts w:ascii="宋体" w:hAnsi="宋体"/>
          <w:b/>
          <w:bCs/>
        </w:rPr>
        <w:t>将被视为无效响应：</w:t>
      </w:r>
    </w:p>
    <w:p>
      <w:pPr>
        <w:pStyle w:val="42"/>
        <w:snapToGrid w:val="0"/>
        <w:spacing w:beforeLines="0" w:afterLines="0" w:line="360" w:lineRule="auto"/>
        <w:ind w:firstLine="415" w:firstLineChars="198"/>
        <w:rPr>
          <w:rFonts w:hAnsi="宋体" w:eastAsia="宋体"/>
          <w:bCs/>
          <w:sz w:val="21"/>
          <w:highlight w:val="none"/>
        </w:rPr>
      </w:pPr>
      <w:r>
        <w:rPr>
          <w:rFonts w:hint="eastAsia" w:hAnsi="宋体" w:eastAsia="宋体"/>
          <w:bCs/>
          <w:sz w:val="21"/>
        </w:rPr>
        <w:t>2.1未提供或未如实提供投标产品的技术参数，或者投标文件标明的响应或偏离与事实不符</w:t>
      </w:r>
      <w:r>
        <w:rPr>
          <w:rFonts w:hint="eastAsia" w:hAnsi="宋体" w:eastAsia="宋体"/>
          <w:bCs/>
          <w:sz w:val="21"/>
          <w:highlight w:val="none"/>
        </w:rPr>
        <w:t>或虚假投标的；</w:t>
      </w:r>
    </w:p>
    <w:p>
      <w:pPr>
        <w:pStyle w:val="42"/>
        <w:snapToGrid w:val="0"/>
        <w:spacing w:beforeLines="0" w:afterLines="0" w:line="360" w:lineRule="auto"/>
        <w:ind w:firstLine="415" w:firstLineChars="198"/>
        <w:rPr>
          <w:rFonts w:hAnsi="宋体" w:eastAsia="宋体"/>
          <w:bCs/>
          <w:sz w:val="21"/>
          <w:highlight w:val="none"/>
        </w:rPr>
      </w:pPr>
      <w:r>
        <w:rPr>
          <w:rFonts w:hint="eastAsia" w:hAnsi="宋体" w:eastAsia="宋体"/>
          <w:bCs/>
          <w:sz w:val="21"/>
          <w:highlight w:val="none"/>
        </w:rPr>
        <w:t>2.2明显不符合采购文件标明“▲”要求的；</w:t>
      </w:r>
    </w:p>
    <w:p>
      <w:pPr>
        <w:pStyle w:val="42"/>
        <w:snapToGrid w:val="0"/>
        <w:spacing w:beforeLines="0" w:afterLines="0" w:line="360" w:lineRule="auto"/>
        <w:ind w:firstLine="415" w:firstLineChars="198"/>
      </w:pPr>
      <w:r>
        <w:rPr>
          <w:rFonts w:hint="eastAsia" w:hAnsi="宋体" w:eastAsia="宋体"/>
          <w:bCs/>
          <w:sz w:val="21"/>
        </w:rPr>
        <w:t>2.3投标技术方案不明确，存在一个或一个以上备选（替代）投标的。</w:t>
      </w:r>
    </w:p>
    <w:p>
      <w:pPr>
        <w:spacing w:line="360" w:lineRule="auto"/>
        <w:ind w:firstLine="420"/>
        <w:rPr>
          <w:rFonts w:ascii="宋体" w:hAnsi="宋体"/>
          <w:szCs w:val="21"/>
        </w:rPr>
      </w:pPr>
      <w:r>
        <w:rPr>
          <w:rFonts w:ascii="宋体" w:hAnsi="宋体"/>
          <w:b/>
          <w:bCs/>
        </w:rPr>
        <w:t>3、</w:t>
      </w:r>
      <w:r>
        <w:rPr>
          <w:rFonts w:hint="eastAsia" w:hAnsi="宋体" w:cs="宋体"/>
          <w:b/>
          <w:szCs w:val="21"/>
        </w:rPr>
        <w:t>在投标报价文件评审时</w:t>
      </w:r>
      <w:r>
        <w:rPr>
          <w:rFonts w:ascii="宋体" w:hAnsi="宋体"/>
          <w:b/>
          <w:bCs/>
        </w:rPr>
        <w:t>，如发现下列情形之一的，</w:t>
      </w:r>
      <w:r>
        <w:rPr>
          <w:rFonts w:hint="eastAsia" w:ascii="宋体" w:hAnsi="宋体"/>
          <w:b/>
          <w:bCs/>
        </w:rPr>
        <w:t>投标文件</w:t>
      </w:r>
      <w:r>
        <w:rPr>
          <w:rFonts w:ascii="宋体" w:hAnsi="宋体"/>
          <w:b/>
          <w:bCs/>
        </w:rPr>
        <w:t>将被视为无效响应：</w:t>
      </w:r>
    </w:p>
    <w:p>
      <w:pPr>
        <w:pStyle w:val="51"/>
        <w:snapToGrid w:val="0"/>
        <w:spacing w:line="360" w:lineRule="auto"/>
        <w:ind w:right="-86" w:rightChars="-41" w:firstLine="438" w:firstLineChars="209"/>
        <w:rPr>
          <w:rFonts w:hAnsi="宋体"/>
        </w:rPr>
      </w:pPr>
      <w:r>
        <w:rPr>
          <w:rFonts w:hint="eastAsia" w:hAnsi="宋体"/>
        </w:rPr>
        <w:t>3.1未采用人民币报价或者未按照采购文件标明的币种报价的；</w:t>
      </w:r>
    </w:p>
    <w:p>
      <w:pPr>
        <w:pStyle w:val="51"/>
        <w:snapToGrid w:val="0"/>
        <w:spacing w:line="360" w:lineRule="auto"/>
        <w:ind w:right="-86" w:rightChars="-41" w:firstLine="438" w:firstLineChars="209"/>
        <w:rPr>
          <w:rFonts w:hAnsi="宋体"/>
        </w:rPr>
      </w:pPr>
      <w:r>
        <w:rPr>
          <w:rFonts w:hint="eastAsia" w:hAnsi="宋体"/>
        </w:rPr>
        <w:t>3.2报价超出最高限价，或者超出采购预算金额，采购人不能支付的；投标人的投标报价经评标委员会审定认为存在不合理的、恶性的低价竞争的，且投标人又不能提供出有效证明的作无效标处理。</w:t>
      </w:r>
    </w:p>
    <w:p>
      <w:pPr>
        <w:pStyle w:val="51"/>
        <w:snapToGrid w:val="0"/>
        <w:spacing w:line="360" w:lineRule="auto"/>
        <w:ind w:right="-86" w:rightChars="-41" w:firstLine="438" w:firstLineChars="209"/>
        <w:rPr>
          <w:rFonts w:hAnsi="宋体"/>
        </w:rPr>
      </w:pPr>
      <w:r>
        <w:rPr>
          <w:rFonts w:hint="eastAsia" w:hAnsi="宋体"/>
        </w:rPr>
        <w:t>3.3投标报价具有选择性，或者开标价格与投标文件承诺的优惠（折扣）价格不一致的；</w:t>
      </w:r>
    </w:p>
    <w:p>
      <w:pPr>
        <w:pStyle w:val="51"/>
        <w:snapToGrid w:val="0"/>
        <w:spacing w:line="360" w:lineRule="auto"/>
        <w:ind w:right="-86" w:rightChars="-41" w:firstLine="438" w:firstLineChars="209"/>
        <w:rPr>
          <w:rFonts w:hAnsi="宋体"/>
        </w:rPr>
      </w:pPr>
      <w:r>
        <w:rPr>
          <w:rFonts w:hint="eastAsia" w:hAnsi="宋体"/>
        </w:rPr>
        <w:t xml:space="preserve">3.4投标报价明细表总金额与开标一览表总价不一致。  </w:t>
      </w:r>
    </w:p>
    <w:p>
      <w:pPr>
        <w:pStyle w:val="51"/>
        <w:snapToGrid w:val="0"/>
        <w:spacing w:line="360" w:lineRule="auto"/>
        <w:ind w:right="-86" w:rightChars="-41" w:firstLine="438" w:firstLineChars="209"/>
        <w:rPr>
          <w:rFonts w:hAnsi="宋体"/>
        </w:rPr>
      </w:pPr>
      <w:r>
        <w:rPr>
          <w:rFonts w:hint="eastAsia" w:hAnsi="宋体"/>
        </w:rPr>
        <w:t>3.5投标报价文件在投标文件商务技术部分中出现投标报价信息的。</w:t>
      </w:r>
    </w:p>
    <w:p>
      <w:pPr>
        <w:pStyle w:val="51"/>
        <w:snapToGrid w:val="0"/>
        <w:spacing w:line="360" w:lineRule="auto"/>
        <w:ind w:right="-86" w:rightChars="-41" w:firstLine="441" w:firstLineChars="209"/>
        <w:rPr>
          <w:rFonts w:hAnsi="宋体"/>
        </w:rPr>
      </w:pPr>
      <w:r>
        <w:rPr>
          <w:rFonts w:hint="eastAsia" w:hAnsi="宋体"/>
          <w:b/>
          <w:bCs/>
        </w:rPr>
        <w:t>4.</w:t>
      </w:r>
      <w:r>
        <w:rPr>
          <w:rFonts w:hint="eastAsia" w:hAnsi="宋体"/>
        </w:rPr>
        <w:t>法律、法规和采购文件规定的其他无效情形。</w:t>
      </w:r>
    </w:p>
    <w:p>
      <w:pPr>
        <w:pStyle w:val="51"/>
        <w:snapToGrid w:val="0"/>
        <w:spacing w:line="360" w:lineRule="auto"/>
        <w:ind w:right="-86" w:rightChars="-41" w:firstLine="441" w:firstLineChars="209"/>
        <w:rPr>
          <w:rFonts w:hAnsi="宋体"/>
        </w:rPr>
      </w:pPr>
      <w:r>
        <w:rPr>
          <w:rFonts w:hint="eastAsia" w:ascii="宋体" w:hAnsi="宋体"/>
          <w:b/>
          <w:szCs w:val="21"/>
        </w:rPr>
        <w:t>（七）</w:t>
      </w:r>
      <w:r>
        <w:rPr>
          <w:rFonts w:hint="eastAsia" w:hAnsi="宋体"/>
          <w:b/>
        </w:rPr>
        <w:t>出现以下情形，导致电子交易平台无法正常运行，或者无法保证电子交易的公平、公正和安全时，中止电子交易活动：</w:t>
      </w:r>
    </w:p>
    <w:p>
      <w:pPr>
        <w:pStyle w:val="51"/>
        <w:snapToGrid w:val="0"/>
        <w:spacing w:line="360" w:lineRule="auto"/>
        <w:ind w:right="-86" w:rightChars="-41" w:firstLine="438" w:firstLineChars="209"/>
        <w:rPr>
          <w:rFonts w:hAnsi="宋体"/>
        </w:rPr>
      </w:pPr>
      <w:r>
        <w:rPr>
          <w:rFonts w:hint="eastAsia" w:hAnsi="宋体"/>
        </w:rPr>
        <w:t>（一）电子交易平台发生故障而无法登录访问的；</w:t>
      </w:r>
    </w:p>
    <w:p>
      <w:pPr>
        <w:pStyle w:val="51"/>
        <w:snapToGrid w:val="0"/>
        <w:spacing w:line="360" w:lineRule="auto"/>
        <w:ind w:right="-86" w:rightChars="-41" w:firstLine="438" w:firstLineChars="209"/>
        <w:rPr>
          <w:rFonts w:hAnsi="宋体"/>
        </w:rPr>
      </w:pPr>
      <w:r>
        <w:rPr>
          <w:rFonts w:hint="eastAsia" w:hAnsi="宋体"/>
        </w:rPr>
        <w:t>（二）电子交易平台应用或数据库出现错误，不能进行正常操作的；</w:t>
      </w:r>
    </w:p>
    <w:p>
      <w:pPr>
        <w:pStyle w:val="51"/>
        <w:snapToGrid w:val="0"/>
        <w:spacing w:line="360" w:lineRule="auto"/>
        <w:ind w:right="-86" w:rightChars="-41" w:firstLine="438" w:firstLineChars="209"/>
        <w:rPr>
          <w:rFonts w:hAnsi="宋体"/>
        </w:rPr>
      </w:pPr>
      <w:r>
        <w:rPr>
          <w:rFonts w:hint="eastAsia" w:hAnsi="宋体"/>
        </w:rPr>
        <w:t>（三）电子交易平台发现严重安全漏洞，有潜在泄密危险的；</w:t>
      </w:r>
    </w:p>
    <w:p>
      <w:pPr>
        <w:pStyle w:val="51"/>
        <w:snapToGrid w:val="0"/>
        <w:spacing w:line="360" w:lineRule="auto"/>
        <w:ind w:right="-86" w:rightChars="-41" w:firstLine="438" w:firstLineChars="209"/>
        <w:rPr>
          <w:rFonts w:hAnsi="宋体"/>
        </w:rPr>
      </w:pPr>
      <w:r>
        <w:rPr>
          <w:rFonts w:hint="eastAsia" w:hAnsi="宋体"/>
        </w:rPr>
        <w:t>（四）病毒发作导致不能进行正常操作的；</w:t>
      </w:r>
    </w:p>
    <w:p>
      <w:pPr>
        <w:pStyle w:val="51"/>
        <w:snapToGrid w:val="0"/>
        <w:spacing w:line="360" w:lineRule="auto"/>
        <w:ind w:right="-86" w:rightChars="-41" w:firstLine="438" w:firstLineChars="209"/>
        <w:rPr>
          <w:rFonts w:hAnsi="宋体"/>
        </w:rPr>
      </w:pPr>
      <w:r>
        <w:rPr>
          <w:rFonts w:hint="eastAsia" w:hAnsi="宋体"/>
        </w:rPr>
        <w:t>（五）其他无法保证电子交易的公平、公正和安全的情况。</w:t>
      </w:r>
    </w:p>
    <w:p>
      <w:pPr>
        <w:pStyle w:val="51"/>
        <w:snapToGrid w:val="0"/>
        <w:spacing w:line="360" w:lineRule="auto"/>
        <w:ind w:right="-86" w:rightChars="-41" w:firstLine="438" w:firstLineChars="209"/>
        <w:rPr>
          <w:rFonts w:hAnsi="宋体"/>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pStyle w:val="51"/>
        <w:snapToGrid w:val="0"/>
        <w:spacing w:line="360" w:lineRule="auto"/>
        <w:ind w:right="-87" w:firstLine="0"/>
        <w:rPr>
          <w:rFonts w:hAnsi="宋体"/>
          <w:b/>
          <w:sz w:val="24"/>
        </w:rPr>
      </w:pPr>
    </w:p>
    <w:p>
      <w:pPr>
        <w:pStyle w:val="51"/>
        <w:snapToGrid w:val="0"/>
        <w:spacing w:line="360" w:lineRule="auto"/>
        <w:ind w:right="-87" w:firstLine="3483" w:firstLineChars="1239"/>
        <w:outlineLvl w:val="1"/>
        <w:rPr>
          <w:rFonts w:hAnsi="宋体"/>
          <w:b/>
          <w:snapToGrid w:val="0"/>
          <w:sz w:val="28"/>
        </w:rPr>
      </w:pPr>
      <w:r>
        <w:rPr>
          <w:rFonts w:hint="eastAsia" w:hAnsi="宋体"/>
          <w:b/>
          <w:sz w:val="28"/>
        </w:rPr>
        <w:t>四、开标</w:t>
      </w:r>
    </w:p>
    <w:p>
      <w:pPr>
        <w:pStyle w:val="9"/>
        <w:spacing w:line="360" w:lineRule="auto"/>
        <w:ind w:firstLine="422" w:firstLineChars="200"/>
        <w:jc w:val="left"/>
        <w:rPr>
          <w:rFonts w:ascii="宋体" w:hAnsi="宋体"/>
          <w:b/>
          <w:sz w:val="21"/>
          <w:szCs w:val="21"/>
        </w:rPr>
      </w:pPr>
      <w:r>
        <w:rPr>
          <w:rFonts w:hint="eastAsia" w:ascii="宋体" w:hAnsi="宋体"/>
          <w:b/>
          <w:sz w:val="21"/>
          <w:szCs w:val="21"/>
        </w:rPr>
        <w:t>电子招投标开标及评审程序</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1、采购组织机构按照规定的时间通过政采云系统组织开标、开启响应文件，所有投标人均应当准时在线参加。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2、投标截止时间后，投标人登录政采云平台，用“项目采购-开标评标”功能对电子投标文件进行</w:t>
      </w:r>
      <w:r>
        <w:rPr>
          <w:rFonts w:hint="eastAsia" w:ascii="Times New Roman" w:hAnsi="Times New Roman"/>
          <w:b/>
          <w:bCs/>
          <w:szCs w:val="21"/>
        </w:rPr>
        <w:t>在线解密。</w:t>
      </w:r>
      <w:r>
        <w:rPr>
          <w:rFonts w:hint="eastAsia" w:ascii="Times New Roman" w:hAnsi="Times New Roman"/>
          <w:szCs w:val="21"/>
        </w:rPr>
        <w:t>在线解密电子投标文件时间</w:t>
      </w:r>
      <w:r>
        <w:rPr>
          <w:rFonts w:hint="eastAsia" w:ascii="Times New Roman" w:hAnsi="Times New Roman"/>
          <w:b/>
          <w:bCs/>
          <w:szCs w:val="21"/>
        </w:rPr>
        <w:t>为开标时间起半个小时内；</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3、各投标人的资格由采购单位人员负责初审；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4、评标委员会对符合性和商务技术响应文件进行评审；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5、在系统上公开资格和商务技术评审结果；</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6、在系统上公开报价开标情况；</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7、评标委员会对报价情况进行评审；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8、在系统上公布评审结果。</w:t>
      </w:r>
    </w:p>
    <w:p>
      <w:pPr>
        <w:pStyle w:val="10"/>
        <w:ind w:firstLine="210"/>
      </w:pP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特别说明：政采云公司如对电子化开标及评审程序有调整的，按调整后的程序操作。</w:t>
      </w:r>
    </w:p>
    <w:p>
      <w:pPr>
        <w:pStyle w:val="51"/>
        <w:snapToGrid w:val="0"/>
        <w:spacing w:line="360" w:lineRule="auto"/>
        <w:ind w:right="-87" w:firstLine="3483" w:firstLineChars="1239"/>
        <w:outlineLvl w:val="1"/>
        <w:rPr>
          <w:rFonts w:hAnsi="宋体"/>
          <w:b/>
          <w:sz w:val="28"/>
        </w:rPr>
      </w:pPr>
    </w:p>
    <w:p>
      <w:pPr>
        <w:pStyle w:val="51"/>
        <w:snapToGrid w:val="0"/>
        <w:spacing w:line="360" w:lineRule="auto"/>
        <w:ind w:right="-87" w:firstLine="3483" w:firstLineChars="1239"/>
        <w:outlineLvl w:val="1"/>
        <w:rPr>
          <w:rFonts w:hAnsi="宋体"/>
          <w:b/>
          <w:sz w:val="28"/>
        </w:rPr>
      </w:pPr>
      <w:r>
        <w:rPr>
          <w:rFonts w:hint="eastAsia" w:hAnsi="宋体"/>
          <w:b/>
          <w:sz w:val="28"/>
        </w:rPr>
        <w:t>五、评标</w:t>
      </w:r>
    </w:p>
    <w:p>
      <w:pPr>
        <w:pStyle w:val="51"/>
        <w:snapToGrid w:val="0"/>
        <w:spacing w:line="360" w:lineRule="auto"/>
        <w:ind w:firstLine="422" w:firstLineChars="200"/>
        <w:outlineLvl w:val="1"/>
        <w:rPr>
          <w:rFonts w:hAnsi="宋体"/>
          <w:b/>
          <w:szCs w:val="21"/>
        </w:rPr>
      </w:pPr>
      <w:r>
        <w:rPr>
          <w:rFonts w:hint="eastAsia" w:hAnsi="宋体"/>
          <w:b/>
          <w:szCs w:val="21"/>
        </w:rPr>
        <w:t>（一）组建评标委员会</w:t>
      </w:r>
    </w:p>
    <w:p>
      <w:pPr>
        <w:pStyle w:val="42"/>
        <w:snapToGrid w:val="0"/>
        <w:spacing w:before="120" w:after="120" w:line="360" w:lineRule="auto"/>
        <w:ind w:right="-87" w:firstLine="420" w:firstLineChars="200"/>
        <w:rPr>
          <w:rFonts w:hAnsi="宋体" w:eastAsia="宋体" w:cs="宋体"/>
          <w:sz w:val="21"/>
        </w:rPr>
      </w:pPr>
      <w:r>
        <w:rPr>
          <w:rFonts w:hint="eastAsia" w:hAnsi="宋体" w:eastAsia="宋体" w:cs="宋体"/>
          <w:sz w:val="21"/>
        </w:rPr>
        <w:t>本项目评标委员会由政府采购评审专家和采购人代表，共</w:t>
      </w:r>
      <w:r>
        <w:rPr>
          <w:rFonts w:hint="eastAsia" w:hAnsi="宋体" w:eastAsia="宋体" w:cs="宋体"/>
          <w:sz w:val="21"/>
          <w:u w:val="single"/>
        </w:rPr>
        <w:t>5</w:t>
      </w:r>
      <w:r>
        <w:rPr>
          <w:rFonts w:hint="eastAsia" w:hAnsi="宋体" w:eastAsia="宋体" w:cs="宋体"/>
          <w:sz w:val="21"/>
        </w:rPr>
        <w:t>人组成。</w:t>
      </w:r>
    </w:p>
    <w:p>
      <w:pPr>
        <w:pStyle w:val="51"/>
        <w:snapToGrid w:val="0"/>
        <w:spacing w:line="360" w:lineRule="auto"/>
        <w:ind w:firstLine="422" w:firstLineChars="200"/>
        <w:outlineLvl w:val="1"/>
        <w:rPr>
          <w:rFonts w:hAnsi="宋体"/>
          <w:b/>
          <w:szCs w:val="21"/>
        </w:rPr>
      </w:pPr>
      <w:r>
        <w:rPr>
          <w:rFonts w:hint="eastAsia" w:hAnsi="宋体"/>
          <w:b/>
          <w:szCs w:val="21"/>
        </w:rPr>
        <w:t>（二）评标程序</w:t>
      </w:r>
    </w:p>
    <w:p>
      <w:pPr>
        <w:snapToGrid w:val="0"/>
        <w:spacing w:line="360" w:lineRule="auto"/>
        <w:ind w:right="-87"/>
        <w:rPr>
          <w:szCs w:val="21"/>
        </w:rPr>
      </w:pPr>
      <w:r>
        <w:rPr>
          <w:rFonts w:hint="eastAsia" w:ascii="宋体" w:hAnsi="宋体"/>
          <w:b/>
          <w:szCs w:val="21"/>
        </w:rPr>
        <w:t>1.</w:t>
      </w:r>
      <w:r>
        <w:rPr>
          <w:b/>
          <w:szCs w:val="21"/>
        </w:rPr>
        <w:t>投标文件初审。</w:t>
      </w:r>
    </w:p>
    <w:p>
      <w:pPr>
        <w:snapToGrid w:val="0"/>
        <w:spacing w:line="360" w:lineRule="auto"/>
        <w:ind w:right="-87" w:firstLine="420" w:firstLineChars="200"/>
        <w:rPr>
          <w:szCs w:val="21"/>
        </w:rPr>
      </w:pPr>
      <w:r>
        <w:rPr>
          <w:szCs w:val="21"/>
        </w:rPr>
        <w:t>初审分为资格性检查和符合性检查</w:t>
      </w:r>
      <w:r>
        <w:rPr>
          <w:rFonts w:hint="eastAsia"/>
          <w:szCs w:val="21"/>
        </w:rPr>
        <w:t>，</w:t>
      </w:r>
      <w:r>
        <w:rPr>
          <w:rFonts w:hint="eastAsia" w:hAnsi="宋体" w:cs="宋体"/>
          <w:szCs w:val="21"/>
        </w:rPr>
        <w:t>代理机构对投标人的资格进行审查。</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1.1</w:t>
      </w:r>
      <w:r>
        <w:rPr>
          <w:rFonts w:ascii="Times New Roman" w:hAnsi="Times New Roman"/>
          <w:szCs w:val="21"/>
        </w:rPr>
        <w:t>资格性检查。依据法律法规和</w:t>
      </w:r>
      <w:r>
        <w:rPr>
          <w:rFonts w:hint="eastAsia" w:ascii="Times New Roman" w:hAnsi="Times New Roman"/>
          <w:szCs w:val="21"/>
        </w:rPr>
        <w:t>采购文件</w:t>
      </w:r>
      <w:r>
        <w:rPr>
          <w:rFonts w:ascii="Times New Roman" w:hAnsi="Times New Roman"/>
          <w:szCs w:val="21"/>
        </w:rPr>
        <w:t>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1.2</w:t>
      </w:r>
      <w:r>
        <w:rPr>
          <w:rFonts w:ascii="Times New Roman" w:hAnsi="Times New Roman"/>
          <w:szCs w:val="21"/>
        </w:rPr>
        <w:t>符合性检查。依据</w:t>
      </w:r>
      <w:r>
        <w:rPr>
          <w:rFonts w:hint="eastAsia" w:ascii="Times New Roman" w:hAnsi="Times New Roman"/>
          <w:szCs w:val="21"/>
        </w:rPr>
        <w:t>采购文件</w:t>
      </w:r>
      <w:r>
        <w:rPr>
          <w:rFonts w:ascii="Times New Roman" w:hAnsi="Times New Roman"/>
          <w:szCs w:val="21"/>
        </w:rPr>
        <w:t>的规定，从投标文件的有效性、完整性和对</w:t>
      </w:r>
      <w:r>
        <w:rPr>
          <w:rFonts w:hint="eastAsia" w:ascii="Times New Roman" w:hAnsi="Times New Roman"/>
          <w:szCs w:val="21"/>
        </w:rPr>
        <w:t>采购文件</w:t>
      </w:r>
      <w:r>
        <w:rPr>
          <w:rFonts w:ascii="Times New Roman" w:hAnsi="Times New Roman"/>
          <w:szCs w:val="21"/>
        </w:rPr>
        <w:t>的响应程度进行审查，以确定是否对</w:t>
      </w:r>
      <w:r>
        <w:rPr>
          <w:rFonts w:hint="eastAsia" w:ascii="Times New Roman" w:hAnsi="Times New Roman"/>
          <w:szCs w:val="21"/>
        </w:rPr>
        <w:t>采购文件</w:t>
      </w:r>
      <w:r>
        <w:rPr>
          <w:rFonts w:ascii="Times New Roman" w:hAnsi="Times New Roman"/>
          <w:szCs w:val="21"/>
        </w:rPr>
        <w:t>的实质性要求作出响应。</w:t>
      </w:r>
    </w:p>
    <w:p>
      <w:pPr>
        <w:snapToGrid w:val="0"/>
        <w:spacing w:line="360" w:lineRule="auto"/>
        <w:ind w:right="-87"/>
        <w:rPr>
          <w:rFonts w:ascii="宋体" w:hAnsi="宋体"/>
          <w:b/>
          <w:sz w:val="24"/>
        </w:rPr>
      </w:pPr>
      <w:r>
        <w:rPr>
          <w:rFonts w:hint="eastAsia" w:ascii="宋体" w:hAnsi="宋体"/>
          <w:b/>
          <w:sz w:val="24"/>
        </w:rPr>
        <w:t>2</w:t>
      </w:r>
      <w:r>
        <w:rPr>
          <w:rFonts w:hint="eastAsia" w:ascii="宋体" w:hAnsi="宋体"/>
          <w:b/>
          <w:szCs w:val="21"/>
        </w:rPr>
        <w:t>.实质审查</w:t>
      </w:r>
    </w:p>
    <w:p>
      <w:pPr>
        <w:spacing w:line="360" w:lineRule="auto"/>
        <w:ind w:firstLine="420" w:firstLineChars="200"/>
        <w:rPr>
          <w:rFonts w:ascii="宋体" w:hAnsi="宋体"/>
          <w:kern w:val="0"/>
          <w:szCs w:val="21"/>
        </w:rPr>
      </w:pPr>
      <w:r>
        <w:rPr>
          <w:rFonts w:hint="eastAsia" w:ascii="宋体" w:hAnsi="宋体"/>
          <w:kern w:val="0"/>
          <w:szCs w:val="21"/>
        </w:rPr>
        <w:t>（1）评标委员会审查投标文件的实质性内容是否符合采购文件的实质性要求。</w:t>
      </w:r>
    </w:p>
    <w:p>
      <w:pPr>
        <w:spacing w:line="360" w:lineRule="auto"/>
        <w:ind w:firstLine="420" w:firstLineChars="200"/>
        <w:rPr>
          <w:rFonts w:ascii="宋体" w:hAnsi="宋体"/>
          <w:kern w:val="0"/>
          <w:szCs w:val="21"/>
        </w:rPr>
      </w:pPr>
      <w:r>
        <w:rPr>
          <w:rFonts w:hint="eastAsia" w:ascii="宋体" w:hAnsi="宋体"/>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hAnsi="宋体"/>
          <w:kern w:val="0"/>
          <w:szCs w:val="21"/>
        </w:rPr>
      </w:pPr>
      <w:r>
        <w:rPr>
          <w:rFonts w:hint="eastAsia" w:ascii="宋体" w:hAnsi="宋体"/>
          <w:kern w:val="0"/>
          <w:szCs w:val="21"/>
        </w:rPr>
        <w:t>（3）评审小组商务、技术方案响应性评定；</w:t>
      </w:r>
    </w:p>
    <w:p>
      <w:pPr>
        <w:spacing w:line="360" w:lineRule="auto"/>
        <w:ind w:firstLine="420" w:firstLineChars="200"/>
        <w:rPr>
          <w:rFonts w:ascii="宋体" w:hAnsi="宋体"/>
          <w:kern w:val="0"/>
          <w:szCs w:val="21"/>
        </w:rPr>
      </w:pPr>
      <w:r>
        <w:rPr>
          <w:rFonts w:hint="eastAsia" w:ascii="宋体" w:hAnsi="宋体"/>
          <w:kern w:val="0"/>
          <w:szCs w:val="21"/>
        </w:rPr>
        <w:t>（4）各投标人的技术得分为所有评委的有效评分的算术平均数，由指定专人进行计算复核。</w:t>
      </w:r>
    </w:p>
    <w:p>
      <w:pPr>
        <w:spacing w:line="360" w:lineRule="auto"/>
        <w:ind w:firstLine="420" w:firstLineChars="200"/>
        <w:rPr>
          <w:rFonts w:ascii="宋体" w:hAnsi="宋体"/>
          <w:b/>
          <w:szCs w:val="21"/>
        </w:rPr>
      </w:pPr>
      <w:r>
        <w:rPr>
          <w:rFonts w:hint="eastAsia" w:ascii="宋体" w:hAnsi="宋体"/>
          <w:kern w:val="0"/>
          <w:szCs w:val="21"/>
        </w:rPr>
        <w:t>（5）评标委员会完成评标后，评委对各部分得分汇总，计算出本项目综合评估分。评标委员会按</w:t>
      </w:r>
      <w:r>
        <w:rPr>
          <w:rFonts w:hint="eastAsia" w:ascii="宋体" w:hAnsi="宋体"/>
          <w:szCs w:val="21"/>
        </w:rPr>
        <w:t>评标原则通过电子系统向采购人及采购代理机构提交评审报告。</w:t>
      </w:r>
    </w:p>
    <w:p>
      <w:pPr>
        <w:spacing w:line="360" w:lineRule="auto"/>
        <w:ind w:firstLine="422" w:firstLineChars="200"/>
        <w:rPr>
          <w:rFonts w:ascii="宋体" w:hAnsi="宋体"/>
          <w:b/>
          <w:szCs w:val="21"/>
        </w:rPr>
      </w:pPr>
      <w:r>
        <w:rPr>
          <w:rFonts w:hint="eastAsia" w:ascii="宋体" w:hAnsi="宋体"/>
          <w:b/>
          <w:szCs w:val="21"/>
        </w:rPr>
        <w:t>（三）澄清问题的形式</w:t>
      </w:r>
    </w:p>
    <w:p>
      <w:pPr>
        <w:snapToGrid w:val="0"/>
        <w:spacing w:line="360" w:lineRule="auto"/>
        <w:ind w:left="228" w:right="-87" w:firstLine="420" w:firstLineChars="200"/>
        <w:rPr>
          <w:rFonts w:ascii="宋体" w:hAnsi="宋体"/>
        </w:rPr>
      </w:pPr>
      <w:r>
        <w:rPr>
          <w:rFonts w:hint="eastAsia" w:ascii="宋体" w:hAnsi="宋体"/>
        </w:rPr>
        <w:t>对投标文件中含义不明确、同类问题表述不一致或者有明显文字和计算错误的内容，评标委员会可要求投标人作出必要的澄清、说明或者纠正。投标人与评审小组</w:t>
      </w:r>
      <w:r>
        <w:rPr>
          <w:rFonts w:hint="eastAsia" w:hAnsi="宋体"/>
          <w:szCs w:val="21"/>
        </w:rPr>
        <w:t>通过电子交易平台交换数据电文的形式进行</w:t>
      </w:r>
      <w:r>
        <w:rPr>
          <w:rFonts w:hint="eastAsia" w:ascii="宋体" w:hAnsi="宋体"/>
        </w:rPr>
        <w:t>，给予投标人提交澄清说明或补正的时间不少于半个小时，投标人已经明确表示澄清说明或补正完毕的除外。不得超出投标文件的范围或者改变投标文件的实质性内容。</w:t>
      </w:r>
    </w:p>
    <w:p>
      <w:pPr>
        <w:pStyle w:val="42"/>
        <w:snapToGrid w:val="0"/>
        <w:spacing w:before="120" w:after="120" w:line="360" w:lineRule="auto"/>
        <w:ind w:right="-87" w:firstLine="422" w:firstLineChars="200"/>
        <w:rPr>
          <w:rFonts w:hAnsi="宋体" w:eastAsia="宋体"/>
          <w:b/>
          <w:sz w:val="21"/>
        </w:rPr>
      </w:pPr>
      <w:r>
        <w:rPr>
          <w:rFonts w:hint="eastAsia" w:hAnsi="宋体" w:eastAsia="宋体"/>
          <w:b/>
          <w:sz w:val="21"/>
        </w:rPr>
        <w:t>（四）错误修正</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1、如果用数字表示的数额与文字表示的数额不一致的，以文字数额为准；</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2、当单价和数量的乘积与合价不一致时，通常以标出的单价为准。除非评审小组认为单价属明显的小数点错误，此时应以标出的合价为准，并修改单价。</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3、按上述修改错误的方法，调整投标文件中的投标报价文件，经投标人确认后，调整后的投标报价对投标人起约束作用。</w:t>
      </w:r>
    </w:p>
    <w:p>
      <w:pPr>
        <w:pStyle w:val="14"/>
        <w:snapToGrid w:val="0"/>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42"/>
        <w:snapToGrid w:val="0"/>
        <w:spacing w:before="120" w:after="120" w:line="360" w:lineRule="auto"/>
        <w:ind w:right="-87" w:firstLine="422" w:firstLineChars="200"/>
        <w:jc w:val="left"/>
        <w:rPr>
          <w:rFonts w:hAnsi="宋体" w:eastAsia="宋体"/>
          <w:b/>
          <w:sz w:val="21"/>
        </w:rPr>
      </w:pPr>
      <w:r>
        <w:rPr>
          <w:rFonts w:hint="eastAsia" w:hAnsi="宋体" w:eastAsia="宋体"/>
          <w:b/>
          <w:sz w:val="21"/>
        </w:rPr>
        <w:t>（五）评标原则和评标办法</w:t>
      </w:r>
    </w:p>
    <w:p>
      <w:pPr>
        <w:pStyle w:val="14"/>
        <w:snapToGrid w:val="0"/>
        <w:spacing w:line="360" w:lineRule="auto"/>
        <w:ind w:firstLine="420" w:firstLineChars="200"/>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360" w:lineRule="auto"/>
        <w:ind w:firstLine="520" w:firstLineChars="248"/>
        <w:rPr>
          <w:rFonts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widowControl/>
        <w:snapToGrid w:val="0"/>
        <w:spacing w:line="360" w:lineRule="auto"/>
        <w:ind w:right="-87" w:firstLine="422" w:firstLineChars="200"/>
        <w:rPr>
          <w:rFonts w:ascii="宋体" w:hAnsi="宋体"/>
          <w:b/>
          <w:szCs w:val="21"/>
        </w:rPr>
      </w:pPr>
      <w:r>
        <w:rPr>
          <w:rFonts w:hint="eastAsia" w:ascii="宋体" w:hAnsi="宋体"/>
          <w:b/>
          <w:szCs w:val="21"/>
        </w:rPr>
        <w:t>（六）评标过程的监控</w:t>
      </w:r>
    </w:p>
    <w:p>
      <w:pPr>
        <w:pStyle w:val="42"/>
        <w:snapToGrid w:val="0"/>
        <w:spacing w:before="120" w:after="120" w:line="360" w:lineRule="auto"/>
        <w:ind w:right="-87" w:firstLine="420" w:firstLineChars="200"/>
        <w:rPr>
          <w:rFonts w:hAnsi="宋体" w:eastAsia="宋体"/>
          <w:b/>
          <w:sz w:val="28"/>
        </w:rPr>
      </w:pPr>
      <w:r>
        <w:rPr>
          <w:rFonts w:hint="eastAsia" w:hAnsi="宋体" w:eastAsia="宋体" w:cs="宋体"/>
          <w:sz w:val="21"/>
        </w:rPr>
        <w:t>本项目评标过程实行全程录音、录像监控。</w:t>
      </w:r>
    </w:p>
    <w:p>
      <w:pPr>
        <w:pStyle w:val="51"/>
        <w:snapToGrid w:val="0"/>
        <w:spacing w:line="360" w:lineRule="auto"/>
        <w:ind w:right="-87" w:firstLine="3483" w:firstLineChars="1239"/>
        <w:outlineLvl w:val="1"/>
        <w:rPr>
          <w:rFonts w:hAnsi="宋体"/>
          <w:b/>
          <w:sz w:val="28"/>
        </w:rPr>
      </w:pPr>
      <w:r>
        <w:rPr>
          <w:rFonts w:hint="eastAsia" w:hAnsi="宋体"/>
          <w:b/>
          <w:sz w:val="28"/>
        </w:rPr>
        <w:t>六、定标</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3.采购人依法确定中标人后2个工作日内，采购代理机构以书面形式发出《中标通知书》,并同时在相关网站上发布中标公告。</w:t>
      </w:r>
    </w:p>
    <w:p>
      <w:pPr>
        <w:pStyle w:val="14"/>
        <w:snapToGrid w:val="0"/>
        <w:spacing w:line="360" w:lineRule="auto"/>
        <w:ind w:firstLine="415" w:firstLineChars="198"/>
        <w:rPr>
          <w:rFonts w:hAnsi="宋体"/>
          <w:b/>
          <w:sz w:val="28"/>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51"/>
        <w:snapToGrid w:val="0"/>
        <w:spacing w:line="360" w:lineRule="auto"/>
        <w:ind w:right="-87" w:firstLine="3483" w:firstLineChars="1239"/>
        <w:outlineLvl w:val="1"/>
        <w:rPr>
          <w:rFonts w:hAnsi="宋体"/>
          <w:b/>
          <w:szCs w:val="21"/>
        </w:rPr>
      </w:pPr>
      <w:r>
        <w:rPr>
          <w:rFonts w:hint="eastAsia" w:hAnsi="宋体"/>
          <w:b/>
          <w:sz w:val="28"/>
        </w:rPr>
        <w:t>七、合同授予</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（一）签订合同</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2、中标人拖延、拒签合同的，将上报监管部门并取消中标资格。</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3、中标人和采购人签订合同，按合同规定的供货时间供货并安装调试完毕。</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4"/>
        <w:snapToGrid w:val="0"/>
        <w:spacing w:line="360" w:lineRule="auto"/>
        <w:ind w:firstLine="415" w:firstLineChars="198"/>
        <w:rPr>
          <w:rFonts w:hAnsi="宋体" w:eastAsia="宋体" w:cs="宋体"/>
          <w:sz w:val="21"/>
          <w:szCs w:val="21"/>
        </w:rPr>
      </w:pPr>
      <w:r>
        <w:rPr>
          <w:rFonts w:hint="eastAsia" w:hAnsi="宋体" w:eastAsia="宋体" w:cs="宋体"/>
          <w:sz w:val="21"/>
          <w:szCs w:val="21"/>
        </w:rPr>
        <w:t>（二）合同公告</w:t>
      </w:r>
    </w:p>
    <w:p>
      <w:pPr>
        <w:pStyle w:val="14"/>
        <w:snapToGrid w:val="0"/>
        <w:spacing w:line="360" w:lineRule="auto"/>
        <w:ind w:firstLine="415" w:firstLineChars="198"/>
        <w:rPr>
          <w:rFonts w:hAnsi="宋体" w:eastAsia="宋体"/>
          <w:sz w:val="21"/>
        </w:rPr>
      </w:pPr>
      <w:r>
        <w:rPr>
          <w:rFonts w:hint="eastAsia" w:hAnsi="宋体"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42"/>
        <w:snapToGrid w:val="0"/>
        <w:spacing w:before="120" w:after="120" w:line="360" w:lineRule="auto"/>
        <w:ind w:right="-87" w:firstLine="3373" w:firstLineChars="1200"/>
        <w:outlineLvl w:val="1"/>
        <w:rPr>
          <w:rFonts w:hAnsi="宋体"/>
          <w:b/>
          <w:sz w:val="28"/>
        </w:rPr>
      </w:pPr>
      <w:r>
        <w:rPr>
          <w:rFonts w:hint="eastAsia" w:hAnsi="宋体"/>
          <w:b/>
          <w:sz w:val="28"/>
        </w:rPr>
        <w:t>八、招标代理费</w:t>
      </w:r>
    </w:p>
    <w:p>
      <w:pPr>
        <w:pStyle w:val="42"/>
        <w:snapToGrid w:val="0"/>
        <w:spacing w:before="120" w:after="120" w:line="360" w:lineRule="auto"/>
        <w:ind w:firstLine="413" w:firstLineChars="196"/>
        <w:rPr>
          <w:rFonts w:hAnsi="宋体" w:eastAsia="宋体"/>
          <w:b/>
          <w:sz w:val="21"/>
        </w:rPr>
      </w:pPr>
      <w:r>
        <w:rPr>
          <w:rFonts w:hint="eastAsia" w:hAnsi="宋体" w:eastAsia="宋体"/>
          <w:b/>
          <w:sz w:val="21"/>
        </w:rPr>
        <w:t>（一）招标代理服务费</w:t>
      </w:r>
    </w:p>
    <w:p>
      <w:pPr>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本项目的招标代理费由</w:t>
      </w:r>
      <w:r>
        <w:rPr>
          <w:rFonts w:ascii="宋体" w:hAnsi="宋体"/>
          <w:snapToGrid w:val="0"/>
          <w:kern w:val="0"/>
          <w:szCs w:val="21"/>
        </w:rPr>
        <w:t>采购</w:t>
      </w:r>
      <w:r>
        <w:rPr>
          <w:rFonts w:hint="eastAsia" w:ascii="宋体" w:hAnsi="宋体"/>
          <w:snapToGrid w:val="0"/>
          <w:kern w:val="0"/>
          <w:szCs w:val="21"/>
        </w:rPr>
        <w:t>人支付。</w:t>
      </w:r>
    </w:p>
    <w:p>
      <w:pPr>
        <w:pStyle w:val="42"/>
        <w:snapToGrid w:val="0"/>
        <w:spacing w:before="120" w:after="120" w:line="360" w:lineRule="auto"/>
        <w:ind w:right="-506" w:rightChars="-241"/>
        <w:jc w:val="center"/>
        <w:rPr>
          <w:rFonts w:hAnsi="宋体" w:eastAsia="宋体"/>
          <w:b/>
          <w:sz w:val="28"/>
          <w:szCs w:val="28"/>
        </w:rPr>
      </w:pPr>
      <w:bookmarkStart w:id="5" w:name="_Toc480187579"/>
      <w:r>
        <w:rPr>
          <w:rFonts w:hint="eastAsia" w:hAnsi="宋体" w:eastAsia="宋体"/>
          <w:b/>
          <w:sz w:val="28"/>
          <w:szCs w:val="28"/>
        </w:rPr>
        <w:t>九、解释权</w:t>
      </w:r>
      <w:bookmarkEnd w:id="5"/>
    </w:p>
    <w:p>
      <w:pPr>
        <w:spacing w:line="360" w:lineRule="auto"/>
        <w:ind w:firstLine="420"/>
        <w:rPr>
          <w:rFonts w:ascii="宋体" w:hAnsi="宋体"/>
          <w:b/>
          <w:bCs/>
          <w:shd w:val="clear" w:color="auto" w:fill="FFFFFF"/>
        </w:rPr>
      </w:pPr>
      <w:r>
        <w:rPr>
          <w:rFonts w:hint="eastAsia" w:ascii="宋体" w:hAnsi="宋体"/>
          <w:b/>
          <w:bCs/>
          <w:shd w:val="clear" w:color="auto" w:fill="FFFFFF"/>
        </w:rPr>
        <w:t>1、解释权</w:t>
      </w:r>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凡涉及本次采购文件的解释权均属于舟山建银工程造价审查中心有限公司。</w:t>
      </w:r>
    </w:p>
    <w:p>
      <w:pPr>
        <w:pStyle w:val="42"/>
        <w:snapToGrid w:val="0"/>
        <w:spacing w:before="120" w:after="120" w:line="360" w:lineRule="auto"/>
        <w:ind w:right="-87"/>
        <w:sectPr>
          <w:headerReference r:id="rId4" w:type="default"/>
          <w:footerReference r:id="rId5" w:type="default"/>
          <w:type w:val="continuous"/>
          <w:pgSz w:w="11906" w:h="16838"/>
          <w:pgMar w:top="1304" w:right="1531" w:bottom="1304" w:left="1531" w:header="1304" w:footer="1304" w:gutter="0"/>
          <w:pgNumType w:start="1"/>
          <w:cols w:space="0" w:num="1"/>
        </w:sectPr>
      </w:pPr>
    </w:p>
    <w:p>
      <w:pPr>
        <w:snapToGrid w:val="0"/>
        <w:spacing w:line="460" w:lineRule="atLeast"/>
        <w:jc w:val="center"/>
        <w:rPr>
          <w:rFonts w:ascii="宋体" w:hAnsi="宋体" w:cs="宋体"/>
          <w:b/>
          <w:szCs w:val="21"/>
        </w:rPr>
      </w:pPr>
      <w:r>
        <w:rPr>
          <w:rFonts w:hint="eastAsia" w:ascii="宋体" w:hAnsi="宋体" w:cs="宋体"/>
          <w:b/>
          <w:szCs w:val="21"/>
        </w:rPr>
        <w:t>信贷政策</w:t>
      </w:r>
    </w:p>
    <w:p>
      <w:pPr>
        <w:snapToGrid w:val="0"/>
        <w:spacing w:line="360" w:lineRule="exact"/>
        <w:ind w:firstLine="420" w:firstLineChars="200"/>
        <w:jc w:val="left"/>
        <w:outlineLvl w:val="1"/>
        <w:rPr>
          <w:rFonts w:ascii="宋体" w:hAnsi="宋体"/>
          <w:color w:val="000000"/>
          <w:szCs w:val="21"/>
        </w:rPr>
      </w:pPr>
      <w:r>
        <w:rPr>
          <w:rFonts w:hint="eastAsia" w:ascii="宋体" w:hAnsi="宋体" w:cs="宋体"/>
          <w:bCs/>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9"/>
        <w:tblW w:w="9802"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
        <w:gridCol w:w="1636"/>
        <w:gridCol w:w="3975"/>
        <w:gridCol w:w="2220"/>
        <w:gridCol w:w="1928"/>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 w:type="dxa"/>
        </w:trPr>
        <w:tc>
          <w:tcPr>
            <w:tcW w:w="9782" w:type="dxa"/>
            <w:gridSpan w:val="5"/>
            <w:tcBorders>
              <w:top w:val="single" w:color="auto" w:sz="4" w:space="0"/>
              <w:left w:val="single" w:color="auto" w:sz="4" w:space="0"/>
              <w:bottom w:val="single" w:color="auto" w:sz="4" w:space="0"/>
              <w:right w:val="single" w:color="auto" w:sz="4" w:space="0"/>
            </w:tcBorders>
          </w:tcPr>
          <w:p>
            <w:pPr>
              <w:ind w:firstLine="555"/>
              <w:rPr>
                <w:rFonts w:ascii="宋体" w:hAnsi="宋体" w:cs="宋体"/>
                <w:bCs/>
                <w:szCs w:val="21"/>
              </w:rPr>
            </w:pPr>
            <w:r>
              <w:rPr>
                <w:rFonts w:hint="eastAsia" w:ascii="宋体" w:hAnsi="宋体" w:cs="宋体"/>
                <w:bCs/>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25" w:hRule="atLeast"/>
          <w:jc w:val="center"/>
        </w:trPr>
        <w:tc>
          <w:tcPr>
            <w:tcW w:w="1656" w:type="dxa"/>
            <w:gridSpan w:val="2"/>
            <w:vAlign w:val="center"/>
          </w:tcPr>
          <w:p>
            <w:pPr>
              <w:spacing w:line="400" w:lineRule="exact"/>
              <w:contextualSpacing/>
              <w:jc w:val="center"/>
              <w:rPr>
                <w:rFonts w:ascii="宋体" w:hAnsi="宋体" w:cs="宋体"/>
                <w:bCs/>
                <w:szCs w:val="21"/>
              </w:rPr>
            </w:pPr>
            <w:r>
              <w:rPr>
                <w:rFonts w:hint="eastAsia" w:ascii="宋体" w:hAnsi="宋体" w:cs="宋体"/>
                <w:bCs/>
                <w:szCs w:val="21"/>
              </w:rPr>
              <w:t>银行名称</w:t>
            </w:r>
          </w:p>
        </w:tc>
        <w:tc>
          <w:tcPr>
            <w:tcW w:w="3975" w:type="dxa"/>
            <w:vAlign w:val="center"/>
          </w:tcPr>
          <w:p>
            <w:pPr>
              <w:spacing w:line="400" w:lineRule="exact"/>
              <w:contextualSpacing/>
              <w:jc w:val="center"/>
              <w:rPr>
                <w:rFonts w:ascii="宋体" w:hAnsi="宋体" w:cs="宋体"/>
                <w:bCs/>
                <w:szCs w:val="21"/>
              </w:rPr>
            </w:pPr>
            <w:r>
              <w:rPr>
                <w:rFonts w:hint="eastAsia" w:ascii="宋体" w:hAnsi="宋体" w:cs="宋体"/>
                <w:bCs/>
                <w:szCs w:val="21"/>
              </w:rPr>
              <w:t>各银行介绍的产品特点</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经办人</w:t>
            </w:r>
          </w:p>
        </w:tc>
        <w:tc>
          <w:tcPr>
            <w:tcW w:w="1928" w:type="dxa"/>
            <w:vAlign w:val="center"/>
          </w:tcPr>
          <w:p>
            <w:pPr>
              <w:spacing w:line="400" w:lineRule="exact"/>
              <w:contextualSpacing/>
              <w:jc w:val="center"/>
              <w:rPr>
                <w:rFonts w:ascii="宋体" w:hAnsi="宋体" w:cs="宋体"/>
                <w:bCs/>
                <w:szCs w:val="21"/>
              </w:rPr>
            </w:pPr>
            <w:r>
              <w:rPr>
                <w:rFonts w:hint="eastAsia" w:ascii="宋体" w:hAnsi="宋体" w:cs="宋体"/>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中国工商银行股份有限公司舟山分行</w:t>
            </w:r>
          </w:p>
        </w:tc>
        <w:tc>
          <w:tcPr>
            <w:tcW w:w="3975" w:type="dxa"/>
          </w:tcPr>
          <w:p>
            <w:pPr>
              <w:numPr>
                <w:ilvl w:val="0"/>
                <w:numId w:val="9"/>
              </w:numPr>
              <w:spacing w:line="400" w:lineRule="exact"/>
              <w:contextualSpacing/>
              <w:rPr>
                <w:rFonts w:ascii="宋体" w:hAnsi="宋体" w:cs="宋体"/>
                <w:bCs/>
                <w:szCs w:val="21"/>
              </w:rPr>
            </w:pPr>
            <w:r>
              <w:rPr>
                <w:rFonts w:hint="eastAsia" w:ascii="宋体" w:hAnsi="宋体" w:cs="宋体"/>
                <w:bCs/>
                <w:szCs w:val="21"/>
              </w:rPr>
              <w:t>融资额度高，融资金额最高可至订单金额70%，线上申请，随借随还。2.融资利率低，最低可至当期LPR利率。</w:t>
            </w:r>
          </w:p>
          <w:p>
            <w:pPr>
              <w:spacing w:line="400" w:lineRule="exact"/>
              <w:contextualSpacing/>
              <w:rPr>
                <w:rFonts w:ascii="宋体" w:hAnsi="宋体" w:cs="宋体"/>
                <w:bCs/>
                <w:szCs w:val="21"/>
              </w:rPr>
            </w:pPr>
            <w:r>
              <w:rPr>
                <w:rFonts w:hint="eastAsia" w:ascii="宋体" w:hAnsi="宋体" w:cs="宋体"/>
                <w:bCs/>
                <w:szCs w:val="21"/>
              </w:rPr>
              <w:t>3.担保方式灵活，以政府采购合同进行融资，无需另外抵押。</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柳超颖</w:t>
            </w:r>
          </w:p>
        </w:tc>
        <w:tc>
          <w:tcPr>
            <w:tcW w:w="1928" w:type="dxa"/>
            <w:vAlign w:val="center"/>
          </w:tcPr>
          <w:p>
            <w:pPr>
              <w:spacing w:line="400" w:lineRule="exact"/>
              <w:contextualSpacing/>
              <w:rPr>
                <w:rFonts w:ascii="宋体" w:hAnsi="宋体" w:cs="宋体"/>
                <w:bCs/>
                <w:szCs w:val="21"/>
              </w:rPr>
            </w:pPr>
            <w:r>
              <w:rPr>
                <w:rFonts w:hint="eastAsia" w:ascii="宋体" w:hAnsi="宋体" w:cs="宋体"/>
                <w:bCs/>
                <w:szCs w:val="21"/>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416" w:hRule="atLeast"/>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中国建设银行股份有限公司舟山分行</w:t>
            </w:r>
          </w:p>
        </w:tc>
        <w:tc>
          <w:tcPr>
            <w:tcW w:w="3975" w:type="dxa"/>
          </w:tcPr>
          <w:p>
            <w:pPr>
              <w:numPr>
                <w:ilvl w:val="0"/>
                <w:numId w:val="10"/>
              </w:numPr>
              <w:spacing w:line="400" w:lineRule="exact"/>
              <w:contextualSpacing/>
              <w:rPr>
                <w:rFonts w:ascii="宋体" w:hAnsi="宋体" w:cs="宋体"/>
                <w:bCs/>
                <w:szCs w:val="21"/>
              </w:rPr>
            </w:pPr>
            <w:r>
              <w:rPr>
                <w:rFonts w:hint="eastAsia" w:ascii="宋体" w:hAnsi="宋体" w:cs="宋体"/>
                <w:bCs/>
                <w:szCs w:val="21"/>
              </w:rPr>
              <w:t>快速便捷：全流程线上操作，通过浙江省政府采购网数据审核信用额度，建行供应链平台快速放款。</w:t>
            </w:r>
          </w:p>
          <w:p>
            <w:pPr>
              <w:numPr>
                <w:ilvl w:val="0"/>
                <w:numId w:val="10"/>
              </w:numPr>
              <w:spacing w:line="400" w:lineRule="exact"/>
              <w:contextualSpacing/>
              <w:rPr>
                <w:rFonts w:ascii="宋体" w:hAnsi="宋体" w:cs="宋体"/>
                <w:bCs/>
                <w:szCs w:val="21"/>
              </w:rPr>
            </w:pPr>
            <w:r>
              <w:rPr>
                <w:rFonts w:hint="eastAsia" w:ascii="宋体" w:hAnsi="宋体" w:cs="宋体"/>
                <w:bCs/>
                <w:szCs w:val="21"/>
              </w:rPr>
              <w:t>申请额度高：单笔融资额度最高可达政府采购合同金额的90%，单户额度最高可达3000万。</w:t>
            </w:r>
          </w:p>
          <w:p>
            <w:pPr>
              <w:numPr>
                <w:ilvl w:val="0"/>
                <w:numId w:val="10"/>
              </w:numPr>
              <w:spacing w:line="400" w:lineRule="exact"/>
              <w:contextualSpacing/>
              <w:rPr>
                <w:rFonts w:ascii="宋体" w:hAnsi="宋体" w:cs="宋体"/>
                <w:bCs/>
                <w:szCs w:val="21"/>
              </w:rPr>
            </w:pPr>
            <w:r>
              <w:rPr>
                <w:rFonts w:hint="eastAsia" w:ascii="宋体" w:hAnsi="宋体" w:cs="宋体"/>
                <w:bCs/>
                <w:szCs w:val="21"/>
              </w:rPr>
              <w:t>无需额外抵押：以浙江省政府采购网备案公示的政府采购合同进行融资，无需额外抵押担保。</w:t>
            </w:r>
          </w:p>
          <w:p>
            <w:pPr>
              <w:numPr>
                <w:ilvl w:val="0"/>
                <w:numId w:val="10"/>
              </w:numPr>
              <w:spacing w:line="400" w:lineRule="exact"/>
              <w:contextualSpacing/>
              <w:rPr>
                <w:rFonts w:ascii="宋体" w:hAnsi="宋体" w:cs="宋体"/>
                <w:bCs/>
                <w:szCs w:val="21"/>
              </w:rPr>
            </w:pPr>
            <w:r>
              <w:rPr>
                <w:rFonts w:hint="eastAsia" w:ascii="宋体" w:hAnsi="宋体" w:cs="宋体"/>
                <w:bCs/>
                <w:szCs w:val="21"/>
              </w:rPr>
              <w:t>利率优惠：给予流动资金贷款最优惠利率。</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普陀片区：蔡妮妮</w:t>
            </w:r>
          </w:p>
          <w:p>
            <w:pPr>
              <w:spacing w:line="400" w:lineRule="exact"/>
              <w:contextualSpacing/>
              <w:jc w:val="center"/>
              <w:rPr>
                <w:rFonts w:ascii="宋体" w:hAnsi="宋体" w:cs="宋体"/>
                <w:bCs/>
                <w:szCs w:val="21"/>
              </w:rPr>
            </w:pPr>
            <w:r>
              <w:rPr>
                <w:rFonts w:hint="eastAsia" w:ascii="宋体" w:hAnsi="宋体" w:cs="宋体"/>
                <w:bCs/>
                <w:szCs w:val="21"/>
              </w:rPr>
              <w:t>定海片区：杨莹</w:t>
            </w:r>
          </w:p>
          <w:p>
            <w:pPr>
              <w:spacing w:line="400" w:lineRule="exact"/>
              <w:contextualSpacing/>
              <w:jc w:val="center"/>
              <w:rPr>
                <w:rFonts w:ascii="宋体" w:hAnsi="宋体" w:cs="宋体"/>
                <w:bCs/>
                <w:szCs w:val="21"/>
              </w:rPr>
            </w:pPr>
            <w:r>
              <w:rPr>
                <w:rFonts w:hint="eastAsia" w:ascii="宋体" w:hAnsi="宋体" w:cs="宋体"/>
                <w:bCs/>
                <w:szCs w:val="21"/>
              </w:rPr>
              <w:t>自贸区片区：方晓</w:t>
            </w:r>
          </w:p>
        </w:tc>
        <w:tc>
          <w:tcPr>
            <w:tcW w:w="1928" w:type="dxa"/>
            <w:vAlign w:val="center"/>
          </w:tcPr>
          <w:p>
            <w:pPr>
              <w:spacing w:line="400" w:lineRule="exact"/>
              <w:contextualSpacing/>
              <w:rPr>
                <w:rFonts w:ascii="宋体" w:hAnsi="宋体" w:cs="宋体"/>
                <w:bCs/>
                <w:szCs w:val="21"/>
              </w:rPr>
            </w:pPr>
            <w:r>
              <w:rPr>
                <w:rFonts w:hint="eastAsia" w:ascii="宋体" w:hAnsi="宋体" w:cs="宋体"/>
                <w:bCs/>
                <w:szCs w:val="21"/>
              </w:rPr>
              <w:t>普陀片区：13957201791</w:t>
            </w:r>
          </w:p>
          <w:p>
            <w:pPr>
              <w:spacing w:line="400" w:lineRule="exact"/>
              <w:contextualSpacing/>
              <w:rPr>
                <w:rFonts w:ascii="宋体" w:hAnsi="宋体" w:cs="宋体"/>
                <w:bCs/>
                <w:szCs w:val="21"/>
              </w:rPr>
            </w:pPr>
            <w:r>
              <w:rPr>
                <w:rFonts w:hint="eastAsia" w:ascii="宋体" w:hAnsi="宋体" w:cs="宋体"/>
                <w:bCs/>
                <w:szCs w:val="21"/>
              </w:rPr>
              <w:t>定海片区：13655803997</w:t>
            </w:r>
          </w:p>
          <w:p>
            <w:pPr>
              <w:spacing w:line="400" w:lineRule="exact"/>
              <w:contextualSpacing/>
              <w:rPr>
                <w:rFonts w:ascii="宋体" w:hAnsi="宋体" w:cs="宋体"/>
                <w:bCs/>
                <w:szCs w:val="21"/>
              </w:rPr>
            </w:pPr>
            <w:r>
              <w:rPr>
                <w:rFonts w:hint="eastAsia" w:ascii="宋体" w:hAnsi="宋体" w:cs="宋体"/>
                <w:bCs/>
                <w:szCs w:val="21"/>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杭州银行股份有限公司舟山市分行</w:t>
            </w:r>
          </w:p>
        </w:tc>
        <w:tc>
          <w:tcPr>
            <w:tcW w:w="3975" w:type="dxa"/>
          </w:tcPr>
          <w:p>
            <w:pPr>
              <w:spacing w:line="400" w:lineRule="exact"/>
              <w:contextualSpacing/>
              <w:rPr>
                <w:rFonts w:ascii="宋体" w:hAnsi="宋体" w:cs="宋体"/>
                <w:bCs/>
                <w:szCs w:val="21"/>
              </w:rPr>
            </w:pPr>
            <w:r>
              <w:rPr>
                <w:rFonts w:hint="eastAsia" w:ascii="宋体" w:hAnsi="宋体" w:cs="宋体"/>
                <w:bCs/>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方经理</w:t>
            </w:r>
          </w:p>
        </w:tc>
        <w:tc>
          <w:tcPr>
            <w:tcW w:w="1928" w:type="dxa"/>
            <w:vAlign w:val="center"/>
          </w:tcPr>
          <w:p>
            <w:pPr>
              <w:spacing w:line="400" w:lineRule="exact"/>
              <w:contextualSpacing/>
              <w:rPr>
                <w:rFonts w:ascii="宋体" w:hAnsi="宋体" w:cs="宋体"/>
                <w:bCs/>
                <w:szCs w:val="21"/>
              </w:rPr>
            </w:pPr>
            <w:r>
              <w:rPr>
                <w:rFonts w:hint="eastAsia" w:ascii="宋体" w:hAnsi="宋体" w:cs="宋体"/>
                <w:bCs/>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招商银行股份有限公司浙江自贸试验区舟山分行</w:t>
            </w:r>
          </w:p>
        </w:tc>
        <w:tc>
          <w:tcPr>
            <w:tcW w:w="3975" w:type="dxa"/>
          </w:tcPr>
          <w:p>
            <w:pPr>
              <w:spacing w:line="400" w:lineRule="exact"/>
              <w:rPr>
                <w:rFonts w:ascii="宋体" w:hAnsi="宋体" w:cs="宋体"/>
                <w:bCs/>
                <w:szCs w:val="21"/>
              </w:rPr>
            </w:pPr>
            <w:r>
              <w:rPr>
                <w:rFonts w:hint="eastAsia" w:ascii="宋体" w:hAnsi="宋体" w:cs="宋体"/>
                <w:bCs/>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李玲</w:t>
            </w:r>
          </w:p>
        </w:tc>
        <w:tc>
          <w:tcPr>
            <w:tcW w:w="1928" w:type="dxa"/>
            <w:vAlign w:val="center"/>
          </w:tcPr>
          <w:p>
            <w:pPr>
              <w:spacing w:line="400" w:lineRule="exact"/>
              <w:contextualSpacing/>
              <w:rPr>
                <w:rFonts w:ascii="宋体" w:hAnsi="宋体" w:cs="宋体"/>
                <w:bCs/>
                <w:szCs w:val="21"/>
              </w:rPr>
            </w:pPr>
            <w:r>
              <w:rPr>
                <w:rFonts w:hint="eastAsia" w:ascii="宋体" w:hAnsi="宋体" w:cs="宋体"/>
                <w:bCs/>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248" w:hRule="atLeast"/>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温州银行股份有限公司舟山市分行</w:t>
            </w:r>
          </w:p>
        </w:tc>
        <w:tc>
          <w:tcPr>
            <w:tcW w:w="3975" w:type="dxa"/>
          </w:tcPr>
          <w:p>
            <w:pPr>
              <w:numPr>
                <w:ilvl w:val="0"/>
                <w:numId w:val="11"/>
              </w:numPr>
              <w:spacing w:line="400" w:lineRule="exact"/>
              <w:contextualSpacing/>
              <w:rPr>
                <w:rFonts w:ascii="宋体" w:hAnsi="宋体" w:cs="宋体"/>
                <w:bCs/>
                <w:szCs w:val="21"/>
              </w:rPr>
            </w:pPr>
            <w:r>
              <w:rPr>
                <w:rFonts w:hint="eastAsia" w:ascii="宋体" w:hAnsi="宋体" w:cs="宋体"/>
                <w:bCs/>
                <w:szCs w:val="21"/>
              </w:rPr>
              <w:t>单户授信敞口最高不超过1000万元，且最高额度核定一般不超过借款人（含实际控制人控制的其他经营实体）最近13个月合计有效中标合同金额的70%。</w:t>
            </w:r>
          </w:p>
          <w:p>
            <w:pPr>
              <w:numPr>
                <w:ilvl w:val="0"/>
                <w:numId w:val="11"/>
              </w:numPr>
              <w:spacing w:line="400" w:lineRule="exact"/>
              <w:contextualSpacing/>
              <w:rPr>
                <w:rFonts w:ascii="宋体" w:hAnsi="宋体" w:cs="宋体"/>
                <w:bCs/>
                <w:szCs w:val="21"/>
              </w:rPr>
            </w:pPr>
            <w:r>
              <w:rPr>
                <w:rFonts w:hint="eastAsia" w:ascii="宋体" w:hAnsi="宋体" w:cs="宋体"/>
                <w:bCs/>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11"/>
              </w:numPr>
              <w:spacing w:line="400" w:lineRule="exact"/>
              <w:contextualSpacing/>
              <w:rPr>
                <w:rFonts w:ascii="宋体" w:hAnsi="宋体" w:cs="宋体"/>
                <w:bCs/>
                <w:szCs w:val="21"/>
              </w:rPr>
            </w:pPr>
            <w:r>
              <w:rPr>
                <w:rFonts w:hint="eastAsia" w:ascii="宋体" w:hAnsi="宋体" w:cs="宋体"/>
                <w:bCs/>
                <w:szCs w:val="21"/>
              </w:rPr>
              <w:t>借款人中标采购人自行采购项目并向我行发起授信申请的，单笔业务授信敞口不超500万元，且不超过借款人中标通知书承载的中标金额或本次申请授信提供的采购合同的80%。</w:t>
            </w:r>
          </w:p>
          <w:p>
            <w:pPr>
              <w:numPr>
                <w:ilvl w:val="0"/>
                <w:numId w:val="11"/>
              </w:numPr>
              <w:spacing w:line="400" w:lineRule="exact"/>
              <w:contextualSpacing/>
              <w:rPr>
                <w:rFonts w:ascii="宋体" w:hAnsi="宋体" w:cs="宋体"/>
                <w:bCs/>
                <w:szCs w:val="21"/>
              </w:rPr>
            </w:pPr>
            <w:r>
              <w:rPr>
                <w:rFonts w:hint="eastAsia" w:ascii="宋体" w:hAnsi="宋体" w:cs="宋体"/>
                <w:bCs/>
                <w:szCs w:val="21"/>
              </w:rPr>
              <w:t>符合我行采购人资质的，且负债率不超75%，配合应收账款质押登记确认的，并可出具确认函，单笔借款额度可按不超过采购合同的90%办理。</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郑贤栋</w:t>
            </w:r>
          </w:p>
        </w:tc>
        <w:tc>
          <w:tcPr>
            <w:tcW w:w="1928" w:type="dxa"/>
            <w:vAlign w:val="center"/>
          </w:tcPr>
          <w:p>
            <w:pPr>
              <w:spacing w:line="400" w:lineRule="exact"/>
              <w:contextualSpacing/>
              <w:rPr>
                <w:rFonts w:ascii="宋体" w:hAnsi="宋体" w:cs="宋体"/>
                <w:bCs/>
                <w:szCs w:val="21"/>
              </w:rPr>
            </w:pPr>
            <w:r>
              <w:rPr>
                <w:rFonts w:hint="eastAsia" w:ascii="宋体" w:hAnsi="宋体" w:cs="宋体"/>
                <w:bCs/>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交通银行股份有限公司舟山分行</w:t>
            </w:r>
          </w:p>
        </w:tc>
        <w:tc>
          <w:tcPr>
            <w:tcW w:w="3975" w:type="dxa"/>
          </w:tcPr>
          <w:p>
            <w:pPr>
              <w:spacing w:line="400" w:lineRule="exact"/>
              <w:contextualSpacing/>
              <w:rPr>
                <w:rFonts w:ascii="宋体" w:hAnsi="宋体" w:cs="宋体"/>
                <w:bCs/>
                <w:szCs w:val="21"/>
              </w:rPr>
            </w:pPr>
            <w:r>
              <w:rPr>
                <w:rFonts w:hint="eastAsia" w:ascii="宋体" w:hAnsi="宋体" w:cs="宋体"/>
                <w:bCs/>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r>
              <w:rPr>
                <w:rFonts w:ascii="宋体" w:hAnsi="宋体" w:cs="宋体"/>
                <w:bCs/>
                <w:szCs w:val="21"/>
              </w:rPr>
              <w:t>。</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赵争艳</w:t>
            </w:r>
          </w:p>
        </w:tc>
        <w:tc>
          <w:tcPr>
            <w:tcW w:w="1928" w:type="dxa"/>
            <w:vAlign w:val="center"/>
          </w:tcPr>
          <w:p>
            <w:pPr>
              <w:spacing w:line="400" w:lineRule="exact"/>
              <w:contextualSpacing/>
              <w:rPr>
                <w:rFonts w:ascii="宋体" w:hAnsi="宋体" w:cs="宋体"/>
                <w:bCs/>
                <w:szCs w:val="21"/>
              </w:rPr>
            </w:pPr>
            <w:r>
              <w:rPr>
                <w:rFonts w:hint="eastAsia" w:ascii="宋体" w:hAnsi="宋体" w:cs="宋体"/>
                <w:bCs/>
                <w:szCs w:val="21"/>
              </w:rPr>
              <w:t>0580-2260728</w:t>
            </w:r>
          </w:p>
          <w:p>
            <w:pPr>
              <w:spacing w:line="400" w:lineRule="exact"/>
              <w:contextualSpacing/>
              <w:rPr>
                <w:rFonts w:ascii="宋体" w:hAnsi="宋体" w:cs="宋体"/>
                <w:bCs/>
                <w:szCs w:val="21"/>
              </w:rPr>
            </w:pPr>
            <w:r>
              <w:rPr>
                <w:rFonts w:hint="eastAsia" w:ascii="宋体" w:hAnsi="宋体" w:cs="宋体"/>
                <w:bCs/>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 w:hRule="atLeast"/>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中信银行股份有限公司舟山分行</w:t>
            </w:r>
          </w:p>
        </w:tc>
        <w:tc>
          <w:tcPr>
            <w:tcW w:w="3975" w:type="dxa"/>
          </w:tcPr>
          <w:p>
            <w:pPr>
              <w:spacing w:line="400" w:lineRule="exact"/>
              <w:contextualSpacing/>
              <w:rPr>
                <w:rFonts w:ascii="宋体" w:hAnsi="宋体" w:cs="宋体"/>
                <w:bCs/>
                <w:szCs w:val="21"/>
              </w:rPr>
            </w:pPr>
            <w:r>
              <w:rPr>
                <w:rFonts w:hint="eastAsia" w:ascii="宋体" w:hAnsi="宋体" w:cs="宋体"/>
                <w:bCs/>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pPr>
              <w:spacing w:line="400" w:lineRule="exact"/>
              <w:contextualSpacing/>
              <w:jc w:val="center"/>
              <w:rPr>
                <w:rFonts w:ascii="宋体" w:hAnsi="宋体" w:cs="宋体"/>
                <w:bCs/>
                <w:szCs w:val="21"/>
              </w:rPr>
            </w:pPr>
            <w:r>
              <w:rPr>
                <w:rFonts w:ascii="宋体" w:hAnsi="宋体" w:cs="宋体"/>
                <w:bCs/>
                <w:szCs w:val="21"/>
              </w:rPr>
              <w:t>黄丽</w:t>
            </w:r>
          </w:p>
        </w:tc>
        <w:tc>
          <w:tcPr>
            <w:tcW w:w="1928" w:type="dxa"/>
            <w:vAlign w:val="center"/>
          </w:tcPr>
          <w:p>
            <w:pPr>
              <w:spacing w:line="400" w:lineRule="exact"/>
              <w:contextualSpacing/>
              <w:rPr>
                <w:rFonts w:ascii="宋体" w:hAnsi="宋体" w:cs="宋体"/>
                <w:bCs/>
                <w:szCs w:val="21"/>
              </w:rPr>
            </w:pPr>
            <w:r>
              <w:rPr>
                <w:rFonts w:ascii="宋体" w:hAnsi="宋体" w:cs="宋体"/>
                <w:bCs/>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 w:hRule="atLeast"/>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泰隆银行舟山市分行</w:t>
            </w:r>
          </w:p>
        </w:tc>
        <w:tc>
          <w:tcPr>
            <w:tcW w:w="3975" w:type="dxa"/>
          </w:tcPr>
          <w:p>
            <w:pPr>
              <w:spacing w:line="400" w:lineRule="exact"/>
              <w:contextualSpacing/>
              <w:rPr>
                <w:rFonts w:ascii="宋体" w:hAnsi="宋体" w:cs="宋体"/>
                <w:bCs/>
                <w:szCs w:val="21"/>
              </w:rPr>
            </w:pPr>
            <w:r>
              <w:rPr>
                <w:rFonts w:hint="eastAsia" w:ascii="宋体" w:hAnsi="宋体" w:cs="宋体"/>
                <w:bCs/>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胡亢宇</w:t>
            </w:r>
          </w:p>
        </w:tc>
        <w:tc>
          <w:tcPr>
            <w:tcW w:w="1928" w:type="dxa"/>
            <w:vAlign w:val="center"/>
          </w:tcPr>
          <w:p>
            <w:pPr>
              <w:spacing w:line="400" w:lineRule="exact"/>
              <w:contextualSpacing/>
              <w:rPr>
                <w:rFonts w:ascii="宋体" w:hAnsi="宋体" w:cs="宋体"/>
                <w:bCs/>
                <w:szCs w:val="21"/>
              </w:rPr>
            </w:pPr>
            <w:r>
              <w:rPr>
                <w:rFonts w:hint="eastAsia" w:ascii="宋体" w:hAnsi="宋体" w:cs="宋体"/>
                <w:bCs/>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 w:hRule="atLeast"/>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中国农业银行股份有限公司舟山分行</w:t>
            </w:r>
          </w:p>
        </w:tc>
        <w:tc>
          <w:tcPr>
            <w:tcW w:w="3975" w:type="dxa"/>
          </w:tcPr>
          <w:p>
            <w:pPr>
              <w:spacing w:line="400" w:lineRule="exact"/>
              <w:contextualSpacing/>
              <w:rPr>
                <w:rFonts w:ascii="宋体" w:hAnsi="宋体" w:cs="宋体"/>
                <w:bCs/>
                <w:szCs w:val="21"/>
              </w:rPr>
            </w:pPr>
            <w:r>
              <w:rPr>
                <w:rFonts w:hint="eastAsia" w:ascii="宋体" w:hAnsi="宋体" w:cs="宋体"/>
                <w:bCs/>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苏华瞻</w:t>
            </w:r>
          </w:p>
        </w:tc>
        <w:tc>
          <w:tcPr>
            <w:tcW w:w="1928" w:type="dxa"/>
            <w:vAlign w:val="center"/>
          </w:tcPr>
          <w:p>
            <w:pPr>
              <w:spacing w:line="400" w:lineRule="exact"/>
              <w:contextualSpacing/>
              <w:jc w:val="center"/>
              <w:rPr>
                <w:rFonts w:ascii="宋体" w:hAnsi="宋体" w:cs="宋体"/>
                <w:bCs/>
                <w:szCs w:val="21"/>
              </w:rPr>
            </w:pPr>
            <w:r>
              <w:rPr>
                <w:rFonts w:hint="eastAsia" w:ascii="宋体" w:hAnsi="宋体" w:cs="宋体"/>
                <w:bCs/>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 w:hRule="atLeast"/>
          <w:jc w:val="center"/>
        </w:trPr>
        <w:tc>
          <w:tcPr>
            <w:tcW w:w="1656" w:type="dxa"/>
            <w:gridSpan w:val="2"/>
            <w:vAlign w:val="center"/>
          </w:tcPr>
          <w:p>
            <w:pPr>
              <w:spacing w:line="400" w:lineRule="exact"/>
              <w:contextualSpacing/>
              <w:rPr>
                <w:rFonts w:ascii="宋体" w:hAnsi="宋体" w:cs="宋体"/>
                <w:bCs/>
                <w:szCs w:val="21"/>
              </w:rPr>
            </w:pPr>
            <w:r>
              <w:rPr>
                <w:rFonts w:hint="eastAsia" w:ascii="宋体" w:hAnsi="宋体" w:cs="宋体"/>
                <w:bCs/>
                <w:szCs w:val="21"/>
              </w:rPr>
              <w:t>中国邮政储蓄银行股份有限公司舟山市分行</w:t>
            </w:r>
          </w:p>
        </w:tc>
        <w:tc>
          <w:tcPr>
            <w:tcW w:w="3975" w:type="dxa"/>
          </w:tcPr>
          <w:p>
            <w:pPr>
              <w:tabs>
                <w:tab w:val="left" w:pos="0"/>
              </w:tabs>
              <w:spacing w:line="400" w:lineRule="exact"/>
              <w:rPr>
                <w:rFonts w:ascii="宋体" w:hAnsi="宋体" w:cs="宋体"/>
                <w:bCs/>
                <w:szCs w:val="21"/>
              </w:rPr>
            </w:pPr>
            <w:r>
              <w:rPr>
                <w:rFonts w:hint="eastAsia" w:ascii="宋体" w:hAnsi="宋体" w:cs="宋体"/>
                <w:bCs/>
                <w:szCs w:val="21"/>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pPr>
              <w:spacing w:line="400" w:lineRule="exact"/>
              <w:contextualSpacing/>
              <w:jc w:val="center"/>
              <w:rPr>
                <w:rFonts w:ascii="宋体" w:hAnsi="宋体" w:cs="宋体"/>
                <w:bCs/>
                <w:szCs w:val="21"/>
              </w:rPr>
            </w:pPr>
            <w:r>
              <w:rPr>
                <w:rFonts w:hint="eastAsia" w:ascii="宋体" w:hAnsi="宋体" w:cs="宋体"/>
                <w:bCs/>
                <w:szCs w:val="21"/>
              </w:rPr>
              <w:t>蒋志燕</w:t>
            </w:r>
          </w:p>
        </w:tc>
        <w:tc>
          <w:tcPr>
            <w:tcW w:w="1928" w:type="dxa"/>
            <w:vAlign w:val="center"/>
          </w:tcPr>
          <w:p>
            <w:pPr>
              <w:spacing w:line="400" w:lineRule="exact"/>
              <w:contextualSpacing/>
              <w:rPr>
                <w:rFonts w:ascii="宋体" w:hAnsi="宋体" w:cs="宋体"/>
                <w:bCs/>
                <w:szCs w:val="21"/>
              </w:rPr>
            </w:pPr>
            <w:r>
              <w:rPr>
                <w:rFonts w:hint="eastAsia" w:ascii="宋体" w:hAnsi="宋体" w:cs="宋体"/>
                <w:bCs/>
                <w:szCs w:val="21"/>
              </w:rPr>
              <w:t>13732527321</w:t>
            </w:r>
          </w:p>
        </w:tc>
      </w:tr>
    </w:tbl>
    <w:p>
      <w:pPr>
        <w:ind w:firstLine="555"/>
        <w:rPr>
          <w:rFonts w:ascii="宋体" w:hAnsi="宋体"/>
          <w:szCs w:val="21"/>
        </w:rPr>
      </w:pPr>
      <w:r>
        <w:rPr>
          <w:rFonts w:hint="eastAsia" w:ascii="宋体" w:hAnsi="宋体"/>
          <w:szCs w:val="21"/>
        </w:rPr>
        <w:t>2.一般步骤</w:t>
      </w:r>
    </w:p>
    <w:p>
      <w:pPr>
        <w:ind w:firstLine="555"/>
        <w:rPr>
          <w:rFonts w:ascii="宋体" w:hAnsi="宋体"/>
          <w:szCs w:val="21"/>
        </w:rPr>
      </w:pPr>
      <w:r>
        <w:rPr>
          <w:rFonts w:hint="eastAsia" w:ascii="宋体" w:hAnsi="宋体"/>
          <w:szCs w:val="21"/>
        </w:rPr>
        <w:t>（1）供应商先与银行对接，办理融资前期手续；</w:t>
      </w:r>
    </w:p>
    <w:p>
      <w:pPr>
        <w:ind w:firstLine="555"/>
        <w:rPr>
          <w:rFonts w:ascii="宋体" w:hAnsi="宋体"/>
          <w:szCs w:val="21"/>
        </w:rPr>
      </w:pPr>
      <w:r>
        <w:rPr>
          <w:rFonts w:hint="eastAsia" w:ascii="宋体" w:hAnsi="宋体"/>
          <w:szCs w:val="21"/>
        </w:rPr>
        <w:t>（2）供应商中标后，凭中标通知书等材料，向相关合作银行发出融资申请；</w:t>
      </w:r>
    </w:p>
    <w:p>
      <w:pPr>
        <w:ind w:firstLine="555"/>
        <w:rPr>
          <w:rFonts w:ascii="宋体" w:hAnsi="宋体"/>
          <w:szCs w:val="21"/>
        </w:rPr>
      </w:pPr>
      <w:r>
        <w:rPr>
          <w:rFonts w:hint="eastAsia" w:ascii="宋体" w:hAnsi="宋体"/>
          <w:szCs w:val="21"/>
        </w:rPr>
        <w:t>（3）银行、供应商线上办理审批、放贷事宜。</w:t>
      </w:r>
    </w:p>
    <w:p>
      <w:pPr>
        <w:ind w:firstLine="555"/>
        <w:rPr>
          <w:rFonts w:ascii="宋体" w:hAnsi="宋体"/>
          <w:szCs w:val="21"/>
        </w:rPr>
      </w:pPr>
      <w:r>
        <w:rPr>
          <w:rFonts w:hint="eastAsia" w:ascii="宋体" w:hAnsi="宋体"/>
          <w:szCs w:val="21"/>
        </w:rPr>
        <w:t>3.注意事项</w:t>
      </w:r>
    </w:p>
    <w:p>
      <w:pPr>
        <w:ind w:firstLine="555"/>
        <w:rPr>
          <w:rFonts w:ascii="宋体" w:hAnsi="宋体"/>
          <w:szCs w:val="21"/>
        </w:rPr>
      </w:pPr>
      <w:r>
        <w:rPr>
          <w:rFonts w:hint="eastAsia" w:ascii="宋体" w:hAnsi="宋体"/>
          <w:szCs w:val="21"/>
        </w:rPr>
        <w:t>（1）中标供应商需确保政府采购合同的收款账户与融资银行开户账户一致。</w:t>
      </w:r>
    </w:p>
    <w:p>
      <w:pPr>
        <w:ind w:firstLine="555"/>
        <w:rPr>
          <w:rFonts w:ascii="宋体" w:hAnsi="宋体"/>
          <w:szCs w:val="21"/>
        </w:rPr>
      </w:pPr>
      <w:r>
        <w:rPr>
          <w:rFonts w:hint="eastAsia" w:ascii="宋体" w:hAnsi="宋体"/>
          <w:szCs w:val="21"/>
        </w:rPr>
        <w:t>（2）用于政府采购信用融资的政府采购合同，应当包含如下条款：“第   条：政府采购合同贷款</w:t>
      </w:r>
    </w:p>
    <w:p>
      <w:pPr>
        <w:ind w:firstLine="555"/>
        <w:rPr>
          <w:rFonts w:ascii="宋体" w:hAnsi="宋体"/>
          <w:szCs w:val="21"/>
        </w:rPr>
      </w:pPr>
      <w:r>
        <w:rPr>
          <w:rFonts w:hint="eastAsia" w:ascii="宋体" w:hAnsi="宋体"/>
          <w:szCs w:val="21"/>
        </w:rPr>
        <w:t>本合同同时用于乙方向      银行（金融机构）申请政府采购信用贷款。</w:t>
      </w:r>
    </w:p>
    <w:p>
      <w:pPr>
        <w:ind w:firstLine="555"/>
        <w:rPr>
          <w:rFonts w:ascii="宋体" w:hAnsi="宋体"/>
          <w:szCs w:val="21"/>
        </w:rPr>
      </w:pPr>
      <w:r>
        <w:rPr>
          <w:rFonts w:hint="eastAsia" w:ascii="宋体" w:hAnsi="宋体"/>
          <w:szCs w:val="21"/>
        </w:rPr>
        <w:t>本</w:t>
      </w:r>
      <w:r>
        <w:rPr>
          <w:rFonts w:ascii="宋体" w:hAnsi="宋体"/>
          <w:szCs w:val="21"/>
        </w:rPr>
        <w:t>合同一经签订，原则上不得更改</w:t>
      </w:r>
      <w:r>
        <w:rPr>
          <w:rFonts w:hint="eastAsia" w:ascii="宋体" w:hAnsi="宋体"/>
          <w:szCs w:val="21"/>
        </w:rPr>
        <w:t>乙方收</w:t>
      </w:r>
      <w:r>
        <w:rPr>
          <w:rFonts w:ascii="宋体" w:hAnsi="宋体"/>
          <w:szCs w:val="21"/>
        </w:rPr>
        <w:t>款</w:t>
      </w:r>
      <w:r>
        <w:rPr>
          <w:rFonts w:hint="eastAsia" w:ascii="宋体" w:hAnsi="宋体"/>
          <w:szCs w:val="21"/>
        </w:rPr>
        <w:t>账户</w:t>
      </w:r>
      <w:r>
        <w:rPr>
          <w:rFonts w:ascii="宋体" w:hAnsi="宋体"/>
          <w:szCs w:val="21"/>
        </w:rPr>
        <w:t>信息</w:t>
      </w:r>
      <w:r>
        <w:rPr>
          <w:rFonts w:hint="eastAsia" w:ascii="宋体" w:hAnsi="宋体"/>
          <w:szCs w:val="21"/>
        </w:rPr>
        <w:t>。确</w:t>
      </w:r>
      <w:r>
        <w:rPr>
          <w:rFonts w:ascii="宋体" w:hAnsi="宋体"/>
          <w:szCs w:val="21"/>
        </w:rPr>
        <w:t>须更改的，</w:t>
      </w:r>
      <w:r>
        <w:rPr>
          <w:rFonts w:hint="eastAsia" w:ascii="宋体" w:hAnsi="宋体"/>
          <w:szCs w:val="21"/>
        </w:rPr>
        <w:t>乙方应</w:t>
      </w:r>
      <w:r>
        <w:rPr>
          <w:rFonts w:ascii="宋体" w:hAnsi="宋体"/>
          <w:szCs w:val="21"/>
        </w:rPr>
        <w:t>取得</w:t>
      </w:r>
      <w:r>
        <w:rPr>
          <w:rFonts w:hint="eastAsia" w:ascii="宋体" w:hAnsi="宋体"/>
          <w:szCs w:val="21"/>
        </w:rPr>
        <w:t>原</w:t>
      </w:r>
      <w:r>
        <w:rPr>
          <w:rFonts w:ascii="宋体" w:hAnsi="宋体"/>
          <w:szCs w:val="21"/>
        </w:rPr>
        <w:t>合同收款账户开户银行书面同意，</w:t>
      </w:r>
      <w:r>
        <w:rPr>
          <w:rFonts w:hint="eastAsia" w:ascii="宋体" w:hAnsi="宋体"/>
          <w:szCs w:val="21"/>
        </w:rPr>
        <w:t>否则修改后</w:t>
      </w:r>
      <w:r>
        <w:rPr>
          <w:rFonts w:ascii="宋体" w:hAnsi="宋体"/>
          <w:szCs w:val="21"/>
        </w:rPr>
        <w:t>的合同不予</w:t>
      </w:r>
      <w:r>
        <w:rPr>
          <w:rFonts w:hint="eastAsia" w:ascii="宋体" w:hAnsi="宋体"/>
          <w:szCs w:val="21"/>
        </w:rPr>
        <w:t>备案</w:t>
      </w:r>
      <w:r>
        <w:rPr>
          <w:rFonts w:ascii="宋体" w:hAnsi="宋体"/>
          <w:szCs w:val="21"/>
        </w:rPr>
        <w:t>，采购资金不予</w:t>
      </w:r>
      <w:r>
        <w:rPr>
          <w:rFonts w:hint="eastAsia" w:ascii="宋体" w:hAnsi="宋体"/>
          <w:szCs w:val="21"/>
        </w:rPr>
        <w:t>支付。”</w:t>
      </w: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rPr>
          <w:rFonts w:ascii="黑体" w:hAnsi="宋体" w:eastAsia="黑体"/>
        </w:rPr>
      </w:pPr>
    </w:p>
    <w:p>
      <w:pPr>
        <w:pStyle w:val="42"/>
        <w:snapToGrid w:val="0"/>
        <w:spacing w:before="120" w:after="120" w:line="360" w:lineRule="auto"/>
        <w:ind w:right="-87"/>
        <w:jc w:val="center"/>
        <w:rPr>
          <w:rFonts w:hAnsi="宋体" w:cs="宋体"/>
        </w:rPr>
      </w:pPr>
      <w:r>
        <w:rPr>
          <w:rFonts w:hint="eastAsia" w:ascii="黑体" w:hAnsi="宋体" w:eastAsia="黑体"/>
        </w:rPr>
        <w:t>第四章  评标办法及评分标准</w:t>
      </w:r>
    </w:p>
    <w:p>
      <w:pPr>
        <w:spacing w:line="360" w:lineRule="auto"/>
        <w:ind w:firstLine="440" w:firstLineChars="200"/>
        <w:rPr>
          <w:rFonts w:ascii="宋体" w:hAnsi="宋体" w:cs="宋体"/>
          <w:b/>
          <w:sz w:val="22"/>
          <w:szCs w:val="22"/>
        </w:rPr>
      </w:pPr>
      <w:r>
        <w:rPr>
          <w:rFonts w:hint="eastAsia" w:ascii="宋体" w:hAnsi="宋体" w:cs="宋体"/>
          <w:sz w:val="22"/>
          <w:szCs w:val="22"/>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360" w:lineRule="auto"/>
        <w:rPr>
          <w:rFonts w:ascii="宋体" w:hAnsi="宋体" w:cs="宋体"/>
          <w:b/>
          <w:sz w:val="22"/>
          <w:szCs w:val="22"/>
        </w:rPr>
      </w:pPr>
      <w:r>
        <w:rPr>
          <w:rFonts w:hint="eastAsia" w:ascii="宋体" w:hAnsi="宋体" w:cs="宋体"/>
          <w:b/>
          <w:sz w:val="22"/>
          <w:szCs w:val="22"/>
        </w:rPr>
        <w:t>一、中标候选人的选取</w:t>
      </w:r>
    </w:p>
    <w:p>
      <w:pPr>
        <w:spacing w:line="360" w:lineRule="auto"/>
        <w:ind w:firstLine="440" w:firstLineChars="200"/>
        <w:rPr>
          <w:rFonts w:ascii="宋体" w:hAnsi="宋体" w:cs="宋体"/>
          <w:b/>
          <w:sz w:val="22"/>
          <w:szCs w:val="22"/>
          <w:lang w:val="zh-CN"/>
        </w:rPr>
      </w:pPr>
      <w:r>
        <w:rPr>
          <w:rFonts w:hint="eastAsia" w:ascii="宋体" w:hAnsi="宋体" w:cs="宋体"/>
          <w:sz w:val="22"/>
          <w:szCs w:val="22"/>
        </w:rPr>
        <w:t>将综合评估分从高到低排序，得出参投标人名次,按照综合评估分名次推荐中标候选人3名。得分相同时，按投标报价由低到高顺序排列，得分且投标报价相同的，按技术指标优劣顺序排列。</w:t>
      </w:r>
    </w:p>
    <w:p>
      <w:pPr>
        <w:spacing w:line="360" w:lineRule="auto"/>
        <w:rPr>
          <w:rFonts w:ascii="宋体" w:hAnsi="宋体" w:cs="宋体"/>
          <w:b/>
          <w:sz w:val="22"/>
          <w:szCs w:val="22"/>
        </w:rPr>
      </w:pPr>
      <w:r>
        <w:rPr>
          <w:rFonts w:hint="eastAsia" w:ascii="宋体" w:hAnsi="宋体" w:cs="宋体"/>
          <w:b/>
          <w:sz w:val="22"/>
          <w:szCs w:val="22"/>
        </w:rPr>
        <w:t>二、成交人选取依据</w:t>
      </w:r>
    </w:p>
    <w:p>
      <w:pPr>
        <w:spacing w:line="360" w:lineRule="auto"/>
        <w:ind w:firstLine="440" w:firstLineChars="200"/>
        <w:rPr>
          <w:rFonts w:ascii="宋体" w:hAnsi="宋体" w:cs="宋体"/>
          <w:sz w:val="22"/>
          <w:szCs w:val="22"/>
        </w:rPr>
      </w:pPr>
      <w:r>
        <w:rPr>
          <w:rFonts w:hint="eastAsia" w:ascii="宋体" w:hAnsi="宋体" w:cs="宋体"/>
          <w:sz w:val="22"/>
          <w:szCs w:val="22"/>
        </w:rPr>
        <w:t>评审小组根据综合评估分得分排序，推荐第一名中标候选人为中标人，经采购人确认后，确定项目中标人，同时发布采购结果公告，发出中标通知书。</w:t>
      </w:r>
    </w:p>
    <w:p>
      <w:pPr>
        <w:spacing w:line="360" w:lineRule="auto"/>
        <w:rPr>
          <w:rFonts w:ascii="宋体" w:hAnsi="宋体" w:cs="宋体"/>
          <w:b/>
          <w:sz w:val="22"/>
          <w:szCs w:val="22"/>
        </w:rPr>
      </w:pPr>
      <w:r>
        <w:rPr>
          <w:rFonts w:hint="eastAsia" w:ascii="宋体" w:hAnsi="宋体" w:cs="宋体"/>
          <w:b/>
          <w:sz w:val="22"/>
          <w:szCs w:val="22"/>
        </w:rPr>
        <w:t>三、综合评估分计分方法</w:t>
      </w:r>
    </w:p>
    <w:p>
      <w:pPr>
        <w:autoSpaceDE w:val="0"/>
        <w:autoSpaceDN w:val="0"/>
        <w:adjustRightInd w:val="0"/>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满足采购文件要求且投标价格最低的投标报价为评标基准价，其价格分为满分，其他投标人的价格分按下列公式计算：投标报价得分＝（评标基准价/投标报价）×价格权重×100。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40" w:firstLineChars="200"/>
      </w:pPr>
      <w:r>
        <w:rPr>
          <w:rFonts w:ascii="宋体" w:hAnsi="宋体"/>
          <w:sz w:val="22"/>
          <w:szCs w:val="22"/>
        </w:rPr>
        <w:t>在评分时，各投标人投标报价得分保留小数点后二位，第三位四舍五入。</w:t>
      </w:r>
      <w:r>
        <w:rPr>
          <w:rFonts w:hint="eastAsia" w:ascii="宋体" w:hAnsi="宋体"/>
          <w:sz w:val="22"/>
          <w:szCs w:val="22"/>
        </w:rPr>
        <w:t>评审专家打分准确到小数点后一位，</w:t>
      </w:r>
      <w:r>
        <w:rPr>
          <w:rFonts w:hint="eastAsia" w:ascii="宋体" w:hAnsi="宋体" w:cs="宋体"/>
          <w:sz w:val="22"/>
          <w:szCs w:val="22"/>
        </w:rPr>
        <w:t>综合评估分=商务技术部分得分＋投标报价得分，商务技术部分得分为所有评委评分的算术平均值，</w:t>
      </w:r>
      <w:r>
        <w:rPr>
          <w:rFonts w:ascii="宋体" w:hAnsi="宋体" w:cs="宋体"/>
          <w:sz w:val="22"/>
          <w:szCs w:val="22"/>
        </w:rPr>
        <w:t>得分保留小数点后二位。</w:t>
      </w:r>
    </w:p>
    <w:p>
      <w:pPr>
        <w:pStyle w:val="14"/>
        <w:numPr>
          <w:ilvl w:val="0"/>
          <w:numId w:val="12"/>
        </w:numPr>
        <w:snapToGrid w:val="0"/>
        <w:spacing w:line="360" w:lineRule="auto"/>
        <w:rPr>
          <w:rFonts w:hAnsi="宋体" w:eastAsia="宋体" w:cs="宋体"/>
          <w:b/>
          <w:sz w:val="22"/>
          <w:szCs w:val="22"/>
        </w:rPr>
      </w:pPr>
      <w:r>
        <w:rPr>
          <w:rFonts w:hint="eastAsia" w:hAnsi="宋体" w:eastAsia="宋体" w:cs="宋体"/>
          <w:b/>
          <w:sz w:val="22"/>
          <w:szCs w:val="22"/>
        </w:rPr>
        <w:t>评标内容及标准</w:t>
      </w:r>
    </w:p>
    <w:p>
      <w:pPr>
        <w:autoSpaceDE w:val="0"/>
        <w:autoSpaceDN w:val="0"/>
        <w:adjustRightInd w:val="0"/>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1、价格部分：30分</w:t>
      </w:r>
    </w:p>
    <w:p>
      <w:pPr>
        <w:autoSpaceDE w:val="0"/>
        <w:autoSpaceDN w:val="0"/>
        <w:adjustRightInd w:val="0"/>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1.1 价格分采用低价优先法计算，即满足招标文件要求并且投标报价最低的投标报价为评标基准价，其他供应商的价格分按照下列公式计算：</w:t>
      </w:r>
    </w:p>
    <w:p>
      <w:pPr>
        <w:autoSpaceDE w:val="0"/>
        <w:autoSpaceDN w:val="0"/>
        <w:adjustRightInd w:val="0"/>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1.2价格分=（评标基准价/投标报价）×30%×100</w:t>
      </w:r>
    </w:p>
    <w:p>
      <w:pPr>
        <w:autoSpaceDE w:val="0"/>
        <w:autoSpaceDN w:val="0"/>
        <w:adjustRightInd w:val="0"/>
        <w:spacing w:line="360" w:lineRule="auto"/>
        <w:ind w:firstLine="440" w:firstLineChars="200"/>
        <w:rPr>
          <w:rFonts w:hint="eastAsia" w:ascii="宋体" w:hAnsi="宋体" w:cs="宋体"/>
          <w:sz w:val="22"/>
          <w:szCs w:val="22"/>
          <w:lang w:val="zh-CN"/>
        </w:rPr>
      </w:pPr>
      <w:r>
        <w:rPr>
          <w:rFonts w:hint="eastAsia" w:ascii="宋体" w:hAnsi="宋体" w:cs="宋体"/>
          <w:sz w:val="22"/>
          <w:szCs w:val="22"/>
          <w:lang w:val="zh-CN"/>
        </w:rPr>
        <w:t>评标委员会在评审时发现供应商得报价明显高于其市场报价或低于成本价的，应当要求供应商书面说明并提供相关证明材料。供应商不能当场合理说明原因并提供证明材料的，评标委员会应将该供应商的投标文件作无效处理，并在评审报告中说明。</w:t>
      </w:r>
    </w:p>
    <w:p>
      <w:pPr>
        <w:autoSpaceDE w:val="0"/>
        <w:autoSpaceDN w:val="0"/>
        <w:adjustRightInd w:val="0"/>
        <w:spacing w:line="360" w:lineRule="auto"/>
        <w:ind w:firstLine="440" w:firstLineChars="200"/>
        <w:rPr>
          <w:rFonts w:hint="eastAsia" w:ascii="宋体" w:hAnsi="宋体" w:cs="宋体"/>
          <w:sz w:val="22"/>
          <w:szCs w:val="22"/>
          <w:lang w:val="zh-CN"/>
        </w:rPr>
      </w:pPr>
      <w:r>
        <w:rPr>
          <w:rFonts w:hint="eastAsia" w:ascii="宋体" w:hAnsi="宋体" w:cs="宋体"/>
          <w:sz w:val="22"/>
          <w:szCs w:val="22"/>
          <w:lang w:val="zh-CN"/>
        </w:rPr>
        <w:t>此项由评标委员会集体核实后统一打分。</w:t>
      </w:r>
    </w:p>
    <w:p>
      <w:pPr>
        <w:autoSpaceDE w:val="0"/>
        <w:autoSpaceDN w:val="0"/>
        <w:adjustRightInd w:val="0"/>
        <w:spacing w:line="360" w:lineRule="auto"/>
        <w:ind w:firstLine="440" w:firstLineChars="200"/>
        <w:rPr>
          <w:rFonts w:hint="eastAsia" w:ascii="宋体" w:hAnsi="宋体" w:cs="宋体"/>
          <w:sz w:val="22"/>
          <w:szCs w:val="22"/>
          <w:lang w:val="zh-CN"/>
        </w:rPr>
      </w:pPr>
      <w:r>
        <w:rPr>
          <w:rFonts w:hint="eastAsia" w:ascii="宋体" w:hAnsi="宋体" w:cs="宋体"/>
          <w:sz w:val="22"/>
          <w:szCs w:val="22"/>
          <w:lang w:val="zh-CN"/>
        </w:rPr>
        <w:t>根据《政府采购促进中小企业发展管理办法》、（财库[2022]19号）的规定，本项目针对小型和微型企业的价格给予10%的扣除的优惠，对于联合体协议或者分包意向协议约定小微企业的合同份额占到合同总金额30%以上的，给予4%的扣除的优惠，用扣除后的价格参与评审。同时小型、微型企业提供中型企业制造的货物的，视同为中型企业。即小型或微型企业的评审报价=投标报价×90%。</w:t>
      </w:r>
    </w:p>
    <w:p>
      <w:pPr>
        <w:autoSpaceDE w:val="0"/>
        <w:autoSpaceDN w:val="0"/>
        <w:adjustRightInd w:val="0"/>
        <w:spacing w:line="360" w:lineRule="auto"/>
        <w:ind w:firstLine="440" w:firstLineChars="200"/>
        <w:rPr>
          <w:rFonts w:hint="eastAsia" w:ascii="宋体" w:hAnsi="宋体" w:cs="宋体"/>
          <w:sz w:val="22"/>
          <w:szCs w:val="22"/>
          <w:lang w:val="zh-CN"/>
        </w:rPr>
      </w:pPr>
      <w:r>
        <w:rPr>
          <w:rFonts w:hint="eastAsia" w:ascii="宋体" w:hAnsi="宋体" w:cs="宋体"/>
          <w:sz w:val="22"/>
          <w:szCs w:val="22"/>
          <w:lang w:val="zh-CN"/>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7"/>
        <w:numPr>
          <w:ilvl w:val="0"/>
          <w:numId w:val="6"/>
        </w:numPr>
        <w:autoSpaceDE w:val="0"/>
        <w:autoSpaceDN w:val="0"/>
        <w:adjustRightInd w:val="0"/>
        <w:spacing w:before="120" w:line="360" w:lineRule="auto"/>
        <w:ind w:firstLineChars="0"/>
        <w:rPr>
          <w:rFonts w:ascii="宋体" w:hAnsi="宋体" w:cs="宋体"/>
          <w:sz w:val="22"/>
          <w:szCs w:val="22"/>
          <w:lang w:val="zh-CN"/>
        </w:rPr>
      </w:pPr>
      <w:r>
        <w:rPr>
          <w:rFonts w:hint="eastAsia" w:ascii="宋体" w:hAnsi="宋体" w:cs="宋体"/>
          <w:sz w:val="22"/>
          <w:szCs w:val="22"/>
          <w:lang w:val="zh-CN"/>
        </w:rPr>
        <w:t>技术、商务、资信及其他文件：70分</w:t>
      </w:r>
    </w:p>
    <w:p>
      <w:pPr>
        <w:autoSpaceDE w:val="0"/>
        <w:autoSpaceDN w:val="0"/>
        <w:adjustRightInd w:val="0"/>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2.1带“</w:t>
      </w:r>
      <w:r>
        <w:rPr>
          <w:rFonts w:hint="eastAsia" w:ascii="宋体" w:hAnsi="宋体" w:cs="宋体"/>
          <w:szCs w:val="21"/>
        </w:rPr>
        <w:t>▲”为实质性条款，若不能满足按无效标处理；</w:t>
      </w:r>
    </w:p>
    <w:p>
      <w:pPr>
        <w:autoSpaceDE w:val="0"/>
        <w:autoSpaceDN w:val="0"/>
        <w:adjustRightInd w:val="0"/>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2</w:t>
      </w:r>
      <w:r>
        <w:rPr>
          <w:rFonts w:ascii="宋体" w:hAnsi="宋体" w:cs="宋体"/>
          <w:sz w:val="22"/>
          <w:szCs w:val="22"/>
          <w:lang w:val="zh-CN"/>
        </w:rPr>
        <w:t>.2</w:t>
      </w:r>
      <w:r>
        <w:rPr>
          <w:rFonts w:hint="eastAsia" w:ascii="宋体" w:hAnsi="宋体" w:cs="宋体"/>
          <w:sz w:val="22"/>
          <w:szCs w:val="22"/>
          <w:lang w:val="zh-CN"/>
        </w:rPr>
        <w:t>技术、商务、资信及其他文件分按照评标委员会成员的独立评分结果汇总数的算术平均分计算，计算公式为：技术、商务、资信及其他文件分=（评标委员会所有成员评分合计数）/（评标委员会组成人员数）</w:t>
      </w:r>
    </w:p>
    <w:tbl>
      <w:tblPr>
        <w:tblStyle w:val="29"/>
        <w:tblW w:w="93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1700"/>
        <w:gridCol w:w="5810"/>
        <w:gridCol w:w="11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评审内容</w:t>
            </w:r>
          </w:p>
        </w:tc>
        <w:tc>
          <w:tcPr>
            <w:tcW w:w="58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一</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ind w:firstLine="632" w:firstLineChars="300"/>
              <w:jc w:val="center"/>
              <w:rPr>
                <w:rFonts w:hint="eastAsia" w:ascii="宋体" w:hAnsi="宋体" w:eastAsia="宋体" w:cs="宋体"/>
                <w:b/>
                <w:bCs/>
                <w:sz w:val="21"/>
                <w:szCs w:val="21"/>
              </w:rPr>
            </w:pPr>
            <w:r>
              <w:rPr>
                <w:rFonts w:hint="eastAsia" w:ascii="宋体" w:hAnsi="宋体" w:eastAsia="宋体" w:cs="宋体"/>
                <w:b/>
                <w:bCs/>
                <w:sz w:val="21"/>
                <w:szCs w:val="21"/>
              </w:rPr>
              <w:t>技术分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color w:val="auto"/>
                <w:sz w:val="21"/>
                <w:szCs w:val="21"/>
              </w:rPr>
              <w:t>44</w:t>
            </w:r>
            <w:r>
              <w:rPr>
                <w:rFonts w:hint="eastAsia" w:ascii="宋体" w:hAnsi="宋体" w:eastAsia="宋体" w:cs="宋体"/>
                <w:b/>
                <w:bCs/>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7"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供货组织方案</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1、投标项目整体实施方案（5分）：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项目具体实施计划，包括产品供货前准备工作、工作时间进度表、工作程序和步骤、管理和协调方法、关键步骤的思路和要点等。满分5分，具体实施方案每处有不足的扣1分，扣完为止。</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2、确保供应货物质量的设施及措施（2分）；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（1）有质量监控措施每项得0.5分，最高得1分，无质量控制措施不得分；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（2）有质量检测设施的每项得0.5分，最高得1分，无质量检测设施不得分。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3、安装、调试的方案和措施（1.5分），有方案措施的每项得0.5分，最高得1.5分；无方案无措施的不得分。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4、根据投标人的成品保护措施和方案进行评比（1.5分），有成品保护措施和方案的每项得0.5分，最高得1.5分；无方案无措施的不得分。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7"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防雷安全整体解决方案实施技术能力</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根据投标人所拟派的防雷技术实施专业人员的雷电防御相关从业经验、综合素质、技术能力等情况进行综合打分。好的得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en-US" w:eastAsia="zh-CN"/>
              </w:rPr>
              <w:t>一般的得1分，否则不得分。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19"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产品的技术条款偏离</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供应商所投产品完全满足招标文件货物的性能及技术指标要求的，没有任何负偏离者得基本</w:t>
            </w:r>
            <w:r>
              <w:rPr>
                <w:rFonts w:hint="eastAsia" w:ascii="宋体" w:hAnsi="宋体" w:eastAsia="宋体" w:cs="宋体"/>
                <w:sz w:val="21"/>
                <w:szCs w:val="21"/>
                <w:highlight w:val="none"/>
                <w:lang w:val="en-US" w:eastAsia="zh-CN"/>
              </w:rPr>
              <w:t>分28</w:t>
            </w:r>
            <w:r>
              <w:rPr>
                <w:rFonts w:hint="eastAsia" w:ascii="宋体" w:hAnsi="宋体" w:eastAsia="宋体" w:cs="宋体"/>
                <w:sz w:val="21"/>
                <w:szCs w:val="21"/>
                <w:highlight w:val="none"/>
              </w:rPr>
              <w:t>分；</w:t>
            </w:r>
            <w:r>
              <w:rPr>
                <w:rFonts w:hint="eastAsia" w:ascii="宋体" w:hAnsi="宋体" w:eastAsia="宋体" w:cs="宋体"/>
                <w:b/>
                <w:bCs/>
                <w:sz w:val="21"/>
                <w:szCs w:val="21"/>
                <w:highlight w:val="none"/>
              </w:rPr>
              <w:t>带△参数每有一项不满足扣3分，其他参数每有一项不满足扣0.5分，扣完为止。带△参数的投标产品需提供第三方佐证材料，并加盖公章</w:t>
            </w:r>
            <w:r>
              <w:rPr>
                <w:rFonts w:hint="eastAsia" w:ascii="宋体" w:hAnsi="宋体" w:eastAsia="宋体" w:cs="宋体"/>
                <w:b/>
                <w:bCs/>
                <w:sz w:val="21"/>
                <w:szCs w:val="21"/>
                <w:highlight w:val="none"/>
              </w:rPr>
              <w:t>，否则不得分。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w:t>
            </w:r>
            <w:r>
              <w:rPr>
                <w:rFonts w:hint="eastAsia" w:ascii="宋体" w:hAnsi="宋体" w:eastAsia="宋体" w:cs="宋体"/>
                <w:color w:val="auto"/>
                <w:sz w:val="21"/>
                <w:szCs w:val="21"/>
                <w:highlight w:val="none"/>
              </w:rPr>
              <w:t>28</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19"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X波段双偏振相控阵天气雷达设备技术性能</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对局地中小尺度天气系统的预报预警能力，是衡量相控阵天气雷达综合技术性能的重要标准，基于风场的新型产品是体现对局地中小尺度天气系统的预报预警能力的重要标准。对下述风暴相对螺旋度、对流指数、0-2小时风力外推预报和大风指数四项基于风场的新型产品的有无进行打分。（4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(1)具备风暴相对螺旋度产品得1分;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(2)具备对流指数产品得1分;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(3)具备风力外推预报产品得1分;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(4)具备大风指数产品得1分。</w:t>
            </w:r>
          </w:p>
          <w:p>
            <w:pPr>
              <w:tabs>
                <w:tab w:val="left" w:pos="1080"/>
              </w:tabs>
              <w:rPr>
                <w:rFonts w:hint="eastAsia" w:ascii="宋体" w:hAnsi="宋体" w:eastAsia="宋体" w:cs="宋体"/>
                <w:b/>
                <w:sz w:val="21"/>
                <w:szCs w:val="21"/>
                <w:highlight w:val="none"/>
              </w:rPr>
            </w:pPr>
            <w:r>
              <w:rPr>
                <w:rFonts w:hint="eastAsia" w:ascii="宋体" w:hAnsi="宋体" w:eastAsia="宋体" w:cs="宋体"/>
                <w:b/>
                <w:bCs/>
                <w:sz w:val="21"/>
                <w:szCs w:val="21"/>
                <w:highlight w:val="none"/>
              </w:rPr>
              <w:t>注：投标人需通过提供探测案例、详细描述产品生成方式和算法来证明以上新型产品的有无和真实性；探测案例来自实际业务中包含以上产品显示界面连续十个时次的截图、标明使用区域、加盖用户公章的用户证明（注明用户联系人及联系电话备查）</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须提供以上证明资料复印件并加盖投标单位公章，未提供相关材料或提供的材料不符合要求的不得分。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sz w:val="21"/>
                <w:szCs w:val="21"/>
              </w:rPr>
            </w:pPr>
            <w:r>
              <w:rPr>
                <w:rFonts w:hint="eastAsia" w:ascii="宋体" w:hAnsi="宋体" w:eastAsia="宋体" w:cs="宋体"/>
                <w:b/>
                <w:sz w:val="21"/>
                <w:szCs w:val="21"/>
              </w:rPr>
              <w:t>二</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ind w:firstLine="632" w:firstLineChars="300"/>
              <w:jc w:val="center"/>
              <w:rPr>
                <w:rFonts w:hint="eastAsia" w:ascii="宋体" w:hAnsi="宋体" w:eastAsia="宋体" w:cs="宋体"/>
                <w:b/>
                <w:sz w:val="21"/>
                <w:szCs w:val="21"/>
              </w:rPr>
            </w:pPr>
            <w:r>
              <w:rPr>
                <w:rFonts w:hint="eastAsia" w:ascii="宋体" w:hAnsi="宋体" w:eastAsia="宋体" w:cs="宋体"/>
                <w:b/>
                <w:sz w:val="21"/>
                <w:szCs w:val="21"/>
              </w:rPr>
              <w:t>商务分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92"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sz w:val="21"/>
                <w:szCs w:val="21"/>
                <w:highlight w:val="none"/>
              </w:rPr>
            </w:pPr>
            <w:r>
              <w:rPr>
                <w:rFonts w:hint="eastAsia" w:ascii="宋体" w:hAnsi="宋体" w:eastAsia="宋体" w:cs="宋体"/>
                <w:sz w:val="21"/>
                <w:szCs w:val="21"/>
                <w:highlight w:val="none"/>
              </w:rPr>
              <w:t>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售后服务承诺</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1、售后服务方案：包含售后服务人员安排；设备故障处置响应时间计划；投标产品的配件、附件、备品备件的准备情况等内容。其内容描述合理且具有针对性和可行性，详细、规范，无表述不一致问题，得3分；方案简单可行性一般的得1分；方案粗略或无可行性，得0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2、质保到期后四年内（即项目完成建设后第5-8年）承诺进行售后服务且优惠大的，得3分；承诺进行售后服务但优惠幅度小，得1分，除招标文件规定内容外无其他售后服务承诺的，得0分。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3、技术培训及技术支持方案：技术培训及技术支持方案较详细、全面、可行，得1分；技术培训及技术支持较粗略，无可行性的得0分。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4、当使用方提出故障申告或技术支持服务要求时，要求24小时以内到达现场响应得2分。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5、提供特殊故障的及时处置、应急预案并且方案具体合理的得1分，否则不得分。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6、</w:t>
            </w:r>
            <w:r>
              <w:rPr>
                <w:rFonts w:hint="eastAsia" w:ascii="宋体" w:hAnsi="宋体" w:eastAsia="宋体" w:cs="宋体"/>
                <w:color w:val="auto"/>
                <w:sz w:val="21"/>
                <w:szCs w:val="21"/>
                <w:highlight w:val="none"/>
              </w:rPr>
              <w:t>提供雷达系统应用软件：实现基于舟山多波段雷达融合的拼图和三维显示功能得1分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实现基于舟山多波段雷达融合的三维风场反演功能得2分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实现基于舟山多波段雷达融合应用的0-2小时降水、风力等网格精细化预报预警功能得2分。</w:t>
            </w:r>
            <w:r>
              <w:rPr>
                <w:rFonts w:hint="eastAsia" w:ascii="宋体" w:hAnsi="宋体" w:eastAsia="宋体" w:cs="宋体"/>
                <w:color w:val="auto"/>
                <w:sz w:val="21"/>
                <w:szCs w:val="21"/>
                <w:highlight w:val="none"/>
                <w:lang w:val="en-US" w:eastAsia="zh-CN"/>
              </w:rPr>
              <w:t>否则不得分。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7"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sz w:val="21"/>
                <w:szCs w:val="21"/>
              </w:rPr>
            </w:pPr>
            <w:r>
              <w:rPr>
                <w:rFonts w:hint="eastAsia" w:ascii="宋体" w:hAnsi="宋体" w:eastAsia="宋体" w:cs="宋体"/>
                <w:b/>
                <w:sz w:val="21"/>
                <w:szCs w:val="21"/>
              </w:rPr>
              <w:t>三</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tabs>
                <w:tab w:val="left" w:pos="1080"/>
              </w:tabs>
              <w:ind w:firstLine="316" w:firstLineChars="150"/>
              <w:jc w:val="center"/>
              <w:rPr>
                <w:rFonts w:hint="eastAsia" w:ascii="宋体" w:hAnsi="宋体" w:eastAsia="宋体" w:cs="宋体"/>
                <w:sz w:val="21"/>
                <w:szCs w:val="21"/>
              </w:rPr>
            </w:pPr>
            <w:r>
              <w:rPr>
                <w:rFonts w:hint="eastAsia" w:ascii="宋体" w:hAnsi="宋体" w:eastAsia="宋体" w:cs="宋体"/>
                <w:b/>
                <w:sz w:val="21"/>
                <w:szCs w:val="21"/>
              </w:rPr>
              <w:t>资信及其他分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sz w:val="21"/>
                <w:szCs w:val="21"/>
              </w:rPr>
            </w:pPr>
            <w:r>
              <w:rPr>
                <w:rFonts w:hint="eastAsia" w:ascii="宋体" w:hAnsi="宋体" w:eastAsia="宋体" w:cs="宋体"/>
                <w:b/>
                <w:sz w:val="21"/>
                <w:szCs w:val="21"/>
              </w:rPr>
              <w:t>11分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19"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认证证书</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rPr>
            </w:pPr>
            <w:r>
              <w:rPr>
                <w:rFonts w:hint="eastAsia" w:ascii="宋体" w:hAnsi="宋体" w:eastAsia="宋体" w:cs="宋体"/>
                <w:sz w:val="21"/>
                <w:szCs w:val="21"/>
              </w:rPr>
              <w:t>1、供应商具有有效的质量管理体系、环境管理体系、职业健康安全管理体系认证的，每项得1分，最高3分。</w:t>
            </w:r>
          </w:p>
          <w:p>
            <w:pPr>
              <w:tabs>
                <w:tab w:val="left" w:pos="1080"/>
              </w:tabs>
              <w:rPr>
                <w:rFonts w:hint="eastAsia" w:ascii="宋体" w:hAnsi="宋体" w:eastAsia="宋体" w:cs="宋体"/>
                <w:sz w:val="21"/>
                <w:szCs w:val="21"/>
              </w:rPr>
            </w:pPr>
            <w:r>
              <w:rPr>
                <w:rFonts w:hint="eastAsia" w:ascii="宋体" w:hAnsi="宋体" w:eastAsia="宋体" w:cs="宋体"/>
                <w:b/>
                <w:bCs/>
                <w:sz w:val="21"/>
                <w:szCs w:val="21"/>
              </w:rPr>
              <w:t>注：提供有效的证书复印件及全国认证信息公共服务平台查询截图，未提供不得分</w:t>
            </w:r>
            <w:r>
              <w:rPr>
                <w:rFonts w:hint="eastAsia" w:ascii="宋体" w:hAnsi="宋体" w:eastAsia="宋体" w:cs="宋体"/>
                <w:sz w:val="21"/>
                <w:szCs w:val="21"/>
              </w:rPr>
              <w:t>。</w:t>
            </w:r>
          </w:p>
          <w:p>
            <w:pPr>
              <w:tabs>
                <w:tab w:val="left" w:pos="1080"/>
              </w:tabs>
              <w:rPr>
                <w:rFonts w:hint="eastAsia" w:ascii="宋体" w:hAnsi="宋体" w:eastAsia="宋体" w:cs="宋体"/>
                <w:sz w:val="21"/>
                <w:szCs w:val="21"/>
              </w:rPr>
            </w:pPr>
            <w:r>
              <w:rPr>
                <w:rFonts w:hint="eastAsia" w:ascii="宋体" w:hAnsi="宋体" w:eastAsia="宋体" w:cs="宋体"/>
                <w:sz w:val="21"/>
                <w:szCs w:val="21"/>
              </w:rPr>
              <w:t>2、提供供应商所投产品有效期内无线电发射设备型号核准证书得1分；</w:t>
            </w:r>
            <w:r>
              <w:rPr>
                <w:rFonts w:hint="eastAsia" w:ascii="宋体" w:hAnsi="宋体" w:eastAsia="宋体" w:cs="宋体"/>
                <w:b/>
                <w:bCs/>
                <w:sz w:val="21"/>
                <w:szCs w:val="21"/>
              </w:rPr>
              <w:t>提供有效的证书扫描件，未提供不得分。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2"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企业业绩</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rPr>
            </w:pPr>
            <w:r>
              <w:rPr>
                <w:rFonts w:hint="eastAsia" w:ascii="宋体" w:hAnsi="宋体" w:eastAsia="宋体" w:cs="宋体"/>
                <w:sz w:val="21"/>
                <w:szCs w:val="21"/>
              </w:rPr>
              <w:t>评委根据供应商2020年1月1日至今的采购项目类似业绩进行评定（提供合同复印件并加盖供应商公章）：供应商提供的单个类似合同每个得1分，最高得3分。</w:t>
            </w:r>
          </w:p>
          <w:p>
            <w:pPr>
              <w:tabs>
                <w:tab w:val="left" w:pos="1080"/>
              </w:tabs>
              <w:rPr>
                <w:rFonts w:hint="eastAsia" w:ascii="宋体" w:hAnsi="宋体" w:eastAsia="宋体" w:cs="宋体"/>
                <w:sz w:val="21"/>
                <w:szCs w:val="21"/>
              </w:rPr>
            </w:pPr>
            <w:r>
              <w:rPr>
                <w:rFonts w:hint="eastAsia" w:ascii="宋体" w:hAnsi="宋体" w:eastAsia="宋体" w:cs="宋体"/>
                <w:b/>
                <w:bCs/>
                <w:sz w:val="21"/>
                <w:szCs w:val="21"/>
              </w:rPr>
              <w:t>注：须提供中标通知书、合同证明材料及验收证明材料，未提供不予认可。</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2"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080"/>
              </w:tabs>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项目负责人须具有工程师以上职称：电子或气象相关类工程师得1分，电子或气象相关类高级工程师得3分。</w:t>
            </w:r>
          </w:p>
          <w:p>
            <w:pPr>
              <w:tabs>
                <w:tab w:val="left" w:pos="1080"/>
              </w:tabs>
              <w:rPr>
                <w:rFonts w:hint="eastAsia" w:ascii="宋体" w:hAnsi="宋体" w:eastAsia="宋体" w:cs="宋体"/>
                <w:sz w:val="21"/>
                <w:szCs w:val="21"/>
                <w:highlight w:val="none"/>
              </w:rPr>
            </w:pPr>
            <w:r>
              <w:rPr>
                <w:rFonts w:hint="eastAsia" w:ascii="宋体" w:hAnsi="宋体" w:eastAsia="宋体" w:cs="宋体"/>
                <w:b/>
                <w:bCs/>
                <w:sz w:val="21"/>
                <w:szCs w:val="21"/>
                <w:highlight w:val="none"/>
              </w:rPr>
              <w:t>注：需同时提供有效的职称证书扫描件和在供应商参保的近</w:t>
            </w:r>
            <w:r>
              <w:rPr>
                <w:rFonts w:hint="eastAsia" w:ascii="宋体" w:hAnsi="宋体" w:eastAsia="宋体" w:cs="宋体"/>
                <w:b/>
                <w:bCs/>
                <w:sz w:val="21"/>
                <w:szCs w:val="21"/>
                <w:highlight w:val="none"/>
              </w:rPr>
              <w:t>3个月内任意一个月的社保缴纳证明，未提供或提供不全的不得分）。</w:t>
            </w: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080"/>
              </w:tabs>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54" w:hRule="exac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政策分</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rPr>
            </w:pPr>
            <w:r>
              <w:rPr>
                <w:rFonts w:hint="eastAsia" w:ascii="宋体" w:hAnsi="宋体" w:eastAsia="宋体" w:cs="宋体"/>
                <w:sz w:val="21"/>
                <w:szCs w:val="21"/>
              </w:rPr>
              <w:t>供应商所投产品属于在市场监管总局组织建立的“节能产品、 环境标志产品认证结果信息发布平台”公布的获证产品的得1分。</w:t>
            </w:r>
            <w:r>
              <w:rPr>
                <w:rFonts w:hint="eastAsia" w:ascii="宋体" w:hAnsi="宋体" w:eastAsia="宋体" w:cs="宋体"/>
                <w:b/>
                <w:sz w:val="21"/>
                <w:szCs w:val="21"/>
              </w:rPr>
              <w:t>供应商须在招标文件中提供相应证明材料（所投产品在“节能产品、环境标志产品认证结果信息发布平台”中所公布的网址、截图等证明材料），不提供证明材料不得分。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0-1分</w:t>
            </w:r>
          </w:p>
        </w:tc>
      </w:tr>
    </w:tbl>
    <w:p/>
    <w:p/>
    <w:p>
      <w:pPr>
        <w:pStyle w:val="9"/>
      </w:pPr>
    </w:p>
    <w:p>
      <w:pPr>
        <w:pStyle w:val="10"/>
        <w:ind w:firstLine="210"/>
      </w:pPr>
    </w:p>
    <w:p/>
    <w:p>
      <w:pPr>
        <w:pStyle w:val="10"/>
        <w:ind w:firstLine="210"/>
      </w:pPr>
    </w:p>
    <w:p>
      <w:pPr>
        <w:pStyle w:val="20"/>
        <w:ind w:left="0"/>
      </w:pPr>
    </w:p>
    <w:p/>
    <w:p>
      <w:pPr>
        <w:pStyle w:val="3"/>
      </w:pPr>
    </w:p>
    <w:p/>
    <w:p>
      <w:pPr>
        <w:pStyle w:val="3"/>
      </w:pPr>
    </w:p>
    <w:p/>
    <w:p>
      <w:pPr>
        <w:pStyle w:val="3"/>
      </w:pPr>
    </w:p>
    <w:p/>
    <w:p>
      <w:pPr>
        <w:pStyle w:val="3"/>
      </w:pPr>
    </w:p>
    <w:p/>
    <w:p>
      <w:pPr>
        <w:pStyle w:val="2"/>
      </w:pPr>
    </w:p>
    <w:p/>
    <w:p/>
    <w:p>
      <w:pPr>
        <w:pStyle w:val="3"/>
      </w:pPr>
    </w:p>
    <w:p/>
    <w:p>
      <w:pPr>
        <w:pStyle w:val="3"/>
      </w:pPr>
    </w:p>
    <w:p/>
    <w:p>
      <w:pPr>
        <w:rPr>
          <w:rFonts w:ascii="宋体" w:hAnsi="宋体"/>
          <w:b/>
          <w:bCs/>
          <w:sz w:val="32"/>
          <w:szCs w:val="32"/>
        </w:rPr>
      </w:pPr>
    </w:p>
    <w:p>
      <w:pPr>
        <w:spacing w:before="120" w:line="360" w:lineRule="auto"/>
        <w:jc w:val="center"/>
        <w:rPr>
          <w:rFonts w:ascii="宋体" w:hAnsi="宋体"/>
          <w:sz w:val="32"/>
          <w:szCs w:val="32"/>
        </w:rPr>
      </w:pPr>
      <w:r>
        <w:rPr>
          <w:rFonts w:ascii="宋体" w:hAnsi="宋体"/>
          <w:b/>
          <w:bCs/>
          <w:sz w:val="32"/>
          <w:szCs w:val="32"/>
        </w:rPr>
        <w:t>第五章  合同主要条款</w:t>
      </w:r>
    </w:p>
    <w:p>
      <w:pPr>
        <w:spacing w:line="360" w:lineRule="exact"/>
        <w:rPr>
          <w:rFonts w:ascii="宋体" w:hAnsi="宋体"/>
          <w:sz w:val="28"/>
          <w:szCs w:val="28"/>
        </w:rPr>
      </w:pPr>
    </w:p>
    <w:p>
      <w:pPr>
        <w:pStyle w:val="15"/>
        <w:spacing w:line="360" w:lineRule="auto"/>
        <w:ind w:firstLine="0" w:firstLineChars="0"/>
        <w:jc w:val="center"/>
        <w:rPr>
          <w:rFonts w:ascii="宋体"/>
        </w:rPr>
      </w:pPr>
      <w:r>
        <w:rPr>
          <w:rFonts w:hint="eastAsia" w:ascii="宋体"/>
        </w:rPr>
        <w:t>（此合同仅供参考,</w:t>
      </w:r>
      <w:r>
        <w:rPr>
          <w:rFonts w:hint="eastAsia" w:eastAsia="仿宋_GB2312"/>
        </w:rPr>
        <w:t>以最终双方签订的合同为准</w:t>
      </w:r>
      <w:r>
        <w:rPr>
          <w:rFonts w:hint="eastAsia" w:ascii="宋体"/>
        </w:rPr>
        <w:t>）</w:t>
      </w:r>
    </w:p>
    <w:p>
      <w:pPr>
        <w:spacing w:line="360" w:lineRule="auto"/>
        <w:jc w:val="center"/>
        <w:rPr>
          <w:rFonts w:ascii="宋体" w:hAnsi="宋体" w:cs="宋体"/>
          <w:sz w:val="44"/>
        </w:rPr>
      </w:pPr>
      <w:r>
        <w:rPr>
          <w:rFonts w:hint="eastAsia" w:ascii="宋体" w:hAnsi="宋体" w:cs="宋体"/>
          <w:sz w:val="44"/>
        </w:rPr>
        <w:t>项目合同</w:t>
      </w:r>
    </w:p>
    <w:p>
      <w:pPr>
        <w:spacing w:line="276" w:lineRule="auto"/>
        <w:jc w:val="center"/>
        <w:rPr>
          <w:rFonts w:ascii="宋体" w:hAnsi="宋体" w:cs="宋体"/>
          <w:sz w:val="30"/>
          <w:szCs w:val="30"/>
        </w:rPr>
      </w:pPr>
    </w:p>
    <w:p>
      <w:pPr>
        <w:spacing w:line="700" w:lineRule="exact"/>
        <w:ind w:firstLine="1026" w:firstLineChars="342"/>
        <w:rPr>
          <w:rFonts w:ascii="宋体" w:hAnsi="宋体" w:cs="宋体"/>
          <w:sz w:val="30"/>
          <w:szCs w:val="30"/>
        </w:rPr>
      </w:pPr>
      <w:r>
        <w:rPr>
          <w:rFonts w:hint="eastAsia" w:ascii="宋体" w:hAnsi="宋体" w:cs="宋体"/>
          <w:sz w:val="30"/>
          <w:szCs w:val="30"/>
        </w:rPr>
        <w:t>项目名称：</w:t>
      </w:r>
      <w:r>
        <w:rPr>
          <w:rFonts w:hint="eastAsia" w:ascii="宋体" w:hAnsi="宋体" w:cs="宋体"/>
          <w:sz w:val="30"/>
          <w:szCs w:val="30"/>
          <w:u w:val="single"/>
        </w:rPr>
        <w:t xml:space="preserve">                                        </w:t>
      </w:r>
    </w:p>
    <w:p>
      <w:pPr>
        <w:spacing w:line="500" w:lineRule="exact"/>
        <w:ind w:firstLine="354" w:firstLineChars="118"/>
        <w:rPr>
          <w:rFonts w:ascii="宋体" w:hAnsi="宋体" w:cs="宋体"/>
          <w:sz w:val="30"/>
          <w:szCs w:val="30"/>
        </w:rPr>
      </w:pPr>
    </w:p>
    <w:p>
      <w:pPr>
        <w:spacing w:line="700" w:lineRule="exact"/>
        <w:ind w:firstLine="1026" w:firstLineChars="342"/>
        <w:rPr>
          <w:rFonts w:ascii="宋体" w:hAnsi="宋体" w:cs="宋体"/>
          <w:sz w:val="30"/>
          <w:szCs w:val="30"/>
          <w:u w:val="single"/>
        </w:rPr>
      </w:pPr>
      <w:r>
        <w:rPr>
          <w:rFonts w:hint="eastAsia" w:ascii="宋体" w:hAnsi="宋体" w:cs="宋体"/>
          <w:sz w:val="30"/>
          <w:szCs w:val="30"/>
        </w:rPr>
        <w:t>项目编号：</w:t>
      </w:r>
      <w:r>
        <w:rPr>
          <w:rFonts w:hint="eastAsia" w:ascii="宋体" w:hAnsi="宋体" w:cs="宋体"/>
          <w:sz w:val="30"/>
          <w:szCs w:val="30"/>
          <w:u w:val="single"/>
        </w:rPr>
        <w:t xml:space="preserve">                                        </w:t>
      </w:r>
    </w:p>
    <w:p>
      <w:pPr>
        <w:spacing w:line="500" w:lineRule="exact"/>
        <w:rPr>
          <w:rFonts w:ascii="宋体" w:hAnsi="宋体" w:cs="宋体"/>
          <w:sz w:val="28"/>
          <w:szCs w:val="28"/>
        </w:rPr>
      </w:pPr>
    </w:p>
    <w:p>
      <w:pPr>
        <w:spacing w:line="700" w:lineRule="exact"/>
        <w:rPr>
          <w:rFonts w:ascii="宋体" w:hAnsi="宋体" w:cs="宋体"/>
          <w:sz w:val="30"/>
          <w:szCs w:val="30"/>
        </w:rPr>
      </w:pPr>
    </w:p>
    <w:p>
      <w:pPr>
        <w:spacing w:line="700" w:lineRule="exact"/>
        <w:rPr>
          <w:rFonts w:ascii="宋体" w:hAnsi="宋体" w:cs="宋体"/>
          <w:sz w:val="30"/>
          <w:szCs w:val="30"/>
        </w:rPr>
      </w:pPr>
    </w:p>
    <w:p>
      <w:pPr>
        <w:pStyle w:val="2"/>
      </w:pPr>
    </w:p>
    <w:p>
      <w:pPr>
        <w:spacing w:line="700" w:lineRule="exact"/>
        <w:ind w:firstLine="1026" w:firstLineChars="342"/>
        <w:rPr>
          <w:rFonts w:ascii="宋体" w:hAnsi="宋体" w:cs="宋体"/>
          <w:sz w:val="30"/>
          <w:szCs w:val="30"/>
        </w:rPr>
      </w:pPr>
      <w:r>
        <w:rPr>
          <w:rFonts w:hint="eastAsia" w:ascii="宋体" w:hAnsi="宋体" w:cs="宋体"/>
          <w:sz w:val="30"/>
          <w:szCs w:val="30"/>
        </w:rPr>
        <w:t>采购人（甲方）：</w:t>
      </w:r>
      <w:r>
        <w:rPr>
          <w:rFonts w:hint="eastAsia" w:ascii="宋体" w:hAnsi="宋体" w:cs="宋体"/>
          <w:sz w:val="36"/>
          <w:szCs w:val="36"/>
          <w:u w:val="single"/>
        </w:rPr>
        <w:t xml:space="preserve">                              </w:t>
      </w:r>
    </w:p>
    <w:p>
      <w:pPr>
        <w:spacing w:line="700" w:lineRule="exact"/>
        <w:ind w:firstLine="1026" w:firstLineChars="342"/>
        <w:rPr>
          <w:rFonts w:ascii="宋体" w:hAnsi="宋体" w:cs="宋体"/>
          <w:sz w:val="30"/>
          <w:szCs w:val="30"/>
        </w:rPr>
      </w:pPr>
      <w:r>
        <w:rPr>
          <w:rFonts w:hint="eastAsia" w:ascii="宋体" w:hAnsi="宋体" w:cs="宋体"/>
          <w:sz w:val="30"/>
          <w:szCs w:val="30"/>
        </w:rPr>
        <w:t>中标人（乙方）：</w:t>
      </w:r>
      <w:r>
        <w:rPr>
          <w:rFonts w:hint="eastAsia" w:ascii="宋体" w:hAnsi="宋体" w:cs="宋体"/>
          <w:sz w:val="36"/>
          <w:szCs w:val="36"/>
          <w:u w:val="single"/>
        </w:rPr>
        <w:t xml:space="preserve">                              </w:t>
      </w:r>
    </w:p>
    <w:p>
      <w:pPr>
        <w:spacing w:line="700" w:lineRule="exact"/>
        <w:ind w:firstLine="1026" w:firstLineChars="342"/>
        <w:rPr>
          <w:rFonts w:ascii="宋体" w:hAnsi="宋体" w:cs="宋体"/>
          <w:sz w:val="30"/>
          <w:szCs w:val="30"/>
        </w:rPr>
      </w:pPr>
      <w:r>
        <w:rPr>
          <w:rFonts w:hint="eastAsia" w:ascii="宋体" w:hAnsi="宋体" w:cs="宋体"/>
          <w:sz w:val="30"/>
          <w:szCs w:val="30"/>
        </w:rPr>
        <w:t>合同签定日：</w:t>
      </w:r>
      <w:r>
        <w:rPr>
          <w:rFonts w:hint="eastAsia" w:ascii="宋体" w:hAnsi="宋体" w:cs="宋体"/>
          <w:sz w:val="30"/>
          <w:szCs w:val="30"/>
          <w:u w:val="single"/>
        </w:rPr>
        <w:t xml:space="preserve">       年   月   日                     </w:t>
      </w:r>
    </w:p>
    <w:p>
      <w:pPr>
        <w:spacing w:line="700" w:lineRule="exact"/>
        <w:ind w:firstLine="1026" w:firstLineChars="342"/>
      </w:pPr>
      <w:r>
        <w:rPr>
          <w:rFonts w:hint="eastAsia" w:ascii="宋体" w:hAnsi="宋体" w:cs="宋体"/>
          <w:sz w:val="30"/>
          <w:szCs w:val="30"/>
        </w:rPr>
        <w:t>合同签定地点：</w:t>
      </w:r>
      <w:r>
        <w:rPr>
          <w:rFonts w:hint="eastAsia" w:ascii="宋体" w:hAnsi="宋体" w:cs="宋体"/>
          <w:sz w:val="36"/>
          <w:szCs w:val="36"/>
          <w:u w:val="single"/>
        </w:rPr>
        <w:t xml:space="preserve">  </w:t>
      </w:r>
      <w:r>
        <w:rPr>
          <w:rFonts w:hint="eastAsia" w:ascii="宋体" w:hAnsi="宋体" w:cs="宋体"/>
          <w:sz w:val="28"/>
          <w:szCs w:val="36"/>
          <w:u w:val="single"/>
        </w:rPr>
        <w:t xml:space="preserve">                </w:t>
      </w:r>
      <w:r>
        <w:rPr>
          <w:rFonts w:hint="eastAsia" w:ascii="宋体" w:hAnsi="宋体" w:cs="宋体"/>
          <w:sz w:val="36"/>
          <w:szCs w:val="36"/>
          <w:u w:val="single"/>
        </w:rPr>
        <w:t xml:space="preserve">                 </w:t>
      </w:r>
    </w:p>
    <w:p>
      <w:pPr>
        <w:pStyle w:val="14"/>
        <w:snapToGrid w:val="0"/>
        <w:spacing w:line="360" w:lineRule="auto"/>
        <w:ind w:firstLine="420" w:firstLineChars="200"/>
        <w:rPr>
          <w:rFonts w:ascii="仿宋" w:hAnsi="仿宋" w:cs="仿宋"/>
          <w:color w:val="000000"/>
          <w:sz w:val="21"/>
          <w:szCs w:val="21"/>
          <w:lang w:val="zh-CN"/>
        </w:rPr>
      </w:pPr>
    </w:p>
    <w:p>
      <w:pPr>
        <w:pStyle w:val="14"/>
        <w:snapToGrid w:val="0"/>
        <w:spacing w:line="360" w:lineRule="auto"/>
        <w:ind w:firstLine="420" w:firstLineChars="200"/>
        <w:rPr>
          <w:rFonts w:ascii="仿宋" w:hAnsi="仿宋" w:cs="仿宋"/>
          <w:color w:val="000000"/>
          <w:sz w:val="21"/>
          <w:szCs w:val="21"/>
          <w:lang w:val="zh-CN"/>
        </w:rPr>
      </w:pPr>
    </w:p>
    <w:p>
      <w:pPr>
        <w:pStyle w:val="14"/>
        <w:snapToGrid w:val="0"/>
        <w:spacing w:line="360" w:lineRule="auto"/>
        <w:ind w:firstLine="420" w:firstLineChars="200"/>
        <w:rPr>
          <w:rFonts w:ascii="仿宋" w:hAnsi="仿宋" w:cs="仿宋"/>
          <w:color w:val="000000"/>
          <w:sz w:val="21"/>
          <w:szCs w:val="21"/>
          <w:lang w:val="zh-CN"/>
        </w:rPr>
      </w:pPr>
    </w:p>
    <w:p>
      <w:pPr>
        <w:pStyle w:val="14"/>
        <w:snapToGrid w:val="0"/>
        <w:spacing w:line="360" w:lineRule="auto"/>
        <w:ind w:firstLine="420" w:firstLineChars="200"/>
        <w:rPr>
          <w:rFonts w:ascii="仿宋" w:hAnsi="仿宋" w:cs="仿宋"/>
          <w:color w:val="000000"/>
          <w:sz w:val="21"/>
          <w:szCs w:val="21"/>
          <w:lang w:val="zh-CN"/>
        </w:rPr>
      </w:pPr>
    </w:p>
    <w:p>
      <w:pPr>
        <w:pStyle w:val="14"/>
        <w:snapToGrid w:val="0"/>
        <w:spacing w:line="360" w:lineRule="auto"/>
        <w:ind w:firstLine="420" w:firstLineChars="200"/>
        <w:rPr>
          <w:rFonts w:ascii="仿宋" w:hAnsi="仿宋" w:cs="仿宋"/>
          <w:color w:val="000000"/>
          <w:sz w:val="21"/>
          <w:szCs w:val="21"/>
          <w:lang w:val="zh-CN"/>
        </w:rPr>
      </w:pPr>
    </w:p>
    <w:p>
      <w:pPr>
        <w:pStyle w:val="14"/>
        <w:snapToGrid w:val="0"/>
        <w:spacing w:line="360" w:lineRule="auto"/>
        <w:rPr>
          <w:rFonts w:ascii="仿宋" w:hAnsi="仿宋" w:cs="仿宋"/>
          <w:color w:val="000000"/>
          <w:sz w:val="21"/>
          <w:szCs w:val="21"/>
          <w:lang w:val="zh-CN"/>
        </w:rPr>
      </w:pP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甲、乙双方根据</w:t>
      </w:r>
      <w:r>
        <w:rPr>
          <w:rFonts w:ascii="仿宋" w:hAnsi="仿宋" w:cs="仿宋"/>
          <w:color w:val="000000"/>
          <w:sz w:val="21"/>
          <w:szCs w:val="21"/>
          <w:u w:val="single"/>
          <w:lang w:val="zh-CN"/>
        </w:rPr>
        <w:t xml:space="preserve">   </w:t>
      </w:r>
      <w:r>
        <w:rPr>
          <w:rFonts w:hint="eastAsia" w:ascii="仿宋" w:hAnsi="仿宋" w:cs="仿宋"/>
          <w:color w:val="000000"/>
          <w:sz w:val="21"/>
          <w:szCs w:val="21"/>
          <w:u w:val="single"/>
          <w:lang w:val="zh-CN"/>
        </w:rPr>
        <w:t>项目名称及编号</w:t>
      </w:r>
      <w:r>
        <w:rPr>
          <w:rFonts w:ascii="仿宋" w:hAnsi="仿宋" w:cs="仿宋"/>
          <w:color w:val="000000"/>
          <w:sz w:val="21"/>
          <w:szCs w:val="21"/>
          <w:u w:val="single"/>
          <w:lang w:val="zh-CN"/>
        </w:rPr>
        <w:t xml:space="preserve">   </w:t>
      </w:r>
      <w:r>
        <w:rPr>
          <w:rFonts w:hint="eastAsia" w:ascii="仿宋" w:hAnsi="仿宋" w:cs="仿宋"/>
          <w:color w:val="000000"/>
          <w:sz w:val="21"/>
          <w:szCs w:val="21"/>
          <w:lang w:val="zh-CN"/>
        </w:rPr>
        <w:t>公开招标的结果，签署本合同。</w:t>
      </w:r>
    </w:p>
    <w:p>
      <w:pPr>
        <w:spacing w:line="360" w:lineRule="auto"/>
        <w:ind w:firstLine="420" w:firstLineChars="200"/>
        <w:rPr>
          <w:rFonts w:ascii="仿宋" w:cs="仿宋"/>
          <w:color w:val="000000"/>
          <w:szCs w:val="21"/>
          <w:lang w:val="zh-CN"/>
        </w:rPr>
      </w:pPr>
      <w:r>
        <w:rPr>
          <w:rFonts w:hint="eastAsia" w:ascii="仿宋" w:hAnsi="仿宋" w:cs="仿宋"/>
          <w:color w:val="000000"/>
          <w:szCs w:val="21"/>
          <w:lang w:val="zh-CN"/>
        </w:rPr>
        <w:t>一、合同文件：</w:t>
      </w:r>
      <w:r>
        <w:rPr>
          <w:rFonts w:ascii="仿宋" w:hAnsi="仿宋" w:cs="仿宋"/>
          <w:color w:val="000000"/>
          <w:szCs w:val="21"/>
          <w:lang w:val="zh-CN"/>
        </w:rPr>
        <w:t xml:space="preserve"> </w:t>
      </w:r>
    </w:p>
    <w:p>
      <w:pPr>
        <w:spacing w:line="360" w:lineRule="auto"/>
        <w:ind w:firstLine="420" w:firstLineChars="200"/>
        <w:rPr>
          <w:rFonts w:ascii="仿宋" w:cs="仿宋"/>
          <w:color w:val="000000"/>
          <w:szCs w:val="21"/>
          <w:lang w:val="zh-CN"/>
        </w:rPr>
      </w:pPr>
      <w:r>
        <w:rPr>
          <w:rFonts w:ascii="仿宋" w:hAnsi="仿宋" w:cs="仿宋"/>
          <w:color w:val="000000"/>
          <w:szCs w:val="21"/>
          <w:lang w:val="zh-CN"/>
        </w:rPr>
        <w:t>1</w:t>
      </w:r>
      <w:r>
        <w:rPr>
          <w:rFonts w:hint="eastAsia" w:ascii="仿宋" w:hAnsi="仿宋" w:cs="仿宋"/>
          <w:color w:val="000000"/>
          <w:szCs w:val="21"/>
          <w:lang w:val="zh-CN"/>
        </w:rPr>
        <w:t>、合同条款。</w:t>
      </w:r>
    </w:p>
    <w:p>
      <w:pPr>
        <w:spacing w:line="360" w:lineRule="auto"/>
        <w:ind w:firstLine="420" w:firstLineChars="200"/>
        <w:rPr>
          <w:rFonts w:ascii="仿宋" w:cs="仿宋"/>
          <w:color w:val="000000"/>
          <w:szCs w:val="21"/>
          <w:lang w:val="zh-CN"/>
        </w:rPr>
      </w:pPr>
      <w:r>
        <w:rPr>
          <w:rFonts w:ascii="仿宋" w:hAnsi="仿宋" w:cs="仿宋"/>
          <w:color w:val="000000"/>
          <w:szCs w:val="21"/>
          <w:lang w:val="zh-CN"/>
        </w:rPr>
        <w:t>2</w:t>
      </w:r>
      <w:r>
        <w:rPr>
          <w:rFonts w:hint="eastAsia" w:ascii="仿宋" w:hAnsi="仿宋" w:cs="仿宋"/>
          <w:color w:val="000000"/>
          <w:szCs w:val="21"/>
          <w:lang w:val="zh-CN"/>
        </w:rPr>
        <w:t>、中标通知书。</w:t>
      </w:r>
    </w:p>
    <w:p>
      <w:pPr>
        <w:spacing w:line="360" w:lineRule="auto"/>
        <w:ind w:firstLine="420" w:firstLineChars="200"/>
        <w:rPr>
          <w:rFonts w:ascii="仿宋" w:cs="仿宋"/>
          <w:color w:val="000000"/>
          <w:szCs w:val="21"/>
          <w:lang w:val="zh-CN"/>
        </w:rPr>
      </w:pPr>
      <w:r>
        <w:rPr>
          <w:rFonts w:ascii="仿宋" w:hAnsi="仿宋" w:cs="仿宋"/>
          <w:color w:val="000000"/>
          <w:szCs w:val="21"/>
          <w:lang w:val="zh-CN"/>
        </w:rPr>
        <w:t>3</w:t>
      </w:r>
      <w:r>
        <w:rPr>
          <w:rFonts w:hint="eastAsia" w:ascii="仿宋" w:hAnsi="仿宋" w:cs="仿宋"/>
          <w:color w:val="000000"/>
          <w:szCs w:val="21"/>
          <w:lang w:val="zh-CN"/>
        </w:rPr>
        <w:t>、更正补充文件。</w:t>
      </w:r>
    </w:p>
    <w:p>
      <w:pPr>
        <w:spacing w:line="360" w:lineRule="auto"/>
        <w:ind w:firstLine="420" w:firstLineChars="200"/>
        <w:rPr>
          <w:rFonts w:ascii="仿宋" w:cs="仿宋"/>
          <w:color w:val="000000"/>
          <w:szCs w:val="21"/>
          <w:lang w:val="zh-CN"/>
        </w:rPr>
      </w:pPr>
      <w:r>
        <w:rPr>
          <w:rFonts w:ascii="仿宋" w:hAnsi="仿宋" w:cs="仿宋"/>
          <w:color w:val="000000"/>
          <w:szCs w:val="21"/>
          <w:lang w:val="zh-CN"/>
        </w:rPr>
        <w:t>4</w:t>
      </w:r>
      <w:r>
        <w:rPr>
          <w:rFonts w:hint="eastAsia" w:ascii="仿宋" w:hAnsi="仿宋" w:cs="仿宋"/>
          <w:color w:val="000000"/>
          <w:szCs w:val="21"/>
          <w:lang w:val="zh-CN"/>
        </w:rPr>
        <w:t>、招标文件。</w:t>
      </w:r>
    </w:p>
    <w:p>
      <w:pPr>
        <w:spacing w:line="360" w:lineRule="auto"/>
        <w:ind w:firstLine="420" w:firstLineChars="200"/>
        <w:rPr>
          <w:rFonts w:ascii="仿宋" w:cs="仿宋"/>
          <w:color w:val="000000"/>
          <w:szCs w:val="21"/>
          <w:lang w:val="zh-CN"/>
        </w:rPr>
      </w:pPr>
      <w:r>
        <w:rPr>
          <w:rFonts w:ascii="仿宋" w:hAnsi="仿宋" w:cs="仿宋"/>
          <w:color w:val="000000"/>
          <w:szCs w:val="21"/>
          <w:lang w:val="zh-CN"/>
        </w:rPr>
        <w:t>5</w:t>
      </w:r>
      <w:r>
        <w:rPr>
          <w:rFonts w:hint="eastAsia" w:ascii="仿宋" w:hAnsi="仿宋" w:cs="仿宋"/>
          <w:color w:val="000000"/>
          <w:szCs w:val="21"/>
          <w:lang w:val="zh-CN"/>
        </w:rPr>
        <w:t>、中标人投标文件。</w:t>
      </w:r>
    </w:p>
    <w:p>
      <w:pPr>
        <w:spacing w:line="360" w:lineRule="auto"/>
        <w:ind w:firstLine="420" w:firstLineChars="200"/>
        <w:rPr>
          <w:rFonts w:ascii="仿宋" w:cs="仿宋"/>
          <w:color w:val="000000"/>
          <w:szCs w:val="21"/>
          <w:lang w:val="zh-CN"/>
        </w:rPr>
      </w:pPr>
      <w:r>
        <w:rPr>
          <w:rFonts w:ascii="仿宋" w:hAnsi="仿宋" w:cs="仿宋"/>
          <w:color w:val="000000"/>
          <w:szCs w:val="21"/>
          <w:lang w:val="zh-CN"/>
        </w:rPr>
        <w:t>6</w:t>
      </w:r>
      <w:r>
        <w:rPr>
          <w:rFonts w:hint="eastAsia" w:ascii="仿宋" w:hAnsi="仿宋" w:cs="仿宋"/>
          <w:color w:val="000000"/>
          <w:szCs w:val="21"/>
          <w:lang w:val="zh-CN"/>
        </w:rPr>
        <w:t>、其他。</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上述所指合同文件应认为是互相补充和解释的，但是有模棱两可或互相矛盾之处，以其所列内容顺序为准。</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二、系统及设备内容</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1. </w:t>
      </w:r>
      <w:r>
        <w:rPr>
          <w:rFonts w:hint="eastAsia" w:ascii="仿宋" w:hAnsi="仿宋" w:cs="仿宋"/>
          <w:color w:val="000000"/>
          <w:sz w:val="21"/>
          <w:szCs w:val="21"/>
          <w:lang w:val="zh-CN"/>
        </w:rPr>
        <w:t>系统及设备名称：</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2. </w:t>
      </w:r>
      <w:r>
        <w:rPr>
          <w:rFonts w:hint="eastAsia" w:ascii="仿宋" w:hAnsi="仿宋" w:cs="仿宋"/>
          <w:color w:val="000000"/>
          <w:sz w:val="21"/>
          <w:szCs w:val="21"/>
          <w:lang w:val="zh-CN"/>
        </w:rPr>
        <w:t>型号规格：</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3. </w:t>
      </w:r>
      <w:r>
        <w:rPr>
          <w:rFonts w:hint="eastAsia" w:ascii="仿宋" w:hAnsi="仿宋" w:cs="仿宋"/>
          <w:color w:val="000000"/>
          <w:sz w:val="21"/>
          <w:szCs w:val="21"/>
          <w:lang w:val="zh-CN"/>
        </w:rPr>
        <w:t>技术参数：</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4. </w:t>
      </w:r>
      <w:r>
        <w:rPr>
          <w:rFonts w:hint="eastAsia" w:ascii="仿宋" w:hAnsi="仿宋" w:cs="仿宋"/>
          <w:color w:val="000000"/>
          <w:sz w:val="21"/>
          <w:szCs w:val="21"/>
          <w:lang w:val="zh-CN"/>
        </w:rPr>
        <w:t>数量（单位）：</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三、合同金额</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本项目为固定金额合同，合同金额为（大写）：</w:t>
      </w:r>
      <w:r>
        <w:rPr>
          <w:rFonts w:ascii="仿宋" w:hAnsi="仿宋" w:cs="仿宋"/>
          <w:color w:val="000000"/>
          <w:sz w:val="21"/>
          <w:szCs w:val="21"/>
          <w:lang w:val="zh-CN"/>
        </w:rPr>
        <w:t>________</w:t>
      </w:r>
      <w:r>
        <w:rPr>
          <w:rFonts w:hint="eastAsia" w:ascii="仿宋" w:hAnsi="仿宋" w:cs="仿宋"/>
          <w:color w:val="000000"/>
          <w:sz w:val="21"/>
          <w:szCs w:val="21"/>
          <w:lang w:val="zh-CN"/>
        </w:rPr>
        <w:t>元（￥</w:t>
      </w:r>
      <w:r>
        <w:rPr>
          <w:rFonts w:ascii="仿宋" w:hAnsi="仿宋" w:cs="仿宋"/>
          <w:color w:val="000000"/>
          <w:sz w:val="21"/>
          <w:szCs w:val="21"/>
          <w:lang w:val="zh-CN"/>
        </w:rPr>
        <w:t>_____</w:t>
      </w:r>
      <w:r>
        <w:rPr>
          <w:rFonts w:hint="eastAsia" w:ascii="仿宋" w:hAnsi="仿宋" w:cs="仿宋"/>
          <w:color w:val="000000"/>
          <w:sz w:val="21"/>
          <w:szCs w:val="21"/>
          <w:lang w:val="zh-CN"/>
        </w:rPr>
        <w:t>元）人民币。</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四、技术资料</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1.</w:t>
      </w:r>
      <w:r>
        <w:rPr>
          <w:rFonts w:hint="eastAsia" w:ascii="仿宋" w:hAnsi="仿宋" w:cs="仿宋"/>
          <w:color w:val="000000"/>
          <w:sz w:val="21"/>
          <w:szCs w:val="21"/>
          <w:lang w:val="zh-CN"/>
        </w:rPr>
        <w:t>乙方应按招标文件规定的时间向甲方提供使用系统及设备的有关技术资料。</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2.</w:t>
      </w:r>
      <w:r>
        <w:rPr>
          <w:rFonts w:hint="eastAsia" w:ascii="仿宋" w:hAnsi="仿宋" w:cs="仿宋"/>
          <w:color w:val="000000"/>
          <w:sz w:val="21"/>
          <w:szCs w:val="21"/>
          <w:lang w:val="zh-CN"/>
        </w:rPr>
        <w:t>没有甲方事先书面同意，乙方不得将由甲方提供的有关合同或任何合同条文、技术方案、样品或产品说明资料提供给与履行本合同无关的任何其他人。即使向履行本合同有关的人员提供，也应注意保密并限于履行合同的必需范围。</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五、知识产权</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乙方应保证所提供的系统及设备或其任何一部分均不会侵犯任何第三方的知识产权。</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六、转包或分包</w:t>
      </w:r>
    </w:p>
    <w:p>
      <w:pPr>
        <w:snapToGrid w:val="0"/>
        <w:spacing w:line="360" w:lineRule="auto"/>
        <w:ind w:firstLine="420" w:firstLineChars="200"/>
        <w:rPr>
          <w:rFonts w:ascii="仿宋" w:cs="仿宋"/>
          <w:color w:val="000000"/>
          <w:szCs w:val="21"/>
          <w:lang w:val="zh-CN"/>
        </w:rPr>
      </w:pPr>
      <w:r>
        <w:rPr>
          <w:rFonts w:ascii="仿宋" w:hAnsi="仿宋" w:cs="仿宋"/>
          <w:color w:val="000000"/>
          <w:szCs w:val="21"/>
          <w:lang w:val="zh-CN"/>
        </w:rPr>
        <w:t>1.</w:t>
      </w:r>
      <w:r>
        <w:rPr>
          <w:rFonts w:hint="eastAsia" w:ascii="仿宋" w:hAnsi="仿宋" w:cs="仿宋"/>
          <w:color w:val="000000"/>
          <w:szCs w:val="21"/>
          <w:lang w:val="zh-CN"/>
        </w:rPr>
        <w:t>本合同范围的系统及设备，应由乙方直接供应，不得转让他人供应；</w:t>
      </w:r>
    </w:p>
    <w:p>
      <w:pPr>
        <w:snapToGrid w:val="0"/>
        <w:spacing w:line="360" w:lineRule="auto"/>
        <w:ind w:firstLine="420" w:firstLineChars="200"/>
        <w:rPr>
          <w:rFonts w:ascii="仿宋" w:cs="仿宋"/>
          <w:color w:val="000000"/>
          <w:szCs w:val="21"/>
          <w:lang w:val="zh-CN"/>
        </w:rPr>
      </w:pPr>
      <w:r>
        <w:rPr>
          <w:rFonts w:ascii="仿宋" w:hAnsi="仿宋" w:cs="仿宋"/>
          <w:color w:val="000000"/>
          <w:szCs w:val="21"/>
          <w:lang w:val="zh-CN"/>
        </w:rPr>
        <w:t>2.</w:t>
      </w:r>
      <w:r>
        <w:rPr>
          <w:rFonts w:hint="eastAsia" w:ascii="仿宋" w:hAnsi="仿宋" w:cs="仿宋"/>
          <w:color w:val="000000"/>
          <w:szCs w:val="21"/>
          <w:lang w:val="zh-CN"/>
        </w:rPr>
        <w:t>除非得到甲方的书面同意，乙方不得将本合同范围的系统及设备全部或部分分包给他人供应；</w:t>
      </w:r>
    </w:p>
    <w:p>
      <w:pPr>
        <w:snapToGrid w:val="0"/>
        <w:spacing w:line="360" w:lineRule="auto"/>
        <w:ind w:firstLine="420" w:firstLineChars="200"/>
        <w:rPr>
          <w:rFonts w:ascii="仿宋" w:cs="仿宋"/>
          <w:color w:val="000000"/>
          <w:szCs w:val="21"/>
          <w:lang w:val="zh-CN"/>
        </w:rPr>
      </w:pPr>
      <w:r>
        <w:rPr>
          <w:rFonts w:ascii="仿宋" w:hAnsi="仿宋" w:cs="仿宋"/>
          <w:color w:val="000000"/>
          <w:szCs w:val="21"/>
          <w:lang w:val="zh-CN"/>
        </w:rPr>
        <w:t>3.</w:t>
      </w:r>
      <w:r>
        <w:rPr>
          <w:rFonts w:hint="eastAsia" w:ascii="仿宋" w:hAnsi="仿宋" w:cs="仿宋"/>
          <w:color w:val="000000"/>
          <w:szCs w:val="21"/>
          <w:lang w:val="zh-CN"/>
        </w:rPr>
        <w:t>如有转让和未经甲方同意的分包行为，甲方有权解除合同，并追究乙方的违约责任。</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rPr>
        <w:t>七</w:t>
      </w:r>
      <w:r>
        <w:rPr>
          <w:rFonts w:hint="eastAsia" w:ascii="仿宋" w:hAnsi="仿宋" w:cs="仿宋"/>
          <w:color w:val="000000"/>
          <w:sz w:val="21"/>
          <w:szCs w:val="21"/>
          <w:lang w:val="zh-CN"/>
        </w:rPr>
        <w:t>、项目工期、交货方式及交货地点</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1. </w:t>
      </w:r>
      <w:r>
        <w:rPr>
          <w:rFonts w:hint="eastAsia" w:ascii="仿宋" w:hAnsi="仿宋" w:cs="仿宋"/>
          <w:color w:val="000000"/>
          <w:sz w:val="21"/>
          <w:szCs w:val="21"/>
          <w:lang w:val="zh-CN"/>
        </w:rPr>
        <w:t>项目工期：</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2. </w:t>
      </w:r>
      <w:r>
        <w:rPr>
          <w:rFonts w:hint="eastAsia" w:ascii="仿宋" w:hAnsi="仿宋" w:cs="仿宋"/>
          <w:color w:val="000000"/>
          <w:sz w:val="21"/>
          <w:szCs w:val="21"/>
          <w:lang w:val="zh-CN"/>
        </w:rPr>
        <w:t>交货方式：</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3. </w:t>
      </w:r>
      <w:r>
        <w:rPr>
          <w:rFonts w:hint="eastAsia" w:ascii="仿宋" w:hAnsi="仿宋" w:cs="仿宋"/>
          <w:color w:val="000000"/>
          <w:sz w:val="21"/>
          <w:szCs w:val="21"/>
          <w:lang w:val="zh-CN"/>
        </w:rPr>
        <w:t>交货地点：</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rPr>
        <w:t>八</w:t>
      </w:r>
      <w:r>
        <w:rPr>
          <w:rFonts w:hint="eastAsia" w:ascii="仿宋" w:hAnsi="仿宋" w:cs="仿宋"/>
          <w:color w:val="000000"/>
          <w:sz w:val="21"/>
          <w:szCs w:val="21"/>
          <w:lang w:val="zh-CN"/>
        </w:rPr>
        <w:t>、合同款支付</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付款方式：</w:t>
      </w:r>
    </w:p>
    <w:p>
      <w:pPr>
        <w:snapToGrid w:val="0"/>
        <w:spacing w:line="360" w:lineRule="auto"/>
        <w:ind w:firstLine="420" w:firstLineChars="200"/>
        <w:rPr>
          <w:rFonts w:ascii="仿宋" w:cs="仿宋"/>
          <w:color w:val="000000"/>
          <w:szCs w:val="21"/>
          <w:lang w:val="zh-CN"/>
        </w:rPr>
      </w:pPr>
      <w:r>
        <w:rPr>
          <w:rFonts w:hint="eastAsia" w:ascii="仿宋" w:hAnsi="仿宋" w:cs="仿宋"/>
          <w:color w:val="000000"/>
          <w:szCs w:val="21"/>
        </w:rPr>
        <w:t>九</w:t>
      </w:r>
      <w:r>
        <w:rPr>
          <w:rFonts w:hint="eastAsia" w:ascii="仿宋" w:hAnsi="仿宋" w:cs="仿宋"/>
          <w:color w:val="000000"/>
          <w:szCs w:val="21"/>
          <w:lang w:val="zh-CN"/>
        </w:rPr>
        <w:t>、税费</w:t>
      </w:r>
    </w:p>
    <w:p>
      <w:pPr>
        <w:snapToGrid w:val="0"/>
        <w:spacing w:line="360" w:lineRule="auto"/>
        <w:ind w:firstLine="420" w:firstLineChars="200"/>
        <w:rPr>
          <w:rFonts w:ascii="仿宋" w:cs="仿宋"/>
          <w:color w:val="000000"/>
          <w:szCs w:val="21"/>
          <w:lang w:val="zh-CN"/>
        </w:rPr>
      </w:pPr>
      <w:r>
        <w:rPr>
          <w:rFonts w:hint="eastAsia" w:ascii="仿宋" w:hAnsi="仿宋" w:cs="仿宋"/>
          <w:color w:val="000000"/>
          <w:szCs w:val="21"/>
          <w:lang w:val="zh-CN"/>
        </w:rPr>
        <w:t>本合同执行中相关的一切税费均由乙方负担。</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十、质量保证及售后服务</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1. </w:t>
      </w:r>
      <w:r>
        <w:rPr>
          <w:rFonts w:hint="eastAsia" w:ascii="仿宋" w:hAnsi="仿宋" w:cs="仿宋"/>
          <w:color w:val="000000"/>
          <w:sz w:val="21"/>
          <w:szCs w:val="21"/>
          <w:lang w:val="zh-CN"/>
        </w:rPr>
        <w:t>乙方应按招标文件规定的系统及设备性能、技术要求、质量标准向甲方提供未经使用的全新产品。</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2.</w:t>
      </w:r>
      <w:r>
        <w:rPr>
          <w:rFonts w:hint="eastAsia" w:ascii="仿宋" w:hAnsi="仿宋" w:cs="仿宋"/>
          <w:color w:val="000000"/>
          <w:sz w:val="21"/>
          <w:szCs w:val="21"/>
          <w:lang w:val="zh-CN"/>
        </w:rPr>
        <w:t>乙方提供的系统及设备在质保期内因系统及设备本身的质量问题发生故障，乙方应负责免费更换。对达不到技术要求者，根据实际情况，经双方协商，可按以下办法处理：</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⑴更换：由乙方承担所发生的全部费用。</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⑵贬值处理：由甲乙双方合议定价。</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⑶退货处理：乙方应退还甲方支付的合同款，同时应承担该系统及设备的直接费用（运输、保险、检验、货款利息及银行手续费等）。</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3.</w:t>
      </w:r>
      <w:r>
        <w:rPr>
          <w:rFonts w:hint="eastAsia" w:ascii="仿宋" w:hAnsi="仿宋" w:cs="仿宋"/>
          <w:color w:val="000000"/>
          <w:sz w:val="21"/>
          <w:szCs w:val="21"/>
          <w:lang w:val="zh-CN"/>
        </w:rPr>
        <w:t>如在使用过程中发生质量问题，乙方在接到甲方通知后在</w:t>
      </w:r>
      <w:r>
        <w:rPr>
          <w:rFonts w:ascii="仿宋" w:hAnsi="仿宋" w:cs="仿宋"/>
          <w:color w:val="000000"/>
          <w:sz w:val="21"/>
          <w:szCs w:val="21"/>
          <w:u w:val="single"/>
          <w:lang w:val="zh-CN"/>
        </w:rPr>
        <w:t xml:space="preserve"> </w:t>
      </w:r>
      <w:r>
        <w:rPr>
          <w:rFonts w:ascii="仿宋" w:hAnsi="仿宋" w:cs="仿宋"/>
          <w:color w:val="000000"/>
          <w:sz w:val="21"/>
          <w:szCs w:val="21"/>
          <w:u w:val="single"/>
        </w:rPr>
        <w:t xml:space="preserve"> </w:t>
      </w:r>
      <w:r>
        <w:rPr>
          <w:rFonts w:hint="eastAsia" w:ascii="仿宋" w:hAnsi="仿宋" w:cs="仿宋"/>
          <w:color w:val="000000"/>
          <w:sz w:val="21"/>
          <w:szCs w:val="21"/>
          <w:lang w:val="zh-CN"/>
        </w:rPr>
        <w:t>小时内到达甲方现场。</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4.</w:t>
      </w:r>
      <w:r>
        <w:rPr>
          <w:rFonts w:hint="eastAsia" w:ascii="仿宋" w:hAnsi="仿宋" w:cs="仿宋"/>
          <w:color w:val="000000"/>
          <w:sz w:val="21"/>
          <w:szCs w:val="21"/>
          <w:lang w:val="zh-CN"/>
        </w:rPr>
        <w:t>在质保期内，乙方应对系统及设备出现的质量及安全问题负责处理解决并承担一切费用。</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5.</w:t>
      </w:r>
      <w:r>
        <w:rPr>
          <w:rFonts w:hint="eastAsia" w:ascii="仿宋" w:hAnsi="仿宋" w:cs="仿宋"/>
          <w:color w:val="000000"/>
          <w:sz w:val="21"/>
          <w:szCs w:val="21"/>
          <w:lang w:val="zh-CN"/>
        </w:rPr>
        <w:t>上述的系统及设备免费保修期为</w:t>
      </w:r>
      <w:r>
        <w:rPr>
          <w:rFonts w:ascii="仿宋" w:hAnsi="仿宋" w:cs="仿宋"/>
          <w:color w:val="000000"/>
          <w:sz w:val="21"/>
          <w:szCs w:val="21"/>
          <w:u w:val="single"/>
          <w:lang w:val="zh-CN"/>
        </w:rPr>
        <w:t xml:space="preserve"> </w:t>
      </w:r>
      <w:r>
        <w:rPr>
          <w:rFonts w:hint="eastAsia" w:ascii="仿宋" w:hAnsi="仿宋" w:cs="仿宋"/>
          <w:color w:val="000000"/>
          <w:sz w:val="21"/>
          <w:szCs w:val="21"/>
          <w:u w:val="single"/>
        </w:rPr>
        <w:t xml:space="preserve"> </w:t>
      </w:r>
      <w:r>
        <w:rPr>
          <w:rFonts w:hint="eastAsia" w:ascii="仿宋" w:hAnsi="仿宋" w:cs="仿宋"/>
          <w:color w:val="000000"/>
          <w:sz w:val="21"/>
          <w:szCs w:val="21"/>
          <w:lang w:val="zh-CN"/>
        </w:rPr>
        <w:t>年，因人为因素出现的故障不在免费保修范围内。</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超过保修期的机器设备，终生维修，维修时只收部件成本费。</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十</w:t>
      </w:r>
      <w:r>
        <w:rPr>
          <w:rFonts w:hint="eastAsia" w:ascii="仿宋" w:hAnsi="仿宋" w:cs="仿宋"/>
          <w:color w:val="000000"/>
          <w:sz w:val="21"/>
          <w:szCs w:val="21"/>
        </w:rPr>
        <w:t>一</w:t>
      </w:r>
      <w:r>
        <w:rPr>
          <w:rFonts w:hint="eastAsia" w:ascii="仿宋" w:hAnsi="仿宋" w:cs="仿宋"/>
          <w:color w:val="000000"/>
          <w:sz w:val="21"/>
          <w:szCs w:val="21"/>
          <w:lang w:val="zh-CN"/>
        </w:rPr>
        <w:t>、验收</w:t>
      </w:r>
    </w:p>
    <w:p>
      <w:pPr>
        <w:pStyle w:val="14"/>
        <w:snapToGrid w:val="0"/>
        <w:spacing w:line="360" w:lineRule="auto"/>
        <w:ind w:firstLine="420" w:firstLineChars="200"/>
        <w:rPr>
          <w:rFonts w:ascii="仿宋" w:cs="仿宋"/>
          <w:sz w:val="21"/>
          <w:szCs w:val="21"/>
          <w:lang w:val="zh-CN"/>
        </w:rPr>
      </w:pPr>
      <w:r>
        <w:rPr>
          <w:rFonts w:ascii="仿宋" w:hAnsi="仿宋" w:cs="仿宋"/>
          <w:sz w:val="21"/>
          <w:szCs w:val="21"/>
          <w:lang w:val="zh-CN"/>
        </w:rPr>
        <w:t>1.</w:t>
      </w:r>
      <w:r>
        <w:rPr>
          <w:rFonts w:hint="eastAsia" w:ascii="仿宋" w:hAnsi="仿宋" w:cs="仿宋"/>
          <w:sz w:val="21"/>
          <w:szCs w:val="21"/>
          <w:lang w:val="zh-CN"/>
        </w:rPr>
        <w:t>系统功能要求</w:t>
      </w:r>
    </w:p>
    <w:p>
      <w:pPr>
        <w:pStyle w:val="14"/>
        <w:snapToGrid w:val="0"/>
        <w:spacing w:line="360" w:lineRule="auto"/>
        <w:ind w:firstLine="420" w:firstLineChars="200"/>
        <w:rPr>
          <w:rFonts w:ascii="仿宋" w:cs="仿宋"/>
          <w:sz w:val="21"/>
          <w:szCs w:val="21"/>
          <w:lang w:val="zh-CN"/>
        </w:rPr>
      </w:pPr>
      <w:r>
        <w:rPr>
          <w:rFonts w:hint="eastAsia" w:ascii="仿宋" w:hAnsi="仿宋" w:cs="仿宋"/>
          <w:sz w:val="21"/>
          <w:szCs w:val="21"/>
          <w:lang w:val="zh-CN"/>
        </w:rPr>
        <w:t>本系统功能须包含功能清单中所列举的功能点和功能描述，并满足要求</w:t>
      </w:r>
      <w:r>
        <w:rPr>
          <w:rFonts w:ascii="仿宋" w:cs="仿宋"/>
          <w:sz w:val="21"/>
          <w:szCs w:val="21"/>
          <w:lang w:val="zh-CN"/>
        </w:rPr>
        <w:t>.</w:t>
      </w:r>
    </w:p>
    <w:p>
      <w:pPr>
        <w:pStyle w:val="14"/>
        <w:snapToGrid w:val="0"/>
        <w:spacing w:line="360" w:lineRule="auto"/>
        <w:ind w:firstLine="420" w:firstLineChars="200"/>
        <w:rPr>
          <w:rFonts w:ascii="仿宋" w:cs="仿宋"/>
          <w:sz w:val="21"/>
          <w:szCs w:val="21"/>
          <w:lang w:val="zh-CN"/>
        </w:rPr>
      </w:pPr>
      <w:r>
        <w:rPr>
          <w:rFonts w:ascii="仿宋" w:hAnsi="仿宋" w:cs="仿宋"/>
          <w:sz w:val="21"/>
          <w:szCs w:val="21"/>
          <w:lang w:val="zh-CN"/>
        </w:rPr>
        <w:t>2.</w:t>
      </w:r>
      <w:r>
        <w:rPr>
          <w:rFonts w:hint="eastAsia" w:ascii="仿宋" w:hAnsi="仿宋" w:cs="仿宋"/>
          <w:sz w:val="21"/>
          <w:szCs w:val="21"/>
          <w:lang w:val="zh-CN"/>
        </w:rPr>
        <w:t>验收资料要求</w:t>
      </w:r>
    </w:p>
    <w:p>
      <w:pPr>
        <w:pStyle w:val="14"/>
        <w:snapToGrid w:val="0"/>
        <w:spacing w:line="360" w:lineRule="auto"/>
        <w:ind w:firstLine="420" w:firstLineChars="200"/>
        <w:rPr>
          <w:rFonts w:ascii="仿宋" w:cs="仿宋"/>
          <w:sz w:val="21"/>
          <w:szCs w:val="21"/>
          <w:lang w:val="zh-CN"/>
        </w:rPr>
      </w:pPr>
      <w:r>
        <w:rPr>
          <w:rFonts w:hint="eastAsia" w:ascii="仿宋" w:hAnsi="仿宋" w:cs="仿宋"/>
          <w:sz w:val="21"/>
          <w:szCs w:val="21"/>
          <w:lang w:val="zh-CN"/>
        </w:rPr>
        <w:t>项目验收时，需提供包含但不仅限于如下详实的资料：</w:t>
      </w:r>
    </w:p>
    <w:p>
      <w:pPr>
        <w:pStyle w:val="14"/>
        <w:snapToGrid w:val="0"/>
        <w:spacing w:line="360" w:lineRule="auto"/>
        <w:ind w:firstLine="420" w:firstLineChars="200"/>
        <w:rPr>
          <w:rFonts w:ascii="仿宋" w:cs="仿宋"/>
          <w:sz w:val="21"/>
          <w:szCs w:val="21"/>
          <w:lang w:val="zh-CN"/>
        </w:rPr>
      </w:pPr>
      <w:r>
        <w:rPr>
          <w:rFonts w:hint="eastAsia" w:ascii="仿宋" w:hAnsi="仿宋" w:cs="仿宋"/>
          <w:sz w:val="21"/>
          <w:szCs w:val="21"/>
          <w:lang w:val="zh-CN"/>
        </w:rPr>
        <w:t>（</w:t>
      </w:r>
      <w:r>
        <w:rPr>
          <w:rFonts w:ascii="仿宋" w:hAnsi="仿宋" w:cs="仿宋"/>
          <w:sz w:val="21"/>
          <w:szCs w:val="21"/>
          <w:lang w:val="zh-CN"/>
        </w:rPr>
        <w:t>1</w:t>
      </w:r>
      <w:r>
        <w:rPr>
          <w:rFonts w:hint="eastAsia" w:ascii="仿宋" w:hAnsi="仿宋" w:cs="仿宋"/>
          <w:sz w:val="21"/>
          <w:szCs w:val="21"/>
          <w:lang w:val="zh-CN"/>
        </w:rPr>
        <w:t>）需求规格说明书；</w:t>
      </w:r>
    </w:p>
    <w:p>
      <w:pPr>
        <w:pStyle w:val="14"/>
        <w:snapToGrid w:val="0"/>
        <w:spacing w:line="360" w:lineRule="auto"/>
        <w:ind w:firstLine="420" w:firstLineChars="200"/>
        <w:rPr>
          <w:rFonts w:ascii="仿宋" w:cs="仿宋"/>
          <w:sz w:val="21"/>
          <w:szCs w:val="21"/>
          <w:lang w:val="zh-CN"/>
        </w:rPr>
      </w:pPr>
      <w:r>
        <w:rPr>
          <w:rFonts w:hint="eastAsia" w:ascii="仿宋" w:hAnsi="仿宋" w:cs="仿宋"/>
          <w:sz w:val="21"/>
          <w:szCs w:val="21"/>
          <w:lang w:val="zh-CN"/>
        </w:rPr>
        <w:t>（</w:t>
      </w:r>
      <w:r>
        <w:rPr>
          <w:rFonts w:ascii="仿宋" w:hAnsi="仿宋" w:cs="仿宋"/>
          <w:sz w:val="21"/>
          <w:szCs w:val="21"/>
          <w:lang w:val="zh-CN"/>
        </w:rPr>
        <w:t>2</w:t>
      </w:r>
      <w:r>
        <w:rPr>
          <w:rFonts w:hint="eastAsia" w:ascii="仿宋" w:hAnsi="仿宋" w:cs="仿宋"/>
          <w:sz w:val="21"/>
          <w:szCs w:val="21"/>
          <w:lang w:val="zh-CN"/>
        </w:rPr>
        <w:t>）用户使用手册；</w:t>
      </w:r>
    </w:p>
    <w:p>
      <w:pPr>
        <w:pStyle w:val="14"/>
        <w:snapToGrid w:val="0"/>
        <w:spacing w:line="360" w:lineRule="auto"/>
        <w:ind w:firstLine="420" w:firstLineChars="200"/>
        <w:rPr>
          <w:rFonts w:ascii="仿宋" w:cs="仿宋"/>
          <w:sz w:val="21"/>
          <w:szCs w:val="21"/>
          <w:lang w:val="zh-CN"/>
        </w:rPr>
      </w:pPr>
      <w:r>
        <w:rPr>
          <w:rFonts w:hint="eastAsia" w:ascii="仿宋" w:hAnsi="仿宋" w:cs="仿宋"/>
          <w:sz w:val="21"/>
          <w:szCs w:val="21"/>
          <w:lang w:val="zh-CN"/>
        </w:rPr>
        <w:t>（</w:t>
      </w:r>
      <w:r>
        <w:rPr>
          <w:rFonts w:ascii="仿宋" w:hAnsi="仿宋" w:cs="仿宋"/>
          <w:sz w:val="21"/>
          <w:szCs w:val="21"/>
          <w:lang w:val="zh-CN"/>
        </w:rPr>
        <w:t>3</w:t>
      </w:r>
      <w:r>
        <w:rPr>
          <w:rFonts w:hint="eastAsia" w:ascii="仿宋" w:hAnsi="仿宋" w:cs="仿宋"/>
          <w:sz w:val="21"/>
          <w:szCs w:val="21"/>
          <w:lang w:val="zh-CN"/>
        </w:rPr>
        <w:t>）系统维护手册；</w:t>
      </w:r>
    </w:p>
    <w:p>
      <w:pPr>
        <w:pStyle w:val="14"/>
        <w:snapToGrid w:val="0"/>
        <w:spacing w:line="360" w:lineRule="auto"/>
        <w:ind w:firstLine="420" w:firstLineChars="200"/>
        <w:rPr>
          <w:rFonts w:ascii="仿宋" w:cs="仿宋"/>
          <w:sz w:val="21"/>
          <w:szCs w:val="21"/>
          <w:lang w:val="zh-CN"/>
        </w:rPr>
      </w:pPr>
      <w:r>
        <w:rPr>
          <w:rFonts w:hint="eastAsia" w:ascii="仿宋" w:hAnsi="仿宋" w:cs="仿宋"/>
          <w:sz w:val="21"/>
          <w:szCs w:val="21"/>
          <w:lang w:val="zh-CN"/>
        </w:rPr>
        <w:t>（</w:t>
      </w:r>
      <w:r>
        <w:rPr>
          <w:rFonts w:ascii="仿宋" w:hAnsi="仿宋" w:cs="仿宋"/>
          <w:sz w:val="21"/>
          <w:szCs w:val="21"/>
          <w:lang w:val="zh-CN"/>
        </w:rPr>
        <w:t>4</w:t>
      </w:r>
      <w:r>
        <w:rPr>
          <w:rFonts w:hint="eastAsia" w:ascii="仿宋" w:hAnsi="仿宋" w:cs="仿宋"/>
          <w:sz w:val="21"/>
          <w:szCs w:val="21"/>
          <w:lang w:val="zh-CN"/>
        </w:rPr>
        <w:t>）设备到货资料。</w:t>
      </w:r>
    </w:p>
    <w:p>
      <w:pPr>
        <w:pStyle w:val="14"/>
        <w:snapToGrid w:val="0"/>
        <w:spacing w:line="360" w:lineRule="auto"/>
        <w:ind w:firstLine="420" w:firstLineChars="200"/>
        <w:rPr>
          <w:rFonts w:ascii="仿宋" w:cs="仿宋"/>
          <w:sz w:val="21"/>
          <w:szCs w:val="21"/>
          <w:lang w:val="zh-CN"/>
        </w:rPr>
      </w:pPr>
      <w:r>
        <w:rPr>
          <w:rFonts w:ascii="仿宋" w:hAnsi="仿宋" w:cs="仿宋"/>
          <w:sz w:val="21"/>
          <w:szCs w:val="21"/>
          <w:lang w:val="zh-CN"/>
        </w:rPr>
        <w:t>4.</w:t>
      </w:r>
      <w:r>
        <w:rPr>
          <w:rFonts w:hint="eastAsia" w:ascii="仿宋" w:hAnsi="仿宋" w:cs="仿宋"/>
          <w:sz w:val="21"/>
          <w:szCs w:val="21"/>
          <w:lang w:val="zh-CN"/>
        </w:rPr>
        <w:t>验收标准：</w:t>
      </w:r>
    </w:p>
    <w:p>
      <w:pPr>
        <w:pStyle w:val="14"/>
        <w:snapToGrid w:val="0"/>
        <w:spacing w:line="360" w:lineRule="auto"/>
        <w:ind w:firstLine="420" w:firstLineChars="200"/>
        <w:rPr>
          <w:rFonts w:ascii="仿宋" w:cs="仿宋"/>
          <w:sz w:val="21"/>
          <w:szCs w:val="21"/>
          <w:lang w:val="zh-CN"/>
        </w:rPr>
      </w:pPr>
      <w:r>
        <w:rPr>
          <w:rFonts w:hint="eastAsia" w:ascii="仿宋" w:hAnsi="仿宋" w:cs="仿宋"/>
          <w:sz w:val="21"/>
          <w:szCs w:val="21"/>
          <w:lang w:val="zh-CN"/>
        </w:rPr>
        <w:t>（</w:t>
      </w:r>
      <w:r>
        <w:rPr>
          <w:rFonts w:ascii="仿宋" w:hAnsi="仿宋" w:cs="仿宋"/>
          <w:sz w:val="21"/>
          <w:szCs w:val="21"/>
          <w:lang w:val="zh-CN"/>
        </w:rPr>
        <w:t>1</w:t>
      </w:r>
      <w:r>
        <w:rPr>
          <w:rFonts w:hint="eastAsia" w:ascii="仿宋" w:hAnsi="仿宋" w:cs="仿宋"/>
          <w:sz w:val="21"/>
          <w:szCs w:val="21"/>
          <w:lang w:val="zh-CN"/>
        </w:rPr>
        <w:t>）初验要求：设备安装调试和软件系统部署测试完成后，整体系统基本运行稳定，试运行正常后</w:t>
      </w:r>
      <w:r>
        <w:rPr>
          <w:rFonts w:ascii="仿宋" w:hAnsi="仿宋" w:cs="仿宋"/>
          <w:sz w:val="21"/>
          <w:szCs w:val="21"/>
          <w:lang w:val="zh-CN"/>
        </w:rPr>
        <w:t>7</w:t>
      </w:r>
      <w:r>
        <w:rPr>
          <w:rFonts w:hint="eastAsia" w:ascii="仿宋" w:hAnsi="仿宋" w:cs="仿宋"/>
          <w:sz w:val="21"/>
          <w:szCs w:val="21"/>
          <w:lang w:val="zh-CN"/>
        </w:rPr>
        <w:t>天内组织验收。</w:t>
      </w:r>
    </w:p>
    <w:p>
      <w:pPr>
        <w:pStyle w:val="14"/>
        <w:snapToGrid w:val="0"/>
        <w:spacing w:line="360" w:lineRule="auto"/>
        <w:ind w:firstLine="420" w:firstLineChars="200"/>
        <w:rPr>
          <w:rFonts w:ascii="仿宋" w:cs="仿宋"/>
          <w:sz w:val="21"/>
          <w:szCs w:val="21"/>
          <w:lang w:val="zh-CN"/>
        </w:rPr>
      </w:pPr>
      <w:r>
        <w:rPr>
          <w:rFonts w:ascii="仿宋" w:hAnsi="仿宋" w:cs="仿宋"/>
          <w:sz w:val="21"/>
          <w:szCs w:val="21"/>
          <w:lang w:val="zh-CN"/>
        </w:rPr>
        <w:t xml:space="preserve">(2) </w:t>
      </w:r>
      <w:r>
        <w:rPr>
          <w:rFonts w:hint="eastAsia" w:ascii="仿宋" w:hAnsi="仿宋" w:cs="仿宋"/>
          <w:sz w:val="21"/>
          <w:szCs w:val="21"/>
          <w:lang w:val="zh-CN"/>
        </w:rPr>
        <w:t>按需求规格说明书的各项功能进行实际演示</w:t>
      </w:r>
      <w:r>
        <w:rPr>
          <w:rFonts w:ascii="仿宋" w:cs="仿宋"/>
          <w:sz w:val="21"/>
          <w:szCs w:val="21"/>
          <w:lang w:val="zh-CN"/>
        </w:rPr>
        <w:t>,</w:t>
      </w:r>
      <w:r>
        <w:rPr>
          <w:rFonts w:hint="eastAsia" w:ascii="仿宋" w:hAnsi="仿宋" w:cs="仿宋"/>
          <w:sz w:val="21"/>
          <w:szCs w:val="21"/>
          <w:lang w:val="zh-CN"/>
        </w:rPr>
        <w:t>逐项确认。（无法直观演示的部分，提供相应文档）。</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十</w:t>
      </w:r>
      <w:r>
        <w:rPr>
          <w:rFonts w:hint="eastAsia" w:ascii="仿宋" w:hAnsi="仿宋" w:cs="仿宋"/>
          <w:color w:val="000000"/>
          <w:sz w:val="21"/>
          <w:szCs w:val="21"/>
        </w:rPr>
        <w:t>二</w:t>
      </w:r>
      <w:r>
        <w:rPr>
          <w:rFonts w:hint="eastAsia" w:ascii="仿宋" w:hAnsi="仿宋" w:cs="仿宋"/>
          <w:color w:val="000000"/>
          <w:sz w:val="21"/>
          <w:szCs w:val="21"/>
          <w:lang w:val="zh-CN"/>
        </w:rPr>
        <w:t>、系统及设备包装、发运及运输</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1.</w:t>
      </w:r>
      <w:r>
        <w:rPr>
          <w:rFonts w:hint="eastAsia" w:ascii="仿宋" w:hAnsi="仿宋" w:cs="仿宋"/>
          <w:color w:val="000000"/>
          <w:sz w:val="21"/>
          <w:szCs w:val="21"/>
          <w:lang w:val="zh-CN"/>
        </w:rPr>
        <w:t>乙方应在系统及设备发运前对其进行满足运输距离、防潮、防震、防锈和防破损装卸等要求包装，以保证系统及设备安全运达甲方指定地点。</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2.</w:t>
      </w:r>
      <w:r>
        <w:rPr>
          <w:rFonts w:hint="eastAsia" w:ascii="仿宋" w:hAnsi="仿宋" w:cs="仿宋"/>
          <w:color w:val="000000"/>
          <w:sz w:val="21"/>
          <w:szCs w:val="21"/>
          <w:lang w:val="zh-CN"/>
        </w:rPr>
        <w:t>使用说明书、质量检验证明书、随配附件和工具以及清单一并附于系统及设备内。</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3.</w:t>
      </w:r>
      <w:r>
        <w:rPr>
          <w:rFonts w:hint="eastAsia" w:ascii="仿宋" w:hAnsi="仿宋" w:cs="仿宋"/>
          <w:color w:val="000000"/>
          <w:sz w:val="21"/>
          <w:szCs w:val="21"/>
          <w:lang w:val="zh-CN"/>
        </w:rPr>
        <w:t>乙方在系统及设备发运手续办理完毕后</w:t>
      </w:r>
      <w:r>
        <w:rPr>
          <w:rFonts w:ascii="仿宋" w:hAnsi="仿宋" w:cs="仿宋"/>
          <w:color w:val="000000"/>
          <w:sz w:val="21"/>
          <w:szCs w:val="21"/>
          <w:lang w:val="zh-CN"/>
        </w:rPr>
        <w:t>24</w:t>
      </w:r>
      <w:r>
        <w:rPr>
          <w:rFonts w:hint="eastAsia" w:ascii="仿宋" w:hAnsi="仿宋" w:cs="仿宋"/>
          <w:color w:val="000000"/>
          <w:sz w:val="21"/>
          <w:szCs w:val="21"/>
          <w:lang w:val="zh-CN"/>
        </w:rPr>
        <w:t>小时内或货到甲方</w:t>
      </w:r>
      <w:r>
        <w:rPr>
          <w:rFonts w:ascii="仿宋" w:hAnsi="仿宋" w:cs="仿宋"/>
          <w:color w:val="000000"/>
          <w:sz w:val="21"/>
          <w:szCs w:val="21"/>
          <w:lang w:val="zh-CN"/>
        </w:rPr>
        <w:t>48</w:t>
      </w:r>
      <w:r>
        <w:rPr>
          <w:rFonts w:hint="eastAsia" w:ascii="仿宋" w:hAnsi="仿宋" w:cs="仿宋"/>
          <w:color w:val="000000"/>
          <w:sz w:val="21"/>
          <w:szCs w:val="21"/>
          <w:lang w:val="zh-CN"/>
        </w:rPr>
        <w:t>小时前通知甲方，以准备接货。</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4.</w:t>
      </w:r>
      <w:r>
        <w:rPr>
          <w:rFonts w:hint="eastAsia" w:ascii="仿宋" w:hAnsi="仿宋" w:cs="仿宋"/>
          <w:color w:val="000000"/>
          <w:sz w:val="21"/>
          <w:szCs w:val="21"/>
          <w:lang w:val="zh-CN"/>
        </w:rPr>
        <w:t>系统及设备在交付甲方前发生的风险均由乙方负责。</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5.</w:t>
      </w:r>
      <w:r>
        <w:rPr>
          <w:rFonts w:hint="eastAsia" w:ascii="仿宋" w:hAnsi="仿宋" w:cs="仿宋"/>
          <w:color w:val="000000"/>
          <w:sz w:val="21"/>
          <w:szCs w:val="21"/>
          <w:lang w:val="zh-CN"/>
        </w:rPr>
        <w:t>系统及设备在规定的交付期限内由乙方送达甲方指定的地点视为交付，乙方同时需通知甲方系统及设备已送达。</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十</w:t>
      </w:r>
      <w:r>
        <w:rPr>
          <w:rFonts w:hint="eastAsia" w:ascii="仿宋" w:hAnsi="仿宋" w:cs="仿宋"/>
          <w:color w:val="000000"/>
          <w:sz w:val="21"/>
          <w:szCs w:val="21"/>
        </w:rPr>
        <w:t>三</w:t>
      </w:r>
      <w:r>
        <w:rPr>
          <w:rFonts w:hint="eastAsia" w:ascii="仿宋" w:hAnsi="仿宋" w:cs="仿宋"/>
          <w:color w:val="000000"/>
          <w:sz w:val="21"/>
          <w:szCs w:val="21"/>
          <w:lang w:val="zh-CN"/>
        </w:rPr>
        <w:t>、违约责任</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1.</w:t>
      </w:r>
      <w:r>
        <w:rPr>
          <w:rFonts w:hint="eastAsia" w:ascii="仿宋" w:hAnsi="仿宋" w:cs="仿宋"/>
          <w:color w:val="000000"/>
          <w:sz w:val="21"/>
          <w:szCs w:val="21"/>
          <w:lang w:val="zh-CN"/>
        </w:rPr>
        <w:t>甲方无正当理由拒收系统及设备的，甲方向乙方偿付拒收货款总值的百分之五违约金。</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2.</w:t>
      </w:r>
      <w:r>
        <w:rPr>
          <w:rFonts w:hint="eastAsia" w:ascii="仿宋" w:hAnsi="仿宋" w:cs="仿宋"/>
          <w:color w:val="000000"/>
          <w:sz w:val="21"/>
          <w:szCs w:val="21"/>
          <w:lang w:val="zh-CN"/>
        </w:rPr>
        <w:t>甲方无故逾期验收和办理货款支付手续的</w:t>
      </w:r>
      <w:r>
        <w:rPr>
          <w:rFonts w:ascii="仿宋" w:cs="仿宋"/>
          <w:color w:val="000000"/>
          <w:sz w:val="21"/>
          <w:szCs w:val="21"/>
          <w:lang w:val="zh-CN"/>
        </w:rPr>
        <w:t>,</w:t>
      </w:r>
      <w:r>
        <w:rPr>
          <w:rFonts w:hint="eastAsia" w:ascii="仿宋" w:hAnsi="仿宋" w:cs="仿宋"/>
          <w:color w:val="000000"/>
          <w:sz w:val="21"/>
          <w:szCs w:val="21"/>
          <w:lang w:val="zh-CN"/>
        </w:rPr>
        <w:t>甲方应按逾期付款总额每日万分之五向乙方支付违约金。</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3.</w:t>
      </w:r>
      <w:r>
        <w:rPr>
          <w:rFonts w:hint="eastAsia" w:ascii="仿宋" w:hAnsi="仿宋" w:cs="仿宋"/>
          <w:color w:val="000000"/>
          <w:sz w:val="21"/>
          <w:szCs w:val="21"/>
          <w:lang w:val="zh-CN"/>
        </w:rPr>
        <w:t>乙方逾期交付系统及设备的，乙方应按逾期交货总额每日千分之六向甲方支付违约金，由甲方从待付货款中扣除。逾期超过约定日期</w:t>
      </w:r>
      <w:r>
        <w:rPr>
          <w:rFonts w:ascii="仿宋" w:hAnsi="仿宋" w:cs="仿宋"/>
          <w:color w:val="000000"/>
          <w:sz w:val="21"/>
          <w:szCs w:val="21"/>
          <w:lang w:val="zh-CN"/>
        </w:rPr>
        <w:t>10</w:t>
      </w:r>
      <w:r>
        <w:rPr>
          <w:rFonts w:hint="eastAsia" w:ascii="仿宋" w:hAnsi="仿宋" w:cs="仿宋"/>
          <w:color w:val="000000"/>
          <w:sz w:val="21"/>
          <w:szCs w:val="21"/>
          <w:lang w:val="zh-CN"/>
        </w:rPr>
        <w:t>个工作日不能交货的，甲方可解除本合同。乙方因逾期交货或因其他违约行为导致甲方解除合同的，乙方应向甲方支付合同总值</w:t>
      </w:r>
      <w:r>
        <w:rPr>
          <w:rFonts w:ascii="仿宋" w:hAnsi="仿宋" w:cs="仿宋"/>
          <w:color w:val="000000"/>
          <w:sz w:val="21"/>
          <w:szCs w:val="21"/>
          <w:lang w:val="zh-CN"/>
        </w:rPr>
        <w:t>5%</w:t>
      </w:r>
      <w:r>
        <w:rPr>
          <w:rFonts w:hint="eastAsia" w:ascii="仿宋" w:hAnsi="仿宋" w:cs="仿宋"/>
          <w:color w:val="000000"/>
          <w:sz w:val="21"/>
          <w:szCs w:val="21"/>
          <w:lang w:val="zh-CN"/>
        </w:rPr>
        <w:t>的违约金，如造成甲方损失超过违约金的，超出部分由乙方继续承担赔偿责任。</w:t>
      </w:r>
      <w:r>
        <w:rPr>
          <w:rFonts w:ascii="仿宋" w:hAnsi="仿宋" w:cs="仿宋"/>
          <w:color w:val="000000"/>
          <w:sz w:val="21"/>
          <w:szCs w:val="21"/>
          <w:lang w:val="zh-CN"/>
        </w:rPr>
        <w:t xml:space="preserve"> </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4.</w:t>
      </w:r>
      <w:r>
        <w:rPr>
          <w:rFonts w:hint="eastAsia" w:ascii="仿宋" w:hAnsi="仿宋" w:cs="仿宋"/>
          <w:color w:val="000000"/>
          <w:sz w:val="21"/>
          <w:szCs w:val="21"/>
          <w:lang w:val="zh-CN"/>
        </w:rPr>
        <w:t>乙方所交的系统及设备品种、型号、规格、技术参数、质量不符合合同规定及招标文件规定标准的，甲方有权拒收该系统及设备，乙方愿意更换系统及设备但逾期交货的，按乙方逾期交货处理。乙方拒绝更换系统及设备的，甲方可单方面解除合同。</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十</w:t>
      </w:r>
      <w:r>
        <w:rPr>
          <w:rFonts w:hint="eastAsia" w:ascii="仿宋" w:hAnsi="仿宋" w:cs="仿宋"/>
          <w:color w:val="000000"/>
          <w:sz w:val="21"/>
          <w:szCs w:val="21"/>
        </w:rPr>
        <w:t>四</w:t>
      </w:r>
      <w:r>
        <w:rPr>
          <w:rFonts w:hint="eastAsia" w:ascii="仿宋" w:hAnsi="仿宋" w:cs="仿宋"/>
          <w:color w:val="000000"/>
          <w:sz w:val="21"/>
          <w:szCs w:val="21"/>
          <w:lang w:val="zh-CN"/>
        </w:rPr>
        <w:t>、不可抗力事件处理</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1.</w:t>
      </w:r>
      <w:r>
        <w:rPr>
          <w:rFonts w:hint="eastAsia" w:ascii="仿宋" w:hAnsi="仿宋" w:cs="仿宋"/>
          <w:color w:val="000000"/>
          <w:sz w:val="21"/>
          <w:szCs w:val="21"/>
          <w:lang w:val="zh-CN"/>
        </w:rPr>
        <w:t>在合同有效期内，任何一方因不可抗力事件导致不能履行合同，则合同履行</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期可延长，其延长期与不可抗力影响期相同。</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2.</w:t>
      </w:r>
      <w:r>
        <w:rPr>
          <w:rFonts w:hint="eastAsia" w:ascii="仿宋" w:hAnsi="仿宋" w:cs="仿宋"/>
          <w:color w:val="000000"/>
          <w:sz w:val="21"/>
          <w:szCs w:val="21"/>
          <w:lang w:val="zh-CN"/>
        </w:rPr>
        <w:t>不可抗力事件发生后，应立即通知对方，并寄送有关权威机构出具的证明。</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3.</w:t>
      </w:r>
      <w:r>
        <w:rPr>
          <w:rFonts w:hint="eastAsia" w:ascii="仿宋" w:hAnsi="仿宋" w:cs="仿宋"/>
          <w:color w:val="000000"/>
          <w:sz w:val="21"/>
          <w:szCs w:val="21"/>
          <w:lang w:val="zh-CN"/>
        </w:rPr>
        <w:t>不可抗力事件延续</w:t>
      </w:r>
      <w:r>
        <w:rPr>
          <w:rFonts w:ascii="仿宋" w:hAnsi="仿宋" w:cs="仿宋"/>
          <w:color w:val="000000"/>
          <w:sz w:val="21"/>
          <w:szCs w:val="21"/>
          <w:lang w:val="zh-CN"/>
        </w:rPr>
        <w:t>120</w:t>
      </w:r>
      <w:r>
        <w:rPr>
          <w:rFonts w:hint="eastAsia" w:ascii="仿宋" w:hAnsi="仿宋" w:cs="仿宋"/>
          <w:color w:val="000000"/>
          <w:sz w:val="21"/>
          <w:szCs w:val="21"/>
          <w:lang w:val="zh-CN"/>
        </w:rPr>
        <w:t>天以上，双方应通过友好协商，确定是否继续履行合同。</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十</w:t>
      </w:r>
      <w:r>
        <w:rPr>
          <w:rFonts w:hint="eastAsia" w:ascii="仿宋" w:hAnsi="仿宋" w:cs="仿宋"/>
          <w:color w:val="000000"/>
          <w:sz w:val="21"/>
          <w:szCs w:val="21"/>
        </w:rPr>
        <w:t>五</w:t>
      </w:r>
      <w:r>
        <w:rPr>
          <w:rFonts w:hint="eastAsia" w:ascii="仿宋" w:hAnsi="仿宋" w:cs="仿宋"/>
          <w:color w:val="000000"/>
          <w:sz w:val="21"/>
          <w:szCs w:val="21"/>
          <w:lang w:val="zh-CN"/>
        </w:rPr>
        <w:t>、诉讼</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 xml:space="preserve"> </w:t>
      </w:r>
      <w:r>
        <w:rPr>
          <w:rFonts w:hint="eastAsia" w:ascii="仿宋" w:hAnsi="仿宋" w:cs="仿宋"/>
          <w:color w:val="000000"/>
          <w:sz w:val="21"/>
          <w:szCs w:val="21"/>
          <w:lang w:val="zh-CN"/>
        </w:rPr>
        <w:t>双方在执行合同中所发生的一切争议，应通过协商解决。如协商不成，可向甲方所在地法院起诉。</w:t>
      </w:r>
    </w:p>
    <w:p>
      <w:pPr>
        <w:pStyle w:val="14"/>
        <w:snapToGrid w:val="0"/>
        <w:spacing w:line="360" w:lineRule="auto"/>
        <w:ind w:firstLine="420" w:firstLineChars="200"/>
        <w:rPr>
          <w:rFonts w:ascii="仿宋" w:cs="仿宋"/>
          <w:color w:val="000000"/>
          <w:sz w:val="21"/>
          <w:szCs w:val="21"/>
          <w:lang w:val="zh-CN"/>
        </w:rPr>
      </w:pPr>
      <w:r>
        <w:rPr>
          <w:rFonts w:hint="eastAsia" w:ascii="仿宋" w:hAnsi="仿宋" w:cs="仿宋"/>
          <w:color w:val="000000"/>
          <w:sz w:val="21"/>
          <w:szCs w:val="21"/>
          <w:lang w:val="zh-CN"/>
        </w:rPr>
        <w:t>十</w:t>
      </w:r>
      <w:r>
        <w:rPr>
          <w:rFonts w:hint="eastAsia" w:ascii="仿宋" w:hAnsi="仿宋" w:cs="仿宋"/>
          <w:color w:val="000000"/>
          <w:sz w:val="21"/>
          <w:szCs w:val="21"/>
        </w:rPr>
        <w:t>六</w:t>
      </w:r>
      <w:r>
        <w:rPr>
          <w:rFonts w:hint="eastAsia" w:ascii="仿宋" w:hAnsi="仿宋" w:cs="仿宋"/>
          <w:color w:val="000000"/>
          <w:sz w:val="21"/>
          <w:szCs w:val="21"/>
          <w:lang w:val="zh-CN"/>
        </w:rPr>
        <w:t>、合同生效及其它</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1.</w:t>
      </w:r>
      <w:r>
        <w:rPr>
          <w:rFonts w:hint="eastAsia" w:ascii="仿宋" w:hAnsi="仿宋" w:cs="仿宋"/>
          <w:color w:val="000000"/>
          <w:sz w:val="21"/>
          <w:szCs w:val="21"/>
          <w:lang w:val="zh-CN"/>
        </w:rPr>
        <w:t>合同经双方法定代表人或授权代表签字并加盖单位公章后生效。</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2.</w:t>
      </w:r>
      <w:r>
        <w:rPr>
          <w:rFonts w:hint="eastAsia" w:ascii="仿宋" w:hAnsi="仿宋" w:cs="仿宋"/>
          <w:color w:val="000000"/>
          <w:sz w:val="21"/>
          <w:szCs w:val="21"/>
          <w:lang w:val="zh-CN"/>
        </w:rPr>
        <w:t>合同执行中涉及采购资金和采购内容修改或补充的，须经财政部门审批，并签书面补充协议报政府采购监督管理部门备案，方可作为主合同不可分割的一部分。</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3.</w:t>
      </w:r>
      <w:r>
        <w:rPr>
          <w:rFonts w:hint="eastAsia" w:ascii="仿宋" w:hAnsi="仿宋" w:cs="仿宋"/>
          <w:color w:val="000000"/>
          <w:sz w:val="21"/>
          <w:szCs w:val="21"/>
          <w:lang w:val="zh-CN"/>
        </w:rPr>
        <w:t>本合同未尽事宜，遵照《合同法》有关条文执行。</w:t>
      </w:r>
    </w:p>
    <w:p>
      <w:pPr>
        <w:pStyle w:val="14"/>
        <w:snapToGrid w:val="0"/>
        <w:spacing w:line="360" w:lineRule="auto"/>
        <w:ind w:firstLine="420" w:firstLineChars="200"/>
        <w:rPr>
          <w:rFonts w:ascii="仿宋" w:cs="仿宋"/>
          <w:color w:val="000000"/>
          <w:sz w:val="21"/>
          <w:szCs w:val="21"/>
          <w:lang w:val="zh-CN"/>
        </w:rPr>
      </w:pPr>
      <w:r>
        <w:rPr>
          <w:rFonts w:ascii="仿宋" w:hAnsi="仿宋" w:cs="仿宋"/>
          <w:color w:val="000000"/>
          <w:sz w:val="21"/>
          <w:szCs w:val="21"/>
          <w:lang w:val="zh-CN"/>
        </w:rPr>
        <w:t>4.</w:t>
      </w:r>
      <w:r>
        <w:rPr>
          <w:rFonts w:hint="eastAsia" w:ascii="仿宋" w:hAnsi="仿宋" w:cs="仿宋"/>
          <w:color w:val="000000"/>
          <w:sz w:val="21"/>
          <w:szCs w:val="21"/>
          <w:lang w:val="zh-CN"/>
        </w:rPr>
        <w:t>本合同壹式</w:t>
      </w:r>
      <w:r>
        <w:rPr>
          <w:rFonts w:hint="eastAsia" w:ascii="仿宋" w:hAnsi="仿宋" w:cs="仿宋"/>
          <w:color w:val="000000"/>
          <w:sz w:val="21"/>
          <w:szCs w:val="21"/>
        </w:rPr>
        <w:t>伍</w:t>
      </w:r>
      <w:r>
        <w:rPr>
          <w:rFonts w:hint="eastAsia" w:ascii="仿宋" w:hAnsi="仿宋" w:cs="仿宋"/>
          <w:color w:val="000000"/>
          <w:sz w:val="21"/>
          <w:szCs w:val="21"/>
          <w:lang w:val="zh-CN"/>
        </w:rPr>
        <w:t>份，具有同等法律效力，甲、乙各执贰份、代理机构</w:t>
      </w:r>
      <w:r>
        <w:rPr>
          <w:rFonts w:hint="eastAsia" w:ascii="仿宋" w:hAnsi="仿宋" w:cs="仿宋"/>
          <w:color w:val="000000"/>
          <w:sz w:val="21"/>
          <w:szCs w:val="21"/>
        </w:rPr>
        <w:t>壹</w:t>
      </w:r>
      <w:r>
        <w:rPr>
          <w:rFonts w:hint="eastAsia" w:ascii="仿宋" w:hAnsi="仿宋" w:cs="仿宋"/>
          <w:color w:val="000000"/>
          <w:sz w:val="21"/>
          <w:szCs w:val="21"/>
          <w:lang w:val="zh-CN"/>
        </w:rPr>
        <w:t>份。</w:t>
      </w:r>
    </w:p>
    <w:p>
      <w:pPr>
        <w:pStyle w:val="14"/>
        <w:snapToGrid w:val="0"/>
        <w:spacing w:line="360" w:lineRule="auto"/>
        <w:ind w:left="420" w:hanging="420" w:hangingChars="200"/>
        <w:rPr>
          <w:rFonts w:ascii="仿宋" w:cs="仿宋"/>
          <w:color w:val="000000"/>
          <w:sz w:val="21"/>
          <w:szCs w:val="21"/>
          <w:lang w:val="zh-CN"/>
        </w:rPr>
      </w:pPr>
      <w:r>
        <w:rPr>
          <w:rFonts w:hint="eastAsia" w:ascii="仿宋" w:hAnsi="仿宋" w:cs="仿宋"/>
          <w:color w:val="000000"/>
          <w:sz w:val="21"/>
          <w:szCs w:val="21"/>
          <w:lang w:val="zh-CN"/>
        </w:rPr>
        <w:t>甲方：</w:t>
      </w:r>
      <w:r>
        <w:rPr>
          <w:rFonts w:ascii="仿宋" w:hAnsi="仿宋" w:cs="仿宋"/>
          <w:color w:val="000000"/>
          <w:sz w:val="21"/>
          <w:szCs w:val="21"/>
          <w:lang w:val="zh-CN"/>
        </w:rPr>
        <w:t xml:space="preserve">                                   </w:t>
      </w:r>
      <w:r>
        <w:rPr>
          <w:rFonts w:hint="eastAsia" w:ascii="仿宋" w:hAnsi="仿宋" w:cs="仿宋"/>
          <w:color w:val="000000"/>
          <w:sz w:val="21"/>
          <w:szCs w:val="21"/>
          <w:lang w:val="zh-CN"/>
        </w:rPr>
        <w:t>乙方：</w:t>
      </w:r>
      <w:r>
        <w:rPr>
          <w:rFonts w:ascii="仿宋" w:hAnsi="仿宋" w:cs="仿宋"/>
          <w:color w:val="000000"/>
          <w:sz w:val="21"/>
          <w:szCs w:val="21"/>
          <w:lang w:val="zh-CN"/>
        </w:rPr>
        <w:t xml:space="preserve"> </w:t>
      </w:r>
    </w:p>
    <w:p>
      <w:pPr>
        <w:pStyle w:val="14"/>
        <w:snapToGrid w:val="0"/>
        <w:spacing w:line="360" w:lineRule="auto"/>
        <w:rPr>
          <w:rFonts w:ascii="仿宋" w:cs="仿宋"/>
          <w:color w:val="000000"/>
          <w:sz w:val="21"/>
          <w:szCs w:val="21"/>
          <w:lang w:val="zh-CN"/>
        </w:rPr>
      </w:pPr>
      <w:r>
        <w:rPr>
          <w:rFonts w:hint="eastAsia" w:ascii="仿宋" w:hAnsi="仿宋" w:cs="仿宋"/>
          <w:color w:val="000000"/>
          <w:sz w:val="21"/>
          <w:szCs w:val="21"/>
          <w:lang w:val="zh-CN"/>
        </w:rPr>
        <w:t>地址：</w:t>
      </w:r>
      <w:r>
        <w:rPr>
          <w:rFonts w:ascii="仿宋" w:hAnsi="仿宋" w:cs="仿宋"/>
          <w:color w:val="000000"/>
          <w:sz w:val="21"/>
          <w:szCs w:val="21"/>
          <w:lang w:val="zh-CN"/>
        </w:rPr>
        <w:t xml:space="preserve">                                   </w:t>
      </w:r>
      <w:r>
        <w:rPr>
          <w:rFonts w:hint="eastAsia" w:ascii="仿宋" w:hAnsi="仿宋" w:cs="仿宋"/>
          <w:color w:val="000000"/>
          <w:sz w:val="21"/>
          <w:szCs w:val="21"/>
          <w:lang w:val="zh-CN"/>
        </w:rPr>
        <w:t>地址：</w:t>
      </w:r>
      <w:r>
        <w:rPr>
          <w:rFonts w:ascii="仿宋" w:hAnsi="仿宋" w:cs="仿宋"/>
          <w:color w:val="000000"/>
          <w:sz w:val="21"/>
          <w:szCs w:val="21"/>
          <w:lang w:val="zh-CN"/>
        </w:rPr>
        <w:t xml:space="preserve"> </w:t>
      </w:r>
    </w:p>
    <w:p>
      <w:pPr>
        <w:pStyle w:val="14"/>
        <w:snapToGrid w:val="0"/>
        <w:spacing w:line="360" w:lineRule="auto"/>
        <w:rPr>
          <w:rFonts w:ascii="仿宋" w:cs="仿宋"/>
          <w:color w:val="000000"/>
          <w:sz w:val="21"/>
          <w:szCs w:val="21"/>
          <w:lang w:val="zh-CN"/>
        </w:rPr>
      </w:pPr>
      <w:r>
        <w:rPr>
          <w:rFonts w:hint="eastAsia" w:ascii="仿宋" w:hAnsi="仿宋" w:cs="仿宋"/>
          <w:color w:val="000000"/>
          <w:sz w:val="21"/>
          <w:szCs w:val="21"/>
          <w:lang w:val="zh-CN"/>
        </w:rPr>
        <w:t>法定（授权）代表人：</w:t>
      </w:r>
      <w:r>
        <w:rPr>
          <w:rFonts w:ascii="仿宋" w:hAnsi="仿宋" w:cs="仿宋"/>
          <w:color w:val="000000"/>
          <w:sz w:val="21"/>
          <w:szCs w:val="21"/>
          <w:lang w:val="zh-CN"/>
        </w:rPr>
        <w:t xml:space="preserve">                     </w:t>
      </w:r>
      <w:r>
        <w:rPr>
          <w:rFonts w:hint="eastAsia" w:ascii="仿宋" w:hAnsi="仿宋" w:cs="仿宋"/>
          <w:color w:val="000000"/>
          <w:sz w:val="21"/>
          <w:szCs w:val="21"/>
          <w:lang w:val="zh-CN"/>
        </w:rPr>
        <w:t>法定（授权）代表人：</w:t>
      </w:r>
    </w:p>
    <w:p>
      <w:pPr>
        <w:spacing w:line="360" w:lineRule="auto"/>
        <w:rPr>
          <w:rFonts w:ascii="仿宋" w:cs="仿宋"/>
          <w:color w:val="000000"/>
          <w:szCs w:val="21"/>
          <w:lang w:val="zh-CN"/>
        </w:rPr>
      </w:pPr>
      <w:r>
        <w:rPr>
          <w:rFonts w:hint="eastAsia" w:ascii="仿宋" w:hAnsi="仿宋" w:cs="仿宋"/>
          <w:color w:val="000000"/>
          <w:szCs w:val="21"/>
          <w:lang w:val="zh-CN"/>
        </w:rPr>
        <w:t>开户银行：</w:t>
      </w:r>
      <w:r>
        <w:rPr>
          <w:rFonts w:ascii="仿宋" w:hAnsi="仿宋" w:cs="仿宋"/>
          <w:color w:val="000000"/>
          <w:szCs w:val="21"/>
          <w:lang w:val="zh-CN"/>
        </w:rPr>
        <w:t xml:space="preserve">                               </w:t>
      </w:r>
      <w:r>
        <w:rPr>
          <w:rFonts w:hint="eastAsia" w:ascii="仿宋" w:hAnsi="仿宋" w:cs="仿宋"/>
          <w:color w:val="000000"/>
          <w:szCs w:val="21"/>
          <w:lang w:val="zh-CN"/>
        </w:rPr>
        <w:t>开户银行：</w:t>
      </w:r>
    </w:p>
    <w:p>
      <w:pPr>
        <w:spacing w:line="360" w:lineRule="auto"/>
        <w:rPr>
          <w:rFonts w:ascii="仿宋" w:cs="仿宋"/>
          <w:color w:val="000000"/>
          <w:szCs w:val="21"/>
          <w:lang w:val="zh-CN"/>
        </w:rPr>
      </w:pPr>
      <w:r>
        <w:rPr>
          <w:rFonts w:hint="eastAsia" w:ascii="仿宋" w:hAnsi="仿宋" w:cs="仿宋"/>
          <w:color w:val="000000"/>
          <w:szCs w:val="21"/>
          <w:lang w:val="zh-CN"/>
        </w:rPr>
        <w:t>开户账号：</w:t>
      </w:r>
      <w:r>
        <w:rPr>
          <w:rFonts w:ascii="仿宋" w:hAnsi="仿宋" w:cs="仿宋"/>
          <w:color w:val="000000"/>
          <w:szCs w:val="21"/>
          <w:lang w:val="zh-CN"/>
        </w:rPr>
        <w:t xml:space="preserve">                               </w:t>
      </w:r>
      <w:r>
        <w:rPr>
          <w:rFonts w:hint="eastAsia" w:ascii="仿宋" w:hAnsi="仿宋" w:cs="仿宋"/>
          <w:color w:val="000000"/>
          <w:szCs w:val="21"/>
          <w:lang w:val="zh-CN"/>
        </w:rPr>
        <w:t>开户账号：</w:t>
      </w:r>
    </w:p>
    <w:p>
      <w:pPr>
        <w:spacing w:line="360" w:lineRule="auto"/>
        <w:rPr>
          <w:rFonts w:ascii="仿宋" w:cs="仿宋"/>
          <w:color w:val="000000"/>
          <w:szCs w:val="21"/>
          <w:lang w:val="zh-CN"/>
        </w:rPr>
      </w:pPr>
      <w:r>
        <w:rPr>
          <w:rFonts w:hint="eastAsia" w:ascii="仿宋" w:hAnsi="仿宋" w:cs="仿宋"/>
          <w:color w:val="000000"/>
          <w:szCs w:val="21"/>
          <w:lang w:val="zh-CN"/>
        </w:rPr>
        <w:t>签约地点：</w:t>
      </w:r>
      <w:r>
        <w:rPr>
          <w:rFonts w:ascii="仿宋" w:hAnsi="仿宋" w:cs="仿宋"/>
          <w:color w:val="000000"/>
          <w:szCs w:val="21"/>
          <w:lang w:val="zh-CN"/>
        </w:rPr>
        <w:t xml:space="preserve">                               </w:t>
      </w:r>
      <w:r>
        <w:rPr>
          <w:rFonts w:hint="eastAsia" w:ascii="仿宋" w:hAnsi="仿宋" w:cs="仿宋"/>
          <w:color w:val="000000"/>
          <w:szCs w:val="21"/>
          <w:lang w:val="zh-CN"/>
        </w:rPr>
        <w:t>签约日期：</w:t>
      </w:r>
      <w:r>
        <w:rPr>
          <w:rFonts w:ascii="仿宋" w:hAnsi="仿宋" w:cs="仿宋"/>
          <w:color w:val="000000"/>
          <w:szCs w:val="21"/>
          <w:lang w:val="zh-CN"/>
        </w:rPr>
        <w:t xml:space="preserve">      </w:t>
      </w:r>
      <w:r>
        <w:rPr>
          <w:rFonts w:hint="eastAsia" w:ascii="仿宋" w:hAnsi="仿宋" w:cs="仿宋"/>
          <w:color w:val="000000"/>
          <w:szCs w:val="21"/>
          <w:lang w:val="zh-CN"/>
        </w:rPr>
        <w:t>年</w:t>
      </w:r>
      <w:r>
        <w:rPr>
          <w:rFonts w:ascii="仿宋" w:hAnsi="仿宋" w:cs="仿宋"/>
          <w:color w:val="000000"/>
          <w:szCs w:val="21"/>
          <w:lang w:val="zh-CN"/>
        </w:rPr>
        <w:t xml:space="preserve">  </w:t>
      </w:r>
      <w:r>
        <w:rPr>
          <w:rFonts w:hint="eastAsia" w:ascii="仿宋" w:hAnsi="仿宋" w:cs="仿宋"/>
          <w:color w:val="000000"/>
          <w:szCs w:val="21"/>
          <w:lang w:val="zh-CN"/>
        </w:rPr>
        <w:t>月</w:t>
      </w:r>
      <w:r>
        <w:rPr>
          <w:rFonts w:ascii="仿宋" w:hAnsi="仿宋" w:cs="仿宋"/>
          <w:color w:val="000000"/>
          <w:szCs w:val="21"/>
          <w:lang w:val="zh-CN"/>
        </w:rPr>
        <w:t xml:space="preserve">  </w:t>
      </w:r>
      <w:r>
        <w:rPr>
          <w:rFonts w:hint="eastAsia" w:ascii="仿宋" w:hAnsi="仿宋" w:cs="仿宋"/>
          <w:color w:val="000000"/>
          <w:szCs w:val="21"/>
          <w:lang w:val="zh-CN"/>
        </w:rPr>
        <w:t>日</w:t>
      </w:r>
    </w:p>
    <w:p>
      <w:pPr>
        <w:pStyle w:val="91"/>
        <w:rPr>
          <w:sz w:val="21"/>
          <w:szCs w:val="21"/>
        </w:rPr>
      </w:pPr>
    </w:p>
    <w:p>
      <w:pPr>
        <w:pStyle w:val="91"/>
        <w:rPr>
          <w:rFonts w:cs="宋体"/>
          <w:sz w:val="21"/>
          <w:szCs w:val="21"/>
        </w:rPr>
      </w:pPr>
    </w:p>
    <w:p>
      <w:pPr>
        <w:pStyle w:val="91"/>
        <w:rPr>
          <w:rFonts w:cs="宋体"/>
          <w:sz w:val="21"/>
          <w:szCs w:val="21"/>
        </w:rPr>
      </w:pPr>
    </w:p>
    <w:p>
      <w:pPr>
        <w:pStyle w:val="91"/>
        <w:rPr>
          <w:rFonts w:cs="宋体"/>
          <w:sz w:val="21"/>
          <w:szCs w:val="21"/>
        </w:rPr>
      </w:pPr>
    </w:p>
    <w:p>
      <w:pPr>
        <w:spacing w:line="360" w:lineRule="auto"/>
        <w:ind w:firstLine="420" w:firstLineChars="200"/>
        <w:rPr>
          <w:rFonts w:ascii="宋体" w:hAnsi="宋体" w:cs="宋体"/>
          <w:b/>
          <w:szCs w:val="21"/>
        </w:rPr>
      </w:pPr>
      <w:r>
        <w:rPr>
          <w:rFonts w:hint="eastAsia" w:ascii="Times New Roman" w:hAnsi="宋体" w:cs="宋体"/>
          <w:szCs w:val="21"/>
        </w:rPr>
        <w:t>鉴证方：（盖章）</w:t>
      </w:r>
    </w:p>
    <w:p/>
    <w:p>
      <w:pPr>
        <w:pStyle w:val="10"/>
        <w:ind w:firstLine="210"/>
        <w:rPr>
          <w:rFonts w:ascii="宋体" w:hAnsi="宋体"/>
          <w:szCs w:val="21"/>
        </w:rPr>
      </w:pPr>
    </w:p>
    <w:p>
      <w:pPr>
        <w:rPr>
          <w:rFonts w:ascii="宋体" w:hAnsi="宋体"/>
          <w:szCs w:val="21"/>
        </w:rPr>
      </w:pPr>
    </w:p>
    <w:p>
      <w:pPr>
        <w:pStyle w:val="2"/>
        <w:rPr>
          <w:rFonts w:ascii="宋体" w:hAnsi="宋体"/>
          <w:szCs w:val="21"/>
        </w:rPr>
      </w:pPr>
    </w:p>
    <w:p>
      <w:pPr>
        <w:rPr>
          <w:rFonts w:ascii="宋体" w:hAnsi="宋体"/>
          <w:szCs w:val="21"/>
        </w:rPr>
      </w:pPr>
    </w:p>
    <w:p>
      <w:pPr>
        <w:pStyle w:val="2"/>
        <w:rPr>
          <w:rFonts w:ascii="宋体" w:hAnsi="宋体"/>
          <w:szCs w:val="21"/>
        </w:rPr>
      </w:pPr>
    </w:p>
    <w:p>
      <w:pPr>
        <w:rPr>
          <w:rFonts w:ascii="宋体" w:hAnsi="宋体"/>
          <w:szCs w:val="21"/>
        </w:rPr>
      </w:pPr>
    </w:p>
    <w:p>
      <w:pPr>
        <w:rPr>
          <w:rFonts w:ascii="宋体" w:hAnsi="宋体"/>
          <w:szCs w:val="21"/>
        </w:rPr>
      </w:pPr>
    </w:p>
    <w:p>
      <w:pPr>
        <w:pStyle w:val="10"/>
        <w:ind w:firstLine="0" w:firstLineChars="0"/>
        <w:rPr>
          <w:rFonts w:ascii="宋体" w:hAnsi="宋体"/>
          <w:szCs w:val="21"/>
        </w:rPr>
      </w:pPr>
    </w:p>
    <w:p>
      <w:pPr>
        <w:rPr>
          <w:rFonts w:ascii="宋体" w:hAnsi="宋体"/>
          <w:szCs w:val="21"/>
        </w:rPr>
      </w:pPr>
    </w:p>
    <w:p>
      <w:pPr>
        <w:pStyle w:val="2"/>
      </w:pPr>
    </w:p>
    <w:p/>
    <w:p>
      <w:pPr>
        <w:pStyle w:val="9"/>
      </w:pPr>
    </w:p>
    <w:p/>
    <w:p>
      <w:pPr>
        <w:pStyle w:val="9"/>
      </w:pPr>
    </w:p>
    <w:p>
      <w:pPr>
        <w:pStyle w:val="11"/>
      </w:pPr>
    </w:p>
    <w:p/>
    <w:p>
      <w:pPr>
        <w:numPr>
          <w:ilvl w:val="0"/>
          <w:numId w:val="13"/>
        </w:numPr>
        <w:spacing w:line="360" w:lineRule="auto"/>
        <w:ind w:firstLine="602" w:firstLineChars="200"/>
        <w:jc w:val="center"/>
        <w:rPr>
          <w:rFonts w:ascii="宋体" w:hAnsi="宋体" w:cs="宋体"/>
          <w:b/>
          <w:sz w:val="30"/>
        </w:rPr>
      </w:pPr>
      <w:bookmarkStart w:id="6" w:name="_Toc480187595"/>
      <w:bookmarkStart w:id="7" w:name="_Toc451429387"/>
      <w:r>
        <w:rPr>
          <w:rFonts w:hint="eastAsia" w:ascii="宋体" w:hAnsi="宋体" w:cs="宋体"/>
          <w:b/>
          <w:sz w:val="30"/>
        </w:rPr>
        <w:t>投标文件相关格式</w:t>
      </w:r>
    </w:p>
    <w:p>
      <w:pPr>
        <w:autoSpaceDE w:val="0"/>
        <w:autoSpaceDN w:val="0"/>
        <w:adjustRightInd w:val="0"/>
        <w:spacing w:line="360" w:lineRule="auto"/>
        <w:outlineLvl w:val="1"/>
        <w:rPr>
          <w:rFonts w:ascii="宋体" w:hAnsi="宋体"/>
          <w:b/>
          <w:bCs/>
          <w:sz w:val="24"/>
        </w:rPr>
      </w:pPr>
    </w:p>
    <w:p>
      <w:pPr>
        <w:autoSpaceDE w:val="0"/>
        <w:autoSpaceDN w:val="0"/>
        <w:adjustRightInd w:val="0"/>
        <w:spacing w:line="360" w:lineRule="auto"/>
        <w:outlineLvl w:val="1"/>
        <w:rPr>
          <w:rFonts w:ascii="宋体" w:hAnsi="宋体"/>
          <w:b/>
          <w:bCs/>
          <w:sz w:val="24"/>
        </w:rPr>
      </w:pPr>
      <w:r>
        <w:rPr>
          <w:rFonts w:ascii="宋体" w:hAnsi="宋体"/>
          <w:b/>
          <w:bCs/>
          <w:sz w:val="24"/>
        </w:rPr>
        <w:t>一、</w:t>
      </w:r>
      <w:r>
        <w:rPr>
          <w:rFonts w:hint="eastAsia" w:ascii="宋体" w:hAnsi="宋体"/>
          <w:b/>
          <w:bCs/>
          <w:sz w:val="24"/>
        </w:rPr>
        <w:t>备份电子</w:t>
      </w:r>
      <w:r>
        <w:rPr>
          <w:rFonts w:ascii="宋体" w:hAnsi="宋体"/>
          <w:b/>
          <w:bCs/>
          <w:sz w:val="24"/>
        </w:rPr>
        <w:t>文件包装封面（格式供参考）</w:t>
      </w:r>
      <w:bookmarkEnd w:id="6"/>
      <w:bookmarkEnd w:id="7"/>
    </w:p>
    <w:p>
      <w:pPr>
        <w:autoSpaceDE w:val="0"/>
        <w:autoSpaceDN w:val="0"/>
        <w:adjustRightInd w:val="0"/>
        <w:spacing w:line="360" w:lineRule="auto"/>
        <w:jc w:val="center"/>
        <w:rPr>
          <w:rFonts w:ascii="宋体" w:hAnsi="宋体"/>
          <w:b/>
          <w:sz w:val="32"/>
          <w:szCs w:val="32"/>
        </w:rPr>
      </w:pPr>
      <w:bookmarkStart w:id="8" w:name="_Toc297472068"/>
    </w:p>
    <w:p>
      <w:pPr>
        <w:pStyle w:val="9"/>
      </w:pPr>
    </w:p>
    <w:p>
      <w:pPr>
        <w:pStyle w:val="9"/>
        <w:jc w:val="center"/>
        <w:rPr>
          <w:rFonts w:ascii="宋体" w:hAnsi="宋体"/>
          <w:b/>
          <w:sz w:val="44"/>
          <w:szCs w:val="44"/>
        </w:rPr>
      </w:pPr>
      <w:r>
        <w:rPr>
          <w:rFonts w:hint="eastAsia" w:ascii="宋体" w:hAnsi="宋体"/>
          <w:b/>
          <w:sz w:val="44"/>
          <w:szCs w:val="44"/>
        </w:rPr>
        <w:t>项目名称</w:t>
      </w:r>
    </w:p>
    <w:p>
      <w:pPr>
        <w:pStyle w:val="9"/>
        <w:rPr>
          <w:rFonts w:ascii="宋体" w:hAnsi="宋体"/>
          <w:b/>
          <w:sz w:val="32"/>
          <w:szCs w:val="32"/>
        </w:rPr>
      </w:pPr>
    </w:p>
    <w:p>
      <w:pPr>
        <w:pStyle w:val="9"/>
        <w:rPr>
          <w:rFonts w:ascii="宋体" w:hAnsi="宋体"/>
          <w:b/>
          <w:sz w:val="32"/>
          <w:szCs w:val="32"/>
        </w:rPr>
      </w:pPr>
    </w:p>
    <w:p>
      <w:pPr>
        <w:spacing w:line="360" w:lineRule="auto"/>
        <w:jc w:val="center"/>
        <w:rPr>
          <w:rFonts w:ascii="宋体" w:hAnsi="宋体"/>
          <w:spacing w:val="40"/>
          <w:w w:val="90"/>
          <w:sz w:val="96"/>
          <w:szCs w:val="96"/>
        </w:rPr>
      </w:pPr>
      <w:r>
        <w:rPr>
          <w:rFonts w:ascii="宋体" w:hAnsi="宋体"/>
          <w:spacing w:val="40"/>
          <w:w w:val="90"/>
          <w:sz w:val="96"/>
          <w:szCs w:val="96"/>
        </w:rPr>
        <w:t>投 标 文 件</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9"/>
      </w:pPr>
    </w:p>
    <w:p>
      <w:pPr>
        <w:autoSpaceDE w:val="0"/>
        <w:autoSpaceDN w:val="0"/>
        <w:adjustRightInd w:val="0"/>
        <w:spacing w:line="360" w:lineRule="auto"/>
        <w:rPr>
          <w:rFonts w:ascii="宋体" w:hAnsi="宋体"/>
          <w:b/>
          <w:sz w:val="32"/>
          <w:szCs w:val="32"/>
        </w:rPr>
      </w:pPr>
    </w:p>
    <w:p>
      <w:pPr>
        <w:pStyle w:val="74"/>
        <w:spacing w:line="360" w:lineRule="auto"/>
        <w:ind w:left="0" w:right="-252"/>
        <w:rPr>
          <w:rFonts w:hint="default" w:ascii="宋体" w:hAnsi="宋体"/>
          <w:sz w:val="32"/>
          <w:szCs w:val="32"/>
          <w:u w:val="single"/>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spacing w:line="360" w:lineRule="auto"/>
        <w:rPr>
          <w:rFonts w:ascii="宋体" w:hAnsi="宋体"/>
          <w:b/>
          <w:sz w:val="32"/>
          <w:szCs w:val="32"/>
        </w:rPr>
      </w:pPr>
    </w:p>
    <w:p>
      <w:pPr>
        <w:pStyle w:val="9"/>
        <w:rPr>
          <w:rFonts w:ascii="宋体" w:hAnsi="宋体"/>
          <w:b/>
          <w:sz w:val="32"/>
          <w:szCs w:val="32"/>
        </w:rPr>
      </w:pPr>
    </w:p>
    <w:p>
      <w:pPr>
        <w:pStyle w:val="9"/>
        <w:rPr>
          <w:rFonts w:ascii="宋体" w:hAnsi="宋体"/>
          <w:b/>
          <w:sz w:val="32"/>
          <w:szCs w:val="32"/>
        </w:rPr>
      </w:pPr>
    </w:p>
    <w:p>
      <w:pPr>
        <w:pStyle w:val="9"/>
        <w:rPr>
          <w:rFonts w:ascii="宋体" w:hAnsi="宋体"/>
          <w:b/>
          <w:sz w:val="32"/>
          <w:szCs w:val="32"/>
        </w:rPr>
      </w:pPr>
    </w:p>
    <w:p>
      <w:pPr>
        <w:spacing w:line="360" w:lineRule="auto"/>
        <w:jc w:val="center"/>
        <w:sectPr>
          <w:headerReference r:id="rId6" w:type="default"/>
          <w:footerReference r:id="rId7" w:type="default"/>
          <w:type w:val="continuous"/>
          <w:pgSz w:w="11906" w:h="16838"/>
          <w:pgMar w:top="1304" w:right="1531" w:bottom="1304" w:left="1531" w:header="1304" w:footer="1304" w:gutter="0"/>
          <w:cols w:space="0" w:num="1"/>
          <w:docGrid w:linePitch="312" w:charSpace="0"/>
        </w:sectPr>
      </w:pPr>
      <w:r>
        <w:rPr>
          <w:rFonts w:ascii="宋体" w:hAnsi="宋体"/>
          <w:b/>
          <w:sz w:val="30"/>
          <w:szCs w:val="30"/>
        </w:rPr>
        <w:t>在年月日之前不得启封</w:t>
      </w:r>
      <w:bookmarkEnd w:id="8"/>
      <w:r>
        <w:rPr>
          <w:rFonts w:ascii="宋体" w:hAnsi="宋体"/>
        </w:rPr>
        <w:br w:type="page"/>
      </w:r>
    </w:p>
    <w:p>
      <w:pPr>
        <w:autoSpaceDE w:val="0"/>
        <w:autoSpaceDN w:val="0"/>
        <w:adjustRightInd w:val="0"/>
        <w:spacing w:line="360" w:lineRule="auto"/>
        <w:rPr>
          <w:rFonts w:ascii="宋体" w:hAnsi="宋体"/>
          <w:b/>
          <w:bCs/>
          <w:szCs w:val="21"/>
        </w:rPr>
      </w:pPr>
    </w:p>
    <w:p>
      <w:pPr>
        <w:autoSpaceDE w:val="0"/>
        <w:autoSpaceDN w:val="0"/>
        <w:adjustRightInd w:val="0"/>
        <w:spacing w:line="360" w:lineRule="auto"/>
        <w:rPr>
          <w:rFonts w:ascii="宋体" w:hAnsi="宋体"/>
          <w:b/>
          <w:bCs/>
          <w:szCs w:val="21"/>
        </w:rPr>
      </w:pPr>
      <w:r>
        <w:rPr>
          <w:rFonts w:hint="eastAsia" w:ascii="宋体" w:hAnsi="宋体"/>
          <w:b/>
          <w:bCs/>
          <w:szCs w:val="21"/>
        </w:rPr>
        <w:t>二、投标报价一</w:t>
      </w:r>
      <w:r>
        <w:rPr>
          <w:rFonts w:ascii="宋体" w:hAnsi="宋体"/>
          <w:b/>
          <w:bCs/>
          <w:szCs w:val="21"/>
        </w:rPr>
        <w:t>览表</w:t>
      </w:r>
    </w:p>
    <w:p>
      <w:pPr>
        <w:autoSpaceDE w:val="0"/>
        <w:autoSpaceDN w:val="0"/>
        <w:adjustRightInd w:val="0"/>
        <w:spacing w:line="360" w:lineRule="auto"/>
        <w:jc w:val="center"/>
        <w:rPr>
          <w:rFonts w:ascii="宋体" w:hAnsi="宋体"/>
          <w:b/>
          <w:bCs/>
          <w:szCs w:val="21"/>
        </w:rPr>
      </w:pPr>
      <w:r>
        <w:rPr>
          <w:rFonts w:hint="eastAsia" w:ascii="宋体" w:hAnsi="宋体"/>
          <w:b/>
          <w:bCs/>
          <w:szCs w:val="21"/>
        </w:rPr>
        <w:t>投标报价一</w:t>
      </w:r>
      <w:r>
        <w:rPr>
          <w:rFonts w:ascii="宋体" w:hAnsi="宋体"/>
          <w:b/>
          <w:bCs/>
          <w:szCs w:val="21"/>
        </w:rPr>
        <w:t>览表</w:t>
      </w:r>
    </w:p>
    <w:p>
      <w:pPr>
        <w:snapToGrid w:val="0"/>
        <w:spacing w:before="50" w:after="50"/>
        <w:ind w:firstLine="630" w:firstLineChars="300"/>
        <w:rPr>
          <w:rFonts w:ascii="宋体" w:hAnsi="宋体"/>
          <w:szCs w:val="21"/>
          <w:u w:val="single"/>
        </w:rPr>
      </w:pPr>
      <w:r>
        <w:rPr>
          <w:rFonts w:hint="eastAsia" w:ascii="宋体" w:hAnsi="宋体"/>
          <w:szCs w:val="21"/>
        </w:rPr>
        <w:t>招标编号：</w:t>
      </w:r>
    </w:p>
    <w:p>
      <w:pPr>
        <w:snapToGrid w:val="0"/>
        <w:spacing w:before="50" w:after="50"/>
        <w:ind w:right="480" w:firstLine="630" w:firstLineChars="300"/>
        <w:rPr>
          <w:rFonts w:ascii="宋体" w:hAnsi="宋体"/>
          <w:szCs w:val="21"/>
        </w:rPr>
      </w:pPr>
      <w:r>
        <w:rPr>
          <w:rFonts w:hint="eastAsia" w:ascii="宋体" w:hAnsi="宋体"/>
          <w:szCs w:val="21"/>
        </w:rPr>
        <w:t>投标人名称：                         金额单位：人民币（元）</w:t>
      </w:r>
    </w:p>
    <w:p>
      <w:pPr>
        <w:pStyle w:val="9"/>
      </w:pPr>
    </w:p>
    <w:p>
      <w:pPr>
        <w:pStyle w:val="9"/>
      </w:pPr>
    </w:p>
    <w:tbl>
      <w:tblPr>
        <w:tblStyle w:val="29"/>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宋体"/>
                <w:bCs/>
                <w:sz w:val="24"/>
              </w:rPr>
            </w:pPr>
            <w:r>
              <w:rPr>
                <w:rFonts w:hint="eastAsia" w:ascii="宋体" w:hAnsi="宋体"/>
                <w:sz w:val="24"/>
              </w:rPr>
              <w:t>项目名称</w:t>
            </w:r>
          </w:p>
        </w:tc>
        <w:tc>
          <w:tcPr>
            <w:tcW w:w="6996" w:type="dxa"/>
            <w:vAlign w:val="center"/>
          </w:tcPr>
          <w:p>
            <w:pPr>
              <w:jc w:val="center"/>
              <w:rPr>
                <w:rFonts w:ascii="宋体"/>
                <w:bCs/>
                <w:sz w:val="24"/>
              </w:rPr>
            </w:pPr>
            <w:r>
              <w:rPr>
                <w:rFonts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宋体"/>
                <w:sz w:val="24"/>
              </w:rPr>
            </w:pPr>
            <w:r>
              <w:rPr>
                <w:rFonts w:hint="eastAsia" w:ascii="宋体" w:hAnsi="宋体"/>
                <w:sz w:val="24"/>
              </w:rPr>
              <w:t>项目编号</w:t>
            </w:r>
          </w:p>
        </w:tc>
        <w:tc>
          <w:tcPr>
            <w:tcW w:w="6996" w:type="dxa"/>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jc w:val="center"/>
              <w:rPr>
                <w:rFonts w:ascii="宋体"/>
                <w:sz w:val="24"/>
              </w:rPr>
            </w:pPr>
            <w:r>
              <w:rPr>
                <w:rFonts w:hint="eastAsia" w:ascii="宋体" w:hAnsi="宋体"/>
                <w:sz w:val="24"/>
              </w:rPr>
              <w:t>投标报价</w:t>
            </w:r>
          </w:p>
        </w:tc>
        <w:tc>
          <w:tcPr>
            <w:tcW w:w="6996" w:type="dxa"/>
            <w:vAlign w:val="center"/>
          </w:tcPr>
          <w:p>
            <w:pPr>
              <w:spacing w:line="360" w:lineRule="auto"/>
              <w:rPr>
                <w:rFonts w:ascii="宋体"/>
                <w:bCs/>
                <w:sz w:val="24"/>
              </w:rPr>
            </w:pPr>
            <w:r>
              <w:rPr>
                <w:rFonts w:hint="eastAsia" w:ascii="宋体" w:hAnsi="宋体"/>
                <w:bCs/>
                <w:sz w:val="24"/>
              </w:rPr>
              <w:t>（大写）人民币</w:t>
            </w:r>
            <w:r>
              <w:rPr>
                <w:rFonts w:ascii="宋体" w:hAnsi="宋体"/>
                <w:bCs/>
                <w:sz w:val="24"/>
                <w:u w:val="single"/>
              </w:rPr>
              <w:t xml:space="preserve">                </w:t>
            </w:r>
            <w:r>
              <w:rPr>
                <w:rFonts w:hint="eastAsia" w:ascii="宋体" w:hAnsi="宋体"/>
                <w:bCs/>
                <w:sz w:val="24"/>
              </w:rPr>
              <w:t>元</w:t>
            </w:r>
          </w:p>
          <w:p>
            <w:pPr>
              <w:spacing w:line="360" w:lineRule="auto"/>
              <w:rPr>
                <w:rFonts w:ascii="宋体"/>
                <w:bCs/>
                <w:sz w:val="24"/>
              </w:rPr>
            </w:pPr>
            <w:r>
              <w:rPr>
                <w:rFonts w:hint="eastAsia" w:ascii="宋体" w:hAnsi="宋体"/>
                <w:bCs/>
                <w:sz w:val="24"/>
              </w:rPr>
              <w:t>（小写）人名币</w:t>
            </w:r>
            <w:r>
              <w:rPr>
                <w:rFonts w:ascii="宋体" w:hAnsi="宋体"/>
                <w:bCs/>
                <w:sz w:val="24"/>
                <w:u w:val="single"/>
              </w:rPr>
              <w:t xml:space="preserve">                </w:t>
            </w: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63"/>
              <w:jc w:val="center"/>
              <w:rPr>
                <w:sz w:val="28"/>
                <w:szCs w:val="28"/>
              </w:rPr>
            </w:pPr>
            <w:r>
              <w:rPr>
                <w:rFonts w:hint="eastAsia" w:hAnsi="宋体"/>
                <w:sz w:val="24"/>
              </w:rPr>
              <w:t>备注：详细内容见《投标报价明细表》</w:t>
            </w:r>
          </w:p>
        </w:tc>
      </w:tr>
    </w:tbl>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r>
        <w:rPr>
          <w:rFonts w:hint="eastAsia" w:ascii="宋体" w:hAnsi="宋体"/>
          <w:b/>
          <w:szCs w:val="21"/>
        </w:rPr>
        <w:t>注</w:t>
      </w:r>
      <w:r>
        <w:rPr>
          <w:rFonts w:ascii="宋体" w:hAnsi="宋体"/>
          <w:b/>
          <w:szCs w:val="21"/>
        </w:rPr>
        <w:t>: 1</w:t>
      </w:r>
      <w:r>
        <w:rPr>
          <w:rFonts w:hint="eastAsia" w:ascii="宋体" w:hAnsi="宋体"/>
          <w:b/>
          <w:szCs w:val="21"/>
        </w:rPr>
        <w:t>、报价一经涂改，应在涂改处加盖单位公章或者由法定代表人或被授权人签字（或盖章），否则其投标作无效标处理；</w:t>
      </w:r>
      <w:r>
        <w:rPr>
          <w:rFonts w:ascii="宋体" w:hAnsi="宋体"/>
          <w:b/>
          <w:szCs w:val="21"/>
        </w:rPr>
        <w:t>2</w:t>
      </w:r>
      <w:r>
        <w:rPr>
          <w:rFonts w:hint="eastAsia" w:ascii="宋体" w:hAnsi="宋体"/>
          <w:b/>
          <w:szCs w:val="21"/>
        </w:rPr>
        <w:t>、投标费用包括项目实施所需的货物费、人工费、服务费、运输费、安装调试费、税费等一切费用；</w:t>
      </w:r>
      <w:r>
        <w:rPr>
          <w:rFonts w:ascii="宋体" w:hAnsi="宋体"/>
          <w:b/>
          <w:szCs w:val="21"/>
        </w:rPr>
        <w:t>3</w:t>
      </w:r>
      <w:r>
        <w:rPr>
          <w:rFonts w:hint="eastAsia" w:ascii="宋体" w:hAnsi="宋体"/>
          <w:b/>
          <w:szCs w:val="21"/>
        </w:rPr>
        <w:t>、以上报价应与“投标报价明细表”中的“投标总价”相一致。</w:t>
      </w:r>
    </w:p>
    <w:p>
      <w:pPr>
        <w:snapToGrid w:val="0"/>
        <w:spacing w:before="50" w:after="50"/>
        <w:ind w:left="-23" w:leftChars="-11" w:right="-817" w:rightChars="-389"/>
        <w:jc w:val="right"/>
        <w:rPr>
          <w:rFonts w:ascii="宋体" w:hAnsi="宋体" w:cs="宋体"/>
          <w:szCs w:val="21"/>
        </w:rPr>
      </w:pPr>
    </w:p>
    <w:p>
      <w:pPr>
        <w:snapToGrid w:val="0"/>
        <w:spacing w:before="50" w:after="50"/>
        <w:ind w:left="-23" w:leftChars="-11" w:right="-817" w:rightChars="-389"/>
        <w:jc w:val="center"/>
        <w:rPr>
          <w:rFonts w:ascii="宋体" w:hAnsi="宋体" w:cs="宋体"/>
          <w:szCs w:val="21"/>
        </w:rPr>
      </w:pPr>
    </w:p>
    <w:p>
      <w:pPr>
        <w:snapToGrid w:val="0"/>
        <w:spacing w:before="50" w:after="50"/>
        <w:ind w:left="-23" w:leftChars="-11" w:right="-817" w:rightChars="-389"/>
        <w:jc w:val="center"/>
        <w:rPr>
          <w:rFonts w:ascii="宋体" w:hAnsi="宋体" w:cs="宋体"/>
          <w:szCs w:val="21"/>
        </w:rPr>
      </w:pPr>
      <w:r>
        <w:rPr>
          <w:rFonts w:hint="eastAsia" w:ascii="宋体" w:hAnsi="宋体" w:cs="宋体"/>
          <w:szCs w:val="21"/>
        </w:rPr>
        <w:t>法定代表人或授权代表（签字）：</w:t>
      </w:r>
    </w:p>
    <w:p>
      <w:pPr>
        <w:snapToGrid w:val="0"/>
        <w:spacing w:before="50" w:after="50"/>
        <w:ind w:left="-23" w:leftChars="-11" w:right="-817" w:rightChars="-389"/>
        <w:jc w:val="center"/>
        <w:rPr>
          <w:rFonts w:ascii="宋体" w:hAnsi="宋体" w:cs="宋体"/>
          <w:szCs w:val="21"/>
        </w:rPr>
      </w:pPr>
      <w:r>
        <w:rPr>
          <w:rFonts w:hint="eastAsia" w:ascii="宋体" w:hAnsi="宋体" w:cs="宋体"/>
          <w:szCs w:val="21"/>
        </w:rPr>
        <w:t>投标人（盖章）：</w:t>
      </w:r>
    </w:p>
    <w:p>
      <w:pPr>
        <w:snapToGrid w:val="0"/>
        <w:spacing w:before="50" w:after="50"/>
        <w:ind w:left="-23" w:leftChars="-11" w:right="-817" w:rightChars="-389"/>
        <w:jc w:val="center"/>
        <w:rPr>
          <w:rFonts w:ascii="宋体" w:hAnsi="宋体" w:cs="宋体"/>
          <w:szCs w:val="21"/>
        </w:rPr>
      </w:pPr>
    </w:p>
    <w:p>
      <w:pPr>
        <w:snapToGrid w:val="0"/>
        <w:spacing w:before="50" w:after="50"/>
        <w:jc w:val="right"/>
        <w:rPr>
          <w:rFonts w:ascii="宋体" w:hAnsi="宋体" w:cs="宋体"/>
          <w:b/>
          <w:szCs w:val="21"/>
        </w:rPr>
      </w:pPr>
      <w:r>
        <w:rPr>
          <w:rFonts w:hint="eastAsia" w:ascii="宋体" w:hAnsi="宋体" w:cs="宋体"/>
          <w:szCs w:val="21"/>
        </w:rPr>
        <w:t>日期：年月日</w:t>
      </w:r>
    </w:p>
    <w:p>
      <w:pPr>
        <w:spacing w:line="360" w:lineRule="auto"/>
        <w:sectPr>
          <w:type w:val="continuous"/>
          <w:pgSz w:w="11906" w:h="16838"/>
          <w:pgMar w:top="1304" w:right="1531" w:bottom="1304" w:left="1531" w:header="1304" w:footer="1304" w:gutter="0"/>
          <w:cols w:space="0" w:num="1"/>
          <w:docGrid w:linePitch="319" w:charSpace="0"/>
        </w:sectPr>
      </w:pPr>
    </w:p>
    <w:p>
      <w:pPr>
        <w:autoSpaceDE w:val="0"/>
        <w:autoSpaceDN w:val="0"/>
        <w:adjustRightInd w:val="0"/>
        <w:rPr>
          <w:rFonts w:ascii="宋体" w:hAnsi="宋体"/>
          <w:bCs/>
        </w:rPr>
      </w:pPr>
    </w:p>
    <w:p>
      <w:pPr>
        <w:pStyle w:val="35"/>
        <w:rPr>
          <w:rFonts w:ascii="宋体" w:hAnsi="宋体"/>
          <w:bCs/>
        </w:rPr>
      </w:pPr>
    </w:p>
    <w:p>
      <w:pPr>
        <w:pStyle w:val="9"/>
        <w:rPr>
          <w:rFonts w:ascii="宋体" w:hAnsi="宋体"/>
          <w:bCs/>
        </w:rPr>
      </w:pPr>
    </w:p>
    <w:p>
      <w:pPr>
        <w:pStyle w:val="10"/>
        <w:ind w:firstLine="210"/>
        <w:rPr>
          <w:rFonts w:ascii="宋体" w:hAnsi="宋体"/>
          <w:bCs/>
        </w:rPr>
      </w:pPr>
    </w:p>
    <w:p>
      <w:pPr>
        <w:pStyle w:val="10"/>
        <w:ind w:firstLine="210"/>
        <w:rPr>
          <w:rFonts w:ascii="宋体" w:hAnsi="宋体"/>
          <w:bCs/>
        </w:rPr>
      </w:pPr>
    </w:p>
    <w:p>
      <w:pPr>
        <w:pStyle w:val="10"/>
        <w:ind w:firstLine="210"/>
        <w:rPr>
          <w:rFonts w:ascii="宋体" w:hAnsi="宋体"/>
          <w:bCs/>
        </w:rPr>
      </w:pPr>
    </w:p>
    <w:p>
      <w:pPr>
        <w:pStyle w:val="10"/>
        <w:ind w:firstLine="210"/>
        <w:rPr>
          <w:rFonts w:ascii="宋体" w:hAnsi="宋体"/>
          <w:bCs/>
        </w:rPr>
      </w:pPr>
    </w:p>
    <w:p>
      <w:pPr>
        <w:pStyle w:val="10"/>
        <w:ind w:firstLine="210"/>
        <w:rPr>
          <w:rFonts w:ascii="宋体" w:hAnsi="宋体"/>
          <w:bCs/>
        </w:rPr>
      </w:pPr>
    </w:p>
    <w:p>
      <w:pPr>
        <w:pStyle w:val="10"/>
        <w:ind w:firstLine="210"/>
        <w:rPr>
          <w:rFonts w:ascii="宋体" w:hAnsi="宋体"/>
          <w:bCs/>
        </w:rPr>
      </w:pPr>
    </w:p>
    <w:p>
      <w:pPr>
        <w:pStyle w:val="10"/>
        <w:ind w:firstLine="210"/>
        <w:rPr>
          <w:rFonts w:ascii="宋体" w:hAnsi="宋体"/>
          <w:bCs/>
        </w:rPr>
      </w:pPr>
    </w:p>
    <w:p>
      <w:pPr>
        <w:pStyle w:val="10"/>
        <w:ind w:firstLine="210"/>
        <w:rPr>
          <w:rFonts w:ascii="宋体" w:hAnsi="宋体"/>
          <w:bCs/>
        </w:rPr>
      </w:pPr>
    </w:p>
    <w:p>
      <w:pPr>
        <w:autoSpaceDE w:val="0"/>
        <w:autoSpaceDN w:val="0"/>
        <w:adjustRightInd w:val="0"/>
        <w:rPr>
          <w:rFonts w:ascii="宋体" w:hAnsi="宋体"/>
          <w:bCs/>
        </w:rPr>
      </w:pPr>
    </w:p>
    <w:p>
      <w:pPr>
        <w:autoSpaceDE w:val="0"/>
        <w:autoSpaceDN w:val="0"/>
        <w:adjustRightInd w:val="0"/>
        <w:rPr>
          <w:rFonts w:ascii="宋体" w:hAnsi="宋体"/>
          <w:bCs/>
        </w:rPr>
      </w:pPr>
      <w:r>
        <w:rPr>
          <w:rFonts w:hint="eastAsia" w:ascii="宋体" w:hAnsi="宋体"/>
          <w:b/>
          <w:bCs/>
          <w:szCs w:val="21"/>
        </w:rPr>
        <w:t>三、</w:t>
      </w:r>
      <w:r>
        <w:rPr>
          <w:rFonts w:ascii="宋体" w:hAnsi="宋体"/>
          <w:b/>
          <w:bCs/>
          <w:szCs w:val="21"/>
        </w:rPr>
        <w:t>投标报价明细表</w:t>
      </w:r>
    </w:p>
    <w:p>
      <w:pPr>
        <w:pStyle w:val="63"/>
        <w:jc w:val="center"/>
        <w:rPr>
          <w:rFonts w:hAnsi="宋体" w:eastAsia="宋体"/>
          <w:b/>
          <w:sz w:val="21"/>
          <w:szCs w:val="21"/>
        </w:rPr>
      </w:pPr>
    </w:p>
    <w:p>
      <w:pPr>
        <w:pStyle w:val="63"/>
        <w:jc w:val="center"/>
        <w:rPr>
          <w:rFonts w:hAnsi="宋体" w:eastAsia="宋体"/>
          <w:b/>
          <w:sz w:val="21"/>
          <w:szCs w:val="21"/>
        </w:rPr>
      </w:pPr>
      <w:r>
        <w:rPr>
          <w:rFonts w:hint="eastAsia" w:hAnsi="宋体" w:eastAsia="宋体"/>
          <w:b/>
          <w:sz w:val="21"/>
          <w:szCs w:val="21"/>
        </w:rPr>
        <w:t>投标报价明细表</w:t>
      </w:r>
    </w:p>
    <w:p>
      <w:pPr>
        <w:pStyle w:val="63"/>
        <w:spacing w:line="360" w:lineRule="auto"/>
        <w:rPr>
          <w:rFonts w:hAnsi="宋体" w:eastAsia="宋体"/>
          <w:sz w:val="21"/>
          <w:szCs w:val="21"/>
          <w:u w:val="single"/>
        </w:rPr>
      </w:pPr>
      <w:r>
        <w:rPr>
          <w:rFonts w:hint="eastAsia" w:hAnsi="宋体" w:eastAsia="宋体"/>
          <w:sz w:val="21"/>
          <w:szCs w:val="21"/>
        </w:rPr>
        <w:t>招标编号：</w:t>
      </w:r>
    </w:p>
    <w:p>
      <w:pPr>
        <w:spacing w:line="360" w:lineRule="auto"/>
        <w:rPr>
          <w:rFonts w:ascii="宋体" w:hAnsi="宋体"/>
          <w:szCs w:val="21"/>
        </w:rPr>
      </w:pPr>
      <w:r>
        <w:rPr>
          <w:rFonts w:ascii="宋体" w:hAnsi="宋体"/>
          <w:szCs w:val="21"/>
        </w:rPr>
        <w:t>项目名称：                                              单位：人民币元</w:t>
      </w:r>
    </w:p>
    <w:tbl>
      <w:tblPr>
        <w:tblStyle w:val="29"/>
        <w:tblW w:w="92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2310"/>
        <w:gridCol w:w="1155"/>
        <w:gridCol w:w="1155"/>
        <w:gridCol w:w="1050"/>
        <w:gridCol w:w="831"/>
        <w:gridCol w:w="997"/>
        <w:gridCol w:w="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Cs/>
                <w:color w:val="000000"/>
                <w:sz w:val="18"/>
                <w:szCs w:val="18"/>
              </w:rPr>
            </w:pPr>
            <w:r>
              <w:rPr>
                <w:rFonts w:hint="eastAsia" w:ascii="宋体" w:hAnsi="宋体" w:cs="宋体"/>
                <w:b/>
                <w:color w:val="000000"/>
                <w:sz w:val="18"/>
                <w:szCs w:val="18"/>
              </w:rPr>
              <w:t>序号</w:t>
            </w:r>
          </w:p>
        </w:tc>
        <w:tc>
          <w:tcPr>
            <w:tcW w:w="23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Cs/>
                <w:color w:val="000000"/>
                <w:sz w:val="18"/>
                <w:szCs w:val="18"/>
              </w:rPr>
            </w:pPr>
            <w:r>
              <w:rPr>
                <w:rFonts w:hint="eastAsia" w:ascii="宋体" w:hAnsi="宋体" w:cs="宋体"/>
                <w:b/>
                <w:color w:val="000000"/>
                <w:sz w:val="18"/>
                <w:szCs w:val="18"/>
              </w:rPr>
              <w:t>产品名称</w:t>
            </w:r>
          </w:p>
        </w:tc>
        <w:tc>
          <w:tcPr>
            <w:tcW w:w="11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品牌、型号</w:t>
            </w:r>
          </w:p>
        </w:tc>
        <w:tc>
          <w:tcPr>
            <w:tcW w:w="11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计量单位</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数量</w:t>
            </w:r>
          </w:p>
        </w:tc>
        <w:tc>
          <w:tcPr>
            <w:tcW w:w="8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全费用单价</w:t>
            </w: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合价</w:t>
            </w:r>
          </w:p>
        </w:tc>
        <w:tc>
          <w:tcPr>
            <w:tcW w:w="7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r>
              <w:rPr>
                <w:rFonts w:hint="eastAsia" w:ascii="宋体" w:hAnsi="宋体" w:cs="宋体"/>
                <w:bCs/>
                <w:color w:val="000000"/>
                <w:sz w:val="18"/>
                <w:szCs w:val="18"/>
              </w:rPr>
              <w:t>1</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r>
              <w:rPr>
                <w:rFonts w:hint="eastAsia" w:ascii="宋体" w:hAnsi="宋体" w:cs="宋体"/>
                <w:bCs/>
                <w:color w:val="000000"/>
                <w:sz w:val="18"/>
                <w:szCs w:val="18"/>
              </w:rPr>
              <w:t>2</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r>
              <w:rPr>
                <w:rFonts w:hint="eastAsia" w:ascii="宋体" w:hAnsi="宋体" w:cs="宋体"/>
                <w:bCs/>
                <w:color w:val="000000"/>
                <w:sz w:val="18"/>
                <w:szCs w:val="18"/>
              </w:rPr>
              <w:t>3</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r>
              <w:rPr>
                <w:rFonts w:hint="eastAsia" w:ascii="宋体" w:hAnsi="宋体" w:cs="宋体"/>
                <w:bCs/>
                <w:color w:val="000000"/>
                <w:sz w:val="18"/>
                <w:szCs w:val="18"/>
              </w:rPr>
              <w:t>……</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18"/>
                <w:szCs w:val="18"/>
              </w:rPr>
            </w:pPr>
            <w:r>
              <w:rPr>
                <w:rFonts w:hint="eastAsia" w:ascii="宋体" w:hAnsi="宋体" w:cs="宋体"/>
                <w:b/>
                <w:color w:val="000000"/>
                <w:sz w:val="18"/>
                <w:szCs w:val="18"/>
              </w:rPr>
              <w:t>投标总价</w:t>
            </w:r>
          </w:p>
        </w:tc>
        <w:tc>
          <w:tcPr>
            <w:tcW w:w="5976"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18"/>
                <w:szCs w:val="18"/>
              </w:rPr>
            </w:pPr>
            <w:r>
              <w:rPr>
                <w:rFonts w:hint="eastAsia" w:ascii="宋体" w:hAnsi="宋体" w:cs="宋体"/>
                <w:b/>
                <w:color w:val="000000"/>
                <w:sz w:val="18"/>
                <w:szCs w:val="18"/>
              </w:rPr>
              <w:t>人民币</w:t>
            </w:r>
          </w:p>
          <w:p>
            <w:pPr>
              <w:spacing w:line="360" w:lineRule="auto"/>
              <w:jc w:val="center"/>
              <w:rPr>
                <w:rFonts w:ascii="宋体" w:hAnsi="宋体" w:cs="宋体"/>
                <w:b/>
                <w:color w:val="000000"/>
                <w:sz w:val="18"/>
                <w:szCs w:val="18"/>
              </w:rPr>
            </w:pPr>
            <w:r>
              <w:rPr>
                <w:rFonts w:hint="eastAsia" w:ascii="宋体" w:hAnsi="宋体" w:cs="宋体"/>
                <w:b/>
                <w:color w:val="000000"/>
                <w:sz w:val="18"/>
                <w:szCs w:val="18"/>
              </w:rPr>
              <w:t>大写</w:t>
            </w:r>
          </w:p>
        </w:tc>
        <w:tc>
          <w:tcPr>
            <w:tcW w:w="5976"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p>
        </w:tc>
      </w:tr>
    </w:tbl>
    <w:p>
      <w:pPr>
        <w:pStyle w:val="14"/>
        <w:spacing w:line="360" w:lineRule="auto"/>
        <w:rPr>
          <w:rFonts w:hAnsi="宋体" w:eastAsia="宋体" w:cs="宋体"/>
          <w:sz w:val="21"/>
          <w:szCs w:val="21"/>
        </w:rPr>
      </w:pPr>
    </w:p>
    <w:p>
      <w:pPr>
        <w:pStyle w:val="14"/>
        <w:spacing w:line="360" w:lineRule="auto"/>
        <w:rPr>
          <w:rFonts w:hAnsi="宋体" w:eastAsia="宋体" w:cs="宋体"/>
          <w:sz w:val="21"/>
          <w:szCs w:val="21"/>
        </w:rPr>
      </w:pPr>
      <w:r>
        <w:rPr>
          <w:rFonts w:hint="eastAsia" w:hAnsi="宋体" w:eastAsia="宋体" w:cs="宋体"/>
          <w:sz w:val="21"/>
          <w:szCs w:val="21"/>
        </w:rPr>
        <w:t>注:1、投标人所投报的投标报价为投标人所能承受的整个项目的一次性最终最低合同总价，包括完成本项目工作内容所需的一切费用（人工、材料（设备）、机械、管理费、利润、税金等所有费用）。</w:t>
      </w:r>
    </w:p>
    <w:p>
      <w:pPr>
        <w:pStyle w:val="14"/>
        <w:spacing w:line="360" w:lineRule="auto"/>
        <w:ind w:firstLine="420" w:firstLineChars="200"/>
        <w:rPr>
          <w:rFonts w:hAnsi="宋体" w:eastAsia="宋体" w:cs="宋体"/>
          <w:spacing w:val="20"/>
          <w:sz w:val="21"/>
          <w:szCs w:val="21"/>
        </w:rPr>
      </w:pPr>
      <w:r>
        <w:rPr>
          <w:rFonts w:hint="eastAsia" w:hAnsi="宋体" w:eastAsia="宋体" w:cs="宋体"/>
          <w:sz w:val="21"/>
          <w:szCs w:val="21"/>
        </w:rPr>
        <w:t>2、投标人需要说明的其他费用支出、相关配件自行填报，投标人应根据招标文件报出本项目的合同总价，本项目的合同总价不得超过项目的预算金额。</w:t>
      </w:r>
    </w:p>
    <w:p>
      <w:pPr>
        <w:pStyle w:val="63"/>
        <w:spacing w:line="360" w:lineRule="auto"/>
        <w:ind w:firstLine="420" w:firstLineChars="200"/>
        <w:rPr>
          <w:rFonts w:hAnsi="宋体" w:eastAsia="宋体"/>
          <w:sz w:val="21"/>
          <w:szCs w:val="21"/>
        </w:rPr>
      </w:pPr>
      <w:r>
        <w:rPr>
          <w:rFonts w:hint="eastAsia" w:hAnsi="宋体" w:eastAsia="宋体"/>
          <w:sz w:val="21"/>
          <w:szCs w:val="21"/>
        </w:rPr>
        <w:t>3、根据实际需要可增删项目。</w:t>
      </w:r>
    </w:p>
    <w:p>
      <w:pPr>
        <w:pStyle w:val="9"/>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法定代表人或被授权人签字（或盖章）</w:t>
      </w:r>
      <w:r>
        <w:rPr>
          <w:rFonts w:hint="eastAsia" w:ascii="宋体" w:hAnsi="宋体"/>
          <w:spacing w:val="20"/>
          <w:szCs w:val="21"/>
        </w:rPr>
        <w:t>：</w:t>
      </w:r>
    </w:p>
    <w:p>
      <w:pPr>
        <w:snapToGrid w:val="0"/>
        <w:spacing w:before="50" w:after="50"/>
        <w:rPr>
          <w:rFonts w:ascii="Arial Unicode MS" w:hAnsi="Arial Unicode MS"/>
          <w:szCs w:val="21"/>
        </w:rPr>
      </w:pPr>
      <w:r>
        <w:rPr>
          <w:rFonts w:hint="eastAsia" w:ascii="宋体" w:hAnsi="宋体"/>
          <w:spacing w:val="20"/>
          <w:szCs w:val="21"/>
        </w:rPr>
        <w:t>投标人公章：</w:t>
      </w:r>
      <w:r>
        <w:rPr>
          <w:rFonts w:hint="eastAsia"/>
          <w:szCs w:val="21"/>
        </w:rPr>
        <w:t>日期：      年   月    日</w:t>
      </w:r>
    </w:p>
    <w:p>
      <w:pPr>
        <w:pStyle w:val="73"/>
        <w:spacing w:line="420" w:lineRule="exact"/>
        <w:jc w:val="left"/>
        <w:rPr>
          <w:rFonts w:hAnsi="宋体" w:eastAsia="宋体"/>
          <w:sz w:val="21"/>
          <w:szCs w:val="21"/>
        </w:rPr>
      </w:pPr>
    </w:p>
    <w:p>
      <w:pPr>
        <w:autoSpaceDE w:val="0"/>
        <w:autoSpaceDN w:val="0"/>
        <w:adjustRightInd w:val="0"/>
        <w:rPr>
          <w:rFonts w:ascii="宋体" w:hAnsi="宋体"/>
          <w:bCs/>
        </w:rPr>
      </w:pPr>
    </w:p>
    <w:p>
      <w:pPr>
        <w:autoSpaceDE w:val="0"/>
        <w:autoSpaceDN w:val="0"/>
        <w:adjustRightInd w:val="0"/>
        <w:rPr>
          <w:rFonts w:ascii="宋体" w:hAnsi="宋体"/>
          <w:bCs/>
        </w:rPr>
      </w:pPr>
    </w:p>
    <w:p>
      <w:pPr>
        <w:snapToGrid w:val="0"/>
        <w:spacing w:before="120" w:beforeLines="50" w:after="50"/>
        <w:rPr>
          <w:rFonts w:ascii="宋体" w:hAnsi="宋体"/>
          <w:b/>
          <w:szCs w:val="21"/>
        </w:rPr>
      </w:pPr>
      <w:r>
        <w:rPr>
          <w:rFonts w:ascii="宋体" w:hAnsi="宋体"/>
          <w:bCs/>
        </w:rPr>
        <w:br w:type="page"/>
      </w:r>
    </w:p>
    <w:p>
      <w:pPr>
        <w:snapToGrid w:val="0"/>
        <w:spacing w:before="120" w:beforeLines="50" w:after="50"/>
        <w:jc w:val="center"/>
        <w:rPr>
          <w:rFonts w:ascii="宋体" w:hAnsi="宋体"/>
          <w:b/>
          <w:szCs w:val="21"/>
        </w:rPr>
      </w:pPr>
    </w:p>
    <w:p>
      <w:pPr>
        <w:adjustRightInd w:val="0"/>
        <w:snapToGrid w:val="0"/>
        <w:spacing w:line="360" w:lineRule="auto"/>
        <w:rPr>
          <w:rFonts w:ascii="宋体"/>
          <w:b/>
          <w:szCs w:val="21"/>
        </w:rPr>
      </w:pPr>
      <w:r>
        <w:rPr>
          <w:rFonts w:hint="eastAsia" w:ascii="宋体" w:hAnsi="宋体"/>
          <w:b/>
          <w:szCs w:val="21"/>
        </w:rPr>
        <w:t>四、投标函格式</w:t>
      </w:r>
      <w:r>
        <w:rPr>
          <w:rFonts w:ascii="宋体" w:hAnsi="宋体"/>
          <w:b/>
          <w:szCs w:val="21"/>
        </w:rPr>
        <w:t>:</w:t>
      </w:r>
    </w:p>
    <w:p>
      <w:pPr>
        <w:snapToGrid w:val="0"/>
        <w:spacing w:before="120" w:beforeLines="50" w:after="50"/>
        <w:jc w:val="center"/>
        <w:rPr>
          <w:rFonts w:ascii="宋体"/>
          <w:b/>
          <w:sz w:val="24"/>
        </w:rPr>
      </w:pPr>
      <w:r>
        <w:rPr>
          <w:rFonts w:hint="eastAsia" w:ascii="宋体" w:hAnsi="宋体"/>
          <w:b/>
          <w:sz w:val="24"/>
        </w:rPr>
        <w:t>投</w:t>
      </w:r>
      <w:r>
        <w:rPr>
          <w:rFonts w:ascii="宋体" w:hAnsi="宋体"/>
          <w:b/>
          <w:sz w:val="24"/>
        </w:rPr>
        <w:t xml:space="preserve"> </w:t>
      </w:r>
      <w:r>
        <w:rPr>
          <w:rFonts w:hint="eastAsia" w:ascii="宋体" w:hAnsi="宋体"/>
          <w:b/>
          <w:sz w:val="24"/>
        </w:rPr>
        <w:t>标</w:t>
      </w:r>
      <w:r>
        <w:rPr>
          <w:rFonts w:ascii="宋体" w:hAnsi="宋体"/>
          <w:b/>
          <w:sz w:val="24"/>
        </w:rPr>
        <w:t xml:space="preserve"> </w:t>
      </w:r>
      <w:r>
        <w:rPr>
          <w:rFonts w:hint="eastAsia" w:ascii="宋体" w:hAnsi="宋体"/>
          <w:b/>
          <w:sz w:val="24"/>
        </w:rPr>
        <w:t>函</w:t>
      </w:r>
    </w:p>
    <w:p>
      <w:pPr>
        <w:snapToGrid w:val="0"/>
        <w:spacing w:line="360" w:lineRule="auto"/>
        <w:rPr>
          <w:rFonts w:ascii="宋体"/>
        </w:rPr>
      </w:pPr>
      <w:r>
        <w:rPr>
          <w:rFonts w:hint="eastAsia" w:ascii="宋体" w:hAnsi="宋体"/>
        </w:rPr>
        <w:t>致：</w:t>
      </w:r>
      <w:r>
        <w:rPr>
          <w:rFonts w:ascii="宋体" w:hAnsi="宋体"/>
        </w:rPr>
        <w:t>_</w:t>
      </w:r>
      <w:r>
        <w:rPr>
          <w:rFonts w:ascii="宋体" w:hAnsi="宋体"/>
          <w:szCs w:val="21"/>
          <w:u w:val="single"/>
        </w:rPr>
        <w:t xml:space="preserve"> </w:t>
      </w:r>
      <w:r>
        <w:rPr>
          <w:rFonts w:hint="eastAsia" w:ascii="宋体" w:hAnsi="宋体"/>
          <w:szCs w:val="21"/>
          <w:u w:val="single"/>
        </w:rPr>
        <w:t xml:space="preserve">（采购人）     </w:t>
      </w:r>
      <w:r>
        <w:rPr>
          <w:rFonts w:ascii="宋体" w:hAnsi="宋体"/>
        </w:rPr>
        <w:t>_</w:t>
      </w:r>
      <w:r>
        <w:rPr>
          <w:rFonts w:hint="eastAsia" w:ascii="宋体" w:hAnsi="宋体"/>
        </w:rPr>
        <w:t>：</w:t>
      </w:r>
    </w:p>
    <w:p>
      <w:pPr>
        <w:pStyle w:val="26"/>
        <w:spacing w:line="360" w:lineRule="auto"/>
        <w:ind w:right="-91" w:firstLine="404" w:firstLineChars="200"/>
        <w:rPr>
          <w:rFonts w:hAnsi="宋体"/>
          <w:sz w:val="21"/>
          <w:szCs w:val="21"/>
        </w:rPr>
      </w:pPr>
      <w:r>
        <w:rPr>
          <w:rFonts w:hint="eastAsia" w:hAnsi="宋体"/>
          <w:sz w:val="21"/>
          <w:szCs w:val="21"/>
        </w:rPr>
        <w:t>我方</w:t>
      </w:r>
      <w:r>
        <w:rPr>
          <w:rFonts w:hint="eastAsia" w:hAnsi="宋体"/>
          <w:b/>
          <w:sz w:val="21"/>
          <w:szCs w:val="21"/>
          <w:u w:val="single"/>
        </w:rPr>
        <w:t>（</w:t>
      </w:r>
      <w:r>
        <w:rPr>
          <w:rFonts w:hint="eastAsia" w:hAnsi="宋体"/>
          <w:sz w:val="21"/>
          <w:szCs w:val="21"/>
          <w:u w:val="single"/>
        </w:rPr>
        <w:t>响应</w:t>
      </w:r>
      <w:r>
        <w:rPr>
          <w:rFonts w:hint="eastAsia" w:hAnsi="宋体"/>
          <w:b/>
          <w:sz w:val="21"/>
          <w:szCs w:val="21"/>
          <w:u w:val="single"/>
        </w:rPr>
        <w:t>人名称）</w:t>
      </w:r>
      <w:r>
        <w:rPr>
          <w:rFonts w:hint="eastAsia" w:hAnsi="宋体"/>
          <w:sz w:val="21"/>
          <w:szCs w:val="21"/>
        </w:rPr>
        <w:t>已详细审查了贵方采购编号为</w:t>
      </w:r>
      <w:r>
        <w:rPr>
          <w:rFonts w:hint="eastAsia" w:hAnsi="宋体"/>
          <w:b/>
          <w:spacing w:val="20"/>
          <w:sz w:val="21"/>
          <w:szCs w:val="21"/>
          <w:u w:val="single"/>
        </w:rPr>
        <w:t>（</w:t>
      </w:r>
      <w:r>
        <w:rPr>
          <w:rFonts w:hint="eastAsia" w:hAnsi="宋体"/>
          <w:b/>
          <w:sz w:val="21"/>
          <w:szCs w:val="21"/>
          <w:u w:val="single"/>
        </w:rPr>
        <w:t>采购编号）</w:t>
      </w:r>
      <w:r>
        <w:rPr>
          <w:rFonts w:hint="eastAsia" w:hAnsi="宋体"/>
          <w:sz w:val="21"/>
          <w:szCs w:val="21"/>
        </w:rPr>
        <w:t>的</w:t>
      </w:r>
      <w:r>
        <w:rPr>
          <w:rFonts w:hint="eastAsia" w:hAnsi="宋体"/>
          <w:b/>
          <w:sz w:val="21"/>
          <w:szCs w:val="21"/>
          <w:u w:val="single"/>
        </w:rPr>
        <w:t>（项目名称）</w:t>
      </w:r>
      <w:r>
        <w:rPr>
          <w:rFonts w:hint="eastAsia" w:hAnsi="宋体"/>
          <w:sz w:val="21"/>
          <w:szCs w:val="21"/>
        </w:rPr>
        <w:t>采购项目的采购文件及其相关补充文件</w:t>
      </w:r>
      <w:r>
        <w:rPr>
          <w:rFonts w:hint="eastAsia" w:hAnsi="宋体"/>
          <w:b/>
          <w:sz w:val="21"/>
          <w:szCs w:val="21"/>
        </w:rPr>
        <w:t>（若有）</w:t>
      </w:r>
      <w:r>
        <w:rPr>
          <w:rFonts w:hint="eastAsia" w:hAnsi="宋体"/>
          <w:sz w:val="21"/>
          <w:szCs w:val="21"/>
        </w:rPr>
        <w:t>，并正式授权我公司的</w:t>
      </w:r>
      <w:r>
        <w:rPr>
          <w:rFonts w:hint="eastAsia" w:hAnsi="宋体"/>
          <w:b/>
          <w:sz w:val="21"/>
          <w:szCs w:val="21"/>
          <w:u w:val="single"/>
        </w:rPr>
        <w:t>（被授权人姓名）</w:t>
      </w:r>
      <w:r>
        <w:rPr>
          <w:rFonts w:hAnsi="宋体"/>
          <w:b/>
          <w:sz w:val="21"/>
          <w:szCs w:val="21"/>
          <w:u w:val="single"/>
        </w:rPr>
        <w:t xml:space="preserve">  </w:t>
      </w:r>
      <w:r>
        <w:rPr>
          <w:rFonts w:hint="eastAsia" w:hAnsi="宋体"/>
          <w:sz w:val="21"/>
          <w:szCs w:val="21"/>
        </w:rPr>
        <w:t>以本公司名义，全权代表我方自愿参加上述招标项目的投标，现就有关事项向采购代理机构郑重承诺如下：</w:t>
      </w:r>
    </w:p>
    <w:p>
      <w:pPr>
        <w:spacing w:line="360" w:lineRule="auto"/>
        <w:ind w:firstLine="420" w:firstLineChars="200"/>
        <w:jc w:val="left"/>
        <w:rPr>
          <w:rFonts w:ascii="宋体"/>
          <w:szCs w:val="21"/>
        </w:rPr>
      </w:pPr>
      <w:r>
        <w:rPr>
          <w:rFonts w:ascii="宋体" w:hAnsi="宋体"/>
          <w:szCs w:val="21"/>
        </w:rPr>
        <w:t>1</w:t>
      </w:r>
      <w:r>
        <w:rPr>
          <w:rFonts w:hint="eastAsia" w:ascii="宋体" w:hAnsi="宋体"/>
          <w:szCs w:val="21"/>
        </w:rPr>
        <w:t>、我方已详细审查了采购文件的全部内容及其相关补充文件（若有），并完全清晰理解全部内容及相关的补充文件（若有），不存在任何误解之处，同意放弃提出异议和质疑的权利。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宋体"/>
          <w:szCs w:val="21"/>
        </w:rPr>
      </w:pPr>
      <w:r>
        <w:rPr>
          <w:rFonts w:ascii="宋体" w:hAnsi="宋体"/>
          <w:szCs w:val="21"/>
        </w:rPr>
        <w:t>2</w:t>
      </w:r>
      <w:r>
        <w:rPr>
          <w:rFonts w:hint="eastAsia" w:ascii="宋体" w:hAnsi="宋体"/>
          <w:szCs w:val="21"/>
        </w:rPr>
        <w:t>、我方遵守《中华人民共和国政府采购法》及相关法律法规的规定。同意采购文件中所提到的无效标条款，并服从有关开标现场的会议纪律。否则，同意被废除投标资格。</w:t>
      </w:r>
    </w:p>
    <w:p>
      <w:pPr>
        <w:spacing w:line="360" w:lineRule="auto"/>
        <w:ind w:firstLine="420" w:firstLineChars="200"/>
        <w:jc w:val="left"/>
        <w:rPr>
          <w:rFonts w:ascii="宋体"/>
          <w:szCs w:val="21"/>
        </w:rPr>
      </w:pPr>
      <w:r>
        <w:rPr>
          <w:rFonts w:ascii="宋体" w:hAnsi="宋体"/>
          <w:szCs w:val="21"/>
        </w:rPr>
        <w:t>3</w:t>
      </w:r>
      <w:r>
        <w:rPr>
          <w:rFonts w:hint="eastAsia" w:ascii="宋体" w:hAnsi="宋体"/>
          <w:szCs w:val="21"/>
        </w:rPr>
        <w:t>、投标有效期为自开标之日起</w:t>
      </w:r>
      <w:r>
        <w:rPr>
          <w:rFonts w:ascii="宋体" w:hAnsi="宋体"/>
          <w:szCs w:val="21"/>
        </w:rPr>
        <w:t>90</w:t>
      </w:r>
      <w:r>
        <w:rPr>
          <w:rFonts w:hint="eastAsia" w:ascii="宋体" w:hAnsi="宋体"/>
          <w:szCs w:val="21"/>
        </w:rPr>
        <w:t>天内，如在投标有效期内撤回投标，我方同意被废除投标资格。</w:t>
      </w:r>
    </w:p>
    <w:p>
      <w:pPr>
        <w:spacing w:line="360" w:lineRule="auto"/>
        <w:ind w:firstLine="420" w:firstLineChars="200"/>
        <w:jc w:val="left"/>
        <w:rPr>
          <w:rFonts w:ascii="宋体"/>
          <w:szCs w:val="21"/>
        </w:rPr>
      </w:pPr>
      <w:r>
        <w:rPr>
          <w:rFonts w:ascii="宋体" w:hAnsi="宋体"/>
          <w:szCs w:val="21"/>
        </w:rPr>
        <w:t>4</w:t>
      </w:r>
      <w:r>
        <w:rPr>
          <w:rFonts w:hint="eastAsia" w:ascii="宋体" w:hAnsi="宋体"/>
          <w:szCs w:val="21"/>
        </w:rPr>
        <w:t>、我方承诺具备本项目履行合同所必需的设备和专业技术能力。</w:t>
      </w:r>
    </w:p>
    <w:p>
      <w:pPr>
        <w:spacing w:line="360" w:lineRule="auto"/>
        <w:ind w:firstLine="420" w:firstLineChars="200"/>
        <w:jc w:val="left"/>
        <w:rPr>
          <w:rFonts w:ascii="宋体"/>
          <w:szCs w:val="21"/>
        </w:rPr>
      </w:pPr>
      <w:r>
        <w:rPr>
          <w:rFonts w:ascii="宋体" w:hAnsi="宋体"/>
          <w:szCs w:val="21"/>
        </w:rPr>
        <w:t>5</w:t>
      </w:r>
      <w:r>
        <w:rPr>
          <w:rFonts w:hint="eastAsia" w:ascii="宋体" w:hAnsi="宋体"/>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20" w:firstLineChars="200"/>
        <w:jc w:val="left"/>
        <w:rPr>
          <w:rFonts w:ascii="宋体" w:hAnsi="宋体"/>
          <w:szCs w:val="21"/>
        </w:rPr>
      </w:pPr>
      <w:r>
        <w:rPr>
          <w:rFonts w:ascii="宋体" w:hAnsi="宋体"/>
          <w:szCs w:val="21"/>
        </w:rPr>
        <w:t>6</w:t>
      </w:r>
      <w:r>
        <w:rPr>
          <w:rFonts w:hint="eastAsia" w:ascii="宋体" w:hAnsi="宋体"/>
          <w:szCs w:val="21"/>
        </w:rPr>
        <w:t>、我方承诺完全响应采购文件要求。</w:t>
      </w:r>
    </w:p>
    <w:p>
      <w:pPr>
        <w:pStyle w:val="9"/>
        <w:rPr>
          <w:rFonts w:ascii="宋体" w:hAnsi="宋体"/>
          <w:szCs w:val="21"/>
        </w:rPr>
      </w:pPr>
    </w:p>
    <w:p>
      <w:pPr>
        <w:pStyle w:val="9"/>
        <w:rPr>
          <w:rFonts w:ascii="宋体" w:hAnsi="宋体"/>
          <w:szCs w:val="21"/>
        </w:rPr>
      </w:pPr>
    </w:p>
    <w:p>
      <w:pPr>
        <w:snapToGrid w:val="0"/>
        <w:spacing w:line="360" w:lineRule="auto"/>
        <w:rPr>
          <w:rFonts w:ascii="宋体"/>
        </w:rPr>
      </w:pPr>
      <w:r>
        <w:rPr>
          <w:rFonts w:hint="eastAsia" w:ascii="宋体" w:hAnsi="宋体"/>
        </w:rPr>
        <w:t>地址：</w:t>
      </w:r>
      <w:r>
        <w:rPr>
          <w:rFonts w:ascii="宋体" w:hAnsi="宋体"/>
          <w:u w:val="single"/>
        </w:rPr>
        <w:t xml:space="preserve">              </w:t>
      </w:r>
      <w:r>
        <w:rPr>
          <w:rFonts w:ascii="宋体" w:hAnsi="宋体"/>
        </w:rPr>
        <w:t xml:space="preserve"> </w:t>
      </w:r>
      <w:r>
        <w:rPr>
          <w:rFonts w:hint="eastAsia" w:ascii="宋体" w:hAnsi="宋体"/>
        </w:rPr>
        <w:t>邮编：</w:t>
      </w:r>
      <w:r>
        <w:rPr>
          <w:rFonts w:ascii="宋体" w:hAnsi="宋体"/>
        </w:rPr>
        <w:t xml:space="preserve">__________   </w:t>
      </w:r>
      <w:r>
        <w:rPr>
          <w:rFonts w:hint="eastAsia" w:ascii="宋体" w:hAnsi="宋体"/>
        </w:rPr>
        <w:t>电话：</w:t>
      </w:r>
      <w:r>
        <w:rPr>
          <w:rFonts w:ascii="宋体" w:hAnsi="宋体"/>
        </w:rPr>
        <w:t>______________</w:t>
      </w:r>
    </w:p>
    <w:p>
      <w:pPr>
        <w:snapToGrid w:val="0"/>
        <w:spacing w:line="360" w:lineRule="auto"/>
        <w:rPr>
          <w:rFonts w:ascii="宋体"/>
        </w:rPr>
      </w:pPr>
      <w:r>
        <w:rPr>
          <w:rFonts w:hint="eastAsia" w:ascii="宋体" w:hAnsi="宋体"/>
        </w:rPr>
        <w:t>传真：</w:t>
      </w:r>
      <w:r>
        <w:rPr>
          <w:rFonts w:ascii="宋体" w:hAnsi="宋体"/>
        </w:rPr>
        <w:t>______________</w:t>
      </w:r>
      <w:r>
        <w:rPr>
          <w:rFonts w:hint="eastAsia" w:ascii="宋体" w:hAnsi="宋体"/>
        </w:rPr>
        <w:t>投标人代表姓名</w:t>
      </w:r>
      <w:r>
        <w:rPr>
          <w:rFonts w:ascii="宋体" w:hAnsi="宋体"/>
        </w:rPr>
        <w:t xml:space="preserve"> ___________  </w:t>
      </w:r>
      <w:r>
        <w:rPr>
          <w:rFonts w:hint="eastAsia" w:ascii="宋体" w:hAnsi="宋体"/>
        </w:rPr>
        <w:t>职务：</w:t>
      </w:r>
      <w:r>
        <w:rPr>
          <w:rFonts w:ascii="宋体" w:hAnsi="宋体"/>
        </w:rPr>
        <w:t>_____________</w:t>
      </w:r>
    </w:p>
    <w:p>
      <w:pPr>
        <w:snapToGrid w:val="0"/>
        <w:spacing w:line="360" w:lineRule="auto"/>
        <w:rPr>
          <w:rFonts w:ascii="宋体"/>
        </w:rPr>
      </w:pPr>
      <w:r>
        <w:rPr>
          <w:rFonts w:hint="eastAsia" w:ascii="宋体" w:hAnsi="宋体"/>
        </w:rPr>
        <w:t>投标人名称</w:t>
      </w:r>
      <w:r>
        <w:rPr>
          <w:rFonts w:ascii="宋体" w:hAnsi="宋体"/>
        </w:rPr>
        <w:t>(</w:t>
      </w:r>
      <w:r>
        <w:rPr>
          <w:rFonts w:hint="eastAsia" w:ascii="宋体" w:hAnsi="宋体"/>
        </w:rPr>
        <w:t>公章</w:t>
      </w:r>
      <w:r>
        <w:rPr>
          <w:rFonts w:ascii="宋体" w:hAnsi="宋体"/>
        </w:rPr>
        <w:t>):___________________</w:t>
      </w:r>
    </w:p>
    <w:p>
      <w:pPr>
        <w:pStyle w:val="47"/>
        <w:snapToGrid w:val="0"/>
        <w:spacing w:before="156" w:after="156" w:line="360" w:lineRule="auto"/>
        <w:rPr>
          <w:rFonts w:hAnsi="宋体" w:eastAsia="宋体"/>
          <w:sz w:val="21"/>
        </w:rPr>
      </w:pPr>
      <w:r>
        <w:rPr>
          <w:rFonts w:hint="eastAsia" w:hAnsi="宋体" w:eastAsia="宋体"/>
          <w:sz w:val="21"/>
        </w:rPr>
        <w:t>授权代表签名:___________                      日期:_____年___月___日</w:t>
      </w:r>
    </w:p>
    <w:p>
      <w:pPr>
        <w:snapToGrid w:val="0"/>
        <w:spacing w:before="50" w:after="50"/>
        <w:rPr>
          <w:rFonts w:ascii="宋体"/>
          <w:b/>
          <w:sz w:val="24"/>
        </w:rPr>
      </w:pPr>
    </w:p>
    <w:p>
      <w:pPr>
        <w:snapToGrid w:val="0"/>
        <w:spacing w:before="120" w:beforeLines="50" w:after="50"/>
        <w:rPr>
          <w:rFonts w:ascii="宋体"/>
        </w:rPr>
      </w:pPr>
    </w:p>
    <w:p>
      <w:pPr>
        <w:snapToGrid w:val="0"/>
        <w:spacing w:line="360" w:lineRule="auto"/>
        <w:jc w:val="left"/>
        <w:rPr>
          <w:rFonts w:ascii="宋体" w:hAnsi="宋体"/>
          <w:szCs w:val="21"/>
        </w:rPr>
      </w:pPr>
      <w:r>
        <w:rPr>
          <w:rFonts w:ascii="宋体" w:hAnsi="宋体"/>
        </w:rPr>
        <w:br w:type="page"/>
      </w:r>
    </w:p>
    <w:p>
      <w:pPr>
        <w:snapToGrid w:val="0"/>
        <w:spacing w:before="120" w:beforeLines="50" w:after="50"/>
        <w:jc w:val="left"/>
        <w:rPr>
          <w:rFonts w:ascii="宋体" w:hAnsi="宋体"/>
          <w:b/>
          <w:bCs/>
          <w:szCs w:val="21"/>
        </w:rPr>
      </w:pPr>
      <w:r>
        <w:rPr>
          <w:rFonts w:hint="eastAsia" w:ascii="宋体" w:hAnsi="宋体"/>
          <w:b/>
          <w:bCs/>
          <w:szCs w:val="21"/>
        </w:rPr>
        <w:t>五</w:t>
      </w:r>
      <w:r>
        <w:rPr>
          <w:rFonts w:ascii="宋体" w:hAnsi="宋体"/>
          <w:b/>
          <w:bCs/>
          <w:szCs w:val="21"/>
        </w:rPr>
        <w:t>、</w:t>
      </w:r>
      <w:r>
        <w:rPr>
          <w:rFonts w:hint="eastAsia" w:ascii="宋体" w:hAnsi="宋体"/>
          <w:b/>
          <w:bCs/>
          <w:szCs w:val="21"/>
        </w:rPr>
        <w:t>声明函</w:t>
      </w:r>
    </w:p>
    <w:p>
      <w:pPr>
        <w:snapToGrid w:val="0"/>
        <w:spacing w:before="120" w:beforeLines="50" w:after="50"/>
        <w:jc w:val="center"/>
        <w:rPr>
          <w:rFonts w:ascii="宋体" w:hAnsi="宋体"/>
          <w:b/>
          <w:sz w:val="24"/>
        </w:rPr>
      </w:pPr>
      <w:r>
        <w:rPr>
          <w:rFonts w:hint="eastAsia" w:ascii="宋体" w:hAnsi="宋体"/>
          <w:b/>
          <w:sz w:val="24"/>
        </w:rPr>
        <w:t>声明函</w:t>
      </w:r>
    </w:p>
    <w:p>
      <w:pPr>
        <w:snapToGrid w:val="0"/>
        <w:spacing w:before="120" w:beforeLines="50" w:after="50" w:line="360" w:lineRule="auto"/>
        <w:rPr>
          <w:rFonts w:ascii="宋体"/>
          <w:szCs w:val="21"/>
        </w:rPr>
      </w:pPr>
      <w:r>
        <w:rPr>
          <w:rFonts w:hint="eastAsia" w:ascii="宋体" w:hAnsi="宋体"/>
          <w:szCs w:val="21"/>
        </w:rPr>
        <w:t>致：</w:t>
      </w:r>
      <w:r>
        <w:rPr>
          <w:rFonts w:ascii="宋体" w:hAnsi="宋体"/>
          <w:szCs w:val="21"/>
        </w:rPr>
        <w:t>_</w:t>
      </w:r>
      <w:r>
        <w:rPr>
          <w:rFonts w:ascii="宋体" w:hAnsi="宋体"/>
          <w:szCs w:val="21"/>
          <w:u w:val="single"/>
        </w:rPr>
        <w:t xml:space="preserve"> </w:t>
      </w:r>
      <w:r>
        <w:rPr>
          <w:rFonts w:hint="eastAsia" w:ascii="宋体" w:hAnsi="宋体"/>
          <w:szCs w:val="21"/>
          <w:u w:val="single"/>
        </w:rPr>
        <w:t>（采购人）</w:t>
      </w:r>
      <w:r>
        <w:rPr>
          <w:rFonts w:ascii="宋体" w:hAnsi="宋体"/>
          <w:szCs w:val="21"/>
          <w:u w:val="single"/>
        </w:rPr>
        <w:t xml:space="preserve">    </w:t>
      </w:r>
      <w:r>
        <w:rPr>
          <w:rFonts w:hint="eastAsia" w:ascii="宋体" w:hAnsi="宋体"/>
          <w:szCs w:val="21"/>
        </w:rPr>
        <w:t>：</w:t>
      </w:r>
    </w:p>
    <w:p>
      <w:pPr>
        <w:pStyle w:val="9"/>
        <w:spacing w:line="360" w:lineRule="auto"/>
        <w:ind w:firstLine="480"/>
        <w:rPr>
          <w:rFonts w:ascii="宋体"/>
          <w:sz w:val="21"/>
          <w:szCs w:val="21"/>
        </w:rPr>
      </w:pPr>
      <w:r>
        <w:rPr>
          <w:rFonts w:hint="eastAsia" w:ascii="宋体" w:hAnsi="宋体"/>
          <w:sz w:val="21"/>
          <w:szCs w:val="21"/>
        </w:rPr>
        <w:t>我方</w:t>
      </w:r>
      <w:r>
        <w:rPr>
          <w:rFonts w:ascii="宋体" w:hAnsi="宋体"/>
          <w:sz w:val="21"/>
          <w:szCs w:val="21"/>
          <w:u w:val="single"/>
        </w:rPr>
        <w:t xml:space="preserve">    </w:t>
      </w:r>
      <w:r>
        <w:rPr>
          <w:rFonts w:hint="eastAsia" w:ascii="宋体" w:hAnsi="宋体"/>
          <w:sz w:val="21"/>
          <w:szCs w:val="21"/>
          <w:u w:val="single"/>
        </w:rPr>
        <w:t>（响应人）</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sz w:val="21"/>
          <w:szCs w:val="21"/>
        </w:rPr>
        <w:t>/</w:t>
      </w:r>
      <w:r>
        <w:rPr>
          <w:rFonts w:hint="eastAsia" w:ascii="宋体" w:hAnsi="宋体"/>
          <w:sz w:val="21"/>
          <w:szCs w:val="21"/>
        </w:rPr>
        <w:t>中标</w:t>
      </w:r>
      <w:r>
        <w:rPr>
          <w:rFonts w:ascii="宋体" w:hAnsi="宋体"/>
          <w:sz w:val="21"/>
          <w:szCs w:val="21"/>
        </w:rPr>
        <w:t>/</w:t>
      </w:r>
      <w:r>
        <w:rPr>
          <w:rFonts w:hint="eastAsia" w:ascii="宋体" w:hAnsi="宋体"/>
          <w:sz w:val="21"/>
          <w:szCs w:val="21"/>
        </w:rPr>
        <w:t>签订合同），我方对此无任何异议。</w:t>
      </w:r>
    </w:p>
    <w:p>
      <w:pPr>
        <w:pStyle w:val="9"/>
        <w:spacing w:line="360" w:lineRule="auto"/>
        <w:ind w:firstLine="480"/>
        <w:rPr>
          <w:rFonts w:ascii="宋体"/>
          <w:sz w:val="21"/>
          <w:szCs w:val="21"/>
        </w:rPr>
      </w:pPr>
      <w:r>
        <w:rPr>
          <w:rFonts w:hint="eastAsia" w:ascii="宋体" w:hAnsi="宋体"/>
          <w:sz w:val="21"/>
          <w:szCs w:val="21"/>
        </w:rPr>
        <w:t>特此声明！</w:t>
      </w:r>
    </w:p>
    <w:p>
      <w:pPr>
        <w:pStyle w:val="9"/>
        <w:ind w:firstLine="480"/>
        <w:rPr>
          <w:rFonts w:ascii="宋体"/>
        </w:rPr>
      </w:pPr>
    </w:p>
    <w:p>
      <w:pPr>
        <w:snapToGrid w:val="0"/>
        <w:spacing w:before="120" w:beforeLines="50"/>
        <w:ind w:firstLine="200"/>
        <w:rPr>
          <w:rFonts w:ascii="宋体"/>
        </w:rPr>
      </w:pPr>
    </w:p>
    <w:p>
      <w:pPr>
        <w:snapToGrid w:val="0"/>
        <w:spacing w:before="120" w:beforeLines="50"/>
        <w:ind w:firstLine="200"/>
        <w:jc w:val="right"/>
        <w:rPr>
          <w:rFonts w:ascii="宋体"/>
          <w:u w:val="single"/>
        </w:rPr>
      </w:pPr>
      <w:r>
        <w:rPr>
          <w:rFonts w:hint="eastAsia" w:ascii="宋体" w:hAnsi="宋体"/>
        </w:rPr>
        <w:t xml:space="preserve">法定代表人签字或盖章： </w:t>
      </w:r>
      <w:r>
        <w:rPr>
          <w:rFonts w:ascii="宋体" w:hAnsi="宋体"/>
          <w:u w:val="single"/>
        </w:rPr>
        <w:t xml:space="preserve">            </w:t>
      </w:r>
    </w:p>
    <w:p>
      <w:pPr>
        <w:snapToGrid w:val="0"/>
        <w:spacing w:before="120" w:beforeLines="50" w:after="50"/>
        <w:ind w:firstLine="210" w:firstLineChars="100"/>
        <w:jc w:val="right"/>
        <w:rPr>
          <w:rFonts w:ascii="宋体"/>
        </w:rPr>
      </w:pPr>
      <w:r>
        <w:rPr>
          <w:rFonts w:hint="eastAsia" w:ascii="宋体" w:hAnsi="宋体"/>
        </w:rPr>
        <w:t>响应人公章：</w:t>
      </w:r>
      <w:r>
        <w:rPr>
          <w:rFonts w:ascii="宋体" w:hAnsi="宋体"/>
          <w:u w:val="single"/>
        </w:rPr>
        <w:t xml:space="preserve">               </w:t>
      </w:r>
      <w:r>
        <w:rPr>
          <w:rFonts w:ascii="宋体" w:hAnsi="宋体"/>
        </w:rPr>
        <w:t xml:space="preserve"> </w:t>
      </w:r>
    </w:p>
    <w:p>
      <w:pPr>
        <w:pStyle w:val="58"/>
        <w:snapToGrid w:val="0"/>
        <w:spacing w:before="120" w:beforeLines="50"/>
        <w:ind w:firstLine="200"/>
        <w:jc w:val="right"/>
        <w:rPr>
          <w:rFonts w:ascii="宋体" w:hAnsi="宋体"/>
          <w:sz w:val="21"/>
          <w:szCs w:val="24"/>
        </w:rPr>
      </w:pPr>
      <w:r>
        <w:rPr>
          <w:rFonts w:hint="eastAsia" w:ascii="宋体" w:hAnsi="宋体"/>
          <w:sz w:val="21"/>
          <w:szCs w:val="24"/>
        </w:rPr>
        <w:t>年</w:t>
      </w:r>
      <w:r>
        <w:rPr>
          <w:rFonts w:ascii="宋体" w:hAnsi="宋体"/>
          <w:sz w:val="21"/>
          <w:szCs w:val="24"/>
        </w:rPr>
        <w:t xml:space="preserve">    </w:t>
      </w:r>
      <w:r>
        <w:rPr>
          <w:rFonts w:hint="eastAsia" w:ascii="宋体" w:hAnsi="宋体"/>
          <w:sz w:val="21"/>
          <w:szCs w:val="24"/>
        </w:rPr>
        <w:t>月</w:t>
      </w:r>
      <w:r>
        <w:rPr>
          <w:rFonts w:ascii="宋体" w:hAnsi="宋体"/>
          <w:sz w:val="21"/>
          <w:szCs w:val="24"/>
        </w:rPr>
        <w:t xml:space="preserve">    </w:t>
      </w:r>
      <w:r>
        <w:rPr>
          <w:rFonts w:hint="eastAsia" w:ascii="宋体" w:hAnsi="宋体"/>
          <w:sz w:val="21"/>
          <w:szCs w:val="24"/>
        </w:rPr>
        <w:t>日</w:t>
      </w:r>
    </w:p>
    <w:p>
      <w:pPr>
        <w:snapToGrid w:val="0"/>
        <w:spacing w:before="120" w:beforeLines="50" w:after="50"/>
        <w:ind w:firstLine="482" w:firstLineChars="200"/>
        <w:jc w:val="left"/>
        <w:rPr>
          <w:rFonts w:ascii="宋体"/>
          <w:b/>
          <w:bCs/>
          <w:sz w:val="24"/>
        </w:rPr>
      </w:pPr>
    </w:p>
    <w:p>
      <w:pPr>
        <w:snapToGrid w:val="0"/>
        <w:spacing w:before="120" w:beforeLines="50" w:after="50"/>
        <w:ind w:firstLine="482" w:firstLineChars="200"/>
        <w:jc w:val="left"/>
        <w:rPr>
          <w:rFonts w:ascii="宋体"/>
          <w:b/>
          <w:bCs/>
          <w:sz w:val="24"/>
        </w:rPr>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spacing w:line="360" w:lineRule="auto"/>
        <w:rPr>
          <w:rFonts w:ascii="宋体" w:hAnsi="宋体"/>
          <w:b/>
          <w:bCs/>
          <w:szCs w:val="21"/>
        </w:rPr>
      </w:pPr>
    </w:p>
    <w:p>
      <w:pPr>
        <w:pStyle w:val="81"/>
        <w:rPr>
          <w:rFonts w:ascii="宋体" w:hAnsi="宋体"/>
          <w:b/>
          <w:bCs/>
          <w:szCs w:val="21"/>
          <w:lang w:eastAsia="zh-CN"/>
        </w:rPr>
      </w:pPr>
    </w:p>
    <w:p>
      <w:pPr>
        <w:pStyle w:val="81"/>
        <w:rPr>
          <w:rFonts w:ascii="宋体" w:hAnsi="宋体"/>
          <w:b/>
          <w:bCs/>
          <w:szCs w:val="21"/>
          <w:lang w:eastAsia="zh-CN"/>
        </w:rPr>
      </w:pPr>
    </w:p>
    <w:p>
      <w:pPr>
        <w:pStyle w:val="81"/>
        <w:rPr>
          <w:rFonts w:ascii="宋体" w:hAnsi="宋体"/>
          <w:b/>
          <w:bCs/>
          <w:szCs w:val="21"/>
          <w:lang w:eastAsia="zh-CN"/>
        </w:rPr>
      </w:pPr>
    </w:p>
    <w:p>
      <w:pPr>
        <w:snapToGrid w:val="0"/>
        <w:spacing w:line="360" w:lineRule="auto"/>
        <w:rPr>
          <w:rFonts w:ascii="宋体" w:hAnsi="宋体"/>
          <w:sz w:val="24"/>
        </w:rPr>
      </w:pPr>
      <w:r>
        <w:rPr>
          <w:rFonts w:hint="eastAsia" w:ascii="宋体" w:hAnsi="宋体"/>
          <w:b/>
          <w:bCs/>
          <w:szCs w:val="21"/>
          <w:lang w:val="en-US" w:eastAsia="zh-CN"/>
        </w:rPr>
        <w:t>六</w:t>
      </w:r>
      <w:r>
        <w:rPr>
          <w:rFonts w:hint="eastAsia" w:ascii="宋体" w:hAnsi="宋体"/>
          <w:b/>
          <w:bCs/>
          <w:szCs w:val="21"/>
          <w:lang w:val="zh-CN"/>
        </w:rPr>
        <w:t>、</w:t>
      </w:r>
      <w:r>
        <w:rPr>
          <w:rFonts w:ascii="宋体" w:hAnsi="宋体"/>
          <w:b/>
          <w:bCs/>
          <w:szCs w:val="21"/>
          <w:lang w:val="zh-CN"/>
        </w:rPr>
        <w:t>法定代表人授权函</w:t>
      </w:r>
    </w:p>
    <w:p>
      <w:pPr>
        <w:snapToGrid w:val="0"/>
        <w:spacing w:line="360" w:lineRule="auto"/>
        <w:rPr>
          <w:rFonts w:ascii="宋体" w:hAnsi="宋体"/>
          <w:b/>
          <w:bCs/>
          <w:szCs w:val="21"/>
          <w:lang w:val="zh-CN"/>
        </w:rPr>
      </w:pPr>
    </w:p>
    <w:p>
      <w:pPr>
        <w:snapToGrid w:val="0"/>
        <w:spacing w:line="360" w:lineRule="auto"/>
        <w:jc w:val="center"/>
        <w:rPr>
          <w:rFonts w:ascii="宋体" w:hAnsi="宋体"/>
          <w:b/>
          <w:bCs/>
          <w:szCs w:val="21"/>
          <w:lang w:val="zh-CN"/>
        </w:rPr>
      </w:pPr>
    </w:p>
    <w:p>
      <w:pPr>
        <w:snapToGrid w:val="0"/>
        <w:spacing w:line="360" w:lineRule="auto"/>
        <w:jc w:val="center"/>
        <w:rPr>
          <w:rFonts w:ascii="宋体" w:hAnsi="宋体"/>
          <w:sz w:val="24"/>
        </w:rPr>
      </w:pPr>
      <w:r>
        <w:rPr>
          <w:rFonts w:ascii="宋体" w:hAnsi="宋体"/>
          <w:b/>
          <w:bCs/>
          <w:szCs w:val="21"/>
          <w:lang w:val="zh-CN"/>
        </w:rPr>
        <w:t>法定代表人授权函</w:t>
      </w:r>
    </w:p>
    <w:p>
      <w:pPr>
        <w:snapToGrid w:val="0"/>
        <w:spacing w:line="360" w:lineRule="auto"/>
        <w:rPr>
          <w:rFonts w:ascii="宋体" w:hAnsi="宋体"/>
          <w:kern w:val="0"/>
          <w:szCs w:val="21"/>
        </w:rPr>
      </w:pPr>
      <w:r>
        <w:rPr>
          <w:rFonts w:hint="eastAsia" w:ascii="宋体" w:hAnsi="宋体"/>
          <w:szCs w:val="21"/>
        </w:rPr>
        <w:t>舟山建银工程造价审查中心有限公司</w:t>
      </w:r>
      <w:r>
        <w:rPr>
          <w:rFonts w:ascii="宋体" w:hAnsi="宋体"/>
          <w:kern w:val="0"/>
          <w:szCs w:val="21"/>
          <w:lang w:val="zh-CN"/>
        </w:rPr>
        <w:t>：</w:t>
      </w:r>
    </w:p>
    <w:p>
      <w:pPr>
        <w:snapToGrid w:val="0"/>
        <w:spacing w:line="360" w:lineRule="auto"/>
        <w:ind w:firstLine="576"/>
        <w:rPr>
          <w:rFonts w:ascii="宋体" w:hAnsi="宋体"/>
          <w:kern w:val="0"/>
          <w:szCs w:val="21"/>
        </w:rPr>
      </w:pPr>
      <w:r>
        <w:rPr>
          <w:rFonts w:ascii="宋体" w:hAnsi="宋体"/>
          <w:kern w:val="0"/>
          <w:szCs w:val="21"/>
          <w:lang w:val="zh-CN"/>
        </w:rPr>
        <w:t>兹委派我公司</w:t>
      </w:r>
      <w:r>
        <w:rPr>
          <w:rFonts w:hint="eastAsia" w:ascii="宋体" w:hAnsi="宋体"/>
          <w:kern w:val="0"/>
          <w:szCs w:val="21"/>
          <w:u w:val="single"/>
        </w:rPr>
        <w:t xml:space="preserve">        </w:t>
      </w:r>
      <w:r>
        <w:rPr>
          <w:rFonts w:ascii="宋体" w:hAnsi="宋体"/>
          <w:kern w:val="0"/>
          <w:szCs w:val="21"/>
          <w:lang w:val="zh-CN"/>
        </w:rPr>
        <w:t>先生/女士(其在本公司的职务是： ，联系电话：手机：传真：)，代表我公司全权处理</w:t>
      </w:r>
      <w:r>
        <w:rPr>
          <w:rFonts w:ascii="宋体" w:hAnsi="宋体"/>
          <w:szCs w:val="21"/>
          <w:u w:val="single"/>
        </w:rPr>
        <w:t xml:space="preserve">                  【招标编号：         】</w:t>
      </w:r>
      <w:r>
        <w:rPr>
          <w:rFonts w:ascii="宋体" w:hAnsi="宋体"/>
          <w:kern w:val="0"/>
          <w:szCs w:val="21"/>
          <w:lang w:val="zh-CN"/>
        </w:rPr>
        <w:t>政府采购投标的一切事项，若中标则全权代表本公司签订相关合同，并负责处理合同履行等事宜。</w:t>
      </w:r>
    </w:p>
    <w:p>
      <w:pPr>
        <w:snapToGrid w:val="0"/>
        <w:spacing w:line="360" w:lineRule="auto"/>
        <w:rPr>
          <w:rFonts w:ascii="宋体" w:hAnsi="宋体"/>
          <w:kern w:val="0"/>
          <w:szCs w:val="21"/>
          <w:lang w:val="zh-CN"/>
        </w:rPr>
      </w:pPr>
      <w:r>
        <w:rPr>
          <w:rFonts w:ascii="宋体" w:hAnsi="宋体"/>
          <w:kern w:val="0"/>
          <w:szCs w:val="21"/>
          <w:lang w:val="zh-CN"/>
        </w:rPr>
        <w:t xml:space="preserve">    本授权书有效期：自   年 月  日起至  年  月  日止。</w:t>
      </w:r>
    </w:p>
    <w:p>
      <w:pPr>
        <w:snapToGrid w:val="0"/>
        <w:spacing w:line="360" w:lineRule="auto"/>
        <w:rPr>
          <w:rFonts w:ascii="宋体" w:hAnsi="宋体"/>
          <w:kern w:val="0"/>
          <w:szCs w:val="21"/>
        </w:rPr>
      </w:pPr>
      <w:r>
        <w:rPr>
          <w:rFonts w:ascii="宋体" w:hAnsi="宋体"/>
          <w:kern w:val="0"/>
          <w:szCs w:val="21"/>
          <w:lang w:val="zh-CN"/>
        </w:rPr>
        <w:t xml:space="preserve">    特此告知。</w:t>
      </w:r>
    </w:p>
    <w:p>
      <w:pPr>
        <w:snapToGrid w:val="0"/>
        <w:spacing w:line="360" w:lineRule="auto"/>
        <w:ind w:firstLine="5040" w:firstLineChars="2400"/>
        <w:rPr>
          <w:rFonts w:ascii="宋体" w:hAnsi="宋体"/>
          <w:kern w:val="0"/>
          <w:szCs w:val="21"/>
        </w:rPr>
      </w:pPr>
      <w:r>
        <w:rPr>
          <w:rFonts w:hint="eastAsia" w:ascii="宋体" w:hAnsi="宋体"/>
          <w:kern w:val="0"/>
          <w:szCs w:val="21"/>
          <w:lang w:val="zh-CN"/>
        </w:rPr>
        <w:t>投标人</w:t>
      </w:r>
      <w:r>
        <w:rPr>
          <w:rFonts w:ascii="宋体" w:hAnsi="宋体"/>
          <w:kern w:val="0"/>
          <w:szCs w:val="21"/>
          <w:lang w:val="zh-CN"/>
        </w:rPr>
        <w:t>名称(公章)：</w:t>
      </w:r>
    </w:p>
    <w:p>
      <w:pPr>
        <w:snapToGrid w:val="0"/>
        <w:spacing w:line="360" w:lineRule="auto"/>
        <w:rPr>
          <w:rFonts w:ascii="宋体" w:hAnsi="宋体"/>
          <w:kern w:val="0"/>
          <w:szCs w:val="21"/>
        </w:rPr>
      </w:pPr>
      <w:r>
        <w:rPr>
          <w:rFonts w:ascii="宋体" w:hAnsi="宋体"/>
          <w:kern w:val="0"/>
          <w:szCs w:val="21"/>
          <w:lang w:val="zh-CN"/>
        </w:rPr>
        <w:t xml:space="preserve">                                              法定代表人(签字或盖章)：</w:t>
      </w:r>
    </w:p>
    <w:p>
      <w:pPr>
        <w:spacing w:line="360" w:lineRule="auto"/>
        <w:jc w:val="center"/>
        <w:rPr>
          <w:rFonts w:ascii="宋体" w:hAnsi="宋体"/>
          <w:kern w:val="0"/>
          <w:szCs w:val="21"/>
          <w:lang w:val="zh-CN"/>
        </w:rPr>
      </w:pPr>
      <w:r>
        <w:rPr>
          <w:rFonts w:ascii="宋体" w:hAnsi="宋体"/>
          <w:kern w:val="0"/>
          <w:szCs w:val="21"/>
          <w:lang w:val="zh-CN"/>
        </w:rPr>
        <w:t>日期：  年  月   日</w:t>
      </w:r>
    </w:p>
    <w:p>
      <w:pPr>
        <w:spacing w:line="360" w:lineRule="auto"/>
        <w:jc w:val="center"/>
        <w:rPr>
          <w:rFonts w:ascii="宋体" w:hAnsi="宋体"/>
          <w:kern w:val="0"/>
          <w:sz w:val="24"/>
          <w:lang w:val="zh-CN"/>
        </w:rPr>
      </w:pPr>
    </w:p>
    <w:p>
      <w:pPr>
        <w:spacing w:line="480" w:lineRule="auto"/>
        <w:ind w:firstLine="403" w:firstLineChars="192"/>
        <w:rPr>
          <w:rFonts w:ascii="宋体" w:hAnsi="宋体"/>
        </w:rPr>
      </w:pPr>
      <w:r>
        <w:rPr>
          <w:rFonts w:ascii="宋体" w:hAnsi="宋体"/>
        </w:rPr>
        <w:t>附法人及</w:t>
      </w:r>
      <w:r>
        <w:rPr>
          <w:rFonts w:ascii="宋体" w:hAnsi="宋体"/>
          <w:lang w:val="zh-CN"/>
        </w:rPr>
        <w:t>授权委托人身份证</w:t>
      </w:r>
      <w:r>
        <w:rPr>
          <w:rFonts w:ascii="宋体" w:hAnsi="宋体"/>
        </w:rPr>
        <w:t>（复印件）</w:t>
      </w:r>
    </w:p>
    <w:p>
      <w:pPr>
        <w:snapToGrid w:val="0"/>
        <w:spacing w:before="100" w:beforeAutospacing="1" w:after="100" w:afterAutospacing="1" w:line="276" w:lineRule="auto"/>
        <w:ind w:firstLine="480" w:firstLineChars="200"/>
        <w:rPr>
          <w:rFonts w:ascii="宋体" w:hAnsi="宋体"/>
          <w:sz w:val="24"/>
        </w:rPr>
      </w:pPr>
    </w:p>
    <w:p>
      <w:pPr>
        <w:pStyle w:val="47"/>
        <w:snapToGrid w:val="0"/>
        <w:spacing w:before="159" w:after="159" w:line="360" w:lineRule="auto"/>
        <w:rPr>
          <w:rFonts w:hAnsi="宋体"/>
        </w:rPr>
      </w:pPr>
      <w:r>
        <w:rPr>
          <w:rFonts w:hAnsi="宋体"/>
          <w:sz w:val="24"/>
        </w:rPr>
        <w:br w:type="page"/>
      </w:r>
    </w:p>
    <w:p>
      <w:pPr>
        <w:snapToGrid w:val="0"/>
        <w:spacing w:before="100" w:beforeAutospacing="1" w:after="100" w:afterAutospacing="1" w:line="360" w:lineRule="exact"/>
        <w:jc w:val="left"/>
        <w:rPr>
          <w:rFonts w:ascii="宋体" w:hAnsi="宋体"/>
          <w:b/>
          <w:bCs/>
          <w:szCs w:val="21"/>
        </w:rPr>
      </w:pPr>
      <w:r>
        <w:rPr>
          <w:rFonts w:hint="eastAsia" w:ascii="宋体" w:hAnsi="宋体"/>
          <w:b/>
          <w:bCs/>
          <w:szCs w:val="21"/>
          <w:lang w:val="en-US" w:eastAsia="zh-CN"/>
        </w:rPr>
        <w:t>七</w:t>
      </w:r>
      <w:r>
        <w:rPr>
          <w:rFonts w:ascii="宋体" w:hAnsi="宋体"/>
          <w:b/>
          <w:bCs/>
          <w:szCs w:val="21"/>
        </w:rPr>
        <w:t>：</w:t>
      </w:r>
      <w:r>
        <w:rPr>
          <w:rFonts w:hint="eastAsia" w:ascii="宋体" w:hAnsi="宋体"/>
          <w:b/>
          <w:bCs/>
          <w:szCs w:val="21"/>
        </w:rPr>
        <w:t>投标人</w:t>
      </w:r>
      <w:r>
        <w:rPr>
          <w:rFonts w:ascii="宋体" w:hAnsi="宋体"/>
          <w:b/>
          <w:bCs/>
          <w:szCs w:val="21"/>
        </w:rPr>
        <w:t>基本情况表（如有）</w:t>
      </w:r>
    </w:p>
    <w:p>
      <w:pPr>
        <w:pStyle w:val="9"/>
        <w:spacing w:line="360" w:lineRule="auto"/>
        <w:rPr>
          <w:rFonts w:ascii="宋体" w:hAnsi="宋体"/>
          <w:sz w:val="21"/>
          <w:szCs w:val="21"/>
        </w:rPr>
      </w:pPr>
    </w:p>
    <w:p>
      <w:pPr>
        <w:snapToGrid w:val="0"/>
        <w:spacing w:line="360" w:lineRule="auto"/>
        <w:jc w:val="left"/>
        <w:rPr>
          <w:rFonts w:ascii="Arial Unicode MS" w:hAnsi="Arial Unicode MS"/>
          <w:b/>
          <w:szCs w:val="21"/>
        </w:rPr>
      </w:pPr>
      <w:r>
        <w:rPr>
          <w:rFonts w:hint="eastAsia" w:ascii="Arial Unicode MS" w:hAnsi="Arial Unicode MS"/>
          <w:b/>
          <w:szCs w:val="21"/>
        </w:rPr>
        <w:t>（主要产品、技术力量、经营业绩等，格式自拟）</w:t>
      </w: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pStyle w:val="81"/>
        <w:rPr>
          <w:rFonts w:ascii="宋体" w:hAnsi="宋体"/>
          <w:b/>
          <w:bCs/>
          <w:szCs w:val="21"/>
          <w:lang w:eastAsia="zh-CN"/>
        </w:rPr>
      </w:pPr>
    </w:p>
    <w:p>
      <w:pPr>
        <w:pStyle w:val="81"/>
        <w:rPr>
          <w:rFonts w:ascii="宋体" w:hAnsi="宋体"/>
          <w:b/>
          <w:bCs/>
          <w:szCs w:val="21"/>
          <w:lang w:eastAsia="zh-CN"/>
        </w:rPr>
      </w:pPr>
    </w:p>
    <w:p>
      <w:pPr>
        <w:pStyle w:val="81"/>
        <w:rPr>
          <w:rFonts w:ascii="宋体" w:hAnsi="宋体"/>
          <w:b/>
          <w:bCs/>
          <w:szCs w:val="21"/>
          <w:lang w:eastAsia="zh-CN"/>
        </w:rPr>
      </w:pPr>
    </w:p>
    <w:p>
      <w:pPr>
        <w:pStyle w:val="81"/>
        <w:rPr>
          <w:rFonts w:ascii="宋体" w:hAnsi="宋体"/>
          <w:b/>
          <w:bCs/>
          <w:szCs w:val="21"/>
          <w:lang w:eastAsia="zh-CN"/>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pStyle w:val="9"/>
        <w:rPr>
          <w:rFonts w:ascii="宋体" w:hAnsi="宋体"/>
          <w:b/>
          <w:bCs/>
          <w:szCs w:val="21"/>
        </w:rPr>
      </w:pPr>
    </w:p>
    <w:p>
      <w:pPr>
        <w:pStyle w:val="10"/>
        <w:ind w:firstLine="210"/>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rPr>
      </w:pPr>
      <w:r>
        <w:rPr>
          <w:rFonts w:hint="eastAsia" w:ascii="宋体" w:hAnsi="宋体"/>
          <w:b/>
          <w:bCs/>
          <w:szCs w:val="21"/>
          <w:lang w:val="en-US" w:eastAsia="zh-CN"/>
        </w:rPr>
        <w:t>八</w:t>
      </w:r>
      <w:r>
        <w:rPr>
          <w:rFonts w:hint="eastAsia" w:ascii="宋体" w:hAnsi="宋体"/>
          <w:b/>
          <w:bCs/>
          <w:szCs w:val="21"/>
        </w:rPr>
        <w:t>、</w:t>
      </w:r>
      <w:r>
        <w:rPr>
          <w:rFonts w:ascii="宋体" w:hAnsi="宋体"/>
          <w:b/>
          <w:bCs/>
          <w:szCs w:val="21"/>
        </w:rPr>
        <w:t>中小企业声明函</w:t>
      </w:r>
    </w:p>
    <w:p>
      <w:pPr>
        <w:autoSpaceDE w:val="0"/>
        <w:autoSpaceDN w:val="0"/>
        <w:adjustRightInd w:val="0"/>
        <w:spacing w:line="360" w:lineRule="auto"/>
        <w:jc w:val="center"/>
        <w:rPr>
          <w:rFonts w:ascii="Times New Roman" w:hAnsi="Times New Roman"/>
          <w:kern w:val="0"/>
          <w:sz w:val="28"/>
          <w:szCs w:val="28"/>
        </w:rPr>
      </w:pPr>
    </w:p>
    <w:p>
      <w:pPr>
        <w:snapToGrid w:val="0"/>
        <w:spacing w:line="360" w:lineRule="auto"/>
        <w:ind w:right="-341"/>
        <w:jc w:val="center"/>
        <w:rPr>
          <w:rFonts w:ascii="宋体" w:hAnsi="宋体" w:cs="宋体"/>
          <w:b/>
          <w:kern w:val="0"/>
          <w:sz w:val="28"/>
          <w:szCs w:val="28"/>
        </w:rPr>
      </w:pPr>
      <w:r>
        <w:rPr>
          <w:rFonts w:hint="eastAsia" w:ascii="宋体" w:hAnsi="宋体" w:cs="宋体"/>
          <w:b/>
          <w:kern w:val="0"/>
          <w:sz w:val="28"/>
          <w:szCs w:val="28"/>
        </w:rPr>
        <w:t>中小企业声明函（服务）</w:t>
      </w:r>
    </w:p>
    <w:p>
      <w:pPr>
        <w:snapToGrid w:val="0"/>
        <w:spacing w:line="360" w:lineRule="auto"/>
        <w:ind w:right="-341"/>
        <w:rPr>
          <w:rFonts w:ascii="宋体" w:hAnsi="宋体" w:cs="宋体"/>
          <w:kern w:val="0"/>
          <w:szCs w:val="21"/>
        </w:rPr>
      </w:pPr>
    </w:p>
    <w:p>
      <w:pPr>
        <w:snapToGrid w:val="0"/>
        <w:spacing w:line="360" w:lineRule="auto"/>
        <w:ind w:right="-341"/>
        <w:rPr>
          <w:rFonts w:ascii="宋体" w:hAnsi="宋体" w:cs="宋体"/>
          <w:kern w:val="0"/>
          <w:szCs w:val="21"/>
        </w:rPr>
      </w:pP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本公司（联合体）郑重声明，根据《政府采购促进中小企业发展管理办法》（财库﹝2020﹞46 号）的规定，本公司（联合体）参加 （单位名称） 的 （项目名称） 采购活动，服务全部由符合政策要求的中小企业承接。相关企业（含联合体中的中小企业、签订分包意向协议的中小企业）的具体情况如下：</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1.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2.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rPr>
          <w:rFonts w:ascii="宋体" w:hAnsi="宋体" w:cs="宋体"/>
          <w:kern w:val="0"/>
          <w:szCs w:val="21"/>
        </w:rPr>
      </w:pPr>
      <w:r>
        <w:rPr>
          <w:rFonts w:hint="eastAsia" w:ascii="宋体" w:hAnsi="宋体" w:cs="宋体"/>
          <w:kern w:val="0"/>
          <w:szCs w:val="21"/>
        </w:rPr>
        <w:t>……</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以上企业，不属于大企业的分支机构，不存在控股股东为大企业的情形，也不存在与大企业的负责人为同一人的情形。</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本企业对上述声明内容的真实性负责。如有虚假，将依法承担相应责任。</w:t>
      </w:r>
    </w:p>
    <w:p>
      <w:pPr>
        <w:snapToGrid w:val="0"/>
        <w:spacing w:line="360" w:lineRule="auto"/>
        <w:ind w:right="-341"/>
        <w:rPr>
          <w:rFonts w:ascii="宋体" w:hAnsi="宋体" w:cs="宋体"/>
          <w:kern w:val="0"/>
          <w:szCs w:val="21"/>
        </w:rPr>
      </w:pPr>
    </w:p>
    <w:p>
      <w:pPr>
        <w:snapToGrid w:val="0"/>
        <w:spacing w:line="360" w:lineRule="auto"/>
        <w:ind w:right="-341"/>
        <w:rPr>
          <w:rFonts w:ascii="宋体" w:hAnsi="宋体" w:cs="宋体"/>
          <w:kern w:val="0"/>
          <w:szCs w:val="21"/>
        </w:rPr>
      </w:pPr>
      <w:r>
        <w:rPr>
          <w:rFonts w:hint="eastAsia" w:ascii="宋体" w:hAnsi="宋体" w:cs="宋体"/>
          <w:kern w:val="0"/>
          <w:szCs w:val="21"/>
        </w:rPr>
        <w:t>企业名称（盖章）：</w:t>
      </w:r>
    </w:p>
    <w:p>
      <w:pPr>
        <w:snapToGrid w:val="0"/>
        <w:spacing w:line="360" w:lineRule="auto"/>
        <w:ind w:right="-341"/>
        <w:jc w:val="left"/>
        <w:rPr>
          <w:rFonts w:ascii="宋体" w:hAnsi="宋体" w:cs="宋体"/>
          <w:kern w:val="0"/>
          <w:szCs w:val="21"/>
        </w:rPr>
      </w:pPr>
    </w:p>
    <w:p>
      <w:pPr>
        <w:snapToGrid w:val="0"/>
        <w:spacing w:line="360" w:lineRule="auto"/>
        <w:ind w:right="-341"/>
        <w:jc w:val="left"/>
      </w:pPr>
      <w:r>
        <w:rPr>
          <w:rFonts w:hint="eastAsia" w:ascii="宋体" w:hAnsi="宋体" w:cs="宋体"/>
          <w:kern w:val="0"/>
          <w:szCs w:val="21"/>
        </w:rPr>
        <w:t>日 期：</w:t>
      </w:r>
    </w:p>
    <w:p>
      <w:pPr>
        <w:snapToGrid w:val="0"/>
        <w:spacing w:line="360" w:lineRule="auto"/>
        <w:ind w:right="-341"/>
        <w:sectPr>
          <w:type w:val="continuous"/>
          <w:pgSz w:w="11906" w:h="16838"/>
          <w:pgMar w:top="1304" w:right="1531" w:bottom="1304" w:left="1531" w:header="1304" w:footer="1304" w:gutter="0"/>
          <w:cols w:space="720" w:num="1"/>
        </w:sectPr>
      </w:pPr>
    </w:p>
    <w:p>
      <w:pPr>
        <w:widowControl/>
        <w:spacing w:line="500" w:lineRule="exact"/>
        <w:jc w:val="right"/>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
      <w:pPr>
        <w:pStyle w:val="11"/>
        <w:rPr>
          <w:rFonts w:hAnsi="宋体" w:cs="宋体"/>
          <w:color w:val="000000"/>
          <w:kern w:val="0"/>
          <w:szCs w:val="21"/>
        </w:rPr>
      </w:pPr>
    </w:p>
    <w:p>
      <w:pPr>
        <w:jc w:val="center"/>
        <w:rPr>
          <w:b/>
          <w:sz w:val="28"/>
          <w:szCs w:val="28"/>
        </w:rPr>
      </w:pPr>
      <w:r>
        <w:rPr>
          <w:b/>
          <w:sz w:val="28"/>
          <w:szCs w:val="28"/>
        </w:rPr>
        <w:t>中小企业声明函（货物）</w:t>
      </w:r>
    </w:p>
    <w:p>
      <w:pPr>
        <w:ind w:firstLine="420" w:firstLineChars="200"/>
      </w:pPr>
    </w:p>
    <w:p>
      <w:pPr>
        <w:spacing w:line="360" w:lineRule="auto"/>
        <w:ind w:firstLine="420" w:firstLineChars="200"/>
        <w:rPr>
          <w:szCs w:val="21"/>
        </w:rPr>
      </w:pPr>
    </w:p>
    <w:p>
      <w:pPr>
        <w:spacing w:line="360" w:lineRule="auto"/>
        <w:ind w:firstLine="420" w:firstLineChars="200"/>
        <w:rPr>
          <w:szCs w:val="21"/>
        </w:rPr>
      </w:pPr>
      <w:r>
        <w:rPr>
          <w:szCs w:val="21"/>
        </w:rPr>
        <w:t>本公司郑重声明，根据《政府采购促进中小企业发展管理办法》（财库﹝2020﹞46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号）的规定，本公司参加（单位名称）的（项目名称）采购活动，提供的货物全部由符合政策要求的中小企业制造。相关企业（含联合体中的中小企业、签订分包意向协议的中小企业）的具体情况如下：</w:t>
      </w:r>
    </w:p>
    <w:tbl>
      <w:tblPr>
        <w:tblStyle w:val="30"/>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4"/>
        <w:gridCol w:w="1725"/>
        <w:gridCol w:w="1087"/>
        <w:gridCol w:w="963"/>
        <w:gridCol w:w="967"/>
        <w:gridCol w:w="1011"/>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spacing w:line="360" w:lineRule="auto"/>
              <w:ind w:firstLine="420" w:firstLineChars="200"/>
              <w:rPr>
                <w:szCs w:val="21"/>
              </w:rPr>
            </w:pPr>
            <w:r>
              <w:rPr>
                <w:rFonts w:hint="eastAsia"/>
                <w:szCs w:val="21"/>
              </w:rPr>
              <w:t>标的名称</w:t>
            </w:r>
          </w:p>
          <w:p>
            <w:pPr>
              <w:spacing w:line="360" w:lineRule="auto"/>
              <w:rPr>
                <w:szCs w:val="21"/>
              </w:rPr>
            </w:pPr>
            <w:r>
              <w:rPr>
                <w:rFonts w:hint="eastAsia"/>
                <w:szCs w:val="21"/>
              </w:rPr>
              <w:t>（即采购需求清单中的货物名称）</w:t>
            </w:r>
          </w:p>
        </w:tc>
        <w:tc>
          <w:tcPr>
            <w:tcW w:w="1725" w:type="dxa"/>
            <w:vAlign w:val="center"/>
          </w:tcPr>
          <w:p>
            <w:pPr>
              <w:spacing w:line="360" w:lineRule="auto"/>
              <w:rPr>
                <w:szCs w:val="21"/>
              </w:rPr>
            </w:pPr>
            <w:r>
              <w:rPr>
                <w:rFonts w:hint="eastAsia"/>
                <w:szCs w:val="21"/>
              </w:rPr>
              <w:t>采购文件中明确的所属行业</w:t>
            </w:r>
          </w:p>
        </w:tc>
        <w:tc>
          <w:tcPr>
            <w:tcW w:w="1087" w:type="dxa"/>
            <w:vAlign w:val="center"/>
          </w:tcPr>
          <w:p>
            <w:pPr>
              <w:spacing w:line="360" w:lineRule="auto"/>
              <w:rPr>
                <w:szCs w:val="21"/>
              </w:rPr>
            </w:pPr>
            <w:r>
              <w:rPr>
                <w:rFonts w:hint="eastAsia"/>
                <w:szCs w:val="21"/>
              </w:rPr>
              <w:t>制造商（企业名称）</w:t>
            </w:r>
          </w:p>
        </w:tc>
        <w:tc>
          <w:tcPr>
            <w:tcW w:w="963" w:type="dxa"/>
            <w:vAlign w:val="center"/>
          </w:tcPr>
          <w:p>
            <w:pPr>
              <w:spacing w:line="360" w:lineRule="auto"/>
              <w:rPr>
                <w:szCs w:val="21"/>
              </w:rPr>
            </w:pPr>
            <w:r>
              <w:rPr>
                <w:rFonts w:hint="eastAsia"/>
                <w:szCs w:val="21"/>
              </w:rPr>
              <w:t>从业人员（人）</w:t>
            </w:r>
          </w:p>
        </w:tc>
        <w:tc>
          <w:tcPr>
            <w:tcW w:w="967" w:type="dxa"/>
            <w:vAlign w:val="center"/>
          </w:tcPr>
          <w:p>
            <w:pPr>
              <w:spacing w:line="360" w:lineRule="auto"/>
              <w:rPr>
                <w:szCs w:val="21"/>
              </w:rPr>
            </w:pPr>
            <w:r>
              <w:rPr>
                <w:rFonts w:hint="eastAsia"/>
                <w:szCs w:val="21"/>
              </w:rPr>
              <w:t>营业收入（万元）</w:t>
            </w:r>
          </w:p>
        </w:tc>
        <w:tc>
          <w:tcPr>
            <w:tcW w:w="1011" w:type="dxa"/>
            <w:vAlign w:val="center"/>
          </w:tcPr>
          <w:p>
            <w:pPr>
              <w:spacing w:line="360" w:lineRule="auto"/>
              <w:rPr>
                <w:szCs w:val="21"/>
              </w:rPr>
            </w:pPr>
            <w:r>
              <w:rPr>
                <w:rFonts w:hint="eastAsia"/>
                <w:szCs w:val="21"/>
              </w:rPr>
              <w:t>资产总额（万元）</w:t>
            </w:r>
          </w:p>
        </w:tc>
        <w:tc>
          <w:tcPr>
            <w:tcW w:w="1117" w:type="dxa"/>
            <w:vAlign w:val="center"/>
          </w:tcPr>
          <w:p>
            <w:pPr>
              <w:spacing w:line="360" w:lineRule="auto"/>
              <w:rPr>
                <w:szCs w:val="21"/>
              </w:rPr>
            </w:pPr>
            <w:r>
              <w:rPr>
                <w:rFonts w:hint="eastAsia"/>
                <w:szCs w:val="21"/>
              </w:rPr>
              <w:t>属于（中型企业、小型企业、微型企业）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snapToGrid w:val="0"/>
              <w:spacing w:line="360" w:lineRule="auto"/>
              <w:ind w:right="-341"/>
            </w:pPr>
          </w:p>
        </w:tc>
        <w:tc>
          <w:tcPr>
            <w:tcW w:w="1725" w:type="dxa"/>
          </w:tcPr>
          <w:p>
            <w:pPr>
              <w:snapToGrid w:val="0"/>
              <w:spacing w:line="360" w:lineRule="auto"/>
              <w:ind w:right="-341"/>
            </w:pPr>
          </w:p>
        </w:tc>
        <w:tc>
          <w:tcPr>
            <w:tcW w:w="1087" w:type="dxa"/>
          </w:tcPr>
          <w:p>
            <w:pPr>
              <w:snapToGrid w:val="0"/>
              <w:spacing w:line="360" w:lineRule="auto"/>
              <w:ind w:right="-341"/>
            </w:pPr>
          </w:p>
        </w:tc>
        <w:tc>
          <w:tcPr>
            <w:tcW w:w="963" w:type="dxa"/>
          </w:tcPr>
          <w:p>
            <w:pPr>
              <w:snapToGrid w:val="0"/>
              <w:spacing w:line="360" w:lineRule="auto"/>
              <w:ind w:right="-341"/>
            </w:pPr>
          </w:p>
        </w:tc>
        <w:tc>
          <w:tcPr>
            <w:tcW w:w="967" w:type="dxa"/>
          </w:tcPr>
          <w:p>
            <w:pPr>
              <w:snapToGrid w:val="0"/>
              <w:spacing w:line="360" w:lineRule="auto"/>
              <w:ind w:right="-341"/>
            </w:pPr>
          </w:p>
        </w:tc>
        <w:tc>
          <w:tcPr>
            <w:tcW w:w="1011" w:type="dxa"/>
          </w:tcPr>
          <w:p>
            <w:pPr>
              <w:snapToGrid w:val="0"/>
              <w:spacing w:line="360" w:lineRule="auto"/>
              <w:ind w:right="-341"/>
            </w:pPr>
          </w:p>
        </w:tc>
        <w:tc>
          <w:tcPr>
            <w:tcW w:w="1117" w:type="dxa"/>
          </w:tcPr>
          <w:p>
            <w:pPr>
              <w:snapToGrid w:val="0"/>
              <w:spacing w:line="360" w:lineRule="auto"/>
              <w:ind w:right="-3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snapToGrid w:val="0"/>
              <w:spacing w:line="360" w:lineRule="auto"/>
              <w:ind w:right="-341"/>
            </w:pPr>
          </w:p>
        </w:tc>
        <w:tc>
          <w:tcPr>
            <w:tcW w:w="1725" w:type="dxa"/>
          </w:tcPr>
          <w:p>
            <w:pPr>
              <w:snapToGrid w:val="0"/>
              <w:spacing w:line="360" w:lineRule="auto"/>
              <w:ind w:right="-341"/>
            </w:pPr>
          </w:p>
        </w:tc>
        <w:tc>
          <w:tcPr>
            <w:tcW w:w="1087" w:type="dxa"/>
          </w:tcPr>
          <w:p>
            <w:pPr>
              <w:snapToGrid w:val="0"/>
              <w:spacing w:line="360" w:lineRule="auto"/>
              <w:ind w:right="-341"/>
            </w:pPr>
          </w:p>
        </w:tc>
        <w:tc>
          <w:tcPr>
            <w:tcW w:w="963" w:type="dxa"/>
          </w:tcPr>
          <w:p>
            <w:pPr>
              <w:snapToGrid w:val="0"/>
              <w:spacing w:line="360" w:lineRule="auto"/>
              <w:ind w:right="-341"/>
            </w:pPr>
          </w:p>
        </w:tc>
        <w:tc>
          <w:tcPr>
            <w:tcW w:w="967" w:type="dxa"/>
          </w:tcPr>
          <w:p>
            <w:pPr>
              <w:snapToGrid w:val="0"/>
              <w:spacing w:line="360" w:lineRule="auto"/>
              <w:ind w:right="-341"/>
            </w:pPr>
          </w:p>
        </w:tc>
        <w:tc>
          <w:tcPr>
            <w:tcW w:w="1011" w:type="dxa"/>
          </w:tcPr>
          <w:p>
            <w:pPr>
              <w:snapToGrid w:val="0"/>
              <w:spacing w:line="360" w:lineRule="auto"/>
              <w:ind w:right="-341"/>
            </w:pPr>
          </w:p>
        </w:tc>
        <w:tc>
          <w:tcPr>
            <w:tcW w:w="1117" w:type="dxa"/>
          </w:tcPr>
          <w:p>
            <w:pPr>
              <w:snapToGrid w:val="0"/>
              <w:spacing w:line="360" w:lineRule="auto"/>
              <w:ind w:right="-3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snapToGrid w:val="0"/>
              <w:spacing w:line="360" w:lineRule="auto"/>
              <w:ind w:right="-341"/>
            </w:pPr>
          </w:p>
        </w:tc>
        <w:tc>
          <w:tcPr>
            <w:tcW w:w="1725" w:type="dxa"/>
          </w:tcPr>
          <w:p>
            <w:pPr>
              <w:snapToGrid w:val="0"/>
              <w:spacing w:line="360" w:lineRule="auto"/>
              <w:ind w:right="-341"/>
            </w:pPr>
          </w:p>
        </w:tc>
        <w:tc>
          <w:tcPr>
            <w:tcW w:w="1087" w:type="dxa"/>
          </w:tcPr>
          <w:p>
            <w:pPr>
              <w:snapToGrid w:val="0"/>
              <w:spacing w:line="360" w:lineRule="auto"/>
              <w:ind w:right="-341"/>
            </w:pPr>
          </w:p>
        </w:tc>
        <w:tc>
          <w:tcPr>
            <w:tcW w:w="963" w:type="dxa"/>
          </w:tcPr>
          <w:p>
            <w:pPr>
              <w:snapToGrid w:val="0"/>
              <w:spacing w:line="360" w:lineRule="auto"/>
              <w:ind w:right="-341"/>
            </w:pPr>
          </w:p>
        </w:tc>
        <w:tc>
          <w:tcPr>
            <w:tcW w:w="967" w:type="dxa"/>
          </w:tcPr>
          <w:p>
            <w:pPr>
              <w:snapToGrid w:val="0"/>
              <w:spacing w:line="360" w:lineRule="auto"/>
              <w:ind w:right="-341"/>
            </w:pPr>
          </w:p>
        </w:tc>
        <w:tc>
          <w:tcPr>
            <w:tcW w:w="1011" w:type="dxa"/>
          </w:tcPr>
          <w:p>
            <w:pPr>
              <w:snapToGrid w:val="0"/>
              <w:spacing w:line="360" w:lineRule="auto"/>
              <w:ind w:right="-341"/>
            </w:pPr>
          </w:p>
        </w:tc>
        <w:tc>
          <w:tcPr>
            <w:tcW w:w="1117" w:type="dxa"/>
          </w:tcPr>
          <w:p>
            <w:pPr>
              <w:snapToGrid w:val="0"/>
              <w:spacing w:line="360" w:lineRule="auto"/>
              <w:ind w:right="-3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snapToGrid w:val="0"/>
              <w:spacing w:line="360" w:lineRule="auto"/>
              <w:ind w:right="-341"/>
            </w:pPr>
          </w:p>
        </w:tc>
        <w:tc>
          <w:tcPr>
            <w:tcW w:w="1725" w:type="dxa"/>
          </w:tcPr>
          <w:p>
            <w:pPr>
              <w:snapToGrid w:val="0"/>
              <w:spacing w:line="360" w:lineRule="auto"/>
              <w:ind w:right="-341"/>
            </w:pPr>
          </w:p>
        </w:tc>
        <w:tc>
          <w:tcPr>
            <w:tcW w:w="1087" w:type="dxa"/>
          </w:tcPr>
          <w:p>
            <w:pPr>
              <w:snapToGrid w:val="0"/>
              <w:spacing w:line="360" w:lineRule="auto"/>
              <w:ind w:right="-341"/>
            </w:pPr>
          </w:p>
        </w:tc>
        <w:tc>
          <w:tcPr>
            <w:tcW w:w="963" w:type="dxa"/>
          </w:tcPr>
          <w:p>
            <w:pPr>
              <w:snapToGrid w:val="0"/>
              <w:spacing w:line="360" w:lineRule="auto"/>
              <w:ind w:right="-341"/>
            </w:pPr>
          </w:p>
        </w:tc>
        <w:tc>
          <w:tcPr>
            <w:tcW w:w="967" w:type="dxa"/>
          </w:tcPr>
          <w:p>
            <w:pPr>
              <w:snapToGrid w:val="0"/>
              <w:spacing w:line="360" w:lineRule="auto"/>
              <w:ind w:right="-341"/>
            </w:pPr>
          </w:p>
        </w:tc>
        <w:tc>
          <w:tcPr>
            <w:tcW w:w="1011" w:type="dxa"/>
          </w:tcPr>
          <w:p>
            <w:pPr>
              <w:snapToGrid w:val="0"/>
              <w:spacing w:line="360" w:lineRule="auto"/>
              <w:ind w:right="-341"/>
            </w:pPr>
          </w:p>
        </w:tc>
        <w:tc>
          <w:tcPr>
            <w:tcW w:w="1117" w:type="dxa"/>
          </w:tcPr>
          <w:p>
            <w:pPr>
              <w:snapToGrid w:val="0"/>
              <w:spacing w:line="360" w:lineRule="auto"/>
              <w:ind w:right="-3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snapToGrid w:val="0"/>
              <w:spacing w:line="360" w:lineRule="auto"/>
              <w:ind w:right="-341"/>
            </w:pPr>
          </w:p>
        </w:tc>
        <w:tc>
          <w:tcPr>
            <w:tcW w:w="1725" w:type="dxa"/>
          </w:tcPr>
          <w:p>
            <w:pPr>
              <w:snapToGrid w:val="0"/>
              <w:spacing w:line="360" w:lineRule="auto"/>
              <w:ind w:right="-341"/>
            </w:pPr>
          </w:p>
        </w:tc>
        <w:tc>
          <w:tcPr>
            <w:tcW w:w="1087" w:type="dxa"/>
          </w:tcPr>
          <w:p>
            <w:pPr>
              <w:snapToGrid w:val="0"/>
              <w:spacing w:line="360" w:lineRule="auto"/>
              <w:ind w:right="-341"/>
            </w:pPr>
          </w:p>
        </w:tc>
        <w:tc>
          <w:tcPr>
            <w:tcW w:w="963" w:type="dxa"/>
          </w:tcPr>
          <w:p>
            <w:pPr>
              <w:snapToGrid w:val="0"/>
              <w:spacing w:line="360" w:lineRule="auto"/>
              <w:ind w:right="-341"/>
            </w:pPr>
          </w:p>
        </w:tc>
        <w:tc>
          <w:tcPr>
            <w:tcW w:w="967" w:type="dxa"/>
          </w:tcPr>
          <w:p>
            <w:pPr>
              <w:snapToGrid w:val="0"/>
              <w:spacing w:line="360" w:lineRule="auto"/>
              <w:ind w:right="-341"/>
            </w:pPr>
          </w:p>
        </w:tc>
        <w:tc>
          <w:tcPr>
            <w:tcW w:w="1011" w:type="dxa"/>
          </w:tcPr>
          <w:p>
            <w:pPr>
              <w:snapToGrid w:val="0"/>
              <w:spacing w:line="360" w:lineRule="auto"/>
              <w:ind w:right="-341"/>
            </w:pPr>
          </w:p>
        </w:tc>
        <w:tc>
          <w:tcPr>
            <w:tcW w:w="1117" w:type="dxa"/>
          </w:tcPr>
          <w:p>
            <w:pPr>
              <w:snapToGrid w:val="0"/>
              <w:spacing w:line="360" w:lineRule="auto"/>
              <w:ind w:right="-3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snapToGrid w:val="0"/>
              <w:spacing w:line="360" w:lineRule="auto"/>
              <w:ind w:right="-341"/>
            </w:pPr>
          </w:p>
        </w:tc>
        <w:tc>
          <w:tcPr>
            <w:tcW w:w="1725" w:type="dxa"/>
          </w:tcPr>
          <w:p>
            <w:pPr>
              <w:snapToGrid w:val="0"/>
              <w:spacing w:line="360" w:lineRule="auto"/>
              <w:ind w:right="-341"/>
            </w:pPr>
          </w:p>
        </w:tc>
        <w:tc>
          <w:tcPr>
            <w:tcW w:w="1087" w:type="dxa"/>
          </w:tcPr>
          <w:p>
            <w:pPr>
              <w:snapToGrid w:val="0"/>
              <w:spacing w:line="360" w:lineRule="auto"/>
              <w:ind w:right="-341"/>
            </w:pPr>
          </w:p>
        </w:tc>
        <w:tc>
          <w:tcPr>
            <w:tcW w:w="963" w:type="dxa"/>
          </w:tcPr>
          <w:p>
            <w:pPr>
              <w:snapToGrid w:val="0"/>
              <w:spacing w:line="360" w:lineRule="auto"/>
              <w:ind w:right="-341"/>
            </w:pPr>
          </w:p>
        </w:tc>
        <w:tc>
          <w:tcPr>
            <w:tcW w:w="967" w:type="dxa"/>
          </w:tcPr>
          <w:p>
            <w:pPr>
              <w:snapToGrid w:val="0"/>
              <w:spacing w:line="360" w:lineRule="auto"/>
              <w:ind w:right="-341"/>
            </w:pPr>
          </w:p>
        </w:tc>
        <w:tc>
          <w:tcPr>
            <w:tcW w:w="1011" w:type="dxa"/>
          </w:tcPr>
          <w:p>
            <w:pPr>
              <w:snapToGrid w:val="0"/>
              <w:spacing w:line="360" w:lineRule="auto"/>
              <w:ind w:right="-341"/>
            </w:pPr>
          </w:p>
        </w:tc>
        <w:tc>
          <w:tcPr>
            <w:tcW w:w="1117" w:type="dxa"/>
          </w:tcPr>
          <w:p>
            <w:pPr>
              <w:snapToGrid w:val="0"/>
              <w:spacing w:line="360" w:lineRule="auto"/>
              <w:ind w:right="-3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734" w:type="dxa"/>
            <w:vAlign w:val="center"/>
          </w:tcPr>
          <w:p>
            <w:pPr>
              <w:snapToGrid w:val="0"/>
              <w:spacing w:line="360" w:lineRule="auto"/>
              <w:ind w:right="-341"/>
            </w:pPr>
          </w:p>
        </w:tc>
        <w:tc>
          <w:tcPr>
            <w:tcW w:w="1725" w:type="dxa"/>
          </w:tcPr>
          <w:p>
            <w:pPr>
              <w:snapToGrid w:val="0"/>
              <w:spacing w:line="360" w:lineRule="auto"/>
              <w:ind w:right="-341"/>
            </w:pPr>
          </w:p>
        </w:tc>
        <w:tc>
          <w:tcPr>
            <w:tcW w:w="1087" w:type="dxa"/>
          </w:tcPr>
          <w:p>
            <w:pPr>
              <w:snapToGrid w:val="0"/>
              <w:spacing w:line="360" w:lineRule="auto"/>
              <w:ind w:right="-341"/>
            </w:pPr>
          </w:p>
        </w:tc>
        <w:tc>
          <w:tcPr>
            <w:tcW w:w="963" w:type="dxa"/>
          </w:tcPr>
          <w:p>
            <w:pPr>
              <w:snapToGrid w:val="0"/>
              <w:spacing w:line="360" w:lineRule="auto"/>
              <w:ind w:right="-341"/>
            </w:pPr>
          </w:p>
        </w:tc>
        <w:tc>
          <w:tcPr>
            <w:tcW w:w="967" w:type="dxa"/>
          </w:tcPr>
          <w:p>
            <w:pPr>
              <w:snapToGrid w:val="0"/>
              <w:spacing w:line="360" w:lineRule="auto"/>
              <w:ind w:right="-341"/>
            </w:pPr>
          </w:p>
        </w:tc>
        <w:tc>
          <w:tcPr>
            <w:tcW w:w="1011" w:type="dxa"/>
          </w:tcPr>
          <w:p>
            <w:pPr>
              <w:snapToGrid w:val="0"/>
              <w:spacing w:line="360" w:lineRule="auto"/>
              <w:ind w:right="-341"/>
            </w:pPr>
          </w:p>
        </w:tc>
        <w:tc>
          <w:tcPr>
            <w:tcW w:w="1117" w:type="dxa"/>
          </w:tcPr>
          <w:p>
            <w:pPr>
              <w:snapToGrid w:val="0"/>
              <w:spacing w:line="360" w:lineRule="auto"/>
              <w:ind w:right="-3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snapToGrid w:val="0"/>
              <w:spacing w:line="360" w:lineRule="auto"/>
              <w:ind w:right="-341"/>
            </w:pPr>
            <w:r>
              <w:rPr>
                <w:rFonts w:hint="eastAsia"/>
              </w:rPr>
              <w:t>……</w:t>
            </w:r>
          </w:p>
        </w:tc>
        <w:tc>
          <w:tcPr>
            <w:tcW w:w="1725" w:type="dxa"/>
          </w:tcPr>
          <w:p>
            <w:pPr>
              <w:snapToGrid w:val="0"/>
              <w:spacing w:line="360" w:lineRule="auto"/>
              <w:ind w:right="-341"/>
            </w:pPr>
          </w:p>
        </w:tc>
        <w:tc>
          <w:tcPr>
            <w:tcW w:w="1087" w:type="dxa"/>
          </w:tcPr>
          <w:p>
            <w:pPr>
              <w:snapToGrid w:val="0"/>
              <w:spacing w:line="360" w:lineRule="auto"/>
              <w:ind w:right="-341"/>
            </w:pPr>
          </w:p>
        </w:tc>
        <w:tc>
          <w:tcPr>
            <w:tcW w:w="963" w:type="dxa"/>
          </w:tcPr>
          <w:p>
            <w:pPr>
              <w:snapToGrid w:val="0"/>
              <w:spacing w:line="360" w:lineRule="auto"/>
              <w:ind w:right="-341"/>
            </w:pPr>
          </w:p>
        </w:tc>
        <w:tc>
          <w:tcPr>
            <w:tcW w:w="967" w:type="dxa"/>
          </w:tcPr>
          <w:p>
            <w:pPr>
              <w:snapToGrid w:val="0"/>
              <w:spacing w:line="360" w:lineRule="auto"/>
              <w:ind w:right="-341"/>
            </w:pPr>
          </w:p>
        </w:tc>
        <w:tc>
          <w:tcPr>
            <w:tcW w:w="1011" w:type="dxa"/>
          </w:tcPr>
          <w:p>
            <w:pPr>
              <w:snapToGrid w:val="0"/>
              <w:spacing w:line="360" w:lineRule="auto"/>
              <w:ind w:right="-341"/>
            </w:pPr>
          </w:p>
        </w:tc>
        <w:tc>
          <w:tcPr>
            <w:tcW w:w="1117" w:type="dxa"/>
          </w:tcPr>
          <w:p>
            <w:pPr>
              <w:snapToGrid w:val="0"/>
              <w:spacing w:line="360" w:lineRule="auto"/>
              <w:ind w:right="-341"/>
            </w:pPr>
          </w:p>
        </w:tc>
      </w:tr>
    </w:tbl>
    <w:p>
      <w:pPr>
        <w:snapToGrid w:val="0"/>
        <w:spacing w:line="360" w:lineRule="auto"/>
        <w:ind w:right="-341"/>
      </w:pPr>
      <w:r>
        <w:rPr>
          <w:rFonts w:hint="eastAsia"/>
        </w:rPr>
        <w:t>……</w:t>
      </w:r>
    </w:p>
    <w:p>
      <w:pPr>
        <w:snapToGrid w:val="0"/>
        <w:spacing w:line="360" w:lineRule="auto"/>
        <w:ind w:right="-341"/>
      </w:pPr>
      <w:r>
        <w:rPr>
          <w:rFonts w:hint="eastAsia"/>
        </w:rPr>
        <w:t>“标的名称”中已列明的货物名称及所属行业为举例说明，供投标人参考；表格中其他空白部分及“……”部分请投标人根据本项目补充完整。</w:t>
      </w:r>
    </w:p>
    <w:p>
      <w:pPr>
        <w:snapToGrid w:val="0"/>
        <w:spacing w:line="360" w:lineRule="auto"/>
        <w:ind w:right="-341"/>
      </w:pPr>
      <w:r>
        <w:rPr>
          <w:rFonts w:hint="eastAsia"/>
        </w:rPr>
        <w:t>以上企业，不属于大企业的分支机构，不存在控股股东为大企业的情形，也不存在与大企业的负责人为同一人的情形。</w:t>
      </w:r>
    </w:p>
    <w:p>
      <w:pPr>
        <w:snapToGrid w:val="0"/>
        <w:spacing w:line="360" w:lineRule="auto"/>
        <w:ind w:right="-341"/>
      </w:pPr>
      <w:r>
        <w:rPr>
          <w:rFonts w:hint="eastAsia"/>
        </w:rPr>
        <w:t>本企业对上述声明内容的真实性负责。如有虚假，将依法承担相应责任。</w:t>
      </w:r>
    </w:p>
    <w:p>
      <w:pPr>
        <w:snapToGrid w:val="0"/>
        <w:spacing w:line="360" w:lineRule="auto"/>
        <w:ind w:right="-341"/>
      </w:pPr>
    </w:p>
    <w:p>
      <w:pPr>
        <w:snapToGrid w:val="0"/>
        <w:spacing w:line="360" w:lineRule="auto"/>
        <w:ind w:right="-341"/>
        <w:jc w:val="right"/>
      </w:pPr>
      <w:r>
        <w:rPr>
          <w:rFonts w:hint="eastAsia"/>
        </w:rPr>
        <w:t>投标人名称（盖章）：</w:t>
      </w:r>
    </w:p>
    <w:p>
      <w:pPr>
        <w:snapToGrid w:val="0"/>
        <w:spacing w:line="360" w:lineRule="auto"/>
        <w:ind w:right="-341"/>
        <w:jc w:val="right"/>
      </w:pPr>
      <w:r>
        <w:rPr>
          <w:rFonts w:hint="eastAsia"/>
        </w:rPr>
        <w:t>日 期：</w:t>
      </w:r>
    </w:p>
    <w:p>
      <w:pPr>
        <w:snapToGrid w:val="0"/>
        <w:spacing w:line="360" w:lineRule="auto"/>
        <w:ind w:right="-341"/>
      </w:pPr>
      <w:r>
        <w:rPr>
          <w:rFonts w:hint="eastAsia"/>
        </w:rPr>
        <w:t xml:space="preserve"> </w:t>
      </w:r>
    </w:p>
    <w:p>
      <w:pPr>
        <w:snapToGrid w:val="0"/>
        <w:spacing w:line="360" w:lineRule="auto"/>
        <w:ind w:right="-341"/>
      </w:pPr>
      <w:r>
        <w:rPr>
          <w:rFonts w:hint="eastAsia"/>
        </w:rPr>
        <w:t xml:space="preserve">  注：1.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right="-341"/>
      </w:pPr>
      <w:r>
        <w:rPr>
          <w:rFonts w:hint="eastAsia"/>
        </w:rPr>
        <w:t>2.填写要求：①“标的名称”、“采购文件中明确的所属行业”依据招标文件第二部分投标人须知前附表中“采购标的及其对应的中小企业划分标准所属行业”的指引逐一填写，“制造商”按实际填写，以上内容不得缺漏；②从业人员、营业收入、资产总额应填报上一年度数据，无上一年度数据的新成立企业可不填报；③中型企业、小型企业、微型企业等3种企业类型，结合以上数据，应依据《中小企业划型标准规定》（工信部联企业〔2011〕300号）确定；④投标人提供的《中小企业声明函》与实际情况不符的或者未按以上要求填写的，中小企业声明函无效，不享受中小企业扶持政策；作为资格条件的，视作不符合资格要求。声明内容不实的，属于提供虚假材料谋取中标、成交的，依法承担法律责任。</w:t>
      </w:r>
    </w:p>
    <w:p>
      <w:pPr>
        <w:snapToGrid w:val="0"/>
        <w:spacing w:line="360" w:lineRule="auto"/>
        <w:ind w:right="-341"/>
        <w:sectPr>
          <w:type w:val="continuous"/>
          <w:pgSz w:w="11906" w:h="16838"/>
          <w:pgMar w:top="1304" w:right="1531" w:bottom="1304" w:left="1531" w:header="1304" w:footer="1304" w:gutter="0"/>
          <w:cols w:space="720" w:num="1"/>
        </w:sectPr>
      </w:pPr>
    </w:p>
    <w:p>
      <w:pPr>
        <w:pStyle w:val="10"/>
        <w:ind w:firstLine="210"/>
      </w:pPr>
    </w:p>
    <w:p>
      <w:pPr>
        <w:pStyle w:val="10"/>
        <w:ind w:firstLine="210"/>
      </w:pPr>
    </w:p>
    <w:p>
      <w:pPr>
        <w:pStyle w:val="35"/>
        <w:rPr>
          <w:rFonts w:ascii="宋体" w:hAnsi="宋体"/>
          <w:b/>
          <w:bCs/>
          <w:szCs w:val="21"/>
        </w:rPr>
      </w:pPr>
    </w:p>
    <w:p>
      <w:pPr>
        <w:pStyle w:val="9"/>
      </w:pPr>
    </w:p>
    <w:p>
      <w:pPr>
        <w:autoSpaceDE w:val="0"/>
        <w:autoSpaceDN w:val="0"/>
        <w:adjustRightInd w:val="0"/>
        <w:spacing w:line="360" w:lineRule="auto"/>
        <w:ind w:right="-341"/>
        <w:jc w:val="left"/>
        <w:rPr>
          <w:rFonts w:ascii="宋体" w:hAnsi="宋体"/>
          <w:b/>
          <w:bCs/>
          <w:szCs w:val="21"/>
        </w:rPr>
      </w:pPr>
    </w:p>
    <w:p>
      <w:pPr>
        <w:autoSpaceDE w:val="0"/>
        <w:autoSpaceDN w:val="0"/>
        <w:adjustRightInd w:val="0"/>
        <w:spacing w:line="360" w:lineRule="auto"/>
        <w:ind w:right="-341"/>
        <w:jc w:val="left"/>
        <w:rPr>
          <w:rFonts w:ascii="宋体" w:hAnsi="宋体"/>
          <w:b/>
          <w:bCs/>
          <w:szCs w:val="21"/>
        </w:rPr>
      </w:pPr>
    </w:p>
    <w:p>
      <w:pPr>
        <w:pStyle w:val="35"/>
        <w:rPr>
          <w:rFonts w:ascii="宋体" w:hAnsi="宋体"/>
          <w:b/>
          <w:bCs/>
          <w:szCs w:val="21"/>
        </w:rPr>
      </w:pPr>
    </w:p>
    <w:p>
      <w:pPr>
        <w:pStyle w:val="9"/>
      </w:pPr>
    </w:p>
    <w:p>
      <w:pPr>
        <w:autoSpaceDE w:val="0"/>
        <w:autoSpaceDN w:val="0"/>
        <w:adjustRightInd w:val="0"/>
        <w:spacing w:line="360" w:lineRule="auto"/>
        <w:ind w:right="-341"/>
        <w:jc w:val="left"/>
        <w:rPr>
          <w:rFonts w:ascii="宋体" w:hAnsi="宋体"/>
          <w:b/>
          <w:bCs/>
          <w:szCs w:val="21"/>
        </w:rPr>
      </w:pPr>
    </w:p>
    <w:p>
      <w:pPr>
        <w:pStyle w:val="11"/>
        <w:rPr>
          <w:rFonts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pPr>
    </w:p>
    <w:p>
      <w:pPr>
        <w:pStyle w:val="9"/>
      </w:pPr>
    </w:p>
    <w:p>
      <w:pPr>
        <w:autoSpaceDE w:val="0"/>
        <w:autoSpaceDN w:val="0"/>
        <w:adjustRightInd w:val="0"/>
        <w:spacing w:line="360" w:lineRule="auto"/>
        <w:ind w:right="-341"/>
        <w:jc w:val="left"/>
        <w:rPr>
          <w:rFonts w:ascii="宋体" w:hAnsi="宋体"/>
          <w:kern w:val="0"/>
          <w:szCs w:val="21"/>
        </w:rPr>
      </w:pPr>
      <w:r>
        <w:rPr>
          <w:rFonts w:hint="eastAsia" w:ascii="宋体" w:hAnsi="宋体"/>
          <w:b/>
          <w:bCs/>
          <w:szCs w:val="21"/>
          <w:lang w:val="en-US" w:eastAsia="zh-CN"/>
        </w:rPr>
        <w:t>九</w:t>
      </w:r>
      <w:r>
        <w:rPr>
          <w:rFonts w:ascii="宋体" w:hAnsi="宋体"/>
          <w:b/>
          <w:bCs/>
          <w:szCs w:val="21"/>
        </w:rPr>
        <w:t>、监狱企业声明函</w:t>
      </w:r>
    </w:p>
    <w:p>
      <w:pPr>
        <w:ind w:firstLine="3373" w:firstLineChars="1400"/>
        <w:rPr>
          <w:rFonts w:ascii="宋体" w:hAnsi="宋体"/>
          <w:b/>
          <w:sz w:val="24"/>
        </w:rPr>
      </w:pPr>
    </w:p>
    <w:p>
      <w:pPr>
        <w:jc w:val="left"/>
        <w:rPr>
          <w:rFonts w:ascii="宋体" w:hAnsi="宋体"/>
          <w:kern w:val="0"/>
          <w:szCs w:val="21"/>
        </w:rPr>
      </w:pPr>
    </w:p>
    <w:p>
      <w:pPr>
        <w:ind w:firstLine="3373" w:firstLineChars="1400"/>
        <w:rPr>
          <w:rFonts w:ascii="宋体" w:hAnsi="宋体"/>
          <w:b/>
          <w:sz w:val="24"/>
        </w:rPr>
      </w:pPr>
      <w:r>
        <w:rPr>
          <w:rFonts w:ascii="宋体" w:hAnsi="宋体"/>
          <w:b/>
          <w:sz w:val="24"/>
        </w:rPr>
        <w:t>监狱企业声明函</w:t>
      </w:r>
    </w:p>
    <w:p>
      <w:pPr>
        <w:ind w:firstLine="2835" w:firstLineChars="1350"/>
        <w:rPr>
          <w:rFonts w:ascii="宋体" w:hAnsi="宋体"/>
          <w:szCs w:val="21"/>
        </w:rPr>
      </w:pPr>
      <w:r>
        <w:rPr>
          <w:rFonts w:ascii="宋体" w:hAnsi="宋体"/>
          <w:szCs w:val="21"/>
        </w:rPr>
        <w:t>【非监狱企业不用提供】</w:t>
      </w:r>
    </w:p>
    <w:p>
      <w:pPr>
        <w:ind w:firstLine="480"/>
        <w:rPr>
          <w:rFonts w:ascii="宋体" w:hAnsi="宋体"/>
          <w:szCs w:val="21"/>
        </w:rPr>
      </w:pPr>
    </w:p>
    <w:p>
      <w:pPr>
        <w:spacing w:line="360" w:lineRule="auto"/>
        <w:ind w:firstLine="525" w:firstLineChars="250"/>
        <w:rPr>
          <w:rFonts w:ascii="宋体" w:hAnsi="宋体"/>
          <w:szCs w:val="21"/>
        </w:rPr>
      </w:pPr>
    </w:p>
    <w:p>
      <w:pPr>
        <w:spacing w:line="360" w:lineRule="auto"/>
        <w:ind w:firstLine="525" w:firstLineChars="250"/>
        <w:rPr>
          <w:rFonts w:ascii="宋体" w:hAnsi="宋体"/>
          <w:szCs w:val="21"/>
        </w:rPr>
      </w:pPr>
      <w:r>
        <w:rPr>
          <w:rFonts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szCs w:val="21"/>
        </w:rPr>
      </w:pPr>
      <w:r>
        <w:rPr>
          <w:rFonts w:ascii="宋体" w:hAnsi="宋体"/>
          <w:szCs w:val="21"/>
        </w:rPr>
        <w:t>根据上述标准，我企业属于监狱企业的理由为：。</w:t>
      </w:r>
    </w:p>
    <w:p>
      <w:pPr>
        <w:spacing w:line="360" w:lineRule="auto"/>
        <w:ind w:firstLine="480"/>
        <w:rPr>
          <w:rFonts w:ascii="宋体" w:hAnsi="宋体"/>
          <w:szCs w:val="21"/>
        </w:rPr>
      </w:pPr>
      <w:r>
        <w:rPr>
          <w:rFonts w:ascii="宋体" w:hAnsi="宋体"/>
          <w:szCs w:val="21"/>
        </w:rPr>
        <w:t>本企业为参加（项目名称： ）（项目编号： ）采购活动提供本企业的产品。</w:t>
      </w:r>
    </w:p>
    <w:p>
      <w:pPr>
        <w:spacing w:line="360" w:lineRule="auto"/>
        <w:ind w:firstLine="480"/>
        <w:rPr>
          <w:rFonts w:ascii="宋体" w:hAnsi="宋体"/>
          <w:szCs w:val="21"/>
        </w:rPr>
      </w:pPr>
      <w:r>
        <w:rPr>
          <w:rFonts w:ascii="宋体" w:hAnsi="宋体"/>
          <w:szCs w:val="21"/>
        </w:rPr>
        <w:t>本企业对上述声明的真实性负责。如有虚假，将依法承担相应责任。</w:t>
      </w:r>
    </w:p>
    <w:p>
      <w:pPr>
        <w:spacing w:line="360" w:lineRule="auto"/>
        <w:ind w:firstLine="480"/>
        <w:rPr>
          <w:rFonts w:ascii="宋体" w:hAnsi="宋体"/>
          <w:szCs w:val="21"/>
        </w:rPr>
      </w:pPr>
    </w:p>
    <w:p>
      <w:pPr>
        <w:spacing w:line="360" w:lineRule="auto"/>
        <w:ind w:firstLine="480"/>
        <w:jc w:val="right"/>
        <w:rPr>
          <w:rFonts w:ascii="宋体" w:hAnsi="宋体"/>
          <w:szCs w:val="21"/>
        </w:rPr>
      </w:pPr>
      <w:r>
        <w:rPr>
          <w:rFonts w:hint="eastAsia" w:ascii="宋体" w:hAnsi="宋体"/>
          <w:szCs w:val="21"/>
        </w:rPr>
        <w:t>投标人</w:t>
      </w:r>
      <w:r>
        <w:rPr>
          <w:rFonts w:ascii="宋体" w:hAnsi="宋体"/>
          <w:szCs w:val="21"/>
        </w:rPr>
        <w:t>名称（盖章）：</w:t>
      </w:r>
    </w:p>
    <w:p>
      <w:pPr>
        <w:spacing w:line="360" w:lineRule="auto"/>
        <w:ind w:firstLine="480"/>
        <w:jc w:val="right"/>
        <w:rPr>
          <w:rFonts w:ascii="宋体" w:hAnsi="宋体"/>
          <w:szCs w:val="21"/>
        </w:rPr>
      </w:pPr>
      <w:r>
        <w:rPr>
          <w:rFonts w:ascii="宋体" w:hAnsi="宋体"/>
          <w:szCs w:val="21"/>
        </w:rPr>
        <w:t>日期： 年 月 日</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r>
        <w:rPr>
          <w:rFonts w:hint="eastAsia" w:ascii="宋体" w:hAnsi="宋体"/>
          <w:szCs w:val="21"/>
        </w:rPr>
        <w:t>投标人</w:t>
      </w:r>
      <w:r>
        <w:rPr>
          <w:rFonts w:ascii="宋体" w:hAnsi="宋体"/>
          <w:szCs w:val="21"/>
        </w:rPr>
        <w:t>为监狱企业的提供此函。</w:t>
      </w:r>
    </w:p>
    <w:p>
      <w:pPr>
        <w:spacing w:line="360" w:lineRule="auto"/>
        <w:ind w:firstLine="480"/>
        <w:rPr>
          <w:rFonts w:ascii="宋体" w:hAnsi="宋体"/>
          <w:szCs w:val="21"/>
        </w:rPr>
      </w:pPr>
      <w:r>
        <w:rPr>
          <w:rFonts w:ascii="宋体" w:hAnsi="宋体"/>
          <w:szCs w:val="21"/>
        </w:rPr>
        <w:t>局、戒毒管理局（含新疆生产建设兵团）出具的属于监狱企业的证明文件。</w:t>
      </w:r>
    </w:p>
    <w:p>
      <w:pPr>
        <w:spacing w:line="360" w:lineRule="auto"/>
        <w:ind w:firstLine="480"/>
        <w:rPr>
          <w:rFonts w:ascii="宋体" w:hAnsi="宋体"/>
          <w:szCs w:val="21"/>
        </w:rPr>
      </w:pPr>
      <w:r>
        <w:rPr>
          <w:rFonts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szCs w:val="21"/>
        </w:rPr>
      </w:pPr>
    </w:p>
    <w:p>
      <w:pPr>
        <w:autoSpaceDN w:val="0"/>
        <w:spacing w:line="360" w:lineRule="auto"/>
        <w:rPr>
          <w:rFonts w:ascii="宋体" w:hAnsi="宋体"/>
          <w:b/>
          <w:bCs/>
          <w:sz w:val="24"/>
        </w:rPr>
      </w:pPr>
    </w:p>
    <w:p>
      <w:pPr>
        <w:jc w:val="left"/>
        <w:rPr>
          <w:rFonts w:ascii="宋体" w:hAnsi="宋体"/>
          <w:b/>
          <w:sz w:val="24"/>
        </w:rPr>
      </w:pPr>
      <w:r>
        <w:rPr>
          <w:rFonts w:ascii="宋体" w:hAnsi="宋体"/>
          <w:sz w:val="24"/>
        </w:rPr>
        <w:br w:type="page"/>
      </w:r>
      <w:r>
        <w:rPr>
          <w:rFonts w:hint="eastAsia" w:ascii="宋体" w:hAnsi="宋体"/>
          <w:b/>
          <w:bCs/>
          <w:szCs w:val="21"/>
        </w:rPr>
        <w:t>十、</w:t>
      </w:r>
      <w:r>
        <w:rPr>
          <w:rFonts w:ascii="宋体" w:hAnsi="宋体"/>
          <w:b/>
          <w:bCs/>
          <w:szCs w:val="21"/>
        </w:rPr>
        <w:t>残疾人福利性单位声明函</w:t>
      </w:r>
    </w:p>
    <w:p>
      <w:pPr>
        <w:jc w:val="left"/>
        <w:rPr>
          <w:rFonts w:ascii="宋体" w:hAnsi="宋体"/>
          <w:sz w:val="24"/>
        </w:rPr>
      </w:pPr>
    </w:p>
    <w:p>
      <w:pPr>
        <w:jc w:val="center"/>
        <w:rPr>
          <w:rFonts w:ascii="宋体" w:hAnsi="宋体"/>
          <w:sz w:val="24"/>
        </w:rPr>
      </w:pPr>
    </w:p>
    <w:p>
      <w:pPr>
        <w:jc w:val="center"/>
        <w:rPr>
          <w:rFonts w:ascii="宋体" w:hAnsi="宋体"/>
          <w:b/>
          <w:sz w:val="24"/>
        </w:rPr>
      </w:pPr>
      <w:r>
        <w:rPr>
          <w:rFonts w:ascii="宋体" w:hAnsi="宋体"/>
          <w:b/>
          <w:sz w:val="24"/>
        </w:rPr>
        <w:t>残疾人福利性单位声明函</w:t>
      </w:r>
    </w:p>
    <w:p>
      <w:pPr>
        <w:pStyle w:val="9"/>
        <w:jc w:val="center"/>
        <w:rPr>
          <w:rFonts w:ascii="宋体" w:hAnsi="宋体"/>
          <w:sz w:val="21"/>
          <w:szCs w:val="21"/>
        </w:rPr>
      </w:pPr>
      <w:r>
        <w:rPr>
          <w:rFonts w:ascii="宋体" w:hAnsi="宋体"/>
          <w:sz w:val="21"/>
          <w:szCs w:val="21"/>
        </w:rPr>
        <w:t xml:space="preserve">  【非残疾人福利性单位不用提供】</w:t>
      </w:r>
    </w:p>
    <w:p>
      <w:pPr>
        <w:spacing w:line="588" w:lineRule="exact"/>
        <w:rPr>
          <w:rFonts w:ascii="宋体" w:hAnsi="宋体"/>
          <w:b/>
          <w:spacing w:val="6"/>
          <w:szCs w:val="21"/>
        </w:rPr>
      </w:pPr>
    </w:p>
    <w:p>
      <w:pPr>
        <w:snapToGrid w:val="0"/>
        <w:spacing w:line="360" w:lineRule="auto"/>
        <w:ind w:firstLine="420" w:firstLineChars="200"/>
        <w:rPr>
          <w:rFonts w:ascii="宋体" w:hAnsi="宋体"/>
          <w:szCs w:val="21"/>
        </w:rPr>
      </w:pPr>
      <w:r>
        <w:rPr>
          <w:rFonts w:ascii="宋体" w:hAnsi="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ascii="宋体" w:hAnsi="宋体"/>
          <w:szCs w:val="21"/>
        </w:rPr>
      </w:pPr>
      <w:r>
        <w:rPr>
          <w:rFonts w:ascii="宋体" w:hAnsi="宋体"/>
          <w:szCs w:val="21"/>
        </w:rPr>
        <w:t>本单位对上述声明的真实性负责。如有虚假，将依法承担相应责任。</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p>
    <w:p>
      <w:pPr>
        <w:snapToGrid w:val="0"/>
        <w:spacing w:line="360" w:lineRule="auto"/>
        <w:ind w:firstLine="420" w:firstLineChars="200"/>
        <w:jc w:val="right"/>
        <w:rPr>
          <w:rFonts w:ascii="宋体" w:hAnsi="宋体"/>
          <w:szCs w:val="21"/>
        </w:rPr>
      </w:pPr>
      <w:r>
        <w:rPr>
          <w:rFonts w:hint="eastAsia" w:ascii="宋体" w:hAnsi="宋体"/>
          <w:szCs w:val="21"/>
        </w:rPr>
        <w:t>投标人</w:t>
      </w:r>
      <w:r>
        <w:rPr>
          <w:rFonts w:ascii="宋体" w:hAnsi="宋体"/>
          <w:szCs w:val="21"/>
        </w:rPr>
        <w:t>名称：</w:t>
      </w:r>
    </w:p>
    <w:p>
      <w:pPr>
        <w:snapToGrid w:val="0"/>
        <w:spacing w:line="360" w:lineRule="auto"/>
        <w:ind w:firstLine="420" w:firstLineChars="200"/>
        <w:jc w:val="right"/>
        <w:rPr>
          <w:rFonts w:ascii="宋体" w:hAnsi="宋体"/>
          <w:szCs w:val="21"/>
        </w:rPr>
      </w:pPr>
    </w:p>
    <w:p>
      <w:pPr>
        <w:snapToGrid w:val="0"/>
        <w:spacing w:line="360" w:lineRule="auto"/>
        <w:ind w:firstLine="420" w:firstLineChars="200"/>
        <w:jc w:val="right"/>
        <w:rPr>
          <w:rFonts w:ascii="宋体" w:hAnsi="宋体"/>
          <w:szCs w:val="21"/>
        </w:rPr>
      </w:pPr>
      <w:r>
        <w:rPr>
          <w:rFonts w:ascii="宋体" w:hAnsi="宋体"/>
          <w:szCs w:val="21"/>
        </w:rPr>
        <w:t>日期：   年   月   日</w:t>
      </w:r>
    </w:p>
    <w:p>
      <w:pPr>
        <w:snapToGrid w:val="0"/>
        <w:spacing w:line="360" w:lineRule="auto"/>
        <w:ind w:firstLine="422" w:firstLineChars="200"/>
        <w:rPr>
          <w:rFonts w:ascii="宋体" w:hAnsi="宋体"/>
          <w:b/>
          <w:szCs w:val="21"/>
        </w:rPr>
      </w:pPr>
      <w:r>
        <w:rPr>
          <w:rFonts w:ascii="宋体" w:hAnsi="宋体"/>
          <w:b/>
          <w:szCs w:val="21"/>
        </w:rPr>
        <w:t>注： 中标</w:t>
      </w:r>
      <w:r>
        <w:rPr>
          <w:rFonts w:hint="eastAsia" w:ascii="宋体" w:hAnsi="宋体"/>
          <w:b/>
          <w:szCs w:val="21"/>
        </w:rPr>
        <w:t>投标人</w:t>
      </w:r>
      <w:r>
        <w:rPr>
          <w:rFonts w:ascii="宋体" w:hAnsi="宋体"/>
          <w:b/>
          <w:szCs w:val="21"/>
        </w:rPr>
        <w:t>为残疾人福利性单位的，将随中标结果同时公告其《残疾人福利性单位声明函》，接受社会监督。</w:t>
      </w:r>
    </w:p>
    <w:p>
      <w:pPr>
        <w:autoSpaceDE w:val="0"/>
        <w:autoSpaceDN w:val="0"/>
        <w:adjustRightInd w:val="0"/>
        <w:spacing w:line="360" w:lineRule="auto"/>
        <w:ind w:right="-341" w:firstLine="420" w:firstLineChars="200"/>
        <w:jc w:val="left"/>
        <w:rPr>
          <w:rFonts w:ascii="宋体" w:hAnsi="宋体"/>
          <w:kern w:val="0"/>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snapToGrid w:val="0"/>
        <w:spacing w:before="50" w:after="50" w:line="360" w:lineRule="auto"/>
        <w:rPr>
          <w:rFonts w:ascii="仿宋_GB2312" w:hAnsi="仿宋" w:eastAsia="仿宋_GB2312" w:cs="仿宋_GB2312"/>
          <w:b/>
          <w:sz w:val="24"/>
        </w:rPr>
      </w:pPr>
      <w:r>
        <w:rPr>
          <w:rFonts w:hint="eastAsia" w:ascii="宋体" w:hAnsi="宋体"/>
          <w:b/>
          <w:bCs/>
          <w:szCs w:val="21"/>
        </w:rPr>
        <w:t>十</w:t>
      </w:r>
      <w:r>
        <w:rPr>
          <w:rFonts w:hint="eastAsia" w:ascii="宋体" w:hAnsi="宋体"/>
          <w:b/>
          <w:bCs/>
          <w:szCs w:val="21"/>
          <w:lang w:val="en-US" w:eastAsia="zh-CN"/>
        </w:rPr>
        <w:t>一</w:t>
      </w:r>
      <w:r>
        <w:rPr>
          <w:rFonts w:hint="eastAsia" w:ascii="宋体" w:hAnsi="宋体"/>
          <w:b/>
          <w:bCs/>
          <w:szCs w:val="21"/>
        </w:rPr>
        <w:t>、</w:t>
      </w:r>
      <w:r>
        <w:rPr>
          <w:rFonts w:hint="eastAsia" w:ascii="宋体" w:hAnsi="宋体"/>
          <w:b/>
          <w:bCs/>
          <w:szCs w:val="21"/>
          <w:lang w:val="zh-CN"/>
        </w:rPr>
        <w:t>联合</w:t>
      </w:r>
      <w:r>
        <w:rPr>
          <w:rFonts w:hint="eastAsia" w:ascii="宋体" w:hAnsi="宋体"/>
          <w:b/>
          <w:bCs/>
          <w:szCs w:val="21"/>
        </w:rPr>
        <w:t>体</w:t>
      </w:r>
      <w:r>
        <w:rPr>
          <w:rFonts w:hint="eastAsia" w:ascii="宋体" w:hAnsi="宋体"/>
          <w:b/>
          <w:bCs/>
          <w:szCs w:val="21"/>
          <w:lang w:val="zh-CN"/>
        </w:rPr>
        <w:t>协议</w:t>
      </w:r>
    </w:p>
    <w:p>
      <w:pPr>
        <w:snapToGrid w:val="0"/>
        <w:spacing w:before="50" w:after="50" w:line="360" w:lineRule="auto"/>
        <w:jc w:val="center"/>
        <w:rPr>
          <w:rFonts w:ascii="宋体" w:hAnsi="宋体"/>
          <w:b/>
          <w:bCs/>
          <w:szCs w:val="21"/>
          <w:lang w:val="zh-CN"/>
        </w:rPr>
      </w:pPr>
    </w:p>
    <w:p>
      <w:pPr>
        <w:snapToGrid w:val="0"/>
        <w:spacing w:before="50" w:after="50" w:line="360" w:lineRule="auto"/>
        <w:jc w:val="center"/>
        <w:rPr>
          <w:rFonts w:ascii="宋体" w:hAnsi="宋体"/>
          <w:b/>
          <w:bCs/>
          <w:szCs w:val="21"/>
          <w:highlight w:val="none"/>
          <w:lang w:val="zh-CN"/>
        </w:rPr>
      </w:pPr>
      <w:r>
        <w:rPr>
          <w:rFonts w:hint="eastAsia" w:ascii="宋体" w:hAnsi="宋体"/>
          <w:b/>
          <w:bCs/>
          <w:szCs w:val="21"/>
          <w:highlight w:val="none"/>
          <w:lang w:val="zh-CN"/>
        </w:rPr>
        <w:t>联合</w:t>
      </w:r>
      <w:r>
        <w:rPr>
          <w:rFonts w:hint="eastAsia" w:ascii="宋体" w:hAnsi="宋体"/>
          <w:b/>
          <w:bCs/>
          <w:szCs w:val="21"/>
          <w:highlight w:val="none"/>
        </w:rPr>
        <w:t>体</w:t>
      </w:r>
      <w:r>
        <w:rPr>
          <w:rFonts w:hint="eastAsia" w:ascii="宋体" w:hAnsi="宋体"/>
          <w:b/>
          <w:bCs/>
          <w:szCs w:val="21"/>
          <w:highlight w:val="none"/>
          <w:lang w:val="zh-CN"/>
        </w:rPr>
        <w:t>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 xml:space="preserve">微企业合同金额达到 </w:t>
      </w:r>
      <w:r>
        <w:rPr>
          <w:rFonts w:ascii="仿宋_GB2312" w:hAnsi="仿宋" w:eastAsia="仿宋_GB2312"/>
          <w:sz w:val="24"/>
          <w:u w:val="single"/>
        </w:rPr>
        <w:t xml:space="preserve"> </w:t>
      </w:r>
      <w:r>
        <w:rPr>
          <w:rFonts w:hint="eastAsia"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p>
    <w:p>
      <w:pPr>
        <w:pStyle w:val="75"/>
        <w:spacing w:line="360" w:lineRule="auto"/>
        <w:ind w:firstLine="0"/>
        <w:jc w:val="left"/>
        <w:rPr>
          <w:rFonts w:hAnsi="宋体"/>
          <w:b/>
          <w:bCs/>
          <w:kern w:val="2"/>
          <w:sz w:val="21"/>
          <w:szCs w:val="21"/>
        </w:rPr>
      </w:pPr>
      <w:r>
        <w:rPr>
          <w:rFonts w:hAnsi="宋体"/>
          <w:b/>
          <w:bCs/>
          <w:kern w:val="2"/>
          <w:sz w:val="21"/>
          <w:szCs w:val="21"/>
        </w:rPr>
        <w:t>十</w:t>
      </w:r>
      <w:r>
        <w:rPr>
          <w:rFonts w:hint="eastAsia" w:hAnsi="宋体"/>
          <w:b/>
          <w:bCs/>
          <w:kern w:val="2"/>
          <w:sz w:val="21"/>
          <w:szCs w:val="21"/>
          <w:lang w:val="en-US" w:eastAsia="zh-CN"/>
        </w:rPr>
        <w:t>二</w:t>
      </w:r>
      <w:r>
        <w:rPr>
          <w:rFonts w:hAnsi="宋体"/>
          <w:b/>
          <w:bCs/>
          <w:kern w:val="2"/>
          <w:sz w:val="21"/>
          <w:szCs w:val="21"/>
        </w:rPr>
        <w:t>、项目班子人员情况表</w:t>
      </w:r>
    </w:p>
    <w:p>
      <w:pPr>
        <w:pStyle w:val="73"/>
        <w:adjustRightInd w:val="0"/>
        <w:spacing w:before="120" w:after="120" w:line="360" w:lineRule="auto"/>
        <w:jc w:val="center"/>
        <w:textAlignment w:val="baseline"/>
        <w:rPr>
          <w:rFonts w:hAnsi="宋体"/>
          <w:sz w:val="21"/>
          <w:szCs w:val="21"/>
        </w:rPr>
      </w:pPr>
      <w:r>
        <w:rPr>
          <w:rFonts w:hint="eastAsia" w:hAnsi="宋体"/>
          <w:b/>
          <w:sz w:val="21"/>
          <w:szCs w:val="21"/>
        </w:rPr>
        <w:t>项目实施人员一览表</w:t>
      </w:r>
    </w:p>
    <w:tbl>
      <w:tblPr>
        <w:tblStyle w:val="29"/>
        <w:tblW w:w="79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从事本工作时间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5"/>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5"/>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5"/>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5"/>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spacing w:line="360" w:lineRule="auto"/>
        <w:ind w:firstLine="210" w:firstLineChars="100"/>
        <w:rPr>
          <w:rFonts w:ascii="宋体" w:hAnsi="宋体"/>
          <w:szCs w:val="21"/>
        </w:rPr>
      </w:pPr>
      <w:r>
        <w:rPr>
          <w:rFonts w:ascii="宋体" w:hAnsi="宋体"/>
          <w:szCs w:val="21"/>
        </w:rPr>
        <w:t>注：1、请附相关证明材料，如职称、资格证书，荣誉证书等（加盖公章）。</w:t>
      </w:r>
    </w:p>
    <w:p>
      <w:pPr>
        <w:rPr>
          <w:rFonts w:ascii="宋体" w:hAnsi="宋体"/>
          <w:szCs w:val="21"/>
        </w:rPr>
      </w:pPr>
      <w:r>
        <w:rPr>
          <w:rFonts w:hint="eastAsia" w:ascii="宋体" w:hAnsi="宋体"/>
          <w:szCs w:val="21"/>
        </w:rPr>
        <w:t>2、上述人员提供近三个月任意一个月社保证明材料。</w:t>
      </w:r>
    </w:p>
    <w:p>
      <w:pPr>
        <w:rPr>
          <w:rFonts w:ascii="宋体" w:hAnsi="宋体"/>
          <w:szCs w:val="21"/>
        </w:rPr>
      </w:pPr>
    </w:p>
    <w:p>
      <w:pPr>
        <w:jc w:val="right"/>
        <w:rPr>
          <w:rFonts w:ascii="宋体" w:hAnsi="宋体"/>
          <w:szCs w:val="21"/>
        </w:rPr>
      </w:pPr>
      <w:r>
        <w:rPr>
          <w:rFonts w:hint="eastAsia" w:ascii="宋体" w:hAnsi="宋体"/>
          <w:szCs w:val="21"/>
        </w:rPr>
        <w:t>投标人</w:t>
      </w:r>
      <w:r>
        <w:rPr>
          <w:rFonts w:ascii="宋体" w:hAnsi="宋体"/>
          <w:szCs w:val="21"/>
        </w:rPr>
        <w:t xml:space="preserve">（盖章）：                               </w:t>
      </w:r>
    </w:p>
    <w:p>
      <w:pPr>
        <w:ind w:firstLine="210" w:firstLineChars="100"/>
        <w:jc w:val="right"/>
        <w:rPr>
          <w:rFonts w:ascii="宋体" w:hAnsi="宋体"/>
          <w:szCs w:val="21"/>
        </w:rPr>
      </w:pPr>
      <w:r>
        <w:rPr>
          <w:rFonts w:ascii="宋体" w:hAnsi="宋体"/>
          <w:szCs w:val="21"/>
        </w:rPr>
        <w:t xml:space="preserve">授权委托人（签字）：                        </w:t>
      </w:r>
    </w:p>
    <w:p>
      <w:pPr>
        <w:ind w:firstLine="199" w:firstLineChars="95"/>
        <w:jc w:val="right"/>
        <w:rPr>
          <w:rFonts w:ascii="宋体" w:hAnsi="宋体"/>
        </w:rPr>
      </w:pPr>
      <w:r>
        <w:rPr>
          <w:rFonts w:ascii="宋体" w:hAnsi="宋体"/>
          <w:szCs w:val="21"/>
        </w:rPr>
        <w:t>日期：</w:t>
      </w:r>
    </w:p>
    <w:p>
      <w:pPr>
        <w:pStyle w:val="75"/>
        <w:spacing w:line="360" w:lineRule="auto"/>
        <w:ind w:firstLine="0"/>
        <w:jc w:val="left"/>
        <w:rPr>
          <w:rFonts w:hAnsi="宋体"/>
          <w:b/>
          <w:spacing w:val="0"/>
          <w:sz w:val="21"/>
          <w:szCs w:val="21"/>
        </w:rPr>
      </w:pPr>
      <w:r>
        <w:rPr>
          <w:rFonts w:hAnsi="宋体"/>
          <w:b/>
          <w:bCs/>
          <w:sz w:val="21"/>
          <w:szCs w:val="21"/>
        </w:rPr>
        <w:br w:type="page"/>
      </w:r>
      <w:r>
        <w:rPr>
          <w:rFonts w:hAnsi="宋体"/>
          <w:b/>
          <w:bCs/>
          <w:sz w:val="21"/>
          <w:szCs w:val="21"/>
        </w:rPr>
        <w:t>十</w:t>
      </w:r>
      <w:r>
        <w:rPr>
          <w:rFonts w:hint="eastAsia" w:hAnsi="宋体"/>
          <w:b/>
          <w:bCs/>
          <w:sz w:val="21"/>
          <w:szCs w:val="21"/>
          <w:lang w:val="en-US" w:eastAsia="zh-CN"/>
        </w:rPr>
        <w:t>三</w:t>
      </w:r>
      <w:r>
        <w:rPr>
          <w:rFonts w:hAnsi="宋体"/>
          <w:b/>
          <w:bCs/>
          <w:sz w:val="21"/>
          <w:szCs w:val="21"/>
        </w:rPr>
        <w:t>、成功案例及业绩</w:t>
      </w:r>
    </w:p>
    <w:p>
      <w:pPr>
        <w:pStyle w:val="75"/>
        <w:spacing w:line="360" w:lineRule="auto"/>
        <w:ind w:firstLine="0"/>
        <w:jc w:val="center"/>
        <w:rPr>
          <w:rFonts w:hAnsi="宋体"/>
          <w:b/>
          <w:spacing w:val="0"/>
          <w:sz w:val="21"/>
          <w:szCs w:val="21"/>
        </w:rPr>
      </w:pPr>
      <w:r>
        <w:rPr>
          <w:rFonts w:hAnsi="宋体"/>
          <w:b/>
          <w:spacing w:val="0"/>
          <w:sz w:val="21"/>
          <w:szCs w:val="21"/>
        </w:rPr>
        <w:t>项目</w:t>
      </w:r>
      <w:r>
        <w:rPr>
          <w:rFonts w:hint="eastAsia" w:hAnsi="宋体"/>
          <w:b/>
          <w:spacing w:val="0"/>
          <w:sz w:val="21"/>
          <w:szCs w:val="21"/>
        </w:rPr>
        <w:t>类似</w:t>
      </w:r>
      <w:r>
        <w:rPr>
          <w:rFonts w:hAnsi="宋体"/>
          <w:b/>
          <w:spacing w:val="0"/>
          <w:sz w:val="21"/>
          <w:szCs w:val="21"/>
        </w:rPr>
        <w:t>业绩表</w:t>
      </w:r>
    </w:p>
    <w:tbl>
      <w:tblPr>
        <w:tblStyle w:val="29"/>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vAlign w:val="center"/>
          </w:tcPr>
          <w:p>
            <w:pPr>
              <w:pStyle w:val="75"/>
              <w:spacing w:line="400" w:lineRule="exact"/>
              <w:ind w:firstLine="0"/>
              <w:jc w:val="center"/>
              <w:rPr>
                <w:rFonts w:hAnsi="宋体"/>
                <w:sz w:val="21"/>
                <w:szCs w:val="21"/>
              </w:rPr>
            </w:pPr>
            <w:r>
              <w:rPr>
                <w:rFonts w:hAnsi="宋体"/>
                <w:sz w:val="21"/>
                <w:szCs w:val="21"/>
              </w:rPr>
              <w:t>序号</w:t>
            </w:r>
          </w:p>
        </w:tc>
        <w:tc>
          <w:tcPr>
            <w:tcW w:w="1419" w:type="dxa"/>
            <w:vAlign w:val="center"/>
          </w:tcPr>
          <w:p>
            <w:pPr>
              <w:pStyle w:val="75"/>
              <w:spacing w:line="400" w:lineRule="exact"/>
              <w:ind w:firstLine="0"/>
              <w:jc w:val="center"/>
              <w:rPr>
                <w:rFonts w:hAnsi="宋体"/>
                <w:sz w:val="21"/>
                <w:szCs w:val="21"/>
              </w:rPr>
            </w:pPr>
            <w:r>
              <w:rPr>
                <w:rFonts w:hint="eastAsia" w:hAnsi="宋体"/>
                <w:sz w:val="21"/>
                <w:szCs w:val="21"/>
              </w:rPr>
              <w:t>采购人名称</w:t>
            </w:r>
          </w:p>
        </w:tc>
        <w:tc>
          <w:tcPr>
            <w:tcW w:w="1861" w:type="dxa"/>
            <w:vAlign w:val="center"/>
          </w:tcPr>
          <w:p>
            <w:pPr>
              <w:pStyle w:val="75"/>
              <w:spacing w:line="400" w:lineRule="exact"/>
              <w:ind w:firstLine="0"/>
              <w:jc w:val="center"/>
              <w:rPr>
                <w:rFonts w:hAnsi="宋体"/>
                <w:sz w:val="21"/>
                <w:szCs w:val="21"/>
              </w:rPr>
            </w:pPr>
            <w:r>
              <w:rPr>
                <w:rFonts w:hAnsi="宋体"/>
                <w:sz w:val="21"/>
                <w:szCs w:val="21"/>
              </w:rPr>
              <w:t>项目名称</w:t>
            </w:r>
          </w:p>
        </w:tc>
        <w:tc>
          <w:tcPr>
            <w:tcW w:w="1620" w:type="dxa"/>
            <w:vAlign w:val="center"/>
          </w:tcPr>
          <w:p>
            <w:pPr>
              <w:pStyle w:val="75"/>
              <w:spacing w:line="400" w:lineRule="exact"/>
              <w:ind w:firstLine="0"/>
              <w:jc w:val="center"/>
              <w:rPr>
                <w:rFonts w:hAnsi="宋体"/>
                <w:sz w:val="21"/>
                <w:szCs w:val="21"/>
              </w:rPr>
            </w:pPr>
            <w:r>
              <w:rPr>
                <w:rFonts w:hAnsi="宋体"/>
                <w:sz w:val="21"/>
                <w:szCs w:val="21"/>
              </w:rPr>
              <w:t>合同</w:t>
            </w:r>
            <w:r>
              <w:rPr>
                <w:rFonts w:hint="eastAsia" w:hAnsi="宋体"/>
                <w:sz w:val="21"/>
                <w:szCs w:val="21"/>
              </w:rPr>
              <w:t>内容简介及</w:t>
            </w:r>
            <w:r>
              <w:rPr>
                <w:rFonts w:hAnsi="宋体"/>
                <w:sz w:val="21"/>
                <w:szCs w:val="21"/>
              </w:rPr>
              <w:t>签订时间</w:t>
            </w:r>
          </w:p>
        </w:tc>
        <w:tc>
          <w:tcPr>
            <w:tcW w:w="1312" w:type="dxa"/>
            <w:vAlign w:val="center"/>
          </w:tcPr>
          <w:p>
            <w:pPr>
              <w:pStyle w:val="75"/>
              <w:spacing w:line="400" w:lineRule="exact"/>
              <w:ind w:firstLine="0"/>
              <w:jc w:val="center"/>
              <w:rPr>
                <w:rFonts w:hAnsi="宋体"/>
                <w:sz w:val="21"/>
                <w:szCs w:val="21"/>
              </w:rPr>
            </w:pPr>
            <w:r>
              <w:rPr>
                <w:rFonts w:hAnsi="宋体"/>
                <w:sz w:val="21"/>
                <w:szCs w:val="21"/>
              </w:rPr>
              <w:t>合同价格（元）</w:t>
            </w:r>
          </w:p>
        </w:tc>
        <w:tc>
          <w:tcPr>
            <w:tcW w:w="1501" w:type="dxa"/>
            <w:vAlign w:val="center"/>
          </w:tcPr>
          <w:p>
            <w:pPr>
              <w:pStyle w:val="75"/>
              <w:spacing w:line="400" w:lineRule="exact"/>
              <w:ind w:firstLine="0"/>
              <w:jc w:val="center"/>
              <w:rPr>
                <w:rFonts w:hAnsi="宋体"/>
                <w:sz w:val="21"/>
                <w:szCs w:val="21"/>
              </w:rPr>
            </w:pPr>
            <w:r>
              <w:rPr>
                <w:rFonts w:hint="eastAsia" w:hAnsi="宋体"/>
                <w:sz w:val="21"/>
                <w:szCs w:val="21"/>
              </w:rPr>
              <w:t>采购人</w:t>
            </w:r>
          </w:p>
          <w:p>
            <w:pPr>
              <w:pStyle w:val="75"/>
              <w:spacing w:line="400" w:lineRule="exact"/>
              <w:ind w:firstLine="0"/>
              <w:jc w:val="center"/>
              <w:rPr>
                <w:rFonts w:hAnsi="宋体"/>
                <w:sz w:val="21"/>
                <w:szCs w:val="21"/>
              </w:rPr>
            </w:pPr>
            <w:r>
              <w:rPr>
                <w:rFonts w:hAnsi="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5"/>
              <w:spacing w:line="400" w:lineRule="exact"/>
              <w:rPr>
                <w:rFonts w:hAnsi="宋体"/>
                <w:sz w:val="21"/>
                <w:szCs w:val="21"/>
              </w:rPr>
            </w:pPr>
            <w:r>
              <w:rPr>
                <w:rFonts w:hAnsi="宋体"/>
                <w:sz w:val="21"/>
                <w:szCs w:val="21"/>
              </w:rPr>
              <w:t>1</w:t>
            </w:r>
          </w:p>
        </w:tc>
        <w:tc>
          <w:tcPr>
            <w:tcW w:w="1419" w:type="dxa"/>
            <w:vAlign w:val="center"/>
          </w:tcPr>
          <w:p>
            <w:pPr>
              <w:pStyle w:val="75"/>
              <w:spacing w:line="400" w:lineRule="exact"/>
              <w:ind w:firstLine="480"/>
              <w:jc w:val="center"/>
              <w:rPr>
                <w:rFonts w:hAnsi="宋体"/>
                <w:sz w:val="21"/>
                <w:szCs w:val="21"/>
              </w:rPr>
            </w:pPr>
          </w:p>
        </w:tc>
        <w:tc>
          <w:tcPr>
            <w:tcW w:w="1861" w:type="dxa"/>
            <w:vAlign w:val="center"/>
          </w:tcPr>
          <w:p>
            <w:pPr>
              <w:pStyle w:val="75"/>
              <w:spacing w:line="400" w:lineRule="exact"/>
              <w:ind w:firstLine="482"/>
              <w:jc w:val="center"/>
              <w:rPr>
                <w:rFonts w:hAnsi="宋体"/>
                <w:b/>
                <w:sz w:val="21"/>
                <w:szCs w:val="21"/>
              </w:rPr>
            </w:pPr>
          </w:p>
        </w:tc>
        <w:tc>
          <w:tcPr>
            <w:tcW w:w="1620" w:type="dxa"/>
            <w:vAlign w:val="center"/>
          </w:tcPr>
          <w:p>
            <w:pPr>
              <w:pStyle w:val="75"/>
              <w:spacing w:line="400" w:lineRule="exact"/>
              <w:ind w:firstLine="482"/>
              <w:jc w:val="center"/>
              <w:rPr>
                <w:rFonts w:hAnsi="宋体"/>
                <w:b/>
                <w:sz w:val="21"/>
                <w:szCs w:val="21"/>
              </w:rPr>
            </w:pPr>
          </w:p>
        </w:tc>
        <w:tc>
          <w:tcPr>
            <w:tcW w:w="1312" w:type="dxa"/>
            <w:vAlign w:val="center"/>
          </w:tcPr>
          <w:p>
            <w:pPr>
              <w:pStyle w:val="75"/>
              <w:spacing w:line="400" w:lineRule="exact"/>
              <w:ind w:firstLine="482"/>
              <w:jc w:val="center"/>
              <w:rPr>
                <w:rFonts w:hAnsi="宋体"/>
                <w:b/>
                <w:sz w:val="21"/>
                <w:szCs w:val="21"/>
              </w:rPr>
            </w:pPr>
          </w:p>
        </w:tc>
        <w:tc>
          <w:tcPr>
            <w:tcW w:w="1501" w:type="dxa"/>
            <w:vAlign w:val="center"/>
          </w:tcPr>
          <w:p>
            <w:pPr>
              <w:pStyle w:val="75"/>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5"/>
              <w:spacing w:line="400" w:lineRule="exact"/>
              <w:rPr>
                <w:rFonts w:hAnsi="宋体"/>
                <w:sz w:val="21"/>
                <w:szCs w:val="21"/>
              </w:rPr>
            </w:pPr>
            <w:r>
              <w:rPr>
                <w:rFonts w:hAnsi="宋体"/>
                <w:sz w:val="21"/>
                <w:szCs w:val="21"/>
              </w:rPr>
              <w:t>2</w:t>
            </w:r>
          </w:p>
        </w:tc>
        <w:tc>
          <w:tcPr>
            <w:tcW w:w="1419" w:type="dxa"/>
            <w:vAlign w:val="center"/>
          </w:tcPr>
          <w:p>
            <w:pPr>
              <w:pStyle w:val="75"/>
              <w:spacing w:line="400" w:lineRule="exact"/>
              <w:ind w:firstLine="480"/>
              <w:jc w:val="center"/>
              <w:rPr>
                <w:rFonts w:hAnsi="宋体"/>
                <w:sz w:val="21"/>
                <w:szCs w:val="21"/>
              </w:rPr>
            </w:pPr>
          </w:p>
        </w:tc>
        <w:tc>
          <w:tcPr>
            <w:tcW w:w="1861" w:type="dxa"/>
            <w:vAlign w:val="center"/>
          </w:tcPr>
          <w:p>
            <w:pPr>
              <w:pStyle w:val="75"/>
              <w:spacing w:line="400" w:lineRule="exact"/>
              <w:ind w:firstLine="482"/>
              <w:jc w:val="center"/>
              <w:rPr>
                <w:rFonts w:hAnsi="宋体"/>
                <w:b/>
                <w:sz w:val="21"/>
                <w:szCs w:val="21"/>
              </w:rPr>
            </w:pPr>
          </w:p>
        </w:tc>
        <w:tc>
          <w:tcPr>
            <w:tcW w:w="1620" w:type="dxa"/>
            <w:vAlign w:val="center"/>
          </w:tcPr>
          <w:p>
            <w:pPr>
              <w:pStyle w:val="75"/>
              <w:spacing w:line="400" w:lineRule="exact"/>
              <w:ind w:firstLine="482"/>
              <w:jc w:val="center"/>
              <w:rPr>
                <w:rFonts w:hAnsi="宋体"/>
                <w:b/>
                <w:sz w:val="21"/>
                <w:szCs w:val="21"/>
              </w:rPr>
            </w:pPr>
          </w:p>
        </w:tc>
        <w:tc>
          <w:tcPr>
            <w:tcW w:w="1312" w:type="dxa"/>
            <w:vAlign w:val="center"/>
          </w:tcPr>
          <w:p>
            <w:pPr>
              <w:pStyle w:val="75"/>
              <w:spacing w:line="400" w:lineRule="exact"/>
              <w:ind w:firstLine="482"/>
              <w:jc w:val="center"/>
              <w:rPr>
                <w:rFonts w:hAnsi="宋体"/>
                <w:b/>
                <w:sz w:val="21"/>
                <w:szCs w:val="21"/>
              </w:rPr>
            </w:pPr>
          </w:p>
        </w:tc>
        <w:tc>
          <w:tcPr>
            <w:tcW w:w="1501" w:type="dxa"/>
            <w:vAlign w:val="center"/>
          </w:tcPr>
          <w:p>
            <w:pPr>
              <w:pStyle w:val="75"/>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5"/>
              <w:spacing w:line="400" w:lineRule="exact"/>
              <w:rPr>
                <w:rFonts w:hAnsi="宋体"/>
                <w:sz w:val="21"/>
                <w:szCs w:val="21"/>
              </w:rPr>
            </w:pPr>
            <w:r>
              <w:rPr>
                <w:rFonts w:hAnsi="宋体"/>
                <w:sz w:val="21"/>
                <w:szCs w:val="21"/>
              </w:rPr>
              <w:t>3</w:t>
            </w:r>
          </w:p>
        </w:tc>
        <w:tc>
          <w:tcPr>
            <w:tcW w:w="1419" w:type="dxa"/>
            <w:vAlign w:val="center"/>
          </w:tcPr>
          <w:p>
            <w:pPr>
              <w:pStyle w:val="75"/>
              <w:spacing w:line="400" w:lineRule="exact"/>
              <w:ind w:firstLine="480"/>
              <w:jc w:val="center"/>
              <w:rPr>
                <w:rFonts w:hAnsi="宋体"/>
                <w:sz w:val="21"/>
                <w:szCs w:val="21"/>
              </w:rPr>
            </w:pPr>
          </w:p>
        </w:tc>
        <w:tc>
          <w:tcPr>
            <w:tcW w:w="1861" w:type="dxa"/>
            <w:vAlign w:val="center"/>
          </w:tcPr>
          <w:p>
            <w:pPr>
              <w:pStyle w:val="75"/>
              <w:spacing w:line="400" w:lineRule="exact"/>
              <w:ind w:firstLine="480"/>
              <w:jc w:val="center"/>
              <w:rPr>
                <w:rFonts w:hAnsi="宋体"/>
                <w:sz w:val="21"/>
                <w:szCs w:val="21"/>
              </w:rPr>
            </w:pPr>
          </w:p>
        </w:tc>
        <w:tc>
          <w:tcPr>
            <w:tcW w:w="1620" w:type="dxa"/>
            <w:vAlign w:val="center"/>
          </w:tcPr>
          <w:p>
            <w:pPr>
              <w:pStyle w:val="75"/>
              <w:spacing w:line="400" w:lineRule="exact"/>
              <w:ind w:firstLine="480"/>
              <w:jc w:val="center"/>
              <w:rPr>
                <w:rFonts w:hAnsi="宋体"/>
                <w:sz w:val="21"/>
                <w:szCs w:val="21"/>
              </w:rPr>
            </w:pPr>
          </w:p>
        </w:tc>
        <w:tc>
          <w:tcPr>
            <w:tcW w:w="1312" w:type="dxa"/>
            <w:vAlign w:val="center"/>
          </w:tcPr>
          <w:p>
            <w:pPr>
              <w:pStyle w:val="75"/>
              <w:spacing w:line="400" w:lineRule="exact"/>
              <w:ind w:firstLine="480"/>
              <w:jc w:val="center"/>
              <w:rPr>
                <w:rFonts w:hAnsi="宋体"/>
                <w:sz w:val="21"/>
                <w:szCs w:val="21"/>
              </w:rPr>
            </w:pPr>
          </w:p>
        </w:tc>
        <w:tc>
          <w:tcPr>
            <w:tcW w:w="1501" w:type="dxa"/>
            <w:vAlign w:val="center"/>
          </w:tcPr>
          <w:p>
            <w:pPr>
              <w:pStyle w:val="75"/>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5"/>
              <w:spacing w:line="400" w:lineRule="exact"/>
              <w:rPr>
                <w:rFonts w:hAnsi="宋体"/>
                <w:sz w:val="21"/>
                <w:szCs w:val="21"/>
              </w:rPr>
            </w:pPr>
            <w:r>
              <w:rPr>
                <w:rFonts w:hAnsi="宋体"/>
                <w:sz w:val="21"/>
                <w:szCs w:val="21"/>
              </w:rPr>
              <w:t>4</w:t>
            </w:r>
          </w:p>
        </w:tc>
        <w:tc>
          <w:tcPr>
            <w:tcW w:w="1419" w:type="dxa"/>
            <w:vAlign w:val="center"/>
          </w:tcPr>
          <w:p>
            <w:pPr>
              <w:pStyle w:val="75"/>
              <w:spacing w:line="400" w:lineRule="exact"/>
              <w:ind w:firstLine="480"/>
              <w:jc w:val="center"/>
              <w:rPr>
                <w:rFonts w:hAnsi="宋体"/>
                <w:sz w:val="21"/>
                <w:szCs w:val="21"/>
              </w:rPr>
            </w:pPr>
          </w:p>
        </w:tc>
        <w:tc>
          <w:tcPr>
            <w:tcW w:w="1861" w:type="dxa"/>
            <w:vAlign w:val="center"/>
          </w:tcPr>
          <w:p>
            <w:pPr>
              <w:pStyle w:val="75"/>
              <w:spacing w:line="400" w:lineRule="exact"/>
              <w:ind w:firstLine="480"/>
              <w:jc w:val="center"/>
              <w:rPr>
                <w:rFonts w:hAnsi="宋体"/>
                <w:sz w:val="21"/>
                <w:szCs w:val="21"/>
              </w:rPr>
            </w:pPr>
          </w:p>
        </w:tc>
        <w:tc>
          <w:tcPr>
            <w:tcW w:w="1620" w:type="dxa"/>
            <w:vAlign w:val="center"/>
          </w:tcPr>
          <w:p>
            <w:pPr>
              <w:pStyle w:val="75"/>
              <w:spacing w:line="400" w:lineRule="exact"/>
              <w:ind w:firstLine="480"/>
              <w:jc w:val="center"/>
              <w:rPr>
                <w:rFonts w:hAnsi="宋体"/>
                <w:sz w:val="21"/>
                <w:szCs w:val="21"/>
              </w:rPr>
            </w:pPr>
          </w:p>
        </w:tc>
        <w:tc>
          <w:tcPr>
            <w:tcW w:w="1312" w:type="dxa"/>
            <w:vAlign w:val="center"/>
          </w:tcPr>
          <w:p>
            <w:pPr>
              <w:pStyle w:val="75"/>
              <w:spacing w:line="400" w:lineRule="exact"/>
              <w:ind w:firstLine="480"/>
              <w:jc w:val="center"/>
              <w:rPr>
                <w:rFonts w:hAnsi="宋体"/>
                <w:sz w:val="21"/>
                <w:szCs w:val="21"/>
              </w:rPr>
            </w:pPr>
          </w:p>
        </w:tc>
        <w:tc>
          <w:tcPr>
            <w:tcW w:w="1501" w:type="dxa"/>
            <w:vAlign w:val="center"/>
          </w:tcPr>
          <w:p>
            <w:pPr>
              <w:pStyle w:val="75"/>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5"/>
              <w:spacing w:line="400" w:lineRule="exact"/>
              <w:rPr>
                <w:rFonts w:hAnsi="宋体"/>
                <w:sz w:val="21"/>
                <w:szCs w:val="21"/>
              </w:rPr>
            </w:pPr>
            <w:r>
              <w:rPr>
                <w:rFonts w:hAnsi="宋体"/>
                <w:sz w:val="21"/>
                <w:szCs w:val="21"/>
              </w:rPr>
              <w:t>5</w:t>
            </w:r>
          </w:p>
        </w:tc>
        <w:tc>
          <w:tcPr>
            <w:tcW w:w="1419" w:type="dxa"/>
            <w:vAlign w:val="center"/>
          </w:tcPr>
          <w:p>
            <w:pPr>
              <w:pStyle w:val="75"/>
              <w:spacing w:line="400" w:lineRule="exact"/>
              <w:ind w:firstLine="480"/>
              <w:jc w:val="center"/>
              <w:rPr>
                <w:rFonts w:hAnsi="宋体"/>
                <w:sz w:val="21"/>
                <w:szCs w:val="21"/>
              </w:rPr>
            </w:pPr>
          </w:p>
        </w:tc>
        <w:tc>
          <w:tcPr>
            <w:tcW w:w="1861" w:type="dxa"/>
            <w:vAlign w:val="center"/>
          </w:tcPr>
          <w:p>
            <w:pPr>
              <w:pStyle w:val="75"/>
              <w:spacing w:line="400" w:lineRule="exact"/>
              <w:ind w:firstLine="480"/>
              <w:jc w:val="center"/>
              <w:rPr>
                <w:rFonts w:hAnsi="宋体"/>
                <w:sz w:val="21"/>
                <w:szCs w:val="21"/>
              </w:rPr>
            </w:pPr>
          </w:p>
        </w:tc>
        <w:tc>
          <w:tcPr>
            <w:tcW w:w="1620" w:type="dxa"/>
            <w:vAlign w:val="center"/>
          </w:tcPr>
          <w:p>
            <w:pPr>
              <w:pStyle w:val="75"/>
              <w:spacing w:line="400" w:lineRule="exact"/>
              <w:ind w:firstLine="480"/>
              <w:jc w:val="center"/>
              <w:rPr>
                <w:rFonts w:hAnsi="宋体"/>
                <w:sz w:val="21"/>
                <w:szCs w:val="21"/>
              </w:rPr>
            </w:pPr>
          </w:p>
        </w:tc>
        <w:tc>
          <w:tcPr>
            <w:tcW w:w="1312" w:type="dxa"/>
            <w:vAlign w:val="center"/>
          </w:tcPr>
          <w:p>
            <w:pPr>
              <w:pStyle w:val="75"/>
              <w:spacing w:line="400" w:lineRule="exact"/>
              <w:ind w:firstLine="480"/>
              <w:jc w:val="center"/>
              <w:rPr>
                <w:rFonts w:hAnsi="宋体"/>
                <w:sz w:val="21"/>
                <w:szCs w:val="21"/>
              </w:rPr>
            </w:pPr>
          </w:p>
        </w:tc>
        <w:tc>
          <w:tcPr>
            <w:tcW w:w="1501" w:type="dxa"/>
            <w:vAlign w:val="center"/>
          </w:tcPr>
          <w:p>
            <w:pPr>
              <w:pStyle w:val="75"/>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5"/>
              <w:spacing w:line="400" w:lineRule="exact"/>
              <w:jc w:val="center"/>
              <w:rPr>
                <w:rFonts w:hAnsi="宋体"/>
                <w:sz w:val="21"/>
                <w:szCs w:val="21"/>
              </w:rPr>
            </w:pPr>
            <w:r>
              <w:rPr>
                <w:rFonts w:hAnsi="宋体"/>
                <w:sz w:val="21"/>
                <w:szCs w:val="21"/>
              </w:rPr>
              <w:t>…</w:t>
            </w:r>
          </w:p>
        </w:tc>
        <w:tc>
          <w:tcPr>
            <w:tcW w:w="1419" w:type="dxa"/>
            <w:vAlign w:val="center"/>
          </w:tcPr>
          <w:p>
            <w:pPr>
              <w:pStyle w:val="75"/>
              <w:spacing w:line="400" w:lineRule="exact"/>
              <w:ind w:firstLine="480"/>
              <w:jc w:val="center"/>
              <w:rPr>
                <w:rFonts w:hAnsi="宋体"/>
                <w:sz w:val="21"/>
                <w:szCs w:val="21"/>
              </w:rPr>
            </w:pPr>
          </w:p>
        </w:tc>
        <w:tc>
          <w:tcPr>
            <w:tcW w:w="1861" w:type="dxa"/>
            <w:vAlign w:val="center"/>
          </w:tcPr>
          <w:p>
            <w:pPr>
              <w:pStyle w:val="75"/>
              <w:spacing w:line="400" w:lineRule="exact"/>
              <w:ind w:firstLine="480"/>
              <w:jc w:val="center"/>
              <w:rPr>
                <w:rFonts w:hAnsi="宋体"/>
                <w:sz w:val="21"/>
                <w:szCs w:val="21"/>
              </w:rPr>
            </w:pPr>
          </w:p>
        </w:tc>
        <w:tc>
          <w:tcPr>
            <w:tcW w:w="1620" w:type="dxa"/>
            <w:vAlign w:val="center"/>
          </w:tcPr>
          <w:p>
            <w:pPr>
              <w:pStyle w:val="75"/>
              <w:spacing w:line="400" w:lineRule="exact"/>
              <w:ind w:firstLine="480"/>
              <w:jc w:val="center"/>
              <w:rPr>
                <w:rFonts w:hAnsi="宋体"/>
                <w:sz w:val="21"/>
                <w:szCs w:val="21"/>
              </w:rPr>
            </w:pPr>
          </w:p>
        </w:tc>
        <w:tc>
          <w:tcPr>
            <w:tcW w:w="1312" w:type="dxa"/>
            <w:vAlign w:val="center"/>
          </w:tcPr>
          <w:p>
            <w:pPr>
              <w:pStyle w:val="75"/>
              <w:spacing w:line="400" w:lineRule="exact"/>
              <w:ind w:firstLine="480"/>
              <w:jc w:val="center"/>
              <w:rPr>
                <w:rFonts w:hAnsi="宋体"/>
                <w:sz w:val="21"/>
                <w:szCs w:val="21"/>
              </w:rPr>
            </w:pPr>
          </w:p>
        </w:tc>
        <w:tc>
          <w:tcPr>
            <w:tcW w:w="1501" w:type="dxa"/>
            <w:vAlign w:val="center"/>
          </w:tcPr>
          <w:p>
            <w:pPr>
              <w:pStyle w:val="75"/>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5"/>
              <w:spacing w:line="400" w:lineRule="exact"/>
              <w:jc w:val="center"/>
              <w:rPr>
                <w:rFonts w:hAnsi="宋体"/>
                <w:sz w:val="21"/>
                <w:szCs w:val="21"/>
              </w:rPr>
            </w:pPr>
          </w:p>
        </w:tc>
        <w:tc>
          <w:tcPr>
            <w:tcW w:w="1419" w:type="dxa"/>
            <w:vAlign w:val="center"/>
          </w:tcPr>
          <w:p>
            <w:pPr>
              <w:pStyle w:val="75"/>
              <w:spacing w:line="400" w:lineRule="exact"/>
              <w:jc w:val="center"/>
              <w:rPr>
                <w:rFonts w:hAnsi="宋体"/>
                <w:sz w:val="21"/>
                <w:szCs w:val="21"/>
              </w:rPr>
            </w:pPr>
          </w:p>
        </w:tc>
        <w:tc>
          <w:tcPr>
            <w:tcW w:w="1861" w:type="dxa"/>
            <w:vAlign w:val="center"/>
          </w:tcPr>
          <w:p>
            <w:pPr>
              <w:pStyle w:val="75"/>
              <w:spacing w:line="400" w:lineRule="exact"/>
              <w:ind w:firstLine="480"/>
              <w:jc w:val="center"/>
              <w:rPr>
                <w:rFonts w:hAnsi="宋体"/>
                <w:sz w:val="21"/>
                <w:szCs w:val="21"/>
              </w:rPr>
            </w:pPr>
          </w:p>
        </w:tc>
        <w:tc>
          <w:tcPr>
            <w:tcW w:w="1620" w:type="dxa"/>
            <w:vAlign w:val="center"/>
          </w:tcPr>
          <w:p>
            <w:pPr>
              <w:pStyle w:val="75"/>
              <w:spacing w:line="400" w:lineRule="exact"/>
              <w:ind w:firstLine="480"/>
              <w:jc w:val="center"/>
              <w:rPr>
                <w:rFonts w:hAnsi="宋体"/>
                <w:sz w:val="21"/>
                <w:szCs w:val="21"/>
              </w:rPr>
            </w:pPr>
          </w:p>
        </w:tc>
        <w:tc>
          <w:tcPr>
            <w:tcW w:w="1312" w:type="dxa"/>
            <w:vAlign w:val="center"/>
          </w:tcPr>
          <w:p>
            <w:pPr>
              <w:pStyle w:val="75"/>
              <w:spacing w:line="400" w:lineRule="exact"/>
              <w:ind w:firstLine="480"/>
              <w:jc w:val="center"/>
              <w:rPr>
                <w:rFonts w:hAnsi="宋体"/>
                <w:sz w:val="21"/>
                <w:szCs w:val="21"/>
              </w:rPr>
            </w:pPr>
          </w:p>
        </w:tc>
        <w:tc>
          <w:tcPr>
            <w:tcW w:w="1501" w:type="dxa"/>
            <w:vAlign w:val="center"/>
          </w:tcPr>
          <w:p>
            <w:pPr>
              <w:pStyle w:val="75"/>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vAlign w:val="center"/>
          </w:tcPr>
          <w:p>
            <w:pPr>
              <w:pStyle w:val="75"/>
              <w:spacing w:line="400" w:lineRule="exact"/>
              <w:jc w:val="center"/>
              <w:rPr>
                <w:rFonts w:hAnsi="宋体"/>
                <w:sz w:val="21"/>
                <w:szCs w:val="21"/>
              </w:rPr>
            </w:pPr>
          </w:p>
        </w:tc>
        <w:tc>
          <w:tcPr>
            <w:tcW w:w="1419" w:type="dxa"/>
            <w:vAlign w:val="center"/>
          </w:tcPr>
          <w:p>
            <w:pPr>
              <w:pStyle w:val="75"/>
              <w:spacing w:line="400" w:lineRule="exact"/>
              <w:jc w:val="center"/>
              <w:rPr>
                <w:rFonts w:hAnsi="宋体"/>
                <w:sz w:val="21"/>
                <w:szCs w:val="21"/>
              </w:rPr>
            </w:pPr>
          </w:p>
        </w:tc>
        <w:tc>
          <w:tcPr>
            <w:tcW w:w="1861" w:type="dxa"/>
            <w:vAlign w:val="center"/>
          </w:tcPr>
          <w:p>
            <w:pPr>
              <w:pStyle w:val="75"/>
              <w:spacing w:line="400" w:lineRule="exact"/>
              <w:ind w:firstLine="480"/>
              <w:jc w:val="center"/>
              <w:rPr>
                <w:rFonts w:hAnsi="宋体"/>
                <w:sz w:val="21"/>
                <w:szCs w:val="21"/>
              </w:rPr>
            </w:pPr>
          </w:p>
        </w:tc>
        <w:tc>
          <w:tcPr>
            <w:tcW w:w="1620" w:type="dxa"/>
            <w:vAlign w:val="center"/>
          </w:tcPr>
          <w:p>
            <w:pPr>
              <w:pStyle w:val="75"/>
              <w:spacing w:line="400" w:lineRule="exact"/>
              <w:ind w:firstLine="480"/>
              <w:jc w:val="center"/>
              <w:rPr>
                <w:rFonts w:hAnsi="宋体"/>
                <w:sz w:val="21"/>
                <w:szCs w:val="21"/>
              </w:rPr>
            </w:pPr>
          </w:p>
        </w:tc>
        <w:tc>
          <w:tcPr>
            <w:tcW w:w="1312" w:type="dxa"/>
            <w:vAlign w:val="center"/>
          </w:tcPr>
          <w:p>
            <w:pPr>
              <w:pStyle w:val="75"/>
              <w:spacing w:line="400" w:lineRule="exact"/>
              <w:ind w:firstLine="480"/>
              <w:jc w:val="center"/>
              <w:rPr>
                <w:rFonts w:hAnsi="宋体"/>
                <w:sz w:val="21"/>
                <w:szCs w:val="21"/>
              </w:rPr>
            </w:pPr>
          </w:p>
        </w:tc>
        <w:tc>
          <w:tcPr>
            <w:tcW w:w="1501" w:type="dxa"/>
            <w:vAlign w:val="center"/>
          </w:tcPr>
          <w:p>
            <w:pPr>
              <w:pStyle w:val="75"/>
              <w:spacing w:line="400" w:lineRule="exact"/>
              <w:ind w:firstLine="480"/>
              <w:jc w:val="center"/>
              <w:rPr>
                <w:rFonts w:hAnsi="宋体"/>
                <w:sz w:val="21"/>
                <w:szCs w:val="21"/>
              </w:rPr>
            </w:pPr>
          </w:p>
        </w:tc>
      </w:tr>
    </w:tbl>
    <w:p>
      <w:pPr>
        <w:ind w:firstLine="210" w:firstLineChars="100"/>
        <w:rPr>
          <w:rFonts w:ascii="宋体" w:hAnsi="宋体"/>
          <w:szCs w:val="21"/>
        </w:rPr>
      </w:pPr>
    </w:p>
    <w:p>
      <w:pPr>
        <w:ind w:firstLine="210" w:firstLineChars="100"/>
        <w:rPr>
          <w:rFonts w:ascii="宋体" w:hAnsi="宋体"/>
          <w:szCs w:val="21"/>
        </w:rPr>
      </w:pPr>
    </w:p>
    <w:p>
      <w:pPr>
        <w:ind w:firstLine="210" w:firstLineChars="100"/>
        <w:rPr>
          <w:rFonts w:ascii="宋体" w:hAnsi="宋体"/>
          <w:szCs w:val="21"/>
        </w:rPr>
      </w:pPr>
      <w:r>
        <w:rPr>
          <w:rFonts w:hint="eastAsia" w:ascii="宋体" w:hAnsi="宋体"/>
          <w:szCs w:val="21"/>
        </w:rPr>
        <w:t>投标人</w:t>
      </w:r>
      <w:r>
        <w:rPr>
          <w:rFonts w:ascii="宋体" w:hAnsi="宋体"/>
          <w:szCs w:val="21"/>
        </w:rPr>
        <w:t xml:space="preserve">（盖章）：                               </w:t>
      </w:r>
    </w:p>
    <w:p>
      <w:pPr>
        <w:ind w:firstLine="210" w:firstLineChars="100"/>
        <w:rPr>
          <w:rFonts w:ascii="宋体" w:hAnsi="宋体"/>
          <w:szCs w:val="21"/>
        </w:rPr>
      </w:pPr>
      <w:r>
        <w:rPr>
          <w:rFonts w:ascii="宋体" w:hAnsi="宋体"/>
          <w:szCs w:val="21"/>
        </w:rPr>
        <w:t xml:space="preserve">授权委托人（签字）：                        </w:t>
      </w:r>
    </w:p>
    <w:p>
      <w:pPr>
        <w:ind w:firstLine="199" w:firstLineChars="95"/>
        <w:rPr>
          <w:rFonts w:ascii="宋体" w:hAnsi="宋体"/>
        </w:rPr>
      </w:pPr>
      <w:r>
        <w:rPr>
          <w:rFonts w:ascii="宋体" w:hAnsi="宋体"/>
          <w:szCs w:val="21"/>
        </w:rPr>
        <w:t>日期：</w:t>
      </w: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pStyle w:val="35"/>
        <w:rPr>
          <w:rFonts w:ascii="宋体" w:hAnsi="宋体"/>
          <w:szCs w:val="21"/>
        </w:rPr>
      </w:pPr>
    </w:p>
    <w:p>
      <w:pPr>
        <w:pStyle w:val="9"/>
      </w:pPr>
    </w:p>
    <w:p>
      <w:pPr>
        <w:spacing w:line="360" w:lineRule="auto"/>
        <w:ind w:firstLine="4515" w:firstLineChars="2150"/>
        <w:rPr>
          <w:rFonts w:ascii="宋体" w:hAnsi="宋体"/>
          <w:szCs w:val="21"/>
        </w:rPr>
      </w:pPr>
    </w:p>
    <w:p>
      <w:pPr>
        <w:spacing w:line="380" w:lineRule="exact"/>
        <w:jc w:val="left"/>
        <w:rPr>
          <w:rFonts w:ascii="宋体" w:hAnsi="宋体" w:cs="宋体"/>
          <w:b/>
          <w:sz w:val="24"/>
          <w:lang w:val="zh-CN"/>
        </w:rPr>
      </w:pPr>
      <w:r>
        <w:rPr>
          <w:rFonts w:hint="eastAsia" w:ascii="宋体" w:hAnsi="宋体" w:cs="宋体"/>
          <w:b/>
          <w:sz w:val="24"/>
          <w:lang w:val="zh-CN"/>
        </w:rPr>
        <w:t>十</w:t>
      </w:r>
      <w:r>
        <w:rPr>
          <w:rFonts w:hint="eastAsia" w:ascii="宋体" w:hAnsi="宋体" w:cs="宋体"/>
          <w:b/>
          <w:sz w:val="24"/>
          <w:lang w:val="en-US" w:eastAsia="zh-CN"/>
        </w:rPr>
        <w:t>四</w:t>
      </w:r>
      <w:r>
        <w:rPr>
          <w:rFonts w:hint="eastAsia" w:ascii="宋体" w:hAnsi="宋体" w:cs="宋体"/>
          <w:b/>
          <w:sz w:val="24"/>
          <w:lang w:val="zh-CN"/>
        </w:rPr>
        <w:t>、商务偏离表</w:t>
      </w:r>
    </w:p>
    <w:p>
      <w:pPr>
        <w:snapToGrid w:val="0"/>
        <w:spacing w:before="50"/>
        <w:jc w:val="center"/>
        <w:rPr>
          <w:rFonts w:ascii="宋体" w:cs="宋体"/>
          <w:b/>
          <w:bCs/>
        </w:rPr>
      </w:pPr>
      <w:r>
        <w:rPr>
          <w:rFonts w:hint="eastAsia" w:ascii="宋体" w:hAnsi="宋体" w:cs="宋体"/>
          <w:b/>
          <w:bCs/>
        </w:rPr>
        <w:t>商务条款响应表</w:t>
      </w:r>
    </w:p>
    <w:p>
      <w:pPr>
        <w:snapToGrid w:val="0"/>
        <w:spacing w:before="50" w:after="50"/>
        <w:rPr>
          <w:rFonts w:ascii="宋体" w:cs="宋体"/>
        </w:rPr>
      </w:pPr>
    </w:p>
    <w:p>
      <w:pPr>
        <w:spacing w:line="560" w:lineRule="exact"/>
        <w:rPr>
          <w:rFonts w:ascii="宋体" w:hAnsi="宋体"/>
          <w:bCs/>
          <w:sz w:val="22"/>
          <w:szCs w:val="22"/>
        </w:rPr>
      </w:pPr>
      <w:r>
        <w:rPr>
          <w:rFonts w:hint="eastAsia" w:ascii="宋体" w:hAnsi="宋体" w:cs="宋体"/>
        </w:rPr>
        <w:t>招标编号：</w:t>
      </w:r>
      <w:r>
        <w:rPr>
          <w:rFonts w:ascii="宋体" w:hAnsi="宋体" w:cs="宋体"/>
          <w:u w:val="single"/>
        </w:rPr>
        <w:t xml:space="preserve">           </w:t>
      </w:r>
      <w:r>
        <w:rPr>
          <w:rFonts w:hint="eastAsia" w:ascii="宋体" w:hAnsi="宋体" w:cs="宋体"/>
          <w:u w:val="single"/>
        </w:rPr>
        <w:t xml:space="preserve">            </w:t>
      </w:r>
      <w:r>
        <w:rPr>
          <w:rFonts w:ascii="宋体" w:hAnsi="宋体"/>
          <w:bCs/>
          <w:sz w:val="22"/>
          <w:szCs w:val="22"/>
        </w:rPr>
        <w:t xml:space="preserve">项目名称： </w:t>
      </w:r>
      <w:r>
        <w:rPr>
          <w:rFonts w:hint="eastAsia" w:ascii="宋体" w:hAnsi="宋体"/>
          <w:bCs/>
          <w:sz w:val="22"/>
          <w:szCs w:val="22"/>
          <w:u w:val="single"/>
        </w:rPr>
        <w:t xml:space="preserve">             </w:t>
      </w:r>
      <w:r>
        <w:rPr>
          <w:rFonts w:ascii="宋体" w:hAnsi="宋体"/>
          <w:bCs/>
          <w:sz w:val="22"/>
          <w:szCs w:val="22"/>
        </w:rPr>
        <w:t xml:space="preserve">                                           </w:t>
      </w:r>
    </w:p>
    <w:tbl>
      <w:tblPr>
        <w:tblStyle w:val="29"/>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581"/>
        <w:gridCol w:w="1672"/>
        <w:gridCol w:w="197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29" w:type="dxa"/>
            <w:vAlign w:val="center"/>
          </w:tcPr>
          <w:p>
            <w:pPr>
              <w:jc w:val="center"/>
              <w:rPr>
                <w:rFonts w:ascii="宋体" w:hAnsi="宋体"/>
                <w:bCs/>
                <w:sz w:val="22"/>
                <w:szCs w:val="22"/>
              </w:rPr>
            </w:pPr>
            <w:r>
              <w:rPr>
                <w:rFonts w:ascii="宋体" w:hAnsi="宋体"/>
                <w:bCs/>
                <w:sz w:val="22"/>
                <w:szCs w:val="22"/>
              </w:rPr>
              <w:t>内   容</w:t>
            </w:r>
          </w:p>
        </w:tc>
        <w:tc>
          <w:tcPr>
            <w:tcW w:w="2581" w:type="dxa"/>
            <w:vAlign w:val="center"/>
          </w:tcPr>
          <w:p>
            <w:pPr>
              <w:jc w:val="center"/>
              <w:rPr>
                <w:rFonts w:ascii="宋体" w:hAnsi="宋体"/>
                <w:bCs/>
                <w:sz w:val="22"/>
                <w:szCs w:val="22"/>
              </w:rPr>
            </w:pPr>
            <w:r>
              <w:rPr>
                <w:rFonts w:ascii="宋体" w:hAnsi="宋体"/>
                <w:bCs/>
                <w:sz w:val="22"/>
                <w:szCs w:val="22"/>
              </w:rPr>
              <w:t>采购要求</w:t>
            </w:r>
          </w:p>
        </w:tc>
        <w:tc>
          <w:tcPr>
            <w:tcW w:w="1672" w:type="dxa"/>
            <w:vAlign w:val="center"/>
          </w:tcPr>
          <w:p>
            <w:pPr>
              <w:jc w:val="center"/>
              <w:rPr>
                <w:rFonts w:ascii="宋体" w:hAnsi="宋体"/>
                <w:bCs/>
                <w:sz w:val="22"/>
                <w:szCs w:val="22"/>
              </w:rPr>
            </w:pPr>
            <w:r>
              <w:rPr>
                <w:rFonts w:ascii="宋体" w:hAnsi="宋体"/>
                <w:bCs/>
                <w:sz w:val="22"/>
                <w:szCs w:val="22"/>
              </w:rPr>
              <w:t>投标响应</w:t>
            </w:r>
          </w:p>
        </w:tc>
        <w:tc>
          <w:tcPr>
            <w:tcW w:w="1976" w:type="dxa"/>
            <w:vAlign w:val="center"/>
          </w:tcPr>
          <w:p>
            <w:pPr>
              <w:jc w:val="center"/>
              <w:rPr>
                <w:rFonts w:ascii="宋体" w:hAnsi="宋体"/>
                <w:bCs/>
                <w:sz w:val="22"/>
                <w:szCs w:val="22"/>
              </w:rPr>
            </w:pPr>
            <w:r>
              <w:rPr>
                <w:rFonts w:ascii="宋体" w:hAnsi="宋体"/>
                <w:bCs/>
                <w:sz w:val="22"/>
                <w:szCs w:val="22"/>
              </w:rPr>
              <w:t>偏离</w:t>
            </w:r>
          </w:p>
        </w:tc>
        <w:tc>
          <w:tcPr>
            <w:tcW w:w="1680" w:type="dxa"/>
            <w:vAlign w:val="center"/>
          </w:tcPr>
          <w:p>
            <w:pPr>
              <w:jc w:val="center"/>
              <w:rPr>
                <w:rFonts w:ascii="宋体" w:hAnsi="宋体"/>
                <w:bCs/>
                <w:sz w:val="22"/>
                <w:szCs w:val="22"/>
              </w:rPr>
            </w:pPr>
            <w:r>
              <w:rPr>
                <w:rFonts w:ascii="宋体" w:hAnsi="宋体"/>
                <w:bCs/>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229" w:type="dxa"/>
            <w:vMerge w:val="restart"/>
            <w:vAlign w:val="center"/>
          </w:tcPr>
          <w:p>
            <w:pPr>
              <w:rPr>
                <w:rFonts w:ascii="宋体" w:hAnsi="宋体"/>
                <w:bCs/>
                <w:sz w:val="22"/>
                <w:szCs w:val="22"/>
              </w:rPr>
            </w:pPr>
            <w:r>
              <w:rPr>
                <w:rFonts w:ascii="宋体" w:hAnsi="宋体"/>
                <w:bCs/>
                <w:sz w:val="22"/>
                <w:szCs w:val="22"/>
              </w:rPr>
              <w:t>商务条款</w:t>
            </w:r>
          </w:p>
        </w:tc>
        <w:tc>
          <w:tcPr>
            <w:tcW w:w="2581" w:type="dxa"/>
          </w:tcPr>
          <w:p>
            <w:pPr>
              <w:snapToGrid w:val="0"/>
              <w:spacing w:before="120" w:beforeLines="50"/>
              <w:ind w:firstLine="120" w:firstLineChars="50"/>
              <w:jc w:val="left"/>
              <w:rPr>
                <w:rFonts w:ascii="宋体" w:hAnsi="宋体"/>
                <w:bCs/>
                <w:sz w:val="22"/>
                <w:szCs w:val="22"/>
              </w:rPr>
            </w:pPr>
            <w:r>
              <w:rPr>
                <w:rFonts w:hint="eastAsia" w:ascii="宋体" w:hAnsi="宋体"/>
                <w:sz w:val="24"/>
              </w:rPr>
              <w:t>质保期</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center"/>
          </w:tcPr>
          <w:p>
            <w:pPr>
              <w:pStyle w:val="64"/>
              <w:widowControl/>
              <w:tabs>
                <w:tab w:val="clear" w:pos="1418"/>
              </w:tabs>
              <w:overflowPunct w:val="0"/>
              <w:autoSpaceDE w:val="0"/>
              <w:autoSpaceDN w:val="0"/>
              <w:adjustRightInd w:val="0"/>
              <w:snapToGrid w:val="0"/>
              <w:spacing w:line="360" w:lineRule="exact"/>
              <w:jc w:val="left"/>
              <w:textAlignment w:val="baseline"/>
              <w:rPr>
                <w:rFonts w:ascii="宋体" w:hAnsi="宋体"/>
                <w:bCs/>
                <w:sz w:val="22"/>
                <w:szCs w:val="22"/>
              </w:rPr>
            </w:pPr>
            <w:r>
              <w:rPr>
                <w:rFonts w:hint="eastAsia" w:ascii="宋体" w:hAnsi="宋体" w:eastAsia="宋体"/>
                <w:spacing w:val="0"/>
                <w:szCs w:val="20"/>
              </w:rPr>
              <w:t>售后技术服务要求</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center"/>
          </w:tcPr>
          <w:p>
            <w:pPr>
              <w:snapToGrid w:val="0"/>
              <w:spacing w:line="360" w:lineRule="exact"/>
              <w:jc w:val="left"/>
              <w:rPr>
                <w:rFonts w:ascii="宋体" w:hAnsi="宋体"/>
                <w:bCs/>
                <w:sz w:val="22"/>
                <w:szCs w:val="22"/>
              </w:rPr>
            </w:pPr>
            <w:r>
              <w:rPr>
                <w:rFonts w:hint="eastAsia" w:ascii="宋体" w:hAnsi="宋体"/>
                <w:sz w:val="24"/>
              </w:rPr>
              <w:t>交货时间及地点</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center"/>
          </w:tcPr>
          <w:p>
            <w:pPr>
              <w:snapToGrid w:val="0"/>
              <w:spacing w:line="360" w:lineRule="exact"/>
              <w:jc w:val="left"/>
              <w:rPr>
                <w:rFonts w:ascii="宋体" w:hAnsi="宋体"/>
                <w:bCs/>
                <w:sz w:val="22"/>
                <w:szCs w:val="22"/>
              </w:rPr>
            </w:pPr>
            <w:r>
              <w:rPr>
                <w:rFonts w:hint="eastAsia" w:ascii="宋体" w:hAnsi="宋体"/>
                <w:sz w:val="24"/>
              </w:rPr>
              <w:t>付款条件</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tcPr>
          <w:p>
            <w:pPr>
              <w:snapToGrid w:val="0"/>
              <w:spacing w:before="120" w:beforeLines="50"/>
              <w:jc w:val="left"/>
              <w:rPr>
                <w:rFonts w:ascii="宋体" w:hAnsi="宋体"/>
                <w:bCs/>
                <w:sz w:val="22"/>
                <w:szCs w:val="22"/>
              </w:rPr>
            </w:pPr>
            <w:r>
              <w:rPr>
                <w:rFonts w:hint="eastAsia" w:ascii="宋体" w:hAnsi="宋体"/>
                <w:sz w:val="24"/>
              </w:rPr>
              <w:t>备品备件及耗材等要求</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tcPr>
          <w:p>
            <w:pPr>
              <w:snapToGrid w:val="0"/>
              <w:spacing w:before="120" w:beforeLines="50"/>
              <w:ind w:firstLine="120" w:firstLineChars="50"/>
              <w:jc w:val="left"/>
              <w:rPr>
                <w:rFonts w:ascii="宋体" w:hAnsi="宋体"/>
                <w:bCs/>
                <w:sz w:val="22"/>
                <w:szCs w:val="22"/>
              </w:rPr>
            </w:pPr>
            <w:r>
              <w:rPr>
                <w:rFonts w:hint="eastAsia" w:ascii="宋体" w:hAnsi="宋体"/>
                <w:sz w:val="24"/>
              </w:rPr>
              <w:t>…</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center"/>
          </w:tcPr>
          <w:p>
            <w:pPr>
              <w:pStyle w:val="64"/>
              <w:widowControl/>
              <w:tabs>
                <w:tab w:val="clear" w:pos="1418"/>
              </w:tabs>
              <w:overflowPunct w:val="0"/>
              <w:autoSpaceDE w:val="0"/>
              <w:autoSpaceDN w:val="0"/>
              <w:adjustRightInd w:val="0"/>
              <w:snapToGrid w:val="0"/>
              <w:spacing w:line="360" w:lineRule="exact"/>
              <w:textAlignment w:val="baseline"/>
              <w:rPr>
                <w:rFonts w:ascii="宋体" w:hAnsi="宋体"/>
                <w:bCs/>
                <w:sz w:val="22"/>
                <w:szCs w:val="22"/>
              </w:rPr>
            </w:pP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bl>
    <w:p>
      <w:pPr>
        <w:pStyle w:val="63"/>
        <w:spacing w:line="400" w:lineRule="atLeast"/>
        <w:ind w:left="537" w:hanging="537" w:hangingChars="243"/>
        <w:rPr>
          <w:rFonts w:hAnsi="宋体" w:eastAsia="宋体"/>
          <w:b/>
          <w:sz w:val="22"/>
          <w:szCs w:val="22"/>
        </w:rPr>
      </w:pPr>
      <w:r>
        <w:rPr>
          <w:rFonts w:hAnsi="宋体" w:eastAsia="宋体"/>
          <w:b/>
          <w:sz w:val="22"/>
          <w:szCs w:val="22"/>
        </w:rPr>
        <w:t>注： 如有偏离，必须在偏离表中进行详细对比说明并注明正偏离（负偏离），如此表不填或填写为无偏离或不说明偏离情况，视为完全响应招标文件要求。</w:t>
      </w:r>
    </w:p>
    <w:p>
      <w:pPr>
        <w:autoSpaceDE w:val="0"/>
        <w:autoSpaceDN w:val="0"/>
        <w:adjustRightInd w:val="0"/>
        <w:spacing w:line="360" w:lineRule="auto"/>
        <w:jc w:val="center"/>
        <w:rPr>
          <w:rFonts w:ascii="宋体" w:hAnsi="宋体" w:cs="宋体"/>
        </w:rPr>
      </w:pPr>
      <w:r>
        <w:rPr>
          <w:rFonts w:ascii="宋体" w:hAnsi="宋体" w:cs="宋体"/>
        </w:rPr>
        <w:t xml:space="preserve">                                                </w:t>
      </w:r>
    </w:p>
    <w:p>
      <w:pPr>
        <w:autoSpaceDE w:val="0"/>
        <w:autoSpaceDN w:val="0"/>
        <w:adjustRightInd w:val="0"/>
        <w:spacing w:line="360" w:lineRule="auto"/>
        <w:jc w:val="center"/>
        <w:rPr>
          <w:rFonts w:ascii="宋体" w:cs="宋体"/>
          <w:lang w:val="zh-CN"/>
        </w:rPr>
      </w:pPr>
      <w:r>
        <w:rPr>
          <w:rFonts w:hint="eastAsia" w:ascii="宋体" w:hAnsi="宋体" w:cs="宋体"/>
        </w:rPr>
        <w:t xml:space="preserve">                                                                </w:t>
      </w:r>
      <w:r>
        <w:rPr>
          <w:rFonts w:hint="eastAsia" w:ascii="宋体" w:hAnsi="宋体" w:cs="宋体"/>
          <w:lang w:val="zh-CN"/>
        </w:rPr>
        <w:t>投标人（公章）：</w:t>
      </w:r>
    </w:p>
    <w:p>
      <w:pPr>
        <w:autoSpaceDE w:val="0"/>
        <w:autoSpaceDN w:val="0"/>
        <w:adjustRightInd w:val="0"/>
        <w:spacing w:line="360" w:lineRule="auto"/>
        <w:jc w:val="right"/>
        <w:rPr>
          <w:rFonts w:ascii="宋体" w:cs="宋体"/>
          <w:lang w:val="zh-CN"/>
        </w:rPr>
      </w:pPr>
      <w:r>
        <w:rPr>
          <w:rFonts w:hint="eastAsia" w:ascii="宋体" w:hAnsi="宋体" w:cs="宋体"/>
        </w:rPr>
        <w:t xml:space="preserve">      </w:t>
      </w:r>
      <w:r>
        <w:rPr>
          <w:rFonts w:hint="eastAsia" w:ascii="宋体" w:hAnsi="宋体" w:cs="宋体"/>
          <w:lang w:val="zh-CN"/>
        </w:rPr>
        <w:t>法定代表（签字或盖章）：</w:t>
      </w:r>
      <w:r>
        <w:rPr>
          <w:rFonts w:ascii="宋体" w:hAnsi="宋体" w:cs="宋体"/>
          <w:lang w:val="zh-CN"/>
        </w:rPr>
        <w:t xml:space="preserve"> </w:t>
      </w:r>
    </w:p>
    <w:p>
      <w:pPr>
        <w:autoSpaceDE w:val="0"/>
        <w:autoSpaceDN w:val="0"/>
        <w:adjustRightInd w:val="0"/>
        <w:spacing w:line="360" w:lineRule="auto"/>
        <w:ind w:firstLine="7035" w:firstLineChars="3350"/>
        <w:jc w:val="left"/>
        <w:rPr>
          <w:rFonts w:ascii="宋体" w:cs="宋体"/>
          <w:lang w:val="zh-CN"/>
        </w:rPr>
      </w:pPr>
      <w:r>
        <w:rPr>
          <w:rFonts w:hint="eastAsia" w:ascii="宋体" w:hAnsi="宋体" w:cs="宋体"/>
          <w:lang w:val="zh-CN"/>
        </w:rPr>
        <w:t>年</w:t>
      </w:r>
      <w:r>
        <w:rPr>
          <w:rFonts w:ascii="宋体" w:hAnsi="宋体" w:cs="宋体"/>
          <w:lang w:val="zh-CN"/>
        </w:rPr>
        <w:t xml:space="preserve">  </w:t>
      </w:r>
      <w:r>
        <w:rPr>
          <w:rFonts w:hint="eastAsia" w:ascii="宋体" w:hAnsi="宋体" w:cs="宋体"/>
          <w:lang w:val="zh-CN"/>
        </w:rPr>
        <w:t>月</w:t>
      </w:r>
      <w:r>
        <w:rPr>
          <w:rFonts w:ascii="宋体" w:hAnsi="宋体" w:cs="宋体"/>
          <w:lang w:val="zh-CN"/>
        </w:rPr>
        <w:t xml:space="preserve">   </w:t>
      </w:r>
      <w:r>
        <w:rPr>
          <w:rFonts w:hint="eastAsia" w:ascii="宋体" w:hAnsi="宋体" w:cs="宋体"/>
          <w:lang w:val="zh-CN"/>
        </w:rPr>
        <w:t>日</w:t>
      </w:r>
    </w:p>
    <w:p>
      <w:pPr>
        <w:spacing w:line="380" w:lineRule="exact"/>
        <w:jc w:val="left"/>
        <w:rPr>
          <w:rFonts w:ascii="宋体" w:hAnsi="宋体" w:cs="宋体"/>
          <w:b/>
          <w:sz w:val="24"/>
          <w:lang w:val="zh-CN"/>
        </w:rPr>
      </w:pPr>
    </w:p>
    <w:p>
      <w:pPr>
        <w:spacing w:line="380" w:lineRule="exact"/>
        <w:jc w:val="left"/>
        <w:rPr>
          <w:rFonts w:ascii="宋体" w:hAnsi="宋体" w:cs="宋体"/>
          <w:b/>
          <w:sz w:val="24"/>
          <w:lang w:val="zh-CN"/>
        </w:rPr>
      </w:pPr>
    </w:p>
    <w:p>
      <w:pPr>
        <w:spacing w:line="380" w:lineRule="exact"/>
        <w:jc w:val="left"/>
        <w:rPr>
          <w:rFonts w:ascii="宋体" w:hAnsi="宋体" w:cs="宋体"/>
          <w:b/>
          <w:sz w:val="24"/>
          <w:lang w:val="zh-CN"/>
        </w:rPr>
      </w:pPr>
    </w:p>
    <w:p>
      <w:pPr>
        <w:pStyle w:val="9"/>
        <w:rPr>
          <w:rFonts w:ascii="宋体" w:hAnsi="宋体" w:cs="宋体"/>
          <w:b/>
          <w:lang w:val="zh-CN"/>
        </w:rPr>
      </w:pPr>
    </w:p>
    <w:p>
      <w:pPr>
        <w:pStyle w:val="10"/>
        <w:ind w:firstLine="210"/>
        <w:rPr>
          <w:lang w:val="zh-CN"/>
        </w:rPr>
      </w:pPr>
    </w:p>
    <w:p>
      <w:pPr>
        <w:spacing w:line="380" w:lineRule="exact"/>
        <w:jc w:val="left"/>
        <w:rPr>
          <w:rFonts w:ascii="宋体" w:hAnsi="宋体" w:cs="宋体"/>
          <w:b/>
          <w:sz w:val="24"/>
          <w:lang w:val="zh-CN"/>
        </w:rPr>
      </w:pPr>
    </w:p>
    <w:p>
      <w:pPr>
        <w:pStyle w:val="42"/>
        <w:snapToGrid w:val="0"/>
        <w:spacing w:before="120" w:after="120" w:line="500" w:lineRule="exact"/>
        <w:jc w:val="left"/>
        <w:rPr>
          <w:rFonts w:cs="宋体"/>
          <w:b/>
          <w:sz w:val="24"/>
          <w:szCs w:val="24"/>
          <w:lang w:val="zh-CN"/>
        </w:rPr>
      </w:pPr>
    </w:p>
    <w:p>
      <w:pPr>
        <w:pStyle w:val="42"/>
        <w:snapToGrid w:val="0"/>
        <w:spacing w:before="120" w:after="120" w:line="500" w:lineRule="exact"/>
        <w:jc w:val="left"/>
        <w:rPr>
          <w:rFonts w:cs="宋体"/>
          <w:b/>
          <w:sz w:val="24"/>
          <w:szCs w:val="24"/>
          <w:lang w:val="zh-CN"/>
        </w:rPr>
      </w:pPr>
    </w:p>
    <w:p>
      <w:pPr>
        <w:rPr>
          <w:rFonts w:ascii="宋体" w:hAnsi="宋体"/>
          <w:b/>
          <w:sz w:val="24"/>
        </w:rPr>
      </w:pPr>
      <w:r>
        <w:rPr>
          <w:rFonts w:hint="eastAsia" w:ascii="宋体" w:hAnsi="宋体"/>
          <w:b/>
          <w:sz w:val="24"/>
        </w:rPr>
        <w:t>十</w:t>
      </w:r>
      <w:r>
        <w:rPr>
          <w:rFonts w:hint="eastAsia" w:ascii="宋体" w:hAnsi="宋体"/>
          <w:b/>
          <w:sz w:val="24"/>
          <w:lang w:val="en-US" w:eastAsia="zh-CN"/>
        </w:rPr>
        <w:t>五</w:t>
      </w:r>
      <w:r>
        <w:rPr>
          <w:rFonts w:hint="eastAsia" w:ascii="宋体" w:hAnsi="宋体"/>
          <w:b/>
          <w:sz w:val="24"/>
        </w:rPr>
        <w:t>、技术响应参数偏离表（</w:t>
      </w:r>
      <w:r>
        <w:rPr>
          <w:rFonts w:hint="eastAsia" w:ascii="宋体" w:hAnsi="宋体"/>
          <w:sz w:val="24"/>
        </w:rPr>
        <w:t>应针对第二章采购需求逐项对应填写</w:t>
      </w:r>
      <w:r>
        <w:rPr>
          <w:rFonts w:hint="eastAsia" w:ascii="宋体" w:hAnsi="宋体"/>
          <w:b/>
          <w:sz w:val="24"/>
        </w:rPr>
        <w:t>）：</w:t>
      </w:r>
    </w:p>
    <w:p>
      <w:pPr>
        <w:snapToGrid w:val="0"/>
        <w:spacing w:before="50" w:after="120" w:afterLines="50"/>
        <w:jc w:val="left"/>
        <w:rPr>
          <w:rFonts w:ascii="宋体" w:hAnsi="宋体"/>
        </w:rPr>
      </w:pPr>
    </w:p>
    <w:p>
      <w:pPr>
        <w:snapToGrid w:val="0"/>
        <w:spacing w:before="50" w:after="120" w:afterLines="50"/>
        <w:jc w:val="left"/>
        <w:rPr>
          <w:rFonts w:ascii="宋体" w:hAnsi="宋体"/>
        </w:rPr>
      </w:pPr>
      <w:r>
        <w:rPr>
          <w:rFonts w:hint="eastAsia" w:ascii="宋体" w:hAnsi="宋体"/>
        </w:rPr>
        <w:t>项目名称：</w:t>
      </w:r>
      <w:r>
        <w:rPr>
          <w:rFonts w:ascii="宋体" w:hAnsi="宋体"/>
        </w:rPr>
        <w:t xml:space="preserve">              </w:t>
      </w:r>
      <w:r>
        <w:rPr>
          <w:rFonts w:hint="eastAsia" w:ascii="宋体" w:hAnsi="宋体"/>
        </w:rPr>
        <w:t xml:space="preserve">       项目编号： </w:t>
      </w:r>
      <w:r>
        <w:rPr>
          <w:rFonts w:hint="eastAsia" w:hAnsi="宋体"/>
        </w:rPr>
        <w:t xml:space="preserve">                </w:t>
      </w:r>
    </w:p>
    <w:tbl>
      <w:tblPr>
        <w:tblStyle w:val="29"/>
        <w:tblW w:w="964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9"/>
        <w:gridCol w:w="3746"/>
        <w:gridCol w:w="1843"/>
        <w:gridCol w:w="1134"/>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649" w:type="dxa"/>
            <w:tcBorders>
              <w:top w:val="single" w:color="auto" w:sz="4" w:space="0"/>
              <w:left w:val="single" w:color="auto" w:sz="4" w:space="0"/>
              <w:bottom w:val="single" w:color="auto" w:sz="4" w:space="0"/>
              <w:right w:val="single" w:color="auto" w:sz="4" w:space="0"/>
            </w:tcBorders>
          </w:tcPr>
          <w:p>
            <w:pPr>
              <w:pStyle w:val="14"/>
              <w:snapToGrid w:val="0"/>
              <w:spacing w:before="295" w:after="295"/>
              <w:jc w:val="center"/>
              <w:outlineLvl w:val="0"/>
              <w:rPr>
                <w:rFonts w:hAnsi="宋体"/>
                <w:b/>
                <w:sz w:val="21"/>
                <w:szCs w:val="21"/>
              </w:rPr>
            </w:pPr>
            <w:r>
              <w:rPr>
                <w:rFonts w:hint="eastAsia" w:hAnsi="宋体"/>
                <w:b/>
                <w:sz w:val="21"/>
                <w:szCs w:val="21"/>
              </w:rPr>
              <w:t>序号</w:t>
            </w:r>
          </w:p>
        </w:tc>
        <w:tc>
          <w:tcPr>
            <w:tcW w:w="374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line="120" w:lineRule="exact"/>
              <w:jc w:val="center"/>
              <w:outlineLvl w:val="0"/>
              <w:rPr>
                <w:rFonts w:hAnsi="宋体"/>
                <w:b/>
                <w:sz w:val="21"/>
                <w:szCs w:val="21"/>
              </w:rPr>
            </w:pPr>
            <w:r>
              <w:rPr>
                <w:rFonts w:hAnsi="宋体"/>
                <w:b/>
                <w:sz w:val="21"/>
                <w:szCs w:val="21"/>
              </w:rPr>
              <w:t>名称</w:t>
            </w:r>
          </w:p>
        </w:tc>
        <w:tc>
          <w:tcPr>
            <w:tcW w:w="1843" w:type="dxa"/>
            <w:tcBorders>
              <w:top w:val="single" w:color="auto" w:sz="4" w:space="0"/>
              <w:left w:val="single" w:color="auto" w:sz="4" w:space="0"/>
              <w:bottom w:val="single" w:color="auto" w:sz="4" w:space="0"/>
              <w:right w:val="single" w:color="auto" w:sz="4" w:space="0"/>
            </w:tcBorders>
          </w:tcPr>
          <w:p>
            <w:pPr>
              <w:pStyle w:val="14"/>
              <w:snapToGrid w:val="0"/>
              <w:spacing w:before="120" w:after="120"/>
              <w:jc w:val="center"/>
              <w:outlineLvl w:val="0"/>
              <w:rPr>
                <w:rFonts w:hAnsi="宋体"/>
                <w:b/>
                <w:sz w:val="21"/>
                <w:szCs w:val="21"/>
              </w:rPr>
            </w:pPr>
            <w:r>
              <w:rPr>
                <w:rFonts w:hAnsi="宋体"/>
                <w:b/>
                <w:sz w:val="21"/>
                <w:szCs w:val="21"/>
              </w:rPr>
              <w:t>招标文件要求</w:t>
            </w:r>
          </w:p>
        </w:tc>
        <w:tc>
          <w:tcPr>
            <w:tcW w:w="1134" w:type="dxa"/>
            <w:tcBorders>
              <w:top w:val="single" w:color="auto" w:sz="4" w:space="0"/>
              <w:left w:val="single" w:color="auto" w:sz="4" w:space="0"/>
              <w:bottom w:val="single" w:color="auto" w:sz="4" w:space="0"/>
              <w:right w:val="single" w:color="auto" w:sz="4" w:space="0"/>
            </w:tcBorders>
          </w:tcPr>
          <w:p>
            <w:pPr>
              <w:pStyle w:val="14"/>
              <w:snapToGrid w:val="0"/>
              <w:spacing w:before="295" w:after="295"/>
              <w:jc w:val="center"/>
              <w:outlineLvl w:val="0"/>
              <w:rPr>
                <w:rFonts w:hAnsi="宋体"/>
                <w:b/>
                <w:sz w:val="21"/>
                <w:szCs w:val="21"/>
              </w:rPr>
            </w:pPr>
            <w:r>
              <w:rPr>
                <w:rFonts w:hAnsi="宋体"/>
                <w:b/>
                <w:sz w:val="21"/>
                <w:szCs w:val="21"/>
              </w:rPr>
              <w:t>投标文件响应</w:t>
            </w:r>
          </w:p>
        </w:tc>
        <w:tc>
          <w:tcPr>
            <w:tcW w:w="2268"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b/>
                <w:sz w:val="21"/>
                <w:szCs w:val="21"/>
              </w:rPr>
            </w:pPr>
            <w:r>
              <w:rPr>
                <w:rFonts w:hAnsi="宋体"/>
                <w:b/>
                <w:sz w:val="21"/>
                <w:szCs w:val="21"/>
              </w:rPr>
              <w:t>偏离情况</w:t>
            </w:r>
            <w:r>
              <w:rPr>
                <w:rFonts w:hint="eastAsia" w:hAnsi="宋体"/>
                <w:b/>
                <w:sz w:val="21"/>
                <w:szCs w:val="21"/>
              </w:rPr>
              <w:t>（填：“正偏离”、“负偏离”、“无”、“正、负偏离都有”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p>
        </w:tc>
        <w:tc>
          <w:tcPr>
            <w:tcW w:w="3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p>
        </w:tc>
        <w:tc>
          <w:tcPr>
            <w:tcW w:w="1843"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40" w:lineRule="exact"/>
              <w:outlineLvl w:val="0"/>
              <w:rPr>
                <w:rFonts w:hAnsi="宋体"/>
                <w:sz w:val="21"/>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p>
        </w:tc>
        <w:tc>
          <w:tcPr>
            <w:tcW w:w="3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p>
        </w:tc>
        <w:tc>
          <w:tcPr>
            <w:tcW w:w="1843"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14"/>
              <w:snapToGrid w:val="0"/>
              <w:spacing w:before="120" w:after="120" w:line="260" w:lineRule="exact"/>
              <w:outlineLvl w:val="0"/>
              <w:rPr>
                <w:rFonts w:hAnsi="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1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p>
        </w:tc>
        <w:tc>
          <w:tcPr>
            <w:tcW w:w="3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p>
        </w:tc>
        <w:tc>
          <w:tcPr>
            <w:tcW w:w="1843"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14"/>
              <w:snapToGrid w:val="0"/>
              <w:spacing w:before="120" w:after="120" w:line="260" w:lineRule="exact"/>
              <w:outlineLvl w:val="0"/>
              <w:rPr>
                <w:rFonts w:hAnsi="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1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p>
        </w:tc>
        <w:tc>
          <w:tcPr>
            <w:tcW w:w="3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p>
        </w:tc>
        <w:tc>
          <w:tcPr>
            <w:tcW w:w="1843"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14"/>
              <w:snapToGrid w:val="0"/>
              <w:spacing w:before="120" w:after="120" w:line="260" w:lineRule="exact"/>
              <w:outlineLvl w:val="0"/>
              <w:rPr>
                <w:rFonts w:hAnsi="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1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p>
        </w:tc>
        <w:tc>
          <w:tcPr>
            <w:tcW w:w="3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p>
        </w:tc>
        <w:tc>
          <w:tcPr>
            <w:tcW w:w="1843"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14"/>
              <w:snapToGrid w:val="0"/>
              <w:spacing w:before="120" w:after="120" w:line="260" w:lineRule="exact"/>
              <w:outlineLvl w:val="0"/>
              <w:rPr>
                <w:rFonts w:hAnsi="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1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p>
        </w:tc>
        <w:tc>
          <w:tcPr>
            <w:tcW w:w="3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14"/>
              <w:snapToGrid w:val="0"/>
              <w:spacing w:before="120" w:after="120" w:line="260" w:lineRule="exact"/>
              <w:outlineLvl w:val="0"/>
              <w:rPr>
                <w:rFonts w:hAnsi="宋体"/>
                <w:sz w:val="21"/>
                <w:szCs w:val="21"/>
              </w:rPr>
            </w:pPr>
          </w:p>
        </w:tc>
        <w:tc>
          <w:tcPr>
            <w:tcW w:w="2268" w:type="dxa"/>
            <w:tcBorders>
              <w:left w:val="single" w:color="auto" w:sz="4" w:space="0"/>
              <w:bottom w:val="single" w:color="auto" w:sz="4" w:space="0"/>
              <w:right w:val="single" w:color="auto" w:sz="4" w:space="0"/>
            </w:tcBorders>
            <w:vAlign w:val="center"/>
          </w:tcPr>
          <w:p>
            <w:pPr>
              <w:spacing w:line="120" w:lineRule="exact"/>
              <w:jc w:val="left"/>
              <w:rPr>
                <w:rFonts w:ascii="宋体" w:hAnsi="宋体"/>
                <w:szCs w:val="21"/>
              </w:rPr>
            </w:pPr>
          </w:p>
        </w:tc>
      </w:tr>
    </w:tbl>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rFonts w:hAnsi="宋体" w:cs="宋体"/>
          <w:b/>
          <w:sz w:val="24"/>
        </w:rPr>
      </w:pPr>
    </w:p>
    <w:p>
      <w:pPr>
        <w:pStyle w:val="47"/>
        <w:snapToGrid w:val="0"/>
        <w:spacing w:before="156" w:after="156" w:line="360" w:lineRule="auto"/>
        <w:rPr>
          <w:b/>
          <w:bCs/>
          <w:lang w:val="zh-CN"/>
        </w:rPr>
      </w:pPr>
      <w:r>
        <w:rPr>
          <w:rFonts w:hint="eastAsia" w:hAnsi="宋体" w:cs="宋体"/>
          <w:b/>
          <w:sz w:val="24"/>
        </w:rPr>
        <w:t>十</w:t>
      </w:r>
      <w:r>
        <w:rPr>
          <w:rFonts w:hint="eastAsia" w:hAnsi="宋体" w:cs="宋体"/>
          <w:b/>
          <w:sz w:val="24"/>
          <w:lang w:val="en-US" w:eastAsia="zh-CN"/>
        </w:rPr>
        <w:t>六</w:t>
      </w:r>
      <w:r>
        <w:rPr>
          <w:rFonts w:hint="eastAsia" w:hAnsi="宋体" w:cs="宋体"/>
          <w:b/>
          <w:sz w:val="24"/>
        </w:rPr>
        <w:t>、</w:t>
      </w:r>
      <w:r>
        <w:rPr>
          <w:rFonts w:hint="eastAsia" w:hAnsi="宋体"/>
          <w:b/>
          <w:bCs/>
        </w:rPr>
        <w:t>供应商自评表</w:t>
      </w:r>
    </w:p>
    <w:p>
      <w:pPr>
        <w:pStyle w:val="9"/>
        <w:rPr>
          <w:rFonts w:ascii="宋体"/>
          <w:b/>
          <w:bCs/>
          <w:sz w:val="21"/>
          <w:szCs w:val="21"/>
        </w:rPr>
      </w:pPr>
    </w:p>
    <w:tbl>
      <w:tblPr>
        <w:tblStyle w:val="29"/>
        <w:tblpPr w:leftFromText="180" w:rightFromText="180" w:vertAnchor="text" w:horzAnchor="margin" w:tblpX="-67" w:tblpY="14"/>
        <w:tblW w:w="9024" w:type="dxa"/>
        <w:tblInd w:w="0" w:type="dxa"/>
        <w:tblLayout w:type="fixed"/>
        <w:tblCellMar>
          <w:top w:w="0" w:type="dxa"/>
          <w:left w:w="108" w:type="dxa"/>
          <w:bottom w:w="0" w:type="dxa"/>
          <w:right w:w="108" w:type="dxa"/>
        </w:tblCellMar>
      </w:tblPr>
      <w:tblGrid>
        <w:gridCol w:w="708"/>
        <w:gridCol w:w="1609"/>
        <w:gridCol w:w="5012"/>
        <w:gridCol w:w="795"/>
        <w:gridCol w:w="900"/>
      </w:tblGrid>
      <w:tr>
        <w:tblPrEx>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序号</w:t>
            </w:r>
          </w:p>
        </w:tc>
        <w:tc>
          <w:tcPr>
            <w:tcW w:w="1609" w:type="dxa"/>
            <w:tcBorders>
              <w:top w:val="single" w:color="auto" w:sz="8" w:space="0"/>
              <w:left w:val="nil"/>
              <w:bottom w:val="nil"/>
              <w:right w:val="single" w:color="auto" w:sz="8"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评分</w:t>
            </w:r>
          </w:p>
          <w:p>
            <w:pPr>
              <w:jc w:val="center"/>
              <w:rPr>
                <w:rFonts w:ascii="宋体" w:cs="宋体"/>
                <w:kern w:val="0"/>
                <w:sz w:val="18"/>
                <w:szCs w:val="18"/>
              </w:rPr>
            </w:pPr>
            <w:r>
              <w:rPr>
                <w:rFonts w:hint="eastAsia" w:ascii="宋体" w:hAnsi="宋体" w:cs="宋体"/>
                <w:kern w:val="0"/>
                <w:sz w:val="18"/>
                <w:szCs w:val="18"/>
              </w:rPr>
              <w:t>内容</w:t>
            </w:r>
          </w:p>
        </w:tc>
        <w:tc>
          <w:tcPr>
            <w:tcW w:w="5012" w:type="dxa"/>
            <w:tcBorders>
              <w:top w:val="single" w:color="auto" w:sz="8" w:space="0"/>
              <w:left w:val="nil"/>
              <w:bottom w:val="nil"/>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评分原则</w:t>
            </w:r>
          </w:p>
        </w:tc>
        <w:tc>
          <w:tcPr>
            <w:tcW w:w="79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自评分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投标文件页码</w:t>
            </w: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r>
              <w:rPr>
                <w:rFonts w:ascii="宋体" w:hAnsi="宋体" w:cs="宋体"/>
                <w:kern w:val="0"/>
                <w:sz w:val="18"/>
                <w:szCs w:val="18"/>
              </w:rPr>
              <w:t>1</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商务分</w:t>
            </w: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r>
              <w:rPr>
                <w:rFonts w:ascii="宋体" w:hAnsi="宋体" w:cs="宋体"/>
                <w:kern w:val="0"/>
                <w:sz w:val="18"/>
                <w:szCs w:val="18"/>
              </w:rPr>
              <w:t>2</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技术分</w:t>
            </w:r>
          </w:p>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vAlign w:val="center"/>
          </w:tcPr>
          <w:p>
            <w:pPr>
              <w:spacing w:line="300" w:lineRule="exact"/>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vAlign w:val="center"/>
          </w:tcPr>
          <w:p>
            <w:pPr>
              <w:jc w:val="center"/>
              <w:rPr>
                <w:rFonts w:ascii="宋体" w:cs="宋体"/>
                <w:kern w:val="0"/>
                <w:sz w:val="18"/>
                <w:szCs w:val="18"/>
              </w:rPr>
            </w:pPr>
          </w:p>
        </w:tc>
        <w:tc>
          <w:tcPr>
            <w:tcW w:w="1609"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400" w:lineRule="exact"/>
              <w:ind w:right="25"/>
              <w:jc w:val="lef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bl>
    <w:p>
      <w:pPr>
        <w:pStyle w:val="9"/>
        <w:rPr>
          <w:rFonts w:ascii="宋体"/>
          <w:b/>
          <w:bCs/>
          <w:sz w:val="21"/>
          <w:szCs w:val="21"/>
          <w:lang w:val="zh-CN"/>
        </w:rPr>
      </w:pPr>
    </w:p>
    <w:p>
      <w:pPr>
        <w:pStyle w:val="9"/>
        <w:rPr>
          <w:rFonts w:ascii="宋体"/>
          <w:b/>
        </w:rPr>
      </w:pPr>
    </w:p>
    <w:p>
      <w:pPr>
        <w:spacing w:line="360" w:lineRule="auto"/>
        <w:rPr>
          <w:rFonts w:ascii="宋体" w:cs="宋体"/>
          <w:b/>
          <w:sz w:val="22"/>
          <w:szCs w:val="22"/>
        </w:rPr>
      </w:pPr>
      <w:r>
        <w:rPr>
          <w:rFonts w:hint="eastAsia" w:ascii="宋体" w:hAnsi="宋体" w:cs="宋体"/>
          <w:b/>
          <w:sz w:val="22"/>
          <w:szCs w:val="22"/>
        </w:rPr>
        <w:t>注：根据评标办法制作本表格，评分标准为客观分的投标人需填写得分情况以及证明材料所在页码。为主观分的填写“专家自主评分”。</w:t>
      </w:r>
    </w:p>
    <w:p>
      <w:pPr>
        <w:spacing w:line="360" w:lineRule="auto"/>
        <w:ind w:firstLine="4515" w:firstLineChars="2150"/>
        <w:rPr>
          <w:rFonts w:ascii="宋体" w:hAnsi="宋体"/>
          <w:szCs w:val="21"/>
        </w:rPr>
      </w:pPr>
      <w:r>
        <w:rPr>
          <w:rFonts w:ascii="宋体" w:hAnsi="宋体"/>
          <w:szCs w:val="21"/>
        </w:rPr>
        <w:br w:type="page"/>
      </w:r>
    </w:p>
    <w:p>
      <w:pPr>
        <w:ind w:firstLine="420"/>
        <w:jc w:val="left"/>
        <w:rPr>
          <w:rFonts w:ascii="宋体" w:hAnsi="宋体"/>
          <w:b/>
          <w:bCs/>
          <w:spacing w:val="-4"/>
          <w:szCs w:val="21"/>
        </w:rPr>
      </w:pPr>
    </w:p>
    <w:p>
      <w:pPr>
        <w:ind w:firstLine="420"/>
        <w:jc w:val="left"/>
        <w:rPr>
          <w:rFonts w:ascii="宋体" w:hAnsi="宋体"/>
        </w:rPr>
      </w:pPr>
      <w:r>
        <w:rPr>
          <w:rFonts w:ascii="宋体" w:hAnsi="宋体"/>
          <w:b/>
          <w:bCs/>
          <w:spacing w:val="-4"/>
          <w:szCs w:val="21"/>
        </w:rPr>
        <w:t>十</w:t>
      </w:r>
      <w:r>
        <w:rPr>
          <w:rFonts w:hint="eastAsia" w:ascii="宋体" w:hAnsi="宋体"/>
          <w:b/>
          <w:bCs/>
          <w:spacing w:val="-4"/>
          <w:szCs w:val="21"/>
          <w:lang w:val="en-US" w:eastAsia="zh-CN"/>
        </w:rPr>
        <w:t>七</w:t>
      </w:r>
      <w:bookmarkStart w:id="9" w:name="_GoBack"/>
      <w:bookmarkEnd w:id="9"/>
      <w:r>
        <w:rPr>
          <w:rFonts w:ascii="宋体" w:hAnsi="宋体"/>
          <w:b/>
          <w:bCs/>
          <w:spacing w:val="-4"/>
          <w:szCs w:val="21"/>
        </w:rPr>
        <w:t>、政府采购</w:t>
      </w:r>
      <w:r>
        <w:rPr>
          <w:rFonts w:hint="eastAsia" w:ascii="宋体" w:hAnsi="宋体"/>
          <w:b/>
          <w:bCs/>
          <w:spacing w:val="-4"/>
          <w:szCs w:val="21"/>
        </w:rPr>
        <w:t>投标人</w:t>
      </w:r>
      <w:r>
        <w:rPr>
          <w:rFonts w:ascii="宋体" w:hAnsi="宋体"/>
          <w:b/>
          <w:bCs/>
          <w:spacing w:val="-4"/>
          <w:szCs w:val="21"/>
        </w:rPr>
        <w:t>质疑函范本</w:t>
      </w:r>
    </w:p>
    <w:tbl>
      <w:tblPr>
        <w:tblStyle w:val="29"/>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29"/>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29"/>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宋体" w:hAnsi="宋体"/>
                            <w:sz w:val="28"/>
                            <w:szCs w:val="28"/>
                          </w:rPr>
                        </w:pPr>
                        <w:r>
                          <w:rPr>
                            <w:rFonts w:ascii="宋体" w:hAnsi="宋体"/>
                            <w:b/>
                            <w:kern w:val="0"/>
                            <w:sz w:val="28"/>
                            <w:szCs w:val="28"/>
                          </w:rPr>
                          <w:t>质疑函范本</w:t>
                        </w:r>
                      </w:p>
                      <w:p>
                        <w:pPr>
                          <w:widowControl/>
                          <w:adjustRightInd w:val="0"/>
                          <w:snapToGrid w:val="0"/>
                          <w:spacing w:before="240" w:beforeLines="100" w:afterAutospacing="1"/>
                          <w:ind w:firstLine="420"/>
                          <w:jc w:val="left"/>
                          <w:rPr>
                            <w:rFonts w:ascii="宋体" w:hAnsi="宋体"/>
                            <w:szCs w:val="21"/>
                          </w:rPr>
                        </w:pPr>
                        <w:r>
                          <w:rPr>
                            <w:rFonts w:ascii="宋体" w:hAnsi="宋体"/>
                            <w:bCs/>
                            <w:kern w:val="0"/>
                            <w:szCs w:val="21"/>
                          </w:rPr>
                          <w:t>一、质疑</w:t>
                        </w:r>
                        <w:r>
                          <w:rPr>
                            <w:rFonts w:hint="eastAsia" w:ascii="宋体" w:hAnsi="宋体"/>
                            <w:bCs/>
                            <w:kern w:val="0"/>
                            <w:szCs w:val="21"/>
                          </w:rPr>
                          <w:t>投标人</w:t>
                        </w:r>
                        <w:r>
                          <w:rPr>
                            <w:rFonts w:ascii="宋体" w:hAnsi="宋体"/>
                            <w:bCs/>
                            <w:kern w:val="0"/>
                            <w:szCs w:val="21"/>
                          </w:rPr>
                          <w:t>基本信息</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w:t>
                        </w:r>
                        <w:r>
                          <w:rPr>
                            <w:rFonts w:hint="eastAsia" w:ascii="宋体" w:hAnsi="宋体"/>
                            <w:kern w:val="0"/>
                            <w:szCs w:val="21"/>
                          </w:rPr>
                          <w:t>投标人</w:t>
                        </w: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地址：邮编：</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联系人：联系电话：</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授权代表：联系电话：</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 邮编：</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二、质疑项目基本情况</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质疑项目的名称：</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质疑项目的编号：包号：</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采购人名称：</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采购文件获取日期：</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三、质疑事项具体内容</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质疑事项1：</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事实依据：</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法律依据：</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质疑事项2</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四、与质疑事项相关的质疑请求</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请求：</w:t>
                        </w:r>
                      </w:p>
                      <w:p>
                        <w:pPr>
                          <w:widowControl/>
                          <w:spacing w:beforeAutospacing="1" w:afterAutospacing="1"/>
                          <w:ind w:firstLine="420"/>
                          <w:jc w:val="left"/>
                          <w:rPr>
                            <w:rFonts w:ascii="宋体" w:hAnsi="宋体"/>
                            <w:szCs w:val="21"/>
                          </w:rPr>
                        </w:pPr>
                        <w:r>
                          <w:rPr>
                            <w:rFonts w:ascii="宋体" w:hAnsi="宋体"/>
                            <w:kern w:val="0"/>
                            <w:szCs w:val="21"/>
                          </w:rPr>
                          <w:t xml:space="preserve">签字(签章)：                   公章：                      </w:t>
                        </w:r>
                      </w:p>
                      <w:p>
                        <w:pPr>
                          <w:widowControl/>
                          <w:spacing w:beforeAutospacing="1" w:afterAutospacing="1"/>
                          <w:ind w:firstLine="420"/>
                          <w:jc w:val="left"/>
                          <w:rPr>
                            <w:rFonts w:ascii="宋体" w:hAnsi="宋体"/>
                            <w:szCs w:val="21"/>
                          </w:rPr>
                        </w:pPr>
                        <w:r>
                          <w:rPr>
                            <w:rFonts w:ascii="宋体" w:hAnsi="宋体"/>
                            <w:kern w:val="0"/>
                            <w:szCs w:val="21"/>
                          </w:rPr>
                          <w:t xml:space="preserve">日期：   </w:t>
                        </w:r>
                      </w:p>
                      <w:p>
                        <w:pPr>
                          <w:widowControl/>
                          <w:spacing w:beforeAutospacing="1" w:afterAutospacing="1"/>
                          <w:ind w:firstLine="422"/>
                          <w:jc w:val="left"/>
                          <w:rPr>
                            <w:rFonts w:ascii="宋体" w:hAnsi="宋体"/>
                            <w:szCs w:val="21"/>
                          </w:rPr>
                        </w:pPr>
                        <w:r>
                          <w:rPr>
                            <w:rFonts w:ascii="宋体" w:hAnsi="宋体"/>
                            <w:b/>
                            <w:kern w:val="0"/>
                            <w:szCs w:val="21"/>
                          </w:rPr>
                          <w:t>质疑函制作说明：</w:t>
                        </w:r>
                      </w:p>
                      <w:p>
                        <w:pPr>
                          <w:widowControl/>
                          <w:spacing w:beforeAutospacing="1" w:afterAutospacing="1"/>
                          <w:ind w:firstLine="420"/>
                          <w:jc w:val="left"/>
                          <w:rPr>
                            <w:rFonts w:ascii="宋体" w:hAnsi="宋体"/>
                            <w:szCs w:val="21"/>
                          </w:rPr>
                        </w:pPr>
                        <w:r>
                          <w:rPr>
                            <w:rFonts w:ascii="宋体" w:hAnsi="宋体"/>
                            <w:kern w:val="0"/>
                            <w:szCs w:val="21"/>
                          </w:rPr>
                          <w:t>1.</w:t>
                        </w:r>
                        <w:r>
                          <w:rPr>
                            <w:rFonts w:hint="eastAsia" w:ascii="宋体" w:hAnsi="宋体"/>
                            <w:kern w:val="0"/>
                            <w:szCs w:val="21"/>
                          </w:rPr>
                          <w:t>投标人</w:t>
                        </w:r>
                        <w:r>
                          <w:rPr>
                            <w:rFonts w:ascii="宋体" w:hAnsi="宋体"/>
                            <w:kern w:val="0"/>
                            <w:szCs w:val="21"/>
                          </w:rPr>
                          <w:t>提出质疑时，应提交质疑函和必要的证明材料。</w:t>
                        </w:r>
                      </w:p>
                      <w:p>
                        <w:pPr>
                          <w:widowControl/>
                          <w:spacing w:beforeAutospacing="1" w:afterAutospacing="1"/>
                          <w:ind w:firstLine="420"/>
                          <w:jc w:val="left"/>
                          <w:rPr>
                            <w:rFonts w:ascii="宋体" w:hAnsi="宋体"/>
                            <w:szCs w:val="21"/>
                          </w:rPr>
                        </w:pPr>
                        <w:r>
                          <w:rPr>
                            <w:rFonts w:ascii="宋体" w:hAnsi="宋体"/>
                            <w:kern w:val="0"/>
                            <w:szCs w:val="21"/>
                          </w:rPr>
                          <w:t>2.质疑</w:t>
                        </w:r>
                        <w:r>
                          <w:rPr>
                            <w:rFonts w:hint="eastAsia" w:ascii="宋体" w:hAnsi="宋体"/>
                            <w:kern w:val="0"/>
                            <w:szCs w:val="21"/>
                          </w:rPr>
                          <w:t>投标人</w:t>
                        </w:r>
                        <w:r>
                          <w:rPr>
                            <w:rFonts w:ascii="宋体" w:hAnsi="宋体"/>
                            <w:kern w:val="0"/>
                            <w:szCs w:val="21"/>
                          </w:rPr>
                          <w:t>若委托代理人进行质疑的，质疑函应按要求列明“授权代表”的有关内容，并在附件中提交由质疑</w:t>
                        </w:r>
                        <w:r>
                          <w:rPr>
                            <w:rFonts w:hint="eastAsia" w:ascii="宋体" w:hAnsi="宋体"/>
                            <w:kern w:val="0"/>
                            <w:szCs w:val="21"/>
                          </w:rPr>
                          <w:t>投标人</w:t>
                        </w:r>
                        <w:r>
                          <w:rPr>
                            <w:rFonts w:ascii="宋体" w:hAnsi="宋体"/>
                            <w:kern w:val="0"/>
                            <w:szCs w:val="21"/>
                          </w:rPr>
                          <w:t>签署的授权委托书。授权委托书应载明代理人的姓名或者名称、代理事项、具体权限、期限和相关事项。</w:t>
                        </w:r>
                      </w:p>
                      <w:p>
                        <w:pPr>
                          <w:widowControl/>
                          <w:spacing w:beforeAutospacing="1" w:afterAutospacing="1"/>
                          <w:ind w:firstLine="420"/>
                          <w:jc w:val="left"/>
                          <w:rPr>
                            <w:rFonts w:ascii="宋体" w:hAnsi="宋体"/>
                            <w:szCs w:val="21"/>
                          </w:rPr>
                        </w:pPr>
                        <w:r>
                          <w:rPr>
                            <w:rFonts w:ascii="宋体" w:hAnsi="宋体"/>
                            <w:kern w:val="0"/>
                            <w:szCs w:val="21"/>
                          </w:rPr>
                          <w:t>3.质疑</w:t>
                        </w:r>
                        <w:r>
                          <w:rPr>
                            <w:rFonts w:hint="eastAsia" w:ascii="宋体" w:hAnsi="宋体"/>
                            <w:kern w:val="0"/>
                            <w:szCs w:val="21"/>
                          </w:rPr>
                          <w:t>投标人</w:t>
                        </w:r>
                        <w:r>
                          <w:rPr>
                            <w:rFonts w:ascii="宋体" w:hAnsi="宋体"/>
                            <w:kern w:val="0"/>
                            <w:szCs w:val="21"/>
                          </w:rPr>
                          <w:t>若对项目的某一分包进行质疑，质疑函中应列明具体分包号。</w:t>
                        </w:r>
                      </w:p>
                      <w:p>
                        <w:pPr>
                          <w:widowControl/>
                          <w:spacing w:beforeAutospacing="1" w:afterAutospacing="1"/>
                          <w:ind w:firstLine="420"/>
                          <w:jc w:val="left"/>
                          <w:rPr>
                            <w:rFonts w:ascii="宋体" w:hAnsi="宋体"/>
                            <w:szCs w:val="21"/>
                          </w:rPr>
                        </w:pPr>
                        <w:r>
                          <w:rPr>
                            <w:rFonts w:ascii="宋体" w:hAnsi="宋体"/>
                            <w:kern w:val="0"/>
                            <w:szCs w:val="21"/>
                          </w:rPr>
                          <w:t>4.质疑函的质疑事项应具体、明确，并有必要的事实依据和法律依据。</w:t>
                        </w:r>
                      </w:p>
                      <w:p>
                        <w:pPr>
                          <w:widowControl/>
                          <w:spacing w:beforeAutospacing="1" w:afterAutospacing="1"/>
                          <w:ind w:firstLine="420"/>
                          <w:jc w:val="left"/>
                          <w:rPr>
                            <w:rFonts w:ascii="宋体" w:hAnsi="宋体"/>
                            <w:szCs w:val="21"/>
                          </w:rPr>
                        </w:pPr>
                        <w:r>
                          <w:rPr>
                            <w:rFonts w:ascii="宋体" w:hAnsi="宋体"/>
                            <w:kern w:val="0"/>
                            <w:szCs w:val="21"/>
                          </w:rPr>
                          <w:t>5.质疑函的质疑请求应与质疑事项相关。</w:t>
                        </w:r>
                      </w:p>
                      <w:p>
                        <w:pPr>
                          <w:widowControl/>
                          <w:spacing w:before="100" w:beforeAutospacing="1" w:after="100" w:afterAutospacing="1"/>
                          <w:ind w:firstLine="420"/>
                          <w:jc w:val="left"/>
                          <w:rPr>
                            <w:rFonts w:ascii="宋体" w:hAnsi="宋体"/>
                          </w:rPr>
                        </w:pPr>
                        <w:r>
                          <w:rPr>
                            <w:rFonts w:ascii="宋体" w:hAnsi="宋体"/>
                            <w:kern w:val="0"/>
                            <w:szCs w:val="21"/>
                          </w:rPr>
                          <w:t>6.质疑</w:t>
                        </w:r>
                        <w:r>
                          <w:rPr>
                            <w:rFonts w:hint="eastAsia" w:ascii="宋体" w:hAnsi="宋体"/>
                            <w:kern w:val="0"/>
                            <w:szCs w:val="21"/>
                          </w:rPr>
                          <w:t>投标人</w:t>
                        </w:r>
                        <w:r>
                          <w:rPr>
                            <w:rFonts w:ascii="宋体" w:hAnsi="宋体"/>
                            <w:kern w:val="0"/>
                            <w:szCs w:val="21"/>
                          </w:rPr>
                          <w:t>为自然人的，质疑函应由本人签字；质疑</w:t>
                        </w:r>
                        <w:r>
                          <w:rPr>
                            <w:rFonts w:hint="eastAsia" w:ascii="宋体" w:hAnsi="宋体"/>
                            <w:kern w:val="0"/>
                            <w:szCs w:val="21"/>
                          </w:rPr>
                          <w:t>投标人</w:t>
                        </w:r>
                        <w:r>
                          <w:rPr>
                            <w:rFonts w:ascii="宋体" w:hAnsi="宋体"/>
                            <w:kern w:val="0"/>
                            <w:szCs w:val="21"/>
                          </w:rPr>
                          <w:t>为法人或者其他组织的，质疑函应由法定代表人、主要负责人，或者其授权代表签字或者盖章，并加盖公章。</w:t>
                        </w:r>
                      </w:p>
                    </w:tc>
                  </w:tr>
                </w:tbl>
                <w:p>
                  <w:pPr>
                    <w:ind w:firstLine="360"/>
                    <w:jc w:val="center"/>
                    <w:rPr>
                      <w:rFonts w:ascii="宋体" w:hAnsi="宋体"/>
                      <w:sz w:val="18"/>
                      <w:szCs w:val="18"/>
                    </w:rPr>
                  </w:pPr>
                </w:p>
              </w:tc>
            </w:tr>
          </w:tbl>
          <w:p>
            <w:pPr>
              <w:spacing w:line="432" w:lineRule="auto"/>
              <w:ind w:firstLine="360"/>
              <w:jc w:val="center"/>
              <w:rPr>
                <w:rFonts w:ascii="宋体" w:hAnsi="宋体"/>
                <w:sz w:val="18"/>
                <w:szCs w:val="18"/>
              </w:rPr>
            </w:pPr>
          </w:p>
        </w:tc>
      </w:tr>
    </w:tbl>
    <w:p>
      <w:pPr>
        <w:pStyle w:val="9"/>
        <w:spacing w:line="360" w:lineRule="auto"/>
        <w:rPr>
          <w:rFonts w:ascii="宋体" w:hAnsi="宋体"/>
          <w:sz w:val="21"/>
          <w:szCs w:val="21"/>
        </w:rPr>
      </w:pPr>
    </w:p>
    <w:p>
      <w:pPr>
        <w:spacing w:before="120" w:line="360" w:lineRule="auto"/>
        <w:jc w:val="center"/>
        <w:rPr>
          <w:rFonts w:ascii="宋体" w:hAnsi="宋体"/>
          <w:b/>
          <w:bCs/>
          <w:sz w:val="32"/>
          <w:szCs w:val="32"/>
        </w:rPr>
      </w:pPr>
    </w:p>
    <w:p>
      <w:pPr>
        <w:pStyle w:val="9"/>
        <w:rPr>
          <w:rFonts w:ascii="宋体" w:hAnsi="宋体"/>
        </w:rPr>
      </w:pPr>
    </w:p>
    <w:p>
      <w:pPr>
        <w:rPr>
          <w:rFonts w:ascii="宋体" w:hAnsi="宋体"/>
        </w:rPr>
      </w:pPr>
    </w:p>
    <w:p>
      <w:pPr>
        <w:pStyle w:val="9"/>
        <w:rPr>
          <w:rFonts w:hAnsi="宋体"/>
          <w:sz w:val="21"/>
        </w:rPr>
      </w:pPr>
    </w:p>
    <w:p>
      <w:pPr>
        <w:pStyle w:val="9"/>
        <w:rPr>
          <w:rFonts w:hAnsi="宋体"/>
          <w:sz w:val="21"/>
        </w:rPr>
      </w:pPr>
    </w:p>
    <w:sectPr>
      <w:headerReference r:id="rId8" w:type="default"/>
      <w:footerReference r:id="rId9" w:type="default"/>
      <w:type w:val="continuous"/>
      <w:pgSz w:w="11906" w:h="16838"/>
      <w:pgMar w:top="1304" w:right="1531" w:bottom="1304" w:left="1531" w:header="1304" w:footer="1304"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entury Gothic">
    <w:altName w:val="NumberOnly"/>
    <w:panose1 w:val="020B050202020202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Helvetica">
    <w:panose1 w:val="020B0504020202030204"/>
    <w:charset w:val="00"/>
    <w:family w:val="swiss"/>
    <w:pitch w:val="default"/>
    <w:sig w:usb0="00000007" w:usb1="00000000" w:usb2="00000000" w:usb3="00000000" w:csb0="00000093"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770" cy="154940"/>
              <wp:effectExtent l="0" t="0" r="0" b="0"/>
              <wp:wrapNone/>
              <wp:docPr id="4"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2pt;width:5.1pt;mso-position-horizontal:center;mso-position-horizontal-relative:margin;mso-wrap-style:none;z-index:251662336;mso-width-relative:page;mso-height-relative:page;" filled="f" stroked="f" coordsize="21600,21600" o:gfxdata="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Tf4a0AAAAAMBAAAPAAAAAAAAAAEAIAAAACIAAABkcnMvZG93bnJldi54bWxQSwEC&#10;FAAUAAAACACHTuJA5cYdMvwBAAADBAAADgAAAAAAAAABACAAAAAfAQAAZHJzL2Uyb0RvYy54bWxQ&#10;SwUGAAAAAAYABgBZAQAAj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8905" cy="154940"/>
              <wp:effectExtent l="0" t="0" r="0" b="0"/>
              <wp:wrapNone/>
              <wp:docPr id="3"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wps:spPr>
                    <wps:txbx>
                      <w:txbxContent>
                        <w:p>
                          <w:pPr>
                            <w:pStyle w:val="17"/>
                          </w:pPr>
                          <w:r>
                            <w:fldChar w:fldCharType="begin"/>
                          </w:r>
                          <w:r>
                            <w:instrText xml:space="preserve"> PAGE  \* MERGEFORMAT </w:instrText>
                          </w:r>
                          <w:r>
                            <w:fldChar w:fldCharType="separate"/>
                          </w:r>
                          <w:r>
                            <w:t>27</w:t>
                          </w:r>
                          <w: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2.2pt;width:10.15pt;mso-position-horizontal:center;mso-position-horizontal-relative:margin;mso-wrap-style:none;z-index:251659264;mso-width-relative:page;mso-height-relative:page;" filled="f" stroked="f" coordsize="21600,21600" o:gfxdata="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U9etHRAAAAAwEAAA8AAAAAAAAAAQAgAAAAIgAAAGRycy9kb3ducmV2LnhtbFBL&#10;AQIUABQAAAAIAIdO4kCZn/qL/QEAAAQEAAAOAAAAAAAAAAEAIAAAACABAABkcnMvZTJvRG9jLnht&#10;bFBLBQYAAAAABgAGAFkBAACP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8905" cy="154940"/>
              <wp:effectExtent l="0" t="0" r="0" b="0"/>
              <wp:wrapNone/>
              <wp:docPr id="2"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wps:spPr>
                    <wps:txbx>
                      <w:txbxContent>
                        <w:p>
                          <w:pPr>
                            <w:pStyle w:val="17"/>
                          </w:pPr>
                          <w:r>
                            <w:fldChar w:fldCharType="begin"/>
                          </w:r>
                          <w:r>
                            <w:instrText xml:space="preserve"> PAGE  \* MERGEFORMAT </w:instrText>
                          </w:r>
                          <w:r>
                            <w:fldChar w:fldCharType="separate"/>
                          </w:r>
                          <w:r>
                            <w:t>34</w:t>
                          </w:r>
                          <w:r>
                            <w:fldChar w:fldCharType="end"/>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2.2pt;width:10.15pt;mso-position-horizontal:center;mso-position-horizontal-relative:margin;mso-wrap-style:none;z-index:251660288;mso-width-relative:page;mso-height-relative:page;" filled="f" stroked="f" coordsize="21600,21600" o:gfxdata="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U9etHRAAAAAwEAAA8AAAAAAAAAAQAgAAAAIgAAAGRycy9kb3ducmV2LnhtbFBL&#10;AQIUABQAAAAIAIdO4kDIhu/9/QEAAAQEAAAOAAAAAAAAAAEAIAAAACABAABkcnMvZTJvRG9jLnht&#10;bFBLBQYAAAAABgAGAFkBAACP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8905" cy="154940"/>
              <wp:effectExtent l="0" t="0" r="0" b="0"/>
              <wp:wrapNone/>
              <wp:docPr id="1"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wps:spPr>
                    <wps:txbx>
                      <w:txbxContent>
                        <w:p>
                          <w:pPr>
                            <w:pStyle w:val="17"/>
                          </w:pPr>
                          <w:r>
                            <w:fldChar w:fldCharType="begin"/>
                          </w:r>
                          <w:r>
                            <w:instrText xml:space="preserve"> PAGE  \* MERGEFORMAT </w:instrText>
                          </w:r>
                          <w:r>
                            <w:fldChar w:fldCharType="separate"/>
                          </w:r>
                          <w:r>
                            <w:t>60</w:t>
                          </w:r>
                          <w:r>
                            <w:fldChar w:fldCharType="end"/>
                          </w:r>
                        </w:p>
                      </w:txbxContent>
                    </wps:txbx>
                    <wps:bodyPr rot="0" vert="horz" wrap="none" lIns="0" tIns="0" rIns="0" bIns="0" anchor="t" anchorCtr="0" upright="1">
                      <a:spAutoFit/>
                    </wps:bodyPr>
                  </wps:wsp>
                </a:graphicData>
              </a:graphic>
            </wp:anchor>
          </w:drawing>
        </mc:Choice>
        <mc:Fallback>
          <w:pict>
            <v:shape id="Text Box 1028" o:spid="_x0000_s1026" o:spt="202" type="#_x0000_t202" style="position:absolute;left:0pt;margin-top:0pt;height:12.2pt;width:10.15pt;mso-position-horizontal:center;mso-position-horizontal-relative:margin;mso-wrap-style:none;z-index:251661312;mso-width-relative:page;mso-height-relative:page;" filled="f" stroked="f" coordsize="21600,21600" o:gfxdata="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T160dEAAAADAQAADwAAAAAAAAABACAAAAAiAAAAZHJzL2Rvd25yZXYueG1sUEsB&#10;AhQAFAAAAAgAh07iQNefmXr8AQAABAQAAA4AAAAAAAAAAQAgAAAAIAEAAGRycy9lMm9Eb2MueG1s&#10;UEsFBgAAAAAGAAYAWQEAAI4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rPr>
        <w:rFonts w:cs="Times New Roman"/>
      </w:rPr>
    </w:lvl>
  </w:abstractNum>
  <w:abstractNum w:abstractNumId="1">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65"/>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2">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0F"/>
    <w:multiLevelType w:val="multilevel"/>
    <w:tmpl w:val="0000000F"/>
    <w:lvl w:ilvl="0" w:tentative="0">
      <w:start w:val="1"/>
      <w:numFmt w:val="japaneseCounting"/>
      <w:lvlText w:val="第%1章"/>
      <w:lvlJc w:val="left"/>
      <w:pPr>
        <w:ind w:left="1080" w:hanging="1080"/>
      </w:pPr>
      <w:rPr>
        <w:rFonts w:hint="eastAsia" w:cs="Times New Roman"/>
        <w:sz w:val="36"/>
        <w:szCs w:val="36"/>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12"/>
    <w:multiLevelType w:val="singleLevel"/>
    <w:tmpl w:val="00000012"/>
    <w:lvl w:ilvl="0" w:tentative="0">
      <w:start w:val="1"/>
      <w:numFmt w:val="decimal"/>
      <w:pStyle w:val="5"/>
      <w:lvlText w:val="%1."/>
      <w:lvlJc w:val="left"/>
      <w:pPr>
        <w:tabs>
          <w:tab w:val="left" w:pos="360"/>
        </w:tabs>
        <w:ind w:left="360" w:hanging="360"/>
      </w:pPr>
    </w:lvl>
  </w:abstractNum>
  <w:abstractNum w:abstractNumId="5">
    <w:nsid w:val="00000013"/>
    <w:multiLevelType w:val="singleLevel"/>
    <w:tmpl w:val="00000013"/>
    <w:lvl w:ilvl="0" w:tentative="0">
      <w:start w:val="6"/>
      <w:numFmt w:val="chineseCounting"/>
      <w:suff w:val="space"/>
      <w:lvlText w:val="第%1章"/>
      <w:lvlJc w:val="left"/>
      <w:rPr>
        <w:rFonts w:cs="Times New Roman"/>
      </w:rPr>
    </w:lvl>
  </w:abstractNum>
  <w:abstractNum w:abstractNumId="6">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7">
    <w:nsid w:val="0C34DE15"/>
    <w:multiLevelType w:val="singleLevel"/>
    <w:tmpl w:val="0C34DE15"/>
    <w:lvl w:ilvl="0" w:tentative="0">
      <w:start w:val="1"/>
      <w:numFmt w:val="decimal"/>
      <w:lvlText w:val="%1."/>
      <w:lvlJc w:val="left"/>
      <w:pPr>
        <w:tabs>
          <w:tab w:val="left" w:pos="312"/>
        </w:tabs>
      </w:pPr>
    </w:lvl>
  </w:abstractNum>
  <w:abstractNum w:abstractNumId="8">
    <w:nsid w:val="0C49488A"/>
    <w:multiLevelType w:val="multilevel"/>
    <w:tmpl w:val="0C49488A"/>
    <w:lvl w:ilvl="0" w:tentative="0">
      <w:start w:val="1"/>
      <w:numFmt w:val="chineseCountingThousand"/>
      <w:pStyle w:val="78"/>
      <w:suff w:val="nothing"/>
      <w:lvlText w:val="%1、"/>
      <w:lvlJc w:val="left"/>
      <w:pPr>
        <w:tabs>
          <w:tab w:val="left" w:pos="0"/>
        </w:tabs>
        <w:ind w:left="0" w:firstLine="0"/>
      </w:pPr>
      <w:rPr>
        <w:rFonts w:cs="Times New Roman"/>
      </w:rPr>
    </w:lvl>
    <w:lvl w:ilvl="1" w:tentative="0">
      <w:start w:val="1"/>
      <w:numFmt w:val="chineseCountingThousand"/>
      <w:suff w:val="nothing"/>
      <w:lvlText w:val="（%2）"/>
      <w:lvlJc w:val="left"/>
      <w:pPr>
        <w:tabs>
          <w:tab w:val="left" w:pos="0"/>
        </w:tabs>
        <w:ind w:left="0" w:firstLine="0"/>
      </w:pPr>
      <w:rPr>
        <w:rFonts w:cs="Times New Roman"/>
      </w:rPr>
    </w:lvl>
    <w:lvl w:ilvl="2" w:tentative="0">
      <w:start w:val="1"/>
      <w:numFmt w:val="decimal"/>
      <w:suff w:val="nothing"/>
      <w:lvlText w:val="%3、"/>
      <w:lvlJc w:val="left"/>
      <w:pPr>
        <w:tabs>
          <w:tab w:val="left" w:pos="0"/>
        </w:tabs>
        <w:ind w:left="0" w:firstLine="0"/>
      </w:pPr>
      <w:rPr>
        <w:rFonts w:cs="Times New Roman"/>
      </w:rPr>
    </w:lvl>
    <w:lvl w:ilvl="3" w:tentative="0">
      <w:start w:val="1"/>
      <w:numFmt w:val="decimal"/>
      <w:suff w:val="nothing"/>
      <w:lvlText w:val="（%4）"/>
      <w:lvlJc w:val="left"/>
      <w:pPr>
        <w:tabs>
          <w:tab w:val="left" w:pos="0"/>
        </w:tabs>
        <w:ind w:left="0" w:firstLine="0"/>
      </w:pPr>
      <w:rPr>
        <w:rFonts w:cs="Times New Roman"/>
      </w:rPr>
    </w:lvl>
    <w:lvl w:ilvl="4" w:tentative="0">
      <w:start w:val="1"/>
      <w:numFmt w:val="decimal"/>
      <w:suff w:val="nothing"/>
      <w:lvlText w:val="%5）"/>
      <w:lvlJc w:val="left"/>
      <w:pPr>
        <w:tabs>
          <w:tab w:val="left" w:pos="0"/>
        </w:tabs>
        <w:ind w:left="0" w:firstLine="0"/>
      </w:pPr>
      <w:rPr>
        <w:rFonts w:cs="Times New Roman"/>
      </w:rPr>
    </w:lvl>
    <w:lvl w:ilvl="5" w:tentative="0">
      <w:start w:val="1"/>
      <w:numFmt w:val="decimal"/>
      <w:lvlText w:val="%1.%2.%3.%4.%5.%6"/>
      <w:lvlJc w:val="left"/>
      <w:pPr>
        <w:tabs>
          <w:tab w:val="left" w:pos="0"/>
        </w:tabs>
        <w:ind w:left="3260" w:hanging="1135"/>
      </w:pPr>
      <w:rPr>
        <w:rFonts w:cs="Times New Roman"/>
      </w:rPr>
    </w:lvl>
    <w:lvl w:ilvl="6" w:tentative="0">
      <w:start w:val="1"/>
      <w:numFmt w:val="decimal"/>
      <w:lvlText w:val="%1.%2.%3.%4.%5.%6.%7"/>
      <w:lvlJc w:val="left"/>
      <w:pPr>
        <w:tabs>
          <w:tab w:val="left" w:pos="0"/>
        </w:tabs>
        <w:ind w:left="3827" w:hanging="1276"/>
      </w:pPr>
      <w:rPr>
        <w:rFonts w:cs="Times New Roman"/>
      </w:rPr>
    </w:lvl>
    <w:lvl w:ilvl="7" w:tentative="0">
      <w:start w:val="1"/>
      <w:numFmt w:val="decimal"/>
      <w:lvlText w:val="%1.%2.%3.%4.%5.%6.%7.%8"/>
      <w:lvlJc w:val="left"/>
      <w:pPr>
        <w:tabs>
          <w:tab w:val="left" w:pos="0"/>
        </w:tabs>
        <w:ind w:left="4394" w:hanging="1418"/>
      </w:pPr>
      <w:rPr>
        <w:rFonts w:cs="Times New Roman"/>
      </w:rPr>
    </w:lvl>
    <w:lvl w:ilvl="8" w:tentative="0">
      <w:start w:val="1"/>
      <w:numFmt w:val="decimal"/>
      <w:lvlText w:val="%1.%2.%3.%4.%5.%6.%7.%8.%9"/>
      <w:lvlJc w:val="left"/>
      <w:pPr>
        <w:tabs>
          <w:tab w:val="left" w:pos="0"/>
        </w:tabs>
        <w:ind w:left="5102" w:hanging="1700"/>
      </w:pPr>
      <w:rPr>
        <w:rFonts w:cs="Times New Roman"/>
      </w:rPr>
    </w:lvl>
  </w:abstractNum>
  <w:abstractNum w:abstractNumId="9">
    <w:nsid w:val="225A8346"/>
    <w:multiLevelType w:val="singleLevel"/>
    <w:tmpl w:val="225A8346"/>
    <w:lvl w:ilvl="0" w:tentative="0">
      <w:start w:val="1"/>
      <w:numFmt w:val="decimal"/>
      <w:lvlText w:val="%1."/>
      <w:lvlJc w:val="left"/>
      <w:pPr>
        <w:tabs>
          <w:tab w:val="left" w:pos="312"/>
        </w:tabs>
      </w:pPr>
    </w:lvl>
  </w:abstractNum>
  <w:abstractNum w:abstractNumId="10">
    <w:nsid w:val="4DD4552D"/>
    <w:multiLevelType w:val="singleLevel"/>
    <w:tmpl w:val="4DD4552D"/>
    <w:lvl w:ilvl="0" w:tentative="0">
      <w:start w:val="1"/>
      <w:numFmt w:val="decimal"/>
      <w:lvlText w:val="%1."/>
      <w:lvlJc w:val="left"/>
      <w:pPr>
        <w:tabs>
          <w:tab w:val="left" w:pos="312"/>
        </w:tabs>
      </w:pPr>
    </w:lvl>
  </w:abstractNum>
  <w:abstractNum w:abstractNumId="11">
    <w:nsid w:val="56A6B9C4"/>
    <w:multiLevelType w:val="singleLevel"/>
    <w:tmpl w:val="56A6B9C4"/>
    <w:lvl w:ilvl="0" w:tentative="0">
      <w:start w:val="4"/>
      <w:numFmt w:val="chineseCounting"/>
      <w:suff w:val="nothing"/>
      <w:lvlText w:val="%1、"/>
      <w:lvlJc w:val="left"/>
      <w:rPr>
        <w:rFonts w:hint="eastAsia"/>
      </w:rPr>
    </w:lvl>
  </w:abstractNum>
  <w:abstractNum w:abstractNumId="12">
    <w:nsid w:val="7C246926"/>
    <w:multiLevelType w:val="singleLevel"/>
    <w:tmpl w:val="7C246926"/>
    <w:lvl w:ilvl="0" w:tentative="0">
      <w:start w:val="2"/>
      <w:numFmt w:val="decimal"/>
      <w:suff w:val="nothing"/>
      <w:lvlText w:val="%1、"/>
      <w:lvlJc w:val="left"/>
    </w:lvl>
  </w:abstractNum>
  <w:num w:numId="1">
    <w:abstractNumId w:val="4"/>
  </w:num>
  <w:num w:numId="2">
    <w:abstractNumId w:val="1"/>
  </w:num>
  <w:num w:numId="3">
    <w:abstractNumId w:val="8"/>
  </w:num>
  <w:num w:numId="4">
    <w:abstractNumId w:val="3"/>
  </w:num>
  <w:num w:numId="5">
    <w:abstractNumId w:val="2"/>
  </w:num>
  <w:num w:numId="6">
    <w:abstractNumId w:val="6"/>
  </w:num>
  <w:num w:numId="7">
    <w:abstractNumId w:val="0"/>
  </w:num>
  <w:num w:numId="8">
    <w:abstractNumId w:val="12"/>
  </w:num>
  <w:num w:numId="9">
    <w:abstractNumId w:val="9"/>
  </w:num>
  <w:num w:numId="10">
    <w:abstractNumId w:val="1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210"/>
  <w:drawingGridVerticalSpacing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jc4YzBiYWRlMzMwYTYyYmViZDZmMzhjMTEzMWUifQ=="/>
  </w:docVars>
  <w:rsids>
    <w:rsidRoot w:val="00AB5FE3"/>
    <w:rsid w:val="00005C77"/>
    <w:rsid w:val="000061DA"/>
    <w:rsid w:val="00010A30"/>
    <w:rsid w:val="000122EE"/>
    <w:rsid w:val="000127AA"/>
    <w:rsid w:val="00026DE8"/>
    <w:rsid w:val="00032854"/>
    <w:rsid w:val="000518BA"/>
    <w:rsid w:val="00083318"/>
    <w:rsid w:val="00086BDF"/>
    <w:rsid w:val="00087C17"/>
    <w:rsid w:val="000A3669"/>
    <w:rsid w:val="000A3E6D"/>
    <w:rsid w:val="000A6518"/>
    <w:rsid w:val="000B28FA"/>
    <w:rsid w:val="000E2FB6"/>
    <w:rsid w:val="00114D92"/>
    <w:rsid w:val="0011704E"/>
    <w:rsid w:val="001201A3"/>
    <w:rsid w:val="00142058"/>
    <w:rsid w:val="00142705"/>
    <w:rsid w:val="00150138"/>
    <w:rsid w:val="00170331"/>
    <w:rsid w:val="001E0BF2"/>
    <w:rsid w:val="00221EB0"/>
    <w:rsid w:val="00225A08"/>
    <w:rsid w:val="00231FA0"/>
    <w:rsid w:val="00257E9A"/>
    <w:rsid w:val="002602E3"/>
    <w:rsid w:val="00276989"/>
    <w:rsid w:val="00281DC6"/>
    <w:rsid w:val="002863E6"/>
    <w:rsid w:val="002933E3"/>
    <w:rsid w:val="002A4192"/>
    <w:rsid w:val="002A64CB"/>
    <w:rsid w:val="002C7C83"/>
    <w:rsid w:val="002D1F22"/>
    <w:rsid w:val="003551EF"/>
    <w:rsid w:val="003621A7"/>
    <w:rsid w:val="00363326"/>
    <w:rsid w:val="00371032"/>
    <w:rsid w:val="0038757A"/>
    <w:rsid w:val="003C10AD"/>
    <w:rsid w:val="003D7403"/>
    <w:rsid w:val="003F2303"/>
    <w:rsid w:val="004125C2"/>
    <w:rsid w:val="0042450F"/>
    <w:rsid w:val="00431B4F"/>
    <w:rsid w:val="00465ACF"/>
    <w:rsid w:val="004727B7"/>
    <w:rsid w:val="00491965"/>
    <w:rsid w:val="00493FDF"/>
    <w:rsid w:val="004A13F1"/>
    <w:rsid w:val="004A1F78"/>
    <w:rsid w:val="004B636D"/>
    <w:rsid w:val="004C011E"/>
    <w:rsid w:val="004C5346"/>
    <w:rsid w:val="004C7723"/>
    <w:rsid w:val="004D1EF8"/>
    <w:rsid w:val="005006E8"/>
    <w:rsid w:val="00502855"/>
    <w:rsid w:val="0050387B"/>
    <w:rsid w:val="00506299"/>
    <w:rsid w:val="005239FD"/>
    <w:rsid w:val="00525867"/>
    <w:rsid w:val="005306DE"/>
    <w:rsid w:val="00530E7C"/>
    <w:rsid w:val="00547D19"/>
    <w:rsid w:val="005630EF"/>
    <w:rsid w:val="0058330D"/>
    <w:rsid w:val="00585159"/>
    <w:rsid w:val="00596325"/>
    <w:rsid w:val="005A44A9"/>
    <w:rsid w:val="005C368A"/>
    <w:rsid w:val="005D18B2"/>
    <w:rsid w:val="005D5BD3"/>
    <w:rsid w:val="005E2DFF"/>
    <w:rsid w:val="005F4E0A"/>
    <w:rsid w:val="00605A02"/>
    <w:rsid w:val="00627BE8"/>
    <w:rsid w:val="0067209A"/>
    <w:rsid w:val="0067318B"/>
    <w:rsid w:val="0068370B"/>
    <w:rsid w:val="006846F9"/>
    <w:rsid w:val="00696A4D"/>
    <w:rsid w:val="006C4F16"/>
    <w:rsid w:val="006D576E"/>
    <w:rsid w:val="006F1F2B"/>
    <w:rsid w:val="006F6054"/>
    <w:rsid w:val="007064A0"/>
    <w:rsid w:val="00714273"/>
    <w:rsid w:val="007325DA"/>
    <w:rsid w:val="00733522"/>
    <w:rsid w:val="0073661E"/>
    <w:rsid w:val="0074217D"/>
    <w:rsid w:val="0076434F"/>
    <w:rsid w:val="00765046"/>
    <w:rsid w:val="00774D7D"/>
    <w:rsid w:val="00796F8B"/>
    <w:rsid w:val="007A04BF"/>
    <w:rsid w:val="007A74E1"/>
    <w:rsid w:val="007C6101"/>
    <w:rsid w:val="008013BB"/>
    <w:rsid w:val="00801F2D"/>
    <w:rsid w:val="0082230B"/>
    <w:rsid w:val="00823E2B"/>
    <w:rsid w:val="00830779"/>
    <w:rsid w:val="00835B1A"/>
    <w:rsid w:val="00866B85"/>
    <w:rsid w:val="00870FA5"/>
    <w:rsid w:val="0087425F"/>
    <w:rsid w:val="008920E0"/>
    <w:rsid w:val="008D0DD8"/>
    <w:rsid w:val="009166B9"/>
    <w:rsid w:val="00925326"/>
    <w:rsid w:val="009272EE"/>
    <w:rsid w:val="00935718"/>
    <w:rsid w:val="00935D0C"/>
    <w:rsid w:val="00936D76"/>
    <w:rsid w:val="00937432"/>
    <w:rsid w:val="00941C1A"/>
    <w:rsid w:val="00961CFB"/>
    <w:rsid w:val="0098473E"/>
    <w:rsid w:val="00991873"/>
    <w:rsid w:val="009A0BC3"/>
    <w:rsid w:val="009E3925"/>
    <w:rsid w:val="009F31ED"/>
    <w:rsid w:val="00A05542"/>
    <w:rsid w:val="00A14A68"/>
    <w:rsid w:val="00A23F73"/>
    <w:rsid w:val="00A25D7C"/>
    <w:rsid w:val="00A72290"/>
    <w:rsid w:val="00A84F47"/>
    <w:rsid w:val="00AB5FE3"/>
    <w:rsid w:val="00AC7B65"/>
    <w:rsid w:val="00AD5FB4"/>
    <w:rsid w:val="00AE14EB"/>
    <w:rsid w:val="00AF564F"/>
    <w:rsid w:val="00AF7FD0"/>
    <w:rsid w:val="00B058FD"/>
    <w:rsid w:val="00B217EC"/>
    <w:rsid w:val="00B228B6"/>
    <w:rsid w:val="00B4695C"/>
    <w:rsid w:val="00B84887"/>
    <w:rsid w:val="00B91708"/>
    <w:rsid w:val="00BB41A6"/>
    <w:rsid w:val="00BB77E4"/>
    <w:rsid w:val="00BC1E7C"/>
    <w:rsid w:val="00BC4BE3"/>
    <w:rsid w:val="00BD76BD"/>
    <w:rsid w:val="00C33FBA"/>
    <w:rsid w:val="00C55A3E"/>
    <w:rsid w:val="00C609D3"/>
    <w:rsid w:val="00C615B0"/>
    <w:rsid w:val="00CA4225"/>
    <w:rsid w:val="00CC35A2"/>
    <w:rsid w:val="00CC511E"/>
    <w:rsid w:val="00CE1B67"/>
    <w:rsid w:val="00CF17CA"/>
    <w:rsid w:val="00CF731D"/>
    <w:rsid w:val="00D16264"/>
    <w:rsid w:val="00D31D74"/>
    <w:rsid w:val="00D368CD"/>
    <w:rsid w:val="00D45D15"/>
    <w:rsid w:val="00D937E4"/>
    <w:rsid w:val="00DA5136"/>
    <w:rsid w:val="00DA6BD7"/>
    <w:rsid w:val="00DB6DD9"/>
    <w:rsid w:val="00DC2831"/>
    <w:rsid w:val="00DD00DF"/>
    <w:rsid w:val="00DD1462"/>
    <w:rsid w:val="00DD499C"/>
    <w:rsid w:val="00DE5C6F"/>
    <w:rsid w:val="00E05FCD"/>
    <w:rsid w:val="00E17FAD"/>
    <w:rsid w:val="00E36248"/>
    <w:rsid w:val="00E730E2"/>
    <w:rsid w:val="00E879AF"/>
    <w:rsid w:val="00EA58C0"/>
    <w:rsid w:val="00EB26EA"/>
    <w:rsid w:val="00ED34D4"/>
    <w:rsid w:val="00ED765F"/>
    <w:rsid w:val="00EE3AF0"/>
    <w:rsid w:val="00F20E5A"/>
    <w:rsid w:val="00F35149"/>
    <w:rsid w:val="00F47D5C"/>
    <w:rsid w:val="00F66EB2"/>
    <w:rsid w:val="00FD444D"/>
    <w:rsid w:val="00FD6728"/>
    <w:rsid w:val="00FF1630"/>
    <w:rsid w:val="012A4559"/>
    <w:rsid w:val="0154408F"/>
    <w:rsid w:val="018B5911"/>
    <w:rsid w:val="01954C96"/>
    <w:rsid w:val="01AA4CF6"/>
    <w:rsid w:val="01AF5332"/>
    <w:rsid w:val="01CF1291"/>
    <w:rsid w:val="020312EB"/>
    <w:rsid w:val="021363A0"/>
    <w:rsid w:val="02174F58"/>
    <w:rsid w:val="021A5152"/>
    <w:rsid w:val="022F70A4"/>
    <w:rsid w:val="02402B51"/>
    <w:rsid w:val="02480E6E"/>
    <w:rsid w:val="026F237C"/>
    <w:rsid w:val="02866894"/>
    <w:rsid w:val="028D5673"/>
    <w:rsid w:val="02A93DB6"/>
    <w:rsid w:val="02AD43AB"/>
    <w:rsid w:val="02DF0E0C"/>
    <w:rsid w:val="02E543AD"/>
    <w:rsid w:val="032633D2"/>
    <w:rsid w:val="03952285"/>
    <w:rsid w:val="03CD11C7"/>
    <w:rsid w:val="03F65D0A"/>
    <w:rsid w:val="041040CC"/>
    <w:rsid w:val="04185962"/>
    <w:rsid w:val="041D1E6A"/>
    <w:rsid w:val="04251234"/>
    <w:rsid w:val="04274596"/>
    <w:rsid w:val="04351ACC"/>
    <w:rsid w:val="046D570A"/>
    <w:rsid w:val="04981781"/>
    <w:rsid w:val="04B213C1"/>
    <w:rsid w:val="04DA1079"/>
    <w:rsid w:val="04ED7BA2"/>
    <w:rsid w:val="050206C2"/>
    <w:rsid w:val="050C1809"/>
    <w:rsid w:val="052B1173"/>
    <w:rsid w:val="05322502"/>
    <w:rsid w:val="057E12A3"/>
    <w:rsid w:val="0596483F"/>
    <w:rsid w:val="059B33B8"/>
    <w:rsid w:val="05F14731"/>
    <w:rsid w:val="06232D01"/>
    <w:rsid w:val="0623448C"/>
    <w:rsid w:val="063D115E"/>
    <w:rsid w:val="06556F85"/>
    <w:rsid w:val="068600EA"/>
    <w:rsid w:val="06935222"/>
    <w:rsid w:val="06C947A0"/>
    <w:rsid w:val="06E547E3"/>
    <w:rsid w:val="070729BB"/>
    <w:rsid w:val="07083F5E"/>
    <w:rsid w:val="07277465"/>
    <w:rsid w:val="072B545A"/>
    <w:rsid w:val="074526C1"/>
    <w:rsid w:val="075C2953"/>
    <w:rsid w:val="07743A9C"/>
    <w:rsid w:val="07827A93"/>
    <w:rsid w:val="079E5C2C"/>
    <w:rsid w:val="07D433FC"/>
    <w:rsid w:val="07D7113E"/>
    <w:rsid w:val="08094C23"/>
    <w:rsid w:val="082F0638"/>
    <w:rsid w:val="084560A8"/>
    <w:rsid w:val="085129F6"/>
    <w:rsid w:val="087E2BF7"/>
    <w:rsid w:val="08817DF7"/>
    <w:rsid w:val="08E642E1"/>
    <w:rsid w:val="08F14150"/>
    <w:rsid w:val="08FB569F"/>
    <w:rsid w:val="08FC2F5F"/>
    <w:rsid w:val="09080CCA"/>
    <w:rsid w:val="091C2D9F"/>
    <w:rsid w:val="0926680F"/>
    <w:rsid w:val="09280ADB"/>
    <w:rsid w:val="09285FED"/>
    <w:rsid w:val="092F60CB"/>
    <w:rsid w:val="09345598"/>
    <w:rsid w:val="09414AC1"/>
    <w:rsid w:val="096065DB"/>
    <w:rsid w:val="096919AA"/>
    <w:rsid w:val="09ED3FA1"/>
    <w:rsid w:val="0A0E4EFB"/>
    <w:rsid w:val="0A186F95"/>
    <w:rsid w:val="0A2E0025"/>
    <w:rsid w:val="0A4822EF"/>
    <w:rsid w:val="0A5A638C"/>
    <w:rsid w:val="0A6969E4"/>
    <w:rsid w:val="0A7E2489"/>
    <w:rsid w:val="0AA53DEF"/>
    <w:rsid w:val="0ACE0E22"/>
    <w:rsid w:val="0AD54E2E"/>
    <w:rsid w:val="0AF06559"/>
    <w:rsid w:val="0AFC1857"/>
    <w:rsid w:val="0B2E65B3"/>
    <w:rsid w:val="0BBC0EFB"/>
    <w:rsid w:val="0BBE5E9C"/>
    <w:rsid w:val="0BDE66C4"/>
    <w:rsid w:val="0BE65DF4"/>
    <w:rsid w:val="0C142961"/>
    <w:rsid w:val="0C30136E"/>
    <w:rsid w:val="0C4D1B23"/>
    <w:rsid w:val="0C8B72F7"/>
    <w:rsid w:val="0CB63A18"/>
    <w:rsid w:val="0CBD49D1"/>
    <w:rsid w:val="0CD22DCF"/>
    <w:rsid w:val="0D162740"/>
    <w:rsid w:val="0D1F2886"/>
    <w:rsid w:val="0D512DA1"/>
    <w:rsid w:val="0D6917CA"/>
    <w:rsid w:val="0D6D6E4C"/>
    <w:rsid w:val="0D7D4536"/>
    <w:rsid w:val="0D862A63"/>
    <w:rsid w:val="0D8B2456"/>
    <w:rsid w:val="0D986169"/>
    <w:rsid w:val="0DB8556E"/>
    <w:rsid w:val="0DCC638D"/>
    <w:rsid w:val="0DD31291"/>
    <w:rsid w:val="0E0E3D35"/>
    <w:rsid w:val="0E1967D0"/>
    <w:rsid w:val="0E4E2C4E"/>
    <w:rsid w:val="0E6D4557"/>
    <w:rsid w:val="0E7813FF"/>
    <w:rsid w:val="0E897858"/>
    <w:rsid w:val="0EA73F73"/>
    <w:rsid w:val="0EB84315"/>
    <w:rsid w:val="0ED60A82"/>
    <w:rsid w:val="0EE82793"/>
    <w:rsid w:val="0F242CBA"/>
    <w:rsid w:val="0F2F7458"/>
    <w:rsid w:val="0F562914"/>
    <w:rsid w:val="0F615EBD"/>
    <w:rsid w:val="0FE73105"/>
    <w:rsid w:val="0FE76BB8"/>
    <w:rsid w:val="0FF1F4EF"/>
    <w:rsid w:val="10151C5E"/>
    <w:rsid w:val="10323AEE"/>
    <w:rsid w:val="10506261"/>
    <w:rsid w:val="107C5BE5"/>
    <w:rsid w:val="1090273D"/>
    <w:rsid w:val="10D6033B"/>
    <w:rsid w:val="114273F0"/>
    <w:rsid w:val="11544F12"/>
    <w:rsid w:val="11B3592C"/>
    <w:rsid w:val="11C5772D"/>
    <w:rsid w:val="11D449FB"/>
    <w:rsid w:val="11F61BA5"/>
    <w:rsid w:val="124C4017"/>
    <w:rsid w:val="1252459B"/>
    <w:rsid w:val="12D70244"/>
    <w:rsid w:val="12D735D3"/>
    <w:rsid w:val="133356FC"/>
    <w:rsid w:val="133B07D3"/>
    <w:rsid w:val="13434517"/>
    <w:rsid w:val="136C71BA"/>
    <w:rsid w:val="136E4A27"/>
    <w:rsid w:val="137C48C6"/>
    <w:rsid w:val="137D30ED"/>
    <w:rsid w:val="13A96669"/>
    <w:rsid w:val="13B33D36"/>
    <w:rsid w:val="13D74B70"/>
    <w:rsid w:val="13E175CD"/>
    <w:rsid w:val="13F77681"/>
    <w:rsid w:val="14077C36"/>
    <w:rsid w:val="140908D1"/>
    <w:rsid w:val="14196AC8"/>
    <w:rsid w:val="141D437D"/>
    <w:rsid w:val="14262BF4"/>
    <w:rsid w:val="142638A3"/>
    <w:rsid w:val="1498706D"/>
    <w:rsid w:val="14BC72B6"/>
    <w:rsid w:val="14C13B00"/>
    <w:rsid w:val="14CA62B3"/>
    <w:rsid w:val="14FA5604"/>
    <w:rsid w:val="1509619E"/>
    <w:rsid w:val="15127890"/>
    <w:rsid w:val="151A678A"/>
    <w:rsid w:val="1526491B"/>
    <w:rsid w:val="155A7BF6"/>
    <w:rsid w:val="157C3DD7"/>
    <w:rsid w:val="157C4853"/>
    <w:rsid w:val="159211B8"/>
    <w:rsid w:val="160C6457"/>
    <w:rsid w:val="16220D3B"/>
    <w:rsid w:val="163269E5"/>
    <w:rsid w:val="163C0999"/>
    <w:rsid w:val="16573B76"/>
    <w:rsid w:val="16A6065A"/>
    <w:rsid w:val="16BA0531"/>
    <w:rsid w:val="16FF39CF"/>
    <w:rsid w:val="17005FBC"/>
    <w:rsid w:val="17132EC8"/>
    <w:rsid w:val="17147CB9"/>
    <w:rsid w:val="171B3F42"/>
    <w:rsid w:val="173D2A29"/>
    <w:rsid w:val="173E21DA"/>
    <w:rsid w:val="173F6E28"/>
    <w:rsid w:val="174E4E71"/>
    <w:rsid w:val="17634BC6"/>
    <w:rsid w:val="176F3291"/>
    <w:rsid w:val="177A4AF1"/>
    <w:rsid w:val="178A43F9"/>
    <w:rsid w:val="178A4C3F"/>
    <w:rsid w:val="17A90EFE"/>
    <w:rsid w:val="17A96D57"/>
    <w:rsid w:val="17CF598E"/>
    <w:rsid w:val="17D56D11"/>
    <w:rsid w:val="17EE4996"/>
    <w:rsid w:val="18311585"/>
    <w:rsid w:val="183E7A3F"/>
    <w:rsid w:val="18445B48"/>
    <w:rsid w:val="1881137E"/>
    <w:rsid w:val="189F133F"/>
    <w:rsid w:val="18F7438E"/>
    <w:rsid w:val="19053D5D"/>
    <w:rsid w:val="19127B16"/>
    <w:rsid w:val="19433251"/>
    <w:rsid w:val="19494C1F"/>
    <w:rsid w:val="195F7C30"/>
    <w:rsid w:val="1997618F"/>
    <w:rsid w:val="19A61090"/>
    <w:rsid w:val="1A037BA3"/>
    <w:rsid w:val="1A2E710A"/>
    <w:rsid w:val="1A4D7D9E"/>
    <w:rsid w:val="1A507D81"/>
    <w:rsid w:val="1AAB77EE"/>
    <w:rsid w:val="1ACD005B"/>
    <w:rsid w:val="1AE6371B"/>
    <w:rsid w:val="1AEE0821"/>
    <w:rsid w:val="1AFC29B4"/>
    <w:rsid w:val="1B092F6B"/>
    <w:rsid w:val="1B0A3F40"/>
    <w:rsid w:val="1B0E39C5"/>
    <w:rsid w:val="1B164D86"/>
    <w:rsid w:val="1B27738C"/>
    <w:rsid w:val="1B520A0E"/>
    <w:rsid w:val="1B561688"/>
    <w:rsid w:val="1B754A9E"/>
    <w:rsid w:val="1B791345"/>
    <w:rsid w:val="1B966EEF"/>
    <w:rsid w:val="1B9E4E79"/>
    <w:rsid w:val="1BA31050"/>
    <w:rsid w:val="1BDB6FF7"/>
    <w:rsid w:val="1C1E7A3B"/>
    <w:rsid w:val="1C2F5D5A"/>
    <w:rsid w:val="1C320477"/>
    <w:rsid w:val="1C3339B4"/>
    <w:rsid w:val="1C424981"/>
    <w:rsid w:val="1C4352B6"/>
    <w:rsid w:val="1C6E352A"/>
    <w:rsid w:val="1C745094"/>
    <w:rsid w:val="1C85099A"/>
    <w:rsid w:val="1CC33C43"/>
    <w:rsid w:val="1CCE25E4"/>
    <w:rsid w:val="1CD4632B"/>
    <w:rsid w:val="1CDA6A64"/>
    <w:rsid w:val="1CF363F5"/>
    <w:rsid w:val="1CF7351C"/>
    <w:rsid w:val="1D0830E7"/>
    <w:rsid w:val="1D1D71C7"/>
    <w:rsid w:val="1D4806BC"/>
    <w:rsid w:val="1D520A86"/>
    <w:rsid w:val="1D6E3C3B"/>
    <w:rsid w:val="1D74256B"/>
    <w:rsid w:val="1D794F6F"/>
    <w:rsid w:val="1DAD4227"/>
    <w:rsid w:val="1DC10019"/>
    <w:rsid w:val="1DE041F0"/>
    <w:rsid w:val="1DE71C83"/>
    <w:rsid w:val="1DED3B2B"/>
    <w:rsid w:val="1E01416A"/>
    <w:rsid w:val="1E0476A0"/>
    <w:rsid w:val="1E355853"/>
    <w:rsid w:val="1E37428D"/>
    <w:rsid w:val="1E5029D9"/>
    <w:rsid w:val="1E537319"/>
    <w:rsid w:val="1E56319D"/>
    <w:rsid w:val="1E9E532A"/>
    <w:rsid w:val="1EE75EE2"/>
    <w:rsid w:val="1EF01076"/>
    <w:rsid w:val="1EFF1CE6"/>
    <w:rsid w:val="1F0B25CE"/>
    <w:rsid w:val="1F122276"/>
    <w:rsid w:val="1F2F7110"/>
    <w:rsid w:val="1F412FA9"/>
    <w:rsid w:val="1F544CBA"/>
    <w:rsid w:val="1F701409"/>
    <w:rsid w:val="1F9A0F77"/>
    <w:rsid w:val="1FB92671"/>
    <w:rsid w:val="1FD1DCA6"/>
    <w:rsid w:val="1FF8699A"/>
    <w:rsid w:val="20122A47"/>
    <w:rsid w:val="201F00DC"/>
    <w:rsid w:val="202123BF"/>
    <w:rsid w:val="20461A3D"/>
    <w:rsid w:val="20510E01"/>
    <w:rsid w:val="205B24B5"/>
    <w:rsid w:val="206A0BC3"/>
    <w:rsid w:val="20775AC4"/>
    <w:rsid w:val="20987265"/>
    <w:rsid w:val="20BA7F60"/>
    <w:rsid w:val="20E7527C"/>
    <w:rsid w:val="210F1FC8"/>
    <w:rsid w:val="213474DA"/>
    <w:rsid w:val="213E0DE3"/>
    <w:rsid w:val="21460DAB"/>
    <w:rsid w:val="2150416A"/>
    <w:rsid w:val="216864D7"/>
    <w:rsid w:val="21801A41"/>
    <w:rsid w:val="218617B3"/>
    <w:rsid w:val="21AC767E"/>
    <w:rsid w:val="21BC3B6E"/>
    <w:rsid w:val="21BE7A94"/>
    <w:rsid w:val="21C311E0"/>
    <w:rsid w:val="220B271D"/>
    <w:rsid w:val="22162B37"/>
    <w:rsid w:val="221B2AF6"/>
    <w:rsid w:val="221F58A2"/>
    <w:rsid w:val="22394A78"/>
    <w:rsid w:val="226B7039"/>
    <w:rsid w:val="229369C6"/>
    <w:rsid w:val="22E772E2"/>
    <w:rsid w:val="22F25E08"/>
    <w:rsid w:val="23014CF0"/>
    <w:rsid w:val="23376FFC"/>
    <w:rsid w:val="233B029B"/>
    <w:rsid w:val="235B5A0F"/>
    <w:rsid w:val="23711FEF"/>
    <w:rsid w:val="23A740AC"/>
    <w:rsid w:val="23A75839"/>
    <w:rsid w:val="23AB72AF"/>
    <w:rsid w:val="23E55347"/>
    <w:rsid w:val="23FC77C6"/>
    <w:rsid w:val="242A1EC8"/>
    <w:rsid w:val="2443398C"/>
    <w:rsid w:val="245B193A"/>
    <w:rsid w:val="247D1459"/>
    <w:rsid w:val="249551D5"/>
    <w:rsid w:val="24D17760"/>
    <w:rsid w:val="25994564"/>
    <w:rsid w:val="25B85CB3"/>
    <w:rsid w:val="25DD571A"/>
    <w:rsid w:val="25EE5B79"/>
    <w:rsid w:val="260C67DA"/>
    <w:rsid w:val="26406E7A"/>
    <w:rsid w:val="267331B2"/>
    <w:rsid w:val="269577DC"/>
    <w:rsid w:val="26A56238"/>
    <w:rsid w:val="26B96187"/>
    <w:rsid w:val="26DF6A52"/>
    <w:rsid w:val="2701263D"/>
    <w:rsid w:val="270A274C"/>
    <w:rsid w:val="27175F6A"/>
    <w:rsid w:val="271A4213"/>
    <w:rsid w:val="27822004"/>
    <w:rsid w:val="2792321B"/>
    <w:rsid w:val="27AD4C7E"/>
    <w:rsid w:val="27C54AED"/>
    <w:rsid w:val="27CE7A10"/>
    <w:rsid w:val="282B4CCD"/>
    <w:rsid w:val="28895693"/>
    <w:rsid w:val="28947D71"/>
    <w:rsid w:val="28A546A3"/>
    <w:rsid w:val="28D15A0A"/>
    <w:rsid w:val="28E148BA"/>
    <w:rsid w:val="28EC6C0B"/>
    <w:rsid w:val="292D69B8"/>
    <w:rsid w:val="29534E0B"/>
    <w:rsid w:val="29803213"/>
    <w:rsid w:val="298962E5"/>
    <w:rsid w:val="299C0C8A"/>
    <w:rsid w:val="299D5461"/>
    <w:rsid w:val="29B03871"/>
    <w:rsid w:val="29BA55D2"/>
    <w:rsid w:val="29CB5155"/>
    <w:rsid w:val="2A3F69A3"/>
    <w:rsid w:val="2A42738F"/>
    <w:rsid w:val="2A7E3970"/>
    <w:rsid w:val="2A8D3BB3"/>
    <w:rsid w:val="2A922F77"/>
    <w:rsid w:val="2ACC19A2"/>
    <w:rsid w:val="2AD47D8D"/>
    <w:rsid w:val="2B213684"/>
    <w:rsid w:val="2B2437A1"/>
    <w:rsid w:val="2B2A35D0"/>
    <w:rsid w:val="2B312EE2"/>
    <w:rsid w:val="2BA92D29"/>
    <w:rsid w:val="2BD75349"/>
    <w:rsid w:val="2C10670E"/>
    <w:rsid w:val="2C1F732C"/>
    <w:rsid w:val="2C5D6924"/>
    <w:rsid w:val="2C5F232E"/>
    <w:rsid w:val="2C640E88"/>
    <w:rsid w:val="2C893F1B"/>
    <w:rsid w:val="2C8F1083"/>
    <w:rsid w:val="2CAC576F"/>
    <w:rsid w:val="2CB24C09"/>
    <w:rsid w:val="2CCB451E"/>
    <w:rsid w:val="2CCC00AB"/>
    <w:rsid w:val="2D1D5993"/>
    <w:rsid w:val="2D203A80"/>
    <w:rsid w:val="2D314CC9"/>
    <w:rsid w:val="2D3437E7"/>
    <w:rsid w:val="2D6C77AB"/>
    <w:rsid w:val="2D6E1E26"/>
    <w:rsid w:val="2D7F7721"/>
    <w:rsid w:val="2D8A7365"/>
    <w:rsid w:val="2DB91080"/>
    <w:rsid w:val="2DDB3D8E"/>
    <w:rsid w:val="2DEC6E42"/>
    <w:rsid w:val="2E1F6482"/>
    <w:rsid w:val="2E5B12FD"/>
    <w:rsid w:val="2E5F5866"/>
    <w:rsid w:val="2E8762A6"/>
    <w:rsid w:val="2E99554D"/>
    <w:rsid w:val="2EED10C4"/>
    <w:rsid w:val="2EF332D3"/>
    <w:rsid w:val="2EFBAB68"/>
    <w:rsid w:val="2EFBC27A"/>
    <w:rsid w:val="2F136988"/>
    <w:rsid w:val="2F194DEA"/>
    <w:rsid w:val="2F4E52FA"/>
    <w:rsid w:val="2F64077E"/>
    <w:rsid w:val="2F813382"/>
    <w:rsid w:val="2F867799"/>
    <w:rsid w:val="2F8D591E"/>
    <w:rsid w:val="2FAE5C12"/>
    <w:rsid w:val="2FBB08D5"/>
    <w:rsid w:val="2FE14B66"/>
    <w:rsid w:val="300F6031"/>
    <w:rsid w:val="30191A45"/>
    <w:rsid w:val="30242DDD"/>
    <w:rsid w:val="30450A8C"/>
    <w:rsid w:val="30474171"/>
    <w:rsid w:val="305F7CEA"/>
    <w:rsid w:val="30733ED1"/>
    <w:rsid w:val="30D6157E"/>
    <w:rsid w:val="311939C4"/>
    <w:rsid w:val="311F11EF"/>
    <w:rsid w:val="31237C6B"/>
    <w:rsid w:val="312805BA"/>
    <w:rsid w:val="3159659D"/>
    <w:rsid w:val="31710146"/>
    <w:rsid w:val="318869C9"/>
    <w:rsid w:val="31A31F0E"/>
    <w:rsid w:val="31BE0A3A"/>
    <w:rsid w:val="31EC3394"/>
    <w:rsid w:val="31F04AFE"/>
    <w:rsid w:val="321B601B"/>
    <w:rsid w:val="325102CB"/>
    <w:rsid w:val="32770551"/>
    <w:rsid w:val="327E12B4"/>
    <w:rsid w:val="32AD36BF"/>
    <w:rsid w:val="32AF5F80"/>
    <w:rsid w:val="32BA750F"/>
    <w:rsid w:val="32BF4445"/>
    <w:rsid w:val="32F243F8"/>
    <w:rsid w:val="330A3BA2"/>
    <w:rsid w:val="3339489F"/>
    <w:rsid w:val="335E60EC"/>
    <w:rsid w:val="33645DE4"/>
    <w:rsid w:val="33695F32"/>
    <w:rsid w:val="336A0951"/>
    <w:rsid w:val="33B05F8A"/>
    <w:rsid w:val="33B43C3D"/>
    <w:rsid w:val="33C348FC"/>
    <w:rsid w:val="342E1F62"/>
    <w:rsid w:val="34367CB8"/>
    <w:rsid w:val="344F4C00"/>
    <w:rsid w:val="34597A2E"/>
    <w:rsid w:val="345B0FB5"/>
    <w:rsid w:val="34913EAE"/>
    <w:rsid w:val="34957A6D"/>
    <w:rsid w:val="34AF11EE"/>
    <w:rsid w:val="34B65AB4"/>
    <w:rsid w:val="34B85CD0"/>
    <w:rsid w:val="35064799"/>
    <w:rsid w:val="35213875"/>
    <w:rsid w:val="3538471B"/>
    <w:rsid w:val="354D6949"/>
    <w:rsid w:val="354E2CDC"/>
    <w:rsid w:val="35662D57"/>
    <w:rsid w:val="359009FB"/>
    <w:rsid w:val="359D0AE9"/>
    <w:rsid w:val="35AF7453"/>
    <w:rsid w:val="35B3FE6A"/>
    <w:rsid w:val="35D703D8"/>
    <w:rsid w:val="35F1149A"/>
    <w:rsid w:val="35FF0160"/>
    <w:rsid w:val="3621359F"/>
    <w:rsid w:val="36260A17"/>
    <w:rsid w:val="36274EBB"/>
    <w:rsid w:val="36501163"/>
    <w:rsid w:val="36823FEB"/>
    <w:rsid w:val="368E7C0F"/>
    <w:rsid w:val="369D6F2B"/>
    <w:rsid w:val="36A00CD2"/>
    <w:rsid w:val="36C24638"/>
    <w:rsid w:val="37131106"/>
    <w:rsid w:val="372B7761"/>
    <w:rsid w:val="374B28AF"/>
    <w:rsid w:val="37661A13"/>
    <w:rsid w:val="377744E3"/>
    <w:rsid w:val="37971AB0"/>
    <w:rsid w:val="37DA79DF"/>
    <w:rsid w:val="37F60FF7"/>
    <w:rsid w:val="37FFBAC8"/>
    <w:rsid w:val="380D63BD"/>
    <w:rsid w:val="38194971"/>
    <w:rsid w:val="387728EA"/>
    <w:rsid w:val="389D1465"/>
    <w:rsid w:val="38AD49B0"/>
    <w:rsid w:val="38B30C88"/>
    <w:rsid w:val="38D509B9"/>
    <w:rsid w:val="38F4304F"/>
    <w:rsid w:val="39650E26"/>
    <w:rsid w:val="39B1489C"/>
    <w:rsid w:val="39E26CFC"/>
    <w:rsid w:val="39EF98FF"/>
    <w:rsid w:val="39F83B33"/>
    <w:rsid w:val="3A1A14B9"/>
    <w:rsid w:val="3A42268A"/>
    <w:rsid w:val="3A773F37"/>
    <w:rsid w:val="3AAD5DB7"/>
    <w:rsid w:val="3ABA14C9"/>
    <w:rsid w:val="3ACA3CEE"/>
    <w:rsid w:val="3ADE687C"/>
    <w:rsid w:val="3AF45588"/>
    <w:rsid w:val="3B045955"/>
    <w:rsid w:val="3B441AFA"/>
    <w:rsid w:val="3B451940"/>
    <w:rsid w:val="3B5840B9"/>
    <w:rsid w:val="3B597C17"/>
    <w:rsid w:val="3B7C6A95"/>
    <w:rsid w:val="3B912ECB"/>
    <w:rsid w:val="3BB73ECE"/>
    <w:rsid w:val="3BD17677"/>
    <w:rsid w:val="3BE904C5"/>
    <w:rsid w:val="3BFA460A"/>
    <w:rsid w:val="3C103D3D"/>
    <w:rsid w:val="3C325342"/>
    <w:rsid w:val="3C3E5CA8"/>
    <w:rsid w:val="3C495460"/>
    <w:rsid w:val="3C4958D8"/>
    <w:rsid w:val="3C4E28EE"/>
    <w:rsid w:val="3C502C92"/>
    <w:rsid w:val="3C524400"/>
    <w:rsid w:val="3C6B604E"/>
    <w:rsid w:val="3C9122F7"/>
    <w:rsid w:val="3CAD5464"/>
    <w:rsid w:val="3CC107C5"/>
    <w:rsid w:val="3CE0414D"/>
    <w:rsid w:val="3CE656E0"/>
    <w:rsid w:val="3D072591"/>
    <w:rsid w:val="3D0F593F"/>
    <w:rsid w:val="3D122E60"/>
    <w:rsid w:val="3D465840"/>
    <w:rsid w:val="3D55AAC3"/>
    <w:rsid w:val="3D602168"/>
    <w:rsid w:val="3DBC6E1A"/>
    <w:rsid w:val="3DE55ECE"/>
    <w:rsid w:val="3E4403FD"/>
    <w:rsid w:val="3E4A2B2F"/>
    <w:rsid w:val="3E5C70EC"/>
    <w:rsid w:val="3E674F72"/>
    <w:rsid w:val="3E6D47B3"/>
    <w:rsid w:val="3E770566"/>
    <w:rsid w:val="3E790E79"/>
    <w:rsid w:val="3E945B9C"/>
    <w:rsid w:val="3EAA6092"/>
    <w:rsid w:val="3EAA6689"/>
    <w:rsid w:val="3ED87A51"/>
    <w:rsid w:val="3EF0040F"/>
    <w:rsid w:val="3F19380F"/>
    <w:rsid w:val="3F254692"/>
    <w:rsid w:val="3F3441A5"/>
    <w:rsid w:val="3F5A50BB"/>
    <w:rsid w:val="3F604905"/>
    <w:rsid w:val="3F697955"/>
    <w:rsid w:val="3FC90F4B"/>
    <w:rsid w:val="3FE268CB"/>
    <w:rsid w:val="40327434"/>
    <w:rsid w:val="404C5962"/>
    <w:rsid w:val="4052312F"/>
    <w:rsid w:val="407451A1"/>
    <w:rsid w:val="40BF2027"/>
    <w:rsid w:val="40CE7F23"/>
    <w:rsid w:val="40E2300E"/>
    <w:rsid w:val="40E472E7"/>
    <w:rsid w:val="40FE4159"/>
    <w:rsid w:val="41124178"/>
    <w:rsid w:val="411D157B"/>
    <w:rsid w:val="415C4E22"/>
    <w:rsid w:val="41876D06"/>
    <w:rsid w:val="41964EB1"/>
    <w:rsid w:val="422E7392"/>
    <w:rsid w:val="426C1299"/>
    <w:rsid w:val="428748A2"/>
    <w:rsid w:val="42955436"/>
    <w:rsid w:val="42B31B9C"/>
    <w:rsid w:val="42B431B4"/>
    <w:rsid w:val="42BC2E2F"/>
    <w:rsid w:val="42BF1D8D"/>
    <w:rsid w:val="42CE2EBD"/>
    <w:rsid w:val="42CE79F1"/>
    <w:rsid w:val="42D243E9"/>
    <w:rsid w:val="43007C74"/>
    <w:rsid w:val="43153592"/>
    <w:rsid w:val="43687A50"/>
    <w:rsid w:val="43AF4742"/>
    <w:rsid w:val="43DA0D8A"/>
    <w:rsid w:val="44431445"/>
    <w:rsid w:val="44451232"/>
    <w:rsid w:val="444666FF"/>
    <w:rsid w:val="446407F7"/>
    <w:rsid w:val="44687336"/>
    <w:rsid w:val="44730FBB"/>
    <w:rsid w:val="447C29E6"/>
    <w:rsid w:val="447F5EC2"/>
    <w:rsid w:val="4489545C"/>
    <w:rsid w:val="44903024"/>
    <w:rsid w:val="44DB1C0A"/>
    <w:rsid w:val="44E76AE1"/>
    <w:rsid w:val="44FF5913"/>
    <w:rsid w:val="45280308"/>
    <w:rsid w:val="45300A9D"/>
    <w:rsid w:val="453B6989"/>
    <w:rsid w:val="45490428"/>
    <w:rsid w:val="454A3FF2"/>
    <w:rsid w:val="45656ECC"/>
    <w:rsid w:val="45676F2F"/>
    <w:rsid w:val="457A594B"/>
    <w:rsid w:val="45872DBD"/>
    <w:rsid w:val="4597571B"/>
    <w:rsid w:val="45A51E87"/>
    <w:rsid w:val="45C73716"/>
    <w:rsid w:val="45DD7344"/>
    <w:rsid w:val="45E65A95"/>
    <w:rsid w:val="45EA380F"/>
    <w:rsid w:val="45EE77A4"/>
    <w:rsid w:val="45F14BE8"/>
    <w:rsid w:val="4604022B"/>
    <w:rsid w:val="46415FC6"/>
    <w:rsid w:val="464B77C3"/>
    <w:rsid w:val="46514889"/>
    <w:rsid w:val="469A3487"/>
    <w:rsid w:val="469B0274"/>
    <w:rsid w:val="46C318E0"/>
    <w:rsid w:val="46C82DE4"/>
    <w:rsid w:val="46D2426D"/>
    <w:rsid w:val="46EA4CBA"/>
    <w:rsid w:val="47046B53"/>
    <w:rsid w:val="470C602E"/>
    <w:rsid w:val="471C5C4A"/>
    <w:rsid w:val="473C453F"/>
    <w:rsid w:val="4747391D"/>
    <w:rsid w:val="47762E4D"/>
    <w:rsid w:val="47AC4801"/>
    <w:rsid w:val="47C167F2"/>
    <w:rsid w:val="47C5136A"/>
    <w:rsid w:val="47DB3D58"/>
    <w:rsid w:val="47EB60AE"/>
    <w:rsid w:val="47F03C70"/>
    <w:rsid w:val="48337C6F"/>
    <w:rsid w:val="486E697A"/>
    <w:rsid w:val="489D7F04"/>
    <w:rsid w:val="48A0658E"/>
    <w:rsid w:val="48C22822"/>
    <w:rsid w:val="48D03190"/>
    <w:rsid w:val="49396F88"/>
    <w:rsid w:val="494B1FCC"/>
    <w:rsid w:val="495C5602"/>
    <w:rsid w:val="496D4E83"/>
    <w:rsid w:val="499E6458"/>
    <w:rsid w:val="49B22492"/>
    <w:rsid w:val="49B55E94"/>
    <w:rsid w:val="49EC356F"/>
    <w:rsid w:val="4A070C23"/>
    <w:rsid w:val="4A273550"/>
    <w:rsid w:val="4A353E3F"/>
    <w:rsid w:val="4A3A6E4B"/>
    <w:rsid w:val="4A682076"/>
    <w:rsid w:val="4A6F57EA"/>
    <w:rsid w:val="4AA77C6F"/>
    <w:rsid w:val="4ABB6284"/>
    <w:rsid w:val="4B343671"/>
    <w:rsid w:val="4B346665"/>
    <w:rsid w:val="4B6B707F"/>
    <w:rsid w:val="4B815EAB"/>
    <w:rsid w:val="4BAB4235"/>
    <w:rsid w:val="4BC01147"/>
    <w:rsid w:val="4BC24224"/>
    <w:rsid w:val="4BE900DE"/>
    <w:rsid w:val="4C194750"/>
    <w:rsid w:val="4C276048"/>
    <w:rsid w:val="4C30370E"/>
    <w:rsid w:val="4C393582"/>
    <w:rsid w:val="4C9C440D"/>
    <w:rsid w:val="4CDF30B3"/>
    <w:rsid w:val="4D0053FD"/>
    <w:rsid w:val="4D0065ED"/>
    <w:rsid w:val="4D226D9E"/>
    <w:rsid w:val="4D351AA0"/>
    <w:rsid w:val="4D3E3BA7"/>
    <w:rsid w:val="4D477AD7"/>
    <w:rsid w:val="4D700A9E"/>
    <w:rsid w:val="4D761E2D"/>
    <w:rsid w:val="4D774848"/>
    <w:rsid w:val="4D88522F"/>
    <w:rsid w:val="4D905D11"/>
    <w:rsid w:val="4DC91B63"/>
    <w:rsid w:val="4DD76A1D"/>
    <w:rsid w:val="4DDC67FB"/>
    <w:rsid w:val="4DE736CC"/>
    <w:rsid w:val="4E015B9A"/>
    <w:rsid w:val="4E2139F6"/>
    <w:rsid w:val="4E261AA5"/>
    <w:rsid w:val="4E355239"/>
    <w:rsid w:val="4E37780E"/>
    <w:rsid w:val="4E4C0281"/>
    <w:rsid w:val="4E651C4D"/>
    <w:rsid w:val="4E791025"/>
    <w:rsid w:val="4EB32A80"/>
    <w:rsid w:val="4ECF5C98"/>
    <w:rsid w:val="4EE10B2B"/>
    <w:rsid w:val="4F674C08"/>
    <w:rsid w:val="4F70493A"/>
    <w:rsid w:val="4F724D92"/>
    <w:rsid w:val="4F7C616C"/>
    <w:rsid w:val="4F972342"/>
    <w:rsid w:val="4FB350F1"/>
    <w:rsid w:val="4FCE72A3"/>
    <w:rsid w:val="4FE047C8"/>
    <w:rsid w:val="4FF278E2"/>
    <w:rsid w:val="503568C7"/>
    <w:rsid w:val="506441E9"/>
    <w:rsid w:val="508F56DF"/>
    <w:rsid w:val="50B45943"/>
    <w:rsid w:val="50B74C36"/>
    <w:rsid w:val="50BC3FFA"/>
    <w:rsid w:val="50C45629"/>
    <w:rsid w:val="5113038C"/>
    <w:rsid w:val="51153A1E"/>
    <w:rsid w:val="51325FC2"/>
    <w:rsid w:val="514726BD"/>
    <w:rsid w:val="515139FE"/>
    <w:rsid w:val="516B5052"/>
    <w:rsid w:val="51A54587"/>
    <w:rsid w:val="51B3364F"/>
    <w:rsid w:val="51D0040A"/>
    <w:rsid w:val="51F53D70"/>
    <w:rsid w:val="521D13FD"/>
    <w:rsid w:val="522C3C23"/>
    <w:rsid w:val="523209BD"/>
    <w:rsid w:val="524424F9"/>
    <w:rsid w:val="5286151B"/>
    <w:rsid w:val="52B97F64"/>
    <w:rsid w:val="52BC7E0F"/>
    <w:rsid w:val="52C76820"/>
    <w:rsid w:val="52D53B6B"/>
    <w:rsid w:val="532A0EEE"/>
    <w:rsid w:val="533E4BBE"/>
    <w:rsid w:val="536C61AC"/>
    <w:rsid w:val="53843231"/>
    <w:rsid w:val="539405CC"/>
    <w:rsid w:val="539B4831"/>
    <w:rsid w:val="53B713B6"/>
    <w:rsid w:val="53D61C1B"/>
    <w:rsid w:val="53EB215A"/>
    <w:rsid w:val="53EB5322"/>
    <w:rsid w:val="5455262D"/>
    <w:rsid w:val="54700A29"/>
    <w:rsid w:val="5477217D"/>
    <w:rsid w:val="54813591"/>
    <w:rsid w:val="54997C5E"/>
    <w:rsid w:val="54D10DD6"/>
    <w:rsid w:val="54DE09E3"/>
    <w:rsid w:val="54EF2BF0"/>
    <w:rsid w:val="55122613"/>
    <w:rsid w:val="55145E1C"/>
    <w:rsid w:val="552B5378"/>
    <w:rsid w:val="55685A81"/>
    <w:rsid w:val="556F3D31"/>
    <w:rsid w:val="5596306C"/>
    <w:rsid w:val="559C7DF5"/>
    <w:rsid w:val="55B04E29"/>
    <w:rsid w:val="55B90498"/>
    <w:rsid w:val="55C56D42"/>
    <w:rsid w:val="56286D45"/>
    <w:rsid w:val="562E599A"/>
    <w:rsid w:val="56542AE8"/>
    <w:rsid w:val="566B7D5C"/>
    <w:rsid w:val="567951AE"/>
    <w:rsid w:val="567B38E6"/>
    <w:rsid w:val="567D422C"/>
    <w:rsid w:val="56B41C90"/>
    <w:rsid w:val="56F97C0F"/>
    <w:rsid w:val="571B7CCD"/>
    <w:rsid w:val="572D6973"/>
    <w:rsid w:val="57D1482F"/>
    <w:rsid w:val="57F70E2D"/>
    <w:rsid w:val="580C5A0D"/>
    <w:rsid w:val="580D4391"/>
    <w:rsid w:val="581806B0"/>
    <w:rsid w:val="58202252"/>
    <w:rsid w:val="5827444F"/>
    <w:rsid w:val="58B45BB5"/>
    <w:rsid w:val="58CE4026"/>
    <w:rsid w:val="58D93764"/>
    <w:rsid w:val="5902352A"/>
    <w:rsid w:val="591363C6"/>
    <w:rsid w:val="593635AD"/>
    <w:rsid w:val="59617E35"/>
    <w:rsid w:val="59861E66"/>
    <w:rsid w:val="598A113A"/>
    <w:rsid w:val="59B556FD"/>
    <w:rsid w:val="59CE54CA"/>
    <w:rsid w:val="59FA6C11"/>
    <w:rsid w:val="5A20384C"/>
    <w:rsid w:val="5A354BC0"/>
    <w:rsid w:val="5A4452D9"/>
    <w:rsid w:val="5A5D684E"/>
    <w:rsid w:val="5A7679FD"/>
    <w:rsid w:val="5AA4386D"/>
    <w:rsid w:val="5AA4622B"/>
    <w:rsid w:val="5AAF0F91"/>
    <w:rsid w:val="5ACA474E"/>
    <w:rsid w:val="5AD6296A"/>
    <w:rsid w:val="5AEB173D"/>
    <w:rsid w:val="5AF820D3"/>
    <w:rsid w:val="5B066245"/>
    <w:rsid w:val="5B3F183B"/>
    <w:rsid w:val="5B722F6F"/>
    <w:rsid w:val="5B7976B8"/>
    <w:rsid w:val="5B86376B"/>
    <w:rsid w:val="5B871103"/>
    <w:rsid w:val="5B9F30B6"/>
    <w:rsid w:val="5BAA2994"/>
    <w:rsid w:val="5BB22BCA"/>
    <w:rsid w:val="5BD80EF6"/>
    <w:rsid w:val="5BE77A78"/>
    <w:rsid w:val="5BF4718E"/>
    <w:rsid w:val="5BF83338"/>
    <w:rsid w:val="5C050F4B"/>
    <w:rsid w:val="5C0F3B78"/>
    <w:rsid w:val="5C787C84"/>
    <w:rsid w:val="5CE2303B"/>
    <w:rsid w:val="5D116AD0"/>
    <w:rsid w:val="5D127A0F"/>
    <w:rsid w:val="5D147707"/>
    <w:rsid w:val="5D167420"/>
    <w:rsid w:val="5D1B4AA0"/>
    <w:rsid w:val="5D1C2218"/>
    <w:rsid w:val="5D4C1E3F"/>
    <w:rsid w:val="5D611BCA"/>
    <w:rsid w:val="5D7B1407"/>
    <w:rsid w:val="5DB26DA4"/>
    <w:rsid w:val="5DE3601C"/>
    <w:rsid w:val="5DE3706A"/>
    <w:rsid w:val="5DE41F49"/>
    <w:rsid w:val="5E13222E"/>
    <w:rsid w:val="5E2B55C7"/>
    <w:rsid w:val="5E93283E"/>
    <w:rsid w:val="5EB822A5"/>
    <w:rsid w:val="5ECD101C"/>
    <w:rsid w:val="5ED07520"/>
    <w:rsid w:val="5EFC6636"/>
    <w:rsid w:val="5EFD54D6"/>
    <w:rsid w:val="5F13397F"/>
    <w:rsid w:val="5F3B533B"/>
    <w:rsid w:val="5F9F11A3"/>
    <w:rsid w:val="5FA46AFF"/>
    <w:rsid w:val="5FA5078A"/>
    <w:rsid w:val="5FAB1534"/>
    <w:rsid w:val="5FBF1411"/>
    <w:rsid w:val="5FDFD11F"/>
    <w:rsid w:val="5FF36347"/>
    <w:rsid w:val="601559EF"/>
    <w:rsid w:val="60177884"/>
    <w:rsid w:val="60220673"/>
    <w:rsid w:val="6071095D"/>
    <w:rsid w:val="60A32AE1"/>
    <w:rsid w:val="60B94C4F"/>
    <w:rsid w:val="60CB3703"/>
    <w:rsid w:val="60CC028A"/>
    <w:rsid w:val="60F02AF1"/>
    <w:rsid w:val="6118458C"/>
    <w:rsid w:val="615C5E34"/>
    <w:rsid w:val="61662594"/>
    <w:rsid w:val="618E572E"/>
    <w:rsid w:val="61A74421"/>
    <w:rsid w:val="61CE0BAC"/>
    <w:rsid w:val="61DF6494"/>
    <w:rsid w:val="61F26A64"/>
    <w:rsid w:val="626620F7"/>
    <w:rsid w:val="627F470A"/>
    <w:rsid w:val="62943029"/>
    <w:rsid w:val="62A25C6E"/>
    <w:rsid w:val="62A37D0B"/>
    <w:rsid w:val="62A4048F"/>
    <w:rsid w:val="62BA2C1E"/>
    <w:rsid w:val="62EE47AC"/>
    <w:rsid w:val="6300246C"/>
    <w:rsid w:val="63070C54"/>
    <w:rsid w:val="630751B1"/>
    <w:rsid w:val="639E41E7"/>
    <w:rsid w:val="63C17E4E"/>
    <w:rsid w:val="641C30D3"/>
    <w:rsid w:val="644572E6"/>
    <w:rsid w:val="64522365"/>
    <w:rsid w:val="645361B5"/>
    <w:rsid w:val="64692E56"/>
    <w:rsid w:val="64714C94"/>
    <w:rsid w:val="64925346"/>
    <w:rsid w:val="649B14BA"/>
    <w:rsid w:val="64ED07CF"/>
    <w:rsid w:val="64EF56B2"/>
    <w:rsid w:val="64F26101"/>
    <w:rsid w:val="653C7CC9"/>
    <w:rsid w:val="65493C57"/>
    <w:rsid w:val="654D7B07"/>
    <w:rsid w:val="655E2FA5"/>
    <w:rsid w:val="65723C56"/>
    <w:rsid w:val="65B02E4A"/>
    <w:rsid w:val="65E66477"/>
    <w:rsid w:val="66293A88"/>
    <w:rsid w:val="664221BC"/>
    <w:rsid w:val="665F4929"/>
    <w:rsid w:val="668373B0"/>
    <w:rsid w:val="6683763C"/>
    <w:rsid w:val="66B141AA"/>
    <w:rsid w:val="66C56A5E"/>
    <w:rsid w:val="66EA3218"/>
    <w:rsid w:val="66EF4CD2"/>
    <w:rsid w:val="6738428A"/>
    <w:rsid w:val="67416F4F"/>
    <w:rsid w:val="674943E2"/>
    <w:rsid w:val="674C2196"/>
    <w:rsid w:val="67603DFB"/>
    <w:rsid w:val="6760469D"/>
    <w:rsid w:val="676517E2"/>
    <w:rsid w:val="67657539"/>
    <w:rsid w:val="676641E2"/>
    <w:rsid w:val="67674868"/>
    <w:rsid w:val="676A0C1E"/>
    <w:rsid w:val="67804BC2"/>
    <w:rsid w:val="67A96C2F"/>
    <w:rsid w:val="67AA70CF"/>
    <w:rsid w:val="67BD117B"/>
    <w:rsid w:val="67C603A8"/>
    <w:rsid w:val="67ED518F"/>
    <w:rsid w:val="680C5410"/>
    <w:rsid w:val="6826293F"/>
    <w:rsid w:val="68E453C1"/>
    <w:rsid w:val="68E819D9"/>
    <w:rsid w:val="68F465CF"/>
    <w:rsid w:val="68F63B5E"/>
    <w:rsid w:val="69016B9F"/>
    <w:rsid w:val="690C51FD"/>
    <w:rsid w:val="6953460B"/>
    <w:rsid w:val="69674FF3"/>
    <w:rsid w:val="698C182D"/>
    <w:rsid w:val="69CD63A9"/>
    <w:rsid w:val="69F71A96"/>
    <w:rsid w:val="69FA6E2F"/>
    <w:rsid w:val="6A137C72"/>
    <w:rsid w:val="6A180F0E"/>
    <w:rsid w:val="6A55309E"/>
    <w:rsid w:val="6A6228F8"/>
    <w:rsid w:val="6A6B5E84"/>
    <w:rsid w:val="6A753372"/>
    <w:rsid w:val="6A955B90"/>
    <w:rsid w:val="6A9D5C55"/>
    <w:rsid w:val="6AD961F2"/>
    <w:rsid w:val="6AE20FC5"/>
    <w:rsid w:val="6AFF08FD"/>
    <w:rsid w:val="6B074893"/>
    <w:rsid w:val="6B403DAF"/>
    <w:rsid w:val="6B494209"/>
    <w:rsid w:val="6B4D099E"/>
    <w:rsid w:val="6B551F5E"/>
    <w:rsid w:val="6B65218B"/>
    <w:rsid w:val="6B6B6DF5"/>
    <w:rsid w:val="6B70452B"/>
    <w:rsid w:val="6B8E2D0B"/>
    <w:rsid w:val="6BC55C54"/>
    <w:rsid w:val="6BC712E5"/>
    <w:rsid w:val="6BD17ADA"/>
    <w:rsid w:val="6BE96194"/>
    <w:rsid w:val="6BFD579B"/>
    <w:rsid w:val="6C184383"/>
    <w:rsid w:val="6C300BEF"/>
    <w:rsid w:val="6C733CAF"/>
    <w:rsid w:val="6C7914BB"/>
    <w:rsid w:val="6C7C2679"/>
    <w:rsid w:val="6C811E3C"/>
    <w:rsid w:val="6CB30550"/>
    <w:rsid w:val="6CE025C3"/>
    <w:rsid w:val="6CFE17CB"/>
    <w:rsid w:val="6D064B23"/>
    <w:rsid w:val="6D081AF7"/>
    <w:rsid w:val="6D142C45"/>
    <w:rsid w:val="6D324169"/>
    <w:rsid w:val="6D592EA5"/>
    <w:rsid w:val="6D5B4E6F"/>
    <w:rsid w:val="6DC6380F"/>
    <w:rsid w:val="6DD55035"/>
    <w:rsid w:val="6DDB1FB0"/>
    <w:rsid w:val="6E231A2E"/>
    <w:rsid w:val="6E3D4A5A"/>
    <w:rsid w:val="6E4C47B8"/>
    <w:rsid w:val="6E553EFF"/>
    <w:rsid w:val="6E6B472E"/>
    <w:rsid w:val="6E6E0BD2"/>
    <w:rsid w:val="6E8D107D"/>
    <w:rsid w:val="6E8F4E24"/>
    <w:rsid w:val="6EA055AB"/>
    <w:rsid w:val="6ECD58F9"/>
    <w:rsid w:val="6EF83195"/>
    <w:rsid w:val="6F2E7289"/>
    <w:rsid w:val="6F486140"/>
    <w:rsid w:val="6F4B2CC1"/>
    <w:rsid w:val="6F5D2D70"/>
    <w:rsid w:val="6F7B857F"/>
    <w:rsid w:val="6F9A0E50"/>
    <w:rsid w:val="6F9E381D"/>
    <w:rsid w:val="6FA0300D"/>
    <w:rsid w:val="6FCF56A0"/>
    <w:rsid w:val="6FE70C3C"/>
    <w:rsid w:val="6FEFA54D"/>
    <w:rsid w:val="701D628B"/>
    <w:rsid w:val="702552C0"/>
    <w:rsid w:val="704240C4"/>
    <w:rsid w:val="705C4F9C"/>
    <w:rsid w:val="708E6B53"/>
    <w:rsid w:val="70B063C4"/>
    <w:rsid w:val="70EE5FFA"/>
    <w:rsid w:val="7173778E"/>
    <w:rsid w:val="717C3606"/>
    <w:rsid w:val="71E7082E"/>
    <w:rsid w:val="71F72E7F"/>
    <w:rsid w:val="71FE04BF"/>
    <w:rsid w:val="72126C00"/>
    <w:rsid w:val="72181401"/>
    <w:rsid w:val="721B39FD"/>
    <w:rsid w:val="72335BCA"/>
    <w:rsid w:val="7239673F"/>
    <w:rsid w:val="723E7C60"/>
    <w:rsid w:val="724779A2"/>
    <w:rsid w:val="725A51F2"/>
    <w:rsid w:val="72753DE0"/>
    <w:rsid w:val="728D220E"/>
    <w:rsid w:val="72BA5126"/>
    <w:rsid w:val="72BF7C4E"/>
    <w:rsid w:val="732A15EB"/>
    <w:rsid w:val="732D4BB8"/>
    <w:rsid w:val="732E489D"/>
    <w:rsid w:val="733C0F35"/>
    <w:rsid w:val="7343262D"/>
    <w:rsid w:val="734B7FFB"/>
    <w:rsid w:val="735D258D"/>
    <w:rsid w:val="737C7606"/>
    <w:rsid w:val="73932152"/>
    <w:rsid w:val="73B427FD"/>
    <w:rsid w:val="73B452D9"/>
    <w:rsid w:val="73C61ADF"/>
    <w:rsid w:val="73C92D68"/>
    <w:rsid w:val="73D64974"/>
    <w:rsid w:val="742059B9"/>
    <w:rsid w:val="74281823"/>
    <w:rsid w:val="74607A2F"/>
    <w:rsid w:val="7462463E"/>
    <w:rsid w:val="74925F0B"/>
    <w:rsid w:val="74DF0F78"/>
    <w:rsid w:val="74F87447"/>
    <w:rsid w:val="74FA4A99"/>
    <w:rsid w:val="7507768A"/>
    <w:rsid w:val="750A5A6E"/>
    <w:rsid w:val="75420E50"/>
    <w:rsid w:val="7544268D"/>
    <w:rsid w:val="7547495E"/>
    <w:rsid w:val="75513BB1"/>
    <w:rsid w:val="755F83BF"/>
    <w:rsid w:val="75984376"/>
    <w:rsid w:val="75B70BAE"/>
    <w:rsid w:val="75BF7F65"/>
    <w:rsid w:val="75C713B3"/>
    <w:rsid w:val="75D91A10"/>
    <w:rsid w:val="75DFF4A2"/>
    <w:rsid w:val="75EF061D"/>
    <w:rsid w:val="75FC4D15"/>
    <w:rsid w:val="76053367"/>
    <w:rsid w:val="761C048A"/>
    <w:rsid w:val="76442C43"/>
    <w:rsid w:val="76866FD1"/>
    <w:rsid w:val="769431A0"/>
    <w:rsid w:val="76A21419"/>
    <w:rsid w:val="76A26D9E"/>
    <w:rsid w:val="76B734D4"/>
    <w:rsid w:val="76B77DE4"/>
    <w:rsid w:val="76CA4E14"/>
    <w:rsid w:val="76D561D1"/>
    <w:rsid w:val="76E370B0"/>
    <w:rsid w:val="76FE0FDF"/>
    <w:rsid w:val="77006251"/>
    <w:rsid w:val="77033763"/>
    <w:rsid w:val="77150974"/>
    <w:rsid w:val="7747205F"/>
    <w:rsid w:val="777143B7"/>
    <w:rsid w:val="77827D5E"/>
    <w:rsid w:val="779D132A"/>
    <w:rsid w:val="77DE2925"/>
    <w:rsid w:val="78133AC5"/>
    <w:rsid w:val="7832682A"/>
    <w:rsid w:val="784A620C"/>
    <w:rsid w:val="786D7278"/>
    <w:rsid w:val="78A759EB"/>
    <w:rsid w:val="78AF65D6"/>
    <w:rsid w:val="78BC02A6"/>
    <w:rsid w:val="78C61039"/>
    <w:rsid w:val="78E01BAE"/>
    <w:rsid w:val="79044B83"/>
    <w:rsid w:val="793955F3"/>
    <w:rsid w:val="79642EDA"/>
    <w:rsid w:val="798F5070"/>
    <w:rsid w:val="79CD0EA3"/>
    <w:rsid w:val="7A432F9C"/>
    <w:rsid w:val="7A652E89"/>
    <w:rsid w:val="7A7016AF"/>
    <w:rsid w:val="7A725040"/>
    <w:rsid w:val="7A730598"/>
    <w:rsid w:val="7A765ABC"/>
    <w:rsid w:val="7A8D418E"/>
    <w:rsid w:val="7A942D64"/>
    <w:rsid w:val="7A9528C0"/>
    <w:rsid w:val="7AA212F1"/>
    <w:rsid w:val="7AD711A3"/>
    <w:rsid w:val="7B01555A"/>
    <w:rsid w:val="7B8425C5"/>
    <w:rsid w:val="7B9A6B62"/>
    <w:rsid w:val="7B9C4A9A"/>
    <w:rsid w:val="7B9C66C0"/>
    <w:rsid w:val="7BAD0F8C"/>
    <w:rsid w:val="7BD227A0"/>
    <w:rsid w:val="7BD33363"/>
    <w:rsid w:val="7BD75E0D"/>
    <w:rsid w:val="7BDE63E4"/>
    <w:rsid w:val="7BE10152"/>
    <w:rsid w:val="7C3A1A0F"/>
    <w:rsid w:val="7C887303"/>
    <w:rsid w:val="7CAB26FF"/>
    <w:rsid w:val="7CE14D1F"/>
    <w:rsid w:val="7D207BED"/>
    <w:rsid w:val="7D2D15F3"/>
    <w:rsid w:val="7D6F598C"/>
    <w:rsid w:val="7D772685"/>
    <w:rsid w:val="7DCE6595"/>
    <w:rsid w:val="7DFD59FD"/>
    <w:rsid w:val="7E002EC9"/>
    <w:rsid w:val="7E0B421B"/>
    <w:rsid w:val="7E801EC1"/>
    <w:rsid w:val="7EB80D7B"/>
    <w:rsid w:val="7ED76320"/>
    <w:rsid w:val="7EE743A8"/>
    <w:rsid w:val="7EEE4C98"/>
    <w:rsid w:val="7F1906E6"/>
    <w:rsid w:val="7F8738A2"/>
    <w:rsid w:val="7FAD010E"/>
    <w:rsid w:val="7FB42B23"/>
    <w:rsid w:val="7FB44507"/>
    <w:rsid w:val="7FBB179D"/>
    <w:rsid w:val="7FBD085D"/>
    <w:rsid w:val="7FD85D2F"/>
    <w:rsid w:val="7FED36EB"/>
    <w:rsid w:val="7FF30F73"/>
    <w:rsid w:val="7FFB45BB"/>
    <w:rsid w:val="A6FA2137"/>
    <w:rsid w:val="B6F82D6A"/>
    <w:rsid w:val="B8EED84E"/>
    <w:rsid w:val="BEDCFA54"/>
    <w:rsid w:val="DF9B3535"/>
    <w:rsid w:val="DFFCF111"/>
    <w:rsid w:val="E7677DBF"/>
    <w:rsid w:val="E9FFBFBC"/>
    <w:rsid w:val="EDEB65A1"/>
    <w:rsid w:val="EEF98519"/>
    <w:rsid w:val="F9A2D5D9"/>
    <w:rsid w:val="FB7CBE2B"/>
    <w:rsid w:val="FBBF621C"/>
    <w:rsid w:val="FBFD771A"/>
    <w:rsid w:val="FD5D3A23"/>
    <w:rsid w:val="FEFEA4C7"/>
    <w:rsid w:val="FFBB4B35"/>
    <w:rsid w:val="FFFF9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line="360" w:lineRule="auto"/>
      <w:outlineLvl w:val="1"/>
    </w:pPr>
    <w:rPr>
      <w:rFonts w:ascii="Cambria" w:hAnsi="Cambria"/>
      <w:b/>
      <w:bCs/>
      <w:szCs w:val="32"/>
    </w:rPr>
  </w:style>
  <w:style w:type="paragraph" w:styleId="4">
    <w:name w:val="heading 3"/>
    <w:basedOn w:val="1"/>
    <w:next w:val="1"/>
    <w:qFormat/>
    <w:uiPriority w:val="0"/>
    <w:pPr>
      <w:keepNext/>
      <w:keepLines/>
      <w:outlineLvl w:val="2"/>
    </w:pPr>
    <w:rPr>
      <w:b/>
      <w:bCs/>
      <w:kern w:val="0"/>
      <w:sz w:val="20"/>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numPr>
        <w:ilvl w:val="0"/>
        <w:numId w:val="1"/>
      </w:numPr>
    </w:pPr>
  </w:style>
  <w:style w:type="paragraph" w:styleId="6">
    <w:name w:val="Normal Indent"/>
    <w:basedOn w:val="1"/>
    <w:qFormat/>
    <w:uiPriority w:val="0"/>
    <w:pPr>
      <w:ind w:firstLine="488"/>
    </w:pPr>
  </w:style>
  <w:style w:type="paragraph" w:styleId="7">
    <w:name w:val="annotation text"/>
    <w:basedOn w:val="1"/>
    <w:link w:val="38"/>
    <w:qFormat/>
    <w:uiPriority w:val="0"/>
    <w:pPr>
      <w:jc w:val="left"/>
    </w:pPr>
  </w:style>
  <w:style w:type="paragraph" w:styleId="8">
    <w:name w:val="Salutation"/>
    <w:basedOn w:val="1"/>
    <w:next w:val="1"/>
    <w:qFormat/>
    <w:uiPriority w:val="0"/>
    <w:rPr>
      <w:sz w:val="24"/>
    </w:rPr>
  </w:style>
  <w:style w:type="paragraph" w:styleId="9">
    <w:name w:val="Body Text"/>
    <w:basedOn w:val="1"/>
    <w:next w:val="10"/>
    <w:link w:val="40"/>
    <w:qFormat/>
    <w:uiPriority w:val="0"/>
    <w:pPr>
      <w:spacing w:after="120"/>
    </w:pPr>
    <w:rPr>
      <w:sz w:val="24"/>
    </w:rPr>
  </w:style>
  <w:style w:type="paragraph" w:styleId="10">
    <w:name w:val="Body Text First Indent"/>
    <w:basedOn w:val="9"/>
    <w:next w:val="1"/>
    <w:unhideWhenUsed/>
    <w:qFormat/>
    <w:uiPriority w:val="0"/>
    <w:pPr>
      <w:ind w:firstLine="420" w:firstLineChars="100"/>
    </w:pPr>
    <w:rPr>
      <w:rFonts w:ascii="Times New Roman"/>
      <w:sz w:val="21"/>
    </w:rPr>
  </w:style>
  <w:style w:type="paragraph" w:styleId="11">
    <w:name w:val="Body Text Indent"/>
    <w:basedOn w:val="1"/>
    <w:next w:val="6"/>
    <w:qFormat/>
    <w:uiPriority w:val="0"/>
    <w:pPr>
      <w:spacing w:line="200" w:lineRule="exact"/>
      <w:ind w:firstLine="301"/>
    </w:pPr>
    <w:rPr>
      <w:rFonts w:ascii="宋体" w:hAnsi="Courier New"/>
      <w:spacing w:val="-4"/>
      <w:sz w:val="18"/>
      <w:szCs w:val="20"/>
    </w:rPr>
  </w:style>
  <w:style w:type="paragraph" w:styleId="12">
    <w:name w:val="List 2"/>
    <w:basedOn w:val="1"/>
    <w:qFormat/>
    <w:uiPriority w:val="0"/>
    <w:pPr>
      <w:ind w:left="100" w:leftChars="200" w:hanging="200" w:hangingChars="200"/>
    </w:pPr>
  </w:style>
  <w:style w:type="paragraph" w:styleId="13">
    <w:name w:val="Block Text"/>
    <w:basedOn w:val="1"/>
    <w:next w:val="1"/>
    <w:qFormat/>
    <w:uiPriority w:val="0"/>
    <w:pPr>
      <w:autoSpaceDE w:val="0"/>
      <w:autoSpaceDN w:val="0"/>
      <w:adjustRightInd w:val="0"/>
      <w:spacing w:line="360" w:lineRule="auto"/>
      <w:ind w:left="237" w:right="216" w:firstLine="420"/>
    </w:pPr>
    <w:rPr>
      <w:rFonts w:ascii="宋体" w:hAnsi="宋体"/>
      <w:kern w:val="0"/>
      <w:sz w:val="24"/>
      <w:szCs w:val="21"/>
    </w:rPr>
  </w:style>
  <w:style w:type="paragraph" w:styleId="14">
    <w:name w:val="Plain Text"/>
    <w:basedOn w:val="1"/>
    <w:next w:val="6"/>
    <w:qFormat/>
    <w:uiPriority w:val="0"/>
    <w:rPr>
      <w:rFonts w:ascii="宋体" w:hAnsi="Courier New" w:eastAsia="仿宋_GB2312"/>
      <w:sz w:val="30"/>
    </w:rPr>
  </w:style>
  <w:style w:type="paragraph" w:styleId="15">
    <w:name w:val="Body Text Indent 2"/>
    <w:basedOn w:val="1"/>
    <w:qFormat/>
    <w:uiPriority w:val="99"/>
    <w:pPr>
      <w:snapToGrid w:val="0"/>
      <w:ind w:firstLine="542" w:firstLineChars="225"/>
    </w:pPr>
    <w:rPr>
      <w:kern w:val="0"/>
      <w:sz w:val="24"/>
    </w:rPr>
  </w:style>
  <w:style w:type="paragraph" w:styleId="16">
    <w:name w:val="Balloon Text"/>
    <w:basedOn w:val="1"/>
    <w:link w:val="71"/>
    <w:qFormat/>
    <w:uiPriority w:val="0"/>
    <w:rPr>
      <w:sz w:val="18"/>
      <w:szCs w:val="18"/>
    </w:rPr>
  </w:style>
  <w:style w:type="paragraph" w:styleId="17">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4"/>
    <w:next w:val="1"/>
    <w:qFormat/>
    <w:uiPriority w:val="0"/>
    <w:pPr>
      <w:wordWrap w:val="0"/>
      <w:ind w:left="850"/>
      <w:jc w:val="both"/>
    </w:pPr>
    <w:rPr>
      <w:rFonts w:ascii="Calibri" w:hAnsi="Calibri" w:eastAsia="宋体" w:cs="Times New Roman"/>
      <w:sz w:val="21"/>
      <w:lang w:val="en-US" w:eastAsia="zh-CN" w:bidi="ar-SA"/>
    </w:rPr>
  </w:style>
  <w:style w:type="paragraph" w:styleId="20">
    <w:name w:val="toc 6"/>
    <w:basedOn w:val="1"/>
    <w:next w:val="1"/>
    <w:qFormat/>
    <w:uiPriority w:val="0"/>
    <w:pPr>
      <w:ind w:left="2100"/>
    </w:pPr>
    <w:rPr>
      <w:kern w:val="1"/>
    </w:rPr>
  </w:style>
  <w:style w:type="paragraph" w:styleId="21">
    <w:name w:val="table of figures"/>
    <w:basedOn w:val="1"/>
    <w:next w:val="1"/>
    <w:semiHidden/>
    <w:qFormat/>
    <w:uiPriority w:val="0"/>
    <w:pPr>
      <w:spacing w:line="560" w:lineRule="exact"/>
    </w:pPr>
    <w:rPr>
      <w:b/>
      <w:sz w:val="28"/>
    </w:rPr>
  </w:style>
  <w:style w:type="paragraph" w:styleId="22">
    <w:name w:val="Normal (Web)"/>
    <w:basedOn w:val="1"/>
    <w:qFormat/>
    <w:uiPriority w:val="99"/>
    <w:pPr>
      <w:spacing w:before="100" w:beforeAutospacing="1" w:after="100" w:afterAutospacing="1"/>
      <w:jc w:val="left"/>
    </w:pPr>
    <w:rPr>
      <w:kern w:val="0"/>
      <w:sz w:val="24"/>
    </w:rPr>
  </w:style>
  <w:style w:type="paragraph" w:styleId="23">
    <w:name w:val="index 1"/>
    <w:basedOn w:val="1"/>
    <w:next w:val="1"/>
    <w:qFormat/>
    <w:uiPriority w:val="0"/>
    <w:pPr>
      <w:tabs>
        <w:tab w:val="left" w:pos="900"/>
      </w:tabs>
      <w:adjustRightInd w:val="0"/>
      <w:ind w:firstLine="420" w:firstLineChars="200"/>
    </w:pPr>
    <w:rPr>
      <w:rFonts w:ascii="宋体" w:hAnsi="宋体"/>
    </w:rPr>
  </w:style>
  <w:style w:type="paragraph" w:styleId="24">
    <w:name w:val="Title"/>
    <w:basedOn w:val="1"/>
    <w:qFormat/>
    <w:uiPriority w:val="0"/>
    <w:pPr>
      <w:spacing w:before="240" w:after="60"/>
      <w:jc w:val="center"/>
      <w:outlineLvl w:val="0"/>
    </w:pPr>
    <w:rPr>
      <w:rFonts w:ascii="Arial" w:hAnsi="Arial" w:eastAsia="黑体"/>
      <w:b/>
      <w:bCs/>
      <w:sz w:val="44"/>
      <w:szCs w:val="32"/>
    </w:rPr>
  </w:style>
  <w:style w:type="paragraph" w:styleId="25">
    <w:name w:val="Body Text First Indent 2"/>
    <w:basedOn w:val="26"/>
    <w:qFormat/>
    <w:uiPriority w:val="0"/>
    <w:pPr>
      <w:tabs>
        <w:tab w:val="left" w:pos="0"/>
        <w:tab w:val="left" w:pos="1260"/>
        <w:tab w:val="left" w:pos="1365"/>
      </w:tabs>
      <w:ind w:firstLine="420"/>
    </w:pPr>
    <w:rPr>
      <w:rFonts w:ascii="Times New Roman"/>
    </w:rPr>
  </w:style>
  <w:style w:type="paragraph" w:customStyle="1" w:styleId="26">
    <w:name w:val="Body Text Indent1"/>
    <w:basedOn w:val="1"/>
    <w:next w:val="27"/>
    <w:qFormat/>
    <w:uiPriority w:val="99"/>
    <w:pPr>
      <w:spacing w:line="200" w:lineRule="exact"/>
      <w:ind w:firstLine="301"/>
    </w:pPr>
    <w:rPr>
      <w:rFonts w:ascii="宋体" w:hAnsi="Courier New"/>
      <w:spacing w:val="-4"/>
      <w:kern w:val="0"/>
      <w:sz w:val="18"/>
    </w:rPr>
  </w:style>
  <w:style w:type="paragraph" w:customStyle="1" w:styleId="27">
    <w:name w:val="BodyText1I2"/>
    <w:basedOn w:val="28"/>
    <w:qFormat/>
    <w:uiPriority w:val="0"/>
    <w:pPr>
      <w:ind w:firstLine="420"/>
    </w:pPr>
  </w:style>
  <w:style w:type="paragraph" w:customStyle="1" w:styleId="28">
    <w:name w:val="BodyTextIndent"/>
    <w:basedOn w:val="1"/>
    <w:next w:val="27"/>
    <w:qFormat/>
    <w:uiPriority w:val="0"/>
    <w:pPr>
      <w:spacing w:after="120"/>
      <w:ind w:left="420" w:left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style>
  <w:style w:type="character" w:styleId="33">
    <w:name w:val="Hyperlink"/>
    <w:basedOn w:val="31"/>
    <w:qFormat/>
    <w:uiPriority w:val="99"/>
    <w:rPr>
      <w:color w:val="0000FF"/>
      <w:u w:val="single"/>
    </w:rPr>
  </w:style>
  <w:style w:type="character" w:styleId="34">
    <w:name w:val="annotation reference"/>
    <w:basedOn w:val="31"/>
    <w:qFormat/>
    <w:uiPriority w:val="0"/>
    <w:rPr>
      <w:sz w:val="21"/>
      <w:szCs w:val="21"/>
    </w:rPr>
  </w:style>
  <w:style w:type="paragraph" w:customStyle="1" w:styleId="35">
    <w:name w:val="表格文字"/>
    <w:basedOn w:val="1"/>
    <w:next w:val="9"/>
    <w:qFormat/>
    <w:uiPriority w:val="0"/>
    <w:rPr>
      <w:sz w:val="18"/>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批注主题 Char"/>
    <w:basedOn w:val="38"/>
    <w:link w:val="39"/>
    <w:semiHidden/>
    <w:qFormat/>
    <w:uiPriority w:val="0"/>
    <w:rPr>
      <w:rFonts w:ascii="Calibri" w:hAnsi="Calibri"/>
      <w:b/>
      <w:bCs/>
      <w:kern w:val="2"/>
      <w:sz w:val="21"/>
      <w:szCs w:val="24"/>
    </w:rPr>
  </w:style>
  <w:style w:type="character" w:customStyle="1" w:styleId="38">
    <w:name w:val="批注文字 Char"/>
    <w:basedOn w:val="31"/>
    <w:link w:val="7"/>
    <w:semiHidden/>
    <w:qFormat/>
    <w:uiPriority w:val="0"/>
    <w:rPr>
      <w:rFonts w:ascii="Calibri" w:hAnsi="Calibri"/>
      <w:kern w:val="2"/>
      <w:sz w:val="21"/>
      <w:szCs w:val="24"/>
    </w:rPr>
  </w:style>
  <w:style w:type="paragraph" w:customStyle="1" w:styleId="39">
    <w:name w:val="批注主题1"/>
    <w:basedOn w:val="7"/>
    <w:next w:val="7"/>
    <w:link w:val="37"/>
    <w:qFormat/>
    <w:uiPriority w:val="0"/>
    <w:rPr>
      <w:b/>
      <w:bCs/>
    </w:rPr>
  </w:style>
  <w:style w:type="character" w:customStyle="1" w:styleId="40">
    <w:name w:val="正文文本 Char"/>
    <w:basedOn w:val="31"/>
    <w:link w:val="9"/>
    <w:semiHidden/>
    <w:qFormat/>
    <w:uiPriority w:val="0"/>
    <w:rPr>
      <w:rFonts w:ascii="Calibri" w:hAnsi="Calibri"/>
      <w:sz w:val="24"/>
      <w:szCs w:val="24"/>
    </w:rPr>
  </w:style>
  <w:style w:type="character" w:customStyle="1" w:styleId="41">
    <w:name w:val="纯文本 Char"/>
    <w:link w:val="42"/>
    <w:qFormat/>
    <w:uiPriority w:val="0"/>
    <w:rPr>
      <w:rFonts w:ascii="宋体" w:hAnsi="Courier New" w:eastAsia="仿宋_GB2312"/>
      <w:kern w:val="2"/>
      <w:sz w:val="30"/>
      <w:szCs w:val="24"/>
    </w:rPr>
  </w:style>
  <w:style w:type="paragraph" w:customStyle="1" w:styleId="42">
    <w:name w:val="纯文本1"/>
    <w:basedOn w:val="43"/>
    <w:link w:val="41"/>
    <w:qFormat/>
    <w:uiPriority w:val="0"/>
    <w:pPr>
      <w:spacing w:beforeLines="50" w:afterLines="50" w:line="400" w:lineRule="exact"/>
    </w:pPr>
    <w:rPr>
      <w:rFonts w:ascii="宋体" w:hAnsi="Courier New" w:eastAsia="仿宋_GB2312"/>
      <w:sz w:val="30"/>
    </w:rPr>
  </w:style>
  <w:style w:type="paragraph" w:customStyle="1" w:styleId="43">
    <w:name w:val="正文1"/>
    <w:qFormat/>
    <w:uiPriority w:val="0"/>
    <w:pPr>
      <w:widowControl w:val="0"/>
      <w:jc w:val="both"/>
    </w:pPr>
    <w:rPr>
      <w:rFonts w:ascii="Calibri" w:hAnsi="Calibri" w:eastAsia="宋体" w:cs="Calibri"/>
      <w:kern w:val="2"/>
      <w:sz w:val="21"/>
      <w:szCs w:val="21"/>
      <w:lang w:val="en-US" w:eastAsia="zh-CN" w:bidi="ar-SA"/>
    </w:rPr>
  </w:style>
  <w:style w:type="character" w:customStyle="1" w:styleId="44">
    <w:name w:val="批注框文本 Char"/>
    <w:basedOn w:val="31"/>
    <w:link w:val="45"/>
    <w:semiHidden/>
    <w:qFormat/>
    <w:uiPriority w:val="0"/>
    <w:rPr>
      <w:rFonts w:ascii="Calibri" w:hAnsi="Calibri"/>
      <w:kern w:val="2"/>
      <w:sz w:val="18"/>
      <w:szCs w:val="18"/>
    </w:rPr>
  </w:style>
  <w:style w:type="paragraph" w:customStyle="1" w:styleId="45">
    <w:name w:val="批注框文本1"/>
    <w:basedOn w:val="1"/>
    <w:link w:val="44"/>
    <w:qFormat/>
    <w:uiPriority w:val="0"/>
    <w:rPr>
      <w:sz w:val="18"/>
      <w:szCs w:val="18"/>
    </w:rPr>
  </w:style>
  <w:style w:type="paragraph" w:customStyle="1" w:styleId="46">
    <w:name w:val="正文文本缩进1"/>
    <w:basedOn w:val="1"/>
    <w:qFormat/>
    <w:uiPriority w:val="0"/>
    <w:pPr>
      <w:spacing w:line="200" w:lineRule="exact"/>
      <w:ind w:firstLine="301"/>
    </w:pPr>
    <w:rPr>
      <w:rFonts w:ascii="宋体" w:hAnsi="Courier New"/>
      <w:spacing w:val="-4"/>
      <w:kern w:val="0"/>
      <w:sz w:val="18"/>
    </w:rPr>
  </w:style>
  <w:style w:type="paragraph" w:customStyle="1" w:styleId="47">
    <w:name w:val="纯文本2"/>
    <w:basedOn w:val="1"/>
    <w:qFormat/>
    <w:uiPriority w:val="0"/>
    <w:rPr>
      <w:rFonts w:ascii="宋体" w:hAnsi="Courier New" w:eastAsia="仿宋_GB2312"/>
      <w:sz w:val="30"/>
    </w:rPr>
  </w:style>
  <w:style w:type="paragraph" w:customStyle="1" w:styleId="48">
    <w:name w:val="普通(网站)1"/>
    <w:basedOn w:val="1"/>
    <w:qFormat/>
    <w:uiPriority w:val="0"/>
    <w:pPr>
      <w:spacing w:beforeAutospacing="1" w:afterAutospacing="1"/>
      <w:jc w:val="left"/>
    </w:pPr>
    <w:rPr>
      <w:kern w:val="0"/>
      <w:sz w:val="24"/>
    </w:rPr>
  </w:style>
  <w:style w:type="paragraph" w:customStyle="1" w:styleId="49">
    <w:name w:val="正文缩进1"/>
    <w:basedOn w:val="1"/>
    <w:qFormat/>
    <w:uiPriority w:val="0"/>
    <w:pPr>
      <w:ind w:firstLine="420" w:firstLineChars="200"/>
    </w:pPr>
  </w:style>
  <w:style w:type="paragraph" w:customStyle="1" w:styleId="50">
    <w:name w:val="正文文本 31"/>
    <w:basedOn w:val="1"/>
    <w:qFormat/>
    <w:uiPriority w:val="0"/>
    <w:pPr>
      <w:spacing w:after="120"/>
    </w:pPr>
    <w:rPr>
      <w:kern w:val="0"/>
      <w:sz w:val="16"/>
      <w:szCs w:val="16"/>
    </w:rPr>
  </w:style>
  <w:style w:type="paragraph" w:customStyle="1" w:styleId="51">
    <w:name w:val="正文文本缩进11"/>
    <w:basedOn w:val="1"/>
    <w:qFormat/>
    <w:uiPriority w:val="0"/>
    <w:pPr>
      <w:spacing w:line="200" w:lineRule="exact"/>
      <w:ind w:firstLine="301"/>
    </w:pPr>
    <w:rPr>
      <w:szCs w:val="20"/>
    </w:rPr>
  </w:style>
  <w:style w:type="paragraph" w:customStyle="1" w:styleId="52">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53">
    <w:name w:val="正文文本缩进 21"/>
    <w:basedOn w:val="1"/>
    <w:qFormat/>
    <w:uiPriority w:val="0"/>
    <w:pPr>
      <w:snapToGrid w:val="0"/>
      <w:ind w:firstLine="542" w:firstLineChars="225"/>
    </w:pPr>
    <w:rPr>
      <w:kern w:val="0"/>
      <w:sz w:val="24"/>
    </w:rPr>
  </w:style>
  <w:style w:type="paragraph" w:customStyle="1" w:styleId="54">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55">
    <w:name w:val="普通(网站)11"/>
    <w:basedOn w:val="1"/>
    <w:qFormat/>
    <w:uiPriority w:val="0"/>
    <w:pPr>
      <w:widowControl/>
      <w:spacing w:beforeAutospacing="1" w:afterAutospacing="1"/>
      <w:jc w:val="left"/>
    </w:pPr>
    <w:rPr>
      <w:rFonts w:ascii="宋体" w:hAnsi="宋体"/>
      <w:kern w:val="0"/>
      <w:sz w:val="24"/>
    </w:rPr>
  </w:style>
  <w:style w:type="paragraph" w:customStyle="1" w:styleId="56">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57">
    <w:name w:val="列表 21"/>
    <w:basedOn w:val="1"/>
    <w:qFormat/>
    <w:uiPriority w:val="0"/>
    <w:pPr>
      <w:ind w:left="200" w:leftChars="200" w:hanging="200" w:hangingChars="200"/>
    </w:pPr>
    <w:rPr>
      <w:sz w:val="28"/>
      <w:szCs w:val="20"/>
    </w:rPr>
  </w:style>
  <w:style w:type="paragraph" w:customStyle="1" w:styleId="58">
    <w:name w:val="默认段落字体 Para Char Char Char Char Char Char Char Char Char1 Char Char Char Char"/>
    <w:basedOn w:val="1"/>
    <w:qFormat/>
    <w:uiPriority w:val="99"/>
    <w:rPr>
      <w:rFonts w:ascii="Tahoma" w:hAnsi="Tahoma"/>
      <w:sz w:val="24"/>
      <w:szCs w:val="20"/>
    </w:rPr>
  </w:style>
  <w:style w:type="paragraph" w:customStyle="1" w:styleId="59">
    <w:name w:val="纯文本21"/>
    <w:basedOn w:val="1"/>
    <w:qFormat/>
    <w:uiPriority w:val="0"/>
    <w:pPr>
      <w:spacing w:beforeLines="50" w:afterLines="50" w:line="400" w:lineRule="exact"/>
    </w:pPr>
    <w:rPr>
      <w:rFonts w:ascii="宋体" w:hAnsi="Courier New"/>
      <w:szCs w:val="21"/>
    </w:rPr>
  </w:style>
  <w:style w:type="paragraph" w:customStyle="1" w:styleId="60">
    <w:name w:val="彩色列表 - 强调文字颜色 11"/>
    <w:basedOn w:val="1"/>
    <w:qFormat/>
    <w:uiPriority w:val="0"/>
    <w:pPr>
      <w:ind w:firstLine="420" w:firstLineChars="200"/>
    </w:pPr>
  </w:style>
  <w:style w:type="paragraph" w:customStyle="1" w:styleId="61">
    <w:name w:val="修订1"/>
    <w:qFormat/>
    <w:uiPriority w:val="0"/>
    <w:rPr>
      <w:rFonts w:ascii="Calibri" w:hAnsi="Calibri" w:eastAsia="宋体" w:cs="Times New Roman"/>
      <w:kern w:val="2"/>
      <w:sz w:val="21"/>
      <w:szCs w:val="24"/>
      <w:lang w:val="en-US" w:eastAsia="zh-CN" w:bidi="ar-SA"/>
    </w:rPr>
  </w:style>
  <w:style w:type="paragraph" w:customStyle="1" w:styleId="62">
    <w:name w:val="列出段落1"/>
    <w:basedOn w:val="1"/>
    <w:qFormat/>
    <w:uiPriority w:val="0"/>
    <w:pPr>
      <w:ind w:firstLine="420" w:firstLineChars="200"/>
    </w:pPr>
  </w:style>
  <w:style w:type="paragraph" w:customStyle="1" w:styleId="63">
    <w:name w:val="纯文本3"/>
    <w:basedOn w:val="1"/>
    <w:qFormat/>
    <w:uiPriority w:val="0"/>
    <w:pPr>
      <w:adjustRightInd w:val="0"/>
      <w:textAlignment w:val="baseline"/>
    </w:pPr>
    <w:rPr>
      <w:rFonts w:ascii="宋体" w:hAnsi="Courier New" w:eastAsia="楷体_GB2312"/>
      <w:sz w:val="26"/>
      <w:szCs w:val="20"/>
    </w:rPr>
  </w:style>
  <w:style w:type="paragraph" w:customStyle="1" w:styleId="6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5">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66">
    <w:name w:val="纯文本4"/>
    <w:basedOn w:val="1"/>
    <w:qFormat/>
    <w:uiPriority w:val="0"/>
    <w:pPr>
      <w:adjustRightInd w:val="0"/>
      <w:textAlignment w:val="baseline"/>
    </w:pPr>
    <w:rPr>
      <w:rFonts w:ascii="宋体" w:hAnsi="Courier New" w:eastAsia="楷体_GB2312"/>
      <w:sz w:val="26"/>
      <w:szCs w:val="20"/>
    </w:rPr>
  </w:style>
  <w:style w:type="paragraph" w:customStyle="1" w:styleId="67">
    <w:name w:val="Table Paragraph"/>
    <w:basedOn w:val="1"/>
    <w:qFormat/>
    <w:uiPriority w:val="0"/>
    <w:pPr>
      <w:jc w:val="left"/>
    </w:pPr>
    <w:rPr>
      <w:kern w:val="0"/>
      <w:sz w:val="22"/>
      <w:szCs w:val="22"/>
      <w:lang w:eastAsia="en-US"/>
    </w:rPr>
  </w:style>
  <w:style w:type="character" w:customStyle="1" w:styleId="68">
    <w:name w:val="批注引用1"/>
    <w:basedOn w:val="31"/>
    <w:qFormat/>
    <w:uiPriority w:val="0"/>
    <w:rPr>
      <w:sz w:val="21"/>
      <w:szCs w:val="21"/>
    </w:rPr>
  </w:style>
  <w:style w:type="character" w:customStyle="1" w:styleId="69">
    <w:name w:val="标题 2 Char Char"/>
    <w:qFormat/>
    <w:uiPriority w:val="0"/>
    <w:rPr>
      <w:rFonts w:eastAsia="宋体"/>
      <w:kern w:val="2"/>
      <w:sz w:val="28"/>
      <w:lang w:val="en-US" w:eastAsia="zh-CN" w:bidi="ar-SA"/>
    </w:rPr>
  </w:style>
  <w:style w:type="paragraph" w:customStyle="1" w:styleId="70">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character" w:customStyle="1" w:styleId="71">
    <w:name w:val="批注框文本 Char1"/>
    <w:basedOn w:val="31"/>
    <w:link w:val="16"/>
    <w:qFormat/>
    <w:uiPriority w:val="0"/>
    <w:rPr>
      <w:rFonts w:ascii="Calibri" w:hAnsi="Calibri"/>
      <w:kern w:val="2"/>
      <w:sz w:val="18"/>
      <w:szCs w:val="18"/>
    </w:rPr>
  </w:style>
  <w:style w:type="paragraph" w:customStyle="1" w:styleId="72">
    <w:name w:val="列表段落1"/>
    <w:basedOn w:val="1"/>
    <w:unhideWhenUsed/>
    <w:qFormat/>
    <w:uiPriority w:val="99"/>
    <w:pPr>
      <w:ind w:firstLine="420" w:firstLineChars="200"/>
    </w:pPr>
  </w:style>
  <w:style w:type="paragraph" w:customStyle="1" w:styleId="73">
    <w:name w:val="纯文本5"/>
    <w:basedOn w:val="1"/>
    <w:qFormat/>
    <w:uiPriority w:val="0"/>
    <w:rPr>
      <w:rFonts w:ascii="宋体" w:hAnsi="Courier New" w:eastAsia="仿宋_GB2312"/>
      <w:sz w:val="30"/>
    </w:rPr>
  </w:style>
  <w:style w:type="paragraph" w:customStyle="1" w:styleId="74">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75">
    <w:name w:val="正文文本缩进2"/>
    <w:basedOn w:val="1"/>
    <w:qFormat/>
    <w:uiPriority w:val="0"/>
    <w:pPr>
      <w:spacing w:line="200" w:lineRule="exact"/>
      <w:ind w:firstLine="301"/>
    </w:pPr>
    <w:rPr>
      <w:rFonts w:ascii="宋体" w:hAnsi="Courier New"/>
      <w:spacing w:val="-4"/>
      <w:kern w:val="0"/>
      <w:sz w:val="18"/>
    </w:rPr>
  </w:style>
  <w:style w:type="paragraph" w:customStyle="1" w:styleId="76">
    <w:name w:val="正文文本 32"/>
    <w:basedOn w:val="1"/>
    <w:qFormat/>
    <w:uiPriority w:val="0"/>
    <w:pPr>
      <w:spacing w:after="120"/>
    </w:pPr>
    <w:rPr>
      <w:kern w:val="0"/>
      <w:sz w:val="16"/>
      <w:szCs w:val="16"/>
    </w:rPr>
  </w:style>
  <w:style w:type="paragraph" w:styleId="77">
    <w:name w:val="List Paragraph"/>
    <w:basedOn w:val="1"/>
    <w:unhideWhenUsed/>
    <w:qFormat/>
    <w:uiPriority w:val="99"/>
    <w:pPr>
      <w:ind w:firstLine="420" w:firstLineChars="200"/>
    </w:pPr>
  </w:style>
  <w:style w:type="paragraph" w:customStyle="1" w:styleId="78">
    <w:name w:val="标题一"/>
    <w:basedOn w:val="1"/>
    <w:qFormat/>
    <w:uiPriority w:val="0"/>
    <w:pPr>
      <w:widowControl/>
      <w:numPr>
        <w:ilvl w:val="0"/>
        <w:numId w:val="3"/>
      </w:numPr>
      <w:spacing w:beforeLines="50" w:line="600" w:lineRule="exact"/>
      <w:jc w:val="left"/>
      <w:outlineLvl w:val="0"/>
    </w:pPr>
    <w:rPr>
      <w:rFonts w:hint="eastAsia" w:ascii="宋体" w:hAnsi="宋体" w:eastAsia="黑体"/>
      <w:bCs/>
      <w:kern w:val="44"/>
      <w:sz w:val="32"/>
      <w:szCs w:val="30"/>
    </w:rPr>
  </w:style>
  <w:style w:type="paragraph" w:customStyle="1" w:styleId="79">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80">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81">
    <w:name w:val="Style1"/>
    <w:basedOn w:val="1"/>
    <w:qFormat/>
    <w:uiPriority w:val="0"/>
    <w:pPr>
      <w:widowControl/>
      <w:spacing w:after="120"/>
    </w:pPr>
    <w:rPr>
      <w:rFonts w:ascii="Times New Roman" w:hAnsi="Times New Roman"/>
      <w:spacing w:val="-3"/>
      <w:kern w:val="0"/>
      <w:sz w:val="24"/>
      <w:szCs w:val="20"/>
      <w:lang w:val="en-AU" w:eastAsia="en-US"/>
    </w:rPr>
  </w:style>
  <w:style w:type="paragraph" w:customStyle="1" w:styleId="82">
    <w:name w:val="Normal_53"/>
    <w:qFormat/>
    <w:uiPriority w:val="0"/>
    <w:pPr>
      <w:spacing w:before="120" w:after="240"/>
      <w:jc w:val="both"/>
    </w:pPr>
    <w:rPr>
      <w:rFonts w:ascii="Calibri" w:hAnsi="Calibri" w:eastAsia="Calibri" w:cs="Times New Roman"/>
      <w:sz w:val="22"/>
      <w:szCs w:val="22"/>
      <w:lang w:val="en-US" w:eastAsia="en-US" w:bidi="ar-SA"/>
    </w:rPr>
  </w:style>
  <w:style w:type="character" w:customStyle="1" w:styleId="83">
    <w:name w:val="font71"/>
    <w:basedOn w:val="31"/>
    <w:qFormat/>
    <w:uiPriority w:val="0"/>
    <w:rPr>
      <w:rFonts w:hint="eastAsia" w:ascii="宋体" w:hAnsi="宋体" w:eastAsia="宋体" w:cs="宋体"/>
      <w:b/>
      <w:bCs/>
      <w:color w:val="000000"/>
      <w:sz w:val="20"/>
      <w:szCs w:val="20"/>
      <w:u w:val="none"/>
    </w:rPr>
  </w:style>
  <w:style w:type="character" w:customStyle="1" w:styleId="84">
    <w:name w:val="font11"/>
    <w:basedOn w:val="31"/>
    <w:qFormat/>
    <w:uiPriority w:val="0"/>
    <w:rPr>
      <w:rFonts w:ascii="Arial" w:hAnsi="Arial" w:cs="Arial"/>
      <w:b/>
      <w:bCs/>
      <w:color w:val="000000"/>
      <w:sz w:val="20"/>
      <w:szCs w:val="20"/>
      <w:u w:val="none"/>
    </w:rPr>
  </w:style>
  <w:style w:type="character" w:customStyle="1" w:styleId="85">
    <w:name w:val="font31"/>
    <w:basedOn w:val="31"/>
    <w:qFormat/>
    <w:uiPriority w:val="0"/>
    <w:rPr>
      <w:rFonts w:hint="eastAsia" w:ascii="宋体" w:hAnsi="宋体" w:eastAsia="宋体" w:cs="宋体"/>
      <w:color w:val="000000"/>
      <w:sz w:val="20"/>
      <w:szCs w:val="20"/>
      <w:u w:val="none"/>
    </w:rPr>
  </w:style>
  <w:style w:type="character" w:customStyle="1" w:styleId="86">
    <w:name w:val="font81"/>
    <w:basedOn w:val="31"/>
    <w:qFormat/>
    <w:uiPriority w:val="0"/>
    <w:rPr>
      <w:rFonts w:hint="eastAsia" w:ascii="宋体" w:hAnsi="宋体" w:eastAsia="宋体" w:cs="宋体"/>
      <w:color w:val="000000"/>
      <w:sz w:val="20"/>
      <w:szCs w:val="20"/>
      <w:u w:val="none"/>
      <w:vertAlign w:val="superscript"/>
    </w:rPr>
  </w:style>
  <w:style w:type="paragraph" w:customStyle="1" w:styleId="87">
    <w:name w:val="图"/>
    <w:basedOn w:val="1"/>
    <w:qFormat/>
    <w:uiPriority w:val="0"/>
    <w:pPr>
      <w:keepNext/>
      <w:adjustRightInd w:val="0"/>
      <w:snapToGrid w:val="0"/>
      <w:spacing w:before="60" w:after="60" w:line="300" w:lineRule="auto"/>
      <w:jc w:val="center"/>
    </w:pPr>
    <w:rPr>
      <w:spacing w:val="20"/>
      <w:kern w:val="0"/>
      <w:sz w:val="24"/>
    </w:rPr>
  </w:style>
  <w:style w:type="table" w:customStyle="1" w:styleId="88">
    <w:name w:val="Table Normal"/>
    <w:semiHidden/>
    <w:unhideWhenUsed/>
    <w:qFormat/>
    <w:uiPriority w:val="0"/>
    <w:tblPr>
      <w:tblCellMar>
        <w:top w:w="0" w:type="dxa"/>
        <w:left w:w="0" w:type="dxa"/>
        <w:bottom w:w="0" w:type="dxa"/>
        <w:right w:w="0" w:type="dxa"/>
      </w:tblCellMar>
    </w:tblPr>
  </w:style>
  <w:style w:type="paragraph" w:customStyle="1" w:styleId="89">
    <w:name w:val="z正文"/>
    <w:basedOn w:val="1"/>
    <w:qFormat/>
    <w:uiPriority w:val="0"/>
    <w:pPr>
      <w:spacing w:after="120" w:line="360" w:lineRule="auto"/>
      <w:ind w:firstLine="480" w:firstLineChars="200"/>
    </w:pPr>
    <w:rPr>
      <w:rFonts w:ascii="宋体" w:hAnsi="宋体"/>
      <w:kern w:val="0"/>
      <w:sz w:val="24"/>
      <w:szCs w:val="20"/>
    </w:rPr>
  </w:style>
  <w:style w:type="paragraph" w:customStyle="1" w:styleId="90">
    <w:name w:val="普通正文"/>
    <w:basedOn w:val="1"/>
    <w:qFormat/>
    <w:uiPriority w:val="0"/>
    <w:pPr>
      <w:spacing w:line="360" w:lineRule="auto"/>
      <w:ind w:firstLine="200" w:firstLineChars="200"/>
    </w:pPr>
    <w:rPr>
      <w:sz w:val="28"/>
      <w:szCs w:val="20"/>
    </w:rPr>
  </w:style>
  <w:style w:type="paragraph" w:customStyle="1" w:styleId="91">
    <w:name w:val="[Normal]"/>
    <w:qFormat/>
    <w:uiPriority w:val="0"/>
    <w:rPr>
      <w:rFonts w:ascii="宋体" w:hAnsi="宋体" w:eastAsia="宋体" w:cs="Times New Roman"/>
      <w:sz w:val="24"/>
      <w:szCs w:val="22"/>
      <w:lang w:val="zh-CN" w:eastAsia="zh-CN" w:bidi="ar-SA"/>
    </w:rPr>
  </w:style>
  <w:style w:type="paragraph" w:customStyle="1" w:styleId="9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94">
    <w:name w:val="bookmark-item"/>
    <w:basedOn w:val="31"/>
    <w:qFormat/>
    <w:uiPriority w:val="0"/>
  </w:style>
  <w:style w:type="paragraph" w:customStyle="1" w:styleId="95">
    <w:name w:val="章正文"/>
    <w:basedOn w:val="1"/>
    <w:qFormat/>
    <w:uiPriority w:val="99"/>
    <w:pPr>
      <w:spacing w:beforeLines="50" w:after="120" w:line="300" w:lineRule="auto"/>
      <w:ind w:firstLine="480"/>
    </w:pPr>
    <w:rPr>
      <w:rFonts w:ascii="Helvetica" w:hAnsi="Helvetica"/>
      <w:kern w:val="0"/>
      <w:sz w:val="24"/>
    </w:rPr>
  </w:style>
  <w:style w:type="paragraph" w:customStyle="1" w:styleId="96">
    <w:name w:val="Normal_0_1"/>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5770</Words>
  <Characters>32895</Characters>
  <Lines>274</Lines>
  <Paragraphs>77</Paragraphs>
  <TotalTime>1</TotalTime>
  <ScaleCrop>false</ScaleCrop>
  <LinksUpToDate>false</LinksUpToDate>
  <CharactersWithSpaces>38588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2023-03-30T21:39:00Z</dcterms:created>
  <dc:creator>胖丁</dc:creator>
  <cp:lastModifiedBy>魔力鸥</cp:lastModifiedBy>
  <cp:lastPrinted>2021-10-30T18:17:00Z</cp:lastPrinted>
  <dcterms:modified xsi:type="dcterms:W3CDTF">2023-10-24T02:22:24Z</dcterms:modified>
  <dc:title>xbany</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813CB924E6AF40019B8A320AD3A58643_13</vt:lpwstr>
  </property>
</Properties>
</file>