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napToGrid w:val="0"/>
        <w:spacing w:before="120" w:after="120" w:line="360" w:lineRule="auto"/>
        <w:jc w:val="center"/>
        <w:rPr>
          <w:rFonts w:hAnsi="宋体" w:eastAsia="宋体" w:cs="宋体"/>
          <w:bCs/>
          <w:sz w:val="28"/>
          <w:szCs w:val="28"/>
        </w:rPr>
      </w:pPr>
    </w:p>
    <w:p>
      <w:pPr>
        <w:pStyle w:val="13"/>
        <w:snapToGrid w:val="0"/>
        <w:spacing w:before="120" w:after="120" w:line="360" w:lineRule="auto"/>
        <w:jc w:val="center"/>
        <w:rPr>
          <w:rFonts w:hAnsi="宋体" w:eastAsia="宋体" w:cs="宋体"/>
          <w:bCs/>
          <w:sz w:val="28"/>
          <w:szCs w:val="28"/>
        </w:rPr>
      </w:pPr>
    </w:p>
    <w:p>
      <w:pPr>
        <w:pStyle w:val="13"/>
        <w:snapToGrid w:val="0"/>
        <w:spacing w:before="120" w:after="120" w:line="360" w:lineRule="auto"/>
        <w:jc w:val="center"/>
        <w:rPr>
          <w:rFonts w:hAnsi="宋体" w:eastAsia="宋体" w:cs="宋体"/>
          <w:bCs/>
          <w:sz w:val="28"/>
          <w:szCs w:val="28"/>
        </w:rPr>
      </w:pPr>
    </w:p>
    <w:p>
      <w:pPr>
        <w:jc w:val="center"/>
        <w:outlineLvl w:val="0"/>
        <w:rPr>
          <w:rFonts w:hint="eastAsia"/>
          <w:spacing w:val="45"/>
          <w:sz w:val="36"/>
          <w:szCs w:val="36"/>
        </w:rPr>
      </w:pPr>
      <w:r>
        <w:rPr>
          <w:rFonts w:hint="eastAsia"/>
          <w:spacing w:val="45"/>
          <w:sz w:val="36"/>
          <w:szCs w:val="36"/>
        </w:rPr>
        <w:t>嵊泗县海洋经济发展局（嵊泗县海洋与渔业局）</w:t>
      </w:r>
    </w:p>
    <w:p>
      <w:pPr>
        <w:jc w:val="center"/>
        <w:outlineLvl w:val="0"/>
        <w:rPr>
          <w:sz w:val="36"/>
          <w:szCs w:val="36"/>
        </w:rPr>
      </w:pPr>
      <w:r>
        <w:rPr>
          <w:rFonts w:hint="eastAsia"/>
          <w:spacing w:val="45"/>
          <w:sz w:val="36"/>
          <w:szCs w:val="36"/>
        </w:rPr>
        <w:t>卫星语音通讯服务项目（重新采购）</w:t>
      </w:r>
    </w:p>
    <w:p>
      <w:pPr>
        <w:pStyle w:val="13"/>
        <w:snapToGrid w:val="0"/>
        <w:spacing w:before="120" w:after="120" w:line="360" w:lineRule="auto"/>
        <w:jc w:val="center"/>
        <w:rPr>
          <w:rFonts w:hAnsi="宋体" w:eastAsia="宋体" w:cs="宋体"/>
          <w:bCs/>
          <w:sz w:val="28"/>
          <w:szCs w:val="28"/>
        </w:rPr>
      </w:pPr>
    </w:p>
    <w:p>
      <w:pPr>
        <w:pStyle w:val="13"/>
        <w:snapToGrid w:val="0"/>
        <w:spacing w:before="120" w:after="120" w:line="360" w:lineRule="auto"/>
        <w:jc w:val="center"/>
        <w:rPr>
          <w:rFonts w:hAnsi="宋体" w:eastAsia="宋体" w:cs="宋体"/>
          <w:bCs/>
          <w:sz w:val="28"/>
          <w:szCs w:val="28"/>
        </w:rPr>
      </w:pPr>
    </w:p>
    <w:p>
      <w:pPr>
        <w:pStyle w:val="13"/>
        <w:snapToGrid w:val="0"/>
        <w:spacing w:before="120" w:after="120" w:line="360" w:lineRule="auto"/>
        <w:jc w:val="center"/>
        <w:rPr>
          <w:rFonts w:hAnsi="宋体" w:eastAsia="宋体" w:cs="宋体"/>
          <w:b/>
          <w:sz w:val="24"/>
          <w:szCs w:val="24"/>
        </w:rPr>
      </w:pPr>
      <w:r>
        <w:rPr>
          <w:rFonts w:hint="eastAsia" w:hAnsi="宋体" w:eastAsia="宋体" w:cs="宋体"/>
          <w:bCs/>
          <w:sz w:val="84"/>
          <w:szCs w:val="84"/>
        </w:rPr>
        <w:t>磋商文件</w:t>
      </w:r>
    </w:p>
    <w:p>
      <w:pPr>
        <w:pStyle w:val="13"/>
        <w:snapToGrid w:val="0"/>
        <w:spacing w:before="120" w:after="120" w:line="360" w:lineRule="auto"/>
        <w:jc w:val="center"/>
        <w:rPr>
          <w:rFonts w:hAnsi="宋体" w:eastAsia="宋体" w:cs="宋体"/>
          <w:bCs/>
          <w:sz w:val="28"/>
          <w:szCs w:val="28"/>
        </w:rPr>
      </w:pPr>
    </w:p>
    <w:p>
      <w:pPr>
        <w:pStyle w:val="13"/>
        <w:snapToGrid w:val="0"/>
        <w:spacing w:before="120" w:after="120" w:line="360" w:lineRule="auto"/>
        <w:jc w:val="center"/>
        <w:rPr>
          <w:rFonts w:hAnsi="宋体" w:eastAsia="宋体" w:cs="宋体"/>
          <w:bCs/>
          <w:sz w:val="28"/>
          <w:szCs w:val="28"/>
        </w:rPr>
      </w:pPr>
    </w:p>
    <w:p>
      <w:pPr>
        <w:pStyle w:val="54"/>
        <w:widowControl w:val="0"/>
        <w:spacing w:line="720" w:lineRule="auto"/>
        <w:rPr>
          <w:rFonts w:hint="default" w:ascii="宋体" w:hAnsi="宋体" w:eastAsia="宋体" w:cs="宋体"/>
          <w:spacing w:val="0"/>
          <w:sz w:val="28"/>
          <w:szCs w:val="28"/>
          <w:lang w:val="en-US" w:eastAsia="zh-CN"/>
        </w:rPr>
      </w:pPr>
      <w:r>
        <w:rPr>
          <w:rFonts w:hint="eastAsia" w:ascii="宋体" w:hAnsi="宋体" w:cs="宋体"/>
          <w:spacing w:val="0"/>
          <w:sz w:val="28"/>
          <w:szCs w:val="28"/>
        </w:rPr>
        <w:t>项目编号：</w:t>
      </w:r>
      <w:r>
        <w:rPr>
          <w:rFonts w:ascii="宋体" w:hAnsi="宋体" w:cs="宋体"/>
          <w:spacing w:val="0"/>
          <w:sz w:val="28"/>
          <w:szCs w:val="28"/>
        </w:rPr>
        <w:t>0773-2441GNZSFWCS0297</w:t>
      </w:r>
      <w:r>
        <w:rPr>
          <w:rFonts w:hint="eastAsia" w:ascii="宋体" w:hAnsi="宋体" w:cs="宋体"/>
          <w:spacing w:val="0"/>
          <w:sz w:val="28"/>
          <w:szCs w:val="28"/>
          <w:lang w:val="en-US" w:eastAsia="zh-CN"/>
        </w:rPr>
        <w:t>-1</w:t>
      </w:r>
    </w:p>
    <w:p>
      <w:pPr>
        <w:spacing w:line="720" w:lineRule="auto"/>
        <w:rPr>
          <w:rFonts w:hint="eastAsia" w:ascii="宋体" w:hAnsi="宋体" w:cs="宋体"/>
          <w:spacing w:val="0"/>
          <w:sz w:val="28"/>
          <w:szCs w:val="28"/>
        </w:rPr>
      </w:pPr>
      <w:r>
        <w:rPr>
          <w:rFonts w:hint="eastAsia" w:ascii="宋体" w:hAnsi="宋体" w:cs="宋体"/>
          <w:spacing w:val="0"/>
          <w:sz w:val="28"/>
          <w:szCs w:val="28"/>
        </w:rPr>
        <w:t>项目名称：嵊泗县海洋经济发展局（嵊泗县海洋与渔业局）</w:t>
      </w:r>
    </w:p>
    <w:p>
      <w:pPr>
        <w:spacing w:line="720" w:lineRule="auto"/>
        <w:ind w:firstLine="1400" w:firstLineChars="500"/>
        <w:rPr>
          <w:rFonts w:ascii="宋体" w:hAnsi="宋体" w:cs="宋体"/>
          <w:spacing w:val="0"/>
          <w:sz w:val="28"/>
          <w:szCs w:val="28"/>
        </w:rPr>
      </w:pPr>
      <w:r>
        <w:rPr>
          <w:rFonts w:hint="eastAsia" w:ascii="宋体" w:hAnsi="宋体" w:cs="宋体"/>
          <w:spacing w:val="0"/>
          <w:sz w:val="28"/>
          <w:szCs w:val="28"/>
        </w:rPr>
        <w:t>卫星语音通讯服务项目（重新采购）</w:t>
      </w:r>
    </w:p>
    <w:p>
      <w:pPr>
        <w:spacing w:line="720" w:lineRule="auto"/>
        <w:rPr>
          <w:rFonts w:ascii="宋体" w:hAnsi="宋体" w:cs="宋体"/>
          <w:spacing w:val="0"/>
          <w:sz w:val="28"/>
          <w:szCs w:val="28"/>
        </w:rPr>
      </w:pPr>
      <w:r>
        <w:rPr>
          <w:rFonts w:hint="eastAsia" w:ascii="宋体" w:hAnsi="宋体" w:cs="宋体"/>
          <w:spacing w:val="0"/>
          <w:sz w:val="28"/>
          <w:szCs w:val="28"/>
        </w:rPr>
        <w:t>采 购 人：嵊泗县海洋经济发展局（嵊泗县海洋与渔业局）（盖章）</w:t>
      </w:r>
    </w:p>
    <w:p>
      <w:pPr>
        <w:spacing w:line="720" w:lineRule="auto"/>
        <w:rPr>
          <w:rFonts w:ascii="宋体" w:hAnsi="宋体" w:cs="宋体"/>
          <w:spacing w:val="0"/>
          <w:sz w:val="28"/>
          <w:szCs w:val="28"/>
        </w:rPr>
      </w:pPr>
      <w:r>
        <w:rPr>
          <w:rFonts w:hint="eastAsia" w:ascii="宋体" w:hAnsi="宋体" w:cs="宋体"/>
          <w:spacing w:val="0"/>
          <w:sz w:val="28"/>
          <w:szCs w:val="28"/>
        </w:rPr>
        <w:t>代理机构：中金招标有限责任公司（盖章）</w:t>
      </w:r>
    </w:p>
    <w:p>
      <w:pPr>
        <w:pStyle w:val="13"/>
        <w:spacing w:before="120" w:after="120" w:line="360" w:lineRule="auto"/>
        <w:rPr>
          <w:rFonts w:hAnsi="宋体" w:eastAsia="宋体" w:cs="宋体"/>
          <w:spacing w:val="0"/>
          <w:sz w:val="24"/>
          <w:szCs w:val="24"/>
        </w:rPr>
      </w:pPr>
      <w:r>
        <w:rPr>
          <w:rFonts w:hint="eastAsia" w:hAnsi="宋体" w:eastAsia="宋体" w:cs="宋体"/>
          <w:bCs/>
          <w:spacing w:val="0"/>
          <w:sz w:val="28"/>
          <w:szCs w:val="28"/>
        </w:rPr>
        <w:t>日    期：二〇二四年</w:t>
      </w:r>
      <w:r>
        <w:rPr>
          <w:rFonts w:hint="eastAsia" w:hAnsi="宋体" w:eastAsia="宋体" w:cs="宋体"/>
          <w:bCs/>
          <w:spacing w:val="0"/>
          <w:sz w:val="28"/>
          <w:szCs w:val="28"/>
          <w:lang w:val="en-US" w:eastAsia="zh-CN"/>
        </w:rPr>
        <w:t>四</w:t>
      </w:r>
      <w:r>
        <w:rPr>
          <w:rFonts w:hint="eastAsia" w:hAnsi="宋体" w:eastAsia="宋体" w:cs="宋体"/>
          <w:bCs/>
          <w:spacing w:val="0"/>
          <w:sz w:val="28"/>
          <w:szCs w:val="28"/>
        </w:rPr>
        <w:t>月</w:t>
      </w:r>
    </w:p>
    <w:p>
      <w:pPr>
        <w:pStyle w:val="13"/>
        <w:spacing w:before="120" w:after="120" w:line="600" w:lineRule="auto"/>
        <w:rPr>
          <w:rFonts w:hAnsi="宋体" w:eastAsia="宋体" w:cs="宋体"/>
          <w:sz w:val="24"/>
          <w:szCs w:val="24"/>
        </w:rPr>
      </w:pPr>
    </w:p>
    <w:p>
      <w:pPr>
        <w:pStyle w:val="13"/>
        <w:spacing w:before="120" w:after="120" w:line="600" w:lineRule="auto"/>
        <w:jc w:val="center"/>
        <w:rPr>
          <w:rFonts w:hAnsi="宋体" w:eastAsia="宋体" w:cs="宋体"/>
          <w:sz w:val="36"/>
          <w:szCs w:val="36"/>
        </w:rPr>
        <w:sectPr>
          <w:headerReference r:id="rId3" w:type="default"/>
          <w:pgSz w:w="11906" w:h="16838"/>
          <w:pgMar w:top="1134" w:right="1134" w:bottom="1134" w:left="1134" w:header="1134" w:footer="1134" w:gutter="0"/>
          <w:cols w:space="0" w:num="1"/>
          <w:titlePg/>
          <w:rtlGutter w:val="0"/>
          <w:docGrid w:type="lines" w:linePitch="312" w:charSpace="0"/>
        </w:sectPr>
      </w:pPr>
    </w:p>
    <w:p>
      <w:pPr>
        <w:pStyle w:val="13"/>
        <w:spacing w:before="120" w:after="120" w:line="600" w:lineRule="auto"/>
        <w:jc w:val="center"/>
        <w:outlineLvl w:val="0"/>
        <w:rPr>
          <w:rFonts w:hAnsi="宋体" w:eastAsia="宋体" w:cs="宋体"/>
          <w:sz w:val="36"/>
          <w:szCs w:val="36"/>
        </w:rPr>
      </w:pPr>
      <w:r>
        <w:rPr>
          <w:rFonts w:hint="eastAsia" w:hAnsi="宋体" w:eastAsia="宋体" w:cs="宋体"/>
          <w:sz w:val="36"/>
          <w:szCs w:val="36"/>
        </w:rPr>
        <w:t>目    录</w:t>
      </w:r>
    </w:p>
    <w:p>
      <w:pPr>
        <w:spacing w:before="120" w:line="552" w:lineRule="auto"/>
        <w:ind w:firstLine="840" w:firstLineChars="300"/>
        <w:rPr>
          <w:rFonts w:ascii="宋体" w:hAnsi="宋体" w:cs="宋体"/>
          <w:sz w:val="28"/>
          <w:szCs w:val="28"/>
        </w:rPr>
      </w:pPr>
      <w:r>
        <w:rPr>
          <w:rFonts w:hint="eastAsia" w:ascii="宋体" w:hAnsi="宋体" w:cs="宋体"/>
          <w:sz w:val="28"/>
          <w:szCs w:val="28"/>
        </w:rPr>
        <w:t>第一章  竞争性磋商公告</w:t>
      </w:r>
    </w:p>
    <w:p>
      <w:pPr>
        <w:spacing w:before="120" w:line="552" w:lineRule="auto"/>
        <w:ind w:firstLine="840" w:firstLineChars="300"/>
        <w:rPr>
          <w:rFonts w:ascii="宋体" w:hAnsi="宋体" w:cs="宋体"/>
          <w:sz w:val="28"/>
          <w:szCs w:val="28"/>
        </w:rPr>
      </w:pPr>
      <w:r>
        <w:rPr>
          <w:rFonts w:hint="eastAsia" w:ascii="宋体" w:hAnsi="宋体" w:cs="宋体"/>
          <w:sz w:val="28"/>
          <w:szCs w:val="28"/>
        </w:rPr>
        <w:t>第二章  采购需求</w:t>
      </w:r>
    </w:p>
    <w:p>
      <w:pPr>
        <w:spacing w:before="120" w:line="552" w:lineRule="auto"/>
        <w:ind w:firstLine="840" w:firstLineChars="300"/>
        <w:rPr>
          <w:rFonts w:ascii="宋体" w:hAnsi="宋体" w:cs="宋体"/>
          <w:sz w:val="28"/>
          <w:szCs w:val="28"/>
        </w:rPr>
      </w:pPr>
      <w:r>
        <w:rPr>
          <w:rFonts w:hint="eastAsia" w:ascii="宋体" w:hAnsi="宋体" w:cs="宋体"/>
          <w:sz w:val="28"/>
          <w:szCs w:val="28"/>
        </w:rPr>
        <w:t>第三章  响应人须知</w:t>
      </w:r>
    </w:p>
    <w:p>
      <w:pPr>
        <w:spacing w:before="120" w:line="552" w:lineRule="auto"/>
        <w:ind w:firstLine="1960" w:firstLineChars="700"/>
        <w:rPr>
          <w:rFonts w:ascii="宋体" w:hAnsi="宋体" w:cs="宋体"/>
          <w:sz w:val="28"/>
          <w:szCs w:val="28"/>
        </w:rPr>
      </w:pPr>
      <w:r>
        <w:rPr>
          <w:rFonts w:hint="eastAsia" w:ascii="宋体" w:hAnsi="宋体" w:cs="宋体"/>
          <w:sz w:val="28"/>
          <w:szCs w:val="28"/>
        </w:rPr>
        <w:t xml:space="preserve">前附表 </w:t>
      </w:r>
    </w:p>
    <w:p>
      <w:pPr>
        <w:spacing w:before="120" w:line="552" w:lineRule="auto"/>
        <w:ind w:firstLine="1400" w:firstLineChars="500"/>
        <w:rPr>
          <w:rFonts w:ascii="宋体" w:hAnsi="宋体" w:cs="宋体"/>
          <w:sz w:val="28"/>
          <w:szCs w:val="28"/>
        </w:rPr>
      </w:pPr>
      <w:r>
        <w:rPr>
          <w:rFonts w:hint="eastAsia" w:ascii="宋体" w:hAnsi="宋体" w:cs="宋体"/>
          <w:sz w:val="28"/>
          <w:szCs w:val="28"/>
        </w:rPr>
        <w:t>一、总 则</w:t>
      </w:r>
    </w:p>
    <w:p>
      <w:pPr>
        <w:spacing w:before="120" w:line="552" w:lineRule="auto"/>
        <w:ind w:firstLine="1400" w:firstLineChars="500"/>
        <w:rPr>
          <w:rFonts w:ascii="宋体" w:hAnsi="宋体" w:cs="宋体"/>
          <w:sz w:val="28"/>
          <w:szCs w:val="28"/>
        </w:rPr>
      </w:pPr>
      <w:r>
        <w:rPr>
          <w:rFonts w:hint="eastAsia" w:ascii="宋体" w:hAnsi="宋体" w:cs="宋体"/>
          <w:sz w:val="28"/>
          <w:szCs w:val="28"/>
        </w:rPr>
        <w:t>二、磋商文件</w:t>
      </w:r>
    </w:p>
    <w:p>
      <w:pPr>
        <w:spacing w:before="120" w:line="552" w:lineRule="auto"/>
        <w:ind w:firstLine="1400" w:firstLineChars="500"/>
        <w:rPr>
          <w:rFonts w:ascii="宋体" w:hAnsi="宋体" w:cs="宋体"/>
          <w:sz w:val="28"/>
          <w:szCs w:val="28"/>
        </w:rPr>
      </w:pPr>
      <w:r>
        <w:rPr>
          <w:rFonts w:hint="eastAsia" w:ascii="宋体" w:hAnsi="宋体" w:cs="宋体"/>
          <w:sz w:val="28"/>
          <w:szCs w:val="28"/>
        </w:rPr>
        <w:t>三、响应文件的编制</w:t>
      </w:r>
    </w:p>
    <w:p>
      <w:pPr>
        <w:spacing w:before="120" w:line="552" w:lineRule="auto"/>
        <w:ind w:firstLine="1400" w:firstLineChars="500"/>
        <w:rPr>
          <w:rFonts w:ascii="宋体" w:hAnsi="宋体" w:cs="宋体"/>
          <w:sz w:val="28"/>
          <w:szCs w:val="28"/>
        </w:rPr>
      </w:pPr>
      <w:r>
        <w:rPr>
          <w:rFonts w:hint="eastAsia" w:ascii="宋体" w:hAnsi="宋体" w:cs="宋体"/>
          <w:sz w:val="28"/>
          <w:szCs w:val="28"/>
        </w:rPr>
        <w:t>四、开标</w:t>
      </w:r>
    </w:p>
    <w:p>
      <w:pPr>
        <w:spacing w:before="120" w:line="552" w:lineRule="auto"/>
        <w:ind w:firstLine="1400" w:firstLineChars="500"/>
        <w:rPr>
          <w:rFonts w:ascii="宋体" w:hAnsi="宋体" w:cs="宋体"/>
          <w:sz w:val="28"/>
          <w:szCs w:val="28"/>
        </w:rPr>
      </w:pPr>
      <w:r>
        <w:rPr>
          <w:rFonts w:hint="eastAsia" w:ascii="宋体" w:hAnsi="宋体" w:cs="宋体"/>
          <w:sz w:val="28"/>
          <w:szCs w:val="28"/>
        </w:rPr>
        <w:t>五、评标</w:t>
      </w:r>
    </w:p>
    <w:p>
      <w:pPr>
        <w:spacing w:before="120" w:line="552" w:lineRule="auto"/>
        <w:ind w:firstLine="1400" w:firstLineChars="500"/>
        <w:rPr>
          <w:rFonts w:ascii="宋体" w:hAnsi="宋体" w:cs="宋体"/>
          <w:sz w:val="28"/>
          <w:szCs w:val="28"/>
        </w:rPr>
      </w:pPr>
      <w:r>
        <w:rPr>
          <w:rFonts w:hint="eastAsia" w:ascii="宋体" w:hAnsi="宋体" w:cs="宋体"/>
          <w:sz w:val="28"/>
          <w:szCs w:val="28"/>
        </w:rPr>
        <w:t>六、废标</w:t>
      </w:r>
    </w:p>
    <w:p>
      <w:pPr>
        <w:spacing w:before="120" w:line="552" w:lineRule="auto"/>
        <w:ind w:firstLine="1400" w:firstLineChars="500"/>
        <w:rPr>
          <w:rFonts w:ascii="宋体" w:hAnsi="宋体" w:cs="宋体"/>
          <w:sz w:val="28"/>
          <w:szCs w:val="28"/>
        </w:rPr>
      </w:pPr>
      <w:r>
        <w:rPr>
          <w:rFonts w:hint="eastAsia" w:ascii="宋体" w:hAnsi="宋体" w:cs="宋体"/>
          <w:sz w:val="28"/>
          <w:szCs w:val="28"/>
        </w:rPr>
        <w:t>七、定标</w:t>
      </w:r>
    </w:p>
    <w:p>
      <w:pPr>
        <w:spacing w:before="120" w:line="552" w:lineRule="auto"/>
        <w:ind w:firstLine="1400" w:firstLineChars="500"/>
        <w:rPr>
          <w:rFonts w:ascii="宋体" w:hAnsi="宋体" w:cs="宋体"/>
          <w:sz w:val="28"/>
          <w:szCs w:val="28"/>
        </w:rPr>
      </w:pPr>
      <w:r>
        <w:rPr>
          <w:rFonts w:hint="eastAsia" w:ascii="宋体" w:hAnsi="宋体" w:cs="宋体"/>
          <w:sz w:val="28"/>
          <w:szCs w:val="28"/>
        </w:rPr>
        <w:t>八、合同授予</w:t>
      </w:r>
    </w:p>
    <w:p>
      <w:pPr>
        <w:spacing w:before="120" w:line="552" w:lineRule="auto"/>
        <w:ind w:firstLine="840" w:firstLineChars="300"/>
        <w:rPr>
          <w:rFonts w:ascii="宋体" w:hAnsi="宋体" w:cs="宋体"/>
          <w:sz w:val="28"/>
          <w:szCs w:val="28"/>
        </w:rPr>
      </w:pPr>
      <w:r>
        <w:rPr>
          <w:rFonts w:hint="eastAsia" w:ascii="宋体" w:hAnsi="宋体" w:cs="宋体"/>
          <w:sz w:val="28"/>
          <w:szCs w:val="28"/>
        </w:rPr>
        <w:t>第四章  评标办法及标准</w:t>
      </w:r>
    </w:p>
    <w:p>
      <w:pPr>
        <w:spacing w:before="120" w:line="552" w:lineRule="auto"/>
        <w:ind w:firstLine="840" w:firstLineChars="300"/>
        <w:rPr>
          <w:rFonts w:ascii="宋体" w:hAnsi="宋体" w:cs="宋体"/>
          <w:sz w:val="28"/>
          <w:szCs w:val="28"/>
        </w:rPr>
      </w:pPr>
      <w:r>
        <w:rPr>
          <w:rFonts w:hint="eastAsia" w:ascii="宋体" w:hAnsi="宋体" w:cs="宋体"/>
          <w:sz w:val="28"/>
          <w:szCs w:val="28"/>
        </w:rPr>
        <w:t>第五章  合同主要条款</w:t>
      </w:r>
    </w:p>
    <w:p>
      <w:pPr>
        <w:spacing w:before="120" w:line="552" w:lineRule="auto"/>
        <w:ind w:firstLine="840" w:firstLineChars="300"/>
        <w:rPr>
          <w:rFonts w:ascii="宋体" w:hAnsi="宋体" w:cs="宋体"/>
          <w:sz w:val="24"/>
          <w:szCs w:val="24"/>
        </w:rPr>
      </w:pPr>
      <w:r>
        <w:rPr>
          <w:rFonts w:hint="eastAsia" w:ascii="宋体" w:hAnsi="宋体" w:cs="宋体"/>
          <w:sz w:val="28"/>
          <w:szCs w:val="28"/>
        </w:rPr>
        <w:t>第六章  响应文件组成</w:t>
      </w:r>
    </w:p>
    <w:p>
      <w:pPr>
        <w:jc w:val="center"/>
        <w:outlineLvl w:val="0"/>
        <w:rPr>
          <w:rFonts w:ascii="宋体" w:hAnsi="宋体" w:cs="宋体"/>
          <w:b/>
          <w:sz w:val="28"/>
          <w:szCs w:val="28"/>
        </w:rPr>
      </w:pPr>
      <w:r>
        <w:rPr>
          <w:rFonts w:hint="eastAsia" w:ascii="宋体" w:hAnsi="宋体" w:cs="宋体"/>
          <w:b/>
          <w:sz w:val="28"/>
          <w:szCs w:val="28"/>
        </w:rPr>
        <w:br w:type="page"/>
      </w:r>
      <w:r>
        <w:rPr>
          <w:rFonts w:hint="eastAsia" w:ascii="宋体" w:hAnsi="宋体" w:cs="宋体"/>
          <w:b/>
          <w:sz w:val="28"/>
          <w:szCs w:val="28"/>
        </w:rPr>
        <w:t xml:space="preserve">第一章 </w:t>
      </w:r>
      <w:bookmarkStart w:id="0" w:name="OLE_LINK3"/>
      <w:r>
        <w:rPr>
          <w:rFonts w:hint="eastAsia" w:ascii="宋体" w:hAnsi="宋体" w:cs="宋体"/>
          <w:b/>
          <w:sz w:val="28"/>
          <w:szCs w:val="28"/>
        </w:rPr>
        <w:t xml:space="preserve"> </w:t>
      </w:r>
      <w:bookmarkStart w:id="1" w:name="OLE_LINK2"/>
      <w:bookmarkStart w:id="2" w:name="OLE_LINK4"/>
      <w:r>
        <w:rPr>
          <w:rFonts w:hint="eastAsia" w:ascii="宋体" w:hAnsi="宋体" w:cs="宋体"/>
          <w:b/>
          <w:sz w:val="28"/>
          <w:szCs w:val="28"/>
        </w:rPr>
        <w:t>竞争性磋商公告</w:t>
      </w:r>
    </w:p>
    <w:bookmarkEnd w:id="0"/>
    <w:bookmarkEnd w:id="1"/>
    <w:bookmarkEnd w:id="2"/>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8" w:type="dxa"/>
          </w:tcPr>
          <w:p>
            <w:pPr>
              <w:pStyle w:val="22"/>
              <w:spacing w:before="0" w:beforeAutospacing="0" w:after="0" w:afterAutospacing="0" w:line="360" w:lineRule="auto"/>
              <w:jc w:val="both"/>
              <w:rPr>
                <w:sz w:val="21"/>
                <w:szCs w:val="21"/>
              </w:rPr>
            </w:pPr>
            <w:r>
              <w:rPr>
                <w:rFonts w:hint="eastAsia"/>
                <w:color w:val="000000"/>
                <w:sz w:val="21"/>
                <w:szCs w:val="21"/>
              </w:rPr>
              <w:t>项目概况</w:t>
            </w:r>
          </w:p>
          <w:p>
            <w:pPr>
              <w:pStyle w:val="22"/>
              <w:spacing w:before="0" w:beforeAutospacing="0" w:after="0" w:afterAutospacing="0" w:line="360" w:lineRule="auto"/>
              <w:ind w:firstLine="420" w:firstLineChars="200"/>
              <w:jc w:val="both"/>
              <w:rPr>
                <w:rStyle w:val="29"/>
                <w:rFonts w:ascii="宋体" w:hAnsi="宋体" w:cs="宋体"/>
                <w:color w:val="000000"/>
                <w:sz w:val="21"/>
                <w:szCs w:val="21"/>
              </w:rPr>
            </w:pPr>
            <w:r>
              <w:rPr>
                <w:rFonts w:hint="eastAsia"/>
                <w:color w:val="000000"/>
                <w:sz w:val="21"/>
                <w:szCs w:val="21"/>
              </w:rPr>
              <w:t>嵊泗县海洋经济发展局（嵊泗县海洋与渔业局）卫星语音通讯服务项目（重新采购）的潜在供应商应在浙江政府采购网http://zfcg.czt.zj.gov.cn/（用“政采云”注册账号、密码登录系统后获取磋商文件）获取（下载）采购文件，并</w:t>
            </w:r>
            <w:r>
              <w:rPr>
                <w:rFonts w:hint="eastAsia"/>
                <w:color w:val="000000"/>
                <w:sz w:val="21"/>
                <w:szCs w:val="21"/>
                <w:highlight w:val="none"/>
              </w:rPr>
              <w:t>于2024年</w:t>
            </w:r>
            <w:r>
              <w:rPr>
                <w:rFonts w:hint="eastAsia"/>
                <w:color w:val="000000"/>
                <w:sz w:val="21"/>
                <w:szCs w:val="21"/>
                <w:highlight w:val="none"/>
                <w:lang w:val="en-US" w:eastAsia="zh-CN"/>
              </w:rPr>
              <w:t>4</w:t>
            </w:r>
            <w:r>
              <w:rPr>
                <w:rFonts w:hint="eastAsia"/>
                <w:color w:val="000000"/>
                <w:sz w:val="21"/>
                <w:szCs w:val="21"/>
                <w:highlight w:val="none"/>
              </w:rPr>
              <w:t>月</w:t>
            </w:r>
            <w:r>
              <w:rPr>
                <w:rFonts w:hint="eastAsia"/>
                <w:color w:val="000000"/>
                <w:sz w:val="21"/>
                <w:szCs w:val="21"/>
                <w:highlight w:val="none"/>
                <w:lang w:val="en-US" w:eastAsia="zh-CN"/>
              </w:rPr>
              <w:t>19</w:t>
            </w:r>
            <w:r>
              <w:rPr>
                <w:rFonts w:hint="eastAsia"/>
                <w:color w:val="000000"/>
                <w:sz w:val="21"/>
                <w:szCs w:val="21"/>
                <w:highlight w:val="none"/>
              </w:rPr>
              <w:t>日 09:00（</w:t>
            </w:r>
            <w:r>
              <w:rPr>
                <w:rFonts w:hint="eastAsia"/>
                <w:color w:val="000000"/>
                <w:sz w:val="21"/>
                <w:szCs w:val="21"/>
              </w:rPr>
              <w:t>北京时间）前提交（上传）响应文件。</w:t>
            </w:r>
          </w:p>
        </w:tc>
      </w:tr>
    </w:tbl>
    <w:p>
      <w:pPr>
        <w:pStyle w:val="22"/>
        <w:spacing w:before="0" w:beforeAutospacing="0" w:after="0" w:afterAutospacing="0" w:line="360" w:lineRule="auto"/>
        <w:jc w:val="both"/>
        <w:rPr>
          <w:sz w:val="21"/>
          <w:szCs w:val="21"/>
        </w:rPr>
      </w:pPr>
      <w:r>
        <w:rPr>
          <w:rStyle w:val="29"/>
          <w:rFonts w:hint="eastAsia" w:ascii="宋体" w:hAnsi="宋体" w:cs="宋体"/>
          <w:color w:val="000000"/>
          <w:sz w:val="21"/>
          <w:szCs w:val="21"/>
        </w:rPr>
        <w:t>一、项目基本情况</w:t>
      </w:r>
    </w:p>
    <w:p>
      <w:pPr>
        <w:pStyle w:val="22"/>
        <w:spacing w:before="0" w:beforeAutospacing="0" w:after="0" w:afterAutospacing="0" w:line="360" w:lineRule="auto"/>
        <w:ind w:firstLine="420" w:firstLineChars="200"/>
        <w:jc w:val="both"/>
        <w:rPr>
          <w:rFonts w:hint="default" w:eastAsia="宋体"/>
          <w:sz w:val="21"/>
          <w:szCs w:val="21"/>
          <w:lang w:val="en-US" w:eastAsia="zh-CN"/>
        </w:rPr>
      </w:pPr>
      <w:r>
        <w:rPr>
          <w:rFonts w:hint="eastAsia"/>
          <w:color w:val="000000"/>
          <w:sz w:val="21"/>
          <w:szCs w:val="21"/>
        </w:rPr>
        <w:t>项目编号：</w:t>
      </w:r>
      <w:r>
        <w:rPr>
          <w:color w:val="000000"/>
          <w:sz w:val="21"/>
          <w:szCs w:val="21"/>
        </w:rPr>
        <w:t>0773-2441GNZSFWCS0297</w:t>
      </w:r>
      <w:r>
        <w:rPr>
          <w:rFonts w:hint="eastAsia"/>
          <w:color w:val="000000"/>
          <w:sz w:val="21"/>
          <w:szCs w:val="21"/>
          <w:lang w:val="en-US" w:eastAsia="zh-CN"/>
        </w:rPr>
        <w:t>-1</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项目名称：嵊泗县海洋经济发展局（嵊泗县海洋与渔业局）卫星语音通讯服务项目（重新采购）</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采购方式：竞争性磋商</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预算金额（元）：</w:t>
      </w:r>
      <w:r>
        <w:rPr>
          <w:color w:val="000000"/>
          <w:sz w:val="21"/>
          <w:szCs w:val="21"/>
        </w:rPr>
        <w:t>1700000</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最高限价（元）：</w:t>
      </w:r>
      <w:r>
        <w:rPr>
          <w:color w:val="000000"/>
          <w:sz w:val="21"/>
          <w:szCs w:val="21"/>
        </w:rPr>
        <w:t>1700000</w:t>
      </w:r>
    </w:p>
    <w:p>
      <w:pPr>
        <w:pStyle w:val="22"/>
        <w:spacing w:before="0" w:beforeAutospacing="0" w:after="0" w:afterAutospacing="0" w:line="360" w:lineRule="auto"/>
        <w:ind w:firstLine="420" w:firstLineChars="200"/>
        <w:jc w:val="both"/>
        <w:rPr>
          <w:color w:val="000000"/>
          <w:sz w:val="21"/>
          <w:szCs w:val="21"/>
        </w:rPr>
      </w:pPr>
      <w:r>
        <w:rPr>
          <w:rFonts w:hint="eastAsia"/>
          <w:color w:val="000000"/>
          <w:sz w:val="21"/>
          <w:szCs w:val="21"/>
        </w:rPr>
        <w:t>采购需求：</w:t>
      </w:r>
    </w:p>
    <w:p>
      <w:pPr>
        <w:pStyle w:val="22"/>
        <w:spacing w:before="0" w:beforeAutospacing="0" w:after="0" w:afterAutospacing="0" w:line="360" w:lineRule="auto"/>
        <w:ind w:firstLine="420" w:firstLineChars="200"/>
        <w:jc w:val="both"/>
        <w:rPr>
          <w:color w:val="000000"/>
          <w:sz w:val="21"/>
          <w:szCs w:val="21"/>
        </w:rPr>
      </w:pPr>
    </w:p>
    <w:p>
      <w:pPr>
        <w:pStyle w:val="22"/>
        <w:spacing w:before="0" w:beforeAutospacing="0" w:after="0" w:afterAutospacing="0" w:line="360" w:lineRule="auto"/>
        <w:ind w:firstLine="420" w:firstLineChars="200"/>
        <w:jc w:val="both"/>
        <w:rPr>
          <w:color w:val="000000"/>
          <w:sz w:val="21"/>
          <w:szCs w:val="21"/>
        </w:rPr>
      </w:pPr>
      <w:r>
        <w:rPr>
          <w:rFonts w:hint="eastAsia"/>
          <w:color w:val="000000"/>
          <w:sz w:val="21"/>
          <w:szCs w:val="21"/>
        </w:rPr>
        <w:t>数量：1</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预算金额（元）：</w:t>
      </w:r>
      <w:r>
        <w:rPr>
          <w:color w:val="000000"/>
          <w:sz w:val="21"/>
          <w:szCs w:val="21"/>
        </w:rPr>
        <w:t>1700000</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单位：项</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简要规格描述：详见磋商文件</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备注：/</w:t>
      </w:r>
    </w:p>
    <w:p>
      <w:pPr>
        <w:pStyle w:val="22"/>
        <w:spacing w:before="0" w:beforeAutospacing="0" w:after="0" w:afterAutospacing="0" w:line="360" w:lineRule="auto"/>
        <w:ind w:firstLine="420" w:firstLineChars="200"/>
        <w:jc w:val="both"/>
        <w:rPr>
          <w:color w:val="000000"/>
          <w:sz w:val="21"/>
          <w:szCs w:val="21"/>
        </w:rPr>
      </w:pPr>
      <w:r>
        <w:rPr>
          <w:rFonts w:hint="eastAsia"/>
          <w:color w:val="000000"/>
          <w:sz w:val="21"/>
          <w:szCs w:val="21"/>
        </w:rPr>
        <w:t>合同履约期限：</w:t>
      </w:r>
      <w:r>
        <w:rPr>
          <w:rFonts w:hint="eastAsia"/>
          <w:color w:val="000000"/>
          <w:sz w:val="21"/>
          <w:szCs w:val="21"/>
          <w:highlight w:val="none"/>
        </w:rPr>
        <w:t>本项目服务运维期为</w:t>
      </w:r>
      <w:r>
        <w:rPr>
          <w:rFonts w:hint="eastAsia"/>
          <w:color w:val="000000"/>
          <w:sz w:val="21"/>
          <w:szCs w:val="21"/>
          <w:highlight w:val="none"/>
          <w:lang w:val="en-US" w:eastAsia="zh-CN"/>
        </w:rPr>
        <w:t>两</w:t>
      </w:r>
      <w:r>
        <w:rPr>
          <w:rFonts w:hint="eastAsia"/>
          <w:color w:val="000000"/>
          <w:sz w:val="21"/>
          <w:szCs w:val="21"/>
          <w:highlight w:val="none"/>
        </w:rPr>
        <w:t>年，服务运维期从合同签订</w:t>
      </w:r>
      <w:r>
        <w:rPr>
          <w:rFonts w:hint="eastAsia"/>
          <w:color w:val="000000"/>
          <w:sz w:val="21"/>
          <w:szCs w:val="21"/>
          <w:highlight w:val="none"/>
          <w:lang w:val="en-US" w:eastAsia="zh-CN"/>
        </w:rPr>
        <w:t>之日</w:t>
      </w:r>
      <w:r>
        <w:rPr>
          <w:rFonts w:hint="eastAsia"/>
          <w:color w:val="000000"/>
          <w:sz w:val="21"/>
          <w:szCs w:val="21"/>
        </w:rPr>
        <w:t>起计。</w:t>
      </w:r>
    </w:p>
    <w:p>
      <w:pPr>
        <w:pStyle w:val="22"/>
        <w:spacing w:before="0" w:beforeAutospacing="0" w:after="0" w:afterAutospacing="0" w:line="360" w:lineRule="auto"/>
        <w:ind w:firstLine="420" w:firstLineChars="200"/>
        <w:jc w:val="both"/>
        <w:rPr>
          <w:color w:val="000000"/>
          <w:sz w:val="21"/>
          <w:szCs w:val="21"/>
        </w:rPr>
      </w:pPr>
      <w:r>
        <w:rPr>
          <w:rFonts w:hint="eastAsia"/>
          <w:color w:val="000000"/>
          <w:sz w:val="21"/>
          <w:szCs w:val="21"/>
        </w:rPr>
        <w:t>本项目（否）接受联合体投标。</w:t>
      </w:r>
    </w:p>
    <w:p>
      <w:pPr>
        <w:pStyle w:val="22"/>
        <w:spacing w:before="0" w:beforeAutospacing="0" w:after="0" w:afterAutospacing="0" w:line="360" w:lineRule="auto"/>
        <w:jc w:val="both"/>
        <w:rPr>
          <w:sz w:val="21"/>
          <w:szCs w:val="21"/>
        </w:rPr>
      </w:pPr>
      <w:r>
        <w:rPr>
          <w:rStyle w:val="29"/>
          <w:rFonts w:hint="eastAsia" w:ascii="宋体" w:hAnsi="宋体" w:cs="宋体"/>
          <w:color w:val="000000"/>
          <w:sz w:val="21"/>
          <w:szCs w:val="21"/>
        </w:rPr>
        <w:t>二、申请人的资格要求：</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1.满足《中华人民共和国政府采购法》第二十二条规定；未被“信用中国”（www.creditchina.gov.cn)、中国政府采购网（www.ccgp.gov.cn）列入失信被执行人、重大税收违法失信主体、政府采购严重违法失信行为记录名单。</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2.落实政府采购政策需满足的资格要求：无</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3.本项目的特定资格要求：无</w:t>
      </w:r>
    </w:p>
    <w:p>
      <w:pPr>
        <w:pStyle w:val="22"/>
        <w:spacing w:before="0" w:beforeAutospacing="0" w:after="0" w:afterAutospacing="0" w:line="360" w:lineRule="auto"/>
        <w:jc w:val="both"/>
        <w:rPr>
          <w:sz w:val="21"/>
          <w:szCs w:val="21"/>
        </w:rPr>
      </w:pPr>
      <w:r>
        <w:rPr>
          <w:rStyle w:val="29"/>
          <w:rFonts w:hint="eastAsia" w:ascii="宋体" w:hAnsi="宋体" w:cs="宋体"/>
          <w:color w:val="000000"/>
          <w:sz w:val="21"/>
          <w:szCs w:val="21"/>
        </w:rPr>
        <w:t>三、获取（下载）采购文件</w:t>
      </w:r>
    </w:p>
    <w:p>
      <w:pPr>
        <w:pStyle w:val="22"/>
        <w:spacing w:before="0" w:beforeAutospacing="0" w:after="0" w:afterAutospacing="0" w:line="360" w:lineRule="auto"/>
        <w:ind w:firstLine="420" w:firstLineChars="200"/>
        <w:jc w:val="both"/>
        <w:rPr>
          <w:sz w:val="21"/>
          <w:szCs w:val="21"/>
          <w:highlight w:val="none"/>
        </w:rPr>
      </w:pPr>
      <w:r>
        <w:rPr>
          <w:rFonts w:hint="eastAsia"/>
          <w:color w:val="000000"/>
          <w:sz w:val="21"/>
          <w:szCs w:val="21"/>
        </w:rPr>
        <w:t>时间：</w:t>
      </w:r>
      <w:r>
        <w:rPr>
          <w:rFonts w:hint="eastAsia"/>
          <w:color w:val="000000"/>
          <w:sz w:val="21"/>
          <w:szCs w:val="21"/>
          <w:highlight w:val="none"/>
        </w:rPr>
        <w:t>/至2024年</w:t>
      </w:r>
      <w:r>
        <w:rPr>
          <w:rFonts w:hint="eastAsia"/>
          <w:color w:val="000000"/>
          <w:sz w:val="21"/>
          <w:szCs w:val="21"/>
          <w:highlight w:val="none"/>
          <w:lang w:val="en-US" w:eastAsia="zh-CN"/>
        </w:rPr>
        <w:t>4</w:t>
      </w:r>
      <w:r>
        <w:rPr>
          <w:rFonts w:hint="eastAsia"/>
          <w:color w:val="000000"/>
          <w:sz w:val="21"/>
          <w:szCs w:val="21"/>
          <w:highlight w:val="none"/>
        </w:rPr>
        <w:t>月</w:t>
      </w:r>
      <w:r>
        <w:rPr>
          <w:rFonts w:hint="eastAsia"/>
          <w:color w:val="000000"/>
          <w:sz w:val="21"/>
          <w:szCs w:val="21"/>
          <w:highlight w:val="none"/>
          <w:lang w:val="en-US" w:eastAsia="zh-CN"/>
        </w:rPr>
        <w:t>19</w:t>
      </w:r>
      <w:r>
        <w:rPr>
          <w:rFonts w:hint="eastAsia"/>
          <w:color w:val="000000"/>
          <w:sz w:val="21"/>
          <w:szCs w:val="21"/>
          <w:highlight w:val="none"/>
        </w:rPr>
        <w:t>日，每天上午00:00至12:00，下午12:00至23:59（北京时间，线上获取法定节假日均可，线下获取文件法定节假日除外）</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highlight w:val="none"/>
        </w:rPr>
        <w:t>地点（网址）：</w:t>
      </w:r>
      <w:r>
        <w:rPr>
          <w:rFonts w:hint="eastAsia"/>
          <w:color w:val="000000"/>
          <w:sz w:val="21"/>
          <w:szCs w:val="21"/>
        </w:rPr>
        <w:t>浙江政府采购网http://zfcg.czt.zj.gov.cn/（用“政采云”注册账号、密码登录系统后获取磋商文件）</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方式：网上获取。免费注册网址：浙江政府采购网（供应商注册页面）：https://middle.zcygov.cn/settle-front/#/registry“政采云”，已经注册成功的供应商无需重复注册，本项目实行电子投标。响应人在使用系统进行投标的过程中涉及平台使用的任何问题可致电政采云平台技术支持热线：95763。</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售价（元）：0</w:t>
      </w:r>
    </w:p>
    <w:p>
      <w:pPr>
        <w:pStyle w:val="22"/>
        <w:spacing w:before="0" w:beforeAutospacing="0" w:after="0" w:afterAutospacing="0" w:line="360" w:lineRule="auto"/>
        <w:jc w:val="both"/>
        <w:rPr>
          <w:sz w:val="21"/>
          <w:szCs w:val="21"/>
        </w:rPr>
      </w:pPr>
      <w:r>
        <w:rPr>
          <w:rStyle w:val="29"/>
          <w:rFonts w:hint="eastAsia" w:ascii="宋体" w:hAnsi="宋体" w:cs="宋体"/>
          <w:color w:val="000000"/>
          <w:sz w:val="21"/>
          <w:szCs w:val="21"/>
        </w:rPr>
        <w:t>四、响应文件提交（上传）</w:t>
      </w:r>
    </w:p>
    <w:p>
      <w:pPr>
        <w:pStyle w:val="22"/>
        <w:spacing w:before="0" w:beforeAutospacing="0" w:after="0" w:afterAutospacing="0" w:line="360" w:lineRule="auto"/>
        <w:ind w:firstLine="420" w:firstLineChars="200"/>
        <w:jc w:val="both"/>
        <w:rPr>
          <w:sz w:val="21"/>
          <w:szCs w:val="21"/>
          <w:highlight w:val="none"/>
        </w:rPr>
      </w:pPr>
      <w:r>
        <w:rPr>
          <w:rFonts w:hint="eastAsia"/>
          <w:color w:val="000000"/>
          <w:sz w:val="21"/>
          <w:szCs w:val="21"/>
        </w:rPr>
        <w:t>截止时间</w:t>
      </w:r>
      <w:r>
        <w:rPr>
          <w:rFonts w:hint="eastAsia"/>
          <w:color w:val="000000"/>
          <w:sz w:val="21"/>
          <w:szCs w:val="21"/>
          <w:highlight w:val="none"/>
        </w:rPr>
        <w:t>：2024年</w:t>
      </w:r>
      <w:r>
        <w:rPr>
          <w:rFonts w:hint="eastAsia"/>
          <w:color w:val="000000"/>
          <w:sz w:val="21"/>
          <w:szCs w:val="21"/>
          <w:highlight w:val="none"/>
          <w:lang w:val="en-US" w:eastAsia="zh-CN"/>
        </w:rPr>
        <w:t>4</w:t>
      </w:r>
      <w:r>
        <w:rPr>
          <w:rFonts w:hint="eastAsia"/>
          <w:color w:val="000000"/>
          <w:sz w:val="21"/>
          <w:szCs w:val="21"/>
          <w:highlight w:val="none"/>
        </w:rPr>
        <w:t>月</w:t>
      </w:r>
      <w:r>
        <w:rPr>
          <w:rFonts w:hint="eastAsia"/>
          <w:color w:val="000000"/>
          <w:sz w:val="21"/>
          <w:szCs w:val="21"/>
          <w:highlight w:val="none"/>
          <w:lang w:val="en-US" w:eastAsia="zh-CN"/>
        </w:rPr>
        <w:t>19</w:t>
      </w:r>
      <w:r>
        <w:rPr>
          <w:rFonts w:hint="eastAsia"/>
          <w:color w:val="000000"/>
          <w:sz w:val="21"/>
          <w:szCs w:val="21"/>
          <w:highlight w:val="none"/>
        </w:rPr>
        <w:t>日 09:00（北京时间）</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highlight w:val="none"/>
        </w:rPr>
        <w:t>地点（网址</w:t>
      </w:r>
      <w:r>
        <w:rPr>
          <w:rFonts w:hint="eastAsia"/>
          <w:color w:val="000000"/>
          <w:sz w:val="21"/>
          <w:szCs w:val="21"/>
        </w:rPr>
        <w:t>）：本项目不要求供应商授权代表参加现场开标、开启响应文件活动。响应人将加密的电子版响应文件于响应截止时间前上传到政采云系统中。响应人将备份响</w:t>
      </w:r>
      <w:r>
        <w:rPr>
          <w:rFonts w:hint="eastAsia"/>
          <w:color w:val="000000"/>
          <w:sz w:val="21"/>
          <w:szCs w:val="21"/>
          <w:highlight w:val="none"/>
        </w:rPr>
        <w:t>应文件于2024年</w:t>
      </w:r>
      <w:r>
        <w:rPr>
          <w:rFonts w:hint="eastAsia"/>
          <w:color w:val="000000"/>
          <w:sz w:val="21"/>
          <w:szCs w:val="21"/>
          <w:highlight w:val="none"/>
          <w:lang w:val="en-US" w:eastAsia="zh-CN"/>
        </w:rPr>
        <w:t>4</w:t>
      </w:r>
      <w:r>
        <w:rPr>
          <w:rFonts w:hint="eastAsia"/>
          <w:color w:val="000000"/>
          <w:sz w:val="21"/>
          <w:szCs w:val="21"/>
          <w:highlight w:val="none"/>
        </w:rPr>
        <w:t>月</w:t>
      </w:r>
      <w:r>
        <w:rPr>
          <w:rFonts w:hint="eastAsia"/>
          <w:color w:val="000000"/>
          <w:sz w:val="21"/>
          <w:szCs w:val="21"/>
          <w:highlight w:val="none"/>
          <w:lang w:val="en-US" w:eastAsia="zh-CN"/>
        </w:rPr>
        <w:t>18</w:t>
      </w:r>
      <w:r>
        <w:rPr>
          <w:rFonts w:hint="eastAsia"/>
          <w:color w:val="000000"/>
          <w:sz w:val="21"/>
          <w:szCs w:val="21"/>
          <w:highlight w:val="none"/>
        </w:rPr>
        <w:t>日17:00（北京时间）前通过邮寄或派人递送的方式送交到采购代理机构处（地址：舟山市定海区海天大道998号创客码头428室；联系人：许冰冰；联系方式：15888079927），截止时</w:t>
      </w:r>
      <w:r>
        <w:rPr>
          <w:rFonts w:hint="eastAsia"/>
          <w:color w:val="000000"/>
          <w:sz w:val="21"/>
          <w:szCs w:val="21"/>
        </w:rPr>
        <w:t>间前无法送达的，也可以在开启时间前送至开启地点（开启地点送交备份响应文件的联系方式：15888079927），未按时送达的自行承担风险，但不会因此导致响应无效。备份响应文件须密封完好，并注明响应人单位名称。响应人未按规定递交的备份响应文件，采购人有权拒收。</w:t>
      </w:r>
    </w:p>
    <w:p>
      <w:pPr>
        <w:pStyle w:val="22"/>
        <w:spacing w:before="0" w:beforeAutospacing="0" w:after="0" w:afterAutospacing="0" w:line="360" w:lineRule="auto"/>
        <w:jc w:val="both"/>
        <w:rPr>
          <w:sz w:val="21"/>
          <w:szCs w:val="21"/>
        </w:rPr>
      </w:pPr>
      <w:r>
        <w:rPr>
          <w:rStyle w:val="29"/>
          <w:rFonts w:hint="eastAsia" w:ascii="宋体" w:hAnsi="宋体" w:cs="宋体"/>
          <w:color w:val="000000"/>
          <w:sz w:val="21"/>
          <w:szCs w:val="21"/>
        </w:rPr>
        <w:t>五、响应文件开启</w:t>
      </w:r>
    </w:p>
    <w:p>
      <w:pPr>
        <w:pStyle w:val="22"/>
        <w:spacing w:before="0" w:beforeAutospacing="0" w:after="0" w:afterAutospacing="0" w:line="360" w:lineRule="auto"/>
        <w:ind w:firstLine="420" w:firstLineChars="200"/>
        <w:jc w:val="both"/>
        <w:rPr>
          <w:sz w:val="21"/>
          <w:szCs w:val="21"/>
          <w:highlight w:val="none"/>
        </w:rPr>
      </w:pPr>
      <w:r>
        <w:rPr>
          <w:rFonts w:hint="eastAsia"/>
          <w:color w:val="000000"/>
          <w:sz w:val="21"/>
          <w:szCs w:val="21"/>
        </w:rPr>
        <w:t>开</w:t>
      </w:r>
      <w:r>
        <w:rPr>
          <w:rFonts w:hint="eastAsia"/>
          <w:color w:val="000000"/>
          <w:sz w:val="21"/>
          <w:szCs w:val="21"/>
          <w:highlight w:val="none"/>
        </w:rPr>
        <w:t>启时间：2024年</w:t>
      </w:r>
      <w:r>
        <w:rPr>
          <w:rFonts w:hint="eastAsia"/>
          <w:color w:val="000000"/>
          <w:sz w:val="21"/>
          <w:szCs w:val="21"/>
          <w:highlight w:val="none"/>
          <w:lang w:val="en-US" w:eastAsia="zh-CN"/>
        </w:rPr>
        <w:t>4</w:t>
      </w:r>
      <w:r>
        <w:rPr>
          <w:rFonts w:hint="eastAsia"/>
          <w:color w:val="000000"/>
          <w:sz w:val="21"/>
          <w:szCs w:val="21"/>
          <w:highlight w:val="none"/>
        </w:rPr>
        <w:t>月</w:t>
      </w:r>
      <w:r>
        <w:rPr>
          <w:rFonts w:hint="eastAsia"/>
          <w:color w:val="000000"/>
          <w:sz w:val="21"/>
          <w:szCs w:val="21"/>
          <w:highlight w:val="none"/>
          <w:lang w:val="en-US" w:eastAsia="zh-CN"/>
        </w:rPr>
        <w:t>19</w:t>
      </w:r>
      <w:r>
        <w:rPr>
          <w:rFonts w:hint="eastAsia"/>
          <w:color w:val="000000"/>
          <w:sz w:val="21"/>
          <w:szCs w:val="21"/>
          <w:highlight w:val="none"/>
        </w:rPr>
        <w:t>日 09:00（北京时间）</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highlight w:val="none"/>
        </w:rPr>
        <w:t>地点（网址）：</w:t>
      </w:r>
      <w:r>
        <w:rPr>
          <w:rFonts w:hint="eastAsia"/>
          <w:color w:val="000000"/>
          <w:sz w:val="21"/>
          <w:szCs w:val="21"/>
        </w:rPr>
        <w:t>舟山市定海区海天大道998号创客码头428室</w:t>
      </w:r>
    </w:p>
    <w:p>
      <w:pPr>
        <w:pStyle w:val="22"/>
        <w:spacing w:before="0" w:beforeAutospacing="0" w:after="0" w:afterAutospacing="0" w:line="360" w:lineRule="auto"/>
        <w:jc w:val="both"/>
        <w:rPr>
          <w:sz w:val="21"/>
          <w:szCs w:val="21"/>
        </w:rPr>
      </w:pPr>
      <w:r>
        <w:rPr>
          <w:rStyle w:val="29"/>
          <w:rFonts w:hint="eastAsia" w:ascii="宋体" w:hAnsi="宋体" w:cs="宋体"/>
          <w:color w:val="000000"/>
          <w:sz w:val="21"/>
          <w:szCs w:val="21"/>
        </w:rPr>
        <w:t>六、采购意向公开链接</w:t>
      </w:r>
    </w:p>
    <w:p>
      <w:pPr>
        <w:pStyle w:val="22"/>
        <w:spacing w:before="0" w:beforeAutospacing="0" w:after="0" w:afterAutospacing="0" w:line="360" w:lineRule="auto"/>
        <w:ind w:firstLine="420" w:firstLineChars="200"/>
        <w:jc w:val="both"/>
        <w:rPr>
          <w:color w:val="000000"/>
          <w:sz w:val="21"/>
          <w:szCs w:val="21"/>
        </w:rPr>
      </w:pPr>
      <w:r>
        <w:rPr>
          <w:color w:val="000000"/>
          <w:sz w:val="21"/>
          <w:szCs w:val="21"/>
        </w:rPr>
        <w:t>https://zfcg.czt.zj.gov.cn/site/detail?parentId=600007&amp;articleId=nbbA1dyjRl03Inn54A8WZA%3D%3D&amp;utm=site.site-PC-37000.979-pc-websitegroup-zhejiang-secondPage-front.9.2a3d9e80d1f811ee972ec3df3c22ad94</w:t>
      </w:r>
    </w:p>
    <w:p>
      <w:pPr>
        <w:pStyle w:val="22"/>
        <w:spacing w:before="0" w:beforeAutospacing="0" w:after="0" w:afterAutospacing="0" w:line="360" w:lineRule="auto"/>
        <w:jc w:val="both"/>
        <w:rPr>
          <w:sz w:val="21"/>
          <w:szCs w:val="21"/>
        </w:rPr>
      </w:pPr>
      <w:r>
        <w:rPr>
          <w:rStyle w:val="29"/>
          <w:rFonts w:hint="eastAsia" w:ascii="宋体" w:hAnsi="宋体" w:cs="宋体"/>
          <w:color w:val="000000"/>
          <w:sz w:val="21"/>
          <w:szCs w:val="21"/>
        </w:rPr>
        <w:t>七、公告期限</w:t>
      </w:r>
    </w:p>
    <w:p>
      <w:pPr>
        <w:pStyle w:val="22"/>
        <w:spacing w:before="0" w:beforeAutospacing="0" w:after="0" w:afterAutospacing="0" w:line="360" w:lineRule="auto"/>
        <w:ind w:firstLine="420" w:firstLineChars="200"/>
        <w:jc w:val="both"/>
        <w:rPr>
          <w:sz w:val="21"/>
          <w:szCs w:val="21"/>
        </w:rPr>
      </w:pPr>
      <w:r>
        <w:rPr>
          <w:rFonts w:hint="eastAsia"/>
          <w:sz w:val="21"/>
          <w:szCs w:val="21"/>
        </w:rPr>
        <w:t>自本公告发布之日起3个工作日。</w:t>
      </w:r>
    </w:p>
    <w:p>
      <w:pPr>
        <w:pStyle w:val="22"/>
        <w:spacing w:before="0" w:beforeAutospacing="0" w:after="0" w:afterAutospacing="0" w:line="360" w:lineRule="auto"/>
        <w:jc w:val="both"/>
        <w:rPr>
          <w:sz w:val="21"/>
          <w:szCs w:val="21"/>
        </w:rPr>
      </w:pPr>
      <w:r>
        <w:rPr>
          <w:rStyle w:val="29"/>
          <w:rFonts w:hint="eastAsia" w:ascii="宋体" w:hAnsi="宋体" w:cs="宋体"/>
          <w:color w:val="000000"/>
          <w:sz w:val="21"/>
          <w:szCs w:val="21"/>
        </w:rPr>
        <w:t>八、其他补充事宜</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22"/>
        <w:spacing w:before="0" w:beforeAutospacing="0" w:after="0" w:afterAutospacing="0" w:line="360" w:lineRule="auto"/>
        <w:ind w:firstLine="420" w:firstLineChars="200"/>
        <w:jc w:val="both"/>
        <w:rPr>
          <w:color w:val="000000"/>
          <w:sz w:val="21"/>
          <w:szCs w:val="21"/>
        </w:rPr>
      </w:pPr>
      <w:r>
        <w:rPr>
          <w:rFonts w:hint="eastAsia"/>
          <w:color w:val="000000"/>
          <w:sz w:val="21"/>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4.其他事项：（1）响应文件的制作及递交：1）响应人须在线获取CA数字证书（完成CA数字证书办理预计一周左右，建议各响应人自行把握时间），并登录“浙江政府采购网”（ http://zfcg.czt.zj.gov.cn/），进入“下载专区”下载“电子交易客户端”，制作响应文件。2）具体的响应文件加密上传等操作详见政采云平台操作指南（https://edu.zcygov.cn/luban/e-biding?utm=a0004.2ef5001f.0001.0109.da8b35e0da8611e98d8937b7ef8a3544）。3）根据《浙江省政府采购项目电子交易管理暂行办法》第二十条规定，本次响应允许响应人递交备份响应文件，仅提交备份响应文件的，响应无效。（2）响应人应在合同签订前成为浙江政府采购网正式注册供应商。</w:t>
      </w:r>
    </w:p>
    <w:p>
      <w:pPr>
        <w:pStyle w:val="22"/>
        <w:spacing w:before="0" w:beforeAutospacing="0" w:after="0" w:afterAutospacing="0" w:line="360" w:lineRule="auto"/>
        <w:jc w:val="both"/>
        <w:rPr>
          <w:sz w:val="21"/>
          <w:szCs w:val="21"/>
        </w:rPr>
      </w:pPr>
      <w:r>
        <w:rPr>
          <w:rStyle w:val="29"/>
          <w:rFonts w:hint="eastAsia" w:ascii="宋体" w:hAnsi="宋体" w:cs="宋体"/>
          <w:color w:val="000000"/>
          <w:sz w:val="21"/>
          <w:szCs w:val="21"/>
        </w:rPr>
        <w:t>九、凡对本次招标提出询问、质疑、投诉，请按以下方式联系</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1.采购人信息</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名 称：嵊泗县海洋经济发展局（嵊泗县海洋与渔业局）</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地 址：舟山市嵊泗县菜园镇望海路243号</w:t>
      </w:r>
    </w:p>
    <w:p>
      <w:pPr>
        <w:pStyle w:val="22"/>
        <w:spacing w:before="0" w:beforeAutospacing="0" w:after="0" w:afterAutospacing="0" w:line="360" w:lineRule="auto"/>
        <w:ind w:firstLine="420" w:firstLineChars="200"/>
        <w:jc w:val="both"/>
        <w:rPr>
          <w:sz w:val="21"/>
          <w:szCs w:val="21"/>
          <w:highlight w:val="none"/>
        </w:rPr>
      </w:pPr>
      <w:r>
        <w:rPr>
          <w:rFonts w:hint="eastAsia"/>
          <w:color w:val="000000"/>
          <w:sz w:val="21"/>
          <w:szCs w:val="21"/>
          <w:highlight w:val="none"/>
        </w:rPr>
        <w:t>传 真：/</w:t>
      </w:r>
    </w:p>
    <w:p>
      <w:pPr>
        <w:pStyle w:val="22"/>
        <w:spacing w:before="0" w:beforeAutospacing="0" w:after="0" w:afterAutospacing="0" w:line="360" w:lineRule="auto"/>
        <w:ind w:firstLine="420" w:firstLineChars="200"/>
        <w:jc w:val="both"/>
        <w:rPr>
          <w:color w:val="000000"/>
          <w:sz w:val="21"/>
          <w:szCs w:val="21"/>
          <w:highlight w:val="none"/>
        </w:rPr>
      </w:pPr>
      <w:r>
        <w:rPr>
          <w:rFonts w:hint="eastAsia"/>
          <w:color w:val="000000"/>
          <w:sz w:val="21"/>
          <w:szCs w:val="21"/>
          <w:highlight w:val="none"/>
        </w:rPr>
        <w:t>项目联系人（询问）：沈先生</w:t>
      </w:r>
    </w:p>
    <w:p>
      <w:pPr>
        <w:pStyle w:val="22"/>
        <w:spacing w:before="0" w:beforeAutospacing="0" w:after="0" w:afterAutospacing="0" w:line="360" w:lineRule="auto"/>
        <w:ind w:firstLine="420" w:firstLineChars="200"/>
        <w:jc w:val="both"/>
        <w:rPr>
          <w:color w:val="000000"/>
          <w:sz w:val="21"/>
          <w:szCs w:val="21"/>
          <w:highlight w:val="none"/>
        </w:rPr>
      </w:pPr>
      <w:r>
        <w:rPr>
          <w:rFonts w:hint="eastAsia"/>
          <w:color w:val="000000"/>
          <w:sz w:val="21"/>
          <w:szCs w:val="21"/>
          <w:highlight w:val="none"/>
        </w:rPr>
        <w:t>项目联系方式（询问）：13665810557</w:t>
      </w:r>
    </w:p>
    <w:p>
      <w:pPr>
        <w:pStyle w:val="22"/>
        <w:spacing w:before="0" w:beforeAutospacing="0" w:after="0" w:afterAutospacing="0" w:line="360" w:lineRule="auto"/>
        <w:ind w:firstLine="420" w:firstLineChars="200"/>
        <w:jc w:val="both"/>
        <w:rPr>
          <w:color w:val="000000"/>
          <w:sz w:val="21"/>
          <w:szCs w:val="21"/>
          <w:highlight w:val="none"/>
        </w:rPr>
      </w:pPr>
      <w:r>
        <w:rPr>
          <w:rFonts w:hint="eastAsia"/>
          <w:color w:val="000000"/>
          <w:sz w:val="21"/>
          <w:szCs w:val="21"/>
          <w:highlight w:val="none"/>
        </w:rPr>
        <w:t>质疑联系人：</w:t>
      </w:r>
      <w:r>
        <w:rPr>
          <w:rFonts w:hint="eastAsia"/>
          <w:color w:val="000000"/>
          <w:sz w:val="21"/>
          <w:szCs w:val="21"/>
          <w:highlight w:val="none"/>
          <w:lang w:val="en-US" w:eastAsia="zh-CN"/>
        </w:rPr>
        <w:t>虞</w:t>
      </w:r>
      <w:r>
        <w:rPr>
          <w:rFonts w:hint="eastAsia"/>
          <w:color w:val="000000"/>
          <w:sz w:val="21"/>
          <w:szCs w:val="21"/>
          <w:highlight w:val="none"/>
        </w:rPr>
        <w:t>先生</w:t>
      </w:r>
    </w:p>
    <w:p>
      <w:pPr>
        <w:pStyle w:val="22"/>
        <w:spacing w:before="0" w:beforeAutospacing="0" w:after="0" w:afterAutospacing="0" w:line="360" w:lineRule="auto"/>
        <w:ind w:firstLine="420" w:firstLineChars="200"/>
        <w:jc w:val="both"/>
        <w:rPr>
          <w:rFonts w:hint="default" w:eastAsia="宋体"/>
          <w:color w:val="000000"/>
          <w:sz w:val="21"/>
          <w:szCs w:val="21"/>
          <w:highlight w:val="none"/>
          <w:lang w:val="en-US" w:eastAsia="zh-CN"/>
        </w:rPr>
      </w:pPr>
      <w:r>
        <w:rPr>
          <w:rFonts w:hint="eastAsia"/>
          <w:color w:val="000000"/>
          <w:sz w:val="21"/>
          <w:szCs w:val="21"/>
          <w:highlight w:val="none"/>
        </w:rPr>
        <w:t>质疑联系方式：</w:t>
      </w:r>
      <w:r>
        <w:rPr>
          <w:rFonts w:hint="eastAsia"/>
          <w:color w:val="000000"/>
          <w:sz w:val="21"/>
          <w:szCs w:val="21"/>
          <w:highlight w:val="none"/>
          <w:lang w:val="en-US" w:eastAsia="zh-CN"/>
        </w:rPr>
        <w:t>0580-5082071</w:t>
      </w:r>
    </w:p>
    <w:p>
      <w:pPr>
        <w:pStyle w:val="22"/>
        <w:spacing w:before="0" w:beforeAutospacing="0" w:after="0" w:afterAutospacing="0" w:line="360" w:lineRule="auto"/>
        <w:ind w:firstLine="420" w:firstLineChars="200"/>
        <w:jc w:val="both"/>
        <w:rPr>
          <w:color w:val="000000"/>
          <w:sz w:val="21"/>
          <w:szCs w:val="21"/>
          <w:highlight w:val="none"/>
        </w:rPr>
      </w:pP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2.采购代理机构信息</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名 称：中金招标有限责任公司</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地 址：舟山市定海区海天大道998号创客码头428室</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传 真：0580-2083003</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项目联系人（询问）：许冰冰</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项目联系方式（询问）：0580-2260620/15888079927</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质疑联系人：蔡真鹏</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质疑联系方式：18158033931</w:t>
      </w:r>
    </w:p>
    <w:p>
      <w:pPr>
        <w:pStyle w:val="22"/>
        <w:spacing w:before="0" w:beforeAutospacing="0" w:after="0" w:afterAutospacing="0" w:line="360" w:lineRule="auto"/>
        <w:ind w:firstLine="420" w:firstLineChars="200"/>
        <w:jc w:val="both"/>
        <w:rPr>
          <w:color w:val="000000"/>
          <w:sz w:val="21"/>
          <w:szCs w:val="21"/>
        </w:rPr>
      </w:pP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3.</w:t>
      </w:r>
      <w:r>
        <w:rPr>
          <w:rStyle w:val="33"/>
          <w:rFonts w:hint="eastAsia" w:ascii="宋体" w:hAnsi="宋体" w:cs="宋体"/>
          <w:color w:val="000000"/>
          <w:sz w:val="21"/>
          <w:szCs w:val="21"/>
        </w:rPr>
        <w:t>同级政府采购监督管理部门</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名 称：嵊泗县财政局政府采购监管科</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地 址：舟山市嵊泗县菜园镇海滨中路136号</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传 真：</w:t>
      </w:r>
      <w:r>
        <w:rPr>
          <w:color w:val="000000"/>
          <w:sz w:val="21"/>
          <w:szCs w:val="21"/>
        </w:rPr>
        <w:t>0580-5084056</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联系人：张先生</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监督投诉电话：0580-5087363</w:t>
      </w:r>
    </w:p>
    <w:p>
      <w:pPr>
        <w:widowControl/>
        <w:spacing w:line="360" w:lineRule="auto"/>
        <w:ind w:firstLine="420" w:firstLineChars="200"/>
        <w:rPr>
          <w:rFonts w:ascii="宋体" w:hAnsi="宋体" w:cs="宋体"/>
          <w:color w:val="000000"/>
          <w:szCs w:val="21"/>
        </w:rPr>
      </w:pP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若对项目采购电子交易系统操作有疑问，可登录政采云（https://www.zcygov.cn/），点击右侧咨询小采，获取采小蜜智能服务管家帮助，或拨打政采云服务热线95763获取热线服务帮助。</w:t>
      </w:r>
    </w:p>
    <w:p>
      <w:pPr>
        <w:pStyle w:val="22"/>
        <w:spacing w:before="0" w:beforeAutospacing="0" w:after="0" w:afterAutospacing="0" w:line="360" w:lineRule="auto"/>
        <w:ind w:firstLine="420" w:firstLineChars="200"/>
        <w:jc w:val="both"/>
        <w:rPr>
          <w:sz w:val="21"/>
          <w:szCs w:val="21"/>
        </w:rPr>
      </w:pPr>
      <w:r>
        <w:rPr>
          <w:rFonts w:hint="eastAsia"/>
          <w:color w:val="000000"/>
          <w:sz w:val="21"/>
          <w:szCs w:val="21"/>
        </w:rPr>
        <w:t>CA问题联系电话（人工）：汇信CA 400-888-4636；天谷CA 400-087-8198。</w:t>
      </w:r>
    </w:p>
    <w:p>
      <w:pPr>
        <w:rPr>
          <w:rFonts w:hint="eastAsia" w:ascii="宋体" w:hAnsi="宋体" w:cs="宋体"/>
          <w:b/>
          <w:sz w:val="28"/>
          <w:szCs w:val="28"/>
        </w:rPr>
      </w:pPr>
      <w:r>
        <w:rPr>
          <w:rFonts w:hint="eastAsia" w:ascii="宋体" w:hAnsi="宋体" w:cs="宋体"/>
          <w:b/>
          <w:sz w:val="28"/>
          <w:szCs w:val="28"/>
        </w:rPr>
        <w:br w:type="page"/>
      </w:r>
    </w:p>
    <w:p>
      <w:pPr>
        <w:spacing w:line="360" w:lineRule="auto"/>
        <w:jc w:val="center"/>
        <w:outlineLvl w:val="0"/>
        <w:rPr>
          <w:rFonts w:ascii="宋体" w:hAnsi="宋体" w:cs="宋体"/>
          <w:b/>
          <w:szCs w:val="21"/>
        </w:rPr>
      </w:pPr>
      <w:r>
        <w:rPr>
          <w:rFonts w:hint="eastAsia" w:ascii="宋体" w:hAnsi="宋体" w:cs="宋体"/>
          <w:b/>
          <w:sz w:val="28"/>
          <w:szCs w:val="28"/>
        </w:rPr>
        <w:t>第二章  采购需求</w:t>
      </w:r>
      <w:bookmarkStart w:id="3" w:name="_Toc263083258"/>
      <w:bookmarkStart w:id="4" w:name="_Toc517442217"/>
      <w:bookmarkStart w:id="5" w:name="_Toc37423705"/>
      <w:bookmarkStart w:id="6" w:name="_Toc6305"/>
      <w:bookmarkStart w:id="7" w:name="_Toc15530"/>
    </w:p>
    <w:bookmarkEnd w:id="3"/>
    <w:bookmarkEnd w:id="4"/>
    <w:bookmarkEnd w:id="5"/>
    <w:bookmarkEnd w:id="6"/>
    <w:bookmarkEnd w:id="7"/>
    <w:p>
      <w:pPr>
        <w:spacing w:line="360" w:lineRule="auto"/>
        <w:rPr>
          <w:rFonts w:cs="宋体" w:asciiTheme="minorEastAsia" w:hAnsiTheme="minorEastAsia" w:eastAsiaTheme="minorEastAsia"/>
          <w:b/>
          <w:bCs/>
          <w:szCs w:val="21"/>
        </w:rPr>
      </w:pPr>
      <w:r>
        <w:rPr>
          <w:rFonts w:hint="eastAsia" w:cs="宋体" w:asciiTheme="minorEastAsia" w:hAnsiTheme="minorEastAsia" w:eastAsiaTheme="minorEastAsia"/>
          <w:b/>
          <w:bCs/>
          <w:szCs w:val="21"/>
        </w:rPr>
        <w:t>一、项目概况</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为加强渔业安全生产管理，实现渔船海上安全</w:t>
      </w:r>
      <w:bookmarkStart w:id="8" w:name="_Hlk52094125"/>
      <w:r>
        <w:rPr>
          <w:rFonts w:hint="eastAsia" w:cs="宋体" w:asciiTheme="minorEastAsia" w:hAnsiTheme="minorEastAsia" w:eastAsiaTheme="minorEastAsia"/>
          <w:szCs w:val="21"/>
        </w:rPr>
        <w:t>精准</w:t>
      </w:r>
      <w:bookmarkEnd w:id="8"/>
      <w:r>
        <w:rPr>
          <w:rFonts w:hint="eastAsia" w:cs="宋体" w:asciiTheme="minorEastAsia" w:hAnsiTheme="minorEastAsia" w:eastAsiaTheme="minorEastAsia"/>
          <w:szCs w:val="21"/>
        </w:rPr>
        <w:t>管理，根据舟山市渔业专项整治工作部署会议精神，在舟山市重点渔船示范应用船载卫星语音终端海上通信保障服务，</w:t>
      </w:r>
      <w:bookmarkStart w:id="9" w:name="_Hlk47687491"/>
      <w:r>
        <w:rPr>
          <w:rFonts w:hint="eastAsia" w:cs="宋体" w:asciiTheme="minorEastAsia" w:hAnsiTheme="minorEastAsia" w:eastAsiaTheme="minorEastAsia"/>
          <w:szCs w:val="21"/>
        </w:rPr>
        <w:t>补强船岸、船船之间的“通话、短信”等海上通信在线率与即时性，解决海上渔船“看得到、叫不应”的问题，</w:t>
      </w:r>
      <w:bookmarkEnd w:id="9"/>
      <w:r>
        <w:rPr>
          <w:rFonts w:hint="eastAsia" w:cs="宋体" w:asciiTheme="minorEastAsia" w:hAnsiTheme="minorEastAsia" w:eastAsiaTheme="minorEastAsia"/>
          <w:szCs w:val="21"/>
        </w:rPr>
        <w:t>着力提高渔船海上通信联络能力。在渔船安全救助、越线管理、编组管理、动态点验及动态干预等事件处置时，实现通讯畅通，响应及时，提高应急事件处理效率，遏制重特大和较大事故发生，为渔业安全生产提供有力保障。</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本次拟为嵊泗县340艘渔船提供卫星语音通讯服务。</w:t>
      </w:r>
    </w:p>
    <w:p>
      <w:pPr>
        <w:spacing w:line="360" w:lineRule="auto"/>
        <w:ind w:firstLine="422" w:firstLineChars="200"/>
        <w:rPr>
          <w:rFonts w:cs="宋体" w:asciiTheme="minorEastAsia" w:hAnsiTheme="minorEastAsia" w:eastAsiaTheme="minorEastAsia"/>
          <w:b/>
          <w:bCs/>
          <w:szCs w:val="21"/>
        </w:rPr>
      </w:pPr>
    </w:p>
    <w:p>
      <w:pPr>
        <w:spacing w:line="360" w:lineRule="auto"/>
        <w:rPr>
          <w:rFonts w:cs="宋体" w:asciiTheme="minorEastAsia" w:hAnsiTheme="minorEastAsia" w:eastAsiaTheme="minorEastAsia"/>
          <w:b/>
          <w:bCs/>
          <w:szCs w:val="21"/>
        </w:rPr>
      </w:pPr>
      <w:r>
        <w:rPr>
          <w:rFonts w:hint="eastAsia" w:cs="宋体" w:asciiTheme="minorEastAsia" w:hAnsiTheme="minorEastAsia" w:eastAsiaTheme="minorEastAsia"/>
          <w:b/>
          <w:bCs/>
          <w:szCs w:val="21"/>
        </w:rPr>
        <w:t>二、项目内容</w:t>
      </w:r>
    </w:p>
    <w:tbl>
      <w:tblPr>
        <w:tblStyle w:val="26"/>
        <w:tblW w:w="52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76"/>
        <w:gridCol w:w="2576"/>
        <w:gridCol w:w="1287"/>
        <w:gridCol w:w="1287"/>
        <w:gridCol w:w="1287"/>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1" w:type="pct"/>
            <w:vAlign w:val="center"/>
          </w:tcPr>
          <w:p>
            <w:pPr>
              <w:widowControl/>
              <w:jc w:val="center"/>
              <w:textAlignment w:val="center"/>
              <w:rPr>
                <w:rFonts w:cs="宋体" w:asciiTheme="minorEastAsia" w:hAnsiTheme="minorEastAsia" w:eastAsiaTheme="minorEastAsia"/>
                <w:b/>
                <w:bCs/>
                <w:kern w:val="0"/>
                <w:szCs w:val="21"/>
                <w:shd w:val="pct10" w:color="auto" w:fill="FFFFFF"/>
              </w:rPr>
            </w:pPr>
            <w:r>
              <w:rPr>
                <w:rFonts w:hint="eastAsia" w:cs="宋体" w:asciiTheme="minorEastAsia" w:hAnsiTheme="minorEastAsia" w:eastAsiaTheme="minorEastAsia"/>
                <w:b/>
                <w:bCs/>
                <w:kern w:val="0"/>
                <w:szCs w:val="21"/>
              </w:rPr>
              <w:t>项目名称</w:t>
            </w:r>
          </w:p>
        </w:tc>
        <w:tc>
          <w:tcPr>
            <w:tcW w:w="1251" w:type="pct"/>
            <w:vAlign w:val="center"/>
          </w:tcPr>
          <w:p>
            <w:pPr>
              <w:widowControl/>
              <w:jc w:val="center"/>
              <w:textAlignment w:val="center"/>
              <w:rPr>
                <w:rFonts w:cs="宋体" w:asciiTheme="minorEastAsia" w:hAnsiTheme="minorEastAsia" w:eastAsiaTheme="minorEastAsia"/>
                <w:b/>
                <w:bCs/>
                <w:kern w:val="0"/>
                <w:szCs w:val="21"/>
                <w:shd w:val="pct10" w:color="auto" w:fill="FFFFFF"/>
              </w:rPr>
            </w:pPr>
            <w:r>
              <w:rPr>
                <w:rFonts w:hint="eastAsia" w:cs="宋体" w:asciiTheme="minorEastAsia" w:hAnsiTheme="minorEastAsia" w:eastAsiaTheme="minorEastAsia"/>
                <w:b/>
                <w:bCs/>
                <w:kern w:val="0"/>
                <w:szCs w:val="21"/>
              </w:rPr>
              <w:t>简要规格描述</w:t>
            </w:r>
          </w:p>
        </w:tc>
        <w:tc>
          <w:tcPr>
            <w:tcW w:w="625" w:type="pct"/>
            <w:vAlign w:val="center"/>
          </w:tcPr>
          <w:p>
            <w:pPr>
              <w:widowControl/>
              <w:jc w:val="center"/>
              <w:textAlignment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采购单位</w:t>
            </w:r>
          </w:p>
        </w:tc>
        <w:tc>
          <w:tcPr>
            <w:tcW w:w="625" w:type="pct"/>
            <w:vAlign w:val="center"/>
          </w:tcPr>
          <w:p>
            <w:pPr>
              <w:widowControl/>
              <w:jc w:val="center"/>
              <w:textAlignment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数量</w:t>
            </w:r>
          </w:p>
        </w:tc>
        <w:tc>
          <w:tcPr>
            <w:tcW w:w="625" w:type="pct"/>
            <w:vAlign w:val="center"/>
          </w:tcPr>
          <w:p>
            <w:pPr>
              <w:widowControl/>
              <w:jc w:val="center"/>
              <w:textAlignment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单价</w:t>
            </w:r>
          </w:p>
        </w:tc>
        <w:tc>
          <w:tcPr>
            <w:tcW w:w="624" w:type="pct"/>
            <w:vAlign w:val="center"/>
          </w:tcPr>
          <w:p>
            <w:pPr>
              <w:jc w:val="center"/>
              <w:textAlignment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1" w:type="pct"/>
            <w:vAlign w:val="center"/>
          </w:tcPr>
          <w:p>
            <w:pPr>
              <w:jc w:val="center"/>
              <w:rPr>
                <w:rFonts w:asciiTheme="minorEastAsia" w:hAnsiTheme="minorEastAsia" w:eastAsiaTheme="minorEastAsia"/>
                <w:szCs w:val="21"/>
              </w:rPr>
            </w:pPr>
            <w:r>
              <w:rPr>
                <w:rFonts w:hint="eastAsia" w:cs="宋体" w:asciiTheme="minorEastAsia" w:hAnsiTheme="minorEastAsia" w:eastAsiaTheme="minorEastAsia"/>
                <w:kern w:val="0"/>
                <w:szCs w:val="21"/>
              </w:rPr>
              <w:t>嵊泗县海洋经济发展局（嵊泗县海洋与渔业局）卫星语音通讯服务项目（重新采购）</w:t>
            </w:r>
          </w:p>
        </w:tc>
        <w:tc>
          <w:tcPr>
            <w:tcW w:w="1251" w:type="pct"/>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为</w:t>
            </w:r>
            <w:r>
              <w:rPr>
                <w:rFonts w:hint="eastAsia" w:cs="宋体" w:asciiTheme="minorEastAsia" w:hAnsiTheme="minorEastAsia" w:eastAsiaTheme="minorEastAsia"/>
                <w:szCs w:val="21"/>
              </w:rPr>
              <w:t>嵊泗县340艘渔船提供卫星语音通讯服务</w:t>
            </w:r>
            <w:r>
              <w:rPr>
                <w:rFonts w:hint="eastAsia" w:asciiTheme="minorEastAsia" w:hAnsiTheme="minorEastAsia" w:eastAsiaTheme="minorEastAsia"/>
                <w:szCs w:val="21"/>
              </w:rPr>
              <w:t>，时间</w:t>
            </w:r>
            <w:r>
              <w:rPr>
                <w:rFonts w:hint="eastAsia" w:asciiTheme="minorEastAsia" w:hAnsiTheme="minorEastAsia" w:eastAsiaTheme="minorEastAsia"/>
                <w:szCs w:val="21"/>
                <w:lang w:val="en-US" w:eastAsia="zh-CN"/>
              </w:rPr>
              <w:t>两</w:t>
            </w:r>
            <w:r>
              <w:rPr>
                <w:rFonts w:hint="eastAsia" w:asciiTheme="minorEastAsia" w:hAnsiTheme="minorEastAsia" w:eastAsiaTheme="minorEastAsia"/>
                <w:szCs w:val="21"/>
              </w:rPr>
              <w:t>年，要求通话拨通率≥90%。</w:t>
            </w:r>
          </w:p>
        </w:tc>
        <w:tc>
          <w:tcPr>
            <w:tcW w:w="625" w:type="pct"/>
            <w:vAlign w:val="center"/>
          </w:tcPr>
          <w:p>
            <w:pPr>
              <w:jc w:val="center"/>
              <w:rPr>
                <w:rFonts w:asciiTheme="minorEastAsia" w:hAnsiTheme="minorEastAsia" w:eastAsiaTheme="minorEastAsia"/>
                <w:szCs w:val="21"/>
              </w:rPr>
            </w:pPr>
            <w:r>
              <w:rPr>
                <w:rFonts w:hint="eastAsia" w:cs="宋体" w:asciiTheme="minorEastAsia" w:hAnsiTheme="minorEastAsia" w:eastAsiaTheme="minorEastAsia"/>
                <w:kern w:val="0"/>
                <w:szCs w:val="21"/>
              </w:rPr>
              <w:t>嵊泗县海洋经济发展局（嵊泗县海洋与渔业局）</w:t>
            </w:r>
          </w:p>
        </w:tc>
        <w:tc>
          <w:tcPr>
            <w:tcW w:w="625" w:type="pct"/>
            <w:vAlign w:val="center"/>
          </w:tcPr>
          <w:p>
            <w:pPr>
              <w:jc w:val="center"/>
              <w:rPr>
                <w:rFonts w:asciiTheme="minorEastAsia" w:hAnsiTheme="minorEastAsia" w:eastAsiaTheme="minorEastAsia"/>
                <w:szCs w:val="21"/>
              </w:rPr>
            </w:pPr>
            <w:r>
              <w:rPr>
                <w:rFonts w:hint="eastAsia" w:cs="宋体" w:asciiTheme="minorEastAsia" w:hAnsiTheme="minorEastAsia" w:eastAsiaTheme="minorEastAsia"/>
                <w:szCs w:val="21"/>
              </w:rPr>
              <w:t>340艘</w:t>
            </w:r>
          </w:p>
        </w:tc>
        <w:tc>
          <w:tcPr>
            <w:tcW w:w="625" w:type="pct"/>
            <w:vAlign w:val="center"/>
          </w:tcPr>
          <w:p>
            <w:pPr>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2500</w:t>
            </w:r>
          </w:p>
          <w:p>
            <w:pPr>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rPr>
              <w:t>元</w:t>
            </w:r>
            <w:r>
              <w:rPr>
                <w:rFonts w:hint="eastAsia" w:asciiTheme="minorEastAsia" w:hAnsiTheme="minorEastAsia" w:eastAsiaTheme="minorEastAsia"/>
                <w:szCs w:val="21"/>
                <w:lang w:val="en-US" w:eastAsia="zh-CN"/>
              </w:rPr>
              <w:t>/艘·年</w:t>
            </w:r>
          </w:p>
        </w:tc>
        <w:tc>
          <w:tcPr>
            <w:tcW w:w="624" w:type="pct"/>
            <w:vAlign w:val="center"/>
          </w:tcPr>
          <w:p>
            <w:pPr>
              <w:jc w:val="center"/>
              <w:rPr>
                <w:rFonts w:asciiTheme="minorEastAsia" w:hAnsiTheme="minorEastAsia" w:eastAsiaTheme="minorEastAsia"/>
                <w:szCs w:val="21"/>
              </w:rPr>
            </w:pPr>
            <w:r>
              <w:rPr>
                <w:rFonts w:asciiTheme="minorEastAsia" w:hAnsiTheme="minorEastAsia" w:eastAsiaTheme="minorEastAsia"/>
                <w:szCs w:val="21"/>
              </w:rPr>
              <w:t>1700000元</w:t>
            </w:r>
          </w:p>
        </w:tc>
      </w:tr>
    </w:tbl>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注：</w:t>
      </w:r>
    </w:p>
    <w:p>
      <w:pPr>
        <w:spacing w:line="360" w:lineRule="auto"/>
        <w:ind w:firstLine="422" w:firstLineChars="200"/>
        <w:rPr>
          <w:rFonts w:hint="eastAsia" w:asciiTheme="minorEastAsia" w:hAnsiTheme="minorEastAsia" w:eastAsiaTheme="minorEastAsia"/>
          <w:b/>
          <w:bCs/>
          <w:szCs w:val="21"/>
          <w:lang w:eastAsia="zh-CN"/>
        </w:rPr>
      </w:pPr>
      <w:r>
        <w:rPr>
          <w:rFonts w:hint="eastAsia" w:cs="宋体" w:asciiTheme="minorEastAsia" w:hAnsiTheme="minorEastAsia" w:eastAsiaTheme="minorEastAsia"/>
          <w:b/>
          <w:bCs/>
          <w:szCs w:val="21"/>
        </w:rPr>
        <w:t>▲</w:t>
      </w:r>
      <w:r>
        <w:rPr>
          <w:rFonts w:hint="eastAsia" w:asciiTheme="minorEastAsia" w:hAnsiTheme="minorEastAsia" w:eastAsiaTheme="minorEastAsia"/>
          <w:b/>
          <w:bCs/>
          <w:szCs w:val="21"/>
        </w:rPr>
        <w:t>1、本次磋商报价不得超过每</w:t>
      </w:r>
      <w:r>
        <w:rPr>
          <w:rFonts w:asciiTheme="minorEastAsia" w:hAnsiTheme="minorEastAsia" w:eastAsiaTheme="minorEastAsia"/>
          <w:b/>
          <w:bCs/>
          <w:szCs w:val="21"/>
        </w:rPr>
        <w:t>艘</w:t>
      </w:r>
      <w:r>
        <w:rPr>
          <w:rFonts w:hint="eastAsia" w:asciiTheme="minorEastAsia" w:hAnsiTheme="minorEastAsia" w:eastAsiaTheme="minorEastAsia"/>
          <w:b/>
          <w:bCs/>
          <w:szCs w:val="21"/>
        </w:rPr>
        <w:t>船</w:t>
      </w:r>
      <w:r>
        <w:rPr>
          <w:rFonts w:hint="eastAsia" w:asciiTheme="minorEastAsia" w:hAnsiTheme="minorEastAsia" w:eastAsiaTheme="minorEastAsia"/>
          <w:b/>
          <w:bCs/>
          <w:szCs w:val="21"/>
          <w:lang w:val="en-US" w:eastAsia="zh-CN"/>
        </w:rPr>
        <w:t>2500</w:t>
      </w:r>
      <w:r>
        <w:rPr>
          <w:rFonts w:hint="eastAsia" w:asciiTheme="minorEastAsia" w:hAnsiTheme="minorEastAsia" w:eastAsiaTheme="minorEastAsia"/>
          <w:b/>
          <w:bCs/>
          <w:szCs w:val="21"/>
        </w:rPr>
        <w:t>元</w:t>
      </w:r>
      <w:r>
        <w:rPr>
          <w:rFonts w:hint="eastAsia" w:asciiTheme="minorEastAsia" w:hAnsiTheme="minorEastAsia" w:eastAsiaTheme="minorEastAsia"/>
          <w:b/>
          <w:bCs/>
          <w:szCs w:val="21"/>
          <w:lang w:val="en-US" w:eastAsia="zh-CN"/>
        </w:rPr>
        <w:t>/艘·年</w:t>
      </w:r>
      <w:r>
        <w:rPr>
          <w:rFonts w:asciiTheme="minorEastAsia" w:hAnsiTheme="minorEastAsia" w:eastAsiaTheme="minorEastAsia"/>
          <w:b/>
          <w:bCs/>
          <w:szCs w:val="21"/>
        </w:rPr>
        <w:t>。该</w:t>
      </w:r>
      <w:r>
        <w:rPr>
          <w:rFonts w:hint="eastAsia" w:asciiTheme="minorEastAsia" w:hAnsiTheme="minorEastAsia" w:eastAsiaTheme="minorEastAsia"/>
          <w:b/>
          <w:bCs/>
          <w:szCs w:val="21"/>
        </w:rPr>
        <w:t>报价含每艘船上用户与200个对外服务白名单号码主叫、被叫的所有通信（含短信）费用，及除白名单号码外的1000分钟通话时长费用，并包括入网费、座机费等</w:t>
      </w:r>
      <w:r>
        <w:rPr>
          <w:rFonts w:asciiTheme="minorEastAsia" w:hAnsiTheme="minorEastAsia" w:eastAsiaTheme="minorEastAsia"/>
          <w:b/>
          <w:bCs/>
          <w:szCs w:val="21"/>
        </w:rPr>
        <w:t>。</w:t>
      </w:r>
      <w:r>
        <w:rPr>
          <w:rFonts w:hint="eastAsia" w:asciiTheme="minorEastAsia" w:hAnsiTheme="minorEastAsia" w:eastAsiaTheme="minorEastAsia"/>
          <w:b/>
          <w:bCs/>
          <w:szCs w:val="21"/>
        </w:rPr>
        <w:t>由采购人提供包括市（县区）渔业应急指挥中心、点验中心、乡镇渔办、公共报警电话、应急管理部门、海事管理部门等200个对外服务白名单号码。运营服务期内，成交人须保证船上用户与白名单号码主叫、被叫免费，通信正常，不得欠费停机，不另行收费。</w:t>
      </w:r>
    </w:p>
    <w:p>
      <w:pPr>
        <w:spacing w:line="360" w:lineRule="auto"/>
        <w:ind w:firstLine="422" w:firstLineChars="200"/>
        <w:rPr>
          <w:rFonts w:hint="eastAsia" w:asciiTheme="minorEastAsia" w:hAnsiTheme="minorEastAsia" w:eastAsiaTheme="minorEastAsia"/>
          <w:b/>
          <w:bCs/>
          <w:szCs w:val="21"/>
          <w:lang w:eastAsia="zh-CN"/>
        </w:rPr>
      </w:pPr>
      <w:r>
        <w:rPr>
          <w:rFonts w:hint="eastAsia" w:cs="宋体" w:asciiTheme="minorEastAsia" w:hAnsiTheme="minorEastAsia" w:eastAsiaTheme="minorEastAsia"/>
          <w:b/>
          <w:bCs/>
          <w:szCs w:val="21"/>
        </w:rPr>
        <w:t>▲</w:t>
      </w:r>
      <w:r>
        <w:rPr>
          <w:rFonts w:hint="eastAsia" w:asciiTheme="minorEastAsia" w:hAnsiTheme="minorEastAsia" w:eastAsiaTheme="minorEastAsia"/>
          <w:b/>
          <w:bCs/>
          <w:szCs w:val="21"/>
        </w:rPr>
        <w:t>2、对船上用户使用超出1000分钟通话时长的，除拨打、接听白名单号码仍应免费外，相应费用由船上用户自行支付，响应人应说明通话计时方式、短信资费及其相应的计费措施，并明确通话、短信的收费单价，该单价应低于市场公开收费标准。</w:t>
      </w:r>
    </w:p>
    <w:p>
      <w:pPr>
        <w:spacing w:line="360" w:lineRule="auto"/>
        <w:ind w:firstLine="422" w:firstLineChars="200"/>
        <w:rPr>
          <w:rFonts w:asciiTheme="minorEastAsia" w:hAnsiTheme="minorEastAsia" w:eastAsiaTheme="minorEastAsia"/>
          <w:b/>
          <w:bCs/>
          <w:szCs w:val="21"/>
        </w:rPr>
      </w:pPr>
      <w:r>
        <w:rPr>
          <w:rFonts w:hint="eastAsia" w:cs="宋体" w:asciiTheme="minorEastAsia" w:hAnsiTheme="minorEastAsia" w:eastAsiaTheme="minorEastAsia"/>
          <w:b/>
          <w:bCs/>
          <w:szCs w:val="21"/>
        </w:rPr>
        <w:t>▲</w:t>
      </w:r>
      <w:r>
        <w:rPr>
          <w:rFonts w:hint="eastAsia" w:asciiTheme="minorEastAsia" w:hAnsiTheme="minorEastAsia" w:eastAsiaTheme="minorEastAsia"/>
          <w:b/>
          <w:bCs/>
          <w:szCs w:val="21"/>
        </w:rPr>
        <w:t>3</w:t>
      </w:r>
      <w:r>
        <w:rPr>
          <w:rFonts w:asciiTheme="minorEastAsia" w:hAnsiTheme="minorEastAsia" w:eastAsiaTheme="minorEastAsia"/>
          <w:b/>
          <w:bCs/>
          <w:szCs w:val="21"/>
        </w:rPr>
        <w:t>、</w:t>
      </w:r>
      <w:r>
        <w:rPr>
          <w:rFonts w:hint="eastAsia" w:asciiTheme="minorEastAsia" w:hAnsiTheme="minorEastAsia" w:eastAsiaTheme="minorEastAsia"/>
          <w:b/>
          <w:bCs/>
          <w:szCs w:val="21"/>
        </w:rPr>
        <w:t>响应人需提供本次服务设备的配置清单及单价，单价应不高于同期市场价的80%，作为设备因人为损坏、遗失时维修或赔偿的价格参照依据</w:t>
      </w:r>
      <w:r>
        <w:rPr>
          <w:rFonts w:asciiTheme="minorEastAsia" w:hAnsiTheme="minorEastAsia" w:eastAsiaTheme="minorEastAsia"/>
          <w:b/>
          <w:bCs/>
          <w:szCs w:val="21"/>
        </w:rPr>
        <w:t>。</w:t>
      </w:r>
    </w:p>
    <w:p>
      <w:pPr>
        <w:spacing w:line="360" w:lineRule="auto"/>
        <w:rPr>
          <w:rFonts w:asciiTheme="minorEastAsia" w:hAnsiTheme="minorEastAsia" w:eastAsiaTheme="minorEastAsia"/>
          <w:b/>
          <w:bCs/>
          <w:szCs w:val="21"/>
        </w:rPr>
      </w:pPr>
    </w:p>
    <w:p>
      <w:pPr>
        <w:spacing w:line="360" w:lineRule="auto"/>
        <w:rPr>
          <w:rFonts w:cs="宋体" w:asciiTheme="minorEastAsia" w:hAnsiTheme="minorEastAsia" w:eastAsiaTheme="minorEastAsia"/>
          <w:b/>
          <w:bCs/>
          <w:szCs w:val="21"/>
        </w:rPr>
      </w:pPr>
      <w:r>
        <w:rPr>
          <w:rFonts w:hint="eastAsia" w:cs="宋体" w:asciiTheme="minorEastAsia" w:hAnsiTheme="minorEastAsia" w:eastAsiaTheme="minorEastAsia"/>
          <w:b/>
          <w:bCs/>
          <w:szCs w:val="21"/>
        </w:rPr>
        <w:t>三、技术要求</w:t>
      </w:r>
    </w:p>
    <w:p>
      <w:pPr>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渔船船载卫星语音通讯服务实施后，应实现以下要求：</w:t>
      </w:r>
    </w:p>
    <w:p>
      <w:pPr>
        <w:spacing w:line="360" w:lineRule="auto"/>
        <w:ind w:firstLine="422" w:firstLineChars="200"/>
        <w:rPr>
          <w:rFonts w:cs="宋体" w:asciiTheme="minorEastAsia" w:hAnsiTheme="minorEastAsia" w:eastAsiaTheme="minorEastAsia"/>
          <w:b/>
          <w:bCs/>
          <w:szCs w:val="21"/>
        </w:rPr>
      </w:pPr>
      <w:r>
        <w:rPr>
          <w:rFonts w:hint="eastAsia" w:cs="宋体" w:asciiTheme="minorEastAsia" w:hAnsiTheme="minorEastAsia" w:eastAsiaTheme="minorEastAsia"/>
          <w:b/>
          <w:bCs/>
          <w:szCs w:val="21"/>
        </w:rPr>
        <w:t>▲1、要求成交人提供船载卫星语音终端设备免费租用服务。</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2</w:t>
      </w:r>
      <w:r>
        <w:rPr>
          <w:rFonts w:hint="eastAsia" w:cs="宋体" w:asciiTheme="minorEastAsia" w:hAnsiTheme="minorEastAsia" w:eastAsiaTheme="minorEastAsia"/>
          <w:szCs w:val="21"/>
        </w:rPr>
        <w:t>、通信要求：实现渔船船载卫星语音终端通话功能，船载卫星语音终端之间及与固定电话、移动手机、卫星电话等通信设备实现双向拨打，无需依赖第三方通讯软件。</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3</w:t>
      </w:r>
      <w:r>
        <w:rPr>
          <w:rFonts w:hint="eastAsia" w:cs="宋体" w:asciiTheme="minorEastAsia" w:hAnsiTheme="minorEastAsia" w:eastAsiaTheme="minorEastAsia"/>
          <w:szCs w:val="21"/>
        </w:rPr>
        <w:t>、通话要求：渔船船载卫星语音终端通话服务过程中，拨打时各类提示清楚，指引明确，通话时语音明亮清晰。</w:t>
      </w:r>
    </w:p>
    <w:p>
      <w:pPr>
        <w:spacing w:line="360" w:lineRule="auto"/>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lang w:val="en-US" w:eastAsia="zh-CN"/>
        </w:rPr>
        <w:t>4</w:t>
      </w:r>
      <w:r>
        <w:rPr>
          <w:rFonts w:hint="eastAsia" w:cs="宋体" w:asciiTheme="minorEastAsia" w:hAnsiTheme="minorEastAsia" w:eastAsiaTheme="minorEastAsia"/>
          <w:bCs/>
          <w:szCs w:val="21"/>
        </w:rPr>
        <w:t>、运行要求：在舟山市国内渔船主要海上生产作业区域内（北纬25°至北纬38°，东经119°至东经127°），通话服务拨通率≥90%，服务计时计费准确。</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5</w:t>
      </w:r>
      <w:r>
        <w:rPr>
          <w:rFonts w:hint="eastAsia" w:cs="宋体" w:asciiTheme="minorEastAsia" w:hAnsiTheme="minorEastAsia" w:eastAsiaTheme="minorEastAsia"/>
          <w:szCs w:val="21"/>
        </w:rPr>
        <w:t>、管理要求：实现通话服务的成交人应具有良好的终端设备运行管理能力。</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6</w:t>
      </w:r>
      <w:r>
        <w:rPr>
          <w:rFonts w:hint="eastAsia" w:cs="宋体" w:asciiTheme="minorEastAsia" w:hAnsiTheme="minorEastAsia" w:eastAsiaTheme="minorEastAsia"/>
          <w:szCs w:val="21"/>
        </w:rPr>
        <w:t>、服务要求：实现通话服务的成交人应具有良好的终端设备服务保障能力，对终端设备、卫星通信线路接入等故障排除应及时，服务保障到位。</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7</w:t>
      </w:r>
      <w:r>
        <w:rPr>
          <w:rFonts w:hint="eastAsia" w:cs="宋体" w:asciiTheme="minorEastAsia" w:hAnsiTheme="minorEastAsia" w:eastAsiaTheme="minorEastAsia"/>
          <w:szCs w:val="21"/>
        </w:rPr>
        <w:t>、成交人须提供本项目所需的</w:t>
      </w:r>
      <w:r>
        <w:rPr>
          <w:rFonts w:hint="eastAsia" w:cs="宋体" w:asciiTheme="minorEastAsia" w:hAnsiTheme="minorEastAsia" w:eastAsiaTheme="minorEastAsia"/>
          <w:szCs w:val="21"/>
          <w:lang w:val="en-US" w:eastAsia="zh-CN"/>
        </w:rPr>
        <w:t>服务</w:t>
      </w:r>
      <w:r>
        <w:rPr>
          <w:rFonts w:hint="eastAsia" w:cs="宋体" w:asciiTheme="minorEastAsia" w:hAnsiTheme="minorEastAsia" w:eastAsiaTheme="minorEastAsia"/>
          <w:szCs w:val="21"/>
        </w:rPr>
        <w:t>、技术培训，确保用户正常应用。</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8</w:t>
      </w:r>
      <w:r>
        <w:rPr>
          <w:rFonts w:hint="eastAsia" w:cs="宋体" w:asciiTheme="minorEastAsia" w:hAnsiTheme="minorEastAsia" w:eastAsiaTheme="minorEastAsia"/>
          <w:szCs w:val="21"/>
        </w:rPr>
        <w:t>、卫星业务除支持语音业务外，应支持短信业务。</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lang w:val="en-US" w:eastAsia="zh-CN"/>
        </w:rPr>
        <w:t>9</w:t>
      </w:r>
      <w:r>
        <w:rPr>
          <w:rFonts w:hint="eastAsia" w:cs="宋体" w:asciiTheme="minorEastAsia" w:hAnsiTheme="minorEastAsia" w:eastAsiaTheme="minorEastAsia"/>
          <w:szCs w:val="21"/>
        </w:rPr>
        <w:t>、支持短信显示和文字输入。</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hint="eastAsia" w:cs="宋体" w:asciiTheme="minorEastAsia" w:hAnsiTheme="minorEastAsia" w:eastAsiaTheme="minorEastAsia"/>
          <w:szCs w:val="21"/>
          <w:lang w:val="en-US" w:eastAsia="zh-CN"/>
        </w:rPr>
        <w:t>0</w:t>
      </w:r>
      <w:r>
        <w:rPr>
          <w:rFonts w:hint="eastAsia" w:cs="宋体" w:asciiTheme="minorEastAsia" w:hAnsiTheme="minorEastAsia" w:eastAsiaTheme="minorEastAsia"/>
          <w:szCs w:val="21"/>
        </w:rPr>
        <w:t>、运行温度范围：工作温度≥-20℃～+60℃。</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hint="eastAsia" w:cs="宋体" w:asciiTheme="minorEastAsia" w:hAnsiTheme="minorEastAsia" w:eastAsiaTheme="minorEastAsia"/>
          <w:szCs w:val="21"/>
          <w:lang w:val="en-US" w:eastAsia="zh-CN"/>
        </w:rPr>
        <w:t>1</w:t>
      </w:r>
      <w:r>
        <w:rPr>
          <w:rFonts w:hint="eastAsia" w:cs="宋体" w:asciiTheme="minorEastAsia" w:hAnsiTheme="minorEastAsia" w:eastAsiaTheme="minorEastAsia"/>
          <w:szCs w:val="21"/>
        </w:rPr>
        <w:t>、设备室外天线与室内终端支持10米及以上连接线缆安装，需设备运行正常。</w:t>
      </w:r>
    </w:p>
    <w:p>
      <w:pPr>
        <w:spacing w:line="360" w:lineRule="auto"/>
        <w:rPr>
          <w:rFonts w:asciiTheme="minorEastAsia" w:hAnsiTheme="minorEastAsia" w:eastAsiaTheme="minorEastAsia"/>
          <w:b/>
          <w:bCs/>
          <w:szCs w:val="21"/>
        </w:rPr>
      </w:pPr>
    </w:p>
    <w:p>
      <w:pPr>
        <w:spacing w:line="360" w:lineRule="auto"/>
        <w:rPr>
          <w:rFonts w:asciiTheme="minorEastAsia" w:hAnsiTheme="minorEastAsia" w:eastAsiaTheme="minorEastAsia"/>
          <w:b/>
          <w:bCs/>
          <w:szCs w:val="21"/>
        </w:rPr>
      </w:pPr>
      <w:r>
        <w:rPr>
          <w:rFonts w:hint="eastAsia" w:asciiTheme="minorEastAsia" w:hAnsiTheme="minorEastAsia" w:eastAsiaTheme="minorEastAsia"/>
          <w:b/>
          <w:bCs/>
          <w:szCs w:val="21"/>
        </w:rPr>
        <w:t>四、商务要求</w:t>
      </w:r>
    </w:p>
    <w:p>
      <w:pPr>
        <w:tabs>
          <w:tab w:val="left" w:pos="3720"/>
        </w:tabs>
        <w:spacing w:line="360" w:lineRule="auto"/>
        <w:ind w:firstLine="413" w:firstLineChars="196"/>
        <w:rPr>
          <w:rFonts w:cs="??" w:asciiTheme="minorEastAsia" w:hAnsiTheme="minorEastAsia" w:eastAsiaTheme="minorEastAsia"/>
          <w:b/>
          <w:szCs w:val="21"/>
        </w:rPr>
      </w:pPr>
      <w:r>
        <w:rPr>
          <w:rFonts w:hint="eastAsia" w:cs="??" w:asciiTheme="minorEastAsia" w:hAnsiTheme="minorEastAsia" w:eastAsiaTheme="minorEastAsia"/>
          <w:b/>
          <w:szCs w:val="21"/>
        </w:rPr>
        <w:t>（一）基本要求</w:t>
      </w:r>
    </w:p>
    <w:p>
      <w:pPr>
        <w:spacing w:line="360" w:lineRule="auto"/>
        <w:ind w:firstLine="422" w:firstLineChars="200"/>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▲成交人须在成交后7个工作日内提供第一类卫星通信业务许可（复印件加盖公章）或代理授权（原件），否则视为自动放弃成交资格。</w:t>
      </w:r>
    </w:p>
    <w:p>
      <w:pPr>
        <w:spacing w:line="360" w:lineRule="auto"/>
        <w:ind w:firstLine="422" w:firstLineChars="200"/>
        <w:rPr>
          <w:rFonts w:cs="宋体" w:asciiTheme="minorEastAsia" w:hAnsiTheme="minorEastAsia" w:eastAsiaTheme="minorEastAsia"/>
          <w:b/>
          <w:bCs/>
          <w:szCs w:val="21"/>
        </w:rPr>
      </w:pPr>
      <w:r>
        <w:rPr>
          <w:rFonts w:hint="eastAsia" w:cs="宋体" w:asciiTheme="minorEastAsia" w:hAnsiTheme="minorEastAsia" w:eastAsiaTheme="minorEastAsia"/>
          <w:b/>
          <w:bCs/>
          <w:szCs w:val="21"/>
        </w:rPr>
        <w:t>（</w:t>
      </w:r>
      <w:r>
        <w:rPr>
          <w:rFonts w:hint="eastAsia" w:cs="宋体" w:asciiTheme="minorEastAsia" w:hAnsiTheme="minorEastAsia" w:eastAsiaTheme="minorEastAsia"/>
          <w:b/>
          <w:bCs/>
          <w:szCs w:val="21"/>
          <w:lang w:val="en-US" w:eastAsia="zh-CN"/>
        </w:rPr>
        <w:t>二</w:t>
      </w:r>
      <w:r>
        <w:rPr>
          <w:rFonts w:hint="eastAsia" w:cs="宋体" w:asciiTheme="minorEastAsia" w:hAnsiTheme="minorEastAsia" w:eastAsiaTheme="minorEastAsia"/>
          <w:b/>
          <w:bCs/>
          <w:szCs w:val="21"/>
        </w:rPr>
        <w:t>）售后服务及要求</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hint="eastAsia" w:cs="宋体" w:asciiTheme="minorEastAsia" w:hAnsiTheme="minorEastAsia" w:eastAsiaTheme="minorEastAsia"/>
          <w:b/>
          <w:bCs/>
          <w:szCs w:val="21"/>
        </w:rPr>
        <w:t>1、本项目服务运维期为</w:t>
      </w:r>
      <w:r>
        <w:rPr>
          <w:rFonts w:hint="eastAsia" w:cs="宋体" w:asciiTheme="minorEastAsia" w:hAnsiTheme="minorEastAsia" w:eastAsiaTheme="minorEastAsia"/>
          <w:b/>
          <w:bCs/>
          <w:szCs w:val="21"/>
          <w:lang w:val="en-US" w:eastAsia="zh-CN"/>
        </w:rPr>
        <w:t>两</w:t>
      </w:r>
      <w:r>
        <w:rPr>
          <w:rFonts w:hint="eastAsia" w:cs="宋体" w:asciiTheme="minorEastAsia" w:hAnsiTheme="minorEastAsia" w:eastAsiaTheme="minorEastAsia"/>
          <w:b/>
          <w:bCs/>
          <w:szCs w:val="21"/>
        </w:rPr>
        <w:t>年，服务运维期从合同签订</w:t>
      </w:r>
      <w:r>
        <w:rPr>
          <w:rFonts w:hint="eastAsia" w:cs="宋体" w:asciiTheme="minorEastAsia" w:hAnsiTheme="minorEastAsia" w:eastAsiaTheme="minorEastAsia"/>
          <w:b/>
          <w:bCs/>
          <w:szCs w:val="21"/>
          <w:lang w:val="en-US" w:eastAsia="zh-CN"/>
        </w:rPr>
        <w:t>之日</w:t>
      </w:r>
      <w:r>
        <w:rPr>
          <w:rFonts w:hint="eastAsia" w:cs="宋体" w:asciiTheme="minorEastAsia" w:hAnsiTheme="minorEastAsia" w:eastAsiaTheme="minorEastAsia"/>
          <w:b/>
          <w:bCs/>
          <w:szCs w:val="21"/>
        </w:rPr>
        <w:t>起计。</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服务运维期内所有硬件设备的故障由成交人进行免费的更换、维修、调试等，确保用户的正常使用；软件系统由成交人进行免费升级和优化服务。合同期内，成交人应成立专业的售后及运维服务团队（包括技术人员、响应时间、备品备件等），并指派专人与用户进行对接与协调。设立专门的工作热线，接受用户的咨询。</w:t>
      </w:r>
    </w:p>
    <w:p>
      <w:pPr>
        <w:spacing w:line="360" w:lineRule="auto"/>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w:t>3</w:t>
      </w:r>
      <w:r>
        <w:rPr>
          <w:rFonts w:hint="eastAsia" w:cs="宋体" w:asciiTheme="minorEastAsia" w:hAnsiTheme="minorEastAsia" w:eastAsiaTheme="minorEastAsia"/>
          <w:szCs w:val="21"/>
        </w:rPr>
        <w:t>、成交人提供的货物、服务质量，必须符合磋商文件及其响应文件规定的要求，如有不符，造成的损失由成交人承担。</w:t>
      </w:r>
    </w:p>
    <w:p>
      <w:pPr>
        <w:spacing w:line="360" w:lineRule="auto"/>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lang w:val="en-US" w:eastAsia="zh-CN"/>
        </w:rPr>
        <w:t>4</w:t>
      </w:r>
      <w:r>
        <w:rPr>
          <w:rFonts w:hint="eastAsia" w:cs="宋体" w:asciiTheme="minorEastAsia" w:hAnsiTheme="minorEastAsia" w:eastAsiaTheme="minorEastAsia"/>
          <w:bCs/>
          <w:szCs w:val="21"/>
        </w:rPr>
        <w:t>、服务运维期间：采购人对成交人所提供的通话服务拨通率进行随机抽查，对港外渔船年度抽查率（人工及自动抽查）不少于实际服务船舶数量的20%，抽查分批次进行，若年度通话拨通率未达到90%，不予支付年度通信服务费。</w:t>
      </w:r>
    </w:p>
    <w:p>
      <w:pPr>
        <w:spacing w:line="360" w:lineRule="auto"/>
        <w:ind w:firstLine="420" w:firstLineChars="200"/>
        <w:rPr>
          <w:rFonts w:hint="eastAsia" w:cs="宋体" w:asciiTheme="minorEastAsia" w:hAnsiTheme="minorEastAsia" w:eastAsiaTheme="minorEastAsia"/>
          <w:szCs w:val="21"/>
          <w:lang w:eastAsia="zh-CN"/>
        </w:rPr>
      </w:pPr>
      <w:r>
        <w:rPr>
          <w:rFonts w:hint="eastAsia" w:cs="宋体" w:asciiTheme="minorEastAsia" w:hAnsiTheme="minorEastAsia" w:eastAsiaTheme="minorEastAsia"/>
          <w:bCs/>
          <w:szCs w:val="21"/>
          <w:lang w:val="en-US" w:eastAsia="zh-CN"/>
        </w:rPr>
        <w:t>5</w:t>
      </w:r>
      <w:r>
        <w:rPr>
          <w:rFonts w:hint="eastAsia" w:cs="宋体" w:asciiTheme="minorEastAsia" w:hAnsiTheme="minorEastAsia" w:eastAsiaTheme="minorEastAsia"/>
          <w:bCs/>
          <w:szCs w:val="21"/>
        </w:rPr>
        <w:t>、服务运维期满：若采购人需要，根据成交人运营服务情况，年度拨通率达到90%要求且其他技术指标均满足原合同要求的，</w:t>
      </w:r>
      <w:r>
        <w:rPr>
          <w:rFonts w:hint="eastAsia" w:cs="宋体" w:asciiTheme="minorEastAsia" w:hAnsiTheme="minorEastAsia" w:eastAsiaTheme="minorEastAsia"/>
          <w:bCs/>
          <w:szCs w:val="21"/>
          <w:lang w:val="en-US" w:eastAsia="zh-CN"/>
        </w:rPr>
        <w:t>可以</w:t>
      </w:r>
      <w:r>
        <w:rPr>
          <w:rFonts w:hint="eastAsia" w:cs="宋体" w:asciiTheme="minorEastAsia" w:hAnsiTheme="minorEastAsia" w:eastAsiaTheme="minorEastAsia"/>
          <w:bCs/>
          <w:szCs w:val="21"/>
        </w:rPr>
        <w:t>按照实际渔船数量续签一年合同</w:t>
      </w:r>
      <w:r>
        <w:rPr>
          <w:rFonts w:hint="eastAsia" w:cs="宋体" w:asciiTheme="minorEastAsia" w:hAnsiTheme="minorEastAsia" w:eastAsiaTheme="minorEastAsia"/>
          <w:bCs/>
          <w:szCs w:val="21"/>
          <w:lang w:eastAsia="zh-CN"/>
        </w:rPr>
        <w:t>。</w:t>
      </w:r>
    </w:p>
    <w:p>
      <w:pPr>
        <w:spacing w:line="360" w:lineRule="auto"/>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lang w:val="en-US" w:eastAsia="zh-CN"/>
        </w:rPr>
        <w:t>6</w:t>
      </w:r>
      <w:r>
        <w:rPr>
          <w:rFonts w:hint="eastAsia" w:cs="宋体" w:asciiTheme="minorEastAsia" w:hAnsiTheme="minorEastAsia" w:eastAsiaTheme="minorEastAsia"/>
          <w:bCs/>
          <w:szCs w:val="21"/>
        </w:rPr>
        <w:t>、如遇重大活动，接到采购人通知后，必须无条件派工程师实行现场技术保障，确保系统在活动期间正常运行。</w:t>
      </w:r>
    </w:p>
    <w:p>
      <w:pPr>
        <w:spacing w:line="360" w:lineRule="auto"/>
        <w:ind w:firstLine="420" w:firstLineChars="200"/>
        <w:rPr>
          <w:rFonts w:asciiTheme="minorEastAsia" w:hAnsiTheme="minorEastAsia" w:eastAsiaTheme="minorEastAsia"/>
          <w:bCs/>
          <w:szCs w:val="21"/>
        </w:rPr>
      </w:pPr>
      <w:r>
        <w:rPr>
          <w:rFonts w:hint="eastAsia" w:cs="宋体" w:asciiTheme="minorEastAsia" w:hAnsiTheme="minorEastAsia" w:eastAsiaTheme="minorEastAsia"/>
          <w:bCs/>
          <w:szCs w:val="21"/>
          <w:lang w:val="en-US" w:eastAsia="zh-CN"/>
        </w:rPr>
        <w:t>7</w:t>
      </w:r>
      <w:r>
        <w:rPr>
          <w:rFonts w:cs="宋体" w:asciiTheme="minorEastAsia" w:hAnsiTheme="minorEastAsia" w:eastAsiaTheme="minorEastAsia"/>
          <w:bCs/>
          <w:szCs w:val="21"/>
        </w:rPr>
        <w:t>、</w:t>
      </w:r>
      <w:r>
        <w:rPr>
          <w:rFonts w:hint="eastAsia" w:asciiTheme="minorEastAsia" w:hAnsiTheme="minorEastAsia" w:eastAsiaTheme="minorEastAsia"/>
          <w:bCs/>
          <w:szCs w:val="21"/>
        </w:rPr>
        <w:t>因渔船买卖或注销，成交人应及时变更结算对象和相关费用。舟山市内船舶买卖交易的，根据采购人通知，成交人应及时变更设备登记信息及结算单位；船舶出售到市外或注销的，根据采购人通知，成交人应及时拆除设备终止服务并做好结算依据</w:t>
      </w:r>
      <w:r>
        <w:rPr>
          <w:rFonts w:asciiTheme="minorEastAsia" w:hAnsiTheme="minorEastAsia" w:eastAsiaTheme="minorEastAsia"/>
          <w:bCs/>
          <w:szCs w:val="21"/>
        </w:rPr>
        <w:t>。</w:t>
      </w:r>
    </w:p>
    <w:p>
      <w:pPr>
        <w:spacing w:line="360" w:lineRule="auto"/>
        <w:ind w:firstLine="420" w:firstLineChars="200"/>
        <w:rPr>
          <w:rFonts w:cs="宋体" w:asciiTheme="minorEastAsia" w:hAnsiTheme="minorEastAsia" w:eastAsiaTheme="minorEastAsia"/>
          <w:szCs w:val="21"/>
        </w:rPr>
      </w:pPr>
      <w:r>
        <w:rPr>
          <w:rFonts w:hint="eastAsia" w:asciiTheme="minorEastAsia" w:hAnsiTheme="minorEastAsia" w:eastAsiaTheme="minorEastAsia"/>
          <w:bCs/>
          <w:szCs w:val="21"/>
          <w:lang w:val="en-US" w:eastAsia="zh-CN"/>
        </w:rPr>
        <w:t>8</w:t>
      </w:r>
      <w:r>
        <w:rPr>
          <w:rFonts w:asciiTheme="minorEastAsia" w:hAnsiTheme="minorEastAsia" w:eastAsiaTheme="minorEastAsia"/>
          <w:bCs/>
          <w:szCs w:val="21"/>
        </w:rPr>
        <w:t>、</w:t>
      </w:r>
      <w:r>
        <w:rPr>
          <w:rFonts w:hint="eastAsia" w:asciiTheme="minorEastAsia" w:hAnsiTheme="minorEastAsia" w:eastAsiaTheme="minorEastAsia"/>
          <w:bCs/>
          <w:szCs w:val="21"/>
        </w:rPr>
        <w:t>本次提供运营服务的卫星终端入网开户均由渔船船东为主体，按国家相关规定进行实名制登记</w:t>
      </w:r>
      <w:r>
        <w:rPr>
          <w:rFonts w:asciiTheme="minorEastAsia" w:hAnsiTheme="minorEastAsia" w:eastAsiaTheme="minorEastAsia"/>
          <w:bCs/>
          <w:szCs w:val="21"/>
        </w:rPr>
        <w:t>。</w:t>
      </w:r>
    </w:p>
    <w:p>
      <w:pPr>
        <w:spacing w:line="360" w:lineRule="auto"/>
        <w:ind w:firstLine="422" w:firstLineChars="200"/>
        <w:rPr>
          <w:rFonts w:cs="??" w:asciiTheme="minorEastAsia" w:hAnsiTheme="minorEastAsia" w:eastAsiaTheme="minorEastAsia"/>
          <w:b/>
          <w:szCs w:val="21"/>
        </w:rPr>
      </w:pPr>
      <w:r>
        <w:rPr>
          <w:rFonts w:hint="eastAsia" w:cs="??" w:asciiTheme="minorEastAsia" w:hAnsiTheme="minorEastAsia" w:eastAsiaTheme="minorEastAsia"/>
          <w:b/>
          <w:szCs w:val="21"/>
        </w:rPr>
        <w:t>（</w:t>
      </w:r>
      <w:r>
        <w:rPr>
          <w:rFonts w:hint="eastAsia" w:cs="??" w:asciiTheme="minorEastAsia" w:hAnsiTheme="minorEastAsia" w:eastAsiaTheme="minorEastAsia"/>
          <w:b/>
          <w:szCs w:val="21"/>
          <w:lang w:val="en-US" w:eastAsia="zh-CN"/>
        </w:rPr>
        <w:t>三</w:t>
      </w:r>
      <w:r>
        <w:rPr>
          <w:rFonts w:hint="eastAsia" w:cs="??" w:asciiTheme="minorEastAsia" w:hAnsiTheme="minorEastAsia" w:eastAsiaTheme="minorEastAsia"/>
          <w:b/>
          <w:szCs w:val="21"/>
        </w:rPr>
        <w:t>）培训</w:t>
      </w:r>
    </w:p>
    <w:p>
      <w:pPr>
        <w:tabs>
          <w:tab w:val="left" w:pos="3720"/>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1、负责使用渔民的现场技术培训，培训内容包括：对设备的日常使用，常见故障排除以及日常维护。</w:t>
      </w:r>
    </w:p>
    <w:p>
      <w:pPr>
        <w:tabs>
          <w:tab w:val="left" w:pos="3720"/>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2、培训教材应与</w:t>
      </w:r>
      <w:r>
        <w:rPr>
          <w:rFonts w:hint="eastAsia" w:cs="宋体" w:asciiTheme="minorEastAsia" w:hAnsiTheme="minorEastAsia" w:eastAsiaTheme="minorEastAsia"/>
          <w:bCs/>
          <w:szCs w:val="21"/>
        </w:rPr>
        <w:t>成交</w:t>
      </w:r>
      <w:r>
        <w:rPr>
          <w:rFonts w:hint="eastAsia" w:cs="宋体" w:asciiTheme="minorEastAsia" w:hAnsiTheme="minorEastAsia" w:eastAsiaTheme="minorEastAsia"/>
          <w:szCs w:val="21"/>
        </w:rPr>
        <w:t>人提供产品相一致，要求用中文编写。</w:t>
      </w:r>
    </w:p>
    <w:p>
      <w:pPr>
        <w:tabs>
          <w:tab w:val="left" w:pos="3720"/>
        </w:tabs>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3、提供相应的培训计划，详细说明培训的方式、地点、人数、时间等实质性内容。</w:t>
      </w:r>
    </w:p>
    <w:p>
      <w:pPr>
        <w:tabs>
          <w:tab w:val="left" w:pos="3720"/>
        </w:tabs>
        <w:spacing w:line="360" w:lineRule="auto"/>
        <w:rPr>
          <w:rFonts w:cs="??" w:asciiTheme="minorEastAsia" w:hAnsiTheme="minorEastAsia" w:eastAsiaTheme="minorEastAsia"/>
          <w:b/>
          <w:szCs w:val="21"/>
        </w:rPr>
      </w:pPr>
    </w:p>
    <w:p>
      <w:pPr>
        <w:tabs>
          <w:tab w:val="left" w:pos="3720"/>
        </w:tabs>
        <w:spacing w:line="360" w:lineRule="auto"/>
        <w:rPr>
          <w:rFonts w:cs="??" w:asciiTheme="minorEastAsia" w:hAnsiTheme="minorEastAsia" w:eastAsiaTheme="minorEastAsia"/>
          <w:b/>
          <w:szCs w:val="21"/>
        </w:rPr>
      </w:pPr>
      <w:r>
        <w:rPr>
          <w:rFonts w:hint="eastAsia" w:cs="??" w:asciiTheme="minorEastAsia" w:hAnsiTheme="minorEastAsia" w:eastAsiaTheme="minorEastAsia"/>
          <w:b/>
          <w:szCs w:val="21"/>
        </w:rPr>
        <w:t>五、付款方式</w:t>
      </w:r>
    </w:p>
    <w:p>
      <w:pPr>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1、采购数量为采购参考数，结算以实际数量为准，数量变化时不对单价和其他的条款和条件作任何改变。本次采购的通信服务按实际服务船舶数量和服务月份进行结算，年度一次性支付。因渔船买卖或注销，成交人应及时变更结算对象和相关费用。</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合同签订后，成交人达到年度抽查通话服务拨通率≥90%要求的，年度通信服务费由采购人一次性支付，采购人收到成交人提供的发票后7个工作日内支付合同金额的100%。未达到拨通率≥90%要求的，年度通信服务费不予支付。</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3、如付款方式最后变动，由双方签订合同时协调，具体以实际协商为准。</w:t>
      </w:r>
    </w:p>
    <w:p>
      <w:pPr>
        <w:spacing w:line="360" w:lineRule="auto"/>
        <w:rPr>
          <w:rFonts w:cs="宋体" w:asciiTheme="minorEastAsia" w:hAnsiTheme="minorEastAsia" w:eastAsiaTheme="minorEastAsia"/>
          <w:szCs w:val="21"/>
        </w:rPr>
      </w:pPr>
    </w:p>
    <w:p>
      <w:pPr>
        <w:spacing w:line="360" w:lineRule="auto"/>
        <w:rPr>
          <w:rFonts w:cs="宋体" w:asciiTheme="minorEastAsia" w:hAnsiTheme="minorEastAsia" w:eastAsiaTheme="minorEastAsia"/>
          <w:b/>
          <w:szCs w:val="21"/>
        </w:rPr>
      </w:pPr>
      <w:r>
        <w:rPr>
          <w:rFonts w:hint="eastAsia" w:cs="宋体" w:asciiTheme="minorEastAsia" w:hAnsiTheme="minorEastAsia" w:eastAsiaTheme="minorEastAsia"/>
          <w:b/>
          <w:szCs w:val="21"/>
        </w:rPr>
        <w:t>六、其他</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1、响应人应对磋商、实施、操作等过程中采取保密和安全措施，因响应人造成的不良影响和损失，响应人应承担相应责任。</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2、采购人认为响应人提供的服务不能满足需求，可否决、终止本次采购。</w:t>
      </w:r>
    </w:p>
    <w:p>
      <w:pPr>
        <w:rPr>
          <w:sz w:val="28"/>
          <w:szCs w:val="28"/>
        </w:rPr>
      </w:pPr>
      <w:r>
        <w:rPr>
          <w:rFonts w:hint="eastAsia"/>
          <w:sz w:val="28"/>
          <w:szCs w:val="28"/>
        </w:rPr>
        <w:br w:type="page"/>
      </w:r>
    </w:p>
    <w:p>
      <w:pPr>
        <w:jc w:val="center"/>
        <w:outlineLvl w:val="0"/>
        <w:rPr>
          <w:rFonts w:ascii="宋体" w:hAnsi="宋体" w:cs="宋体"/>
          <w:b/>
          <w:sz w:val="28"/>
          <w:szCs w:val="28"/>
        </w:rPr>
      </w:pPr>
      <w:r>
        <w:rPr>
          <w:rFonts w:hint="eastAsia" w:ascii="宋体" w:hAnsi="宋体" w:cs="宋体"/>
          <w:b/>
          <w:sz w:val="28"/>
          <w:szCs w:val="28"/>
        </w:rPr>
        <w:t>第三章  响应人须知</w:t>
      </w:r>
    </w:p>
    <w:p>
      <w:pPr>
        <w:snapToGrid w:val="0"/>
        <w:spacing w:line="276" w:lineRule="auto"/>
        <w:jc w:val="center"/>
        <w:rPr>
          <w:rFonts w:ascii="宋体" w:hAnsi="宋体" w:cs="宋体"/>
          <w:b/>
          <w:szCs w:val="21"/>
        </w:rPr>
      </w:pPr>
      <w:r>
        <w:rPr>
          <w:rFonts w:hint="eastAsia" w:ascii="宋体" w:hAnsi="宋体" w:cs="宋体"/>
          <w:b/>
          <w:szCs w:val="21"/>
        </w:rPr>
        <w:t>前附表</w:t>
      </w:r>
    </w:p>
    <w:tbl>
      <w:tblPr>
        <w:tblStyle w:val="26"/>
        <w:tblW w:w="10081"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47"/>
        <w:gridCol w:w="1757"/>
        <w:gridCol w:w="7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jc w:val="center"/>
        </w:trPr>
        <w:tc>
          <w:tcPr>
            <w:tcW w:w="626"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序号</w:t>
            </w:r>
          </w:p>
        </w:tc>
        <w:tc>
          <w:tcPr>
            <w:tcW w:w="9413" w:type="dxa"/>
            <w:gridSpan w:val="2"/>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jc w:val="center"/>
        </w:trPr>
        <w:tc>
          <w:tcPr>
            <w:tcW w:w="626"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1</w:t>
            </w:r>
          </w:p>
        </w:tc>
        <w:tc>
          <w:tcPr>
            <w:tcW w:w="1743"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项目名称</w:t>
            </w:r>
          </w:p>
        </w:tc>
        <w:tc>
          <w:tcPr>
            <w:tcW w:w="7656" w:type="dxa"/>
            <w:shd w:val="clear" w:color="auto" w:fill="FFFFFF"/>
            <w:vAlign w:val="center"/>
          </w:tcPr>
          <w:p>
            <w:pPr>
              <w:spacing w:line="360" w:lineRule="auto"/>
              <w:rPr>
                <w:rFonts w:cs="宋体" w:asciiTheme="minorEastAsia" w:hAnsiTheme="minorEastAsia" w:eastAsiaTheme="minorEastAsia"/>
                <w:szCs w:val="21"/>
              </w:rPr>
            </w:pPr>
            <w:r>
              <w:rPr>
                <w:rFonts w:hint="eastAsia" w:asciiTheme="minorEastAsia" w:hAnsiTheme="minorEastAsia" w:eastAsiaTheme="minorEastAsia"/>
                <w:szCs w:val="21"/>
              </w:rPr>
              <w:t>嵊泗县海洋经济发展局（嵊泗县海洋与渔业局）卫星语音通讯服务项目（重新采购）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jc w:val="center"/>
        </w:trPr>
        <w:tc>
          <w:tcPr>
            <w:tcW w:w="626"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2</w:t>
            </w:r>
          </w:p>
        </w:tc>
        <w:tc>
          <w:tcPr>
            <w:tcW w:w="1743"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采购人名称</w:t>
            </w:r>
          </w:p>
        </w:tc>
        <w:tc>
          <w:tcPr>
            <w:tcW w:w="7656" w:type="dxa"/>
            <w:shd w:val="clear" w:color="auto" w:fill="FFFFFF"/>
            <w:vAlign w:val="center"/>
          </w:tcPr>
          <w:p>
            <w:pPr>
              <w:spacing w:line="360" w:lineRule="auto"/>
              <w:rPr>
                <w:rFonts w:cs="宋体" w:asciiTheme="minorEastAsia" w:hAnsiTheme="minorEastAsia" w:eastAsiaTheme="minorEastAsia"/>
                <w:szCs w:val="21"/>
              </w:rPr>
            </w:pPr>
            <w:r>
              <w:rPr>
                <w:rFonts w:hint="eastAsia" w:asciiTheme="minorEastAsia" w:hAnsiTheme="minorEastAsia" w:eastAsiaTheme="minorEastAsia"/>
                <w:szCs w:val="21"/>
              </w:rPr>
              <w:t>嵊泗县海洋经济发展局（嵊泗县海洋与渔业局）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jc w:val="center"/>
        </w:trPr>
        <w:tc>
          <w:tcPr>
            <w:tcW w:w="626"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3</w:t>
            </w:r>
          </w:p>
        </w:tc>
        <w:tc>
          <w:tcPr>
            <w:tcW w:w="1743"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预算金额</w:t>
            </w:r>
          </w:p>
        </w:tc>
        <w:tc>
          <w:tcPr>
            <w:tcW w:w="7656" w:type="dxa"/>
            <w:shd w:val="clear" w:color="auto" w:fill="FFFFFF"/>
            <w:vAlign w:val="center"/>
          </w:tcPr>
          <w:p>
            <w:pPr>
              <w:widowControl/>
              <w:spacing w:line="360" w:lineRule="auto"/>
              <w:textAlignment w:val="center"/>
              <w:rPr>
                <w:rFonts w:cs="宋体" w:asciiTheme="minorEastAsia" w:hAnsiTheme="minorEastAsia" w:eastAsiaTheme="minorEastAsia"/>
                <w:color w:val="000000"/>
                <w:szCs w:val="21"/>
              </w:rPr>
            </w:pPr>
            <w:r>
              <w:rPr>
                <w:rFonts w:hint="eastAsia" w:cs="宋体" w:asciiTheme="minorEastAsia" w:hAnsiTheme="minorEastAsia" w:eastAsiaTheme="minorEastAsia"/>
                <w:szCs w:val="21"/>
              </w:rPr>
              <w:t>170万元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jc w:val="center"/>
        </w:trPr>
        <w:tc>
          <w:tcPr>
            <w:tcW w:w="626"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4</w:t>
            </w:r>
          </w:p>
        </w:tc>
        <w:tc>
          <w:tcPr>
            <w:tcW w:w="1743"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采购内容</w:t>
            </w:r>
          </w:p>
        </w:tc>
        <w:tc>
          <w:tcPr>
            <w:tcW w:w="7656" w:type="dxa"/>
            <w:shd w:val="clear" w:color="auto" w:fill="FFFFFF"/>
            <w:vAlign w:val="center"/>
          </w:tcPr>
          <w:p>
            <w:pPr>
              <w:spacing w:line="360" w:lineRule="auto"/>
              <w:rPr>
                <w:rFonts w:cs="宋体" w:asciiTheme="minorEastAsia" w:hAnsiTheme="minorEastAsia" w:eastAsiaTheme="minorEastAsia"/>
                <w:bCs/>
                <w:szCs w:val="21"/>
              </w:rPr>
            </w:pPr>
            <w:r>
              <w:rPr>
                <w:rFonts w:hint="eastAsia" w:cs="宋体" w:asciiTheme="minorEastAsia" w:hAnsiTheme="minorEastAsia" w:eastAsiaTheme="minorEastAsia"/>
                <w:bCs/>
                <w:szCs w:val="21"/>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jc w:val="center"/>
        </w:trPr>
        <w:tc>
          <w:tcPr>
            <w:tcW w:w="626"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5</w:t>
            </w:r>
          </w:p>
        </w:tc>
        <w:tc>
          <w:tcPr>
            <w:tcW w:w="1743"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服务期限</w:t>
            </w:r>
          </w:p>
        </w:tc>
        <w:tc>
          <w:tcPr>
            <w:tcW w:w="7656" w:type="dxa"/>
            <w:shd w:val="clear" w:color="auto" w:fill="FFFFFF"/>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jc w:val="center"/>
        </w:trPr>
        <w:tc>
          <w:tcPr>
            <w:tcW w:w="626"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6</w:t>
            </w:r>
          </w:p>
        </w:tc>
        <w:tc>
          <w:tcPr>
            <w:tcW w:w="1743"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付款方式</w:t>
            </w:r>
          </w:p>
        </w:tc>
        <w:tc>
          <w:tcPr>
            <w:tcW w:w="7656" w:type="dxa"/>
            <w:shd w:val="clear" w:color="auto" w:fill="FFFFFF"/>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bCs/>
                <w:color w:val="000000"/>
                <w:szCs w:val="21"/>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jc w:val="center"/>
        </w:trPr>
        <w:tc>
          <w:tcPr>
            <w:tcW w:w="626"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7</w:t>
            </w:r>
          </w:p>
        </w:tc>
        <w:tc>
          <w:tcPr>
            <w:tcW w:w="1743"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响应有效期</w:t>
            </w:r>
          </w:p>
        </w:tc>
        <w:tc>
          <w:tcPr>
            <w:tcW w:w="7656" w:type="dxa"/>
            <w:shd w:val="clear" w:color="auto" w:fill="FFFFFF"/>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u w:val="single"/>
              </w:rPr>
              <w:t>90日</w:t>
            </w:r>
            <w:r>
              <w:rPr>
                <w:rFonts w:hint="eastAsia" w:cs="宋体" w:asciiTheme="minorEastAsia" w:hAnsiTheme="minorEastAsia" w:eastAsiaTheme="minorEastAsia"/>
                <w:szCs w:val="21"/>
              </w:rPr>
              <w:t>历天。（从响应截止之日算起）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jc w:val="center"/>
        </w:trPr>
        <w:tc>
          <w:tcPr>
            <w:tcW w:w="626"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8</w:t>
            </w:r>
          </w:p>
        </w:tc>
        <w:tc>
          <w:tcPr>
            <w:tcW w:w="1743"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评标办法</w:t>
            </w:r>
          </w:p>
        </w:tc>
        <w:tc>
          <w:tcPr>
            <w:tcW w:w="7656" w:type="dxa"/>
            <w:shd w:val="clear" w:color="auto" w:fill="FFFFFF"/>
            <w:vAlign w:val="center"/>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jc w:val="center"/>
        </w:trPr>
        <w:tc>
          <w:tcPr>
            <w:tcW w:w="626"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9</w:t>
            </w:r>
          </w:p>
        </w:tc>
        <w:tc>
          <w:tcPr>
            <w:tcW w:w="1743"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磋商报价</w:t>
            </w:r>
          </w:p>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与相关费用</w:t>
            </w:r>
          </w:p>
        </w:tc>
        <w:tc>
          <w:tcPr>
            <w:tcW w:w="7656" w:type="dxa"/>
            <w:shd w:val="clear" w:color="auto" w:fill="FFFFFF"/>
            <w:vAlign w:val="center"/>
          </w:tcPr>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1.响应人所投报的磋商报价为响应人所能承受的整个项目的一次性最终最低合同总价，包括完成本项目工作内容所需的一切费用。合同总价不得超过本项目对应的预算金额。</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2.按国家规定由成交人缴纳的各种税收已包含在磋商报价内，由成交人向税务机关缴纳相关费用。</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3.响应人应承担其参加本磋商活动自身所发生的费用。</w:t>
            </w:r>
          </w:p>
          <w:p>
            <w:pPr>
              <w:spacing w:line="360" w:lineRule="auto"/>
              <w:ind w:firstLine="420" w:firstLineChars="200"/>
              <w:rPr>
                <w:rFonts w:cs="宋体" w:asciiTheme="minorEastAsia" w:hAnsiTheme="minorEastAsia" w:eastAsiaTheme="minorEastAsia"/>
                <w:szCs w:val="21"/>
                <w:lang w:val="zh-CN"/>
              </w:rPr>
            </w:pPr>
            <w:r>
              <w:rPr>
                <w:rFonts w:hint="eastAsia" w:cs="宋体" w:asciiTheme="minorEastAsia" w:hAnsiTheme="minorEastAsia" w:eastAsiaTheme="minorEastAsia"/>
                <w:szCs w:val="21"/>
              </w:rPr>
              <w:t>4</w:t>
            </w:r>
            <w:r>
              <w:rPr>
                <w:rFonts w:hint="eastAsia" w:cs="宋体" w:asciiTheme="minorEastAsia" w:hAnsiTheme="minorEastAsia" w:eastAsiaTheme="minorEastAsia"/>
                <w:szCs w:val="21"/>
                <w:lang w:val="zh-CN"/>
              </w:rPr>
              <w:t>.成交人须缴纳采购代理服务费，采购代理服务收费标准金额为：一次性收费21700元。支付方式及时间为：</w:t>
            </w:r>
            <w:r>
              <w:rPr>
                <w:rFonts w:hint="eastAsia" w:cs="宋体" w:asciiTheme="minorEastAsia" w:hAnsiTheme="minorEastAsia" w:eastAsiaTheme="minorEastAsia"/>
                <w:szCs w:val="21"/>
              </w:rPr>
              <w:t>领取</w:t>
            </w:r>
            <w:r>
              <w:rPr>
                <w:rFonts w:hint="eastAsia" w:cs="宋体" w:asciiTheme="minorEastAsia" w:hAnsiTheme="minorEastAsia" w:eastAsiaTheme="minorEastAsia"/>
                <w:szCs w:val="21"/>
                <w:lang w:val="zh-CN"/>
              </w:rPr>
              <w:t>成交通知书</w:t>
            </w:r>
            <w:r>
              <w:rPr>
                <w:rFonts w:hint="eastAsia" w:cs="宋体" w:asciiTheme="minorEastAsia" w:hAnsiTheme="minorEastAsia" w:eastAsiaTheme="minorEastAsia"/>
                <w:szCs w:val="21"/>
              </w:rPr>
              <w:t>时</w:t>
            </w:r>
            <w:r>
              <w:rPr>
                <w:rFonts w:hint="eastAsia" w:cs="宋体" w:asciiTheme="minorEastAsia" w:hAnsiTheme="minorEastAsia" w:eastAsiaTheme="minorEastAsia"/>
                <w:szCs w:val="21"/>
                <w:lang w:val="zh-CN"/>
              </w:rPr>
              <w:t>一次性支付给采购代理机构。</w:t>
            </w:r>
          </w:p>
          <w:p>
            <w:pPr>
              <w:spacing w:line="360" w:lineRule="auto"/>
              <w:ind w:firstLine="420" w:firstLineChars="200"/>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收款单位名称：中金招标有限责任公司舟山分公司</w:t>
            </w:r>
          </w:p>
          <w:p>
            <w:pPr>
              <w:spacing w:line="360" w:lineRule="auto"/>
              <w:ind w:firstLine="420" w:firstLineChars="200"/>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开户银行：中国建设银行股份有限公司舟山新城支行</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lang w:val="zh-CN"/>
              </w:rPr>
              <w:t>银行账号：3300 1706 2550 5300 3969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jc w:val="center"/>
        </w:trPr>
        <w:tc>
          <w:tcPr>
            <w:tcW w:w="626"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10</w:t>
            </w:r>
          </w:p>
        </w:tc>
        <w:tc>
          <w:tcPr>
            <w:tcW w:w="1743"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响应文件的组成</w:t>
            </w:r>
          </w:p>
        </w:tc>
        <w:tc>
          <w:tcPr>
            <w:tcW w:w="7656" w:type="dxa"/>
            <w:shd w:val="clear" w:color="auto" w:fill="FFFFFF"/>
            <w:vAlign w:val="center"/>
          </w:tcPr>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本项目实行网上投标。</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响应人应准备电子响应文件、以介质存储的数据电文形式的备份响应文件：</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（1）电子响应文件，按政采云供应商项目采购-电子招投标操作指南及本磋商文件要求制作，加密并递交。</w:t>
            </w:r>
          </w:p>
          <w:p>
            <w:pPr>
              <w:pStyle w:val="9"/>
              <w:spacing w:after="0" w:line="360" w:lineRule="auto"/>
              <w:ind w:firstLine="422" w:firstLineChars="200"/>
              <w:rPr>
                <w:rFonts w:cs="宋体" w:asciiTheme="minorEastAsia" w:hAnsiTheme="minorEastAsia" w:eastAsiaTheme="minorEastAsia"/>
                <w:sz w:val="21"/>
                <w:szCs w:val="21"/>
              </w:rPr>
            </w:pPr>
            <w:r>
              <w:rPr>
                <w:rFonts w:hint="eastAsia" w:cs="宋体" w:asciiTheme="minorEastAsia" w:hAnsiTheme="minorEastAsia" w:eastAsiaTheme="minorEastAsia"/>
                <w:b/>
                <w:bCs/>
                <w:sz w:val="21"/>
                <w:szCs w:val="21"/>
              </w:rPr>
              <w:t>（2）以介质存储的数据电文形式的备份响应文件，按政采云供应商项目采购-电子招投标操作指南中制作的电子响应文件，以光盘或U盘形式提供。数量为1份。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jc w:val="center"/>
        </w:trPr>
        <w:tc>
          <w:tcPr>
            <w:tcW w:w="626"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11</w:t>
            </w:r>
          </w:p>
        </w:tc>
        <w:tc>
          <w:tcPr>
            <w:tcW w:w="1743"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响应文件开启地点</w:t>
            </w:r>
          </w:p>
        </w:tc>
        <w:tc>
          <w:tcPr>
            <w:tcW w:w="7656" w:type="dxa"/>
            <w:shd w:val="clear" w:color="auto" w:fill="FFFFFF"/>
            <w:vAlign w:val="center"/>
          </w:tcPr>
          <w:p>
            <w:pPr>
              <w:spacing w:line="360" w:lineRule="auto"/>
              <w:rPr>
                <w:rFonts w:cs="宋体" w:asciiTheme="minorEastAsia" w:hAnsiTheme="minorEastAsia" w:eastAsiaTheme="minorEastAsia"/>
                <w:b/>
                <w:szCs w:val="21"/>
              </w:rPr>
            </w:pPr>
            <w:r>
              <w:rPr>
                <w:rFonts w:hint="eastAsia" w:cs="宋体" w:asciiTheme="minorEastAsia" w:hAnsiTheme="minorEastAsia" w:eastAsiaTheme="minorEastAsia"/>
                <w:b/>
                <w:szCs w:val="21"/>
              </w:rPr>
              <w:t>舟山市定海区海天大道998号创客码头428室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jc w:val="center"/>
        </w:trPr>
        <w:tc>
          <w:tcPr>
            <w:tcW w:w="626"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12</w:t>
            </w:r>
          </w:p>
        </w:tc>
        <w:tc>
          <w:tcPr>
            <w:tcW w:w="1743"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响应文件提交</w:t>
            </w:r>
          </w:p>
        </w:tc>
        <w:tc>
          <w:tcPr>
            <w:tcW w:w="7656" w:type="dxa"/>
            <w:shd w:val="clear" w:color="auto" w:fill="FFFFFF"/>
            <w:vAlign w:val="center"/>
          </w:tcPr>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本项目不要求供应商授权代表参加现场开标、开启响应文件活动。响应人将加密的电子版响应文件于响应截止时间前上传到政采云系统中。响应人将备份响应文件于2024年</w:t>
            </w:r>
            <w:r>
              <w:rPr>
                <w:rFonts w:hint="eastAsia" w:cs="宋体" w:asciiTheme="minorEastAsia" w:hAnsiTheme="minorEastAsia" w:eastAsiaTheme="minorEastAsia"/>
                <w:szCs w:val="21"/>
                <w:lang w:val="en-US" w:eastAsia="zh-CN"/>
              </w:rPr>
              <w:t>4</w:t>
            </w:r>
            <w:r>
              <w:rPr>
                <w:rFonts w:hint="eastAsia" w:cs="宋体" w:asciiTheme="minorEastAsia" w:hAnsiTheme="minorEastAsia" w:eastAsiaTheme="minorEastAsia"/>
                <w:szCs w:val="21"/>
              </w:rPr>
              <w:t>月</w:t>
            </w:r>
            <w:r>
              <w:rPr>
                <w:rFonts w:hint="eastAsia" w:cs="宋体" w:asciiTheme="minorEastAsia" w:hAnsiTheme="minorEastAsia" w:eastAsiaTheme="minorEastAsia"/>
                <w:szCs w:val="21"/>
                <w:lang w:val="en-US" w:eastAsia="zh-CN"/>
              </w:rPr>
              <w:t>18</w:t>
            </w:r>
            <w:r>
              <w:rPr>
                <w:rFonts w:hint="eastAsia" w:cs="宋体" w:asciiTheme="minorEastAsia" w:hAnsiTheme="minorEastAsia" w:eastAsiaTheme="minorEastAsia"/>
                <w:szCs w:val="21"/>
              </w:rPr>
              <w:t>日17:00（北京时间）前通过邮寄或派人递送的方式送交到采购代理机构处（地址：舟山市定海区海天大道998号创客码头428室；联系人：许冰冰；联系方式：15888079927），截止时间前无法送达的，也可以在开启时间前送至开启地点（开启地点送交备份响应文件的联系方式：15888079927），未按时送达的自行承担风险，但不会因此导致响应无效。备份响应文件须密封完好，并注明响应人单位名称。响应人未按规定递交的备份响应文件，采购人有权拒收。</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响应人递交备份响应文件时，如出现下列情况之一的，将被拒收：</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1、未按规定密封或标记的响应文件；</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2、由于包装不妥，在送交途中严重破损或失散的；</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3、超过响应截止时间送达的；</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4、仅提供备份响应文件的。</w:t>
            </w:r>
          </w:p>
          <w:p>
            <w:pPr>
              <w:spacing w:line="360" w:lineRule="auto"/>
              <w:ind w:firstLine="420" w:firstLineChars="200"/>
              <w:rPr>
                <w:rFonts w:cs="宋体" w:asciiTheme="minorEastAsia" w:hAnsiTheme="minorEastAsia" w:eastAsiaTheme="minorEastAsia"/>
                <w:b/>
                <w:kern w:val="0"/>
                <w:szCs w:val="21"/>
              </w:rPr>
            </w:pPr>
            <w:r>
              <w:rPr>
                <w:rFonts w:hint="eastAsia" w:cs="宋体" w:asciiTheme="minorEastAsia" w:hAnsiTheme="minorEastAsia" w:eastAsiaTheme="minorEastAsia"/>
                <w:szCs w:val="21"/>
              </w:rPr>
              <w:t>当发生解密失败或未按时解密的，响应人提供了备份响应文件的，以备份响应文件为依据，否则视为响应文件撤回。响应文件已按时解密的，备份响应文件自动失效。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jc w:val="center"/>
        </w:trPr>
        <w:tc>
          <w:tcPr>
            <w:tcW w:w="626" w:type="dxa"/>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13</w:t>
            </w:r>
          </w:p>
        </w:tc>
        <w:tc>
          <w:tcPr>
            <w:tcW w:w="1743" w:type="dxa"/>
            <w:shd w:val="clear" w:color="auto" w:fill="E0E0E0"/>
            <w:vAlign w:val="center"/>
          </w:tcPr>
          <w:p>
            <w:pPr>
              <w:spacing w:line="360" w:lineRule="auto"/>
              <w:jc w:val="center"/>
              <w:rPr>
                <w:rFonts w:cs="宋体" w:asciiTheme="minorEastAsia" w:hAnsiTheme="minorEastAsia" w:eastAsiaTheme="minorEastAsia"/>
                <w:b/>
                <w:szCs w:val="21"/>
                <w:highlight w:val="none"/>
              </w:rPr>
            </w:pPr>
            <w:r>
              <w:rPr>
                <w:rFonts w:hint="eastAsia" w:cs="宋体" w:asciiTheme="minorEastAsia" w:hAnsiTheme="minorEastAsia" w:eastAsiaTheme="minorEastAsia"/>
                <w:b/>
                <w:szCs w:val="21"/>
                <w:highlight w:val="none"/>
              </w:rPr>
              <w:t>响应文件提交截止时间及开启时间</w:t>
            </w:r>
          </w:p>
        </w:tc>
        <w:tc>
          <w:tcPr>
            <w:tcW w:w="7656" w:type="dxa"/>
            <w:shd w:val="clear" w:color="auto" w:fill="FFFFFF"/>
            <w:vAlign w:val="center"/>
          </w:tcPr>
          <w:p>
            <w:pPr>
              <w:spacing w:line="360" w:lineRule="auto"/>
              <w:jc w:val="left"/>
              <w:rPr>
                <w:rFonts w:cs="宋体" w:asciiTheme="minorEastAsia" w:hAnsiTheme="minorEastAsia" w:eastAsiaTheme="minorEastAsia"/>
                <w:b/>
                <w:szCs w:val="21"/>
                <w:highlight w:val="none"/>
              </w:rPr>
            </w:pPr>
            <w:r>
              <w:rPr>
                <w:rFonts w:hint="eastAsia" w:cs="宋体" w:asciiTheme="minorEastAsia" w:hAnsiTheme="minorEastAsia" w:eastAsiaTheme="minorEastAsia"/>
                <w:b/>
                <w:kern w:val="0"/>
                <w:szCs w:val="21"/>
                <w:highlight w:val="none"/>
              </w:rPr>
              <w:t>2024年</w:t>
            </w:r>
            <w:r>
              <w:rPr>
                <w:rFonts w:hint="eastAsia" w:cs="宋体" w:asciiTheme="minorEastAsia" w:hAnsiTheme="minorEastAsia" w:eastAsiaTheme="minorEastAsia"/>
                <w:b/>
                <w:kern w:val="0"/>
                <w:szCs w:val="21"/>
                <w:highlight w:val="none"/>
                <w:lang w:val="en-US" w:eastAsia="zh-CN"/>
              </w:rPr>
              <w:t>4</w:t>
            </w:r>
            <w:r>
              <w:rPr>
                <w:rFonts w:hint="eastAsia" w:cs="宋体" w:asciiTheme="minorEastAsia" w:hAnsiTheme="minorEastAsia" w:eastAsiaTheme="minorEastAsia"/>
                <w:b/>
                <w:kern w:val="0"/>
                <w:szCs w:val="21"/>
                <w:highlight w:val="none"/>
              </w:rPr>
              <w:t>月</w:t>
            </w:r>
            <w:r>
              <w:rPr>
                <w:rFonts w:hint="eastAsia" w:cs="宋体" w:asciiTheme="minorEastAsia" w:hAnsiTheme="minorEastAsia" w:eastAsiaTheme="minorEastAsia"/>
                <w:b/>
                <w:kern w:val="0"/>
                <w:szCs w:val="21"/>
                <w:highlight w:val="none"/>
                <w:lang w:val="en-US" w:eastAsia="zh-CN"/>
              </w:rPr>
              <w:t>19</w:t>
            </w:r>
            <w:r>
              <w:rPr>
                <w:rFonts w:hint="eastAsia" w:cs="宋体" w:asciiTheme="minorEastAsia" w:hAnsiTheme="minorEastAsia" w:eastAsiaTheme="minorEastAsia"/>
                <w:b/>
                <w:kern w:val="0"/>
                <w:szCs w:val="21"/>
                <w:highlight w:val="none"/>
              </w:rPr>
              <w:t>日 09:00</w:t>
            </w:r>
            <w:r>
              <w:rPr>
                <w:rFonts w:hint="eastAsia" w:cs="宋体" w:asciiTheme="minorEastAsia" w:hAnsiTheme="minorEastAsia" w:eastAsiaTheme="minorEastAsia"/>
                <w:b/>
                <w:szCs w:val="21"/>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7" w:type="dxa"/>
          <w:jc w:val="center"/>
        </w:trPr>
        <w:tc>
          <w:tcPr>
            <w:tcW w:w="626" w:type="dxa"/>
            <w:vMerge w:val="restart"/>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14</w:t>
            </w:r>
          </w:p>
        </w:tc>
        <w:tc>
          <w:tcPr>
            <w:tcW w:w="1743" w:type="dxa"/>
            <w:vMerge w:val="restart"/>
            <w:shd w:val="clear" w:color="auto" w:fill="E0E0E0"/>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中小企业</w:t>
            </w:r>
          </w:p>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扶持政策</w:t>
            </w:r>
          </w:p>
        </w:tc>
        <w:tc>
          <w:tcPr>
            <w:tcW w:w="7656" w:type="dxa"/>
            <w:shd w:val="clear" w:color="auto" w:fill="FFFFFF"/>
            <w:vAlign w:val="center"/>
          </w:tcPr>
          <w:p>
            <w:pPr>
              <w:spacing w:line="360" w:lineRule="auto"/>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本项目非专门面向中小企业采购。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8" w:hRule="atLeast"/>
          <w:tblCellSpacing w:w="7" w:type="dxa"/>
          <w:jc w:val="center"/>
        </w:trPr>
        <w:tc>
          <w:tcPr>
            <w:tcW w:w="626" w:type="dxa"/>
            <w:vMerge w:val="continue"/>
            <w:shd w:val="clear" w:color="auto" w:fill="E0E0E0"/>
            <w:vAlign w:val="center"/>
          </w:tcPr>
          <w:p>
            <w:pPr>
              <w:spacing w:line="360" w:lineRule="auto"/>
              <w:jc w:val="center"/>
              <w:rPr>
                <w:rFonts w:cs="宋体" w:asciiTheme="minorEastAsia" w:hAnsiTheme="minorEastAsia" w:eastAsiaTheme="minorEastAsia"/>
                <w:b/>
                <w:szCs w:val="21"/>
              </w:rPr>
            </w:pPr>
          </w:p>
        </w:tc>
        <w:tc>
          <w:tcPr>
            <w:tcW w:w="1743" w:type="dxa"/>
            <w:vMerge w:val="continue"/>
            <w:shd w:val="clear" w:color="auto" w:fill="E0E0E0"/>
            <w:vAlign w:val="center"/>
          </w:tcPr>
          <w:p>
            <w:pPr>
              <w:spacing w:line="360" w:lineRule="auto"/>
              <w:jc w:val="center"/>
              <w:rPr>
                <w:rFonts w:cs="宋体" w:asciiTheme="minorEastAsia" w:hAnsiTheme="minorEastAsia" w:eastAsiaTheme="minorEastAsia"/>
                <w:b/>
                <w:szCs w:val="21"/>
              </w:rPr>
            </w:pPr>
          </w:p>
        </w:tc>
        <w:tc>
          <w:tcPr>
            <w:tcW w:w="7656" w:type="dxa"/>
            <w:shd w:val="clear" w:color="auto" w:fill="FFFFFF"/>
            <w:vAlign w:val="center"/>
          </w:tcPr>
          <w:p>
            <w:pPr>
              <w:spacing w:line="360" w:lineRule="auto"/>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本项目不接受联合体响应。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7" w:type="dxa"/>
          <w:jc w:val="center"/>
        </w:trPr>
        <w:tc>
          <w:tcPr>
            <w:tcW w:w="626" w:type="dxa"/>
            <w:vMerge w:val="continue"/>
            <w:shd w:val="clear" w:color="auto" w:fill="E0E0E0"/>
            <w:vAlign w:val="center"/>
          </w:tcPr>
          <w:p>
            <w:pPr>
              <w:spacing w:line="360" w:lineRule="auto"/>
              <w:jc w:val="center"/>
              <w:rPr>
                <w:rFonts w:cs="宋体" w:asciiTheme="minorEastAsia" w:hAnsiTheme="minorEastAsia" w:eastAsiaTheme="minorEastAsia"/>
                <w:b/>
                <w:szCs w:val="21"/>
              </w:rPr>
            </w:pPr>
          </w:p>
        </w:tc>
        <w:tc>
          <w:tcPr>
            <w:tcW w:w="1743" w:type="dxa"/>
            <w:vMerge w:val="continue"/>
            <w:shd w:val="clear" w:color="auto" w:fill="E0E0E0"/>
            <w:vAlign w:val="center"/>
          </w:tcPr>
          <w:p>
            <w:pPr>
              <w:spacing w:line="360" w:lineRule="auto"/>
              <w:jc w:val="center"/>
              <w:rPr>
                <w:rFonts w:cs="宋体" w:asciiTheme="minorEastAsia" w:hAnsiTheme="minorEastAsia" w:eastAsiaTheme="minorEastAsia"/>
                <w:b/>
                <w:szCs w:val="21"/>
              </w:rPr>
            </w:pPr>
          </w:p>
        </w:tc>
        <w:tc>
          <w:tcPr>
            <w:tcW w:w="7656" w:type="dxa"/>
            <w:shd w:val="clear" w:color="auto" w:fill="FFFFFF"/>
            <w:vAlign w:val="center"/>
          </w:tcPr>
          <w:p>
            <w:pPr>
              <w:spacing w:line="360" w:lineRule="auto"/>
              <w:jc w:val="left"/>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本项目不允许转包、不允许分包。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7" w:hRule="atLeast"/>
          <w:tblCellSpacing w:w="7" w:type="dxa"/>
          <w:jc w:val="center"/>
        </w:trPr>
        <w:tc>
          <w:tcPr>
            <w:tcW w:w="626" w:type="dxa"/>
            <w:vMerge w:val="continue"/>
            <w:shd w:val="clear" w:color="auto" w:fill="E0E0E0"/>
            <w:vAlign w:val="center"/>
          </w:tcPr>
          <w:p>
            <w:pPr>
              <w:spacing w:line="360" w:lineRule="auto"/>
              <w:jc w:val="center"/>
              <w:rPr>
                <w:rFonts w:cs="宋体" w:asciiTheme="minorEastAsia" w:hAnsiTheme="minorEastAsia" w:eastAsiaTheme="minorEastAsia"/>
                <w:b/>
                <w:szCs w:val="21"/>
              </w:rPr>
            </w:pPr>
          </w:p>
        </w:tc>
        <w:tc>
          <w:tcPr>
            <w:tcW w:w="1743" w:type="dxa"/>
            <w:vMerge w:val="continue"/>
            <w:shd w:val="clear" w:color="auto" w:fill="E0E0E0"/>
            <w:vAlign w:val="center"/>
          </w:tcPr>
          <w:p>
            <w:pPr>
              <w:spacing w:line="360" w:lineRule="auto"/>
              <w:jc w:val="center"/>
              <w:rPr>
                <w:rFonts w:cs="宋体" w:asciiTheme="minorEastAsia" w:hAnsiTheme="minorEastAsia" w:eastAsiaTheme="minorEastAsia"/>
                <w:b/>
                <w:szCs w:val="21"/>
              </w:rPr>
            </w:pPr>
          </w:p>
        </w:tc>
        <w:tc>
          <w:tcPr>
            <w:tcW w:w="7656" w:type="dxa"/>
            <w:shd w:val="clear" w:color="auto" w:fill="FFFFFF"/>
            <w:vAlign w:val="center"/>
          </w:tcPr>
          <w:p>
            <w:pPr>
              <w:spacing w:line="360" w:lineRule="auto"/>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本项目采购标的对应的中小企业划分标准所属行业：信息传输业。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2" w:hRule="atLeast"/>
          <w:tblCellSpacing w:w="7" w:type="dxa"/>
          <w:jc w:val="center"/>
        </w:trPr>
        <w:tc>
          <w:tcPr>
            <w:tcW w:w="626" w:type="dxa"/>
            <w:vMerge w:val="continue"/>
            <w:shd w:val="clear" w:color="auto" w:fill="E0E0E0"/>
            <w:vAlign w:val="center"/>
          </w:tcPr>
          <w:p>
            <w:pPr>
              <w:spacing w:line="360" w:lineRule="auto"/>
              <w:jc w:val="center"/>
              <w:rPr>
                <w:rFonts w:cs="宋体" w:asciiTheme="minorEastAsia" w:hAnsiTheme="minorEastAsia" w:eastAsiaTheme="minorEastAsia"/>
                <w:b/>
                <w:szCs w:val="21"/>
              </w:rPr>
            </w:pPr>
          </w:p>
        </w:tc>
        <w:tc>
          <w:tcPr>
            <w:tcW w:w="1743" w:type="dxa"/>
            <w:vMerge w:val="continue"/>
            <w:shd w:val="clear" w:color="auto" w:fill="E0E0E0"/>
            <w:vAlign w:val="center"/>
          </w:tcPr>
          <w:p>
            <w:pPr>
              <w:spacing w:line="360" w:lineRule="auto"/>
              <w:jc w:val="center"/>
              <w:rPr>
                <w:rFonts w:cs="宋体" w:asciiTheme="minorEastAsia" w:hAnsiTheme="minorEastAsia" w:eastAsiaTheme="minorEastAsia"/>
                <w:b/>
                <w:szCs w:val="21"/>
              </w:rPr>
            </w:pPr>
          </w:p>
        </w:tc>
        <w:tc>
          <w:tcPr>
            <w:tcW w:w="7656" w:type="dxa"/>
            <w:shd w:val="clear" w:color="auto" w:fill="FFFFFF"/>
            <w:vAlign w:val="center"/>
          </w:tcPr>
          <w:p>
            <w:pPr>
              <w:spacing w:line="360" w:lineRule="auto"/>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本项目为服务类采购项目。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blCellSpacing w:w="7" w:type="dxa"/>
          <w:jc w:val="center"/>
        </w:trPr>
        <w:tc>
          <w:tcPr>
            <w:tcW w:w="626" w:type="dxa"/>
            <w:vMerge w:val="continue"/>
            <w:shd w:val="clear" w:color="auto" w:fill="E0E0E0"/>
            <w:vAlign w:val="center"/>
          </w:tcPr>
          <w:p>
            <w:pPr>
              <w:spacing w:line="360" w:lineRule="auto"/>
              <w:jc w:val="center"/>
              <w:rPr>
                <w:rFonts w:cs="宋体" w:asciiTheme="minorEastAsia" w:hAnsiTheme="minorEastAsia" w:eastAsiaTheme="minorEastAsia"/>
                <w:b/>
                <w:szCs w:val="21"/>
              </w:rPr>
            </w:pPr>
          </w:p>
        </w:tc>
        <w:tc>
          <w:tcPr>
            <w:tcW w:w="1743" w:type="dxa"/>
            <w:vMerge w:val="continue"/>
            <w:shd w:val="clear" w:color="auto" w:fill="E0E0E0"/>
            <w:vAlign w:val="center"/>
          </w:tcPr>
          <w:p>
            <w:pPr>
              <w:spacing w:line="360" w:lineRule="auto"/>
              <w:jc w:val="center"/>
              <w:rPr>
                <w:rFonts w:cs="宋体" w:asciiTheme="minorEastAsia" w:hAnsiTheme="minorEastAsia" w:eastAsiaTheme="minorEastAsia"/>
                <w:b/>
                <w:szCs w:val="21"/>
              </w:rPr>
            </w:pPr>
          </w:p>
        </w:tc>
        <w:tc>
          <w:tcPr>
            <w:tcW w:w="7656" w:type="dxa"/>
            <w:shd w:val="clear" w:color="auto" w:fill="FFFFFF"/>
            <w:vAlign w:val="center"/>
          </w:tcPr>
          <w:p>
            <w:pPr>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根据《政府采购促进中小企业发展管理办法》（财库[2020]46号）规定：</w:t>
            </w:r>
          </w:p>
          <w:p>
            <w:pPr>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 xml:space="preserve">一、本办法所称中小企业，是指在中华人民共和国境内依法设立，依据国务院批准的中小企业划分标准确定的中型企业、小型企业和微型企业，但与大企业的负责人为同一人，或者与大企业存在直接控股、管理关系的除外。 </w:t>
            </w:r>
          </w:p>
          <w:p>
            <w:pPr>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符合中小企业划分标准的个体工商户，在政府采购活动中视同中小企业。</w:t>
            </w:r>
          </w:p>
          <w:p>
            <w:pPr>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二、在政府采购活动中，供应商提供的货物、工程或者服务符合下列情形的，享受本办法规定的中小企业扶持政策：</w:t>
            </w:r>
          </w:p>
          <w:p>
            <w:pPr>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 xml:space="preserve">（一）在货物采购项目中，货物由中小企业制造，即货物由中小企业生产且使用该中小企业商号或者注册商标； </w:t>
            </w:r>
          </w:p>
          <w:p>
            <w:pPr>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 xml:space="preserve">（二）在工程采购项目中，工程由中小企业承建，即工程施工单位为中小企业； </w:t>
            </w:r>
          </w:p>
          <w:p>
            <w:pPr>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 xml:space="preserve">（三）在服务采购项目中，服务由中小企业承接，即提供服务的人员为中小企业依照《中华人民共和国劳动合同法》订立劳动合同的从业人员。 </w:t>
            </w:r>
          </w:p>
          <w:p>
            <w:pPr>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在货物采购项目中，供应商提供的货物既有中小企业制造货物，也有大型企业制造货物的，不享受本办法规定的中小企业扶持政策。</w:t>
            </w:r>
          </w:p>
          <w:p>
            <w:pPr>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 xml:space="preserve">以联合体形式参加政府采购活动，联合体各方均为中小企业的，联合体视同中小企业。其中，联合体各方均为小微企业的，联合体视同小微企业。 </w:t>
            </w:r>
          </w:p>
          <w:p>
            <w:pPr>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三、符合财政部 司法部关于政府采购支持监狱企业发展有关问题的通知（财库〔2014〕68 号）的监狱企业、符合财政部 民政部 中国残疾人联合会关于促进残疾人就业政府采购政策的通知（财库〔2017〕141 号）的残疾人福利性单位，在政府采购活动中，视同小型、微型企业，享受本办法规定的中小企业扶持政策。监狱企业、残疾人福利性单位属于小型、微型企业的，不重复享受政策。</w:t>
            </w:r>
          </w:p>
          <w:p>
            <w:pPr>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四、依据本办法规定享受扶持政策获得政府采购合同的，小微企业不得将合同分包给大中型企业，中型企业不得将合同分包给大型企业。</w:t>
            </w:r>
          </w:p>
          <w:p>
            <w:pPr>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五、本项目中小企业扶持政策</w:t>
            </w:r>
          </w:p>
          <w:p>
            <w:pPr>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【价格扣除优惠政策】本项目对符合本办法规定的小微企业报价给予10%的扣除，用扣除后的价格参加评审：</w:t>
            </w:r>
          </w:p>
          <w:p>
            <w:pPr>
              <w:spacing w:line="360" w:lineRule="auto"/>
              <w:ind w:firstLine="422" w:firstLineChars="200"/>
              <w:rPr>
                <w:rFonts w:cs="宋体" w:asciiTheme="minorEastAsia" w:hAnsiTheme="minorEastAsia" w:eastAsiaTheme="minorEastAsia"/>
                <w:b/>
                <w:kern w:val="0"/>
                <w:szCs w:val="21"/>
              </w:rPr>
            </w:pPr>
            <w:r>
              <w:rPr>
                <w:rFonts w:hint="eastAsia" w:cs="宋体" w:asciiTheme="minorEastAsia" w:hAnsiTheme="minorEastAsia" w:eastAsiaTheme="minorEastAsia"/>
                <w:b/>
                <w:szCs w:val="21"/>
              </w:rPr>
              <w:t>响应人须提供《中小企业声明函》（监狱企业须提供由省级以上监狱管理局、戒毒管理局（含新疆生产建设兵团）出具的属于监狱企业的证明文件；残疾人福利性单位须提供《残疾人福利性单位声明函》）附在磋商报价文件内，否则不享受价格扣除优惠政策。</w:t>
            </w:r>
          </w:p>
        </w:tc>
      </w:tr>
    </w:tbl>
    <w:p>
      <w:pPr>
        <w:rPr>
          <w:rFonts w:ascii="宋体" w:hAnsi="宋体" w:cs="宋体"/>
          <w:b/>
          <w:szCs w:val="21"/>
        </w:rPr>
      </w:pPr>
      <w:r>
        <w:rPr>
          <w:rFonts w:hint="eastAsia" w:ascii="宋体" w:hAnsi="宋体" w:cs="宋体"/>
          <w:b/>
          <w:szCs w:val="21"/>
        </w:rPr>
        <w:br w:type="page"/>
      </w:r>
    </w:p>
    <w:p>
      <w:pPr>
        <w:snapToGrid w:val="0"/>
        <w:spacing w:line="360" w:lineRule="auto"/>
        <w:jc w:val="center"/>
        <w:rPr>
          <w:rFonts w:ascii="宋体" w:hAnsi="宋体" w:cs="宋体"/>
          <w:b/>
          <w:szCs w:val="21"/>
        </w:rPr>
      </w:pPr>
      <w:r>
        <w:rPr>
          <w:rFonts w:hint="eastAsia" w:ascii="宋体" w:hAnsi="宋体" w:cs="宋体"/>
          <w:b/>
          <w:szCs w:val="21"/>
        </w:rPr>
        <w:t>一、总  则</w:t>
      </w:r>
    </w:p>
    <w:p>
      <w:pPr>
        <w:pStyle w:val="13"/>
        <w:snapToGrid w:val="0"/>
        <w:spacing w:line="360" w:lineRule="auto"/>
        <w:ind w:firstLine="422" w:firstLineChars="200"/>
        <w:rPr>
          <w:rFonts w:hAnsi="宋体" w:eastAsia="宋体" w:cs="宋体"/>
          <w:b/>
          <w:sz w:val="21"/>
          <w:szCs w:val="21"/>
        </w:rPr>
      </w:pPr>
      <w:r>
        <w:rPr>
          <w:rFonts w:hint="eastAsia" w:hAnsi="宋体" w:eastAsia="宋体" w:cs="宋体"/>
          <w:b/>
          <w:sz w:val="21"/>
          <w:szCs w:val="21"/>
        </w:rPr>
        <w:t>（一）适用范围</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本磋商文件适用于本次项目的评标、定标、验收、合同履约、付款等（法律、法规另有规定的，从其规定）。</w:t>
      </w:r>
    </w:p>
    <w:p>
      <w:pPr>
        <w:snapToGrid w:val="0"/>
        <w:spacing w:line="360" w:lineRule="auto"/>
        <w:ind w:firstLine="422" w:firstLineChars="200"/>
        <w:rPr>
          <w:rFonts w:ascii="宋体" w:hAnsi="宋体" w:cs="宋体"/>
          <w:b/>
          <w:szCs w:val="21"/>
        </w:rPr>
      </w:pPr>
      <w:r>
        <w:rPr>
          <w:rFonts w:hint="eastAsia" w:ascii="宋体" w:hAnsi="宋体" w:cs="宋体"/>
          <w:b/>
          <w:szCs w:val="21"/>
        </w:rPr>
        <w:t>（二）定义</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1、“采购人”系指组织本次采购的单位：嵊泗县海洋经济发展局（嵊泗县海洋与渔业局）。</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2、“采购代理机构”系指中金招标有限责任公司。</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3、“响应人”系指向采购代理机构提交响应文件的供应商。</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4、“成交人”系指经磋商小组评定，且审查通过，并经公示无异议的合格响应人。</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5、“响应人代表”系指全权代表响应人参加本次磋商活动并签署响应文件的人，如果响应人代表不是响应人的法定代表人，须提供《法定代表人授权函》。</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6、“服务”系指磋商文件规定响应人须承担的卫星语音通讯服务以及其他类似的义务。</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7、“项目”系指响应人按磋商文件规定向采购人提供的服务。</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8、“书面形式”包括信函、传真、快递、电报等。</w:t>
      </w:r>
    </w:p>
    <w:p>
      <w:pPr>
        <w:pStyle w:val="13"/>
        <w:snapToGrid w:val="0"/>
        <w:spacing w:line="360" w:lineRule="auto"/>
        <w:ind w:firstLine="422" w:firstLineChars="200"/>
        <w:rPr>
          <w:rFonts w:hAnsi="宋体" w:eastAsia="宋体" w:cs="宋体"/>
          <w:b/>
          <w:sz w:val="21"/>
          <w:szCs w:val="21"/>
        </w:rPr>
      </w:pPr>
      <w:r>
        <w:rPr>
          <w:rFonts w:hint="eastAsia" w:hAnsi="宋体" w:eastAsia="宋体" w:cs="宋体"/>
          <w:b/>
          <w:sz w:val="21"/>
          <w:szCs w:val="21"/>
        </w:rPr>
        <w:t>9、带“▲”号条款均为实质性条款，必须全部响应，若有任何一项带“▲”号条款未响应或负偏离，均视为未实质性响应磋商文件，视为无效响应。</w:t>
      </w:r>
    </w:p>
    <w:p>
      <w:pPr>
        <w:snapToGrid w:val="0"/>
        <w:spacing w:line="360" w:lineRule="auto"/>
        <w:ind w:firstLine="422" w:firstLineChars="200"/>
        <w:rPr>
          <w:rFonts w:ascii="宋体" w:hAnsi="宋体" w:cs="宋体"/>
          <w:b/>
          <w:szCs w:val="21"/>
        </w:rPr>
      </w:pPr>
      <w:r>
        <w:rPr>
          <w:rFonts w:hint="eastAsia" w:ascii="宋体" w:hAnsi="宋体" w:cs="宋体"/>
          <w:b/>
          <w:szCs w:val="21"/>
        </w:rPr>
        <w:t>（三）采购方式</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本次采用竞争性磋商方式进行。</w:t>
      </w:r>
    </w:p>
    <w:p>
      <w:pPr>
        <w:pStyle w:val="13"/>
        <w:snapToGrid w:val="0"/>
        <w:spacing w:line="360" w:lineRule="auto"/>
        <w:ind w:firstLine="422" w:firstLineChars="200"/>
        <w:rPr>
          <w:rFonts w:hAnsi="宋体" w:eastAsia="宋体" w:cs="宋体"/>
          <w:b/>
          <w:sz w:val="21"/>
          <w:szCs w:val="21"/>
        </w:rPr>
      </w:pPr>
      <w:r>
        <w:rPr>
          <w:rFonts w:hint="eastAsia" w:hAnsi="宋体" w:eastAsia="宋体" w:cs="宋体"/>
          <w:b/>
          <w:sz w:val="21"/>
          <w:szCs w:val="21"/>
        </w:rPr>
        <w:t>（四）预算金额</w:t>
      </w:r>
    </w:p>
    <w:p>
      <w:pPr>
        <w:snapToGrid w:val="0"/>
        <w:spacing w:line="360" w:lineRule="auto"/>
        <w:ind w:firstLine="422" w:firstLineChars="200"/>
        <w:rPr>
          <w:rFonts w:ascii="宋体" w:hAnsi="宋体" w:cs="宋体"/>
          <w:b/>
          <w:szCs w:val="21"/>
        </w:rPr>
      </w:pPr>
      <w:r>
        <w:rPr>
          <w:rFonts w:hint="eastAsia" w:ascii="宋体" w:hAnsi="宋体" w:cs="宋体"/>
          <w:b/>
          <w:szCs w:val="21"/>
        </w:rPr>
        <w:t>本项目预算金额：170万</w:t>
      </w:r>
      <w:r>
        <w:rPr>
          <w:rFonts w:hint="eastAsia" w:ascii="宋体" w:hAnsi="宋体" w:cs="宋体"/>
          <w:b/>
          <w:bCs/>
          <w:szCs w:val="21"/>
        </w:rPr>
        <w:t>元</w:t>
      </w:r>
      <w:r>
        <w:rPr>
          <w:rFonts w:hint="eastAsia" w:ascii="宋体" w:hAnsi="宋体" w:cs="宋体"/>
          <w:b/>
          <w:szCs w:val="21"/>
        </w:rPr>
        <w:t>，超过作响应无效处理。</w:t>
      </w:r>
    </w:p>
    <w:p>
      <w:pPr>
        <w:snapToGrid w:val="0"/>
        <w:spacing w:line="360" w:lineRule="auto"/>
        <w:ind w:firstLine="422" w:firstLineChars="200"/>
        <w:rPr>
          <w:rFonts w:ascii="宋体" w:hAnsi="宋体" w:cs="宋体"/>
          <w:b/>
          <w:szCs w:val="21"/>
        </w:rPr>
      </w:pPr>
      <w:r>
        <w:rPr>
          <w:rFonts w:hint="eastAsia" w:ascii="宋体" w:hAnsi="宋体" w:cs="宋体"/>
          <w:b/>
          <w:szCs w:val="21"/>
        </w:rPr>
        <w:t>（五）联合体响应</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不接受联合体响应。</w:t>
      </w:r>
    </w:p>
    <w:p>
      <w:pPr>
        <w:snapToGrid w:val="0"/>
        <w:spacing w:line="360" w:lineRule="auto"/>
        <w:ind w:firstLine="422" w:firstLineChars="200"/>
        <w:rPr>
          <w:rFonts w:ascii="宋体" w:hAnsi="宋体" w:cs="宋体"/>
          <w:b/>
          <w:szCs w:val="21"/>
        </w:rPr>
      </w:pPr>
      <w:r>
        <w:rPr>
          <w:rFonts w:hint="eastAsia" w:ascii="宋体" w:hAnsi="宋体" w:cs="宋体"/>
          <w:b/>
          <w:szCs w:val="21"/>
        </w:rPr>
        <w:t>（六）转包与分包</w:t>
      </w:r>
    </w:p>
    <w:p>
      <w:pPr>
        <w:pStyle w:val="13"/>
        <w:snapToGrid w:val="0"/>
        <w:spacing w:line="360" w:lineRule="auto"/>
        <w:ind w:firstLine="420" w:firstLineChars="200"/>
        <w:rPr>
          <w:rFonts w:hAnsi="宋体" w:eastAsia="宋体" w:cs="宋体"/>
          <w:sz w:val="21"/>
          <w:szCs w:val="21"/>
        </w:rPr>
      </w:pPr>
      <w:r>
        <w:rPr>
          <w:rFonts w:hint="eastAsia" w:hAnsi="宋体" w:eastAsia="宋体" w:cs="宋体"/>
          <w:sz w:val="21"/>
          <w:szCs w:val="21"/>
        </w:rPr>
        <w:t>本项目不允许转包。</w:t>
      </w:r>
    </w:p>
    <w:p>
      <w:pPr>
        <w:pStyle w:val="13"/>
        <w:snapToGrid w:val="0"/>
        <w:spacing w:line="360" w:lineRule="auto"/>
        <w:ind w:firstLine="420" w:firstLineChars="200"/>
      </w:pPr>
      <w:r>
        <w:rPr>
          <w:rFonts w:hint="eastAsia" w:hAnsi="宋体" w:eastAsia="宋体" w:cs="宋体"/>
          <w:sz w:val="21"/>
          <w:szCs w:val="21"/>
        </w:rPr>
        <w:t>本项目不允许分包。</w:t>
      </w:r>
    </w:p>
    <w:p>
      <w:pPr>
        <w:snapToGrid w:val="0"/>
        <w:spacing w:line="360" w:lineRule="auto"/>
        <w:ind w:firstLine="422" w:firstLineChars="200"/>
        <w:rPr>
          <w:rFonts w:ascii="宋体" w:hAnsi="宋体" w:cs="宋体"/>
          <w:b/>
          <w:szCs w:val="21"/>
        </w:rPr>
      </w:pPr>
      <w:r>
        <w:rPr>
          <w:rFonts w:hint="eastAsia" w:ascii="宋体" w:hAnsi="宋体" w:cs="宋体"/>
          <w:b/>
          <w:szCs w:val="21"/>
        </w:rPr>
        <w:t>（七）磋商相关费用</w:t>
      </w:r>
    </w:p>
    <w:p>
      <w:pPr>
        <w:snapToGrid w:val="0"/>
        <w:spacing w:line="360" w:lineRule="auto"/>
        <w:ind w:firstLine="420" w:firstLineChars="200"/>
        <w:rPr>
          <w:rFonts w:ascii="宋体" w:hAnsi="宋体" w:cs="宋体"/>
          <w:szCs w:val="21"/>
        </w:rPr>
      </w:pPr>
      <w:r>
        <w:rPr>
          <w:rFonts w:hint="eastAsia" w:ascii="宋体" w:hAnsi="宋体" w:cs="宋体"/>
          <w:szCs w:val="21"/>
        </w:rPr>
        <w:t>不论竞争性磋商结果如何，响应人均应自行承担所有与磋商响应有关的全部费用。</w:t>
      </w:r>
    </w:p>
    <w:p>
      <w:pPr>
        <w:pStyle w:val="13"/>
        <w:snapToGrid w:val="0"/>
        <w:spacing w:line="360" w:lineRule="auto"/>
        <w:ind w:firstLine="422" w:firstLineChars="200"/>
        <w:rPr>
          <w:rFonts w:hAnsi="宋体" w:eastAsia="宋体" w:cs="宋体"/>
          <w:b/>
          <w:kern w:val="0"/>
          <w:sz w:val="21"/>
          <w:szCs w:val="21"/>
        </w:rPr>
      </w:pPr>
      <w:r>
        <w:rPr>
          <w:rFonts w:hint="eastAsia" w:hAnsi="宋体" w:eastAsia="宋体" w:cs="宋体"/>
          <w:b/>
          <w:kern w:val="0"/>
          <w:sz w:val="21"/>
          <w:szCs w:val="21"/>
        </w:rPr>
        <w:t>（八）答疑与澄清</w:t>
      </w:r>
    </w:p>
    <w:p>
      <w:pPr>
        <w:pStyle w:val="13"/>
        <w:snapToGrid w:val="0"/>
        <w:spacing w:line="360" w:lineRule="auto"/>
        <w:ind w:firstLine="420" w:firstLineChars="200"/>
        <w:rPr>
          <w:rFonts w:hAnsi="宋体" w:eastAsia="宋体" w:cs="宋体"/>
          <w:kern w:val="0"/>
          <w:sz w:val="21"/>
          <w:szCs w:val="21"/>
          <w:highlight w:val="none"/>
        </w:rPr>
      </w:pPr>
      <w:r>
        <w:rPr>
          <w:rFonts w:hint="eastAsia" w:hAnsi="宋体" w:eastAsia="宋体" w:cs="宋体"/>
          <w:kern w:val="0"/>
          <w:sz w:val="21"/>
          <w:szCs w:val="21"/>
          <w:highlight w:val="none"/>
        </w:rPr>
        <w:t>响应人如认为磋商文件表述不清晰、存在歧视性、排他性或者其他违法内容的，应当于2024年</w:t>
      </w:r>
      <w:r>
        <w:rPr>
          <w:rFonts w:hint="eastAsia" w:hAnsi="宋体" w:eastAsia="宋体" w:cs="宋体"/>
          <w:kern w:val="0"/>
          <w:sz w:val="21"/>
          <w:szCs w:val="21"/>
          <w:highlight w:val="none"/>
          <w:lang w:val="en-US" w:eastAsia="zh-CN"/>
        </w:rPr>
        <w:t>4</w:t>
      </w:r>
      <w:r>
        <w:rPr>
          <w:rFonts w:hint="eastAsia" w:hAnsi="宋体" w:eastAsia="宋体" w:cs="宋体"/>
          <w:kern w:val="0"/>
          <w:sz w:val="21"/>
          <w:szCs w:val="21"/>
          <w:highlight w:val="none"/>
        </w:rPr>
        <w:t>月</w:t>
      </w:r>
      <w:r>
        <w:rPr>
          <w:rFonts w:hint="eastAsia" w:hAnsi="宋体" w:eastAsia="宋体" w:cs="宋体"/>
          <w:kern w:val="0"/>
          <w:sz w:val="21"/>
          <w:szCs w:val="21"/>
          <w:highlight w:val="none"/>
          <w:lang w:val="en-US" w:eastAsia="zh-CN"/>
        </w:rPr>
        <w:t>18</w:t>
      </w:r>
      <w:r>
        <w:rPr>
          <w:rFonts w:hint="eastAsia" w:hAnsi="宋体" w:eastAsia="宋体" w:cs="宋体"/>
          <w:kern w:val="0"/>
          <w:sz w:val="21"/>
          <w:szCs w:val="21"/>
          <w:highlight w:val="none"/>
        </w:rPr>
        <w:t>日17：00前，以书面形式要求采购人作出书面解释、澄清或者向采购人提出一次性书面质疑；采购人将组织答疑；答疑内容是磋商文件的组成部份，并将以书面形式送达所有已依法获取磋商文件的响应人。</w:t>
      </w:r>
    </w:p>
    <w:p>
      <w:pPr>
        <w:pStyle w:val="13"/>
        <w:snapToGrid w:val="0"/>
        <w:spacing w:line="360" w:lineRule="auto"/>
        <w:ind w:firstLine="420" w:firstLineChars="200"/>
        <w:rPr>
          <w:rFonts w:hAnsi="宋体" w:eastAsia="宋体" w:cs="宋体"/>
          <w:kern w:val="0"/>
          <w:sz w:val="21"/>
          <w:szCs w:val="21"/>
        </w:rPr>
      </w:pPr>
      <w:r>
        <w:rPr>
          <w:rFonts w:hint="eastAsia" w:hAnsi="宋体" w:eastAsia="宋体" w:cs="宋体"/>
          <w:kern w:val="0"/>
          <w:sz w:val="21"/>
          <w:szCs w:val="21"/>
        </w:rPr>
        <w:t>1、根据《中华人民共和国政府采购法实施条例》第五十三条：政府采购法第五十二条规定的供应商应知其权益受到损害之日，是指：</w:t>
      </w:r>
    </w:p>
    <w:p>
      <w:pPr>
        <w:pStyle w:val="13"/>
        <w:snapToGrid w:val="0"/>
        <w:spacing w:line="360" w:lineRule="auto"/>
        <w:ind w:firstLine="420" w:firstLineChars="200"/>
        <w:rPr>
          <w:rFonts w:hAnsi="宋体" w:eastAsia="宋体" w:cs="宋体"/>
          <w:kern w:val="0"/>
          <w:sz w:val="21"/>
          <w:szCs w:val="21"/>
        </w:rPr>
      </w:pPr>
      <w:r>
        <w:rPr>
          <w:rFonts w:hint="eastAsia" w:hAnsi="宋体" w:eastAsia="宋体" w:cs="宋体"/>
          <w:kern w:val="0"/>
          <w:sz w:val="21"/>
          <w:szCs w:val="21"/>
        </w:rPr>
        <w:t>①对可以质疑的采购文件提出质疑的，为收到采购文件之日或者采购文件公告期限届满之日；</w:t>
      </w:r>
    </w:p>
    <w:p>
      <w:pPr>
        <w:pStyle w:val="13"/>
        <w:snapToGrid w:val="0"/>
        <w:spacing w:line="360" w:lineRule="auto"/>
        <w:ind w:firstLine="420" w:firstLineChars="200"/>
        <w:rPr>
          <w:rFonts w:hAnsi="宋体" w:eastAsia="宋体" w:cs="宋体"/>
          <w:kern w:val="0"/>
          <w:sz w:val="21"/>
          <w:szCs w:val="21"/>
        </w:rPr>
      </w:pPr>
      <w:r>
        <w:rPr>
          <w:rFonts w:hint="eastAsia" w:hAnsi="宋体" w:eastAsia="宋体" w:cs="宋体"/>
          <w:kern w:val="0"/>
          <w:sz w:val="21"/>
          <w:szCs w:val="21"/>
        </w:rPr>
        <w:t>②对采购过程提出质疑的，为各采购程序环节结束之日；</w:t>
      </w:r>
    </w:p>
    <w:p>
      <w:pPr>
        <w:pStyle w:val="13"/>
        <w:snapToGrid w:val="0"/>
        <w:spacing w:line="360" w:lineRule="auto"/>
        <w:ind w:firstLine="420" w:firstLineChars="200"/>
        <w:rPr>
          <w:rFonts w:hAnsi="宋体" w:eastAsia="宋体" w:cs="宋体"/>
          <w:kern w:val="0"/>
          <w:sz w:val="21"/>
          <w:szCs w:val="21"/>
        </w:rPr>
      </w:pPr>
      <w:r>
        <w:rPr>
          <w:rFonts w:hint="eastAsia" w:hAnsi="宋体" w:eastAsia="宋体" w:cs="宋体"/>
          <w:kern w:val="0"/>
          <w:sz w:val="21"/>
          <w:szCs w:val="21"/>
        </w:rPr>
        <w:t>③对中标或者成交结果提出质疑的，为中标或者成交结果公告期限届满之日。</w:t>
      </w:r>
    </w:p>
    <w:p>
      <w:pPr>
        <w:pStyle w:val="13"/>
        <w:snapToGrid w:val="0"/>
        <w:spacing w:line="360" w:lineRule="auto"/>
        <w:ind w:firstLine="420" w:firstLineChars="200"/>
        <w:rPr>
          <w:rFonts w:hAnsi="宋体" w:eastAsia="宋体" w:cs="宋体"/>
          <w:kern w:val="0"/>
          <w:sz w:val="21"/>
          <w:szCs w:val="21"/>
        </w:rPr>
      </w:pPr>
      <w:r>
        <w:rPr>
          <w:rFonts w:hint="eastAsia" w:hAnsi="宋体" w:eastAsia="宋体" w:cs="宋体"/>
          <w:kern w:val="0"/>
          <w:sz w:val="21"/>
          <w:szCs w:val="21"/>
        </w:rPr>
        <w:t>2、质疑书应包括下列主要内容：</w:t>
      </w:r>
    </w:p>
    <w:p>
      <w:pPr>
        <w:pStyle w:val="13"/>
        <w:snapToGrid w:val="0"/>
        <w:spacing w:line="360" w:lineRule="auto"/>
        <w:ind w:firstLine="420" w:firstLineChars="200"/>
        <w:rPr>
          <w:rFonts w:hAnsi="宋体" w:eastAsia="宋体" w:cs="宋体"/>
          <w:kern w:val="0"/>
          <w:sz w:val="21"/>
          <w:szCs w:val="21"/>
        </w:rPr>
      </w:pPr>
      <w:r>
        <w:rPr>
          <w:rFonts w:hint="eastAsia" w:hAnsi="宋体" w:eastAsia="宋体" w:cs="宋体"/>
          <w:kern w:val="0"/>
          <w:sz w:val="21"/>
          <w:szCs w:val="21"/>
        </w:rPr>
        <w:t>①质疑人的名称、地址、邮政编码、联系人、联系电话，以及被质疑人名称及联系方式；</w:t>
      </w:r>
    </w:p>
    <w:p>
      <w:pPr>
        <w:pStyle w:val="13"/>
        <w:snapToGrid w:val="0"/>
        <w:spacing w:line="360" w:lineRule="auto"/>
        <w:ind w:firstLine="420" w:firstLineChars="200"/>
        <w:rPr>
          <w:rFonts w:hAnsi="宋体" w:eastAsia="宋体" w:cs="宋体"/>
          <w:kern w:val="0"/>
          <w:sz w:val="21"/>
          <w:szCs w:val="21"/>
        </w:rPr>
      </w:pPr>
      <w:r>
        <w:rPr>
          <w:rFonts w:hint="eastAsia" w:hAnsi="宋体" w:eastAsia="宋体" w:cs="宋体"/>
          <w:kern w:val="0"/>
          <w:sz w:val="21"/>
          <w:szCs w:val="21"/>
        </w:rPr>
        <w:t>②被质疑采购项目名称、编号及采购内容；</w:t>
      </w:r>
    </w:p>
    <w:p>
      <w:pPr>
        <w:pStyle w:val="13"/>
        <w:snapToGrid w:val="0"/>
        <w:spacing w:line="360" w:lineRule="auto"/>
        <w:ind w:firstLine="420" w:firstLineChars="200"/>
        <w:rPr>
          <w:rFonts w:hAnsi="宋体" w:eastAsia="宋体" w:cs="宋体"/>
          <w:kern w:val="0"/>
          <w:sz w:val="21"/>
          <w:szCs w:val="21"/>
        </w:rPr>
      </w:pPr>
      <w:r>
        <w:rPr>
          <w:rFonts w:hint="eastAsia" w:hAnsi="宋体" w:eastAsia="宋体" w:cs="宋体"/>
          <w:kern w:val="0"/>
          <w:sz w:val="21"/>
          <w:szCs w:val="21"/>
        </w:rPr>
        <w:t>③具体的质疑事项及事实依据；</w:t>
      </w:r>
    </w:p>
    <w:p>
      <w:pPr>
        <w:pStyle w:val="13"/>
        <w:snapToGrid w:val="0"/>
        <w:spacing w:line="360" w:lineRule="auto"/>
        <w:ind w:firstLine="420" w:firstLineChars="200"/>
        <w:rPr>
          <w:rFonts w:hAnsi="宋体" w:eastAsia="宋体" w:cs="宋体"/>
          <w:kern w:val="0"/>
          <w:sz w:val="21"/>
          <w:szCs w:val="21"/>
        </w:rPr>
      </w:pPr>
      <w:r>
        <w:rPr>
          <w:rFonts w:hint="eastAsia" w:hAnsi="宋体" w:eastAsia="宋体" w:cs="宋体"/>
          <w:kern w:val="0"/>
          <w:sz w:val="21"/>
          <w:szCs w:val="21"/>
        </w:rPr>
        <w:t>④认为自己合法权益受到损害或可能受到损害的相关证据材料；</w:t>
      </w:r>
    </w:p>
    <w:p>
      <w:pPr>
        <w:pStyle w:val="13"/>
        <w:snapToGrid w:val="0"/>
        <w:spacing w:line="360" w:lineRule="auto"/>
        <w:ind w:firstLine="420" w:firstLineChars="200"/>
        <w:rPr>
          <w:rFonts w:hAnsi="宋体" w:eastAsia="宋体" w:cs="宋体"/>
          <w:kern w:val="0"/>
          <w:sz w:val="21"/>
          <w:szCs w:val="21"/>
        </w:rPr>
      </w:pPr>
      <w:r>
        <w:rPr>
          <w:rFonts w:hint="eastAsia" w:hAnsi="宋体" w:eastAsia="宋体" w:cs="宋体"/>
          <w:kern w:val="0"/>
          <w:sz w:val="21"/>
          <w:szCs w:val="21"/>
        </w:rPr>
        <w:t>⑤提出质疑的日期。</w:t>
      </w:r>
    </w:p>
    <w:p>
      <w:pPr>
        <w:pStyle w:val="13"/>
        <w:snapToGrid w:val="0"/>
        <w:spacing w:line="360" w:lineRule="auto"/>
        <w:ind w:firstLine="420" w:firstLineChars="200"/>
        <w:rPr>
          <w:rFonts w:hAnsi="宋体" w:eastAsia="宋体" w:cs="宋体"/>
          <w:kern w:val="0"/>
          <w:sz w:val="21"/>
          <w:szCs w:val="21"/>
        </w:rPr>
      </w:pPr>
      <w:r>
        <w:rPr>
          <w:rFonts w:hint="eastAsia" w:hAnsi="宋体" w:eastAsia="宋体" w:cs="宋体"/>
          <w:kern w:val="0"/>
          <w:sz w:val="21"/>
          <w:szCs w:val="21"/>
        </w:rPr>
        <w:t>3、采购人或者采购代理机构应当在3个工作日内对供应商依法提出的询问作出答复。采购人或者采购代理机构应当在7个工作日内对供应商依法提出的质疑作出答复。供应商提出的询问或者质疑超出采购人对采购代理机构委托授权范围的，采购代理机构应当告知供应商向采购人提出。政府采购评审专家应当配合采购人或者采购代理机构答复供应商的询问和质疑。</w:t>
      </w:r>
    </w:p>
    <w:p>
      <w:pPr>
        <w:pStyle w:val="13"/>
        <w:snapToGrid w:val="0"/>
        <w:spacing w:line="360" w:lineRule="auto"/>
        <w:ind w:firstLine="420" w:firstLineChars="200"/>
        <w:rPr>
          <w:rFonts w:hAnsi="宋体" w:eastAsia="宋体" w:cs="宋体"/>
          <w:kern w:val="0"/>
          <w:sz w:val="21"/>
          <w:szCs w:val="21"/>
        </w:rPr>
      </w:pPr>
      <w:r>
        <w:rPr>
          <w:rFonts w:hint="eastAsia" w:hAnsi="宋体" w:eastAsia="宋体" w:cs="宋体"/>
          <w:kern w:val="0"/>
          <w:sz w:val="21"/>
          <w:szCs w:val="21"/>
        </w:rPr>
        <w:t>4、质疑供应商对采购人、采购代理机构的答复不满意或者采购人、采购代理机构未在规定的时间内作出答复的，可以在答复期满后15个工作日内向同级政府采购监督管理部门投诉。</w:t>
      </w:r>
    </w:p>
    <w:p>
      <w:pPr>
        <w:pStyle w:val="13"/>
        <w:snapToGrid w:val="0"/>
        <w:spacing w:line="360" w:lineRule="auto"/>
        <w:ind w:firstLine="420" w:firstLineChars="200"/>
        <w:rPr>
          <w:rFonts w:hAnsi="宋体" w:eastAsia="宋体" w:cs="宋体"/>
          <w:b/>
          <w:kern w:val="0"/>
          <w:sz w:val="21"/>
          <w:szCs w:val="21"/>
        </w:rPr>
      </w:pPr>
      <w:r>
        <w:rPr>
          <w:rFonts w:hint="eastAsia" w:hAnsi="宋体" w:eastAsia="宋体" w:cs="宋体"/>
          <w:kern w:val="0"/>
          <w:sz w:val="21"/>
          <w:szCs w:val="21"/>
        </w:rPr>
        <w:t>5、供应商质疑、投诉应当有明确的请求和必要的证明材料。供应商投诉的事项不得超出已质疑事项的范围。投诉人捏造事实、提供虚假材料或者以非法手段取得证明材料进行投诉的，财政部门应当予以驳回。财政部门受理投诉后，投诉人书面申请撤回投诉的，财政部门应当终止投诉处理程序。</w:t>
      </w:r>
    </w:p>
    <w:p>
      <w:pPr>
        <w:snapToGrid w:val="0"/>
        <w:spacing w:line="360" w:lineRule="auto"/>
        <w:ind w:firstLine="422" w:firstLineChars="200"/>
        <w:rPr>
          <w:rFonts w:ascii="宋体" w:hAnsi="宋体" w:cs="宋体"/>
          <w:b/>
          <w:szCs w:val="21"/>
        </w:rPr>
      </w:pPr>
      <w:r>
        <w:rPr>
          <w:rFonts w:hint="eastAsia" w:ascii="宋体" w:hAnsi="宋体" w:cs="宋体"/>
          <w:b/>
          <w:szCs w:val="21"/>
        </w:rPr>
        <w:t>（九）信用记录：</w:t>
      </w:r>
    </w:p>
    <w:p>
      <w:pPr>
        <w:snapToGrid w:val="0"/>
        <w:spacing w:line="360" w:lineRule="auto"/>
        <w:ind w:firstLine="420" w:firstLineChars="200"/>
        <w:rPr>
          <w:rFonts w:ascii="宋体" w:hAnsi="宋体" w:cs="宋体"/>
          <w:szCs w:val="21"/>
        </w:rPr>
      </w:pPr>
      <w:r>
        <w:rPr>
          <w:rFonts w:hint="eastAsia" w:ascii="宋体" w:hAnsi="宋体" w:cs="宋体"/>
          <w:szCs w:val="21"/>
        </w:rPr>
        <w:t>根据财库[2016]125号《关于在政府采购活动中查询及使用信用记录有关问题的通知》要求，招标代理机构会对供应商信用记录进行查询并甄别。</w:t>
      </w:r>
    </w:p>
    <w:p>
      <w:pPr>
        <w:snapToGrid w:val="0"/>
        <w:spacing w:line="360" w:lineRule="auto"/>
        <w:ind w:firstLine="420" w:firstLineChars="200"/>
        <w:rPr>
          <w:rFonts w:ascii="宋体" w:hAnsi="宋体" w:cs="宋体"/>
          <w:szCs w:val="21"/>
        </w:rPr>
      </w:pPr>
      <w:r>
        <w:rPr>
          <w:rFonts w:hint="eastAsia" w:ascii="宋体" w:hAnsi="宋体" w:cs="宋体"/>
          <w:szCs w:val="21"/>
        </w:rPr>
        <w:t>1、信用信息查询的截止时点：投标截止时间前查询；</w:t>
      </w:r>
    </w:p>
    <w:p>
      <w:pPr>
        <w:snapToGrid w:val="0"/>
        <w:spacing w:line="360" w:lineRule="auto"/>
        <w:ind w:firstLine="420" w:firstLineChars="200"/>
        <w:rPr>
          <w:rFonts w:ascii="宋体" w:hAnsi="宋体" w:cs="宋体"/>
          <w:szCs w:val="21"/>
        </w:rPr>
      </w:pPr>
      <w:r>
        <w:rPr>
          <w:rFonts w:hint="eastAsia" w:ascii="宋体" w:hAnsi="宋体" w:cs="宋体"/>
          <w:szCs w:val="21"/>
        </w:rPr>
        <w:t>2、查询渠道：</w:t>
      </w:r>
    </w:p>
    <w:p>
      <w:pPr>
        <w:snapToGrid w:val="0"/>
        <w:spacing w:line="360" w:lineRule="auto"/>
        <w:ind w:firstLine="420" w:firstLineChars="200"/>
        <w:rPr>
          <w:rFonts w:ascii="宋体" w:hAnsi="宋体" w:cs="宋体"/>
          <w:szCs w:val="21"/>
        </w:rPr>
      </w:pPr>
      <w:r>
        <w:rPr>
          <w:rFonts w:hint="eastAsia" w:ascii="宋体" w:hAnsi="宋体" w:cs="宋体"/>
          <w:szCs w:val="21"/>
        </w:rPr>
        <w:t>信用中国（www.creditchina.gov.cn）；</w:t>
      </w:r>
    </w:p>
    <w:p>
      <w:pPr>
        <w:snapToGrid w:val="0"/>
        <w:spacing w:line="360" w:lineRule="auto"/>
        <w:ind w:firstLine="420" w:firstLineChars="200"/>
        <w:rPr>
          <w:rFonts w:ascii="宋体" w:hAnsi="宋体" w:cs="宋体"/>
          <w:szCs w:val="21"/>
        </w:rPr>
      </w:pPr>
      <w:r>
        <w:rPr>
          <w:rFonts w:hint="eastAsia" w:ascii="宋体" w:hAnsi="宋体" w:cs="宋体"/>
          <w:szCs w:val="21"/>
        </w:rPr>
        <w:t>中国政府采购网（www.ccgp.gov.cn）；</w:t>
      </w:r>
    </w:p>
    <w:p>
      <w:pPr>
        <w:snapToGrid w:val="0"/>
        <w:spacing w:line="360" w:lineRule="auto"/>
        <w:ind w:firstLine="420" w:firstLineChars="200"/>
        <w:rPr>
          <w:rFonts w:ascii="宋体" w:hAnsi="宋体" w:cs="宋体"/>
          <w:szCs w:val="21"/>
        </w:rPr>
      </w:pPr>
      <w:r>
        <w:rPr>
          <w:rFonts w:hint="eastAsia" w:ascii="宋体" w:hAnsi="宋体" w:cs="宋体"/>
          <w:szCs w:val="21"/>
        </w:rPr>
        <w:t>3、信用信息查询记录和证据留存具体方式：</w:t>
      </w:r>
      <w:r>
        <w:rPr>
          <w:rFonts w:hint="eastAsia" w:hAnsi="宋体" w:cs="宋体"/>
          <w:kern w:val="0"/>
          <w:szCs w:val="21"/>
        </w:rPr>
        <w:t>采购</w:t>
      </w:r>
      <w:r>
        <w:rPr>
          <w:rFonts w:hint="eastAsia" w:ascii="宋体" w:hAnsi="宋体" w:cs="宋体"/>
          <w:szCs w:val="21"/>
        </w:rPr>
        <w:t>代理机构经办人和监督人员将查询网页打印、签字与其他采购文件一并保存；</w:t>
      </w:r>
    </w:p>
    <w:p>
      <w:pPr>
        <w:snapToGrid w:val="0"/>
        <w:spacing w:line="360" w:lineRule="auto"/>
        <w:ind w:firstLine="420" w:firstLineChars="200"/>
        <w:rPr>
          <w:rFonts w:ascii="宋体" w:hAnsi="宋体" w:cs="宋体"/>
          <w:szCs w:val="21"/>
        </w:rPr>
      </w:pPr>
      <w:r>
        <w:rPr>
          <w:rFonts w:hint="eastAsia" w:ascii="宋体" w:hAnsi="宋体" w:cs="宋体"/>
          <w:szCs w:val="21"/>
        </w:rPr>
        <w:t>4、信用信息的使用规则：响应人存在不良信用记录的，其响应将被作为无效响应被拒绝。</w:t>
      </w:r>
    </w:p>
    <w:p>
      <w:pPr>
        <w:snapToGrid w:val="0"/>
        <w:spacing w:line="360" w:lineRule="auto"/>
        <w:ind w:firstLine="420" w:firstLineChars="200"/>
        <w:rPr>
          <w:rFonts w:ascii="宋体" w:hAnsi="宋体" w:cs="宋体"/>
          <w:szCs w:val="21"/>
        </w:rPr>
      </w:pPr>
      <w:r>
        <w:rPr>
          <w:rFonts w:hint="eastAsia" w:ascii="宋体" w:hAnsi="宋体" w:cs="宋体"/>
          <w:szCs w:val="21"/>
        </w:rPr>
        <w:t>不良信用记录指：被列入失信被执行人、重大税收违法案件当事人名单、政府采购严重违法失信行为记录名单。</w:t>
      </w:r>
    </w:p>
    <w:p>
      <w:pPr>
        <w:snapToGrid w:val="0"/>
        <w:spacing w:line="360" w:lineRule="auto"/>
        <w:ind w:firstLine="422" w:firstLineChars="200"/>
        <w:rPr>
          <w:rFonts w:ascii="宋体" w:hAnsi="宋体" w:cs="宋体"/>
          <w:b/>
          <w:bCs/>
          <w:szCs w:val="21"/>
        </w:rPr>
      </w:pPr>
      <w:r>
        <w:rPr>
          <w:rFonts w:hint="eastAsia" w:ascii="宋体" w:hAnsi="宋体" w:cs="宋体"/>
          <w:b/>
          <w:bCs/>
          <w:szCs w:val="21"/>
        </w:rPr>
        <w:t>（十）信贷政策</w:t>
      </w:r>
    </w:p>
    <w:p>
      <w:pPr>
        <w:snapToGrid w:val="0"/>
        <w:spacing w:line="360" w:lineRule="auto"/>
        <w:ind w:firstLine="420" w:firstLineChars="200"/>
        <w:rPr>
          <w:rFonts w:ascii="宋体" w:hAnsi="宋体" w:cs="宋体"/>
          <w:szCs w:val="21"/>
        </w:rPr>
      </w:pPr>
      <w:r>
        <w:rPr>
          <w:rFonts w:hint="eastAsia" w:ascii="宋体" w:hAnsi="宋体" w:cs="宋体"/>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26"/>
        <w:tblW w:w="9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3975"/>
        <w:gridCol w:w="2220"/>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563" w:type="dxa"/>
            <w:gridSpan w:val="4"/>
            <w:vAlign w:val="center"/>
          </w:tcPr>
          <w:p>
            <w:pPr>
              <w:contextualSpacing/>
              <w:rPr>
                <w:rFonts w:ascii="宋体" w:hAnsi="宋体"/>
                <w:color w:val="000000"/>
                <w:szCs w:val="21"/>
              </w:rPr>
            </w:pPr>
            <w:r>
              <w:rPr>
                <w:rFonts w:hint="eastAsia" w:ascii="宋体" w:hAnsi="宋体"/>
                <w:color w:val="000000"/>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460" w:type="dxa"/>
            <w:vAlign w:val="center"/>
          </w:tcPr>
          <w:p>
            <w:pPr>
              <w:contextualSpacing/>
              <w:jc w:val="center"/>
              <w:rPr>
                <w:rFonts w:ascii="宋体" w:hAnsi="宋体"/>
                <w:color w:val="000000"/>
                <w:szCs w:val="21"/>
              </w:rPr>
            </w:pPr>
            <w:r>
              <w:rPr>
                <w:rFonts w:hint="eastAsia" w:ascii="宋体" w:hAnsi="宋体"/>
                <w:color w:val="000000"/>
                <w:szCs w:val="21"/>
              </w:rPr>
              <w:t>银行名称</w:t>
            </w:r>
          </w:p>
        </w:tc>
        <w:tc>
          <w:tcPr>
            <w:tcW w:w="3975" w:type="dxa"/>
            <w:vAlign w:val="center"/>
          </w:tcPr>
          <w:p>
            <w:pPr>
              <w:contextualSpacing/>
              <w:jc w:val="center"/>
              <w:rPr>
                <w:rFonts w:ascii="宋体" w:hAnsi="宋体"/>
                <w:color w:val="000000"/>
                <w:szCs w:val="21"/>
              </w:rPr>
            </w:pPr>
            <w:r>
              <w:rPr>
                <w:rFonts w:hint="eastAsia" w:ascii="宋体" w:hAnsi="宋体"/>
                <w:color w:val="000000"/>
                <w:szCs w:val="21"/>
              </w:rPr>
              <w:t>各银行介绍的产品特点</w:t>
            </w:r>
          </w:p>
        </w:tc>
        <w:tc>
          <w:tcPr>
            <w:tcW w:w="2220" w:type="dxa"/>
            <w:vAlign w:val="center"/>
          </w:tcPr>
          <w:p>
            <w:pPr>
              <w:contextualSpacing/>
              <w:jc w:val="center"/>
              <w:rPr>
                <w:rFonts w:ascii="宋体" w:hAnsi="宋体"/>
                <w:color w:val="000000"/>
                <w:szCs w:val="21"/>
              </w:rPr>
            </w:pPr>
            <w:r>
              <w:rPr>
                <w:rFonts w:hint="eastAsia" w:ascii="宋体" w:hAnsi="宋体"/>
                <w:color w:val="000000"/>
                <w:szCs w:val="21"/>
              </w:rPr>
              <w:t>经办人</w:t>
            </w:r>
          </w:p>
        </w:tc>
        <w:tc>
          <w:tcPr>
            <w:tcW w:w="1908" w:type="dxa"/>
            <w:vAlign w:val="center"/>
          </w:tcPr>
          <w:p>
            <w:pPr>
              <w:contextualSpacing/>
              <w:jc w:val="center"/>
              <w:rPr>
                <w:rFonts w:ascii="宋体" w:hAnsi="宋体"/>
                <w:color w:val="000000"/>
                <w:szCs w:val="21"/>
              </w:rPr>
            </w:pPr>
            <w:r>
              <w:rPr>
                <w:rFonts w:hint="eastAsia" w:ascii="宋体" w:hAnsi="宋体"/>
                <w:color w:val="000000"/>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Align w:val="center"/>
          </w:tcPr>
          <w:p>
            <w:pPr>
              <w:contextualSpacing/>
              <w:rPr>
                <w:rFonts w:ascii="宋体" w:hAnsi="宋体"/>
                <w:color w:val="000000"/>
                <w:szCs w:val="21"/>
              </w:rPr>
            </w:pPr>
            <w:r>
              <w:rPr>
                <w:rFonts w:hint="eastAsia" w:ascii="宋体" w:hAnsi="宋体"/>
                <w:color w:val="000000"/>
                <w:szCs w:val="21"/>
              </w:rPr>
              <w:t>中国工商银行股份有限公司舟山分行</w:t>
            </w:r>
          </w:p>
        </w:tc>
        <w:tc>
          <w:tcPr>
            <w:tcW w:w="3975" w:type="dxa"/>
          </w:tcPr>
          <w:p>
            <w:pPr>
              <w:numPr>
                <w:ilvl w:val="0"/>
                <w:numId w:val="1"/>
              </w:numPr>
              <w:contextualSpacing/>
              <w:rPr>
                <w:rFonts w:ascii="宋体" w:hAnsi="宋体" w:cs="仿宋_GB2312"/>
                <w:color w:val="000000"/>
                <w:szCs w:val="21"/>
              </w:rPr>
            </w:pPr>
            <w:r>
              <w:rPr>
                <w:rFonts w:hint="eastAsia" w:ascii="宋体" w:hAnsi="宋体" w:cs="仿宋_GB2312"/>
                <w:color w:val="000000"/>
                <w:szCs w:val="21"/>
              </w:rPr>
              <w:t>融资额度高，融资金额最高可至订单金额70%，线上申请，随借随还。2.融资利率低，最低可至当期LPR利率。</w:t>
            </w:r>
          </w:p>
          <w:p>
            <w:pPr>
              <w:contextualSpacing/>
              <w:rPr>
                <w:rFonts w:ascii="宋体" w:hAnsi="宋体"/>
                <w:color w:val="000000"/>
                <w:szCs w:val="21"/>
              </w:rPr>
            </w:pPr>
            <w:r>
              <w:rPr>
                <w:rFonts w:hint="eastAsia" w:ascii="宋体" w:hAnsi="宋体" w:cs="仿宋_GB2312"/>
                <w:color w:val="000000"/>
                <w:szCs w:val="21"/>
              </w:rPr>
              <w:t>3.担保方式灵活，以政府采购合同进行融资，无需另外抵押。</w:t>
            </w:r>
          </w:p>
        </w:tc>
        <w:tc>
          <w:tcPr>
            <w:tcW w:w="2220" w:type="dxa"/>
            <w:vAlign w:val="center"/>
          </w:tcPr>
          <w:p>
            <w:pPr>
              <w:contextualSpacing/>
              <w:jc w:val="center"/>
              <w:rPr>
                <w:rFonts w:ascii="宋体" w:hAnsi="宋体"/>
                <w:color w:val="000000"/>
                <w:szCs w:val="21"/>
              </w:rPr>
            </w:pPr>
            <w:r>
              <w:rPr>
                <w:rFonts w:hint="eastAsia" w:ascii="宋体" w:hAnsi="宋体"/>
                <w:color w:val="000000"/>
                <w:szCs w:val="21"/>
              </w:rPr>
              <w:t>柳超颖</w:t>
            </w:r>
          </w:p>
        </w:tc>
        <w:tc>
          <w:tcPr>
            <w:tcW w:w="1908" w:type="dxa"/>
            <w:vAlign w:val="center"/>
          </w:tcPr>
          <w:p>
            <w:pPr>
              <w:contextualSpacing/>
              <w:rPr>
                <w:rFonts w:ascii="宋体" w:hAnsi="宋体"/>
                <w:color w:val="000000"/>
                <w:szCs w:val="21"/>
              </w:rPr>
            </w:pPr>
            <w:r>
              <w:rPr>
                <w:rFonts w:hint="eastAsia" w:ascii="宋体" w:hAnsi="宋体"/>
                <w:color w:val="000000"/>
                <w:szCs w:val="21"/>
              </w:rPr>
              <w:t>0580-2166242, 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460" w:type="dxa"/>
            <w:vAlign w:val="center"/>
          </w:tcPr>
          <w:p>
            <w:pPr>
              <w:contextualSpacing/>
              <w:rPr>
                <w:rFonts w:ascii="宋体" w:hAnsi="宋体"/>
                <w:color w:val="000000"/>
                <w:szCs w:val="21"/>
              </w:rPr>
            </w:pPr>
            <w:r>
              <w:rPr>
                <w:rFonts w:hint="eastAsia" w:ascii="宋体" w:hAnsi="宋体"/>
                <w:color w:val="000000"/>
                <w:szCs w:val="21"/>
              </w:rPr>
              <w:t>中国建设银行股份有限公司舟山分行</w:t>
            </w:r>
          </w:p>
        </w:tc>
        <w:tc>
          <w:tcPr>
            <w:tcW w:w="3975" w:type="dxa"/>
          </w:tcPr>
          <w:p>
            <w:pPr>
              <w:numPr>
                <w:ilvl w:val="0"/>
                <w:numId w:val="2"/>
              </w:numPr>
              <w:contextualSpacing/>
              <w:rPr>
                <w:rFonts w:ascii="宋体" w:hAnsi="宋体"/>
                <w:color w:val="000000"/>
                <w:szCs w:val="21"/>
              </w:rPr>
            </w:pPr>
            <w:r>
              <w:rPr>
                <w:rFonts w:hint="eastAsia" w:ascii="宋体" w:hAnsi="宋体"/>
                <w:color w:val="000000"/>
                <w:szCs w:val="21"/>
              </w:rPr>
              <w:t>快速便捷：全流程线上操作，通过浙江省政府采购网数据审核信用额度，建行供应链平台快速放款。</w:t>
            </w:r>
          </w:p>
          <w:p>
            <w:pPr>
              <w:numPr>
                <w:ilvl w:val="0"/>
                <w:numId w:val="2"/>
              </w:numPr>
              <w:contextualSpacing/>
              <w:rPr>
                <w:rFonts w:ascii="宋体" w:hAnsi="宋体"/>
                <w:color w:val="000000"/>
                <w:szCs w:val="21"/>
              </w:rPr>
            </w:pPr>
            <w:r>
              <w:rPr>
                <w:rFonts w:hint="eastAsia" w:ascii="宋体" w:hAnsi="宋体"/>
                <w:color w:val="000000"/>
                <w:szCs w:val="21"/>
              </w:rPr>
              <w:t>申请额度高：单笔融资额度最高可达政府采购合同金额的90%，单户额度最高可达3000万。</w:t>
            </w:r>
          </w:p>
          <w:p>
            <w:pPr>
              <w:numPr>
                <w:ilvl w:val="0"/>
                <w:numId w:val="2"/>
              </w:numPr>
              <w:contextualSpacing/>
              <w:rPr>
                <w:rFonts w:ascii="宋体" w:hAnsi="宋体"/>
                <w:color w:val="000000"/>
                <w:szCs w:val="21"/>
              </w:rPr>
            </w:pPr>
            <w:r>
              <w:rPr>
                <w:rFonts w:hint="eastAsia" w:ascii="宋体" w:hAnsi="宋体"/>
                <w:color w:val="000000"/>
                <w:szCs w:val="21"/>
              </w:rPr>
              <w:t>无需额外抵押：以浙江省政府采购网备案公示的政府采购合同进行融资，无需额外抵押担保。</w:t>
            </w:r>
          </w:p>
          <w:p>
            <w:pPr>
              <w:numPr>
                <w:ilvl w:val="0"/>
                <w:numId w:val="2"/>
              </w:numPr>
              <w:contextualSpacing/>
              <w:rPr>
                <w:rFonts w:ascii="宋体" w:hAnsi="宋体"/>
                <w:color w:val="000000"/>
                <w:szCs w:val="21"/>
              </w:rPr>
            </w:pPr>
            <w:r>
              <w:rPr>
                <w:rFonts w:hint="eastAsia" w:ascii="宋体" w:hAnsi="宋体"/>
                <w:color w:val="000000"/>
                <w:szCs w:val="21"/>
              </w:rPr>
              <w:t>利率优惠：给予流动资金贷款最优惠利率。</w:t>
            </w:r>
          </w:p>
        </w:tc>
        <w:tc>
          <w:tcPr>
            <w:tcW w:w="2220" w:type="dxa"/>
            <w:vAlign w:val="center"/>
          </w:tcPr>
          <w:p>
            <w:pPr>
              <w:contextualSpacing/>
              <w:jc w:val="center"/>
              <w:rPr>
                <w:rFonts w:ascii="宋体" w:hAnsi="宋体"/>
                <w:color w:val="000000"/>
                <w:szCs w:val="21"/>
              </w:rPr>
            </w:pPr>
            <w:r>
              <w:rPr>
                <w:rFonts w:hint="eastAsia" w:ascii="宋体" w:hAnsi="宋体"/>
                <w:color w:val="000000"/>
                <w:szCs w:val="21"/>
              </w:rPr>
              <w:t>普陀片区：蔡妮妮</w:t>
            </w:r>
          </w:p>
          <w:p>
            <w:pPr>
              <w:contextualSpacing/>
              <w:jc w:val="center"/>
              <w:rPr>
                <w:rFonts w:ascii="宋体" w:hAnsi="宋体"/>
                <w:color w:val="000000"/>
                <w:szCs w:val="21"/>
              </w:rPr>
            </w:pPr>
            <w:r>
              <w:rPr>
                <w:rFonts w:hint="eastAsia" w:ascii="宋体" w:hAnsi="宋体"/>
                <w:color w:val="000000"/>
                <w:szCs w:val="21"/>
              </w:rPr>
              <w:t>定海片区：杨莹</w:t>
            </w:r>
          </w:p>
          <w:p>
            <w:pPr>
              <w:contextualSpacing/>
              <w:jc w:val="center"/>
              <w:rPr>
                <w:rFonts w:ascii="宋体" w:hAnsi="宋体"/>
                <w:color w:val="000000"/>
                <w:szCs w:val="21"/>
              </w:rPr>
            </w:pPr>
            <w:r>
              <w:rPr>
                <w:rFonts w:hint="eastAsia" w:ascii="宋体" w:hAnsi="宋体"/>
                <w:color w:val="000000"/>
                <w:szCs w:val="21"/>
              </w:rPr>
              <w:t>自贸区片区：方晓</w:t>
            </w:r>
          </w:p>
        </w:tc>
        <w:tc>
          <w:tcPr>
            <w:tcW w:w="1908" w:type="dxa"/>
            <w:vAlign w:val="center"/>
          </w:tcPr>
          <w:p>
            <w:pPr>
              <w:contextualSpacing/>
              <w:rPr>
                <w:rFonts w:ascii="宋体" w:hAnsi="宋体"/>
                <w:color w:val="000000"/>
                <w:szCs w:val="21"/>
              </w:rPr>
            </w:pPr>
            <w:r>
              <w:rPr>
                <w:rFonts w:hint="eastAsia" w:ascii="宋体" w:hAnsi="宋体"/>
                <w:color w:val="000000"/>
                <w:szCs w:val="21"/>
              </w:rPr>
              <w:t>普陀片区：13957201791</w:t>
            </w:r>
          </w:p>
          <w:p>
            <w:pPr>
              <w:contextualSpacing/>
              <w:rPr>
                <w:rFonts w:ascii="宋体" w:hAnsi="宋体"/>
                <w:color w:val="000000"/>
                <w:szCs w:val="21"/>
              </w:rPr>
            </w:pPr>
            <w:r>
              <w:rPr>
                <w:rFonts w:hint="eastAsia" w:ascii="宋体" w:hAnsi="宋体"/>
                <w:color w:val="000000"/>
                <w:szCs w:val="21"/>
              </w:rPr>
              <w:t>定海片区：13655803997</w:t>
            </w:r>
          </w:p>
          <w:p>
            <w:pPr>
              <w:contextualSpacing/>
              <w:rPr>
                <w:rFonts w:ascii="宋体" w:hAnsi="宋体"/>
                <w:color w:val="000000"/>
                <w:szCs w:val="21"/>
              </w:rPr>
            </w:pPr>
            <w:r>
              <w:rPr>
                <w:rFonts w:hint="eastAsia" w:ascii="宋体" w:hAnsi="宋体"/>
                <w:color w:val="000000"/>
                <w:szCs w:val="21"/>
              </w:rPr>
              <w:t>自贸区片区：13587086324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Align w:val="center"/>
          </w:tcPr>
          <w:p>
            <w:pPr>
              <w:contextualSpacing/>
              <w:rPr>
                <w:rFonts w:ascii="宋体" w:hAnsi="宋体"/>
                <w:color w:val="000000"/>
                <w:szCs w:val="21"/>
              </w:rPr>
            </w:pPr>
            <w:r>
              <w:rPr>
                <w:rFonts w:hint="eastAsia" w:ascii="宋体" w:hAnsi="宋体"/>
                <w:color w:val="000000"/>
                <w:szCs w:val="21"/>
              </w:rPr>
              <w:t>杭州银行股份有限公司舟山市分行</w:t>
            </w:r>
          </w:p>
        </w:tc>
        <w:tc>
          <w:tcPr>
            <w:tcW w:w="3975" w:type="dxa"/>
          </w:tcPr>
          <w:p>
            <w:pPr>
              <w:contextualSpacing/>
              <w:rPr>
                <w:rFonts w:ascii="宋体" w:hAnsi="宋体"/>
                <w:color w:val="000000"/>
                <w:szCs w:val="21"/>
              </w:rPr>
            </w:pPr>
            <w:r>
              <w:rPr>
                <w:rFonts w:hint="eastAsia" w:ascii="宋体" w:hAnsi="宋体"/>
                <w:color w:val="000000"/>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2220" w:type="dxa"/>
            <w:vAlign w:val="center"/>
          </w:tcPr>
          <w:p>
            <w:pPr>
              <w:contextualSpacing/>
              <w:jc w:val="center"/>
              <w:rPr>
                <w:rFonts w:ascii="宋体" w:hAnsi="宋体"/>
                <w:color w:val="000000"/>
                <w:szCs w:val="21"/>
              </w:rPr>
            </w:pPr>
            <w:r>
              <w:rPr>
                <w:rFonts w:hint="eastAsia" w:ascii="宋体" w:hAnsi="宋体"/>
                <w:color w:val="000000"/>
                <w:szCs w:val="21"/>
              </w:rPr>
              <w:t>方经理</w:t>
            </w:r>
          </w:p>
        </w:tc>
        <w:tc>
          <w:tcPr>
            <w:tcW w:w="1908" w:type="dxa"/>
            <w:vAlign w:val="center"/>
          </w:tcPr>
          <w:p>
            <w:pPr>
              <w:contextualSpacing/>
              <w:rPr>
                <w:rFonts w:ascii="宋体" w:hAnsi="宋体"/>
                <w:color w:val="000000"/>
                <w:szCs w:val="21"/>
              </w:rPr>
            </w:pPr>
            <w:r>
              <w:rPr>
                <w:rFonts w:hint="eastAsia" w:ascii="宋体" w:hAnsi="宋体"/>
                <w:color w:val="000000"/>
                <w:szCs w:val="21"/>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Align w:val="center"/>
          </w:tcPr>
          <w:p>
            <w:pPr>
              <w:contextualSpacing/>
              <w:rPr>
                <w:rFonts w:ascii="宋体" w:hAnsi="宋体"/>
                <w:color w:val="000000"/>
                <w:szCs w:val="21"/>
              </w:rPr>
            </w:pPr>
            <w:r>
              <w:rPr>
                <w:rFonts w:hint="eastAsia" w:ascii="宋体" w:hAnsi="宋体"/>
                <w:color w:val="000000"/>
                <w:szCs w:val="21"/>
              </w:rPr>
              <w:t>招商银行股份有限公司浙江自贸试验区舟山分行</w:t>
            </w:r>
          </w:p>
        </w:tc>
        <w:tc>
          <w:tcPr>
            <w:tcW w:w="3975" w:type="dxa"/>
          </w:tcPr>
          <w:p>
            <w:pPr>
              <w:rPr>
                <w:rFonts w:ascii="宋体" w:hAnsi="宋体"/>
                <w:szCs w:val="21"/>
              </w:rPr>
            </w:pPr>
            <w:r>
              <w:rPr>
                <w:rFonts w:hint="eastAsia" w:ascii="宋体" w:hAnsi="宋体" w:cs="仿宋_GB2312"/>
                <w:szCs w:val="21"/>
              </w:rPr>
              <w:t>小企业政采贷是招商银行为政府采购成交供应商提供的用于履行政府采购合同的专属融资产品。优势：一、额度高。根据企业上一年或近一年获得政府采购成交及成交通知的一定比例给予额度，最高可达3000万元，单笔提款金额最高至合同金额的90%。二、操作简便、模式丰富。客户通过我行一网通等渠道在线申请。支持线上用款，按日计息，随借随还，利率最低至当期LPR。三、担保方式灵活。实际控制人夫妇担保＋融资项下应收账款质押作为辅助，无需抵押，一次性签署合作协议。</w:t>
            </w:r>
          </w:p>
        </w:tc>
        <w:tc>
          <w:tcPr>
            <w:tcW w:w="2220" w:type="dxa"/>
            <w:vAlign w:val="center"/>
          </w:tcPr>
          <w:p>
            <w:pPr>
              <w:contextualSpacing/>
              <w:jc w:val="center"/>
              <w:rPr>
                <w:rFonts w:ascii="宋体" w:hAnsi="宋体"/>
                <w:color w:val="000000"/>
                <w:szCs w:val="21"/>
              </w:rPr>
            </w:pPr>
            <w:r>
              <w:rPr>
                <w:rFonts w:hint="eastAsia" w:ascii="宋体" w:hAnsi="宋体"/>
                <w:color w:val="000000"/>
                <w:szCs w:val="21"/>
              </w:rPr>
              <w:t>李玲</w:t>
            </w:r>
          </w:p>
        </w:tc>
        <w:tc>
          <w:tcPr>
            <w:tcW w:w="1908" w:type="dxa"/>
            <w:vAlign w:val="center"/>
          </w:tcPr>
          <w:p>
            <w:pPr>
              <w:contextualSpacing/>
              <w:rPr>
                <w:rFonts w:ascii="宋体" w:hAnsi="宋体"/>
                <w:color w:val="000000"/>
                <w:szCs w:val="21"/>
              </w:rPr>
            </w:pPr>
            <w:r>
              <w:rPr>
                <w:rFonts w:hint="eastAsia" w:ascii="宋体" w:hAnsi="宋体"/>
                <w:color w:val="000000"/>
                <w:szCs w:val="21"/>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460" w:type="dxa"/>
            <w:vAlign w:val="center"/>
          </w:tcPr>
          <w:p>
            <w:pPr>
              <w:contextualSpacing/>
              <w:rPr>
                <w:rFonts w:ascii="宋体" w:hAnsi="宋体"/>
                <w:color w:val="000000"/>
                <w:szCs w:val="21"/>
              </w:rPr>
            </w:pPr>
            <w:r>
              <w:rPr>
                <w:rFonts w:hint="eastAsia" w:ascii="宋体" w:hAnsi="宋体"/>
                <w:color w:val="000000"/>
                <w:szCs w:val="21"/>
              </w:rPr>
              <w:t>温州银行股份有限公司舟山市分行</w:t>
            </w:r>
          </w:p>
        </w:tc>
        <w:tc>
          <w:tcPr>
            <w:tcW w:w="3975" w:type="dxa"/>
          </w:tcPr>
          <w:p>
            <w:pPr>
              <w:numPr>
                <w:ilvl w:val="0"/>
                <w:numId w:val="3"/>
              </w:numPr>
              <w:contextualSpacing/>
              <w:rPr>
                <w:rFonts w:ascii="宋体" w:hAnsi="宋体"/>
                <w:color w:val="000000"/>
                <w:szCs w:val="21"/>
              </w:rPr>
            </w:pPr>
            <w:r>
              <w:rPr>
                <w:rFonts w:hint="eastAsia" w:ascii="宋体" w:hAnsi="宋体"/>
                <w:color w:val="000000"/>
                <w:szCs w:val="21"/>
              </w:rPr>
              <w:t>单户授信敞口最高不超过1000万元，且最高额度核定一般不超过借款人（含实际控制人控制的其他经营实体）最近13个月合计有效中标合同金额的70%。</w:t>
            </w:r>
          </w:p>
          <w:p>
            <w:pPr>
              <w:numPr>
                <w:ilvl w:val="0"/>
                <w:numId w:val="3"/>
              </w:numPr>
              <w:contextualSpacing/>
              <w:rPr>
                <w:rFonts w:ascii="宋体" w:hAnsi="宋体"/>
                <w:color w:val="000000"/>
                <w:szCs w:val="21"/>
              </w:rPr>
            </w:pPr>
            <w:r>
              <w:rPr>
                <w:rFonts w:hint="eastAsia" w:ascii="宋体" w:hAnsi="宋体"/>
                <w:color w:val="000000"/>
                <w:szCs w:val="21"/>
              </w:rPr>
              <w:t>单笔借款额度最高不超过1000万元，单笔业务授信额度不超过“政采云平台”提供的中标通知书承载的中标金额或本次申请授信提供的采购合同金额的80%，且用信金额不超过采购合同未付金额的80%。</w:t>
            </w:r>
          </w:p>
          <w:p>
            <w:pPr>
              <w:numPr>
                <w:ilvl w:val="0"/>
                <w:numId w:val="3"/>
              </w:numPr>
              <w:contextualSpacing/>
              <w:rPr>
                <w:rFonts w:ascii="宋体" w:hAnsi="宋体"/>
                <w:color w:val="000000"/>
                <w:szCs w:val="21"/>
              </w:rPr>
            </w:pPr>
            <w:r>
              <w:rPr>
                <w:rFonts w:hint="eastAsia" w:ascii="宋体" w:hAnsi="宋体"/>
                <w:color w:val="000000"/>
                <w:szCs w:val="21"/>
              </w:rPr>
              <w:t>借款人中标采购人自行采购项目并向我行发起授信申请的，单笔业务授信敞口不超500万元，且不超过借款人中标通知书承载的中标金额或本次申请授信提供的采购合同的80%。</w:t>
            </w:r>
          </w:p>
          <w:p>
            <w:pPr>
              <w:numPr>
                <w:ilvl w:val="0"/>
                <w:numId w:val="3"/>
              </w:numPr>
              <w:contextualSpacing/>
              <w:rPr>
                <w:rFonts w:ascii="宋体" w:hAnsi="宋体"/>
                <w:color w:val="000000"/>
                <w:szCs w:val="21"/>
              </w:rPr>
            </w:pPr>
            <w:r>
              <w:rPr>
                <w:rFonts w:hint="eastAsia" w:ascii="宋体" w:hAnsi="宋体"/>
                <w:color w:val="000000"/>
                <w:szCs w:val="21"/>
              </w:rPr>
              <w:t>符合我行采购人资质的，且负债率不超75%，配合应收账款质押登记确认的，并可出具确认函，单笔借款额度可按不超过采购合同的90%办理。</w:t>
            </w:r>
          </w:p>
        </w:tc>
        <w:tc>
          <w:tcPr>
            <w:tcW w:w="2220" w:type="dxa"/>
            <w:vAlign w:val="center"/>
          </w:tcPr>
          <w:p>
            <w:pPr>
              <w:contextualSpacing/>
              <w:jc w:val="center"/>
              <w:rPr>
                <w:rFonts w:ascii="宋体" w:hAnsi="宋体"/>
                <w:color w:val="000000"/>
                <w:szCs w:val="21"/>
              </w:rPr>
            </w:pPr>
            <w:r>
              <w:rPr>
                <w:rFonts w:hint="eastAsia" w:ascii="宋体" w:hAnsi="宋体"/>
                <w:color w:val="000000"/>
                <w:szCs w:val="21"/>
              </w:rPr>
              <w:t>郑贤栋</w:t>
            </w:r>
          </w:p>
        </w:tc>
        <w:tc>
          <w:tcPr>
            <w:tcW w:w="1908" w:type="dxa"/>
            <w:vAlign w:val="center"/>
          </w:tcPr>
          <w:p>
            <w:pPr>
              <w:contextualSpacing/>
              <w:rPr>
                <w:rFonts w:ascii="宋体" w:hAnsi="宋体"/>
                <w:color w:val="000000"/>
                <w:szCs w:val="21"/>
              </w:rPr>
            </w:pPr>
            <w:r>
              <w:rPr>
                <w:rFonts w:hint="eastAsia" w:ascii="宋体" w:hAnsi="宋体"/>
                <w:color w:val="000000"/>
                <w:szCs w:val="21"/>
              </w:rPr>
              <w:t>058—8866086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0" w:type="dxa"/>
            <w:vAlign w:val="center"/>
          </w:tcPr>
          <w:p>
            <w:pPr>
              <w:contextualSpacing/>
              <w:rPr>
                <w:rFonts w:ascii="宋体" w:hAnsi="宋体"/>
                <w:color w:val="000000"/>
                <w:szCs w:val="21"/>
              </w:rPr>
            </w:pPr>
            <w:r>
              <w:rPr>
                <w:rFonts w:hint="eastAsia" w:ascii="宋体" w:hAnsi="宋体"/>
                <w:color w:val="000000"/>
                <w:szCs w:val="21"/>
              </w:rPr>
              <w:t>交通银行股份有限公司舟山分行</w:t>
            </w:r>
          </w:p>
        </w:tc>
        <w:tc>
          <w:tcPr>
            <w:tcW w:w="3975" w:type="dxa"/>
          </w:tcPr>
          <w:p>
            <w:pPr>
              <w:contextualSpacing/>
              <w:rPr>
                <w:rFonts w:ascii="宋体" w:hAnsi="宋体"/>
                <w:color w:val="000000"/>
                <w:szCs w:val="21"/>
              </w:rPr>
            </w:pPr>
            <w:r>
              <w:rPr>
                <w:rFonts w:hint="eastAsia" w:ascii="宋体" w:hAnsi="宋体" w:cs="仿宋_GB2312"/>
                <w:szCs w:val="21"/>
              </w:rPr>
              <w:t>交通银行政采贷，线上版本最长期限1年，融资金额一般不超过1000万；线下版本期限最长两年，额度最高2,000万，单笔提款金额最高至采购合同金额的70%。担保方式为信用（附加该笔业务项下未来应收账款质押、实际控制人及配偶个人保证），随借随还，利率最低至当期L</w:t>
            </w:r>
            <w:r>
              <w:rPr>
                <w:rFonts w:hint="eastAsia" w:ascii="宋体" w:hAnsi="宋体"/>
                <w:szCs w:val="21"/>
              </w:rPr>
              <w:t>PR</w:t>
            </w:r>
            <w:r>
              <w:rPr>
                <w:rFonts w:ascii="宋体" w:hAnsi="宋体"/>
                <w:szCs w:val="21"/>
              </w:rPr>
              <w:t>。</w:t>
            </w:r>
          </w:p>
        </w:tc>
        <w:tc>
          <w:tcPr>
            <w:tcW w:w="2220" w:type="dxa"/>
            <w:vAlign w:val="center"/>
          </w:tcPr>
          <w:p>
            <w:pPr>
              <w:contextualSpacing/>
              <w:jc w:val="center"/>
              <w:rPr>
                <w:rFonts w:ascii="宋体" w:hAnsi="宋体"/>
                <w:color w:val="000000"/>
                <w:szCs w:val="21"/>
              </w:rPr>
            </w:pPr>
            <w:r>
              <w:rPr>
                <w:rFonts w:hint="eastAsia" w:ascii="宋体" w:hAnsi="宋体"/>
                <w:color w:val="000000"/>
                <w:szCs w:val="21"/>
              </w:rPr>
              <w:t>赵争艳</w:t>
            </w:r>
          </w:p>
        </w:tc>
        <w:tc>
          <w:tcPr>
            <w:tcW w:w="1908" w:type="dxa"/>
            <w:vAlign w:val="center"/>
          </w:tcPr>
          <w:p>
            <w:pPr>
              <w:contextualSpacing/>
              <w:rPr>
                <w:rFonts w:ascii="宋体" w:hAnsi="宋体"/>
                <w:color w:val="000000"/>
                <w:szCs w:val="21"/>
              </w:rPr>
            </w:pPr>
            <w:r>
              <w:rPr>
                <w:rFonts w:hint="eastAsia" w:ascii="宋体" w:hAnsi="宋体"/>
                <w:color w:val="000000"/>
                <w:szCs w:val="21"/>
              </w:rPr>
              <w:t>0580-2260728</w:t>
            </w:r>
          </w:p>
          <w:p>
            <w:pPr>
              <w:contextualSpacing/>
              <w:rPr>
                <w:rFonts w:ascii="宋体" w:hAnsi="宋体"/>
                <w:color w:val="000000"/>
                <w:szCs w:val="21"/>
              </w:rPr>
            </w:pPr>
            <w:r>
              <w:rPr>
                <w:rFonts w:hint="eastAsia" w:ascii="宋体" w:hAnsi="宋体"/>
                <w:color w:val="000000"/>
                <w:szCs w:val="21"/>
              </w:rPr>
              <w:t>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contextualSpacing/>
              <w:rPr>
                <w:rFonts w:ascii="宋体" w:hAnsi="宋体"/>
                <w:color w:val="000000"/>
                <w:szCs w:val="21"/>
              </w:rPr>
            </w:pPr>
            <w:r>
              <w:rPr>
                <w:rFonts w:hint="eastAsia" w:ascii="宋体" w:hAnsi="宋体"/>
                <w:color w:val="000000"/>
                <w:szCs w:val="21"/>
              </w:rPr>
              <w:t>中信银行股份有限公司舟山分行</w:t>
            </w:r>
          </w:p>
        </w:tc>
        <w:tc>
          <w:tcPr>
            <w:tcW w:w="3975" w:type="dxa"/>
          </w:tcPr>
          <w:p>
            <w:pPr>
              <w:contextualSpacing/>
              <w:rPr>
                <w:rFonts w:ascii="宋体" w:hAnsi="宋体"/>
                <w:color w:val="000000"/>
                <w:szCs w:val="21"/>
              </w:rPr>
            </w:pPr>
            <w:r>
              <w:rPr>
                <w:rFonts w:hint="eastAsia" w:ascii="宋体" w:hAnsi="宋体"/>
                <w:color w:val="000000"/>
                <w:szCs w:val="21"/>
              </w:rPr>
              <w:t>中信银行“政采e贷”产品特点：根据政府采购成交通知书或合同，以政府财政支付资金为主要还款来源，为成交小微企业提供流动资金贷款。产品实现预授信、贷款申请、应收账款质押、授信审批、自助提款等环节的线上化、自动化处理，操作便利，授信额度最高不超过1000万元，贷款期限最长1年，利率低。</w:t>
            </w:r>
          </w:p>
        </w:tc>
        <w:tc>
          <w:tcPr>
            <w:tcW w:w="2220" w:type="dxa"/>
            <w:vAlign w:val="center"/>
          </w:tcPr>
          <w:p>
            <w:pPr>
              <w:contextualSpacing/>
              <w:jc w:val="center"/>
              <w:rPr>
                <w:rFonts w:ascii="宋体" w:hAnsi="宋体"/>
                <w:color w:val="000000"/>
                <w:szCs w:val="21"/>
              </w:rPr>
            </w:pPr>
            <w:r>
              <w:rPr>
                <w:rFonts w:ascii="宋体" w:hAnsi="宋体"/>
                <w:color w:val="000000"/>
                <w:szCs w:val="21"/>
              </w:rPr>
              <w:t>黄丽</w:t>
            </w:r>
          </w:p>
        </w:tc>
        <w:tc>
          <w:tcPr>
            <w:tcW w:w="1908" w:type="dxa"/>
            <w:vAlign w:val="center"/>
          </w:tcPr>
          <w:p>
            <w:pPr>
              <w:contextualSpacing/>
              <w:rPr>
                <w:rFonts w:ascii="宋体" w:hAnsi="宋体"/>
                <w:color w:val="000000"/>
                <w:szCs w:val="21"/>
              </w:rPr>
            </w:pPr>
            <w:r>
              <w:rPr>
                <w:rFonts w:ascii="宋体" w:hAnsi="宋体"/>
                <w:color w:val="000000"/>
                <w:szCs w:val="21"/>
              </w:rPr>
              <w:t>13905808032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contextualSpacing/>
              <w:rPr>
                <w:rFonts w:ascii="宋体" w:hAnsi="宋体"/>
                <w:color w:val="000000"/>
                <w:szCs w:val="21"/>
              </w:rPr>
            </w:pPr>
            <w:r>
              <w:rPr>
                <w:rFonts w:hint="eastAsia" w:ascii="宋体" w:hAnsi="宋体"/>
                <w:color w:val="000000"/>
                <w:szCs w:val="21"/>
              </w:rPr>
              <w:t>泰隆银行舟山市分行</w:t>
            </w:r>
          </w:p>
        </w:tc>
        <w:tc>
          <w:tcPr>
            <w:tcW w:w="3975" w:type="dxa"/>
          </w:tcPr>
          <w:p>
            <w:pPr>
              <w:contextualSpacing/>
              <w:rPr>
                <w:rFonts w:ascii="宋体" w:hAnsi="宋体"/>
                <w:color w:val="000000"/>
                <w:szCs w:val="21"/>
              </w:rPr>
            </w:pPr>
            <w:r>
              <w:rPr>
                <w:rFonts w:hint="eastAsia" w:ascii="宋体" w:hAnsi="宋体"/>
                <w:color w:val="000000"/>
                <w:szCs w:val="21"/>
              </w:rPr>
              <w:t>符合我行基本准入，期限对照订单最长不超过1年，额度最高1000万，担保方式享受信用贷款执行，可由成交企业或其实际控制人出面申请，利率最低可至当期LPR ，对于合同期限确实超过一年的，可享受无还本续贷至合同付款日。</w:t>
            </w:r>
          </w:p>
        </w:tc>
        <w:tc>
          <w:tcPr>
            <w:tcW w:w="2220" w:type="dxa"/>
            <w:vAlign w:val="center"/>
          </w:tcPr>
          <w:p>
            <w:pPr>
              <w:contextualSpacing/>
              <w:jc w:val="center"/>
              <w:rPr>
                <w:rFonts w:ascii="宋体" w:hAnsi="宋体"/>
                <w:color w:val="000000"/>
                <w:szCs w:val="21"/>
              </w:rPr>
            </w:pPr>
            <w:r>
              <w:rPr>
                <w:rFonts w:hint="eastAsia" w:ascii="宋体" w:hAnsi="宋体"/>
                <w:color w:val="000000"/>
                <w:szCs w:val="21"/>
              </w:rPr>
              <w:t>胡亢宇</w:t>
            </w:r>
          </w:p>
        </w:tc>
        <w:tc>
          <w:tcPr>
            <w:tcW w:w="1908" w:type="dxa"/>
            <w:vAlign w:val="center"/>
          </w:tcPr>
          <w:p>
            <w:pPr>
              <w:contextualSpacing/>
              <w:rPr>
                <w:rFonts w:ascii="宋体" w:hAnsi="宋体"/>
                <w:color w:val="000000"/>
                <w:szCs w:val="21"/>
              </w:rPr>
            </w:pPr>
            <w:r>
              <w:rPr>
                <w:rFonts w:hint="eastAsia" w:ascii="宋体" w:hAnsi="宋体"/>
                <w:color w:val="000000"/>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contextualSpacing/>
              <w:rPr>
                <w:rFonts w:ascii="宋体" w:hAnsi="宋体"/>
                <w:color w:val="000000"/>
                <w:szCs w:val="21"/>
              </w:rPr>
            </w:pPr>
            <w:r>
              <w:rPr>
                <w:rFonts w:hint="eastAsia" w:ascii="宋体" w:hAnsi="宋体"/>
                <w:color w:val="000000"/>
                <w:szCs w:val="21"/>
              </w:rPr>
              <w:t>中国农业银行股份有限公司舟山分行</w:t>
            </w:r>
          </w:p>
        </w:tc>
        <w:tc>
          <w:tcPr>
            <w:tcW w:w="3975" w:type="dxa"/>
          </w:tcPr>
          <w:p>
            <w:pPr>
              <w:contextualSpacing/>
              <w:rPr>
                <w:rFonts w:ascii="宋体" w:hAnsi="宋体"/>
                <w:color w:val="000000"/>
                <w:szCs w:val="21"/>
              </w:rPr>
            </w:pPr>
            <w:r>
              <w:rPr>
                <w:rFonts w:hint="eastAsia" w:ascii="宋体" w:hAnsi="宋体"/>
                <w:color w:val="000000"/>
                <w:szCs w:val="21"/>
              </w:rPr>
              <w:t>“政采贷”业务原则上不超过政府采购合同实有金额的80%，单户借款额度不超过500万元。借款到期日不晚于合同约定付款日后90天，原则上不超过1年，最长可放宽至2年。应收账款形成前，可采用信用方式用信并追加供应商法定代表人或实际控制人连带责任保证担保；应收账款形成后，信用方式用信需变更为应收账款质押担保。</w:t>
            </w:r>
          </w:p>
        </w:tc>
        <w:tc>
          <w:tcPr>
            <w:tcW w:w="2220" w:type="dxa"/>
            <w:vAlign w:val="center"/>
          </w:tcPr>
          <w:p>
            <w:pPr>
              <w:contextualSpacing/>
              <w:jc w:val="center"/>
              <w:rPr>
                <w:rFonts w:ascii="宋体" w:hAnsi="宋体"/>
                <w:color w:val="000000"/>
                <w:szCs w:val="21"/>
              </w:rPr>
            </w:pPr>
            <w:r>
              <w:rPr>
                <w:rFonts w:hint="eastAsia" w:ascii="宋体" w:hAnsi="宋体"/>
                <w:color w:val="000000"/>
                <w:szCs w:val="21"/>
              </w:rPr>
              <w:t>苏华瞻</w:t>
            </w:r>
          </w:p>
        </w:tc>
        <w:tc>
          <w:tcPr>
            <w:tcW w:w="1908" w:type="dxa"/>
            <w:vAlign w:val="center"/>
          </w:tcPr>
          <w:p>
            <w:pPr>
              <w:contextualSpacing/>
              <w:rPr>
                <w:rFonts w:ascii="宋体" w:hAnsi="宋体"/>
                <w:color w:val="000000"/>
                <w:szCs w:val="21"/>
              </w:rPr>
            </w:pPr>
            <w:r>
              <w:rPr>
                <w:rFonts w:hint="eastAsia" w:ascii="宋体" w:hAnsi="宋体"/>
                <w:color w:val="000000"/>
                <w:szCs w:val="21"/>
              </w:rPr>
              <w:t>13967228926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460" w:type="dxa"/>
            <w:vAlign w:val="center"/>
          </w:tcPr>
          <w:p>
            <w:pPr>
              <w:contextualSpacing/>
              <w:rPr>
                <w:rFonts w:ascii="宋体" w:hAnsi="宋体"/>
                <w:color w:val="000000"/>
                <w:szCs w:val="21"/>
              </w:rPr>
            </w:pPr>
            <w:r>
              <w:rPr>
                <w:rFonts w:hint="eastAsia" w:ascii="宋体" w:hAnsi="宋体"/>
                <w:color w:val="000000"/>
                <w:szCs w:val="21"/>
              </w:rPr>
              <w:t>中国邮政储蓄银行股份有限公司舟山市分行</w:t>
            </w:r>
          </w:p>
        </w:tc>
        <w:tc>
          <w:tcPr>
            <w:tcW w:w="3975" w:type="dxa"/>
          </w:tcPr>
          <w:p>
            <w:pPr>
              <w:tabs>
                <w:tab w:val="left" w:pos="0"/>
              </w:tabs>
              <w:rPr>
                <w:rFonts w:ascii="宋体" w:hAnsi="宋体"/>
                <w:color w:val="000000"/>
                <w:szCs w:val="21"/>
              </w:rPr>
            </w:pPr>
            <w:r>
              <w:rPr>
                <w:rFonts w:hint="eastAsia" w:ascii="宋体" w:hAnsi="宋体"/>
                <w:color w:val="000000"/>
                <w:szCs w:val="21"/>
              </w:rPr>
              <w:t>符合我行基本准入，授信额度使用期最高为2年，单户授信最高为500万，担保方式享受信用贷款执行，利率最低可至当期LPR ，有无还本续贷，12月份线上产品可以自主自贷。</w:t>
            </w:r>
          </w:p>
        </w:tc>
        <w:tc>
          <w:tcPr>
            <w:tcW w:w="2220" w:type="dxa"/>
            <w:vAlign w:val="center"/>
          </w:tcPr>
          <w:p>
            <w:pPr>
              <w:contextualSpacing/>
              <w:jc w:val="center"/>
              <w:rPr>
                <w:rFonts w:ascii="宋体" w:hAnsi="宋体"/>
                <w:color w:val="000000"/>
                <w:szCs w:val="21"/>
              </w:rPr>
            </w:pPr>
            <w:r>
              <w:rPr>
                <w:rFonts w:hint="eastAsia" w:ascii="宋体" w:hAnsi="宋体"/>
                <w:color w:val="000000"/>
                <w:szCs w:val="21"/>
              </w:rPr>
              <w:t>蒋志燕</w:t>
            </w:r>
          </w:p>
        </w:tc>
        <w:tc>
          <w:tcPr>
            <w:tcW w:w="1908" w:type="dxa"/>
            <w:vAlign w:val="center"/>
          </w:tcPr>
          <w:p>
            <w:pPr>
              <w:contextualSpacing/>
              <w:rPr>
                <w:rFonts w:ascii="宋体" w:hAnsi="宋体"/>
                <w:color w:val="000000"/>
                <w:szCs w:val="21"/>
              </w:rPr>
            </w:pPr>
            <w:r>
              <w:rPr>
                <w:rFonts w:hint="eastAsia" w:ascii="宋体" w:hAnsi="宋体"/>
                <w:color w:val="000000"/>
                <w:szCs w:val="21"/>
              </w:rPr>
              <w:t>13732527321</w:t>
            </w:r>
          </w:p>
        </w:tc>
      </w:tr>
    </w:tbl>
    <w:p>
      <w:pPr>
        <w:spacing w:line="360" w:lineRule="auto"/>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2、一般步骤</w:t>
      </w:r>
    </w:p>
    <w:p>
      <w:pPr>
        <w:spacing w:line="360" w:lineRule="auto"/>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（1）供应商先与银行对接，办理融资前期手续；</w:t>
      </w:r>
    </w:p>
    <w:p>
      <w:pPr>
        <w:spacing w:line="360" w:lineRule="auto"/>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（2）供应商成交后，凭成交通知书等材料，向相关合作银行发出融资申请；</w:t>
      </w:r>
    </w:p>
    <w:p>
      <w:pPr>
        <w:spacing w:line="360" w:lineRule="auto"/>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（3）银行、供应商线上办理审批、放贷事宜。</w:t>
      </w:r>
    </w:p>
    <w:p>
      <w:pPr>
        <w:spacing w:line="360" w:lineRule="auto"/>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3、注意事项</w:t>
      </w:r>
    </w:p>
    <w:p>
      <w:pPr>
        <w:spacing w:line="360" w:lineRule="auto"/>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（1）成交供应商需确保政府采购合同的收款账户与融资银行开户账户一致。</w:t>
      </w:r>
    </w:p>
    <w:p>
      <w:pPr>
        <w:spacing w:line="360" w:lineRule="auto"/>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（2）用于政府采购信用融资的政府采购合同，应当包含如下条款：“第</w:t>
      </w:r>
      <w:r>
        <w:rPr>
          <w:rFonts w:hint="eastAsia" w:cs="宋体" w:asciiTheme="minorEastAsia" w:hAnsiTheme="minorEastAsia" w:eastAsiaTheme="minorEastAsia"/>
          <w:bCs/>
          <w:szCs w:val="21"/>
          <w:u w:val="single"/>
        </w:rPr>
        <w:t xml:space="preserve">   </w:t>
      </w:r>
      <w:r>
        <w:rPr>
          <w:rFonts w:hint="eastAsia" w:cs="宋体" w:asciiTheme="minorEastAsia" w:hAnsiTheme="minorEastAsia" w:eastAsiaTheme="minorEastAsia"/>
          <w:bCs/>
          <w:szCs w:val="21"/>
        </w:rPr>
        <w:t>条：政府采购合同贷款</w:t>
      </w:r>
    </w:p>
    <w:p>
      <w:pPr>
        <w:spacing w:line="360" w:lineRule="auto"/>
        <w:ind w:firstLine="420" w:firstLineChars="200"/>
        <w:rPr>
          <w:rFonts w:cs="宋体" w:asciiTheme="minorEastAsia" w:hAnsiTheme="minorEastAsia" w:eastAsiaTheme="minorEastAsia"/>
          <w:bCs/>
          <w:szCs w:val="21"/>
        </w:rPr>
      </w:pPr>
      <w:r>
        <w:rPr>
          <w:rFonts w:hint="eastAsia" w:cs="宋体" w:asciiTheme="minorEastAsia" w:hAnsiTheme="minorEastAsia" w:eastAsiaTheme="minorEastAsia"/>
          <w:bCs/>
          <w:szCs w:val="21"/>
        </w:rPr>
        <w:t xml:space="preserve">本合同同时用于乙方向 </w:t>
      </w:r>
      <w:r>
        <w:rPr>
          <w:rFonts w:hint="eastAsia" w:cs="宋体" w:asciiTheme="minorEastAsia" w:hAnsiTheme="minorEastAsia" w:eastAsiaTheme="minorEastAsia"/>
          <w:bCs/>
          <w:szCs w:val="21"/>
          <w:u w:val="single"/>
        </w:rPr>
        <w:t xml:space="preserve">     </w:t>
      </w:r>
      <w:r>
        <w:rPr>
          <w:rFonts w:hint="eastAsia" w:cs="宋体" w:asciiTheme="minorEastAsia" w:hAnsiTheme="minorEastAsia" w:eastAsiaTheme="minorEastAsia"/>
          <w:bCs/>
          <w:szCs w:val="21"/>
        </w:rPr>
        <w:t>银行（金融机构）申请政府采购信用贷款。</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bCs/>
          <w:szCs w:val="21"/>
        </w:rPr>
        <w:t>本合同一经签订，原则上不得更改乙方收款账户信息。确须更改的，乙方应取得原合同收款账户开户银行书面同意，否则修改后的合同不予备案，采购资金不予支付。”</w:t>
      </w:r>
    </w:p>
    <w:p>
      <w:pPr>
        <w:snapToGrid w:val="0"/>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（十一）中金招标有限责任公司拥有本磋商文件最终解释权。</w:t>
      </w:r>
    </w:p>
    <w:p>
      <w:pPr>
        <w:snapToGrid w:val="0"/>
        <w:spacing w:line="360" w:lineRule="auto"/>
        <w:ind w:firstLine="200"/>
        <w:rPr>
          <w:rFonts w:cs="宋体" w:asciiTheme="minorEastAsia" w:hAnsiTheme="minorEastAsia" w:eastAsiaTheme="minorEastAsia"/>
          <w:b/>
          <w:szCs w:val="21"/>
        </w:rPr>
      </w:pPr>
    </w:p>
    <w:p>
      <w:pPr>
        <w:snapToGrid w:val="0"/>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二、磋商文件</w:t>
      </w:r>
    </w:p>
    <w:p>
      <w:pPr>
        <w:snapToGrid w:val="0"/>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（一）磋商文件的构成</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第一章  竞争性磋商公告</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第二章  采购需求</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第三章  响应人须知</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第四章  评标办法及标准</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第五章  合同主要条款</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第六章  响应文件组成</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其他有关补充文件</w:t>
      </w:r>
    </w:p>
    <w:p>
      <w:pPr>
        <w:pStyle w:val="5"/>
        <w:widowControl w:val="0"/>
        <w:snapToGrid w:val="0"/>
        <w:spacing w:afterLines="0" w:line="360" w:lineRule="auto"/>
        <w:ind w:left="0" w:firstLine="422" w:firstLineChars="200"/>
        <w:jc w:val="both"/>
        <w:rPr>
          <w:rFonts w:cs="宋体" w:asciiTheme="minorEastAsia" w:hAnsiTheme="minorEastAsia" w:eastAsiaTheme="minorEastAsia"/>
          <w:b/>
          <w:kern w:val="2"/>
          <w:sz w:val="21"/>
          <w:szCs w:val="21"/>
        </w:rPr>
      </w:pPr>
      <w:r>
        <w:rPr>
          <w:rFonts w:hint="eastAsia" w:cs="宋体" w:asciiTheme="minorEastAsia" w:hAnsiTheme="minorEastAsia" w:eastAsiaTheme="minorEastAsia"/>
          <w:b/>
          <w:sz w:val="21"/>
          <w:szCs w:val="21"/>
        </w:rPr>
        <w:t>（</w:t>
      </w:r>
      <w:r>
        <w:rPr>
          <w:rFonts w:hint="eastAsia" w:cs="宋体" w:asciiTheme="minorEastAsia" w:hAnsiTheme="minorEastAsia" w:eastAsiaTheme="minorEastAsia"/>
          <w:b/>
          <w:kern w:val="2"/>
          <w:sz w:val="21"/>
          <w:szCs w:val="21"/>
        </w:rPr>
        <w:t xml:space="preserve">二）磋商文件的澄清与修改 </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响应人应认真阅读本磋商文件，发现其中有误或有要求不合理的，响应人必须在响应截止前5天内以书面形式要求采购人澄清。响应人对已发出的磋商文件进行必要澄清、答复、修改或补充的，应当在磋商文件要求提交响应文件截止时间5天前，在相关的采购信息发布媒体上发布更正公告，并通知所有已购买磋商文件的潜在响应人。</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2、采购人以书面形式答复响应人要求澄清的问题，并将不包含问题来源的答复书面通知所有购买磋商文件的潜在响应人；除书面答复以外的其他澄清方式及澄清内容均无效。</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磋商文件的答复、澄清、修改、补充通知实质上改变采购需求相关内容，且自磋商文件的答复、澄清、修改、补充通知发出之日起至响应截止时间止不足5天的，采购人可视情况推迟响应截止时间和开启时间，按规定在相关的采购信息发布媒体上发布变更公告，并将变更后的时间通知所有已购买磋商文件的潜在响应人。</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4、磋商文件澄清、答复、修改、补充的内容为磋商文件的组成部分。当磋商文件与磋商文件的答复、澄清、修改、补充通知就同一内容的表述不一致时，以最后发出的书面文件为准。</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5、磋商文件的澄清、答复、修改或补充都应该通过本采购代理机构以法定形式发布，采购人非通过本采购代理机构的，不得擅自澄清、答复、修改或补充磋商文件。</w:t>
      </w:r>
    </w:p>
    <w:p>
      <w:pPr>
        <w:pStyle w:val="13"/>
        <w:snapToGrid w:val="0"/>
        <w:spacing w:line="360" w:lineRule="auto"/>
        <w:ind w:firstLine="415" w:firstLineChars="198"/>
        <w:rPr>
          <w:rFonts w:cs="宋体" w:asciiTheme="minorEastAsia" w:hAnsiTheme="minorEastAsia" w:eastAsiaTheme="minorEastAsia"/>
          <w:sz w:val="21"/>
          <w:szCs w:val="21"/>
        </w:rPr>
      </w:pPr>
    </w:p>
    <w:p>
      <w:pPr>
        <w:snapToGrid w:val="0"/>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三、响应文件的编制</w:t>
      </w:r>
    </w:p>
    <w:p>
      <w:pPr>
        <w:snapToGrid w:val="0"/>
        <w:spacing w:line="360" w:lineRule="auto"/>
        <w:ind w:firstLine="422" w:firstLineChars="200"/>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（一）响应文件的形式和效力</w:t>
      </w:r>
    </w:p>
    <w:p>
      <w:pPr>
        <w:adjustRightInd w:val="0"/>
        <w:snapToGrid w:val="0"/>
        <w:spacing w:line="360" w:lineRule="auto"/>
        <w:ind w:firstLine="422" w:firstLineChars="200"/>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响应文件分为电子响应文件以及备份响应文件，备份响应文件为以介质存储的数据电文形式的响应文件。</w:t>
      </w:r>
    </w:p>
    <w:p>
      <w:pPr>
        <w:adjustRightInd w:val="0"/>
        <w:snapToGrid w:val="0"/>
        <w:spacing w:line="360" w:lineRule="auto"/>
        <w:ind w:firstLine="422" w:firstLineChars="200"/>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1、电子响应文件，按“政采云供应商项目采购-电子招投标操作指南”及本磋商文件要求制作、加密并递交。</w:t>
      </w:r>
    </w:p>
    <w:p>
      <w:pPr>
        <w:adjustRightInd w:val="0"/>
        <w:snapToGrid w:val="0"/>
        <w:spacing w:line="360" w:lineRule="auto"/>
        <w:ind w:firstLine="422" w:firstLineChars="200"/>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2、以介质存储的数据电文形式的备份响应文件，按政采云供应商项目采购-电子招投标操作指南中制作的电子响应文件。</w:t>
      </w:r>
    </w:p>
    <w:p>
      <w:pPr>
        <w:adjustRightInd w:val="0"/>
        <w:snapToGrid w:val="0"/>
        <w:spacing w:line="360" w:lineRule="auto"/>
        <w:ind w:firstLine="422" w:firstLineChars="200"/>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响应文件的启用，按先后顺位分别为电子响应文件、以介质存储的数据电文形式的备份响应文件。在下一顺位的响应文件启用时，前一顺位的响应文件自动失效。</w:t>
      </w:r>
    </w:p>
    <w:p>
      <w:pPr>
        <w:snapToGrid w:val="0"/>
        <w:spacing w:line="360" w:lineRule="auto"/>
        <w:ind w:firstLine="422" w:firstLineChars="200"/>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（二）响应文件的组成</w:t>
      </w:r>
    </w:p>
    <w:p>
      <w:pPr>
        <w:snapToGrid w:val="0"/>
        <w:spacing w:line="360" w:lineRule="auto"/>
        <w:ind w:firstLine="420" w:firstLineChars="200"/>
        <w:rPr>
          <w:rFonts w:cs="宋体" w:asciiTheme="minorEastAsia" w:hAnsiTheme="minorEastAsia" w:eastAsiaTheme="minorEastAsia"/>
          <w:color w:val="000000"/>
          <w:szCs w:val="21"/>
        </w:rPr>
      </w:pPr>
      <w:r>
        <w:rPr>
          <w:rFonts w:hint="eastAsia" w:cs="宋体" w:asciiTheme="minorEastAsia" w:hAnsiTheme="minorEastAsia" w:eastAsiaTheme="minorEastAsia"/>
          <w:szCs w:val="21"/>
        </w:rPr>
        <w:t>响应文件由磋商报价文件、资格证明文件、商务技术文件组成。</w:t>
      </w:r>
      <w:r>
        <w:rPr>
          <w:rFonts w:hint="eastAsia" w:cs="宋体" w:asciiTheme="minorEastAsia" w:hAnsiTheme="minorEastAsia" w:eastAsiaTheme="minorEastAsia"/>
          <w:color w:val="000000"/>
          <w:szCs w:val="21"/>
        </w:rPr>
        <w:t>电子响应文件中所须加盖公章部分均采用CA签章。（具体要求详见第六章 响应文件组成）</w:t>
      </w:r>
    </w:p>
    <w:p>
      <w:pPr>
        <w:snapToGrid w:val="0"/>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（三）响应文件的语言及计量</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1、响应文件以及响应人与采购代理机构就有关响应事宜的所有来往函电，均应以中文汉语书写。除签名、盖章、专用名称、特殊证明材料等情形外，以中文汉语以外的文字表述的响应文件视同未提供。</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2、响应计量单位，应采用中华人民共和国法定计量单位（货币单位：人民币元），否则视同未响应。</w:t>
      </w:r>
    </w:p>
    <w:p>
      <w:pPr>
        <w:snapToGrid w:val="0"/>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（四）磋商报价与相关费用</w:t>
      </w:r>
    </w:p>
    <w:p>
      <w:pPr>
        <w:pStyle w:val="13"/>
        <w:snapToGrid w:val="0"/>
        <w:spacing w:line="360" w:lineRule="auto"/>
        <w:ind w:firstLine="420" w:firstLineChars="200"/>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详见《响应人须知前附表》</w:t>
      </w:r>
    </w:p>
    <w:p>
      <w:pPr>
        <w:pStyle w:val="13"/>
        <w:snapToGrid w:val="0"/>
        <w:spacing w:line="360" w:lineRule="auto"/>
        <w:ind w:firstLine="422" w:firstLineChars="200"/>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（五）响应文件的有效期</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1、自响应截止日起90天响应文件应保持有效。有效期不足的响应文件将被拒绝。</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2、在特殊情况下，采购人可与响应人协商延长响应文件的有效期，这种要求和答复均以书面形式进行。</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3、成交人的响应文件自开启之日起至合同履行完毕止均应保持有效。</w:t>
      </w:r>
    </w:p>
    <w:p>
      <w:pPr>
        <w:snapToGrid w:val="0"/>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（六）响应文件的签署和编制</w:t>
      </w:r>
    </w:p>
    <w:p>
      <w:pPr>
        <w:adjustRightInd w:val="0"/>
        <w:snapToGrid w:val="0"/>
        <w:spacing w:line="360" w:lineRule="auto"/>
        <w:ind w:firstLine="422" w:firstLineChars="200"/>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1、电子响应文件部分：</w:t>
      </w:r>
    </w:p>
    <w:p>
      <w:pPr>
        <w:adjustRightInd w:val="0"/>
        <w:snapToGrid w:val="0"/>
        <w:spacing w:line="360" w:lineRule="auto"/>
        <w:ind w:firstLine="422" w:firstLineChars="200"/>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响应人应根据“政采云供应商项目采购-电子招投标操作指南”及本磋商文件规定的格式和顺序编制电子响应文件并进行关联定位。</w:t>
      </w:r>
    </w:p>
    <w:p>
      <w:pPr>
        <w:adjustRightInd w:val="0"/>
        <w:snapToGrid w:val="0"/>
        <w:spacing w:line="360" w:lineRule="auto"/>
        <w:ind w:firstLine="422" w:firstLineChars="200"/>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2、以介质存储的数据电文形式的备份响应文件部分：</w:t>
      </w:r>
    </w:p>
    <w:p>
      <w:pPr>
        <w:adjustRightInd w:val="0"/>
        <w:snapToGrid w:val="0"/>
        <w:spacing w:line="360" w:lineRule="auto"/>
        <w:ind w:firstLine="422" w:firstLineChars="200"/>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备份电子响应文件，以光盘或U盘形式存储。</w:t>
      </w:r>
    </w:p>
    <w:p>
      <w:pPr>
        <w:snapToGrid w:val="0"/>
        <w:spacing w:line="360" w:lineRule="auto"/>
        <w:ind w:firstLine="422" w:firstLineChars="200"/>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（七）响应文件的修改和撤回</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1、电子响应文件部分：</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响应人应当在响应截止时间前完成电子响应文件的传输递交，并可以补充、修改或者撤回电子响应文件。补充或者修改电子响应文件的，应当先行撤回原文件，补充、修改后重新传输递交。响应截止时间前未完成传输的，视为撤回响应文件。响应截止时间后送达的响应文件，将被政采云平台拒收。</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2、以介质存储的数据电文形式的备份响应文件部分：</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响应人在响应截止时间之前，可以对已提交的备份响应文件进行修改或撤回，并书面形式（响应人代表签字）通知采购代理机构；响应截止时间后，响应人不得撤回、修改备份响应文件。修改后重新递交的备份响应文件应当按本磋商文件的要求密封和签字。</w:t>
      </w:r>
    </w:p>
    <w:p>
      <w:pPr>
        <w:snapToGrid w:val="0"/>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（八）响应无效的情形</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实质上没有响应磋商文件要求的响应将被视为无效响应。响应人不得通过修正或撤销不合要求的偏离或保留从而使其响应成为实质上响应的响应。经磋商小组认定属于响应人笔误所造成的差错，应当允许其在评标结束之前进行修改或者补正（可以是复印件、传真件等）。修改或者补正响应文件必须以书面形式进行，并应在成交结果公告之前查核原件。限期内不补正或经补正后仍不符合磋商文件要求的，应认定其响应无效。响应人修改、补正响应文件后，不影响磋商小组对其响应文件所作的评价和评分结果。</w:t>
      </w:r>
    </w:p>
    <w:p>
      <w:pPr>
        <w:pStyle w:val="13"/>
        <w:snapToGrid w:val="0"/>
        <w:spacing w:line="360" w:lineRule="auto"/>
        <w:ind w:firstLine="422" w:firstLineChars="200"/>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1、在符合性审查和商务评审时，如发现下列情形之一的，响应文件将被视为无效响应：</w:t>
      </w:r>
    </w:p>
    <w:p>
      <w:pPr>
        <w:snapToGrid w:val="0"/>
        <w:spacing w:line="360" w:lineRule="auto"/>
        <w:ind w:firstLine="422" w:firstLineChars="200"/>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1.1电子响应文件解密失败的，且未在规定时间内提交有效备份响应文件的；</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1.2未按磋商文件要求密封、签字、盖章的；</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1.3资格证明文件不全的，或者不符合磋商文件标明的资格要求的；</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1.4响应文件组成不全的；</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1.5响应文件的实质性内容未使用中文表述、意思表述不明确、前后矛盾或者使用计量单位不符合磋商文件要求的；（经磋商小组认定允许其当场更正的笔误除外）</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1.6响应文件的关键内容字迹模糊、无法辨认的，或者响应文件中经修正的内容字迹模糊难以辩认或者修改处未按规定签名盖章的；</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1.7实质性条款不能满足磋商文件要求的；</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1.8不响应磋商文件要求或者响应文件有采购人不能接受的附加条件的；</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1.9 响应文件没有按磋商文件要求提供有标“▲”的条款的资料和材料的；</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1.10响应文件资格证明、商务技术部分中出现磋商报价信息的。</w:t>
      </w:r>
    </w:p>
    <w:p>
      <w:pPr>
        <w:pStyle w:val="13"/>
        <w:snapToGrid w:val="0"/>
        <w:spacing w:line="360" w:lineRule="auto"/>
        <w:ind w:firstLine="422" w:firstLineChars="200"/>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2、在技术评审时，如发现下列情形之一的，响应文件将被视为无效响应：</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2.1响应文件标明的响应或偏离与事实不符或虚假响应的；</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2.2明显不符合磋商文件中标“▲”的技术指标、主要功能项目发生实质性偏离的；</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2.3响应技术方案不明确，存在一个或一个以上备选（替代）响应的。</w:t>
      </w:r>
    </w:p>
    <w:p>
      <w:pPr>
        <w:pStyle w:val="13"/>
        <w:snapToGrid w:val="0"/>
        <w:spacing w:line="360" w:lineRule="auto"/>
        <w:ind w:firstLine="422" w:firstLineChars="200"/>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3、在磋商报价文件评审时，如发现下列情形之一的，响应文件将被视为无效响应：</w:t>
      </w:r>
    </w:p>
    <w:p>
      <w:pPr>
        <w:pStyle w:val="13"/>
        <w:tabs>
          <w:tab w:val="left" w:pos="1680"/>
        </w:tabs>
        <w:snapToGrid w:val="0"/>
        <w:spacing w:line="360" w:lineRule="auto"/>
        <w:ind w:firstLine="422" w:firstLineChars="200"/>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3.1超过项目的预算金额的；</w:t>
      </w:r>
    </w:p>
    <w:p>
      <w:pPr>
        <w:pStyle w:val="13"/>
        <w:snapToGrid w:val="0"/>
        <w:spacing w:line="360" w:lineRule="auto"/>
        <w:ind w:firstLine="422" w:firstLineChars="200"/>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3.2有选择或有条件的报价的；</w:t>
      </w:r>
    </w:p>
    <w:p>
      <w:pPr>
        <w:pStyle w:val="13"/>
        <w:snapToGrid w:val="0"/>
        <w:spacing w:line="360" w:lineRule="auto"/>
        <w:ind w:firstLine="422" w:firstLineChars="200"/>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3.3 报价文件中缺失报价的。</w:t>
      </w:r>
    </w:p>
    <w:p>
      <w:pPr>
        <w:snapToGrid w:val="0"/>
        <w:spacing w:line="360" w:lineRule="auto"/>
        <w:ind w:firstLine="422" w:firstLineChars="200"/>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（九）出现以下情形，导致电子交易平台无法正常运行，或者无法保证电子交易的公平、公正和安全时，中止电子交易活动：</w:t>
      </w:r>
    </w:p>
    <w:p>
      <w:pPr>
        <w:snapToGrid w:val="0"/>
        <w:spacing w:line="360" w:lineRule="auto"/>
        <w:ind w:firstLine="420" w:firstLineChars="200"/>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1、电子交易平台发生故障而无法登录访问的；</w:t>
      </w:r>
    </w:p>
    <w:p>
      <w:pPr>
        <w:snapToGrid w:val="0"/>
        <w:spacing w:line="360" w:lineRule="auto"/>
        <w:ind w:firstLine="420" w:firstLineChars="200"/>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2、电子交易平台应用或数据库出现错误，不能进行正常操作的；</w:t>
      </w:r>
    </w:p>
    <w:p>
      <w:pPr>
        <w:snapToGrid w:val="0"/>
        <w:spacing w:line="360" w:lineRule="auto"/>
        <w:ind w:firstLine="420" w:firstLineChars="200"/>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3、电子交易平台发现严重安全漏洞，有潜在泄密危险的；</w:t>
      </w:r>
    </w:p>
    <w:p>
      <w:pPr>
        <w:snapToGrid w:val="0"/>
        <w:spacing w:line="360" w:lineRule="auto"/>
        <w:ind w:firstLine="420" w:firstLineChars="200"/>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4、病毒发作导致不能进行正常操作的；</w:t>
      </w:r>
    </w:p>
    <w:p>
      <w:pPr>
        <w:snapToGrid w:val="0"/>
        <w:spacing w:line="360" w:lineRule="auto"/>
        <w:ind w:firstLine="420" w:firstLineChars="200"/>
        <w:rPr>
          <w:rFonts w:cs="宋体" w:asciiTheme="minorEastAsia" w:hAnsiTheme="minorEastAsia" w:eastAsiaTheme="minorEastAsia"/>
          <w:bCs/>
          <w:color w:val="000000"/>
          <w:szCs w:val="21"/>
        </w:rPr>
      </w:pPr>
      <w:r>
        <w:rPr>
          <w:rFonts w:hint="eastAsia" w:cs="宋体" w:asciiTheme="minorEastAsia" w:hAnsiTheme="minorEastAsia" w:eastAsiaTheme="minorEastAsia"/>
          <w:bCs/>
          <w:color w:val="000000"/>
          <w:szCs w:val="21"/>
        </w:rPr>
        <w:t>5、其他无法保证电子交易的公平、公正和安全的情况。</w:t>
      </w:r>
    </w:p>
    <w:p>
      <w:pPr>
        <w:snapToGrid w:val="0"/>
        <w:spacing w:line="360" w:lineRule="auto"/>
        <w:ind w:firstLine="420" w:firstLineChars="200"/>
        <w:rPr>
          <w:rFonts w:cs="宋体" w:asciiTheme="minorEastAsia" w:hAnsiTheme="minorEastAsia" w:eastAsiaTheme="minorEastAsia"/>
          <w:bCs/>
          <w:color w:val="00B050"/>
          <w:szCs w:val="21"/>
        </w:rPr>
      </w:pPr>
      <w:r>
        <w:rPr>
          <w:rFonts w:hint="eastAsia" w:cs="宋体" w:asciiTheme="minorEastAsia" w:hAnsiTheme="minorEastAsia" w:eastAsiaTheme="minorEastAsia"/>
          <w:bCs/>
          <w:color w:val="000000"/>
          <w:szCs w:val="21"/>
        </w:rPr>
        <w:t>出现前款规定情形，不影响采购公平、公正性的，招标代理机构可以待上述情形消除后继续组织电子交易活动，也可以决定某些环节以纸质形式进行；影响或可能影响采购公平、公正性的，重新采购。</w:t>
      </w:r>
    </w:p>
    <w:p>
      <w:pPr>
        <w:snapToGrid w:val="0"/>
        <w:spacing w:line="360" w:lineRule="auto"/>
        <w:ind w:firstLine="200"/>
        <w:rPr>
          <w:rFonts w:cs="宋体" w:asciiTheme="minorEastAsia" w:hAnsiTheme="minorEastAsia" w:eastAsiaTheme="minorEastAsia"/>
          <w:b/>
          <w:szCs w:val="21"/>
        </w:rPr>
      </w:pPr>
    </w:p>
    <w:p>
      <w:pPr>
        <w:snapToGrid w:val="0"/>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四、开标</w:t>
      </w:r>
    </w:p>
    <w:p>
      <w:pPr>
        <w:pStyle w:val="13"/>
        <w:snapToGrid w:val="0"/>
        <w:spacing w:line="360" w:lineRule="auto"/>
        <w:ind w:firstLine="422" w:firstLineChars="200"/>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（一）开标准备</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采购代理机构将在规定的时间和地点进行开标。本项目不要求响应人授权代表参加现场开标、开启响应文件活动。</w:t>
      </w:r>
    </w:p>
    <w:p>
      <w:pPr>
        <w:pStyle w:val="13"/>
        <w:snapToGrid w:val="0"/>
        <w:spacing w:line="360" w:lineRule="auto"/>
        <w:ind w:firstLine="422" w:firstLineChars="200"/>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（二）开标程序</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1、开标会由采购代理机构相关工作人员主持，主持人宣布开标会议开始。</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2、介绍参加开标会的人员名单。</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3、宣布开标纪律和有关事项，告知应当回避的情形，提请有关人员回避。</w:t>
      </w:r>
    </w:p>
    <w:p>
      <w:pPr>
        <w:snapToGrid w:val="0"/>
        <w:spacing w:line="360" w:lineRule="auto"/>
        <w:ind w:firstLine="422" w:firstLineChars="200"/>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4、电子招投标开标及评审程序</w:t>
      </w:r>
    </w:p>
    <w:p>
      <w:pPr>
        <w:spacing w:line="360" w:lineRule="auto"/>
        <w:ind w:firstLine="422" w:firstLineChars="200"/>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4.1响应截止时间后，响应人登录政采云平台，用“项目采购-开标评标”功能对电子响应文件进行在线解密。</w:t>
      </w:r>
    </w:p>
    <w:p>
      <w:pPr>
        <w:spacing w:line="360" w:lineRule="auto"/>
        <w:ind w:firstLine="422" w:firstLineChars="200"/>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4.2磋商小组对资格进行评审；</w:t>
      </w:r>
    </w:p>
    <w:p>
      <w:pPr>
        <w:spacing w:line="360" w:lineRule="auto"/>
        <w:ind w:firstLine="422" w:firstLineChars="200"/>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4.3公布资格评审结果；</w:t>
      </w:r>
    </w:p>
    <w:p>
      <w:pPr>
        <w:spacing w:line="360" w:lineRule="auto"/>
        <w:ind w:firstLine="422" w:firstLineChars="200"/>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4.4磋商小组就价格、服务等认为需要磋商的内容分别与各响应人进行磋商。</w:t>
      </w:r>
    </w:p>
    <w:p>
      <w:pPr>
        <w:spacing w:line="360" w:lineRule="auto"/>
        <w:ind w:firstLine="422" w:firstLineChars="200"/>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4.5磋商小组对商务技术响应文件进行评审；</w:t>
      </w:r>
    </w:p>
    <w:p>
      <w:pPr>
        <w:spacing w:line="360" w:lineRule="auto"/>
        <w:ind w:firstLine="422" w:firstLineChars="200"/>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4.6各响应人在规定时间内于系统上提交最终报价，最终报价不得超过自身的初次报价。</w:t>
      </w:r>
    </w:p>
    <w:p>
      <w:pPr>
        <w:spacing w:line="360" w:lineRule="auto"/>
        <w:ind w:firstLine="422" w:firstLineChars="200"/>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4.7公布商务技术评审结果；</w:t>
      </w:r>
    </w:p>
    <w:p>
      <w:pPr>
        <w:spacing w:line="360" w:lineRule="auto"/>
        <w:ind w:firstLine="422" w:firstLineChars="200"/>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4.8公布报价开标情况；</w:t>
      </w:r>
    </w:p>
    <w:p>
      <w:pPr>
        <w:spacing w:line="360" w:lineRule="auto"/>
        <w:ind w:firstLine="422" w:firstLineChars="200"/>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4.9磋商小组对报价情况进行评审；</w:t>
      </w:r>
    </w:p>
    <w:p>
      <w:pPr>
        <w:spacing w:line="360" w:lineRule="auto"/>
        <w:ind w:firstLine="422" w:firstLineChars="200"/>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4.10公布评审结果。</w:t>
      </w:r>
    </w:p>
    <w:p>
      <w:pPr>
        <w:spacing w:line="360" w:lineRule="auto"/>
        <w:ind w:firstLine="422" w:firstLineChars="200"/>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特别说明：政采云公司如对电子化开标及评审程序有调整的，按调整后的程序操作。</w:t>
      </w:r>
    </w:p>
    <w:p>
      <w:pPr>
        <w:spacing w:line="360" w:lineRule="auto"/>
        <w:ind w:firstLine="422" w:firstLineChars="200"/>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5、如遇电子招投标系统故障的，启用备份响应文件</w:t>
      </w:r>
    </w:p>
    <w:p>
      <w:pPr>
        <w:snapToGrid w:val="0"/>
        <w:spacing w:line="360" w:lineRule="auto"/>
        <w:ind w:firstLine="422" w:firstLineChars="200"/>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6、本项目原则上采用政采云电子招投标开标及评审程序，但若响应人在规定时间内无法解密或解密失败，采购代理机构将开启未能在规定时间内解密的响应人递交的备份响应文件。</w:t>
      </w:r>
    </w:p>
    <w:p>
      <w:pPr>
        <w:snapToGrid w:val="0"/>
        <w:spacing w:line="360" w:lineRule="auto"/>
        <w:ind w:firstLine="422" w:firstLineChars="200"/>
        <w:rPr>
          <w:rFonts w:cs="宋体" w:asciiTheme="minorEastAsia" w:hAnsiTheme="minorEastAsia" w:eastAsiaTheme="minorEastAsia"/>
          <w:b/>
          <w:szCs w:val="21"/>
        </w:rPr>
      </w:pPr>
    </w:p>
    <w:p>
      <w:pPr>
        <w:snapToGrid w:val="0"/>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五、评标</w:t>
      </w:r>
    </w:p>
    <w:p>
      <w:pPr>
        <w:pStyle w:val="13"/>
        <w:snapToGrid w:val="0"/>
        <w:spacing w:line="360" w:lineRule="auto"/>
        <w:ind w:firstLine="422" w:firstLineChars="200"/>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（一）组建磋商小组</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磋商小组由采购人代表和评审专家共 3 人以上单数组成，其中评审专家人数不得少于磋商小组成员总数的 2/3。</w:t>
      </w:r>
    </w:p>
    <w:p>
      <w:pPr>
        <w:pStyle w:val="13"/>
        <w:snapToGrid w:val="0"/>
        <w:spacing w:line="360" w:lineRule="auto"/>
        <w:ind w:firstLine="422" w:firstLineChars="200"/>
        <w:rPr>
          <w:rFonts w:cs="宋体" w:asciiTheme="minorEastAsia" w:hAnsiTheme="minorEastAsia" w:eastAsiaTheme="minorEastAsia"/>
          <w:sz w:val="21"/>
          <w:szCs w:val="21"/>
        </w:rPr>
      </w:pPr>
      <w:r>
        <w:rPr>
          <w:rFonts w:hint="eastAsia" w:cs="宋体" w:asciiTheme="minorEastAsia" w:hAnsiTheme="minorEastAsia" w:eastAsiaTheme="minorEastAsia"/>
          <w:b/>
          <w:sz w:val="21"/>
          <w:szCs w:val="21"/>
        </w:rPr>
        <w:t>（二）评标程序</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1、资格审查</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磋商小组对响应人的资格进行审查。</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2、实质审查与比较</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2.1磋商小组审查响应文件的实质性内容是否符合磋商文件的实质性要求。</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2.2磋商小组将根据响应人的响应文件进行审查、核对，如有疑问，将对响应人进行询标，响应人要向磋商小组澄清有关问题，并最终以书面形式进行答复。</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2.3响应人代表未到场或者拒绝澄清或者澄清的内容改变了响应文件的实质性内容的，磋商小组有权对该响应文件作出不利于响应人的评判。</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2.4各响应人的商务技术得分由指定专人进行计算复核。</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2.5各响应人报价得分根据评分标准计算。</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2.6磋商小组完成评标后，对各部分得分汇总，得出本项目最终得分，磋商小组按评标原则推荐成交候选人同时起草评审报告。</w:t>
      </w:r>
    </w:p>
    <w:p>
      <w:pPr>
        <w:snapToGrid w:val="0"/>
        <w:spacing w:line="360" w:lineRule="auto"/>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（三）澄清问题的形式</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对响应文件中含义不明确、同类问题表述不一致或者有明显文字和计算错误的内容，磋商小组可要求响应人作出必要的澄清、说明或者纠正。响应人的澄清、说明或者补正应当采用书面形式，由其全权代表签字或盖章确认，并不得超出响应文件的范围或者改变响应文件的实质性内容。</w:t>
      </w:r>
    </w:p>
    <w:p>
      <w:pPr>
        <w:spacing w:line="360" w:lineRule="auto"/>
        <w:ind w:firstLine="422" w:firstLineChars="200"/>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（四）报价错误修正</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color w:val="000000"/>
          <w:szCs w:val="21"/>
        </w:rPr>
        <w:t>磋商小组对确定响应文件为实质上响应磋商文件要求的，磋商文件报价出现前后不一致的，按照下列规定修正：</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w:t>
      </w:r>
      <w:r>
        <w:rPr>
          <w:rFonts w:hint="eastAsia" w:cs="宋体" w:asciiTheme="minorEastAsia" w:hAnsiTheme="minorEastAsia" w:eastAsiaTheme="minorEastAsia"/>
          <w:color w:val="000000"/>
          <w:szCs w:val="21"/>
          <w:shd w:val="clear" w:color="auto" w:fill="FFFFFF"/>
        </w:rPr>
        <w:t>响应文件开标一览表（报价表）内容与响应文件中相应内容不一致的，以开标一览表（报价表）为准；</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color w:val="000000"/>
          <w:szCs w:val="21"/>
          <w:shd w:val="clear" w:color="auto" w:fill="FFFFFF"/>
        </w:rPr>
        <w:t>2、大写金额和小写金额不一致的，以大写金额为准；</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color w:val="000000"/>
          <w:szCs w:val="21"/>
          <w:shd w:val="clear" w:color="auto" w:fill="FFFFFF"/>
        </w:rPr>
        <w:t>3、单价金额小数点或者百分比有明显错位的，以开标一览表的总价为准，并修改单价；</w:t>
      </w:r>
    </w:p>
    <w:p>
      <w:pPr>
        <w:spacing w:line="360" w:lineRule="auto"/>
        <w:ind w:firstLine="420" w:firstLineChars="200"/>
        <w:rPr>
          <w:rFonts w:cs="宋体" w:asciiTheme="minorEastAsia" w:hAnsiTheme="minorEastAsia" w:eastAsiaTheme="minorEastAsia"/>
          <w:color w:val="000000"/>
          <w:szCs w:val="21"/>
          <w:shd w:val="clear" w:color="auto" w:fill="FFFFFF"/>
        </w:rPr>
      </w:pPr>
      <w:r>
        <w:rPr>
          <w:rFonts w:hint="eastAsia" w:cs="宋体" w:asciiTheme="minorEastAsia" w:hAnsiTheme="minorEastAsia" w:eastAsiaTheme="minorEastAsia"/>
          <w:color w:val="000000"/>
          <w:szCs w:val="21"/>
          <w:shd w:val="clear" w:color="auto" w:fill="FFFFFF"/>
        </w:rPr>
        <w:t>4、总价金额与按单价汇总金额不一致的，以单价金额计算结果为准。</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color w:val="000000"/>
          <w:szCs w:val="21"/>
          <w:shd w:val="clear" w:color="auto" w:fill="FFFFFF"/>
        </w:rPr>
        <w:t>5、</w:t>
      </w:r>
      <w:r>
        <w:rPr>
          <w:rFonts w:hint="eastAsia" w:cs="宋体" w:asciiTheme="minorEastAsia" w:hAnsiTheme="minorEastAsia" w:eastAsiaTheme="minorEastAsia"/>
          <w:szCs w:val="21"/>
        </w:rPr>
        <w:t>电子交易平台客户端里开标一览表录入的信息与响应文件不一致的，以响应文件为准；</w:t>
      </w:r>
    </w:p>
    <w:p>
      <w:pPr>
        <w:pStyle w:val="13"/>
        <w:snapToGrid w:val="0"/>
        <w:spacing w:line="360" w:lineRule="auto"/>
        <w:ind w:firstLine="422" w:firstLineChars="200"/>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同时出现两种以上不一致的，按上述顺序修正；按上述修正错误的原则及方法调整或修正响应文件的磋商报价，响应人同意并签字确认后，调整后的磋商报价对响应人具有约束作用。如果响应人不接受修正后的报价，则其响应将作为无效响应处理。</w:t>
      </w:r>
    </w:p>
    <w:p>
      <w:pPr>
        <w:pStyle w:val="13"/>
        <w:snapToGrid w:val="0"/>
        <w:spacing w:line="360" w:lineRule="auto"/>
        <w:ind w:firstLine="422" w:firstLineChars="200"/>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（五）评标原则和评标办法</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1、磋商小组必须公平、公正、客观，不带任何倾向性和启发性；不得向外界透露任何与评标有关的内容；任何单位和个人不得干扰、影响评标的正常进行；磋商小组及有关工作人员不得私下与响应人接触。</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2、评标办法。本项目评标办法是</w:t>
      </w:r>
      <w:r>
        <w:rPr>
          <w:rFonts w:hint="eastAsia" w:cs="宋体" w:asciiTheme="minorEastAsia" w:hAnsiTheme="minorEastAsia" w:eastAsiaTheme="minorEastAsia"/>
          <w:sz w:val="21"/>
          <w:szCs w:val="21"/>
          <w:u w:val="single"/>
        </w:rPr>
        <w:t>综合评分法</w:t>
      </w:r>
      <w:r>
        <w:rPr>
          <w:rFonts w:hint="eastAsia" w:cs="宋体" w:asciiTheme="minorEastAsia" w:hAnsiTheme="minorEastAsia" w:eastAsiaTheme="minorEastAsia"/>
          <w:sz w:val="21"/>
          <w:szCs w:val="21"/>
        </w:rPr>
        <w:t>，具体评标内容及评分标准等详见《第四章：评标办法及评分标准》。</w:t>
      </w:r>
    </w:p>
    <w:p>
      <w:pPr>
        <w:pStyle w:val="13"/>
        <w:snapToGrid w:val="0"/>
        <w:spacing w:line="360" w:lineRule="auto"/>
        <w:ind w:firstLine="422" w:firstLineChars="200"/>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（六）磋商过程的监控</w:t>
      </w:r>
    </w:p>
    <w:p>
      <w:pPr>
        <w:pStyle w:val="13"/>
        <w:snapToGrid w:val="0"/>
        <w:spacing w:line="360" w:lineRule="auto"/>
        <w:ind w:firstLine="420" w:firstLineChars="200"/>
        <w:rPr>
          <w:rFonts w:cs="宋体" w:asciiTheme="minorEastAsia" w:hAnsiTheme="minorEastAsia" w:eastAsiaTheme="minorEastAsia"/>
          <w:b/>
          <w:sz w:val="21"/>
          <w:szCs w:val="21"/>
        </w:rPr>
      </w:pPr>
      <w:r>
        <w:rPr>
          <w:rFonts w:hint="eastAsia" w:cs="宋体" w:asciiTheme="minorEastAsia" w:hAnsiTheme="minorEastAsia" w:eastAsiaTheme="minorEastAsia"/>
          <w:sz w:val="21"/>
          <w:szCs w:val="21"/>
        </w:rPr>
        <w:t>本项目磋商过程实行全程录音、录像监控，响应人在磋商过程中所进行的试图影响评标结果的不公正活动，可能导致其响应被拒绝。</w:t>
      </w:r>
    </w:p>
    <w:p>
      <w:pPr>
        <w:snapToGrid w:val="0"/>
        <w:spacing w:line="360" w:lineRule="auto"/>
        <w:ind w:firstLine="200"/>
        <w:rPr>
          <w:rFonts w:cs="宋体" w:asciiTheme="minorEastAsia" w:hAnsiTheme="minorEastAsia" w:eastAsiaTheme="minorEastAsia"/>
          <w:b/>
          <w:szCs w:val="21"/>
        </w:rPr>
      </w:pPr>
    </w:p>
    <w:p>
      <w:pPr>
        <w:snapToGrid w:val="0"/>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六、废标</w:t>
      </w:r>
    </w:p>
    <w:p>
      <w:pPr>
        <w:snapToGrid w:val="0"/>
        <w:spacing w:line="360" w:lineRule="auto"/>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出现下列情形之一的，采购人或者采购代理机构应当终止竞争性磋商采购活动，发布项目终止公告并说明原因，重新开展采购活动：</w:t>
      </w:r>
    </w:p>
    <w:p>
      <w:pPr>
        <w:snapToGrid w:val="0"/>
        <w:spacing w:line="360" w:lineRule="auto"/>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（一）因情况变化，不再符合规定的竞争性磋商采购方式适用情形的；</w:t>
      </w:r>
    </w:p>
    <w:p>
      <w:pPr>
        <w:snapToGrid w:val="0"/>
        <w:spacing w:line="360" w:lineRule="auto"/>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（二）出现影响采购公正的违法、违规行为的；</w:t>
      </w:r>
    </w:p>
    <w:p>
      <w:pPr>
        <w:snapToGrid w:val="0"/>
        <w:spacing w:line="360" w:lineRule="auto"/>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（三）在采购过程中符合要求的供应商或者报价未超过采购预算的供应商不足 3 家的，以下情形除外：</w:t>
      </w:r>
    </w:p>
    <w:p>
      <w:pPr>
        <w:snapToGrid w:val="0"/>
        <w:spacing w:line="360" w:lineRule="auto"/>
        <w:ind w:firstLine="420" w:firstLineChars="200"/>
        <w:rPr>
          <w:rFonts w:hint="eastAsia" w:cs="宋体" w:asciiTheme="minorEastAsia" w:hAnsiTheme="minorEastAsia" w:eastAsiaTheme="minorEastAsia"/>
          <w:szCs w:val="21"/>
        </w:rPr>
      </w:pPr>
      <w:r>
        <w:rPr>
          <w:rFonts w:hint="eastAsia" w:cs="宋体" w:asciiTheme="minorEastAsia" w:hAnsiTheme="minorEastAsia" w:eastAsiaTheme="minorEastAsia"/>
          <w:szCs w:val="21"/>
        </w:rPr>
        <w:t>1、市场竞争不充分的科研项目，以及需要扶持的科技成果转化项目，提交最后报价的供应商可以为 2 家；</w:t>
      </w:r>
    </w:p>
    <w:p>
      <w:pPr>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2、政府购买服务项目（含政府和社会资本合作项目），在采购过程中符合要求的供应商（社会资本）只有2家的，竞争性磋商采购活动可以继续进行。</w:t>
      </w:r>
    </w:p>
    <w:p>
      <w:pPr>
        <w:snapToGrid w:val="0"/>
        <w:spacing w:line="360" w:lineRule="auto"/>
        <w:ind w:firstLine="200"/>
        <w:rPr>
          <w:rFonts w:cs="宋体" w:asciiTheme="minorEastAsia" w:hAnsiTheme="minorEastAsia" w:eastAsiaTheme="minorEastAsia"/>
          <w:b/>
          <w:szCs w:val="21"/>
        </w:rPr>
      </w:pPr>
    </w:p>
    <w:p>
      <w:pPr>
        <w:snapToGrid w:val="0"/>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七、定标</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（一）确定成交人。本项目由采购人事先授权磋商小组确定成交候选人3名。推荐第一名成交候选人为成交人，经采购人确认后，确定项目成交人，同时发布采购结果公告，发出成交通知书。</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1、采购代理机构在评标结束后在2个工作日内将评审报告交采购人确认。</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2、采购人应当自收到评审报告之日起5个工作日内在评审报告推荐的中标或者成交候选人中按顺序确定中标或者成交供应商。</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采购人或者采购代理机构应当自成交人确定之日起2个工作日内，在省级以上财政部门指定的媒体上公告成交结果，磋商文件应当随成交结果同时公告。在公告成交结果的同时，采购人或者采购代理机构应当向成交人发出成交通知书。</w:t>
      </w:r>
    </w:p>
    <w:p>
      <w:pPr>
        <w:pStyle w:val="13"/>
        <w:snapToGrid w:val="0"/>
        <w:spacing w:line="360" w:lineRule="auto"/>
        <w:ind w:firstLine="420" w:firstLineChars="200"/>
        <w:rPr>
          <w:rFonts w:cs="宋体" w:asciiTheme="minorEastAsia" w:hAnsiTheme="minorEastAsia" w:eastAsiaTheme="minorEastAsia"/>
          <w:b/>
          <w:sz w:val="21"/>
          <w:szCs w:val="21"/>
        </w:rPr>
      </w:pPr>
      <w:r>
        <w:rPr>
          <w:rFonts w:hint="eastAsia" w:cs="宋体" w:asciiTheme="minorEastAsia" w:hAnsiTheme="minorEastAsia" w:eastAsiaTheme="minorEastAsia"/>
          <w:sz w:val="21"/>
          <w:szCs w:val="21"/>
        </w:rPr>
        <w:t>（二）成交人因自身原因放弃中标或因不可抗力不能履行合同的；经质疑，采购代理机构审查确认因成交人在本次采购活动中存在违法违规行为或其他原因使质疑成立的，如发生上述两种情况的，采购人可以与排位在成交人之后第一位的成交候选人签订采购合同，以此类推。</w:t>
      </w:r>
    </w:p>
    <w:p>
      <w:pPr>
        <w:snapToGrid w:val="0"/>
        <w:spacing w:line="360" w:lineRule="auto"/>
        <w:ind w:firstLine="200"/>
        <w:rPr>
          <w:rFonts w:cs="宋体" w:asciiTheme="minorEastAsia" w:hAnsiTheme="minorEastAsia" w:eastAsiaTheme="minorEastAsia"/>
          <w:b/>
          <w:szCs w:val="21"/>
        </w:rPr>
      </w:pPr>
    </w:p>
    <w:p>
      <w:pPr>
        <w:snapToGrid w:val="0"/>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八、合同授予</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（一）签订合同</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1、成交人应自成交通知书发出后30日内与采购人签订合同。同时，采购代理机构对合同内容进行审查，如发现与采购结果或响应承诺内容不一致的，应予以纠正。</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2、成交人拖延、拒签合同的，将被取消成交资格。</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3、成交人和采购人签订合同，按合同约定执行。</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4、中标或者成交供应商拒绝与采购人签订合同的，采购人可以按照评审报告推荐的中标或者成交候选人名单排序，确定下一候选人为中标或者成交供应商，也可以重新开展政府采购活动。</w:t>
      </w:r>
    </w:p>
    <w:p>
      <w:pPr>
        <w:pStyle w:val="13"/>
        <w:snapToGrid w:val="0"/>
        <w:spacing w:line="360" w:lineRule="auto"/>
        <w:ind w:firstLine="420" w:firstLineChars="200"/>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（二）合同公告：采购人应当自政府采购合同签订之日起2个工作日内，将政府采购合同在省级以上人民政府财政部门指定的媒体上公告，但政府采购合同中涉及国家秘密、商业秘密的内容除外。</w:t>
      </w:r>
    </w:p>
    <w:p>
      <w:pPr>
        <w:pStyle w:val="13"/>
        <w:snapToGrid w:val="0"/>
        <w:spacing w:before="120" w:after="120" w:line="360" w:lineRule="auto"/>
        <w:jc w:val="center"/>
        <w:outlineLvl w:val="0"/>
        <w:rPr>
          <w:rFonts w:hAnsi="宋体" w:eastAsia="宋体" w:cs="宋体"/>
          <w:b/>
          <w:sz w:val="28"/>
          <w:szCs w:val="28"/>
        </w:rPr>
      </w:pPr>
      <w:r>
        <w:rPr>
          <w:rFonts w:hint="eastAsia" w:hAnsi="宋体" w:eastAsia="宋体" w:cs="宋体"/>
          <w:b/>
          <w:sz w:val="28"/>
          <w:szCs w:val="28"/>
        </w:rPr>
        <w:br w:type="page"/>
      </w:r>
      <w:r>
        <w:rPr>
          <w:rFonts w:hint="eastAsia" w:hAnsi="宋体" w:eastAsia="宋体" w:cs="宋体"/>
          <w:b/>
          <w:sz w:val="28"/>
          <w:szCs w:val="28"/>
        </w:rPr>
        <w:t>第四章  评标办法及标准</w:t>
      </w:r>
    </w:p>
    <w:p>
      <w:pPr>
        <w:spacing w:line="360" w:lineRule="auto"/>
        <w:ind w:firstLine="420" w:firstLineChars="200"/>
        <w:rPr>
          <w:rFonts w:ascii="宋体" w:hAnsi="宋体" w:cs="宋体"/>
          <w:szCs w:val="21"/>
        </w:rPr>
      </w:pPr>
      <w:r>
        <w:rPr>
          <w:rFonts w:hint="eastAsia" w:ascii="宋体" w:hAnsi="宋体" w:cs="宋体"/>
          <w:szCs w:val="21"/>
        </w:rPr>
        <w:t>为公正、公平、科学地选择成交人，根据《中华人民共和国政府采购法》等有关法律法规的规定，并结合本项目的实际，制定本办法，本办法适用本项目的评标。</w:t>
      </w:r>
    </w:p>
    <w:p>
      <w:pPr>
        <w:autoSpaceDE w:val="0"/>
        <w:autoSpaceDN w:val="0"/>
        <w:adjustRightInd w:val="0"/>
        <w:spacing w:line="360" w:lineRule="auto"/>
        <w:rPr>
          <w:rFonts w:ascii="宋体" w:hAnsi="宋体" w:cs="宋体"/>
          <w:b/>
          <w:szCs w:val="21"/>
        </w:rPr>
      </w:pPr>
      <w:r>
        <w:rPr>
          <w:rFonts w:hint="eastAsia" w:ascii="宋体" w:hAnsi="宋体" w:cs="宋体"/>
          <w:b/>
          <w:szCs w:val="21"/>
        </w:rPr>
        <w:t>一、资格审查</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szCs w:val="21"/>
          <w:lang w:val="zh-CN"/>
        </w:rPr>
        <w:t>1、由</w:t>
      </w:r>
      <w:r>
        <w:rPr>
          <w:rFonts w:hint="eastAsia" w:ascii="宋体" w:hAnsi="宋体" w:cs="宋体"/>
          <w:szCs w:val="21"/>
        </w:rPr>
        <w:t>磋商小组</w:t>
      </w:r>
      <w:r>
        <w:rPr>
          <w:rFonts w:hint="eastAsia" w:ascii="宋体" w:hAnsi="宋体" w:cs="宋体"/>
          <w:szCs w:val="21"/>
          <w:lang w:val="zh-CN"/>
        </w:rPr>
        <w:t>对</w:t>
      </w:r>
      <w:r>
        <w:rPr>
          <w:rFonts w:hint="eastAsia" w:ascii="宋体" w:hAnsi="宋体" w:cs="宋体"/>
          <w:szCs w:val="21"/>
        </w:rPr>
        <w:t>响应</w:t>
      </w:r>
      <w:r>
        <w:rPr>
          <w:rFonts w:hint="eastAsia" w:ascii="宋体" w:hAnsi="宋体" w:cs="宋体"/>
          <w:szCs w:val="21"/>
          <w:lang w:val="zh-CN"/>
        </w:rPr>
        <w:t>人的资格进行审查。</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szCs w:val="21"/>
          <w:lang w:val="zh-CN"/>
        </w:rPr>
        <w:t>2、按以下内容审核</w:t>
      </w:r>
      <w:r>
        <w:rPr>
          <w:rFonts w:hint="eastAsia" w:ascii="宋体" w:hAnsi="宋体" w:cs="宋体"/>
          <w:szCs w:val="21"/>
        </w:rPr>
        <w:t>响应</w:t>
      </w:r>
      <w:r>
        <w:rPr>
          <w:rFonts w:hint="eastAsia" w:ascii="宋体" w:hAnsi="宋体" w:cs="宋体"/>
          <w:szCs w:val="21"/>
          <w:lang w:val="zh-CN"/>
        </w:rPr>
        <w:t>文件是否符合</w:t>
      </w:r>
      <w:r>
        <w:rPr>
          <w:rFonts w:hint="eastAsia" w:ascii="宋体" w:hAnsi="宋体" w:cs="宋体"/>
          <w:szCs w:val="21"/>
        </w:rPr>
        <w:t>磋商</w:t>
      </w:r>
      <w:r>
        <w:rPr>
          <w:rFonts w:hint="eastAsia" w:ascii="宋体" w:hAnsi="宋体" w:cs="宋体"/>
          <w:szCs w:val="21"/>
          <w:lang w:val="zh-CN"/>
        </w:rPr>
        <w:t>文件的资格文件要求。</w:t>
      </w:r>
    </w:p>
    <w:tbl>
      <w:tblPr>
        <w:tblStyle w:val="26"/>
        <w:tblpPr w:leftFromText="180" w:rightFromText="180" w:vertAnchor="text" w:tblpXSpec="center" w:tblpY="1"/>
        <w:tblOverlap w:val="never"/>
        <w:tblW w:w="98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6675"/>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196" w:type="dxa"/>
            <w:vAlign w:val="center"/>
          </w:tcPr>
          <w:p>
            <w:pPr>
              <w:spacing w:line="360" w:lineRule="auto"/>
              <w:jc w:val="center"/>
              <w:rPr>
                <w:rFonts w:ascii="宋体" w:hAnsi="宋体" w:cs="宋体"/>
                <w:b/>
                <w:szCs w:val="21"/>
              </w:rPr>
            </w:pPr>
            <w:r>
              <w:rPr>
                <w:rFonts w:hint="eastAsia" w:ascii="宋体" w:hAnsi="宋体" w:cs="宋体"/>
                <w:b/>
                <w:szCs w:val="21"/>
              </w:rPr>
              <w:t>序号</w:t>
            </w:r>
          </w:p>
        </w:tc>
        <w:tc>
          <w:tcPr>
            <w:tcW w:w="6675" w:type="dxa"/>
            <w:tcBorders>
              <w:tl2br w:val="single" w:color="auto" w:sz="4" w:space="0"/>
            </w:tcBorders>
          </w:tcPr>
          <w:p>
            <w:pPr>
              <w:spacing w:line="360" w:lineRule="auto"/>
              <w:jc w:val="right"/>
              <w:rPr>
                <w:rFonts w:ascii="宋体" w:hAnsi="宋体" w:cs="宋体"/>
                <w:b/>
                <w:szCs w:val="21"/>
              </w:rPr>
            </w:pPr>
            <w:r>
              <w:rPr>
                <w:rFonts w:hint="eastAsia" w:ascii="宋体" w:hAnsi="宋体" w:cs="宋体"/>
                <w:b/>
                <w:szCs w:val="21"/>
              </w:rPr>
              <w:t>响应人</w:t>
            </w:r>
          </w:p>
          <w:p>
            <w:pPr>
              <w:spacing w:line="360" w:lineRule="auto"/>
              <w:rPr>
                <w:rFonts w:ascii="宋体" w:hAnsi="宋体" w:cs="宋体"/>
                <w:b/>
                <w:szCs w:val="21"/>
              </w:rPr>
            </w:pPr>
            <w:r>
              <w:rPr>
                <w:rFonts w:hint="eastAsia" w:ascii="宋体" w:hAnsi="宋体" w:cs="宋体"/>
                <w:b/>
                <w:szCs w:val="21"/>
              </w:rPr>
              <w:t>内容</w:t>
            </w:r>
          </w:p>
        </w:tc>
        <w:tc>
          <w:tcPr>
            <w:tcW w:w="2004" w:type="dxa"/>
            <w:vAlign w:val="center"/>
          </w:tcPr>
          <w:p>
            <w:pPr>
              <w:spacing w:line="360" w:lineRule="auto"/>
              <w:jc w:val="center"/>
              <w:rPr>
                <w:rFonts w:ascii="宋体" w:hAnsi="宋体" w:cs="宋体"/>
                <w:b/>
                <w:szCs w:val="21"/>
              </w:rPr>
            </w:pPr>
            <w:r>
              <w:rPr>
                <w:rFonts w:hint="eastAsia" w:ascii="宋体" w:hAnsi="宋体" w:cs="宋体"/>
                <w:b/>
                <w:szCs w:val="21"/>
              </w:rPr>
              <w:t>审核标准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1196" w:type="dxa"/>
            <w:vAlign w:val="center"/>
          </w:tcPr>
          <w:p>
            <w:pPr>
              <w:spacing w:line="360" w:lineRule="auto"/>
              <w:jc w:val="center"/>
              <w:rPr>
                <w:rFonts w:ascii="宋体" w:hAnsi="宋体" w:cs="宋体"/>
                <w:szCs w:val="21"/>
              </w:rPr>
            </w:pPr>
            <w:r>
              <w:rPr>
                <w:rFonts w:hint="eastAsia" w:ascii="宋体" w:hAnsi="宋体" w:cs="宋体"/>
                <w:szCs w:val="21"/>
              </w:rPr>
              <w:t>1</w:t>
            </w:r>
          </w:p>
        </w:tc>
        <w:tc>
          <w:tcPr>
            <w:tcW w:w="6675" w:type="dxa"/>
            <w:vAlign w:val="center"/>
          </w:tcPr>
          <w:p>
            <w:pPr>
              <w:spacing w:line="360" w:lineRule="auto"/>
              <w:rPr>
                <w:rFonts w:ascii="宋体" w:hAnsi="宋体" w:cs="宋体"/>
                <w:szCs w:val="21"/>
              </w:rPr>
            </w:pPr>
            <w:r>
              <w:rPr>
                <w:rFonts w:hint="eastAsia" w:ascii="宋体" w:hAnsi="宋体" w:cs="宋体"/>
                <w:szCs w:val="21"/>
              </w:rPr>
              <w:t>具有独立承担民事责任的能力的证明材料</w:t>
            </w:r>
          </w:p>
        </w:tc>
        <w:tc>
          <w:tcPr>
            <w:tcW w:w="2004"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1196" w:type="dxa"/>
            <w:vAlign w:val="center"/>
          </w:tcPr>
          <w:p>
            <w:pPr>
              <w:spacing w:line="360" w:lineRule="auto"/>
              <w:jc w:val="center"/>
              <w:rPr>
                <w:rFonts w:ascii="宋体" w:hAnsi="宋体" w:cs="宋体"/>
                <w:szCs w:val="21"/>
              </w:rPr>
            </w:pPr>
            <w:r>
              <w:rPr>
                <w:rFonts w:hint="eastAsia" w:ascii="宋体" w:hAnsi="宋体" w:cs="宋体"/>
                <w:szCs w:val="21"/>
              </w:rPr>
              <w:t>2</w:t>
            </w:r>
          </w:p>
        </w:tc>
        <w:tc>
          <w:tcPr>
            <w:tcW w:w="6675" w:type="dxa"/>
            <w:vAlign w:val="center"/>
          </w:tcPr>
          <w:p>
            <w:pPr>
              <w:spacing w:line="360" w:lineRule="auto"/>
              <w:rPr>
                <w:rFonts w:ascii="宋体" w:hAnsi="宋体" w:cs="宋体"/>
                <w:szCs w:val="21"/>
              </w:rPr>
            </w:pPr>
            <w:r>
              <w:rPr>
                <w:rFonts w:hint="eastAsia" w:ascii="宋体" w:hAnsi="宋体" w:cs="宋体"/>
                <w:szCs w:val="21"/>
              </w:rPr>
              <w:t>响应人法定代表人身份证复印件</w:t>
            </w:r>
          </w:p>
        </w:tc>
        <w:tc>
          <w:tcPr>
            <w:tcW w:w="2004"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96" w:type="dxa"/>
            <w:vAlign w:val="center"/>
          </w:tcPr>
          <w:p>
            <w:pPr>
              <w:spacing w:line="360" w:lineRule="auto"/>
              <w:jc w:val="center"/>
              <w:rPr>
                <w:rFonts w:ascii="宋体" w:hAnsi="宋体" w:cs="宋体"/>
                <w:szCs w:val="21"/>
              </w:rPr>
            </w:pPr>
            <w:r>
              <w:rPr>
                <w:rFonts w:hint="eastAsia" w:ascii="宋体" w:hAnsi="宋体" w:cs="宋体"/>
                <w:szCs w:val="21"/>
              </w:rPr>
              <w:t>3</w:t>
            </w:r>
          </w:p>
        </w:tc>
        <w:tc>
          <w:tcPr>
            <w:tcW w:w="6675" w:type="dxa"/>
            <w:vAlign w:val="center"/>
          </w:tcPr>
          <w:p>
            <w:pPr>
              <w:spacing w:line="360" w:lineRule="auto"/>
              <w:rPr>
                <w:rFonts w:ascii="宋体" w:hAnsi="宋体" w:cs="宋体"/>
                <w:szCs w:val="21"/>
              </w:rPr>
            </w:pPr>
            <w:r>
              <w:rPr>
                <w:rFonts w:hint="eastAsia" w:hAnsi="宋体" w:cs="宋体"/>
                <w:szCs w:val="21"/>
              </w:rPr>
              <w:t>响应函</w:t>
            </w:r>
          </w:p>
        </w:tc>
        <w:tc>
          <w:tcPr>
            <w:tcW w:w="2004"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196" w:type="dxa"/>
            <w:vAlign w:val="center"/>
          </w:tcPr>
          <w:p>
            <w:pPr>
              <w:spacing w:line="360" w:lineRule="auto"/>
              <w:jc w:val="center"/>
              <w:rPr>
                <w:rFonts w:ascii="宋体" w:hAnsi="宋体" w:cs="宋体"/>
                <w:szCs w:val="21"/>
              </w:rPr>
            </w:pPr>
            <w:r>
              <w:rPr>
                <w:rFonts w:hint="eastAsia" w:ascii="宋体" w:hAnsi="宋体" w:cs="宋体"/>
                <w:szCs w:val="21"/>
              </w:rPr>
              <w:t>4</w:t>
            </w:r>
          </w:p>
        </w:tc>
        <w:tc>
          <w:tcPr>
            <w:tcW w:w="6675" w:type="dxa"/>
            <w:vAlign w:val="center"/>
          </w:tcPr>
          <w:p>
            <w:pPr>
              <w:spacing w:line="360" w:lineRule="auto"/>
              <w:rPr>
                <w:rFonts w:ascii="宋体" w:hAnsi="宋体" w:cs="宋体"/>
                <w:szCs w:val="21"/>
              </w:rPr>
            </w:pPr>
            <w:r>
              <w:rPr>
                <w:rFonts w:hint="eastAsia" w:ascii="宋体" w:hAnsi="宋体" w:cs="宋体"/>
                <w:szCs w:val="21"/>
              </w:rPr>
              <w:t>法定代表人授权函，非法定代表人参加磋商时提供</w:t>
            </w:r>
          </w:p>
        </w:tc>
        <w:tc>
          <w:tcPr>
            <w:tcW w:w="2004"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196" w:type="dxa"/>
            <w:vAlign w:val="center"/>
          </w:tcPr>
          <w:p>
            <w:pPr>
              <w:spacing w:line="360" w:lineRule="auto"/>
              <w:jc w:val="center"/>
              <w:rPr>
                <w:rFonts w:ascii="宋体" w:hAnsi="宋体" w:cs="宋体"/>
                <w:szCs w:val="21"/>
              </w:rPr>
            </w:pPr>
            <w:r>
              <w:rPr>
                <w:rFonts w:hint="eastAsia" w:ascii="宋体" w:hAnsi="宋体" w:cs="宋体"/>
                <w:szCs w:val="21"/>
              </w:rPr>
              <w:t>5</w:t>
            </w:r>
          </w:p>
        </w:tc>
        <w:tc>
          <w:tcPr>
            <w:tcW w:w="6675" w:type="dxa"/>
            <w:vAlign w:val="center"/>
          </w:tcPr>
          <w:p>
            <w:pPr>
              <w:spacing w:line="360" w:lineRule="auto"/>
              <w:rPr>
                <w:rFonts w:ascii="宋体" w:hAnsi="宋体" w:cs="宋体"/>
                <w:szCs w:val="21"/>
              </w:rPr>
            </w:pPr>
            <w:r>
              <w:rPr>
                <w:rFonts w:hint="eastAsia" w:ascii="宋体" w:hAnsi="宋体" w:cs="宋体"/>
                <w:szCs w:val="21"/>
              </w:rPr>
              <w:t>授权代表身份证复印件，非法定代表人参加磋商时提供</w:t>
            </w:r>
          </w:p>
        </w:tc>
        <w:tc>
          <w:tcPr>
            <w:tcW w:w="2004" w:type="dxa"/>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trPr>
        <w:tc>
          <w:tcPr>
            <w:tcW w:w="7871" w:type="dxa"/>
            <w:gridSpan w:val="2"/>
          </w:tcPr>
          <w:p>
            <w:pPr>
              <w:pStyle w:val="14"/>
              <w:spacing w:line="360" w:lineRule="auto"/>
              <w:ind w:left="0" w:firstLine="0" w:firstLineChars="0"/>
              <w:jc w:val="center"/>
              <w:rPr>
                <w:rFonts w:ascii="宋体" w:hAnsi="宋体" w:cs="宋体"/>
                <w:b/>
                <w:sz w:val="21"/>
                <w:szCs w:val="21"/>
              </w:rPr>
            </w:pPr>
            <w:r>
              <w:rPr>
                <w:rFonts w:hint="eastAsia" w:ascii="宋体" w:hAnsi="宋体" w:cs="宋体"/>
                <w:b/>
                <w:sz w:val="21"/>
                <w:szCs w:val="21"/>
              </w:rPr>
              <w:t>结   论</w:t>
            </w:r>
          </w:p>
        </w:tc>
        <w:tc>
          <w:tcPr>
            <w:tcW w:w="2004" w:type="dxa"/>
            <w:vAlign w:val="center"/>
          </w:tcPr>
          <w:p>
            <w:pPr>
              <w:spacing w:line="360" w:lineRule="auto"/>
              <w:jc w:val="center"/>
              <w:rPr>
                <w:rFonts w:ascii="宋体" w:hAnsi="宋体" w:cs="宋体"/>
                <w:b/>
                <w:szCs w:val="21"/>
              </w:rPr>
            </w:pPr>
          </w:p>
        </w:tc>
      </w:tr>
    </w:tbl>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lang w:val="zh-CN"/>
        </w:rPr>
        <w:t>注：1、表中只需填写“√”或“×”；</w:t>
      </w:r>
      <w:r>
        <w:rPr>
          <w:rFonts w:hint="eastAsia" w:ascii="宋体" w:hAnsi="宋体" w:cs="宋体"/>
          <w:szCs w:val="21"/>
        </w:rPr>
        <w:t xml:space="preserve"> </w:t>
      </w:r>
      <w:r>
        <w:rPr>
          <w:rFonts w:hint="eastAsia" w:ascii="宋体" w:hAnsi="宋体" w:cs="宋体"/>
          <w:szCs w:val="21"/>
          <w:lang w:val="zh-CN"/>
        </w:rPr>
        <w:t>2、在结论栏中填写“合格”或“不合格”。</w:t>
      </w:r>
    </w:p>
    <w:p>
      <w:pPr>
        <w:autoSpaceDE w:val="0"/>
        <w:autoSpaceDN w:val="0"/>
        <w:adjustRightInd w:val="0"/>
        <w:spacing w:line="360" w:lineRule="auto"/>
        <w:rPr>
          <w:rFonts w:ascii="宋体" w:hAnsi="宋体" w:cs="宋体"/>
          <w:b/>
          <w:szCs w:val="21"/>
        </w:rPr>
      </w:pPr>
      <w:r>
        <w:rPr>
          <w:rFonts w:hint="eastAsia" w:ascii="宋体" w:hAnsi="宋体" w:cs="宋体"/>
          <w:b/>
          <w:szCs w:val="21"/>
        </w:rPr>
        <w:t>二、</w:t>
      </w:r>
      <w:r>
        <w:rPr>
          <w:rFonts w:ascii="宋体" w:hAnsi="宋体" w:cs="宋体"/>
          <w:b/>
          <w:szCs w:val="21"/>
        </w:rPr>
        <w:t>成交</w:t>
      </w:r>
      <w:r>
        <w:rPr>
          <w:rFonts w:hint="eastAsia" w:ascii="宋体" w:hAnsi="宋体" w:cs="宋体"/>
          <w:b/>
          <w:szCs w:val="21"/>
        </w:rPr>
        <w:t>候选人的选取</w:t>
      </w:r>
    </w:p>
    <w:p>
      <w:pPr>
        <w:spacing w:line="360" w:lineRule="auto"/>
        <w:ind w:firstLine="420" w:firstLineChars="200"/>
        <w:rPr>
          <w:rFonts w:ascii="宋体" w:hAnsi="宋体" w:cs="宋体"/>
          <w:b/>
          <w:szCs w:val="21"/>
          <w:lang w:val="zh-CN"/>
        </w:rPr>
      </w:pPr>
      <w:r>
        <w:rPr>
          <w:rFonts w:hint="eastAsia" w:ascii="宋体" w:hAnsi="宋体" w:cs="宋体"/>
          <w:szCs w:val="21"/>
        </w:rPr>
        <w:t>将综合评估分从高到低排序，得出响应人名次,按照综合评估分名次推荐成交候选人3名。综合评估分相同时，按磋商报价由低到高顺序排列，综合评估分且磋商报价相同的，抽签决定排序（弃权视为自动放弃中标资格）。</w:t>
      </w:r>
    </w:p>
    <w:p>
      <w:pPr>
        <w:spacing w:line="360" w:lineRule="auto"/>
        <w:rPr>
          <w:rFonts w:ascii="宋体" w:hAnsi="宋体" w:cs="宋体"/>
          <w:b/>
          <w:szCs w:val="21"/>
        </w:rPr>
      </w:pPr>
      <w:r>
        <w:rPr>
          <w:rFonts w:hint="eastAsia" w:ascii="宋体" w:hAnsi="宋体" w:cs="宋体"/>
          <w:b/>
          <w:szCs w:val="21"/>
        </w:rPr>
        <w:t>三、成交人选取依据</w:t>
      </w:r>
    </w:p>
    <w:p>
      <w:pPr>
        <w:spacing w:line="360" w:lineRule="auto"/>
        <w:ind w:firstLine="420" w:firstLineChars="200"/>
        <w:rPr>
          <w:rFonts w:ascii="宋体" w:hAnsi="宋体" w:cs="宋体"/>
          <w:szCs w:val="21"/>
        </w:rPr>
      </w:pPr>
      <w:r>
        <w:rPr>
          <w:rFonts w:hint="eastAsia" w:ascii="宋体" w:hAnsi="宋体" w:cs="宋体"/>
          <w:szCs w:val="21"/>
        </w:rPr>
        <w:t xml:space="preserve">磋商小组根据综合评估分得分排序，推荐第一名成交候选人为成交人，经采购人确认后，确定项目成交人，同时发布采购结果公告，发出成交通知书。 </w:t>
      </w:r>
    </w:p>
    <w:p>
      <w:pPr>
        <w:spacing w:line="360" w:lineRule="auto"/>
        <w:rPr>
          <w:rFonts w:ascii="宋体" w:hAnsi="宋体" w:cs="宋体"/>
          <w:b/>
          <w:szCs w:val="21"/>
        </w:rPr>
      </w:pPr>
      <w:r>
        <w:rPr>
          <w:rFonts w:hint="eastAsia" w:ascii="宋体" w:hAnsi="宋体" w:cs="宋体"/>
          <w:b/>
          <w:szCs w:val="21"/>
        </w:rPr>
        <w:t>四、综合评估分计分方法</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szCs w:val="21"/>
          <w:lang w:val="zh-CN"/>
        </w:rPr>
        <w:t>满足</w:t>
      </w:r>
      <w:r>
        <w:rPr>
          <w:rFonts w:hint="eastAsia" w:ascii="宋体" w:hAnsi="宋体" w:cs="宋体"/>
          <w:szCs w:val="21"/>
        </w:rPr>
        <w:t>磋商</w:t>
      </w:r>
      <w:r>
        <w:rPr>
          <w:rFonts w:hint="eastAsia" w:ascii="宋体" w:hAnsi="宋体" w:cs="宋体"/>
          <w:szCs w:val="21"/>
          <w:lang w:val="zh-CN"/>
        </w:rPr>
        <w:t>文件要求且</w:t>
      </w:r>
      <w:r>
        <w:rPr>
          <w:rFonts w:hint="eastAsia" w:ascii="宋体" w:hAnsi="宋体" w:cs="宋体"/>
          <w:szCs w:val="21"/>
        </w:rPr>
        <w:t>最后报价最低的供应商的价格为磋商基准价</w:t>
      </w:r>
      <w:r>
        <w:rPr>
          <w:rFonts w:hint="eastAsia" w:ascii="宋体" w:hAnsi="宋体" w:cs="宋体"/>
          <w:szCs w:val="21"/>
          <w:lang w:val="zh-CN"/>
        </w:rPr>
        <w:t>，其价格分为满分。其他</w:t>
      </w:r>
      <w:r>
        <w:rPr>
          <w:rFonts w:hint="eastAsia" w:ascii="宋体" w:hAnsi="宋体" w:cs="宋体"/>
          <w:szCs w:val="21"/>
        </w:rPr>
        <w:t>供应商</w:t>
      </w:r>
      <w:r>
        <w:rPr>
          <w:rFonts w:hint="eastAsia" w:ascii="宋体" w:hAnsi="宋体" w:cs="宋体"/>
          <w:szCs w:val="21"/>
          <w:lang w:val="zh-CN"/>
        </w:rPr>
        <w:t>的价格分</w:t>
      </w:r>
      <w:r>
        <w:rPr>
          <w:rFonts w:hint="eastAsia" w:ascii="宋体" w:hAnsi="宋体" w:cs="宋体"/>
          <w:szCs w:val="21"/>
        </w:rPr>
        <w:t>统一按照下</w:t>
      </w:r>
      <w:r>
        <w:rPr>
          <w:rFonts w:hint="eastAsia" w:ascii="宋体" w:hAnsi="宋体" w:cs="宋体"/>
          <w:szCs w:val="21"/>
          <w:lang w:val="zh-CN"/>
        </w:rPr>
        <w:t>列公式计算：</w:t>
      </w:r>
      <w:r>
        <w:rPr>
          <w:rFonts w:hint="eastAsia" w:ascii="宋体" w:hAnsi="宋体" w:cs="宋体"/>
          <w:szCs w:val="21"/>
        </w:rPr>
        <w:t>磋商</w:t>
      </w:r>
      <w:r>
        <w:rPr>
          <w:rFonts w:hint="eastAsia" w:ascii="宋体" w:hAnsi="宋体" w:cs="宋体"/>
          <w:szCs w:val="21"/>
          <w:lang w:val="zh-CN"/>
        </w:rPr>
        <w:t>报价得分＝（</w:t>
      </w:r>
      <w:r>
        <w:rPr>
          <w:rFonts w:hint="eastAsia" w:ascii="宋体" w:hAnsi="宋体" w:cs="宋体"/>
          <w:szCs w:val="21"/>
        </w:rPr>
        <w:t>磋商</w:t>
      </w:r>
      <w:r>
        <w:rPr>
          <w:rFonts w:hint="eastAsia" w:ascii="宋体" w:hAnsi="宋体" w:cs="宋体"/>
          <w:szCs w:val="21"/>
          <w:lang w:val="zh-CN"/>
        </w:rPr>
        <w:t>基准价/</w:t>
      </w:r>
      <w:r>
        <w:rPr>
          <w:rFonts w:hint="eastAsia" w:ascii="宋体" w:hAnsi="宋体" w:cs="宋体"/>
          <w:szCs w:val="21"/>
        </w:rPr>
        <w:t>最后磋商</w:t>
      </w:r>
      <w:r>
        <w:rPr>
          <w:rFonts w:hint="eastAsia" w:ascii="宋体" w:hAnsi="宋体" w:cs="宋体"/>
          <w:szCs w:val="21"/>
          <w:lang w:val="zh-CN"/>
        </w:rPr>
        <w:t>报价）×价格权重×100。</w:t>
      </w:r>
    </w:p>
    <w:p>
      <w:pPr>
        <w:autoSpaceDE w:val="0"/>
        <w:autoSpaceDN w:val="0"/>
        <w:adjustRightInd w:val="0"/>
        <w:spacing w:line="360" w:lineRule="auto"/>
        <w:ind w:firstLine="420" w:firstLineChars="200"/>
        <w:rPr>
          <w:rFonts w:ascii="宋体" w:hAnsi="宋体"/>
          <w:szCs w:val="21"/>
          <w:lang w:val="zh-CN"/>
        </w:rPr>
      </w:pPr>
      <w:r>
        <w:rPr>
          <w:rFonts w:hint="eastAsia" w:ascii="宋体" w:hAnsi="宋体"/>
          <w:szCs w:val="21"/>
          <w:lang w:val="zh-CN"/>
        </w:rPr>
        <w:t>根据《政府采购促进中小企业发展管理办法》（财库[2020]46号）规定：本项目对符合本办法规定的小微企业报价给予10%的扣除，用扣除后的价格参加评审。</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根据相关法律法规：磋商小组认为响应人的报价明显低于其他通过符合性审查响应人的报价，有可能影响产品质量或者不能诚信履约的，应当要求其在评标现场合理的时间内提供书面说明，必要时提交相关证明材料；响应人不能证明其报价合理性的，磋商小组应当将其作为无效投标处理。</w:t>
      </w:r>
    </w:p>
    <w:p>
      <w:pPr>
        <w:autoSpaceDE w:val="0"/>
        <w:autoSpaceDN w:val="0"/>
        <w:adjustRightInd w:val="0"/>
        <w:spacing w:line="360" w:lineRule="auto"/>
        <w:ind w:firstLine="420" w:firstLineChars="200"/>
        <w:rPr>
          <w:rFonts w:ascii="宋体" w:hAnsi="宋体" w:cs="宋体"/>
          <w:szCs w:val="21"/>
          <w:lang w:val="zh-CN"/>
        </w:rPr>
      </w:pPr>
      <w:r>
        <w:rPr>
          <w:rFonts w:ascii="宋体" w:hAnsi="宋体"/>
          <w:szCs w:val="21"/>
        </w:rPr>
        <w:t>在评分时，</w:t>
      </w:r>
      <w:r>
        <w:rPr>
          <w:rFonts w:hint="eastAsia" w:ascii="宋体" w:hAnsi="宋体"/>
          <w:szCs w:val="21"/>
        </w:rPr>
        <w:t>评审专家打分准确到小数点后一位。商务技术部分得分为所有评委评分的算术平均值，得分保留小数点后二位，第三位四舍五入。</w:t>
      </w:r>
      <w:r>
        <w:rPr>
          <w:rFonts w:ascii="宋体" w:hAnsi="宋体"/>
          <w:szCs w:val="21"/>
        </w:rPr>
        <w:t>各响应人磋商报价得分保留小数点后二位，第三位四舍五入。</w:t>
      </w:r>
      <w:r>
        <w:rPr>
          <w:rFonts w:hint="eastAsia" w:ascii="宋体" w:hAnsi="宋体"/>
          <w:szCs w:val="21"/>
        </w:rPr>
        <w:t>综合评估分=商务技术部分得分＋磋商报价得分。</w:t>
      </w:r>
    </w:p>
    <w:p>
      <w:pPr>
        <w:autoSpaceDE w:val="0"/>
        <w:autoSpaceDN w:val="0"/>
        <w:adjustRightInd w:val="0"/>
        <w:spacing w:line="360" w:lineRule="auto"/>
        <w:rPr>
          <w:rFonts w:ascii="宋体" w:hAnsi="宋体" w:cs="宋体"/>
          <w:b/>
          <w:szCs w:val="21"/>
          <w:lang w:val="zh-CN"/>
        </w:rPr>
      </w:pPr>
      <w:r>
        <w:rPr>
          <w:rFonts w:hint="eastAsia" w:ascii="宋体" w:hAnsi="宋体" w:cs="宋体"/>
          <w:b/>
          <w:szCs w:val="21"/>
        </w:rPr>
        <w:t>五、</w:t>
      </w:r>
      <w:r>
        <w:rPr>
          <w:rFonts w:hint="eastAsia" w:ascii="宋体" w:hAnsi="宋体" w:cs="宋体"/>
          <w:b/>
          <w:szCs w:val="21"/>
          <w:lang w:val="zh-CN"/>
        </w:rPr>
        <w:t>评分表</w:t>
      </w:r>
    </w:p>
    <w:tbl>
      <w:tblPr>
        <w:tblStyle w:val="2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63"/>
        <w:gridCol w:w="2463"/>
        <w:gridCol w:w="2463"/>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0" w:type="pct"/>
            <w:vAlign w:val="center"/>
          </w:tcPr>
          <w:p>
            <w:pPr>
              <w:spacing w:line="360" w:lineRule="auto"/>
              <w:jc w:val="center"/>
              <w:rPr>
                <w:rFonts w:ascii="宋体" w:hAnsi="宋体" w:cs="宋体"/>
                <w:szCs w:val="21"/>
              </w:rPr>
            </w:pPr>
            <w:r>
              <w:rPr>
                <w:rFonts w:hint="eastAsia" w:ascii="宋体" w:hAnsi="宋体" w:cs="宋体"/>
                <w:szCs w:val="21"/>
              </w:rPr>
              <w:t>评标指标</w:t>
            </w:r>
          </w:p>
        </w:tc>
        <w:tc>
          <w:tcPr>
            <w:tcW w:w="1250" w:type="pct"/>
            <w:vAlign w:val="center"/>
          </w:tcPr>
          <w:p>
            <w:pPr>
              <w:spacing w:line="360" w:lineRule="auto"/>
              <w:jc w:val="center"/>
              <w:rPr>
                <w:rFonts w:ascii="宋体" w:hAnsi="宋体" w:cs="宋体"/>
                <w:szCs w:val="21"/>
              </w:rPr>
            </w:pPr>
            <w:r>
              <w:rPr>
                <w:rFonts w:hint="eastAsia" w:ascii="宋体" w:hAnsi="宋体" w:cs="宋体"/>
                <w:szCs w:val="21"/>
              </w:rPr>
              <w:t>磋商报价</w:t>
            </w:r>
          </w:p>
        </w:tc>
        <w:tc>
          <w:tcPr>
            <w:tcW w:w="1250" w:type="pct"/>
            <w:vAlign w:val="center"/>
          </w:tcPr>
          <w:p>
            <w:pPr>
              <w:spacing w:line="360" w:lineRule="auto"/>
              <w:jc w:val="center"/>
              <w:rPr>
                <w:rFonts w:ascii="宋体" w:hAnsi="宋体" w:cs="宋体"/>
                <w:szCs w:val="21"/>
              </w:rPr>
            </w:pPr>
            <w:r>
              <w:rPr>
                <w:rFonts w:hint="eastAsia" w:ascii="宋体" w:hAnsi="宋体" w:cs="宋体"/>
                <w:szCs w:val="21"/>
              </w:rPr>
              <w:t>商务技术部分</w:t>
            </w:r>
          </w:p>
        </w:tc>
        <w:tc>
          <w:tcPr>
            <w:tcW w:w="1250" w:type="pct"/>
            <w:vAlign w:val="center"/>
          </w:tcPr>
          <w:p>
            <w:pPr>
              <w:spacing w:line="360" w:lineRule="auto"/>
              <w:jc w:val="center"/>
              <w:rPr>
                <w:rFonts w:ascii="宋体" w:hAnsi="宋体" w:cs="宋体"/>
                <w:szCs w:val="21"/>
              </w:rPr>
            </w:pPr>
            <w:r>
              <w:rPr>
                <w:rFonts w:hint="eastAsia" w:ascii="宋体" w:hAnsi="宋体" w:cs="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50" w:type="pct"/>
            <w:vAlign w:val="center"/>
          </w:tcPr>
          <w:p>
            <w:pPr>
              <w:spacing w:line="360" w:lineRule="auto"/>
              <w:jc w:val="center"/>
              <w:rPr>
                <w:rFonts w:ascii="宋体" w:hAnsi="宋体" w:cs="宋体"/>
                <w:szCs w:val="21"/>
              </w:rPr>
            </w:pPr>
            <w:r>
              <w:rPr>
                <w:rFonts w:hint="eastAsia" w:ascii="宋体" w:hAnsi="宋体" w:cs="宋体"/>
                <w:szCs w:val="21"/>
              </w:rPr>
              <w:t>权重（%）</w:t>
            </w:r>
          </w:p>
        </w:tc>
        <w:tc>
          <w:tcPr>
            <w:tcW w:w="1250" w:type="pct"/>
            <w:vAlign w:val="center"/>
          </w:tcPr>
          <w:p>
            <w:pPr>
              <w:spacing w:line="360" w:lineRule="auto"/>
              <w:jc w:val="center"/>
              <w:rPr>
                <w:rFonts w:ascii="宋体" w:hAnsi="宋体" w:cs="宋体"/>
                <w:szCs w:val="21"/>
              </w:rPr>
            </w:pPr>
            <w:r>
              <w:rPr>
                <w:rFonts w:hint="eastAsia" w:ascii="宋体" w:hAnsi="宋体" w:cs="宋体"/>
                <w:szCs w:val="21"/>
              </w:rPr>
              <w:t>10</w:t>
            </w:r>
          </w:p>
        </w:tc>
        <w:tc>
          <w:tcPr>
            <w:tcW w:w="1250" w:type="pct"/>
            <w:vAlign w:val="center"/>
          </w:tcPr>
          <w:p>
            <w:pPr>
              <w:spacing w:line="360" w:lineRule="auto"/>
              <w:jc w:val="center"/>
              <w:rPr>
                <w:rFonts w:ascii="宋体" w:hAnsi="宋体" w:cs="宋体"/>
                <w:szCs w:val="21"/>
              </w:rPr>
            </w:pPr>
            <w:r>
              <w:rPr>
                <w:rFonts w:hint="eastAsia" w:ascii="宋体" w:hAnsi="宋体" w:cs="宋体"/>
                <w:szCs w:val="21"/>
              </w:rPr>
              <w:t>90</w:t>
            </w:r>
          </w:p>
        </w:tc>
        <w:tc>
          <w:tcPr>
            <w:tcW w:w="1250" w:type="pct"/>
            <w:vAlign w:val="center"/>
          </w:tcPr>
          <w:p>
            <w:pPr>
              <w:spacing w:line="360" w:lineRule="auto"/>
              <w:jc w:val="center"/>
              <w:rPr>
                <w:rFonts w:ascii="宋体" w:hAnsi="宋体" w:cs="宋体"/>
                <w:szCs w:val="21"/>
              </w:rPr>
            </w:pPr>
            <w:r>
              <w:rPr>
                <w:rFonts w:hint="eastAsia" w:ascii="宋体" w:hAnsi="宋体" w:cs="宋体"/>
                <w:szCs w:val="21"/>
              </w:rPr>
              <w:t>100</w:t>
            </w:r>
          </w:p>
        </w:tc>
      </w:tr>
    </w:tbl>
    <w:p>
      <w:pPr>
        <w:rPr>
          <w:rFonts w:ascii="宋体"/>
          <w:b/>
          <w:bCs/>
        </w:rPr>
      </w:pPr>
    </w:p>
    <w:p>
      <w:pPr>
        <w:jc w:val="center"/>
        <w:rPr>
          <w:rFonts w:ascii="宋体" w:hAnsi="宋体" w:cs="宋体"/>
          <w:b/>
          <w:bCs/>
          <w:sz w:val="28"/>
          <w:szCs w:val="28"/>
        </w:rPr>
      </w:pPr>
      <w:r>
        <w:rPr>
          <w:rFonts w:hint="eastAsia" w:ascii="宋体"/>
          <w:b/>
          <w:bCs/>
        </w:rPr>
        <w:t>嵊泗县海洋经济发展局（嵊泗县海洋与渔业局）卫星语音通讯服务项目（重新采购）商务技术评分表</w:t>
      </w:r>
    </w:p>
    <w:p/>
    <w:tbl>
      <w:tblPr>
        <w:tblStyle w:val="26"/>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425"/>
        <w:gridCol w:w="717"/>
        <w:gridCol w:w="715"/>
        <w:gridCol w:w="7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tblHeader/>
          <w:jc w:val="center"/>
        </w:trPr>
        <w:tc>
          <w:tcPr>
            <w:tcW w:w="1425"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评审内容</w:t>
            </w:r>
          </w:p>
        </w:tc>
        <w:tc>
          <w:tcPr>
            <w:tcW w:w="717"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类别</w:t>
            </w:r>
          </w:p>
        </w:tc>
        <w:tc>
          <w:tcPr>
            <w:tcW w:w="715"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分值</w:t>
            </w:r>
          </w:p>
        </w:tc>
        <w:tc>
          <w:tcPr>
            <w:tcW w:w="7043"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相关认证</w:t>
            </w:r>
          </w:p>
        </w:tc>
        <w:tc>
          <w:tcPr>
            <w:tcW w:w="717"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客观</w:t>
            </w:r>
          </w:p>
        </w:tc>
        <w:tc>
          <w:tcPr>
            <w:tcW w:w="715" w:type="dxa"/>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4</w:t>
            </w:r>
          </w:p>
        </w:tc>
        <w:tc>
          <w:tcPr>
            <w:tcW w:w="7043" w:type="dxa"/>
            <w:vAlign w:val="center"/>
          </w:tcPr>
          <w:p>
            <w:pPr>
              <w:textAlignment w:val="center"/>
              <w:rPr>
                <w:rFonts w:cs="宋体" w:asciiTheme="minorEastAsia" w:hAnsiTheme="minorEastAsia" w:eastAsiaTheme="minorEastAsia"/>
                <w:bCs/>
                <w:kern w:val="0"/>
                <w:szCs w:val="21"/>
              </w:rPr>
            </w:pPr>
            <w:r>
              <w:rPr>
                <w:rFonts w:cs="宋体" w:asciiTheme="minorEastAsia" w:hAnsiTheme="minorEastAsia" w:eastAsiaTheme="minorEastAsia"/>
                <w:bCs/>
                <w:kern w:val="0"/>
                <w:szCs w:val="21"/>
              </w:rPr>
              <w:t>1</w:t>
            </w:r>
            <w:r>
              <w:rPr>
                <w:rFonts w:hint="eastAsia" w:cs="宋体" w:asciiTheme="minorEastAsia" w:hAnsiTheme="minorEastAsia" w:eastAsiaTheme="minorEastAsia"/>
                <w:bCs/>
                <w:kern w:val="0"/>
                <w:szCs w:val="21"/>
              </w:rPr>
              <w:t>、响应人具有ISO9001质量管理体系认证的，得</w:t>
            </w:r>
            <w:r>
              <w:rPr>
                <w:rFonts w:cs="宋体" w:asciiTheme="minorEastAsia" w:hAnsiTheme="minorEastAsia" w:eastAsiaTheme="minorEastAsia"/>
                <w:bCs/>
                <w:kern w:val="0"/>
                <w:szCs w:val="21"/>
              </w:rPr>
              <w:t>2</w:t>
            </w:r>
            <w:r>
              <w:rPr>
                <w:rFonts w:hint="eastAsia" w:cs="宋体" w:asciiTheme="minorEastAsia" w:hAnsiTheme="minorEastAsia" w:eastAsiaTheme="minorEastAsia"/>
                <w:bCs/>
                <w:kern w:val="0"/>
                <w:szCs w:val="21"/>
              </w:rPr>
              <w:t>分；</w:t>
            </w:r>
          </w:p>
          <w:p>
            <w:pPr>
              <w:textAlignment w:val="center"/>
              <w:rPr>
                <w:rFonts w:cs="宋体" w:asciiTheme="minorEastAsia" w:hAnsiTheme="minorEastAsia" w:eastAsiaTheme="minorEastAsia"/>
                <w:bCs/>
                <w:kern w:val="0"/>
                <w:szCs w:val="21"/>
              </w:rPr>
            </w:pPr>
            <w:r>
              <w:rPr>
                <w:rFonts w:cs="宋体" w:asciiTheme="minorEastAsia" w:hAnsiTheme="minorEastAsia" w:eastAsiaTheme="minorEastAsia"/>
                <w:bCs/>
                <w:kern w:val="0"/>
                <w:szCs w:val="21"/>
              </w:rPr>
              <w:t>2</w:t>
            </w:r>
            <w:r>
              <w:rPr>
                <w:rFonts w:hint="eastAsia" w:cs="宋体" w:asciiTheme="minorEastAsia" w:hAnsiTheme="minorEastAsia" w:eastAsiaTheme="minorEastAsia"/>
                <w:bCs/>
                <w:kern w:val="0"/>
                <w:szCs w:val="21"/>
              </w:rPr>
              <w:t>、响应人具有ISO14001环境管理体系认证的，得</w:t>
            </w:r>
            <w:r>
              <w:rPr>
                <w:rFonts w:cs="宋体" w:asciiTheme="minorEastAsia" w:hAnsiTheme="minorEastAsia" w:eastAsiaTheme="minorEastAsia"/>
                <w:bCs/>
                <w:kern w:val="0"/>
                <w:szCs w:val="21"/>
              </w:rPr>
              <w:t>2</w:t>
            </w:r>
            <w:r>
              <w:rPr>
                <w:rFonts w:hint="eastAsia" w:cs="宋体" w:asciiTheme="minorEastAsia" w:hAnsiTheme="minorEastAsia" w:eastAsiaTheme="minorEastAsia"/>
                <w:bCs/>
                <w:kern w:val="0"/>
                <w:szCs w:val="21"/>
              </w:rPr>
              <w:t>分。</w:t>
            </w:r>
          </w:p>
          <w:p>
            <w:pPr>
              <w:textAlignment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注：以上均须提供有效证书复印件，</w:t>
            </w:r>
            <w:r>
              <w:rPr>
                <w:rFonts w:hint="eastAsia" w:cs="宋体" w:asciiTheme="minorEastAsia" w:hAnsiTheme="minorEastAsia" w:eastAsiaTheme="minorEastAsia"/>
                <w:b/>
                <w:kern w:val="0"/>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同类业绩</w:t>
            </w:r>
          </w:p>
        </w:tc>
        <w:tc>
          <w:tcPr>
            <w:tcW w:w="717"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客观</w:t>
            </w:r>
          </w:p>
        </w:tc>
        <w:tc>
          <w:tcPr>
            <w:tcW w:w="71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w:t>
            </w:r>
          </w:p>
        </w:tc>
        <w:tc>
          <w:tcPr>
            <w:tcW w:w="7043" w:type="dxa"/>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响应人2021年1月1日以来（以合同签订时间为准）具有同类业绩</w:t>
            </w:r>
            <w:r>
              <w:rPr>
                <w:rFonts w:hint="eastAsia" w:cs="宋体" w:asciiTheme="minorEastAsia" w:hAnsiTheme="minorEastAsia" w:eastAsiaTheme="minorEastAsia"/>
                <w:b/>
                <w:kern w:val="0"/>
                <w:szCs w:val="21"/>
              </w:rPr>
              <w:t>（</w:t>
            </w:r>
            <w:r>
              <w:rPr>
                <w:rFonts w:hint="eastAsia" w:cs="宋体" w:asciiTheme="minorEastAsia" w:hAnsiTheme="minorEastAsia" w:eastAsiaTheme="minorEastAsia"/>
                <w:b/>
                <w:bCs/>
                <w:kern w:val="0"/>
                <w:szCs w:val="21"/>
              </w:rPr>
              <w:t>含有卫星平台或卫星通信等主要内容</w:t>
            </w:r>
            <w:r>
              <w:rPr>
                <w:rFonts w:hint="eastAsia" w:cs="宋体" w:asciiTheme="minorEastAsia" w:hAnsiTheme="minorEastAsia" w:eastAsiaTheme="minorEastAsia"/>
                <w:b/>
                <w:kern w:val="0"/>
                <w:szCs w:val="21"/>
              </w:rPr>
              <w:t>）</w:t>
            </w:r>
            <w:r>
              <w:rPr>
                <w:rFonts w:hint="eastAsia" w:cs="宋体" w:asciiTheme="minorEastAsia" w:hAnsiTheme="minorEastAsia" w:eastAsiaTheme="minorEastAsia"/>
                <w:kern w:val="0"/>
                <w:szCs w:val="21"/>
              </w:rPr>
              <w:t>，每提供一个业绩得0.5分，最多得1分。</w:t>
            </w:r>
          </w:p>
          <w:p>
            <w:pPr>
              <w:widowControl/>
              <w:rPr>
                <w:rFonts w:cs="宋体" w:asciiTheme="minorEastAsia" w:hAnsiTheme="minorEastAsia" w:eastAsiaTheme="minorEastAsia"/>
                <w:bCs/>
                <w:kern w:val="0"/>
                <w:szCs w:val="21"/>
              </w:rPr>
            </w:pPr>
            <w:r>
              <w:rPr>
                <w:rFonts w:hint="eastAsia" w:cs="宋体" w:asciiTheme="minorEastAsia" w:hAnsiTheme="minorEastAsia" w:eastAsiaTheme="minorEastAsia"/>
                <w:b/>
                <w:kern w:val="0"/>
                <w:szCs w:val="21"/>
              </w:rPr>
              <w:t>注：须提供合同复印件，不提供不得分。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bCs/>
                <w:kern w:val="0"/>
                <w:szCs w:val="21"/>
              </w:rPr>
            </w:pPr>
            <w:r>
              <w:rPr>
                <w:rFonts w:hint="eastAsia" w:cs="宋体" w:asciiTheme="minorEastAsia" w:hAnsiTheme="minorEastAsia" w:eastAsiaTheme="minorEastAsia"/>
                <w:bCs/>
                <w:kern w:val="0"/>
                <w:szCs w:val="21"/>
              </w:rPr>
              <w:t>用户评价</w:t>
            </w:r>
          </w:p>
        </w:tc>
        <w:tc>
          <w:tcPr>
            <w:tcW w:w="717"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客观</w:t>
            </w:r>
          </w:p>
        </w:tc>
        <w:tc>
          <w:tcPr>
            <w:tcW w:w="71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7043" w:type="dxa"/>
            <w:vAlign w:val="center"/>
          </w:tcPr>
          <w:p>
            <w:pPr>
              <w:widowControl/>
              <w:rPr>
                <w:rFonts w:cs="宋体" w:asciiTheme="minorEastAsia" w:hAnsiTheme="minorEastAsia" w:eastAsiaTheme="minorEastAsia"/>
                <w:szCs w:val="21"/>
              </w:rPr>
            </w:pPr>
            <w:r>
              <w:rPr>
                <w:rFonts w:hint="eastAsia" w:cs="宋体" w:asciiTheme="minorEastAsia" w:hAnsiTheme="minorEastAsia" w:eastAsiaTheme="minorEastAsia"/>
                <w:bCs/>
                <w:kern w:val="0"/>
                <w:szCs w:val="21"/>
              </w:rPr>
              <w:t>响应人取得县（区）级或以上行业主管部门出具的同类设备的用户评价证明，要求用户使用具有90%或以上的拨通率且评价良好的，每提供一个得2分，最多得4分。</w:t>
            </w:r>
          </w:p>
          <w:p>
            <w:pPr>
              <w:widowControl/>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注：须提供用户评价证明及相应的合同复印件</w:t>
            </w:r>
            <w:r>
              <w:rPr>
                <w:rFonts w:hint="eastAsia" w:cs="宋体" w:asciiTheme="minorEastAsia" w:hAnsiTheme="minorEastAsia" w:eastAsiaTheme="minorEastAsia"/>
                <w:b/>
                <w:bCs/>
                <w:kern w:val="0"/>
                <w:szCs w:val="21"/>
              </w:rPr>
              <w:t>，</w:t>
            </w:r>
            <w:r>
              <w:rPr>
                <w:rFonts w:hint="eastAsia" w:cs="宋体" w:asciiTheme="minorEastAsia" w:hAnsiTheme="minorEastAsia" w:eastAsiaTheme="minorEastAsia"/>
                <w:b/>
                <w:kern w:val="0"/>
                <w:szCs w:val="21"/>
              </w:rPr>
              <w:t>不提供不得分；</w:t>
            </w:r>
            <w:r>
              <w:rPr>
                <w:rFonts w:hint="eastAsia" w:cs="宋体" w:asciiTheme="minorEastAsia" w:hAnsiTheme="minorEastAsia" w:eastAsiaTheme="minorEastAsia"/>
                <w:b/>
                <w:bCs/>
                <w:szCs w:val="21"/>
              </w:rPr>
              <w:t>用户评价证明以“响应文件格式十”为准，同一项目不同部门用户评价不重复计算。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人员配备</w:t>
            </w:r>
          </w:p>
        </w:tc>
        <w:tc>
          <w:tcPr>
            <w:tcW w:w="717" w:type="dxa"/>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客观</w:t>
            </w:r>
          </w:p>
        </w:tc>
        <w:tc>
          <w:tcPr>
            <w:tcW w:w="715" w:type="dxa"/>
            <w:vAlign w:val="center"/>
          </w:tcPr>
          <w:p>
            <w:pPr>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10</w:t>
            </w:r>
          </w:p>
        </w:tc>
        <w:tc>
          <w:tcPr>
            <w:tcW w:w="7043" w:type="dxa"/>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根据拟投入本项目的人员配备情况进行打分：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1、项目经理具有人社部门认证的项目管理师一级证书的，得3分；或同时具有项目管理类高级证书（高级项目经理或信息系统项目管理师）、网络工程师认证证书的，得3分；本项最多得3分。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2、项目组成员中具有人社部门认证的电子信息高级工程师资格证书的，得2分；或具有人社部门认证的通信工程技术管理高级工程师资格证书的，得2分；本项最多得2分。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3、项目组成员中具有注册信息安全专业人员认证的，得1分。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4、项目培训人员具有人社部门认证的企业培训师或企业人力资源管理师二级或以上资质证书的，每人得</w:t>
            </w: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分，最多得</w:t>
            </w:r>
            <w:r>
              <w:rPr>
                <w:rFonts w:cs="宋体" w:asciiTheme="minorEastAsia" w:hAnsiTheme="minorEastAsia" w:eastAsiaTheme="minorEastAsia"/>
                <w:kern w:val="0"/>
                <w:szCs w:val="21"/>
              </w:rPr>
              <w:t>4</w:t>
            </w:r>
            <w:r>
              <w:rPr>
                <w:rFonts w:hint="eastAsia" w:cs="宋体" w:asciiTheme="minorEastAsia" w:hAnsiTheme="minorEastAsia" w:eastAsiaTheme="minorEastAsia"/>
                <w:kern w:val="0"/>
                <w:szCs w:val="21"/>
              </w:rPr>
              <w:t>分。</w:t>
            </w:r>
          </w:p>
          <w:p>
            <w:pPr>
              <w:rPr>
                <w:rFonts w:cs="宋体" w:asciiTheme="minorEastAsia" w:hAnsiTheme="minorEastAsia" w:eastAsiaTheme="minorEastAsia"/>
                <w:bCs/>
                <w:szCs w:val="21"/>
                <w:shd w:val="clear" w:color="auto" w:fill="FFFFFF"/>
              </w:rPr>
            </w:pPr>
            <w:r>
              <w:rPr>
                <w:rFonts w:hint="eastAsia" w:cs="宋体" w:asciiTheme="minorEastAsia" w:hAnsiTheme="minorEastAsia" w:eastAsiaTheme="minorEastAsia"/>
                <w:b/>
                <w:kern w:val="0"/>
                <w:szCs w:val="21"/>
              </w:rPr>
              <w:t>注</w:t>
            </w:r>
            <w:r>
              <w:rPr>
                <w:rFonts w:hint="eastAsia" w:cs="宋体" w:asciiTheme="minorEastAsia" w:hAnsiTheme="minorEastAsia" w:eastAsiaTheme="minorEastAsia"/>
                <w:b/>
                <w:szCs w:val="21"/>
                <w:shd w:val="clear" w:color="auto" w:fill="FFFFFF"/>
              </w:rPr>
              <w:t>：以上均须提供相关证书及本单位最近三个月内任意一个月的社保缴纳证明复印件</w:t>
            </w:r>
            <w:r>
              <w:rPr>
                <w:rFonts w:hint="eastAsia" w:cs="宋体" w:asciiTheme="minorEastAsia" w:hAnsiTheme="minorEastAsia" w:eastAsiaTheme="minorEastAsia"/>
                <w:b/>
                <w:kern w:val="0"/>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年度通话服务拨通率承诺</w:t>
            </w:r>
          </w:p>
        </w:tc>
        <w:tc>
          <w:tcPr>
            <w:tcW w:w="717" w:type="dxa"/>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客观</w:t>
            </w:r>
          </w:p>
        </w:tc>
        <w:tc>
          <w:tcPr>
            <w:tcW w:w="715" w:type="dxa"/>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w:t>
            </w:r>
          </w:p>
        </w:tc>
        <w:tc>
          <w:tcPr>
            <w:tcW w:w="7043" w:type="dxa"/>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根据响应人对年度通话服务拨通率的承诺情况，进行打分：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≥91%的得1分，≥92%的得2分，≥93%的得3分，≥94%的得4分，≥95%的得5分，最多得5分。</w:t>
            </w:r>
          </w:p>
          <w:p>
            <w:pPr>
              <w:rPr>
                <w:rFonts w:cs="宋体" w:asciiTheme="minorEastAsia" w:hAnsiTheme="minorEastAsia" w:eastAsiaTheme="minorEastAsia"/>
                <w:szCs w:val="21"/>
              </w:rPr>
            </w:pPr>
            <w:r>
              <w:rPr>
                <w:rFonts w:hint="eastAsia" w:cs="宋体" w:asciiTheme="minorEastAsia" w:hAnsiTheme="minorEastAsia" w:eastAsiaTheme="minorEastAsia"/>
                <w:b/>
                <w:bCs/>
                <w:kern w:val="0"/>
                <w:szCs w:val="21"/>
              </w:rPr>
              <w:t>注：若年度抽查率未达到承诺的，每差1%扣除年度通信服务费的3%（不足1</w:t>
            </w:r>
            <w:r>
              <w:rPr>
                <w:rFonts w:cs="宋体" w:asciiTheme="minorEastAsia" w:hAnsiTheme="minorEastAsia" w:eastAsiaTheme="minorEastAsia"/>
                <w:b/>
                <w:bCs/>
                <w:kern w:val="0"/>
                <w:szCs w:val="21"/>
              </w:rPr>
              <w:t>%</w:t>
            </w:r>
            <w:r>
              <w:rPr>
                <w:rFonts w:hint="eastAsia" w:cs="宋体" w:asciiTheme="minorEastAsia" w:hAnsiTheme="minorEastAsia" w:eastAsiaTheme="minorEastAsia"/>
                <w:b/>
                <w:bCs/>
                <w:kern w:val="0"/>
                <w:szCs w:val="21"/>
              </w:rPr>
              <w:t>的部分按1</w:t>
            </w:r>
            <w:r>
              <w:rPr>
                <w:rFonts w:cs="宋体" w:asciiTheme="minorEastAsia" w:hAnsiTheme="minorEastAsia" w:eastAsiaTheme="minorEastAsia"/>
                <w:b/>
                <w:bCs/>
                <w:kern w:val="0"/>
                <w:szCs w:val="21"/>
              </w:rPr>
              <w:t>%</w:t>
            </w:r>
            <w:r>
              <w:rPr>
                <w:rFonts w:hint="eastAsia" w:cs="宋体" w:asciiTheme="minorEastAsia" w:hAnsiTheme="minorEastAsia" w:eastAsiaTheme="minorEastAsia"/>
                <w:b/>
                <w:bCs/>
                <w:kern w:val="0"/>
                <w:szCs w:val="21"/>
              </w:rPr>
              <w:t>计），最高扣除15%；</w:t>
            </w:r>
            <w:r>
              <w:rPr>
                <w:rFonts w:hint="eastAsia" w:cs="宋体" w:asciiTheme="minorEastAsia" w:hAnsiTheme="minorEastAsia" w:eastAsiaTheme="minorEastAsia"/>
                <w:b/>
                <w:bCs/>
                <w:szCs w:val="21"/>
              </w:rPr>
              <w:t>拨通率﹤90%的，年度通信服务费不予支付。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通信应答优化服务</w:t>
            </w:r>
          </w:p>
        </w:tc>
        <w:tc>
          <w:tcPr>
            <w:tcW w:w="717" w:type="dxa"/>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主观</w:t>
            </w:r>
          </w:p>
        </w:tc>
        <w:tc>
          <w:tcPr>
            <w:tcW w:w="715" w:type="dxa"/>
            <w:vAlign w:val="center"/>
          </w:tcPr>
          <w:p>
            <w:pPr>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7043" w:type="dxa"/>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1、响应人提供实现采购人及下辖组织对渔船日常联络、反馈船员应答的智能群呼（语音或短信或两者兼用）通信优化服务措施的，并提供可实施的措施方案的，得1分；无实质性合理化实施措施的不得分。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2、响应人针对实现通信应答优化服务提供优惠承诺的，得1分；无实质性优惠承诺的不得分。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优惠情况及售后服务方案</w:t>
            </w:r>
          </w:p>
        </w:tc>
        <w:tc>
          <w:tcPr>
            <w:tcW w:w="717"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主观</w:t>
            </w:r>
          </w:p>
        </w:tc>
        <w:tc>
          <w:tcPr>
            <w:tcW w:w="715" w:type="dxa"/>
            <w:vAlign w:val="center"/>
          </w:tcPr>
          <w:p>
            <w:pPr>
              <w:widowControl/>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10</w:t>
            </w:r>
          </w:p>
        </w:tc>
        <w:tc>
          <w:tcPr>
            <w:tcW w:w="7043" w:type="dxa"/>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根据响应人给予船上用户自行支付部分的通话、短信服务费优惠比率及赠送情况等服务承诺，备件备品配备、应急响应时间等售后服务方案进行综合打分：</w:t>
            </w:r>
          </w:p>
          <w:p>
            <w:pPr>
              <w:widowControl/>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售后服务方案完善，优惠力度明显的</w:t>
            </w:r>
            <w:r>
              <w:rPr>
                <w:rFonts w:hint="eastAsia" w:cs="宋体" w:asciiTheme="minorEastAsia" w:hAnsiTheme="minorEastAsia" w:eastAsiaTheme="minorEastAsia"/>
                <w:kern w:val="0"/>
                <w:szCs w:val="21"/>
                <w:lang w:val="en-US" w:eastAsia="zh-CN"/>
              </w:rPr>
              <w:t>10</w:t>
            </w:r>
            <w:r>
              <w:rPr>
                <w:rFonts w:hint="eastAsia" w:cs="宋体" w:asciiTheme="minorEastAsia" w:hAnsiTheme="minorEastAsia" w:eastAsiaTheme="minorEastAsia"/>
                <w:kern w:val="0"/>
                <w:szCs w:val="21"/>
              </w:rPr>
              <w:t>分；</w:t>
            </w:r>
          </w:p>
          <w:p>
            <w:pPr>
              <w:widowControl/>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售后服务方案基本完善，有一定优惠力度的</w:t>
            </w:r>
            <w:r>
              <w:rPr>
                <w:rFonts w:hint="eastAsia" w:cs="宋体" w:asciiTheme="minorEastAsia" w:hAnsiTheme="minorEastAsia" w:eastAsiaTheme="minorEastAsia"/>
                <w:kern w:val="0"/>
                <w:szCs w:val="21"/>
                <w:lang w:val="en-US" w:eastAsia="zh-CN"/>
              </w:rPr>
              <w:t>7</w:t>
            </w:r>
            <w:r>
              <w:rPr>
                <w:rFonts w:hint="eastAsia" w:cs="宋体" w:asciiTheme="minorEastAsia" w:hAnsiTheme="minorEastAsia" w:eastAsiaTheme="minorEastAsia"/>
                <w:kern w:val="0"/>
                <w:szCs w:val="21"/>
              </w:rPr>
              <w:t>分；</w:t>
            </w:r>
          </w:p>
          <w:p>
            <w:pPr>
              <w:widowControl/>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售后服务方案有所缺失，优惠力度不明显的</w:t>
            </w:r>
            <w:r>
              <w:rPr>
                <w:rFonts w:hint="eastAsia" w:cs="宋体" w:asciiTheme="minorEastAsia" w:hAnsiTheme="minorEastAsia" w:eastAsiaTheme="minorEastAsia"/>
                <w:kern w:val="0"/>
                <w:szCs w:val="21"/>
                <w:lang w:val="en-US" w:eastAsia="zh-CN"/>
              </w:rPr>
              <w:t>4</w:t>
            </w:r>
            <w:r>
              <w:rPr>
                <w:rFonts w:hint="eastAsia" w:cs="宋体" w:asciiTheme="minorEastAsia" w:hAnsiTheme="minorEastAsia" w:eastAsiaTheme="minorEastAsia"/>
                <w:kern w:val="0"/>
                <w:szCs w:val="21"/>
              </w:rPr>
              <w:t>分；</w:t>
            </w: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无不得分。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设备独立运行时间</w:t>
            </w:r>
          </w:p>
        </w:tc>
        <w:tc>
          <w:tcPr>
            <w:tcW w:w="717"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客观</w:t>
            </w:r>
          </w:p>
        </w:tc>
        <w:tc>
          <w:tcPr>
            <w:tcW w:w="71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7043" w:type="dxa"/>
            <w:vAlign w:val="center"/>
          </w:tcPr>
          <w:p>
            <w:pPr>
              <w:widowControl/>
              <w:rPr>
                <w:rFonts w:cs="宋体" w:asciiTheme="minorEastAsia" w:hAnsiTheme="minorEastAsia" w:eastAsiaTheme="minorEastAsia"/>
                <w:szCs w:val="21"/>
              </w:rPr>
            </w:pPr>
            <w:r>
              <w:rPr>
                <w:rFonts w:hint="eastAsia" w:cs="宋体" w:asciiTheme="minorEastAsia" w:hAnsiTheme="minorEastAsia" w:eastAsiaTheme="minorEastAsia"/>
                <w:szCs w:val="21"/>
              </w:rPr>
              <w:t>卫星终端在无船电电源供电情况下，待机时间≥48小时，通话时间≥6小时，得3分。</w:t>
            </w:r>
          </w:p>
          <w:p>
            <w:pPr>
              <w:rPr>
                <w:rFonts w:cs="宋体" w:asciiTheme="minorEastAsia" w:hAnsiTheme="minorEastAsia" w:eastAsiaTheme="minorEastAsia"/>
                <w:kern w:val="0"/>
                <w:szCs w:val="21"/>
              </w:rPr>
            </w:pPr>
            <w:r>
              <w:rPr>
                <w:rFonts w:hint="eastAsia" w:cs="宋体" w:asciiTheme="minorEastAsia" w:hAnsiTheme="minorEastAsia" w:eastAsiaTheme="minorEastAsia"/>
                <w:b/>
                <w:szCs w:val="21"/>
              </w:rPr>
              <w:t>注：须提供设备具备以上功能的证明资料，不提供不得分。证明资料可以是第三方权威机构出具的检测报告或设备厂家的证明或产品说明。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szCs w:val="21"/>
              </w:rPr>
              <w:t>磁罗经安全距离</w:t>
            </w:r>
          </w:p>
        </w:tc>
        <w:tc>
          <w:tcPr>
            <w:tcW w:w="717"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客观</w:t>
            </w:r>
          </w:p>
        </w:tc>
        <w:tc>
          <w:tcPr>
            <w:tcW w:w="71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7043" w:type="dxa"/>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卫星终端与船用磁罗经安全距离小于1米，得3分。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b/>
                <w:szCs w:val="21"/>
              </w:rPr>
              <w:t>注：须提供设备具备以上功能的证明资料，不提供不得分。证明资料可以是第三方权威机构出具的检测报告或设备厂家的证明或产品说明。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szCs w:val="21"/>
              </w:rPr>
            </w:pPr>
            <w:r>
              <w:rPr>
                <w:rFonts w:hint="eastAsia" w:cs="宋体" w:asciiTheme="minorEastAsia" w:hAnsiTheme="minorEastAsia" w:eastAsiaTheme="minorEastAsia"/>
                <w:szCs w:val="21"/>
              </w:rPr>
              <w:t>防护等级</w:t>
            </w:r>
          </w:p>
        </w:tc>
        <w:tc>
          <w:tcPr>
            <w:tcW w:w="717"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客观</w:t>
            </w:r>
          </w:p>
        </w:tc>
        <w:tc>
          <w:tcPr>
            <w:tcW w:w="71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7043" w:type="dxa"/>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szCs w:val="21"/>
              </w:rPr>
              <w:t>卫星终端设备室内显控单元</w:t>
            </w:r>
            <w:r>
              <w:rPr>
                <w:rFonts w:hint="eastAsia" w:cs="宋体" w:asciiTheme="minorEastAsia" w:hAnsiTheme="minorEastAsia" w:eastAsiaTheme="minorEastAsia"/>
                <w:kern w:val="0"/>
                <w:szCs w:val="21"/>
              </w:rPr>
              <w:t>≥IPx5、</w:t>
            </w:r>
            <w:r>
              <w:rPr>
                <w:rFonts w:hint="eastAsia" w:cs="宋体" w:asciiTheme="minorEastAsia" w:hAnsiTheme="minorEastAsia" w:eastAsiaTheme="minorEastAsia"/>
                <w:szCs w:val="21"/>
              </w:rPr>
              <w:t>室外通信单元</w:t>
            </w:r>
            <w:r>
              <w:rPr>
                <w:rFonts w:hint="eastAsia" w:cs="宋体" w:asciiTheme="minorEastAsia" w:hAnsiTheme="minorEastAsia" w:eastAsiaTheme="minorEastAsia"/>
                <w:kern w:val="0"/>
                <w:szCs w:val="21"/>
              </w:rPr>
              <w:t>≥IPx6，得3分。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b/>
                <w:szCs w:val="21"/>
              </w:rPr>
              <w:t>注：须提供设备具备以上功能的证明资料，不提供不得分。证明资料可以是第三方权威机构出具的检测报告或设备厂家的证明或产品说明。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szCs w:val="21"/>
              </w:rPr>
            </w:pPr>
            <w:r>
              <w:rPr>
                <w:rFonts w:hint="eastAsia" w:cs="宋体" w:asciiTheme="minorEastAsia" w:hAnsiTheme="minorEastAsia" w:eastAsiaTheme="minorEastAsia"/>
                <w:szCs w:val="21"/>
              </w:rPr>
              <w:t>卫星终端短信成功率</w:t>
            </w:r>
          </w:p>
        </w:tc>
        <w:tc>
          <w:tcPr>
            <w:tcW w:w="717"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客观</w:t>
            </w:r>
          </w:p>
        </w:tc>
        <w:tc>
          <w:tcPr>
            <w:tcW w:w="71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7043" w:type="dxa"/>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卫星终端短信成功率≥95%，得3分。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b/>
                <w:szCs w:val="21"/>
              </w:rPr>
              <w:t>注：须提供设备具备以上功能的证明资料，不提供不得分。证明资料可以是第三方权威机构出具的检测报告或设备厂家的证明或产品说明。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安装线缆</w:t>
            </w:r>
          </w:p>
        </w:tc>
        <w:tc>
          <w:tcPr>
            <w:tcW w:w="717"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客观</w:t>
            </w:r>
          </w:p>
        </w:tc>
        <w:tc>
          <w:tcPr>
            <w:tcW w:w="71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7043" w:type="dxa"/>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卫星终端设备室外天线与室内终端支持10米及以上连接线缆安装，且设备运行正常，得3分。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b/>
                <w:szCs w:val="21"/>
              </w:rPr>
              <w:t>注：须提供设备具备以上功能的证明资料，不提供不得分。证明资料可以是第三方权威机构出具的检测报告或设备厂家的证明或产品说明。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通信要求</w:t>
            </w:r>
          </w:p>
        </w:tc>
        <w:tc>
          <w:tcPr>
            <w:tcW w:w="717"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客观</w:t>
            </w:r>
          </w:p>
        </w:tc>
        <w:tc>
          <w:tcPr>
            <w:tcW w:w="71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7043" w:type="dxa"/>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实现终端通话功能，卫星终端之间及与固定电话、移动手机、其他卫星电话等通信设备实现双向拨打，得3分。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b/>
                <w:szCs w:val="21"/>
              </w:rPr>
              <w:t>注：须提供设备具备以上功能的证明资料，不提供不得分。证明资料可以是第三方权威机构出具的检测报告或设备厂家的证明或产品说明。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定位上报</w:t>
            </w:r>
          </w:p>
        </w:tc>
        <w:tc>
          <w:tcPr>
            <w:tcW w:w="717"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客观</w:t>
            </w:r>
          </w:p>
        </w:tc>
        <w:tc>
          <w:tcPr>
            <w:tcW w:w="71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7043" w:type="dxa"/>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卫星终端支持北斗或其他全球卫星导航系统的定位数据上报的，得3分。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卫星业务</w:t>
            </w:r>
          </w:p>
        </w:tc>
        <w:tc>
          <w:tcPr>
            <w:tcW w:w="717"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客观</w:t>
            </w:r>
          </w:p>
        </w:tc>
        <w:tc>
          <w:tcPr>
            <w:tcW w:w="71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7043" w:type="dxa"/>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卫星通信支持语音：满足或优于1.2/2.4/4.0kbps，短信：≥140字节，得3分。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b/>
                <w:szCs w:val="21"/>
              </w:rPr>
              <w:t>注：须提供设备具备以上功能的证明资料，不提供不得分。证明资料可以是第三方权威机构出具的检测报告或设备厂家的证明或产品说明。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显示屏</w:t>
            </w:r>
          </w:p>
        </w:tc>
        <w:tc>
          <w:tcPr>
            <w:tcW w:w="717"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主观</w:t>
            </w:r>
          </w:p>
        </w:tc>
        <w:tc>
          <w:tcPr>
            <w:tcW w:w="715" w:type="dxa"/>
            <w:vAlign w:val="center"/>
          </w:tcPr>
          <w:p>
            <w:pPr>
              <w:widowControl/>
              <w:jc w:val="center"/>
              <w:rPr>
                <w:rFonts w:cs="宋体" w:asciiTheme="minorEastAsia" w:hAnsiTheme="minorEastAsia" w:eastAsiaTheme="minorEastAsia"/>
                <w:kern w:val="0"/>
                <w:szCs w:val="21"/>
              </w:rPr>
            </w:pPr>
            <w:r>
              <w:rPr>
                <w:rFonts w:cs="宋体" w:asciiTheme="minorEastAsia" w:hAnsiTheme="minorEastAsia" w:eastAsiaTheme="minorEastAsia"/>
                <w:kern w:val="0"/>
                <w:szCs w:val="21"/>
              </w:rPr>
              <w:t>3</w:t>
            </w:r>
          </w:p>
        </w:tc>
        <w:tc>
          <w:tcPr>
            <w:tcW w:w="7043" w:type="dxa"/>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根据响应人所提供终端设备的显示屏尺寸、分辨率、显示像素进行打分：</w:t>
            </w:r>
          </w:p>
          <w:p>
            <w:pPr>
              <w:widowControl/>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参数优势明显，满足采购人需求的</w:t>
            </w: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分；</w:t>
            </w:r>
          </w:p>
          <w:p>
            <w:pPr>
              <w:widowControl/>
              <w:rPr>
                <w:rFonts w:hint="eastAsia" w:cs="宋体" w:asciiTheme="minorEastAsia" w:hAnsiTheme="minorEastAsia" w:eastAsiaTheme="minorEastAsia"/>
                <w:kern w:val="0"/>
                <w:szCs w:val="21"/>
              </w:rPr>
            </w:pPr>
            <w:r>
              <w:rPr>
                <w:rFonts w:hint="eastAsia" w:cs="宋体" w:asciiTheme="minorEastAsia" w:hAnsiTheme="minorEastAsia" w:eastAsiaTheme="minorEastAsia"/>
                <w:kern w:val="0"/>
                <w:szCs w:val="21"/>
              </w:rPr>
              <w:t>有一定参数优势，基本满足采购人需求的</w:t>
            </w:r>
            <w:r>
              <w:rPr>
                <w:rFonts w:cs="宋体" w:asciiTheme="minorEastAsia" w:hAnsiTheme="minorEastAsia" w:eastAsiaTheme="minorEastAsia"/>
                <w:kern w:val="0"/>
                <w:szCs w:val="21"/>
              </w:rPr>
              <w:t>2</w:t>
            </w:r>
            <w:r>
              <w:rPr>
                <w:rFonts w:hint="eastAsia" w:cs="宋体" w:asciiTheme="minorEastAsia" w:hAnsiTheme="minorEastAsia" w:eastAsiaTheme="minorEastAsia"/>
                <w:kern w:val="0"/>
                <w:szCs w:val="21"/>
              </w:rPr>
              <w:t>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参数优势不明显，难以满足采购人需求的</w:t>
            </w:r>
            <w:r>
              <w:rPr>
                <w:rFonts w:cs="宋体" w:asciiTheme="minorEastAsia" w:hAnsiTheme="minorEastAsia" w:eastAsiaTheme="minorEastAsia"/>
                <w:kern w:val="0"/>
                <w:szCs w:val="21"/>
              </w:rPr>
              <w:t>1</w:t>
            </w:r>
            <w:r>
              <w:rPr>
                <w:rFonts w:hint="eastAsia" w:cs="宋体" w:asciiTheme="minorEastAsia" w:hAnsiTheme="minorEastAsia" w:eastAsiaTheme="minorEastAsia"/>
                <w:kern w:val="0"/>
                <w:szCs w:val="21"/>
              </w:rPr>
              <w:t>分。</w:t>
            </w:r>
          </w:p>
          <w:p>
            <w:pPr>
              <w:widowControl/>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注：以第三方检测报告数据为准，不提供不得分。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工作电压</w:t>
            </w:r>
          </w:p>
        </w:tc>
        <w:tc>
          <w:tcPr>
            <w:tcW w:w="717"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客观</w:t>
            </w:r>
          </w:p>
        </w:tc>
        <w:tc>
          <w:tcPr>
            <w:tcW w:w="71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7043" w:type="dxa"/>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卫星终端支持DC9-36V或AC100-240V宽电压输入，得3分。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b/>
                <w:szCs w:val="21"/>
              </w:rPr>
              <w:t>注：须提供设备具备以上功能的证明资料，不提供不得分。证明资料可以是第三方权威机构出具的检测报告或设备厂家的证明或产品说明。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电源反接与过压保护</w:t>
            </w:r>
          </w:p>
        </w:tc>
        <w:tc>
          <w:tcPr>
            <w:tcW w:w="717"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客观</w:t>
            </w:r>
          </w:p>
        </w:tc>
        <w:tc>
          <w:tcPr>
            <w:tcW w:w="71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7043" w:type="dxa"/>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卫星终端具备电源极性反接保护，并支持≥40V电压过压保护，得3分。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b/>
                <w:szCs w:val="21"/>
              </w:rPr>
              <w:t>注：须提供设备具备以上功能的证明资料，不提供不得分。证明资料可以是第三方权威机构出具的检测报告或设备厂家的证明或产品说明。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扩展功能</w:t>
            </w:r>
          </w:p>
        </w:tc>
        <w:tc>
          <w:tcPr>
            <w:tcW w:w="717"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客观</w:t>
            </w:r>
          </w:p>
        </w:tc>
        <w:tc>
          <w:tcPr>
            <w:tcW w:w="71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w:t>
            </w:r>
          </w:p>
        </w:tc>
        <w:tc>
          <w:tcPr>
            <w:tcW w:w="7043" w:type="dxa"/>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卫星终端支持设备扩展，除终端外能实现第二门话机（手机）通话，得3分。</w:t>
            </w:r>
          </w:p>
          <w:p>
            <w:pPr>
              <w:rPr>
                <w:rFonts w:asciiTheme="minorEastAsia" w:hAnsiTheme="minorEastAsia" w:eastAsiaTheme="minorEastAsia"/>
                <w:szCs w:val="21"/>
              </w:rPr>
            </w:pPr>
            <w:r>
              <w:rPr>
                <w:rFonts w:hint="eastAsia" w:cs="宋体" w:asciiTheme="minorEastAsia" w:hAnsiTheme="minorEastAsia" w:eastAsiaTheme="minorEastAsia"/>
                <w:b/>
                <w:szCs w:val="21"/>
              </w:rPr>
              <w:t>注：须提供设备具备以上功能的证明资料，不提供不得分。证明资料可以是第三方权威机构出具的检测报告或设备厂家的证明或产品说明。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数据传输</w:t>
            </w:r>
          </w:p>
        </w:tc>
        <w:tc>
          <w:tcPr>
            <w:tcW w:w="717"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客观</w:t>
            </w:r>
          </w:p>
        </w:tc>
        <w:tc>
          <w:tcPr>
            <w:tcW w:w="71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w:t>
            </w:r>
          </w:p>
        </w:tc>
        <w:tc>
          <w:tcPr>
            <w:tcW w:w="7043" w:type="dxa"/>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卫星终端支持数据业务，得2分。</w:t>
            </w:r>
          </w:p>
          <w:p>
            <w:pPr>
              <w:rPr>
                <w:rFonts w:asciiTheme="minorEastAsia" w:hAnsiTheme="minorEastAsia" w:eastAsiaTheme="minorEastAsia"/>
                <w:szCs w:val="21"/>
              </w:rPr>
            </w:pPr>
            <w:r>
              <w:rPr>
                <w:rFonts w:hint="eastAsia" w:cs="宋体" w:asciiTheme="minorEastAsia" w:hAnsiTheme="minorEastAsia" w:eastAsiaTheme="minorEastAsia"/>
                <w:b/>
                <w:szCs w:val="21"/>
              </w:rPr>
              <w:t>注：须提供设备具备以上功能的证明资料，不提供不得分。证明资料可以是第三方权威机构出具的检测报告或设备厂家的证明或产品说明。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海测报告</w:t>
            </w:r>
          </w:p>
        </w:tc>
        <w:tc>
          <w:tcPr>
            <w:tcW w:w="717"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客观</w:t>
            </w:r>
          </w:p>
        </w:tc>
        <w:tc>
          <w:tcPr>
            <w:tcW w:w="71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w:t>
            </w:r>
          </w:p>
        </w:tc>
        <w:tc>
          <w:tcPr>
            <w:tcW w:w="7043" w:type="dxa"/>
            <w:vAlign w:val="center"/>
          </w:tcPr>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响应人能提供本次服务采购所提供的卫星终端海测报告证明的，测试报告内容须含：测试设备型号，测试范围超过东经127°以东，通话语音清晰的，得4分。</w:t>
            </w:r>
          </w:p>
          <w:p>
            <w:pP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注：须提供由卫星运营机构出具的检测报告，不提供不得分。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cantSplit/>
          <w:trHeight w:val="567" w:hRule="atLeast"/>
          <w:jc w:val="center"/>
        </w:trPr>
        <w:tc>
          <w:tcPr>
            <w:tcW w:w="1425"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项目实施方案</w:t>
            </w:r>
          </w:p>
        </w:tc>
        <w:tc>
          <w:tcPr>
            <w:tcW w:w="717" w:type="dxa"/>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主观</w:t>
            </w:r>
          </w:p>
        </w:tc>
        <w:tc>
          <w:tcPr>
            <w:tcW w:w="715" w:type="dxa"/>
            <w:vAlign w:val="center"/>
          </w:tcPr>
          <w:p>
            <w:pPr>
              <w:widowControl/>
              <w:jc w:val="center"/>
              <w:rPr>
                <w:rFonts w:hint="default" w:cs="宋体" w:asciiTheme="minorEastAsia" w:hAnsiTheme="minorEastAsia" w:eastAsiaTheme="minorEastAsia"/>
                <w:kern w:val="0"/>
                <w:szCs w:val="21"/>
                <w:lang w:val="en-US" w:eastAsia="zh-CN"/>
              </w:rPr>
            </w:pPr>
            <w:r>
              <w:rPr>
                <w:rFonts w:hint="eastAsia" w:cs="宋体" w:asciiTheme="minorEastAsia" w:hAnsiTheme="minorEastAsia" w:eastAsiaTheme="minorEastAsia"/>
                <w:kern w:val="0"/>
                <w:szCs w:val="21"/>
                <w:lang w:val="en-US" w:eastAsia="zh-CN"/>
              </w:rPr>
              <w:t>12</w:t>
            </w:r>
          </w:p>
        </w:tc>
        <w:tc>
          <w:tcPr>
            <w:tcW w:w="7043" w:type="dxa"/>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根据响应人提供的实施方案（包括但不限于对本项目的了解，所供产品的技术是否成熟、可靠，本项目的重难点分析等）进行打分：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项目实施方案完善，技术优势明显，重难点分析到位的</w:t>
            </w:r>
            <w:r>
              <w:rPr>
                <w:rFonts w:hint="eastAsia" w:cs="宋体" w:asciiTheme="minorEastAsia" w:hAnsiTheme="minorEastAsia" w:eastAsiaTheme="minorEastAsia"/>
                <w:kern w:val="0"/>
                <w:szCs w:val="21"/>
                <w:lang w:val="en-US" w:eastAsia="zh-CN"/>
              </w:rPr>
              <w:t>12</w:t>
            </w:r>
            <w:r>
              <w:rPr>
                <w:rFonts w:hint="eastAsia" w:cs="宋体" w:asciiTheme="minorEastAsia" w:hAnsiTheme="minorEastAsia" w:eastAsiaTheme="minorEastAsia"/>
                <w:kern w:val="0"/>
                <w:szCs w:val="21"/>
              </w:rPr>
              <w:t>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项目实施方案基本完善，有一定技术优势，重难点分析基本到位的</w:t>
            </w:r>
            <w:r>
              <w:rPr>
                <w:rFonts w:hint="eastAsia" w:cs="宋体" w:asciiTheme="minorEastAsia" w:hAnsiTheme="minorEastAsia" w:eastAsiaTheme="minorEastAsia"/>
                <w:kern w:val="0"/>
                <w:szCs w:val="21"/>
                <w:lang w:val="en-US" w:eastAsia="zh-CN"/>
              </w:rPr>
              <w:t>9</w:t>
            </w:r>
            <w:r>
              <w:rPr>
                <w:rFonts w:hint="eastAsia" w:cs="宋体" w:asciiTheme="minorEastAsia" w:hAnsiTheme="minorEastAsia" w:eastAsiaTheme="minorEastAsia"/>
                <w:kern w:val="0"/>
                <w:szCs w:val="21"/>
              </w:rPr>
              <w:t>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项目实施方案有所缺失，技术优势不明显，重难点分析有所偏差的</w:t>
            </w:r>
            <w:r>
              <w:rPr>
                <w:rFonts w:hint="eastAsia" w:cs="宋体" w:asciiTheme="minorEastAsia" w:hAnsiTheme="minorEastAsia" w:eastAsiaTheme="minorEastAsia"/>
                <w:kern w:val="0"/>
                <w:szCs w:val="21"/>
                <w:lang w:val="en-US" w:eastAsia="zh-CN"/>
              </w:rPr>
              <w:t>6</w:t>
            </w:r>
            <w:r>
              <w:rPr>
                <w:rFonts w:hint="eastAsia" w:cs="宋体" w:asciiTheme="minorEastAsia" w:hAnsiTheme="minorEastAsia" w:eastAsiaTheme="minorEastAsia"/>
                <w:kern w:val="0"/>
                <w:szCs w:val="21"/>
              </w:rPr>
              <w:t>分；</w:t>
            </w:r>
          </w:p>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无不得分。</w:t>
            </w:r>
          </w:p>
        </w:tc>
      </w:tr>
    </w:tbl>
    <w:p>
      <w:pPr>
        <w:rPr>
          <w:rFonts w:ascii="宋体" w:hAnsi="宋体" w:cs="宋体"/>
          <w:b/>
          <w:sz w:val="28"/>
          <w:szCs w:val="28"/>
        </w:rPr>
      </w:pPr>
      <w:r>
        <w:rPr>
          <w:rFonts w:hint="eastAsia" w:ascii="宋体" w:hAnsi="宋体" w:cs="宋体"/>
          <w:b/>
          <w:sz w:val="28"/>
          <w:szCs w:val="28"/>
        </w:rPr>
        <w:br w:type="page"/>
      </w:r>
    </w:p>
    <w:p>
      <w:pPr>
        <w:jc w:val="center"/>
        <w:outlineLvl w:val="0"/>
        <w:rPr>
          <w:rFonts w:ascii="宋体" w:hAnsi="宋体" w:cs="宋体"/>
          <w:b/>
          <w:sz w:val="28"/>
          <w:szCs w:val="28"/>
        </w:rPr>
      </w:pPr>
      <w:r>
        <w:rPr>
          <w:rFonts w:hint="eastAsia" w:ascii="宋体" w:hAnsi="宋体" w:cs="宋体"/>
          <w:b/>
          <w:sz w:val="28"/>
          <w:szCs w:val="28"/>
        </w:rPr>
        <w:t>第五章</w:t>
      </w:r>
      <w:r>
        <w:rPr>
          <w:rFonts w:ascii="宋体" w:hAnsi="宋体" w:cs="宋体"/>
          <w:b/>
          <w:sz w:val="28"/>
          <w:szCs w:val="28"/>
        </w:rPr>
        <w:t xml:space="preserve">  </w:t>
      </w:r>
      <w:r>
        <w:rPr>
          <w:rFonts w:hint="eastAsia" w:ascii="宋体" w:hAnsi="宋体" w:cs="宋体"/>
          <w:b/>
          <w:sz w:val="28"/>
          <w:szCs w:val="28"/>
        </w:rPr>
        <w:t>合同主要条款</w:t>
      </w:r>
    </w:p>
    <w:p>
      <w:pPr>
        <w:snapToGrid w:val="0"/>
        <w:spacing w:before="156" w:beforeLines="50" w:after="156" w:afterLines="50" w:line="360" w:lineRule="auto"/>
        <w:jc w:val="center"/>
        <w:rPr>
          <w:sz w:val="28"/>
          <w:szCs w:val="28"/>
        </w:rPr>
      </w:pPr>
      <w:r>
        <w:rPr>
          <w:rFonts w:hint="eastAsia" w:ascii="宋体" w:hAnsi="宋体" w:cs="宋体"/>
          <w:b/>
          <w:sz w:val="28"/>
          <w:szCs w:val="28"/>
        </w:rPr>
        <w:t>（具体条款以甲方为主协商确定）</w:t>
      </w:r>
    </w:p>
    <w:p>
      <w:pPr>
        <w:spacing w:line="360" w:lineRule="auto"/>
        <w:jc w:val="center"/>
        <w:rPr>
          <w:rFonts w:ascii="宋体" w:hAnsi="宋体" w:cs="宋体"/>
          <w:w w:val="95"/>
          <w:sz w:val="22"/>
          <w:szCs w:val="22"/>
        </w:rPr>
      </w:pPr>
    </w:p>
    <w:p>
      <w:pPr>
        <w:spacing w:line="360" w:lineRule="auto"/>
        <w:jc w:val="center"/>
        <w:rPr>
          <w:rFonts w:ascii="宋体" w:hAnsi="宋体" w:cs="宋体"/>
          <w:w w:val="95"/>
          <w:sz w:val="22"/>
          <w:szCs w:val="22"/>
        </w:rPr>
      </w:pPr>
    </w:p>
    <w:p>
      <w:pPr>
        <w:spacing w:line="360" w:lineRule="auto"/>
        <w:jc w:val="center"/>
        <w:rPr>
          <w:rFonts w:ascii="宋体" w:hAnsi="宋体" w:cs="宋体"/>
          <w:w w:val="95"/>
          <w:sz w:val="22"/>
          <w:szCs w:val="22"/>
        </w:rPr>
      </w:pPr>
    </w:p>
    <w:p>
      <w:pPr>
        <w:spacing w:line="360" w:lineRule="auto"/>
        <w:jc w:val="center"/>
        <w:rPr>
          <w:rFonts w:ascii="宋体" w:hAnsi="宋体" w:cs="宋体"/>
          <w:w w:val="95"/>
          <w:sz w:val="22"/>
          <w:szCs w:val="22"/>
        </w:rPr>
      </w:pPr>
    </w:p>
    <w:p>
      <w:pPr>
        <w:spacing w:line="360" w:lineRule="auto"/>
        <w:jc w:val="center"/>
        <w:rPr>
          <w:rFonts w:ascii="宋体" w:hAnsi="宋体" w:cs="宋体"/>
          <w:w w:val="95"/>
          <w:sz w:val="22"/>
          <w:szCs w:val="22"/>
        </w:rPr>
      </w:pPr>
    </w:p>
    <w:p>
      <w:pPr>
        <w:spacing w:line="360" w:lineRule="auto"/>
        <w:jc w:val="center"/>
        <w:rPr>
          <w:rFonts w:hint="eastAsia" w:ascii="宋体" w:hAnsi="宋体" w:cs="宋体"/>
          <w:sz w:val="44"/>
        </w:rPr>
      </w:pPr>
      <w:r>
        <w:rPr>
          <w:rFonts w:ascii="宋体" w:hAnsi="宋体" w:cs="宋体"/>
          <w:w w:val="95"/>
          <w:sz w:val="22"/>
          <w:szCs w:val="22"/>
        </w:rPr>
        <w:t xml:space="preserve"> </w:t>
      </w:r>
      <w:r>
        <w:rPr>
          <w:rFonts w:hint="eastAsia" w:ascii="宋体" w:hAnsi="宋体" w:cs="宋体"/>
          <w:sz w:val="44"/>
        </w:rPr>
        <w:t>项目合同</w:t>
      </w:r>
    </w:p>
    <w:p>
      <w:pPr>
        <w:spacing w:line="276" w:lineRule="auto"/>
        <w:jc w:val="center"/>
        <w:rPr>
          <w:rFonts w:hint="eastAsia" w:ascii="宋体" w:hAnsi="宋体" w:cs="宋体"/>
          <w:sz w:val="30"/>
          <w:szCs w:val="30"/>
        </w:rPr>
      </w:pPr>
    </w:p>
    <w:p>
      <w:pPr>
        <w:spacing w:line="700" w:lineRule="exact"/>
        <w:ind w:firstLine="1026" w:firstLineChars="342"/>
        <w:rPr>
          <w:rFonts w:hint="eastAsia" w:ascii="宋体" w:hAnsi="宋体" w:cs="宋体"/>
          <w:sz w:val="30"/>
          <w:szCs w:val="30"/>
        </w:rPr>
      </w:pPr>
      <w:r>
        <w:rPr>
          <w:rFonts w:hint="eastAsia" w:ascii="宋体" w:hAnsi="宋体" w:cs="宋体"/>
          <w:sz w:val="30"/>
          <w:szCs w:val="30"/>
        </w:rPr>
        <w:t>项目名称：</w:t>
      </w:r>
      <w:r>
        <w:rPr>
          <w:rFonts w:hint="eastAsia" w:ascii="宋体" w:hAnsi="宋体" w:cs="宋体"/>
          <w:sz w:val="30"/>
          <w:szCs w:val="30"/>
          <w:u w:val="single"/>
        </w:rPr>
        <w:t xml:space="preserve">                                        </w:t>
      </w:r>
    </w:p>
    <w:p>
      <w:pPr>
        <w:spacing w:line="500" w:lineRule="exact"/>
        <w:ind w:firstLine="354" w:firstLineChars="118"/>
        <w:rPr>
          <w:rFonts w:hint="eastAsia" w:ascii="宋体" w:hAnsi="宋体" w:cs="宋体"/>
          <w:sz w:val="30"/>
          <w:szCs w:val="30"/>
        </w:rPr>
      </w:pPr>
    </w:p>
    <w:p>
      <w:pPr>
        <w:spacing w:line="700" w:lineRule="exact"/>
        <w:ind w:firstLine="1026" w:firstLineChars="342"/>
        <w:rPr>
          <w:rFonts w:hint="eastAsia" w:ascii="宋体" w:hAnsi="宋体" w:cs="宋体"/>
          <w:sz w:val="30"/>
          <w:szCs w:val="30"/>
          <w:u w:val="single"/>
        </w:rPr>
      </w:pPr>
      <w:r>
        <w:rPr>
          <w:rFonts w:hint="eastAsia" w:ascii="宋体" w:hAnsi="宋体" w:cs="宋体"/>
          <w:sz w:val="30"/>
          <w:szCs w:val="30"/>
        </w:rPr>
        <w:t>项目编号：</w:t>
      </w:r>
      <w:r>
        <w:rPr>
          <w:rFonts w:hint="eastAsia" w:ascii="宋体" w:hAnsi="宋体" w:cs="宋体"/>
          <w:sz w:val="30"/>
          <w:szCs w:val="30"/>
          <w:u w:val="single"/>
        </w:rPr>
        <w:t xml:space="preserve">                                        </w:t>
      </w:r>
    </w:p>
    <w:p>
      <w:pPr>
        <w:spacing w:line="500" w:lineRule="exact"/>
        <w:rPr>
          <w:rFonts w:hint="eastAsia" w:ascii="宋体" w:hAnsi="宋体" w:cs="宋体"/>
          <w:sz w:val="28"/>
          <w:szCs w:val="28"/>
        </w:rPr>
      </w:pPr>
    </w:p>
    <w:p>
      <w:pPr>
        <w:spacing w:line="700" w:lineRule="exact"/>
        <w:rPr>
          <w:rFonts w:hint="eastAsia" w:ascii="宋体" w:hAnsi="宋体" w:cs="宋体"/>
          <w:sz w:val="30"/>
          <w:szCs w:val="30"/>
        </w:rPr>
      </w:pPr>
    </w:p>
    <w:p>
      <w:pPr>
        <w:spacing w:line="700" w:lineRule="exact"/>
        <w:rPr>
          <w:rFonts w:hint="eastAsia" w:ascii="宋体" w:hAnsi="宋体" w:cs="宋体"/>
          <w:sz w:val="30"/>
          <w:szCs w:val="30"/>
        </w:rPr>
      </w:pPr>
    </w:p>
    <w:p>
      <w:pPr>
        <w:spacing w:line="700" w:lineRule="exact"/>
        <w:rPr>
          <w:rFonts w:hint="eastAsia" w:ascii="宋体" w:hAnsi="宋体" w:cs="宋体"/>
          <w:sz w:val="30"/>
          <w:szCs w:val="30"/>
        </w:rPr>
      </w:pPr>
    </w:p>
    <w:p>
      <w:pPr>
        <w:spacing w:line="700" w:lineRule="exact"/>
        <w:rPr>
          <w:rFonts w:hint="eastAsia" w:ascii="宋体" w:hAnsi="宋体" w:cs="宋体"/>
          <w:sz w:val="30"/>
          <w:szCs w:val="30"/>
        </w:rPr>
      </w:pPr>
    </w:p>
    <w:p>
      <w:pPr>
        <w:spacing w:line="700" w:lineRule="exact"/>
        <w:ind w:firstLine="1026" w:firstLineChars="342"/>
        <w:rPr>
          <w:rFonts w:hint="eastAsia" w:ascii="宋体" w:hAnsi="宋体" w:cs="宋体"/>
          <w:sz w:val="30"/>
          <w:szCs w:val="30"/>
        </w:rPr>
      </w:pPr>
      <w:r>
        <w:rPr>
          <w:rFonts w:hint="eastAsia" w:ascii="宋体" w:hAnsi="宋体" w:cs="宋体"/>
          <w:sz w:val="30"/>
          <w:szCs w:val="30"/>
        </w:rPr>
        <w:t>采购人（甲方）：</w:t>
      </w:r>
      <w:r>
        <w:rPr>
          <w:rFonts w:hint="eastAsia" w:ascii="宋体" w:hAnsi="宋体" w:cs="宋体"/>
          <w:sz w:val="36"/>
          <w:szCs w:val="36"/>
          <w:u w:val="single"/>
        </w:rPr>
        <w:t xml:space="preserve">                              </w:t>
      </w:r>
    </w:p>
    <w:p>
      <w:pPr>
        <w:spacing w:line="700" w:lineRule="exact"/>
        <w:ind w:firstLine="1026" w:firstLineChars="342"/>
        <w:rPr>
          <w:rFonts w:hint="eastAsia" w:ascii="宋体" w:hAnsi="宋体" w:cs="宋体"/>
          <w:sz w:val="30"/>
          <w:szCs w:val="30"/>
        </w:rPr>
      </w:pPr>
      <w:r>
        <w:rPr>
          <w:rFonts w:hint="eastAsia" w:ascii="宋体" w:hAnsi="宋体" w:cs="宋体"/>
          <w:sz w:val="30"/>
          <w:szCs w:val="30"/>
        </w:rPr>
        <w:t>成交人（乙方）：</w:t>
      </w:r>
      <w:r>
        <w:rPr>
          <w:rFonts w:hint="eastAsia" w:ascii="宋体" w:hAnsi="宋体" w:cs="宋体"/>
          <w:sz w:val="36"/>
          <w:szCs w:val="36"/>
          <w:u w:val="single"/>
        </w:rPr>
        <w:t xml:space="preserve">                              </w:t>
      </w:r>
    </w:p>
    <w:p>
      <w:pPr>
        <w:spacing w:line="700" w:lineRule="exact"/>
        <w:ind w:firstLine="1026" w:firstLineChars="342"/>
        <w:rPr>
          <w:rFonts w:hint="eastAsia" w:ascii="宋体" w:hAnsi="宋体" w:cs="宋体"/>
          <w:sz w:val="30"/>
          <w:szCs w:val="30"/>
        </w:rPr>
      </w:pPr>
      <w:r>
        <w:rPr>
          <w:rFonts w:hint="eastAsia" w:ascii="宋体" w:hAnsi="宋体" w:cs="宋体"/>
          <w:sz w:val="30"/>
          <w:szCs w:val="30"/>
        </w:rPr>
        <w:t>合同签订日：</w:t>
      </w:r>
      <w:r>
        <w:rPr>
          <w:rFonts w:hint="eastAsia" w:ascii="宋体" w:hAnsi="宋体" w:cs="宋体"/>
          <w:sz w:val="30"/>
          <w:szCs w:val="30"/>
          <w:u w:val="single"/>
        </w:rPr>
        <w:t xml:space="preserve"> 20</w:t>
      </w:r>
      <w:r>
        <w:rPr>
          <w:rFonts w:ascii="宋体" w:hAnsi="宋体" w:cs="宋体"/>
          <w:sz w:val="30"/>
          <w:szCs w:val="30"/>
          <w:u w:val="single"/>
        </w:rPr>
        <w:t xml:space="preserve">  </w:t>
      </w:r>
      <w:r>
        <w:rPr>
          <w:rFonts w:hint="eastAsia" w:ascii="宋体" w:hAnsi="宋体" w:cs="宋体"/>
          <w:sz w:val="30"/>
          <w:szCs w:val="30"/>
          <w:u w:val="single"/>
        </w:rPr>
        <w:t xml:space="preserve">年   月   日                      </w:t>
      </w:r>
    </w:p>
    <w:p>
      <w:pPr>
        <w:spacing w:line="700" w:lineRule="exact"/>
        <w:ind w:firstLine="1026" w:firstLineChars="342"/>
        <w:rPr>
          <w:rFonts w:hint="eastAsia" w:ascii="宋体" w:hAnsi="宋体" w:cs="宋体"/>
          <w:sz w:val="30"/>
          <w:szCs w:val="30"/>
        </w:rPr>
      </w:pPr>
      <w:r>
        <w:rPr>
          <w:rFonts w:hint="eastAsia" w:ascii="宋体" w:hAnsi="宋体" w:cs="宋体"/>
          <w:sz w:val="30"/>
          <w:szCs w:val="30"/>
        </w:rPr>
        <w:t>合同签订地点：</w:t>
      </w:r>
      <w:r>
        <w:rPr>
          <w:rFonts w:hint="eastAsia" w:ascii="宋体" w:hAnsi="宋体" w:cs="宋体"/>
          <w:sz w:val="36"/>
          <w:szCs w:val="36"/>
          <w:u w:val="single"/>
        </w:rPr>
        <w:t xml:space="preserve">  </w:t>
      </w:r>
      <w:r>
        <w:rPr>
          <w:rFonts w:hint="eastAsia" w:ascii="宋体" w:hAnsi="宋体" w:cs="宋体"/>
          <w:sz w:val="28"/>
          <w:szCs w:val="36"/>
          <w:u w:val="single"/>
        </w:rPr>
        <w:t xml:space="preserve"> </w:t>
      </w:r>
      <w:r>
        <w:rPr>
          <w:rFonts w:hint="eastAsia" w:ascii="宋体" w:hAnsi="宋体" w:cs="宋体"/>
          <w:sz w:val="30"/>
          <w:szCs w:val="30"/>
          <w:u w:val="single"/>
        </w:rPr>
        <w:t>舟山市</w:t>
      </w:r>
      <w:r>
        <w:rPr>
          <w:rFonts w:hint="eastAsia" w:ascii="宋体" w:hAnsi="宋体" w:cs="宋体"/>
          <w:sz w:val="36"/>
          <w:szCs w:val="36"/>
          <w:u w:val="single"/>
        </w:rPr>
        <w:t xml:space="preserve">                       </w:t>
      </w:r>
    </w:p>
    <w:p>
      <w:pPr>
        <w:rPr>
          <w:rFonts w:hint="eastAsia" w:ascii="宋体" w:hAnsi="宋体"/>
          <w:spacing w:val="4"/>
          <w:szCs w:val="21"/>
        </w:rPr>
      </w:pPr>
      <w:r>
        <w:rPr>
          <w:rFonts w:hint="eastAsia" w:ascii="宋体" w:hAnsi="宋体"/>
          <w:spacing w:val="4"/>
          <w:szCs w:val="21"/>
        </w:rPr>
        <w:br w:type="page"/>
      </w:r>
    </w:p>
    <w:p>
      <w:pPr>
        <w:spacing w:line="360" w:lineRule="auto"/>
        <w:ind w:firstLine="436" w:firstLineChars="200"/>
        <w:rPr>
          <w:rFonts w:hint="eastAsia" w:ascii="宋体" w:hAnsi="宋体"/>
          <w:spacing w:val="4"/>
          <w:szCs w:val="21"/>
        </w:rPr>
      </w:pPr>
      <w:r>
        <w:rPr>
          <w:rFonts w:hint="eastAsia" w:ascii="宋体" w:hAnsi="宋体"/>
          <w:spacing w:val="4"/>
          <w:szCs w:val="21"/>
        </w:rPr>
        <w:t>甲方对</w:t>
      </w:r>
      <w:r>
        <w:rPr>
          <w:rFonts w:hint="eastAsia" w:ascii="宋体" w:hAnsi="宋体"/>
          <w:szCs w:val="21"/>
          <w:u w:val="single"/>
        </w:rPr>
        <w:t xml:space="preserve">                                                </w:t>
      </w:r>
      <w:r>
        <w:rPr>
          <w:rFonts w:hint="eastAsia" w:ascii="宋体" w:hAnsi="宋体"/>
          <w:spacing w:val="4"/>
          <w:szCs w:val="21"/>
        </w:rPr>
        <w:t>进行竞争性磋商。经磋商小组评定并最终审核通过，确定乙方为本项采购项目的成交人。甲乙双方根据《中华人民共和国政府采购法》、《中华人民共和国民法典》等相关法律法规及本项目磋商文件的规定，双方经平等协商达成一致意见，订立本合同。</w:t>
      </w:r>
    </w:p>
    <w:p>
      <w:pPr>
        <w:spacing w:line="360" w:lineRule="auto"/>
        <w:ind w:firstLine="413" w:firstLineChars="196"/>
        <w:rPr>
          <w:rFonts w:hint="eastAsia" w:ascii="宋体" w:hAnsi="宋体"/>
          <w:b/>
          <w:szCs w:val="21"/>
        </w:rPr>
      </w:pPr>
      <w:r>
        <w:rPr>
          <w:rFonts w:hint="eastAsia" w:ascii="宋体" w:hAnsi="宋体"/>
          <w:b/>
          <w:szCs w:val="21"/>
        </w:rPr>
        <w:t>一、合同文件</w:t>
      </w:r>
    </w:p>
    <w:p>
      <w:pPr>
        <w:spacing w:line="360" w:lineRule="auto"/>
        <w:ind w:firstLine="420" w:firstLineChars="200"/>
        <w:rPr>
          <w:rFonts w:hint="eastAsia" w:ascii="宋体" w:hAnsi="宋体"/>
          <w:szCs w:val="21"/>
        </w:rPr>
      </w:pPr>
      <w:r>
        <w:rPr>
          <w:rFonts w:hint="eastAsia" w:ascii="宋体" w:hAnsi="宋体"/>
          <w:szCs w:val="21"/>
        </w:rPr>
        <w:t>下列文件构成本合同的组成部分：</w:t>
      </w:r>
    </w:p>
    <w:p>
      <w:pPr>
        <w:tabs>
          <w:tab w:val="left" w:pos="840"/>
        </w:tabs>
        <w:adjustRightInd w:val="0"/>
        <w:spacing w:line="360" w:lineRule="auto"/>
        <w:ind w:firstLine="420" w:firstLineChars="200"/>
        <w:textAlignment w:val="baseline"/>
        <w:rPr>
          <w:rFonts w:hint="eastAsia" w:ascii="宋体" w:hAnsi="宋体"/>
          <w:szCs w:val="21"/>
        </w:rPr>
      </w:pPr>
      <w:r>
        <w:rPr>
          <w:rFonts w:hint="eastAsia" w:ascii="宋体" w:hAnsi="宋体"/>
          <w:szCs w:val="21"/>
        </w:rPr>
        <w:t>1、磋商文件</w:t>
      </w:r>
    </w:p>
    <w:p>
      <w:pPr>
        <w:tabs>
          <w:tab w:val="left" w:pos="840"/>
        </w:tabs>
        <w:adjustRightInd w:val="0"/>
        <w:spacing w:line="360" w:lineRule="auto"/>
        <w:ind w:firstLine="420" w:firstLineChars="200"/>
        <w:textAlignment w:val="baseline"/>
        <w:rPr>
          <w:rFonts w:hint="eastAsia" w:ascii="宋体" w:hAnsi="宋体"/>
          <w:szCs w:val="21"/>
        </w:rPr>
      </w:pPr>
      <w:r>
        <w:rPr>
          <w:rFonts w:hint="eastAsia" w:ascii="宋体" w:hAnsi="宋体"/>
          <w:szCs w:val="21"/>
        </w:rPr>
        <w:t>2、成交文件</w:t>
      </w:r>
    </w:p>
    <w:p>
      <w:pPr>
        <w:tabs>
          <w:tab w:val="left" w:pos="840"/>
        </w:tabs>
        <w:adjustRightInd w:val="0"/>
        <w:spacing w:line="360" w:lineRule="auto"/>
        <w:ind w:firstLine="420" w:firstLineChars="200"/>
        <w:textAlignment w:val="baseline"/>
        <w:rPr>
          <w:rFonts w:hint="eastAsia" w:ascii="宋体" w:hAnsi="宋体"/>
          <w:szCs w:val="21"/>
        </w:rPr>
      </w:pPr>
      <w:r>
        <w:rPr>
          <w:rFonts w:ascii="宋体" w:hAnsi="宋体"/>
          <w:szCs w:val="21"/>
        </w:rPr>
        <w:t>3</w:t>
      </w:r>
      <w:r>
        <w:rPr>
          <w:rFonts w:hint="eastAsia" w:ascii="宋体" w:hAnsi="宋体"/>
          <w:szCs w:val="21"/>
        </w:rPr>
        <w:t>、相关补充文件</w:t>
      </w:r>
    </w:p>
    <w:p>
      <w:pPr>
        <w:adjustRightInd w:val="0"/>
        <w:spacing w:line="360" w:lineRule="auto"/>
        <w:ind w:firstLine="413" w:firstLineChars="196"/>
        <w:textAlignment w:val="baseline"/>
        <w:rPr>
          <w:rFonts w:hint="eastAsia" w:ascii="宋体" w:hAnsi="宋体"/>
          <w:szCs w:val="21"/>
        </w:rPr>
      </w:pPr>
      <w:r>
        <w:rPr>
          <w:rFonts w:hint="eastAsia" w:ascii="宋体" w:hAnsi="宋体"/>
          <w:b/>
          <w:szCs w:val="21"/>
        </w:rPr>
        <w:t>二、合同范围和条件</w:t>
      </w:r>
    </w:p>
    <w:p>
      <w:pPr>
        <w:spacing w:line="360" w:lineRule="auto"/>
        <w:ind w:firstLine="420" w:firstLineChars="200"/>
        <w:rPr>
          <w:rFonts w:hint="eastAsia" w:ascii="宋体" w:hAnsi="宋体"/>
          <w:szCs w:val="21"/>
        </w:rPr>
      </w:pPr>
      <w:r>
        <w:rPr>
          <w:rFonts w:hint="eastAsia" w:ascii="宋体" w:hAnsi="宋体"/>
          <w:szCs w:val="21"/>
        </w:rPr>
        <w:t>本合同的范围和条件与上述规定的合同文件内容一致。</w:t>
      </w:r>
    </w:p>
    <w:p>
      <w:pPr>
        <w:spacing w:line="360" w:lineRule="auto"/>
        <w:ind w:firstLine="413" w:firstLineChars="196"/>
        <w:rPr>
          <w:rFonts w:hint="eastAsia" w:ascii="宋体" w:hAnsi="宋体"/>
          <w:b/>
          <w:szCs w:val="21"/>
        </w:rPr>
      </w:pPr>
      <w:r>
        <w:rPr>
          <w:rFonts w:hint="eastAsia" w:ascii="宋体" w:hAnsi="宋体"/>
          <w:b/>
          <w:szCs w:val="21"/>
        </w:rPr>
        <w:t>三、合同金额</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4"/>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844" w:type="dxa"/>
            <w:vAlign w:val="center"/>
          </w:tcPr>
          <w:p>
            <w:pPr>
              <w:jc w:val="center"/>
              <w:rPr>
                <w:rFonts w:hint="eastAsia" w:ascii="宋体" w:hAnsi="宋体" w:cs="??"/>
                <w:szCs w:val="21"/>
              </w:rPr>
            </w:pPr>
            <w:r>
              <w:rPr>
                <w:rFonts w:hint="eastAsia" w:ascii="宋体" w:hAnsi="宋体" w:cs="??"/>
                <w:szCs w:val="21"/>
              </w:rPr>
              <w:t>数量</w:t>
            </w:r>
          </w:p>
        </w:tc>
        <w:tc>
          <w:tcPr>
            <w:tcW w:w="7708" w:type="dxa"/>
            <w:vAlign w:val="center"/>
          </w:tcPr>
          <w:p>
            <w:pPr>
              <w:jc w:val="center"/>
              <w:rPr>
                <w:rFonts w:hint="eastAsia" w:ascii="宋体" w:hAnsi="宋体" w:cs="??"/>
                <w:szCs w:val="21"/>
              </w:rPr>
            </w:pPr>
            <w:r>
              <w:rPr>
                <w:rFonts w:hint="eastAsia" w:ascii="宋体" w:hAnsi="宋体" w:cs="??"/>
                <w:szCs w:val="21"/>
              </w:rPr>
              <w:t>340艘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844" w:type="dxa"/>
            <w:vAlign w:val="center"/>
          </w:tcPr>
          <w:p>
            <w:pPr>
              <w:jc w:val="center"/>
              <w:rPr>
                <w:rFonts w:hint="eastAsia" w:ascii="宋体" w:hAnsi="宋体" w:eastAsia="宋体" w:cs="??"/>
                <w:szCs w:val="21"/>
                <w:lang w:val="en-US" w:eastAsia="zh-CN"/>
              </w:rPr>
            </w:pPr>
            <w:r>
              <w:rPr>
                <w:rFonts w:hint="eastAsia" w:ascii="宋体" w:hAnsi="宋体" w:cs="??"/>
                <w:szCs w:val="21"/>
                <w:lang w:val="en-US" w:eastAsia="zh-CN"/>
              </w:rPr>
              <w:t>年限</w:t>
            </w:r>
          </w:p>
        </w:tc>
        <w:tc>
          <w:tcPr>
            <w:tcW w:w="7708" w:type="dxa"/>
            <w:vAlign w:val="center"/>
          </w:tcPr>
          <w:p>
            <w:pPr>
              <w:jc w:val="center"/>
              <w:rPr>
                <w:rFonts w:hint="eastAsia" w:ascii="宋体" w:hAnsi="宋体" w:eastAsia="宋体" w:cs="??"/>
                <w:szCs w:val="21"/>
                <w:lang w:val="en-US" w:eastAsia="zh-CN"/>
              </w:rPr>
            </w:pPr>
            <w:r>
              <w:rPr>
                <w:rFonts w:hint="eastAsia" w:ascii="宋体" w:hAnsi="宋体" w:cs="??"/>
                <w:szCs w:val="21"/>
                <w:lang w:val="en-US" w:eastAsia="zh-CN"/>
              </w:rPr>
              <w:t>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844" w:type="dxa"/>
            <w:vAlign w:val="center"/>
          </w:tcPr>
          <w:p>
            <w:pPr>
              <w:jc w:val="center"/>
              <w:rPr>
                <w:rFonts w:ascii="宋体" w:hAnsi="宋体" w:cs="??"/>
                <w:szCs w:val="21"/>
              </w:rPr>
            </w:pPr>
            <w:r>
              <w:rPr>
                <w:rFonts w:hint="eastAsia" w:ascii="宋体" w:hAnsi="宋体" w:cs="??"/>
                <w:szCs w:val="21"/>
              </w:rPr>
              <w:t>单价（元</w:t>
            </w:r>
            <w:r>
              <w:rPr>
                <w:rFonts w:hint="eastAsia" w:ascii="宋体" w:hAnsi="宋体" w:cs="??"/>
                <w:szCs w:val="21"/>
                <w:lang w:val="en-US" w:eastAsia="zh-CN"/>
              </w:rPr>
              <w:t>/艘·年</w:t>
            </w:r>
            <w:r>
              <w:rPr>
                <w:rFonts w:hint="eastAsia" w:ascii="宋体" w:hAnsi="宋体" w:cs="??"/>
                <w:szCs w:val="21"/>
              </w:rPr>
              <w:t>）</w:t>
            </w:r>
          </w:p>
        </w:tc>
        <w:tc>
          <w:tcPr>
            <w:tcW w:w="7708" w:type="dxa"/>
            <w:vAlign w:val="center"/>
          </w:tcPr>
          <w:p>
            <w:pPr>
              <w:jc w:val="center"/>
              <w:rPr>
                <w:rFonts w:hint="eastAsia" w:ascii="宋体" w:hAnsi="宋体" w: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jc w:val="center"/>
        </w:trPr>
        <w:tc>
          <w:tcPr>
            <w:tcW w:w="1844" w:type="dxa"/>
            <w:vAlign w:val="center"/>
          </w:tcPr>
          <w:p>
            <w:pPr>
              <w:jc w:val="center"/>
              <w:rPr>
                <w:rFonts w:hint="eastAsia" w:ascii="宋体" w:hAnsi="宋体" w:cs="??"/>
                <w:szCs w:val="21"/>
              </w:rPr>
            </w:pPr>
            <w:r>
              <w:rPr>
                <w:rFonts w:hint="eastAsia" w:ascii="宋体" w:hAnsi="宋体" w:cs="??"/>
                <w:szCs w:val="21"/>
              </w:rPr>
              <w:t>总价（元）</w:t>
            </w:r>
          </w:p>
        </w:tc>
        <w:tc>
          <w:tcPr>
            <w:tcW w:w="7708" w:type="dxa"/>
            <w:vAlign w:val="center"/>
          </w:tcPr>
          <w:p>
            <w:pPr>
              <w:jc w:val="center"/>
              <w:rPr>
                <w:rFonts w:hint="eastAsia" w:ascii="宋体" w:hAnsi="宋体" w:cs="??"/>
                <w:szCs w:val="21"/>
              </w:rPr>
            </w:pPr>
          </w:p>
        </w:tc>
      </w:tr>
    </w:tbl>
    <w:p>
      <w:pPr>
        <w:spacing w:line="360" w:lineRule="auto"/>
        <w:ind w:firstLine="420" w:firstLineChars="200"/>
        <w:rPr>
          <w:rFonts w:hint="eastAsia" w:ascii="宋体" w:hAnsi="宋体"/>
          <w:b/>
          <w:szCs w:val="21"/>
        </w:rPr>
      </w:pPr>
      <w:r>
        <w:rPr>
          <w:rFonts w:hint="eastAsia" w:ascii="宋体" w:hAnsi="宋体"/>
          <w:szCs w:val="21"/>
        </w:rPr>
        <w:t>注：该报价含每艘船上用户与200个对外服务白名单号码主叫、被叫的所有通信（含短信）费用，及除白名单号码外的1000分钟通话时长费用，并包括入网费、座机费等。由甲方提供包括市（县区）渔业应急指挥中心、点验中心、乡镇渔办、公共报警电话、应急管理部门、海事管理部门等200个对外服务白名单号码。运营服务期内，乙方须保证船上用户与白名单号码主叫、被叫免费，通信正常，不得欠费停机，不另行收费。</w:t>
      </w:r>
    </w:p>
    <w:p>
      <w:pPr>
        <w:spacing w:line="360" w:lineRule="auto"/>
        <w:ind w:firstLine="422" w:firstLineChars="200"/>
        <w:rPr>
          <w:rFonts w:ascii="宋体" w:hAnsi="宋体"/>
          <w:b/>
          <w:szCs w:val="21"/>
        </w:rPr>
      </w:pPr>
      <w:r>
        <w:rPr>
          <w:rFonts w:hint="eastAsia" w:ascii="宋体" w:hAnsi="宋体"/>
          <w:b/>
          <w:szCs w:val="21"/>
        </w:rPr>
        <w:t>四、专项服务和内容</w:t>
      </w:r>
    </w:p>
    <w:p>
      <w:pPr>
        <w:spacing w:line="360" w:lineRule="auto"/>
        <w:ind w:firstLine="422" w:firstLineChars="200"/>
        <w:rPr>
          <w:rFonts w:hint="eastAsia" w:ascii="宋体" w:hAnsi="宋体"/>
          <w:b/>
          <w:szCs w:val="21"/>
        </w:rPr>
      </w:pPr>
      <w:r>
        <w:rPr>
          <w:rFonts w:hint="eastAsia" w:ascii="宋体" w:hAnsi="宋体"/>
          <w:b/>
          <w:szCs w:val="21"/>
        </w:rPr>
        <w:t>（1）</w:t>
      </w:r>
      <w:r>
        <w:rPr>
          <w:rFonts w:hint="eastAsia" w:ascii="宋体" w:hAnsi="宋体"/>
          <w:bCs/>
          <w:szCs w:val="21"/>
        </w:rPr>
        <w:t>乙方</w:t>
      </w:r>
      <w:bookmarkStart w:id="10" w:name="_Hlk57385669"/>
      <w:r>
        <w:rPr>
          <w:rFonts w:hint="eastAsia" w:ascii="宋体" w:hAnsi="宋体"/>
          <w:bCs/>
          <w:szCs w:val="21"/>
        </w:rPr>
        <w:t>提供船载卫星语音终端</w:t>
      </w:r>
      <w:r>
        <w:rPr>
          <w:rFonts w:hint="eastAsia" w:ascii="宋体" w:hAnsi="宋体"/>
          <w:b/>
          <w:szCs w:val="21"/>
        </w:rPr>
        <w:t>设备免费租用服务</w:t>
      </w:r>
      <w:r>
        <w:rPr>
          <w:rFonts w:hint="eastAsia" w:ascii="宋体" w:hAnsi="宋体"/>
          <w:bCs/>
          <w:szCs w:val="21"/>
        </w:rPr>
        <w:t>的配置清单及单价</w:t>
      </w:r>
      <w:bookmarkEnd w:id="10"/>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3"/>
        <w:gridCol w:w="3894"/>
        <w:gridCol w:w="1198"/>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pacing w:val="4"/>
                <w:szCs w:val="21"/>
              </w:rPr>
              <w:t>名称</w:t>
            </w:r>
          </w:p>
        </w:tc>
        <w:tc>
          <w:tcPr>
            <w:tcW w:w="38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pacing w:val="4"/>
                <w:szCs w:val="21"/>
              </w:rPr>
              <w:t>品牌</w:t>
            </w:r>
            <w:r>
              <w:rPr>
                <w:rFonts w:hint="eastAsia" w:ascii="宋体" w:hAnsi="宋体"/>
                <w:szCs w:val="21"/>
              </w:rPr>
              <w:t>型号</w:t>
            </w: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单位</w:t>
            </w:r>
          </w:p>
        </w:tc>
        <w:tc>
          <w:tcPr>
            <w:tcW w:w="24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8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4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8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4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2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38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4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bl>
    <w:p>
      <w:pPr>
        <w:spacing w:line="360" w:lineRule="auto"/>
        <w:ind w:firstLine="420" w:firstLineChars="200"/>
        <w:rPr>
          <w:rFonts w:ascii="宋体" w:hAnsi="宋体"/>
          <w:bCs/>
          <w:szCs w:val="21"/>
        </w:rPr>
      </w:pPr>
      <w:r>
        <w:rPr>
          <w:rFonts w:hint="eastAsia" w:ascii="宋体" w:hAnsi="宋体"/>
          <w:bCs/>
          <w:szCs w:val="21"/>
        </w:rPr>
        <w:t>注：乙方提供本次服务设备的配置清单及单价，单价应不高于同期市场价的80%，作为设备因人为损坏、遗失时维修或赔偿的价格参照依据。</w:t>
      </w:r>
    </w:p>
    <w:p>
      <w:pPr>
        <w:spacing w:line="360" w:lineRule="auto"/>
        <w:ind w:firstLine="422" w:firstLineChars="200"/>
        <w:rPr>
          <w:rFonts w:ascii="宋体" w:hAnsi="宋体"/>
          <w:b/>
          <w:szCs w:val="21"/>
        </w:rPr>
      </w:pPr>
      <w:r>
        <w:rPr>
          <w:rFonts w:hint="eastAsia" w:ascii="宋体" w:hAnsi="宋体"/>
          <w:b/>
          <w:szCs w:val="21"/>
        </w:rPr>
        <w:t>（2）船上用户自行支付部分</w:t>
      </w:r>
      <w:r>
        <w:rPr>
          <w:rFonts w:hint="eastAsia" w:ascii="宋体" w:hAnsi="宋体"/>
          <w:bCs/>
          <w:szCs w:val="21"/>
        </w:rPr>
        <w:t>的通话、短信等收费单价和优惠情况</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1815"/>
        <w:gridCol w:w="1783"/>
        <w:gridCol w:w="1419"/>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14" w:type="dxa"/>
            <w:vAlign w:val="center"/>
          </w:tcPr>
          <w:p>
            <w:pPr>
              <w:snapToGrid w:val="0"/>
              <w:jc w:val="center"/>
              <w:rPr>
                <w:rFonts w:ascii="宋体" w:hAnsi="宋体" w:cs="??"/>
                <w:bCs/>
                <w:szCs w:val="21"/>
              </w:rPr>
            </w:pPr>
            <w:r>
              <w:rPr>
                <w:rFonts w:hint="eastAsia" w:ascii="宋体" w:hAnsi="宋体" w:cs="??"/>
                <w:bCs/>
                <w:szCs w:val="21"/>
              </w:rPr>
              <w:t>内容</w:t>
            </w:r>
          </w:p>
        </w:tc>
        <w:tc>
          <w:tcPr>
            <w:tcW w:w="1815" w:type="dxa"/>
            <w:vAlign w:val="center"/>
          </w:tcPr>
          <w:p>
            <w:pPr>
              <w:snapToGrid w:val="0"/>
              <w:jc w:val="center"/>
              <w:rPr>
                <w:rFonts w:ascii="宋体" w:hAnsi="宋体" w:cs="??"/>
                <w:bCs/>
                <w:szCs w:val="21"/>
              </w:rPr>
            </w:pPr>
            <w:r>
              <w:rPr>
                <w:rFonts w:hint="eastAsia" w:ascii="宋体" w:hAnsi="宋体" w:cs="??"/>
                <w:bCs/>
                <w:szCs w:val="21"/>
              </w:rPr>
              <w:t>自行支付部分</w:t>
            </w:r>
          </w:p>
          <w:p>
            <w:pPr>
              <w:snapToGrid w:val="0"/>
              <w:jc w:val="center"/>
              <w:rPr>
                <w:rFonts w:ascii="宋体" w:hAnsi="宋体" w:cs="??"/>
                <w:bCs/>
                <w:szCs w:val="21"/>
              </w:rPr>
            </w:pPr>
            <w:r>
              <w:rPr>
                <w:rFonts w:hint="eastAsia" w:ascii="宋体" w:hAnsi="宋体" w:cs="??"/>
                <w:bCs/>
                <w:szCs w:val="21"/>
              </w:rPr>
              <w:t>收费单价</w:t>
            </w:r>
          </w:p>
        </w:tc>
        <w:tc>
          <w:tcPr>
            <w:tcW w:w="1783" w:type="dxa"/>
            <w:vAlign w:val="center"/>
          </w:tcPr>
          <w:p>
            <w:pPr>
              <w:snapToGrid w:val="0"/>
              <w:jc w:val="center"/>
              <w:rPr>
                <w:rFonts w:ascii="宋体" w:hAnsi="宋体" w:cs="??"/>
                <w:bCs/>
                <w:szCs w:val="21"/>
              </w:rPr>
            </w:pPr>
            <w:r>
              <w:rPr>
                <w:rFonts w:hint="eastAsia" w:ascii="宋体" w:hAnsi="宋体" w:cs="??"/>
                <w:bCs/>
                <w:szCs w:val="21"/>
              </w:rPr>
              <w:t>乙方对外公开</w:t>
            </w:r>
          </w:p>
          <w:p>
            <w:pPr>
              <w:snapToGrid w:val="0"/>
              <w:jc w:val="center"/>
              <w:rPr>
                <w:rFonts w:hint="eastAsia" w:ascii="宋体" w:hAnsi="宋体" w:cs="??"/>
                <w:bCs/>
                <w:szCs w:val="21"/>
              </w:rPr>
            </w:pPr>
            <w:r>
              <w:rPr>
                <w:rFonts w:hint="eastAsia" w:ascii="宋体" w:hAnsi="宋体" w:cs="??"/>
                <w:bCs/>
                <w:szCs w:val="21"/>
              </w:rPr>
              <w:t>收费标准</w:t>
            </w:r>
          </w:p>
        </w:tc>
        <w:tc>
          <w:tcPr>
            <w:tcW w:w="1419" w:type="dxa"/>
            <w:vAlign w:val="center"/>
          </w:tcPr>
          <w:p>
            <w:pPr>
              <w:snapToGrid w:val="0"/>
              <w:jc w:val="center"/>
              <w:rPr>
                <w:rFonts w:ascii="宋体" w:hAnsi="宋体" w:cs="??"/>
                <w:bCs/>
                <w:szCs w:val="21"/>
              </w:rPr>
            </w:pPr>
            <w:r>
              <w:rPr>
                <w:rFonts w:hint="eastAsia" w:ascii="宋体" w:hAnsi="宋体" w:cs="??"/>
                <w:bCs/>
                <w:szCs w:val="21"/>
              </w:rPr>
              <w:t>优惠比率</w:t>
            </w:r>
          </w:p>
          <w:p>
            <w:pPr>
              <w:snapToGrid w:val="0"/>
              <w:jc w:val="center"/>
              <w:rPr>
                <w:rFonts w:hint="eastAsia" w:ascii="宋体" w:hAnsi="宋体" w:cs="??"/>
                <w:bCs/>
                <w:szCs w:val="21"/>
              </w:rPr>
            </w:pPr>
            <w:r>
              <w:rPr>
                <w:rFonts w:hint="eastAsia" w:ascii="宋体" w:hAnsi="宋体" w:cs="??"/>
                <w:bCs/>
                <w:szCs w:val="21"/>
              </w:rPr>
              <w:t>（%）</w:t>
            </w:r>
          </w:p>
        </w:tc>
        <w:tc>
          <w:tcPr>
            <w:tcW w:w="2525" w:type="dxa"/>
            <w:vAlign w:val="center"/>
          </w:tcPr>
          <w:p>
            <w:pPr>
              <w:snapToGrid w:val="0"/>
              <w:jc w:val="center"/>
              <w:rPr>
                <w:rFonts w:hint="eastAsia" w:ascii="宋体" w:hAnsi="宋体" w:cs="??"/>
                <w:bCs/>
                <w:szCs w:val="21"/>
              </w:rPr>
            </w:pPr>
            <w:r>
              <w:rPr>
                <w:rFonts w:hint="eastAsia" w:ascii="宋体" w:hAnsi="宋体" w:cs="??"/>
                <w:bCs/>
                <w:szCs w:val="21"/>
              </w:rPr>
              <w:t>赠送情况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14" w:type="dxa"/>
            <w:vAlign w:val="center"/>
          </w:tcPr>
          <w:p>
            <w:pPr>
              <w:snapToGrid w:val="0"/>
              <w:jc w:val="center"/>
              <w:rPr>
                <w:rFonts w:hint="eastAsia" w:ascii="宋体" w:hAnsi="宋体" w:cs="??"/>
                <w:bCs/>
                <w:szCs w:val="21"/>
              </w:rPr>
            </w:pPr>
            <w:r>
              <w:rPr>
                <w:rFonts w:hint="eastAsia" w:ascii="宋体" w:hAnsi="宋体" w:cs="??"/>
                <w:bCs/>
                <w:szCs w:val="21"/>
              </w:rPr>
              <w:t>通话</w:t>
            </w:r>
          </w:p>
        </w:tc>
        <w:tc>
          <w:tcPr>
            <w:tcW w:w="1815" w:type="dxa"/>
            <w:vAlign w:val="center"/>
          </w:tcPr>
          <w:p>
            <w:pPr>
              <w:snapToGrid w:val="0"/>
              <w:jc w:val="center"/>
              <w:rPr>
                <w:rFonts w:ascii="宋体" w:hAnsi="宋体" w:cs="??"/>
                <w:bCs/>
                <w:szCs w:val="21"/>
              </w:rPr>
            </w:pPr>
          </w:p>
        </w:tc>
        <w:tc>
          <w:tcPr>
            <w:tcW w:w="1783" w:type="dxa"/>
            <w:vAlign w:val="center"/>
          </w:tcPr>
          <w:p>
            <w:pPr>
              <w:snapToGrid w:val="0"/>
              <w:jc w:val="center"/>
              <w:rPr>
                <w:rFonts w:ascii="宋体" w:hAnsi="宋体" w:cs="??"/>
                <w:bCs/>
                <w:szCs w:val="21"/>
              </w:rPr>
            </w:pPr>
          </w:p>
        </w:tc>
        <w:tc>
          <w:tcPr>
            <w:tcW w:w="1419" w:type="dxa"/>
            <w:vAlign w:val="center"/>
          </w:tcPr>
          <w:p>
            <w:pPr>
              <w:snapToGrid w:val="0"/>
              <w:jc w:val="center"/>
              <w:rPr>
                <w:rFonts w:ascii="宋体" w:hAnsi="宋体" w:cs="??"/>
                <w:bCs/>
                <w:szCs w:val="21"/>
              </w:rPr>
            </w:pPr>
          </w:p>
        </w:tc>
        <w:tc>
          <w:tcPr>
            <w:tcW w:w="2525" w:type="dxa"/>
            <w:vAlign w:val="center"/>
          </w:tcPr>
          <w:p>
            <w:pPr>
              <w:snapToGrid w:val="0"/>
              <w:jc w:val="center"/>
              <w:rPr>
                <w:rFonts w:ascii="宋体" w:hAnsi="宋体" w:cs="??"/>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14" w:type="dxa"/>
            <w:vAlign w:val="center"/>
          </w:tcPr>
          <w:p>
            <w:pPr>
              <w:snapToGrid w:val="0"/>
              <w:jc w:val="center"/>
              <w:rPr>
                <w:rFonts w:hint="eastAsia" w:ascii="宋体" w:hAnsi="宋体" w:cs="??"/>
                <w:bCs/>
                <w:szCs w:val="21"/>
              </w:rPr>
            </w:pPr>
            <w:r>
              <w:rPr>
                <w:rFonts w:hint="eastAsia" w:ascii="宋体" w:hAnsi="宋体" w:cs="??"/>
                <w:bCs/>
                <w:szCs w:val="21"/>
              </w:rPr>
              <w:t>短信</w:t>
            </w:r>
          </w:p>
        </w:tc>
        <w:tc>
          <w:tcPr>
            <w:tcW w:w="1815" w:type="dxa"/>
            <w:vAlign w:val="center"/>
          </w:tcPr>
          <w:p>
            <w:pPr>
              <w:snapToGrid w:val="0"/>
              <w:jc w:val="center"/>
              <w:rPr>
                <w:rFonts w:ascii="宋体" w:hAnsi="宋体" w:cs="??"/>
                <w:bCs/>
                <w:szCs w:val="21"/>
              </w:rPr>
            </w:pPr>
          </w:p>
        </w:tc>
        <w:tc>
          <w:tcPr>
            <w:tcW w:w="1783" w:type="dxa"/>
            <w:vAlign w:val="center"/>
          </w:tcPr>
          <w:p>
            <w:pPr>
              <w:snapToGrid w:val="0"/>
              <w:jc w:val="center"/>
              <w:rPr>
                <w:rFonts w:ascii="宋体" w:hAnsi="宋体" w:cs="??"/>
                <w:bCs/>
                <w:szCs w:val="21"/>
              </w:rPr>
            </w:pPr>
          </w:p>
        </w:tc>
        <w:tc>
          <w:tcPr>
            <w:tcW w:w="1419" w:type="dxa"/>
            <w:vAlign w:val="center"/>
          </w:tcPr>
          <w:p>
            <w:pPr>
              <w:snapToGrid w:val="0"/>
              <w:jc w:val="center"/>
              <w:rPr>
                <w:rFonts w:ascii="宋体" w:hAnsi="宋体" w:cs="??"/>
                <w:bCs/>
                <w:szCs w:val="21"/>
              </w:rPr>
            </w:pPr>
          </w:p>
        </w:tc>
        <w:tc>
          <w:tcPr>
            <w:tcW w:w="2525" w:type="dxa"/>
            <w:vAlign w:val="center"/>
          </w:tcPr>
          <w:p>
            <w:pPr>
              <w:snapToGrid w:val="0"/>
              <w:jc w:val="center"/>
              <w:rPr>
                <w:rFonts w:ascii="宋体" w:hAnsi="宋体" w:cs="??"/>
                <w:bCs/>
                <w:szCs w:val="21"/>
              </w:rPr>
            </w:pPr>
          </w:p>
        </w:tc>
      </w:tr>
    </w:tbl>
    <w:p>
      <w:pPr>
        <w:spacing w:line="360" w:lineRule="auto"/>
        <w:ind w:firstLine="420" w:firstLineChars="200"/>
        <w:rPr>
          <w:rFonts w:ascii="宋体" w:hAnsi="宋体"/>
          <w:bCs/>
          <w:szCs w:val="21"/>
        </w:rPr>
      </w:pPr>
      <w:r>
        <w:rPr>
          <w:rFonts w:hint="eastAsia" w:ascii="宋体" w:hAnsi="宋体"/>
          <w:bCs/>
          <w:szCs w:val="21"/>
        </w:rPr>
        <w:t>注：对船上用户使用超出1000分钟通话时长的，除拨打、接听白名单号码仍应免费外，相应费用由船上用户自行支付，乙方应说明通话计时方式、短信资费及其相应的计费措施，并明确通话、短信的收费单价，该单价应低于市场公开收费标准。</w:t>
      </w:r>
    </w:p>
    <w:p>
      <w:pPr>
        <w:spacing w:line="360" w:lineRule="auto"/>
        <w:ind w:firstLine="422" w:firstLineChars="200"/>
        <w:rPr>
          <w:rFonts w:hint="eastAsia" w:ascii="宋体" w:hAnsi="宋体"/>
          <w:b/>
          <w:szCs w:val="21"/>
        </w:rPr>
      </w:pPr>
      <w:r>
        <w:rPr>
          <w:rFonts w:hint="eastAsia" w:ascii="宋体" w:hAnsi="宋体"/>
          <w:b/>
          <w:szCs w:val="21"/>
        </w:rPr>
        <w:t>五、技术要求</w:t>
      </w:r>
    </w:p>
    <w:p>
      <w:pPr>
        <w:widowControl/>
        <w:spacing w:line="360" w:lineRule="auto"/>
        <w:ind w:firstLine="417" w:firstLineChars="199"/>
        <w:rPr>
          <w:rFonts w:hint="eastAsia" w:ascii="宋体" w:hAnsi="宋体"/>
          <w:kern w:val="0"/>
          <w:szCs w:val="21"/>
          <w:u w:val="single"/>
        </w:rPr>
      </w:pPr>
      <w:r>
        <w:rPr>
          <w:rFonts w:ascii="宋体" w:hAnsi="宋体"/>
          <w:kern w:val="0"/>
          <w:szCs w:val="21"/>
          <w:u w:val="single"/>
        </w:rPr>
        <w:t xml:space="preserve">                                            </w:t>
      </w:r>
    </w:p>
    <w:p>
      <w:pPr>
        <w:spacing w:line="360" w:lineRule="auto"/>
        <w:ind w:firstLine="422" w:firstLineChars="200"/>
        <w:rPr>
          <w:rFonts w:hint="eastAsia" w:ascii="宋体" w:hAnsi="宋体"/>
          <w:b/>
          <w:szCs w:val="21"/>
        </w:rPr>
      </w:pPr>
      <w:r>
        <w:rPr>
          <w:rFonts w:hint="eastAsia" w:ascii="宋体" w:hAnsi="宋体"/>
          <w:b/>
          <w:szCs w:val="21"/>
        </w:rPr>
        <w:t>六、售后服务及要求</w:t>
      </w:r>
    </w:p>
    <w:p>
      <w:pPr>
        <w:spacing w:line="360" w:lineRule="auto"/>
        <w:ind w:firstLine="420" w:firstLineChars="200"/>
        <w:rPr>
          <w:rFonts w:hint="eastAsia" w:ascii="宋体" w:hAnsi="宋体"/>
          <w:b/>
          <w:szCs w:val="21"/>
        </w:rPr>
      </w:pPr>
      <w:r>
        <w:rPr>
          <w:rFonts w:ascii="宋体" w:hAnsi="宋体"/>
          <w:kern w:val="0"/>
          <w:szCs w:val="21"/>
          <w:u w:val="single"/>
        </w:rPr>
        <w:t xml:space="preserve">                                            </w:t>
      </w:r>
    </w:p>
    <w:p>
      <w:pPr>
        <w:spacing w:line="360" w:lineRule="auto"/>
        <w:ind w:firstLine="422" w:firstLineChars="200"/>
        <w:rPr>
          <w:rFonts w:hint="eastAsia" w:ascii="宋体" w:hAnsi="宋体"/>
          <w:b/>
          <w:szCs w:val="21"/>
        </w:rPr>
      </w:pPr>
      <w:r>
        <w:rPr>
          <w:rFonts w:hint="eastAsia" w:ascii="宋体" w:hAnsi="宋体"/>
          <w:b/>
          <w:szCs w:val="21"/>
        </w:rPr>
        <w:t>七、培训</w:t>
      </w:r>
    </w:p>
    <w:p>
      <w:pPr>
        <w:spacing w:line="360" w:lineRule="auto"/>
        <w:ind w:firstLine="420" w:firstLineChars="200"/>
        <w:rPr>
          <w:rFonts w:hint="eastAsia" w:ascii="宋体" w:hAnsi="宋体"/>
          <w:b/>
          <w:szCs w:val="21"/>
        </w:rPr>
      </w:pPr>
      <w:r>
        <w:rPr>
          <w:rFonts w:ascii="宋体" w:hAnsi="宋体"/>
          <w:kern w:val="0"/>
          <w:szCs w:val="21"/>
          <w:u w:val="single"/>
        </w:rPr>
        <w:t xml:space="preserve">                                            </w:t>
      </w:r>
    </w:p>
    <w:p>
      <w:pPr>
        <w:spacing w:line="360" w:lineRule="auto"/>
        <w:ind w:firstLine="422" w:firstLineChars="200"/>
        <w:rPr>
          <w:rFonts w:hint="eastAsia" w:ascii="宋体" w:hAnsi="宋体"/>
          <w:b/>
          <w:szCs w:val="21"/>
        </w:rPr>
      </w:pPr>
      <w:r>
        <w:rPr>
          <w:rFonts w:hint="eastAsia" w:ascii="宋体" w:hAnsi="宋体"/>
          <w:b/>
          <w:szCs w:val="21"/>
          <w:lang w:val="en-US" w:eastAsia="zh-CN"/>
        </w:rPr>
        <w:t>八</w:t>
      </w:r>
      <w:r>
        <w:rPr>
          <w:rFonts w:hint="eastAsia" w:ascii="宋体" w:hAnsi="宋体"/>
          <w:b/>
          <w:szCs w:val="21"/>
        </w:rPr>
        <w:t>、付款方式</w:t>
      </w:r>
    </w:p>
    <w:p>
      <w:pPr>
        <w:spacing w:line="360" w:lineRule="auto"/>
        <w:ind w:firstLine="420" w:firstLineChars="200"/>
        <w:rPr>
          <w:rFonts w:hint="eastAsia" w:ascii="宋体" w:hAnsi="宋体"/>
          <w:b/>
          <w:szCs w:val="21"/>
        </w:rPr>
      </w:pPr>
      <w:r>
        <w:rPr>
          <w:rFonts w:ascii="宋体" w:hAnsi="宋体"/>
          <w:kern w:val="0"/>
          <w:szCs w:val="21"/>
          <w:u w:val="single"/>
        </w:rPr>
        <w:t xml:space="preserve">                                            </w:t>
      </w:r>
    </w:p>
    <w:p>
      <w:pPr>
        <w:spacing w:line="360" w:lineRule="auto"/>
        <w:ind w:firstLine="413" w:firstLineChars="196"/>
        <w:rPr>
          <w:rFonts w:hint="eastAsia" w:ascii="宋体" w:hAnsi="宋体"/>
          <w:b/>
          <w:szCs w:val="21"/>
        </w:rPr>
      </w:pPr>
      <w:r>
        <w:rPr>
          <w:rFonts w:hint="eastAsia" w:ascii="宋体" w:hAnsi="宋体"/>
          <w:b/>
          <w:szCs w:val="21"/>
          <w:lang w:val="en-US" w:eastAsia="zh-CN"/>
        </w:rPr>
        <w:t>九</w:t>
      </w:r>
      <w:r>
        <w:rPr>
          <w:rFonts w:hint="eastAsia" w:ascii="宋体" w:hAnsi="宋体"/>
          <w:b/>
          <w:szCs w:val="21"/>
        </w:rPr>
        <w:t>、专利权</w:t>
      </w:r>
    </w:p>
    <w:p>
      <w:pPr>
        <w:spacing w:line="360" w:lineRule="auto"/>
        <w:ind w:firstLine="420" w:firstLineChars="200"/>
        <w:rPr>
          <w:rFonts w:hint="eastAsia" w:ascii="宋体" w:hAnsi="宋体"/>
          <w:szCs w:val="21"/>
        </w:rPr>
      </w:pPr>
      <w:r>
        <w:rPr>
          <w:rFonts w:hint="eastAsia" w:ascii="宋体" w:hAnsi="宋体"/>
          <w:szCs w:val="21"/>
        </w:rPr>
        <w:t>乙方应保护甲方在使用该设备和软件或其任何一部分时不受第三方提出侵犯专利权、商标权或工业设计权等知识产权等的指控。如果任何第三方提出侵权指控，乙方须与第三方交涉并承担可能发生的一切法律责任和费用。</w:t>
      </w:r>
    </w:p>
    <w:p>
      <w:pPr>
        <w:spacing w:line="360" w:lineRule="auto"/>
        <w:ind w:firstLine="422" w:firstLineChars="200"/>
        <w:rPr>
          <w:rFonts w:hint="eastAsia" w:ascii="宋体" w:hAnsi="宋体"/>
          <w:szCs w:val="21"/>
        </w:rPr>
      </w:pPr>
      <w:r>
        <w:rPr>
          <w:rFonts w:hint="eastAsia" w:ascii="宋体" w:hAnsi="宋体"/>
          <w:b/>
          <w:szCs w:val="21"/>
        </w:rPr>
        <w:t>十、追加设备或服务处理</w:t>
      </w:r>
    </w:p>
    <w:p>
      <w:pPr>
        <w:spacing w:line="360" w:lineRule="auto"/>
        <w:ind w:firstLine="420" w:firstLineChars="200"/>
        <w:rPr>
          <w:rFonts w:hint="eastAsia" w:ascii="宋体" w:hAnsi="宋体"/>
          <w:szCs w:val="21"/>
        </w:rPr>
      </w:pPr>
      <w:r>
        <w:rPr>
          <w:rFonts w:hint="eastAsia" w:ascii="宋体" w:hAnsi="宋体"/>
          <w:szCs w:val="21"/>
        </w:rPr>
        <w:t>在合同履行时，甲方有权对合同中所列的设备及服务予以增加（不超过本合同金额的10%），但不对单价或其他的条款作任何改变。</w:t>
      </w:r>
    </w:p>
    <w:p>
      <w:pPr>
        <w:spacing w:line="360" w:lineRule="auto"/>
        <w:ind w:firstLine="422" w:firstLineChars="200"/>
        <w:rPr>
          <w:rFonts w:hint="eastAsia" w:ascii="宋体" w:hAnsi="宋体"/>
          <w:szCs w:val="21"/>
        </w:rPr>
      </w:pPr>
      <w:r>
        <w:rPr>
          <w:rFonts w:hint="eastAsia" w:ascii="宋体" w:hAnsi="宋体"/>
          <w:b/>
          <w:szCs w:val="21"/>
        </w:rPr>
        <w:t>十</w:t>
      </w:r>
      <w:r>
        <w:rPr>
          <w:rFonts w:hint="eastAsia" w:ascii="宋体" w:hAnsi="宋体"/>
          <w:b/>
          <w:szCs w:val="21"/>
          <w:lang w:val="en-US" w:eastAsia="zh-CN"/>
        </w:rPr>
        <w:t>一</w:t>
      </w:r>
      <w:r>
        <w:rPr>
          <w:rFonts w:hint="eastAsia" w:ascii="宋体" w:hAnsi="宋体"/>
          <w:b/>
          <w:szCs w:val="21"/>
        </w:rPr>
        <w:t>、延期交货</w:t>
      </w:r>
    </w:p>
    <w:p>
      <w:pPr>
        <w:spacing w:line="360" w:lineRule="auto"/>
        <w:ind w:firstLine="420" w:firstLineChars="200"/>
        <w:rPr>
          <w:rFonts w:hint="eastAsia" w:ascii="宋体" w:hAnsi="宋体"/>
          <w:szCs w:val="21"/>
        </w:rPr>
      </w:pPr>
      <w:r>
        <w:rPr>
          <w:rFonts w:hint="eastAsia" w:ascii="宋体" w:hAnsi="宋体"/>
          <w:szCs w:val="21"/>
        </w:rPr>
        <w:t>1、在履行合同过程中，如果乙方遇到不能按时</w:t>
      </w:r>
      <w:r>
        <w:rPr>
          <w:rFonts w:hint="eastAsia" w:ascii="宋体" w:hAnsi="宋体"/>
          <w:szCs w:val="21"/>
          <w:lang w:val="en-US" w:eastAsia="zh-CN"/>
        </w:rPr>
        <w:t>提供服务</w:t>
      </w:r>
      <w:r>
        <w:rPr>
          <w:rFonts w:hint="eastAsia" w:ascii="宋体" w:hAnsi="宋体"/>
          <w:szCs w:val="21"/>
        </w:rPr>
        <w:t>或不能按时完成系统的</w:t>
      </w:r>
      <w:r>
        <w:rPr>
          <w:rFonts w:hint="eastAsia" w:ascii="宋体" w:hAnsi="宋体"/>
          <w:szCs w:val="21"/>
          <w:lang w:val="en-US" w:eastAsia="zh-CN"/>
        </w:rPr>
        <w:t>服务</w:t>
      </w:r>
      <w:r>
        <w:rPr>
          <w:rFonts w:hint="eastAsia" w:ascii="宋体" w:hAnsi="宋体"/>
          <w:szCs w:val="21"/>
        </w:rPr>
        <w:t>情况，应及时以书面形式将不能按时</w:t>
      </w:r>
      <w:r>
        <w:rPr>
          <w:rFonts w:hint="eastAsia" w:ascii="宋体" w:hAnsi="宋体"/>
          <w:szCs w:val="21"/>
          <w:lang w:val="en-US" w:eastAsia="zh-CN"/>
        </w:rPr>
        <w:t>提供服务</w:t>
      </w:r>
      <w:r>
        <w:rPr>
          <w:rFonts w:hint="eastAsia" w:ascii="宋体" w:hAnsi="宋体"/>
          <w:szCs w:val="21"/>
        </w:rPr>
        <w:t>或不能按时完成系统</w:t>
      </w:r>
      <w:r>
        <w:rPr>
          <w:rFonts w:hint="eastAsia" w:ascii="宋体" w:hAnsi="宋体"/>
          <w:szCs w:val="21"/>
          <w:lang w:val="en-US" w:eastAsia="zh-CN"/>
        </w:rPr>
        <w:t>服务</w:t>
      </w:r>
      <w:r>
        <w:rPr>
          <w:rFonts w:hint="eastAsia" w:ascii="宋体" w:hAnsi="宋体"/>
          <w:szCs w:val="21"/>
        </w:rPr>
        <w:t>情况的理由、延误时间通知甲方。甲方收到乙方的通知后，应进行分析，如果同意，可通过修改合同，酌情延长交货时间。</w:t>
      </w:r>
    </w:p>
    <w:p>
      <w:pPr>
        <w:spacing w:line="360" w:lineRule="auto"/>
        <w:ind w:firstLine="420" w:firstLineChars="200"/>
        <w:rPr>
          <w:rFonts w:hint="eastAsia" w:ascii="宋体" w:hAnsi="宋体"/>
          <w:szCs w:val="21"/>
        </w:rPr>
      </w:pPr>
      <w:r>
        <w:rPr>
          <w:rFonts w:hint="eastAsia" w:ascii="宋体" w:hAnsi="宋体"/>
          <w:szCs w:val="21"/>
        </w:rPr>
        <w:t>2、如果乙方无正当理由拖延</w:t>
      </w:r>
      <w:r>
        <w:rPr>
          <w:rFonts w:hint="eastAsia" w:ascii="宋体" w:hAnsi="宋体"/>
          <w:szCs w:val="21"/>
          <w:lang w:val="en-US" w:eastAsia="zh-CN"/>
        </w:rPr>
        <w:t>服务</w:t>
      </w:r>
      <w:r>
        <w:rPr>
          <w:rFonts w:hint="eastAsia" w:ascii="宋体" w:hAnsi="宋体"/>
          <w:szCs w:val="21"/>
        </w:rPr>
        <w:t>或不按时完成系统</w:t>
      </w:r>
      <w:r>
        <w:rPr>
          <w:rFonts w:hint="eastAsia" w:ascii="宋体" w:hAnsi="宋体"/>
          <w:szCs w:val="21"/>
          <w:lang w:val="en-US" w:eastAsia="zh-CN"/>
        </w:rPr>
        <w:t>服务的</w:t>
      </w:r>
      <w:r>
        <w:rPr>
          <w:rFonts w:hint="eastAsia" w:ascii="宋体" w:hAnsi="宋体"/>
          <w:szCs w:val="21"/>
        </w:rPr>
        <w:t>，将承担违约损失赔偿。</w:t>
      </w:r>
    </w:p>
    <w:p>
      <w:pPr>
        <w:spacing w:line="360" w:lineRule="auto"/>
        <w:ind w:firstLine="422" w:firstLineChars="200"/>
        <w:rPr>
          <w:rFonts w:hint="eastAsia" w:ascii="宋体" w:hAnsi="宋体"/>
          <w:szCs w:val="21"/>
        </w:rPr>
      </w:pPr>
      <w:r>
        <w:rPr>
          <w:rFonts w:hint="eastAsia" w:ascii="宋体" w:hAnsi="宋体"/>
          <w:b/>
          <w:szCs w:val="21"/>
        </w:rPr>
        <w:t>十</w:t>
      </w:r>
      <w:r>
        <w:rPr>
          <w:rFonts w:hint="eastAsia" w:ascii="宋体" w:hAnsi="宋体"/>
          <w:b/>
          <w:szCs w:val="21"/>
          <w:lang w:val="en-US" w:eastAsia="zh-CN"/>
        </w:rPr>
        <w:t>二</w:t>
      </w:r>
      <w:r>
        <w:rPr>
          <w:rFonts w:hint="eastAsia" w:ascii="宋体" w:hAnsi="宋体"/>
          <w:b/>
          <w:szCs w:val="21"/>
        </w:rPr>
        <w:t>、违约责任</w:t>
      </w:r>
    </w:p>
    <w:p>
      <w:pPr>
        <w:spacing w:line="360" w:lineRule="auto"/>
        <w:ind w:firstLine="420" w:firstLineChars="200"/>
        <w:rPr>
          <w:rFonts w:hint="eastAsia" w:ascii="宋体" w:hAnsi="宋体"/>
          <w:szCs w:val="21"/>
        </w:rPr>
      </w:pPr>
      <w:r>
        <w:rPr>
          <w:rFonts w:hint="eastAsia" w:ascii="宋体" w:hAnsi="宋体"/>
          <w:szCs w:val="21"/>
        </w:rPr>
        <w:t>1、如乙方无法如期</w:t>
      </w:r>
      <w:r>
        <w:rPr>
          <w:rFonts w:hint="eastAsia" w:ascii="宋体" w:hAnsi="宋体"/>
          <w:szCs w:val="21"/>
          <w:lang w:val="en-US" w:eastAsia="zh-CN"/>
        </w:rPr>
        <w:t>提供服务</w:t>
      </w:r>
      <w:r>
        <w:rPr>
          <w:rFonts w:hint="eastAsia" w:ascii="宋体" w:hAnsi="宋体"/>
          <w:szCs w:val="21"/>
        </w:rPr>
        <w:t>情况的，逾期每日向甲方支付合同额的万分之五作为违约金。乙方超过约定日期30个工作日仍不能完成相关服务的，甲方可解除本合同。乙方因未能如期提供相关服务或其他违约行为导致甲方解除合同的，乙方应向甲方支付合同额的10%作为违约金，如造成甲方损失超过违约金的，超出部分由乙方继续承担赔付责任。</w:t>
      </w:r>
    </w:p>
    <w:p>
      <w:pPr>
        <w:spacing w:line="360" w:lineRule="auto"/>
        <w:ind w:firstLine="420" w:firstLineChars="200"/>
        <w:rPr>
          <w:rFonts w:hint="eastAsia" w:ascii="宋体" w:hAnsi="宋体"/>
          <w:szCs w:val="21"/>
        </w:rPr>
      </w:pPr>
      <w:r>
        <w:rPr>
          <w:rFonts w:hint="eastAsia" w:ascii="宋体" w:hAnsi="宋体"/>
          <w:szCs w:val="21"/>
        </w:rPr>
        <w:t>2、若由于甲方的原因致使乙方不能按期</w:t>
      </w:r>
      <w:r>
        <w:rPr>
          <w:rFonts w:hint="eastAsia" w:ascii="宋体" w:hAnsi="宋体"/>
          <w:szCs w:val="21"/>
          <w:lang w:val="en-US" w:eastAsia="zh-CN"/>
        </w:rPr>
        <w:t>提供服务的</w:t>
      </w:r>
      <w:r>
        <w:rPr>
          <w:rFonts w:hint="eastAsia" w:ascii="宋体" w:hAnsi="宋体"/>
          <w:szCs w:val="21"/>
        </w:rPr>
        <w:t>，乙方不承担相应的违约责任。</w:t>
      </w:r>
    </w:p>
    <w:p>
      <w:pPr>
        <w:spacing w:line="360" w:lineRule="auto"/>
        <w:ind w:firstLine="420" w:firstLineChars="200"/>
        <w:rPr>
          <w:rFonts w:hint="eastAsia" w:ascii="宋体" w:hAnsi="宋体"/>
          <w:szCs w:val="21"/>
        </w:rPr>
      </w:pPr>
      <w:r>
        <w:rPr>
          <w:rFonts w:hint="eastAsia" w:ascii="宋体" w:hAnsi="宋体"/>
          <w:szCs w:val="21"/>
        </w:rPr>
        <w:t>3、经甲乙双方友好协商同意，延期交货、调试</w:t>
      </w:r>
      <w:r>
        <w:rPr>
          <w:rFonts w:hint="eastAsia" w:ascii="宋体" w:hAnsi="宋体"/>
          <w:szCs w:val="21"/>
          <w:lang w:val="en-US" w:eastAsia="zh-CN"/>
        </w:rPr>
        <w:t>服务</w:t>
      </w:r>
      <w:r>
        <w:rPr>
          <w:rFonts w:hint="eastAsia" w:ascii="宋体" w:hAnsi="宋体"/>
          <w:szCs w:val="21"/>
        </w:rPr>
        <w:t>、延期支付资金且无须罚款者可不受上述条款约束。</w:t>
      </w:r>
    </w:p>
    <w:p>
      <w:pPr>
        <w:spacing w:line="360" w:lineRule="auto"/>
        <w:ind w:firstLine="420" w:firstLineChars="200"/>
        <w:rPr>
          <w:rFonts w:hint="eastAsia" w:ascii="宋体" w:hAnsi="宋体"/>
          <w:szCs w:val="21"/>
        </w:rPr>
      </w:pPr>
      <w:r>
        <w:rPr>
          <w:rFonts w:hint="eastAsia" w:ascii="宋体" w:hAnsi="宋体"/>
          <w:szCs w:val="21"/>
        </w:rPr>
        <w:t>4、在诉讼期间，除正在进行诉讼的部分外，本合同其它部分可继续执行。</w:t>
      </w:r>
    </w:p>
    <w:p>
      <w:pPr>
        <w:spacing w:line="360" w:lineRule="auto"/>
        <w:ind w:firstLine="420" w:firstLineChars="200"/>
        <w:rPr>
          <w:rFonts w:hint="eastAsia" w:ascii="宋体" w:hAnsi="宋体"/>
          <w:szCs w:val="21"/>
        </w:rPr>
      </w:pPr>
      <w:r>
        <w:rPr>
          <w:rFonts w:hint="eastAsia" w:ascii="宋体" w:hAnsi="宋体"/>
          <w:szCs w:val="21"/>
        </w:rPr>
        <w:t>5、如果在甲方发出索赔通知后10天内，乙方未作答复，上述索赔应视为己被乙方接受。甲方有权在甲方需支付给乙方的合同金额中直接扣除。</w:t>
      </w:r>
    </w:p>
    <w:p>
      <w:pPr>
        <w:spacing w:line="360" w:lineRule="auto"/>
        <w:ind w:firstLine="422" w:firstLineChars="200"/>
        <w:rPr>
          <w:rFonts w:hint="eastAsia" w:ascii="宋体" w:hAnsi="宋体"/>
          <w:szCs w:val="21"/>
        </w:rPr>
      </w:pPr>
      <w:r>
        <w:rPr>
          <w:rFonts w:hint="eastAsia" w:ascii="宋体" w:hAnsi="宋体"/>
          <w:b/>
          <w:szCs w:val="21"/>
        </w:rPr>
        <w:t>十</w:t>
      </w:r>
      <w:r>
        <w:rPr>
          <w:rFonts w:hint="eastAsia" w:ascii="宋体" w:hAnsi="宋体"/>
          <w:b/>
          <w:szCs w:val="21"/>
          <w:lang w:val="en-US" w:eastAsia="zh-CN"/>
        </w:rPr>
        <w:t>三</w:t>
      </w:r>
      <w:r>
        <w:rPr>
          <w:rFonts w:hint="eastAsia" w:ascii="宋体" w:hAnsi="宋体"/>
          <w:b/>
          <w:szCs w:val="21"/>
        </w:rPr>
        <w:t>、争议的解决</w:t>
      </w:r>
    </w:p>
    <w:p>
      <w:pPr>
        <w:spacing w:line="360" w:lineRule="auto"/>
        <w:ind w:firstLine="420" w:firstLineChars="200"/>
        <w:rPr>
          <w:rFonts w:hint="eastAsia" w:ascii="宋体" w:hAnsi="宋体"/>
          <w:szCs w:val="21"/>
        </w:rPr>
      </w:pPr>
      <w:r>
        <w:rPr>
          <w:rFonts w:hint="eastAsia" w:ascii="宋体" w:hAnsi="宋体"/>
          <w:szCs w:val="21"/>
        </w:rPr>
        <w:t>1、甲乙双方应通过友好协商，解决在执行本合同中所发生的或与本合同有关的一切争端，如果协商得不到解决，任何一方均可按《中华人民共和国民法典》规定提交诉讼，诉讼应在甲方所在地进行。</w:t>
      </w:r>
    </w:p>
    <w:p>
      <w:pPr>
        <w:spacing w:line="360" w:lineRule="auto"/>
        <w:ind w:firstLine="420" w:firstLineChars="200"/>
        <w:rPr>
          <w:rFonts w:hint="eastAsia" w:ascii="宋体" w:hAnsi="宋体"/>
          <w:szCs w:val="21"/>
        </w:rPr>
      </w:pPr>
      <w:r>
        <w:rPr>
          <w:rFonts w:hint="eastAsia" w:ascii="宋体" w:hAnsi="宋体"/>
          <w:szCs w:val="21"/>
        </w:rPr>
        <w:t>2、诉讼费应由败诉方负担。</w:t>
      </w:r>
    </w:p>
    <w:p>
      <w:pPr>
        <w:spacing w:line="360" w:lineRule="auto"/>
        <w:ind w:firstLine="422" w:firstLineChars="200"/>
        <w:rPr>
          <w:rFonts w:hint="eastAsia" w:ascii="宋体" w:hAnsi="宋体"/>
          <w:szCs w:val="21"/>
        </w:rPr>
      </w:pPr>
      <w:r>
        <w:rPr>
          <w:rFonts w:hint="eastAsia" w:ascii="宋体" w:hAnsi="宋体"/>
          <w:b/>
          <w:szCs w:val="21"/>
        </w:rPr>
        <w:t>十</w:t>
      </w:r>
      <w:r>
        <w:rPr>
          <w:rFonts w:hint="eastAsia" w:ascii="宋体" w:hAnsi="宋体"/>
          <w:b/>
          <w:szCs w:val="21"/>
          <w:lang w:val="en-US" w:eastAsia="zh-CN"/>
        </w:rPr>
        <w:t>四</w:t>
      </w:r>
      <w:r>
        <w:rPr>
          <w:rFonts w:hint="eastAsia" w:ascii="宋体" w:hAnsi="宋体"/>
          <w:b/>
          <w:szCs w:val="21"/>
        </w:rPr>
        <w:t>、合同修改</w:t>
      </w:r>
    </w:p>
    <w:p>
      <w:pPr>
        <w:spacing w:line="360" w:lineRule="auto"/>
        <w:ind w:firstLine="420" w:firstLineChars="200"/>
        <w:rPr>
          <w:rFonts w:hint="eastAsia" w:ascii="宋体" w:hAnsi="宋体"/>
          <w:szCs w:val="21"/>
        </w:rPr>
      </w:pPr>
      <w:r>
        <w:rPr>
          <w:rFonts w:hint="eastAsia" w:ascii="宋体" w:hAnsi="宋体"/>
          <w:szCs w:val="21"/>
        </w:rPr>
        <w:t>合同条款的任何改动，均须由合同签署双方签署合同修改书或合同补充协议。该合同修改或补充被视为本合同的组成部分，具有与本合同同等法律效力。</w:t>
      </w:r>
    </w:p>
    <w:p>
      <w:pPr>
        <w:spacing w:line="360" w:lineRule="auto"/>
        <w:ind w:firstLine="422" w:firstLineChars="200"/>
        <w:rPr>
          <w:rFonts w:hint="eastAsia" w:ascii="宋体" w:hAnsi="宋体"/>
          <w:szCs w:val="21"/>
        </w:rPr>
      </w:pPr>
      <w:r>
        <w:rPr>
          <w:rFonts w:hint="eastAsia" w:ascii="宋体" w:hAnsi="宋体"/>
          <w:b/>
          <w:szCs w:val="21"/>
        </w:rPr>
        <w:t>十</w:t>
      </w:r>
      <w:r>
        <w:rPr>
          <w:rFonts w:hint="eastAsia" w:ascii="宋体" w:hAnsi="宋体"/>
          <w:b/>
          <w:szCs w:val="21"/>
          <w:lang w:val="en-US" w:eastAsia="zh-CN"/>
        </w:rPr>
        <w:t>五</w:t>
      </w:r>
      <w:r>
        <w:rPr>
          <w:rFonts w:hint="eastAsia" w:ascii="宋体" w:hAnsi="宋体"/>
          <w:b/>
          <w:szCs w:val="21"/>
        </w:rPr>
        <w:t>、不可抗力的处理</w:t>
      </w:r>
    </w:p>
    <w:p>
      <w:pPr>
        <w:spacing w:line="360" w:lineRule="auto"/>
        <w:ind w:firstLine="420" w:firstLineChars="200"/>
        <w:rPr>
          <w:rFonts w:hint="eastAsia" w:ascii="宋体" w:hAnsi="宋体"/>
          <w:szCs w:val="21"/>
        </w:rPr>
      </w:pPr>
      <w:r>
        <w:rPr>
          <w:rFonts w:hint="eastAsia" w:ascii="宋体" w:hAnsi="宋体"/>
          <w:szCs w:val="21"/>
        </w:rPr>
        <w:t>1、在合同有效期内，任何一方因不可抗力事件导致不能履行合同，则合同履行期可延长，其延长期与不可抗力影响期相同。</w:t>
      </w:r>
    </w:p>
    <w:p>
      <w:pPr>
        <w:spacing w:line="360" w:lineRule="auto"/>
        <w:ind w:firstLine="420" w:firstLineChars="200"/>
        <w:rPr>
          <w:rFonts w:hint="eastAsia" w:ascii="宋体" w:hAnsi="宋体"/>
          <w:szCs w:val="21"/>
        </w:rPr>
      </w:pPr>
      <w:r>
        <w:rPr>
          <w:rFonts w:hint="eastAsia" w:ascii="宋体" w:hAnsi="宋体"/>
          <w:szCs w:val="21"/>
        </w:rPr>
        <w:t>2、不可抗力的事故发生后尽快通知另一方，将有关部门出具的证明文件用挂号信邮寄或派人送达另一方。</w:t>
      </w:r>
    </w:p>
    <w:p>
      <w:pPr>
        <w:spacing w:line="360" w:lineRule="auto"/>
        <w:ind w:firstLine="422" w:firstLineChars="200"/>
        <w:rPr>
          <w:rFonts w:hint="eastAsia" w:ascii="宋体" w:hAnsi="宋体"/>
          <w:szCs w:val="21"/>
        </w:rPr>
      </w:pPr>
      <w:r>
        <w:rPr>
          <w:rFonts w:hint="eastAsia" w:ascii="宋体" w:hAnsi="宋体"/>
          <w:b/>
          <w:szCs w:val="21"/>
        </w:rPr>
        <w:t>十</w:t>
      </w:r>
      <w:r>
        <w:rPr>
          <w:rFonts w:hint="eastAsia" w:ascii="宋体" w:hAnsi="宋体"/>
          <w:b/>
          <w:szCs w:val="21"/>
          <w:lang w:val="en-US" w:eastAsia="zh-CN"/>
        </w:rPr>
        <w:t>六</w:t>
      </w:r>
      <w:r>
        <w:rPr>
          <w:rFonts w:hint="eastAsia" w:ascii="宋体" w:hAnsi="宋体"/>
          <w:b/>
          <w:szCs w:val="21"/>
        </w:rPr>
        <w:t>、适用法律</w:t>
      </w:r>
    </w:p>
    <w:p>
      <w:pPr>
        <w:spacing w:line="360" w:lineRule="auto"/>
        <w:ind w:firstLine="420" w:firstLineChars="200"/>
        <w:rPr>
          <w:rFonts w:hint="eastAsia" w:ascii="宋体" w:hAnsi="宋体" w:cs="??"/>
          <w:szCs w:val="21"/>
        </w:rPr>
      </w:pPr>
      <w:r>
        <w:rPr>
          <w:rFonts w:hint="eastAsia" w:ascii="宋体" w:hAnsi="宋体"/>
          <w:szCs w:val="21"/>
        </w:rPr>
        <w:t>甲乙双方所订立的合同应按照中华人民共和国的法律进行解释。</w:t>
      </w:r>
    </w:p>
    <w:p>
      <w:pPr>
        <w:spacing w:line="360" w:lineRule="auto"/>
        <w:ind w:firstLine="422" w:firstLineChars="200"/>
        <w:rPr>
          <w:rFonts w:hint="eastAsia" w:ascii="宋体" w:hAnsi="宋体" w:cs="??"/>
          <w:szCs w:val="21"/>
        </w:rPr>
      </w:pPr>
      <w:r>
        <w:rPr>
          <w:rFonts w:hint="eastAsia" w:ascii="宋体" w:hAnsi="宋体" w:cs="??"/>
          <w:b/>
          <w:szCs w:val="21"/>
        </w:rPr>
        <w:t>十</w:t>
      </w:r>
      <w:r>
        <w:rPr>
          <w:rFonts w:hint="eastAsia" w:ascii="宋体" w:hAnsi="宋体" w:cs="??"/>
          <w:b/>
          <w:szCs w:val="21"/>
          <w:lang w:val="en-US" w:eastAsia="zh-CN"/>
        </w:rPr>
        <w:t>七</w:t>
      </w:r>
      <w:r>
        <w:rPr>
          <w:rFonts w:hint="eastAsia" w:ascii="宋体" w:hAnsi="宋体" w:cs="??"/>
          <w:b/>
          <w:szCs w:val="21"/>
        </w:rPr>
        <w:t>、合同生效及其它</w:t>
      </w:r>
    </w:p>
    <w:p>
      <w:pPr>
        <w:spacing w:line="360" w:lineRule="auto"/>
        <w:ind w:firstLine="420" w:firstLineChars="200"/>
        <w:rPr>
          <w:rFonts w:hint="eastAsia" w:ascii="宋体" w:hAnsi="宋体" w:cs="??"/>
          <w:szCs w:val="21"/>
        </w:rPr>
      </w:pPr>
      <w:r>
        <w:rPr>
          <w:rFonts w:hint="eastAsia" w:ascii="宋体" w:hAnsi="宋体" w:cs="??"/>
          <w:szCs w:val="21"/>
        </w:rPr>
        <w:t>1、合同经双方法定代表人或授权委托代理人签字并加盖单位公章后生效。</w:t>
      </w:r>
    </w:p>
    <w:p>
      <w:pPr>
        <w:spacing w:line="360" w:lineRule="auto"/>
        <w:ind w:firstLine="420" w:firstLineChars="200"/>
        <w:rPr>
          <w:rFonts w:hint="eastAsia" w:ascii="宋体" w:hAnsi="宋体" w:cs="??"/>
          <w:szCs w:val="21"/>
        </w:rPr>
      </w:pPr>
      <w:r>
        <w:rPr>
          <w:rFonts w:hint="eastAsia" w:ascii="宋体" w:hAnsi="宋体" w:cs="??"/>
          <w:szCs w:val="21"/>
        </w:rPr>
        <w:t>2、合同执行中涉及采购资金和采购内容修改或补充的，须经财政部门审批，并签书面补充协议报财政部门备案，方可作为主合同不可分割的一部分。</w:t>
      </w:r>
    </w:p>
    <w:p>
      <w:pPr>
        <w:spacing w:line="360" w:lineRule="auto"/>
        <w:ind w:firstLine="420" w:firstLineChars="200"/>
        <w:rPr>
          <w:rFonts w:hint="eastAsia" w:ascii="宋体" w:hAnsi="宋体" w:cs="??"/>
          <w:szCs w:val="21"/>
        </w:rPr>
      </w:pPr>
      <w:r>
        <w:rPr>
          <w:rFonts w:hint="eastAsia" w:ascii="宋体" w:hAnsi="宋体" w:cs="??"/>
          <w:szCs w:val="21"/>
        </w:rPr>
        <w:t>3、本合同未尽事宜，遵照《中华人民共和国民法典》有关条文执行。</w:t>
      </w:r>
    </w:p>
    <w:p>
      <w:pPr>
        <w:spacing w:line="360" w:lineRule="auto"/>
        <w:ind w:firstLine="420" w:firstLineChars="200"/>
        <w:rPr>
          <w:rFonts w:hint="eastAsia" w:ascii="宋体" w:hAnsi="宋体" w:cs="??"/>
          <w:szCs w:val="21"/>
        </w:rPr>
      </w:pPr>
      <w:r>
        <w:rPr>
          <w:rFonts w:hint="eastAsia" w:ascii="宋体" w:hAnsi="宋体" w:cs="??"/>
          <w:szCs w:val="21"/>
        </w:rPr>
        <w:t>4、本合同正本一式X份，具有同等法律效力，甲乙双方各执X份，中金招标有限责任公司执1份。</w:t>
      </w:r>
    </w:p>
    <w:p>
      <w:pPr>
        <w:rPr>
          <w:rFonts w:hint="eastAsia" w:ascii="宋体" w:hAnsi="宋体" w:cs="??"/>
          <w:szCs w:val="21"/>
        </w:rPr>
      </w:pPr>
      <w:r>
        <w:rPr>
          <w:rFonts w:hint="eastAsia" w:ascii="宋体" w:hAnsi="宋体" w:cs="??"/>
          <w:szCs w:val="21"/>
        </w:rPr>
        <w:br w:type="page"/>
      </w:r>
    </w:p>
    <w:p>
      <w:pPr>
        <w:spacing w:line="360" w:lineRule="auto"/>
        <w:rPr>
          <w:rFonts w:hint="eastAsia" w:ascii="宋体" w:hAnsi="宋体" w:cs="??"/>
          <w:szCs w:val="21"/>
        </w:rPr>
      </w:pPr>
    </w:p>
    <w:p>
      <w:pPr>
        <w:spacing w:line="360" w:lineRule="auto"/>
        <w:rPr>
          <w:rFonts w:hint="eastAsia" w:ascii="宋体" w:hAnsi="宋体" w:cs="??"/>
          <w:szCs w:val="21"/>
        </w:rPr>
      </w:pPr>
      <w:r>
        <w:rPr>
          <w:rFonts w:hint="eastAsia" w:ascii="宋体" w:hAnsi="宋体" w:cs="??"/>
          <w:szCs w:val="21"/>
        </w:rPr>
        <w:t xml:space="preserve">甲方（盖章）：                             乙方（盖章）： </w:t>
      </w:r>
    </w:p>
    <w:p>
      <w:pPr>
        <w:spacing w:line="360" w:lineRule="auto"/>
        <w:rPr>
          <w:rFonts w:hint="eastAsia" w:ascii="宋体" w:hAnsi="宋体" w:cs="??"/>
          <w:szCs w:val="21"/>
        </w:rPr>
      </w:pPr>
      <w:r>
        <w:rPr>
          <w:rFonts w:hint="eastAsia" w:ascii="宋体" w:hAnsi="宋体" w:cs="??"/>
          <w:szCs w:val="21"/>
        </w:rPr>
        <w:t xml:space="preserve">地址：                                     地址： </w:t>
      </w:r>
    </w:p>
    <w:p>
      <w:pPr>
        <w:spacing w:line="360" w:lineRule="auto"/>
        <w:rPr>
          <w:rFonts w:hint="eastAsia" w:ascii="宋体" w:hAnsi="宋体" w:cs="??"/>
          <w:szCs w:val="21"/>
        </w:rPr>
      </w:pPr>
      <w:r>
        <w:rPr>
          <w:rFonts w:hint="eastAsia" w:ascii="宋体" w:hAnsi="宋体" w:cs="??"/>
          <w:szCs w:val="21"/>
        </w:rPr>
        <w:t>法定代表人或授权代表（签字）：             法定代表人或授权代表（签字）：</w:t>
      </w:r>
    </w:p>
    <w:p>
      <w:pPr>
        <w:spacing w:line="360" w:lineRule="auto"/>
        <w:rPr>
          <w:rFonts w:hint="eastAsia" w:ascii="宋体" w:hAnsi="宋体" w:cs="??"/>
          <w:szCs w:val="21"/>
        </w:rPr>
      </w:pPr>
      <w:r>
        <w:rPr>
          <w:rFonts w:hint="eastAsia" w:ascii="宋体" w:hAnsi="宋体" w:cs="??"/>
          <w:szCs w:val="21"/>
        </w:rPr>
        <w:t>签订日期：   年  月  日                    签订日期：   年  月  日</w:t>
      </w:r>
    </w:p>
    <w:p>
      <w:pPr>
        <w:spacing w:line="360" w:lineRule="auto"/>
        <w:rPr>
          <w:rFonts w:hint="eastAsia" w:ascii="宋体" w:hAnsi="宋体" w:cs="??"/>
          <w:szCs w:val="21"/>
        </w:rPr>
      </w:pPr>
      <w:r>
        <w:rPr>
          <w:rFonts w:hint="eastAsia" w:ascii="宋体" w:hAnsi="宋体" w:cs="??"/>
          <w:szCs w:val="21"/>
        </w:rPr>
        <w:t>甲方收款银行：                             乙方收款银行：</w:t>
      </w:r>
    </w:p>
    <w:p>
      <w:pPr>
        <w:spacing w:line="360" w:lineRule="auto"/>
        <w:rPr>
          <w:rFonts w:hint="eastAsia" w:ascii="宋体" w:hAnsi="宋体" w:cs="??"/>
          <w:szCs w:val="21"/>
        </w:rPr>
      </w:pPr>
      <w:r>
        <w:rPr>
          <w:rFonts w:hint="eastAsia" w:ascii="宋体" w:hAnsi="宋体" w:cs="??"/>
          <w:szCs w:val="21"/>
        </w:rPr>
        <w:t>甲方收款开户账号：                         乙方收款开户账号：</w:t>
      </w:r>
    </w:p>
    <w:p>
      <w:pPr>
        <w:rPr>
          <w:rFonts w:hint="eastAsia" w:ascii="宋体" w:hAnsi="宋体" w:cs="??"/>
          <w:szCs w:val="21"/>
        </w:rPr>
      </w:pPr>
    </w:p>
    <w:p>
      <w:pPr>
        <w:snapToGrid w:val="0"/>
        <w:spacing w:line="420" w:lineRule="atLeast"/>
        <w:rPr>
          <w:rFonts w:ascii="宋体" w:hAnsi="宋体" w:cs="宋体"/>
          <w:szCs w:val="21"/>
        </w:rPr>
      </w:pPr>
      <w:r>
        <w:rPr>
          <w:rFonts w:hint="eastAsia" w:ascii="宋体" w:hAnsi="宋体" w:cs="??"/>
          <w:szCs w:val="21"/>
        </w:rPr>
        <w:t>鉴证方（盖章）：</w:t>
      </w:r>
    </w:p>
    <w:p>
      <w:pPr>
        <w:snapToGrid w:val="0"/>
        <w:spacing w:line="420" w:lineRule="atLeast"/>
        <w:rPr>
          <w:rFonts w:ascii="宋体" w:hAnsi="宋体" w:cs="宋体"/>
          <w:szCs w:val="21"/>
        </w:rPr>
      </w:pPr>
    </w:p>
    <w:p>
      <w:pPr>
        <w:snapToGrid w:val="0"/>
        <w:spacing w:line="420" w:lineRule="atLeast"/>
        <w:rPr>
          <w:rFonts w:hint="eastAsia" w:ascii="宋体" w:hAnsi="宋体" w:cs="宋体"/>
          <w:szCs w:val="21"/>
        </w:rPr>
      </w:pPr>
      <w:r>
        <w:rPr>
          <w:rFonts w:hint="eastAsia" w:ascii="宋体" w:hAnsi="宋体" w:cs="宋体"/>
          <w:szCs w:val="21"/>
        </w:rPr>
        <w:t>注意事项：</w:t>
      </w:r>
    </w:p>
    <w:p>
      <w:pPr>
        <w:snapToGrid w:val="0"/>
        <w:spacing w:line="420" w:lineRule="atLeast"/>
        <w:ind w:firstLine="420" w:firstLineChars="200"/>
        <w:rPr>
          <w:rFonts w:hint="eastAsia" w:ascii="宋体" w:hAnsi="宋体" w:cs="宋体"/>
          <w:szCs w:val="21"/>
        </w:rPr>
      </w:pPr>
      <w:r>
        <w:rPr>
          <w:rFonts w:hint="eastAsia" w:ascii="宋体" w:hAnsi="宋体" w:cs="宋体"/>
          <w:szCs w:val="21"/>
        </w:rPr>
        <w:t>1.用于政府采购信用融资的政府采购合同：</w:t>
      </w:r>
    </w:p>
    <w:p>
      <w:pPr>
        <w:snapToGrid w:val="0"/>
        <w:spacing w:line="420" w:lineRule="atLeast"/>
        <w:ind w:firstLine="420" w:firstLineChars="200"/>
        <w:rPr>
          <w:rFonts w:hint="eastAsia" w:ascii="宋体" w:hAnsi="宋体" w:cs="宋体"/>
          <w:szCs w:val="21"/>
        </w:rPr>
      </w:pPr>
      <w:r>
        <w:rPr>
          <w:rFonts w:hint="eastAsia" w:ascii="宋体" w:hAnsi="宋体" w:cs="宋体"/>
          <w:szCs w:val="21"/>
        </w:rPr>
        <w:t>（1）应当包含如下条款：</w:t>
      </w:r>
    </w:p>
    <w:p>
      <w:pPr>
        <w:snapToGrid w:val="0"/>
        <w:spacing w:line="420" w:lineRule="atLeast"/>
        <w:ind w:firstLine="420" w:firstLineChars="200"/>
        <w:rPr>
          <w:rFonts w:hint="eastAsia" w:ascii="宋体" w:hAnsi="宋体" w:cs="宋体"/>
          <w:szCs w:val="21"/>
        </w:rPr>
      </w:pPr>
      <w:r>
        <w:rPr>
          <w:rFonts w:hint="eastAsia" w:ascii="宋体" w:hAnsi="宋体" w:cs="宋体"/>
          <w:szCs w:val="21"/>
        </w:rPr>
        <w:t>“第   条：政府采购合同贷款</w:t>
      </w:r>
    </w:p>
    <w:p>
      <w:pPr>
        <w:snapToGrid w:val="0"/>
        <w:spacing w:line="420" w:lineRule="atLeast"/>
        <w:ind w:firstLine="420" w:firstLineChars="200"/>
        <w:rPr>
          <w:rFonts w:hint="eastAsia" w:ascii="宋体" w:hAnsi="宋体" w:cs="宋体"/>
          <w:szCs w:val="21"/>
        </w:rPr>
      </w:pPr>
      <w:r>
        <w:rPr>
          <w:rFonts w:hint="eastAsia" w:ascii="宋体" w:hAnsi="宋体" w:cs="宋体"/>
          <w:szCs w:val="21"/>
        </w:rPr>
        <w:t>本合同同时用于乙方向      银行（金融机构）申请政府采购信用贷款。</w:t>
      </w:r>
    </w:p>
    <w:p>
      <w:pPr>
        <w:snapToGrid w:val="0"/>
        <w:spacing w:line="420" w:lineRule="atLeast"/>
        <w:ind w:firstLine="420" w:firstLineChars="200"/>
        <w:rPr>
          <w:rFonts w:hint="eastAsia" w:ascii="宋体" w:hAnsi="宋体" w:cs="宋体"/>
          <w:szCs w:val="21"/>
        </w:rPr>
      </w:pPr>
      <w:r>
        <w:rPr>
          <w:rFonts w:hint="eastAsia" w:ascii="宋体" w:hAnsi="宋体" w:cs="宋体"/>
          <w:szCs w:val="21"/>
        </w:rPr>
        <w:t>本合同一经签订，原则上不得更改乙方收款账户信息。确须更改的，乙方应取得原合同收款账户开户银行书面同意，否则修改后的合同不予备案，采购资金不予支付。”</w:t>
      </w:r>
    </w:p>
    <w:p>
      <w:pPr>
        <w:snapToGrid w:val="0"/>
        <w:spacing w:line="420" w:lineRule="atLeast"/>
        <w:ind w:firstLine="420" w:firstLineChars="200"/>
        <w:rPr>
          <w:rFonts w:hint="eastAsia" w:ascii="宋体" w:hAnsi="宋体" w:cs="宋体"/>
          <w:szCs w:val="21"/>
        </w:rPr>
      </w:pPr>
      <w:r>
        <w:rPr>
          <w:rFonts w:hint="eastAsia" w:ascii="宋体" w:hAnsi="宋体" w:cs="宋体"/>
          <w:szCs w:val="21"/>
        </w:rPr>
        <w:t>（2）成交供应商需确保政府采购合同的收款账户与融资银行开户账户一致。</w:t>
      </w:r>
    </w:p>
    <w:p>
      <w:pPr>
        <w:snapToGrid w:val="0"/>
        <w:spacing w:line="420" w:lineRule="atLeast"/>
        <w:ind w:firstLine="422" w:firstLineChars="200"/>
        <w:rPr>
          <w:rFonts w:hint="eastAsia" w:ascii="宋体" w:hAnsi="宋体" w:cs="宋体"/>
          <w:b/>
          <w:bCs/>
          <w:szCs w:val="21"/>
        </w:rPr>
      </w:pPr>
      <w:r>
        <w:rPr>
          <w:rFonts w:hint="eastAsia" w:ascii="宋体" w:hAnsi="宋体" w:cs="宋体"/>
          <w:b/>
          <w:bCs/>
          <w:szCs w:val="21"/>
        </w:rPr>
        <w:t>2.依据《政府采购促进中小企业发展管理办法》（财库[2020]46号）规定享受扶持政策获得政府采购合同的，小微企业不得将合同分包给大中型企业，中型企业不得将合同分包给大型企业。</w:t>
      </w:r>
    </w:p>
    <w:p>
      <w:pPr>
        <w:widowControl/>
        <w:jc w:val="left"/>
        <w:rPr>
          <w:rFonts w:ascii="宋体" w:hAnsi="宋体" w:cs="宋体"/>
          <w:b/>
          <w:sz w:val="28"/>
          <w:szCs w:val="28"/>
        </w:rPr>
      </w:pPr>
      <w:r>
        <w:rPr>
          <w:rFonts w:ascii="宋体" w:hAnsi="宋体" w:cs="宋体"/>
          <w:b/>
          <w:sz w:val="28"/>
          <w:szCs w:val="28"/>
        </w:rPr>
        <w:br w:type="page"/>
      </w:r>
    </w:p>
    <w:p>
      <w:pPr>
        <w:snapToGrid w:val="0"/>
        <w:spacing w:line="360" w:lineRule="auto"/>
        <w:jc w:val="center"/>
        <w:outlineLvl w:val="0"/>
        <w:rPr>
          <w:rFonts w:ascii="宋体" w:hAnsi="宋体" w:cs="宋体"/>
          <w:b/>
          <w:sz w:val="28"/>
          <w:szCs w:val="28"/>
        </w:rPr>
      </w:pPr>
      <w:r>
        <w:rPr>
          <w:rFonts w:hint="eastAsia" w:ascii="宋体" w:hAnsi="宋体" w:cs="宋体"/>
          <w:b/>
          <w:sz w:val="28"/>
          <w:szCs w:val="28"/>
        </w:rPr>
        <w:t>第六章  响应文件组成</w:t>
      </w:r>
    </w:p>
    <w:p>
      <w:pPr>
        <w:snapToGrid w:val="0"/>
        <w:spacing w:line="360" w:lineRule="auto"/>
        <w:ind w:firstLine="422" w:firstLineChars="200"/>
        <w:rPr>
          <w:rFonts w:ascii="宋体" w:hAnsi="宋体" w:cs="宋体"/>
          <w:b/>
          <w:szCs w:val="21"/>
        </w:rPr>
      </w:pPr>
      <w:r>
        <w:rPr>
          <w:rFonts w:hint="eastAsia" w:ascii="宋体" w:hAnsi="宋体" w:cs="宋体"/>
          <w:b/>
          <w:szCs w:val="21"/>
        </w:rPr>
        <w:t>响应文件由磋商报价文件、资格证明文件、商务技术文件组成。响应文件中涉及的有关内容均须提供合法有效的证明材料复印件。（复印件未加盖公章作无效处理，特别注明的除外，有▲标识的条款为必须提交的资料）</w:t>
      </w:r>
    </w:p>
    <w:p>
      <w:pPr>
        <w:snapToGrid w:val="0"/>
        <w:spacing w:line="360" w:lineRule="auto"/>
        <w:rPr>
          <w:rFonts w:ascii="宋体" w:hAnsi="宋体" w:cs="宋体"/>
          <w:b/>
          <w:szCs w:val="21"/>
        </w:rPr>
      </w:pPr>
      <w:r>
        <w:rPr>
          <w:rFonts w:hint="eastAsia" w:ascii="宋体" w:hAnsi="宋体" w:cs="宋体"/>
          <w:b/>
          <w:szCs w:val="21"/>
        </w:rPr>
        <w:t>1、磋商报价文件部分</w:t>
      </w:r>
    </w:p>
    <w:p>
      <w:pPr>
        <w:snapToGrid w:val="0"/>
        <w:spacing w:line="360" w:lineRule="auto"/>
        <w:ind w:firstLine="422" w:firstLineChars="200"/>
        <w:rPr>
          <w:rFonts w:ascii="宋体" w:hAnsi="宋体" w:cs="宋体"/>
          <w:b/>
          <w:szCs w:val="21"/>
        </w:rPr>
      </w:pPr>
      <w:r>
        <w:rPr>
          <w:rFonts w:hint="eastAsia" w:ascii="宋体" w:hAnsi="宋体" w:cs="宋体"/>
          <w:b/>
          <w:szCs w:val="21"/>
        </w:rPr>
        <w:t>▲1.1开标一览表。（格式一）</w:t>
      </w:r>
    </w:p>
    <w:p>
      <w:pPr>
        <w:snapToGrid w:val="0"/>
        <w:spacing w:line="360" w:lineRule="auto"/>
        <w:ind w:firstLine="420" w:firstLineChars="200"/>
        <w:rPr>
          <w:rFonts w:ascii="宋体" w:hAnsi="宋体" w:cs="宋体"/>
          <w:b/>
          <w:szCs w:val="21"/>
        </w:rPr>
      </w:pPr>
      <w:r>
        <w:rPr>
          <w:rFonts w:hint="eastAsia" w:ascii="宋体" w:hAnsi="宋体" w:cs="宋体"/>
          <w:szCs w:val="21"/>
        </w:rPr>
        <w:t>1.</w:t>
      </w:r>
      <w:r>
        <w:rPr>
          <w:rFonts w:ascii="宋体" w:hAnsi="宋体" w:cs="宋体"/>
          <w:szCs w:val="21"/>
        </w:rPr>
        <w:t>2</w:t>
      </w:r>
      <w:r>
        <w:rPr>
          <w:rFonts w:hint="eastAsia" w:ascii="宋体" w:hAnsi="宋体" w:cs="宋体"/>
          <w:szCs w:val="21"/>
        </w:rPr>
        <w:t>享受价格扣除优惠政策相关证明文件：响应人须提供《中小企业声明函》（监狱企业须提供由省级以上监狱管理局、戒毒管理局（含新疆生产建设兵团）出具的属于监狱企业的证明文件；残疾人福利性单位须提供《残疾人福利性单位声明函》）。（格式二-三）</w:t>
      </w:r>
    </w:p>
    <w:p>
      <w:pPr>
        <w:snapToGrid w:val="0"/>
        <w:spacing w:line="360" w:lineRule="auto"/>
        <w:rPr>
          <w:rFonts w:ascii="宋体" w:hAnsi="宋体" w:cs="宋体"/>
          <w:b/>
          <w:szCs w:val="21"/>
        </w:rPr>
      </w:pPr>
      <w:r>
        <w:rPr>
          <w:rFonts w:hint="eastAsia" w:ascii="宋体" w:hAnsi="宋体" w:cs="宋体"/>
          <w:b/>
          <w:szCs w:val="21"/>
        </w:rPr>
        <w:t>▲2、资格证明文件部分</w:t>
      </w:r>
    </w:p>
    <w:p>
      <w:pPr>
        <w:snapToGrid w:val="0"/>
        <w:spacing w:line="360" w:lineRule="auto"/>
        <w:ind w:firstLine="422" w:firstLineChars="200"/>
        <w:rPr>
          <w:rFonts w:ascii="宋体" w:hAnsi="宋体" w:cs="宋体"/>
          <w:b/>
          <w:szCs w:val="21"/>
        </w:rPr>
      </w:pPr>
      <w:r>
        <w:rPr>
          <w:rFonts w:hint="eastAsia" w:ascii="宋体" w:hAnsi="宋体" w:cs="宋体"/>
          <w:b/>
          <w:szCs w:val="21"/>
        </w:rPr>
        <w:t>2.1具有独立承担民事责任的能力的证明材料：</w:t>
      </w:r>
    </w:p>
    <w:p>
      <w:pPr>
        <w:snapToGrid w:val="0"/>
        <w:spacing w:line="360" w:lineRule="auto"/>
        <w:ind w:firstLine="422" w:firstLineChars="200"/>
        <w:rPr>
          <w:rFonts w:ascii="宋体" w:hAnsi="宋体" w:cs="宋体"/>
          <w:b/>
          <w:szCs w:val="21"/>
        </w:rPr>
      </w:pPr>
      <w:r>
        <w:rPr>
          <w:rFonts w:hint="eastAsia" w:ascii="宋体" w:hAnsi="宋体" w:cs="宋体"/>
          <w:b/>
          <w:szCs w:val="21"/>
        </w:rPr>
        <w:t>响应人须出具符合以下情况的证明材料复印件（五选一）：</w:t>
      </w:r>
    </w:p>
    <w:p>
      <w:pPr>
        <w:snapToGrid w:val="0"/>
        <w:spacing w:line="360" w:lineRule="auto"/>
        <w:ind w:firstLine="422" w:firstLineChars="200"/>
        <w:rPr>
          <w:rFonts w:ascii="宋体" w:hAnsi="宋体" w:cs="宋体"/>
          <w:b/>
          <w:szCs w:val="21"/>
        </w:rPr>
      </w:pPr>
      <w:r>
        <w:rPr>
          <w:rFonts w:hint="eastAsia" w:ascii="宋体" w:hAnsi="宋体" w:cs="宋体"/>
          <w:b/>
          <w:szCs w:val="21"/>
          <w:lang w:val="en-US" w:eastAsia="zh-CN"/>
        </w:rPr>
        <w:t>①</w:t>
      </w:r>
      <w:r>
        <w:rPr>
          <w:rFonts w:hint="eastAsia" w:ascii="宋体" w:hAnsi="宋体" w:cs="宋体"/>
          <w:b/>
          <w:szCs w:val="21"/>
        </w:rPr>
        <w:t>如响应人是企业（包括合伙企业），提供在工商部门注册的有效“企业法人营业执照”或“营业执照”；</w:t>
      </w:r>
    </w:p>
    <w:p>
      <w:pPr>
        <w:snapToGrid w:val="0"/>
        <w:spacing w:line="360" w:lineRule="auto"/>
        <w:ind w:firstLine="422" w:firstLineChars="200"/>
        <w:rPr>
          <w:rFonts w:ascii="宋体" w:hAnsi="宋体" w:cs="宋体"/>
          <w:b/>
          <w:szCs w:val="21"/>
        </w:rPr>
      </w:pPr>
      <w:r>
        <w:rPr>
          <w:rFonts w:hint="eastAsia" w:ascii="宋体" w:hAnsi="宋体" w:cs="宋体"/>
          <w:b/>
          <w:szCs w:val="21"/>
          <w:lang w:val="en-US" w:eastAsia="zh-CN"/>
        </w:rPr>
        <w:t>②</w:t>
      </w:r>
      <w:r>
        <w:rPr>
          <w:rFonts w:hint="eastAsia" w:ascii="宋体" w:hAnsi="宋体" w:cs="宋体"/>
          <w:b/>
          <w:szCs w:val="21"/>
        </w:rPr>
        <w:t>如响应人是事业单位， 提供有效的“事业单位法人证书”；</w:t>
      </w:r>
    </w:p>
    <w:p>
      <w:pPr>
        <w:snapToGrid w:val="0"/>
        <w:spacing w:line="360" w:lineRule="auto"/>
        <w:ind w:firstLine="422" w:firstLineChars="200"/>
        <w:rPr>
          <w:rFonts w:ascii="宋体" w:hAnsi="宋体" w:cs="宋体"/>
          <w:b/>
          <w:szCs w:val="21"/>
        </w:rPr>
      </w:pPr>
      <w:r>
        <w:rPr>
          <w:rFonts w:hint="eastAsia" w:ascii="宋体" w:hAnsi="宋体" w:cs="宋体"/>
          <w:b/>
          <w:szCs w:val="21"/>
          <w:lang w:val="en-US" w:eastAsia="zh-CN"/>
        </w:rPr>
        <w:t>③</w:t>
      </w:r>
      <w:r>
        <w:rPr>
          <w:rFonts w:hint="eastAsia" w:ascii="宋体" w:hAnsi="宋体" w:cs="宋体"/>
          <w:b/>
          <w:szCs w:val="21"/>
        </w:rPr>
        <w:t>如响应人是非企业专业服务机构的，提供执业许可证等证明文件等证明文件；</w:t>
      </w:r>
    </w:p>
    <w:p>
      <w:pPr>
        <w:snapToGrid w:val="0"/>
        <w:spacing w:line="360" w:lineRule="auto"/>
        <w:ind w:firstLine="422" w:firstLineChars="200"/>
        <w:rPr>
          <w:rFonts w:ascii="宋体" w:hAnsi="宋体" w:cs="宋体"/>
          <w:b/>
          <w:szCs w:val="21"/>
        </w:rPr>
      </w:pPr>
      <w:r>
        <w:rPr>
          <w:rFonts w:hint="eastAsia" w:ascii="宋体" w:hAnsi="宋体" w:cs="宋体"/>
          <w:b/>
          <w:szCs w:val="21"/>
          <w:lang w:val="en-US" w:eastAsia="zh-CN"/>
        </w:rPr>
        <w:t>④</w:t>
      </w:r>
      <w:r>
        <w:rPr>
          <w:rFonts w:hint="eastAsia" w:ascii="宋体" w:hAnsi="宋体" w:cs="宋体"/>
          <w:b/>
          <w:szCs w:val="21"/>
        </w:rPr>
        <w:t>如响应人是个体工商户，提供有效的“个体工商户营业执照”；</w:t>
      </w:r>
    </w:p>
    <w:p>
      <w:pPr>
        <w:snapToGrid w:val="0"/>
        <w:spacing w:line="360" w:lineRule="auto"/>
        <w:ind w:firstLine="422" w:firstLineChars="200"/>
        <w:rPr>
          <w:rFonts w:ascii="宋体" w:hAnsi="宋体" w:cs="宋体"/>
          <w:b/>
          <w:szCs w:val="21"/>
        </w:rPr>
      </w:pPr>
      <w:r>
        <w:rPr>
          <w:rFonts w:hint="eastAsia" w:ascii="宋体" w:hAnsi="宋体" w:cs="宋体"/>
          <w:b/>
          <w:szCs w:val="21"/>
          <w:lang w:val="en-US" w:eastAsia="zh-CN"/>
        </w:rPr>
        <w:t>⑤</w:t>
      </w:r>
      <w:r>
        <w:rPr>
          <w:rFonts w:hint="eastAsia" w:ascii="宋体" w:hAnsi="宋体" w:cs="宋体"/>
          <w:b/>
          <w:szCs w:val="21"/>
        </w:rPr>
        <w:t>如响应人是自然人，提供有效的自然人身份证明（居民身份证正反面或公安机关出具的临时居民身份证正反面或港澳台胞证或证照）。</w:t>
      </w:r>
    </w:p>
    <w:p>
      <w:pPr>
        <w:snapToGrid w:val="0"/>
        <w:spacing w:line="360" w:lineRule="auto"/>
        <w:ind w:firstLine="422" w:firstLineChars="200"/>
        <w:rPr>
          <w:rFonts w:ascii="宋体" w:hAnsi="宋体" w:cs="宋体"/>
          <w:b/>
          <w:szCs w:val="21"/>
        </w:rPr>
      </w:pPr>
      <w:r>
        <w:rPr>
          <w:rFonts w:hint="eastAsia" w:ascii="宋体" w:hAnsi="宋体" w:cs="宋体"/>
          <w:b/>
          <w:szCs w:val="21"/>
        </w:rPr>
        <w:t>2.2响应人法定代表人身份证复印件。</w:t>
      </w:r>
    </w:p>
    <w:p>
      <w:pPr>
        <w:snapToGrid w:val="0"/>
        <w:spacing w:line="360" w:lineRule="auto"/>
        <w:ind w:firstLine="422" w:firstLineChars="200"/>
        <w:rPr>
          <w:rFonts w:ascii="宋体" w:hAnsi="宋体" w:cs="宋体"/>
          <w:b/>
          <w:szCs w:val="21"/>
        </w:rPr>
      </w:pPr>
      <w:r>
        <w:rPr>
          <w:rFonts w:hint="eastAsia" w:ascii="宋体" w:hAnsi="宋体" w:cs="宋体"/>
          <w:b/>
          <w:szCs w:val="21"/>
        </w:rPr>
        <w:t>2.3响应函。（格式四）</w:t>
      </w:r>
    </w:p>
    <w:p>
      <w:pPr>
        <w:snapToGrid w:val="0"/>
        <w:spacing w:line="360" w:lineRule="auto"/>
        <w:ind w:firstLine="422" w:firstLineChars="200"/>
        <w:rPr>
          <w:rFonts w:ascii="宋体" w:hAnsi="宋体" w:cs="宋体"/>
          <w:b/>
          <w:szCs w:val="21"/>
        </w:rPr>
      </w:pPr>
      <w:r>
        <w:rPr>
          <w:rFonts w:hint="eastAsia" w:ascii="宋体" w:hAnsi="宋体" w:cs="宋体"/>
          <w:b/>
          <w:szCs w:val="21"/>
        </w:rPr>
        <w:t>2.4法定代表人授权函，非法定代表人参加磋商时提供。（格式五）</w:t>
      </w:r>
    </w:p>
    <w:p>
      <w:pPr>
        <w:snapToGrid w:val="0"/>
        <w:spacing w:line="360" w:lineRule="auto"/>
        <w:ind w:firstLine="422" w:firstLineChars="200"/>
        <w:rPr>
          <w:rFonts w:ascii="宋体" w:hAnsi="宋体" w:cs="宋体"/>
          <w:b/>
          <w:szCs w:val="21"/>
        </w:rPr>
      </w:pPr>
      <w:r>
        <w:rPr>
          <w:rFonts w:hint="eastAsia" w:ascii="宋体" w:hAnsi="宋体" w:cs="宋体"/>
          <w:b/>
          <w:szCs w:val="21"/>
        </w:rPr>
        <w:t>2.5授权代表身份证复印件，非法定代表人参加磋商时提供</w:t>
      </w:r>
      <w:r>
        <w:rPr>
          <w:rFonts w:ascii="宋体" w:hAnsi="宋体" w:cs="宋体"/>
          <w:b/>
          <w:szCs w:val="21"/>
        </w:rPr>
        <w:t>。</w:t>
      </w:r>
    </w:p>
    <w:p>
      <w:pPr>
        <w:snapToGrid w:val="0"/>
        <w:spacing w:line="360" w:lineRule="auto"/>
        <w:rPr>
          <w:rFonts w:ascii="宋体" w:hAnsi="宋体" w:cs="宋体"/>
          <w:b/>
          <w:szCs w:val="21"/>
        </w:rPr>
      </w:pPr>
      <w:r>
        <w:rPr>
          <w:rFonts w:hint="eastAsia" w:ascii="宋体" w:hAnsi="宋体" w:cs="宋体"/>
          <w:b/>
          <w:szCs w:val="21"/>
        </w:rPr>
        <w:t>3、商务技术文件部分</w:t>
      </w:r>
    </w:p>
    <w:p>
      <w:pPr>
        <w:snapToGrid w:val="0"/>
        <w:spacing w:line="360" w:lineRule="auto"/>
        <w:ind w:firstLine="420" w:firstLineChars="200"/>
        <w:rPr>
          <w:rFonts w:ascii="宋体" w:hAnsi="宋体" w:cs="宋体"/>
        </w:rPr>
      </w:pPr>
      <w:r>
        <w:rPr>
          <w:rFonts w:hint="eastAsia" w:ascii="宋体" w:hAnsi="宋体" w:cs="宋体"/>
        </w:rPr>
        <w:t>3.1评分标准页码索引。</w:t>
      </w:r>
    </w:p>
    <w:p>
      <w:pPr>
        <w:snapToGrid w:val="0"/>
        <w:spacing w:line="360" w:lineRule="auto"/>
        <w:ind w:firstLine="420" w:firstLineChars="200"/>
        <w:rPr>
          <w:rFonts w:ascii="宋体" w:hAnsi="宋体" w:cs="宋体"/>
        </w:rPr>
      </w:pPr>
      <w:r>
        <w:rPr>
          <w:rFonts w:hint="eastAsia" w:ascii="宋体" w:hAnsi="宋体" w:cs="宋体"/>
        </w:rPr>
        <w:t>3.2响应人及所供产品简介。</w:t>
      </w:r>
    </w:p>
    <w:p>
      <w:pPr>
        <w:snapToGrid w:val="0"/>
        <w:spacing w:line="360" w:lineRule="auto"/>
        <w:ind w:firstLine="422" w:firstLineChars="200"/>
        <w:rPr>
          <w:rFonts w:hint="eastAsia" w:ascii="宋体" w:hAnsi="宋体" w:cs="宋体"/>
          <w:b/>
          <w:bCs/>
        </w:rPr>
      </w:pPr>
      <w:r>
        <w:rPr>
          <w:rFonts w:hint="eastAsia" w:ascii="宋体" w:hAnsi="宋体" w:cs="宋体"/>
          <w:b/>
          <w:bCs/>
        </w:rPr>
        <w:t>▲3.</w:t>
      </w:r>
      <w:r>
        <w:rPr>
          <w:rFonts w:ascii="宋体" w:hAnsi="宋体" w:cs="宋体"/>
          <w:b/>
          <w:bCs/>
        </w:rPr>
        <w:t>3</w:t>
      </w:r>
      <w:r>
        <w:rPr>
          <w:rFonts w:hint="eastAsia" w:ascii="宋体" w:hAnsi="宋体" w:cs="宋体"/>
          <w:b/>
          <w:bCs/>
        </w:rPr>
        <w:t>提供船载卫星语音终端设备免费租用服务的配置清单及单价。（格式六）</w:t>
      </w:r>
    </w:p>
    <w:p>
      <w:pPr>
        <w:snapToGrid w:val="0"/>
        <w:spacing w:line="360" w:lineRule="auto"/>
        <w:ind w:firstLine="422" w:firstLineChars="200"/>
        <w:rPr>
          <w:rFonts w:ascii="宋体" w:hAnsi="宋体" w:cs="宋体"/>
          <w:b/>
          <w:bCs/>
        </w:rPr>
      </w:pPr>
      <w:r>
        <w:rPr>
          <w:rFonts w:hint="eastAsia" w:ascii="宋体" w:hAnsi="宋体" w:cs="宋体"/>
          <w:b/>
          <w:bCs/>
        </w:rPr>
        <w:t>▲3.</w:t>
      </w:r>
      <w:r>
        <w:rPr>
          <w:rFonts w:ascii="宋体" w:hAnsi="宋体" w:cs="宋体"/>
          <w:b/>
          <w:bCs/>
        </w:rPr>
        <w:t>4</w:t>
      </w:r>
      <w:r>
        <w:rPr>
          <w:rFonts w:hint="eastAsia" w:ascii="宋体" w:hAnsi="宋体" w:cs="宋体"/>
          <w:b/>
          <w:bCs/>
        </w:rPr>
        <w:t>技术要求响应表。（格式七）</w:t>
      </w:r>
    </w:p>
    <w:p>
      <w:pPr>
        <w:snapToGrid w:val="0"/>
        <w:spacing w:line="360" w:lineRule="auto"/>
        <w:ind w:firstLine="422" w:firstLineChars="200"/>
        <w:rPr>
          <w:rFonts w:ascii="宋体" w:hAnsi="宋体" w:cs="宋体"/>
          <w:b/>
          <w:bCs/>
        </w:rPr>
      </w:pPr>
      <w:r>
        <w:rPr>
          <w:rFonts w:hint="eastAsia" w:ascii="宋体" w:hAnsi="宋体" w:cs="宋体"/>
          <w:b/>
          <w:bCs/>
        </w:rPr>
        <w:t>▲3.</w:t>
      </w:r>
      <w:r>
        <w:rPr>
          <w:rFonts w:ascii="宋体" w:hAnsi="宋体" w:cs="宋体"/>
          <w:b/>
          <w:bCs/>
        </w:rPr>
        <w:t>5</w:t>
      </w:r>
      <w:r>
        <w:rPr>
          <w:rFonts w:hint="eastAsia" w:ascii="宋体" w:hAnsi="宋体" w:cs="宋体"/>
          <w:b/>
          <w:bCs/>
        </w:rPr>
        <w:t>商务要求响应表。（格式八）</w:t>
      </w:r>
    </w:p>
    <w:p>
      <w:pPr>
        <w:snapToGrid w:val="0"/>
        <w:spacing w:line="360" w:lineRule="auto"/>
        <w:ind w:firstLine="420" w:firstLineChars="200"/>
        <w:rPr>
          <w:rFonts w:hint="eastAsia" w:ascii="宋体" w:hAnsi="宋体" w:cs="宋体"/>
        </w:rPr>
      </w:pPr>
      <w:r>
        <w:rPr>
          <w:rFonts w:hint="eastAsia" w:ascii="宋体" w:hAnsi="宋体" w:cs="宋体"/>
        </w:rPr>
        <w:t>3</w:t>
      </w:r>
      <w:r>
        <w:rPr>
          <w:rFonts w:ascii="宋体" w:hAnsi="宋体" w:cs="宋体"/>
        </w:rPr>
        <w:t>.6</w:t>
      </w:r>
      <w:r>
        <w:rPr>
          <w:rFonts w:hint="eastAsia" w:ascii="宋体" w:hAnsi="宋体" w:cs="宋体"/>
        </w:rPr>
        <w:t>相关认证。</w:t>
      </w:r>
    </w:p>
    <w:p>
      <w:pPr>
        <w:snapToGrid w:val="0"/>
        <w:spacing w:line="360" w:lineRule="auto"/>
        <w:ind w:firstLine="420" w:firstLineChars="200"/>
        <w:rPr>
          <w:rFonts w:hint="eastAsia" w:ascii="宋体" w:hAnsi="宋体" w:cs="宋体"/>
        </w:rPr>
      </w:pPr>
      <w:r>
        <w:rPr>
          <w:rFonts w:hint="eastAsia" w:ascii="宋体" w:hAnsi="宋体" w:cs="宋体"/>
        </w:rPr>
        <w:t>3</w:t>
      </w:r>
      <w:r>
        <w:rPr>
          <w:rFonts w:ascii="宋体" w:hAnsi="宋体" w:cs="宋体"/>
        </w:rPr>
        <w:t>.7</w:t>
      </w:r>
      <w:r>
        <w:rPr>
          <w:rFonts w:hint="eastAsia" w:ascii="宋体" w:hAnsi="宋体" w:cs="宋体"/>
        </w:rPr>
        <w:t>同类业绩。（格式九）</w:t>
      </w:r>
    </w:p>
    <w:p>
      <w:pPr>
        <w:snapToGrid w:val="0"/>
        <w:spacing w:line="360" w:lineRule="auto"/>
        <w:ind w:firstLine="420" w:firstLineChars="200"/>
        <w:rPr>
          <w:rFonts w:hint="eastAsia" w:ascii="宋体" w:hAnsi="宋体" w:cs="宋体"/>
        </w:rPr>
      </w:pPr>
      <w:r>
        <w:rPr>
          <w:rFonts w:hint="eastAsia" w:ascii="宋体" w:hAnsi="宋体" w:cs="宋体"/>
        </w:rPr>
        <w:t>3</w:t>
      </w:r>
      <w:r>
        <w:rPr>
          <w:rFonts w:ascii="宋体" w:hAnsi="宋体" w:cs="宋体"/>
        </w:rPr>
        <w:t>.8</w:t>
      </w:r>
      <w:r>
        <w:rPr>
          <w:rFonts w:hint="eastAsia" w:ascii="宋体" w:hAnsi="宋体" w:cs="宋体"/>
        </w:rPr>
        <w:t>用户评价。（格式十）</w:t>
      </w:r>
    </w:p>
    <w:p>
      <w:pPr>
        <w:snapToGrid w:val="0"/>
        <w:spacing w:line="360" w:lineRule="auto"/>
        <w:ind w:firstLine="420" w:firstLineChars="200"/>
        <w:rPr>
          <w:rFonts w:hint="eastAsia" w:ascii="宋体" w:hAnsi="宋体" w:cs="宋体"/>
        </w:rPr>
      </w:pPr>
      <w:r>
        <w:rPr>
          <w:rFonts w:hint="eastAsia" w:ascii="宋体" w:hAnsi="宋体" w:cs="宋体"/>
        </w:rPr>
        <w:t>3</w:t>
      </w:r>
      <w:r>
        <w:rPr>
          <w:rFonts w:ascii="宋体" w:hAnsi="宋体" w:cs="宋体"/>
        </w:rPr>
        <w:t>.9</w:t>
      </w:r>
      <w:r>
        <w:rPr>
          <w:rFonts w:hint="eastAsia" w:ascii="宋体" w:hAnsi="宋体" w:cs="宋体"/>
        </w:rPr>
        <w:t>人员配备。（格式十一）</w:t>
      </w:r>
    </w:p>
    <w:p>
      <w:pPr>
        <w:snapToGrid w:val="0"/>
        <w:spacing w:line="360" w:lineRule="auto"/>
        <w:ind w:firstLine="420" w:firstLineChars="200"/>
        <w:rPr>
          <w:rFonts w:hint="eastAsia" w:ascii="宋体" w:hAnsi="宋体" w:cs="宋体"/>
        </w:rPr>
      </w:pPr>
      <w:r>
        <w:rPr>
          <w:rFonts w:hint="eastAsia" w:ascii="宋体" w:hAnsi="宋体" w:cs="宋体"/>
        </w:rPr>
        <w:t>3</w:t>
      </w:r>
      <w:r>
        <w:rPr>
          <w:rFonts w:ascii="宋体" w:hAnsi="宋体" w:cs="宋体"/>
        </w:rPr>
        <w:t>.10</w:t>
      </w:r>
      <w:r>
        <w:rPr>
          <w:rFonts w:hint="eastAsia" w:ascii="宋体" w:hAnsi="宋体" w:cs="宋体"/>
        </w:rPr>
        <w:t>年度通话服务拨通率承诺。</w:t>
      </w:r>
    </w:p>
    <w:p>
      <w:pPr>
        <w:snapToGrid w:val="0"/>
        <w:spacing w:line="360" w:lineRule="auto"/>
        <w:ind w:firstLine="420" w:firstLineChars="200"/>
        <w:rPr>
          <w:rFonts w:hint="eastAsia" w:ascii="宋体" w:hAnsi="宋体" w:cs="宋体"/>
        </w:rPr>
      </w:pPr>
      <w:r>
        <w:rPr>
          <w:rFonts w:hint="eastAsia" w:ascii="宋体" w:hAnsi="宋体" w:cs="宋体"/>
        </w:rPr>
        <w:t>3</w:t>
      </w:r>
      <w:r>
        <w:rPr>
          <w:rFonts w:ascii="宋体" w:hAnsi="宋体" w:cs="宋体"/>
        </w:rPr>
        <w:t>.11</w:t>
      </w:r>
      <w:r>
        <w:rPr>
          <w:rFonts w:hint="eastAsia" w:ascii="宋体" w:hAnsi="宋体" w:cs="宋体"/>
        </w:rPr>
        <w:t>通信应答优化服务。</w:t>
      </w:r>
    </w:p>
    <w:p>
      <w:pPr>
        <w:snapToGrid w:val="0"/>
        <w:spacing w:line="360" w:lineRule="auto"/>
        <w:ind w:firstLine="422" w:firstLineChars="200"/>
        <w:rPr>
          <w:rFonts w:ascii="宋体" w:hAnsi="宋体" w:cs="宋体"/>
          <w:b/>
          <w:bCs/>
        </w:rPr>
      </w:pPr>
      <w:r>
        <w:rPr>
          <w:rFonts w:hint="eastAsia" w:ascii="宋体" w:hAnsi="宋体" w:cs="宋体"/>
          <w:b/>
          <w:bCs/>
        </w:rPr>
        <w:t>▲3.</w:t>
      </w:r>
      <w:r>
        <w:rPr>
          <w:rFonts w:ascii="宋体" w:hAnsi="宋体" w:cs="宋体"/>
          <w:b/>
          <w:bCs/>
        </w:rPr>
        <w:t>12</w:t>
      </w:r>
      <w:r>
        <w:rPr>
          <w:rFonts w:hint="eastAsia" w:ascii="宋体" w:hAnsi="宋体" w:cs="宋体"/>
          <w:b/>
          <w:bCs/>
        </w:rPr>
        <w:t>船上用户自行支付部分的通话、短信等收费单价和优惠情况。（格式十二）</w:t>
      </w:r>
    </w:p>
    <w:p>
      <w:pPr>
        <w:snapToGrid w:val="0"/>
        <w:spacing w:line="360" w:lineRule="auto"/>
        <w:ind w:firstLine="420" w:firstLineChars="200"/>
        <w:rPr>
          <w:rFonts w:hint="eastAsia" w:ascii="宋体" w:hAnsi="宋体" w:cs="宋体"/>
        </w:rPr>
      </w:pPr>
      <w:r>
        <w:rPr>
          <w:rFonts w:hint="eastAsia" w:ascii="宋体" w:hAnsi="宋体" w:cs="宋体"/>
        </w:rPr>
        <w:t>3</w:t>
      </w:r>
      <w:r>
        <w:rPr>
          <w:rFonts w:ascii="宋体" w:hAnsi="宋体" w:cs="宋体"/>
        </w:rPr>
        <w:t>.13</w:t>
      </w:r>
      <w:r>
        <w:rPr>
          <w:rFonts w:hint="eastAsia" w:ascii="宋体" w:hAnsi="宋体" w:cs="宋体"/>
        </w:rPr>
        <w:t>售后服务方案。</w:t>
      </w:r>
    </w:p>
    <w:p>
      <w:pPr>
        <w:snapToGrid w:val="0"/>
        <w:spacing w:line="360" w:lineRule="auto"/>
        <w:ind w:firstLine="420" w:firstLineChars="200"/>
        <w:rPr>
          <w:rFonts w:hint="eastAsia" w:ascii="宋体" w:hAnsi="宋体" w:cs="宋体"/>
        </w:rPr>
      </w:pPr>
      <w:r>
        <w:rPr>
          <w:rFonts w:hint="eastAsia" w:ascii="宋体" w:hAnsi="宋体" w:cs="宋体"/>
        </w:rPr>
        <w:t>3</w:t>
      </w:r>
      <w:r>
        <w:rPr>
          <w:rFonts w:ascii="宋体" w:hAnsi="宋体" w:cs="宋体"/>
        </w:rPr>
        <w:t>.14</w:t>
      </w:r>
      <w:r>
        <w:rPr>
          <w:rFonts w:hint="eastAsia" w:ascii="宋体" w:hAnsi="宋体" w:cs="宋体"/>
        </w:rPr>
        <w:t>所供产品相关性能指标及证明资料。</w:t>
      </w:r>
    </w:p>
    <w:p>
      <w:pPr>
        <w:snapToGrid w:val="0"/>
        <w:spacing w:line="360" w:lineRule="auto"/>
        <w:ind w:firstLine="420" w:firstLineChars="200"/>
        <w:rPr>
          <w:rFonts w:ascii="宋体" w:hAnsi="宋体" w:cs="宋体"/>
        </w:rPr>
      </w:pPr>
      <w:r>
        <w:rPr>
          <w:rFonts w:hint="eastAsia" w:ascii="宋体" w:hAnsi="宋体" w:cs="宋体"/>
        </w:rPr>
        <w:t>3</w:t>
      </w:r>
      <w:r>
        <w:rPr>
          <w:rFonts w:ascii="宋体" w:hAnsi="宋体" w:cs="宋体"/>
        </w:rPr>
        <w:t>.15</w:t>
      </w:r>
      <w:r>
        <w:rPr>
          <w:rFonts w:hint="eastAsia" w:ascii="宋体" w:hAnsi="宋体" w:cs="宋体"/>
        </w:rPr>
        <w:t>项目实施方案。</w:t>
      </w:r>
    </w:p>
    <w:p>
      <w:pPr>
        <w:snapToGrid w:val="0"/>
        <w:spacing w:line="360" w:lineRule="auto"/>
        <w:ind w:firstLine="420" w:firstLineChars="200"/>
        <w:rPr>
          <w:rFonts w:ascii="宋体" w:hAnsi="宋体" w:cs="宋体"/>
        </w:rPr>
      </w:pPr>
      <w:r>
        <w:rPr>
          <w:rFonts w:hint="eastAsia" w:ascii="宋体" w:hAnsi="宋体" w:cs="宋体"/>
        </w:rPr>
        <w:t>3.</w:t>
      </w:r>
      <w:r>
        <w:rPr>
          <w:rFonts w:ascii="宋体" w:hAnsi="宋体" w:cs="宋体"/>
        </w:rPr>
        <w:t>16</w:t>
      </w:r>
      <w:r>
        <w:rPr>
          <w:rFonts w:hint="eastAsia" w:ascii="宋体" w:hAnsi="宋体" w:cs="宋体"/>
        </w:rPr>
        <w:t>本</w:t>
      </w:r>
      <w:r>
        <w:rPr>
          <w:rFonts w:hint="eastAsia" w:ascii="宋体" w:hAnsi="宋体" w:cs="宋体"/>
          <w:szCs w:val="21"/>
        </w:rPr>
        <w:t>磋商</w:t>
      </w:r>
      <w:r>
        <w:rPr>
          <w:rFonts w:hint="eastAsia" w:ascii="宋体" w:hAnsi="宋体" w:cs="宋体"/>
        </w:rPr>
        <w:t>文件要求提供的和响应人认为需要提供的其它说明和资料/文件。</w:t>
      </w:r>
    </w:p>
    <w:p>
      <w:pPr>
        <w:widowControl/>
        <w:jc w:val="left"/>
        <w:rPr>
          <w:rFonts w:ascii="宋体" w:hAnsi="宋体" w:cs="宋体"/>
        </w:rPr>
      </w:pPr>
      <w:r>
        <w:rPr>
          <w:rFonts w:ascii="宋体" w:hAnsi="宋体" w:cs="宋体"/>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cs="宋体"/>
          <w:b/>
          <w:spacing w:val="0"/>
          <w:sz w:val="28"/>
          <w:szCs w:val="28"/>
        </w:rPr>
      </w:pPr>
      <w:r>
        <w:rPr>
          <w:rFonts w:hint="eastAsia"/>
          <w:b/>
          <w:bCs/>
          <w:spacing w:val="0"/>
          <w:sz w:val="24"/>
          <w:szCs w:val="24"/>
        </w:rPr>
        <w:t>响应文件格式</w:t>
      </w:r>
    </w:p>
    <w:p>
      <w:pPr>
        <w:spacing w:line="360" w:lineRule="auto"/>
        <w:rPr>
          <w:rFonts w:hint="eastAsia" w:ascii="宋体" w:hAnsi="宋体" w:cs="宋体"/>
          <w:b/>
          <w:spacing w:val="0"/>
          <w:sz w:val="21"/>
          <w:szCs w:val="21"/>
        </w:rPr>
      </w:pPr>
      <w:r>
        <w:rPr>
          <w:rFonts w:hint="eastAsia" w:ascii="宋体" w:hAnsi="宋体" w:cs="宋体"/>
          <w:b/>
          <w:spacing w:val="0"/>
          <w:sz w:val="21"/>
          <w:szCs w:val="21"/>
        </w:rPr>
        <w:t>格式一、开标一览表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44"/>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844" w:type="dxa"/>
            <w:vAlign w:val="center"/>
          </w:tcPr>
          <w:p>
            <w:pPr>
              <w:jc w:val="center"/>
              <w:rPr>
                <w:rFonts w:hint="eastAsia" w:ascii="宋体" w:hAnsi="宋体" w:cs="??"/>
                <w:spacing w:val="0"/>
                <w:szCs w:val="21"/>
              </w:rPr>
            </w:pPr>
            <w:r>
              <w:rPr>
                <w:rFonts w:hint="eastAsia" w:ascii="宋体" w:hAnsi="宋体" w:cs="??"/>
                <w:spacing w:val="0"/>
                <w:szCs w:val="21"/>
              </w:rPr>
              <w:t>项目名称</w:t>
            </w:r>
          </w:p>
        </w:tc>
        <w:tc>
          <w:tcPr>
            <w:tcW w:w="7708" w:type="dxa"/>
            <w:vAlign w:val="center"/>
          </w:tcPr>
          <w:p>
            <w:pPr>
              <w:jc w:val="center"/>
              <w:rPr>
                <w:rFonts w:hint="eastAsia" w:ascii="宋体" w:hAnsi="宋体" w:cs="??"/>
                <w:spacing w:val="0"/>
                <w:szCs w:val="21"/>
              </w:rPr>
            </w:pPr>
            <w:r>
              <w:rPr>
                <w:rFonts w:hint="eastAsia" w:ascii="宋体" w:hAnsi="宋体" w:cs="??"/>
                <w:spacing w:val="0"/>
                <w:szCs w:val="21"/>
              </w:rPr>
              <w:t>嵊泗县海洋经济发展局（嵊泗县海洋与渔业局）卫星语音通讯服务项目（重新采购）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844" w:type="dxa"/>
            <w:vAlign w:val="center"/>
          </w:tcPr>
          <w:p>
            <w:pPr>
              <w:jc w:val="center"/>
              <w:rPr>
                <w:rFonts w:hint="eastAsia" w:ascii="宋体" w:hAnsi="宋体" w:cs="??"/>
                <w:spacing w:val="0"/>
                <w:szCs w:val="21"/>
              </w:rPr>
            </w:pPr>
            <w:r>
              <w:rPr>
                <w:rFonts w:hint="eastAsia" w:ascii="宋体" w:hAnsi="宋体" w:cs="??"/>
                <w:spacing w:val="0"/>
                <w:szCs w:val="21"/>
              </w:rPr>
              <w:t>项目编号</w:t>
            </w:r>
          </w:p>
        </w:tc>
        <w:tc>
          <w:tcPr>
            <w:tcW w:w="7708" w:type="dxa"/>
            <w:vAlign w:val="center"/>
          </w:tcPr>
          <w:p>
            <w:pPr>
              <w:jc w:val="center"/>
              <w:rPr>
                <w:rFonts w:hint="default" w:ascii="宋体" w:hAnsi="宋体" w:eastAsia="宋体" w:cs="??"/>
                <w:spacing w:val="0"/>
                <w:szCs w:val="21"/>
                <w:lang w:val="en-US" w:eastAsia="zh-CN"/>
              </w:rPr>
            </w:pPr>
            <w:r>
              <w:rPr>
                <w:rFonts w:ascii="宋体" w:hAnsi="宋体" w:cs="??"/>
                <w:spacing w:val="0"/>
                <w:szCs w:val="21"/>
              </w:rPr>
              <w:t>0773-2441GNZSFWCS0297</w:t>
            </w:r>
            <w:r>
              <w:rPr>
                <w:rFonts w:hint="eastAsia" w:ascii="宋体" w:hAnsi="宋体" w:cs="??"/>
                <w:spacing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844" w:type="dxa"/>
            <w:vAlign w:val="center"/>
          </w:tcPr>
          <w:p>
            <w:pPr>
              <w:jc w:val="center"/>
              <w:rPr>
                <w:rFonts w:hint="eastAsia" w:ascii="宋体" w:hAnsi="宋体" w:cs="??"/>
                <w:spacing w:val="0"/>
                <w:szCs w:val="21"/>
              </w:rPr>
            </w:pPr>
            <w:r>
              <w:rPr>
                <w:rFonts w:hint="eastAsia" w:ascii="宋体" w:hAnsi="宋体" w:cs="??"/>
                <w:spacing w:val="0"/>
                <w:szCs w:val="21"/>
              </w:rPr>
              <w:t>数量</w:t>
            </w:r>
          </w:p>
        </w:tc>
        <w:tc>
          <w:tcPr>
            <w:tcW w:w="7708" w:type="dxa"/>
            <w:vAlign w:val="center"/>
          </w:tcPr>
          <w:p>
            <w:pPr>
              <w:jc w:val="center"/>
              <w:rPr>
                <w:rFonts w:hint="eastAsia" w:ascii="宋体" w:hAnsi="宋体" w:cs="??"/>
                <w:spacing w:val="0"/>
                <w:szCs w:val="21"/>
              </w:rPr>
            </w:pPr>
            <w:r>
              <w:rPr>
                <w:rFonts w:hint="eastAsia" w:ascii="宋体" w:hAnsi="宋体" w:cs="??"/>
                <w:spacing w:val="0"/>
                <w:szCs w:val="21"/>
              </w:rPr>
              <w:t>340艘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844" w:type="dxa"/>
            <w:vAlign w:val="center"/>
          </w:tcPr>
          <w:p>
            <w:pPr>
              <w:jc w:val="center"/>
              <w:rPr>
                <w:rFonts w:hint="eastAsia" w:ascii="宋体" w:hAnsi="宋体" w:eastAsia="宋体" w:cs="??"/>
                <w:spacing w:val="0"/>
                <w:szCs w:val="21"/>
                <w:lang w:val="en-US" w:eastAsia="zh-CN"/>
              </w:rPr>
            </w:pPr>
            <w:r>
              <w:rPr>
                <w:rFonts w:hint="eastAsia" w:ascii="宋体" w:hAnsi="宋体" w:cs="??"/>
                <w:spacing w:val="0"/>
                <w:szCs w:val="21"/>
                <w:lang w:val="en-US" w:eastAsia="zh-CN"/>
              </w:rPr>
              <w:t>年限</w:t>
            </w:r>
          </w:p>
        </w:tc>
        <w:tc>
          <w:tcPr>
            <w:tcW w:w="7708" w:type="dxa"/>
            <w:vAlign w:val="center"/>
          </w:tcPr>
          <w:p>
            <w:pPr>
              <w:jc w:val="center"/>
              <w:rPr>
                <w:rFonts w:hint="eastAsia" w:ascii="宋体" w:hAnsi="宋体" w:eastAsia="宋体" w:cs="??"/>
                <w:spacing w:val="0"/>
                <w:szCs w:val="21"/>
                <w:lang w:val="en-US" w:eastAsia="zh-CN"/>
              </w:rPr>
            </w:pPr>
            <w:r>
              <w:rPr>
                <w:rFonts w:hint="eastAsia" w:ascii="宋体" w:hAnsi="宋体" w:cs="??"/>
                <w:spacing w:val="0"/>
                <w:szCs w:val="21"/>
                <w:lang w:val="en-US" w:eastAsia="zh-CN"/>
              </w:rPr>
              <w:t>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844" w:type="dxa"/>
            <w:vAlign w:val="center"/>
          </w:tcPr>
          <w:p>
            <w:pPr>
              <w:jc w:val="center"/>
              <w:rPr>
                <w:rFonts w:hint="eastAsia" w:ascii="宋体" w:hAnsi="宋体" w:cs="??"/>
                <w:spacing w:val="0"/>
                <w:szCs w:val="21"/>
              </w:rPr>
            </w:pPr>
            <w:r>
              <w:rPr>
                <w:rFonts w:hint="eastAsia" w:ascii="宋体" w:hAnsi="宋体" w:cs="??"/>
                <w:spacing w:val="0"/>
                <w:szCs w:val="21"/>
              </w:rPr>
              <w:t>磋商单价</w:t>
            </w:r>
          </w:p>
          <w:p>
            <w:pPr>
              <w:jc w:val="center"/>
              <w:rPr>
                <w:rFonts w:ascii="宋体" w:hAnsi="宋体" w:cs="??"/>
                <w:spacing w:val="0"/>
                <w:szCs w:val="21"/>
              </w:rPr>
            </w:pPr>
            <w:r>
              <w:rPr>
                <w:rFonts w:hint="eastAsia" w:ascii="宋体" w:hAnsi="宋体" w:cs="??"/>
                <w:spacing w:val="0"/>
                <w:szCs w:val="21"/>
              </w:rPr>
              <w:t>（元</w:t>
            </w:r>
            <w:r>
              <w:rPr>
                <w:rFonts w:hint="eastAsia" w:ascii="宋体" w:hAnsi="宋体" w:cs="??"/>
                <w:spacing w:val="0"/>
                <w:szCs w:val="21"/>
                <w:lang w:val="en-US" w:eastAsia="zh-CN"/>
              </w:rPr>
              <w:t>/艘·年</w:t>
            </w:r>
            <w:r>
              <w:rPr>
                <w:rFonts w:hint="eastAsia" w:ascii="宋体" w:hAnsi="宋体" w:cs="??"/>
                <w:spacing w:val="0"/>
                <w:szCs w:val="21"/>
              </w:rPr>
              <w:t>）</w:t>
            </w:r>
          </w:p>
        </w:tc>
        <w:tc>
          <w:tcPr>
            <w:tcW w:w="7708" w:type="dxa"/>
            <w:vAlign w:val="center"/>
          </w:tcPr>
          <w:p>
            <w:pPr>
              <w:jc w:val="center"/>
              <w:rPr>
                <w:rFonts w:hint="eastAsia" w:ascii="宋体" w:hAnsi="宋体" w:cs="??"/>
                <w:spacing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0" w:hRule="atLeast"/>
          <w:jc w:val="center"/>
        </w:trPr>
        <w:tc>
          <w:tcPr>
            <w:tcW w:w="1844" w:type="dxa"/>
            <w:vAlign w:val="center"/>
          </w:tcPr>
          <w:p>
            <w:pPr>
              <w:jc w:val="center"/>
              <w:rPr>
                <w:rFonts w:hint="eastAsia" w:ascii="宋体" w:hAnsi="宋体" w:cs="??"/>
                <w:spacing w:val="0"/>
                <w:szCs w:val="21"/>
              </w:rPr>
            </w:pPr>
            <w:r>
              <w:rPr>
                <w:rFonts w:hint="eastAsia" w:ascii="宋体" w:hAnsi="宋体" w:cs="??"/>
                <w:spacing w:val="0"/>
                <w:szCs w:val="21"/>
              </w:rPr>
              <w:t>磋商总价（元）</w:t>
            </w:r>
          </w:p>
        </w:tc>
        <w:tc>
          <w:tcPr>
            <w:tcW w:w="7708" w:type="dxa"/>
            <w:vAlign w:val="center"/>
          </w:tcPr>
          <w:p>
            <w:pPr>
              <w:jc w:val="center"/>
              <w:rPr>
                <w:rFonts w:hint="eastAsia" w:ascii="宋体" w:hAnsi="宋体" w:cs="??"/>
                <w:spacing w:val="0"/>
                <w:szCs w:val="21"/>
              </w:rPr>
            </w:pPr>
          </w:p>
        </w:tc>
      </w:tr>
    </w:tbl>
    <w:p>
      <w:pPr>
        <w:spacing w:line="360" w:lineRule="auto"/>
        <w:ind w:firstLine="422" w:firstLineChars="200"/>
        <w:rPr>
          <w:rFonts w:hint="eastAsia" w:ascii="宋体" w:hAnsi="宋体" w:cs="宋体" w:eastAsiaTheme="minorEastAsia"/>
          <w:spacing w:val="0"/>
          <w:szCs w:val="21"/>
          <w:lang w:eastAsia="zh-CN"/>
        </w:rPr>
      </w:pPr>
      <w:r>
        <w:rPr>
          <w:rFonts w:hint="eastAsia" w:cs="宋体" w:asciiTheme="minorEastAsia" w:hAnsiTheme="minorEastAsia" w:eastAsiaTheme="minorEastAsia"/>
          <w:b/>
          <w:bCs/>
          <w:spacing w:val="0"/>
          <w:szCs w:val="21"/>
        </w:rPr>
        <w:t>▲注：</w:t>
      </w:r>
      <w:r>
        <w:rPr>
          <w:rFonts w:hint="eastAsia" w:asciiTheme="minorEastAsia" w:hAnsiTheme="minorEastAsia" w:eastAsiaTheme="minorEastAsia"/>
          <w:b/>
          <w:bCs/>
          <w:spacing w:val="0"/>
          <w:szCs w:val="21"/>
        </w:rPr>
        <w:t>本次磋商报价不得超过每</w:t>
      </w:r>
      <w:r>
        <w:rPr>
          <w:rFonts w:asciiTheme="minorEastAsia" w:hAnsiTheme="minorEastAsia" w:eastAsiaTheme="minorEastAsia"/>
          <w:b/>
          <w:bCs/>
          <w:spacing w:val="0"/>
          <w:szCs w:val="21"/>
        </w:rPr>
        <w:t>艘</w:t>
      </w:r>
      <w:r>
        <w:rPr>
          <w:rFonts w:hint="eastAsia" w:asciiTheme="minorEastAsia" w:hAnsiTheme="minorEastAsia" w:eastAsiaTheme="minorEastAsia"/>
          <w:b/>
          <w:bCs/>
          <w:spacing w:val="0"/>
          <w:szCs w:val="21"/>
        </w:rPr>
        <w:t>船</w:t>
      </w:r>
      <w:r>
        <w:rPr>
          <w:rFonts w:hint="eastAsia" w:asciiTheme="minorEastAsia" w:hAnsiTheme="minorEastAsia" w:eastAsiaTheme="minorEastAsia"/>
          <w:b/>
          <w:bCs/>
          <w:spacing w:val="0"/>
          <w:szCs w:val="21"/>
          <w:lang w:val="en-US" w:eastAsia="zh-CN"/>
        </w:rPr>
        <w:t>2500</w:t>
      </w:r>
      <w:r>
        <w:rPr>
          <w:rFonts w:hint="eastAsia" w:asciiTheme="minorEastAsia" w:hAnsiTheme="minorEastAsia" w:eastAsiaTheme="minorEastAsia"/>
          <w:b/>
          <w:bCs/>
          <w:spacing w:val="0"/>
          <w:szCs w:val="21"/>
        </w:rPr>
        <w:t>元</w:t>
      </w:r>
      <w:r>
        <w:rPr>
          <w:rFonts w:hint="eastAsia" w:asciiTheme="minorEastAsia" w:hAnsiTheme="minorEastAsia" w:eastAsiaTheme="minorEastAsia"/>
          <w:b/>
          <w:bCs/>
          <w:spacing w:val="0"/>
          <w:szCs w:val="21"/>
          <w:lang w:val="en-US" w:eastAsia="zh-CN"/>
        </w:rPr>
        <w:t>/艘·年</w:t>
      </w:r>
      <w:r>
        <w:rPr>
          <w:rFonts w:asciiTheme="minorEastAsia" w:hAnsiTheme="minorEastAsia" w:eastAsiaTheme="minorEastAsia"/>
          <w:b/>
          <w:bCs/>
          <w:spacing w:val="0"/>
          <w:szCs w:val="21"/>
        </w:rPr>
        <w:t>。该</w:t>
      </w:r>
      <w:r>
        <w:rPr>
          <w:rFonts w:hint="eastAsia" w:asciiTheme="minorEastAsia" w:hAnsiTheme="minorEastAsia" w:eastAsiaTheme="minorEastAsia"/>
          <w:b/>
          <w:bCs/>
          <w:spacing w:val="0"/>
          <w:szCs w:val="21"/>
        </w:rPr>
        <w:t>报价含每艘船上用户与200个对外服务白名单号码主叫、被叫的所有通信（含短信）费用，及除白名单号码外的1000分钟通话时长费用，并包括入网费、座机费</w:t>
      </w:r>
      <w:bookmarkStart w:id="13" w:name="_GoBack"/>
      <w:bookmarkEnd w:id="13"/>
      <w:r>
        <w:rPr>
          <w:rFonts w:hint="eastAsia" w:asciiTheme="minorEastAsia" w:hAnsiTheme="minorEastAsia" w:eastAsiaTheme="minorEastAsia"/>
          <w:b/>
          <w:bCs/>
          <w:spacing w:val="0"/>
          <w:szCs w:val="21"/>
        </w:rPr>
        <w:t>等</w:t>
      </w:r>
      <w:r>
        <w:rPr>
          <w:rFonts w:asciiTheme="minorEastAsia" w:hAnsiTheme="minorEastAsia" w:eastAsiaTheme="minorEastAsia"/>
          <w:b/>
          <w:bCs/>
          <w:spacing w:val="0"/>
          <w:szCs w:val="21"/>
        </w:rPr>
        <w:t>。</w:t>
      </w:r>
      <w:r>
        <w:rPr>
          <w:rFonts w:hint="eastAsia" w:asciiTheme="minorEastAsia" w:hAnsiTheme="minorEastAsia" w:eastAsiaTheme="minorEastAsia"/>
          <w:b/>
          <w:bCs/>
          <w:spacing w:val="0"/>
          <w:szCs w:val="21"/>
        </w:rPr>
        <w:t>由采购人提供包括市（县区）渔业应急指挥中心、点验中心、乡镇渔办、公共报警电话、应急管理部门、海事管理部门等200个对外服务白名单号码。运营服务期内，成交人须保证船上用户与白名单号码主叫、被叫免费，通信正常，不得欠费停机，不另行收费。</w:t>
      </w:r>
    </w:p>
    <w:p>
      <w:pPr>
        <w:spacing w:line="480" w:lineRule="auto"/>
        <w:rPr>
          <w:rFonts w:ascii="宋体" w:hAnsi="宋体" w:cs="宋体"/>
          <w:spacing w:val="0"/>
          <w:szCs w:val="21"/>
        </w:rPr>
      </w:pPr>
    </w:p>
    <w:p>
      <w:pPr>
        <w:rPr>
          <w:spacing w:val="0"/>
        </w:rPr>
      </w:pPr>
    </w:p>
    <w:p>
      <w:pPr>
        <w:spacing w:line="480" w:lineRule="auto"/>
        <w:rPr>
          <w:rFonts w:ascii="宋体" w:hAnsi="宋体" w:cs="宋体"/>
          <w:spacing w:val="0"/>
          <w:szCs w:val="21"/>
        </w:rPr>
      </w:pPr>
      <w:r>
        <w:rPr>
          <w:rFonts w:hint="eastAsia" w:ascii="宋体" w:hAnsi="宋体" w:cs="宋体"/>
          <w:spacing w:val="0"/>
          <w:szCs w:val="21"/>
        </w:rPr>
        <w:t>响应人名称：</w:t>
      </w:r>
      <w:r>
        <w:rPr>
          <w:rFonts w:hint="eastAsia" w:ascii="宋体" w:hAnsi="宋体" w:cs="宋体"/>
          <w:spacing w:val="0"/>
          <w:szCs w:val="21"/>
          <w:u w:val="single"/>
        </w:rPr>
        <w:t xml:space="preserve">                </w:t>
      </w:r>
      <w:r>
        <w:rPr>
          <w:rFonts w:hint="eastAsia" w:ascii="宋体" w:hAnsi="宋体" w:cs="宋体"/>
          <w:spacing w:val="0"/>
          <w:szCs w:val="21"/>
        </w:rPr>
        <w:t xml:space="preserve">（加盖公章）  </w:t>
      </w:r>
    </w:p>
    <w:p>
      <w:pPr>
        <w:spacing w:line="480" w:lineRule="auto"/>
        <w:rPr>
          <w:rFonts w:ascii="宋体" w:hAnsi="宋体" w:cs="宋体"/>
          <w:spacing w:val="0"/>
          <w:szCs w:val="21"/>
        </w:rPr>
      </w:pPr>
      <w:r>
        <w:rPr>
          <w:rFonts w:hint="eastAsia" w:ascii="宋体" w:hAnsi="宋体" w:cs="宋体"/>
          <w:spacing w:val="0"/>
          <w:szCs w:val="21"/>
        </w:rPr>
        <w:t>响应人代表：</w:t>
      </w:r>
      <w:r>
        <w:rPr>
          <w:rFonts w:hint="eastAsia" w:ascii="宋体" w:hAnsi="宋体" w:cs="宋体"/>
          <w:spacing w:val="0"/>
          <w:szCs w:val="21"/>
          <w:u w:val="single"/>
        </w:rPr>
        <w:t xml:space="preserve">                </w:t>
      </w:r>
      <w:r>
        <w:rPr>
          <w:rFonts w:hint="eastAsia" w:ascii="宋体" w:hAnsi="宋体" w:cs="宋体"/>
          <w:spacing w:val="0"/>
          <w:szCs w:val="21"/>
        </w:rPr>
        <w:t>（签字）</w:t>
      </w:r>
    </w:p>
    <w:p>
      <w:pPr>
        <w:spacing w:line="480" w:lineRule="auto"/>
        <w:rPr>
          <w:rFonts w:ascii="宋体" w:hAnsi="宋体" w:cs="宋体"/>
          <w:spacing w:val="0"/>
          <w:szCs w:val="21"/>
        </w:rPr>
      </w:pPr>
      <w:r>
        <w:rPr>
          <w:rFonts w:hint="eastAsia" w:ascii="宋体" w:hAnsi="宋体" w:cs="宋体"/>
          <w:spacing w:val="0"/>
          <w:szCs w:val="21"/>
        </w:rPr>
        <w:t>日期：</w:t>
      </w:r>
      <w:r>
        <w:rPr>
          <w:rFonts w:hint="eastAsia" w:ascii="宋体" w:hAnsi="宋体" w:cs="宋体"/>
          <w:spacing w:val="0"/>
          <w:szCs w:val="21"/>
          <w:u w:val="single"/>
        </w:rPr>
        <w:t xml:space="preserve">    </w:t>
      </w:r>
      <w:r>
        <w:rPr>
          <w:rFonts w:hint="eastAsia" w:ascii="宋体" w:hAnsi="宋体" w:cs="宋体"/>
          <w:spacing w:val="0"/>
          <w:szCs w:val="21"/>
        </w:rPr>
        <w:t>年</w:t>
      </w:r>
      <w:r>
        <w:rPr>
          <w:rFonts w:hint="eastAsia" w:ascii="宋体" w:hAnsi="宋体" w:cs="宋体"/>
          <w:spacing w:val="0"/>
          <w:szCs w:val="21"/>
          <w:u w:val="single"/>
        </w:rPr>
        <w:t xml:space="preserve">   </w:t>
      </w:r>
      <w:r>
        <w:rPr>
          <w:rFonts w:hint="eastAsia" w:ascii="宋体" w:hAnsi="宋体" w:cs="宋体"/>
          <w:spacing w:val="0"/>
          <w:szCs w:val="21"/>
        </w:rPr>
        <w:t>月</w:t>
      </w:r>
      <w:r>
        <w:rPr>
          <w:rFonts w:hint="eastAsia" w:ascii="宋体" w:hAnsi="宋体" w:cs="宋体"/>
          <w:spacing w:val="0"/>
          <w:szCs w:val="21"/>
          <w:u w:val="single"/>
        </w:rPr>
        <w:t xml:space="preserve">   </w:t>
      </w:r>
      <w:r>
        <w:rPr>
          <w:rFonts w:hint="eastAsia" w:ascii="宋体" w:hAnsi="宋体" w:cs="宋体"/>
          <w:spacing w:val="0"/>
          <w:szCs w:val="21"/>
        </w:rPr>
        <w:t>日</w:t>
      </w:r>
    </w:p>
    <w:p>
      <w:pPr>
        <w:widowControl/>
        <w:jc w:val="left"/>
        <w:rPr>
          <w:rFonts w:ascii="宋体" w:hAnsi="宋体" w:cs="宋体"/>
          <w:b/>
          <w:spacing w:val="0"/>
          <w:szCs w:val="21"/>
        </w:rPr>
      </w:pPr>
      <w:r>
        <w:rPr>
          <w:rFonts w:ascii="宋体" w:hAnsi="宋体" w:cs="宋体"/>
          <w:b/>
          <w:spacing w:val="0"/>
          <w:szCs w:val="21"/>
        </w:rPr>
        <w:br w:type="page"/>
      </w:r>
    </w:p>
    <w:p>
      <w:pPr>
        <w:spacing w:line="360" w:lineRule="auto"/>
        <w:rPr>
          <w:rFonts w:hint="eastAsia" w:ascii="宋体" w:hAnsi="宋体" w:cs="宋体"/>
          <w:b/>
          <w:spacing w:val="0"/>
          <w:sz w:val="21"/>
          <w:szCs w:val="21"/>
        </w:rPr>
      </w:pPr>
      <w:r>
        <w:rPr>
          <w:rFonts w:hint="eastAsia" w:ascii="宋体" w:hAnsi="宋体" w:cs="宋体"/>
          <w:b/>
          <w:spacing w:val="0"/>
          <w:sz w:val="21"/>
          <w:szCs w:val="21"/>
        </w:rPr>
        <w:t>格式二、中小企业声明函</w:t>
      </w:r>
    </w:p>
    <w:p>
      <w:pPr>
        <w:widowControl/>
        <w:jc w:val="center"/>
        <w:rPr>
          <w:spacing w:val="0"/>
          <w:szCs w:val="21"/>
        </w:rPr>
      </w:pPr>
      <w:r>
        <w:rPr>
          <w:rFonts w:hint="eastAsia" w:ascii="宋体" w:hAnsi="宋体" w:cs="宋体"/>
          <w:b/>
          <w:spacing w:val="0"/>
          <w:kern w:val="0"/>
          <w:szCs w:val="21"/>
        </w:rPr>
        <w:t>中小企业声明函（服务）</w:t>
      </w:r>
    </w:p>
    <w:p>
      <w:pPr>
        <w:widowControl/>
        <w:spacing w:line="360" w:lineRule="auto"/>
        <w:ind w:firstLine="420" w:firstLineChars="200"/>
        <w:rPr>
          <w:rFonts w:ascii="宋体" w:hAnsi="宋体" w:cs="宋体"/>
          <w:spacing w:val="0"/>
          <w:szCs w:val="21"/>
        </w:rPr>
      </w:pPr>
      <w:r>
        <w:rPr>
          <w:rFonts w:hint="eastAsia" w:ascii="宋体" w:hAnsi="宋体" w:cs="宋体"/>
          <w:spacing w:val="0"/>
          <w:kern w:val="0"/>
          <w:szCs w:val="21"/>
        </w:rPr>
        <w:t>本公司郑重声明，根据《政府采购促进中小企业发展管理办法》（财库﹝2020﹞46 号）的规定，本公司参加</w:t>
      </w:r>
      <w:r>
        <w:rPr>
          <w:rFonts w:hint="eastAsia" w:ascii="宋体" w:hAnsi="宋体" w:cs="宋体"/>
          <w:i/>
          <w:spacing w:val="0"/>
          <w:kern w:val="0"/>
          <w:szCs w:val="21"/>
          <w:u w:val="single"/>
        </w:rPr>
        <w:t>（单位名称）</w:t>
      </w:r>
      <w:r>
        <w:rPr>
          <w:rFonts w:hint="eastAsia" w:ascii="宋体" w:hAnsi="宋体" w:cs="宋体"/>
          <w:spacing w:val="0"/>
          <w:kern w:val="0"/>
          <w:szCs w:val="21"/>
        </w:rPr>
        <w:t>的</w:t>
      </w:r>
      <w:r>
        <w:rPr>
          <w:rFonts w:hint="eastAsia" w:ascii="宋体" w:hAnsi="宋体" w:cs="宋体"/>
          <w:i/>
          <w:spacing w:val="0"/>
          <w:kern w:val="0"/>
          <w:szCs w:val="21"/>
          <w:u w:val="single"/>
        </w:rPr>
        <w:t>（项目名称）</w:t>
      </w:r>
      <w:r>
        <w:rPr>
          <w:rFonts w:hint="eastAsia" w:ascii="宋体" w:hAnsi="宋体" w:cs="宋体"/>
          <w:spacing w:val="0"/>
          <w:kern w:val="0"/>
          <w:szCs w:val="21"/>
        </w:rPr>
        <w:t>采购活动，服务全部由符合政策要求的中小企业承接。相关企业的具体情况如下：</w:t>
      </w:r>
    </w:p>
    <w:p>
      <w:pPr>
        <w:widowControl/>
        <w:spacing w:line="360" w:lineRule="auto"/>
        <w:ind w:firstLine="420" w:firstLineChars="200"/>
        <w:rPr>
          <w:rFonts w:ascii="宋体" w:hAnsi="宋体" w:cs="宋体"/>
          <w:spacing w:val="0"/>
          <w:szCs w:val="21"/>
        </w:rPr>
      </w:pPr>
      <w:r>
        <w:rPr>
          <w:rFonts w:hint="eastAsia" w:ascii="宋体" w:hAnsi="宋体" w:cs="宋体"/>
          <w:spacing w:val="0"/>
          <w:kern w:val="0"/>
          <w:szCs w:val="21"/>
        </w:rPr>
        <w:t>1.</w:t>
      </w:r>
      <w:r>
        <w:rPr>
          <w:rFonts w:hint="eastAsia" w:ascii="宋体" w:hAnsi="宋体" w:cs="宋体"/>
          <w:i/>
          <w:spacing w:val="0"/>
          <w:kern w:val="0"/>
          <w:szCs w:val="21"/>
          <w:u w:val="single"/>
        </w:rPr>
        <w:t>（标的名称）</w:t>
      </w:r>
      <w:r>
        <w:rPr>
          <w:rFonts w:hint="eastAsia" w:ascii="宋体" w:hAnsi="宋体" w:cs="宋体"/>
          <w:spacing w:val="0"/>
          <w:kern w:val="0"/>
          <w:szCs w:val="21"/>
        </w:rPr>
        <w:t>，属于</w:t>
      </w:r>
      <w:r>
        <w:rPr>
          <w:rFonts w:hint="eastAsia" w:ascii="宋体" w:hAnsi="宋体" w:cs="宋体"/>
          <w:i/>
          <w:spacing w:val="0"/>
          <w:kern w:val="0"/>
          <w:szCs w:val="21"/>
          <w:u w:val="single"/>
        </w:rPr>
        <w:t>（采购文件中明确的所属行业）</w:t>
      </w:r>
      <w:r>
        <w:rPr>
          <w:rFonts w:hint="eastAsia" w:ascii="宋体" w:hAnsi="宋体" w:cs="宋体"/>
          <w:spacing w:val="0"/>
          <w:kern w:val="0"/>
          <w:szCs w:val="21"/>
        </w:rPr>
        <w:t>；承接企业为</w:t>
      </w:r>
      <w:r>
        <w:rPr>
          <w:rFonts w:hint="eastAsia" w:ascii="宋体" w:hAnsi="宋体" w:cs="宋体"/>
          <w:i/>
          <w:spacing w:val="0"/>
          <w:kern w:val="0"/>
          <w:szCs w:val="21"/>
          <w:u w:val="single"/>
        </w:rPr>
        <w:t>（企业名称）</w:t>
      </w:r>
      <w:r>
        <w:rPr>
          <w:rFonts w:hint="eastAsia" w:ascii="宋体" w:hAnsi="宋体" w:cs="宋体"/>
          <w:spacing w:val="0"/>
          <w:kern w:val="0"/>
          <w:szCs w:val="21"/>
        </w:rPr>
        <w:t>，从业人员</w:t>
      </w:r>
      <w:r>
        <w:rPr>
          <w:rFonts w:hint="eastAsia" w:ascii="宋体" w:hAnsi="宋体" w:cs="宋体"/>
          <w:spacing w:val="0"/>
          <w:kern w:val="0"/>
          <w:szCs w:val="21"/>
          <w:u w:val="single"/>
        </w:rPr>
        <w:t xml:space="preserve">    </w:t>
      </w:r>
      <w:r>
        <w:rPr>
          <w:rFonts w:hint="eastAsia" w:ascii="宋体" w:hAnsi="宋体" w:cs="宋体"/>
          <w:spacing w:val="0"/>
          <w:kern w:val="0"/>
          <w:szCs w:val="21"/>
        </w:rPr>
        <w:t>人，营业收入为</w:t>
      </w:r>
      <w:r>
        <w:rPr>
          <w:rFonts w:hint="eastAsia" w:ascii="宋体" w:hAnsi="宋体" w:cs="宋体"/>
          <w:spacing w:val="0"/>
          <w:kern w:val="0"/>
          <w:szCs w:val="21"/>
          <w:u w:val="single"/>
        </w:rPr>
        <w:t xml:space="preserve">    </w:t>
      </w:r>
      <w:r>
        <w:rPr>
          <w:rFonts w:hint="eastAsia" w:ascii="宋体" w:hAnsi="宋体" w:cs="宋体"/>
          <w:spacing w:val="0"/>
          <w:kern w:val="0"/>
          <w:szCs w:val="21"/>
        </w:rPr>
        <w:t>万元，资产总额为</w:t>
      </w:r>
      <w:r>
        <w:rPr>
          <w:rFonts w:hint="eastAsia" w:ascii="宋体" w:hAnsi="宋体" w:cs="宋体"/>
          <w:spacing w:val="0"/>
          <w:kern w:val="0"/>
          <w:szCs w:val="21"/>
          <w:u w:val="single"/>
        </w:rPr>
        <w:t xml:space="preserve">    </w:t>
      </w:r>
      <w:r>
        <w:rPr>
          <w:rFonts w:hint="eastAsia" w:ascii="宋体" w:hAnsi="宋体" w:cs="宋体"/>
          <w:spacing w:val="0"/>
          <w:kern w:val="0"/>
          <w:szCs w:val="21"/>
        </w:rPr>
        <w:t>万元，属于</w:t>
      </w:r>
      <w:r>
        <w:rPr>
          <w:rFonts w:hint="eastAsia" w:ascii="宋体" w:hAnsi="宋体" w:cs="宋体"/>
          <w:i/>
          <w:spacing w:val="0"/>
          <w:kern w:val="0"/>
          <w:szCs w:val="21"/>
          <w:u w:val="single"/>
        </w:rPr>
        <w:t>（中型企业、小型企业、微型企业）</w:t>
      </w:r>
      <w:r>
        <w:rPr>
          <w:rFonts w:hint="eastAsia" w:ascii="宋体" w:hAnsi="宋体" w:cs="宋体"/>
          <w:spacing w:val="0"/>
          <w:kern w:val="0"/>
          <w:szCs w:val="21"/>
        </w:rPr>
        <w:t xml:space="preserve">； </w:t>
      </w:r>
    </w:p>
    <w:p>
      <w:pPr>
        <w:widowControl/>
        <w:spacing w:line="360" w:lineRule="auto"/>
        <w:ind w:firstLine="420" w:firstLineChars="200"/>
        <w:rPr>
          <w:rFonts w:ascii="宋体" w:hAnsi="宋体" w:cs="宋体"/>
          <w:spacing w:val="0"/>
          <w:szCs w:val="21"/>
        </w:rPr>
      </w:pPr>
      <w:r>
        <w:rPr>
          <w:rFonts w:hint="eastAsia" w:ascii="宋体" w:hAnsi="宋体" w:cs="宋体"/>
          <w:spacing w:val="0"/>
          <w:kern w:val="0"/>
          <w:szCs w:val="21"/>
        </w:rPr>
        <w:t>2.</w:t>
      </w:r>
      <w:r>
        <w:rPr>
          <w:rFonts w:hint="eastAsia" w:ascii="宋体" w:hAnsi="宋体" w:cs="宋体"/>
          <w:i/>
          <w:spacing w:val="0"/>
          <w:kern w:val="0"/>
          <w:szCs w:val="21"/>
          <w:u w:val="single"/>
        </w:rPr>
        <w:t>（标的名称）</w:t>
      </w:r>
      <w:r>
        <w:rPr>
          <w:rFonts w:hint="eastAsia" w:ascii="宋体" w:hAnsi="宋体" w:cs="宋体"/>
          <w:spacing w:val="0"/>
          <w:kern w:val="0"/>
          <w:szCs w:val="21"/>
        </w:rPr>
        <w:t>，属于</w:t>
      </w:r>
      <w:r>
        <w:rPr>
          <w:rFonts w:hint="eastAsia" w:ascii="宋体" w:hAnsi="宋体" w:cs="宋体"/>
          <w:i/>
          <w:spacing w:val="0"/>
          <w:kern w:val="0"/>
          <w:szCs w:val="21"/>
          <w:u w:val="single"/>
        </w:rPr>
        <w:t>（采购文件中明确的所属行业）</w:t>
      </w:r>
      <w:r>
        <w:rPr>
          <w:rFonts w:hint="eastAsia" w:ascii="宋体" w:hAnsi="宋体" w:cs="宋体"/>
          <w:spacing w:val="0"/>
          <w:kern w:val="0"/>
          <w:szCs w:val="21"/>
        </w:rPr>
        <w:t>；承接企业为</w:t>
      </w:r>
      <w:r>
        <w:rPr>
          <w:rFonts w:hint="eastAsia" w:ascii="宋体" w:hAnsi="宋体" w:cs="宋体"/>
          <w:i/>
          <w:spacing w:val="0"/>
          <w:kern w:val="0"/>
          <w:szCs w:val="21"/>
          <w:u w:val="single"/>
        </w:rPr>
        <w:t>（企业名称）</w:t>
      </w:r>
      <w:r>
        <w:rPr>
          <w:rFonts w:hint="eastAsia" w:ascii="宋体" w:hAnsi="宋体" w:cs="宋体"/>
          <w:spacing w:val="0"/>
          <w:kern w:val="0"/>
          <w:szCs w:val="21"/>
        </w:rPr>
        <w:t>，从业人员</w:t>
      </w:r>
      <w:r>
        <w:rPr>
          <w:rFonts w:hint="eastAsia" w:ascii="宋体" w:hAnsi="宋体" w:cs="宋体"/>
          <w:spacing w:val="0"/>
          <w:kern w:val="0"/>
          <w:szCs w:val="21"/>
          <w:u w:val="single"/>
        </w:rPr>
        <w:t xml:space="preserve">    </w:t>
      </w:r>
      <w:r>
        <w:rPr>
          <w:rFonts w:hint="eastAsia" w:ascii="宋体" w:hAnsi="宋体" w:cs="宋体"/>
          <w:spacing w:val="0"/>
          <w:kern w:val="0"/>
          <w:szCs w:val="21"/>
        </w:rPr>
        <w:t>人，营业收入为</w:t>
      </w:r>
      <w:r>
        <w:rPr>
          <w:rFonts w:hint="eastAsia" w:ascii="宋体" w:hAnsi="宋体" w:cs="宋体"/>
          <w:spacing w:val="0"/>
          <w:kern w:val="0"/>
          <w:szCs w:val="21"/>
          <w:u w:val="single"/>
        </w:rPr>
        <w:t xml:space="preserve">    </w:t>
      </w:r>
      <w:r>
        <w:rPr>
          <w:rFonts w:hint="eastAsia" w:ascii="宋体" w:hAnsi="宋体" w:cs="宋体"/>
          <w:spacing w:val="0"/>
          <w:kern w:val="0"/>
          <w:szCs w:val="21"/>
        </w:rPr>
        <w:t>万元，资产总额为</w:t>
      </w:r>
      <w:r>
        <w:rPr>
          <w:rFonts w:hint="eastAsia" w:ascii="宋体" w:hAnsi="宋体" w:cs="宋体"/>
          <w:spacing w:val="0"/>
          <w:kern w:val="0"/>
          <w:szCs w:val="21"/>
          <w:u w:val="single"/>
        </w:rPr>
        <w:t xml:space="preserve">    </w:t>
      </w:r>
      <w:r>
        <w:rPr>
          <w:rFonts w:hint="eastAsia" w:ascii="宋体" w:hAnsi="宋体" w:cs="宋体"/>
          <w:spacing w:val="0"/>
          <w:kern w:val="0"/>
          <w:szCs w:val="21"/>
        </w:rPr>
        <w:t>万元，属于</w:t>
      </w:r>
      <w:r>
        <w:rPr>
          <w:rFonts w:hint="eastAsia" w:ascii="宋体" w:hAnsi="宋体" w:cs="宋体"/>
          <w:i/>
          <w:spacing w:val="0"/>
          <w:kern w:val="0"/>
          <w:szCs w:val="21"/>
          <w:u w:val="single"/>
        </w:rPr>
        <w:t>（中型企业、小型企业、微型企业）</w:t>
      </w:r>
      <w:r>
        <w:rPr>
          <w:rFonts w:hint="eastAsia" w:ascii="宋体" w:hAnsi="宋体" w:cs="宋体"/>
          <w:spacing w:val="0"/>
          <w:kern w:val="0"/>
          <w:szCs w:val="21"/>
        </w:rPr>
        <w:t xml:space="preserve">； </w:t>
      </w:r>
    </w:p>
    <w:p>
      <w:pPr>
        <w:widowControl/>
        <w:spacing w:line="360" w:lineRule="auto"/>
        <w:ind w:firstLine="420" w:firstLineChars="200"/>
        <w:rPr>
          <w:rFonts w:ascii="宋体" w:hAnsi="宋体" w:cs="宋体"/>
          <w:spacing w:val="0"/>
          <w:szCs w:val="21"/>
        </w:rPr>
      </w:pPr>
      <w:r>
        <w:rPr>
          <w:rFonts w:hint="eastAsia" w:ascii="宋体" w:hAnsi="宋体" w:cs="宋体"/>
          <w:spacing w:val="0"/>
          <w:kern w:val="0"/>
          <w:szCs w:val="21"/>
        </w:rPr>
        <w:t>……</w:t>
      </w:r>
    </w:p>
    <w:p>
      <w:pPr>
        <w:widowControl/>
        <w:spacing w:line="360" w:lineRule="auto"/>
        <w:ind w:firstLine="420" w:firstLineChars="200"/>
        <w:rPr>
          <w:rFonts w:ascii="宋体" w:hAnsi="宋体" w:cs="宋体"/>
          <w:spacing w:val="0"/>
          <w:szCs w:val="21"/>
        </w:rPr>
      </w:pPr>
      <w:r>
        <w:rPr>
          <w:rFonts w:hint="eastAsia" w:ascii="宋体" w:hAnsi="宋体" w:cs="宋体"/>
          <w:spacing w:val="0"/>
          <w:kern w:val="0"/>
          <w:szCs w:val="21"/>
        </w:rPr>
        <w:t>以上企业，不属于大企业的分支机构，不存在控股股东为大企业的情形，也不存在与大企业的负责人为同一人的情形。</w:t>
      </w:r>
    </w:p>
    <w:p>
      <w:pPr>
        <w:widowControl/>
        <w:spacing w:line="360" w:lineRule="auto"/>
        <w:ind w:firstLine="420" w:firstLineChars="200"/>
        <w:rPr>
          <w:rFonts w:ascii="宋体" w:hAnsi="宋体" w:cs="宋体"/>
          <w:spacing w:val="0"/>
          <w:szCs w:val="21"/>
        </w:rPr>
      </w:pPr>
      <w:r>
        <w:rPr>
          <w:rFonts w:hint="eastAsia" w:ascii="宋体" w:hAnsi="宋体" w:cs="宋体"/>
          <w:spacing w:val="0"/>
          <w:kern w:val="0"/>
          <w:szCs w:val="21"/>
        </w:rPr>
        <w:t xml:space="preserve">本企业对上述声明内容的真实性负责。如有虚假，将依法承担相应责任。 </w:t>
      </w:r>
    </w:p>
    <w:p>
      <w:pPr>
        <w:widowControl/>
        <w:spacing w:line="360" w:lineRule="auto"/>
        <w:ind w:firstLine="2520" w:firstLineChars="1200"/>
        <w:rPr>
          <w:rFonts w:ascii="宋体" w:hAnsi="宋体" w:cs="宋体"/>
          <w:spacing w:val="0"/>
          <w:szCs w:val="21"/>
        </w:rPr>
      </w:pPr>
      <w:r>
        <w:rPr>
          <w:rFonts w:hint="eastAsia" w:ascii="宋体" w:hAnsi="宋体" w:cs="宋体"/>
          <w:spacing w:val="0"/>
          <w:kern w:val="0"/>
          <w:szCs w:val="21"/>
        </w:rPr>
        <w:t xml:space="preserve">企业名称（盖章）： </w:t>
      </w:r>
    </w:p>
    <w:p>
      <w:pPr>
        <w:widowControl/>
        <w:spacing w:line="360" w:lineRule="auto"/>
        <w:ind w:firstLine="2520" w:firstLineChars="1200"/>
        <w:rPr>
          <w:rFonts w:ascii="宋体" w:hAnsi="宋体" w:cs="宋体"/>
          <w:spacing w:val="0"/>
          <w:szCs w:val="21"/>
        </w:rPr>
      </w:pPr>
      <w:r>
        <w:rPr>
          <w:rFonts w:hint="eastAsia" w:ascii="宋体" w:hAnsi="宋体" w:cs="宋体"/>
          <w:spacing w:val="0"/>
          <w:kern w:val="0"/>
          <w:szCs w:val="21"/>
        </w:rPr>
        <w:t xml:space="preserve">日 期： </w:t>
      </w:r>
    </w:p>
    <w:p>
      <w:pPr>
        <w:snapToGrid w:val="0"/>
        <w:spacing w:line="360" w:lineRule="auto"/>
        <w:rPr>
          <w:rFonts w:ascii="宋体" w:hAnsi="宋体" w:cs="宋体"/>
          <w:b/>
          <w:spacing w:val="0"/>
          <w:szCs w:val="21"/>
        </w:rPr>
      </w:pPr>
      <w:r>
        <w:rPr>
          <w:rFonts w:hint="eastAsia" w:ascii="宋体" w:hAnsi="宋体" w:cs="宋体"/>
          <w:b/>
          <w:spacing w:val="0"/>
          <w:szCs w:val="21"/>
        </w:rPr>
        <w:t>注：</w:t>
      </w:r>
    </w:p>
    <w:p>
      <w:pPr>
        <w:snapToGrid w:val="0"/>
        <w:spacing w:line="360" w:lineRule="auto"/>
        <w:ind w:firstLine="422" w:firstLineChars="200"/>
        <w:rPr>
          <w:rFonts w:ascii="宋体" w:hAnsi="宋体" w:cs="宋体"/>
          <w:b/>
          <w:spacing w:val="0"/>
          <w:szCs w:val="21"/>
        </w:rPr>
      </w:pPr>
      <w:r>
        <w:rPr>
          <w:rFonts w:hint="eastAsia" w:ascii="宋体" w:hAnsi="宋体" w:cs="宋体"/>
          <w:b/>
          <w:spacing w:val="0"/>
          <w:szCs w:val="21"/>
        </w:rPr>
        <w:t>1.从业人员、营业收入、资产总额填报上一年度数据，无上一年度数据的新成立企业可不填报。</w:t>
      </w:r>
    </w:p>
    <w:p>
      <w:pPr>
        <w:snapToGrid w:val="0"/>
        <w:spacing w:line="360" w:lineRule="auto"/>
        <w:ind w:firstLine="422" w:firstLineChars="200"/>
        <w:rPr>
          <w:rFonts w:ascii="宋体" w:hAnsi="宋体" w:cs="宋体"/>
          <w:b/>
          <w:spacing w:val="0"/>
          <w:szCs w:val="21"/>
        </w:rPr>
      </w:pPr>
      <w:r>
        <w:rPr>
          <w:rFonts w:hint="eastAsia" w:ascii="宋体" w:hAnsi="宋体" w:cs="宋体"/>
          <w:b/>
          <w:spacing w:val="0"/>
          <w:szCs w:val="21"/>
        </w:rPr>
        <w:t>2.符合中小企业划分标准的个体工商户，在政府采购活动中视同中小企业。</w:t>
      </w:r>
    </w:p>
    <w:p>
      <w:pPr>
        <w:snapToGrid w:val="0"/>
        <w:spacing w:line="360" w:lineRule="auto"/>
        <w:ind w:firstLine="422" w:firstLineChars="200"/>
        <w:rPr>
          <w:rFonts w:ascii="宋体" w:hAnsi="宋体" w:cs="宋体"/>
          <w:b/>
          <w:spacing w:val="0"/>
          <w:szCs w:val="21"/>
        </w:rPr>
      </w:pPr>
      <w:r>
        <w:rPr>
          <w:rFonts w:hint="eastAsia" w:ascii="宋体" w:hAnsi="宋体" w:cs="宋体"/>
          <w:b/>
          <w:spacing w:val="0"/>
          <w:szCs w:val="21"/>
        </w:rPr>
        <w:t>3.符合财政部 司法部关于政府采购支持监狱企业发展有关问题的通知（财库〔2014〕68 号）的监狱企业、符合财政部 民政部 中国残疾人联合会关于促进残疾人就业政府采购政策的通知（财库〔2017〕141 号）的残疾人福利性单位，在政府采购活动中，视同小型、微型企业，享受《政府采购促进中小企业发展管理办法》（财库[2020]46号）规定的中小企业扶持政策。监狱企业、残疾人福利性单位属于小型、微型企业的，不重复享受政策。</w:t>
      </w:r>
    </w:p>
    <w:p>
      <w:pPr>
        <w:snapToGrid w:val="0"/>
        <w:spacing w:line="360" w:lineRule="auto"/>
        <w:ind w:firstLine="422" w:firstLineChars="200"/>
        <w:rPr>
          <w:rFonts w:ascii="宋体" w:hAnsi="宋体" w:cs="宋体"/>
          <w:b/>
          <w:spacing w:val="0"/>
          <w:szCs w:val="21"/>
        </w:rPr>
      </w:pPr>
      <w:r>
        <w:rPr>
          <w:rFonts w:hint="eastAsia" w:ascii="宋体" w:hAnsi="宋体" w:cs="宋体"/>
          <w:b/>
          <w:spacing w:val="0"/>
          <w:szCs w:val="21"/>
        </w:rPr>
        <w:t>4.中标、成交供应商享受《政府采购促进中小企业发展管理办法》（财库[2020]46号）规定的中小企业扶持政策的，《中小企业声明函》随中标、成交结果公开。</w:t>
      </w:r>
    </w:p>
    <w:p>
      <w:pPr>
        <w:snapToGrid w:val="0"/>
        <w:spacing w:line="360" w:lineRule="auto"/>
        <w:ind w:firstLine="422" w:firstLineChars="200"/>
        <w:rPr>
          <w:rFonts w:ascii="宋体" w:hAnsi="宋体" w:cs="宋体"/>
          <w:b/>
          <w:spacing w:val="0"/>
          <w:szCs w:val="21"/>
        </w:rPr>
      </w:pPr>
      <w:r>
        <w:rPr>
          <w:rFonts w:hint="eastAsia" w:ascii="宋体" w:hAnsi="宋体" w:cs="宋体"/>
          <w:b/>
          <w:spacing w:val="0"/>
          <w:szCs w:val="21"/>
        </w:rPr>
        <w:t>5.供应商应当按照《政府采购促进中小企业发展管理办法》（财库[2020]46号）规定和《中小企业划型标准规定》（工信部联企业〔2011〕300号），如实填写并提交《中小企业声明函》。供应商对其声明内容的真实性负责，声明函内容不实的，属于提供虚假材料谋取中标、成交，依照《中华人民共和国政府采购法》等国家有关规定追究相应责任。</w:t>
      </w:r>
    </w:p>
    <w:p>
      <w:pPr>
        <w:snapToGrid w:val="0"/>
        <w:spacing w:line="360" w:lineRule="auto"/>
        <w:ind w:firstLine="422" w:firstLineChars="200"/>
        <w:rPr>
          <w:rFonts w:ascii="宋体" w:hAnsi="宋体" w:cs="宋体"/>
          <w:b/>
          <w:spacing w:val="0"/>
          <w:szCs w:val="21"/>
        </w:rPr>
      </w:pPr>
      <w:r>
        <w:rPr>
          <w:rFonts w:hint="eastAsia" w:ascii="宋体" w:hAnsi="宋体" w:cs="宋体"/>
          <w:b/>
          <w:spacing w:val="0"/>
          <w:szCs w:val="21"/>
        </w:rPr>
        <w:t>6.本项目采购标的对应的中小企业划分标准所属行业：信息传输业。</w:t>
      </w:r>
    </w:p>
    <w:p>
      <w:pPr>
        <w:widowControl/>
        <w:jc w:val="left"/>
        <w:rPr>
          <w:rFonts w:ascii="宋体" w:hAnsi="宋体" w:cs="宋体"/>
          <w:b/>
          <w:spacing w:val="0"/>
          <w:szCs w:val="21"/>
        </w:rPr>
      </w:pPr>
      <w:r>
        <w:rPr>
          <w:rFonts w:hint="eastAsia" w:ascii="宋体" w:hAnsi="宋体" w:cs="宋体"/>
          <w:b/>
          <w:spacing w:val="0"/>
          <w:szCs w:val="21"/>
        </w:rPr>
        <w:br w:type="page"/>
      </w:r>
    </w:p>
    <w:p>
      <w:pPr>
        <w:spacing w:line="360" w:lineRule="auto"/>
        <w:rPr>
          <w:rFonts w:hint="eastAsia" w:ascii="宋体" w:hAnsi="宋体" w:cs="宋体"/>
          <w:b/>
          <w:spacing w:val="0"/>
          <w:sz w:val="21"/>
          <w:szCs w:val="21"/>
        </w:rPr>
      </w:pPr>
      <w:r>
        <w:rPr>
          <w:rFonts w:hint="eastAsia" w:ascii="宋体" w:hAnsi="宋体" w:cs="宋体"/>
          <w:b/>
          <w:spacing w:val="0"/>
          <w:sz w:val="21"/>
          <w:szCs w:val="21"/>
        </w:rPr>
        <w:t>格式三、</w:t>
      </w:r>
      <w:bookmarkStart w:id="11" w:name="OLE_LINK13"/>
      <w:bookmarkStart w:id="12" w:name="OLE_LINK14"/>
      <w:r>
        <w:rPr>
          <w:rFonts w:hint="eastAsia" w:ascii="宋体" w:hAnsi="宋体" w:cs="宋体"/>
          <w:b/>
          <w:spacing w:val="0"/>
          <w:sz w:val="21"/>
          <w:szCs w:val="21"/>
        </w:rPr>
        <w:t>残疾人福利性单位声明函</w:t>
      </w:r>
    </w:p>
    <w:bookmarkEnd w:id="11"/>
    <w:bookmarkEnd w:id="12"/>
    <w:p>
      <w:pPr>
        <w:widowControl/>
        <w:spacing w:line="588" w:lineRule="atLeast"/>
        <w:jc w:val="center"/>
        <w:rPr>
          <w:rFonts w:ascii="宋体" w:hAnsi="宋体" w:cs="宋体"/>
          <w:b/>
          <w:spacing w:val="0"/>
          <w:kern w:val="0"/>
          <w:szCs w:val="21"/>
        </w:rPr>
      </w:pPr>
      <w:r>
        <w:rPr>
          <w:rFonts w:hint="eastAsia" w:ascii="宋体" w:hAnsi="宋体" w:cs="宋体"/>
          <w:b/>
          <w:spacing w:val="0"/>
          <w:kern w:val="0"/>
          <w:szCs w:val="21"/>
        </w:rPr>
        <w:t>残疾人福利性单位声明函（服务）</w:t>
      </w:r>
    </w:p>
    <w:p>
      <w:pPr>
        <w:widowControl/>
        <w:spacing w:before="312" w:beforeLines="100" w:line="500" w:lineRule="exact"/>
        <w:ind w:firstLine="601"/>
        <w:rPr>
          <w:rFonts w:ascii="宋体" w:hAnsi="宋体" w:cs="宋体"/>
          <w:spacing w:val="0"/>
          <w:szCs w:val="21"/>
        </w:rPr>
      </w:pPr>
      <w:r>
        <w:rPr>
          <w:rFonts w:hint="eastAsia" w:ascii="宋体" w:hAnsi="宋体" w:cs="宋体"/>
          <w:spacing w:val="0"/>
          <w:szCs w:val="21"/>
        </w:rPr>
        <w:t>本单位郑重声明，根据《财政部 民政部 中国残疾人联合会关于促进残疾人就业政府采购政策的通知》（财库〔2017〕141号）的规定，本单位为符合条件的残疾人福利性单位，且本单位参加______单位的______项目采购活动由本单位提供服务。</w:t>
      </w:r>
    </w:p>
    <w:p>
      <w:pPr>
        <w:widowControl/>
        <w:spacing w:line="500" w:lineRule="exact"/>
        <w:ind w:firstLine="600"/>
        <w:rPr>
          <w:rFonts w:ascii="宋体" w:hAnsi="宋体" w:cs="宋体"/>
          <w:spacing w:val="0"/>
          <w:szCs w:val="21"/>
        </w:rPr>
      </w:pPr>
      <w:r>
        <w:rPr>
          <w:rFonts w:hint="eastAsia" w:ascii="宋体" w:hAnsi="宋体" w:cs="宋体"/>
          <w:spacing w:val="0"/>
          <w:szCs w:val="21"/>
        </w:rPr>
        <w:t>本单位对上述声明的真实性负责。如有虚假，将依法承担相应责任。</w:t>
      </w:r>
    </w:p>
    <w:p>
      <w:pPr>
        <w:widowControl/>
        <w:spacing w:line="500" w:lineRule="exact"/>
        <w:rPr>
          <w:rFonts w:ascii="宋体" w:hAnsi="宋体" w:cs="宋体"/>
          <w:spacing w:val="0"/>
          <w:kern w:val="0"/>
          <w:szCs w:val="21"/>
        </w:rPr>
      </w:pPr>
    </w:p>
    <w:p>
      <w:pPr>
        <w:widowControl/>
        <w:spacing w:line="500" w:lineRule="exact"/>
        <w:ind w:right="1560" w:firstLine="600"/>
        <w:jc w:val="center"/>
        <w:rPr>
          <w:rFonts w:ascii="宋体" w:hAnsi="宋体" w:cs="宋体"/>
          <w:spacing w:val="0"/>
          <w:szCs w:val="21"/>
        </w:rPr>
      </w:pPr>
      <w:r>
        <w:rPr>
          <w:rFonts w:hint="eastAsia" w:ascii="宋体" w:hAnsi="宋体" w:cs="宋体"/>
          <w:spacing w:val="0"/>
          <w:kern w:val="0"/>
          <w:szCs w:val="21"/>
        </w:rPr>
        <w:t xml:space="preserve">               </w:t>
      </w:r>
      <w:r>
        <w:rPr>
          <w:rFonts w:hint="eastAsia" w:ascii="宋体" w:hAnsi="宋体" w:cs="宋体"/>
          <w:spacing w:val="0"/>
          <w:szCs w:val="21"/>
        </w:rPr>
        <w:t>单位名称（盖章）：</w:t>
      </w:r>
    </w:p>
    <w:p>
      <w:pPr>
        <w:widowControl/>
        <w:spacing w:line="500" w:lineRule="exact"/>
        <w:ind w:right="1560" w:firstLine="600"/>
        <w:jc w:val="center"/>
        <w:rPr>
          <w:rFonts w:ascii="宋体" w:hAnsi="宋体" w:cs="宋体"/>
          <w:spacing w:val="0"/>
          <w:szCs w:val="21"/>
        </w:rPr>
      </w:pPr>
      <w:r>
        <w:rPr>
          <w:rFonts w:hint="eastAsia" w:ascii="宋体" w:hAnsi="宋体" w:cs="宋体"/>
          <w:spacing w:val="0"/>
          <w:szCs w:val="21"/>
        </w:rPr>
        <w:t xml:space="preserve">       日  期：</w:t>
      </w:r>
    </w:p>
    <w:p>
      <w:pPr>
        <w:spacing w:before="312" w:beforeLines="100" w:line="440" w:lineRule="atLeast"/>
        <w:ind w:firstLine="420" w:firstLineChars="200"/>
        <w:rPr>
          <w:rFonts w:ascii="宋体" w:hAnsi="宋体" w:cs="宋体"/>
          <w:spacing w:val="0"/>
          <w:szCs w:val="21"/>
        </w:rPr>
      </w:pPr>
    </w:p>
    <w:p>
      <w:pPr>
        <w:spacing w:before="312" w:beforeLines="100" w:line="440" w:lineRule="atLeast"/>
        <w:ind w:firstLine="420" w:firstLineChars="200"/>
        <w:rPr>
          <w:rFonts w:ascii="宋体" w:hAnsi="宋体" w:cs="宋体"/>
          <w:spacing w:val="0"/>
          <w:szCs w:val="21"/>
        </w:rPr>
      </w:pPr>
    </w:p>
    <w:p>
      <w:pPr>
        <w:spacing w:line="360" w:lineRule="auto"/>
        <w:rPr>
          <w:rFonts w:ascii="宋体" w:hAnsi="宋体" w:cs="宋体"/>
          <w:b/>
          <w:spacing w:val="0"/>
          <w:szCs w:val="21"/>
        </w:rPr>
      </w:pPr>
      <w:r>
        <w:rPr>
          <w:rFonts w:hint="eastAsia" w:ascii="宋体" w:hAnsi="宋体" w:cs="宋体"/>
          <w:b/>
          <w:spacing w:val="0"/>
          <w:szCs w:val="21"/>
        </w:rPr>
        <w:t>注：</w:t>
      </w:r>
    </w:p>
    <w:p>
      <w:pPr>
        <w:snapToGrid w:val="0"/>
        <w:spacing w:line="360" w:lineRule="auto"/>
        <w:ind w:firstLine="422" w:firstLineChars="200"/>
        <w:jc w:val="left"/>
        <w:rPr>
          <w:rFonts w:ascii="宋体" w:hAnsi="宋体" w:cs="宋体"/>
          <w:b/>
          <w:spacing w:val="0"/>
          <w:szCs w:val="21"/>
        </w:rPr>
      </w:pPr>
      <w:r>
        <w:rPr>
          <w:rFonts w:hint="eastAsia" w:ascii="宋体" w:hAnsi="宋体" w:cs="宋体"/>
          <w:b/>
          <w:spacing w:val="0"/>
          <w:szCs w:val="21"/>
        </w:rPr>
        <w:t>1.中标、成交供应商为残疾人福利性单位的，《残疾人福利性单位声明函》随中标、成交结果同时公告，接受社会监督。</w:t>
      </w:r>
    </w:p>
    <w:p>
      <w:pPr>
        <w:snapToGrid w:val="0"/>
        <w:spacing w:line="360" w:lineRule="auto"/>
        <w:ind w:firstLine="422" w:firstLineChars="200"/>
        <w:jc w:val="left"/>
        <w:rPr>
          <w:rFonts w:ascii="宋体" w:hAnsi="宋体" w:cs="宋体"/>
          <w:b/>
          <w:spacing w:val="0"/>
          <w:szCs w:val="21"/>
        </w:rPr>
      </w:pPr>
      <w:r>
        <w:rPr>
          <w:rFonts w:hint="eastAsia" w:ascii="宋体" w:hAnsi="宋体" w:cs="宋体"/>
          <w:b/>
          <w:spacing w:val="0"/>
          <w:szCs w:val="21"/>
        </w:rPr>
        <w:t>2.供应商提供的《残疾人福利性单位声明函》与事实不符的，依照《政府采购法》第七十七条第一款的规定追究法律责任。</w:t>
      </w:r>
    </w:p>
    <w:p>
      <w:pPr>
        <w:widowControl/>
        <w:jc w:val="left"/>
        <w:rPr>
          <w:rFonts w:ascii="宋体" w:hAnsi="宋体" w:cs="宋体"/>
          <w:b/>
          <w:spacing w:val="0"/>
          <w:szCs w:val="21"/>
        </w:rPr>
      </w:pPr>
      <w:r>
        <w:rPr>
          <w:rFonts w:ascii="宋体" w:hAnsi="宋体" w:cs="宋体"/>
          <w:b/>
          <w:spacing w:val="0"/>
          <w:szCs w:val="21"/>
        </w:rPr>
        <w:br w:type="page"/>
      </w:r>
    </w:p>
    <w:p>
      <w:pPr>
        <w:spacing w:line="360" w:lineRule="auto"/>
        <w:rPr>
          <w:rFonts w:hint="eastAsia" w:ascii="宋体" w:hAnsi="宋体" w:cs="宋体"/>
          <w:b/>
          <w:spacing w:val="0"/>
          <w:sz w:val="21"/>
          <w:szCs w:val="21"/>
        </w:rPr>
      </w:pPr>
      <w:r>
        <w:rPr>
          <w:rFonts w:hint="eastAsia" w:ascii="宋体" w:hAnsi="宋体" w:cs="宋体"/>
          <w:b/>
          <w:spacing w:val="0"/>
          <w:sz w:val="21"/>
          <w:szCs w:val="21"/>
        </w:rPr>
        <w:t>格式四、响应函</w:t>
      </w:r>
    </w:p>
    <w:p>
      <w:pPr>
        <w:spacing w:line="360" w:lineRule="auto"/>
        <w:jc w:val="left"/>
        <w:rPr>
          <w:rFonts w:ascii="宋体" w:hAnsi="宋体" w:cs="宋体"/>
          <w:spacing w:val="0"/>
          <w:sz w:val="21"/>
          <w:szCs w:val="21"/>
        </w:rPr>
      </w:pPr>
      <w:r>
        <w:rPr>
          <w:rFonts w:hint="eastAsia" w:ascii="宋体" w:hAnsi="宋体" w:cs="宋体"/>
          <w:spacing w:val="0"/>
          <w:sz w:val="21"/>
          <w:szCs w:val="21"/>
        </w:rPr>
        <w:t>致：嵊泗县海洋经济发展局（嵊泗县海洋与渔业局）</w:t>
      </w:r>
    </w:p>
    <w:p>
      <w:pPr>
        <w:spacing w:line="360" w:lineRule="auto"/>
        <w:ind w:firstLine="420" w:firstLineChars="200"/>
        <w:jc w:val="left"/>
        <w:rPr>
          <w:rFonts w:ascii="宋体" w:hAnsi="宋体" w:cs="宋体"/>
          <w:spacing w:val="0"/>
          <w:sz w:val="21"/>
          <w:szCs w:val="21"/>
        </w:rPr>
      </w:pPr>
      <w:r>
        <w:rPr>
          <w:rFonts w:hint="eastAsia" w:ascii="宋体" w:hAnsi="宋体" w:cs="宋体"/>
          <w:spacing w:val="0"/>
          <w:sz w:val="21"/>
          <w:szCs w:val="21"/>
        </w:rPr>
        <w:t>中金招标有限责任公司</w:t>
      </w:r>
    </w:p>
    <w:p>
      <w:pPr>
        <w:spacing w:line="360" w:lineRule="auto"/>
        <w:ind w:firstLine="420" w:firstLineChars="200"/>
        <w:jc w:val="both"/>
        <w:rPr>
          <w:rFonts w:ascii="宋体" w:hAnsi="宋体" w:cs="宋体"/>
          <w:spacing w:val="0"/>
          <w:sz w:val="21"/>
          <w:szCs w:val="21"/>
        </w:rPr>
      </w:pPr>
      <w:r>
        <w:rPr>
          <w:rFonts w:hint="eastAsia" w:ascii="宋体" w:hAnsi="宋体" w:cs="宋体"/>
          <w:spacing w:val="0"/>
          <w:sz w:val="21"/>
          <w:szCs w:val="21"/>
        </w:rPr>
        <w:t>我方</w:t>
      </w:r>
      <w:r>
        <w:rPr>
          <w:rFonts w:hint="eastAsia" w:ascii="宋体" w:hAnsi="宋体" w:cs="宋体"/>
          <w:b/>
          <w:spacing w:val="0"/>
          <w:sz w:val="21"/>
          <w:szCs w:val="21"/>
          <w:u w:val="single"/>
        </w:rPr>
        <w:t>（响应人名称）</w:t>
      </w:r>
      <w:r>
        <w:rPr>
          <w:rFonts w:hint="eastAsia" w:ascii="宋体" w:hAnsi="宋体" w:cs="宋体"/>
          <w:spacing w:val="0"/>
          <w:sz w:val="21"/>
          <w:szCs w:val="21"/>
        </w:rPr>
        <w:t>已详细审查了</w:t>
      </w:r>
      <w:r>
        <w:rPr>
          <w:rFonts w:hint="eastAsia" w:ascii="宋体" w:hAnsi="宋体" w:cs="宋体"/>
          <w:b/>
          <w:spacing w:val="0"/>
          <w:sz w:val="21"/>
          <w:szCs w:val="21"/>
          <w:u w:val="single"/>
        </w:rPr>
        <w:t xml:space="preserve">（项目编号）（项目名称）    </w:t>
      </w:r>
      <w:r>
        <w:rPr>
          <w:rFonts w:hint="eastAsia" w:ascii="宋体" w:hAnsi="宋体" w:cs="宋体"/>
          <w:spacing w:val="0"/>
          <w:sz w:val="21"/>
          <w:szCs w:val="21"/>
        </w:rPr>
        <w:t>的磋商文件及其相关补充文件</w:t>
      </w:r>
      <w:r>
        <w:rPr>
          <w:rFonts w:hint="eastAsia" w:ascii="宋体" w:hAnsi="宋体" w:cs="宋体"/>
          <w:b/>
          <w:spacing w:val="0"/>
          <w:sz w:val="21"/>
          <w:szCs w:val="21"/>
        </w:rPr>
        <w:t>（若有）</w:t>
      </w:r>
      <w:r>
        <w:rPr>
          <w:rFonts w:hint="eastAsia" w:ascii="宋体" w:hAnsi="宋体" w:cs="宋体"/>
          <w:spacing w:val="0"/>
          <w:sz w:val="21"/>
          <w:szCs w:val="21"/>
        </w:rPr>
        <w:t>，并正式授权我公司的</w:t>
      </w:r>
      <w:r>
        <w:rPr>
          <w:rFonts w:hint="eastAsia" w:ascii="宋体" w:hAnsi="宋体" w:cs="宋体"/>
          <w:b/>
          <w:spacing w:val="0"/>
          <w:sz w:val="21"/>
          <w:szCs w:val="21"/>
          <w:u w:val="single"/>
        </w:rPr>
        <w:t>（被授权人姓名）</w:t>
      </w:r>
      <w:r>
        <w:rPr>
          <w:rFonts w:hint="eastAsia" w:ascii="宋体" w:hAnsi="宋体" w:cs="宋体"/>
          <w:spacing w:val="0"/>
          <w:sz w:val="21"/>
          <w:szCs w:val="21"/>
        </w:rPr>
        <w:t>以本公司名义，全权代表我方自愿参加上述采购项目的响应，现就有关事项向采购代理机构郑重承诺如下：</w:t>
      </w:r>
    </w:p>
    <w:p>
      <w:pPr>
        <w:spacing w:line="360" w:lineRule="auto"/>
        <w:ind w:right="-91" w:firstLine="420" w:firstLineChars="200"/>
        <w:jc w:val="both"/>
        <w:rPr>
          <w:rFonts w:ascii="宋体" w:hAnsi="宋体" w:cs="宋体"/>
          <w:spacing w:val="0"/>
          <w:sz w:val="21"/>
          <w:szCs w:val="21"/>
        </w:rPr>
      </w:pPr>
      <w:r>
        <w:rPr>
          <w:rFonts w:hint="eastAsia" w:ascii="宋体" w:hAnsi="宋体" w:cs="宋体"/>
          <w:spacing w:val="0"/>
          <w:sz w:val="21"/>
          <w:szCs w:val="21"/>
        </w:rPr>
        <w:t>1、我方已详细审查了磋商文件的全部内容及其相关补充文件</w:t>
      </w:r>
      <w:r>
        <w:rPr>
          <w:rFonts w:hint="eastAsia" w:ascii="宋体" w:hAnsi="宋体" w:cs="宋体"/>
          <w:b/>
          <w:spacing w:val="0"/>
          <w:sz w:val="21"/>
          <w:szCs w:val="21"/>
        </w:rPr>
        <w:t>（若有）</w:t>
      </w:r>
      <w:r>
        <w:rPr>
          <w:rFonts w:hint="eastAsia" w:ascii="宋体" w:hAnsi="宋体" w:cs="宋体"/>
          <w:spacing w:val="0"/>
          <w:sz w:val="21"/>
          <w:szCs w:val="21"/>
        </w:rPr>
        <w:t>，并完全清晰理解全部内容及相关的补充文件</w:t>
      </w:r>
      <w:r>
        <w:rPr>
          <w:rFonts w:hint="eastAsia" w:ascii="宋体" w:hAnsi="宋体" w:cs="宋体"/>
          <w:b/>
          <w:spacing w:val="0"/>
          <w:sz w:val="21"/>
          <w:szCs w:val="21"/>
        </w:rPr>
        <w:t>（若有）</w:t>
      </w:r>
      <w:r>
        <w:rPr>
          <w:rFonts w:hint="eastAsia" w:ascii="宋体" w:hAnsi="宋体" w:cs="宋体"/>
          <w:spacing w:val="0"/>
          <w:sz w:val="21"/>
          <w:szCs w:val="21"/>
        </w:rPr>
        <w:t>，不存在任何误解之处，同意放弃提出异议和质疑的权利。</w:t>
      </w:r>
    </w:p>
    <w:p>
      <w:pPr>
        <w:spacing w:line="360" w:lineRule="auto"/>
        <w:ind w:right="-89" w:firstLine="420" w:firstLineChars="200"/>
        <w:jc w:val="both"/>
        <w:rPr>
          <w:rFonts w:ascii="宋体" w:hAnsi="宋体" w:cs="宋体"/>
          <w:spacing w:val="0"/>
          <w:sz w:val="21"/>
          <w:szCs w:val="21"/>
        </w:rPr>
      </w:pPr>
      <w:r>
        <w:rPr>
          <w:rFonts w:hint="eastAsia" w:ascii="宋体" w:hAnsi="宋体" w:cs="宋体"/>
          <w:spacing w:val="0"/>
          <w:sz w:val="21"/>
          <w:szCs w:val="21"/>
        </w:rPr>
        <w:t>2、在项目实施过程中，我方完全响应磋商文件的所有条款，履行合同义务。执行标准绝不低于磋商文件的标准要求。</w:t>
      </w:r>
    </w:p>
    <w:p>
      <w:pPr>
        <w:spacing w:line="360" w:lineRule="auto"/>
        <w:ind w:right="-89" w:firstLine="420" w:firstLineChars="200"/>
        <w:jc w:val="both"/>
        <w:rPr>
          <w:rFonts w:ascii="宋体" w:hAnsi="宋体" w:cs="宋体"/>
          <w:spacing w:val="0"/>
          <w:sz w:val="21"/>
          <w:szCs w:val="21"/>
        </w:rPr>
      </w:pPr>
      <w:r>
        <w:rPr>
          <w:rFonts w:hint="eastAsia" w:ascii="宋体" w:hAnsi="宋体" w:cs="宋体"/>
          <w:spacing w:val="0"/>
          <w:sz w:val="21"/>
          <w:szCs w:val="21"/>
        </w:rPr>
        <w:t>3、我方遵守《中华人民共和国政府采购法》及相关法律法规的规定。同意磋商文件中所提到的无效标条款，并服从有关开标现场的会议纪律。否则，同意被废除响应资格。</w:t>
      </w:r>
    </w:p>
    <w:p>
      <w:pPr>
        <w:spacing w:line="360" w:lineRule="auto"/>
        <w:ind w:right="-89" w:firstLine="420" w:firstLineChars="200"/>
        <w:jc w:val="both"/>
        <w:rPr>
          <w:rFonts w:ascii="宋体" w:hAnsi="宋体" w:cs="宋体"/>
          <w:spacing w:val="0"/>
          <w:sz w:val="21"/>
          <w:szCs w:val="21"/>
        </w:rPr>
      </w:pPr>
      <w:r>
        <w:rPr>
          <w:rFonts w:hint="eastAsia" w:ascii="宋体" w:hAnsi="宋体" w:cs="宋体"/>
          <w:spacing w:val="0"/>
          <w:sz w:val="21"/>
          <w:szCs w:val="21"/>
        </w:rPr>
        <w:t>4、我方承诺具有良好的商业信誉和健全的财务会计制度；具备履行合同所必需的设备和专业技术能力；具有依法缴纳税收和社会保障资金的良好记录；参加本次政府采购活动前3年内在经营活动中没有重大违法记录。</w:t>
      </w:r>
    </w:p>
    <w:p>
      <w:pPr>
        <w:spacing w:line="360" w:lineRule="auto"/>
        <w:ind w:right="-89" w:firstLine="420" w:firstLineChars="200"/>
        <w:jc w:val="both"/>
        <w:rPr>
          <w:rFonts w:ascii="宋体" w:hAnsi="宋体" w:cs="宋体"/>
          <w:spacing w:val="0"/>
          <w:sz w:val="21"/>
          <w:szCs w:val="21"/>
        </w:rPr>
      </w:pPr>
      <w:r>
        <w:rPr>
          <w:rFonts w:hint="eastAsia" w:ascii="宋体" w:hAnsi="宋体" w:cs="宋体"/>
          <w:spacing w:val="0"/>
          <w:sz w:val="21"/>
          <w:szCs w:val="21"/>
        </w:rPr>
        <w:t>5、我方所提供的磋商报价具有充分的合理性和准确性，保证不存在低于成本的恶意报价行为，同时清楚理解到报价最低并非意味着必定获得合同授予资格。</w:t>
      </w:r>
    </w:p>
    <w:p>
      <w:pPr>
        <w:spacing w:line="360" w:lineRule="auto"/>
        <w:ind w:right="-89" w:firstLine="420" w:firstLineChars="200"/>
        <w:jc w:val="both"/>
        <w:rPr>
          <w:rFonts w:ascii="宋体" w:hAnsi="宋体" w:cs="宋体"/>
          <w:spacing w:val="0"/>
          <w:sz w:val="21"/>
          <w:szCs w:val="21"/>
        </w:rPr>
      </w:pPr>
      <w:r>
        <w:rPr>
          <w:rFonts w:hint="eastAsia" w:ascii="宋体" w:hAnsi="宋体" w:cs="宋体"/>
          <w:spacing w:val="0"/>
          <w:sz w:val="21"/>
          <w:szCs w:val="21"/>
        </w:rPr>
        <w:t>6、响应有效期为自响应截止之日起90天内，如在响应有效期内撤回响应文件，我方同意被废除响应资格。</w:t>
      </w:r>
    </w:p>
    <w:p>
      <w:pPr>
        <w:spacing w:line="360" w:lineRule="auto"/>
        <w:ind w:right="-89" w:firstLine="420" w:firstLineChars="200"/>
        <w:jc w:val="both"/>
        <w:rPr>
          <w:rFonts w:ascii="宋体" w:hAnsi="宋体" w:cs="宋体"/>
          <w:spacing w:val="0"/>
          <w:sz w:val="21"/>
          <w:szCs w:val="21"/>
        </w:rPr>
      </w:pPr>
      <w:r>
        <w:rPr>
          <w:rFonts w:hint="eastAsia" w:ascii="宋体" w:hAnsi="宋体" w:cs="宋体"/>
          <w:spacing w:val="0"/>
          <w:sz w:val="21"/>
          <w:szCs w:val="21"/>
        </w:rPr>
        <w:t>7、我方承诺所提供的一切响应文件均已认真严格审核，内容均为全面真实、准确有效且毫无保留，绝无任何遗漏、虚假、伪造和夸大的成分，若出现违背诚实信用和无如实告知之处，同意被废除响应资格和相关的处罚。</w:t>
      </w:r>
    </w:p>
    <w:p>
      <w:pPr>
        <w:spacing w:line="360" w:lineRule="auto"/>
        <w:ind w:firstLine="420" w:firstLineChars="200"/>
        <w:jc w:val="left"/>
        <w:rPr>
          <w:rFonts w:ascii="宋体" w:hAnsi="宋体" w:cs="宋体"/>
          <w:spacing w:val="0"/>
          <w:sz w:val="21"/>
          <w:szCs w:val="21"/>
        </w:rPr>
      </w:pPr>
    </w:p>
    <w:p>
      <w:pPr>
        <w:spacing w:line="360" w:lineRule="auto"/>
        <w:ind w:firstLine="420" w:firstLineChars="200"/>
        <w:jc w:val="left"/>
        <w:rPr>
          <w:rFonts w:ascii="宋体" w:hAnsi="宋体" w:cs="宋体"/>
          <w:spacing w:val="0"/>
          <w:sz w:val="21"/>
          <w:szCs w:val="21"/>
        </w:rPr>
      </w:pPr>
      <w:r>
        <w:rPr>
          <w:rFonts w:hint="eastAsia" w:ascii="宋体" w:hAnsi="宋体" w:cs="宋体"/>
          <w:spacing w:val="0"/>
          <w:sz w:val="21"/>
          <w:szCs w:val="21"/>
        </w:rPr>
        <w:t>响应人名称：</w:t>
      </w:r>
      <w:r>
        <w:rPr>
          <w:rFonts w:hint="eastAsia" w:ascii="宋体" w:hAnsi="宋体" w:cs="宋体"/>
          <w:spacing w:val="0"/>
          <w:sz w:val="21"/>
          <w:szCs w:val="21"/>
          <w:u w:val="single"/>
        </w:rPr>
        <w:t xml:space="preserve">                  </w:t>
      </w:r>
      <w:r>
        <w:rPr>
          <w:rFonts w:hint="eastAsia" w:ascii="宋体" w:hAnsi="宋体" w:cs="宋体"/>
          <w:spacing w:val="0"/>
          <w:sz w:val="21"/>
          <w:szCs w:val="21"/>
        </w:rPr>
        <w:t xml:space="preserve">（加盖公章） </w:t>
      </w:r>
    </w:p>
    <w:p>
      <w:pPr>
        <w:spacing w:line="360" w:lineRule="auto"/>
        <w:ind w:firstLine="420" w:firstLineChars="200"/>
        <w:rPr>
          <w:rFonts w:ascii="宋体" w:hAnsi="宋体" w:cs="宋体"/>
          <w:spacing w:val="0"/>
          <w:sz w:val="21"/>
          <w:szCs w:val="21"/>
        </w:rPr>
      </w:pPr>
      <w:r>
        <w:rPr>
          <w:rFonts w:hint="eastAsia" w:ascii="宋体" w:hAnsi="宋体" w:cs="宋体"/>
          <w:spacing w:val="0"/>
          <w:sz w:val="21"/>
          <w:szCs w:val="21"/>
        </w:rPr>
        <w:t>法定代表人：</w:t>
      </w:r>
      <w:r>
        <w:rPr>
          <w:rFonts w:hint="eastAsia" w:ascii="宋体" w:hAnsi="宋体" w:cs="宋体"/>
          <w:b/>
          <w:spacing w:val="0"/>
          <w:sz w:val="21"/>
          <w:szCs w:val="21"/>
          <w:u w:val="single"/>
        </w:rPr>
        <w:t xml:space="preserve">                  </w:t>
      </w:r>
      <w:r>
        <w:rPr>
          <w:rFonts w:hint="eastAsia" w:ascii="宋体" w:hAnsi="宋体" w:cs="宋体"/>
          <w:spacing w:val="0"/>
          <w:sz w:val="21"/>
          <w:szCs w:val="21"/>
        </w:rPr>
        <w:t>（签字或签章）</w:t>
      </w:r>
    </w:p>
    <w:p>
      <w:pPr>
        <w:spacing w:line="360" w:lineRule="auto"/>
        <w:ind w:firstLine="420" w:firstLineChars="200"/>
        <w:jc w:val="left"/>
        <w:rPr>
          <w:rFonts w:ascii="宋体" w:hAnsi="宋体" w:cs="宋体"/>
          <w:spacing w:val="0"/>
          <w:sz w:val="21"/>
          <w:szCs w:val="21"/>
        </w:rPr>
      </w:pPr>
      <w:r>
        <w:rPr>
          <w:rFonts w:hint="eastAsia" w:ascii="宋体" w:hAnsi="宋体" w:cs="宋体"/>
          <w:spacing w:val="0"/>
          <w:sz w:val="21"/>
          <w:szCs w:val="21"/>
        </w:rPr>
        <w:t>响应人代表：</w:t>
      </w:r>
      <w:r>
        <w:rPr>
          <w:rFonts w:hint="eastAsia" w:ascii="宋体" w:hAnsi="宋体" w:cs="宋体"/>
          <w:spacing w:val="0"/>
          <w:sz w:val="21"/>
          <w:szCs w:val="21"/>
          <w:u w:val="single"/>
        </w:rPr>
        <w:t xml:space="preserve">                  </w:t>
      </w:r>
      <w:r>
        <w:rPr>
          <w:rFonts w:hint="eastAsia" w:ascii="宋体" w:hAnsi="宋体" w:cs="宋体"/>
          <w:spacing w:val="0"/>
          <w:sz w:val="21"/>
          <w:szCs w:val="21"/>
        </w:rPr>
        <w:t xml:space="preserve">（签字） </w:t>
      </w:r>
    </w:p>
    <w:p>
      <w:pPr>
        <w:spacing w:line="360" w:lineRule="auto"/>
        <w:ind w:firstLine="420" w:firstLineChars="200"/>
        <w:rPr>
          <w:rFonts w:ascii="宋体" w:hAnsi="宋体" w:cs="宋体"/>
          <w:spacing w:val="0"/>
          <w:sz w:val="21"/>
          <w:szCs w:val="21"/>
          <w:u w:val="single"/>
        </w:rPr>
      </w:pPr>
      <w:r>
        <w:rPr>
          <w:rFonts w:hint="eastAsia" w:ascii="宋体" w:hAnsi="宋体" w:cs="宋体"/>
          <w:spacing w:val="0"/>
          <w:sz w:val="21"/>
          <w:szCs w:val="21"/>
        </w:rPr>
        <w:t>响应人地址：</w:t>
      </w:r>
      <w:r>
        <w:rPr>
          <w:rFonts w:hint="eastAsia" w:ascii="宋体" w:hAnsi="宋体" w:cs="宋体"/>
          <w:spacing w:val="0"/>
          <w:sz w:val="21"/>
          <w:szCs w:val="21"/>
          <w:u w:val="single"/>
        </w:rPr>
        <w:t xml:space="preserve">                  </w:t>
      </w:r>
    </w:p>
    <w:p>
      <w:pPr>
        <w:spacing w:line="360" w:lineRule="auto"/>
        <w:ind w:firstLine="420" w:firstLineChars="200"/>
        <w:rPr>
          <w:rFonts w:ascii="宋体" w:hAnsi="宋体" w:cs="宋体"/>
          <w:b/>
          <w:spacing w:val="0"/>
          <w:sz w:val="21"/>
          <w:szCs w:val="21"/>
        </w:rPr>
      </w:pPr>
      <w:r>
        <w:rPr>
          <w:rFonts w:hint="eastAsia" w:ascii="宋体" w:hAnsi="宋体" w:cs="宋体"/>
          <w:spacing w:val="0"/>
          <w:sz w:val="21"/>
          <w:szCs w:val="21"/>
        </w:rPr>
        <w:t>日期：</w:t>
      </w:r>
      <w:r>
        <w:rPr>
          <w:rFonts w:hint="eastAsia" w:ascii="宋体" w:hAnsi="宋体" w:cs="宋体"/>
          <w:spacing w:val="0"/>
          <w:sz w:val="21"/>
          <w:szCs w:val="21"/>
          <w:u w:val="single"/>
        </w:rPr>
        <w:t xml:space="preserve">     </w:t>
      </w:r>
      <w:r>
        <w:rPr>
          <w:rFonts w:hint="eastAsia" w:ascii="宋体" w:hAnsi="宋体" w:cs="宋体"/>
          <w:spacing w:val="0"/>
          <w:sz w:val="21"/>
          <w:szCs w:val="21"/>
        </w:rPr>
        <w:t>年</w:t>
      </w:r>
      <w:r>
        <w:rPr>
          <w:rFonts w:hint="eastAsia" w:ascii="宋体" w:hAnsi="宋体" w:cs="宋体"/>
          <w:spacing w:val="0"/>
          <w:sz w:val="21"/>
          <w:szCs w:val="21"/>
          <w:u w:val="single"/>
        </w:rPr>
        <w:t xml:space="preserve">    </w:t>
      </w:r>
      <w:r>
        <w:rPr>
          <w:rFonts w:hint="eastAsia" w:ascii="宋体" w:hAnsi="宋体" w:cs="宋体"/>
          <w:spacing w:val="0"/>
          <w:sz w:val="21"/>
          <w:szCs w:val="21"/>
        </w:rPr>
        <w:t>月</w:t>
      </w:r>
      <w:r>
        <w:rPr>
          <w:rFonts w:hint="eastAsia" w:ascii="宋体" w:hAnsi="宋体" w:cs="宋体"/>
          <w:spacing w:val="0"/>
          <w:sz w:val="21"/>
          <w:szCs w:val="21"/>
          <w:u w:val="single"/>
        </w:rPr>
        <w:t xml:space="preserve">   </w:t>
      </w:r>
      <w:r>
        <w:rPr>
          <w:rFonts w:hint="eastAsia" w:ascii="宋体" w:hAnsi="宋体" w:cs="宋体"/>
          <w:spacing w:val="0"/>
          <w:sz w:val="21"/>
          <w:szCs w:val="21"/>
        </w:rPr>
        <w:t xml:space="preserve">日 </w:t>
      </w:r>
    </w:p>
    <w:p>
      <w:pPr>
        <w:rPr>
          <w:rFonts w:ascii="宋体" w:hAnsi="宋体" w:cs="宋体"/>
          <w:b/>
          <w:spacing w:val="0"/>
          <w:szCs w:val="21"/>
        </w:rPr>
      </w:pPr>
      <w:r>
        <w:rPr>
          <w:rFonts w:hint="eastAsia" w:ascii="宋体" w:hAnsi="宋体" w:cs="宋体"/>
          <w:b/>
          <w:spacing w:val="0"/>
          <w:szCs w:val="21"/>
        </w:rPr>
        <w:br w:type="page"/>
      </w:r>
    </w:p>
    <w:p>
      <w:pPr>
        <w:spacing w:line="360" w:lineRule="auto"/>
        <w:rPr>
          <w:rFonts w:hint="eastAsia" w:ascii="宋体" w:hAnsi="宋体" w:cs="宋体"/>
          <w:b/>
          <w:spacing w:val="0"/>
          <w:sz w:val="21"/>
          <w:szCs w:val="21"/>
        </w:rPr>
      </w:pPr>
      <w:r>
        <w:rPr>
          <w:rFonts w:hint="eastAsia" w:ascii="宋体" w:hAnsi="宋体" w:cs="宋体"/>
          <w:b/>
          <w:spacing w:val="0"/>
          <w:sz w:val="21"/>
          <w:szCs w:val="21"/>
        </w:rPr>
        <w:t>格式五、法定代表人授权函</w:t>
      </w:r>
    </w:p>
    <w:p>
      <w:pPr>
        <w:spacing w:line="360" w:lineRule="auto"/>
        <w:jc w:val="left"/>
        <w:rPr>
          <w:rFonts w:ascii="宋体" w:hAnsi="宋体" w:cs="宋体"/>
          <w:spacing w:val="0"/>
          <w:sz w:val="21"/>
          <w:szCs w:val="21"/>
        </w:rPr>
      </w:pPr>
      <w:r>
        <w:rPr>
          <w:rFonts w:hint="eastAsia" w:ascii="宋体" w:hAnsi="宋体" w:cs="宋体"/>
          <w:spacing w:val="0"/>
          <w:sz w:val="21"/>
          <w:szCs w:val="21"/>
        </w:rPr>
        <w:t>致：嵊泗县海洋经济发展局（嵊泗县海洋与渔业局）</w:t>
      </w:r>
    </w:p>
    <w:p>
      <w:pPr>
        <w:spacing w:line="360" w:lineRule="auto"/>
        <w:ind w:firstLine="420" w:firstLineChars="200"/>
        <w:jc w:val="left"/>
        <w:rPr>
          <w:rFonts w:ascii="宋体" w:hAnsi="宋体" w:cs="宋体"/>
          <w:spacing w:val="0"/>
          <w:sz w:val="21"/>
          <w:szCs w:val="21"/>
        </w:rPr>
      </w:pPr>
      <w:r>
        <w:rPr>
          <w:rFonts w:hint="eastAsia" w:ascii="宋体" w:hAnsi="宋体" w:cs="宋体"/>
          <w:spacing w:val="0"/>
          <w:sz w:val="21"/>
          <w:szCs w:val="21"/>
        </w:rPr>
        <w:t>中金招标有限责任公司</w:t>
      </w:r>
    </w:p>
    <w:p>
      <w:pPr>
        <w:spacing w:line="360" w:lineRule="auto"/>
        <w:ind w:firstLine="420" w:firstLineChars="200"/>
        <w:jc w:val="both"/>
        <w:rPr>
          <w:rFonts w:ascii="宋体" w:hAnsi="宋体" w:cs="宋体"/>
          <w:spacing w:val="0"/>
          <w:sz w:val="21"/>
          <w:szCs w:val="21"/>
        </w:rPr>
      </w:pPr>
      <w:r>
        <w:rPr>
          <w:rFonts w:hint="eastAsia" w:ascii="宋体" w:hAnsi="宋体" w:cs="宋体"/>
          <w:spacing w:val="0"/>
          <w:sz w:val="21"/>
          <w:szCs w:val="21"/>
        </w:rPr>
        <w:t>我</w:t>
      </w:r>
      <w:r>
        <w:rPr>
          <w:rFonts w:hint="eastAsia" w:ascii="宋体" w:hAnsi="宋体" w:cs="宋体"/>
          <w:spacing w:val="0"/>
          <w:sz w:val="21"/>
          <w:szCs w:val="21"/>
          <w:u w:val="single"/>
        </w:rPr>
        <w:t xml:space="preserve">              </w:t>
      </w:r>
      <w:r>
        <w:rPr>
          <w:rFonts w:hint="eastAsia" w:ascii="宋体" w:hAnsi="宋体" w:cs="宋体"/>
          <w:spacing w:val="0"/>
          <w:sz w:val="21"/>
          <w:szCs w:val="21"/>
        </w:rPr>
        <w:t>（姓名）系</w:t>
      </w:r>
      <w:r>
        <w:rPr>
          <w:rFonts w:hint="eastAsia" w:ascii="宋体" w:hAnsi="宋体" w:cs="宋体"/>
          <w:spacing w:val="0"/>
          <w:sz w:val="21"/>
          <w:szCs w:val="21"/>
          <w:u w:val="single"/>
        </w:rPr>
        <w:t xml:space="preserve">             </w:t>
      </w:r>
      <w:r>
        <w:rPr>
          <w:rFonts w:ascii="宋体" w:hAnsi="宋体" w:cs="宋体"/>
          <w:spacing w:val="0"/>
          <w:sz w:val="21"/>
          <w:szCs w:val="21"/>
          <w:u w:val="single"/>
        </w:rPr>
        <w:t xml:space="preserve">   </w:t>
      </w:r>
      <w:r>
        <w:rPr>
          <w:rFonts w:hint="eastAsia" w:ascii="宋体" w:hAnsi="宋体" w:cs="宋体"/>
          <w:spacing w:val="0"/>
          <w:sz w:val="21"/>
          <w:szCs w:val="21"/>
        </w:rPr>
        <w:t>（响应人名称）的法定代表人，现授权委托本单位在职职工</w:t>
      </w:r>
      <w:r>
        <w:rPr>
          <w:rFonts w:ascii="宋体" w:hAnsi="宋体" w:cs="宋体"/>
          <w:spacing w:val="0"/>
          <w:sz w:val="21"/>
          <w:szCs w:val="21"/>
          <w:u w:val="single"/>
        </w:rPr>
        <w:t xml:space="preserve"> </w:t>
      </w:r>
      <w:r>
        <w:rPr>
          <w:rFonts w:hint="eastAsia" w:ascii="宋体" w:hAnsi="宋体" w:cs="宋体"/>
          <w:spacing w:val="0"/>
          <w:sz w:val="21"/>
          <w:szCs w:val="21"/>
          <w:u w:val="single"/>
        </w:rPr>
        <w:t xml:space="preserve">             </w:t>
      </w:r>
      <w:r>
        <w:rPr>
          <w:rFonts w:hint="eastAsia" w:ascii="宋体" w:hAnsi="宋体" w:cs="宋体"/>
          <w:spacing w:val="0"/>
          <w:sz w:val="21"/>
          <w:szCs w:val="21"/>
        </w:rPr>
        <w:t>（姓名）(身份证号码：</w:t>
      </w:r>
      <w:r>
        <w:rPr>
          <w:rFonts w:hint="eastAsia" w:ascii="宋体" w:hAnsi="宋体" w:cs="宋体"/>
          <w:spacing w:val="0"/>
          <w:sz w:val="21"/>
          <w:szCs w:val="21"/>
          <w:u w:val="single"/>
        </w:rPr>
        <w:t xml:space="preserve">                     </w:t>
      </w:r>
      <w:r>
        <w:rPr>
          <w:rFonts w:hint="eastAsia" w:ascii="宋体" w:hAnsi="宋体" w:cs="宋体"/>
          <w:spacing w:val="0"/>
          <w:sz w:val="21"/>
          <w:szCs w:val="21"/>
          <w:u w:val="single"/>
          <w:lang w:val="en-US" w:eastAsia="zh-CN"/>
        </w:rPr>
        <w:t xml:space="preserve">              </w:t>
      </w:r>
      <w:r>
        <w:rPr>
          <w:rFonts w:hint="eastAsia" w:ascii="宋体" w:hAnsi="宋体" w:cs="宋体"/>
          <w:spacing w:val="0"/>
          <w:sz w:val="21"/>
          <w:szCs w:val="21"/>
        </w:rPr>
        <w:t>)以我方的名义参加</w:t>
      </w:r>
      <w:r>
        <w:rPr>
          <w:rFonts w:hint="eastAsia" w:ascii="宋体" w:hAnsi="宋体" w:cs="宋体"/>
          <w:spacing w:val="0"/>
          <w:sz w:val="21"/>
          <w:szCs w:val="21"/>
          <w:u w:val="single"/>
        </w:rPr>
        <w:t xml:space="preserve">                           </w:t>
      </w:r>
      <w:r>
        <w:rPr>
          <w:rFonts w:hint="eastAsia" w:ascii="宋体" w:hAnsi="宋体" w:cs="宋体"/>
          <w:spacing w:val="0"/>
          <w:sz w:val="21"/>
          <w:szCs w:val="21"/>
        </w:rPr>
        <w:t>（项目名称）（项目编号）的采购活动，并代表我方全权办理针对上述项目的响应、开标、评标、签约等具体事务和签署相关文件。</w:t>
      </w:r>
    </w:p>
    <w:p>
      <w:pPr>
        <w:spacing w:line="360" w:lineRule="auto"/>
        <w:ind w:right="-89" w:firstLine="420" w:firstLineChars="200"/>
        <w:jc w:val="both"/>
        <w:rPr>
          <w:rFonts w:ascii="宋体" w:hAnsi="宋体" w:cs="宋体"/>
          <w:spacing w:val="0"/>
          <w:sz w:val="21"/>
          <w:szCs w:val="21"/>
        </w:rPr>
      </w:pPr>
      <w:r>
        <w:rPr>
          <w:rFonts w:hint="eastAsia" w:ascii="宋体" w:hAnsi="宋体" w:cs="宋体"/>
          <w:spacing w:val="0"/>
          <w:sz w:val="21"/>
          <w:szCs w:val="21"/>
        </w:rPr>
        <w:t>我方对被授权人的签名负全部责任。</w:t>
      </w:r>
    </w:p>
    <w:p>
      <w:pPr>
        <w:spacing w:line="360" w:lineRule="auto"/>
        <w:ind w:right="-89" w:firstLine="420" w:firstLineChars="200"/>
        <w:jc w:val="both"/>
        <w:rPr>
          <w:rFonts w:ascii="宋体" w:hAnsi="宋体" w:cs="宋体"/>
          <w:spacing w:val="0"/>
          <w:sz w:val="21"/>
          <w:szCs w:val="21"/>
        </w:rPr>
      </w:pPr>
      <w:r>
        <w:rPr>
          <w:rFonts w:hint="eastAsia" w:ascii="宋体" w:hAnsi="宋体" w:cs="宋体"/>
          <w:spacing w:val="0"/>
          <w:sz w:val="21"/>
          <w:szCs w:val="21"/>
        </w:rPr>
        <w:t>在撤销授权的书面通知以前，本授权函一直有效。被授权人在授权函有效期内签署的所有文件不因授权的撤销而失效。</w:t>
      </w:r>
    </w:p>
    <w:p>
      <w:pPr>
        <w:spacing w:line="360" w:lineRule="auto"/>
        <w:ind w:right="-89" w:firstLine="420" w:firstLineChars="200"/>
        <w:jc w:val="both"/>
        <w:rPr>
          <w:rFonts w:ascii="宋体" w:hAnsi="宋体" w:cs="宋体"/>
          <w:spacing w:val="0"/>
          <w:sz w:val="21"/>
          <w:szCs w:val="21"/>
        </w:rPr>
      </w:pPr>
      <w:r>
        <w:rPr>
          <w:rFonts w:hint="eastAsia" w:ascii="宋体" w:hAnsi="宋体" w:cs="宋体"/>
          <w:spacing w:val="0"/>
          <w:sz w:val="21"/>
          <w:szCs w:val="21"/>
        </w:rPr>
        <w:t>被授权人无转委托权，特此委托。</w:t>
      </w:r>
    </w:p>
    <w:p>
      <w:pPr>
        <w:spacing w:line="360" w:lineRule="auto"/>
        <w:ind w:right="-89" w:firstLine="420" w:firstLineChars="200"/>
        <w:jc w:val="left"/>
        <w:rPr>
          <w:rFonts w:ascii="宋体" w:hAnsi="宋体" w:cs="宋体"/>
          <w:spacing w:val="0"/>
          <w:sz w:val="21"/>
          <w:szCs w:val="21"/>
        </w:rPr>
      </w:pPr>
      <w:r>
        <w:rPr>
          <w:rFonts w:hint="eastAsia" w:ascii="宋体" w:hAnsi="宋体" w:cs="宋体"/>
          <w:spacing w:val="0"/>
          <w:sz w:val="21"/>
          <w:szCs w:val="21"/>
        </w:rPr>
        <w:t xml:space="preserve">被授权人（签字）：                           法定代表人（签字或签章）：          </w:t>
      </w:r>
    </w:p>
    <w:p>
      <w:pPr>
        <w:spacing w:line="360" w:lineRule="auto"/>
        <w:ind w:right="-89" w:firstLine="420" w:firstLineChars="200"/>
        <w:jc w:val="left"/>
        <w:rPr>
          <w:rFonts w:ascii="宋体" w:hAnsi="宋体" w:cs="宋体"/>
          <w:spacing w:val="0"/>
          <w:sz w:val="21"/>
          <w:szCs w:val="21"/>
        </w:rPr>
      </w:pPr>
      <w:r>
        <w:rPr>
          <w:rFonts w:hint="eastAsia" w:ascii="宋体" w:hAnsi="宋体" w:cs="宋体"/>
          <w:spacing w:val="0"/>
          <w:sz w:val="21"/>
          <w:szCs w:val="21"/>
        </w:rPr>
        <w:t xml:space="preserve">被授权人联系电话：                          </w:t>
      </w:r>
      <w:r>
        <w:rPr>
          <w:rFonts w:ascii="宋体" w:hAnsi="宋体" w:cs="宋体"/>
          <w:spacing w:val="0"/>
          <w:sz w:val="21"/>
          <w:szCs w:val="21"/>
        </w:rPr>
        <w:t xml:space="preserve"> </w:t>
      </w:r>
      <w:r>
        <w:rPr>
          <w:rFonts w:hint="eastAsia" w:ascii="宋体" w:hAnsi="宋体" w:cs="宋体"/>
          <w:spacing w:val="0"/>
          <w:sz w:val="21"/>
          <w:szCs w:val="21"/>
        </w:rPr>
        <w:t>法定代表人联系电话：</w:t>
      </w:r>
    </w:p>
    <w:p>
      <w:pPr>
        <w:spacing w:line="360" w:lineRule="auto"/>
        <w:ind w:right="-89" w:firstLine="4620" w:firstLineChars="2200"/>
        <w:jc w:val="left"/>
        <w:rPr>
          <w:rFonts w:ascii="宋体" w:hAnsi="宋体" w:cs="宋体"/>
          <w:spacing w:val="0"/>
          <w:sz w:val="21"/>
          <w:szCs w:val="21"/>
        </w:rPr>
      </w:pPr>
    </w:p>
    <w:p>
      <w:pPr>
        <w:spacing w:line="360" w:lineRule="auto"/>
        <w:ind w:right="-89" w:firstLine="4620" w:firstLineChars="2200"/>
        <w:jc w:val="left"/>
        <w:rPr>
          <w:rFonts w:ascii="宋体" w:hAnsi="宋体" w:cs="宋体"/>
          <w:spacing w:val="0"/>
          <w:sz w:val="21"/>
          <w:szCs w:val="21"/>
        </w:rPr>
      </w:pPr>
    </w:p>
    <w:p>
      <w:pPr>
        <w:spacing w:line="360" w:lineRule="auto"/>
        <w:ind w:right="-89" w:firstLine="4830" w:firstLineChars="2300"/>
        <w:jc w:val="left"/>
        <w:rPr>
          <w:rFonts w:hint="eastAsia" w:ascii="宋体" w:hAnsi="宋体" w:cs="宋体"/>
          <w:spacing w:val="0"/>
          <w:sz w:val="21"/>
          <w:szCs w:val="21"/>
          <w:lang w:eastAsia="zh-CN"/>
        </w:rPr>
      </w:pPr>
      <w:r>
        <w:rPr>
          <w:rFonts w:hint="eastAsia" w:ascii="宋体" w:hAnsi="宋体" w:cs="宋体"/>
          <w:spacing w:val="0"/>
          <w:sz w:val="21"/>
          <w:szCs w:val="21"/>
        </w:rPr>
        <w:t>响应人名称：</w:t>
      </w:r>
      <w:r>
        <w:rPr>
          <w:rFonts w:hint="eastAsia" w:ascii="宋体" w:hAnsi="宋体" w:cs="宋体"/>
          <w:spacing w:val="0"/>
          <w:sz w:val="21"/>
          <w:szCs w:val="21"/>
          <w:u w:val="single"/>
        </w:rPr>
        <w:t xml:space="preserve">                  </w:t>
      </w:r>
      <w:r>
        <w:rPr>
          <w:rFonts w:hint="eastAsia" w:ascii="宋体" w:hAnsi="宋体" w:cs="宋体"/>
          <w:spacing w:val="0"/>
          <w:sz w:val="21"/>
          <w:szCs w:val="21"/>
        </w:rPr>
        <w:t>（加盖公章</w:t>
      </w:r>
      <w:r>
        <w:rPr>
          <w:rFonts w:hint="eastAsia" w:ascii="宋体" w:hAnsi="宋体" w:cs="宋体"/>
          <w:spacing w:val="0"/>
          <w:sz w:val="21"/>
          <w:szCs w:val="21"/>
          <w:lang w:eastAsia="zh-CN"/>
        </w:rPr>
        <w:t>）</w:t>
      </w:r>
    </w:p>
    <w:p>
      <w:pPr>
        <w:spacing w:line="360" w:lineRule="auto"/>
        <w:ind w:right="-89" w:firstLine="7140" w:firstLineChars="3400"/>
        <w:jc w:val="left"/>
        <w:rPr>
          <w:rFonts w:ascii="宋体" w:hAnsi="宋体" w:cs="宋体"/>
          <w:spacing w:val="0"/>
          <w:sz w:val="21"/>
          <w:szCs w:val="21"/>
        </w:rPr>
      </w:pPr>
      <w:r>
        <w:rPr>
          <w:rFonts w:hint="eastAsia" w:ascii="宋体" w:hAnsi="宋体" w:cs="宋体"/>
          <w:spacing w:val="0"/>
          <w:sz w:val="21"/>
          <w:szCs w:val="21"/>
          <w:u w:val="single"/>
        </w:rPr>
        <w:t xml:space="preserve">      </w:t>
      </w:r>
      <w:r>
        <w:rPr>
          <w:rFonts w:hint="eastAsia" w:ascii="宋体" w:hAnsi="宋体" w:cs="宋体"/>
          <w:spacing w:val="0"/>
          <w:sz w:val="21"/>
          <w:szCs w:val="21"/>
        </w:rPr>
        <w:t>年</w:t>
      </w:r>
      <w:r>
        <w:rPr>
          <w:rFonts w:hint="eastAsia" w:ascii="宋体" w:hAnsi="宋体" w:cs="宋体"/>
          <w:spacing w:val="0"/>
          <w:sz w:val="21"/>
          <w:szCs w:val="21"/>
          <w:u w:val="single"/>
        </w:rPr>
        <w:t xml:space="preserve">    </w:t>
      </w:r>
      <w:r>
        <w:rPr>
          <w:rFonts w:hint="eastAsia" w:ascii="宋体" w:hAnsi="宋体" w:cs="宋体"/>
          <w:spacing w:val="0"/>
          <w:sz w:val="21"/>
          <w:szCs w:val="21"/>
        </w:rPr>
        <w:t>月</w:t>
      </w:r>
      <w:r>
        <w:rPr>
          <w:rFonts w:hint="eastAsia" w:ascii="宋体" w:hAnsi="宋体" w:cs="宋体"/>
          <w:spacing w:val="0"/>
          <w:sz w:val="21"/>
          <w:szCs w:val="21"/>
          <w:u w:val="single"/>
        </w:rPr>
        <w:t xml:space="preserve">    </w:t>
      </w:r>
      <w:r>
        <w:rPr>
          <w:rFonts w:hint="eastAsia" w:ascii="宋体" w:hAnsi="宋体" w:cs="宋体"/>
          <w:spacing w:val="0"/>
          <w:sz w:val="21"/>
          <w:szCs w:val="21"/>
        </w:rPr>
        <w:t>日</w:t>
      </w:r>
    </w:p>
    <w:p>
      <w:pPr>
        <w:widowControl/>
        <w:jc w:val="left"/>
        <w:rPr>
          <w:rFonts w:ascii="宋体" w:hAnsi="宋体" w:cs="宋体"/>
          <w:spacing w:val="0"/>
          <w:szCs w:val="21"/>
        </w:rPr>
      </w:pPr>
      <w:r>
        <w:rPr>
          <w:rFonts w:ascii="宋体" w:hAnsi="宋体" w:cs="宋体"/>
          <w:spacing w:val="0"/>
          <w:szCs w:val="21"/>
        </w:rPr>
        <w:br w:type="page"/>
      </w:r>
    </w:p>
    <w:p>
      <w:pPr>
        <w:spacing w:line="360" w:lineRule="auto"/>
        <w:rPr>
          <w:rFonts w:hint="eastAsia" w:ascii="宋体" w:hAnsi="宋体" w:cs="宋体"/>
          <w:b/>
          <w:spacing w:val="0"/>
          <w:sz w:val="21"/>
          <w:szCs w:val="21"/>
        </w:rPr>
      </w:pPr>
      <w:r>
        <w:rPr>
          <w:rFonts w:hint="eastAsia" w:ascii="宋体" w:hAnsi="宋体" w:cs="宋体"/>
          <w:b/>
          <w:spacing w:val="0"/>
          <w:sz w:val="21"/>
          <w:szCs w:val="21"/>
        </w:rPr>
        <w:t>格式六、提供船载卫星语音终端设备免费租用服务的配置清单及单价</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3970"/>
        <w:gridCol w:w="991"/>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0"/>
                <w:szCs w:val="21"/>
              </w:rPr>
            </w:pPr>
            <w:r>
              <w:rPr>
                <w:rFonts w:hint="eastAsia" w:ascii="宋体" w:hAnsi="宋体"/>
                <w:spacing w:val="0"/>
                <w:szCs w:val="21"/>
              </w:rPr>
              <w:t>名称</w:t>
            </w:r>
          </w:p>
        </w:tc>
        <w:tc>
          <w:tcPr>
            <w:tcW w:w="3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0"/>
                <w:szCs w:val="21"/>
              </w:rPr>
            </w:pPr>
            <w:r>
              <w:rPr>
                <w:rFonts w:hint="eastAsia" w:ascii="宋体" w:hAnsi="宋体"/>
                <w:spacing w:val="0"/>
                <w:szCs w:val="21"/>
              </w:rPr>
              <w:t>品牌型号</w:t>
            </w: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0"/>
                <w:szCs w:val="21"/>
              </w:rPr>
            </w:pPr>
            <w:r>
              <w:rPr>
                <w:rFonts w:hint="eastAsia" w:ascii="宋体" w:hAnsi="宋体"/>
                <w:spacing w:val="0"/>
                <w:szCs w:val="21"/>
              </w:rPr>
              <w:t>单位</w:t>
            </w:r>
          </w:p>
        </w:tc>
        <w:tc>
          <w:tcPr>
            <w:tcW w:w="2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0"/>
                <w:szCs w:val="21"/>
              </w:rPr>
            </w:pPr>
            <w:r>
              <w:rPr>
                <w:rFonts w:hint="eastAsia" w:ascii="宋体" w:hAnsi="宋体"/>
                <w:spacing w:val="0"/>
                <w:szCs w:val="21"/>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0"/>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0"/>
                <w:szCs w:val="21"/>
              </w:rPr>
            </w:pP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0"/>
                <w:szCs w:val="21"/>
              </w:rPr>
            </w:pPr>
          </w:p>
        </w:tc>
        <w:tc>
          <w:tcPr>
            <w:tcW w:w="2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0"/>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0"/>
                <w:szCs w:val="21"/>
              </w:rPr>
            </w:pP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0"/>
                <w:szCs w:val="21"/>
              </w:rPr>
            </w:pPr>
          </w:p>
        </w:tc>
        <w:tc>
          <w:tcPr>
            <w:tcW w:w="2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20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0"/>
                <w:szCs w:val="21"/>
              </w:rPr>
            </w:pPr>
          </w:p>
        </w:tc>
        <w:tc>
          <w:tcPr>
            <w:tcW w:w="39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0"/>
                <w:szCs w:val="21"/>
              </w:rPr>
            </w:pPr>
          </w:p>
        </w:tc>
        <w:tc>
          <w:tcPr>
            <w:tcW w:w="9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0"/>
                <w:szCs w:val="21"/>
              </w:rPr>
            </w:pPr>
          </w:p>
        </w:tc>
        <w:tc>
          <w:tcPr>
            <w:tcW w:w="27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0"/>
                <w:szCs w:val="21"/>
              </w:rPr>
            </w:pPr>
          </w:p>
        </w:tc>
      </w:tr>
    </w:tbl>
    <w:p>
      <w:pPr>
        <w:spacing w:line="360" w:lineRule="auto"/>
        <w:ind w:firstLine="422" w:firstLineChars="200"/>
        <w:rPr>
          <w:rFonts w:hint="eastAsia" w:ascii="宋体" w:hAnsi="宋体" w:cs="??"/>
          <w:b/>
          <w:spacing w:val="0"/>
          <w:szCs w:val="21"/>
        </w:rPr>
      </w:pPr>
      <w:r>
        <w:rPr>
          <w:rFonts w:hint="eastAsia" w:ascii="宋体" w:hAnsi="宋体" w:cs="??"/>
          <w:b/>
          <w:spacing w:val="0"/>
          <w:szCs w:val="21"/>
        </w:rPr>
        <w:t>▲注：响应人需提供本次服务设备的配置清单及单价，单价应不高于同期市场价的80%，作为设备因人为损坏、遗失时维修或赔偿的价格参照依据。</w:t>
      </w:r>
    </w:p>
    <w:p>
      <w:pPr>
        <w:spacing w:line="360" w:lineRule="auto"/>
        <w:ind w:firstLine="1890" w:firstLineChars="900"/>
        <w:jc w:val="center"/>
        <w:rPr>
          <w:rFonts w:hint="eastAsia" w:ascii="宋体" w:hAnsi="宋体" w:cs="??"/>
          <w:spacing w:val="0"/>
          <w:szCs w:val="21"/>
        </w:rPr>
      </w:pPr>
    </w:p>
    <w:p>
      <w:pPr>
        <w:spacing w:line="480" w:lineRule="auto"/>
        <w:rPr>
          <w:rFonts w:hint="eastAsia" w:ascii="宋体" w:hAnsi="宋体" w:cs="??"/>
          <w:spacing w:val="0"/>
          <w:szCs w:val="21"/>
          <w:u w:val="single"/>
        </w:rPr>
      </w:pPr>
      <w:r>
        <w:rPr>
          <w:rFonts w:hint="eastAsia" w:ascii="宋体" w:hAnsi="宋体" w:cs="??"/>
          <w:spacing w:val="0"/>
          <w:szCs w:val="21"/>
        </w:rPr>
        <w:t>响应人名称：</w:t>
      </w:r>
      <w:r>
        <w:rPr>
          <w:rFonts w:hint="eastAsia" w:ascii="宋体" w:hAnsi="宋体" w:cs="??"/>
          <w:spacing w:val="0"/>
          <w:szCs w:val="21"/>
          <w:u w:val="single"/>
        </w:rPr>
        <w:t xml:space="preserve">                      </w:t>
      </w:r>
      <w:r>
        <w:rPr>
          <w:rFonts w:hint="eastAsia" w:ascii="宋体" w:hAnsi="宋体" w:cs="??"/>
          <w:spacing w:val="0"/>
          <w:szCs w:val="21"/>
        </w:rPr>
        <w:t>（加盖公章）</w:t>
      </w:r>
    </w:p>
    <w:p>
      <w:pPr>
        <w:spacing w:line="480" w:lineRule="auto"/>
        <w:rPr>
          <w:rFonts w:ascii="宋体" w:hAnsi="宋体" w:cs="??"/>
          <w:spacing w:val="0"/>
          <w:szCs w:val="21"/>
        </w:rPr>
      </w:pPr>
      <w:r>
        <w:rPr>
          <w:rFonts w:hint="eastAsia" w:ascii="宋体" w:hAnsi="宋体" w:cs="??"/>
          <w:spacing w:val="0"/>
          <w:szCs w:val="21"/>
        </w:rPr>
        <w:t>响应人代表：</w:t>
      </w:r>
      <w:r>
        <w:rPr>
          <w:rFonts w:hint="eastAsia" w:ascii="宋体" w:hAnsi="宋体" w:cs="??"/>
          <w:spacing w:val="0"/>
          <w:szCs w:val="21"/>
          <w:u w:val="single"/>
        </w:rPr>
        <w:t xml:space="preserve">                      </w:t>
      </w:r>
      <w:r>
        <w:rPr>
          <w:rFonts w:hint="eastAsia" w:ascii="宋体" w:hAnsi="宋体" w:cs="??"/>
          <w:spacing w:val="0"/>
          <w:szCs w:val="21"/>
        </w:rPr>
        <w:t>（签字）</w:t>
      </w:r>
    </w:p>
    <w:p>
      <w:pPr>
        <w:spacing w:line="480" w:lineRule="auto"/>
        <w:rPr>
          <w:rFonts w:hint="eastAsia" w:ascii="宋体" w:hAnsi="宋体" w:cs="??"/>
          <w:spacing w:val="0"/>
          <w:szCs w:val="21"/>
        </w:rPr>
      </w:pPr>
      <w:r>
        <w:rPr>
          <w:rFonts w:hint="eastAsia" w:ascii="宋体" w:hAnsi="宋体" w:cs="??"/>
          <w:spacing w:val="0"/>
          <w:szCs w:val="21"/>
        </w:rPr>
        <w:t>日期：</w:t>
      </w:r>
      <w:r>
        <w:rPr>
          <w:rFonts w:hint="eastAsia" w:ascii="宋体" w:hAnsi="宋体" w:cs="??"/>
          <w:spacing w:val="0"/>
          <w:szCs w:val="21"/>
          <w:u w:val="single"/>
        </w:rPr>
        <w:t xml:space="preserve">    </w:t>
      </w:r>
      <w:r>
        <w:rPr>
          <w:rFonts w:hint="eastAsia" w:ascii="宋体" w:hAnsi="宋体" w:cs="??"/>
          <w:spacing w:val="0"/>
          <w:szCs w:val="21"/>
        </w:rPr>
        <w:t>年</w:t>
      </w:r>
      <w:r>
        <w:rPr>
          <w:rFonts w:hint="eastAsia" w:ascii="宋体" w:hAnsi="宋体" w:cs="??"/>
          <w:spacing w:val="0"/>
          <w:szCs w:val="21"/>
          <w:u w:val="single"/>
        </w:rPr>
        <w:t xml:space="preserve">   </w:t>
      </w:r>
      <w:r>
        <w:rPr>
          <w:rFonts w:hint="eastAsia" w:ascii="宋体" w:hAnsi="宋体" w:cs="??"/>
          <w:spacing w:val="0"/>
          <w:szCs w:val="21"/>
        </w:rPr>
        <w:t>月</w:t>
      </w:r>
      <w:r>
        <w:rPr>
          <w:rFonts w:hint="eastAsia" w:ascii="宋体" w:hAnsi="宋体" w:cs="??"/>
          <w:spacing w:val="0"/>
          <w:szCs w:val="21"/>
          <w:u w:val="single"/>
        </w:rPr>
        <w:t xml:space="preserve">   </w:t>
      </w:r>
      <w:r>
        <w:rPr>
          <w:rFonts w:hint="eastAsia" w:ascii="宋体" w:hAnsi="宋体" w:cs="??"/>
          <w:spacing w:val="0"/>
          <w:szCs w:val="21"/>
        </w:rPr>
        <w:t>日</w:t>
      </w:r>
    </w:p>
    <w:p>
      <w:pPr>
        <w:widowControl/>
        <w:jc w:val="left"/>
        <w:rPr>
          <w:rFonts w:ascii="宋体" w:hAnsi="宋体" w:cs="宋体"/>
          <w:spacing w:val="0"/>
          <w:sz w:val="24"/>
          <w:szCs w:val="24"/>
        </w:rPr>
      </w:pPr>
      <w:r>
        <w:rPr>
          <w:rFonts w:ascii="宋体" w:hAnsi="宋体" w:cs="宋体"/>
          <w:spacing w:val="0"/>
          <w:sz w:val="24"/>
          <w:szCs w:val="24"/>
        </w:rPr>
        <w:br w:type="page"/>
      </w:r>
    </w:p>
    <w:p>
      <w:pPr>
        <w:spacing w:line="360" w:lineRule="auto"/>
        <w:rPr>
          <w:rFonts w:hint="eastAsia" w:ascii="宋体" w:hAnsi="宋体" w:cs="宋体"/>
          <w:b/>
          <w:spacing w:val="0"/>
          <w:sz w:val="21"/>
          <w:szCs w:val="21"/>
        </w:rPr>
      </w:pPr>
      <w:r>
        <w:rPr>
          <w:rFonts w:hint="eastAsia" w:ascii="宋体" w:hAnsi="宋体" w:cs="宋体"/>
          <w:b/>
          <w:spacing w:val="0"/>
          <w:sz w:val="21"/>
          <w:szCs w:val="21"/>
        </w:rPr>
        <w:t>格式七、技术要求响应表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5"/>
        <w:gridCol w:w="3775"/>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75" w:type="dxa"/>
            <w:vAlign w:val="center"/>
          </w:tcPr>
          <w:p>
            <w:pPr>
              <w:snapToGrid w:val="0"/>
              <w:jc w:val="center"/>
              <w:rPr>
                <w:rFonts w:ascii="宋体" w:hAnsi="宋体" w:cs="??"/>
                <w:spacing w:val="0"/>
                <w:szCs w:val="21"/>
              </w:rPr>
            </w:pPr>
            <w:r>
              <w:rPr>
                <w:rFonts w:hint="eastAsia" w:ascii="宋体" w:hAnsi="宋体" w:cs="??"/>
                <w:spacing w:val="0"/>
                <w:szCs w:val="21"/>
              </w:rPr>
              <w:t>磋商文件要求</w:t>
            </w:r>
          </w:p>
        </w:tc>
        <w:tc>
          <w:tcPr>
            <w:tcW w:w="3775" w:type="dxa"/>
            <w:vAlign w:val="center"/>
          </w:tcPr>
          <w:p>
            <w:pPr>
              <w:snapToGrid w:val="0"/>
              <w:jc w:val="center"/>
              <w:rPr>
                <w:rFonts w:ascii="宋体" w:hAnsi="宋体" w:cs="??"/>
                <w:spacing w:val="0"/>
                <w:szCs w:val="21"/>
              </w:rPr>
            </w:pPr>
            <w:r>
              <w:rPr>
                <w:rFonts w:hint="eastAsia" w:ascii="宋体" w:hAnsi="宋体" w:cs="??"/>
                <w:spacing w:val="0"/>
                <w:szCs w:val="21"/>
              </w:rPr>
              <w:t>响应人响应情况</w:t>
            </w:r>
          </w:p>
        </w:tc>
        <w:tc>
          <w:tcPr>
            <w:tcW w:w="2200" w:type="dxa"/>
            <w:vAlign w:val="center"/>
          </w:tcPr>
          <w:p>
            <w:pPr>
              <w:snapToGrid w:val="0"/>
              <w:jc w:val="center"/>
              <w:rPr>
                <w:rFonts w:ascii="宋体" w:hAnsi="宋体" w:cs="??"/>
                <w:spacing w:val="0"/>
                <w:szCs w:val="21"/>
              </w:rPr>
            </w:pPr>
            <w:r>
              <w:rPr>
                <w:rFonts w:hint="eastAsia" w:ascii="宋体" w:hAnsi="宋体" w:cs="??"/>
                <w:spacing w:val="0"/>
                <w:szCs w:val="21"/>
              </w:rPr>
              <w:t>偏离情况</w:t>
            </w:r>
            <w:r>
              <w:rPr>
                <w:rFonts w:ascii="宋体" w:hAnsi="宋体" w:cs="??"/>
                <w:spacing w:val="0"/>
                <w:szCs w:val="21"/>
              </w:rPr>
              <w:t>（</w:t>
            </w:r>
            <w:r>
              <w:rPr>
                <w:rFonts w:hint="eastAsia" w:ascii="宋体" w:hAnsi="宋体" w:cs="??"/>
                <w:spacing w:val="0"/>
                <w:szCs w:val="21"/>
              </w:rPr>
              <w:t>正偏离/</w:t>
            </w:r>
          </w:p>
          <w:p>
            <w:pPr>
              <w:snapToGrid w:val="0"/>
              <w:jc w:val="center"/>
              <w:rPr>
                <w:rFonts w:ascii="宋体" w:hAnsi="宋体" w:cs="??"/>
                <w:spacing w:val="0"/>
                <w:szCs w:val="21"/>
              </w:rPr>
            </w:pPr>
            <w:r>
              <w:rPr>
                <w:rFonts w:hint="eastAsia" w:ascii="宋体" w:hAnsi="宋体" w:cs="??"/>
                <w:spacing w:val="0"/>
                <w:szCs w:val="21"/>
              </w:rPr>
              <w:t>符合/负偏离）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75" w:type="dxa"/>
            <w:vAlign w:val="center"/>
          </w:tcPr>
          <w:p>
            <w:pPr>
              <w:snapToGrid w:val="0"/>
              <w:jc w:val="center"/>
              <w:rPr>
                <w:rFonts w:hint="eastAsia" w:ascii="宋体" w:hAnsi="宋体" w:cs="??"/>
                <w:spacing w:val="0"/>
                <w:szCs w:val="21"/>
              </w:rPr>
            </w:pPr>
          </w:p>
        </w:tc>
        <w:tc>
          <w:tcPr>
            <w:tcW w:w="3775" w:type="dxa"/>
            <w:vAlign w:val="center"/>
          </w:tcPr>
          <w:p>
            <w:pPr>
              <w:snapToGrid w:val="0"/>
              <w:jc w:val="center"/>
              <w:rPr>
                <w:rFonts w:hint="eastAsia" w:ascii="宋体" w:hAnsi="宋体" w:cs="??"/>
                <w:spacing w:val="0"/>
                <w:szCs w:val="21"/>
              </w:rPr>
            </w:pPr>
          </w:p>
        </w:tc>
        <w:tc>
          <w:tcPr>
            <w:tcW w:w="2200" w:type="dxa"/>
            <w:vAlign w:val="center"/>
          </w:tcPr>
          <w:p>
            <w:pPr>
              <w:snapToGrid w:val="0"/>
              <w:jc w:val="center"/>
              <w:rPr>
                <w:rFonts w:ascii="宋体" w:hAnsi="宋体" w:cs="??"/>
                <w:spacing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75" w:type="dxa"/>
            <w:vAlign w:val="center"/>
          </w:tcPr>
          <w:p>
            <w:pPr>
              <w:snapToGrid w:val="0"/>
              <w:jc w:val="center"/>
              <w:rPr>
                <w:rFonts w:hint="eastAsia" w:ascii="宋体" w:hAnsi="宋体" w:cs="??"/>
                <w:spacing w:val="0"/>
                <w:szCs w:val="21"/>
              </w:rPr>
            </w:pPr>
          </w:p>
        </w:tc>
        <w:tc>
          <w:tcPr>
            <w:tcW w:w="3775" w:type="dxa"/>
            <w:vAlign w:val="center"/>
          </w:tcPr>
          <w:p>
            <w:pPr>
              <w:snapToGrid w:val="0"/>
              <w:jc w:val="center"/>
              <w:rPr>
                <w:rFonts w:ascii="宋体" w:hAnsi="宋体" w:cs="??"/>
                <w:spacing w:val="0"/>
                <w:szCs w:val="21"/>
              </w:rPr>
            </w:pPr>
          </w:p>
        </w:tc>
        <w:tc>
          <w:tcPr>
            <w:tcW w:w="2200" w:type="dxa"/>
            <w:vAlign w:val="center"/>
          </w:tcPr>
          <w:p>
            <w:pPr>
              <w:snapToGrid w:val="0"/>
              <w:jc w:val="center"/>
              <w:rPr>
                <w:rFonts w:ascii="宋体" w:hAnsi="宋体" w:cs="??"/>
                <w:spacing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75" w:type="dxa"/>
            <w:vAlign w:val="center"/>
          </w:tcPr>
          <w:p>
            <w:pPr>
              <w:snapToGrid w:val="0"/>
              <w:jc w:val="center"/>
              <w:rPr>
                <w:rFonts w:hint="eastAsia" w:ascii="宋体" w:hAnsi="宋体" w:cs="??"/>
                <w:spacing w:val="0"/>
                <w:szCs w:val="21"/>
              </w:rPr>
            </w:pPr>
          </w:p>
        </w:tc>
        <w:tc>
          <w:tcPr>
            <w:tcW w:w="3775" w:type="dxa"/>
            <w:vAlign w:val="center"/>
          </w:tcPr>
          <w:p>
            <w:pPr>
              <w:snapToGrid w:val="0"/>
              <w:jc w:val="center"/>
              <w:rPr>
                <w:rFonts w:ascii="宋体" w:hAnsi="宋体" w:cs="??"/>
                <w:spacing w:val="0"/>
                <w:szCs w:val="21"/>
              </w:rPr>
            </w:pPr>
          </w:p>
        </w:tc>
        <w:tc>
          <w:tcPr>
            <w:tcW w:w="2200" w:type="dxa"/>
            <w:vAlign w:val="center"/>
          </w:tcPr>
          <w:p>
            <w:pPr>
              <w:snapToGrid w:val="0"/>
              <w:jc w:val="center"/>
              <w:rPr>
                <w:rFonts w:ascii="宋体" w:hAnsi="宋体" w:cs="??"/>
                <w:spacing w:val="0"/>
                <w:szCs w:val="21"/>
              </w:rPr>
            </w:pPr>
          </w:p>
        </w:tc>
      </w:tr>
    </w:tbl>
    <w:p>
      <w:pPr>
        <w:spacing w:line="360" w:lineRule="auto"/>
        <w:ind w:firstLine="422" w:firstLineChars="200"/>
        <w:rPr>
          <w:rFonts w:hint="eastAsia" w:cs="宋体" w:asciiTheme="minorEastAsia" w:hAnsiTheme="minorEastAsia" w:eastAsiaTheme="minorEastAsia"/>
          <w:b/>
          <w:bCs/>
          <w:spacing w:val="0"/>
          <w:szCs w:val="21"/>
        </w:rPr>
      </w:pPr>
      <w:r>
        <w:rPr>
          <w:rFonts w:hint="eastAsia" w:cs="宋体" w:asciiTheme="minorEastAsia" w:hAnsiTheme="minorEastAsia" w:eastAsiaTheme="minorEastAsia"/>
          <w:b/>
          <w:bCs/>
          <w:spacing w:val="0"/>
          <w:szCs w:val="21"/>
        </w:rPr>
        <w:t>注：根据磋商文件第二章采购需求三、技术要求逐条响应。带“▲”号条款均为实质性条款，必须全部响应，若有任何一项带“▲”号条款未响应或负偏离，均视为未实质性响应磋商文件，视为无效响应。</w:t>
      </w:r>
    </w:p>
    <w:p>
      <w:pPr>
        <w:spacing w:line="480" w:lineRule="auto"/>
        <w:ind w:firstLine="371" w:firstLineChars="177"/>
        <w:rPr>
          <w:rFonts w:hint="eastAsia" w:ascii="宋体" w:hAnsi="宋体" w:cs="??"/>
          <w:spacing w:val="0"/>
          <w:szCs w:val="21"/>
        </w:rPr>
      </w:pPr>
    </w:p>
    <w:p>
      <w:pPr>
        <w:spacing w:line="480" w:lineRule="auto"/>
        <w:ind w:firstLine="371" w:firstLineChars="177"/>
        <w:rPr>
          <w:rFonts w:hint="eastAsia" w:ascii="宋体" w:hAnsi="宋体" w:cs="??"/>
          <w:spacing w:val="0"/>
          <w:szCs w:val="21"/>
        </w:rPr>
      </w:pPr>
      <w:r>
        <w:rPr>
          <w:rFonts w:hint="eastAsia" w:ascii="宋体" w:hAnsi="宋体" w:cs="??"/>
          <w:spacing w:val="0"/>
          <w:szCs w:val="21"/>
        </w:rPr>
        <w:t>响应人名称：</w:t>
      </w:r>
      <w:r>
        <w:rPr>
          <w:rFonts w:hint="eastAsia" w:ascii="宋体" w:hAnsi="宋体" w:cs="??"/>
          <w:spacing w:val="0"/>
          <w:szCs w:val="21"/>
          <w:u w:val="single"/>
        </w:rPr>
        <w:t xml:space="preserve">                </w:t>
      </w:r>
      <w:r>
        <w:rPr>
          <w:rFonts w:hint="eastAsia" w:ascii="宋体" w:hAnsi="宋体" w:cs="??"/>
          <w:spacing w:val="0"/>
          <w:szCs w:val="21"/>
        </w:rPr>
        <w:t xml:space="preserve">（加盖公章）  </w:t>
      </w:r>
    </w:p>
    <w:p>
      <w:pPr>
        <w:spacing w:line="480" w:lineRule="auto"/>
        <w:ind w:firstLine="371" w:firstLineChars="177"/>
        <w:rPr>
          <w:rFonts w:hint="eastAsia" w:ascii="宋体" w:hAnsi="宋体" w:cs="??"/>
          <w:spacing w:val="0"/>
          <w:szCs w:val="21"/>
        </w:rPr>
      </w:pPr>
      <w:r>
        <w:rPr>
          <w:rFonts w:hint="eastAsia" w:ascii="宋体" w:hAnsi="宋体" w:cs="??"/>
          <w:spacing w:val="0"/>
          <w:szCs w:val="21"/>
        </w:rPr>
        <w:t>响应人代表：</w:t>
      </w:r>
      <w:r>
        <w:rPr>
          <w:rFonts w:hint="eastAsia" w:ascii="宋体" w:hAnsi="宋体" w:cs="??"/>
          <w:spacing w:val="0"/>
          <w:szCs w:val="21"/>
          <w:u w:val="single"/>
        </w:rPr>
        <w:t xml:space="preserve">                </w:t>
      </w:r>
      <w:r>
        <w:rPr>
          <w:rFonts w:hint="eastAsia" w:ascii="宋体" w:hAnsi="宋体" w:cs="??"/>
          <w:spacing w:val="0"/>
          <w:szCs w:val="21"/>
        </w:rPr>
        <w:t>（签字）</w:t>
      </w:r>
    </w:p>
    <w:p>
      <w:pPr>
        <w:spacing w:line="480" w:lineRule="auto"/>
        <w:ind w:firstLine="371" w:firstLineChars="177"/>
        <w:rPr>
          <w:rFonts w:hint="eastAsia" w:ascii="宋体" w:hAnsi="宋体" w:cs="宋体"/>
          <w:spacing w:val="0"/>
          <w:szCs w:val="21"/>
        </w:rPr>
      </w:pPr>
      <w:r>
        <w:rPr>
          <w:rFonts w:hint="eastAsia" w:ascii="宋体" w:hAnsi="宋体" w:cs="??"/>
          <w:spacing w:val="0"/>
          <w:szCs w:val="21"/>
        </w:rPr>
        <w:t>日 期：</w:t>
      </w:r>
      <w:r>
        <w:rPr>
          <w:rFonts w:hint="eastAsia" w:ascii="宋体" w:hAnsi="宋体" w:cs="??"/>
          <w:spacing w:val="0"/>
          <w:szCs w:val="21"/>
          <w:u w:val="single"/>
        </w:rPr>
        <w:t xml:space="preserve">      </w:t>
      </w:r>
      <w:r>
        <w:rPr>
          <w:rFonts w:hint="eastAsia" w:ascii="宋体" w:hAnsi="宋体" w:cs="??"/>
          <w:spacing w:val="0"/>
          <w:szCs w:val="21"/>
        </w:rPr>
        <w:t>年</w:t>
      </w:r>
      <w:r>
        <w:rPr>
          <w:rFonts w:hint="eastAsia" w:ascii="宋体" w:hAnsi="宋体" w:cs="??"/>
          <w:spacing w:val="0"/>
          <w:szCs w:val="21"/>
          <w:u w:val="single"/>
        </w:rPr>
        <w:t xml:space="preserve">   </w:t>
      </w:r>
      <w:r>
        <w:rPr>
          <w:rFonts w:hint="eastAsia" w:ascii="宋体" w:hAnsi="宋体" w:cs="??"/>
          <w:spacing w:val="0"/>
          <w:szCs w:val="21"/>
        </w:rPr>
        <w:t>月</w:t>
      </w:r>
      <w:r>
        <w:rPr>
          <w:rFonts w:hint="eastAsia" w:ascii="宋体" w:hAnsi="宋体" w:cs="??"/>
          <w:spacing w:val="0"/>
          <w:szCs w:val="21"/>
          <w:u w:val="single"/>
        </w:rPr>
        <w:t xml:space="preserve">   </w:t>
      </w:r>
      <w:r>
        <w:rPr>
          <w:rFonts w:hint="eastAsia" w:ascii="宋体" w:hAnsi="宋体" w:cs="??"/>
          <w:spacing w:val="0"/>
          <w:szCs w:val="21"/>
        </w:rPr>
        <w:t>日</w:t>
      </w:r>
    </w:p>
    <w:p>
      <w:pPr>
        <w:widowControl/>
        <w:jc w:val="left"/>
        <w:rPr>
          <w:rFonts w:ascii="宋体" w:hAnsi="宋体" w:cs="宋体"/>
          <w:b/>
          <w:spacing w:val="0"/>
          <w:szCs w:val="21"/>
        </w:rPr>
      </w:pPr>
      <w:r>
        <w:rPr>
          <w:rFonts w:ascii="宋体" w:hAnsi="宋体" w:cs="宋体"/>
          <w:b/>
          <w:spacing w:val="0"/>
          <w:szCs w:val="21"/>
        </w:rPr>
        <w:br w:type="page"/>
      </w:r>
    </w:p>
    <w:p>
      <w:pPr>
        <w:spacing w:line="360" w:lineRule="auto"/>
        <w:rPr>
          <w:rFonts w:hint="eastAsia" w:ascii="宋体" w:hAnsi="宋体" w:cs="宋体"/>
          <w:b/>
          <w:spacing w:val="0"/>
          <w:sz w:val="21"/>
          <w:szCs w:val="21"/>
        </w:rPr>
      </w:pPr>
      <w:r>
        <w:rPr>
          <w:rFonts w:hint="eastAsia" w:ascii="宋体" w:hAnsi="宋体" w:cs="宋体"/>
          <w:b/>
          <w:spacing w:val="0"/>
          <w:sz w:val="21"/>
          <w:szCs w:val="21"/>
        </w:rPr>
        <w:t>格式八、商务要求响应表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5"/>
        <w:gridCol w:w="3775"/>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75" w:type="dxa"/>
            <w:vAlign w:val="center"/>
          </w:tcPr>
          <w:p>
            <w:pPr>
              <w:snapToGrid w:val="0"/>
              <w:jc w:val="center"/>
              <w:rPr>
                <w:rFonts w:ascii="宋体" w:hAnsi="宋体" w:cs="??"/>
                <w:spacing w:val="0"/>
                <w:szCs w:val="21"/>
              </w:rPr>
            </w:pPr>
            <w:r>
              <w:rPr>
                <w:rFonts w:hint="eastAsia" w:ascii="宋体" w:hAnsi="宋体" w:cs="??"/>
                <w:spacing w:val="0"/>
                <w:szCs w:val="21"/>
              </w:rPr>
              <w:t>磋商文件要求</w:t>
            </w:r>
          </w:p>
        </w:tc>
        <w:tc>
          <w:tcPr>
            <w:tcW w:w="3775" w:type="dxa"/>
            <w:vAlign w:val="center"/>
          </w:tcPr>
          <w:p>
            <w:pPr>
              <w:snapToGrid w:val="0"/>
              <w:jc w:val="center"/>
              <w:rPr>
                <w:rFonts w:ascii="宋体" w:hAnsi="宋体" w:cs="??"/>
                <w:spacing w:val="0"/>
                <w:szCs w:val="21"/>
              </w:rPr>
            </w:pPr>
            <w:r>
              <w:rPr>
                <w:rFonts w:hint="eastAsia" w:ascii="宋体" w:hAnsi="宋体" w:cs="??"/>
                <w:spacing w:val="0"/>
                <w:szCs w:val="21"/>
              </w:rPr>
              <w:t>响应人响应情况</w:t>
            </w:r>
          </w:p>
        </w:tc>
        <w:tc>
          <w:tcPr>
            <w:tcW w:w="2200" w:type="dxa"/>
            <w:vAlign w:val="center"/>
          </w:tcPr>
          <w:p>
            <w:pPr>
              <w:snapToGrid w:val="0"/>
              <w:jc w:val="center"/>
              <w:rPr>
                <w:rFonts w:ascii="宋体" w:hAnsi="宋体" w:cs="??"/>
                <w:spacing w:val="0"/>
                <w:szCs w:val="21"/>
              </w:rPr>
            </w:pPr>
            <w:r>
              <w:rPr>
                <w:rFonts w:hint="eastAsia" w:ascii="宋体" w:hAnsi="宋体" w:cs="??"/>
                <w:spacing w:val="0"/>
                <w:szCs w:val="21"/>
              </w:rPr>
              <w:t>偏离情况</w:t>
            </w:r>
            <w:r>
              <w:rPr>
                <w:rFonts w:ascii="宋体" w:hAnsi="宋体" w:cs="??"/>
                <w:spacing w:val="0"/>
                <w:szCs w:val="21"/>
              </w:rPr>
              <w:t>（</w:t>
            </w:r>
            <w:r>
              <w:rPr>
                <w:rFonts w:hint="eastAsia" w:ascii="宋体" w:hAnsi="宋体" w:cs="??"/>
                <w:spacing w:val="0"/>
                <w:szCs w:val="21"/>
              </w:rPr>
              <w:t>正偏离/</w:t>
            </w:r>
          </w:p>
          <w:p>
            <w:pPr>
              <w:snapToGrid w:val="0"/>
              <w:jc w:val="center"/>
              <w:rPr>
                <w:rFonts w:ascii="宋体" w:hAnsi="宋体" w:cs="??"/>
                <w:spacing w:val="0"/>
                <w:szCs w:val="21"/>
              </w:rPr>
            </w:pPr>
            <w:r>
              <w:rPr>
                <w:rFonts w:hint="eastAsia" w:ascii="宋体" w:hAnsi="宋体" w:cs="??"/>
                <w:spacing w:val="0"/>
                <w:szCs w:val="21"/>
              </w:rPr>
              <w:t>符合/负偏离）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75" w:type="dxa"/>
            <w:vAlign w:val="center"/>
          </w:tcPr>
          <w:p>
            <w:pPr>
              <w:snapToGrid w:val="0"/>
              <w:jc w:val="center"/>
              <w:rPr>
                <w:rFonts w:hint="eastAsia" w:ascii="宋体" w:hAnsi="宋体" w:cs="??"/>
                <w:spacing w:val="0"/>
                <w:szCs w:val="21"/>
              </w:rPr>
            </w:pPr>
          </w:p>
        </w:tc>
        <w:tc>
          <w:tcPr>
            <w:tcW w:w="3775" w:type="dxa"/>
            <w:vAlign w:val="center"/>
          </w:tcPr>
          <w:p>
            <w:pPr>
              <w:snapToGrid w:val="0"/>
              <w:jc w:val="center"/>
              <w:rPr>
                <w:rFonts w:hint="eastAsia" w:ascii="宋体" w:hAnsi="宋体" w:cs="??"/>
                <w:spacing w:val="0"/>
                <w:szCs w:val="21"/>
              </w:rPr>
            </w:pPr>
          </w:p>
        </w:tc>
        <w:tc>
          <w:tcPr>
            <w:tcW w:w="2200" w:type="dxa"/>
            <w:vAlign w:val="center"/>
          </w:tcPr>
          <w:p>
            <w:pPr>
              <w:snapToGrid w:val="0"/>
              <w:jc w:val="center"/>
              <w:rPr>
                <w:rFonts w:ascii="宋体" w:hAnsi="宋体" w:cs="??"/>
                <w:spacing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75" w:type="dxa"/>
            <w:vAlign w:val="center"/>
          </w:tcPr>
          <w:p>
            <w:pPr>
              <w:snapToGrid w:val="0"/>
              <w:jc w:val="center"/>
              <w:rPr>
                <w:rFonts w:hint="eastAsia" w:ascii="宋体" w:hAnsi="宋体" w:cs="??"/>
                <w:spacing w:val="0"/>
                <w:szCs w:val="21"/>
              </w:rPr>
            </w:pPr>
          </w:p>
        </w:tc>
        <w:tc>
          <w:tcPr>
            <w:tcW w:w="3775" w:type="dxa"/>
            <w:vAlign w:val="center"/>
          </w:tcPr>
          <w:p>
            <w:pPr>
              <w:snapToGrid w:val="0"/>
              <w:jc w:val="center"/>
              <w:rPr>
                <w:rFonts w:ascii="宋体" w:hAnsi="宋体" w:cs="??"/>
                <w:spacing w:val="0"/>
                <w:szCs w:val="21"/>
              </w:rPr>
            </w:pPr>
          </w:p>
        </w:tc>
        <w:tc>
          <w:tcPr>
            <w:tcW w:w="2200" w:type="dxa"/>
            <w:vAlign w:val="center"/>
          </w:tcPr>
          <w:p>
            <w:pPr>
              <w:snapToGrid w:val="0"/>
              <w:jc w:val="center"/>
              <w:rPr>
                <w:rFonts w:ascii="宋体" w:hAnsi="宋体" w:cs="??"/>
                <w:spacing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75" w:type="dxa"/>
            <w:vAlign w:val="center"/>
          </w:tcPr>
          <w:p>
            <w:pPr>
              <w:snapToGrid w:val="0"/>
              <w:jc w:val="center"/>
              <w:rPr>
                <w:rFonts w:hint="eastAsia" w:ascii="宋体" w:hAnsi="宋体" w:cs="??"/>
                <w:spacing w:val="0"/>
                <w:szCs w:val="21"/>
              </w:rPr>
            </w:pPr>
          </w:p>
        </w:tc>
        <w:tc>
          <w:tcPr>
            <w:tcW w:w="3775" w:type="dxa"/>
            <w:vAlign w:val="center"/>
          </w:tcPr>
          <w:p>
            <w:pPr>
              <w:snapToGrid w:val="0"/>
              <w:jc w:val="center"/>
              <w:rPr>
                <w:rFonts w:ascii="宋体" w:hAnsi="宋体" w:cs="??"/>
                <w:spacing w:val="0"/>
                <w:szCs w:val="21"/>
              </w:rPr>
            </w:pPr>
          </w:p>
        </w:tc>
        <w:tc>
          <w:tcPr>
            <w:tcW w:w="2200" w:type="dxa"/>
            <w:vAlign w:val="center"/>
          </w:tcPr>
          <w:p>
            <w:pPr>
              <w:snapToGrid w:val="0"/>
              <w:jc w:val="center"/>
              <w:rPr>
                <w:rFonts w:ascii="宋体" w:hAnsi="宋体" w:cs="??"/>
                <w:spacing w:val="0"/>
                <w:szCs w:val="21"/>
              </w:rPr>
            </w:pPr>
          </w:p>
        </w:tc>
      </w:tr>
    </w:tbl>
    <w:p>
      <w:pPr>
        <w:spacing w:line="360" w:lineRule="auto"/>
        <w:ind w:firstLine="422" w:firstLineChars="200"/>
        <w:rPr>
          <w:rFonts w:hint="eastAsia" w:cs="宋体" w:asciiTheme="minorEastAsia" w:hAnsiTheme="minorEastAsia" w:eastAsiaTheme="minorEastAsia"/>
          <w:b/>
          <w:bCs/>
          <w:spacing w:val="0"/>
          <w:szCs w:val="21"/>
        </w:rPr>
      </w:pPr>
      <w:r>
        <w:rPr>
          <w:rFonts w:hint="eastAsia" w:cs="宋体" w:asciiTheme="minorEastAsia" w:hAnsiTheme="minorEastAsia" w:eastAsiaTheme="minorEastAsia"/>
          <w:b/>
          <w:bCs/>
          <w:spacing w:val="0"/>
          <w:szCs w:val="21"/>
        </w:rPr>
        <w:t>注：根据磋商文件第二章采购需求四、商务要求逐条响应。带“▲”号条款均为实质性条款，必须全部响应，若有任何一项带“▲”号条款未响应或负偏离，均视为未实质性响应磋商文件，视为无效响应。</w:t>
      </w:r>
    </w:p>
    <w:p>
      <w:pPr>
        <w:spacing w:line="480" w:lineRule="auto"/>
        <w:ind w:firstLine="371" w:firstLineChars="177"/>
        <w:rPr>
          <w:rFonts w:hint="eastAsia" w:ascii="宋体" w:hAnsi="宋体" w:cs="??"/>
          <w:spacing w:val="0"/>
          <w:szCs w:val="21"/>
        </w:rPr>
      </w:pPr>
    </w:p>
    <w:p>
      <w:pPr>
        <w:spacing w:line="480" w:lineRule="auto"/>
        <w:ind w:firstLine="371" w:firstLineChars="177"/>
        <w:rPr>
          <w:rFonts w:hint="eastAsia" w:ascii="宋体" w:hAnsi="宋体" w:cs="??"/>
          <w:spacing w:val="0"/>
          <w:szCs w:val="21"/>
        </w:rPr>
      </w:pPr>
      <w:r>
        <w:rPr>
          <w:rFonts w:hint="eastAsia" w:ascii="宋体" w:hAnsi="宋体" w:cs="??"/>
          <w:spacing w:val="0"/>
          <w:szCs w:val="21"/>
        </w:rPr>
        <w:t>响应人名称：</w:t>
      </w:r>
      <w:r>
        <w:rPr>
          <w:rFonts w:hint="eastAsia" w:ascii="宋体" w:hAnsi="宋体" w:cs="??"/>
          <w:spacing w:val="0"/>
          <w:szCs w:val="21"/>
          <w:u w:val="single"/>
        </w:rPr>
        <w:t xml:space="preserve">                </w:t>
      </w:r>
      <w:r>
        <w:rPr>
          <w:rFonts w:hint="eastAsia" w:ascii="宋体" w:hAnsi="宋体" w:cs="??"/>
          <w:spacing w:val="0"/>
          <w:szCs w:val="21"/>
        </w:rPr>
        <w:t xml:space="preserve">（加盖公章）  </w:t>
      </w:r>
    </w:p>
    <w:p>
      <w:pPr>
        <w:spacing w:line="480" w:lineRule="auto"/>
        <w:ind w:firstLine="371" w:firstLineChars="177"/>
        <w:rPr>
          <w:rFonts w:hint="eastAsia" w:ascii="宋体" w:hAnsi="宋体" w:cs="??"/>
          <w:spacing w:val="0"/>
          <w:szCs w:val="21"/>
        </w:rPr>
      </w:pPr>
      <w:r>
        <w:rPr>
          <w:rFonts w:hint="eastAsia" w:ascii="宋体" w:hAnsi="宋体" w:cs="??"/>
          <w:spacing w:val="0"/>
          <w:szCs w:val="21"/>
        </w:rPr>
        <w:t>响应人代表：</w:t>
      </w:r>
      <w:r>
        <w:rPr>
          <w:rFonts w:hint="eastAsia" w:ascii="宋体" w:hAnsi="宋体" w:cs="??"/>
          <w:spacing w:val="0"/>
          <w:szCs w:val="21"/>
          <w:u w:val="single"/>
        </w:rPr>
        <w:t xml:space="preserve">                </w:t>
      </w:r>
      <w:r>
        <w:rPr>
          <w:rFonts w:hint="eastAsia" w:ascii="宋体" w:hAnsi="宋体" w:cs="??"/>
          <w:spacing w:val="0"/>
          <w:szCs w:val="21"/>
        </w:rPr>
        <w:t>（签字）</w:t>
      </w:r>
    </w:p>
    <w:p>
      <w:pPr>
        <w:spacing w:line="480" w:lineRule="auto"/>
        <w:ind w:firstLine="371" w:firstLineChars="177"/>
        <w:rPr>
          <w:rFonts w:hint="eastAsia" w:ascii="宋体" w:hAnsi="宋体" w:cs="宋体"/>
          <w:spacing w:val="0"/>
          <w:szCs w:val="21"/>
        </w:rPr>
      </w:pPr>
      <w:r>
        <w:rPr>
          <w:rFonts w:hint="eastAsia" w:ascii="宋体" w:hAnsi="宋体" w:cs="??"/>
          <w:spacing w:val="0"/>
          <w:szCs w:val="21"/>
        </w:rPr>
        <w:t>日 期：</w:t>
      </w:r>
      <w:r>
        <w:rPr>
          <w:rFonts w:hint="eastAsia" w:ascii="宋体" w:hAnsi="宋体" w:cs="??"/>
          <w:spacing w:val="0"/>
          <w:szCs w:val="21"/>
          <w:u w:val="single"/>
        </w:rPr>
        <w:t xml:space="preserve">      </w:t>
      </w:r>
      <w:r>
        <w:rPr>
          <w:rFonts w:hint="eastAsia" w:ascii="宋体" w:hAnsi="宋体" w:cs="??"/>
          <w:spacing w:val="0"/>
          <w:szCs w:val="21"/>
        </w:rPr>
        <w:t>年</w:t>
      </w:r>
      <w:r>
        <w:rPr>
          <w:rFonts w:hint="eastAsia" w:ascii="宋体" w:hAnsi="宋体" w:cs="??"/>
          <w:spacing w:val="0"/>
          <w:szCs w:val="21"/>
          <w:u w:val="single"/>
        </w:rPr>
        <w:t xml:space="preserve">   </w:t>
      </w:r>
      <w:r>
        <w:rPr>
          <w:rFonts w:hint="eastAsia" w:ascii="宋体" w:hAnsi="宋体" w:cs="??"/>
          <w:spacing w:val="0"/>
          <w:szCs w:val="21"/>
        </w:rPr>
        <w:t>月</w:t>
      </w:r>
      <w:r>
        <w:rPr>
          <w:rFonts w:hint="eastAsia" w:ascii="宋体" w:hAnsi="宋体" w:cs="??"/>
          <w:spacing w:val="0"/>
          <w:szCs w:val="21"/>
          <w:u w:val="single"/>
        </w:rPr>
        <w:t xml:space="preserve">   </w:t>
      </w:r>
      <w:r>
        <w:rPr>
          <w:rFonts w:hint="eastAsia" w:ascii="宋体" w:hAnsi="宋体" w:cs="??"/>
          <w:spacing w:val="0"/>
          <w:szCs w:val="21"/>
        </w:rPr>
        <w:t>日</w:t>
      </w:r>
    </w:p>
    <w:p>
      <w:pPr>
        <w:widowControl/>
        <w:jc w:val="left"/>
        <w:rPr>
          <w:rFonts w:ascii="宋体" w:hAnsi="宋体" w:cs="宋体"/>
          <w:b/>
          <w:spacing w:val="0"/>
          <w:szCs w:val="21"/>
        </w:rPr>
      </w:pPr>
      <w:r>
        <w:rPr>
          <w:rFonts w:ascii="宋体" w:hAnsi="宋体" w:cs="宋体"/>
          <w:b/>
          <w:spacing w:val="0"/>
          <w:szCs w:val="21"/>
        </w:rPr>
        <w:br w:type="page"/>
      </w:r>
    </w:p>
    <w:p>
      <w:pPr>
        <w:spacing w:line="360" w:lineRule="auto"/>
        <w:rPr>
          <w:rFonts w:hint="eastAsia" w:ascii="宋体" w:hAnsi="宋体" w:cs="宋体"/>
          <w:b/>
          <w:spacing w:val="0"/>
          <w:sz w:val="21"/>
          <w:szCs w:val="21"/>
        </w:rPr>
      </w:pPr>
      <w:r>
        <w:rPr>
          <w:rFonts w:hint="eastAsia" w:ascii="宋体" w:hAnsi="宋体" w:cs="宋体"/>
          <w:b/>
          <w:spacing w:val="0"/>
          <w:sz w:val="21"/>
          <w:szCs w:val="21"/>
        </w:rPr>
        <w:t>格式九、同类业绩</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559"/>
        <w:gridCol w:w="2304"/>
        <w:gridCol w:w="1200"/>
        <w:gridCol w:w="1200"/>
        <w:gridCol w:w="1559"/>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noWrap w:val="0"/>
            <w:vAlign w:val="center"/>
          </w:tcPr>
          <w:p>
            <w:pPr>
              <w:spacing w:line="240" w:lineRule="auto"/>
              <w:jc w:val="center"/>
              <w:rPr>
                <w:rFonts w:hint="eastAsia" w:ascii="宋体" w:hAnsi="宋体" w:eastAsia="宋体" w:cs="宋体"/>
                <w:b/>
                <w:spacing w:val="0"/>
                <w:sz w:val="21"/>
                <w:szCs w:val="21"/>
              </w:rPr>
            </w:pPr>
            <w:r>
              <w:rPr>
                <w:rFonts w:hint="eastAsia" w:ascii="宋体" w:hAnsi="宋体" w:eastAsia="宋体" w:cs="宋体"/>
                <w:b/>
                <w:spacing w:val="0"/>
                <w:sz w:val="21"/>
                <w:szCs w:val="21"/>
              </w:rPr>
              <w:t>序号</w:t>
            </w:r>
          </w:p>
        </w:tc>
        <w:tc>
          <w:tcPr>
            <w:tcW w:w="1559" w:type="dxa"/>
            <w:noWrap w:val="0"/>
            <w:vAlign w:val="center"/>
          </w:tcPr>
          <w:p>
            <w:pPr>
              <w:spacing w:line="240" w:lineRule="auto"/>
              <w:jc w:val="center"/>
              <w:rPr>
                <w:rFonts w:hint="eastAsia" w:ascii="宋体" w:hAnsi="宋体" w:eastAsia="宋体" w:cs="宋体"/>
                <w:b/>
                <w:spacing w:val="0"/>
                <w:sz w:val="21"/>
                <w:szCs w:val="21"/>
              </w:rPr>
            </w:pPr>
            <w:r>
              <w:rPr>
                <w:rFonts w:hint="eastAsia" w:ascii="宋体" w:hAnsi="宋体" w:eastAsia="宋体" w:cs="宋体"/>
                <w:b/>
                <w:spacing w:val="0"/>
                <w:sz w:val="21"/>
                <w:szCs w:val="21"/>
              </w:rPr>
              <w:t>业主名称</w:t>
            </w:r>
          </w:p>
        </w:tc>
        <w:tc>
          <w:tcPr>
            <w:tcW w:w="2304" w:type="dxa"/>
            <w:noWrap w:val="0"/>
            <w:vAlign w:val="center"/>
          </w:tcPr>
          <w:p>
            <w:pPr>
              <w:spacing w:line="240" w:lineRule="auto"/>
              <w:jc w:val="center"/>
              <w:rPr>
                <w:rFonts w:hint="eastAsia" w:ascii="宋体" w:hAnsi="宋体" w:eastAsia="宋体" w:cs="宋体"/>
                <w:b/>
                <w:spacing w:val="0"/>
                <w:sz w:val="21"/>
                <w:szCs w:val="21"/>
              </w:rPr>
            </w:pPr>
            <w:r>
              <w:rPr>
                <w:rFonts w:hint="eastAsia" w:ascii="宋体" w:hAnsi="宋体" w:eastAsia="宋体" w:cs="宋体"/>
                <w:b/>
                <w:spacing w:val="0"/>
                <w:sz w:val="21"/>
                <w:szCs w:val="21"/>
              </w:rPr>
              <w:t>项目内容</w:t>
            </w:r>
          </w:p>
        </w:tc>
        <w:tc>
          <w:tcPr>
            <w:tcW w:w="1200" w:type="dxa"/>
            <w:noWrap w:val="0"/>
            <w:vAlign w:val="center"/>
          </w:tcPr>
          <w:p>
            <w:pPr>
              <w:spacing w:line="240" w:lineRule="auto"/>
              <w:jc w:val="center"/>
              <w:rPr>
                <w:rFonts w:hint="eastAsia" w:ascii="宋体" w:hAnsi="宋体" w:eastAsia="宋体" w:cs="宋体"/>
                <w:b/>
                <w:spacing w:val="0"/>
                <w:sz w:val="21"/>
                <w:szCs w:val="21"/>
              </w:rPr>
            </w:pPr>
            <w:r>
              <w:rPr>
                <w:rFonts w:hint="eastAsia" w:ascii="宋体" w:hAnsi="宋体" w:eastAsia="宋体" w:cs="宋体"/>
                <w:b/>
                <w:spacing w:val="0"/>
                <w:sz w:val="21"/>
                <w:szCs w:val="21"/>
              </w:rPr>
              <w:t>签订日期</w:t>
            </w:r>
          </w:p>
        </w:tc>
        <w:tc>
          <w:tcPr>
            <w:tcW w:w="1200" w:type="dxa"/>
            <w:noWrap w:val="0"/>
            <w:vAlign w:val="center"/>
          </w:tcPr>
          <w:p>
            <w:pPr>
              <w:spacing w:line="240" w:lineRule="auto"/>
              <w:jc w:val="center"/>
              <w:rPr>
                <w:rFonts w:hint="eastAsia" w:ascii="宋体" w:hAnsi="宋体" w:eastAsia="宋体" w:cs="宋体"/>
                <w:b/>
                <w:spacing w:val="0"/>
                <w:sz w:val="21"/>
                <w:szCs w:val="21"/>
              </w:rPr>
            </w:pPr>
            <w:r>
              <w:rPr>
                <w:rFonts w:hint="eastAsia" w:ascii="宋体" w:hAnsi="宋体" w:eastAsia="宋体" w:cs="宋体"/>
                <w:b/>
                <w:spacing w:val="0"/>
                <w:sz w:val="21"/>
                <w:szCs w:val="21"/>
              </w:rPr>
              <w:t>合同金额</w:t>
            </w:r>
          </w:p>
        </w:tc>
        <w:tc>
          <w:tcPr>
            <w:tcW w:w="1559" w:type="dxa"/>
            <w:noWrap w:val="0"/>
            <w:vAlign w:val="center"/>
          </w:tcPr>
          <w:p>
            <w:pPr>
              <w:spacing w:line="240" w:lineRule="auto"/>
              <w:jc w:val="center"/>
              <w:rPr>
                <w:rFonts w:hint="eastAsia" w:ascii="宋体" w:hAnsi="宋体" w:eastAsia="宋体" w:cs="宋体"/>
                <w:b/>
                <w:spacing w:val="0"/>
                <w:sz w:val="21"/>
                <w:szCs w:val="21"/>
              </w:rPr>
            </w:pPr>
            <w:r>
              <w:rPr>
                <w:rFonts w:hint="eastAsia" w:ascii="宋体" w:hAnsi="宋体" w:eastAsia="宋体" w:cs="宋体"/>
                <w:b/>
                <w:spacing w:val="0"/>
                <w:sz w:val="21"/>
                <w:szCs w:val="21"/>
              </w:rPr>
              <w:t>业主联系人及联系方式</w:t>
            </w:r>
          </w:p>
        </w:tc>
        <w:tc>
          <w:tcPr>
            <w:tcW w:w="816" w:type="dxa"/>
            <w:noWrap w:val="0"/>
            <w:vAlign w:val="center"/>
          </w:tcPr>
          <w:p>
            <w:pPr>
              <w:snapToGrid w:val="0"/>
              <w:spacing w:line="240" w:lineRule="auto"/>
              <w:jc w:val="center"/>
              <w:rPr>
                <w:rFonts w:hint="eastAsia" w:ascii="宋体" w:hAnsi="宋体" w:eastAsia="宋体" w:cs="宋体"/>
                <w:b/>
                <w:spacing w:val="0"/>
                <w:sz w:val="21"/>
                <w:szCs w:val="21"/>
              </w:rPr>
            </w:pPr>
            <w:r>
              <w:rPr>
                <w:rFonts w:hint="eastAsia" w:ascii="宋体" w:hAnsi="宋体" w:eastAsia="宋体" w:cs="宋体"/>
                <w:b/>
                <w:spacing w:val="0"/>
                <w:sz w:val="21"/>
                <w:szCs w:val="21"/>
              </w:rPr>
              <w:t>附件</w:t>
            </w:r>
          </w:p>
          <w:p>
            <w:pPr>
              <w:snapToGrid w:val="0"/>
              <w:spacing w:line="240" w:lineRule="auto"/>
              <w:jc w:val="center"/>
              <w:rPr>
                <w:rFonts w:hint="eastAsia" w:ascii="宋体" w:hAnsi="宋体" w:eastAsia="宋体" w:cs="宋体"/>
                <w:b/>
                <w:spacing w:val="0"/>
                <w:sz w:val="21"/>
                <w:szCs w:val="21"/>
              </w:rPr>
            </w:pPr>
            <w:r>
              <w:rPr>
                <w:rFonts w:hint="eastAsia" w:ascii="宋体" w:hAnsi="宋体" w:eastAsia="宋体" w:cs="宋体"/>
                <w:b/>
                <w:spacing w:val="0"/>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noWrap w:val="0"/>
            <w:vAlign w:val="center"/>
          </w:tcPr>
          <w:p>
            <w:pPr>
              <w:spacing w:line="240" w:lineRule="auto"/>
              <w:jc w:val="center"/>
              <w:rPr>
                <w:rFonts w:hint="eastAsia" w:ascii="宋体" w:hAnsi="宋体" w:eastAsia="宋体" w:cs="宋体"/>
                <w:b/>
                <w:spacing w:val="0"/>
                <w:sz w:val="21"/>
                <w:szCs w:val="21"/>
              </w:rPr>
            </w:pPr>
          </w:p>
        </w:tc>
        <w:tc>
          <w:tcPr>
            <w:tcW w:w="1559" w:type="dxa"/>
            <w:noWrap w:val="0"/>
            <w:vAlign w:val="center"/>
          </w:tcPr>
          <w:p>
            <w:pPr>
              <w:spacing w:line="240" w:lineRule="auto"/>
              <w:jc w:val="center"/>
              <w:rPr>
                <w:rFonts w:hint="eastAsia" w:ascii="宋体" w:hAnsi="宋体" w:eastAsia="宋体" w:cs="宋体"/>
                <w:b/>
                <w:spacing w:val="0"/>
                <w:sz w:val="21"/>
                <w:szCs w:val="21"/>
              </w:rPr>
            </w:pPr>
          </w:p>
        </w:tc>
        <w:tc>
          <w:tcPr>
            <w:tcW w:w="2304" w:type="dxa"/>
            <w:noWrap w:val="0"/>
            <w:vAlign w:val="center"/>
          </w:tcPr>
          <w:p>
            <w:pPr>
              <w:spacing w:line="240" w:lineRule="auto"/>
              <w:jc w:val="center"/>
              <w:rPr>
                <w:rFonts w:hint="eastAsia" w:ascii="宋体" w:hAnsi="宋体" w:eastAsia="宋体" w:cs="宋体"/>
                <w:b/>
                <w:spacing w:val="0"/>
                <w:sz w:val="21"/>
                <w:szCs w:val="21"/>
              </w:rPr>
            </w:pPr>
          </w:p>
        </w:tc>
        <w:tc>
          <w:tcPr>
            <w:tcW w:w="1200" w:type="dxa"/>
            <w:noWrap w:val="0"/>
            <w:vAlign w:val="center"/>
          </w:tcPr>
          <w:p>
            <w:pPr>
              <w:spacing w:line="240" w:lineRule="auto"/>
              <w:jc w:val="center"/>
              <w:rPr>
                <w:rFonts w:hint="eastAsia" w:ascii="宋体" w:hAnsi="宋体" w:eastAsia="宋体" w:cs="宋体"/>
                <w:b/>
                <w:spacing w:val="0"/>
                <w:sz w:val="21"/>
                <w:szCs w:val="21"/>
              </w:rPr>
            </w:pPr>
          </w:p>
        </w:tc>
        <w:tc>
          <w:tcPr>
            <w:tcW w:w="1200" w:type="dxa"/>
            <w:noWrap w:val="0"/>
            <w:vAlign w:val="center"/>
          </w:tcPr>
          <w:p>
            <w:pPr>
              <w:spacing w:line="240" w:lineRule="auto"/>
              <w:jc w:val="center"/>
              <w:rPr>
                <w:rFonts w:hint="eastAsia" w:ascii="宋体" w:hAnsi="宋体" w:eastAsia="宋体" w:cs="宋体"/>
                <w:b/>
                <w:spacing w:val="0"/>
                <w:sz w:val="21"/>
                <w:szCs w:val="21"/>
              </w:rPr>
            </w:pPr>
          </w:p>
        </w:tc>
        <w:tc>
          <w:tcPr>
            <w:tcW w:w="1559" w:type="dxa"/>
            <w:noWrap w:val="0"/>
            <w:vAlign w:val="center"/>
          </w:tcPr>
          <w:p>
            <w:pPr>
              <w:spacing w:line="240" w:lineRule="auto"/>
              <w:jc w:val="center"/>
              <w:rPr>
                <w:rFonts w:hint="eastAsia" w:ascii="宋体" w:hAnsi="宋体" w:eastAsia="宋体" w:cs="宋体"/>
                <w:b/>
                <w:spacing w:val="0"/>
                <w:sz w:val="21"/>
                <w:szCs w:val="21"/>
              </w:rPr>
            </w:pPr>
          </w:p>
        </w:tc>
        <w:tc>
          <w:tcPr>
            <w:tcW w:w="816" w:type="dxa"/>
            <w:noWrap w:val="0"/>
            <w:vAlign w:val="center"/>
          </w:tcPr>
          <w:p>
            <w:pPr>
              <w:spacing w:line="240" w:lineRule="auto"/>
              <w:jc w:val="center"/>
              <w:rPr>
                <w:rFonts w:hint="eastAsia" w:ascii="宋体" w:hAnsi="宋体" w:eastAsia="宋体" w:cs="宋体"/>
                <w:b/>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noWrap w:val="0"/>
            <w:vAlign w:val="center"/>
          </w:tcPr>
          <w:p>
            <w:pPr>
              <w:spacing w:line="240" w:lineRule="auto"/>
              <w:jc w:val="center"/>
              <w:rPr>
                <w:rFonts w:hint="eastAsia" w:ascii="宋体" w:hAnsi="宋体" w:eastAsia="宋体" w:cs="宋体"/>
                <w:b/>
                <w:spacing w:val="0"/>
                <w:sz w:val="21"/>
                <w:szCs w:val="21"/>
              </w:rPr>
            </w:pPr>
          </w:p>
        </w:tc>
        <w:tc>
          <w:tcPr>
            <w:tcW w:w="1559" w:type="dxa"/>
            <w:noWrap w:val="0"/>
            <w:vAlign w:val="center"/>
          </w:tcPr>
          <w:p>
            <w:pPr>
              <w:spacing w:line="240" w:lineRule="auto"/>
              <w:jc w:val="center"/>
              <w:rPr>
                <w:rFonts w:hint="eastAsia" w:ascii="宋体" w:hAnsi="宋体" w:eastAsia="宋体" w:cs="宋体"/>
                <w:b/>
                <w:spacing w:val="0"/>
                <w:sz w:val="21"/>
                <w:szCs w:val="21"/>
              </w:rPr>
            </w:pPr>
          </w:p>
        </w:tc>
        <w:tc>
          <w:tcPr>
            <w:tcW w:w="2304" w:type="dxa"/>
            <w:noWrap w:val="0"/>
            <w:vAlign w:val="center"/>
          </w:tcPr>
          <w:p>
            <w:pPr>
              <w:spacing w:line="240" w:lineRule="auto"/>
              <w:jc w:val="center"/>
              <w:rPr>
                <w:rFonts w:hint="eastAsia" w:ascii="宋体" w:hAnsi="宋体" w:eastAsia="宋体" w:cs="宋体"/>
                <w:b/>
                <w:spacing w:val="0"/>
                <w:sz w:val="21"/>
                <w:szCs w:val="21"/>
              </w:rPr>
            </w:pPr>
          </w:p>
        </w:tc>
        <w:tc>
          <w:tcPr>
            <w:tcW w:w="1200" w:type="dxa"/>
            <w:noWrap w:val="0"/>
            <w:vAlign w:val="center"/>
          </w:tcPr>
          <w:p>
            <w:pPr>
              <w:spacing w:line="240" w:lineRule="auto"/>
              <w:jc w:val="center"/>
              <w:rPr>
                <w:rFonts w:hint="eastAsia" w:ascii="宋体" w:hAnsi="宋体" w:eastAsia="宋体" w:cs="宋体"/>
                <w:b/>
                <w:spacing w:val="0"/>
                <w:sz w:val="21"/>
                <w:szCs w:val="21"/>
              </w:rPr>
            </w:pPr>
          </w:p>
        </w:tc>
        <w:tc>
          <w:tcPr>
            <w:tcW w:w="1200" w:type="dxa"/>
            <w:noWrap w:val="0"/>
            <w:vAlign w:val="center"/>
          </w:tcPr>
          <w:p>
            <w:pPr>
              <w:spacing w:line="240" w:lineRule="auto"/>
              <w:jc w:val="center"/>
              <w:rPr>
                <w:rFonts w:hint="eastAsia" w:ascii="宋体" w:hAnsi="宋体" w:eastAsia="宋体" w:cs="宋体"/>
                <w:b/>
                <w:spacing w:val="0"/>
                <w:sz w:val="21"/>
                <w:szCs w:val="21"/>
              </w:rPr>
            </w:pPr>
          </w:p>
        </w:tc>
        <w:tc>
          <w:tcPr>
            <w:tcW w:w="1559" w:type="dxa"/>
            <w:noWrap w:val="0"/>
            <w:vAlign w:val="center"/>
          </w:tcPr>
          <w:p>
            <w:pPr>
              <w:spacing w:line="240" w:lineRule="auto"/>
              <w:jc w:val="center"/>
              <w:rPr>
                <w:rFonts w:hint="eastAsia" w:ascii="宋体" w:hAnsi="宋体" w:eastAsia="宋体" w:cs="宋体"/>
                <w:b/>
                <w:spacing w:val="0"/>
                <w:sz w:val="21"/>
                <w:szCs w:val="21"/>
              </w:rPr>
            </w:pPr>
          </w:p>
        </w:tc>
        <w:tc>
          <w:tcPr>
            <w:tcW w:w="816" w:type="dxa"/>
            <w:noWrap w:val="0"/>
            <w:vAlign w:val="center"/>
          </w:tcPr>
          <w:p>
            <w:pPr>
              <w:spacing w:line="240" w:lineRule="auto"/>
              <w:jc w:val="center"/>
              <w:rPr>
                <w:rFonts w:hint="eastAsia" w:ascii="宋体" w:hAnsi="宋体" w:eastAsia="宋体" w:cs="宋体"/>
                <w:b/>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noWrap w:val="0"/>
            <w:vAlign w:val="center"/>
          </w:tcPr>
          <w:p>
            <w:pPr>
              <w:spacing w:line="240" w:lineRule="auto"/>
              <w:jc w:val="center"/>
              <w:rPr>
                <w:rFonts w:hint="eastAsia" w:ascii="宋体" w:hAnsi="宋体" w:eastAsia="宋体" w:cs="宋体"/>
                <w:b/>
                <w:spacing w:val="0"/>
                <w:sz w:val="21"/>
                <w:szCs w:val="21"/>
              </w:rPr>
            </w:pPr>
          </w:p>
        </w:tc>
        <w:tc>
          <w:tcPr>
            <w:tcW w:w="1559" w:type="dxa"/>
            <w:noWrap w:val="0"/>
            <w:vAlign w:val="center"/>
          </w:tcPr>
          <w:p>
            <w:pPr>
              <w:spacing w:line="240" w:lineRule="auto"/>
              <w:jc w:val="center"/>
              <w:rPr>
                <w:rFonts w:hint="eastAsia" w:ascii="宋体" w:hAnsi="宋体" w:eastAsia="宋体" w:cs="宋体"/>
                <w:b/>
                <w:spacing w:val="0"/>
                <w:sz w:val="21"/>
                <w:szCs w:val="21"/>
              </w:rPr>
            </w:pPr>
          </w:p>
        </w:tc>
        <w:tc>
          <w:tcPr>
            <w:tcW w:w="2304" w:type="dxa"/>
            <w:noWrap w:val="0"/>
            <w:vAlign w:val="center"/>
          </w:tcPr>
          <w:p>
            <w:pPr>
              <w:spacing w:line="240" w:lineRule="auto"/>
              <w:jc w:val="center"/>
              <w:rPr>
                <w:rFonts w:hint="eastAsia" w:ascii="宋体" w:hAnsi="宋体" w:eastAsia="宋体" w:cs="宋体"/>
                <w:b/>
                <w:spacing w:val="0"/>
                <w:sz w:val="21"/>
                <w:szCs w:val="21"/>
              </w:rPr>
            </w:pPr>
          </w:p>
        </w:tc>
        <w:tc>
          <w:tcPr>
            <w:tcW w:w="1200" w:type="dxa"/>
            <w:noWrap w:val="0"/>
            <w:vAlign w:val="center"/>
          </w:tcPr>
          <w:p>
            <w:pPr>
              <w:spacing w:line="240" w:lineRule="auto"/>
              <w:jc w:val="center"/>
              <w:rPr>
                <w:rFonts w:hint="eastAsia" w:ascii="宋体" w:hAnsi="宋体" w:eastAsia="宋体" w:cs="宋体"/>
                <w:b/>
                <w:spacing w:val="0"/>
                <w:sz w:val="21"/>
                <w:szCs w:val="21"/>
              </w:rPr>
            </w:pPr>
          </w:p>
        </w:tc>
        <w:tc>
          <w:tcPr>
            <w:tcW w:w="1200" w:type="dxa"/>
            <w:noWrap w:val="0"/>
            <w:vAlign w:val="center"/>
          </w:tcPr>
          <w:p>
            <w:pPr>
              <w:spacing w:line="240" w:lineRule="auto"/>
              <w:jc w:val="center"/>
              <w:rPr>
                <w:rFonts w:hint="eastAsia" w:ascii="宋体" w:hAnsi="宋体" w:eastAsia="宋体" w:cs="宋体"/>
                <w:b/>
                <w:spacing w:val="0"/>
                <w:sz w:val="21"/>
                <w:szCs w:val="21"/>
              </w:rPr>
            </w:pPr>
          </w:p>
        </w:tc>
        <w:tc>
          <w:tcPr>
            <w:tcW w:w="1559" w:type="dxa"/>
            <w:noWrap w:val="0"/>
            <w:vAlign w:val="center"/>
          </w:tcPr>
          <w:p>
            <w:pPr>
              <w:spacing w:line="240" w:lineRule="auto"/>
              <w:jc w:val="center"/>
              <w:rPr>
                <w:rFonts w:hint="eastAsia" w:ascii="宋体" w:hAnsi="宋体" w:eastAsia="宋体" w:cs="宋体"/>
                <w:b/>
                <w:spacing w:val="0"/>
                <w:sz w:val="21"/>
                <w:szCs w:val="21"/>
              </w:rPr>
            </w:pPr>
          </w:p>
        </w:tc>
        <w:tc>
          <w:tcPr>
            <w:tcW w:w="816" w:type="dxa"/>
            <w:noWrap w:val="0"/>
            <w:vAlign w:val="center"/>
          </w:tcPr>
          <w:p>
            <w:pPr>
              <w:spacing w:line="240" w:lineRule="auto"/>
              <w:jc w:val="center"/>
              <w:rPr>
                <w:rFonts w:hint="eastAsia" w:ascii="宋体" w:hAnsi="宋体" w:eastAsia="宋体" w:cs="宋体"/>
                <w:b/>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noWrap w:val="0"/>
            <w:vAlign w:val="center"/>
          </w:tcPr>
          <w:p>
            <w:pPr>
              <w:spacing w:line="240" w:lineRule="auto"/>
              <w:jc w:val="center"/>
              <w:rPr>
                <w:rFonts w:hint="eastAsia" w:ascii="宋体" w:hAnsi="宋体" w:eastAsia="宋体" w:cs="宋体"/>
                <w:b/>
                <w:spacing w:val="0"/>
                <w:sz w:val="21"/>
                <w:szCs w:val="21"/>
              </w:rPr>
            </w:pPr>
          </w:p>
        </w:tc>
        <w:tc>
          <w:tcPr>
            <w:tcW w:w="1559" w:type="dxa"/>
            <w:noWrap w:val="0"/>
            <w:vAlign w:val="center"/>
          </w:tcPr>
          <w:p>
            <w:pPr>
              <w:spacing w:line="240" w:lineRule="auto"/>
              <w:jc w:val="center"/>
              <w:rPr>
                <w:rFonts w:hint="eastAsia" w:ascii="宋体" w:hAnsi="宋体" w:eastAsia="宋体" w:cs="宋体"/>
                <w:b/>
                <w:spacing w:val="0"/>
                <w:sz w:val="21"/>
                <w:szCs w:val="21"/>
              </w:rPr>
            </w:pPr>
          </w:p>
        </w:tc>
        <w:tc>
          <w:tcPr>
            <w:tcW w:w="2304" w:type="dxa"/>
            <w:noWrap w:val="0"/>
            <w:vAlign w:val="center"/>
          </w:tcPr>
          <w:p>
            <w:pPr>
              <w:spacing w:line="240" w:lineRule="auto"/>
              <w:jc w:val="center"/>
              <w:rPr>
                <w:rFonts w:hint="eastAsia" w:ascii="宋体" w:hAnsi="宋体" w:eastAsia="宋体" w:cs="宋体"/>
                <w:b/>
                <w:spacing w:val="0"/>
                <w:sz w:val="21"/>
                <w:szCs w:val="21"/>
              </w:rPr>
            </w:pPr>
          </w:p>
        </w:tc>
        <w:tc>
          <w:tcPr>
            <w:tcW w:w="1200" w:type="dxa"/>
            <w:noWrap w:val="0"/>
            <w:vAlign w:val="center"/>
          </w:tcPr>
          <w:p>
            <w:pPr>
              <w:spacing w:line="240" w:lineRule="auto"/>
              <w:jc w:val="center"/>
              <w:rPr>
                <w:rFonts w:hint="eastAsia" w:ascii="宋体" w:hAnsi="宋体" w:eastAsia="宋体" w:cs="宋体"/>
                <w:b/>
                <w:spacing w:val="0"/>
                <w:sz w:val="21"/>
                <w:szCs w:val="21"/>
              </w:rPr>
            </w:pPr>
          </w:p>
        </w:tc>
        <w:tc>
          <w:tcPr>
            <w:tcW w:w="1200" w:type="dxa"/>
            <w:noWrap w:val="0"/>
            <w:vAlign w:val="center"/>
          </w:tcPr>
          <w:p>
            <w:pPr>
              <w:spacing w:line="240" w:lineRule="auto"/>
              <w:jc w:val="center"/>
              <w:rPr>
                <w:rFonts w:hint="eastAsia" w:ascii="宋体" w:hAnsi="宋体" w:eastAsia="宋体" w:cs="宋体"/>
                <w:b/>
                <w:spacing w:val="0"/>
                <w:sz w:val="21"/>
                <w:szCs w:val="21"/>
              </w:rPr>
            </w:pPr>
          </w:p>
        </w:tc>
        <w:tc>
          <w:tcPr>
            <w:tcW w:w="1559" w:type="dxa"/>
            <w:noWrap w:val="0"/>
            <w:vAlign w:val="center"/>
          </w:tcPr>
          <w:p>
            <w:pPr>
              <w:spacing w:line="240" w:lineRule="auto"/>
              <w:jc w:val="center"/>
              <w:rPr>
                <w:rFonts w:hint="eastAsia" w:ascii="宋体" w:hAnsi="宋体" w:eastAsia="宋体" w:cs="宋体"/>
                <w:b/>
                <w:spacing w:val="0"/>
                <w:sz w:val="21"/>
                <w:szCs w:val="21"/>
              </w:rPr>
            </w:pPr>
          </w:p>
        </w:tc>
        <w:tc>
          <w:tcPr>
            <w:tcW w:w="816" w:type="dxa"/>
            <w:noWrap w:val="0"/>
            <w:vAlign w:val="center"/>
          </w:tcPr>
          <w:p>
            <w:pPr>
              <w:spacing w:line="240" w:lineRule="auto"/>
              <w:jc w:val="center"/>
              <w:rPr>
                <w:rFonts w:hint="eastAsia" w:ascii="宋体" w:hAnsi="宋体" w:eastAsia="宋体" w:cs="宋体"/>
                <w:b/>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noWrap w:val="0"/>
            <w:vAlign w:val="center"/>
          </w:tcPr>
          <w:p>
            <w:pPr>
              <w:spacing w:line="240" w:lineRule="auto"/>
              <w:jc w:val="center"/>
              <w:rPr>
                <w:rFonts w:hint="eastAsia" w:ascii="宋体" w:hAnsi="宋体" w:eastAsia="宋体" w:cs="宋体"/>
                <w:b/>
                <w:spacing w:val="0"/>
                <w:sz w:val="21"/>
                <w:szCs w:val="21"/>
              </w:rPr>
            </w:pPr>
          </w:p>
        </w:tc>
        <w:tc>
          <w:tcPr>
            <w:tcW w:w="1559" w:type="dxa"/>
            <w:noWrap w:val="0"/>
            <w:vAlign w:val="center"/>
          </w:tcPr>
          <w:p>
            <w:pPr>
              <w:spacing w:line="240" w:lineRule="auto"/>
              <w:jc w:val="center"/>
              <w:rPr>
                <w:rFonts w:hint="eastAsia" w:ascii="宋体" w:hAnsi="宋体" w:eastAsia="宋体" w:cs="宋体"/>
                <w:b/>
                <w:spacing w:val="0"/>
                <w:sz w:val="21"/>
                <w:szCs w:val="21"/>
              </w:rPr>
            </w:pPr>
          </w:p>
        </w:tc>
        <w:tc>
          <w:tcPr>
            <w:tcW w:w="2304" w:type="dxa"/>
            <w:noWrap w:val="0"/>
            <w:vAlign w:val="center"/>
          </w:tcPr>
          <w:p>
            <w:pPr>
              <w:spacing w:line="240" w:lineRule="auto"/>
              <w:jc w:val="center"/>
              <w:rPr>
                <w:rFonts w:hint="eastAsia" w:ascii="宋体" w:hAnsi="宋体" w:eastAsia="宋体" w:cs="宋体"/>
                <w:b/>
                <w:spacing w:val="0"/>
                <w:sz w:val="21"/>
                <w:szCs w:val="21"/>
              </w:rPr>
            </w:pPr>
          </w:p>
        </w:tc>
        <w:tc>
          <w:tcPr>
            <w:tcW w:w="1200" w:type="dxa"/>
            <w:noWrap w:val="0"/>
            <w:vAlign w:val="center"/>
          </w:tcPr>
          <w:p>
            <w:pPr>
              <w:spacing w:line="240" w:lineRule="auto"/>
              <w:jc w:val="center"/>
              <w:rPr>
                <w:rFonts w:hint="eastAsia" w:ascii="宋体" w:hAnsi="宋体" w:eastAsia="宋体" w:cs="宋体"/>
                <w:b/>
                <w:spacing w:val="0"/>
                <w:sz w:val="21"/>
                <w:szCs w:val="21"/>
              </w:rPr>
            </w:pPr>
          </w:p>
        </w:tc>
        <w:tc>
          <w:tcPr>
            <w:tcW w:w="1200" w:type="dxa"/>
            <w:noWrap w:val="0"/>
            <w:vAlign w:val="center"/>
          </w:tcPr>
          <w:p>
            <w:pPr>
              <w:spacing w:line="240" w:lineRule="auto"/>
              <w:jc w:val="center"/>
              <w:rPr>
                <w:rFonts w:hint="eastAsia" w:ascii="宋体" w:hAnsi="宋体" w:eastAsia="宋体" w:cs="宋体"/>
                <w:b/>
                <w:spacing w:val="0"/>
                <w:sz w:val="21"/>
                <w:szCs w:val="21"/>
              </w:rPr>
            </w:pPr>
          </w:p>
        </w:tc>
        <w:tc>
          <w:tcPr>
            <w:tcW w:w="1559" w:type="dxa"/>
            <w:noWrap w:val="0"/>
            <w:vAlign w:val="center"/>
          </w:tcPr>
          <w:p>
            <w:pPr>
              <w:spacing w:line="240" w:lineRule="auto"/>
              <w:jc w:val="center"/>
              <w:rPr>
                <w:rFonts w:hint="eastAsia" w:ascii="宋体" w:hAnsi="宋体" w:eastAsia="宋体" w:cs="宋体"/>
                <w:b/>
                <w:spacing w:val="0"/>
                <w:sz w:val="21"/>
                <w:szCs w:val="21"/>
              </w:rPr>
            </w:pPr>
          </w:p>
        </w:tc>
        <w:tc>
          <w:tcPr>
            <w:tcW w:w="816" w:type="dxa"/>
            <w:noWrap w:val="0"/>
            <w:vAlign w:val="center"/>
          </w:tcPr>
          <w:p>
            <w:pPr>
              <w:spacing w:line="240" w:lineRule="auto"/>
              <w:jc w:val="center"/>
              <w:rPr>
                <w:rFonts w:hint="eastAsia" w:ascii="宋体" w:hAnsi="宋体" w:eastAsia="宋体" w:cs="宋体"/>
                <w:b/>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7" w:type="dxa"/>
            <w:noWrap w:val="0"/>
            <w:vAlign w:val="center"/>
          </w:tcPr>
          <w:p>
            <w:pPr>
              <w:spacing w:line="240" w:lineRule="auto"/>
              <w:jc w:val="center"/>
              <w:rPr>
                <w:rFonts w:hint="eastAsia" w:ascii="宋体" w:hAnsi="宋体" w:eastAsia="宋体" w:cs="宋体"/>
                <w:b/>
                <w:spacing w:val="0"/>
                <w:sz w:val="21"/>
                <w:szCs w:val="21"/>
              </w:rPr>
            </w:pPr>
          </w:p>
        </w:tc>
        <w:tc>
          <w:tcPr>
            <w:tcW w:w="1559" w:type="dxa"/>
            <w:noWrap w:val="0"/>
            <w:vAlign w:val="center"/>
          </w:tcPr>
          <w:p>
            <w:pPr>
              <w:spacing w:line="240" w:lineRule="auto"/>
              <w:jc w:val="center"/>
              <w:rPr>
                <w:rFonts w:hint="eastAsia" w:ascii="宋体" w:hAnsi="宋体" w:eastAsia="宋体" w:cs="宋体"/>
                <w:b/>
                <w:spacing w:val="0"/>
                <w:sz w:val="21"/>
                <w:szCs w:val="21"/>
              </w:rPr>
            </w:pPr>
          </w:p>
        </w:tc>
        <w:tc>
          <w:tcPr>
            <w:tcW w:w="2304" w:type="dxa"/>
            <w:noWrap w:val="0"/>
            <w:vAlign w:val="center"/>
          </w:tcPr>
          <w:p>
            <w:pPr>
              <w:spacing w:line="240" w:lineRule="auto"/>
              <w:jc w:val="center"/>
              <w:rPr>
                <w:rFonts w:hint="eastAsia" w:ascii="宋体" w:hAnsi="宋体" w:eastAsia="宋体" w:cs="宋体"/>
                <w:b/>
                <w:spacing w:val="0"/>
                <w:sz w:val="21"/>
                <w:szCs w:val="21"/>
              </w:rPr>
            </w:pPr>
          </w:p>
        </w:tc>
        <w:tc>
          <w:tcPr>
            <w:tcW w:w="1200" w:type="dxa"/>
            <w:noWrap w:val="0"/>
            <w:vAlign w:val="center"/>
          </w:tcPr>
          <w:p>
            <w:pPr>
              <w:spacing w:line="240" w:lineRule="auto"/>
              <w:jc w:val="center"/>
              <w:rPr>
                <w:rFonts w:hint="eastAsia" w:ascii="宋体" w:hAnsi="宋体" w:eastAsia="宋体" w:cs="宋体"/>
                <w:b/>
                <w:spacing w:val="0"/>
                <w:sz w:val="21"/>
                <w:szCs w:val="21"/>
              </w:rPr>
            </w:pPr>
          </w:p>
        </w:tc>
        <w:tc>
          <w:tcPr>
            <w:tcW w:w="1200" w:type="dxa"/>
            <w:noWrap w:val="0"/>
            <w:vAlign w:val="center"/>
          </w:tcPr>
          <w:p>
            <w:pPr>
              <w:spacing w:line="240" w:lineRule="auto"/>
              <w:jc w:val="center"/>
              <w:rPr>
                <w:rFonts w:hint="eastAsia" w:ascii="宋体" w:hAnsi="宋体" w:eastAsia="宋体" w:cs="宋体"/>
                <w:b/>
                <w:spacing w:val="0"/>
                <w:sz w:val="21"/>
                <w:szCs w:val="21"/>
              </w:rPr>
            </w:pPr>
          </w:p>
        </w:tc>
        <w:tc>
          <w:tcPr>
            <w:tcW w:w="1559" w:type="dxa"/>
            <w:noWrap w:val="0"/>
            <w:vAlign w:val="center"/>
          </w:tcPr>
          <w:p>
            <w:pPr>
              <w:spacing w:line="240" w:lineRule="auto"/>
              <w:jc w:val="center"/>
              <w:rPr>
                <w:rFonts w:hint="eastAsia" w:ascii="宋体" w:hAnsi="宋体" w:eastAsia="宋体" w:cs="宋体"/>
                <w:b/>
                <w:spacing w:val="0"/>
                <w:sz w:val="21"/>
                <w:szCs w:val="21"/>
              </w:rPr>
            </w:pPr>
          </w:p>
        </w:tc>
        <w:tc>
          <w:tcPr>
            <w:tcW w:w="816" w:type="dxa"/>
            <w:noWrap w:val="0"/>
            <w:vAlign w:val="center"/>
          </w:tcPr>
          <w:p>
            <w:pPr>
              <w:spacing w:line="240" w:lineRule="auto"/>
              <w:jc w:val="center"/>
              <w:rPr>
                <w:rFonts w:hint="eastAsia" w:ascii="宋体" w:hAnsi="宋体" w:eastAsia="宋体" w:cs="宋体"/>
                <w:b/>
                <w:spacing w:val="0"/>
                <w:sz w:val="21"/>
                <w:szCs w:val="21"/>
              </w:rPr>
            </w:pPr>
          </w:p>
        </w:tc>
      </w:tr>
    </w:tbl>
    <w:p>
      <w:pPr>
        <w:spacing w:line="360" w:lineRule="auto"/>
        <w:rPr>
          <w:rFonts w:ascii="宋体" w:hAnsi="宋体" w:cs="宋体"/>
          <w:spacing w:val="0"/>
          <w:szCs w:val="21"/>
        </w:rPr>
      </w:pPr>
    </w:p>
    <w:p>
      <w:pPr>
        <w:spacing w:line="480" w:lineRule="auto"/>
        <w:rPr>
          <w:rFonts w:ascii="宋体" w:hAnsi="宋体" w:cs="宋体"/>
          <w:spacing w:val="0"/>
          <w:szCs w:val="21"/>
        </w:rPr>
      </w:pPr>
    </w:p>
    <w:p>
      <w:pPr>
        <w:spacing w:line="480" w:lineRule="auto"/>
        <w:rPr>
          <w:rFonts w:ascii="宋体" w:hAnsi="宋体" w:cs="宋体"/>
          <w:spacing w:val="0"/>
          <w:szCs w:val="21"/>
          <w:u w:val="single"/>
        </w:rPr>
      </w:pPr>
      <w:r>
        <w:rPr>
          <w:rFonts w:hint="eastAsia" w:ascii="宋体" w:hAnsi="宋体" w:cs="宋体"/>
          <w:spacing w:val="0"/>
          <w:szCs w:val="21"/>
        </w:rPr>
        <w:t>响应人名称：</w:t>
      </w:r>
      <w:r>
        <w:rPr>
          <w:rFonts w:hint="eastAsia" w:ascii="宋体" w:hAnsi="宋体" w:cs="宋体"/>
          <w:b/>
          <w:spacing w:val="0"/>
          <w:szCs w:val="21"/>
          <w:u w:val="single"/>
        </w:rPr>
        <w:t xml:space="preserve">                </w:t>
      </w:r>
      <w:r>
        <w:rPr>
          <w:rFonts w:hint="eastAsia" w:ascii="宋体" w:hAnsi="宋体" w:cs="宋体"/>
          <w:spacing w:val="0"/>
          <w:szCs w:val="21"/>
        </w:rPr>
        <w:t xml:space="preserve">（加盖公章）  </w:t>
      </w:r>
    </w:p>
    <w:p>
      <w:pPr>
        <w:spacing w:line="480" w:lineRule="auto"/>
        <w:rPr>
          <w:rFonts w:ascii="宋体" w:hAnsi="宋体" w:cs="宋体"/>
          <w:spacing w:val="0"/>
          <w:szCs w:val="21"/>
        </w:rPr>
      </w:pPr>
      <w:r>
        <w:rPr>
          <w:rFonts w:hint="eastAsia" w:ascii="宋体" w:hAnsi="宋体" w:cs="宋体"/>
          <w:spacing w:val="0"/>
          <w:szCs w:val="21"/>
        </w:rPr>
        <w:t>响应人代表：</w:t>
      </w:r>
      <w:r>
        <w:rPr>
          <w:rFonts w:hint="eastAsia" w:ascii="宋体" w:hAnsi="宋体" w:cs="宋体"/>
          <w:b/>
          <w:spacing w:val="0"/>
          <w:szCs w:val="21"/>
          <w:u w:val="single"/>
        </w:rPr>
        <w:t xml:space="preserve">           </w:t>
      </w:r>
      <w:r>
        <w:rPr>
          <w:rFonts w:hint="eastAsia" w:ascii="宋体" w:hAnsi="宋体" w:cs="宋体"/>
          <w:spacing w:val="0"/>
          <w:szCs w:val="21"/>
        </w:rPr>
        <w:t>（签字）</w:t>
      </w:r>
    </w:p>
    <w:p>
      <w:pPr>
        <w:spacing w:line="480" w:lineRule="auto"/>
        <w:rPr>
          <w:rFonts w:ascii="宋体" w:hAnsi="宋体" w:cs="宋体"/>
          <w:spacing w:val="0"/>
          <w:szCs w:val="21"/>
        </w:rPr>
      </w:pPr>
      <w:r>
        <w:rPr>
          <w:rFonts w:hint="eastAsia" w:ascii="宋体" w:hAnsi="宋体" w:cs="宋体"/>
          <w:spacing w:val="0"/>
          <w:szCs w:val="21"/>
        </w:rPr>
        <w:t>日期：</w:t>
      </w:r>
      <w:r>
        <w:rPr>
          <w:rFonts w:hint="eastAsia" w:ascii="宋体" w:hAnsi="宋体" w:cs="宋体"/>
          <w:spacing w:val="0"/>
          <w:szCs w:val="21"/>
          <w:u w:val="single"/>
        </w:rPr>
        <w:t xml:space="preserve">    </w:t>
      </w:r>
      <w:r>
        <w:rPr>
          <w:rFonts w:hint="eastAsia" w:ascii="宋体" w:hAnsi="宋体" w:cs="宋体"/>
          <w:spacing w:val="0"/>
          <w:szCs w:val="21"/>
        </w:rPr>
        <w:t>年</w:t>
      </w:r>
      <w:r>
        <w:rPr>
          <w:rFonts w:hint="eastAsia" w:ascii="宋体" w:hAnsi="宋体" w:cs="宋体"/>
          <w:spacing w:val="0"/>
          <w:szCs w:val="21"/>
          <w:u w:val="single"/>
        </w:rPr>
        <w:t xml:space="preserve">   </w:t>
      </w:r>
      <w:r>
        <w:rPr>
          <w:rFonts w:hint="eastAsia" w:ascii="宋体" w:hAnsi="宋体" w:cs="宋体"/>
          <w:spacing w:val="0"/>
          <w:szCs w:val="21"/>
        </w:rPr>
        <w:t>月</w:t>
      </w:r>
      <w:r>
        <w:rPr>
          <w:rFonts w:hint="eastAsia" w:ascii="宋体" w:hAnsi="宋体" w:cs="宋体"/>
          <w:spacing w:val="0"/>
          <w:szCs w:val="21"/>
          <w:u w:val="single"/>
        </w:rPr>
        <w:t xml:space="preserve">   </w:t>
      </w:r>
      <w:r>
        <w:rPr>
          <w:rFonts w:hint="eastAsia" w:ascii="宋体" w:hAnsi="宋体" w:cs="宋体"/>
          <w:spacing w:val="0"/>
          <w:szCs w:val="21"/>
        </w:rPr>
        <w:t>日</w:t>
      </w:r>
    </w:p>
    <w:p>
      <w:pPr>
        <w:rPr>
          <w:rFonts w:ascii="宋体" w:cs="宋体"/>
          <w:b/>
          <w:bCs/>
          <w:spacing w:val="0"/>
          <w:sz w:val="24"/>
          <w:szCs w:val="24"/>
        </w:rPr>
      </w:pPr>
      <w:r>
        <w:rPr>
          <w:rFonts w:hint="eastAsia" w:ascii="宋体" w:cs="宋体"/>
          <w:b/>
          <w:bCs/>
          <w:spacing w:val="0"/>
          <w:sz w:val="24"/>
          <w:szCs w:val="24"/>
        </w:rPr>
        <w:br w:type="page"/>
      </w:r>
    </w:p>
    <w:p>
      <w:pPr>
        <w:spacing w:line="360" w:lineRule="auto"/>
        <w:rPr>
          <w:rFonts w:hint="eastAsia" w:ascii="宋体" w:hAnsi="宋体" w:cs="宋体"/>
          <w:b/>
          <w:spacing w:val="0"/>
          <w:sz w:val="21"/>
          <w:szCs w:val="21"/>
        </w:rPr>
      </w:pPr>
      <w:r>
        <w:rPr>
          <w:rFonts w:hint="eastAsia" w:ascii="宋体" w:hAnsi="宋体" w:cs="宋体"/>
          <w:b/>
          <w:spacing w:val="0"/>
          <w:sz w:val="21"/>
          <w:szCs w:val="21"/>
        </w:rPr>
        <w:t>格式十、用户评价证明</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58" w:type="dxa"/>
          </w:tcPr>
          <w:p>
            <w:pPr>
              <w:autoSpaceDE w:val="0"/>
              <w:autoSpaceDN w:val="0"/>
              <w:adjustRightInd w:val="0"/>
              <w:spacing w:line="360" w:lineRule="auto"/>
              <w:jc w:val="center"/>
              <w:rPr>
                <w:rFonts w:hint="eastAsia" w:ascii="宋体" w:hAnsi="宋体"/>
                <w:b/>
                <w:spacing w:val="0"/>
                <w:szCs w:val="21"/>
              </w:rPr>
            </w:pPr>
          </w:p>
          <w:p>
            <w:pPr>
              <w:autoSpaceDE w:val="0"/>
              <w:autoSpaceDN w:val="0"/>
              <w:adjustRightInd w:val="0"/>
              <w:spacing w:line="360" w:lineRule="auto"/>
              <w:jc w:val="center"/>
              <w:rPr>
                <w:rFonts w:ascii="宋体" w:hAnsi="宋体"/>
                <w:b/>
                <w:spacing w:val="0"/>
                <w:szCs w:val="21"/>
              </w:rPr>
            </w:pPr>
            <w:r>
              <w:rPr>
                <w:rFonts w:hint="eastAsia" w:ascii="宋体" w:hAnsi="宋体"/>
                <w:b/>
                <w:spacing w:val="0"/>
                <w:szCs w:val="21"/>
              </w:rPr>
              <w:t>用户评价证明</w:t>
            </w:r>
          </w:p>
          <w:p>
            <w:pPr>
              <w:autoSpaceDE w:val="0"/>
              <w:autoSpaceDN w:val="0"/>
              <w:adjustRightInd w:val="0"/>
              <w:spacing w:line="360" w:lineRule="auto"/>
              <w:ind w:firstLine="420" w:firstLineChars="200"/>
              <w:jc w:val="left"/>
              <w:rPr>
                <w:rFonts w:ascii="宋体" w:hAnsi="宋体"/>
                <w:spacing w:val="0"/>
                <w:szCs w:val="21"/>
                <w:lang w:val="zh-CN"/>
              </w:rPr>
            </w:pPr>
          </w:p>
          <w:p>
            <w:pPr>
              <w:autoSpaceDE w:val="0"/>
              <w:autoSpaceDN w:val="0"/>
              <w:adjustRightInd w:val="0"/>
              <w:spacing w:line="360" w:lineRule="auto"/>
              <w:ind w:firstLine="420" w:firstLineChars="200"/>
              <w:jc w:val="left"/>
              <w:rPr>
                <w:rFonts w:hint="eastAsia" w:ascii="宋体" w:hAnsi="宋体"/>
                <w:spacing w:val="0"/>
                <w:szCs w:val="21"/>
                <w:u w:val="single"/>
                <w:lang w:val="zh-CN"/>
              </w:rPr>
            </w:pPr>
            <w:r>
              <w:rPr>
                <w:rFonts w:hint="eastAsia" w:ascii="宋体" w:hAnsi="宋体"/>
                <w:spacing w:val="0"/>
                <w:szCs w:val="21"/>
                <w:u w:val="single"/>
                <w:lang w:val="zh-CN"/>
              </w:rPr>
              <w:t xml:space="preserve">        （</w:t>
            </w:r>
            <w:r>
              <w:rPr>
                <w:rFonts w:hint="eastAsia" w:ascii="宋体" w:hAnsi="宋体"/>
                <w:spacing w:val="0"/>
                <w:szCs w:val="21"/>
                <w:u w:val="single"/>
              </w:rPr>
              <w:t>用户</w:t>
            </w:r>
            <w:r>
              <w:rPr>
                <w:rFonts w:hint="eastAsia" w:ascii="宋体" w:hAnsi="宋体"/>
                <w:spacing w:val="0"/>
                <w:szCs w:val="21"/>
                <w:u w:val="single"/>
                <w:lang w:val="zh-CN"/>
              </w:rPr>
              <w:t>名称）</w:t>
            </w:r>
            <w:r>
              <w:rPr>
                <w:rFonts w:hint="eastAsia" w:ascii="宋体" w:hAnsi="宋体"/>
                <w:spacing w:val="0"/>
                <w:szCs w:val="21"/>
              </w:rPr>
              <w:t>的</w:t>
            </w:r>
            <w:r>
              <w:rPr>
                <w:rFonts w:hint="eastAsia" w:ascii="宋体" w:hAnsi="宋体"/>
                <w:spacing w:val="0"/>
                <w:szCs w:val="21"/>
                <w:u w:val="single"/>
                <w:lang w:val="zh-CN"/>
              </w:rPr>
              <w:t xml:space="preserve">        （</w:t>
            </w:r>
            <w:r>
              <w:rPr>
                <w:rFonts w:hint="eastAsia" w:ascii="宋体" w:hAnsi="宋体"/>
                <w:spacing w:val="0"/>
                <w:szCs w:val="21"/>
                <w:u w:val="single"/>
              </w:rPr>
              <w:t>项目</w:t>
            </w:r>
            <w:r>
              <w:rPr>
                <w:rFonts w:hint="eastAsia" w:ascii="宋体" w:hAnsi="宋体"/>
                <w:spacing w:val="0"/>
                <w:szCs w:val="21"/>
                <w:u w:val="single"/>
                <w:lang w:val="zh-CN"/>
              </w:rPr>
              <w:t>名称）</w:t>
            </w:r>
            <w:r>
              <w:rPr>
                <w:rFonts w:hint="eastAsia" w:ascii="宋体" w:hAnsi="宋体"/>
                <w:spacing w:val="0"/>
                <w:szCs w:val="21"/>
              </w:rPr>
              <w:t>由</w:t>
            </w:r>
            <w:r>
              <w:rPr>
                <w:rFonts w:hint="eastAsia" w:ascii="宋体" w:hAnsi="宋体"/>
                <w:spacing w:val="0"/>
                <w:szCs w:val="21"/>
                <w:u w:val="single"/>
                <w:lang w:val="zh-CN"/>
              </w:rPr>
              <w:t xml:space="preserve">        （</w:t>
            </w:r>
            <w:r>
              <w:rPr>
                <w:rFonts w:hint="eastAsia" w:ascii="宋体" w:hAnsi="宋体"/>
                <w:spacing w:val="0"/>
                <w:szCs w:val="21"/>
                <w:u w:val="single"/>
              </w:rPr>
              <w:t>响应人</w:t>
            </w:r>
            <w:r>
              <w:rPr>
                <w:rFonts w:hint="eastAsia" w:ascii="宋体" w:hAnsi="宋体"/>
                <w:spacing w:val="0"/>
                <w:szCs w:val="21"/>
                <w:u w:val="single"/>
                <w:lang w:val="zh-CN"/>
              </w:rPr>
              <w:t>名称）</w:t>
            </w:r>
            <w:r>
              <w:rPr>
                <w:rFonts w:hint="eastAsia" w:ascii="宋体" w:hAnsi="宋体"/>
                <w:spacing w:val="0"/>
                <w:szCs w:val="21"/>
              </w:rPr>
              <w:t>提供</w:t>
            </w:r>
            <w:r>
              <w:rPr>
                <w:rFonts w:hint="eastAsia" w:ascii="宋体" w:hAnsi="宋体"/>
                <w:spacing w:val="0"/>
                <w:szCs w:val="21"/>
                <w:u w:val="single"/>
                <w:lang w:val="zh-CN"/>
              </w:rPr>
              <w:t xml:space="preserve">        （</w:t>
            </w:r>
            <w:r>
              <w:rPr>
                <w:rFonts w:hint="eastAsia" w:ascii="宋体" w:hAnsi="宋体"/>
                <w:spacing w:val="0"/>
                <w:szCs w:val="21"/>
                <w:u w:val="single"/>
              </w:rPr>
              <w:t>设备</w:t>
            </w:r>
            <w:r>
              <w:rPr>
                <w:rFonts w:hint="eastAsia" w:ascii="宋体" w:hAnsi="宋体"/>
                <w:spacing w:val="0"/>
                <w:szCs w:val="21"/>
                <w:u w:val="single"/>
                <w:lang w:val="zh-CN"/>
              </w:rPr>
              <w:t>名称）</w:t>
            </w:r>
            <w:r>
              <w:rPr>
                <w:rFonts w:hint="eastAsia" w:ascii="宋体" w:hAnsi="宋体"/>
                <w:spacing w:val="0"/>
                <w:szCs w:val="21"/>
                <w:lang w:val="zh-CN"/>
              </w:rPr>
              <w:t>，兹证明：</w:t>
            </w:r>
          </w:p>
          <w:p>
            <w:pPr>
              <w:autoSpaceDE w:val="0"/>
              <w:autoSpaceDN w:val="0"/>
              <w:adjustRightInd w:val="0"/>
              <w:spacing w:line="360" w:lineRule="auto"/>
              <w:ind w:firstLine="420" w:firstLineChars="200"/>
              <w:jc w:val="left"/>
              <w:rPr>
                <w:rFonts w:ascii="宋体" w:hAnsi="宋体"/>
                <w:spacing w:val="0"/>
                <w:szCs w:val="21"/>
              </w:rPr>
            </w:pPr>
            <w:r>
              <w:rPr>
                <w:rFonts w:hint="eastAsia" w:ascii="宋体" w:hAnsi="宋体"/>
                <w:spacing w:val="0"/>
                <w:szCs w:val="21"/>
              </w:rPr>
              <w:t>设备</w:t>
            </w:r>
            <w:r>
              <w:rPr>
                <w:rFonts w:hint="eastAsia" w:ascii="宋体" w:hAnsi="宋体"/>
                <w:spacing w:val="0"/>
                <w:szCs w:val="21"/>
                <w:lang w:val="zh-CN"/>
              </w:rPr>
              <w:t>拨通率：</w:t>
            </w:r>
            <w:r>
              <w:rPr>
                <w:rFonts w:hint="eastAsia" w:ascii="宋体" w:hAnsi="宋体"/>
                <w:spacing w:val="0"/>
                <w:szCs w:val="21"/>
                <w:u w:val="single"/>
                <w:lang w:val="zh-CN"/>
              </w:rPr>
              <w:t xml:space="preserve">       </w:t>
            </w:r>
            <w:r>
              <w:rPr>
                <w:rFonts w:hint="eastAsia" w:ascii="宋体" w:hAnsi="宋体"/>
                <w:spacing w:val="0"/>
                <w:szCs w:val="21"/>
                <w:u w:val="single"/>
              </w:rPr>
              <w:t xml:space="preserve">%  </w:t>
            </w:r>
          </w:p>
          <w:p>
            <w:pPr>
              <w:autoSpaceDE w:val="0"/>
              <w:autoSpaceDN w:val="0"/>
              <w:adjustRightInd w:val="0"/>
              <w:spacing w:line="360" w:lineRule="auto"/>
              <w:ind w:firstLine="420" w:firstLineChars="200"/>
              <w:jc w:val="left"/>
              <w:rPr>
                <w:rFonts w:ascii="宋体" w:hAnsi="宋体"/>
                <w:spacing w:val="0"/>
                <w:szCs w:val="21"/>
              </w:rPr>
            </w:pPr>
            <w:r>
              <w:rPr>
                <w:rFonts w:hint="eastAsia" w:ascii="宋体" w:hAnsi="宋体"/>
                <w:spacing w:val="0"/>
                <w:szCs w:val="21"/>
                <w:lang w:val="zh-CN"/>
              </w:rPr>
              <w:t>评价：良好</w:t>
            </w:r>
          </w:p>
          <w:p>
            <w:pPr>
              <w:autoSpaceDE w:val="0"/>
              <w:autoSpaceDN w:val="0"/>
              <w:adjustRightInd w:val="0"/>
              <w:spacing w:line="360" w:lineRule="auto"/>
              <w:ind w:firstLine="420" w:firstLineChars="200"/>
              <w:jc w:val="left"/>
              <w:rPr>
                <w:rFonts w:ascii="宋体" w:hAnsi="宋体"/>
                <w:spacing w:val="0"/>
                <w:szCs w:val="21"/>
                <w:lang w:val="zh-CN"/>
              </w:rPr>
            </w:pPr>
            <w:r>
              <w:rPr>
                <w:rFonts w:hint="eastAsia" w:ascii="宋体" w:hAnsi="宋体"/>
                <w:spacing w:val="0"/>
                <w:szCs w:val="21"/>
                <w:lang w:val="zh-CN"/>
              </w:rPr>
              <w:t>特此证明。</w:t>
            </w:r>
          </w:p>
          <w:p>
            <w:pPr>
              <w:autoSpaceDE w:val="0"/>
              <w:autoSpaceDN w:val="0"/>
              <w:adjustRightInd w:val="0"/>
              <w:spacing w:line="360" w:lineRule="auto"/>
              <w:jc w:val="center"/>
              <w:rPr>
                <w:rFonts w:ascii="宋体" w:hAnsi="宋体"/>
                <w:b/>
                <w:spacing w:val="0"/>
                <w:szCs w:val="21"/>
              </w:rPr>
            </w:pPr>
          </w:p>
          <w:p>
            <w:pPr>
              <w:autoSpaceDE w:val="0"/>
              <w:autoSpaceDN w:val="0"/>
              <w:adjustRightInd w:val="0"/>
              <w:spacing w:line="360" w:lineRule="auto"/>
              <w:jc w:val="right"/>
              <w:rPr>
                <w:rFonts w:ascii="宋体" w:hAnsi="宋体"/>
                <w:spacing w:val="0"/>
                <w:szCs w:val="21"/>
                <w:lang w:val="zh-CN"/>
              </w:rPr>
            </w:pPr>
            <w:r>
              <w:rPr>
                <w:rFonts w:hint="eastAsia" w:ascii="宋体" w:hAnsi="宋体"/>
                <w:spacing w:val="0"/>
                <w:szCs w:val="21"/>
                <w:lang w:val="zh-CN"/>
              </w:rPr>
              <w:t>用户名称（盖章）</w:t>
            </w:r>
          </w:p>
          <w:p>
            <w:pPr>
              <w:autoSpaceDE w:val="0"/>
              <w:autoSpaceDN w:val="0"/>
              <w:adjustRightInd w:val="0"/>
              <w:spacing w:line="360" w:lineRule="auto"/>
              <w:jc w:val="right"/>
              <w:rPr>
                <w:rFonts w:ascii="宋体" w:hAnsi="宋体"/>
                <w:spacing w:val="0"/>
                <w:szCs w:val="21"/>
                <w:lang w:val="zh-CN"/>
              </w:rPr>
            </w:pPr>
            <w:r>
              <w:rPr>
                <w:rFonts w:hint="eastAsia" w:ascii="宋体" w:hAnsi="宋体"/>
                <w:spacing w:val="0"/>
                <w:szCs w:val="21"/>
                <w:u w:val="single"/>
                <w:lang w:val="zh-CN"/>
              </w:rPr>
              <w:t xml:space="preserve">  </w:t>
            </w:r>
            <w:r>
              <w:rPr>
                <w:rFonts w:hint="eastAsia" w:ascii="宋体" w:hAnsi="宋体"/>
                <w:spacing w:val="0"/>
                <w:szCs w:val="21"/>
                <w:u w:val="single"/>
              </w:rPr>
              <w:t xml:space="preserve">      </w:t>
            </w:r>
            <w:r>
              <w:rPr>
                <w:rFonts w:hint="eastAsia" w:ascii="宋体" w:hAnsi="宋体"/>
                <w:spacing w:val="0"/>
                <w:szCs w:val="21"/>
                <w:lang w:val="zh-CN"/>
              </w:rPr>
              <w:t>年</w:t>
            </w:r>
            <w:r>
              <w:rPr>
                <w:rFonts w:hint="eastAsia" w:ascii="宋体" w:hAnsi="宋体"/>
                <w:spacing w:val="0"/>
                <w:szCs w:val="21"/>
                <w:u w:val="single"/>
                <w:lang w:val="zh-CN"/>
              </w:rPr>
              <w:t xml:space="preserve">  </w:t>
            </w:r>
            <w:r>
              <w:rPr>
                <w:rFonts w:hint="eastAsia" w:ascii="宋体" w:hAnsi="宋体"/>
                <w:spacing w:val="0"/>
                <w:szCs w:val="21"/>
                <w:u w:val="single"/>
              </w:rPr>
              <w:t xml:space="preserve">  </w:t>
            </w:r>
            <w:r>
              <w:rPr>
                <w:rFonts w:hint="eastAsia" w:ascii="宋体" w:hAnsi="宋体"/>
                <w:spacing w:val="0"/>
                <w:szCs w:val="21"/>
                <w:lang w:val="zh-CN"/>
              </w:rPr>
              <w:t>月</w:t>
            </w:r>
            <w:r>
              <w:rPr>
                <w:rFonts w:hint="eastAsia" w:ascii="宋体" w:hAnsi="宋体"/>
                <w:spacing w:val="0"/>
                <w:szCs w:val="21"/>
                <w:u w:val="single"/>
                <w:lang w:val="zh-CN"/>
              </w:rPr>
              <w:t xml:space="preserve">  </w:t>
            </w:r>
            <w:r>
              <w:rPr>
                <w:rFonts w:hint="eastAsia" w:ascii="宋体" w:hAnsi="宋体"/>
                <w:spacing w:val="0"/>
                <w:szCs w:val="21"/>
                <w:u w:val="single"/>
              </w:rPr>
              <w:t xml:space="preserve">  </w:t>
            </w:r>
            <w:r>
              <w:rPr>
                <w:rFonts w:hint="eastAsia" w:ascii="宋体" w:hAnsi="宋体"/>
                <w:spacing w:val="0"/>
                <w:szCs w:val="21"/>
                <w:lang w:val="zh-CN"/>
              </w:rPr>
              <w:t>日</w:t>
            </w:r>
          </w:p>
          <w:p>
            <w:pPr>
              <w:spacing w:line="360" w:lineRule="auto"/>
              <w:rPr>
                <w:rFonts w:hint="eastAsia" w:ascii="宋体" w:hAnsi="宋体" w:cs="??"/>
                <w:b/>
                <w:spacing w:val="0"/>
                <w:szCs w:val="21"/>
              </w:rPr>
            </w:pPr>
          </w:p>
        </w:tc>
      </w:tr>
    </w:tbl>
    <w:p>
      <w:pPr>
        <w:outlineLvl w:val="9"/>
        <w:rPr>
          <w:spacing w:val="0"/>
        </w:rPr>
      </w:pPr>
      <w:r>
        <w:rPr>
          <w:spacing w:val="0"/>
        </w:rPr>
        <w:br w:type="page"/>
      </w:r>
    </w:p>
    <w:p>
      <w:pPr>
        <w:spacing w:line="360" w:lineRule="auto"/>
        <w:rPr>
          <w:rFonts w:hint="eastAsia" w:ascii="宋体" w:hAnsi="宋体" w:cs="宋体"/>
          <w:b/>
          <w:spacing w:val="0"/>
          <w:sz w:val="21"/>
          <w:szCs w:val="21"/>
        </w:rPr>
      </w:pPr>
      <w:r>
        <w:rPr>
          <w:rFonts w:hint="eastAsia" w:ascii="宋体" w:hAnsi="宋体" w:cs="宋体"/>
          <w:b/>
          <w:spacing w:val="0"/>
          <w:sz w:val="21"/>
          <w:szCs w:val="21"/>
        </w:rPr>
        <w:t>格式十一、人员配备</w:t>
      </w:r>
    </w:p>
    <w:tbl>
      <w:tblPr>
        <w:tblStyle w:val="26"/>
        <w:tblW w:w="0" w:type="auto"/>
        <w:jc w:val="center"/>
        <w:tblLayout w:type="fixed"/>
        <w:tblCellMar>
          <w:top w:w="57" w:type="dxa"/>
          <w:left w:w="57" w:type="dxa"/>
          <w:bottom w:w="57" w:type="dxa"/>
          <w:right w:w="57" w:type="dxa"/>
        </w:tblCellMar>
      </w:tblPr>
      <w:tblGrid>
        <w:gridCol w:w="589"/>
        <w:gridCol w:w="1303"/>
        <w:gridCol w:w="709"/>
        <w:gridCol w:w="850"/>
        <w:gridCol w:w="851"/>
        <w:gridCol w:w="992"/>
        <w:gridCol w:w="1134"/>
        <w:gridCol w:w="851"/>
        <w:gridCol w:w="1275"/>
        <w:gridCol w:w="1418"/>
      </w:tblGrid>
      <w:tr>
        <w:tblPrEx>
          <w:tblCellMar>
            <w:top w:w="57" w:type="dxa"/>
            <w:left w:w="57" w:type="dxa"/>
            <w:bottom w:w="57" w:type="dxa"/>
            <w:right w:w="57" w:type="dxa"/>
          </w:tblCellMar>
        </w:tblPrEx>
        <w:trPr>
          <w:cantSplit/>
          <w:trHeight w:val="567" w:hRule="atLeast"/>
          <w:jc w:val="center"/>
        </w:trPr>
        <w:tc>
          <w:tcPr>
            <w:tcW w:w="589" w:type="dxa"/>
            <w:tcBorders>
              <w:top w:val="single" w:color="auto" w:sz="6" w:space="0"/>
              <w:left w:val="single" w:color="auto" w:sz="6" w:space="0"/>
              <w:bottom w:val="single" w:color="auto" w:sz="6"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r>
              <w:rPr>
                <w:rFonts w:hint="eastAsia" w:ascii="宋体" w:hAnsi="宋体" w:eastAsia="宋体" w:cs="宋体"/>
                <w:spacing w:val="0"/>
                <w:sz w:val="21"/>
                <w:szCs w:val="21"/>
              </w:rPr>
              <w:t>序号</w:t>
            </w:r>
          </w:p>
        </w:tc>
        <w:tc>
          <w:tcPr>
            <w:tcW w:w="1303" w:type="dxa"/>
            <w:tcBorders>
              <w:top w:val="single" w:color="auto" w:sz="6" w:space="0"/>
              <w:left w:val="single" w:color="auto" w:sz="6" w:space="0"/>
              <w:bottom w:val="single" w:color="auto" w:sz="6"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r>
              <w:rPr>
                <w:rFonts w:hint="eastAsia" w:ascii="宋体" w:hAnsi="宋体" w:eastAsia="宋体" w:cs="宋体"/>
                <w:spacing w:val="0"/>
                <w:sz w:val="21"/>
                <w:szCs w:val="21"/>
              </w:rPr>
              <w:t>姓名</w:t>
            </w: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r>
              <w:rPr>
                <w:rFonts w:hint="eastAsia" w:ascii="宋体" w:hAnsi="宋体" w:eastAsia="宋体" w:cs="宋体"/>
                <w:spacing w:val="0"/>
                <w:sz w:val="21"/>
                <w:szCs w:val="21"/>
              </w:rPr>
              <w:t>性别</w:t>
            </w: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r>
              <w:rPr>
                <w:rFonts w:hint="eastAsia" w:ascii="宋体" w:hAnsi="宋体" w:eastAsia="宋体" w:cs="宋体"/>
                <w:spacing w:val="0"/>
                <w:sz w:val="21"/>
                <w:szCs w:val="21"/>
              </w:rPr>
              <w:t>年龄</w:t>
            </w:r>
          </w:p>
        </w:tc>
        <w:tc>
          <w:tcPr>
            <w:tcW w:w="851" w:type="dxa"/>
            <w:tcBorders>
              <w:top w:val="single" w:color="auto" w:sz="6" w:space="0"/>
              <w:left w:val="single" w:color="auto" w:sz="6" w:space="0"/>
              <w:bottom w:val="single" w:color="auto" w:sz="6"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r>
              <w:rPr>
                <w:rFonts w:hint="eastAsia" w:ascii="宋体" w:hAnsi="宋体" w:eastAsia="宋体" w:cs="宋体"/>
                <w:spacing w:val="0"/>
                <w:sz w:val="21"/>
                <w:szCs w:val="21"/>
              </w:rPr>
              <w:t>学历</w:t>
            </w:r>
          </w:p>
        </w:tc>
        <w:tc>
          <w:tcPr>
            <w:tcW w:w="992" w:type="dxa"/>
            <w:tcBorders>
              <w:top w:val="single" w:color="auto" w:sz="6" w:space="0"/>
              <w:left w:val="single" w:color="auto" w:sz="6" w:space="0"/>
              <w:bottom w:val="single" w:color="auto" w:sz="6"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r>
              <w:rPr>
                <w:rFonts w:hint="eastAsia" w:ascii="宋体" w:hAnsi="宋体" w:eastAsia="宋体" w:cs="宋体"/>
                <w:spacing w:val="0"/>
                <w:sz w:val="21"/>
                <w:szCs w:val="21"/>
              </w:rPr>
              <w:t>专业技术资格</w:t>
            </w:r>
          </w:p>
        </w:tc>
        <w:tc>
          <w:tcPr>
            <w:tcW w:w="1134" w:type="dxa"/>
            <w:tcBorders>
              <w:top w:val="single" w:color="auto" w:sz="6" w:space="0"/>
              <w:left w:val="single" w:color="auto" w:sz="6" w:space="0"/>
              <w:bottom w:val="single" w:color="auto" w:sz="6" w:space="0"/>
              <w:right w:val="single" w:color="auto" w:sz="4" w:space="0"/>
            </w:tcBorders>
            <w:noWrap w:val="0"/>
            <w:vAlign w:val="center"/>
          </w:tcPr>
          <w:p>
            <w:pPr>
              <w:spacing w:line="240" w:lineRule="auto"/>
              <w:jc w:val="center"/>
              <w:rPr>
                <w:rFonts w:hint="eastAsia" w:ascii="宋体" w:hAnsi="宋体" w:eastAsia="宋体" w:cs="宋体"/>
                <w:spacing w:val="0"/>
                <w:sz w:val="21"/>
                <w:szCs w:val="21"/>
              </w:rPr>
            </w:pPr>
            <w:r>
              <w:rPr>
                <w:rFonts w:hint="eastAsia" w:ascii="宋体" w:hAnsi="宋体" w:eastAsia="宋体" w:cs="宋体"/>
                <w:spacing w:val="0"/>
                <w:sz w:val="21"/>
                <w:szCs w:val="21"/>
              </w:rPr>
              <w:t>证书编号</w:t>
            </w:r>
          </w:p>
        </w:tc>
        <w:tc>
          <w:tcPr>
            <w:tcW w:w="851" w:type="dxa"/>
            <w:tcBorders>
              <w:top w:val="single" w:color="auto" w:sz="6" w:space="0"/>
              <w:left w:val="single" w:color="auto" w:sz="4" w:space="0"/>
              <w:bottom w:val="single" w:color="auto" w:sz="6"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r>
              <w:rPr>
                <w:rFonts w:hint="eastAsia" w:ascii="宋体" w:hAnsi="宋体" w:eastAsia="宋体" w:cs="宋体"/>
                <w:spacing w:val="0"/>
                <w:sz w:val="21"/>
                <w:szCs w:val="21"/>
              </w:rPr>
              <w:t>职称</w:t>
            </w:r>
          </w:p>
        </w:tc>
        <w:tc>
          <w:tcPr>
            <w:tcW w:w="1275" w:type="dxa"/>
            <w:tcBorders>
              <w:top w:val="single" w:color="auto" w:sz="6" w:space="0"/>
              <w:left w:val="single" w:color="auto" w:sz="6" w:space="0"/>
              <w:bottom w:val="single" w:color="auto" w:sz="6"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r>
              <w:rPr>
                <w:rFonts w:hint="eastAsia" w:ascii="宋体" w:hAnsi="宋体" w:eastAsia="宋体" w:cs="宋体"/>
                <w:spacing w:val="0"/>
                <w:sz w:val="21"/>
                <w:szCs w:val="21"/>
              </w:rPr>
              <w:t>拟任本项目职务</w:t>
            </w:r>
          </w:p>
        </w:tc>
        <w:tc>
          <w:tcPr>
            <w:tcW w:w="1418" w:type="dxa"/>
            <w:tcBorders>
              <w:top w:val="single" w:color="auto" w:sz="6" w:space="0"/>
              <w:left w:val="single" w:color="auto" w:sz="6" w:space="0"/>
              <w:bottom w:val="single" w:color="auto" w:sz="6"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r>
              <w:rPr>
                <w:rFonts w:hint="eastAsia" w:ascii="宋体" w:hAnsi="宋体" w:eastAsia="宋体" w:cs="宋体"/>
                <w:spacing w:val="0"/>
                <w:sz w:val="21"/>
                <w:szCs w:val="21"/>
              </w:rPr>
              <w:t>类似项目工作经验</w:t>
            </w:r>
          </w:p>
        </w:tc>
      </w:tr>
      <w:tr>
        <w:tblPrEx>
          <w:tblCellMar>
            <w:top w:w="57" w:type="dxa"/>
            <w:left w:w="57" w:type="dxa"/>
            <w:bottom w:w="57" w:type="dxa"/>
            <w:right w:w="57" w:type="dxa"/>
          </w:tblCellMar>
        </w:tblPrEx>
        <w:trPr>
          <w:cantSplit/>
          <w:trHeight w:val="567" w:hRule="atLeast"/>
          <w:jc w:val="center"/>
        </w:trPr>
        <w:tc>
          <w:tcPr>
            <w:tcW w:w="589"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303"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709"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850"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851"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992"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134" w:type="dxa"/>
            <w:tcBorders>
              <w:top w:val="single" w:color="auto" w:sz="6" w:space="0"/>
              <w:left w:val="single" w:color="auto" w:sz="6"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pacing w:val="0"/>
                <w:sz w:val="21"/>
                <w:szCs w:val="21"/>
              </w:rPr>
            </w:pPr>
          </w:p>
        </w:tc>
        <w:tc>
          <w:tcPr>
            <w:tcW w:w="851" w:type="dxa"/>
            <w:tcBorders>
              <w:top w:val="single" w:color="auto" w:sz="6" w:space="0"/>
              <w:left w:val="single" w:color="auto" w:sz="4"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275"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lang w:eastAsia="zh-CN"/>
              </w:rPr>
            </w:pPr>
          </w:p>
        </w:tc>
        <w:tc>
          <w:tcPr>
            <w:tcW w:w="1418"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r>
      <w:tr>
        <w:tblPrEx>
          <w:tblCellMar>
            <w:top w:w="57" w:type="dxa"/>
            <w:left w:w="57" w:type="dxa"/>
            <w:bottom w:w="57" w:type="dxa"/>
            <w:right w:w="57" w:type="dxa"/>
          </w:tblCellMar>
        </w:tblPrEx>
        <w:trPr>
          <w:cantSplit/>
          <w:trHeight w:val="567" w:hRule="atLeast"/>
          <w:jc w:val="center"/>
        </w:trPr>
        <w:tc>
          <w:tcPr>
            <w:tcW w:w="589"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303"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709"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850"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851"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992"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134" w:type="dxa"/>
            <w:tcBorders>
              <w:top w:val="single" w:color="auto" w:sz="6" w:space="0"/>
              <w:left w:val="single" w:color="auto" w:sz="6"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pacing w:val="0"/>
                <w:sz w:val="21"/>
                <w:szCs w:val="21"/>
              </w:rPr>
            </w:pPr>
          </w:p>
        </w:tc>
        <w:tc>
          <w:tcPr>
            <w:tcW w:w="851" w:type="dxa"/>
            <w:tcBorders>
              <w:top w:val="single" w:color="auto" w:sz="6" w:space="0"/>
              <w:left w:val="single" w:color="auto" w:sz="4"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275"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418"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r>
      <w:tr>
        <w:tblPrEx>
          <w:tblCellMar>
            <w:top w:w="57" w:type="dxa"/>
            <w:left w:w="57" w:type="dxa"/>
            <w:bottom w:w="57" w:type="dxa"/>
            <w:right w:w="57" w:type="dxa"/>
          </w:tblCellMar>
        </w:tblPrEx>
        <w:trPr>
          <w:cantSplit/>
          <w:trHeight w:val="567" w:hRule="atLeast"/>
          <w:jc w:val="center"/>
        </w:trPr>
        <w:tc>
          <w:tcPr>
            <w:tcW w:w="589"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303"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709"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850"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851"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992"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134" w:type="dxa"/>
            <w:tcBorders>
              <w:top w:val="single" w:color="auto" w:sz="6" w:space="0"/>
              <w:left w:val="single" w:color="auto" w:sz="6"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pacing w:val="0"/>
                <w:sz w:val="21"/>
                <w:szCs w:val="21"/>
              </w:rPr>
            </w:pPr>
          </w:p>
        </w:tc>
        <w:tc>
          <w:tcPr>
            <w:tcW w:w="851" w:type="dxa"/>
            <w:tcBorders>
              <w:top w:val="single" w:color="auto" w:sz="6" w:space="0"/>
              <w:left w:val="single" w:color="auto" w:sz="4"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275"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418"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r>
      <w:tr>
        <w:tblPrEx>
          <w:tblCellMar>
            <w:top w:w="57" w:type="dxa"/>
            <w:left w:w="57" w:type="dxa"/>
            <w:bottom w:w="57" w:type="dxa"/>
            <w:right w:w="57" w:type="dxa"/>
          </w:tblCellMar>
        </w:tblPrEx>
        <w:trPr>
          <w:cantSplit/>
          <w:trHeight w:val="567" w:hRule="atLeast"/>
          <w:jc w:val="center"/>
        </w:trPr>
        <w:tc>
          <w:tcPr>
            <w:tcW w:w="589"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303"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709"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850"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851"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992"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134" w:type="dxa"/>
            <w:tcBorders>
              <w:top w:val="single" w:color="auto" w:sz="6" w:space="0"/>
              <w:left w:val="single" w:color="auto" w:sz="6"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pacing w:val="0"/>
                <w:sz w:val="21"/>
                <w:szCs w:val="21"/>
              </w:rPr>
            </w:pPr>
          </w:p>
        </w:tc>
        <w:tc>
          <w:tcPr>
            <w:tcW w:w="851" w:type="dxa"/>
            <w:tcBorders>
              <w:top w:val="single" w:color="auto" w:sz="6" w:space="0"/>
              <w:left w:val="single" w:color="auto" w:sz="4"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275"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418" w:type="dxa"/>
            <w:tcBorders>
              <w:top w:val="single" w:color="auto" w:sz="6"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r>
      <w:tr>
        <w:tblPrEx>
          <w:tblCellMar>
            <w:top w:w="57" w:type="dxa"/>
            <w:left w:w="57" w:type="dxa"/>
            <w:bottom w:w="57" w:type="dxa"/>
            <w:right w:w="57" w:type="dxa"/>
          </w:tblCellMar>
        </w:tblPrEx>
        <w:trPr>
          <w:cantSplit/>
          <w:trHeight w:val="567" w:hRule="atLeast"/>
          <w:jc w:val="center"/>
        </w:trPr>
        <w:tc>
          <w:tcPr>
            <w:tcW w:w="589" w:type="dxa"/>
            <w:tcBorders>
              <w:top w:val="single" w:color="auto" w:sz="4"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303" w:type="dxa"/>
            <w:tcBorders>
              <w:top w:val="single" w:color="auto" w:sz="4"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709" w:type="dxa"/>
            <w:tcBorders>
              <w:top w:val="single" w:color="auto" w:sz="4"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851" w:type="dxa"/>
            <w:tcBorders>
              <w:top w:val="single" w:color="auto" w:sz="4"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992" w:type="dxa"/>
            <w:tcBorders>
              <w:top w:val="single" w:color="auto" w:sz="4"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134" w:type="dxa"/>
            <w:tcBorders>
              <w:top w:val="single" w:color="auto" w:sz="4" w:space="0"/>
              <w:left w:val="single" w:color="auto" w:sz="6"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pacing w:val="0"/>
                <w:sz w:val="21"/>
                <w:szCs w:val="21"/>
              </w:rPr>
            </w:pPr>
          </w:p>
        </w:tc>
        <w:tc>
          <w:tcPr>
            <w:tcW w:w="851" w:type="dxa"/>
            <w:tcBorders>
              <w:top w:val="single" w:color="auto" w:sz="4" w:space="0"/>
              <w:left w:val="single" w:color="auto" w:sz="4"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275" w:type="dxa"/>
            <w:tcBorders>
              <w:top w:val="single" w:color="auto" w:sz="4"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r>
      <w:tr>
        <w:tblPrEx>
          <w:tblCellMar>
            <w:top w:w="57" w:type="dxa"/>
            <w:left w:w="57" w:type="dxa"/>
            <w:bottom w:w="57" w:type="dxa"/>
            <w:right w:w="57" w:type="dxa"/>
          </w:tblCellMar>
        </w:tblPrEx>
        <w:trPr>
          <w:cantSplit/>
          <w:trHeight w:val="567" w:hRule="atLeast"/>
          <w:jc w:val="center"/>
        </w:trPr>
        <w:tc>
          <w:tcPr>
            <w:tcW w:w="589" w:type="dxa"/>
            <w:tcBorders>
              <w:top w:val="single" w:color="auto" w:sz="4"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303" w:type="dxa"/>
            <w:tcBorders>
              <w:top w:val="single" w:color="auto" w:sz="4"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709" w:type="dxa"/>
            <w:tcBorders>
              <w:top w:val="single" w:color="auto" w:sz="4"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850" w:type="dxa"/>
            <w:tcBorders>
              <w:top w:val="single" w:color="auto" w:sz="4"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851" w:type="dxa"/>
            <w:tcBorders>
              <w:top w:val="single" w:color="auto" w:sz="4"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992" w:type="dxa"/>
            <w:tcBorders>
              <w:top w:val="single" w:color="auto" w:sz="4"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134" w:type="dxa"/>
            <w:tcBorders>
              <w:top w:val="single" w:color="auto" w:sz="4" w:space="0"/>
              <w:left w:val="single" w:color="auto" w:sz="6"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pacing w:val="0"/>
                <w:sz w:val="21"/>
                <w:szCs w:val="21"/>
              </w:rPr>
            </w:pPr>
          </w:p>
        </w:tc>
        <w:tc>
          <w:tcPr>
            <w:tcW w:w="851" w:type="dxa"/>
            <w:tcBorders>
              <w:top w:val="single" w:color="auto" w:sz="4" w:space="0"/>
              <w:left w:val="single" w:color="auto" w:sz="4"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275" w:type="dxa"/>
            <w:tcBorders>
              <w:top w:val="single" w:color="auto" w:sz="4"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418" w:type="dxa"/>
            <w:tcBorders>
              <w:top w:val="single" w:color="auto" w:sz="4" w:space="0"/>
              <w:left w:val="single" w:color="auto" w:sz="6" w:space="0"/>
              <w:bottom w:val="single" w:color="auto" w:sz="4"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r>
      <w:tr>
        <w:tblPrEx>
          <w:tblCellMar>
            <w:top w:w="57" w:type="dxa"/>
            <w:left w:w="57" w:type="dxa"/>
            <w:bottom w:w="57" w:type="dxa"/>
            <w:right w:w="57" w:type="dxa"/>
          </w:tblCellMar>
        </w:tblPrEx>
        <w:trPr>
          <w:cantSplit/>
          <w:trHeight w:val="567" w:hRule="atLeast"/>
          <w:jc w:val="center"/>
        </w:trPr>
        <w:tc>
          <w:tcPr>
            <w:tcW w:w="589" w:type="dxa"/>
            <w:tcBorders>
              <w:top w:val="single" w:color="auto" w:sz="4" w:space="0"/>
              <w:left w:val="single" w:color="auto" w:sz="6" w:space="0"/>
              <w:bottom w:val="single" w:color="auto" w:sz="6"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303" w:type="dxa"/>
            <w:tcBorders>
              <w:top w:val="single" w:color="auto" w:sz="4" w:space="0"/>
              <w:left w:val="single" w:color="auto" w:sz="6" w:space="0"/>
              <w:bottom w:val="single" w:color="auto" w:sz="6"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709" w:type="dxa"/>
            <w:tcBorders>
              <w:top w:val="single" w:color="auto" w:sz="4" w:space="0"/>
              <w:left w:val="single" w:color="auto" w:sz="6" w:space="0"/>
              <w:bottom w:val="single" w:color="auto" w:sz="6"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850" w:type="dxa"/>
            <w:tcBorders>
              <w:top w:val="single" w:color="auto" w:sz="4" w:space="0"/>
              <w:left w:val="single" w:color="auto" w:sz="6" w:space="0"/>
              <w:bottom w:val="single" w:color="auto" w:sz="6"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851" w:type="dxa"/>
            <w:tcBorders>
              <w:top w:val="single" w:color="auto" w:sz="4" w:space="0"/>
              <w:left w:val="single" w:color="auto" w:sz="6" w:space="0"/>
              <w:bottom w:val="single" w:color="auto" w:sz="6"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992" w:type="dxa"/>
            <w:tcBorders>
              <w:top w:val="single" w:color="auto" w:sz="4" w:space="0"/>
              <w:left w:val="single" w:color="auto" w:sz="6" w:space="0"/>
              <w:bottom w:val="single" w:color="auto" w:sz="6"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134" w:type="dxa"/>
            <w:tcBorders>
              <w:top w:val="single" w:color="auto" w:sz="4" w:space="0"/>
              <w:left w:val="single" w:color="auto" w:sz="6" w:space="0"/>
              <w:bottom w:val="single" w:color="auto" w:sz="6" w:space="0"/>
              <w:right w:val="single" w:color="auto" w:sz="4" w:space="0"/>
            </w:tcBorders>
            <w:noWrap w:val="0"/>
            <w:vAlign w:val="center"/>
          </w:tcPr>
          <w:p>
            <w:pPr>
              <w:spacing w:line="240" w:lineRule="auto"/>
              <w:jc w:val="center"/>
              <w:rPr>
                <w:rFonts w:hint="eastAsia" w:ascii="宋体" w:hAnsi="宋体" w:eastAsia="宋体" w:cs="宋体"/>
                <w:spacing w:val="0"/>
                <w:sz w:val="21"/>
                <w:szCs w:val="21"/>
              </w:rPr>
            </w:pPr>
          </w:p>
        </w:tc>
        <w:tc>
          <w:tcPr>
            <w:tcW w:w="851" w:type="dxa"/>
            <w:tcBorders>
              <w:top w:val="single" w:color="auto" w:sz="4" w:space="0"/>
              <w:left w:val="single" w:color="auto" w:sz="4" w:space="0"/>
              <w:bottom w:val="single" w:color="auto" w:sz="6"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275" w:type="dxa"/>
            <w:tcBorders>
              <w:top w:val="single" w:color="auto" w:sz="4" w:space="0"/>
              <w:left w:val="single" w:color="auto" w:sz="6" w:space="0"/>
              <w:bottom w:val="single" w:color="auto" w:sz="6"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c>
          <w:tcPr>
            <w:tcW w:w="1418" w:type="dxa"/>
            <w:tcBorders>
              <w:top w:val="single" w:color="auto" w:sz="4" w:space="0"/>
              <w:left w:val="single" w:color="auto" w:sz="6" w:space="0"/>
              <w:bottom w:val="single" w:color="auto" w:sz="6" w:space="0"/>
              <w:right w:val="single" w:color="auto" w:sz="6" w:space="0"/>
            </w:tcBorders>
            <w:noWrap w:val="0"/>
            <w:vAlign w:val="center"/>
          </w:tcPr>
          <w:p>
            <w:pPr>
              <w:spacing w:line="240" w:lineRule="auto"/>
              <w:jc w:val="center"/>
              <w:rPr>
                <w:rFonts w:hint="eastAsia" w:ascii="宋体" w:hAnsi="宋体" w:eastAsia="宋体" w:cs="宋体"/>
                <w:spacing w:val="0"/>
                <w:sz w:val="21"/>
                <w:szCs w:val="21"/>
              </w:rPr>
            </w:pPr>
          </w:p>
        </w:tc>
      </w:tr>
    </w:tbl>
    <w:p>
      <w:pPr>
        <w:spacing w:line="480" w:lineRule="auto"/>
        <w:rPr>
          <w:rFonts w:ascii="宋体" w:hAnsi="宋体" w:cs="宋体"/>
          <w:spacing w:val="0"/>
          <w:szCs w:val="21"/>
        </w:rPr>
      </w:pPr>
    </w:p>
    <w:p>
      <w:pPr>
        <w:spacing w:line="480" w:lineRule="auto"/>
        <w:rPr>
          <w:rFonts w:ascii="宋体" w:hAnsi="宋体" w:cs="宋体"/>
          <w:spacing w:val="0"/>
          <w:szCs w:val="21"/>
        </w:rPr>
      </w:pPr>
    </w:p>
    <w:p>
      <w:pPr>
        <w:spacing w:line="480" w:lineRule="auto"/>
        <w:rPr>
          <w:rFonts w:ascii="宋体" w:hAnsi="宋体" w:cs="宋体"/>
          <w:spacing w:val="0"/>
          <w:szCs w:val="21"/>
          <w:u w:val="single"/>
        </w:rPr>
      </w:pPr>
      <w:r>
        <w:rPr>
          <w:rFonts w:hint="eastAsia" w:ascii="宋体" w:hAnsi="宋体" w:cs="宋体"/>
          <w:spacing w:val="0"/>
          <w:szCs w:val="21"/>
        </w:rPr>
        <w:t>响应人名称：</w:t>
      </w:r>
      <w:r>
        <w:rPr>
          <w:rFonts w:hint="eastAsia" w:ascii="宋体" w:hAnsi="宋体" w:cs="宋体"/>
          <w:b/>
          <w:spacing w:val="0"/>
          <w:szCs w:val="21"/>
          <w:u w:val="single"/>
        </w:rPr>
        <w:t xml:space="preserve">                </w:t>
      </w:r>
      <w:r>
        <w:rPr>
          <w:rFonts w:hint="eastAsia" w:ascii="宋体" w:hAnsi="宋体" w:cs="宋体"/>
          <w:spacing w:val="0"/>
          <w:szCs w:val="21"/>
        </w:rPr>
        <w:t xml:space="preserve">（加盖公章）  </w:t>
      </w:r>
    </w:p>
    <w:p>
      <w:pPr>
        <w:spacing w:line="480" w:lineRule="auto"/>
        <w:rPr>
          <w:rFonts w:ascii="宋体" w:hAnsi="宋体" w:cs="宋体"/>
          <w:spacing w:val="0"/>
          <w:szCs w:val="21"/>
        </w:rPr>
      </w:pPr>
      <w:r>
        <w:rPr>
          <w:rFonts w:hint="eastAsia" w:ascii="宋体" w:hAnsi="宋体" w:cs="宋体"/>
          <w:spacing w:val="0"/>
          <w:szCs w:val="21"/>
        </w:rPr>
        <w:t>响应人代表：</w:t>
      </w:r>
      <w:r>
        <w:rPr>
          <w:rFonts w:hint="eastAsia" w:ascii="宋体" w:hAnsi="宋体" w:cs="宋体"/>
          <w:b/>
          <w:spacing w:val="0"/>
          <w:szCs w:val="21"/>
          <w:u w:val="single"/>
        </w:rPr>
        <w:t xml:space="preserve">           </w:t>
      </w:r>
      <w:r>
        <w:rPr>
          <w:rFonts w:hint="eastAsia" w:ascii="宋体" w:hAnsi="宋体" w:cs="宋体"/>
          <w:spacing w:val="0"/>
          <w:szCs w:val="21"/>
        </w:rPr>
        <w:t>（签字）</w:t>
      </w:r>
    </w:p>
    <w:p>
      <w:pPr>
        <w:spacing w:line="480" w:lineRule="auto"/>
        <w:rPr>
          <w:rFonts w:ascii="宋体" w:hAnsi="宋体" w:cs="宋体"/>
          <w:spacing w:val="0"/>
          <w:szCs w:val="21"/>
        </w:rPr>
      </w:pPr>
      <w:r>
        <w:rPr>
          <w:rFonts w:hint="eastAsia" w:ascii="宋体" w:hAnsi="宋体" w:cs="宋体"/>
          <w:spacing w:val="0"/>
          <w:szCs w:val="21"/>
        </w:rPr>
        <w:t>日期：</w:t>
      </w:r>
      <w:r>
        <w:rPr>
          <w:rFonts w:hint="eastAsia" w:ascii="宋体" w:hAnsi="宋体" w:cs="宋体"/>
          <w:spacing w:val="0"/>
          <w:szCs w:val="21"/>
          <w:u w:val="single"/>
        </w:rPr>
        <w:t xml:space="preserve">    </w:t>
      </w:r>
      <w:r>
        <w:rPr>
          <w:rFonts w:hint="eastAsia" w:ascii="宋体" w:hAnsi="宋体" w:cs="宋体"/>
          <w:spacing w:val="0"/>
          <w:szCs w:val="21"/>
        </w:rPr>
        <w:t>年</w:t>
      </w:r>
      <w:r>
        <w:rPr>
          <w:rFonts w:hint="eastAsia" w:ascii="宋体" w:hAnsi="宋体" w:cs="宋体"/>
          <w:spacing w:val="0"/>
          <w:szCs w:val="21"/>
          <w:u w:val="single"/>
        </w:rPr>
        <w:t xml:space="preserve">   </w:t>
      </w:r>
      <w:r>
        <w:rPr>
          <w:rFonts w:hint="eastAsia" w:ascii="宋体" w:hAnsi="宋体" w:cs="宋体"/>
          <w:spacing w:val="0"/>
          <w:szCs w:val="21"/>
        </w:rPr>
        <w:t>月</w:t>
      </w:r>
      <w:r>
        <w:rPr>
          <w:rFonts w:hint="eastAsia" w:ascii="宋体" w:hAnsi="宋体" w:cs="宋体"/>
          <w:spacing w:val="0"/>
          <w:szCs w:val="21"/>
          <w:u w:val="single"/>
        </w:rPr>
        <w:t xml:space="preserve">   </w:t>
      </w:r>
      <w:r>
        <w:rPr>
          <w:rFonts w:hint="eastAsia" w:ascii="宋体" w:hAnsi="宋体" w:cs="宋体"/>
          <w:spacing w:val="0"/>
          <w:szCs w:val="21"/>
        </w:rPr>
        <w:t>日</w:t>
      </w:r>
    </w:p>
    <w:p>
      <w:pPr>
        <w:rPr>
          <w:rFonts w:ascii="宋体" w:cs="宋体"/>
          <w:b/>
          <w:bCs/>
          <w:spacing w:val="0"/>
          <w:sz w:val="24"/>
          <w:szCs w:val="24"/>
        </w:rPr>
      </w:pPr>
      <w:r>
        <w:rPr>
          <w:rFonts w:hint="eastAsia" w:ascii="宋体" w:cs="宋体"/>
          <w:b/>
          <w:bCs/>
          <w:spacing w:val="0"/>
          <w:sz w:val="24"/>
          <w:szCs w:val="24"/>
        </w:rPr>
        <w:br w:type="page"/>
      </w:r>
    </w:p>
    <w:p>
      <w:pPr>
        <w:spacing w:line="360" w:lineRule="auto"/>
        <w:rPr>
          <w:rFonts w:hint="eastAsia" w:ascii="宋体" w:hAnsi="宋体" w:cs="宋体"/>
          <w:b/>
          <w:spacing w:val="0"/>
          <w:sz w:val="21"/>
          <w:szCs w:val="21"/>
        </w:rPr>
      </w:pPr>
      <w:r>
        <w:rPr>
          <w:rFonts w:hint="eastAsia" w:ascii="宋体" w:hAnsi="宋体" w:cs="宋体"/>
          <w:b/>
          <w:spacing w:val="0"/>
          <w:sz w:val="21"/>
          <w:szCs w:val="21"/>
        </w:rPr>
        <w:t>格式十二、船上用户自行支付部分的通话、短信等收费单价和优惠情况</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678"/>
        <w:gridCol w:w="2046"/>
        <w:gridCol w:w="1299"/>
        <w:gridCol w:w="2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vAlign w:val="center"/>
          </w:tcPr>
          <w:p>
            <w:pPr>
              <w:snapToGrid w:val="0"/>
              <w:jc w:val="center"/>
              <w:rPr>
                <w:rFonts w:hint="eastAsia" w:ascii="宋体" w:hAnsi="宋体" w:cs="宋体"/>
                <w:bCs/>
                <w:spacing w:val="0"/>
                <w:szCs w:val="21"/>
              </w:rPr>
            </w:pPr>
            <w:r>
              <w:rPr>
                <w:rFonts w:hint="eastAsia" w:ascii="宋体" w:hAnsi="宋体" w:cs="宋体"/>
                <w:bCs/>
                <w:spacing w:val="0"/>
                <w:szCs w:val="21"/>
              </w:rPr>
              <w:t>内容</w:t>
            </w:r>
          </w:p>
        </w:tc>
        <w:tc>
          <w:tcPr>
            <w:tcW w:w="1678" w:type="dxa"/>
            <w:vAlign w:val="center"/>
          </w:tcPr>
          <w:p>
            <w:pPr>
              <w:snapToGrid w:val="0"/>
              <w:jc w:val="center"/>
              <w:rPr>
                <w:rFonts w:hint="eastAsia" w:ascii="宋体" w:hAnsi="宋体" w:cs="宋体"/>
                <w:bCs/>
                <w:spacing w:val="0"/>
                <w:szCs w:val="21"/>
              </w:rPr>
            </w:pPr>
            <w:r>
              <w:rPr>
                <w:rFonts w:hint="eastAsia" w:ascii="宋体" w:hAnsi="宋体" w:cs="宋体"/>
                <w:bCs/>
                <w:spacing w:val="0"/>
                <w:szCs w:val="21"/>
              </w:rPr>
              <w:t>自行支付部分</w:t>
            </w:r>
          </w:p>
          <w:p>
            <w:pPr>
              <w:snapToGrid w:val="0"/>
              <w:jc w:val="center"/>
              <w:rPr>
                <w:rFonts w:hint="eastAsia" w:ascii="宋体" w:hAnsi="宋体" w:cs="宋体"/>
                <w:bCs/>
                <w:spacing w:val="0"/>
                <w:szCs w:val="21"/>
              </w:rPr>
            </w:pPr>
            <w:r>
              <w:rPr>
                <w:rFonts w:hint="eastAsia" w:ascii="宋体" w:hAnsi="宋体" w:cs="宋体"/>
                <w:bCs/>
                <w:spacing w:val="0"/>
                <w:szCs w:val="21"/>
              </w:rPr>
              <w:t>收费单价</w:t>
            </w:r>
          </w:p>
        </w:tc>
        <w:tc>
          <w:tcPr>
            <w:tcW w:w="2046" w:type="dxa"/>
            <w:vAlign w:val="center"/>
          </w:tcPr>
          <w:p>
            <w:pPr>
              <w:snapToGrid w:val="0"/>
              <w:jc w:val="center"/>
              <w:rPr>
                <w:rFonts w:hint="eastAsia" w:ascii="宋体" w:hAnsi="宋体" w:cs="宋体"/>
                <w:bCs/>
                <w:spacing w:val="0"/>
                <w:szCs w:val="21"/>
              </w:rPr>
            </w:pPr>
            <w:r>
              <w:rPr>
                <w:rFonts w:hint="eastAsia" w:ascii="宋体" w:hAnsi="宋体" w:cs="宋体"/>
                <w:bCs/>
                <w:spacing w:val="0"/>
                <w:szCs w:val="21"/>
              </w:rPr>
              <w:t>响应人市场公开</w:t>
            </w:r>
          </w:p>
          <w:p>
            <w:pPr>
              <w:snapToGrid w:val="0"/>
              <w:jc w:val="center"/>
              <w:rPr>
                <w:rFonts w:hint="eastAsia" w:ascii="宋体" w:hAnsi="宋体" w:cs="宋体"/>
                <w:bCs/>
                <w:spacing w:val="0"/>
                <w:szCs w:val="21"/>
              </w:rPr>
            </w:pPr>
            <w:r>
              <w:rPr>
                <w:rFonts w:hint="eastAsia" w:ascii="宋体" w:hAnsi="宋体" w:cs="宋体"/>
                <w:bCs/>
                <w:spacing w:val="0"/>
                <w:szCs w:val="21"/>
              </w:rPr>
              <w:t>收费标准</w:t>
            </w:r>
          </w:p>
        </w:tc>
        <w:tc>
          <w:tcPr>
            <w:tcW w:w="1299" w:type="dxa"/>
            <w:vAlign w:val="center"/>
          </w:tcPr>
          <w:p>
            <w:pPr>
              <w:snapToGrid w:val="0"/>
              <w:jc w:val="center"/>
              <w:rPr>
                <w:rFonts w:hint="eastAsia" w:ascii="宋体" w:hAnsi="宋体" w:cs="宋体"/>
                <w:bCs/>
                <w:spacing w:val="0"/>
                <w:szCs w:val="21"/>
              </w:rPr>
            </w:pPr>
            <w:r>
              <w:rPr>
                <w:rFonts w:hint="eastAsia" w:ascii="宋体" w:hAnsi="宋体" w:cs="宋体"/>
                <w:bCs/>
                <w:spacing w:val="0"/>
                <w:szCs w:val="21"/>
              </w:rPr>
              <w:t>优惠比率</w:t>
            </w:r>
          </w:p>
          <w:p>
            <w:pPr>
              <w:snapToGrid w:val="0"/>
              <w:jc w:val="center"/>
              <w:rPr>
                <w:rFonts w:hint="eastAsia" w:ascii="宋体" w:hAnsi="宋体" w:cs="宋体"/>
                <w:bCs/>
                <w:spacing w:val="0"/>
                <w:szCs w:val="21"/>
              </w:rPr>
            </w:pPr>
            <w:r>
              <w:rPr>
                <w:rFonts w:hint="eastAsia" w:ascii="宋体" w:hAnsi="宋体" w:cs="宋体"/>
                <w:bCs/>
                <w:spacing w:val="0"/>
                <w:szCs w:val="21"/>
              </w:rPr>
              <w:t>（%）</w:t>
            </w:r>
          </w:p>
        </w:tc>
        <w:tc>
          <w:tcPr>
            <w:tcW w:w="2922" w:type="dxa"/>
            <w:vAlign w:val="center"/>
          </w:tcPr>
          <w:p>
            <w:pPr>
              <w:snapToGrid w:val="0"/>
              <w:jc w:val="center"/>
              <w:rPr>
                <w:rFonts w:hint="eastAsia" w:ascii="宋体" w:hAnsi="宋体" w:cs="宋体"/>
                <w:bCs/>
                <w:spacing w:val="0"/>
                <w:szCs w:val="21"/>
              </w:rPr>
            </w:pPr>
            <w:r>
              <w:rPr>
                <w:rFonts w:hint="eastAsia" w:ascii="宋体" w:hAnsi="宋体" w:cs="宋体"/>
                <w:bCs/>
                <w:spacing w:val="0"/>
                <w:szCs w:val="21"/>
              </w:rPr>
              <w:t>赠送情况（若有）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vAlign w:val="center"/>
          </w:tcPr>
          <w:p>
            <w:pPr>
              <w:snapToGrid w:val="0"/>
              <w:jc w:val="center"/>
              <w:rPr>
                <w:rFonts w:hint="eastAsia" w:ascii="宋体" w:hAnsi="宋体" w:cs="宋体"/>
                <w:bCs/>
                <w:spacing w:val="0"/>
                <w:szCs w:val="21"/>
              </w:rPr>
            </w:pPr>
            <w:r>
              <w:rPr>
                <w:rFonts w:hint="eastAsia" w:ascii="宋体" w:hAnsi="宋体" w:cs="宋体"/>
                <w:bCs/>
                <w:spacing w:val="0"/>
                <w:szCs w:val="21"/>
              </w:rPr>
              <w:t>通话</w:t>
            </w:r>
          </w:p>
        </w:tc>
        <w:tc>
          <w:tcPr>
            <w:tcW w:w="1678" w:type="dxa"/>
            <w:vAlign w:val="center"/>
          </w:tcPr>
          <w:p>
            <w:pPr>
              <w:snapToGrid w:val="0"/>
              <w:jc w:val="center"/>
              <w:rPr>
                <w:rFonts w:hint="eastAsia" w:ascii="宋体" w:hAnsi="宋体" w:cs="宋体"/>
                <w:bCs/>
                <w:spacing w:val="0"/>
                <w:szCs w:val="21"/>
              </w:rPr>
            </w:pPr>
          </w:p>
        </w:tc>
        <w:tc>
          <w:tcPr>
            <w:tcW w:w="2046" w:type="dxa"/>
            <w:vAlign w:val="center"/>
          </w:tcPr>
          <w:p>
            <w:pPr>
              <w:snapToGrid w:val="0"/>
              <w:jc w:val="center"/>
              <w:rPr>
                <w:rFonts w:hint="eastAsia" w:ascii="宋体" w:hAnsi="宋体" w:cs="宋体"/>
                <w:bCs/>
                <w:spacing w:val="0"/>
                <w:szCs w:val="21"/>
              </w:rPr>
            </w:pPr>
          </w:p>
        </w:tc>
        <w:tc>
          <w:tcPr>
            <w:tcW w:w="1299" w:type="dxa"/>
            <w:vAlign w:val="center"/>
          </w:tcPr>
          <w:p>
            <w:pPr>
              <w:snapToGrid w:val="0"/>
              <w:jc w:val="center"/>
              <w:rPr>
                <w:rFonts w:hint="eastAsia" w:ascii="宋体" w:hAnsi="宋体" w:cs="宋体"/>
                <w:bCs/>
                <w:spacing w:val="0"/>
                <w:szCs w:val="21"/>
              </w:rPr>
            </w:pPr>
          </w:p>
        </w:tc>
        <w:tc>
          <w:tcPr>
            <w:tcW w:w="2922" w:type="dxa"/>
            <w:vAlign w:val="center"/>
          </w:tcPr>
          <w:p>
            <w:pPr>
              <w:snapToGrid w:val="0"/>
              <w:jc w:val="center"/>
              <w:rPr>
                <w:rFonts w:hint="eastAsia" w:ascii="宋体" w:hAnsi="宋体" w:cs="宋体"/>
                <w:bCs/>
                <w:spacing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vAlign w:val="center"/>
          </w:tcPr>
          <w:p>
            <w:pPr>
              <w:snapToGrid w:val="0"/>
              <w:jc w:val="center"/>
              <w:rPr>
                <w:rFonts w:hint="eastAsia" w:ascii="宋体" w:hAnsi="宋体" w:cs="宋体"/>
                <w:bCs/>
                <w:spacing w:val="0"/>
                <w:szCs w:val="21"/>
              </w:rPr>
            </w:pPr>
            <w:r>
              <w:rPr>
                <w:rFonts w:hint="eastAsia" w:ascii="宋体" w:hAnsi="宋体" w:cs="宋体"/>
                <w:bCs/>
                <w:spacing w:val="0"/>
                <w:szCs w:val="21"/>
              </w:rPr>
              <w:t>短信</w:t>
            </w:r>
          </w:p>
        </w:tc>
        <w:tc>
          <w:tcPr>
            <w:tcW w:w="1678" w:type="dxa"/>
            <w:vAlign w:val="center"/>
          </w:tcPr>
          <w:p>
            <w:pPr>
              <w:snapToGrid w:val="0"/>
              <w:jc w:val="center"/>
              <w:rPr>
                <w:rFonts w:hint="eastAsia" w:ascii="宋体" w:hAnsi="宋体" w:cs="宋体"/>
                <w:bCs/>
                <w:spacing w:val="0"/>
                <w:szCs w:val="21"/>
              </w:rPr>
            </w:pPr>
          </w:p>
        </w:tc>
        <w:tc>
          <w:tcPr>
            <w:tcW w:w="2046" w:type="dxa"/>
            <w:vAlign w:val="center"/>
          </w:tcPr>
          <w:p>
            <w:pPr>
              <w:snapToGrid w:val="0"/>
              <w:jc w:val="center"/>
              <w:rPr>
                <w:rFonts w:hint="eastAsia" w:ascii="宋体" w:hAnsi="宋体" w:cs="宋体"/>
                <w:bCs/>
                <w:spacing w:val="0"/>
                <w:szCs w:val="21"/>
              </w:rPr>
            </w:pPr>
          </w:p>
        </w:tc>
        <w:tc>
          <w:tcPr>
            <w:tcW w:w="1299" w:type="dxa"/>
            <w:vAlign w:val="center"/>
          </w:tcPr>
          <w:p>
            <w:pPr>
              <w:snapToGrid w:val="0"/>
              <w:jc w:val="center"/>
              <w:rPr>
                <w:rFonts w:hint="eastAsia" w:ascii="宋体" w:hAnsi="宋体" w:cs="宋体"/>
                <w:bCs/>
                <w:spacing w:val="0"/>
                <w:szCs w:val="21"/>
              </w:rPr>
            </w:pPr>
          </w:p>
        </w:tc>
        <w:tc>
          <w:tcPr>
            <w:tcW w:w="2922" w:type="dxa"/>
            <w:vAlign w:val="center"/>
          </w:tcPr>
          <w:p>
            <w:pPr>
              <w:snapToGrid w:val="0"/>
              <w:jc w:val="center"/>
              <w:rPr>
                <w:rFonts w:hint="eastAsia" w:ascii="宋体" w:hAnsi="宋体" w:cs="宋体"/>
                <w:bCs/>
                <w:spacing w:val="0"/>
                <w:szCs w:val="21"/>
              </w:rPr>
            </w:pPr>
          </w:p>
        </w:tc>
      </w:tr>
    </w:tbl>
    <w:p>
      <w:pPr>
        <w:spacing w:line="360" w:lineRule="auto"/>
        <w:ind w:firstLine="422" w:firstLineChars="200"/>
        <w:rPr>
          <w:rFonts w:hint="eastAsia" w:ascii="宋体" w:hAnsi="宋体" w:cs="宋体" w:eastAsiaTheme="minorEastAsia"/>
          <w:spacing w:val="0"/>
          <w:szCs w:val="21"/>
          <w:lang w:eastAsia="zh-CN"/>
        </w:rPr>
      </w:pPr>
      <w:r>
        <w:rPr>
          <w:rFonts w:hint="eastAsia" w:cs="宋体" w:asciiTheme="minorEastAsia" w:hAnsiTheme="minorEastAsia" w:eastAsiaTheme="minorEastAsia"/>
          <w:b/>
          <w:bCs/>
          <w:spacing w:val="0"/>
          <w:szCs w:val="21"/>
        </w:rPr>
        <w:t>▲注：</w:t>
      </w:r>
      <w:r>
        <w:rPr>
          <w:rFonts w:hint="eastAsia" w:asciiTheme="minorEastAsia" w:hAnsiTheme="minorEastAsia" w:eastAsiaTheme="minorEastAsia"/>
          <w:b/>
          <w:bCs/>
          <w:spacing w:val="0"/>
          <w:szCs w:val="21"/>
        </w:rPr>
        <w:t>对船上用户使用超出1000分钟通话时长的，除拨打、接听白名单号码仍应免费外，相应费用由船上用户自行支付，响应人应说明通话计时方式、短信资费及其相应的计费措施，并明确通话、短信的收费单价，该单价应低于市场公开收费标准。</w:t>
      </w:r>
    </w:p>
    <w:p>
      <w:pPr>
        <w:spacing w:line="320" w:lineRule="exact"/>
        <w:ind w:firstLine="735" w:firstLineChars="350"/>
        <w:rPr>
          <w:rFonts w:hint="eastAsia" w:ascii="宋体" w:hAnsi="宋体" w:cs="宋体"/>
          <w:spacing w:val="0"/>
          <w:szCs w:val="21"/>
        </w:rPr>
      </w:pPr>
    </w:p>
    <w:p>
      <w:pPr>
        <w:spacing w:line="320" w:lineRule="exact"/>
        <w:ind w:firstLine="735" w:firstLineChars="350"/>
        <w:rPr>
          <w:rFonts w:hint="eastAsia" w:ascii="宋体" w:hAnsi="宋体" w:cs="宋体"/>
          <w:spacing w:val="0"/>
          <w:szCs w:val="21"/>
        </w:rPr>
      </w:pPr>
    </w:p>
    <w:p>
      <w:pPr>
        <w:spacing w:line="480" w:lineRule="auto"/>
        <w:ind w:firstLine="371" w:firstLineChars="177"/>
        <w:rPr>
          <w:rFonts w:hint="eastAsia" w:ascii="宋体" w:hAnsi="宋体" w:cs="宋体"/>
          <w:spacing w:val="0"/>
          <w:szCs w:val="21"/>
        </w:rPr>
      </w:pPr>
      <w:r>
        <w:rPr>
          <w:rFonts w:hint="eastAsia" w:ascii="宋体" w:hAnsi="宋体" w:cs="宋体"/>
          <w:spacing w:val="0"/>
          <w:szCs w:val="21"/>
        </w:rPr>
        <w:t>响应人名称：</w:t>
      </w:r>
      <w:r>
        <w:rPr>
          <w:rFonts w:hint="eastAsia" w:ascii="宋体" w:hAnsi="宋体" w:cs="宋体"/>
          <w:spacing w:val="0"/>
          <w:szCs w:val="21"/>
          <w:u w:val="single"/>
        </w:rPr>
        <w:t xml:space="preserve">                </w:t>
      </w:r>
      <w:r>
        <w:rPr>
          <w:rFonts w:hint="eastAsia" w:ascii="宋体" w:hAnsi="宋体" w:cs="宋体"/>
          <w:spacing w:val="0"/>
          <w:szCs w:val="21"/>
        </w:rPr>
        <w:t xml:space="preserve">（加盖公章）  </w:t>
      </w:r>
    </w:p>
    <w:p>
      <w:pPr>
        <w:spacing w:line="480" w:lineRule="auto"/>
        <w:ind w:firstLine="371" w:firstLineChars="177"/>
        <w:rPr>
          <w:rFonts w:hint="eastAsia" w:ascii="宋体" w:hAnsi="宋体" w:cs="宋体"/>
          <w:spacing w:val="0"/>
          <w:szCs w:val="21"/>
        </w:rPr>
      </w:pPr>
      <w:r>
        <w:rPr>
          <w:rFonts w:hint="eastAsia" w:ascii="宋体" w:hAnsi="宋体" w:cs="宋体"/>
          <w:spacing w:val="0"/>
          <w:szCs w:val="21"/>
        </w:rPr>
        <w:t>响应人代表：</w:t>
      </w:r>
      <w:r>
        <w:rPr>
          <w:rFonts w:hint="eastAsia" w:ascii="宋体" w:hAnsi="宋体" w:cs="宋体"/>
          <w:spacing w:val="0"/>
          <w:szCs w:val="21"/>
          <w:u w:val="single"/>
        </w:rPr>
        <w:t xml:space="preserve">                </w:t>
      </w:r>
      <w:r>
        <w:rPr>
          <w:rFonts w:hint="eastAsia" w:ascii="宋体" w:hAnsi="宋体" w:cs="宋体"/>
          <w:spacing w:val="0"/>
          <w:szCs w:val="21"/>
        </w:rPr>
        <w:t>（签字）</w:t>
      </w:r>
    </w:p>
    <w:p>
      <w:pPr>
        <w:spacing w:line="480" w:lineRule="auto"/>
        <w:ind w:firstLine="371" w:firstLineChars="177"/>
        <w:rPr>
          <w:rFonts w:hint="eastAsia" w:ascii="宋体" w:hAnsi="宋体" w:cs="宋体"/>
          <w:spacing w:val="0"/>
          <w:szCs w:val="21"/>
        </w:rPr>
      </w:pPr>
      <w:r>
        <w:rPr>
          <w:rFonts w:hint="eastAsia" w:ascii="宋体" w:hAnsi="宋体" w:cs="宋体"/>
          <w:spacing w:val="0"/>
          <w:szCs w:val="21"/>
        </w:rPr>
        <w:t>日 期：</w:t>
      </w:r>
      <w:r>
        <w:rPr>
          <w:rFonts w:hint="eastAsia" w:ascii="宋体" w:hAnsi="宋体" w:cs="宋体"/>
          <w:spacing w:val="0"/>
          <w:szCs w:val="21"/>
          <w:u w:val="single"/>
        </w:rPr>
        <w:t xml:space="preserve">    </w:t>
      </w:r>
      <w:r>
        <w:rPr>
          <w:rFonts w:hint="eastAsia" w:ascii="宋体" w:hAnsi="宋体" w:cs="宋体"/>
          <w:spacing w:val="0"/>
          <w:szCs w:val="21"/>
        </w:rPr>
        <w:t>年</w:t>
      </w:r>
      <w:r>
        <w:rPr>
          <w:rFonts w:hint="eastAsia" w:ascii="宋体" w:hAnsi="宋体" w:cs="宋体"/>
          <w:spacing w:val="0"/>
          <w:szCs w:val="21"/>
          <w:u w:val="single"/>
        </w:rPr>
        <w:t xml:space="preserve">   </w:t>
      </w:r>
      <w:r>
        <w:rPr>
          <w:rFonts w:hint="eastAsia" w:ascii="宋体" w:hAnsi="宋体" w:cs="宋体"/>
          <w:spacing w:val="0"/>
          <w:szCs w:val="21"/>
        </w:rPr>
        <w:t>月</w:t>
      </w:r>
      <w:r>
        <w:rPr>
          <w:rFonts w:hint="eastAsia" w:ascii="宋体" w:hAnsi="宋体" w:cs="宋体"/>
          <w:spacing w:val="0"/>
          <w:szCs w:val="21"/>
          <w:u w:val="single"/>
        </w:rPr>
        <w:t xml:space="preserve">   </w:t>
      </w:r>
      <w:r>
        <w:rPr>
          <w:rFonts w:hint="eastAsia" w:ascii="宋体" w:hAnsi="宋体" w:cs="宋体"/>
          <w:spacing w:val="0"/>
          <w:szCs w:val="21"/>
        </w:rPr>
        <w:t>日</w:t>
      </w:r>
    </w:p>
    <w:p>
      <w:pPr>
        <w:widowControl/>
        <w:jc w:val="left"/>
        <w:rPr>
          <w:rFonts w:ascii="宋体" w:hAnsi="宋体" w:cs="宋体"/>
          <w:b/>
          <w:spacing w:val="0"/>
          <w:sz w:val="24"/>
          <w:szCs w:val="24"/>
        </w:rPr>
      </w:pPr>
      <w:r>
        <w:rPr>
          <w:rFonts w:ascii="宋体" w:hAnsi="宋体" w:cs="宋体"/>
          <w:b/>
          <w:spacing w:val="0"/>
          <w:sz w:val="24"/>
          <w:szCs w:val="24"/>
        </w:rPr>
        <w:br w:type="page"/>
      </w:r>
    </w:p>
    <w:p>
      <w:pPr>
        <w:spacing w:line="360" w:lineRule="auto"/>
        <w:rPr>
          <w:rFonts w:hint="eastAsia" w:ascii="宋体" w:hAnsi="宋体" w:cs="宋体"/>
          <w:b/>
          <w:spacing w:val="0"/>
          <w:sz w:val="21"/>
          <w:szCs w:val="21"/>
        </w:rPr>
      </w:pPr>
      <w:r>
        <w:rPr>
          <w:rFonts w:hint="eastAsia" w:ascii="宋体" w:hAnsi="宋体" w:cs="宋体"/>
          <w:b/>
          <w:spacing w:val="0"/>
          <w:sz w:val="21"/>
          <w:szCs w:val="21"/>
        </w:rPr>
        <w:t>格式十三、质疑函（范本）</w:t>
      </w:r>
    </w:p>
    <w:p>
      <w:pPr>
        <w:spacing w:line="360" w:lineRule="auto"/>
        <w:jc w:val="center"/>
        <w:rPr>
          <w:rFonts w:ascii="宋体" w:hAnsi="宋体"/>
          <w:spacing w:val="0"/>
          <w:szCs w:val="21"/>
        </w:rPr>
      </w:pPr>
      <w:r>
        <w:rPr>
          <w:rFonts w:hint="eastAsia" w:ascii="宋体" w:hAnsi="宋体"/>
          <w:spacing w:val="0"/>
          <w:szCs w:val="21"/>
        </w:rPr>
        <w:t>质疑函（范本）</w:t>
      </w:r>
    </w:p>
    <w:p>
      <w:pPr>
        <w:widowControl/>
        <w:spacing w:before="100" w:beforeAutospacing="1" w:after="100" w:afterAutospacing="1" w:line="276" w:lineRule="auto"/>
        <w:jc w:val="left"/>
        <w:rPr>
          <w:rFonts w:ascii="宋体" w:hAnsi="宋体" w:cs="宋体"/>
          <w:spacing w:val="0"/>
          <w:szCs w:val="21"/>
        </w:rPr>
      </w:pPr>
      <w:r>
        <w:rPr>
          <w:rFonts w:hint="eastAsia" w:ascii="宋体" w:hAnsi="宋体" w:cs="仿宋"/>
          <w:spacing w:val="0"/>
          <w:kern w:val="0"/>
          <w:szCs w:val="21"/>
          <w:shd w:val="clear" w:color="auto" w:fill="FFFFFF"/>
        </w:rPr>
        <w:t>质疑供应商：</w:t>
      </w:r>
      <w:r>
        <w:rPr>
          <w:rFonts w:hint="eastAsia" w:ascii="宋体" w:hAnsi="宋体" w:cs="Calibri"/>
          <w:spacing w:val="0"/>
          <w:kern w:val="0"/>
          <w:szCs w:val="21"/>
          <w:u w:val="single"/>
          <w:shd w:val="clear" w:color="auto" w:fill="FFFFFF"/>
        </w:rPr>
        <w:t xml:space="preserve">                                                                           </w:t>
      </w:r>
    </w:p>
    <w:p>
      <w:pPr>
        <w:widowControl/>
        <w:spacing w:before="100" w:beforeAutospacing="1" w:after="100" w:afterAutospacing="1" w:line="276" w:lineRule="auto"/>
        <w:jc w:val="left"/>
        <w:rPr>
          <w:rFonts w:ascii="宋体" w:hAnsi="宋体" w:cs="宋体"/>
          <w:spacing w:val="0"/>
          <w:szCs w:val="21"/>
        </w:rPr>
      </w:pPr>
      <w:r>
        <w:rPr>
          <w:rFonts w:hint="eastAsia" w:ascii="宋体" w:hAnsi="宋体" w:cs="仿宋"/>
          <w:spacing w:val="0"/>
          <w:kern w:val="0"/>
          <w:szCs w:val="21"/>
          <w:shd w:val="clear" w:color="auto" w:fill="FFFFFF"/>
        </w:rPr>
        <w:t>地址：</w:t>
      </w:r>
      <w:r>
        <w:rPr>
          <w:rFonts w:hint="eastAsia" w:ascii="宋体" w:hAnsi="宋体" w:cs="Calibri"/>
          <w:spacing w:val="0"/>
          <w:kern w:val="0"/>
          <w:szCs w:val="21"/>
          <w:u w:val="single"/>
          <w:shd w:val="clear" w:color="auto" w:fill="FFFFFF"/>
        </w:rPr>
        <w:t xml:space="preserve">                                                             </w:t>
      </w:r>
      <w:r>
        <w:rPr>
          <w:rFonts w:hint="eastAsia" w:ascii="宋体" w:hAnsi="宋体" w:cs="仿宋"/>
          <w:spacing w:val="0"/>
          <w:kern w:val="0"/>
          <w:szCs w:val="21"/>
          <w:shd w:val="clear" w:color="auto" w:fill="FFFFFF"/>
        </w:rPr>
        <w:t>邮编：</w:t>
      </w:r>
      <w:r>
        <w:rPr>
          <w:rFonts w:hint="eastAsia" w:ascii="宋体" w:hAnsi="宋体" w:cs="Calibri"/>
          <w:spacing w:val="0"/>
          <w:kern w:val="0"/>
          <w:szCs w:val="21"/>
          <w:u w:val="single"/>
          <w:shd w:val="clear" w:color="auto" w:fill="FFFFFF"/>
        </w:rPr>
        <w:t xml:space="preserve">             </w:t>
      </w:r>
    </w:p>
    <w:p>
      <w:pPr>
        <w:widowControl/>
        <w:spacing w:before="100" w:beforeAutospacing="1" w:after="100" w:afterAutospacing="1" w:line="276" w:lineRule="auto"/>
        <w:jc w:val="left"/>
        <w:rPr>
          <w:rFonts w:ascii="宋体" w:hAnsi="宋体" w:cs="Calibri"/>
          <w:spacing w:val="0"/>
          <w:kern w:val="0"/>
          <w:szCs w:val="21"/>
          <w:u w:val="single"/>
          <w:shd w:val="clear" w:color="auto" w:fill="FFFFFF"/>
        </w:rPr>
      </w:pPr>
      <w:r>
        <w:rPr>
          <w:rFonts w:hint="eastAsia" w:ascii="宋体" w:hAnsi="宋体" w:cs="仿宋"/>
          <w:spacing w:val="0"/>
          <w:kern w:val="0"/>
          <w:szCs w:val="21"/>
          <w:shd w:val="clear" w:color="auto" w:fill="FFFFFF"/>
        </w:rPr>
        <w:t>联系人：</w:t>
      </w:r>
      <w:r>
        <w:rPr>
          <w:rFonts w:hint="eastAsia" w:ascii="宋体" w:hAnsi="宋体" w:cs="Calibri"/>
          <w:spacing w:val="0"/>
          <w:kern w:val="0"/>
          <w:szCs w:val="21"/>
          <w:u w:val="single"/>
          <w:shd w:val="clear" w:color="auto" w:fill="FFFFFF"/>
        </w:rPr>
        <w:t xml:space="preserve">                                                                              </w:t>
      </w:r>
    </w:p>
    <w:p>
      <w:pPr>
        <w:widowControl/>
        <w:spacing w:before="100" w:beforeAutospacing="1" w:after="100" w:afterAutospacing="1" w:line="276" w:lineRule="auto"/>
        <w:jc w:val="left"/>
        <w:rPr>
          <w:rFonts w:ascii="宋体" w:hAnsi="宋体" w:cs="宋体"/>
          <w:spacing w:val="0"/>
          <w:szCs w:val="21"/>
        </w:rPr>
      </w:pPr>
      <w:r>
        <w:rPr>
          <w:rFonts w:hint="eastAsia" w:ascii="宋体" w:hAnsi="宋体" w:cs="仿宋"/>
          <w:spacing w:val="0"/>
          <w:kern w:val="0"/>
          <w:szCs w:val="21"/>
          <w:shd w:val="clear" w:color="auto" w:fill="FFFFFF"/>
        </w:rPr>
        <w:t>联系电话：</w:t>
      </w:r>
      <w:r>
        <w:rPr>
          <w:rFonts w:hint="eastAsia" w:ascii="宋体" w:hAnsi="宋体" w:cs="Calibri"/>
          <w:spacing w:val="0"/>
          <w:kern w:val="0"/>
          <w:szCs w:val="21"/>
          <w:u w:val="single"/>
          <w:shd w:val="clear" w:color="auto" w:fill="FFFFFF"/>
        </w:rPr>
        <w:t xml:space="preserve">                                                                            </w:t>
      </w:r>
    </w:p>
    <w:p>
      <w:pPr>
        <w:widowControl/>
        <w:spacing w:before="100" w:beforeAutospacing="1" w:after="100" w:afterAutospacing="1" w:line="276" w:lineRule="auto"/>
        <w:jc w:val="left"/>
        <w:rPr>
          <w:rFonts w:ascii="宋体" w:hAnsi="宋体" w:cs="Calibri"/>
          <w:spacing w:val="0"/>
          <w:kern w:val="0"/>
          <w:szCs w:val="21"/>
          <w:u w:val="single"/>
          <w:shd w:val="clear" w:color="auto" w:fill="FFFFFF"/>
        </w:rPr>
      </w:pPr>
      <w:r>
        <w:rPr>
          <w:rFonts w:hint="eastAsia" w:ascii="宋体" w:hAnsi="宋体" w:cs="仿宋"/>
          <w:spacing w:val="0"/>
          <w:kern w:val="0"/>
          <w:szCs w:val="21"/>
          <w:shd w:val="clear" w:color="auto" w:fill="FFFFFF"/>
        </w:rPr>
        <w:t>授权代表：</w:t>
      </w:r>
      <w:r>
        <w:rPr>
          <w:rFonts w:hint="eastAsia" w:ascii="宋体" w:hAnsi="宋体" w:cs="Calibri"/>
          <w:spacing w:val="0"/>
          <w:kern w:val="0"/>
          <w:szCs w:val="21"/>
          <w:u w:val="single"/>
          <w:shd w:val="clear" w:color="auto" w:fill="FFFFFF"/>
        </w:rPr>
        <w:t xml:space="preserve">                                                                            </w:t>
      </w:r>
    </w:p>
    <w:p>
      <w:pPr>
        <w:widowControl/>
        <w:spacing w:before="100" w:beforeAutospacing="1" w:after="100" w:afterAutospacing="1" w:line="276" w:lineRule="auto"/>
        <w:jc w:val="left"/>
        <w:rPr>
          <w:rFonts w:ascii="宋体" w:hAnsi="宋体" w:cs="宋体"/>
          <w:spacing w:val="0"/>
          <w:szCs w:val="21"/>
        </w:rPr>
      </w:pPr>
      <w:r>
        <w:rPr>
          <w:rFonts w:hint="eastAsia" w:ascii="宋体" w:hAnsi="宋体" w:cs="仿宋"/>
          <w:spacing w:val="0"/>
          <w:kern w:val="0"/>
          <w:szCs w:val="21"/>
          <w:shd w:val="clear" w:color="auto" w:fill="FFFFFF"/>
        </w:rPr>
        <w:t>联系电话：</w:t>
      </w:r>
      <w:r>
        <w:rPr>
          <w:rFonts w:hint="eastAsia" w:ascii="宋体" w:hAnsi="宋体" w:cs="Calibri"/>
          <w:spacing w:val="0"/>
          <w:kern w:val="0"/>
          <w:szCs w:val="21"/>
          <w:u w:val="single"/>
          <w:shd w:val="clear" w:color="auto" w:fill="FFFFFF"/>
        </w:rPr>
        <w:t xml:space="preserve">                                                                            </w:t>
      </w:r>
    </w:p>
    <w:p>
      <w:pPr>
        <w:widowControl/>
        <w:spacing w:before="100" w:beforeAutospacing="1" w:after="100" w:afterAutospacing="1" w:line="276" w:lineRule="auto"/>
        <w:jc w:val="left"/>
        <w:rPr>
          <w:rFonts w:ascii="宋体" w:hAnsi="宋体" w:cs="宋体"/>
          <w:spacing w:val="0"/>
          <w:szCs w:val="21"/>
        </w:rPr>
      </w:pPr>
      <w:r>
        <w:rPr>
          <w:rFonts w:hint="eastAsia" w:ascii="宋体" w:hAnsi="宋体" w:cs="仿宋"/>
          <w:spacing w:val="0"/>
          <w:kern w:val="0"/>
          <w:szCs w:val="21"/>
          <w:shd w:val="clear" w:color="auto" w:fill="FFFFFF"/>
        </w:rPr>
        <w:t>地址：</w:t>
      </w:r>
      <w:r>
        <w:rPr>
          <w:rFonts w:hint="eastAsia" w:ascii="宋体" w:hAnsi="宋体" w:cs="Calibri"/>
          <w:spacing w:val="0"/>
          <w:kern w:val="0"/>
          <w:szCs w:val="21"/>
          <w:u w:val="single"/>
          <w:shd w:val="clear" w:color="auto" w:fill="FFFFFF"/>
        </w:rPr>
        <w:t xml:space="preserve">                                                             </w:t>
      </w:r>
      <w:r>
        <w:rPr>
          <w:rFonts w:hint="eastAsia" w:ascii="宋体" w:hAnsi="宋体" w:cs="仿宋"/>
          <w:spacing w:val="0"/>
          <w:kern w:val="0"/>
          <w:szCs w:val="21"/>
          <w:shd w:val="clear" w:color="auto" w:fill="FFFFFF"/>
        </w:rPr>
        <w:t>邮编：</w:t>
      </w:r>
      <w:r>
        <w:rPr>
          <w:rFonts w:hint="eastAsia" w:ascii="宋体" w:hAnsi="宋体" w:cs="Calibri"/>
          <w:spacing w:val="0"/>
          <w:kern w:val="0"/>
          <w:szCs w:val="21"/>
          <w:u w:val="single"/>
          <w:shd w:val="clear" w:color="auto" w:fill="FFFFFF"/>
        </w:rPr>
        <w:t xml:space="preserve">             </w:t>
      </w:r>
    </w:p>
    <w:p>
      <w:pPr>
        <w:widowControl/>
        <w:spacing w:before="100" w:beforeAutospacing="1" w:after="100" w:afterAutospacing="1" w:line="360" w:lineRule="auto"/>
        <w:jc w:val="left"/>
        <w:rPr>
          <w:rFonts w:ascii="宋体" w:hAnsi="宋体" w:cs="黑体"/>
          <w:spacing w:val="0"/>
          <w:kern w:val="0"/>
          <w:szCs w:val="21"/>
          <w:shd w:val="clear" w:color="auto" w:fill="FFFFFF"/>
        </w:rPr>
      </w:pPr>
    </w:p>
    <w:p>
      <w:pPr>
        <w:widowControl/>
        <w:spacing w:before="100" w:beforeAutospacing="1" w:after="100" w:afterAutospacing="1" w:line="360" w:lineRule="auto"/>
        <w:jc w:val="left"/>
        <w:rPr>
          <w:rFonts w:ascii="宋体" w:hAnsi="宋体" w:cs="宋体"/>
          <w:spacing w:val="0"/>
          <w:szCs w:val="21"/>
        </w:rPr>
      </w:pPr>
      <w:r>
        <w:rPr>
          <w:rFonts w:ascii="宋体" w:hAnsi="宋体" w:cs="黑体"/>
          <w:spacing w:val="0"/>
          <w:kern w:val="0"/>
          <w:szCs w:val="21"/>
          <w:shd w:val="clear" w:color="auto" w:fill="FFFFFF"/>
        </w:rPr>
        <w:t>二、质疑项目基本情况</w:t>
      </w:r>
    </w:p>
    <w:p>
      <w:pPr>
        <w:widowControl/>
        <w:spacing w:before="100" w:beforeAutospacing="1" w:after="100" w:afterAutospacing="1" w:line="360" w:lineRule="auto"/>
        <w:jc w:val="left"/>
        <w:rPr>
          <w:rFonts w:ascii="宋体" w:hAnsi="宋体" w:cs="宋体"/>
          <w:spacing w:val="0"/>
          <w:szCs w:val="21"/>
        </w:rPr>
      </w:pPr>
      <w:r>
        <w:rPr>
          <w:rFonts w:hint="eastAsia" w:ascii="宋体" w:hAnsi="宋体" w:cs="仿宋"/>
          <w:spacing w:val="0"/>
          <w:kern w:val="0"/>
          <w:szCs w:val="21"/>
          <w:shd w:val="clear" w:color="auto" w:fill="FFFFFF"/>
        </w:rPr>
        <w:t>质疑项目的名称：</w:t>
      </w:r>
      <w:r>
        <w:rPr>
          <w:rFonts w:hint="eastAsia" w:ascii="宋体" w:hAnsi="宋体" w:cs="Calibri"/>
          <w:spacing w:val="0"/>
          <w:kern w:val="0"/>
          <w:szCs w:val="21"/>
          <w:u w:val="single"/>
          <w:shd w:val="clear" w:color="auto" w:fill="FFFFFF"/>
        </w:rPr>
        <w:t xml:space="preserve">                                                                            </w:t>
      </w:r>
    </w:p>
    <w:p>
      <w:pPr>
        <w:widowControl/>
        <w:spacing w:before="100" w:beforeAutospacing="1" w:after="100" w:afterAutospacing="1" w:line="360" w:lineRule="auto"/>
        <w:jc w:val="left"/>
        <w:rPr>
          <w:rFonts w:ascii="宋体" w:hAnsi="宋体" w:cs="宋体"/>
          <w:spacing w:val="0"/>
          <w:szCs w:val="21"/>
        </w:rPr>
      </w:pPr>
      <w:r>
        <w:rPr>
          <w:rFonts w:hint="eastAsia" w:ascii="宋体" w:hAnsi="宋体" w:cs="仿宋"/>
          <w:spacing w:val="0"/>
          <w:kern w:val="0"/>
          <w:szCs w:val="21"/>
          <w:shd w:val="clear" w:color="auto" w:fill="FFFFFF"/>
        </w:rPr>
        <w:t>质疑项目的编号：</w:t>
      </w:r>
      <w:r>
        <w:rPr>
          <w:rFonts w:hint="eastAsia" w:ascii="宋体" w:hAnsi="宋体" w:cs="Calibri"/>
          <w:spacing w:val="0"/>
          <w:kern w:val="0"/>
          <w:szCs w:val="21"/>
          <w:u w:val="single"/>
          <w:shd w:val="clear" w:color="auto" w:fill="FFFFFF"/>
        </w:rPr>
        <w:t xml:space="preserve">                                                                            </w:t>
      </w:r>
    </w:p>
    <w:p>
      <w:pPr>
        <w:widowControl/>
        <w:spacing w:before="100" w:beforeAutospacing="1" w:after="100" w:afterAutospacing="1" w:line="360" w:lineRule="auto"/>
        <w:jc w:val="left"/>
        <w:rPr>
          <w:rFonts w:ascii="宋体" w:hAnsi="宋体" w:cs="宋体"/>
          <w:spacing w:val="0"/>
          <w:szCs w:val="21"/>
        </w:rPr>
      </w:pPr>
      <w:r>
        <w:rPr>
          <w:rFonts w:hint="eastAsia" w:ascii="宋体" w:hAnsi="宋体" w:cs="仿宋"/>
          <w:spacing w:val="0"/>
          <w:kern w:val="0"/>
          <w:szCs w:val="21"/>
          <w:shd w:val="clear" w:color="auto" w:fill="FFFFFF"/>
        </w:rPr>
        <w:t>采购人名称：</w:t>
      </w:r>
      <w:r>
        <w:rPr>
          <w:rFonts w:hint="eastAsia" w:ascii="宋体" w:hAnsi="宋体" w:cs="Calibri"/>
          <w:spacing w:val="0"/>
          <w:kern w:val="0"/>
          <w:szCs w:val="21"/>
          <w:u w:val="single"/>
          <w:shd w:val="clear" w:color="auto" w:fill="FFFFFF"/>
        </w:rPr>
        <w:t xml:space="preserve">                                                                                </w:t>
      </w:r>
    </w:p>
    <w:p>
      <w:pPr>
        <w:widowControl/>
        <w:spacing w:before="100" w:beforeAutospacing="1" w:after="100" w:afterAutospacing="1" w:line="360" w:lineRule="auto"/>
        <w:jc w:val="left"/>
        <w:rPr>
          <w:rFonts w:ascii="宋体" w:hAnsi="宋体" w:cs="宋体"/>
          <w:spacing w:val="0"/>
          <w:szCs w:val="21"/>
        </w:rPr>
      </w:pPr>
      <w:r>
        <w:rPr>
          <w:rFonts w:hint="eastAsia" w:ascii="宋体" w:hAnsi="宋体" w:cs="仿宋"/>
          <w:spacing w:val="0"/>
          <w:kern w:val="0"/>
          <w:szCs w:val="21"/>
          <w:shd w:val="clear" w:color="auto" w:fill="FFFFFF"/>
        </w:rPr>
        <w:t>采购文件获取日期：</w:t>
      </w:r>
      <w:r>
        <w:rPr>
          <w:rFonts w:hint="eastAsia" w:ascii="宋体" w:hAnsi="宋体" w:cs="Calibri"/>
          <w:spacing w:val="0"/>
          <w:kern w:val="0"/>
          <w:szCs w:val="21"/>
          <w:u w:val="single"/>
          <w:shd w:val="clear" w:color="auto" w:fill="FFFFFF"/>
        </w:rPr>
        <w:t xml:space="preserve">                                                                          </w:t>
      </w:r>
    </w:p>
    <w:p>
      <w:pPr>
        <w:widowControl/>
        <w:spacing w:before="100" w:beforeAutospacing="1" w:after="100" w:afterAutospacing="1" w:line="360" w:lineRule="auto"/>
        <w:jc w:val="left"/>
        <w:rPr>
          <w:rFonts w:ascii="宋体" w:hAnsi="宋体" w:cs="宋体"/>
          <w:spacing w:val="0"/>
          <w:szCs w:val="21"/>
        </w:rPr>
      </w:pPr>
      <w:r>
        <w:rPr>
          <w:rFonts w:hint="eastAsia" w:ascii="宋体" w:hAnsi="宋体" w:cs="黑体"/>
          <w:spacing w:val="0"/>
          <w:kern w:val="0"/>
          <w:szCs w:val="21"/>
          <w:shd w:val="clear" w:color="auto" w:fill="FFFFFF"/>
        </w:rPr>
        <w:t>三、质疑事项具体内容</w:t>
      </w:r>
    </w:p>
    <w:p>
      <w:pPr>
        <w:widowControl/>
        <w:spacing w:before="100" w:beforeAutospacing="1" w:after="100" w:afterAutospacing="1" w:line="360" w:lineRule="auto"/>
        <w:jc w:val="left"/>
        <w:rPr>
          <w:rFonts w:ascii="宋体" w:hAnsi="宋体" w:cs="宋体"/>
          <w:spacing w:val="0"/>
          <w:szCs w:val="21"/>
        </w:rPr>
      </w:pPr>
      <w:r>
        <w:rPr>
          <w:rFonts w:hint="eastAsia" w:ascii="宋体" w:hAnsi="宋体" w:cs="仿宋"/>
          <w:spacing w:val="0"/>
          <w:kern w:val="0"/>
          <w:szCs w:val="21"/>
          <w:shd w:val="clear" w:color="auto" w:fill="FFFFFF"/>
        </w:rPr>
        <w:t>质疑事项1：</w:t>
      </w:r>
      <w:r>
        <w:rPr>
          <w:rFonts w:hint="eastAsia" w:ascii="宋体" w:hAnsi="宋体" w:cs="Calibri"/>
          <w:spacing w:val="0"/>
          <w:kern w:val="0"/>
          <w:szCs w:val="21"/>
          <w:u w:val="single"/>
          <w:shd w:val="clear" w:color="auto" w:fill="FFFFFF"/>
        </w:rPr>
        <w:t xml:space="preserve">                                                                            </w:t>
      </w:r>
    </w:p>
    <w:p>
      <w:pPr>
        <w:widowControl/>
        <w:spacing w:before="100" w:beforeAutospacing="1" w:after="100" w:afterAutospacing="1" w:line="360" w:lineRule="auto"/>
        <w:jc w:val="left"/>
        <w:rPr>
          <w:rFonts w:ascii="宋体" w:hAnsi="宋体" w:cs="宋体"/>
          <w:spacing w:val="0"/>
          <w:szCs w:val="21"/>
        </w:rPr>
      </w:pPr>
      <w:r>
        <w:rPr>
          <w:rFonts w:hint="eastAsia" w:ascii="宋体" w:hAnsi="宋体" w:cs="仿宋"/>
          <w:spacing w:val="0"/>
          <w:kern w:val="0"/>
          <w:szCs w:val="21"/>
          <w:shd w:val="clear" w:color="auto" w:fill="FFFFFF"/>
        </w:rPr>
        <w:t>事实依据：</w:t>
      </w:r>
      <w:r>
        <w:rPr>
          <w:rFonts w:hint="eastAsia" w:ascii="宋体" w:hAnsi="宋体" w:cs="Calibri"/>
          <w:spacing w:val="0"/>
          <w:kern w:val="0"/>
          <w:szCs w:val="21"/>
          <w:u w:val="single"/>
          <w:shd w:val="clear" w:color="auto" w:fill="FFFFFF"/>
        </w:rPr>
        <w:t xml:space="preserve">                                                                            </w:t>
      </w:r>
    </w:p>
    <w:p>
      <w:pPr>
        <w:widowControl/>
        <w:spacing w:before="100" w:beforeAutospacing="1" w:after="100" w:afterAutospacing="1" w:line="360" w:lineRule="auto"/>
        <w:jc w:val="left"/>
        <w:rPr>
          <w:rFonts w:ascii="宋体" w:hAnsi="宋体" w:cs="宋体"/>
          <w:spacing w:val="0"/>
          <w:szCs w:val="21"/>
        </w:rPr>
      </w:pPr>
      <w:r>
        <w:rPr>
          <w:rFonts w:hint="eastAsia" w:ascii="宋体" w:hAnsi="宋体" w:cs="仿宋"/>
          <w:spacing w:val="0"/>
          <w:kern w:val="0"/>
          <w:szCs w:val="21"/>
          <w:shd w:val="clear" w:color="auto" w:fill="FFFFFF"/>
        </w:rPr>
        <w:t>法律依据：</w:t>
      </w:r>
      <w:r>
        <w:rPr>
          <w:rFonts w:hint="eastAsia" w:ascii="宋体" w:hAnsi="宋体" w:cs="Calibri"/>
          <w:spacing w:val="0"/>
          <w:kern w:val="0"/>
          <w:szCs w:val="21"/>
          <w:u w:val="single"/>
          <w:shd w:val="clear" w:color="auto" w:fill="FFFFFF"/>
        </w:rPr>
        <w:t xml:space="preserve">                                                                            </w:t>
      </w:r>
    </w:p>
    <w:p>
      <w:pPr>
        <w:widowControl/>
        <w:spacing w:before="100" w:beforeAutospacing="1" w:after="100" w:afterAutospacing="1" w:line="360" w:lineRule="auto"/>
        <w:jc w:val="left"/>
        <w:rPr>
          <w:rFonts w:ascii="宋体" w:hAnsi="宋体" w:cs="宋体"/>
          <w:spacing w:val="0"/>
          <w:szCs w:val="21"/>
        </w:rPr>
      </w:pPr>
      <w:r>
        <w:rPr>
          <w:rFonts w:hint="eastAsia" w:ascii="宋体" w:hAnsi="宋体" w:cs="仿宋"/>
          <w:spacing w:val="0"/>
          <w:kern w:val="0"/>
          <w:szCs w:val="21"/>
          <w:shd w:val="clear" w:color="auto" w:fill="FFFFFF"/>
        </w:rPr>
        <w:t>质疑事项2</w:t>
      </w:r>
    </w:p>
    <w:p>
      <w:pPr>
        <w:widowControl/>
        <w:spacing w:before="100" w:beforeAutospacing="1" w:after="100" w:afterAutospacing="1" w:line="360" w:lineRule="auto"/>
        <w:jc w:val="left"/>
        <w:rPr>
          <w:rFonts w:ascii="宋体" w:hAnsi="宋体" w:cs="宋体"/>
          <w:spacing w:val="0"/>
          <w:szCs w:val="21"/>
        </w:rPr>
      </w:pPr>
      <w:r>
        <w:rPr>
          <w:rFonts w:hint="eastAsia" w:ascii="宋体" w:hAnsi="宋体" w:cs="仿宋"/>
          <w:spacing w:val="0"/>
          <w:kern w:val="0"/>
          <w:szCs w:val="21"/>
          <w:shd w:val="clear" w:color="auto" w:fill="FFFFFF"/>
        </w:rPr>
        <w:t>……</w:t>
      </w:r>
    </w:p>
    <w:p>
      <w:pPr>
        <w:widowControl/>
        <w:spacing w:before="100" w:beforeAutospacing="1" w:after="100" w:afterAutospacing="1" w:line="360" w:lineRule="auto"/>
        <w:jc w:val="left"/>
        <w:rPr>
          <w:rFonts w:ascii="宋体" w:hAnsi="宋体" w:cs="宋体"/>
          <w:spacing w:val="0"/>
          <w:szCs w:val="21"/>
        </w:rPr>
      </w:pPr>
      <w:r>
        <w:rPr>
          <w:rFonts w:hint="eastAsia" w:ascii="宋体" w:hAnsi="宋体" w:cs="黑体"/>
          <w:spacing w:val="0"/>
          <w:kern w:val="0"/>
          <w:szCs w:val="21"/>
          <w:shd w:val="clear" w:color="auto" w:fill="FFFFFF"/>
        </w:rPr>
        <w:t>四、与质疑事项相关的质疑请求</w:t>
      </w:r>
    </w:p>
    <w:p>
      <w:pPr>
        <w:widowControl/>
        <w:spacing w:before="100" w:beforeAutospacing="1" w:after="100" w:afterAutospacing="1" w:line="360" w:lineRule="auto"/>
        <w:jc w:val="left"/>
        <w:rPr>
          <w:rFonts w:ascii="宋体" w:hAnsi="宋体" w:cs="Calibri"/>
          <w:spacing w:val="0"/>
          <w:kern w:val="0"/>
          <w:szCs w:val="21"/>
          <w:u w:val="single"/>
          <w:shd w:val="clear" w:color="auto" w:fill="FFFFFF"/>
        </w:rPr>
      </w:pPr>
      <w:r>
        <w:rPr>
          <w:rFonts w:hint="eastAsia" w:ascii="宋体" w:hAnsi="宋体" w:cs="仿宋"/>
          <w:spacing w:val="0"/>
          <w:kern w:val="0"/>
          <w:szCs w:val="21"/>
          <w:shd w:val="clear" w:color="auto" w:fill="FFFFFF"/>
        </w:rPr>
        <w:t>请求：</w:t>
      </w:r>
      <w:r>
        <w:rPr>
          <w:rFonts w:hint="eastAsia" w:ascii="宋体" w:hAnsi="宋体" w:cs="Calibri"/>
          <w:spacing w:val="0"/>
          <w:kern w:val="0"/>
          <w:szCs w:val="21"/>
          <w:u w:val="single"/>
          <w:shd w:val="clear" w:color="auto" w:fill="FFFFFF"/>
        </w:rPr>
        <w:t xml:space="preserve">                                                                            </w:t>
      </w:r>
    </w:p>
    <w:p>
      <w:pPr>
        <w:widowControl/>
        <w:spacing w:before="100" w:beforeAutospacing="1" w:after="100" w:afterAutospacing="1" w:line="360" w:lineRule="auto"/>
        <w:jc w:val="left"/>
        <w:rPr>
          <w:rFonts w:ascii="宋体" w:hAnsi="宋体" w:cs="宋体"/>
          <w:spacing w:val="0"/>
          <w:szCs w:val="21"/>
        </w:rPr>
      </w:pPr>
    </w:p>
    <w:p>
      <w:pPr>
        <w:widowControl/>
        <w:spacing w:before="100" w:beforeAutospacing="1" w:after="100" w:afterAutospacing="1" w:line="360" w:lineRule="auto"/>
        <w:jc w:val="left"/>
        <w:rPr>
          <w:rFonts w:ascii="宋体" w:hAnsi="宋体" w:cs="仿宋_GB2312"/>
          <w:spacing w:val="0"/>
          <w:kern w:val="0"/>
          <w:szCs w:val="21"/>
          <w:shd w:val="clear" w:color="auto" w:fill="FFFFFF"/>
        </w:rPr>
      </w:pPr>
      <w:r>
        <w:rPr>
          <w:rFonts w:ascii="宋体" w:hAnsi="宋体" w:cs="仿宋_GB2312"/>
          <w:spacing w:val="0"/>
          <w:kern w:val="0"/>
          <w:szCs w:val="21"/>
          <w:shd w:val="clear" w:color="auto" w:fill="FFFFFF"/>
        </w:rPr>
        <w:t>签字(签章)：</w:t>
      </w:r>
    </w:p>
    <w:p>
      <w:pPr>
        <w:widowControl/>
        <w:spacing w:before="100" w:beforeAutospacing="1" w:after="100" w:afterAutospacing="1" w:line="360" w:lineRule="auto"/>
        <w:jc w:val="left"/>
        <w:rPr>
          <w:rFonts w:ascii="宋体" w:hAnsi="宋体" w:cs="宋体"/>
          <w:spacing w:val="0"/>
          <w:szCs w:val="21"/>
        </w:rPr>
      </w:pPr>
      <w:r>
        <w:rPr>
          <w:rFonts w:ascii="宋体" w:hAnsi="宋体" w:cs="仿宋_GB2312"/>
          <w:spacing w:val="0"/>
          <w:kern w:val="0"/>
          <w:szCs w:val="21"/>
          <w:shd w:val="clear" w:color="auto" w:fill="FFFFFF"/>
        </w:rPr>
        <w:t>公章：</w:t>
      </w:r>
    </w:p>
    <w:p>
      <w:pPr>
        <w:widowControl/>
        <w:spacing w:before="100" w:beforeAutospacing="1" w:after="100" w:afterAutospacing="1" w:line="360" w:lineRule="auto"/>
        <w:jc w:val="left"/>
        <w:rPr>
          <w:rFonts w:ascii="宋体" w:hAnsi="宋体" w:cs="Calibri"/>
          <w:spacing w:val="0"/>
          <w:kern w:val="0"/>
          <w:szCs w:val="21"/>
          <w:shd w:val="clear" w:color="auto" w:fill="FFFFFF"/>
        </w:rPr>
      </w:pPr>
      <w:r>
        <w:rPr>
          <w:rFonts w:ascii="宋体" w:hAnsi="宋体" w:cs="仿宋_GB2312"/>
          <w:spacing w:val="0"/>
          <w:kern w:val="0"/>
          <w:szCs w:val="21"/>
          <w:shd w:val="clear" w:color="auto" w:fill="FFFFFF"/>
        </w:rPr>
        <w:t>日期：</w:t>
      </w:r>
    </w:p>
    <w:p>
      <w:pPr>
        <w:widowControl/>
        <w:spacing w:before="100" w:beforeAutospacing="1" w:after="100" w:afterAutospacing="1" w:line="360" w:lineRule="auto"/>
        <w:jc w:val="left"/>
        <w:rPr>
          <w:rFonts w:ascii="宋体" w:hAnsi="宋体" w:cs="宋体"/>
          <w:spacing w:val="0"/>
          <w:szCs w:val="21"/>
        </w:rPr>
      </w:pPr>
    </w:p>
    <w:p>
      <w:pPr>
        <w:widowControl/>
        <w:spacing w:before="100" w:beforeAutospacing="1" w:after="100" w:afterAutospacing="1" w:line="360" w:lineRule="auto"/>
        <w:jc w:val="left"/>
        <w:rPr>
          <w:rFonts w:ascii="宋体" w:hAnsi="宋体" w:cs="宋体"/>
          <w:spacing w:val="0"/>
          <w:szCs w:val="21"/>
        </w:rPr>
      </w:pPr>
      <w:r>
        <w:rPr>
          <w:rFonts w:hint="eastAsia" w:ascii="宋体" w:hAnsi="宋体" w:cs="黑体"/>
          <w:b/>
          <w:spacing w:val="0"/>
          <w:kern w:val="0"/>
          <w:szCs w:val="21"/>
          <w:shd w:val="clear" w:color="auto" w:fill="FFFFFF"/>
        </w:rPr>
        <w:t>质疑函制作说明：</w:t>
      </w:r>
    </w:p>
    <w:p>
      <w:pPr>
        <w:widowControl/>
        <w:spacing w:before="100" w:beforeAutospacing="1" w:after="100" w:afterAutospacing="1" w:line="360" w:lineRule="auto"/>
        <w:ind w:firstLine="640"/>
        <w:jc w:val="left"/>
        <w:rPr>
          <w:rFonts w:ascii="宋体" w:hAnsi="宋体" w:cs="宋体"/>
          <w:spacing w:val="0"/>
          <w:szCs w:val="21"/>
        </w:rPr>
      </w:pPr>
      <w:r>
        <w:rPr>
          <w:rFonts w:ascii="宋体" w:hAnsi="宋体" w:cs="仿宋_GB2312"/>
          <w:spacing w:val="0"/>
          <w:kern w:val="0"/>
          <w:szCs w:val="21"/>
          <w:shd w:val="clear" w:color="auto" w:fill="FFFFFF"/>
        </w:rPr>
        <w:t>1.供应商提出质疑时，应提交质疑函和必要的证明材料。</w:t>
      </w:r>
    </w:p>
    <w:p>
      <w:pPr>
        <w:widowControl/>
        <w:spacing w:before="100" w:beforeAutospacing="1" w:after="100" w:afterAutospacing="1" w:line="360" w:lineRule="auto"/>
        <w:ind w:firstLine="640"/>
        <w:jc w:val="left"/>
        <w:rPr>
          <w:rFonts w:ascii="宋体" w:hAnsi="宋体" w:cs="宋体"/>
          <w:spacing w:val="0"/>
          <w:szCs w:val="21"/>
        </w:rPr>
      </w:pPr>
      <w:r>
        <w:rPr>
          <w:rFonts w:ascii="宋体" w:hAnsi="宋体" w:cs="仿宋_GB2312"/>
          <w:spacing w:val="0"/>
          <w:kern w:val="0"/>
          <w:szCs w:val="21"/>
          <w:shd w:val="clear" w:color="auto" w:fill="FFFFFF"/>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before="100" w:beforeAutospacing="1" w:after="100" w:afterAutospacing="1" w:line="360" w:lineRule="auto"/>
        <w:ind w:firstLine="640"/>
        <w:jc w:val="left"/>
        <w:rPr>
          <w:rFonts w:ascii="宋体" w:hAnsi="宋体" w:cs="宋体"/>
          <w:spacing w:val="0"/>
          <w:szCs w:val="21"/>
        </w:rPr>
      </w:pPr>
      <w:r>
        <w:rPr>
          <w:rFonts w:ascii="宋体" w:hAnsi="宋体" w:cs="仿宋_GB2312"/>
          <w:spacing w:val="0"/>
          <w:kern w:val="0"/>
          <w:szCs w:val="21"/>
          <w:shd w:val="clear" w:color="auto" w:fill="FFFFFF"/>
        </w:rPr>
        <w:t>3.质疑供应商若对项目的某一</w:t>
      </w:r>
      <w:r>
        <w:rPr>
          <w:rFonts w:hint="eastAsia" w:ascii="宋体" w:hAnsi="宋体" w:cs="仿宋_GB2312"/>
          <w:spacing w:val="0"/>
          <w:kern w:val="0"/>
          <w:szCs w:val="21"/>
          <w:shd w:val="clear" w:color="auto" w:fill="FFFFFF"/>
        </w:rPr>
        <w:t>标项</w:t>
      </w:r>
      <w:r>
        <w:rPr>
          <w:rFonts w:ascii="宋体" w:hAnsi="宋体" w:cs="仿宋_GB2312"/>
          <w:spacing w:val="0"/>
          <w:kern w:val="0"/>
          <w:szCs w:val="21"/>
          <w:shd w:val="clear" w:color="auto" w:fill="FFFFFF"/>
        </w:rPr>
        <w:t>进行质疑，质疑函中应列明具体</w:t>
      </w:r>
      <w:r>
        <w:rPr>
          <w:rFonts w:hint="eastAsia" w:ascii="宋体" w:hAnsi="宋体" w:cs="仿宋_GB2312"/>
          <w:spacing w:val="0"/>
          <w:kern w:val="0"/>
          <w:szCs w:val="21"/>
          <w:shd w:val="clear" w:color="auto" w:fill="FFFFFF"/>
        </w:rPr>
        <w:t>标项</w:t>
      </w:r>
      <w:r>
        <w:rPr>
          <w:rFonts w:ascii="宋体" w:hAnsi="宋体" w:cs="仿宋_GB2312"/>
          <w:spacing w:val="0"/>
          <w:kern w:val="0"/>
          <w:szCs w:val="21"/>
          <w:shd w:val="clear" w:color="auto" w:fill="FFFFFF"/>
        </w:rPr>
        <w:t>。</w:t>
      </w:r>
    </w:p>
    <w:p>
      <w:pPr>
        <w:widowControl/>
        <w:spacing w:before="100" w:beforeAutospacing="1" w:after="100" w:afterAutospacing="1" w:line="360" w:lineRule="auto"/>
        <w:ind w:firstLine="640"/>
        <w:jc w:val="left"/>
        <w:rPr>
          <w:rFonts w:ascii="宋体" w:hAnsi="宋体" w:cs="宋体"/>
          <w:spacing w:val="0"/>
          <w:szCs w:val="21"/>
        </w:rPr>
      </w:pPr>
      <w:r>
        <w:rPr>
          <w:rFonts w:ascii="宋体" w:hAnsi="宋体" w:cs="仿宋_GB2312"/>
          <w:spacing w:val="0"/>
          <w:kern w:val="0"/>
          <w:szCs w:val="21"/>
          <w:shd w:val="clear" w:color="auto" w:fill="FFFFFF"/>
        </w:rPr>
        <w:t>4.质疑函的质疑事项应具体、明确，并有必要的事实依据和法律依据。</w:t>
      </w:r>
    </w:p>
    <w:p>
      <w:pPr>
        <w:widowControl/>
        <w:spacing w:before="100" w:beforeAutospacing="1" w:after="100" w:afterAutospacing="1" w:line="360" w:lineRule="auto"/>
        <w:ind w:firstLine="640"/>
        <w:jc w:val="left"/>
        <w:rPr>
          <w:rFonts w:ascii="宋体" w:hAnsi="宋体" w:cs="宋体"/>
          <w:spacing w:val="0"/>
          <w:szCs w:val="21"/>
        </w:rPr>
      </w:pPr>
      <w:r>
        <w:rPr>
          <w:rFonts w:ascii="宋体" w:hAnsi="宋体" w:cs="仿宋_GB2312"/>
          <w:spacing w:val="0"/>
          <w:kern w:val="0"/>
          <w:szCs w:val="21"/>
          <w:shd w:val="clear" w:color="auto" w:fill="FFFFFF"/>
        </w:rPr>
        <w:t>5.质疑函的质疑请求应与质疑事项相关。</w:t>
      </w:r>
    </w:p>
    <w:p>
      <w:pPr>
        <w:widowControl/>
        <w:spacing w:before="100" w:beforeAutospacing="1" w:after="100" w:afterAutospacing="1" w:line="360" w:lineRule="auto"/>
        <w:ind w:firstLine="640"/>
        <w:jc w:val="left"/>
        <w:rPr>
          <w:rFonts w:hint="eastAsia" w:ascii="宋体" w:hAnsi="宋体" w:cs="宋体"/>
          <w:spacing w:val="0"/>
          <w:szCs w:val="21"/>
        </w:rPr>
      </w:pPr>
      <w:r>
        <w:rPr>
          <w:rFonts w:ascii="宋体" w:hAnsi="宋体" w:cs="仿宋_GB2312"/>
          <w:spacing w:val="0"/>
          <w:kern w:val="0"/>
          <w:szCs w:val="21"/>
          <w:shd w:val="clear" w:color="auto" w:fill="FFFFFF"/>
        </w:rPr>
        <w:t>6.质疑供应商为自然人的，质疑函应由本人签字；质疑供应商为法人或者其他组织的，质疑函应由法定代表人、主要负责人，或者其授权代表签字或者盖章，并加盖公章。</w:t>
      </w:r>
    </w:p>
    <w:sectPr>
      <w:footerReference r:id="rId4" w:type="default"/>
      <w:pgSz w:w="11906" w:h="16838"/>
      <w:pgMar w:top="1134" w:right="1134" w:bottom="1134" w:left="1134" w:header="1134" w:footer="1134"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2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6511898"/>
      <w:docPartObj>
        <w:docPartGallery w:val="autotext"/>
      </w:docPartObj>
    </w:sdtPr>
    <w:sdtContent>
      <w:sdt>
        <w:sdtPr>
          <w:id w:val="1728636285"/>
          <w:docPartObj>
            <w:docPartGallery w:val="autotext"/>
          </w:docPartObj>
        </w:sdtPr>
        <w:sdtContent>
          <w:p>
            <w:pPr>
              <w:pStyle w:val="16"/>
              <w:jc w:val="center"/>
              <w:rPr>
                <w:rFonts w:hint="eastAsia"/>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ascii="宋体"/>
      </w:rPr>
    </w:pPr>
    <w:r>
      <w:rPr>
        <w:rFonts w:hint="eastAsia" w:ascii="宋体"/>
      </w:rPr>
      <w:drawing>
        <wp:inline distT="0" distB="0" distL="114300" distR="114300">
          <wp:extent cx="1602105" cy="293370"/>
          <wp:effectExtent l="0" t="0" r="17145" b="11430"/>
          <wp:docPr id="2"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片1"/>
                  <pic:cNvPicPr>
                    <a:picLocks noChangeAspect="1"/>
                  </pic:cNvPicPr>
                </pic:nvPicPr>
                <pic:blipFill>
                  <a:blip r:embed="rId1"/>
                  <a:stretch>
                    <a:fillRect/>
                  </a:stretch>
                </pic:blipFill>
                <pic:spPr>
                  <a:xfrm>
                    <a:off x="0" y="0"/>
                    <a:ext cx="1602105" cy="293370"/>
                  </a:xfrm>
                  <a:prstGeom prst="rect">
                    <a:avLst/>
                  </a:prstGeom>
                  <a:noFill/>
                  <a:ln>
                    <a:noFill/>
                  </a:ln>
                </pic:spPr>
              </pic:pic>
            </a:graphicData>
          </a:graphic>
        </wp:inline>
      </w:drawing>
    </w:r>
    <w:r>
      <w:rPr>
        <w:rFonts w:hint="eastAsia" w:ascii="宋体"/>
      </w:rPr>
      <w:t xml:space="preserve">  </w:t>
    </w:r>
    <w:r>
      <w:rPr>
        <w:rFonts w:hint="eastAsia" w:ascii="宋体"/>
        <w:lang w:val="en-US" w:eastAsia="zh-CN"/>
      </w:rPr>
      <w:t xml:space="preserve">    </w:t>
    </w:r>
    <w:r>
      <w:rPr>
        <w:rFonts w:hint="eastAsia" w:ascii="宋体"/>
      </w:rPr>
      <w:t>嵊泗县海洋经济发展局（嵊泗县海洋与渔业局）卫星语音通讯服务项目（重新采购）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34DE15"/>
    <w:multiLevelType w:val="singleLevel"/>
    <w:tmpl w:val="0C34DE15"/>
    <w:lvl w:ilvl="0" w:tentative="0">
      <w:start w:val="1"/>
      <w:numFmt w:val="decimal"/>
      <w:lvlText w:val="%1."/>
      <w:lvlJc w:val="left"/>
      <w:pPr>
        <w:tabs>
          <w:tab w:val="left" w:pos="312"/>
        </w:tabs>
      </w:pPr>
    </w:lvl>
  </w:abstractNum>
  <w:abstractNum w:abstractNumId="1">
    <w:nsid w:val="225A8346"/>
    <w:multiLevelType w:val="singleLevel"/>
    <w:tmpl w:val="225A8346"/>
    <w:lvl w:ilvl="0" w:tentative="0">
      <w:start w:val="1"/>
      <w:numFmt w:val="decimal"/>
      <w:lvlText w:val="%1."/>
      <w:lvlJc w:val="left"/>
      <w:pPr>
        <w:tabs>
          <w:tab w:val="left" w:pos="312"/>
        </w:tabs>
      </w:pPr>
    </w:lvl>
  </w:abstractNum>
  <w:abstractNum w:abstractNumId="2">
    <w:nsid w:val="4DD4552D"/>
    <w:multiLevelType w:val="singleLevel"/>
    <w:tmpl w:val="4DD4552D"/>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60"/>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I2N2FkMTlmZjJkNmI4ZmZkN2IzMzM0YmMyNTc2MDIifQ=="/>
  </w:docVars>
  <w:rsids>
    <w:rsidRoot w:val="00172A27"/>
    <w:rsid w:val="000008AE"/>
    <w:rsid w:val="00000DA0"/>
    <w:rsid w:val="0000107B"/>
    <w:rsid w:val="00001255"/>
    <w:rsid w:val="00001351"/>
    <w:rsid w:val="00001616"/>
    <w:rsid w:val="00002240"/>
    <w:rsid w:val="0000249F"/>
    <w:rsid w:val="000036AE"/>
    <w:rsid w:val="000053DD"/>
    <w:rsid w:val="000067D2"/>
    <w:rsid w:val="00006CD5"/>
    <w:rsid w:val="00010275"/>
    <w:rsid w:val="00011F5B"/>
    <w:rsid w:val="00012FC0"/>
    <w:rsid w:val="000131FB"/>
    <w:rsid w:val="00013F7B"/>
    <w:rsid w:val="000148CF"/>
    <w:rsid w:val="000150F2"/>
    <w:rsid w:val="00015267"/>
    <w:rsid w:val="00015B00"/>
    <w:rsid w:val="000161B6"/>
    <w:rsid w:val="00020487"/>
    <w:rsid w:val="00021229"/>
    <w:rsid w:val="00021CDE"/>
    <w:rsid w:val="00021CF2"/>
    <w:rsid w:val="000225BC"/>
    <w:rsid w:val="00022EFA"/>
    <w:rsid w:val="00023C49"/>
    <w:rsid w:val="00023E4C"/>
    <w:rsid w:val="0002452C"/>
    <w:rsid w:val="000260AD"/>
    <w:rsid w:val="000265C2"/>
    <w:rsid w:val="00026CC2"/>
    <w:rsid w:val="000273C7"/>
    <w:rsid w:val="00027CC8"/>
    <w:rsid w:val="00027CEC"/>
    <w:rsid w:val="00027D38"/>
    <w:rsid w:val="000303E1"/>
    <w:rsid w:val="00030AD8"/>
    <w:rsid w:val="000317CA"/>
    <w:rsid w:val="0003181C"/>
    <w:rsid w:val="00032134"/>
    <w:rsid w:val="000325CE"/>
    <w:rsid w:val="0003329B"/>
    <w:rsid w:val="00033641"/>
    <w:rsid w:val="00034D19"/>
    <w:rsid w:val="0003660B"/>
    <w:rsid w:val="000369D2"/>
    <w:rsid w:val="00037EE2"/>
    <w:rsid w:val="000407B3"/>
    <w:rsid w:val="0004111B"/>
    <w:rsid w:val="000415B1"/>
    <w:rsid w:val="00041BE4"/>
    <w:rsid w:val="0004279E"/>
    <w:rsid w:val="0004335D"/>
    <w:rsid w:val="00043AC8"/>
    <w:rsid w:val="00044AE2"/>
    <w:rsid w:val="00044B3F"/>
    <w:rsid w:val="00045883"/>
    <w:rsid w:val="00046374"/>
    <w:rsid w:val="00047114"/>
    <w:rsid w:val="0005095B"/>
    <w:rsid w:val="00050DEE"/>
    <w:rsid w:val="000516E3"/>
    <w:rsid w:val="00051B80"/>
    <w:rsid w:val="00052F70"/>
    <w:rsid w:val="00053F58"/>
    <w:rsid w:val="0005415C"/>
    <w:rsid w:val="00055835"/>
    <w:rsid w:val="00055B9A"/>
    <w:rsid w:val="00055C01"/>
    <w:rsid w:val="00055DD9"/>
    <w:rsid w:val="000566FC"/>
    <w:rsid w:val="00057A16"/>
    <w:rsid w:val="000601BC"/>
    <w:rsid w:val="00060821"/>
    <w:rsid w:val="0006107F"/>
    <w:rsid w:val="00061AE1"/>
    <w:rsid w:val="00061B2C"/>
    <w:rsid w:val="00063583"/>
    <w:rsid w:val="00064447"/>
    <w:rsid w:val="00064E63"/>
    <w:rsid w:val="00065112"/>
    <w:rsid w:val="00065300"/>
    <w:rsid w:val="0006586E"/>
    <w:rsid w:val="00065C18"/>
    <w:rsid w:val="00066224"/>
    <w:rsid w:val="000668F7"/>
    <w:rsid w:val="00067BAD"/>
    <w:rsid w:val="00070E4F"/>
    <w:rsid w:val="00070F6C"/>
    <w:rsid w:val="0007335F"/>
    <w:rsid w:val="000735C6"/>
    <w:rsid w:val="00074E0B"/>
    <w:rsid w:val="00074E62"/>
    <w:rsid w:val="00074FAC"/>
    <w:rsid w:val="00075588"/>
    <w:rsid w:val="0007669B"/>
    <w:rsid w:val="00076754"/>
    <w:rsid w:val="00077441"/>
    <w:rsid w:val="000779FD"/>
    <w:rsid w:val="0008040C"/>
    <w:rsid w:val="00080D08"/>
    <w:rsid w:val="00081A6F"/>
    <w:rsid w:val="00081C6F"/>
    <w:rsid w:val="00083162"/>
    <w:rsid w:val="000839AD"/>
    <w:rsid w:val="00083C5C"/>
    <w:rsid w:val="00085105"/>
    <w:rsid w:val="00086507"/>
    <w:rsid w:val="00086933"/>
    <w:rsid w:val="00086EEC"/>
    <w:rsid w:val="00087E11"/>
    <w:rsid w:val="00090784"/>
    <w:rsid w:val="000911CB"/>
    <w:rsid w:val="00091498"/>
    <w:rsid w:val="00091A59"/>
    <w:rsid w:val="00091E8E"/>
    <w:rsid w:val="0009261A"/>
    <w:rsid w:val="00094603"/>
    <w:rsid w:val="00094871"/>
    <w:rsid w:val="00096762"/>
    <w:rsid w:val="00096E45"/>
    <w:rsid w:val="00096F0A"/>
    <w:rsid w:val="00097D22"/>
    <w:rsid w:val="00097F86"/>
    <w:rsid w:val="000A0344"/>
    <w:rsid w:val="000A0956"/>
    <w:rsid w:val="000A0A54"/>
    <w:rsid w:val="000A0D2D"/>
    <w:rsid w:val="000A147D"/>
    <w:rsid w:val="000A258D"/>
    <w:rsid w:val="000A2631"/>
    <w:rsid w:val="000A40BB"/>
    <w:rsid w:val="000A4221"/>
    <w:rsid w:val="000A4912"/>
    <w:rsid w:val="000A4A6F"/>
    <w:rsid w:val="000A4C96"/>
    <w:rsid w:val="000A566A"/>
    <w:rsid w:val="000A59AD"/>
    <w:rsid w:val="000A5FA5"/>
    <w:rsid w:val="000A693E"/>
    <w:rsid w:val="000B0D07"/>
    <w:rsid w:val="000B0ECA"/>
    <w:rsid w:val="000B1196"/>
    <w:rsid w:val="000B123C"/>
    <w:rsid w:val="000B1E8B"/>
    <w:rsid w:val="000B1E98"/>
    <w:rsid w:val="000B28DB"/>
    <w:rsid w:val="000B2A5F"/>
    <w:rsid w:val="000B2EA7"/>
    <w:rsid w:val="000B46A2"/>
    <w:rsid w:val="000B4979"/>
    <w:rsid w:val="000B4C39"/>
    <w:rsid w:val="000B7447"/>
    <w:rsid w:val="000B7738"/>
    <w:rsid w:val="000C021F"/>
    <w:rsid w:val="000C0E70"/>
    <w:rsid w:val="000C16D6"/>
    <w:rsid w:val="000C1DC6"/>
    <w:rsid w:val="000C4808"/>
    <w:rsid w:val="000C48DE"/>
    <w:rsid w:val="000C4B01"/>
    <w:rsid w:val="000C5A51"/>
    <w:rsid w:val="000C783F"/>
    <w:rsid w:val="000C7CF8"/>
    <w:rsid w:val="000D130E"/>
    <w:rsid w:val="000D1459"/>
    <w:rsid w:val="000D1936"/>
    <w:rsid w:val="000D1AA4"/>
    <w:rsid w:val="000D1DF0"/>
    <w:rsid w:val="000D291A"/>
    <w:rsid w:val="000D2B33"/>
    <w:rsid w:val="000D32EC"/>
    <w:rsid w:val="000D33F2"/>
    <w:rsid w:val="000D3438"/>
    <w:rsid w:val="000D3A03"/>
    <w:rsid w:val="000D4477"/>
    <w:rsid w:val="000D5E43"/>
    <w:rsid w:val="000D750F"/>
    <w:rsid w:val="000D79EB"/>
    <w:rsid w:val="000D7AF8"/>
    <w:rsid w:val="000D7E24"/>
    <w:rsid w:val="000E028B"/>
    <w:rsid w:val="000E02F2"/>
    <w:rsid w:val="000E1E85"/>
    <w:rsid w:val="000E2837"/>
    <w:rsid w:val="000E2BC0"/>
    <w:rsid w:val="000E3EEF"/>
    <w:rsid w:val="000E416C"/>
    <w:rsid w:val="000E56DE"/>
    <w:rsid w:val="000E706B"/>
    <w:rsid w:val="000F02E6"/>
    <w:rsid w:val="000F0550"/>
    <w:rsid w:val="000F1074"/>
    <w:rsid w:val="000F13AF"/>
    <w:rsid w:val="000F2A94"/>
    <w:rsid w:val="000F2E5E"/>
    <w:rsid w:val="000F421C"/>
    <w:rsid w:val="000F4472"/>
    <w:rsid w:val="000F4C37"/>
    <w:rsid w:val="000F4F94"/>
    <w:rsid w:val="000F55ED"/>
    <w:rsid w:val="000F5680"/>
    <w:rsid w:val="000F5897"/>
    <w:rsid w:val="000F6027"/>
    <w:rsid w:val="000F6E50"/>
    <w:rsid w:val="001007C1"/>
    <w:rsid w:val="00101001"/>
    <w:rsid w:val="00101417"/>
    <w:rsid w:val="00102CD6"/>
    <w:rsid w:val="00103EDC"/>
    <w:rsid w:val="00103FBC"/>
    <w:rsid w:val="00105C54"/>
    <w:rsid w:val="001062C4"/>
    <w:rsid w:val="0010669E"/>
    <w:rsid w:val="00107048"/>
    <w:rsid w:val="0010765D"/>
    <w:rsid w:val="00107E23"/>
    <w:rsid w:val="00110878"/>
    <w:rsid w:val="00111204"/>
    <w:rsid w:val="001113A5"/>
    <w:rsid w:val="00111D5D"/>
    <w:rsid w:val="00112791"/>
    <w:rsid w:val="0011355D"/>
    <w:rsid w:val="0011384C"/>
    <w:rsid w:val="0011396E"/>
    <w:rsid w:val="00113E4C"/>
    <w:rsid w:val="00113FC6"/>
    <w:rsid w:val="0011495F"/>
    <w:rsid w:val="00115E32"/>
    <w:rsid w:val="0011602B"/>
    <w:rsid w:val="00116541"/>
    <w:rsid w:val="001172A3"/>
    <w:rsid w:val="001177E3"/>
    <w:rsid w:val="00120DDB"/>
    <w:rsid w:val="00120EEE"/>
    <w:rsid w:val="00120F3A"/>
    <w:rsid w:val="00121115"/>
    <w:rsid w:val="001223F9"/>
    <w:rsid w:val="00122D30"/>
    <w:rsid w:val="00122D3E"/>
    <w:rsid w:val="00123169"/>
    <w:rsid w:val="001232C5"/>
    <w:rsid w:val="00124AFE"/>
    <w:rsid w:val="00124EF7"/>
    <w:rsid w:val="001258CD"/>
    <w:rsid w:val="00125A10"/>
    <w:rsid w:val="00126051"/>
    <w:rsid w:val="0012621D"/>
    <w:rsid w:val="00126F03"/>
    <w:rsid w:val="00127812"/>
    <w:rsid w:val="0012782B"/>
    <w:rsid w:val="001304E4"/>
    <w:rsid w:val="00131683"/>
    <w:rsid w:val="00131B3F"/>
    <w:rsid w:val="00132E4D"/>
    <w:rsid w:val="001332AE"/>
    <w:rsid w:val="00133D3A"/>
    <w:rsid w:val="00133F40"/>
    <w:rsid w:val="001341B8"/>
    <w:rsid w:val="00135C96"/>
    <w:rsid w:val="00136020"/>
    <w:rsid w:val="001363C1"/>
    <w:rsid w:val="001375A8"/>
    <w:rsid w:val="00141886"/>
    <w:rsid w:val="00143FF7"/>
    <w:rsid w:val="00145C0D"/>
    <w:rsid w:val="00146466"/>
    <w:rsid w:val="001464CC"/>
    <w:rsid w:val="00146A29"/>
    <w:rsid w:val="00146B1C"/>
    <w:rsid w:val="00146E1A"/>
    <w:rsid w:val="00150017"/>
    <w:rsid w:val="001504B3"/>
    <w:rsid w:val="0015086E"/>
    <w:rsid w:val="00150F5B"/>
    <w:rsid w:val="00150FD2"/>
    <w:rsid w:val="001517FA"/>
    <w:rsid w:val="001526CD"/>
    <w:rsid w:val="0015311C"/>
    <w:rsid w:val="001538AB"/>
    <w:rsid w:val="00153ACA"/>
    <w:rsid w:val="001543EB"/>
    <w:rsid w:val="0015506F"/>
    <w:rsid w:val="00155A65"/>
    <w:rsid w:val="00155F0F"/>
    <w:rsid w:val="0015624B"/>
    <w:rsid w:val="00156900"/>
    <w:rsid w:val="00156A6A"/>
    <w:rsid w:val="00156AD8"/>
    <w:rsid w:val="00156B04"/>
    <w:rsid w:val="00157751"/>
    <w:rsid w:val="00157978"/>
    <w:rsid w:val="0016017E"/>
    <w:rsid w:val="00160802"/>
    <w:rsid w:val="00163495"/>
    <w:rsid w:val="00163779"/>
    <w:rsid w:val="0016440E"/>
    <w:rsid w:val="0016455C"/>
    <w:rsid w:val="00165846"/>
    <w:rsid w:val="00165BBD"/>
    <w:rsid w:val="00165C2B"/>
    <w:rsid w:val="00166238"/>
    <w:rsid w:val="001670C9"/>
    <w:rsid w:val="00167C19"/>
    <w:rsid w:val="00170FBD"/>
    <w:rsid w:val="00170FE9"/>
    <w:rsid w:val="001716ED"/>
    <w:rsid w:val="0017193F"/>
    <w:rsid w:val="00171E07"/>
    <w:rsid w:val="00171E68"/>
    <w:rsid w:val="00172A27"/>
    <w:rsid w:val="00172AB0"/>
    <w:rsid w:val="00172EC3"/>
    <w:rsid w:val="00173114"/>
    <w:rsid w:val="00174BF0"/>
    <w:rsid w:val="00174CD8"/>
    <w:rsid w:val="001756D5"/>
    <w:rsid w:val="00175E3B"/>
    <w:rsid w:val="001766C9"/>
    <w:rsid w:val="001777BF"/>
    <w:rsid w:val="0018014D"/>
    <w:rsid w:val="00180445"/>
    <w:rsid w:val="001811B0"/>
    <w:rsid w:val="00181604"/>
    <w:rsid w:val="0018175C"/>
    <w:rsid w:val="001822EE"/>
    <w:rsid w:val="001839A5"/>
    <w:rsid w:val="00183DFE"/>
    <w:rsid w:val="0018435A"/>
    <w:rsid w:val="00186E86"/>
    <w:rsid w:val="00191A11"/>
    <w:rsid w:val="00191BAF"/>
    <w:rsid w:val="00193AF0"/>
    <w:rsid w:val="00193D77"/>
    <w:rsid w:val="00196D89"/>
    <w:rsid w:val="00196E1C"/>
    <w:rsid w:val="00197723"/>
    <w:rsid w:val="001A06DA"/>
    <w:rsid w:val="001A0C59"/>
    <w:rsid w:val="001A0CC2"/>
    <w:rsid w:val="001A0D8E"/>
    <w:rsid w:val="001A11C6"/>
    <w:rsid w:val="001A12B0"/>
    <w:rsid w:val="001A174D"/>
    <w:rsid w:val="001A1A69"/>
    <w:rsid w:val="001A26B9"/>
    <w:rsid w:val="001A2735"/>
    <w:rsid w:val="001A302D"/>
    <w:rsid w:val="001A443D"/>
    <w:rsid w:val="001A4ED4"/>
    <w:rsid w:val="001A51F1"/>
    <w:rsid w:val="001A5A17"/>
    <w:rsid w:val="001A6013"/>
    <w:rsid w:val="001A60CD"/>
    <w:rsid w:val="001A6EE2"/>
    <w:rsid w:val="001A7817"/>
    <w:rsid w:val="001B0139"/>
    <w:rsid w:val="001B0528"/>
    <w:rsid w:val="001B1FF0"/>
    <w:rsid w:val="001B3018"/>
    <w:rsid w:val="001B37FC"/>
    <w:rsid w:val="001B3C2A"/>
    <w:rsid w:val="001B3E80"/>
    <w:rsid w:val="001B4EE8"/>
    <w:rsid w:val="001B51F5"/>
    <w:rsid w:val="001B5DD2"/>
    <w:rsid w:val="001B6395"/>
    <w:rsid w:val="001B6AB2"/>
    <w:rsid w:val="001B700B"/>
    <w:rsid w:val="001C0AE0"/>
    <w:rsid w:val="001C10E7"/>
    <w:rsid w:val="001C1A4D"/>
    <w:rsid w:val="001C2753"/>
    <w:rsid w:val="001C2C2A"/>
    <w:rsid w:val="001C2C3B"/>
    <w:rsid w:val="001C3489"/>
    <w:rsid w:val="001C3751"/>
    <w:rsid w:val="001C39CD"/>
    <w:rsid w:val="001C4002"/>
    <w:rsid w:val="001C44E0"/>
    <w:rsid w:val="001C45A6"/>
    <w:rsid w:val="001C46EA"/>
    <w:rsid w:val="001C57FE"/>
    <w:rsid w:val="001C62BD"/>
    <w:rsid w:val="001C6CAA"/>
    <w:rsid w:val="001C7CDF"/>
    <w:rsid w:val="001D063F"/>
    <w:rsid w:val="001D158D"/>
    <w:rsid w:val="001D1953"/>
    <w:rsid w:val="001D1C72"/>
    <w:rsid w:val="001D308A"/>
    <w:rsid w:val="001D34F9"/>
    <w:rsid w:val="001D35AA"/>
    <w:rsid w:val="001D39A1"/>
    <w:rsid w:val="001D4145"/>
    <w:rsid w:val="001D4C0C"/>
    <w:rsid w:val="001D5538"/>
    <w:rsid w:val="001D6CC5"/>
    <w:rsid w:val="001D75C1"/>
    <w:rsid w:val="001D7BAA"/>
    <w:rsid w:val="001D7BB5"/>
    <w:rsid w:val="001D7F59"/>
    <w:rsid w:val="001E1A83"/>
    <w:rsid w:val="001E1E4B"/>
    <w:rsid w:val="001E27F2"/>
    <w:rsid w:val="001E2A03"/>
    <w:rsid w:val="001E332D"/>
    <w:rsid w:val="001E4836"/>
    <w:rsid w:val="001E489E"/>
    <w:rsid w:val="001E4DD3"/>
    <w:rsid w:val="001E6C80"/>
    <w:rsid w:val="001E6F65"/>
    <w:rsid w:val="001E72E4"/>
    <w:rsid w:val="001E77DC"/>
    <w:rsid w:val="001F1468"/>
    <w:rsid w:val="001F2C36"/>
    <w:rsid w:val="001F2E29"/>
    <w:rsid w:val="001F32E1"/>
    <w:rsid w:val="001F5049"/>
    <w:rsid w:val="001F57E8"/>
    <w:rsid w:val="001F73E3"/>
    <w:rsid w:val="00200B8A"/>
    <w:rsid w:val="0020214C"/>
    <w:rsid w:val="00202BAD"/>
    <w:rsid w:val="002033B0"/>
    <w:rsid w:val="00203813"/>
    <w:rsid w:val="00203CBD"/>
    <w:rsid w:val="00204173"/>
    <w:rsid w:val="00204255"/>
    <w:rsid w:val="00204E0B"/>
    <w:rsid w:val="0020572E"/>
    <w:rsid w:val="002074C7"/>
    <w:rsid w:val="002076B2"/>
    <w:rsid w:val="002077D4"/>
    <w:rsid w:val="00210917"/>
    <w:rsid w:val="002109CC"/>
    <w:rsid w:val="00210A2F"/>
    <w:rsid w:val="00210C93"/>
    <w:rsid w:val="00210FF5"/>
    <w:rsid w:val="00211F2E"/>
    <w:rsid w:val="002121FB"/>
    <w:rsid w:val="002131E2"/>
    <w:rsid w:val="002132F3"/>
    <w:rsid w:val="00213854"/>
    <w:rsid w:val="0021389D"/>
    <w:rsid w:val="00215118"/>
    <w:rsid w:val="00215256"/>
    <w:rsid w:val="002153EE"/>
    <w:rsid w:val="00215753"/>
    <w:rsid w:val="00216140"/>
    <w:rsid w:val="00217077"/>
    <w:rsid w:val="00217D2C"/>
    <w:rsid w:val="00220417"/>
    <w:rsid w:val="002214F8"/>
    <w:rsid w:val="00221800"/>
    <w:rsid w:val="002219DE"/>
    <w:rsid w:val="00221E2B"/>
    <w:rsid w:val="00222143"/>
    <w:rsid w:val="00222549"/>
    <w:rsid w:val="0022331B"/>
    <w:rsid w:val="002234D2"/>
    <w:rsid w:val="0022350B"/>
    <w:rsid w:val="00223D20"/>
    <w:rsid w:val="002245E7"/>
    <w:rsid w:val="00225ED0"/>
    <w:rsid w:val="00232FE0"/>
    <w:rsid w:val="0023434B"/>
    <w:rsid w:val="0023487B"/>
    <w:rsid w:val="00234B90"/>
    <w:rsid w:val="00234DDF"/>
    <w:rsid w:val="00235302"/>
    <w:rsid w:val="0023545C"/>
    <w:rsid w:val="00235928"/>
    <w:rsid w:val="002362B4"/>
    <w:rsid w:val="0023667C"/>
    <w:rsid w:val="002367A2"/>
    <w:rsid w:val="00236B19"/>
    <w:rsid w:val="00237206"/>
    <w:rsid w:val="00237FF3"/>
    <w:rsid w:val="0024050C"/>
    <w:rsid w:val="002416B2"/>
    <w:rsid w:val="00241D30"/>
    <w:rsid w:val="00242A57"/>
    <w:rsid w:val="002458CA"/>
    <w:rsid w:val="00245F3C"/>
    <w:rsid w:val="00246E62"/>
    <w:rsid w:val="0024774E"/>
    <w:rsid w:val="002478C0"/>
    <w:rsid w:val="00247A3F"/>
    <w:rsid w:val="00247CD9"/>
    <w:rsid w:val="00250461"/>
    <w:rsid w:val="002509F6"/>
    <w:rsid w:val="00252F64"/>
    <w:rsid w:val="0025338A"/>
    <w:rsid w:val="0025349D"/>
    <w:rsid w:val="002549ED"/>
    <w:rsid w:val="00254A27"/>
    <w:rsid w:val="00254C17"/>
    <w:rsid w:val="00255555"/>
    <w:rsid w:val="00255BF9"/>
    <w:rsid w:val="00256489"/>
    <w:rsid w:val="0025677D"/>
    <w:rsid w:val="00256852"/>
    <w:rsid w:val="00257583"/>
    <w:rsid w:val="00257B9B"/>
    <w:rsid w:val="00257C06"/>
    <w:rsid w:val="002600B8"/>
    <w:rsid w:val="00260567"/>
    <w:rsid w:val="002613F0"/>
    <w:rsid w:val="0026184C"/>
    <w:rsid w:val="00262C3E"/>
    <w:rsid w:val="00263D21"/>
    <w:rsid w:val="00265BF6"/>
    <w:rsid w:val="00267758"/>
    <w:rsid w:val="00267846"/>
    <w:rsid w:val="00267917"/>
    <w:rsid w:val="00270ABA"/>
    <w:rsid w:val="00270AC8"/>
    <w:rsid w:val="00270BEF"/>
    <w:rsid w:val="00271361"/>
    <w:rsid w:val="00272DBA"/>
    <w:rsid w:val="00273D91"/>
    <w:rsid w:val="00275801"/>
    <w:rsid w:val="00276E78"/>
    <w:rsid w:val="00277869"/>
    <w:rsid w:val="00277FAD"/>
    <w:rsid w:val="0028004F"/>
    <w:rsid w:val="00280E3D"/>
    <w:rsid w:val="00281426"/>
    <w:rsid w:val="00282A91"/>
    <w:rsid w:val="00282EDB"/>
    <w:rsid w:val="002839B4"/>
    <w:rsid w:val="00284A1F"/>
    <w:rsid w:val="00284B14"/>
    <w:rsid w:val="002855A8"/>
    <w:rsid w:val="002858CB"/>
    <w:rsid w:val="00285F68"/>
    <w:rsid w:val="002865E2"/>
    <w:rsid w:val="00287327"/>
    <w:rsid w:val="00287CC0"/>
    <w:rsid w:val="00287D61"/>
    <w:rsid w:val="00287F07"/>
    <w:rsid w:val="0029021B"/>
    <w:rsid w:val="00290724"/>
    <w:rsid w:val="00290767"/>
    <w:rsid w:val="00291273"/>
    <w:rsid w:val="0029289B"/>
    <w:rsid w:val="00292953"/>
    <w:rsid w:val="00292C88"/>
    <w:rsid w:val="002935DA"/>
    <w:rsid w:val="00294734"/>
    <w:rsid w:val="00294C1B"/>
    <w:rsid w:val="00294C4F"/>
    <w:rsid w:val="0029596A"/>
    <w:rsid w:val="00297B9B"/>
    <w:rsid w:val="002A0A4D"/>
    <w:rsid w:val="002A143F"/>
    <w:rsid w:val="002A23F6"/>
    <w:rsid w:val="002A27AE"/>
    <w:rsid w:val="002A33CA"/>
    <w:rsid w:val="002A407B"/>
    <w:rsid w:val="002A40F4"/>
    <w:rsid w:val="002A4F61"/>
    <w:rsid w:val="002A5107"/>
    <w:rsid w:val="002A51D8"/>
    <w:rsid w:val="002A51F8"/>
    <w:rsid w:val="002A5465"/>
    <w:rsid w:val="002A56B4"/>
    <w:rsid w:val="002A6BF4"/>
    <w:rsid w:val="002A7308"/>
    <w:rsid w:val="002A787A"/>
    <w:rsid w:val="002B0084"/>
    <w:rsid w:val="002B0A91"/>
    <w:rsid w:val="002B0EFE"/>
    <w:rsid w:val="002B1551"/>
    <w:rsid w:val="002B1AA7"/>
    <w:rsid w:val="002B2125"/>
    <w:rsid w:val="002B2987"/>
    <w:rsid w:val="002B44A7"/>
    <w:rsid w:val="002B4C97"/>
    <w:rsid w:val="002B4F2E"/>
    <w:rsid w:val="002B5515"/>
    <w:rsid w:val="002B6782"/>
    <w:rsid w:val="002B6A7C"/>
    <w:rsid w:val="002B6AA8"/>
    <w:rsid w:val="002C01E9"/>
    <w:rsid w:val="002C49B8"/>
    <w:rsid w:val="002C4CBD"/>
    <w:rsid w:val="002C4F37"/>
    <w:rsid w:val="002C595B"/>
    <w:rsid w:val="002C68AB"/>
    <w:rsid w:val="002C68F3"/>
    <w:rsid w:val="002D0FFF"/>
    <w:rsid w:val="002D19BE"/>
    <w:rsid w:val="002D1CFB"/>
    <w:rsid w:val="002D255E"/>
    <w:rsid w:val="002D2A23"/>
    <w:rsid w:val="002D2B25"/>
    <w:rsid w:val="002D2E0E"/>
    <w:rsid w:val="002D307A"/>
    <w:rsid w:val="002D371F"/>
    <w:rsid w:val="002D3AA3"/>
    <w:rsid w:val="002D54A2"/>
    <w:rsid w:val="002D68BE"/>
    <w:rsid w:val="002D759B"/>
    <w:rsid w:val="002D7D28"/>
    <w:rsid w:val="002E12A6"/>
    <w:rsid w:val="002E207D"/>
    <w:rsid w:val="002E2385"/>
    <w:rsid w:val="002E3A85"/>
    <w:rsid w:val="002E459C"/>
    <w:rsid w:val="002E4F10"/>
    <w:rsid w:val="002E5AE6"/>
    <w:rsid w:val="002E5B85"/>
    <w:rsid w:val="002F0DC9"/>
    <w:rsid w:val="002F142C"/>
    <w:rsid w:val="002F167A"/>
    <w:rsid w:val="002F1C69"/>
    <w:rsid w:val="002F1DA5"/>
    <w:rsid w:val="002F1FD6"/>
    <w:rsid w:val="002F21B8"/>
    <w:rsid w:val="002F2219"/>
    <w:rsid w:val="002F27E5"/>
    <w:rsid w:val="002F2931"/>
    <w:rsid w:val="002F39BA"/>
    <w:rsid w:val="002F425E"/>
    <w:rsid w:val="002F5531"/>
    <w:rsid w:val="002F55C4"/>
    <w:rsid w:val="002F5DBB"/>
    <w:rsid w:val="002F6266"/>
    <w:rsid w:val="002F6F34"/>
    <w:rsid w:val="002F7004"/>
    <w:rsid w:val="002F7C47"/>
    <w:rsid w:val="003004C0"/>
    <w:rsid w:val="003016A8"/>
    <w:rsid w:val="0030369D"/>
    <w:rsid w:val="00303D1E"/>
    <w:rsid w:val="003052B5"/>
    <w:rsid w:val="0030654F"/>
    <w:rsid w:val="00307176"/>
    <w:rsid w:val="00307C2B"/>
    <w:rsid w:val="0031128C"/>
    <w:rsid w:val="00311354"/>
    <w:rsid w:val="0031207F"/>
    <w:rsid w:val="0031221D"/>
    <w:rsid w:val="00312A64"/>
    <w:rsid w:val="00312B07"/>
    <w:rsid w:val="00312C5E"/>
    <w:rsid w:val="00314869"/>
    <w:rsid w:val="00315039"/>
    <w:rsid w:val="003151F1"/>
    <w:rsid w:val="003156AE"/>
    <w:rsid w:val="00315782"/>
    <w:rsid w:val="00316D79"/>
    <w:rsid w:val="00317701"/>
    <w:rsid w:val="00317DFB"/>
    <w:rsid w:val="0032014A"/>
    <w:rsid w:val="00320BB5"/>
    <w:rsid w:val="00320E91"/>
    <w:rsid w:val="00321187"/>
    <w:rsid w:val="00322AC0"/>
    <w:rsid w:val="00322EB5"/>
    <w:rsid w:val="0032419F"/>
    <w:rsid w:val="00324515"/>
    <w:rsid w:val="00325465"/>
    <w:rsid w:val="00325DA0"/>
    <w:rsid w:val="00326083"/>
    <w:rsid w:val="0032642C"/>
    <w:rsid w:val="00327877"/>
    <w:rsid w:val="003304FC"/>
    <w:rsid w:val="0033072C"/>
    <w:rsid w:val="003314E1"/>
    <w:rsid w:val="00332221"/>
    <w:rsid w:val="003327BC"/>
    <w:rsid w:val="00332FD6"/>
    <w:rsid w:val="00333CC4"/>
    <w:rsid w:val="00333FCA"/>
    <w:rsid w:val="0033425E"/>
    <w:rsid w:val="00334543"/>
    <w:rsid w:val="00335037"/>
    <w:rsid w:val="003361AE"/>
    <w:rsid w:val="00336C5A"/>
    <w:rsid w:val="00337523"/>
    <w:rsid w:val="00337B9F"/>
    <w:rsid w:val="003401CF"/>
    <w:rsid w:val="003401F3"/>
    <w:rsid w:val="00340FEB"/>
    <w:rsid w:val="0034131D"/>
    <w:rsid w:val="00341441"/>
    <w:rsid w:val="00341A4A"/>
    <w:rsid w:val="00341AF8"/>
    <w:rsid w:val="00342E67"/>
    <w:rsid w:val="003432E0"/>
    <w:rsid w:val="003445A6"/>
    <w:rsid w:val="00345011"/>
    <w:rsid w:val="00345641"/>
    <w:rsid w:val="00345DF5"/>
    <w:rsid w:val="00345FC9"/>
    <w:rsid w:val="003478E0"/>
    <w:rsid w:val="003516BA"/>
    <w:rsid w:val="00351820"/>
    <w:rsid w:val="00351D4D"/>
    <w:rsid w:val="003529BE"/>
    <w:rsid w:val="00353221"/>
    <w:rsid w:val="003538C4"/>
    <w:rsid w:val="003538CF"/>
    <w:rsid w:val="0035394B"/>
    <w:rsid w:val="00353C85"/>
    <w:rsid w:val="0035411A"/>
    <w:rsid w:val="0035478C"/>
    <w:rsid w:val="00354A83"/>
    <w:rsid w:val="00354C6E"/>
    <w:rsid w:val="003553E5"/>
    <w:rsid w:val="003564AB"/>
    <w:rsid w:val="00356676"/>
    <w:rsid w:val="00356AD4"/>
    <w:rsid w:val="003577A2"/>
    <w:rsid w:val="00357928"/>
    <w:rsid w:val="00360699"/>
    <w:rsid w:val="00360913"/>
    <w:rsid w:val="00360D67"/>
    <w:rsid w:val="0036126C"/>
    <w:rsid w:val="00361720"/>
    <w:rsid w:val="00361CAE"/>
    <w:rsid w:val="00363340"/>
    <w:rsid w:val="003637A5"/>
    <w:rsid w:val="003638A9"/>
    <w:rsid w:val="003648B6"/>
    <w:rsid w:val="003654B1"/>
    <w:rsid w:val="00366A21"/>
    <w:rsid w:val="00366ED4"/>
    <w:rsid w:val="00367079"/>
    <w:rsid w:val="00370695"/>
    <w:rsid w:val="003711A1"/>
    <w:rsid w:val="00371AC2"/>
    <w:rsid w:val="00371E7B"/>
    <w:rsid w:val="00372D2E"/>
    <w:rsid w:val="00373488"/>
    <w:rsid w:val="00373B32"/>
    <w:rsid w:val="00373B73"/>
    <w:rsid w:val="003740C9"/>
    <w:rsid w:val="00375269"/>
    <w:rsid w:val="00375369"/>
    <w:rsid w:val="00375E48"/>
    <w:rsid w:val="00376C94"/>
    <w:rsid w:val="00377A80"/>
    <w:rsid w:val="00377AD2"/>
    <w:rsid w:val="00377D7E"/>
    <w:rsid w:val="0038009B"/>
    <w:rsid w:val="00380A86"/>
    <w:rsid w:val="00382058"/>
    <w:rsid w:val="003827E3"/>
    <w:rsid w:val="00382AA2"/>
    <w:rsid w:val="00383172"/>
    <w:rsid w:val="003847DC"/>
    <w:rsid w:val="003853E4"/>
    <w:rsid w:val="00390A14"/>
    <w:rsid w:val="00391481"/>
    <w:rsid w:val="003916DE"/>
    <w:rsid w:val="00391B33"/>
    <w:rsid w:val="0039215F"/>
    <w:rsid w:val="00392486"/>
    <w:rsid w:val="0039593F"/>
    <w:rsid w:val="003A018D"/>
    <w:rsid w:val="003A060E"/>
    <w:rsid w:val="003A07D1"/>
    <w:rsid w:val="003A15E4"/>
    <w:rsid w:val="003A19DF"/>
    <w:rsid w:val="003A1A79"/>
    <w:rsid w:val="003A26FB"/>
    <w:rsid w:val="003A2C91"/>
    <w:rsid w:val="003A3B63"/>
    <w:rsid w:val="003A3CDF"/>
    <w:rsid w:val="003A50D4"/>
    <w:rsid w:val="003A5854"/>
    <w:rsid w:val="003A5FCF"/>
    <w:rsid w:val="003B06D3"/>
    <w:rsid w:val="003B1E64"/>
    <w:rsid w:val="003B2AA1"/>
    <w:rsid w:val="003B2DD8"/>
    <w:rsid w:val="003B483E"/>
    <w:rsid w:val="003B4C85"/>
    <w:rsid w:val="003B5149"/>
    <w:rsid w:val="003B736A"/>
    <w:rsid w:val="003C04C3"/>
    <w:rsid w:val="003C16A3"/>
    <w:rsid w:val="003C1722"/>
    <w:rsid w:val="003C31BC"/>
    <w:rsid w:val="003C3482"/>
    <w:rsid w:val="003C50C9"/>
    <w:rsid w:val="003C5803"/>
    <w:rsid w:val="003C5F35"/>
    <w:rsid w:val="003C5FCB"/>
    <w:rsid w:val="003C7AD3"/>
    <w:rsid w:val="003C7FF6"/>
    <w:rsid w:val="003D0389"/>
    <w:rsid w:val="003D073E"/>
    <w:rsid w:val="003D0B4C"/>
    <w:rsid w:val="003D1763"/>
    <w:rsid w:val="003D1CA3"/>
    <w:rsid w:val="003D2180"/>
    <w:rsid w:val="003D236F"/>
    <w:rsid w:val="003D421B"/>
    <w:rsid w:val="003D4C95"/>
    <w:rsid w:val="003D53D1"/>
    <w:rsid w:val="003D5C1F"/>
    <w:rsid w:val="003D61C1"/>
    <w:rsid w:val="003D6EA3"/>
    <w:rsid w:val="003E00F6"/>
    <w:rsid w:val="003E020A"/>
    <w:rsid w:val="003E09D5"/>
    <w:rsid w:val="003E2D93"/>
    <w:rsid w:val="003E3B68"/>
    <w:rsid w:val="003E461C"/>
    <w:rsid w:val="003E646C"/>
    <w:rsid w:val="003E78A4"/>
    <w:rsid w:val="003E7D84"/>
    <w:rsid w:val="003E7FAF"/>
    <w:rsid w:val="003F06A1"/>
    <w:rsid w:val="003F0CA2"/>
    <w:rsid w:val="003F0D00"/>
    <w:rsid w:val="003F0D5D"/>
    <w:rsid w:val="003F1C31"/>
    <w:rsid w:val="003F247F"/>
    <w:rsid w:val="003F287E"/>
    <w:rsid w:val="003F3ACD"/>
    <w:rsid w:val="003F3B44"/>
    <w:rsid w:val="003F498F"/>
    <w:rsid w:val="003F49DE"/>
    <w:rsid w:val="003F533D"/>
    <w:rsid w:val="003F54CB"/>
    <w:rsid w:val="003F6578"/>
    <w:rsid w:val="003F65BC"/>
    <w:rsid w:val="003F771B"/>
    <w:rsid w:val="004000E0"/>
    <w:rsid w:val="004006B3"/>
    <w:rsid w:val="00400784"/>
    <w:rsid w:val="00400CA4"/>
    <w:rsid w:val="00400FD2"/>
    <w:rsid w:val="00401676"/>
    <w:rsid w:val="004022E5"/>
    <w:rsid w:val="00402AEA"/>
    <w:rsid w:val="00404FFE"/>
    <w:rsid w:val="00405FF7"/>
    <w:rsid w:val="00406167"/>
    <w:rsid w:val="00406758"/>
    <w:rsid w:val="004074BA"/>
    <w:rsid w:val="00407D4B"/>
    <w:rsid w:val="004107B7"/>
    <w:rsid w:val="00410AF7"/>
    <w:rsid w:val="004114B0"/>
    <w:rsid w:val="004122A8"/>
    <w:rsid w:val="00413CD3"/>
    <w:rsid w:val="00413DDA"/>
    <w:rsid w:val="00414E41"/>
    <w:rsid w:val="004156DD"/>
    <w:rsid w:val="004156FF"/>
    <w:rsid w:val="00415A34"/>
    <w:rsid w:val="00415B66"/>
    <w:rsid w:val="004169C1"/>
    <w:rsid w:val="00416DAC"/>
    <w:rsid w:val="00417314"/>
    <w:rsid w:val="00417C69"/>
    <w:rsid w:val="00420792"/>
    <w:rsid w:val="0042094D"/>
    <w:rsid w:val="00421108"/>
    <w:rsid w:val="004228CF"/>
    <w:rsid w:val="004233F5"/>
    <w:rsid w:val="00423638"/>
    <w:rsid w:val="00423920"/>
    <w:rsid w:val="0042395D"/>
    <w:rsid w:val="00423E04"/>
    <w:rsid w:val="004244A9"/>
    <w:rsid w:val="0042490A"/>
    <w:rsid w:val="004253BD"/>
    <w:rsid w:val="00425977"/>
    <w:rsid w:val="004260C1"/>
    <w:rsid w:val="004268E4"/>
    <w:rsid w:val="0043100F"/>
    <w:rsid w:val="004317E9"/>
    <w:rsid w:val="00431C92"/>
    <w:rsid w:val="00432F83"/>
    <w:rsid w:val="00433C5E"/>
    <w:rsid w:val="00433CC9"/>
    <w:rsid w:val="00434814"/>
    <w:rsid w:val="00434E86"/>
    <w:rsid w:val="00435A7C"/>
    <w:rsid w:val="00435DFB"/>
    <w:rsid w:val="00435FB9"/>
    <w:rsid w:val="00436B91"/>
    <w:rsid w:val="00441796"/>
    <w:rsid w:val="00443054"/>
    <w:rsid w:val="00444670"/>
    <w:rsid w:val="00444714"/>
    <w:rsid w:val="00444922"/>
    <w:rsid w:val="00444D36"/>
    <w:rsid w:val="004455F2"/>
    <w:rsid w:val="00446AAA"/>
    <w:rsid w:val="0045089C"/>
    <w:rsid w:val="004513AF"/>
    <w:rsid w:val="0045200D"/>
    <w:rsid w:val="00452A57"/>
    <w:rsid w:val="004537CC"/>
    <w:rsid w:val="004542B6"/>
    <w:rsid w:val="00454D8F"/>
    <w:rsid w:val="0045532A"/>
    <w:rsid w:val="004559F0"/>
    <w:rsid w:val="00457476"/>
    <w:rsid w:val="004576C3"/>
    <w:rsid w:val="00457A68"/>
    <w:rsid w:val="00457DA6"/>
    <w:rsid w:val="00461CF9"/>
    <w:rsid w:val="00463360"/>
    <w:rsid w:val="00463831"/>
    <w:rsid w:val="00463CD7"/>
    <w:rsid w:val="00464A12"/>
    <w:rsid w:val="00465688"/>
    <w:rsid w:val="00466FA9"/>
    <w:rsid w:val="004678CE"/>
    <w:rsid w:val="00471A96"/>
    <w:rsid w:val="00471B20"/>
    <w:rsid w:val="00472B4F"/>
    <w:rsid w:val="00473D97"/>
    <w:rsid w:val="00473DBD"/>
    <w:rsid w:val="00474317"/>
    <w:rsid w:val="004748C5"/>
    <w:rsid w:val="00474C0A"/>
    <w:rsid w:val="0047541A"/>
    <w:rsid w:val="0047549D"/>
    <w:rsid w:val="004757A0"/>
    <w:rsid w:val="00476392"/>
    <w:rsid w:val="004771A9"/>
    <w:rsid w:val="0047779B"/>
    <w:rsid w:val="00477D77"/>
    <w:rsid w:val="0048017D"/>
    <w:rsid w:val="00480CE0"/>
    <w:rsid w:val="00480F5D"/>
    <w:rsid w:val="00481577"/>
    <w:rsid w:val="00483E22"/>
    <w:rsid w:val="00484835"/>
    <w:rsid w:val="00484931"/>
    <w:rsid w:val="00484DA3"/>
    <w:rsid w:val="0048502E"/>
    <w:rsid w:val="0048664D"/>
    <w:rsid w:val="00487B00"/>
    <w:rsid w:val="00487EE5"/>
    <w:rsid w:val="004903FD"/>
    <w:rsid w:val="00490645"/>
    <w:rsid w:val="0049084B"/>
    <w:rsid w:val="0049203C"/>
    <w:rsid w:val="0049250A"/>
    <w:rsid w:val="00492C8F"/>
    <w:rsid w:val="00493F47"/>
    <w:rsid w:val="004951C5"/>
    <w:rsid w:val="004960D5"/>
    <w:rsid w:val="004963AD"/>
    <w:rsid w:val="00496949"/>
    <w:rsid w:val="0049717B"/>
    <w:rsid w:val="0049728C"/>
    <w:rsid w:val="00497437"/>
    <w:rsid w:val="00497C57"/>
    <w:rsid w:val="004A0CB9"/>
    <w:rsid w:val="004A334D"/>
    <w:rsid w:val="004A33D3"/>
    <w:rsid w:val="004A3805"/>
    <w:rsid w:val="004A38F6"/>
    <w:rsid w:val="004A46D4"/>
    <w:rsid w:val="004A5077"/>
    <w:rsid w:val="004A5EA1"/>
    <w:rsid w:val="004A5EB2"/>
    <w:rsid w:val="004A6038"/>
    <w:rsid w:val="004A6150"/>
    <w:rsid w:val="004A74E8"/>
    <w:rsid w:val="004A7B81"/>
    <w:rsid w:val="004B0BEA"/>
    <w:rsid w:val="004B0EAA"/>
    <w:rsid w:val="004B1029"/>
    <w:rsid w:val="004B21C0"/>
    <w:rsid w:val="004B2F0E"/>
    <w:rsid w:val="004B3151"/>
    <w:rsid w:val="004B3E6A"/>
    <w:rsid w:val="004B4303"/>
    <w:rsid w:val="004B4C30"/>
    <w:rsid w:val="004B5716"/>
    <w:rsid w:val="004B587A"/>
    <w:rsid w:val="004B5F87"/>
    <w:rsid w:val="004B6317"/>
    <w:rsid w:val="004B6F83"/>
    <w:rsid w:val="004B7F74"/>
    <w:rsid w:val="004C0306"/>
    <w:rsid w:val="004C0428"/>
    <w:rsid w:val="004C0640"/>
    <w:rsid w:val="004C0919"/>
    <w:rsid w:val="004C09D9"/>
    <w:rsid w:val="004C0F2F"/>
    <w:rsid w:val="004C1522"/>
    <w:rsid w:val="004C2111"/>
    <w:rsid w:val="004C27D8"/>
    <w:rsid w:val="004C36CF"/>
    <w:rsid w:val="004C4283"/>
    <w:rsid w:val="004C45CB"/>
    <w:rsid w:val="004C49BA"/>
    <w:rsid w:val="004C517F"/>
    <w:rsid w:val="004C51B9"/>
    <w:rsid w:val="004C5250"/>
    <w:rsid w:val="004C526E"/>
    <w:rsid w:val="004C5293"/>
    <w:rsid w:val="004C5FF1"/>
    <w:rsid w:val="004C6BC5"/>
    <w:rsid w:val="004C73FD"/>
    <w:rsid w:val="004D10FC"/>
    <w:rsid w:val="004D2CED"/>
    <w:rsid w:val="004D2D38"/>
    <w:rsid w:val="004D3592"/>
    <w:rsid w:val="004D35E5"/>
    <w:rsid w:val="004D3EAC"/>
    <w:rsid w:val="004D4263"/>
    <w:rsid w:val="004D47EA"/>
    <w:rsid w:val="004D4CE9"/>
    <w:rsid w:val="004D6673"/>
    <w:rsid w:val="004D781C"/>
    <w:rsid w:val="004E0B5F"/>
    <w:rsid w:val="004E15D5"/>
    <w:rsid w:val="004E1768"/>
    <w:rsid w:val="004E295D"/>
    <w:rsid w:val="004E2B00"/>
    <w:rsid w:val="004E306B"/>
    <w:rsid w:val="004E33C3"/>
    <w:rsid w:val="004E4054"/>
    <w:rsid w:val="004E5240"/>
    <w:rsid w:val="004E6FCF"/>
    <w:rsid w:val="004E7336"/>
    <w:rsid w:val="004F0456"/>
    <w:rsid w:val="004F0711"/>
    <w:rsid w:val="004F094C"/>
    <w:rsid w:val="004F0FBF"/>
    <w:rsid w:val="004F2C39"/>
    <w:rsid w:val="004F34A8"/>
    <w:rsid w:val="004F361E"/>
    <w:rsid w:val="004F38E6"/>
    <w:rsid w:val="004F3B51"/>
    <w:rsid w:val="004F3C21"/>
    <w:rsid w:val="004F4E0B"/>
    <w:rsid w:val="004F50B7"/>
    <w:rsid w:val="004F51DE"/>
    <w:rsid w:val="004F5522"/>
    <w:rsid w:val="004F567B"/>
    <w:rsid w:val="004F59CA"/>
    <w:rsid w:val="004F61A2"/>
    <w:rsid w:val="004F6217"/>
    <w:rsid w:val="004F6E63"/>
    <w:rsid w:val="004F6F73"/>
    <w:rsid w:val="004F76F7"/>
    <w:rsid w:val="00500405"/>
    <w:rsid w:val="005006C9"/>
    <w:rsid w:val="005014E8"/>
    <w:rsid w:val="005025E7"/>
    <w:rsid w:val="00502832"/>
    <w:rsid w:val="00502B6A"/>
    <w:rsid w:val="0050338F"/>
    <w:rsid w:val="005047D6"/>
    <w:rsid w:val="005050E1"/>
    <w:rsid w:val="00505997"/>
    <w:rsid w:val="00505CBF"/>
    <w:rsid w:val="005060D0"/>
    <w:rsid w:val="005064BC"/>
    <w:rsid w:val="00506725"/>
    <w:rsid w:val="00507386"/>
    <w:rsid w:val="00507396"/>
    <w:rsid w:val="005073EF"/>
    <w:rsid w:val="00510049"/>
    <w:rsid w:val="00510645"/>
    <w:rsid w:val="0051183C"/>
    <w:rsid w:val="00511A97"/>
    <w:rsid w:val="00512B55"/>
    <w:rsid w:val="00513DE8"/>
    <w:rsid w:val="00513F60"/>
    <w:rsid w:val="00513FBD"/>
    <w:rsid w:val="00515A0E"/>
    <w:rsid w:val="00516030"/>
    <w:rsid w:val="005200FB"/>
    <w:rsid w:val="00520459"/>
    <w:rsid w:val="005207F6"/>
    <w:rsid w:val="00520FB2"/>
    <w:rsid w:val="00521563"/>
    <w:rsid w:val="00521BED"/>
    <w:rsid w:val="00521F94"/>
    <w:rsid w:val="00523D80"/>
    <w:rsid w:val="00524565"/>
    <w:rsid w:val="005246FB"/>
    <w:rsid w:val="005249E3"/>
    <w:rsid w:val="00525A86"/>
    <w:rsid w:val="0052613D"/>
    <w:rsid w:val="005262E2"/>
    <w:rsid w:val="005264F8"/>
    <w:rsid w:val="00526ADE"/>
    <w:rsid w:val="0052710A"/>
    <w:rsid w:val="00530EC7"/>
    <w:rsid w:val="00531BEE"/>
    <w:rsid w:val="00531E06"/>
    <w:rsid w:val="0053240B"/>
    <w:rsid w:val="00532A36"/>
    <w:rsid w:val="00532F8A"/>
    <w:rsid w:val="00533622"/>
    <w:rsid w:val="00533899"/>
    <w:rsid w:val="0053434A"/>
    <w:rsid w:val="00535762"/>
    <w:rsid w:val="00535DEF"/>
    <w:rsid w:val="00536448"/>
    <w:rsid w:val="00537069"/>
    <w:rsid w:val="00540025"/>
    <w:rsid w:val="0054015D"/>
    <w:rsid w:val="005412EE"/>
    <w:rsid w:val="00541D23"/>
    <w:rsid w:val="00543D14"/>
    <w:rsid w:val="005444CA"/>
    <w:rsid w:val="00544F85"/>
    <w:rsid w:val="00545293"/>
    <w:rsid w:val="00545565"/>
    <w:rsid w:val="00546038"/>
    <w:rsid w:val="00546343"/>
    <w:rsid w:val="0054687B"/>
    <w:rsid w:val="005477FA"/>
    <w:rsid w:val="00547A44"/>
    <w:rsid w:val="00547C05"/>
    <w:rsid w:val="00550B3C"/>
    <w:rsid w:val="005518FA"/>
    <w:rsid w:val="00551952"/>
    <w:rsid w:val="00551B51"/>
    <w:rsid w:val="0055214C"/>
    <w:rsid w:val="00552A19"/>
    <w:rsid w:val="00553626"/>
    <w:rsid w:val="0055366E"/>
    <w:rsid w:val="00553678"/>
    <w:rsid w:val="00553D3E"/>
    <w:rsid w:val="00553D47"/>
    <w:rsid w:val="0055443C"/>
    <w:rsid w:val="00554990"/>
    <w:rsid w:val="00554AB3"/>
    <w:rsid w:val="00556D8C"/>
    <w:rsid w:val="00556DDB"/>
    <w:rsid w:val="00556E0A"/>
    <w:rsid w:val="0055787B"/>
    <w:rsid w:val="00560B97"/>
    <w:rsid w:val="00560EE4"/>
    <w:rsid w:val="0056126A"/>
    <w:rsid w:val="00562046"/>
    <w:rsid w:val="005639C3"/>
    <w:rsid w:val="005645DA"/>
    <w:rsid w:val="00564D75"/>
    <w:rsid w:val="00565B91"/>
    <w:rsid w:val="00565E66"/>
    <w:rsid w:val="00565FB1"/>
    <w:rsid w:val="00566479"/>
    <w:rsid w:val="00566E53"/>
    <w:rsid w:val="005673F7"/>
    <w:rsid w:val="005674FB"/>
    <w:rsid w:val="005710E6"/>
    <w:rsid w:val="00571D7C"/>
    <w:rsid w:val="00571FD2"/>
    <w:rsid w:val="0057477A"/>
    <w:rsid w:val="00575360"/>
    <w:rsid w:val="005754AC"/>
    <w:rsid w:val="00576111"/>
    <w:rsid w:val="005800DE"/>
    <w:rsid w:val="005809E3"/>
    <w:rsid w:val="005810FE"/>
    <w:rsid w:val="00581C05"/>
    <w:rsid w:val="005826A4"/>
    <w:rsid w:val="00582A41"/>
    <w:rsid w:val="00582B6E"/>
    <w:rsid w:val="00583093"/>
    <w:rsid w:val="00584270"/>
    <w:rsid w:val="005847BC"/>
    <w:rsid w:val="00584C94"/>
    <w:rsid w:val="00584D21"/>
    <w:rsid w:val="005851D0"/>
    <w:rsid w:val="00585A86"/>
    <w:rsid w:val="005860E4"/>
    <w:rsid w:val="00587805"/>
    <w:rsid w:val="00587AFE"/>
    <w:rsid w:val="00587B89"/>
    <w:rsid w:val="00587EC3"/>
    <w:rsid w:val="00591F70"/>
    <w:rsid w:val="00592210"/>
    <w:rsid w:val="00592724"/>
    <w:rsid w:val="0059380A"/>
    <w:rsid w:val="00593B36"/>
    <w:rsid w:val="00594524"/>
    <w:rsid w:val="005947D2"/>
    <w:rsid w:val="005954C9"/>
    <w:rsid w:val="005965AA"/>
    <w:rsid w:val="00596F5B"/>
    <w:rsid w:val="005976A6"/>
    <w:rsid w:val="005977CE"/>
    <w:rsid w:val="005979F2"/>
    <w:rsid w:val="005A00BC"/>
    <w:rsid w:val="005A053C"/>
    <w:rsid w:val="005A08E2"/>
    <w:rsid w:val="005A10AD"/>
    <w:rsid w:val="005A17C1"/>
    <w:rsid w:val="005A42B3"/>
    <w:rsid w:val="005A453B"/>
    <w:rsid w:val="005A485D"/>
    <w:rsid w:val="005A569C"/>
    <w:rsid w:val="005A66CD"/>
    <w:rsid w:val="005A7B38"/>
    <w:rsid w:val="005B0E97"/>
    <w:rsid w:val="005B1512"/>
    <w:rsid w:val="005B2691"/>
    <w:rsid w:val="005B30FB"/>
    <w:rsid w:val="005B3245"/>
    <w:rsid w:val="005B328A"/>
    <w:rsid w:val="005B6345"/>
    <w:rsid w:val="005B6DD2"/>
    <w:rsid w:val="005B6F56"/>
    <w:rsid w:val="005B6F5A"/>
    <w:rsid w:val="005B709A"/>
    <w:rsid w:val="005B7331"/>
    <w:rsid w:val="005B79EF"/>
    <w:rsid w:val="005B7B2A"/>
    <w:rsid w:val="005C01C6"/>
    <w:rsid w:val="005C0B7A"/>
    <w:rsid w:val="005C0FAB"/>
    <w:rsid w:val="005C2B1C"/>
    <w:rsid w:val="005C3632"/>
    <w:rsid w:val="005C4125"/>
    <w:rsid w:val="005C4587"/>
    <w:rsid w:val="005C6EDC"/>
    <w:rsid w:val="005D1B3A"/>
    <w:rsid w:val="005D1E11"/>
    <w:rsid w:val="005D1E58"/>
    <w:rsid w:val="005D1FBF"/>
    <w:rsid w:val="005D2307"/>
    <w:rsid w:val="005D28DF"/>
    <w:rsid w:val="005D454A"/>
    <w:rsid w:val="005D4821"/>
    <w:rsid w:val="005D4CA4"/>
    <w:rsid w:val="005D5B24"/>
    <w:rsid w:val="005D672F"/>
    <w:rsid w:val="005D750A"/>
    <w:rsid w:val="005D7AC9"/>
    <w:rsid w:val="005E033A"/>
    <w:rsid w:val="005E0941"/>
    <w:rsid w:val="005E09C7"/>
    <w:rsid w:val="005E0DF2"/>
    <w:rsid w:val="005E1A5B"/>
    <w:rsid w:val="005E231B"/>
    <w:rsid w:val="005E2725"/>
    <w:rsid w:val="005E307C"/>
    <w:rsid w:val="005E36C4"/>
    <w:rsid w:val="005E5C7B"/>
    <w:rsid w:val="005E647A"/>
    <w:rsid w:val="005E654B"/>
    <w:rsid w:val="005E6A86"/>
    <w:rsid w:val="005E6B00"/>
    <w:rsid w:val="005E708C"/>
    <w:rsid w:val="005E712E"/>
    <w:rsid w:val="005E79F5"/>
    <w:rsid w:val="005E7D01"/>
    <w:rsid w:val="005F0167"/>
    <w:rsid w:val="005F11AA"/>
    <w:rsid w:val="005F1919"/>
    <w:rsid w:val="005F1D5C"/>
    <w:rsid w:val="005F232F"/>
    <w:rsid w:val="005F321F"/>
    <w:rsid w:val="005F4EBD"/>
    <w:rsid w:val="005F530B"/>
    <w:rsid w:val="005F590F"/>
    <w:rsid w:val="005F623C"/>
    <w:rsid w:val="005F6525"/>
    <w:rsid w:val="005F7BC5"/>
    <w:rsid w:val="006003D7"/>
    <w:rsid w:val="00600BB5"/>
    <w:rsid w:val="006014DB"/>
    <w:rsid w:val="006042FA"/>
    <w:rsid w:val="0060635D"/>
    <w:rsid w:val="00607747"/>
    <w:rsid w:val="00607924"/>
    <w:rsid w:val="006108EE"/>
    <w:rsid w:val="00611C7D"/>
    <w:rsid w:val="006121E6"/>
    <w:rsid w:val="006140F3"/>
    <w:rsid w:val="00614CD6"/>
    <w:rsid w:val="00614DA0"/>
    <w:rsid w:val="00615A26"/>
    <w:rsid w:val="00615A2E"/>
    <w:rsid w:val="00620EE4"/>
    <w:rsid w:val="00622637"/>
    <w:rsid w:val="00623A9C"/>
    <w:rsid w:val="0062428C"/>
    <w:rsid w:val="0062429B"/>
    <w:rsid w:val="00624805"/>
    <w:rsid w:val="00625A02"/>
    <w:rsid w:val="00625AE7"/>
    <w:rsid w:val="00630415"/>
    <w:rsid w:val="006325C7"/>
    <w:rsid w:val="00633139"/>
    <w:rsid w:val="0063358D"/>
    <w:rsid w:val="006345CE"/>
    <w:rsid w:val="006353B1"/>
    <w:rsid w:val="006354F8"/>
    <w:rsid w:val="00637C2D"/>
    <w:rsid w:val="00640B08"/>
    <w:rsid w:val="00641F45"/>
    <w:rsid w:val="00642CC9"/>
    <w:rsid w:val="00644079"/>
    <w:rsid w:val="00644124"/>
    <w:rsid w:val="0064422E"/>
    <w:rsid w:val="00644768"/>
    <w:rsid w:val="00645127"/>
    <w:rsid w:val="00645926"/>
    <w:rsid w:val="0064648C"/>
    <w:rsid w:val="00646B58"/>
    <w:rsid w:val="00646BEB"/>
    <w:rsid w:val="00646CCB"/>
    <w:rsid w:val="00646E28"/>
    <w:rsid w:val="0065199F"/>
    <w:rsid w:val="006521B2"/>
    <w:rsid w:val="006532B4"/>
    <w:rsid w:val="0065351F"/>
    <w:rsid w:val="00653DAD"/>
    <w:rsid w:val="006544DC"/>
    <w:rsid w:val="00656339"/>
    <w:rsid w:val="0065675E"/>
    <w:rsid w:val="00657030"/>
    <w:rsid w:val="006608F1"/>
    <w:rsid w:val="00660B06"/>
    <w:rsid w:val="00660C1B"/>
    <w:rsid w:val="00660E5B"/>
    <w:rsid w:val="0066192D"/>
    <w:rsid w:val="00662993"/>
    <w:rsid w:val="00662C01"/>
    <w:rsid w:val="00663874"/>
    <w:rsid w:val="00663B24"/>
    <w:rsid w:val="00664167"/>
    <w:rsid w:val="00664EE2"/>
    <w:rsid w:val="00664EE4"/>
    <w:rsid w:val="00665365"/>
    <w:rsid w:val="00665C01"/>
    <w:rsid w:val="00665D6C"/>
    <w:rsid w:val="0066697F"/>
    <w:rsid w:val="006675A7"/>
    <w:rsid w:val="00667C59"/>
    <w:rsid w:val="0067002C"/>
    <w:rsid w:val="00670AEB"/>
    <w:rsid w:val="00670BB2"/>
    <w:rsid w:val="00670D99"/>
    <w:rsid w:val="00671837"/>
    <w:rsid w:val="0067225C"/>
    <w:rsid w:val="00672D7C"/>
    <w:rsid w:val="00673AF8"/>
    <w:rsid w:val="00673B28"/>
    <w:rsid w:val="006741D7"/>
    <w:rsid w:val="00674F70"/>
    <w:rsid w:val="00675836"/>
    <w:rsid w:val="00675F43"/>
    <w:rsid w:val="0067632A"/>
    <w:rsid w:val="00677315"/>
    <w:rsid w:val="00677720"/>
    <w:rsid w:val="00680304"/>
    <w:rsid w:val="00680AF4"/>
    <w:rsid w:val="006811EF"/>
    <w:rsid w:val="0068124D"/>
    <w:rsid w:val="00681E06"/>
    <w:rsid w:val="00681F3E"/>
    <w:rsid w:val="00682612"/>
    <w:rsid w:val="0068332B"/>
    <w:rsid w:val="00683A3A"/>
    <w:rsid w:val="00683DF4"/>
    <w:rsid w:val="00683F6B"/>
    <w:rsid w:val="006841B2"/>
    <w:rsid w:val="006851B1"/>
    <w:rsid w:val="0068575A"/>
    <w:rsid w:val="00685792"/>
    <w:rsid w:val="00685C63"/>
    <w:rsid w:val="006863DE"/>
    <w:rsid w:val="00686729"/>
    <w:rsid w:val="00687549"/>
    <w:rsid w:val="006879C6"/>
    <w:rsid w:val="00687C33"/>
    <w:rsid w:val="00693567"/>
    <w:rsid w:val="006936A2"/>
    <w:rsid w:val="00693826"/>
    <w:rsid w:val="00694C49"/>
    <w:rsid w:val="00694F01"/>
    <w:rsid w:val="006954FE"/>
    <w:rsid w:val="006955B0"/>
    <w:rsid w:val="006960E4"/>
    <w:rsid w:val="00696202"/>
    <w:rsid w:val="00696451"/>
    <w:rsid w:val="0069745E"/>
    <w:rsid w:val="006974A5"/>
    <w:rsid w:val="00697815"/>
    <w:rsid w:val="00697E55"/>
    <w:rsid w:val="00697F65"/>
    <w:rsid w:val="006A01AD"/>
    <w:rsid w:val="006A1957"/>
    <w:rsid w:val="006A29F4"/>
    <w:rsid w:val="006A2CB0"/>
    <w:rsid w:val="006A35D9"/>
    <w:rsid w:val="006A38D8"/>
    <w:rsid w:val="006A409E"/>
    <w:rsid w:val="006A42E4"/>
    <w:rsid w:val="006A48A0"/>
    <w:rsid w:val="006A49AE"/>
    <w:rsid w:val="006A4C36"/>
    <w:rsid w:val="006A4E0B"/>
    <w:rsid w:val="006A5922"/>
    <w:rsid w:val="006A5BDE"/>
    <w:rsid w:val="006A72DB"/>
    <w:rsid w:val="006B02B6"/>
    <w:rsid w:val="006B0C53"/>
    <w:rsid w:val="006B0CAA"/>
    <w:rsid w:val="006B12C4"/>
    <w:rsid w:val="006B140F"/>
    <w:rsid w:val="006B22E3"/>
    <w:rsid w:val="006B25FF"/>
    <w:rsid w:val="006B2655"/>
    <w:rsid w:val="006B2E16"/>
    <w:rsid w:val="006B33B9"/>
    <w:rsid w:val="006B3A47"/>
    <w:rsid w:val="006B47E3"/>
    <w:rsid w:val="006B488E"/>
    <w:rsid w:val="006B4A48"/>
    <w:rsid w:val="006B4BB5"/>
    <w:rsid w:val="006B5229"/>
    <w:rsid w:val="006B531B"/>
    <w:rsid w:val="006B670E"/>
    <w:rsid w:val="006B703C"/>
    <w:rsid w:val="006B7D34"/>
    <w:rsid w:val="006B7F0A"/>
    <w:rsid w:val="006C120F"/>
    <w:rsid w:val="006C1937"/>
    <w:rsid w:val="006C27E7"/>
    <w:rsid w:val="006C4B00"/>
    <w:rsid w:val="006C553A"/>
    <w:rsid w:val="006C5A9C"/>
    <w:rsid w:val="006C5FB5"/>
    <w:rsid w:val="006C62C2"/>
    <w:rsid w:val="006C66F7"/>
    <w:rsid w:val="006D0EA1"/>
    <w:rsid w:val="006D1338"/>
    <w:rsid w:val="006D1D39"/>
    <w:rsid w:val="006D247B"/>
    <w:rsid w:val="006D2641"/>
    <w:rsid w:val="006D3A34"/>
    <w:rsid w:val="006D47E5"/>
    <w:rsid w:val="006D5035"/>
    <w:rsid w:val="006D5977"/>
    <w:rsid w:val="006D5CC1"/>
    <w:rsid w:val="006D64BD"/>
    <w:rsid w:val="006D670E"/>
    <w:rsid w:val="006D749F"/>
    <w:rsid w:val="006D7971"/>
    <w:rsid w:val="006D7E3B"/>
    <w:rsid w:val="006E075F"/>
    <w:rsid w:val="006E0F7E"/>
    <w:rsid w:val="006E10A3"/>
    <w:rsid w:val="006E10E4"/>
    <w:rsid w:val="006E20FB"/>
    <w:rsid w:val="006E23CE"/>
    <w:rsid w:val="006E2C5D"/>
    <w:rsid w:val="006E2F60"/>
    <w:rsid w:val="006E30F9"/>
    <w:rsid w:val="006E37D9"/>
    <w:rsid w:val="006E3A3C"/>
    <w:rsid w:val="006E3AB7"/>
    <w:rsid w:val="006E573E"/>
    <w:rsid w:val="006E7A2C"/>
    <w:rsid w:val="006F0DC7"/>
    <w:rsid w:val="006F2037"/>
    <w:rsid w:val="006F3688"/>
    <w:rsid w:val="006F6F59"/>
    <w:rsid w:val="006F750E"/>
    <w:rsid w:val="006F7B4D"/>
    <w:rsid w:val="00700CFE"/>
    <w:rsid w:val="0070166C"/>
    <w:rsid w:val="0070179E"/>
    <w:rsid w:val="0070369F"/>
    <w:rsid w:val="0070413A"/>
    <w:rsid w:val="00704DDE"/>
    <w:rsid w:val="00704F07"/>
    <w:rsid w:val="007053CD"/>
    <w:rsid w:val="007057DA"/>
    <w:rsid w:val="007064A9"/>
    <w:rsid w:val="00706BF8"/>
    <w:rsid w:val="00706F65"/>
    <w:rsid w:val="00712858"/>
    <w:rsid w:val="00713786"/>
    <w:rsid w:val="00714375"/>
    <w:rsid w:val="007150E0"/>
    <w:rsid w:val="0071570C"/>
    <w:rsid w:val="00716231"/>
    <w:rsid w:val="00716581"/>
    <w:rsid w:val="0071668F"/>
    <w:rsid w:val="00720741"/>
    <w:rsid w:val="0072083C"/>
    <w:rsid w:val="0072135E"/>
    <w:rsid w:val="00721CDE"/>
    <w:rsid w:val="0072397A"/>
    <w:rsid w:val="00723F5C"/>
    <w:rsid w:val="007248A2"/>
    <w:rsid w:val="00725BD0"/>
    <w:rsid w:val="007260FC"/>
    <w:rsid w:val="00726990"/>
    <w:rsid w:val="00726C7F"/>
    <w:rsid w:val="00727E80"/>
    <w:rsid w:val="007300B0"/>
    <w:rsid w:val="00730C03"/>
    <w:rsid w:val="007318FD"/>
    <w:rsid w:val="00731FF9"/>
    <w:rsid w:val="00732C61"/>
    <w:rsid w:val="0073344D"/>
    <w:rsid w:val="00735043"/>
    <w:rsid w:val="0073551E"/>
    <w:rsid w:val="007355E4"/>
    <w:rsid w:val="00735886"/>
    <w:rsid w:val="007369F5"/>
    <w:rsid w:val="00736BF7"/>
    <w:rsid w:val="00737315"/>
    <w:rsid w:val="0073763A"/>
    <w:rsid w:val="0073783F"/>
    <w:rsid w:val="0074005B"/>
    <w:rsid w:val="00741379"/>
    <w:rsid w:val="00741518"/>
    <w:rsid w:val="0074192F"/>
    <w:rsid w:val="00741C93"/>
    <w:rsid w:val="00741EFF"/>
    <w:rsid w:val="007432EA"/>
    <w:rsid w:val="00743517"/>
    <w:rsid w:val="00744442"/>
    <w:rsid w:val="00745253"/>
    <w:rsid w:val="00745AA1"/>
    <w:rsid w:val="00745BB9"/>
    <w:rsid w:val="0074643A"/>
    <w:rsid w:val="00747049"/>
    <w:rsid w:val="00747412"/>
    <w:rsid w:val="007476D2"/>
    <w:rsid w:val="00747972"/>
    <w:rsid w:val="00747D83"/>
    <w:rsid w:val="007509EF"/>
    <w:rsid w:val="00750D6E"/>
    <w:rsid w:val="00751ADB"/>
    <w:rsid w:val="007530BF"/>
    <w:rsid w:val="00754F83"/>
    <w:rsid w:val="007555E4"/>
    <w:rsid w:val="00756074"/>
    <w:rsid w:val="00756F56"/>
    <w:rsid w:val="00757C04"/>
    <w:rsid w:val="00757CCB"/>
    <w:rsid w:val="007612AA"/>
    <w:rsid w:val="0076179F"/>
    <w:rsid w:val="00761866"/>
    <w:rsid w:val="007619FB"/>
    <w:rsid w:val="00761BE9"/>
    <w:rsid w:val="007626BD"/>
    <w:rsid w:val="00765666"/>
    <w:rsid w:val="007657DA"/>
    <w:rsid w:val="00766053"/>
    <w:rsid w:val="00766FA8"/>
    <w:rsid w:val="007703FE"/>
    <w:rsid w:val="00770B14"/>
    <w:rsid w:val="00771928"/>
    <w:rsid w:val="00771B62"/>
    <w:rsid w:val="00773AFA"/>
    <w:rsid w:val="00774310"/>
    <w:rsid w:val="0077449D"/>
    <w:rsid w:val="00774A2E"/>
    <w:rsid w:val="0078270A"/>
    <w:rsid w:val="00782FD6"/>
    <w:rsid w:val="00783AA6"/>
    <w:rsid w:val="00783BE7"/>
    <w:rsid w:val="00783EC5"/>
    <w:rsid w:val="007856F9"/>
    <w:rsid w:val="0078571B"/>
    <w:rsid w:val="00785D24"/>
    <w:rsid w:val="007865C4"/>
    <w:rsid w:val="00787650"/>
    <w:rsid w:val="00787B67"/>
    <w:rsid w:val="00790169"/>
    <w:rsid w:val="007913AE"/>
    <w:rsid w:val="0079236F"/>
    <w:rsid w:val="0079247D"/>
    <w:rsid w:val="007928E4"/>
    <w:rsid w:val="00793A0F"/>
    <w:rsid w:val="00796E2A"/>
    <w:rsid w:val="007A05E0"/>
    <w:rsid w:val="007A0C45"/>
    <w:rsid w:val="007A1061"/>
    <w:rsid w:val="007A2386"/>
    <w:rsid w:val="007A3F71"/>
    <w:rsid w:val="007A4712"/>
    <w:rsid w:val="007A5A37"/>
    <w:rsid w:val="007A703C"/>
    <w:rsid w:val="007A70ED"/>
    <w:rsid w:val="007A7661"/>
    <w:rsid w:val="007B015F"/>
    <w:rsid w:val="007B0ECE"/>
    <w:rsid w:val="007B1EC1"/>
    <w:rsid w:val="007B3A08"/>
    <w:rsid w:val="007B4552"/>
    <w:rsid w:val="007B57F7"/>
    <w:rsid w:val="007B5E79"/>
    <w:rsid w:val="007B63C0"/>
    <w:rsid w:val="007B6CE6"/>
    <w:rsid w:val="007B7A72"/>
    <w:rsid w:val="007B7EA9"/>
    <w:rsid w:val="007B7F48"/>
    <w:rsid w:val="007C0910"/>
    <w:rsid w:val="007C0C22"/>
    <w:rsid w:val="007C224F"/>
    <w:rsid w:val="007C2EFE"/>
    <w:rsid w:val="007C31F6"/>
    <w:rsid w:val="007C3D21"/>
    <w:rsid w:val="007C4906"/>
    <w:rsid w:val="007C4AA7"/>
    <w:rsid w:val="007C4CD5"/>
    <w:rsid w:val="007C505A"/>
    <w:rsid w:val="007C5632"/>
    <w:rsid w:val="007C5AA4"/>
    <w:rsid w:val="007C5D27"/>
    <w:rsid w:val="007C6900"/>
    <w:rsid w:val="007C786E"/>
    <w:rsid w:val="007C7F40"/>
    <w:rsid w:val="007D03F9"/>
    <w:rsid w:val="007D0D37"/>
    <w:rsid w:val="007D0DF3"/>
    <w:rsid w:val="007D24BF"/>
    <w:rsid w:val="007D273A"/>
    <w:rsid w:val="007D278B"/>
    <w:rsid w:val="007D2B30"/>
    <w:rsid w:val="007D45B8"/>
    <w:rsid w:val="007D4860"/>
    <w:rsid w:val="007D4885"/>
    <w:rsid w:val="007D4E72"/>
    <w:rsid w:val="007D6970"/>
    <w:rsid w:val="007E0C4D"/>
    <w:rsid w:val="007E0FF4"/>
    <w:rsid w:val="007E1A2D"/>
    <w:rsid w:val="007E3DE8"/>
    <w:rsid w:val="007E4194"/>
    <w:rsid w:val="007E45E0"/>
    <w:rsid w:val="007E49AE"/>
    <w:rsid w:val="007E4D96"/>
    <w:rsid w:val="007E4DFA"/>
    <w:rsid w:val="007E4EAF"/>
    <w:rsid w:val="007E5712"/>
    <w:rsid w:val="007E5AA3"/>
    <w:rsid w:val="007E6098"/>
    <w:rsid w:val="007E7615"/>
    <w:rsid w:val="007F0441"/>
    <w:rsid w:val="007F2FD1"/>
    <w:rsid w:val="007F45BE"/>
    <w:rsid w:val="007F4620"/>
    <w:rsid w:val="007F4B0E"/>
    <w:rsid w:val="007F4C67"/>
    <w:rsid w:val="007F52DF"/>
    <w:rsid w:val="007F5C8E"/>
    <w:rsid w:val="007F67F8"/>
    <w:rsid w:val="00800658"/>
    <w:rsid w:val="00801357"/>
    <w:rsid w:val="00801EB4"/>
    <w:rsid w:val="00802D21"/>
    <w:rsid w:val="008035F8"/>
    <w:rsid w:val="00804137"/>
    <w:rsid w:val="00804285"/>
    <w:rsid w:val="00804C56"/>
    <w:rsid w:val="0080506B"/>
    <w:rsid w:val="00805370"/>
    <w:rsid w:val="008067E0"/>
    <w:rsid w:val="00806EE5"/>
    <w:rsid w:val="008103B5"/>
    <w:rsid w:val="00813BC7"/>
    <w:rsid w:val="0081594D"/>
    <w:rsid w:val="00815B55"/>
    <w:rsid w:val="00815C56"/>
    <w:rsid w:val="00816250"/>
    <w:rsid w:val="00816AE5"/>
    <w:rsid w:val="00817711"/>
    <w:rsid w:val="00820522"/>
    <w:rsid w:val="00821544"/>
    <w:rsid w:val="008215CB"/>
    <w:rsid w:val="00821660"/>
    <w:rsid w:val="008218A6"/>
    <w:rsid w:val="0082272D"/>
    <w:rsid w:val="008227E3"/>
    <w:rsid w:val="008236B6"/>
    <w:rsid w:val="00823B78"/>
    <w:rsid w:val="00823D73"/>
    <w:rsid w:val="008240C2"/>
    <w:rsid w:val="00824428"/>
    <w:rsid w:val="00824ABE"/>
    <w:rsid w:val="008255BA"/>
    <w:rsid w:val="00825F0C"/>
    <w:rsid w:val="00826E27"/>
    <w:rsid w:val="00826EFD"/>
    <w:rsid w:val="008270C2"/>
    <w:rsid w:val="00827615"/>
    <w:rsid w:val="00827776"/>
    <w:rsid w:val="00830492"/>
    <w:rsid w:val="00830AED"/>
    <w:rsid w:val="008329E9"/>
    <w:rsid w:val="00832C00"/>
    <w:rsid w:val="008338DD"/>
    <w:rsid w:val="00834DE7"/>
    <w:rsid w:val="0083522C"/>
    <w:rsid w:val="008355D8"/>
    <w:rsid w:val="00835AC1"/>
    <w:rsid w:val="00836B07"/>
    <w:rsid w:val="0084018A"/>
    <w:rsid w:val="00841383"/>
    <w:rsid w:val="008416EC"/>
    <w:rsid w:val="008425EF"/>
    <w:rsid w:val="008427F7"/>
    <w:rsid w:val="008429B9"/>
    <w:rsid w:val="00842A3D"/>
    <w:rsid w:val="00842E6C"/>
    <w:rsid w:val="00843761"/>
    <w:rsid w:val="008446B6"/>
    <w:rsid w:val="0084540C"/>
    <w:rsid w:val="00847521"/>
    <w:rsid w:val="0084775A"/>
    <w:rsid w:val="00850323"/>
    <w:rsid w:val="00850874"/>
    <w:rsid w:val="00850CE9"/>
    <w:rsid w:val="00851001"/>
    <w:rsid w:val="008537D4"/>
    <w:rsid w:val="00855618"/>
    <w:rsid w:val="0085593E"/>
    <w:rsid w:val="00855AAA"/>
    <w:rsid w:val="00856168"/>
    <w:rsid w:val="00857114"/>
    <w:rsid w:val="0086039B"/>
    <w:rsid w:val="008608B6"/>
    <w:rsid w:val="00860F3C"/>
    <w:rsid w:val="00861146"/>
    <w:rsid w:val="00861399"/>
    <w:rsid w:val="0086212C"/>
    <w:rsid w:val="00862ECE"/>
    <w:rsid w:val="0086354A"/>
    <w:rsid w:val="00864057"/>
    <w:rsid w:val="00864BF5"/>
    <w:rsid w:val="00867175"/>
    <w:rsid w:val="00867DAD"/>
    <w:rsid w:val="008702A6"/>
    <w:rsid w:val="008711F2"/>
    <w:rsid w:val="00872768"/>
    <w:rsid w:val="00872D74"/>
    <w:rsid w:val="0087300E"/>
    <w:rsid w:val="00873027"/>
    <w:rsid w:val="0087317C"/>
    <w:rsid w:val="00873B6A"/>
    <w:rsid w:val="00874155"/>
    <w:rsid w:val="0087498C"/>
    <w:rsid w:val="008749EA"/>
    <w:rsid w:val="008754C8"/>
    <w:rsid w:val="00875E33"/>
    <w:rsid w:val="00876282"/>
    <w:rsid w:val="0087684C"/>
    <w:rsid w:val="008778F3"/>
    <w:rsid w:val="008802FC"/>
    <w:rsid w:val="008808D8"/>
    <w:rsid w:val="00880C48"/>
    <w:rsid w:val="00880F2D"/>
    <w:rsid w:val="008812F3"/>
    <w:rsid w:val="00881A77"/>
    <w:rsid w:val="00881DDE"/>
    <w:rsid w:val="00882945"/>
    <w:rsid w:val="00883B74"/>
    <w:rsid w:val="00883D71"/>
    <w:rsid w:val="00886573"/>
    <w:rsid w:val="00886FCD"/>
    <w:rsid w:val="008872DC"/>
    <w:rsid w:val="0088764A"/>
    <w:rsid w:val="00887C5F"/>
    <w:rsid w:val="00891E82"/>
    <w:rsid w:val="008922D8"/>
    <w:rsid w:val="008925E0"/>
    <w:rsid w:val="00892BA5"/>
    <w:rsid w:val="008938A4"/>
    <w:rsid w:val="00893E42"/>
    <w:rsid w:val="00895C2D"/>
    <w:rsid w:val="0089605C"/>
    <w:rsid w:val="00897343"/>
    <w:rsid w:val="00897372"/>
    <w:rsid w:val="008A2C93"/>
    <w:rsid w:val="008A4E00"/>
    <w:rsid w:val="008A56BD"/>
    <w:rsid w:val="008A5FA4"/>
    <w:rsid w:val="008A6619"/>
    <w:rsid w:val="008A69C9"/>
    <w:rsid w:val="008A6ADE"/>
    <w:rsid w:val="008A6D39"/>
    <w:rsid w:val="008A7591"/>
    <w:rsid w:val="008B0B9E"/>
    <w:rsid w:val="008B1293"/>
    <w:rsid w:val="008B1B8A"/>
    <w:rsid w:val="008B29AD"/>
    <w:rsid w:val="008B310A"/>
    <w:rsid w:val="008B4011"/>
    <w:rsid w:val="008B4106"/>
    <w:rsid w:val="008B422E"/>
    <w:rsid w:val="008B4941"/>
    <w:rsid w:val="008B49AF"/>
    <w:rsid w:val="008B4BB7"/>
    <w:rsid w:val="008B7172"/>
    <w:rsid w:val="008B75C7"/>
    <w:rsid w:val="008B78D9"/>
    <w:rsid w:val="008C013E"/>
    <w:rsid w:val="008C01FD"/>
    <w:rsid w:val="008C02ED"/>
    <w:rsid w:val="008C0E05"/>
    <w:rsid w:val="008C0EC4"/>
    <w:rsid w:val="008C10BE"/>
    <w:rsid w:val="008C2868"/>
    <w:rsid w:val="008C2A1D"/>
    <w:rsid w:val="008C2F90"/>
    <w:rsid w:val="008C2FE9"/>
    <w:rsid w:val="008C3394"/>
    <w:rsid w:val="008C3658"/>
    <w:rsid w:val="008C3EC4"/>
    <w:rsid w:val="008C49EC"/>
    <w:rsid w:val="008C4B84"/>
    <w:rsid w:val="008C6A51"/>
    <w:rsid w:val="008C6E51"/>
    <w:rsid w:val="008D138D"/>
    <w:rsid w:val="008D1B58"/>
    <w:rsid w:val="008D1F0A"/>
    <w:rsid w:val="008D29EF"/>
    <w:rsid w:val="008D2F73"/>
    <w:rsid w:val="008D3DA9"/>
    <w:rsid w:val="008D3E9A"/>
    <w:rsid w:val="008D45FC"/>
    <w:rsid w:val="008D5CBA"/>
    <w:rsid w:val="008D744B"/>
    <w:rsid w:val="008E0D26"/>
    <w:rsid w:val="008E1472"/>
    <w:rsid w:val="008E1D82"/>
    <w:rsid w:val="008E2181"/>
    <w:rsid w:val="008E21AE"/>
    <w:rsid w:val="008E26F0"/>
    <w:rsid w:val="008E2B9E"/>
    <w:rsid w:val="008E2EDB"/>
    <w:rsid w:val="008E311D"/>
    <w:rsid w:val="008E35EB"/>
    <w:rsid w:val="008E42AE"/>
    <w:rsid w:val="008E46A6"/>
    <w:rsid w:val="008E474D"/>
    <w:rsid w:val="008E4D7B"/>
    <w:rsid w:val="008E510F"/>
    <w:rsid w:val="008E56A7"/>
    <w:rsid w:val="008E5973"/>
    <w:rsid w:val="008E5A90"/>
    <w:rsid w:val="008E681A"/>
    <w:rsid w:val="008E732C"/>
    <w:rsid w:val="008E777D"/>
    <w:rsid w:val="008F0C20"/>
    <w:rsid w:val="008F170E"/>
    <w:rsid w:val="008F1DB7"/>
    <w:rsid w:val="008F263F"/>
    <w:rsid w:val="008F5B67"/>
    <w:rsid w:val="008F6E60"/>
    <w:rsid w:val="008F7329"/>
    <w:rsid w:val="008F76CC"/>
    <w:rsid w:val="008F782E"/>
    <w:rsid w:val="00901640"/>
    <w:rsid w:val="00903446"/>
    <w:rsid w:val="00903B1C"/>
    <w:rsid w:val="009077E7"/>
    <w:rsid w:val="009100C1"/>
    <w:rsid w:val="0091029F"/>
    <w:rsid w:val="00910948"/>
    <w:rsid w:val="00910AA5"/>
    <w:rsid w:val="00910B90"/>
    <w:rsid w:val="00911456"/>
    <w:rsid w:val="00911AE9"/>
    <w:rsid w:val="009133FC"/>
    <w:rsid w:val="009143D9"/>
    <w:rsid w:val="009147B3"/>
    <w:rsid w:val="009169F4"/>
    <w:rsid w:val="009171C5"/>
    <w:rsid w:val="00917FB9"/>
    <w:rsid w:val="00920B87"/>
    <w:rsid w:val="00920FD2"/>
    <w:rsid w:val="0092154F"/>
    <w:rsid w:val="009223B2"/>
    <w:rsid w:val="00922C9F"/>
    <w:rsid w:val="00923126"/>
    <w:rsid w:val="00923261"/>
    <w:rsid w:val="00923A7F"/>
    <w:rsid w:val="00924410"/>
    <w:rsid w:val="00924546"/>
    <w:rsid w:val="00925052"/>
    <w:rsid w:val="00926263"/>
    <w:rsid w:val="009262E9"/>
    <w:rsid w:val="009267D8"/>
    <w:rsid w:val="0092695C"/>
    <w:rsid w:val="00926BDC"/>
    <w:rsid w:val="00926D50"/>
    <w:rsid w:val="00930227"/>
    <w:rsid w:val="00931041"/>
    <w:rsid w:val="0093112A"/>
    <w:rsid w:val="009316BF"/>
    <w:rsid w:val="00931ACB"/>
    <w:rsid w:val="009323B9"/>
    <w:rsid w:val="00932D57"/>
    <w:rsid w:val="00932F88"/>
    <w:rsid w:val="0093349F"/>
    <w:rsid w:val="009334CB"/>
    <w:rsid w:val="009358FD"/>
    <w:rsid w:val="0093685C"/>
    <w:rsid w:val="00936CD4"/>
    <w:rsid w:val="0093747B"/>
    <w:rsid w:val="00937ADD"/>
    <w:rsid w:val="00937B20"/>
    <w:rsid w:val="0094020D"/>
    <w:rsid w:val="009408AC"/>
    <w:rsid w:val="009409DE"/>
    <w:rsid w:val="0094232B"/>
    <w:rsid w:val="00942EEB"/>
    <w:rsid w:val="00943993"/>
    <w:rsid w:val="00943DBD"/>
    <w:rsid w:val="009440F9"/>
    <w:rsid w:val="009444C5"/>
    <w:rsid w:val="00944DBA"/>
    <w:rsid w:val="0094564A"/>
    <w:rsid w:val="00945728"/>
    <w:rsid w:val="00945F5F"/>
    <w:rsid w:val="009466A0"/>
    <w:rsid w:val="00946806"/>
    <w:rsid w:val="0094685F"/>
    <w:rsid w:val="00946C22"/>
    <w:rsid w:val="00950AF3"/>
    <w:rsid w:val="009515F5"/>
    <w:rsid w:val="009523D9"/>
    <w:rsid w:val="00952669"/>
    <w:rsid w:val="00952AC3"/>
    <w:rsid w:val="009532DF"/>
    <w:rsid w:val="00953431"/>
    <w:rsid w:val="0095348C"/>
    <w:rsid w:val="009534F1"/>
    <w:rsid w:val="00954629"/>
    <w:rsid w:val="0095511A"/>
    <w:rsid w:val="00955B23"/>
    <w:rsid w:val="00955BC3"/>
    <w:rsid w:val="0095616F"/>
    <w:rsid w:val="009568B8"/>
    <w:rsid w:val="00956CE2"/>
    <w:rsid w:val="009571A3"/>
    <w:rsid w:val="009614B1"/>
    <w:rsid w:val="00961F83"/>
    <w:rsid w:val="0096340A"/>
    <w:rsid w:val="00963CC7"/>
    <w:rsid w:val="00963E79"/>
    <w:rsid w:val="00965ABF"/>
    <w:rsid w:val="00965E11"/>
    <w:rsid w:val="0097064A"/>
    <w:rsid w:val="00970C52"/>
    <w:rsid w:val="00970C88"/>
    <w:rsid w:val="00972F12"/>
    <w:rsid w:val="0097469A"/>
    <w:rsid w:val="00975A7B"/>
    <w:rsid w:val="00976F29"/>
    <w:rsid w:val="0097761F"/>
    <w:rsid w:val="00980380"/>
    <w:rsid w:val="0098085D"/>
    <w:rsid w:val="00980FC1"/>
    <w:rsid w:val="00982031"/>
    <w:rsid w:val="00983408"/>
    <w:rsid w:val="00983CC6"/>
    <w:rsid w:val="00984903"/>
    <w:rsid w:val="00984BDD"/>
    <w:rsid w:val="00984CDA"/>
    <w:rsid w:val="00984F9C"/>
    <w:rsid w:val="009862CF"/>
    <w:rsid w:val="00986C7D"/>
    <w:rsid w:val="00986E75"/>
    <w:rsid w:val="00987995"/>
    <w:rsid w:val="00990909"/>
    <w:rsid w:val="00990DAE"/>
    <w:rsid w:val="00991978"/>
    <w:rsid w:val="0099252A"/>
    <w:rsid w:val="00993824"/>
    <w:rsid w:val="00994C63"/>
    <w:rsid w:val="00995BA0"/>
    <w:rsid w:val="009965F7"/>
    <w:rsid w:val="0099662F"/>
    <w:rsid w:val="00997C03"/>
    <w:rsid w:val="009A04D3"/>
    <w:rsid w:val="009A07BE"/>
    <w:rsid w:val="009A23D0"/>
    <w:rsid w:val="009A55A8"/>
    <w:rsid w:val="009A59C2"/>
    <w:rsid w:val="009A59DD"/>
    <w:rsid w:val="009A6C67"/>
    <w:rsid w:val="009A766B"/>
    <w:rsid w:val="009A77C5"/>
    <w:rsid w:val="009A799A"/>
    <w:rsid w:val="009B03FC"/>
    <w:rsid w:val="009B065A"/>
    <w:rsid w:val="009B0D5F"/>
    <w:rsid w:val="009B10C7"/>
    <w:rsid w:val="009B1CF6"/>
    <w:rsid w:val="009B2260"/>
    <w:rsid w:val="009B2491"/>
    <w:rsid w:val="009B3573"/>
    <w:rsid w:val="009B3B52"/>
    <w:rsid w:val="009B48DA"/>
    <w:rsid w:val="009B505B"/>
    <w:rsid w:val="009B6659"/>
    <w:rsid w:val="009B7888"/>
    <w:rsid w:val="009B79E4"/>
    <w:rsid w:val="009C0B67"/>
    <w:rsid w:val="009C0DCA"/>
    <w:rsid w:val="009C16E3"/>
    <w:rsid w:val="009C1C9C"/>
    <w:rsid w:val="009C2838"/>
    <w:rsid w:val="009C2877"/>
    <w:rsid w:val="009C28D5"/>
    <w:rsid w:val="009C3C63"/>
    <w:rsid w:val="009C47F4"/>
    <w:rsid w:val="009C48B3"/>
    <w:rsid w:val="009C4911"/>
    <w:rsid w:val="009C5600"/>
    <w:rsid w:val="009C5796"/>
    <w:rsid w:val="009C6442"/>
    <w:rsid w:val="009C65D5"/>
    <w:rsid w:val="009C6B72"/>
    <w:rsid w:val="009C7188"/>
    <w:rsid w:val="009C7865"/>
    <w:rsid w:val="009C7D39"/>
    <w:rsid w:val="009D00D8"/>
    <w:rsid w:val="009D1334"/>
    <w:rsid w:val="009D1C72"/>
    <w:rsid w:val="009D1D9C"/>
    <w:rsid w:val="009D21A2"/>
    <w:rsid w:val="009D24D4"/>
    <w:rsid w:val="009D2521"/>
    <w:rsid w:val="009D27B2"/>
    <w:rsid w:val="009D2D08"/>
    <w:rsid w:val="009D2ED5"/>
    <w:rsid w:val="009D4F3F"/>
    <w:rsid w:val="009D5DDE"/>
    <w:rsid w:val="009D61A5"/>
    <w:rsid w:val="009D66DE"/>
    <w:rsid w:val="009D71C7"/>
    <w:rsid w:val="009D79B4"/>
    <w:rsid w:val="009D7E26"/>
    <w:rsid w:val="009D7E68"/>
    <w:rsid w:val="009E042D"/>
    <w:rsid w:val="009E06AB"/>
    <w:rsid w:val="009E1DEB"/>
    <w:rsid w:val="009E2896"/>
    <w:rsid w:val="009E3160"/>
    <w:rsid w:val="009E5536"/>
    <w:rsid w:val="009E56BA"/>
    <w:rsid w:val="009E5B96"/>
    <w:rsid w:val="009E63AF"/>
    <w:rsid w:val="009E7008"/>
    <w:rsid w:val="009E74C2"/>
    <w:rsid w:val="009E769C"/>
    <w:rsid w:val="009F0E77"/>
    <w:rsid w:val="009F0E8A"/>
    <w:rsid w:val="009F1367"/>
    <w:rsid w:val="009F1410"/>
    <w:rsid w:val="009F1B26"/>
    <w:rsid w:val="009F1DA4"/>
    <w:rsid w:val="009F1DC9"/>
    <w:rsid w:val="009F2F2A"/>
    <w:rsid w:val="009F3BE9"/>
    <w:rsid w:val="009F58A7"/>
    <w:rsid w:val="009F61D7"/>
    <w:rsid w:val="009F6358"/>
    <w:rsid w:val="009F75CE"/>
    <w:rsid w:val="009F790B"/>
    <w:rsid w:val="009F7DA3"/>
    <w:rsid w:val="00A0095D"/>
    <w:rsid w:val="00A00976"/>
    <w:rsid w:val="00A00B1B"/>
    <w:rsid w:val="00A01847"/>
    <w:rsid w:val="00A020DC"/>
    <w:rsid w:val="00A02FF4"/>
    <w:rsid w:val="00A033E6"/>
    <w:rsid w:val="00A0406E"/>
    <w:rsid w:val="00A04C6C"/>
    <w:rsid w:val="00A05436"/>
    <w:rsid w:val="00A06924"/>
    <w:rsid w:val="00A07136"/>
    <w:rsid w:val="00A07C15"/>
    <w:rsid w:val="00A104A5"/>
    <w:rsid w:val="00A112FF"/>
    <w:rsid w:val="00A12893"/>
    <w:rsid w:val="00A13881"/>
    <w:rsid w:val="00A13E52"/>
    <w:rsid w:val="00A144F2"/>
    <w:rsid w:val="00A14D04"/>
    <w:rsid w:val="00A15766"/>
    <w:rsid w:val="00A16E61"/>
    <w:rsid w:val="00A17B22"/>
    <w:rsid w:val="00A2064B"/>
    <w:rsid w:val="00A20B06"/>
    <w:rsid w:val="00A211B8"/>
    <w:rsid w:val="00A21E94"/>
    <w:rsid w:val="00A2325F"/>
    <w:rsid w:val="00A235A2"/>
    <w:rsid w:val="00A23749"/>
    <w:rsid w:val="00A24359"/>
    <w:rsid w:val="00A24594"/>
    <w:rsid w:val="00A25CCE"/>
    <w:rsid w:val="00A27AE0"/>
    <w:rsid w:val="00A30ED6"/>
    <w:rsid w:val="00A311E1"/>
    <w:rsid w:val="00A31DCE"/>
    <w:rsid w:val="00A33DEB"/>
    <w:rsid w:val="00A3401E"/>
    <w:rsid w:val="00A3445F"/>
    <w:rsid w:val="00A3507E"/>
    <w:rsid w:val="00A35471"/>
    <w:rsid w:val="00A35C4F"/>
    <w:rsid w:val="00A36880"/>
    <w:rsid w:val="00A36C44"/>
    <w:rsid w:val="00A3752D"/>
    <w:rsid w:val="00A377E9"/>
    <w:rsid w:val="00A40223"/>
    <w:rsid w:val="00A40A4A"/>
    <w:rsid w:val="00A40E64"/>
    <w:rsid w:val="00A415C2"/>
    <w:rsid w:val="00A42685"/>
    <w:rsid w:val="00A42B99"/>
    <w:rsid w:val="00A4304F"/>
    <w:rsid w:val="00A439DD"/>
    <w:rsid w:val="00A43AC6"/>
    <w:rsid w:val="00A43B1E"/>
    <w:rsid w:val="00A447F7"/>
    <w:rsid w:val="00A4481C"/>
    <w:rsid w:val="00A44D01"/>
    <w:rsid w:val="00A44F96"/>
    <w:rsid w:val="00A45F9C"/>
    <w:rsid w:val="00A46B1A"/>
    <w:rsid w:val="00A46E38"/>
    <w:rsid w:val="00A50737"/>
    <w:rsid w:val="00A5104D"/>
    <w:rsid w:val="00A51B26"/>
    <w:rsid w:val="00A51CC4"/>
    <w:rsid w:val="00A51F48"/>
    <w:rsid w:val="00A5281F"/>
    <w:rsid w:val="00A52935"/>
    <w:rsid w:val="00A53466"/>
    <w:rsid w:val="00A536F5"/>
    <w:rsid w:val="00A53D38"/>
    <w:rsid w:val="00A544D8"/>
    <w:rsid w:val="00A54787"/>
    <w:rsid w:val="00A54BE6"/>
    <w:rsid w:val="00A55239"/>
    <w:rsid w:val="00A56355"/>
    <w:rsid w:val="00A565C8"/>
    <w:rsid w:val="00A57351"/>
    <w:rsid w:val="00A609DC"/>
    <w:rsid w:val="00A60CC6"/>
    <w:rsid w:val="00A61388"/>
    <w:rsid w:val="00A61AA8"/>
    <w:rsid w:val="00A61CE3"/>
    <w:rsid w:val="00A630D2"/>
    <w:rsid w:val="00A6445E"/>
    <w:rsid w:val="00A644BD"/>
    <w:rsid w:val="00A64FAE"/>
    <w:rsid w:val="00A65287"/>
    <w:rsid w:val="00A65746"/>
    <w:rsid w:val="00A65755"/>
    <w:rsid w:val="00A673AB"/>
    <w:rsid w:val="00A67AEE"/>
    <w:rsid w:val="00A70085"/>
    <w:rsid w:val="00A70B72"/>
    <w:rsid w:val="00A73508"/>
    <w:rsid w:val="00A74965"/>
    <w:rsid w:val="00A7712E"/>
    <w:rsid w:val="00A7741B"/>
    <w:rsid w:val="00A77C3D"/>
    <w:rsid w:val="00A80A0E"/>
    <w:rsid w:val="00A81DE9"/>
    <w:rsid w:val="00A81FF7"/>
    <w:rsid w:val="00A822EC"/>
    <w:rsid w:val="00A835F5"/>
    <w:rsid w:val="00A836A9"/>
    <w:rsid w:val="00A8507C"/>
    <w:rsid w:val="00A852C4"/>
    <w:rsid w:val="00A85519"/>
    <w:rsid w:val="00A867E6"/>
    <w:rsid w:val="00A87811"/>
    <w:rsid w:val="00A8791C"/>
    <w:rsid w:val="00A87EF0"/>
    <w:rsid w:val="00A91CF7"/>
    <w:rsid w:val="00A92250"/>
    <w:rsid w:val="00A94429"/>
    <w:rsid w:val="00A94590"/>
    <w:rsid w:val="00A948BF"/>
    <w:rsid w:val="00A949E2"/>
    <w:rsid w:val="00A9556B"/>
    <w:rsid w:val="00A95637"/>
    <w:rsid w:val="00A95B87"/>
    <w:rsid w:val="00A95F7B"/>
    <w:rsid w:val="00A967D3"/>
    <w:rsid w:val="00A9709B"/>
    <w:rsid w:val="00A97AEC"/>
    <w:rsid w:val="00AA01F7"/>
    <w:rsid w:val="00AA165D"/>
    <w:rsid w:val="00AA1E21"/>
    <w:rsid w:val="00AA1FF5"/>
    <w:rsid w:val="00AA2D9D"/>
    <w:rsid w:val="00AA39B0"/>
    <w:rsid w:val="00AA3DD7"/>
    <w:rsid w:val="00AA75D4"/>
    <w:rsid w:val="00AA75DC"/>
    <w:rsid w:val="00AA79A1"/>
    <w:rsid w:val="00AA7E4C"/>
    <w:rsid w:val="00AB0310"/>
    <w:rsid w:val="00AB06C3"/>
    <w:rsid w:val="00AB0ED1"/>
    <w:rsid w:val="00AB1856"/>
    <w:rsid w:val="00AB2572"/>
    <w:rsid w:val="00AB3785"/>
    <w:rsid w:val="00AB3C22"/>
    <w:rsid w:val="00AB4721"/>
    <w:rsid w:val="00AB4D1E"/>
    <w:rsid w:val="00AB5FF8"/>
    <w:rsid w:val="00AB6091"/>
    <w:rsid w:val="00AB7618"/>
    <w:rsid w:val="00AB7DA0"/>
    <w:rsid w:val="00AC03B1"/>
    <w:rsid w:val="00AC03BE"/>
    <w:rsid w:val="00AC0A86"/>
    <w:rsid w:val="00AC0C5D"/>
    <w:rsid w:val="00AC27D8"/>
    <w:rsid w:val="00AC3A6A"/>
    <w:rsid w:val="00AC3B94"/>
    <w:rsid w:val="00AC42E4"/>
    <w:rsid w:val="00AC44F8"/>
    <w:rsid w:val="00AC4B70"/>
    <w:rsid w:val="00AC598D"/>
    <w:rsid w:val="00AC5A1C"/>
    <w:rsid w:val="00AC5A68"/>
    <w:rsid w:val="00AC6F82"/>
    <w:rsid w:val="00AC739B"/>
    <w:rsid w:val="00AC7E75"/>
    <w:rsid w:val="00AC7FC5"/>
    <w:rsid w:val="00AD0774"/>
    <w:rsid w:val="00AD0AE8"/>
    <w:rsid w:val="00AD1251"/>
    <w:rsid w:val="00AD1DCE"/>
    <w:rsid w:val="00AD2C66"/>
    <w:rsid w:val="00AD365F"/>
    <w:rsid w:val="00AD3BA1"/>
    <w:rsid w:val="00AD4D9F"/>
    <w:rsid w:val="00AD4FF5"/>
    <w:rsid w:val="00AD566F"/>
    <w:rsid w:val="00AD617C"/>
    <w:rsid w:val="00AD682C"/>
    <w:rsid w:val="00AD6DD7"/>
    <w:rsid w:val="00AD6F97"/>
    <w:rsid w:val="00AD7BC4"/>
    <w:rsid w:val="00AD7DDF"/>
    <w:rsid w:val="00AE07DA"/>
    <w:rsid w:val="00AE10AC"/>
    <w:rsid w:val="00AE1597"/>
    <w:rsid w:val="00AE1A74"/>
    <w:rsid w:val="00AE2077"/>
    <w:rsid w:val="00AE303D"/>
    <w:rsid w:val="00AE415B"/>
    <w:rsid w:val="00AE49C9"/>
    <w:rsid w:val="00AE4ACB"/>
    <w:rsid w:val="00AE5755"/>
    <w:rsid w:val="00AE5B84"/>
    <w:rsid w:val="00AE7EC6"/>
    <w:rsid w:val="00AF0E9D"/>
    <w:rsid w:val="00AF1F5D"/>
    <w:rsid w:val="00AF2034"/>
    <w:rsid w:val="00AF2BD4"/>
    <w:rsid w:val="00AF2D1E"/>
    <w:rsid w:val="00AF3ADA"/>
    <w:rsid w:val="00AF3C92"/>
    <w:rsid w:val="00AF4979"/>
    <w:rsid w:val="00AF4AEF"/>
    <w:rsid w:val="00AF51FC"/>
    <w:rsid w:val="00AF599A"/>
    <w:rsid w:val="00AF5C74"/>
    <w:rsid w:val="00AF5F82"/>
    <w:rsid w:val="00AF6CB0"/>
    <w:rsid w:val="00AF6F2E"/>
    <w:rsid w:val="00AF72C6"/>
    <w:rsid w:val="00B0072F"/>
    <w:rsid w:val="00B01423"/>
    <w:rsid w:val="00B02412"/>
    <w:rsid w:val="00B02819"/>
    <w:rsid w:val="00B04704"/>
    <w:rsid w:val="00B053FF"/>
    <w:rsid w:val="00B05C17"/>
    <w:rsid w:val="00B061AF"/>
    <w:rsid w:val="00B07342"/>
    <w:rsid w:val="00B07ABF"/>
    <w:rsid w:val="00B10719"/>
    <w:rsid w:val="00B108A4"/>
    <w:rsid w:val="00B11046"/>
    <w:rsid w:val="00B11217"/>
    <w:rsid w:val="00B1139B"/>
    <w:rsid w:val="00B11730"/>
    <w:rsid w:val="00B11B9A"/>
    <w:rsid w:val="00B11EE4"/>
    <w:rsid w:val="00B13DD8"/>
    <w:rsid w:val="00B14687"/>
    <w:rsid w:val="00B146B3"/>
    <w:rsid w:val="00B15452"/>
    <w:rsid w:val="00B1623A"/>
    <w:rsid w:val="00B170C9"/>
    <w:rsid w:val="00B17A39"/>
    <w:rsid w:val="00B21476"/>
    <w:rsid w:val="00B21935"/>
    <w:rsid w:val="00B21E3A"/>
    <w:rsid w:val="00B21F7F"/>
    <w:rsid w:val="00B23FEC"/>
    <w:rsid w:val="00B2470C"/>
    <w:rsid w:val="00B256BE"/>
    <w:rsid w:val="00B25EB9"/>
    <w:rsid w:val="00B275AD"/>
    <w:rsid w:val="00B3078E"/>
    <w:rsid w:val="00B3110C"/>
    <w:rsid w:val="00B31509"/>
    <w:rsid w:val="00B31A60"/>
    <w:rsid w:val="00B31BB3"/>
    <w:rsid w:val="00B325F4"/>
    <w:rsid w:val="00B32ACF"/>
    <w:rsid w:val="00B3321A"/>
    <w:rsid w:val="00B33916"/>
    <w:rsid w:val="00B33C9D"/>
    <w:rsid w:val="00B344F9"/>
    <w:rsid w:val="00B35095"/>
    <w:rsid w:val="00B3605A"/>
    <w:rsid w:val="00B36A9C"/>
    <w:rsid w:val="00B36FEA"/>
    <w:rsid w:val="00B37743"/>
    <w:rsid w:val="00B3775A"/>
    <w:rsid w:val="00B3776A"/>
    <w:rsid w:val="00B402CD"/>
    <w:rsid w:val="00B406BE"/>
    <w:rsid w:val="00B41924"/>
    <w:rsid w:val="00B41C8E"/>
    <w:rsid w:val="00B42F98"/>
    <w:rsid w:val="00B43372"/>
    <w:rsid w:val="00B43E2B"/>
    <w:rsid w:val="00B44736"/>
    <w:rsid w:val="00B4592C"/>
    <w:rsid w:val="00B4698C"/>
    <w:rsid w:val="00B476FB"/>
    <w:rsid w:val="00B5238D"/>
    <w:rsid w:val="00B52D24"/>
    <w:rsid w:val="00B53753"/>
    <w:rsid w:val="00B53BCA"/>
    <w:rsid w:val="00B54AE0"/>
    <w:rsid w:val="00B54C2F"/>
    <w:rsid w:val="00B54FFF"/>
    <w:rsid w:val="00B56112"/>
    <w:rsid w:val="00B566D5"/>
    <w:rsid w:val="00B56FFC"/>
    <w:rsid w:val="00B60ACA"/>
    <w:rsid w:val="00B61F8E"/>
    <w:rsid w:val="00B620AF"/>
    <w:rsid w:val="00B6246D"/>
    <w:rsid w:val="00B624D6"/>
    <w:rsid w:val="00B62813"/>
    <w:rsid w:val="00B62D29"/>
    <w:rsid w:val="00B6413E"/>
    <w:rsid w:val="00B642D8"/>
    <w:rsid w:val="00B647A9"/>
    <w:rsid w:val="00B65C18"/>
    <w:rsid w:val="00B66520"/>
    <w:rsid w:val="00B669AD"/>
    <w:rsid w:val="00B6797B"/>
    <w:rsid w:val="00B70AE3"/>
    <w:rsid w:val="00B71780"/>
    <w:rsid w:val="00B7272F"/>
    <w:rsid w:val="00B72EDB"/>
    <w:rsid w:val="00B7339A"/>
    <w:rsid w:val="00B739EC"/>
    <w:rsid w:val="00B73C6D"/>
    <w:rsid w:val="00B74C1D"/>
    <w:rsid w:val="00B7564E"/>
    <w:rsid w:val="00B75BF2"/>
    <w:rsid w:val="00B765B3"/>
    <w:rsid w:val="00B76B79"/>
    <w:rsid w:val="00B76BDB"/>
    <w:rsid w:val="00B777C2"/>
    <w:rsid w:val="00B77EBA"/>
    <w:rsid w:val="00B77F92"/>
    <w:rsid w:val="00B82084"/>
    <w:rsid w:val="00B8307A"/>
    <w:rsid w:val="00B83807"/>
    <w:rsid w:val="00B84067"/>
    <w:rsid w:val="00B848F8"/>
    <w:rsid w:val="00B84A39"/>
    <w:rsid w:val="00B8529F"/>
    <w:rsid w:val="00B85639"/>
    <w:rsid w:val="00B85C69"/>
    <w:rsid w:val="00B86607"/>
    <w:rsid w:val="00B8681B"/>
    <w:rsid w:val="00B90614"/>
    <w:rsid w:val="00B9075C"/>
    <w:rsid w:val="00B90F81"/>
    <w:rsid w:val="00B921D7"/>
    <w:rsid w:val="00B922AE"/>
    <w:rsid w:val="00B926AF"/>
    <w:rsid w:val="00B92C76"/>
    <w:rsid w:val="00B95099"/>
    <w:rsid w:val="00B9582E"/>
    <w:rsid w:val="00B96949"/>
    <w:rsid w:val="00B97053"/>
    <w:rsid w:val="00B9730E"/>
    <w:rsid w:val="00B97F42"/>
    <w:rsid w:val="00BA0519"/>
    <w:rsid w:val="00BA0C39"/>
    <w:rsid w:val="00BA1CB2"/>
    <w:rsid w:val="00BA1CB9"/>
    <w:rsid w:val="00BA395A"/>
    <w:rsid w:val="00BA40B7"/>
    <w:rsid w:val="00BA4397"/>
    <w:rsid w:val="00BA47B3"/>
    <w:rsid w:val="00BA538C"/>
    <w:rsid w:val="00BA581E"/>
    <w:rsid w:val="00BA5860"/>
    <w:rsid w:val="00BA6E9D"/>
    <w:rsid w:val="00BA721D"/>
    <w:rsid w:val="00BA7B0E"/>
    <w:rsid w:val="00BB00D2"/>
    <w:rsid w:val="00BB01D5"/>
    <w:rsid w:val="00BB020F"/>
    <w:rsid w:val="00BB06AF"/>
    <w:rsid w:val="00BB1793"/>
    <w:rsid w:val="00BB253B"/>
    <w:rsid w:val="00BB3C74"/>
    <w:rsid w:val="00BB46AD"/>
    <w:rsid w:val="00BB572D"/>
    <w:rsid w:val="00BB7003"/>
    <w:rsid w:val="00BB734A"/>
    <w:rsid w:val="00BB76EB"/>
    <w:rsid w:val="00BB7974"/>
    <w:rsid w:val="00BC03CA"/>
    <w:rsid w:val="00BC0A06"/>
    <w:rsid w:val="00BC0D6E"/>
    <w:rsid w:val="00BC1CA0"/>
    <w:rsid w:val="00BC2486"/>
    <w:rsid w:val="00BC273A"/>
    <w:rsid w:val="00BC28A4"/>
    <w:rsid w:val="00BC2A74"/>
    <w:rsid w:val="00BC3D28"/>
    <w:rsid w:val="00BC4638"/>
    <w:rsid w:val="00BC49D8"/>
    <w:rsid w:val="00BC49EA"/>
    <w:rsid w:val="00BC5355"/>
    <w:rsid w:val="00BC6C48"/>
    <w:rsid w:val="00BC6F10"/>
    <w:rsid w:val="00BC7189"/>
    <w:rsid w:val="00BC74D7"/>
    <w:rsid w:val="00BD016F"/>
    <w:rsid w:val="00BD0C9F"/>
    <w:rsid w:val="00BD1165"/>
    <w:rsid w:val="00BD1461"/>
    <w:rsid w:val="00BD1DD9"/>
    <w:rsid w:val="00BD2B19"/>
    <w:rsid w:val="00BD2C07"/>
    <w:rsid w:val="00BD2D14"/>
    <w:rsid w:val="00BD3A45"/>
    <w:rsid w:val="00BD49E8"/>
    <w:rsid w:val="00BD5064"/>
    <w:rsid w:val="00BD5385"/>
    <w:rsid w:val="00BD6D2C"/>
    <w:rsid w:val="00BD726A"/>
    <w:rsid w:val="00BE079A"/>
    <w:rsid w:val="00BE08D9"/>
    <w:rsid w:val="00BE0BA2"/>
    <w:rsid w:val="00BE1888"/>
    <w:rsid w:val="00BE19B0"/>
    <w:rsid w:val="00BE2085"/>
    <w:rsid w:val="00BE27CC"/>
    <w:rsid w:val="00BE2D84"/>
    <w:rsid w:val="00BE2F95"/>
    <w:rsid w:val="00BE4AAB"/>
    <w:rsid w:val="00BE4F39"/>
    <w:rsid w:val="00BE52AA"/>
    <w:rsid w:val="00BE685E"/>
    <w:rsid w:val="00BE692F"/>
    <w:rsid w:val="00BF0216"/>
    <w:rsid w:val="00BF0845"/>
    <w:rsid w:val="00BF08D2"/>
    <w:rsid w:val="00BF24B7"/>
    <w:rsid w:val="00BF270E"/>
    <w:rsid w:val="00BF340F"/>
    <w:rsid w:val="00BF3569"/>
    <w:rsid w:val="00BF37A7"/>
    <w:rsid w:val="00BF3B3A"/>
    <w:rsid w:val="00BF41D3"/>
    <w:rsid w:val="00BF4863"/>
    <w:rsid w:val="00BF7065"/>
    <w:rsid w:val="00BF78BE"/>
    <w:rsid w:val="00C003A2"/>
    <w:rsid w:val="00C00C4F"/>
    <w:rsid w:val="00C00C87"/>
    <w:rsid w:val="00C015A6"/>
    <w:rsid w:val="00C016D8"/>
    <w:rsid w:val="00C01DB2"/>
    <w:rsid w:val="00C02974"/>
    <w:rsid w:val="00C03225"/>
    <w:rsid w:val="00C05375"/>
    <w:rsid w:val="00C062C5"/>
    <w:rsid w:val="00C07260"/>
    <w:rsid w:val="00C07985"/>
    <w:rsid w:val="00C1011C"/>
    <w:rsid w:val="00C101D7"/>
    <w:rsid w:val="00C10D85"/>
    <w:rsid w:val="00C12974"/>
    <w:rsid w:val="00C12BD7"/>
    <w:rsid w:val="00C13D3A"/>
    <w:rsid w:val="00C1508A"/>
    <w:rsid w:val="00C1539D"/>
    <w:rsid w:val="00C158F5"/>
    <w:rsid w:val="00C1604C"/>
    <w:rsid w:val="00C16674"/>
    <w:rsid w:val="00C16891"/>
    <w:rsid w:val="00C170A7"/>
    <w:rsid w:val="00C179A2"/>
    <w:rsid w:val="00C20A57"/>
    <w:rsid w:val="00C21113"/>
    <w:rsid w:val="00C21987"/>
    <w:rsid w:val="00C2198E"/>
    <w:rsid w:val="00C21FD9"/>
    <w:rsid w:val="00C22557"/>
    <w:rsid w:val="00C22DAD"/>
    <w:rsid w:val="00C230ED"/>
    <w:rsid w:val="00C23766"/>
    <w:rsid w:val="00C24F95"/>
    <w:rsid w:val="00C25079"/>
    <w:rsid w:val="00C255D1"/>
    <w:rsid w:val="00C25C1D"/>
    <w:rsid w:val="00C2606D"/>
    <w:rsid w:val="00C319AF"/>
    <w:rsid w:val="00C3232D"/>
    <w:rsid w:val="00C3257C"/>
    <w:rsid w:val="00C330FF"/>
    <w:rsid w:val="00C3378F"/>
    <w:rsid w:val="00C3381F"/>
    <w:rsid w:val="00C34CFD"/>
    <w:rsid w:val="00C35391"/>
    <w:rsid w:val="00C35F5F"/>
    <w:rsid w:val="00C36DA3"/>
    <w:rsid w:val="00C37E01"/>
    <w:rsid w:val="00C400B5"/>
    <w:rsid w:val="00C40158"/>
    <w:rsid w:val="00C407E0"/>
    <w:rsid w:val="00C40B78"/>
    <w:rsid w:val="00C412CC"/>
    <w:rsid w:val="00C43115"/>
    <w:rsid w:val="00C431BE"/>
    <w:rsid w:val="00C435FA"/>
    <w:rsid w:val="00C44600"/>
    <w:rsid w:val="00C453AD"/>
    <w:rsid w:val="00C4602D"/>
    <w:rsid w:val="00C4621D"/>
    <w:rsid w:val="00C471D3"/>
    <w:rsid w:val="00C47527"/>
    <w:rsid w:val="00C5077A"/>
    <w:rsid w:val="00C50A6A"/>
    <w:rsid w:val="00C50DB7"/>
    <w:rsid w:val="00C51460"/>
    <w:rsid w:val="00C51AA5"/>
    <w:rsid w:val="00C524AC"/>
    <w:rsid w:val="00C5351F"/>
    <w:rsid w:val="00C53E40"/>
    <w:rsid w:val="00C5465D"/>
    <w:rsid w:val="00C557EE"/>
    <w:rsid w:val="00C55CA5"/>
    <w:rsid w:val="00C5607B"/>
    <w:rsid w:val="00C5685B"/>
    <w:rsid w:val="00C570A2"/>
    <w:rsid w:val="00C60664"/>
    <w:rsid w:val="00C60B61"/>
    <w:rsid w:val="00C61574"/>
    <w:rsid w:val="00C645E2"/>
    <w:rsid w:val="00C65232"/>
    <w:rsid w:val="00C6674B"/>
    <w:rsid w:val="00C67689"/>
    <w:rsid w:val="00C67D1F"/>
    <w:rsid w:val="00C67E5D"/>
    <w:rsid w:val="00C702C1"/>
    <w:rsid w:val="00C703AD"/>
    <w:rsid w:val="00C70B20"/>
    <w:rsid w:val="00C70C3A"/>
    <w:rsid w:val="00C70E1C"/>
    <w:rsid w:val="00C722A1"/>
    <w:rsid w:val="00C74E37"/>
    <w:rsid w:val="00C80AEE"/>
    <w:rsid w:val="00C811FC"/>
    <w:rsid w:val="00C8233D"/>
    <w:rsid w:val="00C82440"/>
    <w:rsid w:val="00C82535"/>
    <w:rsid w:val="00C831D5"/>
    <w:rsid w:val="00C83411"/>
    <w:rsid w:val="00C836C7"/>
    <w:rsid w:val="00C83B76"/>
    <w:rsid w:val="00C84CDC"/>
    <w:rsid w:val="00C84D0E"/>
    <w:rsid w:val="00C8560A"/>
    <w:rsid w:val="00C86A40"/>
    <w:rsid w:val="00C87407"/>
    <w:rsid w:val="00C8745F"/>
    <w:rsid w:val="00C875F8"/>
    <w:rsid w:val="00C8767B"/>
    <w:rsid w:val="00C87DA2"/>
    <w:rsid w:val="00C87F28"/>
    <w:rsid w:val="00C87FEB"/>
    <w:rsid w:val="00C903DA"/>
    <w:rsid w:val="00C903FF"/>
    <w:rsid w:val="00C90714"/>
    <w:rsid w:val="00C915AF"/>
    <w:rsid w:val="00C91B3D"/>
    <w:rsid w:val="00C92CA1"/>
    <w:rsid w:val="00C92D64"/>
    <w:rsid w:val="00C93202"/>
    <w:rsid w:val="00C93592"/>
    <w:rsid w:val="00C93CD2"/>
    <w:rsid w:val="00C94291"/>
    <w:rsid w:val="00C94306"/>
    <w:rsid w:val="00C948A7"/>
    <w:rsid w:val="00C958C3"/>
    <w:rsid w:val="00C9724B"/>
    <w:rsid w:val="00C97F4B"/>
    <w:rsid w:val="00CA065D"/>
    <w:rsid w:val="00CA1923"/>
    <w:rsid w:val="00CA34EE"/>
    <w:rsid w:val="00CA3D48"/>
    <w:rsid w:val="00CA40E2"/>
    <w:rsid w:val="00CA522B"/>
    <w:rsid w:val="00CA5C73"/>
    <w:rsid w:val="00CA5D02"/>
    <w:rsid w:val="00CA5EC8"/>
    <w:rsid w:val="00CA61F4"/>
    <w:rsid w:val="00CA745E"/>
    <w:rsid w:val="00CB001A"/>
    <w:rsid w:val="00CB00B8"/>
    <w:rsid w:val="00CB168A"/>
    <w:rsid w:val="00CB1717"/>
    <w:rsid w:val="00CB1924"/>
    <w:rsid w:val="00CB1E5F"/>
    <w:rsid w:val="00CB1F2D"/>
    <w:rsid w:val="00CB2DD0"/>
    <w:rsid w:val="00CB4755"/>
    <w:rsid w:val="00CB480B"/>
    <w:rsid w:val="00CB6057"/>
    <w:rsid w:val="00CB68FB"/>
    <w:rsid w:val="00CB6FC3"/>
    <w:rsid w:val="00CB74EF"/>
    <w:rsid w:val="00CB7772"/>
    <w:rsid w:val="00CB7FC7"/>
    <w:rsid w:val="00CC24F6"/>
    <w:rsid w:val="00CC3590"/>
    <w:rsid w:val="00CC3B30"/>
    <w:rsid w:val="00CC5D7C"/>
    <w:rsid w:val="00CC7BD3"/>
    <w:rsid w:val="00CD0D5A"/>
    <w:rsid w:val="00CD197F"/>
    <w:rsid w:val="00CD2980"/>
    <w:rsid w:val="00CD2DCB"/>
    <w:rsid w:val="00CD2FB3"/>
    <w:rsid w:val="00CD379D"/>
    <w:rsid w:val="00CD3AF1"/>
    <w:rsid w:val="00CD3E4D"/>
    <w:rsid w:val="00CD55CC"/>
    <w:rsid w:val="00CD573B"/>
    <w:rsid w:val="00CD5BAD"/>
    <w:rsid w:val="00CD601C"/>
    <w:rsid w:val="00CD625A"/>
    <w:rsid w:val="00CD65AB"/>
    <w:rsid w:val="00CD6B64"/>
    <w:rsid w:val="00CD6C75"/>
    <w:rsid w:val="00CD721B"/>
    <w:rsid w:val="00CD7DAB"/>
    <w:rsid w:val="00CE00F6"/>
    <w:rsid w:val="00CE05E7"/>
    <w:rsid w:val="00CE09F6"/>
    <w:rsid w:val="00CE12E9"/>
    <w:rsid w:val="00CE14AC"/>
    <w:rsid w:val="00CE1C09"/>
    <w:rsid w:val="00CE2153"/>
    <w:rsid w:val="00CE39C1"/>
    <w:rsid w:val="00CE4239"/>
    <w:rsid w:val="00CE53E8"/>
    <w:rsid w:val="00CE56EB"/>
    <w:rsid w:val="00CE6352"/>
    <w:rsid w:val="00CE73FB"/>
    <w:rsid w:val="00CE797F"/>
    <w:rsid w:val="00CF05F7"/>
    <w:rsid w:val="00CF0633"/>
    <w:rsid w:val="00CF1865"/>
    <w:rsid w:val="00CF207A"/>
    <w:rsid w:val="00CF2991"/>
    <w:rsid w:val="00CF38DD"/>
    <w:rsid w:val="00CF42F7"/>
    <w:rsid w:val="00CF5902"/>
    <w:rsid w:val="00CF687B"/>
    <w:rsid w:val="00CF74D4"/>
    <w:rsid w:val="00CF7A8E"/>
    <w:rsid w:val="00D00A46"/>
    <w:rsid w:val="00D012A4"/>
    <w:rsid w:val="00D0299D"/>
    <w:rsid w:val="00D02A0C"/>
    <w:rsid w:val="00D02B25"/>
    <w:rsid w:val="00D03721"/>
    <w:rsid w:val="00D042F0"/>
    <w:rsid w:val="00D0508F"/>
    <w:rsid w:val="00D057A7"/>
    <w:rsid w:val="00D061DB"/>
    <w:rsid w:val="00D06B5C"/>
    <w:rsid w:val="00D0748E"/>
    <w:rsid w:val="00D07887"/>
    <w:rsid w:val="00D07BCE"/>
    <w:rsid w:val="00D10939"/>
    <w:rsid w:val="00D10FCD"/>
    <w:rsid w:val="00D11349"/>
    <w:rsid w:val="00D12A55"/>
    <w:rsid w:val="00D12BB9"/>
    <w:rsid w:val="00D13EF9"/>
    <w:rsid w:val="00D14B83"/>
    <w:rsid w:val="00D1515B"/>
    <w:rsid w:val="00D15241"/>
    <w:rsid w:val="00D15C25"/>
    <w:rsid w:val="00D17D9F"/>
    <w:rsid w:val="00D17DA4"/>
    <w:rsid w:val="00D224DB"/>
    <w:rsid w:val="00D23797"/>
    <w:rsid w:val="00D25381"/>
    <w:rsid w:val="00D255D5"/>
    <w:rsid w:val="00D259ED"/>
    <w:rsid w:val="00D2635B"/>
    <w:rsid w:val="00D27035"/>
    <w:rsid w:val="00D27B65"/>
    <w:rsid w:val="00D301AC"/>
    <w:rsid w:val="00D30442"/>
    <w:rsid w:val="00D3057F"/>
    <w:rsid w:val="00D31B03"/>
    <w:rsid w:val="00D31D63"/>
    <w:rsid w:val="00D325E7"/>
    <w:rsid w:val="00D32C44"/>
    <w:rsid w:val="00D33081"/>
    <w:rsid w:val="00D339DE"/>
    <w:rsid w:val="00D33CC9"/>
    <w:rsid w:val="00D34424"/>
    <w:rsid w:val="00D34801"/>
    <w:rsid w:val="00D3618F"/>
    <w:rsid w:val="00D37E51"/>
    <w:rsid w:val="00D43629"/>
    <w:rsid w:val="00D437C2"/>
    <w:rsid w:val="00D44664"/>
    <w:rsid w:val="00D458B9"/>
    <w:rsid w:val="00D46FFD"/>
    <w:rsid w:val="00D47089"/>
    <w:rsid w:val="00D47AA5"/>
    <w:rsid w:val="00D503E7"/>
    <w:rsid w:val="00D50F43"/>
    <w:rsid w:val="00D520F2"/>
    <w:rsid w:val="00D5299C"/>
    <w:rsid w:val="00D52F51"/>
    <w:rsid w:val="00D53320"/>
    <w:rsid w:val="00D54177"/>
    <w:rsid w:val="00D54216"/>
    <w:rsid w:val="00D556D8"/>
    <w:rsid w:val="00D56D74"/>
    <w:rsid w:val="00D60A41"/>
    <w:rsid w:val="00D61205"/>
    <w:rsid w:val="00D61CB8"/>
    <w:rsid w:val="00D6271F"/>
    <w:rsid w:val="00D634F9"/>
    <w:rsid w:val="00D6395F"/>
    <w:rsid w:val="00D640A7"/>
    <w:rsid w:val="00D642F1"/>
    <w:rsid w:val="00D65276"/>
    <w:rsid w:val="00D653D8"/>
    <w:rsid w:val="00D65D01"/>
    <w:rsid w:val="00D65D48"/>
    <w:rsid w:val="00D65E3C"/>
    <w:rsid w:val="00D65E53"/>
    <w:rsid w:val="00D66050"/>
    <w:rsid w:val="00D6750A"/>
    <w:rsid w:val="00D67F1A"/>
    <w:rsid w:val="00D67FE9"/>
    <w:rsid w:val="00D7098C"/>
    <w:rsid w:val="00D710F1"/>
    <w:rsid w:val="00D71755"/>
    <w:rsid w:val="00D71B07"/>
    <w:rsid w:val="00D71B6B"/>
    <w:rsid w:val="00D72629"/>
    <w:rsid w:val="00D732C5"/>
    <w:rsid w:val="00D7385D"/>
    <w:rsid w:val="00D75168"/>
    <w:rsid w:val="00D752A6"/>
    <w:rsid w:val="00D756CC"/>
    <w:rsid w:val="00D756E7"/>
    <w:rsid w:val="00D759D1"/>
    <w:rsid w:val="00D76453"/>
    <w:rsid w:val="00D76723"/>
    <w:rsid w:val="00D76EAA"/>
    <w:rsid w:val="00D7720D"/>
    <w:rsid w:val="00D77743"/>
    <w:rsid w:val="00D77933"/>
    <w:rsid w:val="00D809A8"/>
    <w:rsid w:val="00D80ACF"/>
    <w:rsid w:val="00D80F74"/>
    <w:rsid w:val="00D81544"/>
    <w:rsid w:val="00D818B2"/>
    <w:rsid w:val="00D8272A"/>
    <w:rsid w:val="00D8290B"/>
    <w:rsid w:val="00D82CF1"/>
    <w:rsid w:val="00D82E97"/>
    <w:rsid w:val="00D8348B"/>
    <w:rsid w:val="00D8385F"/>
    <w:rsid w:val="00D8399D"/>
    <w:rsid w:val="00D83F53"/>
    <w:rsid w:val="00D84416"/>
    <w:rsid w:val="00D84547"/>
    <w:rsid w:val="00D84A5A"/>
    <w:rsid w:val="00D850ED"/>
    <w:rsid w:val="00D85A1D"/>
    <w:rsid w:val="00D865A8"/>
    <w:rsid w:val="00D86AFE"/>
    <w:rsid w:val="00D86C5C"/>
    <w:rsid w:val="00D8761B"/>
    <w:rsid w:val="00D8771E"/>
    <w:rsid w:val="00D8777D"/>
    <w:rsid w:val="00D90103"/>
    <w:rsid w:val="00D906F8"/>
    <w:rsid w:val="00D914C7"/>
    <w:rsid w:val="00D93172"/>
    <w:rsid w:val="00D93318"/>
    <w:rsid w:val="00D9595D"/>
    <w:rsid w:val="00D95CE1"/>
    <w:rsid w:val="00D9673D"/>
    <w:rsid w:val="00D96B4F"/>
    <w:rsid w:val="00D97451"/>
    <w:rsid w:val="00DA02E4"/>
    <w:rsid w:val="00DA11A4"/>
    <w:rsid w:val="00DA16F7"/>
    <w:rsid w:val="00DA17EC"/>
    <w:rsid w:val="00DA1F4D"/>
    <w:rsid w:val="00DA26A6"/>
    <w:rsid w:val="00DA2BF0"/>
    <w:rsid w:val="00DA31DC"/>
    <w:rsid w:val="00DA3C22"/>
    <w:rsid w:val="00DA5849"/>
    <w:rsid w:val="00DA5D0A"/>
    <w:rsid w:val="00DA6052"/>
    <w:rsid w:val="00DA6AF4"/>
    <w:rsid w:val="00DA6B0C"/>
    <w:rsid w:val="00DA7F27"/>
    <w:rsid w:val="00DB078E"/>
    <w:rsid w:val="00DB2172"/>
    <w:rsid w:val="00DB25FA"/>
    <w:rsid w:val="00DB2F07"/>
    <w:rsid w:val="00DB3059"/>
    <w:rsid w:val="00DB3280"/>
    <w:rsid w:val="00DB42D4"/>
    <w:rsid w:val="00DB44B2"/>
    <w:rsid w:val="00DB5571"/>
    <w:rsid w:val="00DB55CF"/>
    <w:rsid w:val="00DB6704"/>
    <w:rsid w:val="00DB6912"/>
    <w:rsid w:val="00DB6C9F"/>
    <w:rsid w:val="00DB6D9B"/>
    <w:rsid w:val="00DB6F89"/>
    <w:rsid w:val="00DC08D5"/>
    <w:rsid w:val="00DC1B53"/>
    <w:rsid w:val="00DC3471"/>
    <w:rsid w:val="00DC525E"/>
    <w:rsid w:val="00DC5B42"/>
    <w:rsid w:val="00DC680D"/>
    <w:rsid w:val="00DC68C7"/>
    <w:rsid w:val="00DC77EB"/>
    <w:rsid w:val="00DC7C57"/>
    <w:rsid w:val="00DD05AD"/>
    <w:rsid w:val="00DD11B3"/>
    <w:rsid w:val="00DD1401"/>
    <w:rsid w:val="00DD14E3"/>
    <w:rsid w:val="00DD1F4A"/>
    <w:rsid w:val="00DD1F9F"/>
    <w:rsid w:val="00DD2891"/>
    <w:rsid w:val="00DD3316"/>
    <w:rsid w:val="00DD3B19"/>
    <w:rsid w:val="00DD5EB4"/>
    <w:rsid w:val="00DD6E30"/>
    <w:rsid w:val="00DD751F"/>
    <w:rsid w:val="00DE06BA"/>
    <w:rsid w:val="00DE0750"/>
    <w:rsid w:val="00DE1A22"/>
    <w:rsid w:val="00DE1C5C"/>
    <w:rsid w:val="00DE2939"/>
    <w:rsid w:val="00DE4615"/>
    <w:rsid w:val="00DE4CB3"/>
    <w:rsid w:val="00DE53E5"/>
    <w:rsid w:val="00DE5AC3"/>
    <w:rsid w:val="00DE6B87"/>
    <w:rsid w:val="00DE75A7"/>
    <w:rsid w:val="00DF0B5A"/>
    <w:rsid w:val="00DF139F"/>
    <w:rsid w:val="00DF1BAD"/>
    <w:rsid w:val="00DF362B"/>
    <w:rsid w:val="00DF397B"/>
    <w:rsid w:val="00DF3DBD"/>
    <w:rsid w:val="00DF504D"/>
    <w:rsid w:val="00DF63C0"/>
    <w:rsid w:val="00DF64BF"/>
    <w:rsid w:val="00DF7583"/>
    <w:rsid w:val="00DF7656"/>
    <w:rsid w:val="00E000DE"/>
    <w:rsid w:val="00E00332"/>
    <w:rsid w:val="00E00997"/>
    <w:rsid w:val="00E00A92"/>
    <w:rsid w:val="00E00FAB"/>
    <w:rsid w:val="00E032EF"/>
    <w:rsid w:val="00E03506"/>
    <w:rsid w:val="00E0403D"/>
    <w:rsid w:val="00E04986"/>
    <w:rsid w:val="00E04A9D"/>
    <w:rsid w:val="00E04BFC"/>
    <w:rsid w:val="00E04F02"/>
    <w:rsid w:val="00E05502"/>
    <w:rsid w:val="00E0596A"/>
    <w:rsid w:val="00E0667E"/>
    <w:rsid w:val="00E077AF"/>
    <w:rsid w:val="00E07BAD"/>
    <w:rsid w:val="00E10309"/>
    <w:rsid w:val="00E106CB"/>
    <w:rsid w:val="00E120EF"/>
    <w:rsid w:val="00E12274"/>
    <w:rsid w:val="00E13486"/>
    <w:rsid w:val="00E137A5"/>
    <w:rsid w:val="00E13E96"/>
    <w:rsid w:val="00E1414F"/>
    <w:rsid w:val="00E1471B"/>
    <w:rsid w:val="00E14D56"/>
    <w:rsid w:val="00E14F2F"/>
    <w:rsid w:val="00E15861"/>
    <w:rsid w:val="00E162F3"/>
    <w:rsid w:val="00E167CF"/>
    <w:rsid w:val="00E16DAC"/>
    <w:rsid w:val="00E20C11"/>
    <w:rsid w:val="00E211FF"/>
    <w:rsid w:val="00E2184A"/>
    <w:rsid w:val="00E2213B"/>
    <w:rsid w:val="00E249B8"/>
    <w:rsid w:val="00E24DAA"/>
    <w:rsid w:val="00E251BC"/>
    <w:rsid w:val="00E251D6"/>
    <w:rsid w:val="00E25454"/>
    <w:rsid w:val="00E25AA0"/>
    <w:rsid w:val="00E26A84"/>
    <w:rsid w:val="00E27C21"/>
    <w:rsid w:val="00E27D25"/>
    <w:rsid w:val="00E3018E"/>
    <w:rsid w:val="00E30884"/>
    <w:rsid w:val="00E31751"/>
    <w:rsid w:val="00E31B16"/>
    <w:rsid w:val="00E31E49"/>
    <w:rsid w:val="00E31FAE"/>
    <w:rsid w:val="00E32E1C"/>
    <w:rsid w:val="00E36165"/>
    <w:rsid w:val="00E36423"/>
    <w:rsid w:val="00E41920"/>
    <w:rsid w:val="00E42CE3"/>
    <w:rsid w:val="00E42F7F"/>
    <w:rsid w:val="00E438D6"/>
    <w:rsid w:val="00E43E5A"/>
    <w:rsid w:val="00E44F8E"/>
    <w:rsid w:val="00E46463"/>
    <w:rsid w:val="00E473C0"/>
    <w:rsid w:val="00E47804"/>
    <w:rsid w:val="00E47DE4"/>
    <w:rsid w:val="00E513DD"/>
    <w:rsid w:val="00E51C1E"/>
    <w:rsid w:val="00E51DCB"/>
    <w:rsid w:val="00E5267B"/>
    <w:rsid w:val="00E52D69"/>
    <w:rsid w:val="00E547CC"/>
    <w:rsid w:val="00E55277"/>
    <w:rsid w:val="00E5770B"/>
    <w:rsid w:val="00E5779A"/>
    <w:rsid w:val="00E57D9A"/>
    <w:rsid w:val="00E60295"/>
    <w:rsid w:val="00E60650"/>
    <w:rsid w:val="00E6117C"/>
    <w:rsid w:val="00E61685"/>
    <w:rsid w:val="00E620CE"/>
    <w:rsid w:val="00E629F8"/>
    <w:rsid w:val="00E63105"/>
    <w:rsid w:val="00E6314E"/>
    <w:rsid w:val="00E633EC"/>
    <w:rsid w:val="00E63D6E"/>
    <w:rsid w:val="00E63DFE"/>
    <w:rsid w:val="00E645CA"/>
    <w:rsid w:val="00E64B4D"/>
    <w:rsid w:val="00E653FF"/>
    <w:rsid w:val="00E65971"/>
    <w:rsid w:val="00E66B0A"/>
    <w:rsid w:val="00E67314"/>
    <w:rsid w:val="00E70152"/>
    <w:rsid w:val="00E706BE"/>
    <w:rsid w:val="00E7266A"/>
    <w:rsid w:val="00E72B52"/>
    <w:rsid w:val="00E72D2D"/>
    <w:rsid w:val="00E73168"/>
    <w:rsid w:val="00E736C3"/>
    <w:rsid w:val="00E74641"/>
    <w:rsid w:val="00E74B22"/>
    <w:rsid w:val="00E74F37"/>
    <w:rsid w:val="00E775B5"/>
    <w:rsid w:val="00E77958"/>
    <w:rsid w:val="00E810C0"/>
    <w:rsid w:val="00E8178E"/>
    <w:rsid w:val="00E81E2A"/>
    <w:rsid w:val="00E83545"/>
    <w:rsid w:val="00E83BAA"/>
    <w:rsid w:val="00E84012"/>
    <w:rsid w:val="00E841E9"/>
    <w:rsid w:val="00E8535A"/>
    <w:rsid w:val="00E8547B"/>
    <w:rsid w:val="00E86593"/>
    <w:rsid w:val="00E86CC5"/>
    <w:rsid w:val="00E86E17"/>
    <w:rsid w:val="00E8702A"/>
    <w:rsid w:val="00E87305"/>
    <w:rsid w:val="00E87AB9"/>
    <w:rsid w:val="00E87F66"/>
    <w:rsid w:val="00E9114D"/>
    <w:rsid w:val="00E9127F"/>
    <w:rsid w:val="00E9168F"/>
    <w:rsid w:val="00E923DC"/>
    <w:rsid w:val="00E92AAC"/>
    <w:rsid w:val="00E92C43"/>
    <w:rsid w:val="00E93129"/>
    <w:rsid w:val="00E94166"/>
    <w:rsid w:val="00E9554D"/>
    <w:rsid w:val="00E9598A"/>
    <w:rsid w:val="00E973D6"/>
    <w:rsid w:val="00E975AF"/>
    <w:rsid w:val="00E9793A"/>
    <w:rsid w:val="00EA137D"/>
    <w:rsid w:val="00EA276D"/>
    <w:rsid w:val="00EA3035"/>
    <w:rsid w:val="00EA340D"/>
    <w:rsid w:val="00EA3EF7"/>
    <w:rsid w:val="00EA4426"/>
    <w:rsid w:val="00EA5999"/>
    <w:rsid w:val="00EA62B3"/>
    <w:rsid w:val="00EA63B3"/>
    <w:rsid w:val="00EA65F2"/>
    <w:rsid w:val="00EA6795"/>
    <w:rsid w:val="00EA6A80"/>
    <w:rsid w:val="00EA6EE3"/>
    <w:rsid w:val="00EA7666"/>
    <w:rsid w:val="00EA7C92"/>
    <w:rsid w:val="00EA7FC1"/>
    <w:rsid w:val="00EB0BD3"/>
    <w:rsid w:val="00EB0E92"/>
    <w:rsid w:val="00EB0F3C"/>
    <w:rsid w:val="00EB1A00"/>
    <w:rsid w:val="00EB1E2D"/>
    <w:rsid w:val="00EB1EFB"/>
    <w:rsid w:val="00EB2FDB"/>
    <w:rsid w:val="00EB4CA2"/>
    <w:rsid w:val="00EB5E63"/>
    <w:rsid w:val="00EB6BF8"/>
    <w:rsid w:val="00EB72BD"/>
    <w:rsid w:val="00EB7549"/>
    <w:rsid w:val="00EC1767"/>
    <w:rsid w:val="00EC302F"/>
    <w:rsid w:val="00EC4597"/>
    <w:rsid w:val="00EC4D86"/>
    <w:rsid w:val="00EC533A"/>
    <w:rsid w:val="00EC5369"/>
    <w:rsid w:val="00EC711C"/>
    <w:rsid w:val="00EC76E1"/>
    <w:rsid w:val="00ED183A"/>
    <w:rsid w:val="00ED2FF4"/>
    <w:rsid w:val="00ED37FE"/>
    <w:rsid w:val="00ED452A"/>
    <w:rsid w:val="00ED45D8"/>
    <w:rsid w:val="00ED46BE"/>
    <w:rsid w:val="00ED489D"/>
    <w:rsid w:val="00ED4B23"/>
    <w:rsid w:val="00ED55E0"/>
    <w:rsid w:val="00ED64C2"/>
    <w:rsid w:val="00ED6549"/>
    <w:rsid w:val="00ED7388"/>
    <w:rsid w:val="00ED7D95"/>
    <w:rsid w:val="00EE08EA"/>
    <w:rsid w:val="00EE2EB8"/>
    <w:rsid w:val="00EE3118"/>
    <w:rsid w:val="00EE410F"/>
    <w:rsid w:val="00EE4944"/>
    <w:rsid w:val="00EE5643"/>
    <w:rsid w:val="00EE5DAF"/>
    <w:rsid w:val="00EE60C0"/>
    <w:rsid w:val="00EE6A96"/>
    <w:rsid w:val="00EE7D0D"/>
    <w:rsid w:val="00EF0040"/>
    <w:rsid w:val="00EF0CE7"/>
    <w:rsid w:val="00EF18C0"/>
    <w:rsid w:val="00EF23BB"/>
    <w:rsid w:val="00EF3B2F"/>
    <w:rsid w:val="00EF48E9"/>
    <w:rsid w:val="00EF4CDF"/>
    <w:rsid w:val="00EF58A2"/>
    <w:rsid w:val="00EF6A1C"/>
    <w:rsid w:val="00EF7589"/>
    <w:rsid w:val="00EF75AD"/>
    <w:rsid w:val="00EF79A7"/>
    <w:rsid w:val="00EF7EEF"/>
    <w:rsid w:val="00F00524"/>
    <w:rsid w:val="00F00643"/>
    <w:rsid w:val="00F007D0"/>
    <w:rsid w:val="00F00EDE"/>
    <w:rsid w:val="00F01400"/>
    <w:rsid w:val="00F0189E"/>
    <w:rsid w:val="00F02C6E"/>
    <w:rsid w:val="00F04B43"/>
    <w:rsid w:val="00F04E7D"/>
    <w:rsid w:val="00F05C46"/>
    <w:rsid w:val="00F05C5E"/>
    <w:rsid w:val="00F062A8"/>
    <w:rsid w:val="00F06479"/>
    <w:rsid w:val="00F07D23"/>
    <w:rsid w:val="00F07E9A"/>
    <w:rsid w:val="00F10544"/>
    <w:rsid w:val="00F10B94"/>
    <w:rsid w:val="00F10E43"/>
    <w:rsid w:val="00F1121E"/>
    <w:rsid w:val="00F116C2"/>
    <w:rsid w:val="00F1194E"/>
    <w:rsid w:val="00F11F9B"/>
    <w:rsid w:val="00F120FC"/>
    <w:rsid w:val="00F12832"/>
    <w:rsid w:val="00F12861"/>
    <w:rsid w:val="00F12C74"/>
    <w:rsid w:val="00F13F1B"/>
    <w:rsid w:val="00F14021"/>
    <w:rsid w:val="00F14394"/>
    <w:rsid w:val="00F151A7"/>
    <w:rsid w:val="00F15CA1"/>
    <w:rsid w:val="00F16B71"/>
    <w:rsid w:val="00F175C6"/>
    <w:rsid w:val="00F21212"/>
    <w:rsid w:val="00F2145D"/>
    <w:rsid w:val="00F21666"/>
    <w:rsid w:val="00F23179"/>
    <w:rsid w:val="00F24F34"/>
    <w:rsid w:val="00F25647"/>
    <w:rsid w:val="00F25802"/>
    <w:rsid w:val="00F2718A"/>
    <w:rsid w:val="00F276DD"/>
    <w:rsid w:val="00F300E5"/>
    <w:rsid w:val="00F302E9"/>
    <w:rsid w:val="00F30E37"/>
    <w:rsid w:val="00F31DD6"/>
    <w:rsid w:val="00F32D9D"/>
    <w:rsid w:val="00F332D8"/>
    <w:rsid w:val="00F336A0"/>
    <w:rsid w:val="00F363C3"/>
    <w:rsid w:val="00F36D66"/>
    <w:rsid w:val="00F405B4"/>
    <w:rsid w:val="00F405D9"/>
    <w:rsid w:val="00F40B0B"/>
    <w:rsid w:val="00F40B79"/>
    <w:rsid w:val="00F40D47"/>
    <w:rsid w:val="00F40FC0"/>
    <w:rsid w:val="00F42045"/>
    <w:rsid w:val="00F42F5A"/>
    <w:rsid w:val="00F4316A"/>
    <w:rsid w:val="00F43FB4"/>
    <w:rsid w:val="00F44571"/>
    <w:rsid w:val="00F44DEA"/>
    <w:rsid w:val="00F45146"/>
    <w:rsid w:val="00F4641D"/>
    <w:rsid w:val="00F470B6"/>
    <w:rsid w:val="00F47655"/>
    <w:rsid w:val="00F47670"/>
    <w:rsid w:val="00F47B8A"/>
    <w:rsid w:val="00F47CAA"/>
    <w:rsid w:val="00F50163"/>
    <w:rsid w:val="00F507A9"/>
    <w:rsid w:val="00F51634"/>
    <w:rsid w:val="00F52257"/>
    <w:rsid w:val="00F534E9"/>
    <w:rsid w:val="00F538D8"/>
    <w:rsid w:val="00F53F45"/>
    <w:rsid w:val="00F54310"/>
    <w:rsid w:val="00F60849"/>
    <w:rsid w:val="00F6151C"/>
    <w:rsid w:val="00F6197D"/>
    <w:rsid w:val="00F629BD"/>
    <w:rsid w:val="00F63227"/>
    <w:rsid w:val="00F6356E"/>
    <w:rsid w:val="00F63807"/>
    <w:rsid w:val="00F63FD8"/>
    <w:rsid w:val="00F649F2"/>
    <w:rsid w:val="00F65319"/>
    <w:rsid w:val="00F6564F"/>
    <w:rsid w:val="00F65AAF"/>
    <w:rsid w:val="00F65D71"/>
    <w:rsid w:val="00F65DDC"/>
    <w:rsid w:val="00F6636E"/>
    <w:rsid w:val="00F66F02"/>
    <w:rsid w:val="00F70CAE"/>
    <w:rsid w:val="00F71247"/>
    <w:rsid w:val="00F72D89"/>
    <w:rsid w:val="00F74D7E"/>
    <w:rsid w:val="00F74EF3"/>
    <w:rsid w:val="00F7620D"/>
    <w:rsid w:val="00F7687B"/>
    <w:rsid w:val="00F776C2"/>
    <w:rsid w:val="00F77A9B"/>
    <w:rsid w:val="00F80122"/>
    <w:rsid w:val="00F81CB4"/>
    <w:rsid w:val="00F82907"/>
    <w:rsid w:val="00F82C76"/>
    <w:rsid w:val="00F83BB4"/>
    <w:rsid w:val="00F85571"/>
    <w:rsid w:val="00F85A26"/>
    <w:rsid w:val="00F87057"/>
    <w:rsid w:val="00F8727D"/>
    <w:rsid w:val="00F87FAC"/>
    <w:rsid w:val="00F906CC"/>
    <w:rsid w:val="00F90EE3"/>
    <w:rsid w:val="00F92259"/>
    <w:rsid w:val="00F9231B"/>
    <w:rsid w:val="00F92326"/>
    <w:rsid w:val="00F93E3F"/>
    <w:rsid w:val="00F9582D"/>
    <w:rsid w:val="00F95BC8"/>
    <w:rsid w:val="00F97511"/>
    <w:rsid w:val="00F9768E"/>
    <w:rsid w:val="00FA2B7C"/>
    <w:rsid w:val="00FA314C"/>
    <w:rsid w:val="00FA39CF"/>
    <w:rsid w:val="00FA5388"/>
    <w:rsid w:val="00FA6420"/>
    <w:rsid w:val="00FA71B2"/>
    <w:rsid w:val="00FA71FF"/>
    <w:rsid w:val="00FA75D1"/>
    <w:rsid w:val="00FA78C8"/>
    <w:rsid w:val="00FA7FD2"/>
    <w:rsid w:val="00FB02F2"/>
    <w:rsid w:val="00FB2169"/>
    <w:rsid w:val="00FB4183"/>
    <w:rsid w:val="00FB5BBE"/>
    <w:rsid w:val="00FB5FC6"/>
    <w:rsid w:val="00FB6BEC"/>
    <w:rsid w:val="00FB7575"/>
    <w:rsid w:val="00FB7876"/>
    <w:rsid w:val="00FB7E3D"/>
    <w:rsid w:val="00FC00B1"/>
    <w:rsid w:val="00FC05A3"/>
    <w:rsid w:val="00FC0E29"/>
    <w:rsid w:val="00FC0E42"/>
    <w:rsid w:val="00FC1180"/>
    <w:rsid w:val="00FC119D"/>
    <w:rsid w:val="00FC2C49"/>
    <w:rsid w:val="00FC354D"/>
    <w:rsid w:val="00FC3A62"/>
    <w:rsid w:val="00FC3B40"/>
    <w:rsid w:val="00FC3F05"/>
    <w:rsid w:val="00FC47A6"/>
    <w:rsid w:val="00FC53E9"/>
    <w:rsid w:val="00FC6E46"/>
    <w:rsid w:val="00FC704D"/>
    <w:rsid w:val="00FC71F0"/>
    <w:rsid w:val="00FC723D"/>
    <w:rsid w:val="00FC7C50"/>
    <w:rsid w:val="00FD0230"/>
    <w:rsid w:val="00FD0265"/>
    <w:rsid w:val="00FD0B8C"/>
    <w:rsid w:val="00FD177F"/>
    <w:rsid w:val="00FD1976"/>
    <w:rsid w:val="00FD1E19"/>
    <w:rsid w:val="00FD237C"/>
    <w:rsid w:val="00FD251D"/>
    <w:rsid w:val="00FD3056"/>
    <w:rsid w:val="00FD3D91"/>
    <w:rsid w:val="00FD4A18"/>
    <w:rsid w:val="00FD6C6B"/>
    <w:rsid w:val="00FD73B4"/>
    <w:rsid w:val="00FD7C34"/>
    <w:rsid w:val="00FD7E2A"/>
    <w:rsid w:val="00FE00B7"/>
    <w:rsid w:val="00FE0287"/>
    <w:rsid w:val="00FE076D"/>
    <w:rsid w:val="00FE1134"/>
    <w:rsid w:val="00FE1ADB"/>
    <w:rsid w:val="00FE2A63"/>
    <w:rsid w:val="00FE2BF2"/>
    <w:rsid w:val="00FE3892"/>
    <w:rsid w:val="00FE39FC"/>
    <w:rsid w:val="00FE3AB2"/>
    <w:rsid w:val="00FE3E05"/>
    <w:rsid w:val="00FE4176"/>
    <w:rsid w:val="00FE4474"/>
    <w:rsid w:val="00FE5721"/>
    <w:rsid w:val="00FE6D8B"/>
    <w:rsid w:val="00FE72EE"/>
    <w:rsid w:val="00FE76C8"/>
    <w:rsid w:val="00FE77CC"/>
    <w:rsid w:val="00FF1DFD"/>
    <w:rsid w:val="00FF2ABA"/>
    <w:rsid w:val="00FF3967"/>
    <w:rsid w:val="00FF3EE4"/>
    <w:rsid w:val="00FF4058"/>
    <w:rsid w:val="00FF4534"/>
    <w:rsid w:val="00FF4886"/>
    <w:rsid w:val="00FF4F4C"/>
    <w:rsid w:val="00FF53A9"/>
    <w:rsid w:val="00FF53EE"/>
    <w:rsid w:val="00FF6BCA"/>
    <w:rsid w:val="010057A7"/>
    <w:rsid w:val="010F2882"/>
    <w:rsid w:val="01233A9E"/>
    <w:rsid w:val="01247755"/>
    <w:rsid w:val="01303F65"/>
    <w:rsid w:val="013A09C4"/>
    <w:rsid w:val="014C5266"/>
    <w:rsid w:val="01683BB5"/>
    <w:rsid w:val="0176597C"/>
    <w:rsid w:val="018351D3"/>
    <w:rsid w:val="018710A3"/>
    <w:rsid w:val="01A53EA2"/>
    <w:rsid w:val="01A7086A"/>
    <w:rsid w:val="01A93A5A"/>
    <w:rsid w:val="01AD7D01"/>
    <w:rsid w:val="01B009AB"/>
    <w:rsid w:val="01B82220"/>
    <w:rsid w:val="01C601C2"/>
    <w:rsid w:val="01E462AD"/>
    <w:rsid w:val="01E92F08"/>
    <w:rsid w:val="020016FD"/>
    <w:rsid w:val="0201252C"/>
    <w:rsid w:val="02060918"/>
    <w:rsid w:val="021576DD"/>
    <w:rsid w:val="02293759"/>
    <w:rsid w:val="023748A0"/>
    <w:rsid w:val="02624329"/>
    <w:rsid w:val="02A818C0"/>
    <w:rsid w:val="02C32F68"/>
    <w:rsid w:val="02F21EEB"/>
    <w:rsid w:val="02FA132F"/>
    <w:rsid w:val="02FC4B9B"/>
    <w:rsid w:val="032166EF"/>
    <w:rsid w:val="033F7C3E"/>
    <w:rsid w:val="03470120"/>
    <w:rsid w:val="034D4DD8"/>
    <w:rsid w:val="035D7D75"/>
    <w:rsid w:val="035E5F74"/>
    <w:rsid w:val="0365592C"/>
    <w:rsid w:val="036B7E52"/>
    <w:rsid w:val="0372035D"/>
    <w:rsid w:val="03831553"/>
    <w:rsid w:val="03920A67"/>
    <w:rsid w:val="03960557"/>
    <w:rsid w:val="03C36E72"/>
    <w:rsid w:val="03ED1BFC"/>
    <w:rsid w:val="03ED2838"/>
    <w:rsid w:val="04302795"/>
    <w:rsid w:val="043729FA"/>
    <w:rsid w:val="04591A2E"/>
    <w:rsid w:val="0461422D"/>
    <w:rsid w:val="046E7456"/>
    <w:rsid w:val="04826CFA"/>
    <w:rsid w:val="04976926"/>
    <w:rsid w:val="04A05494"/>
    <w:rsid w:val="04A722F0"/>
    <w:rsid w:val="04A9499D"/>
    <w:rsid w:val="04B45435"/>
    <w:rsid w:val="04D55D13"/>
    <w:rsid w:val="04DC666C"/>
    <w:rsid w:val="04EC78FC"/>
    <w:rsid w:val="04F80D9E"/>
    <w:rsid w:val="04FF46D6"/>
    <w:rsid w:val="050B39B0"/>
    <w:rsid w:val="05241AEC"/>
    <w:rsid w:val="05301C5F"/>
    <w:rsid w:val="05447943"/>
    <w:rsid w:val="054D67F1"/>
    <w:rsid w:val="057A69BF"/>
    <w:rsid w:val="057B0E62"/>
    <w:rsid w:val="0580785F"/>
    <w:rsid w:val="058A1C57"/>
    <w:rsid w:val="05964489"/>
    <w:rsid w:val="0597082A"/>
    <w:rsid w:val="05CB0E27"/>
    <w:rsid w:val="05CC0218"/>
    <w:rsid w:val="05D05124"/>
    <w:rsid w:val="05D81D19"/>
    <w:rsid w:val="05F33C03"/>
    <w:rsid w:val="0608114D"/>
    <w:rsid w:val="063C7A07"/>
    <w:rsid w:val="065036EF"/>
    <w:rsid w:val="066811D3"/>
    <w:rsid w:val="066F5174"/>
    <w:rsid w:val="06706E5D"/>
    <w:rsid w:val="06737F68"/>
    <w:rsid w:val="06792D62"/>
    <w:rsid w:val="06A238AF"/>
    <w:rsid w:val="06AD4DCE"/>
    <w:rsid w:val="06CC4A19"/>
    <w:rsid w:val="06D84107"/>
    <w:rsid w:val="06D937FF"/>
    <w:rsid w:val="06DA6645"/>
    <w:rsid w:val="06E930F9"/>
    <w:rsid w:val="070E1192"/>
    <w:rsid w:val="070F0EB1"/>
    <w:rsid w:val="07265ECA"/>
    <w:rsid w:val="073F6540"/>
    <w:rsid w:val="074F4521"/>
    <w:rsid w:val="07505787"/>
    <w:rsid w:val="076707A0"/>
    <w:rsid w:val="076D3D01"/>
    <w:rsid w:val="07707E48"/>
    <w:rsid w:val="07761B42"/>
    <w:rsid w:val="0780311D"/>
    <w:rsid w:val="07862D11"/>
    <w:rsid w:val="07981A91"/>
    <w:rsid w:val="079B4158"/>
    <w:rsid w:val="07A27EEC"/>
    <w:rsid w:val="07AC389C"/>
    <w:rsid w:val="07BA375B"/>
    <w:rsid w:val="07CB2146"/>
    <w:rsid w:val="07CE525D"/>
    <w:rsid w:val="07CF512D"/>
    <w:rsid w:val="07D04F64"/>
    <w:rsid w:val="07E17544"/>
    <w:rsid w:val="080001B0"/>
    <w:rsid w:val="0806636F"/>
    <w:rsid w:val="080E5F49"/>
    <w:rsid w:val="0810264A"/>
    <w:rsid w:val="081661AF"/>
    <w:rsid w:val="085069D8"/>
    <w:rsid w:val="08664345"/>
    <w:rsid w:val="08697816"/>
    <w:rsid w:val="08723626"/>
    <w:rsid w:val="089C5B28"/>
    <w:rsid w:val="08BB2017"/>
    <w:rsid w:val="08CE3215"/>
    <w:rsid w:val="08DE4389"/>
    <w:rsid w:val="08FE4DC1"/>
    <w:rsid w:val="090C2147"/>
    <w:rsid w:val="0927512D"/>
    <w:rsid w:val="09573866"/>
    <w:rsid w:val="0960347E"/>
    <w:rsid w:val="09652590"/>
    <w:rsid w:val="097653E7"/>
    <w:rsid w:val="097C0DEA"/>
    <w:rsid w:val="097E16AA"/>
    <w:rsid w:val="098415CA"/>
    <w:rsid w:val="098766D8"/>
    <w:rsid w:val="09917881"/>
    <w:rsid w:val="099536FE"/>
    <w:rsid w:val="09CF2721"/>
    <w:rsid w:val="09F92B47"/>
    <w:rsid w:val="0A0E2098"/>
    <w:rsid w:val="0A6D4E8D"/>
    <w:rsid w:val="0AAB0902"/>
    <w:rsid w:val="0AB079D6"/>
    <w:rsid w:val="0AB80DB3"/>
    <w:rsid w:val="0AE4227C"/>
    <w:rsid w:val="0AE77A0C"/>
    <w:rsid w:val="0AE81B19"/>
    <w:rsid w:val="0AFB755B"/>
    <w:rsid w:val="0AFF2C5A"/>
    <w:rsid w:val="0B046039"/>
    <w:rsid w:val="0B61769D"/>
    <w:rsid w:val="0B6A78FF"/>
    <w:rsid w:val="0B821434"/>
    <w:rsid w:val="0BA67E6C"/>
    <w:rsid w:val="0BAD401F"/>
    <w:rsid w:val="0BB55567"/>
    <w:rsid w:val="0BC40744"/>
    <w:rsid w:val="0BDC1CE9"/>
    <w:rsid w:val="0BDC46A3"/>
    <w:rsid w:val="0C0B58EB"/>
    <w:rsid w:val="0C0B6D68"/>
    <w:rsid w:val="0C0C3F82"/>
    <w:rsid w:val="0C197785"/>
    <w:rsid w:val="0C1A3D59"/>
    <w:rsid w:val="0C257B40"/>
    <w:rsid w:val="0C2C064B"/>
    <w:rsid w:val="0C3E34A5"/>
    <w:rsid w:val="0C546315"/>
    <w:rsid w:val="0C610DA4"/>
    <w:rsid w:val="0C6874EB"/>
    <w:rsid w:val="0C812DED"/>
    <w:rsid w:val="0C950BA6"/>
    <w:rsid w:val="0CAF695A"/>
    <w:rsid w:val="0CB12611"/>
    <w:rsid w:val="0CEA36C2"/>
    <w:rsid w:val="0CEF2175"/>
    <w:rsid w:val="0D124D83"/>
    <w:rsid w:val="0D16252B"/>
    <w:rsid w:val="0D203DB4"/>
    <w:rsid w:val="0D2C67EA"/>
    <w:rsid w:val="0D2E24AB"/>
    <w:rsid w:val="0D396BF9"/>
    <w:rsid w:val="0D422A1C"/>
    <w:rsid w:val="0D434BB0"/>
    <w:rsid w:val="0D4E642E"/>
    <w:rsid w:val="0D5D17E3"/>
    <w:rsid w:val="0D5E1D12"/>
    <w:rsid w:val="0D8C68E2"/>
    <w:rsid w:val="0D9943EA"/>
    <w:rsid w:val="0DB51F5E"/>
    <w:rsid w:val="0DB545D2"/>
    <w:rsid w:val="0DC7118E"/>
    <w:rsid w:val="0DDB2C34"/>
    <w:rsid w:val="0DE01F75"/>
    <w:rsid w:val="0DE5659B"/>
    <w:rsid w:val="0DE56FE8"/>
    <w:rsid w:val="0DED34C2"/>
    <w:rsid w:val="0DF40F7F"/>
    <w:rsid w:val="0DF47AE0"/>
    <w:rsid w:val="0E1E3AB1"/>
    <w:rsid w:val="0E245078"/>
    <w:rsid w:val="0E331822"/>
    <w:rsid w:val="0E5B7068"/>
    <w:rsid w:val="0E671431"/>
    <w:rsid w:val="0E710B71"/>
    <w:rsid w:val="0E8F5C4C"/>
    <w:rsid w:val="0E96765D"/>
    <w:rsid w:val="0E9733D5"/>
    <w:rsid w:val="0E985B27"/>
    <w:rsid w:val="0EB653B4"/>
    <w:rsid w:val="0EB72DE1"/>
    <w:rsid w:val="0ED42113"/>
    <w:rsid w:val="0ED6340D"/>
    <w:rsid w:val="0EF04DE5"/>
    <w:rsid w:val="0EFF43BA"/>
    <w:rsid w:val="0F01683C"/>
    <w:rsid w:val="0F061FFE"/>
    <w:rsid w:val="0F092CD6"/>
    <w:rsid w:val="0F143963"/>
    <w:rsid w:val="0F1B0CFC"/>
    <w:rsid w:val="0F4425B0"/>
    <w:rsid w:val="0F57471B"/>
    <w:rsid w:val="0F5B6AB1"/>
    <w:rsid w:val="0F777651"/>
    <w:rsid w:val="0F7A203F"/>
    <w:rsid w:val="0FA37114"/>
    <w:rsid w:val="100C34AE"/>
    <w:rsid w:val="100D5F57"/>
    <w:rsid w:val="10274F13"/>
    <w:rsid w:val="10286655"/>
    <w:rsid w:val="102B1565"/>
    <w:rsid w:val="103E6637"/>
    <w:rsid w:val="10454916"/>
    <w:rsid w:val="105C6197"/>
    <w:rsid w:val="10672A16"/>
    <w:rsid w:val="107E71D4"/>
    <w:rsid w:val="107F13A6"/>
    <w:rsid w:val="108160EB"/>
    <w:rsid w:val="10A76C07"/>
    <w:rsid w:val="10B4070D"/>
    <w:rsid w:val="10C20616"/>
    <w:rsid w:val="10E832B4"/>
    <w:rsid w:val="10EA3953"/>
    <w:rsid w:val="10EF0884"/>
    <w:rsid w:val="10FE28C6"/>
    <w:rsid w:val="111369C6"/>
    <w:rsid w:val="111934E7"/>
    <w:rsid w:val="112172C2"/>
    <w:rsid w:val="114D7618"/>
    <w:rsid w:val="11527F92"/>
    <w:rsid w:val="116F6BC1"/>
    <w:rsid w:val="11766346"/>
    <w:rsid w:val="1186449F"/>
    <w:rsid w:val="11983D3E"/>
    <w:rsid w:val="119F34BD"/>
    <w:rsid w:val="11AE39F8"/>
    <w:rsid w:val="11C53F61"/>
    <w:rsid w:val="11F8380E"/>
    <w:rsid w:val="11F93D82"/>
    <w:rsid w:val="12056CBD"/>
    <w:rsid w:val="1207758E"/>
    <w:rsid w:val="1208619C"/>
    <w:rsid w:val="120E0D54"/>
    <w:rsid w:val="121767DB"/>
    <w:rsid w:val="122E26AC"/>
    <w:rsid w:val="12383E59"/>
    <w:rsid w:val="12445E42"/>
    <w:rsid w:val="12465C21"/>
    <w:rsid w:val="12550B18"/>
    <w:rsid w:val="12663BE0"/>
    <w:rsid w:val="12735753"/>
    <w:rsid w:val="12CA084D"/>
    <w:rsid w:val="12DE6746"/>
    <w:rsid w:val="130E11A0"/>
    <w:rsid w:val="131A603D"/>
    <w:rsid w:val="133D6799"/>
    <w:rsid w:val="134A4EBA"/>
    <w:rsid w:val="136007E7"/>
    <w:rsid w:val="136E327B"/>
    <w:rsid w:val="1387472C"/>
    <w:rsid w:val="138E393C"/>
    <w:rsid w:val="13914F8E"/>
    <w:rsid w:val="13A07738"/>
    <w:rsid w:val="13AB36C5"/>
    <w:rsid w:val="13B43589"/>
    <w:rsid w:val="13BB0808"/>
    <w:rsid w:val="13BC175F"/>
    <w:rsid w:val="13CB5FFB"/>
    <w:rsid w:val="14060571"/>
    <w:rsid w:val="1426082A"/>
    <w:rsid w:val="142A5FDC"/>
    <w:rsid w:val="14366502"/>
    <w:rsid w:val="14561D62"/>
    <w:rsid w:val="145A5FD6"/>
    <w:rsid w:val="147014A9"/>
    <w:rsid w:val="14B856A7"/>
    <w:rsid w:val="14DE0C0F"/>
    <w:rsid w:val="14DE573A"/>
    <w:rsid w:val="14DF3546"/>
    <w:rsid w:val="14EE1A04"/>
    <w:rsid w:val="14F134BB"/>
    <w:rsid w:val="15033AAA"/>
    <w:rsid w:val="15045DEC"/>
    <w:rsid w:val="151246ED"/>
    <w:rsid w:val="152C2AC9"/>
    <w:rsid w:val="15367333"/>
    <w:rsid w:val="153C255C"/>
    <w:rsid w:val="154304FD"/>
    <w:rsid w:val="154923E9"/>
    <w:rsid w:val="156952E9"/>
    <w:rsid w:val="157D32D4"/>
    <w:rsid w:val="15924B9F"/>
    <w:rsid w:val="15957D8F"/>
    <w:rsid w:val="15BD5E7C"/>
    <w:rsid w:val="15DA10CC"/>
    <w:rsid w:val="15E45152"/>
    <w:rsid w:val="15EA37AE"/>
    <w:rsid w:val="1606775E"/>
    <w:rsid w:val="160A610E"/>
    <w:rsid w:val="16462E87"/>
    <w:rsid w:val="16786253"/>
    <w:rsid w:val="169F561C"/>
    <w:rsid w:val="16A132F1"/>
    <w:rsid w:val="16A90C06"/>
    <w:rsid w:val="16BC04A0"/>
    <w:rsid w:val="16BE3BF5"/>
    <w:rsid w:val="16C8192A"/>
    <w:rsid w:val="16DF5A1B"/>
    <w:rsid w:val="171A332F"/>
    <w:rsid w:val="17251EAC"/>
    <w:rsid w:val="172F5A62"/>
    <w:rsid w:val="174602F3"/>
    <w:rsid w:val="174B3433"/>
    <w:rsid w:val="175201A4"/>
    <w:rsid w:val="17581F6D"/>
    <w:rsid w:val="1763479D"/>
    <w:rsid w:val="177A1481"/>
    <w:rsid w:val="177B2B64"/>
    <w:rsid w:val="17844E8E"/>
    <w:rsid w:val="179914B3"/>
    <w:rsid w:val="17A116AE"/>
    <w:rsid w:val="17B33E4D"/>
    <w:rsid w:val="17D252F9"/>
    <w:rsid w:val="17EF5266"/>
    <w:rsid w:val="18071B33"/>
    <w:rsid w:val="180E5A00"/>
    <w:rsid w:val="1813342D"/>
    <w:rsid w:val="181B2BBC"/>
    <w:rsid w:val="181B53C4"/>
    <w:rsid w:val="183C091C"/>
    <w:rsid w:val="183F3519"/>
    <w:rsid w:val="1841459E"/>
    <w:rsid w:val="184A01D4"/>
    <w:rsid w:val="186F7BC5"/>
    <w:rsid w:val="187D225E"/>
    <w:rsid w:val="187E196E"/>
    <w:rsid w:val="188C47E4"/>
    <w:rsid w:val="189039E8"/>
    <w:rsid w:val="18B157FE"/>
    <w:rsid w:val="18D32F39"/>
    <w:rsid w:val="18EB4A89"/>
    <w:rsid w:val="18ED10F1"/>
    <w:rsid w:val="19104A6E"/>
    <w:rsid w:val="194818B4"/>
    <w:rsid w:val="195C2DAE"/>
    <w:rsid w:val="19670B39"/>
    <w:rsid w:val="196846B9"/>
    <w:rsid w:val="1979599D"/>
    <w:rsid w:val="19A65C35"/>
    <w:rsid w:val="19A86CE9"/>
    <w:rsid w:val="19C72EE6"/>
    <w:rsid w:val="19D55685"/>
    <w:rsid w:val="19D63097"/>
    <w:rsid w:val="19FC64CD"/>
    <w:rsid w:val="19FD504D"/>
    <w:rsid w:val="1A08732E"/>
    <w:rsid w:val="1A0D2A4A"/>
    <w:rsid w:val="1A276252"/>
    <w:rsid w:val="1A2F6045"/>
    <w:rsid w:val="1A400204"/>
    <w:rsid w:val="1A4C2D0F"/>
    <w:rsid w:val="1A513B03"/>
    <w:rsid w:val="1A5B79AD"/>
    <w:rsid w:val="1A685EB8"/>
    <w:rsid w:val="1A817DEA"/>
    <w:rsid w:val="1A977783"/>
    <w:rsid w:val="1A994D33"/>
    <w:rsid w:val="1AAC1FB7"/>
    <w:rsid w:val="1AB1581F"/>
    <w:rsid w:val="1ABE7DC8"/>
    <w:rsid w:val="1AC57478"/>
    <w:rsid w:val="1AD35B55"/>
    <w:rsid w:val="1B571741"/>
    <w:rsid w:val="1B5D2AD8"/>
    <w:rsid w:val="1B6F33E5"/>
    <w:rsid w:val="1B7F2276"/>
    <w:rsid w:val="1B871004"/>
    <w:rsid w:val="1B963FA6"/>
    <w:rsid w:val="1B9B5BFE"/>
    <w:rsid w:val="1B9D0B46"/>
    <w:rsid w:val="1BA94E24"/>
    <w:rsid w:val="1BB362E2"/>
    <w:rsid w:val="1BBA15EF"/>
    <w:rsid w:val="1BC162E8"/>
    <w:rsid w:val="1BD83779"/>
    <w:rsid w:val="1BEB4746"/>
    <w:rsid w:val="1C000FBC"/>
    <w:rsid w:val="1C010D1D"/>
    <w:rsid w:val="1C154BFE"/>
    <w:rsid w:val="1C207F73"/>
    <w:rsid w:val="1C282F6F"/>
    <w:rsid w:val="1C3B4A23"/>
    <w:rsid w:val="1C57773B"/>
    <w:rsid w:val="1C762B3D"/>
    <w:rsid w:val="1C80194D"/>
    <w:rsid w:val="1C837BC5"/>
    <w:rsid w:val="1C884775"/>
    <w:rsid w:val="1C8D776B"/>
    <w:rsid w:val="1CA0383F"/>
    <w:rsid w:val="1CC3400F"/>
    <w:rsid w:val="1CCC1EBA"/>
    <w:rsid w:val="1CFB7BD4"/>
    <w:rsid w:val="1D1A58FD"/>
    <w:rsid w:val="1D1D4E2E"/>
    <w:rsid w:val="1D1F2F14"/>
    <w:rsid w:val="1D2374B4"/>
    <w:rsid w:val="1D3407C8"/>
    <w:rsid w:val="1D470019"/>
    <w:rsid w:val="1D494CCF"/>
    <w:rsid w:val="1D52669D"/>
    <w:rsid w:val="1D5E4918"/>
    <w:rsid w:val="1D740B6A"/>
    <w:rsid w:val="1D8645B5"/>
    <w:rsid w:val="1D8675F0"/>
    <w:rsid w:val="1DB753E9"/>
    <w:rsid w:val="1DBA2E2E"/>
    <w:rsid w:val="1DBB1C42"/>
    <w:rsid w:val="1DCF0496"/>
    <w:rsid w:val="1DE103FA"/>
    <w:rsid w:val="1DE72F8B"/>
    <w:rsid w:val="1DF41671"/>
    <w:rsid w:val="1E1D71A4"/>
    <w:rsid w:val="1E2E6377"/>
    <w:rsid w:val="1E3104EB"/>
    <w:rsid w:val="1E3B7B3E"/>
    <w:rsid w:val="1E6D128D"/>
    <w:rsid w:val="1E722C69"/>
    <w:rsid w:val="1EB072B1"/>
    <w:rsid w:val="1EB50BBD"/>
    <w:rsid w:val="1EC06BEC"/>
    <w:rsid w:val="1EF43A77"/>
    <w:rsid w:val="1EF87EC0"/>
    <w:rsid w:val="1F5B5733"/>
    <w:rsid w:val="1F5F2F92"/>
    <w:rsid w:val="1F677541"/>
    <w:rsid w:val="1F6F5384"/>
    <w:rsid w:val="1FA31C4E"/>
    <w:rsid w:val="1FAA1EEE"/>
    <w:rsid w:val="1FB20C2C"/>
    <w:rsid w:val="1FCD35E0"/>
    <w:rsid w:val="1FD02EE8"/>
    <w:rsid w:val="1FD2597E"/>
    <w:rsid w:val="1FD71810"/>
    <w:rsid w:val="1FF20FA0"/>
    <w:rsid w:val="1FFF6B0A"/>
    <w:rsid w:val="2004034F"/>
    <w:rsid w:val="20084C24"/>
    <w:rsid w:val="200B13E8"/>
    <w:rsid w:val="201E1EB2"/>
    <w:rsid w:val="203129D6"/>
    <w:rsid w:val="203F0AAD"/>
    <w:rsid w:val="204149C1"/>
    <w:rsid w:val="2044159C"/>
    <w:rsid w:val="20492558"/>
    <w:rsid w:val="205A55A3"/>
    <w:rsid w:val="205E38F0"/>
    <w:rsid w:val="206521F7"/>
    <w:rsid w:val="2075089D"/>
    <w:rsid w:val="20AA0500"/>
    <w:rsid w:val="20AD3BEB"/>
    <w:rsid w:val="20C02E9F"/>
    <w:rsid w:val="210920EF"/>
    <w:rsid w:val="21102D27"/>
    <w:rsid w:val="21192D55"/>
    <w:rsid w:val="21392153"/>
    <w:rsid w:val="213D3995"/>
    <w:rsid w:val="213E63DA"/>
    <w:rsid w:val="214572A0"/>
    <w:rsid w:val="21514B5B"/>
    <w:rsid w:val="216A4356"/>
    <w:rsid w:val="217F7026"/>
    <w:rsid w:val="21992531"/>
    <w:rsid w:val="21A4757C"/>
    <w:rsid w:val="21AB746C"/>
    <w:rsid w:val="21BA7AFB"/>
    <w:rsid w:val="21BD7A67"/>
    <w:rsid w:val="21C66054"/>
    <w:rsid w:val="21D132BC"/>
    <w:rsid w:val="21D92705"/>
    <w:rsid w:val="21F0010E"/>
    <w:rsid w:val="221A4E49"/>
    <w:rsid w:val="223B02CB"/>
    <w:rsid w:val="223F0C2A"/>
    <w:rsid w:val="2253337B"/>
    <w:rsid w:val="225C1709"/>
    <w:rsid w:val="22753104"/>
    <w:rsid w:val="22781D0B"/>
    <w:rsid w:val="22A50CDA"/>
    <w:rsid w:val="22C54964"/>
    <w:rsid w:val="22D75201"/>
    <w:rsid w:val="22F310EC"/>
    <w:rsid w:val="22F6254F"/>
    <w:rsid w:val="230B3186"/>
    <w:rsid w:val="232A7F55"/>
    <w:rsid w:val="232E17C5"/>
    <w:rsid w:val="2363312E"/>
    <w:rsid w:val="236E7FC9"/>
    <w:rsid w:val="23704814"/>
    <w:rsid w:val="237F3F46"/>
    <w:rsid w:val="23A07B25"/>
    <w:rsid w:val="23A835D3"/>
    <w:rsid w:val="23BF2684"/>
    <w:rsid w:val="23C11335"/>
    <w:rsid w:val="23DD3661"/>
    <w:rsid w:val="23DF4103"/>
    <w:rsid w:val="24055FBC"/>
    <w:rsid w:val="241271DB"/>
    <w:rsid w:val="242F013F"/>
    <w:rsid w:val="24381601"/>
    <w:rsid w:val="2447266E"/>
    <w:rsid w:val="247E4D59"/>
    <w:rsid w:val="24944FF6"/>
    <w:rsid w:val="2498033F"/>
    <w:rsid w:val="249C22E1"/>
    <w:rsid w:val="24F11672"/>
    <w:rsid w:val="251331E9"/>
    <w:rsid w:val="251A0AE8"/>
    <w:rsid w:val="251C08E9"/>
    <w:rsid w:val="251E464F"/>
    <w:rsid w:val="25345D39"/>
    <w:rsid w:val="25493364"/>
    <w:rsid w:val="254F7A0F"/>
    <w:rsid w:val="255C378E"/>
    <w:rsid w:val="258A22CD"/>
    <w:rsid w:val="258C2F14"/>
    <w:rsid w:val="259C58FE"/>
    <w:rsid w:val="25B152B5"/>
    <w:rsid w:val="25B862D0"/>
    <w:rsid w:val="25C001F1"/>
    <w:rsid w:val="25CB3A81"/>
    <w:rsid w:val="25F9257C"/>
    <w:rsid w:val="262C5C6D"/>
    <w:rsid w:val="265D48E5"/>
    <w:rsid w:val="266F480A"/>
    <w:rsid w:val="267D1FC5"/>
    <w:rsid w:val="26805560"/>
    <w:rsid w:val="268414F9"/>
    <w:rsid w:val="269E1774"/>
    <w:rsid w:val="26A71D59"/>
    <w:rsid w:val="26B556E3"/>
    <w:rsid w:val="26C14A80"/>
    <w:rsid w:val="26CA79B1"/>
    <w:rsid w:val="26DC6C93"/>
    <w:rsid w:val="26E36DA9"/>
    <w:rsid w:val="270D444F"/>
    <w:rsid w:val="271916C3"/>
    <w:rsid w:val="273A24AE"/>
    <w:rsid w:val="27456DDA"/>
    <w:rsid w:val="274704F7"/>
    <w:rsid w:val="27506187"/>
    <w:rsid w:val="27512C81"/>
    <w:rsid w:val="27591CFC"/>
    <w:rsid w:val="276F63C2"/>
    <w:rsid w:val="276F6648"/>
    <w:rsid w:val="27703BAC"/>
    <w:rsid w:val="27816204"/>
    <w:rsid w:val="278909E9"/>
    <w:rsid w:val="278D77E9"/>
    <w:rsid w:val="27900E5F"/>
    <w:rsid w:val="279F2ADE"/>
    <w:rsid w:val="27A72656"/>
    <w:rsid w:val="27B039C8"/>
    <w:rsid w:val="27B75FD5"/>
    <w:rsid w:val="27CB356E"/>
    <w:rsid w:val="27DB14E9"/>
    <w:rsid w:val="27E61A3A"/>
    <w:rsid w:val="27E63708"/>
    <w:rsid w:val="27E73D64"/>
    <w:rsid w:val="27E852AA"/>
    <w:rsid w:val="27F95DF6"/>
    <w:rsid w:val="27FC68FC"/>
    <w:rsid w:val="28015AEC"/>
    <w:rsid w:val="280B7F29"/>
    <w:rsid w:val="281175D2"/>
    <w:rsid w:val="281F6326"/>
    <w:rsid w:val="28242737"/>
    <w:rsid w:val="282D1BC7"/>
    <w:rsid w:val="28501150"/>
    <w:rsid w:val="28637B86"/>
    <w:rsid w:val="28642840"/>
    <w:rsid w:val="286B37C0"/>
    <w:rsid w:val="286F6445"/>
    <w:rsid w:val="2880029E"/>
    <w:rsid w:val="28872154"/>
    <w:rsid w:val="289243A6"/>
    <w:rsid w:val="28943227"/>
    <w:rsid w:val="28AD4E25"/>
    <w:rsid w:val="28B214EF"/>
    <w:rsid w:val="28F8088B"/>
    <w:rsid w:val="290D4165"/>
    <w:rsid w:val="291E414A"/>
    <w:rsid w:val="292661E0"/>
    <w:rsid w:val="29326F94"/>
    <w:rsid w:val="293A5C24"/>
    <w:rsid w:val="29496672"/>
    <w:rsid w:val="295223C1"/>
    <w:rsid w:val="29704239"/>
    <w:rsid w:val="298C1931"/>
    <w:rsid w:val="29970233"/>
    <w:rsid w:val="299710B2"/>
    <w:rsid w:val="29C03002"/>
    <w:rsid w:val="29C341ED"/>
    <w:rsid w:val="29D17C06"/>
    <w:rsid w:val="29D3340F"/>
    <w:rsid w:val="29E13C7C"/>
    <w:rsid w:val="29E26806"/>
    <w:rsid w:val="29F4710C"/>
    <w:rsid w:val="29FF0B07"/>
    <w:rsid w:val="2A0E00CA"/>
    <w:rsid w:val="2A0E1706"/>
    <w:rsid w:val="2A264443"/>
    <w:rsid w:val="2A2D064F"/>
    <w:rsid w:val="2A497078"/>
    <w:rsid w:val="2A4B3C6C"/>
    <w:rsid w:val="2A4C5B4D"/>
    <w:rsid w:val="2A615D77"/>
    <w:rsid w:val="2A630D17"/>
    <w:rsid w:val="2A791B21"/>
    <w:rsid w:val="2A87357D"/>
    <w:rsid w:val="2AA5169E"/>
    <w:rsid w:val="2AAA5DF1"/>
    <w:rsid w:val="2AE57AC4"/>
    <w:rsid w:val="2AED38FF"/>
    <w:rsid w:val="2AF13218"/>
    <w:rsid w:val="2AF84A0C"/>
    <w:rsid w:val="2AFD3174"/>
    <w:rsid w:val="2B367DA6"/>
    <w:rsid w:val="2B3C1135"/>
    <w:rsid w:val="2B5934AE"/>
    <w:rsid w:val="2B626BBA"/>
    <w:rsid w:val="2B69017C"/>
    <w:rsid w:val="2B717030"/>
    <w:rsid w:val="2B7A5423"/>
    <w:rsid w:val="2B7F51D7"/>
    <w:rsid w:val="2B8123CB"/>
    <w:rsid w:val="2B836D64"/>
    <w:rsid w:val="2B853CF9"/>
    <w:rsid w:val="2B914B5D"/>
    <w:rsid w:val="2BA9469B"/>
    <w:rsid w:val="2BE529C4"/>
    <w:rsid w:val="2BF544D2"/>
    <w:rsid w:val="2C063C1D"/>
    <w:rsid w:val="2C3D1CE0"/>
    <w:rsid w:val="2C5F332D"/>
    <w:rsid w:val="2C9E0649"/>
    <w:rsid w:val="2CBC5FB0"/>
    <w:rsid w:val="2CBF274A"/>
    <w:rsid w:val="2CD17CCF"/>
    <w:rsid w:val="2CF81347"/>
    <w:rsid w:val="2CFB648A"/>
    <w:rsid w:val="2D1C517B"/>
    <w:rsid w:val="2D2824B2"/>
    <w:rsid w:val="2D355A17"/>
    <w:rsid w:val="2D6138B7"/>
    <w:rsid w:val="2D666BF9"/>
    <w:rsid w:val="2D680546"/>
    <w:rsid w:val="2D833B32"/>
    <w:rsid w:val="2D896548"/>
    <w:rsid w:val="2D8B5FDC"/>
    <w:rsid w:val="2D917EAF"/>
    <w:rsid w:val="2DB0030F"/>
    <w:rsid w:val="2DCA0BF2"/>
    <w:rsid w:val="2DCB3C37"/>
    <w:rsid w:val="2DD02FC8"/>
    <w:rsid w:val="2DE14B3C"/>
    <w:rsid w:val="2DE55A1E"/>
    <w:rsid w:val="2DFF2CE2"/>
    <w:rsid w:val="2E002321"/>
    <w:rsid w:val="2E1C647D"/>
    <w:rsid w:val="2E2F1CD6"/>
    <w:rsid w:val="2E3C37AA"/>
    <w:rsid w:val="2E3F37FA"/>
    <w:rsid w:val="2E414B35"/>
    <w:rsid w:val="2E4B4DBA"/>
    <w:rsid w:val="2E580F8F"/>
    <w:rsid w:val="2E5F5866"/>
    <w:rsid w:val="2E7926B6"/>
    <w:rsid w:val="2E8639C6"/>
    <w:rsid w:val="2EB81807"/>
    <w:rsid w:val="2EC47A74"/>
    <w:rsid w:val="2ED9015F"/>
    <w:rsid w:val="2EDB7001"/>
    <w:rsid w:val="2F06700C"/>
    <w:rsid w:val="2F331B4A"/>
    <w:rsid w:val="2F5E5535"/>
    <w:rsid w:val="2F67006B"/>
    <w:rsid w:val="2F7F38EF"/>
    <w:rsid w:val="2F841DC0"/>
    <w:rsid w:val="2F992A53"/>
    <w:rsid w:val="2FAB044B"/>
    <w:rsid w:val="2FDD7AA8"/>
    <w:rsid w:val="2FDF05E9"/>
    <w:rsid w:val="2FE6799D"/>
    <w:rsid w:val="301221C0"/>
    <w:rsid w:val="302A451F"/>
    <w:rsid w:val="302E0A39"/>
    <w:rsid w:val="30407780"/>
    <w:rsid w:val="305A76AB"/>
    <w:rsid w:val="30841252"/>
    <w:rsid w:val="30A21A3A"/>
    <w:rsid w:val="30AE5D9B"/>
    <w:rsid w:val="30B96527"/>
    <w:rsid w:val="30BD5A46"/>
    <w:rsid w:val="30C670C4"/>
    <w:rsid w:val="30CA166B"/>
    <w:rsid w:val="30E87423"/>
    <w:rsid w:val="30ED1101"/>
    <w:rsid w:val="30F64606"/>
    <w:rsid w:val="30F72E6E"/>
    <w:rsid w:val="30F857B9"/>
    <w:rsid w:val="31170894"/>
    <w:rsid w:val="313A36E5"/>
    <w:rsid w:val="31445C71"/>
    <w:rsid w:val="314F6742"/>
    <w:rsid w:val="31554AE7"/>
    <w:rsid w:val="31570D79"/>
    <w:rsid w:val="315C7F7F"/>
    <w:rsid w:val="3165602B"/>
    <w:rsid w:val="317452BC"/>
    <w:rsid w:val="31785A4E"/>
    <w:rsid w:val="31CF2D29"/>
    <w:rsid w:val="31D0274C"/>
    <w:rsid w:val="31E82675"/>
    <w:rsid w:val="31F05FAD"/>
    <w:rsid w:val="31FE41EC"/>
    <w:rsid w:val="320A31B2"/>
    <w:rsid w:val="321E6DA8"/>
    <w:rsid w:val="32280685"/>
    <w:rsid w:val="324E222E"/>
    <w:rsid w:val="325869D8"/>
    <w:rsid w:val="326D7BCF"/>
    <w:rsid w:val="32792D2B"/>
    <w:rsid w:val="327A6BD0"/>
    <w:rsid w:val="32832ED6"/>
    <w:rsid w:val="32AC1117"/>
    <w:rsid w:val="32C258EB"/>
    <w:rsid w:val="32C31B6B"/>
    <w:rsid w:val="32CA7F95"/>
    <w:rsid w:val="32D1723E"/>
    <w:rsid w:val="32D45531"/>
    <w:rsid w:val="32D96982"/>
    <w:rsid w:val="33050AAD"/>
    <w:rsid w:val="33116608"/>
    <w:rsid w:val="332C3F79"/>
    <w:rsid w:val="33360A57"/>
    <w:rsid w:val="33392236"/>
    <w:rsid w:val="334530F3"/>
    <w:rsid w:val="336815C3"/>
    <w:rsid w:val="336E02D4"/>
    <w:rsid w:val="33861D25"/>
    <w:rsid w:val="33BE2810"/>
    <w:rsid w:val="33C32064"/>
    <w:rsid w:val="33C96CCF"/>
    <w:rsid w:val="33D1513C"/>
    <w:rsid w:val="33DA46B1"/>
    <w:rsid w:val="33E97899"/>
    <w:rsid w:val="33EF1DDB"/>
    <w:rsid w:val="33F30E32"/>
    <w:rsid w:val="33F85143"/>
    <w:rsid w:val="340505DC"/>
    <w:rsid w:val="342041F4"/>
    <w:rsid w:val="34270AC1"/>
    <w:rsid w:val="342927FC"/>
    <w:rsid w:val="343F154C"/>
    <w:rsid w:val="344469FD"/>
    <w:rsid w:val="34515C51"/>
    <w:rsid w:val="345356CC"/>
    <w:rsid w:val="34562F70"/>
    <w:rsid w:val="34691856"/>
    <w:rsid w:val="34793D6B"/>
    <w:rsid w:val="347E3539"/>
    <w:rsid w:val="34830369"/>
    <w:rsid w:val="34C603ED"/>
    <w:rsid w:val="34F15F64"/>
    <w:rsid w:val="34FD6D1A"/>
    <w:rsid w:val="350D00B1"/>
    <w:rsid w:val="350D407B"/>
    <w:rsid w:val="351C0A51"/>
    <w:rsid w:val="352128A9"/>
    <w:rsid w:val="352548D7"/>
    <w:rsid w:val="3528106A"/>
    <w:rsid w:val="354503F4"/>
    <w:rsid w:val="35453CE8"/>
    <w:rsid w:val="35465780"/>
    <w:rsid w:val="357D5012"/>
    <w:rsid w:val="3580616C"/>
    <w:rsid w:val="35841377"/>
    <w:rsid w:val="358F1EC3"/>
    <w:rsid w:val="359A09ED"/>
    <w:rsid w:val="35AA1BCA"/>
    <w:rsid w:val="35B33563"/>
    <w:rsid w:val="35BC4AB2"/>
    <w:rsid w:val="35E936E6"/>
    <w:rsid w:val="35EB0A3D"/>
    <w:rsid w:val="35FA1982"/>
    <w:rsid w:val="35FE2F69"/>
    <w:rsid w:val="35FF12E2"/>
    <w:rsid w:val="36056B5B"/>
    <w:rsid w:val="360C3486"/>
    <w:rsid w:val="36201A4D"/>
    <w:rsid w:val="36441F53"/>
    <w:rsid w:val="364C0351"/>
    <w:rsid w:val="36694098"/>
    <w:rsid w:val="367E53BD"/>
    <w:rsid w:val="36816371"/>
    <w:rsid w:val="368559A2"/>
    <w:rsid w:val="36995CF0"/>
    <w:rsid w:val="36B15DF4"/>
    <w:rsid w:val="36C070E9"/>
    <w:rsid w:val="36D121F1"/>
    <w:rsid w:val="371C0FF6"/>
    <w:rsid w:val="37203126"/>
    <w:rsid w:val="37237201"/>
    <w:rsid w:val="37383C9E"/>
    <w:rsid w:val="37393FF5"/>
    <w:rsid w:val="375A58F9"/>
    <w:rsid w:val="376D0505"/>
    <w:rsid w:val="376D4567"/>
    <w:rsid w:val="37717A3A"/>
    <w:rsid w:val="378E4453"/>
    <w:rsid w:val="37965470"/>
    <w:rsid w:val="37A058ED"/>
    <w:rsid w:val="37B07E7F"/>
    <w:rsid w:val="37B1241A"/>
    <w:rsid w:val="37BC6569"/>
    <w:rsid w:val="37D56240"/>
    <w:rsid w:val="37E17558"/>
    <w:rsid w:val="37F609F5"/>
    <w:rsid w:val="38142EE2"/>
    <w:rsid w:val="382D35E2"/>
    <w:rsid w:val="383E613C"/>
    <w:rsid w:val="38476A3C"/>
    <w:rsid w:val="387F6F98"/>
    <w:rsid w:val="38890DD2"/>
    <w:rsid w:val="38A914AA"/>
    <w:rsid w:val="38AC2771"/>
    <w:rsid w:val="38CF1737"/>
    <w:rsid w:val="38EB788B"/>
    <w:rsid w:val="38EE54CC"/>
    <w:rsid w:val="391477F6"/>
    <w:rsid w:val="39202BE9"/>
    <w:rsid w:val="3937628D"/>
    <w:rsid w:val="3945589A"/>
    <w:rsid w:val="397054D7"/>
    <w:rsid w:val="397131B7"/>
    <w:rsid w:val="397B172D"/>
    <w:rsid w:val="397F6BAE"/>
    <w:rsid w:val="39C616EE"/>
    <w:rsid w:val="39D178FD"/>
    <w:rsid w:val="39D20836"/>
    <w:rsid w:val="39E55C79"/>
    <w:rsid w:val="39F529BD"/>
    <w:rsid w:val="39FC3CDD"/>
    <w:rsid w:val="39FE27D5"/>
    <w:rsid w:val="3A005897"/>
    <w:rsid w:val="3A0E4A66"/>
    <w:rsid w:val="3A0F5041"/>
    <w:rsid w:val="3A4458BD"/>
    <w:rsid w:val="3A49697E"/>
    <w:rsid w:val="3A57248F"/>
    <w:rsid w:val="3A5930B4"/>
    <w:rsid w:val="3A667F7C"/>
    <w:rsid w:val="3A6F731F"/>
    <w:rsid w:val="3A73368B"/>
    <w:rsid w:val="3A8551B2"/>
    <w:rsid w:val="3AAA1FCB"/>
    <w:rsid w:val="3AAE4831"/>
    <w:rsid w:val="3AC22C8F"/>
    <w:rsid w:val="3AE82205"/>
    <w:rsid w:val="3B401F9F"/>
    <w:rsid w:val="3B596F6F"/>
    <w:rsid w:val="3B5A3279"/>
    <w:rsid w:val="3B703203"/>
    <w:rsid w:val="3B754CFB"/>
    <w:rsid w:val="3B8770EE"/>
    <w:rsid w:val="3B91770A"/>
    <w:rsid w:val="3B951E85"/>
    <w:rsid w:val="3B967E52"/>
    <w:rsid w:val="3B974891"/>
    <w:rsid w:val="3B9823CE"/>
    <w:rsid w:val="3BB56FEB"/>
    <w:rsid w:val="3BD76595"/>
    <w:rsid w:val="3BDA49EC"/>
    <w:rsid w:val="3C1017BA"/>
    <w:rsid w:val="3C1C1508"/>
    <w:rsid w:val="3C266A0E"/>
    <w:rsid w:val="3C3519B4"/>
    <w:rsid w:val="3C404ADE"/>
    <w:rsid w:val="3C4D6189"/>
    <w:rsid w:val="3C7A1ABD"/>
    <w:rsid w:val="3C812464"/>
    <w:rsid w:val="3C85139E"/>
    <w:rsid w:val="3C8E7AB6"/>
    <w:rsid w:val="3CB30A45"/>
    <w:rsid w:val="3CC51781"/>
    <w:rsid w:val="3CC84549"/>
    <w:rsid w:val="3D080961"/>
    <w:rsid w:val="3D0C0513"/>
    <w:rsid w:val="3D143CBF"/>
    <w:rsid w:val="3D2321D5"/>
    <w:rsid w:val="3D2A2527"/>
    <w:rsid w:val="3D3E055F"/>
    <w:rsid w:val="3D4628FC"/>
    <w:rsid w:val="3D631D18"/>
    <w:rsid w:val="3D7A7FC6"/>
    <w:rsid w:val="3D865F4C"/>
    <w:rsid w:val="3D9B0FF3"/>
    <w:rsid w:val="3D9E12A1"/>
    <w:rsid w:val="3DB836BF"/>
    <w:rsid w:val="3DBA1054"/>
    <w:rsid w:val="3DBF01AF"/>
    <w:rsid w:val="3DBF54D1"/>
    <w:rsid w:val="3DC701EB"/>
    <w:rsid w:val="3DD0070F"/>
    <w:rsid w:val="3DD0314B"/>
    <w:rsid w:val="3DD24540"/>
    <w:rsid w:val="3DD31094"/>
    <w:rsid w:val="3DE11624"/>
    <w:rsid w:val="3DFA21F0"/>
    <w:rsid w:val="3DFF6D97"/>
    <w:rsid w:val="3E0A6273"/>
    <w:rsid w:val="3E4A01B8"/>
    <w:rsid w:val="3E4C2268"/>
    <w:rsid w:val="3E536402"/>
    <w:rsid w:val="3E5D2E08"/>
    <w:rsid w:val="3E65120B"/>
    <w:rsid w:val="3E6825AB"/>
    <w:rsid w:val="3E817133"/>
    <w:rsid w:val="3E990BCE"/>
    <w:rsid w:val="3EA74100"/>
    <w:rsid w:val="3EC4153C"/>
    <w:rsid w:val="3ECE71E3"/>
    <w:rsid w:val="3ED71CC0"/>
    <w:rsid w:val="3ED723E2"/>
    <w:rsid w:val="3EE36D79"/>
    <w:rsid w:val="3EE43339"/>
    <w:rsid w:val="3EF53C17"/>
    <w:rsid w:val="3F0538C0"/>
    <w:rsid w:val="3F0C16B6"/>
    <w:rsid w:val="3F2244FB"/>
    <w:rsid w:val="3F2376C5"/>
    <w:rsid w:val="3F373E09"/>
    <w:rsid w:val="3F396430"/>
    <w:rsid w:val="3F3D51AB"/>
    <w:rsid w:val="3F46049A"/>
    <w:rsid w:val="3F483449"/>
    <w:rsid w:val="3F4C559B"/>
    <w:rsid w:val="3F80503B"/>
    <w:rsid w:val="3F8276E6"/>
    <w:rsid w:val="3F8C483D"/>
    <w:rsid w:val="3F900958"/>
    <w:rsid w:val="3F956F3B"/>
    <w:rsid w:val="3F9738B9"/>
    <w:rsid w:val="3FA91189"/>
    <w:rsid w:val="3FB54320"/>
    <w:rsid w:val="3FD40286"/>
    <w:rsid w:val="3FD85B95"/>
    <w:rsid w:val="3FE1730C"/>
    <w:rsid w:val="3FFB7026"/>
    <w:rsid w:val="3FFFD864"/>
    <w:rsid w:val="40006203"/>
    <w:rsid w:val="401A0A3D"/>
    <w:rsid w:val="4025470B"/>
    <w:rsid w:val="402E0D38"/>
    <w:rsid w:val="40355480"/>
    <w:rsid w:val="404439DB"/>
    <w:rsid w:val="40454E93"/>
    <w:rsid w:val="40457334"/>
    <w:rsid w:val="404A1C06"/>
    <w:rsid w:val="40533686"/>
    <w:rsid w:val="405E6311"/>
    <w:rsid w:val="406B6BFC"/>
    <w:rsid w:val="40805696"/>
    <w:rsid w:val="40945BD7"/>
    <w:rsid w:val="40C07E55"/>
    <w:rsid w:val="410406EE"/>
    <w:rsid w:val="411A2CA9"/>
    <w:rsid w:val="411C1CDD"/>
    <w:rsid w:val="412E769D"/>
    <w:rsid w:val="4159217C"/>
    <w:rsid w:val="415A2939"/>
    <w:rsid w:val="416B0A4A"/>
    <w:rsid w:val="418A1B92"/>
    <w:rsid w:val="418A2F70"/>
    <w:rsid w:val="41963683"/>
    <w:rsid w:val="41AA597E"/>
    <w:rsid w:val="41BD7303"/>
    <w:rsid w:val="420E585D"/>
    <w:rsid w:val="4214206C"/>
    <w:rsid w:val="421D3B80"/>
    <w:rsid w:val="421E197A"/>
    <w:rsid w:val="421F4397"/>
    <w:rsid w:val="42553004"/>
    <w:rsid w:val="425560C8"/>
    <w:rsid w:val="42640A6C"/>
    <w:rsid w:val="428B1BDB"/>
    <w:rsid w:val="428E0BC9"/>
    <w:rsid w:val="429121FE"/>
    <w:rsid w:val="429644F7"/>
    <w:rsid w:val="42DA0918"/>
    <w:rsid w:val="42E6012C"/>
    <w:rsid w:val="42E63401"/>
    <w:rsid w:val="42F33C51"/>
    <w:rsid w:val="430C340A"/>
    <w:rsid w:val="4324415B"/>
    <w:rsid w:val="432B2BDD"/>
    <w:rsid w:val="433B24A0"/>
    <w:rsid w:val="43442D25"/>
    <w:rsid w:val="434737C5"/>
    <w:rsid w:val="434C6777"/>
    <w:rsid w:val="43803E5D"/>
    <w:rsid w:val="438172BC"/>
    <w:rsid w:val="438D7205"/>
    <w:rsid w:val="43A31501"/>
    <w:rsid w:val="43A51A0F"/>
    <w:rsid w:val="43A63ED9"/>
    <w:rsid w:val="43CA4ED5"/>
    <w:rsid w:val="43D3039E"/>
    <w:rsid w:val="43F50C88"/>
    <w:rsid w:val="440F5CB7"/>
    <w:rsid w:val="4410164C"/>
    <w:rsid w:val="4421190E"/>
    <w:rsid w:val="44387A96"/>
    <w:rsid w:val="443F6059"/>
    <w:rsid w:val="4440389E"/>
    <w:rsid w:val="44404FD8"/>
    <w:rsid w:val="44467B33"/>
    <w:rsid w:val="44471594"/>
    <w:rsid w:val="44507687"/>
    <w:rsid w:val="446108C6"/>
    <w:rsid w:val="44983E14"/>
    <w:rsid w:val="449E6B70"/>
    <w:rsid w:val="44D101C0"/>
    <w:rsid w:val="44D37D84"/>
    <w:rsid w:val="44E7070D"/>
    <w:rsid w:val="44E96140"/>
    <w:rsid w:val="44EF407A"/>
    <w:rsid w:val="45151EC2"/>
    <w:rsid w:val="452D6EC8"/>
    <w:rsid w:val="452E7CA8"/>
    <w:rsid w:val="455D6C0E"/>
    <w:rsid w:val="456237E3"/>
    <w:rsid w:val="45646473"/>
    <w:rsid w:val="45674650"/>
    <w:rsid w:val="45995EE5"/>
    <w:rsid w:val="45996092"/>
    <w:rsid w:val="45A20D7F"/>
    <w:rsid w:val="45A96BB7"/>
    <w:rsid w:val="45B70AB6"/>
    <w:rsid w:val="45BE1896"/>
    <w:rsid w:val="45C21258"/>
    <w:rsid w:val="45C374F7"/>
    <w:rsid w:val="45CF5588"/>
    <w:rsid w:val="45E535E5"/>
    <w:rsid w:val="45FD2A9F"/>
    <w:rsid w:val="46185997"/>
    <w:rsid w:val="46480C46"/>
    <w:rsid w:val="464949DA"/>
    <w:rsid w:val="464E5B22"/>
    <w:rsid w:val="465719BA"/>
    <w:rsid w:val="466A2D2D"/>
    <w:rsid w:val="46C53057"/>
    <w:rsid w:val="46D2232B"/>
    <w:rsid w:val="46D766B5"/>
    <w:rsid w:val="46DB548E"/>
    <w:rsid w:val="46DD6135"/>
    <w:rsid w:val="46F12E8D"/>
    <w:rsid w:val="470D6DF4"/>
    <w:rsid w:val="471609FC"/>
    <w:rsid w:val="473F2635"/>
    <w:rsid w:val="47470193"/>
    <w:rsid w:val="474E6020"/>
    <w:rsid w:val="4753398A"/>
    <w:rsid w:val="47537F64"/>
    <w:rsid w:val="476676F8"/>
    <w:rsid w:val="477E64CE"/>
    <w:rsid w:val="478A2625"/>
    <w:rsid w:val="478D0FC4"/>
    <w:rsid w:val="47995509"/>
    <w:rsid w:val="47BA075C"/>
    <w:rsid w:val="47BE498F"/>
    <w:rsid w:val="47C71FE4"/>
    <w:rsid w:val="47DA3EE6"/>
    <w:rsid w:val="47E80D20"/>
    <w:rsid w:val="47F161C2"/>
    <w:rsid w:val="47F66132"/>
    <w:rsid w:val="47FE205C"/>
    <w:rsid w:val="48064ED6"/>
    <w:rsid w:val="48170CBE"/>
    <w:rsid w:val="48286180"/>
    <w:rsid w:val="48333F43"/>
    <w:rsid w:val="48340FA3"/>
    <w:rsid w:val="4843730A"/>
    <w:rsid w:val="484E10BE"/>
    <w:rsid w:val="485F529B"/>
    <w:rsid w:val="48662799"/>
    <w:rsid w:val="48691363"/>
    <w:rsid w:val="48897354"/>
    <w:rsid w:val="48917477"/>
    <w:rsid w:val="48945E7F"/>
    <w:rsid w:val="489770C9"/>
    <w:rsid w:val="48B23078"/>
    <w:rsid w:val="48CB623B"/>
    <w:rsid w:val="48D27C15"/>
    <w:rsid w:val="48E44E8E"/>
    <w:rsid w:val="48FA645F"/>
    <w:rsid w:val="48FF5824"/>
    <w:rsid w:val="490D0375"/>
    <w:rsid w:val="490F4371"/>
    <w:rsid w:val="4922557C"/>
    <w:rsid w:val="494A18A7"/>
    <w:rsid w:val="4953099D"/>
    <w:rsid w:val="495D5A00"/>
    <w:rsid w:val="49656C49"/>
    <w:rsid w:val="49813E8A"/>
    <w:rsid w:val="4989236D"/>
    <w:rsid w:val="49946494"/>
    <w:rsid w:val="49D6259B"/>
    <w:rsid w:val="49D62DD0"/>
    <w:rsid w:val="49DF7B2A"/>
    <w:rsid w:val="49ED3805"/>
    <w:rsid w:val="49F444EB"/>
    <w:rsid w:val="49F64E79"/>
    <w:rsid w:val="49FE8A55"/>
    <w:rsid w:val="4A285F26"/>
    <w:rsid w:val="4A300C6A"/>
    <w:rsid w:val="4A3029FF"/>
    <w:rsid w:val="4A317426"/>
    <w:rsid w:val="4A495F64"/>
    <w:rsid w:val="4A5F5DCB"/>
    <w:rsid w:val="4A6361B0"/>
    <w:rsid w:val="4A6D5817"/>
    <w:rsid w:val="4A6D5A21"/>
    <w:rsid w:val="4A764CF9"/>
    <w:rsid w:val="4A780E6E"/>
    <w:rsid w:val="4A7A4F85"/>
    <w:rsid w:val="4A7D61F3"/>
    <w:rsid w:val="4A9B63A3"/>
    <w:rsid w:val="4A9C4AA6"/>
    <w:rsid w:val="4AC13BA7"/>
    <w:rsid w:val="4AD0298E"/>
    <w:rsid w:val="4AD43CC2"/>
    <w:rsid w:val="4B03568E"/>
    <w:rsid w:val="4B073250"/>
    <w:rsid w:val="4B157281"/>
    <w:rsid w:val="4B1B4D9A"/>
    <w:rsid w:val="4B244692"/>
    <w:rsid w:val="4B3D2633"/>
    <w:rsid w:val="4B43338C"/>
    <w:rsid w:val="4B596AA2"/>
    <w:rsid w:val="4B6865B5"/>
    <w:rsid w:val="4B6F6DF7"/>
    <w:rsid w:val="4B8455EB"/>
    <w:rsid w:val="4B845D24"/>
    <w:rsid w:val="4BA05124"/>
    <w:rsid w:val="4BAF5721"/>
    <w:rsid w:val="4BB932E2"/>
    <w:rsid w:val="4BBA1147"/>
    <w:rsid w:val="4C037012"/>
    <w:rsid w:val="4C14743A"/>
    <w:rsid w:val="4C2C12C3"/>
    <w:rsid w:val="4C3008D0"/>
    <w:rsid w:val="4C3679C6"/>
    <w:rsid w:val="4C390B55"/>
    <w:rsid w:val="4C5C5F9D"/>
    <w:rsid w:val="4C720AD0"/>
    <w:rsid w:val="4C75532B"/>
    <w:rsid w:val="4C7A5603"/>
    <w:rsid w:val="4C8111CA"/>
    <w:rsid w:val="4C8220ED"/>
    <w:rsid w:val="4C961F41"/>
    <w:rsid w:val="4CA334F9"/>
    <w:rsid w:val="4CAB4709"/>
    <w:rsid w:val="4CB5597E"/>
    <w:rsid w:val="4CC153CA"/>
    <w:rsid w:val="4CCA2622"/>
    <w:rsid w:val="4CCF5635"/>
    <w:rsid w:val="4CD27DDB"/>
    <w:rsid w:val="4CD951A0"/>
    <w:rsid w:val="4CE05184"/>
    <w:rsid w:val="4CE524B9"/>
    <w:rsid w:val="4CE61651"/>
    <w:rsid w:val="4CF2752F"/>
    <w:rsid w:val="4D0835E9"/>
    <w:rsid w:val="4D271487"/>
    <w:rsid w:val="4D2A7EDF"/>
    <w:rsid w:val="4D2B58BF"/>
    <w:rsid w:val="4D2E3A04"/>
    <w:rsid w:val="4D4030BE"/>
    <w:rsid w:val="4D8515C9"/>
    <w:rsid w:val="4D890E9D"/>
    <w:rsid w:val="4D8F7DD5"/>
    <w:rsid w:val="4D901638"/>
    <w:rsid w:val="4D916E14"/>
    <w:rsid w:val="4D973F59"/>
    <w:rsid w:val="4D9F6363"/>
    <w:rsid w:val="4DA413A1"/>
    <w:rsid w:val="4DAD3AA0"/>
    <w:rsid w:val="4DC22632"/>
    <w:rsid w:val="4DD80CDF"/>
    <w:rsid w:val="4DDF6B8F"/>
    <w:rsid w:val="4DF236E4"/>
    <w:rsid w:val="4DF75681"/>
    <w:rsid w:val="4DFA0703"/>
    <w:rsid w:val="4E67354A"/>
    <w:rsid w:val="4E73266B"/>
    <w:rsid w:val="4E7929BA"/>
    <w:rsid w:val="4E7B6778"/>
    <w:rsid w:val="4E991BE4"/>
    <w:rsid w:val="4EA847B3"/>
    <w:rsid w:val="4EC5306C"/>
    <w:rsid w:val="4ED15497"/>
    <w:rsid w:val="4ED4741A"/>
    <w:rsid w:val="4EE70BFC"/>
    <w:rsid w:val="4EEE643C"/>
    <w:rsid w:val="4EEF4A17"/>
    <w:rsid w:val="4EFD28C2"/>
    <w:rsid w:val="4F3A6603"/>
    <w:rsid w:val="4F3B2DCB"/>
    <w:rsid w:val="4F3C0C95"/>
    <w:rsid w:val="4F7D3F49"/>
    <w:rsid w:val="4F8B50E7"/>
    <w:rsid w:val="4FB45182"/>
    <w:rsid w:val="4FB71A5D"/>
    <w:rsid w:val="4FB72C7A"/>
    <w:rsid w:val="4FC4795B"/>
    <w:rsid w:val="4FCF827D"/>
    <w:rsid w:val="4FD25C82"/>
    <w:rsid w:val="4FD6135A"/>
    <w:rsid w:val="4FE00F0B"/>
    <w:rsid w:val="4FF379A4"/>
    <w:rsid w:val="4FFF16B7"/>
    <w:rsid w:val="500217A5"/>
    <w:rsid w:val="500F14D6"/>
    <w:rsid w:val="50220E8F"/>
    <w:rsid w:val="50500572"/>
    <w:rsid w:val="505C064C"/>
    <w:rsid w:val="50693ADF"/>
    <w:rsid w:val="506D5405"/>
    <w:rsid w:val="506F328F"/>
    <w:rsid w:val="50950C9A"/>
    <w:rsid w:val="50AC4899"/>
    <w:rsid w:val="50E920BD"/>
    <w:rsid w:val="50EE3B03"/>
    <w:rsid w:val="50F82A75"/>
    <w:rsid w:val="51053257"/>
    <w:rsid w:val="51431E42"/>
    <w:rsid w:val="5146092A"/>
    <w:rsid w:val="51634A9A"/>
    <w:rsid w:val="517073FB"/>
    <w:rsid w:val="517600F9"/>
    <w:rsid w:val="517A0EF1"/>
    <w:rsid w:val="51826FF2"/>
    <w:rsid w:val="51852DBA"/>
    <w:rsid w:val="518E3D0C"/>
    <w:rsid w:val="51906CB3"/>
    <w:rsid w:val="51A947E6"/>
    <w:rsid w:val="51D9122E"/>
    <w:rsid w:val="51FB5766"/>
    <w:rsid w:val="52003972"/>
    <w:rsid w:val="52011459"/>
    <w:rsid w:val="5201513B"/>
    <w:rsid w:val="520274EA"/>
    <w:rsid w:val="52047653"/>
    <w:rsid w:val="52384E06"/>
    <w:rsid w:val="52387C4A"/>
    <w:rsid w:val="52535BCC"/>
    <w:rsid w:val="52623D08"/>
    <w:rsid w:val="52644CB0"/>
    <w:rsid w:val="52757A71"/>
    <w:rsid w:val="527C7722"/>
    <w:rsid w:val="52834F24"/>
    <w:rsid w:val="52863AC7"/>
    <w:rsid w:val="52BF212E"/>
    <w:rsid w:val="52EC5B41"/>
    <w:rsid w:val="52F6155C"/>
    <w:rsid w:val="52F9655C"/>
    <w:rsid w:val="531460EC"/>
    <w:rsid w:val="5315385C"/>
    <w:rsid w:val="531600F1"/>
    <w:rsid w:val="533162A1"/>
    <w:rsid w:val="5342491C"/>
    <w:rsid w:val="53A06ACE"/>
    <w:rsid w:val="53A85BF6"/>
    <w:rsid w:val="53B86A58"/>
    <w:rsid w:val="53C02053"/>
    <w:rsid w:val="53C072FC"/>
    <w:rsid w:val="53C56D73"/>
    <w:rsid w:val="53CC7CB4"/>
    <w:rsid w:val="53D233D8"/>
    <w:rsid w:val="53DD44AD"/>
    <w:rsid w:val="53E002AC"/>
    <w:rsid w:val="53E120F2"/>
    <w:rsid w:val="53FF5EFB"/>
    <w:rsid w:val="54196B64"/>
    <w:rsid w:val="54217E20"/>
    <w:rsid w:val="542875FB"/>
    <w:rsid w:val="54297BF9"/>
    <w:rsid w:val="543547EF"/>
    <w:rsid w:val="544822BD"/>
    <w:rsid w:val="547025C3"/>
    <w:rsid w:val="54AF5270"/>
    <w:rsid w:val="54B1543D"/>
    <w:rsid w:val="54C27769"/>
    <w:rsid w:val="54C4350C"/>
    <w:rsid w:val="55036E2A"/>
    <w:rsid w:val="55157F87"/>
    <w:rsid w:val="5519173E"/>
    <w:rsid w:val="551D6E0E"/>
    <w:rsid w:val="55246B06"/>
    <w:rsid w:val="5534121F"/>
    <w:rsid w:val="55390B69"/>
    <w:rsid w:val="553B71F6"/>
    <w:rsid w:val="553F1E51"/>
    <w:rsid w:val="5579725C"/>
    <w:rsid w:val="557C65CC"/>
    <w:rsid w:val="55890B98"/>
    <w:rsid w:val="559F30F0"/>
    <w:rsid w:val="55A84BFE"/>
    <w:rsid w:val="55B45F63"/>
    <w:rsid w:val="55B90C0A"/>
    <w:rsid w:val="55D63591"/>
    <w:rsid w:val="55ED6C72"/>
    <w:rsid w:val="55F16B24"/>
    <w:rsid w:val="55FD7369"/>
    <w:rsid w:val="560A087F"/>
    <w:rsid w:val="56122C31"/>
    <w:rsid w:val="561974BB"/>
    <w:rsid w:val="56281E78"/>
    <w:rsid w:val="562A4387"/>
    <w:rsid w:val="56334986"/>
    <w:rsid w:val="56394FFE"/>
    <w:rsid w:val="564E2FEA"/>
    <w:rsid w:val="56520376"/>
    <w:rsid w:val="56533581"/>
    <w:rsid w:val="56556A86"/>
    <w:rsid w:val="565A2E32"/>
    <w:rsid w:val="56694C24"/>
    <w:rsid w:val="568858B4"/>
    <w:rsid w:val="56AE4AD0"/>
    <w:rsid w:val="56AE6CD3"/>
    <w:rsid w:val="56CE0807"/>
    <w:rsid w:val="56CF1ADE"/>
    <w:rsid w:val="56FA2C95"/>
    <w:rsid w:val="57075BF9"/>
    <w:rsid w:val="57082B77"/>
    <w:rsid w:val="570E2351"/>
    <w:rsid w:val="57172D90"/>
    <w:rsid w:val="57260DE0"/>
    <w:rsid w:val="57313A9F"/>
    <w:rsid w:val="57386662"/>
    <w:rsid w:val="574F03D9"/>
    <w:rsid w:val="57500B92"/>
    <w:rsid w:val="576946C4"/>
    <w:rsid w:val="576F699C"/>
    <w:rsid w:val="57850AAF"/>
    <w:rsid w:val="57900DA2"/>
    <w:rsid w:val="57923690"/>
    <w:rsid w:val="57960F05"/>
    <w:rsid w:val="57A21B1B"/>
    <w:rsid w:val="57A60B39"/>
    <w:rsid w:val="57AD6121"/>
    <w:rsid w:val="57BC62D0"/>
    <w:rsid w:val="57C6377C"/>
    <w:rsid w:val="57DB7459"/>
    <w:rsid w:val="58050D13"/>
    <w:rsid w:val="58185E8D"/>
    <w:rsid w:val="582020A9"/>
    <w:rsid w:val="58271974"/>
    <w:rsid w:val="58290DC5"/>
    <w:rsid w:val="583170EE"/>
    <w:rsid w:val="58366D88"/>
    <w:rsid w:val="584279F0"/>
    <w:rsid w:val="58527FC8"/>
    <w:rsid w:val="58647470"/>
    <w:rsid w:val="58723020"/>
    <w:rsid w:val="587303D7"/>
    <w:rsid w:val="58806C98"/>
    <w:rsid w:val="58961943"/>
    <w:rsid w:val="58A75590"/>
    <w:rsid w:val="58B45DE2"/>
    <w:rsid w:val="58C67691"/>
    <w:rsid w:val="58CB0566"/>
    <w:rsid w:val="58D411FE"/>
    <w:rsid w:val="58E20B05"/>
    <w:rsid w:val="58E40C92"/>
    <w:rsid w:val="590162FC"/>
    <w:rsid w:val="590B0BE2"/>
    <w:rsid w:val="590E217B"/>
    <w:rsid w:val="59121580"/>
    <w:rsid w:val="592B0EE9"/>
    <w:rsid w:val="593E4EAE"/>
    <w:rsid w:val="59695CB6"/>
    <w:rsid w:val="598C3104"/>
    <w:rsid w:val="59A07F5E"/>
    <w:rsid w:val="59A41CA5"/>
    <w:rsid w:val="59A801F0"/>
    <w:rsid w:val="59B2180F"/>
    <w:rsid w:val="59B24FB1"/>
    <w:rsid w:val="59CC6F66"/>
    <w:rsid w:val="59E22D24"/>
    <w:rsid w:val="59F82FAA"/>
    <w:rsid w:val="59FA6DBB"/>
    <w:rsid w:val="5A18706C"/>
    <w:rsid w:val="5A2956B2"/>
    <w:rsid w:val="5A2F034B"/>
    <w:rsid w:val="5A334CA4"/>
    <w:rsid w:val="5A376642"/>
    <w:rsid w:val="5A3E0892"/>
    <w:rsid w:val="5A4C460E"/>
    <w:rsid w:val="5A4D497B"/>
    <w:rsid w:val="5A874A8D"/>
    <w:rsid w:val="5A8B33BB"/>
    <w:rsid w:val="5A97386D"/>
    <w:rsid w:val="5A9A2F72"/>
    <w:rsid w:val="5AA73B01"/>
    <w:rsid w:val="5AB250D9"/>
    <w:rsid w:val="5AB44254"/>
    <w:rsid w:val="5AB47148"/>
    <w:rsid w:val="5AB95DB4"/>
    <w:rsid w:val="5ABB4FF8"/>
    <w:rsid w:val="5ABC62D9"/>
    <w:rsid w:val="5AF12B77"/>
    <w:rsid w:val="5B2A3919"/>
    <w:rsid w:val="5B351435"/>
    <w:rsid w:val="5B691FD4"/>
    <w:rsid w:val="5B926846"/>
    <w:rsid w:val="5BA57414"/>
    <w:rsid w:val="5BB8544A"/>
    <w:rsid w:val="5C1C73FB"/>
    <w:rsid w:val="5C2A2C70"/>
    <w:rsid w:val="5C4952DC"/>
    <w:rsid w:val="5C51394C"/>
    <w:rsid w:val="5C72662A"/>
    <w:rsid w:val="5C960E86"/>
    <w:rsid w:val="5C9A5AE0"/>
    <w:rsid w:val="5C9B6BC5"/>
    <w:rsid w:val="5CC15D47"/>
    <w:rsid w:val="5CCE3449"/>
    <w:rsid w:val="5CDC04E1"/>
    <w:rsid w:val="5CDE7166"/>
    <w:rsid w:val="5CE23177"/>
    <w:rsid w:val="5CE86B44"/>
    <w:rsid w:val="5CEE15FE"/>
    <w:rsid w:val="5CFD25D5"/>
    <w:rsid w:val="5D033BE7"/>
    <w:rsid w:val="5D2B4537"/>
    <w:rsid w:val="5D3C2E5D"/>
    <w:rsid w:val="5D5C0BDE"/>
    <w:rsid w:val="5D604509"/>
    <w:rsid w:val="5D703211"/>
    <w:rsid w:val="5D9E1D99"/>
    <w:rsid w:val="5DAD470E"/>
    <w:rsid w:val="5DB524FD"/>
    <w:rsid w:val="5DC85EB7"/>
    <w:rsid w:val="5DD33B7E"/>
    <w:rsid w:val="5DE03167"/>
    <w:rsid w:val="5DFC0FC1"/>
    <w:rsid w:val="5E135FCC"/>
    <w:rsid w:val="5E1A3FFA"/>
    <w:rsid w:val="5E47579C"/>
    <w:rsid w:val="5E4D0A45"/>
    <w:rsid w:val="5E50105F"/>
    <w:rsid w:val="5E6939C8"/>
    <w:rsid w:val="5E870EC2"/>
    <w:rsid w:val="5E8D672F"/>
    <w:rsid w:val="5E9138DC"/>
    <w:rsid w:val="5EB56C59"/>
    <w:rsid w:val="5EC461DB"/>
    <w:rsid w:val="5EC64E6D"/>
    <w:rsid w:val="5EE44A5F"/>
    <w:rsid w:val="5EEB1665"/>
    <w:rsid w:val="5F0A4389"/>
    <w:rsid w:val="5F2A0360"/>
    <w:rsid w:val="5F2F3D1B"/>
    <w:rsid w:val="5F3D3A6B"/>
    <w:rsid w:val="5F5E1D1B"/>
    <w:rsid w:val="5F635AAB"/>
    <w:rsid w:val="5F702B80"/>
    <w:rsid w:val="5F973A30"/>
    <w:rsid w:val="5FB223E4"/>
    <w:rsid w:val="5FB34363"/>
    <w:rsid w:val="5FC446C9"/>
    <w:rsid w:val="5FC61843"/>
    <w:rsid w:val="5FCB0E07"/>
    <w:rsid w:val="5FD62FEA"/>
    <w:rsid w:val="5FDD424F"/>
    <w:rsid w:val="5FDF6B44"/>
    <w:rsid w:val="5FF13B6D"/>
    <w:rsid w:val="5FF31011"/>
    <w:rsid w:val="5FF9505A"/>
    <w:rsid w:val="5FFE0263"/>
    <w:rsid w:val="600F52EB"/>
    <w:rsid w:val="60152B0C"/>
    <w:rsid w:val="603424E2"/>
    <w:rsid w:val="608655C1"/>
    <w:rsid w:val="609465DD"/>
    <w:rsid w:val="60A10BD7"/>
    <w:rsid w:val="60B915E0"/>
    <w:rsid w:val="61071A00"/>
    <w:rsid w:val="611F1BFA"/>
    <w:rsid w:val="6127216E"/>
    <w:rsid w:val="612826A2"/>
    <w:rsid w:val="61302D6A"/>
    <w:rsid w:val="614B240F"/>
    <w:rsid w:val="61767A26"/>
    <w:rsid w:val="617732D0"/>
    <w:rsid w:val="61A07A90"/>
    <w:rsid w:val="61A41EF3"/>
    <w:rsid w:val="61CF1393"/>
    <w:rsid w:val="61D601BD"/>
    <w:rsid w:val="61E80983"/>
    <w:rsid w:val="61EF14EF"/>
    <w:rsid w:val="62132500"/>
    <w:rsid w:val="621A1EA2"/>
    <w:rsid w:val="62567799"/>
    <w:rsid w:val="625A2D1C"/>
    <w:rsid w:val="627574D8"/>
    <w:rsid w:val="62812FAA"/>
    <w:rsid w:val="62894684"/>
    <w:rsid w:val="62903706"/>
    <w:rsid w:val="629358D4"/>
    <w:rsid w:val="629A5B3F"/>
    <w:rsid w:val="62AC1B8A"/>
    <w:rsid w:val="62BC587D"/>
    <w:rsid w:val="62C03E1E"/>
    <w:rsid w:val="62C13140"/>
    <w:rsid w:val="62C570C0"/>
    <w:rsid w:val="62D17FA8"/>
    <w:rsid w:val="62DD2EA7"/>
    <w:rsid w:val="62EB02B5"/>
    <w:rsid w:val="62EB04C8"/>
    <w:rsid w:val="62F51941"/>
    <w:rsid w:val="62F77154"/>
    <w:rsid w:val="630F0EC2"/>
    <w:rsid w:val="6318550E"/>
    <w:rsid w:val="63353BCF"/>
    <w:rsid w:val="634F383A"/>
    <w:rsid w:val="63500CFE"/>
    <w:rsid w:val="635E10C5"/>
    <w:rsid w:val="637D1ECB"/>
    <w:rsid w:val="63BA052F"/>
    <w:rsid w:val="63BE0AD3"/>
    <w:rsid w:val="63F221BC"/>
    <w:rsid w:val="63F6567C"/>
    <w:rsid w:val="64032C6B"/>
    <w:rsid w:val="64087A7B"/>
    <w:rsid w:val="640B57D3"/>
    <w:rsid w:val="641A5836"/>
    <w:rsid w:val="6432180C"/>
    <w:rsid w:val="64421735"/>
    <w:rsid w:val="64452D39"/>
    <w:rsid w:val="64585427"/>
    <w:rsid w:val="645B2788"/>
    <w:rsid w:val="646D21E8"/>
    <w:rsid w:val="646F5CE5"/>
    <w:rsid w:val="6477726A"/>
    <w:rsid w:val="64783308"/>
    <w:rsid w:val="648D6455"/>
    <w:rsid w:val="64B72E0C"/>
    <w:rsid w:val="64B86B2D"/>
    <w:rsid w:val="64CB244A"/>
    <w:rsid w:val="64E31C9A"/>
    <w:rsid w:val="64EA4C89"/>
    <w:rsid w:val="64F32289"/>
    <w:rsid w:val="64F4303F"/>
    <w:rsid w:val="64FE0A7A"/>
    <w:rsid w:val="65036497"/>
    <w:rsid w:val="650B74EE"/>
    <w:rsid w:val="65150451"/>
    <w:rsid w:val="651C6FE9"/>
    <w:rsid w:val="651D3FC4"/>
    <w:rsid w:val="652D26C7"/>
    <w:rsid w:val="655059E1"/>
    <w:rsid w:val="65571136"/>
    <w:rsid w:val="65585F78"/>
    <w:rsid w:val="65604F99"/>
    <w:rsid w:val="65682F42"/>
    <w:rsid w:val="6584208A"/>
    <w:rsid w:val="65895139"/>
    <w:rsid w:val="65947981"/>
    <w:rsid w:val="659A1FB5"/>
    <w:rsid w:val="659A4539"/>
    <w:rsid w:val="65A652CF"/>
    <w:rsid w:val="65C32871"/>
    <w:rsid w:val="65C328EA"/>
    <w:rsid w:val="65D51FB2"/>
    <w:rsid w:val="65DA4CF7"/>
    <w:rsid w:val="65DF0CA7"/>
    <w:rsid w:val="65E24BB0"/>
    <w:rsid w:val="66014227"/>
    <w:rsid w:val="660C7630"/>
    <w:rsid w:val="660E3E13"/>
    <w:rsid w:val="661C5600"/>
    <w:rsid w:val="66206B4D"/>
    <w:rsid w:val="66405DB3"/>
    <w:rsid w:val="66530A5C"/>
    <w:rsid w:val="665836A7"/>
    <w:rsid w:val="667E108E"/>
    <w:rsid w:val="667F356D"/>
    <w:rsid w:val="66B34699"/>
    <w:rsid w:val="66C34609"/>
    <w:rsid w:val="66D043F8"/>
    <w:rsid w:val="670B6EA6"/>
    <w:rsid w:val="67187ECE"/>
    <w:rsid w:val="6727739D"/>
    <w:rsid w:val="67320624"/>
    <w:rsid w:val="673A09AE"/>
    <w:rsid w:val="673E76D0"/>
    <w:rsid w:val="67504513"/>
    <w:rsid w:val="67724BEA"/>
    <w:rsid w:val="677C68AC"/>
    <w:rsid w:val="67A16DDF"/>
    <w:rsid w:val="67AD71F1"/>
    <w:rsid w:val="67B558B7"/>
    <w:rsid w:val="67B96881"/>
    <w:rsid w:val="67D16185"/>
    <w:rsid w:val="67ED5C91"/>
    <w:rsid w:val="680A12F6"/>
    <w:rsid w:val="682928D9"/>
    <w:rsid w:val="683318FD"/>
    <w:rsid w:val="6845768F"/>
    <w:rsid w:val="68694A1F"/>
    <w:rsid w:val="68727727"/>
    <w:rsid w:val="68786E71"/>
    <w:rsid w:val="688B4389"/>
    <w:rsid w:val="68A0671B"/>
    <w:rsid w:val="68B93CC3"/>
    <w:rsid w:val="68B960C7"/>
    <w:rsid w:val="68E11F64"/>
    <w:rsid w:val="68EF0D46"/>
    <w:rsid w:val="68FE23F7"/>
    <w:rsid w:val="692C1C8F"/>
    <w:rsid w:val="69320D51"/>
    <w:rsid w:val="693370F8"/>
    <w:rsid w:val="69384D87"/>
    <w:rsid w:val="69452AD1"/>
    <w:rsid w:val="694B590C"/>
    <w:rsid w:val="694F16CF"/>
    <w:rsid w:val="696848C8"/>
    <w:rsid w:val="696B2CBA"/>
    <w:rsid w:val="696F7F2A"/>
    <w:rsid w:val="69817BF8"/>
    <w:rsid w:val="698B577F"/>
    <w:rsid w:val="69972F92"/>
    <w:rsid w:val="69981827"/>
    <w:rsid w:val="69A23D5A"/>
    <w:rsid w:val="69A60607"/>
    <w:rsid w:val="69B87748"/>
    <w:rsid w:val="69BA0826"/>
    <w:rsid w:val="6A426C8D"/>
    <w:rsid w:val="6A44524F"/>
    <w:rsid w:val="6A68006A"/>
    <w:rsid w:val="6A6A371E"/>
    <w:rsid w:val="6A6E1944"/>
    <w:rsid w:val="6A8F1412"/>
    <w:rsid w:val="6A903551"/>
    <w:rsid w:val="6A944812"/>
    <w:rsid w:val="6A9F203B"/>
    <w:rsid w:val="6ABE50E7"/>
    <w:rsid w:val="6AD02208"/>
    <w:rsid w:val="6ADE3F6B"/>
    <w:rsid w:val="6AF32E2F"/>
    <w:rsid w:val="6AFF3CC9"/>
    <w:rsid w:val="6B0B793A"/>
    <w:rsid w:val="6B132234"/>
    <w:rsid w:val="6B4610E1"/>
    <w:rsid w:val="6B7B079E"/>
    <w:rsid w:val="6B7E1823"/>
    <w:rsid w:val="6B81330D"/>
    <w:rsid w:val="6BA12017"/>
    <w:rsid w:val="6BA24C08"/>
    <w:rsid w:val="6BA55399"/>
    <w:rsid w:val="6BBC293F"/>
    <w:rsid w:val="6BC97482"/>
    <w:rsid w:val="6BDA2FAE"/>
    <w:rsid w:val="6BDE7AE6"/>
    <w:rsid w:val="6BEF1E2F"/>
    <w:rsid w:val="6BFC50BC"/>
    <w:rsid w:val="6C11344C"/>
    <w:rsid w:val="6C134FBF"/>
    <w:rsid w:val="6C380E3A"/>
    <w:rsid w:val="6C4B4758"/>
    <w:rsid w:val="6C4F06C1"/>
    <w:rsid w:val="6C576F2D"/>
    <w:rsid w:val="6C680298"/>
    <w:rsid w:val="6C6D5838"/>
    <w:rsid w:val="6C7B0CBE"/>
    <w:rsid w:val="6C8A5926"/>
    <w:rsid w:val="6C952553"/>
    <w:rsid w:val="6C9F051B"/>
    <w:rsid w:val="6CC22FFA"/>
    <w:rsid w:val="6CC74771"/>
    <w:rsid w:val="6CF879DA"/>
    <w:rsid w:val="6CFD0614"/>
    <w:rsid w:val="6CFE2E1D"/>
    <w:rsid w:val="6D036C13"/>
    <w:rsid w:val="6D207157"/>
    <w:rsid w:val="6D396CA7"/>
    <w:rsid w:val="6D3E5422"/>
    <w:rsid w:val="6D55344D"/>
    <w:rsid w:val="6D5F6682"/>
    <w:rsid w:val="6D7B66EA"/>
    <w:rsid w:val="6D7C5122"/>
    <w:rsid w:val="6DB51690"/>
    <w:rsid w:val="6DB876AF"/>
    <w:rsid w:val="6DCA1943"/>
    <w:rsid w:val="6DCB4E90"/>
    <w:rsid w:val="6DD416E4"/>
    <w:rsid w:val="6DDE5E7F"/>
    <w:rsid w:val="6DE555D6"/>
    <w:rsid w:val="6DED0138"/>
    <w:rsid w:val="6DF74044"/>
    <w:rsid w:val="6E005A16"/>
    <w:rsid w:val="6E090523"/>
    <w:rsid w:val="6E16168F"/>
    <w:rsid w:val="6E205FD6"/>
    <w:rsid w:val="6E2F26AE"/>
    <w:rsid w:val="6E471F93"/>
    <w:rsid w:val="6E5E7234"/>
    <w:rsid w:val="6E667928"/>
    <w:rsid w:val="6E6F2871"/>
    <w:rsid w:val="6E7921E8"/>
    <w:rsid w:val="6E863EA4"/>
    <w:rsid w:val="6E871171"/>
    <w:rsid w:val="6E8941F3"/>
    <w:rsid w:val="6E8E1B2B"/>
    <w:rsid w:val="6E9F5E9B"/>
    <w:rsid w:val="6EAA17BE"/>
    <w:rsid w:val="6EB8323D"/>
    <w:rsid w:val="6EE63F17"/>
    <w:rsid w:val="6EEB3AF6"/>
    <w:rsid w:val="6EEE4ED9"/>
    <w:rsid w:val="6F222A98"/>
    <w:rsid w:val="6F523436"/>
    <w:rsid w:val="6F7166F6"/>
    <w:rsid w:val="6F933322"/>
    <w:rsid w:val="6F940239"/>
    <w:rsid w:val="6FA27D4C"/>
    <w:rsid w:val="6FB241F8"/>
    <w:rsid w:val="6FCC5990"/>
    <w:rsid w:val="6FD14EA5"/>
    <w:rsid w:val="6FD31471"/>
    <w:rsid w:val="6FDB5D5E"/>
    <w:rsid w:val="6FDC4FC3"/>
    <w:rsid w:val="6FFB7662"/>
    <w:rsid w:val="70094ED2"/>
    <w:rsid w:val="70192438"/>
    <w:rsid w:val="703D260A"/>
    <w:rsid w:val="70570FF5"/>
    <w:rsid w:val="705A7660"/>
    <w:rsid w:val="7060463A"/>
    <w:rsid w:val="708417D4"/>
    <w:rsid w:val="70894A34"/>
    <w:rsid w:val="709C1327"/>
    <w:rsid w:val="70AF0B0E"/>
    <w:rsid w:val="70CA782D"/>
    <w:rsid w:val="70EE23B6"/>
    <w:rsid w:val="70FF69B3"/>
    <w:rsid w:val="71007D30"/>
    <w:rsid w:val="710A3193"/>
    <w:rsid w:val="711102D2"/>
    <w:rsid w:val="713245A2"/>
    <w:rsid w:val="713C6FC6"/>
    <w:rsid w:val="71444497"/>
    <w:rsid w:val="71535404"/>
    <w:rsid w:val="715541A6"/>
    <w:rsid w:val="71687B5B"/>
    <w:rsid w:val="717B05A6"/>
    <w:rsid w:val="71840E5C"/>
    <w:rsid w:val="7184489C"/>
    <w:rsid w:val="71902AE4"/>
    <w:rsid w:val="71924BD7"/>
    <w:rsid w:val="71A73234"/>
    <w:rsid w:val="71B06E02"/>
    <w:rsid w:val="71BF0765"/>
    <w:rsid w:val="71D71F74"/>
    <w:rsid w:val="71D912D4"/>
    <w:rsid w:val="71DB4038"/>
    <w:rsid w:val="71F20DEA"/>
    <w:rsid w:val="72080E01"/>
    <w:rsid w:val="7229032E"/>
    <w:rsid w:val="723430FA"/>
    <w:rsid w:val="72357A4A"/>
    <w:rsid w:val="725513DB"/>
    <w:rsid w:val="72953F04"/>
    <w:rsid w:val="72AA7EE7"/>
    <w:rsid w:val="72B27CB2"/>
    <w:rsid w:val="72BD5C84"/>
    <w:rsid w:val="72CA1C8E"/>
    <w:rsid w:val="72F62DED"/>
    <w:rsid w:val="730078FC"/>
    <w:rsid w:val="730A3E35"/>
    <w:rsid w:val="731B32C3"/>
    <w:rsid w:val="732A3D34"/>
    <w:rsid w:val="733A5DD6"/>
    <w:rsid w:val="733B309E"/>
    <w:rsid w:val="734934E2"/>
    <w:rsid w:val="73576CED"/>
    <w:rsid w:val="73892A07"/>
    <w:rsid w:val="738C335A"/>
    <w:rsid w:val="73CA5314"/>
    <w:rsid w:val="73D24CA1"/>
    <w:rsid w:val="73DF7FDA"/>
    <w:rsid w:val="740B7090"/>
    <w:rsid w:val="742C2582"/>
    <w:rsid w:val="74493C73"/>
    <w:rsid w:val="74820981"/>
    <w:rsid w:val="74835319"/>
    <w:rsid w:val="74A01E17"/>
    <w:rsid w:val="74A72014"/>
    <w:rsid w:val="74C54F63"/>
    <w:rsid w:val="74C70189"/>
    <w:rsid w:val="74C84547"/>
    <w:rsid w:val="74CE2B0B"/>
    <w:rsid w:val="74F35FA9"/>
    <w:rsid w:val="750A4841"/>
    <w:rsid w:val="751A3921"/>
    <w:rsid w:val="751F6AD9"/>
    <w:rsid w:val="75341056"/>
    <w:rsid w:val="75506001"/>
    <w:rsid w:val="755A2348"/>
    <w:rsid w:val="755D5A0A"/>
    <w:rsid w:val="75694E17"/>
    <w:rsid w:val="756D3B06"/>
    <w:rsid w:val="75724C91"/>
    <w:rsid w:val="75752FAA"/>
    <w:rsid w:val="7587423B"/>
    <w:rsid w:val="75894543"/>
    <w:rsid w:val="758A609D"/>
    <w:rsid w:val="759C3C2D"/>
    <w:rsid w:val="759E1D8F"/>
    <w:rsid w:val="75A35A28"/>
    <w:rsid w:val="75B81F99"/>
    <w:rsid w:val="75C55FD3"/>
    <w:rsid w:val="75DE1737"/>
    <w:rsid w:val="75FA20BE"/>
    <w:rsid w:val="75FF7F78"/>
    <w:rsid w:val="76003BE2"/>
    <w:rsid w:val="7618178E"/>
    <w:rsid w:val="761B584F"/>
    <w:rsid w:val="76240C85"/>
    <w:rsid w:val="76343CA5"/>
    <w:rsid w:val="763D4F16"/>
    <w:rsid w:val="764A3CD3"/>
    <w:rsid w:val="76635A18"/>
    <w:rsid w:val="766E31EC"/>
    <w:rsid w:val="76752F45"/>
    <w:rsid w:val="768704C9"/>
    <w:rsid w:val="768946F7"/>
    <w:rsid w:val="769C0E3E"/>
    <w:rsid w:val="76AF60AC"/>
    <w:rsid w:val="76B145E2"/>
    <w:rsid w:val="76BC4508"/>
    <w:rsid w:val="76DEEA8D"/>
    <w:rsid w:val="76F26DE2"/>
    <w:rsid w:val="770B4DD1"/>
    <w:rsid w:val="771C566F"/>
    <w:rsid w:val="7726192C"/>
    <w:rsid w:val="773076F2"/>
    <w:rsid w:val="7733706B"/>
    <w:rsid w:val="773A0EE5"/>
    <w:rsid w:val="77653B81"/>
    <w:rsid w:val="7769030A"/>
    <w:rsid w:val="77877C60"/>
    <w:rsid w:val="77BA0EA6"/>
    <w:rsid w:val="77C2448A"/>
    <w:rsid w:val="77C556C0"/>
    <w:rsid w:val="77C822DD"/>
    <w:rsid w:val="77E46BAB"/>
    <w:rsid w:val="781836F9"/>
    <w:rsid w:val="782563B0"/>
    <w:rsid w:val="78322C70"/>
    <w:rsid w:val="78374B57"/>
    <w:rsid w:val="783C5D84"/>
    <w:rsid w:val="784126A6"/>
    <w:rsid w:val="784A3CD3"/>
    <w:rsid w:val="78615480"/>
    <w:rsid w:val="78812164"/>
    <w:rsid w:val="788C2661"/>
    <w:rsid w:val="78A703AF"/>
    <w:rsid w:val="78AC1E9F"/>
    <w:rsid w:val="78B76EA7"/>
    <w:rsid w:val="78FC3F71"/>
    <w:rsid w:val="79063F3E"/>
    <w:rsid w:val="790A172B"/>
    <w:rsid w:val="792E189B"/>
    <w:rsid w:val="79493484"/>
    <w:rsid w:val="794D2E44"/>
    <w:rsid w:val="795D308D"/>
    <w:rsid w:val="79673400"/>
    <w:rsid w:val="79676DE2"/>
    <w:rsid w:val="796850A8"/>
    <w:rsid w:val="7977219F"/>
    <w:rsid w:val="7978273D"/>
    <w:rsid w:val="79AC79FB"/>
    <w:rsid w:val="79AD1192"/>
    <w:rsid w:val="79D264B9"/>
    <w:rsid w:val="79DA518F"/>
    <w:rsid w:val="79DB1DF5"/>
    <w:rsid w:val="79FE700A"/>
    <w:rsid w:val="7A02599B"/>
    <w:rsid w:val="7A1547FF"/>
    <w:rsid w:val="7A481EBA"/>
    <w:rsid w:val="7A5507C4"/>
    <w:rsid w:val="7A643CD7"/>
    <w:rsid w:val="7A652B57"/>
    <w:rsid w:val="7A8B1C79"/>
    <w:rsid w:val="7A9F1116"/>
    <w:rsid w:val="7AB42307"/>
    <w:rsid w:val="7ACD1F36"/>
    <w:rsid w:val="7AD62AFA"/>
    <w:rsid w:val="7AFA5C24"/>
    <w:rsid w:val="7B097BDE"/>
    <w:rsid w:val="7B123EC9"/>
    <w:rsid w:val="7B2037E2"/>
    <w:rsid w:val="7B376C34"/>
    <w:rsid w:val="7B3A0A78"/>
    <w:rsid w:val="7B484A08"/>
    <w:rsid w:val="7B614722"/>
    <w:rsid w:val="7B675BAF"/>
    <w:rsid w:val="7B6C2665"/>
    <w:rsid w:val="7B935302"/>
    <w:rsid w:val="7BA65D51"/>
    <w:rsid w:val="7BBF53C8"/>
    <w:rsid w:val="7BC37918"/>
    <w:rsid w:val="7BC44B32"/>
    <w:rsid w:val="7BC90C1C"/>
    <w:rsid w:val="7BD16478"/>
    <w:rsid w:val="7BDD0E17"/>
    <w:rsid w:val="7BDE611C"/>
    <w:rsid w:val="7BE160A9"/>
    <w:rsid w:val="7BE85E4B"/>
    <w:rsid w:val="7BEDF4DB"/>
    <w:rsid w:val="7BF7CCCB"/>
    <w:rsid w:val="7C021D23"/>
    <w:rsid w:val="7C0750B2"/>
    <w:rsid w:val="7C0C4CCC"/>
    <w:rsid w:val="7C15390B"/>
    <w:rsid w:val="7C1B3232"/>
    <w:rsid w:val="7C4D0079"/>
    <w:rsid w:val="7C4F2764"/>
    <w:rsid w:val="7C602641"/>
    <w:rsid w:val="7C772D42"/>
    <w:rsid w:val="7C80182D"/>
    <w:rsid w:val="7C9712F4"/>
    <w:rsid w:val="7CA73DB1"/>
    <w:rsid w:val="7CB138FF"/>
    <w:rsid w:val="7CB336CB"/>
    <w:rsid w:val="7CD347C3"/>
    <w:rsid w:val="7CDC699E"/>
    <w:rsid w:val="7D1563E6"/>
    <w:rsid w:val="7D3E0B18"/>
    <w:rsid w:val="7D3E70D3"/>
    <w:rsid w:val="7D4F6073"/>
    <w:rsid w:val="7D5C3EB4"/>
    <w:rsid w:val="7D5F0804"/>
    <w:rsid w:val="7D663E6F"/>
    <w:rsid w:val="7D71615B"/>
    <w:rsid w:val="7D912F29"/>
    <w:rsid w:val="7DA54F3A"/>
    <w:rsid w:val="7DB14677"/>
    <w:rsid w:val="7DBD0F25"/>
    <w:rsid w:val="7DC5730E"/>
    <w:rsid w:val="7DCA57F6"/>
    <w:rsid w:val="7DD64891"/>
    <w:rsid w:val="7DD73BA6"/>
    <w:rsid w:val="7DD74E45"/>
    <w:rsid w:val="7DFC1D56"/>
    <w:rsid w:val="7E1C6248"/>
    <w:rsid w:val="7E2B5B66"/>
    <w:rsid w:val="7E3D6F9A"/>
    <w:rsid w:val="7E4D14B0"/>
    <w:rsid w:val="7E5514BB"/>
    <w:rsid w:val="7E5E1B1E"/>
    <w:rsid w:val="7E704832"/>
    <w:rsid w:val="7E761F9C"/>
    <w:rsid w:val="7E800C15"/>
    <w:rsid w:val="7E853073"/>
    <w:rsid w:val="7E892F73"/>
    <w:rsid w:val="7E8D63FC"/>
    <w:rsid w:val="7E8F2119"/>
    <w:rsid w:val="7E953617"/>
    <w:rsid w:val="7ED634A8"/>
    <w:rsid w:val="7EE439ED"/>
    <w:rsid w:val="7EF1686D"/>
    <w:rsid w:val="7EFC1C0D"/>
    <w:rsid w:val="7F0A4EC1"/>
    <w:rsid w:val="7F171A2C"/>
    <w:rsid w:val="7F2A7F3B"/>
    <w:rsid w:val="7F3072BB"/>
    <w:rsid w:val="7F3E07EB"/>
    <w:rsid w:val="7F593177"/>
    <w:rsid w:val="7F5CCBC0"/>
    <w:rsid w:val="7F96147F"/>
    <w:rsid w:val="7F9711EC"/>
    <w:rsid w:val="7F9814CA"/>
    <w:rsid w:val="7FB004FC"/>
    <w:rsid w:val="7FB53AF5"/>
    <w:rsid w:val="7FDD0187"/>
    <w:rsid w:val="7FE173B3"/>
    <w:rsid w:val="9ECA60FD"/>
    <w:rsid w:val="D0ABEC99"/>
    <w:rsid w:val="DB5F8C82"/>
    <w:rsid w:val="EF77AE8C"/>
    <w:rsid w:val="F7FD3619"/>
    <w:rsid w:val="F8ED5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0"/>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1"/>
    <w:autoRedefine/>
    <w:qFormat/>
    <w:uiPriority w:val="0"/>
    <w:pPr>
      <w:keepNext/>
      <w:keepLines/>
      <w:spacing w:before="260" w:after="260" w:line="412" w:lineRule="auto"/>
      <w:outlineLvl w:val="1"/>
    </w:pPr>
    <w:rPr>
      <w:rFonts w:ascii="Arial" w:hAnsi="Arial" w:eastAsia="??"/>
      <w:b/>
      <w:sz w:val="32"/>
      <w:szCs w:val="28"/>
    </w:rPr>
  </w:style>
  <w:style w:type="paragraph" w:styleId="4">
    <w:name w:val="heading 3"/>
    <w:basedOn w:val="1"/>
    <w:next w:val="1"/>
    <w:autoRedefine/>
    <w:qFormat/>
    <w:uiPriority w:val="0"/>
    <w:pPr>
      <w:keepNext/>
      <w:keepLines/>
      <w:autoSpaceDE w:val="0"/>
      <w:autoSpaceDN w:val="0"/>
      <w:adjustRightInd w:val="0"/>
      <w:spacing w:before="360" w:after="120"/>
      <w:jc w:val="left"/>
      <w:outlineLvl w:val="2"/>
    </w:pPr>
    <w:rPr>
      <w:rFonts w:ascii="宋体" w:hAnsi="Tahoma"/>
      <w:b/>
      <w:kern w:val="0"/>
      <w:sz w:val="24"/>
      <w:u w:val="single"/>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5">
    <w:name w:val="List Number"/>
    <w:basedOn w:val="1"/>
    <w:autoRedefine/>
    <w:qFormat/>
    <w:uiPriority w:val="0"/>
    <w:pPr>
      <w:widowControl/>
      <w:tabs>
        <w:tab w:val="left" w:pos="360"/>
        <w:tab w:val="left" w:pos="454"/>
        <w:tab w:val="left" w:pos="720"/>
      </w:tabs>
      <w:spacing w:afterLines="50"/>
      <w:ind w:left="454" w:hanging="284"/>
      <w:jc w:val="left"/>
    </w:pPr>
    <w:rPr>
      <w:kern w:val="0"/>
      <w:sz w:val="24"/>
    </w:rPr>
  </w:style>
  <w:style w:type="paragraph" w:styleId="6">
    <w:name w:val="Normal Indent"/>
    <w:basedOn w:val="1"/>
    <w:next w:val="1"/>
    <w:autoRedefine/>
    <w:qFormat/>
    <w:uiPriority w:val="0"/>
    <w:pPr>
      <w:spacing w:line="300" w:lineRule="auto"/>
      <w:ind w:firstLine="420"/>
    </w:pPr>
  </w:style>
  <w:style w:type="paragraph" w:styleId="7">
    <w:name w:val="Document Map"/>
    <w:basedOn w:val="1"/>
    <w:link w:val="98"/>
    <w:autoRedefine/>
    <w:qFormat/>
    <w:uiPriority w:val="0"/>
    <w:rPr>
      <w:rFonts w:ascii="宋体"/>
      <w:sz w:val="18"/>
      <w:szCs w:val="18"/>
    </w:rPr>
  </w:style>
  <w:style w:type="paragraph" w:styleId="8">
    <w:name w:val="annotation text"/>
    <w:basedOn w:val="1"/>
    <w:link w:val="42"/>
    <w:autoRedefine/>
    <w:qFormat/>
    <w:uiPriority w:val="0"/>
    <w:pPr>
      <w:jc w:val="left"/>
    </w:pPr>
    <w:rPr>
      <w:szCs w:val="24"/>
    </w:rPr>
  </w:style>
  <w:style w:type="paragraph" w:styleId="9">
    <w:name w:val="Body Text"/>
    <w:basedOn w:val="1"/>
    <w:next w:val="10"/>
    <w:link w:val="34"/>
    <w:autoRedefine/>
    <w:qFormat/>
    <w:uiPriority w:val="0"/>
    <w:pPr>
      <w:spacing w:after="120"/>
    </w:pPr>
    <w:rPr>
      <w:rFonts w:eastAsia="??"/>
      <w:sz w:val="28"/>
      <w:szCs w:val="28"/>
    </w:rPr>
  </w:style>
  <w:style w:type="paragraph" w:styleId="10">
    <w:name w:val="Body Text First Indent"/>
    <w:basedOn w:val="9"/>
    <w:next w:val="1"/>
    <w:autoRedefine/>
    <w:qFormat/>
    <w:uiPriority w:val="0"/>
    <w:pPr>
      <w:ind w:firstLine="420" w:firstLineChars="100"/>
    </w:pPr>
    <w:rPr>
      <w:szCs w:val="24"/>
    </w:rPr>
  </w:style>
  <w:style w:type="paragraph" w:styleId="11">
    <w:name w:val="Body Text Indent"/>
    <w:basedOn w:val="1"/>
    <w:next w:val="1"/>
    <w:link w:val="38"/>
    <w:autoRedefine/>
    <w:qFormat/>
    <w:uiPriority w:val="0"/>
    <w:pPr>
      <w:spacing w:after="120"/>
      <w:ind w:left="420" w:leftChars="200"/>
    </w:pPr>
  </w:style>
  <w:style w:type="paragraph" w:styleId="12">
    <w:name w:val="Block Text"/>
    <w:basedOn w:val="1"/>
    <w:autoRedefine/>
    <w:qFormat/>
    <w:uiPriority w:val="0"/>
    <w:pPr>
      <w:adjustRightInd w:val="0"/>
      <w:spacing w:line="300" w:lineRule="auto"/>
      <w:ind w:left="958" w:right="-120" w:rightChars="-120"/>
      <w:jc w:val="left"/>
    </w:pPr>
    <w:rPr>
      <w:rFonts w:ascii="宋体" w:hAnsi="宋体"/>
      <w:sz w:val="28"/>
    </w:rPr>
  </w:style>
  <w:style w:type="paragraph" w:styleId="13">
    <w:name w:val="Plain Text"/>
    <w:basedOn w:val="1"/>
    <w:next w:val="1"/>
    <w:link w:val="43"/>
    <w:autoRedefine/>
    <w:qFormat/>
    <w:uiPriority w:val="0"/>
    <w:rPr>
      <w:rFonts w:ascii="宋体" w:hAnsi="Courier New" w:eastAsia="仿宋_GB2312"/>
      <w:sz w:val="30"/>
    </w:rPr>
  </w:style>
  <w:style w:type="paragraph" w:styleId="14">
    <w:name w:val="Body Text Indent 2"/>
    <w:basedOn w:val="1"/>
    <w:link w:val="44"/>
    <w:autoRedefine/>
    <w:qFormat/>
    <w:uiPriority w:val="0"/>
    <w:pPr>
      <w:spacing w:line="500" w:lineRule="exact"/>
      <w:ind w:left="105" w:firstLine="465" w:firstLineChars="166"/>
    </w:pPr>
    <w:rPr>
      <w:sz w:val="28"/>
    </w:rPr>
  </w:style>
  <w:style w:type="paragraph" w:styleId="15">
    <w:name w:val="Balloon Text"/>
    <w:basedOn w:val="1"/>
    <w:link w:val="45"/>
    <w:autoRedefine/>
    <w:qFormat/>
    <w:uiPriority w:val="0"/>
    <w:rPr>
      <w:sz w:val="18"/>
      <w:szCs w:val="18"/>
    </w:rPr>
  </w:style>
  <w:style w:type="paragraph" w:styleId="16">
    <w:name w:val="footer"/>
    <w:basedOn w:val="1"/>
    <w:next w:val="17"/>
    <w:link w:val="46"/>
    <w:autoRedefine/>
    <w:qFormat/>
    <w:uiPriority w:val="99"/>
    <w:pPr>
      <w:tabs>
        <w:tab w:val="center" w:pos="4153"/>
        <w:tab w:val="right" w:pos="8306"/>
      </w:tabs>
      <w:snapToGrid w:val="0"/>
      <w:jc w:val="left"/>
    </w:pPr>
    <w:rPr>
      <w:sz w:val="18"/>
      <w:szCs w:val="18"/>
    </w:rPr>
  </w:style>
  <w:style w:type="paragraph" w:styleId="17">
    <w:name w:val="toc 2"/>
    <w:basedOn w:val="1"/>
    <w:next w:val="1"/>
    <w:autoRedefine/>
    <w:qFormat/>
    <w:uiPriority w:val="0"/>
    <w:pPr>
      <w:tabs>
        <w:tab w:val="right" w:leader="middleDot" w:pos="8948"/>
      </w:tabs>
      <w:spacing w:before="60" w:after="60"/>
      <w:ind w:left="210"/>
    </w:pPr>
    <w:rPr>
      <w:smallCaps/>
    </w:rPr>
  </w:style>
  <w:style w:type="paragraph" w:styleId="18">
    <w:name w:val="header"/>
    <w:basedOn w:val="1"/>
    <w:link w:val="47"/>
    <w:autoRedefine/>
    <w:qFormat/>
    <w:uiPriority w:val="99"/>
    <w:pPr>
      <w:pBdr>
        <w:bottom w:val="single" w:color="auto" w:sz="6" w:space="1"/>
      </w:pBdr>
      <w:tabs>
        <w:tab w:val="center" w:pos="4153"/>
        <w:tab w:val="right" w:pos="8306"/>
      </w:tabs>
      <w:snapToGrid w:val="0"/>
      <w:jc w:val="center"/>
    </w:pPr>
    <w:rPr>
      <w:sz w:val="18"/>
      <w:szCs w:val="18"/>
    </w:rPr>
  </w:style>
  <w:style w:type="paragraph" w:styleId="19">
    <w:name w:val="List"/>
    <w:basedOn w:val="1"/>
    <w:autoRedefine/>
    <w:qFormat/>
    <w:uiPriority w:val="0"/>
    <w:pPr>
      <w:ind w:left="200" w:hanging="200" w:hangingChars="200"/>
    </w:pPr>
  </w:style>
  <w:style w:type="paragraph" w:styleId="20">
    <w:name w:val="toc 6"/>
    <w:basedOn w:val="1"/>
    <w:next w:val="1"/>
    <w:autoRedefine/>
    <w:qFormat/>
    <w:uiPriority w:val="0"/>
    <w:pPr>
      <w:ind w:left="1000" w:leftChars="1000"/>
    </w:pPr>
  </w:style>
  <w:style w:type="paragraph" w:styleId="21">
    <w:name w:val="Body Text Indent 3"/>
    <w:basedOn w:val="1"/>
    <w:link w:val="48"/>
    <w:autoRedefine/>
    <w:qFormat/>
    <w:uiPriority w:val="0"/>
    <w:pPr>
      <w:spacing w:after="120"/>
      <w:ind w:left="420" w:leftChars="200"/>
    </w:pPr>
    <w:rPr>
      <w:sz w:val="16"/>
      <w:szCs w:val="16"/>
    </w:rPr>
  </w:style>
  <w:style w:type="paragraph" w:styleId="22">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23">
    <w:name w:val="Title"/>
    <w:basedOn w:val="1"/>
    <w:link w:val="49"/>
    <w:autoRedefine/>
    <w:qFormat/>
    <w:uiPriority w:val="0"/>
    <w:pPr>
      <w:jc w:val="center"/>
    </w:pPr>
    <w:rPr>
      <w:rFonts w:ascii="Calibri" w:hAnsi="Calibri"/>
      <w:sz w:val="30"/>
      <w:szCs w:val="30"/>
    </w:rPr>
  </w:style>
  <w:style w:type="paragraph" w:styleId="24">
    <w:name w:val="annotation subject"/>
    <w:basedOn w:val="8"/>
    <w:next w:val="8"/>
    <w:link w:val="50"/>
    <w:autoRedefine/>
    <w:qFormat/>
    <w:uiPriority w:val="0"/>
    <w:rPr>
      <w:b/>
      <w:bCs/>
    </w:rPr>
  </w:style>
  <w:style w:type="paragraph" w:styleId="25">
    <w:name w:val="Body Text First Indent 2"/>
    <w:basedOn w:val="11"/>
    <w:next w:val="9"/>
    <w:link w:val="39"/>
    <w:autoRedefine/>
    <w:qFormat/>
    <w:uiPriority w:val="0"/>
    <w:pPr>
      <w:ind w:firstLine="420" w:firstLineChars="200"/>
    </w:pPr>
  </w:style>
  <w:style w:type="table" w:styleId="27">
    <w:name w:val="Table Grid"/>
    <w:basedOn w:val="2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autoRedefine/>
    <w:qFormat/>
    <w:uiPriority w:val="0"/>
    <w:rPr>
      <w:rFonts w:ascii="Times New Roman" w:hAnsi="Times New Roman" w:eastAsia="宋体" w:cs="Times New Roman"/>
      <w:b/>
      <w:bCs/>
    </w:rPr>
  </w:style>
  <w:style w:type="character" w:styleId="30">
    <w:name w:val="page number"/>
    <w:autoRedefine/>
    <w:qFormat/>
    <w:uiPriority w:val="0"/>
    <w:rPr>
      <w:rFonts w:ascii="Times New Roman" w:hAnsi="Times New Roman" w:eastAsia="宋体" w:cs="Times New Roman"/>
    </w:rPr>
  </w:style>
  <w:style w:type="character" w:styleId="31">
    <w:name w:val="Hyperlink"/>
    <w:autoRedefine/>
    <w:qFormat/>
    <w:uiPriority w:val="0"/>
    <w:rPr>
      <w:rFonts w:ascii="Times New Roman" w:hAnsi="Times New Roman" w:eastAsia="宋体" w:cs="Times New Roman"/>
      <w:color w:val="0000FF"/>
      <w:u w:val="single"/>
    </w:rPr>
  </w:style>
  <w:style w:type="character" w:styleId="32">
    <w:name w:val="annotation reference"/>
    <w:autoRedefine/>
    <w:qFormat/>
    <w:uiPriority w:val="0"/>
    <w:rPr>
      <w:rFonts w:ascii="Times New Roman" w:hAnsi="Times New Roman" w:eastAsia="宋体" w:cs="Times New Roman"/>
      <w:sz w:val="21"/>
      <w:szCs w:val="21"/>
    </w:rPr>
  </w:style>
  <w:style w:type="character" w:styleId="33">
    <w:name w:val="HTML Sample"/>
    <w:autoRedefine/>
    <w:qFormat/>
    <w:uiPriority w:val="0"/>
    <w:rPr>
      <w:rFonts w:ascii="Courier New" w:hAnsi="Courier New" w:eastAsia="宋体" w:cs="Times New Roman"/>
    </w:rPr>
  </w:style>
  <w:style w:type="character" w:customStyle="1" w:styleId="34">
    <w:name w:val="正文文本 字符"/>
    <w:link w:val="9"/>
    <w:autoRedefine/>
    <w:qFormat/>
    <w:uiPriority w:val="0"/>
    <w:rPr>
      <w:rFonts w:ascii="Times New Roman" w:hAnsi="Times New Roman" w:eastAsia="??" w:cs="Times New Roman"/>
      <w:kern w:val="2"/>
      <w:sz w:val="28"/>
      <w:szCs w:val="28"/>
      <w:lang w:val="en-US" w:eastAsia="zh-CN" w:bidi="ar-SA"/>
    </w:rPr>
  </w:style>
  <w:style w:type="paragraph" w:customStyle="1" w:styleId="35">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6">
    <w:name w:val="正文1"/>
    <w:basedOn w:val="1"/>
    <w:next w:val="1"/>
    <w:autoRedefine/>
    <w:qFormat/>
    <w:uiPriority w:val="0"/>
    <w:pPr>
      <w:adjustRightInd w:val="0"/>
      <w:spacing w:line="318" w:lineRule="atLeast"/>
      <w:ind w:left="369" w:firstLine="369"/>
      <w:textAlignment w:val="baseline"/>
    </w:pPr>
    <w:rPr>
      <w:rFonts w:ascii="宋体"/>
    </w:rPr>
  </w:style>
  <w:style w:type="paragraph" w:customStyle="1" w:styleId="37">
    <w:name w:val="样式 正文文本缩进 + 首行缩进:  2 字符 行距: 1.5 倍行距"/>
    <w:basedOn w:val="11"/>
    <w:autoRedefine/>
    <w:qFormat/>
    <w:uiPriority w:val="0"/>
    <w:pPr>
      <w:spacing w:before="156" w:line="360" w:lineRule="auto"/>
      <w:ind w:left="0" w:leftChars="0" w:firstLine="482"/>
    </w:pPr>
    <w:rPr>
      <w:rFonts w:eastAsia="仿宋" w:cs="宋体"/>
      <w:b/>
      <w:sz w:val="20"/>
    </w:rPr>
  </w:style>
  <w:style w:type="character" w:customStyle="1" w:styleId="38">
    <w:name w:val="正文文本缩进 字符"/>
    <w:link w:val="11"/>
    <w:autoRedefine/>
    <w:qFormat/>
    <w:uiPriority w:val="0"/>
    <w:rPr>
      <w:rFonts w:ascii="Times New Roman" w:hAnsi="Times New Roman" w:eastAsia="宋体" w:cs="Times New Roman"/>
      <w:kern w:val="2"/>
      <w:sz w:val="21"/>
    </w:rPr>
  </w:style>
  <w:style w:type="character" w:customStyle="1" w:styleId="39">
    <w:name w:val="正文文本首行缩进 2 字符"/>
    <w:link w:val="25"/>
    <w:autoRedefine/>
    <w:qFormat/>
    <w:uiPriority w:val="0"/>
    <w:rPr>
      <w:rFonts w:ascii="Times New Roman" w:hAnsi="Times New Roman" w:eastAsia="宋体" w:cs="Times New Roman"/>
    </w:rPr>
  </w:style>
  <w:style w:type="character" w:customStyle="1" w:styleId="40">
    <w:name w:val="标题 1 字符"/>
    <w:link w:val="2"/>
    <w:autoRedefine/>
    <w:qFormat/>
    <w:uiPriority w:val="0"/>
    <w:rPr>
      <w:rFonts w:ascii="Times New Roman" w:hAnsi="Times New Roman" w:eastAsia="宋体" w:cs="Times New Roman"/>
      <w:b/>
      <w:bCs/>
      <w:kern w:val="44"/>
      <w:sz w:val="44"/>
      <w:szCs w:val="44"/>
    </w:rPr>
  </w:style>
  <w:style w:type="character" w:customStyle="1" w:styleId="41">
    <w:name w:val="标题 2 字符"/>
    <w:link w:val="3"/>
    <w:autoRedefine/>
    <w:qFormat/>
    <w:uiPriority w:val="0"/>
    <w:rPr>
      <w:rFonts w:ascii="Arial" w:hAnsi="Arial" w:eastAsia="??" w:cs="Times New Roman"/>
      <w:b/>
      <w:kern w:val="2"/>
      <w:sz w:val="32"/>
      <w:szCs w:val="28"/>
      <w:lang w:val="en-US" w:eastAsia="zh-CN" w:bidi="ar-SA"/>
    </w:rPr>
  </w:style>
  <w:style w:type="character" w:customStyle="1" w:styleId="42">
    <w:name w:val="批注文字 字符"/>
    <w:link w:val="8"/>
    <w:autoRedefine/>
    <w:qFormat/>
    <w:uiPriority w:val="0"/>
    <w:rPr>
      <w:rFonts w:ascii="Times New Roman" w:hAnsi="Times New Roman" w:eastAsia="宋体" w:cs="Times New Roman"/>
      <w:kern w:val="2"/>
      <w:sz w:val="21"/>
      <w:szCs w:val="24"/>
    </w:rPr>
  </w:style>
  <w:style w:type="character" w:customStyle="1" w:styleId="43">
    <w:name w:val="纯文本 字符"/>
    <w:link w:val="13"/>
    <w:autoRedefine/>
    <w:qFormat/>
    <w:uiPriority w:val="0"/>
    <w:rPr>
      <w:rFonts w:ascii="宋体" w:hAnsi="Courier New" w:eastAsia="仿宋_GB2312" w:cs="Times New Roman"/>
      <w:kern w:val="2"/>
      <w:sz w:val="30"/>
      <w:lang w:val="en-US" w:eastAsia="zh-CN" w:bidi="ar-SA"/>
    </w:rPr>
  </w:style>
  <w:style w:type="character" w:customStyle="1" w:styleId="44">
    <w:name w:val="正文文本缩进 2 字符"/>
    <w:link w:val="14"/>
    <w:autoRedefine/>
    <w:qFormat/>
    <w:uiPriority w:val="0"/>
    <w:rPr>
      <w:rFonts w:ascii="Times New Roman" w:hAnsi="Times New Roman" w:eastAsia="宋体" w:cs="Times New Roman"/>
      <w:kern w:val="2"/>
      <w:sz w:val="28"/>
    </w:rPr>
  </w:style>
  <w:style w:type="character" w:customStyle="1" w:styleId="45">
    <w:name w:val="批注框文本 字符"/>
    <w:link w:val="15"/>
    <w:autoRedefine/>
    <w:qFormat/>
    <w:uiPriority w:val="0"/>
    <w:rPr>
      <w:rFonts w:ascii="Times New Roman" w:hAnsi="Times New Roman" w:eastAsia="宋体" w:cs="Times New Roman"/>
      <w:kern w:val="2"/>
      <w:sz w:val="18"/>
      <w:szCs w:val="18"/>
    </w:rPr>
  </w:style>
  <w:style w:type="character" w:customStyle="1" w:styleId="46">
    <w:name w:val="页脚 字符"/>
    <w:link w:val="16"/>
    <w:autoRedefine/>
    <w:qFormat/>
    <w:uiPriority w:val="99"/>
    <w:rPr>
      <w:rFonts w:ascii="Times New Roman" w:hAnsi="Times New Roman" w:eastAsia="宋体" w:cs="Times New Roman"/>
      <w:kern w:val="2"/>
      <w:sz w:val="18"/>
      <w:szCs w:val="18"/>
    </w:rPr>
  </w:style>
  <w:style w:type="character" w:customStyle="1" w:styleId="47">
    <w:name w:val="页眉 字符"/>
    <w:link w:val="18"/>
    <w:autoRedefine/>
    <w:qFormat/>
    <w:uiPriority w:val="99"/>
    <w:rPr>
      <w:rFonts w:ascii="Times New Roman" w:hAnsi="Times New Roman" w:eastAsia="宋体" w:cs="Times New Roman"/>
      <w:kern w:val="2"/>
      <w:sz w:val="18"/>
      <w:szCs w:val="18"/>
    </w:rPr>
  </w:style>
  <w:style w:type="character" w:customStyle="1" w:styleId="48">
    <w:name w:val="正文文本缩进 3 字符"/>
    <w:link w:val="21"/>
    <w:autoRedefine/>
    <w:qFormat/>
    <w:uiPriority w:val="0"/>
    <w:rPr>
      <w:rFonts w:ascii="Times New Roman" w:hAnsi="Times New Roman" w:eastAsia="宋体" w:cs="Times New Roman"/>
      <w:kern w:val="2"/>
      <w:sz w:val="16"/>
      <w:szCs w:val="16"/>
    </w:rPr>
  </w:style>
  <w:style w:type="character" w:customStyle="1" w:styleId="49">
    <w:name w:val="标题 字符"/>
    <w:link w:val="23"/>
    <w:autoRedefine/>
    <w:qFormat/>
    <w:uiPriority w:val="0"/>
    <w:rPr>
      <w:rFonts w:ascii="Calibri" w:hAnsi="Calibri" w:eastAsia="宋体" w:cs="Times New Roman"/>
      <w:kern w:val="2"/>
      <w:sz w:val="30"/>
      <w:szCs w:val="30"/>
    </w:rPr>
  </w:style>
  <w:style w:type="character" w:customStyle="1" w:styleId="50">
    <w:name w:val="批注主题 字符"/>
    <w:link w:val="24"/>
    <w:autoRedefine/>
    <w:qFormat/>
    <w:uiPriority w:val="0"/>
    <w:rPr>
      <w:rFonts w:ascii="Times New Roman" w:hAnsi="Times New Roman" w:eastAsia="宋体" w:cs="Times New Roman"/>
      <w:b/>
      <w:bCs/>
      <w:kern w:val="2"/>
      <w:sz w:val="21"/>
      <w:szCs w:val="24"/>
    </w:rPr>
  </w:style>
  <w:style w:type="paragraph" w:customStyle="1" w:styleId="51">
    <w:name w:val="_Style 3"/>
    <w:basedOn w:val="1"/>
    <w:autoRedefine/>
    <w:qFormat/>
    <w:uiPriority w:val="0"/>
    <w:pPr>
      <w:widowControl/>
      <w:spacing w:after="200" w:line="276" w:lineRule="auto"/>
      <w:ind w:left="720"/>
      <w:contextualSpacing/>
      <w:jc w:val="left"/>
    </w:pPr>
    <w:rPr>
      <w:rFonts w:ascii="Calibri" w:hAnsi="Calibri"/>
      <w:kern w:val="0"/>
      <w:sz w:val="22"/>
      <w:szCs w:val="22"/>
    </w:rPr>
  </w:style>
  <w:style w:type="paragraph" w:customStyle="1" w:styleId="52">
    <w:name w:val="正文首行缩进 21"/>
    <w:basedOn w:val="53"/>
    <w:autoRedefine/>
    <w:qFormat/>
    <w:uiPriority w:val="0"/>
    <w:pPr>
      <w:ind w:firstLine="420"/>
    </w:pPr>
    <w:rPr>
      <w:rFonts w:ascii="Times New Roman" w:eastAsia="宋体"/>
    </w:rPr>
  </w:style>
  <w:style w:type="paragraph" w:customStyle="1" w:styleId="53">
    <w:name w:val="正文文本缩进1"/>
    <w:basedOn w:val="1"/>
    <w:autoRedefine/>
    <w:qFormat/>
    <w:uiPriority w:val="0"/>
    <w:pPr>
      <w:ind w:firstLine="200"/>
    </w:pPr>
    <w:rPr>
      <w:rFonts w:ascii="仿宋_GB2312" w:eastAsia="仿宋_GB2312"/>
      <w:sz w:val="32"/>
    </w:rPr>
  </w:style>
  <w:style w:type="paragraph" w:customStyle="1" w:styleId="54">
    <w:name w:val="Default Text"/>
    <w:basedOn w:val="1"/>
    <w:autoRedefine/>
    <w:qFormat/>
    <w:uiPriority w:val="0"/>
    <w:pPr>
      <w:widowControl/>
      <w:overflowPunct w:val="0"/>
      <w:autoSpaceDE w:val="0"/>
      <w:autoSpaceDN w:val="0"/>
      <w:adjustRightInd w:val="0"/>
      <w:jc w:val="left"/>
      <w:textAlignment w:val="baseline"/>
    </w:pPr>
    <w:rPr>
      <w:kern w:val="0"/>
      <w:sz w:val="24"/>
    </w:rPr>
  </w:style>
  <w:style w:type="paragraph" w:customStyle="1" w:styleId="55">
    <w:name w:val="表格文字"/>
    <w:basedOn w:val="13"/>
    <w:next w:val="9"/>
    <w:autoRedefine/>
    <w:qFormat/>
    <w:uiPriority w:val="0"/>
    <w:pPr>
      <w:adjustRightInd w:val="0"/>
      <w:spacing w:line="420" w:lineRule="atLeast"/>
      <w:textAlignment w:val="baseline"/>
    </w:pPr>
    <w:rPr>
      <w:rFonts w:ascii="Calibri" w:hAnsi="Calibri" w:eastAsia="宋体"/>
      <w:sz w:val="28"/>
    </w:rPr>
  </w:style>
  <w:style w:type="paragraph" w:customStyle="1" w:styleId="56">
    <w:name w:val="无间隔1"/>
    <w:autoRedefine/>
    <w:qFormat/>
    <w:uiPriority w:val="0"/>
    <w:pPr>
      <w:widowControl w:val="0"/>
      <w:jc w:val="both"/>
    </w:pPr>
    <w:rPr>
      <w:rFonts w:ascii="Times New Roman" w:hAnsi="Times New Roman" w:eastAsia="Times New Roman" w:cs="Calibri"/>
      <w:kern w:val="2"/>
      <w:sz w:val="21"/>
      <w:szCs w:val="22"/>
      <w:lang w:val="en-US" w:eastAsia="zh-CN" w:bidi="ar-SA"/>
    </w:rPr>
  </w:style>
  <w:style w:type="character" w:customStyle="1" w:styleId="57">
    <w:name w:val="apple-style-span"/>
    <w:autoRedefine/>
    <w:qFormat/>
    <w:uiPriority w:val="0"/>
    <w:rPr>
      <w:rFonts w:ascii="Tahoma" w:hAnsi="Tahoma" w:eastAsia="宋体" w:cs="Times New Roman"/>
      <w:sz w:val="24"/>
      <w:szCs w:val="20"/>
    </w:rPr>
  </w:style>
  <w:style w:type="character" w:customStyle="1" w:styleId="58">
    <w:name w:val="font51"/>
    <w:autoRedefine/>
    <w:qFormat/>
    <w:uiPriority w:val="0"/>
    <w:rPr>
      <w:rFonts w:hint="eastAsia" w:ascii="宋体" w:hAnsi="宋体" w:eastAsia="宋体" w:cs="宋体"/>
      <w:color w:val="000000"/>
      <w:sz w:val="22"/>
      <w:szCs w:val="22"/>
      <w:u w:val="none"/>
    </w:rPr>
  </w:style>
  <w:style w:type="character" w:customStyle="1" w:styleId="59">
    <w:name w:val="NormalCharacter"/>
    <w:autoRedefine/>
    <w:qFormat/>
    <w:uiPriority w:val="0"/>
    <w:rPr>
      <w:rFonts w:ascii="Calibri" w:hAnsi="Calibri" w:eastAsia="宋体" w:cs="Times New Roman"/>
    </w:rPr>
  </w:style>
  <w:style w:type="character" w:customStyle="1" w:styleId="60">
    <w:name w:val="font01"/>
    <w:autoRedefine/>
    <w:qFormat/>
    <w:uiPriority w:val="0"/>
    <w:rPr>
      <w:rFonts w:hint="eastAsia" w:ascii="宋体" w:hAnsi="宋体" w:eastAsia="宋体" w:cs="宋体"/>
      <w:b/>
      <w:color w:val="000000"/>
      <w:sz w:val="40"/>
      <w:szCs w:val="40"/>
      <w:u w:val="none"/>
    </w:rPr>
  </w:style>
  <w:style w:type="character" w:customStyle="1" w:styleId="61">
    <w:name w:val="font91"/>
    <w:autoRedefine/>
    <w:qFormat/>
    <w:uiPriority w:val="0"/>
    <w:rPr>
      <w:rFonts w:hint="eastAsia" w:ascii="宋体" w:hAnsi="宋体" w:eastAsia="宋体" w:cs="宋体"/>
      <w:color w:val="000000"/>
      <w:sz w:val="20"/>
      <w:szCs w:val="20"/>
      <w:u w:val="none"/>
    </w:rPr>
  </w:style>
  <w:style w:type="character" w:customStyle="1" w:styleId="62">
    <w:name w:val="font11"/>
    <w:autoRedefine/>
    <w:qFormat/>
    <w:uiPriority w:val="0"/>
    <w:rPr>
      <w:rFonts w:hint="eastAsia" w:ascii="宋体" w:hAnsi="宋体" w:eastAsia="宋体" w:cs="宋体"/>
      <w:b/>
      <w:color w:val="000000"/>
      <w:sz w:val="22"/>
      <w:szCs w:val="22"/>
      <w:u w:val="none"/>
    </w:rPr>
  </w:style>
  <w:style w:type="character" w:customStyle="1" w:styleId="63">
    <w:name w:val="font112"/>
    <w:autoRedefine/>
    <w:qFormat/>
    <w:uiPriority w:val="0"/>
    <w:rPr>
      <w:rFonts w:hint="eastAsia" w:ascii="宋体" w:hAnsi="宋体" w:eastAsia="宋体" w:cs="宋体"/>
      <w:color w:val="000000"/>
      <w:sz w:val="22"/>
      <w:szCs w:val="22"/>
      <w:u w:val="none"/>
    </w:rPr>
  </w:style>
  <w:style w:type="character" w:customStyle="1" w:styleId="64">
    <w:name w:val="font61"/>
    <w:autoRedefine/>
    <w:qFormat/>
    <w:uiPriority w:val="0"/>
    <w:rPr>
      <w:rFonts w:hint="default" w:ascii="Times New Roman" w:hAnsi="Times New Roman" w:eastAsia="宋体" w:cs="Times New Roman"/>
      <w:color w:val="000000"/>
      <w:sz w:val="20"/>
      <w:szCs w:val="20"/>
      <w:u w:val="none"/>
    </w:rPr>
  </w:style>
  <w:style w:type="character" w:customStyle="1" w:styleId="65">
    <w:name w:val="font81"/>
    <w:autoRedefine/>
    <w:qFormat/>
    <w:uiPriority w:val="0"/>
    <w:rPr>
      <w:rFonts w:hint="eastAsia" w:ascii="宋体" w:hAnsi="宋体" w:eastAsia="宋体" w:cs="宋体"/>
      <w:color w:val="000000"/>
      <w:sz w:val="20"/>
      <w:szCs w:val="20"/>
      <w:u w:val="none"/>
    </w:rPr>
  </w:style>
  <w:style w:type="character" w:customStyle="1" w:styleId="66">
    <w:name w:val="Char Char7"/>
    <w:autoRedefine/>
    <w:qFormat/>
    <w:uiPriority w:val="0"/>
    <w:rPr>
      <w:rFonts w:ascii="??" w:hAnsi="??" w:eastAsia="??" w:cs="宋体"/>
      <w:kern w:val="2"/>
      <w:sz w:val="24"/>
      <w:szCs w:val="28"/>
    </w:rPr>
  </w:style>
  <w:style w:type="character" w:customStyle="1" w:styleId="67">
    <w:name w:val="font71"/>
    <w:autoRedefine/>
    <w:qFormat/>
    <w:uiPriority w:val="0"/>
    <w:rPr>
      <w:rFonts w:ascii="Arial" w:hAnsi="Arial" w:eastAsia="宋体" w:cs="Arial"/>
      <w:color w:val="000000"/>
      <w:sz w:val="20"/>
      <w:szCs w:val="20"/>
      <w:u w:val="none"/>
    </w:rPr>
  </w:style>
  <w:style w:type="paragraph" w:customStyle="1" w:styleId="68">
    <w:name w:val="中等深浅列表 2 - 强调文字颜色 41"/>
    <w:basedOn w:val="1"/>
    <w:autoRedefine/>
    <w:qFormat/>
    <w:uiPriority w:val="0"/>
    <w:pPr>
      <w:ind w:firstLine="420" w:firstLineChars="200"/>
    </w:pPr>
    <w:rPr>
      <w:rFonts w:ascii="Calibri" w:hAnsi="Calibri"/>
      <w:szCs w:val="22"/>
    </w:rPr>
  </w:style>
  <w:style w:type="paragraph" w:customStyle="1" w:styleId="69">
    <w:name w:val="正文样式"/>
    <w:basedOn w:val="1"/>
    <w:autoRedefine/>
    <w:qFormat/>
    <w:uiPriority w:val="0"/>
    <w:pPr>
      <w:spacing w:beforeLines="50" w:line="312" w:lineRule="auto"/>
      <w:ind w:firstLine="200" w:firstLineChars="200"/>
    </w:pPr>
    <w:rPr>
      <w:rFonts w:ascii="Calibri" w:hAnsi="Calibri"/>
      <w:sz w:val="24"/>
      <w:szCs w:val="24"/>
    </w:rPr>
  </w:style>
  <w:style w:type="paragraph" w:customStyle="1" w:styleId="70">
    <w:name w:val="p16"/>
    <w:basedOn w:val="1"/>
    <w:autoRedefine/>
    <w:qFormat/>
    <w:uiPriority w:val="0"/>
    <w:pPr>
      <w:widowControl/>
    </w:pPr>
    <w:rPr>
      <w:rFonts w:ascii="宋体" w:hAnsi="宋体" w:cs="宋体"/>
      <w:kern w:val="0"/>
      <w:sz w:val="30"/>
      <w:szCs w:val="30"/>
    </w:rPr>
  </w:style>
  <w:style w:type="paragraph" w:styleId="71">
    <w:name w:val="List Paragraph"/>
    <w:basedOn w:val="1"/>
    <w:autoRedefine/>
    <w:qFormat/>
    <w:uiPriority w:val="0"/>
    <w:pPr>
      <w:autoSpaceDE w:val="0"/>
      <w:autoSpaceDN w:val="0"/>
      <w:adjustRightInd w:val="0"/>
      <w:ind w:firstLine="200" w:firstLineChars="200"/>
      <w:jc w:val="left"/>
    </w:pPr>
    <w:rPr>
      <w:rFonts w:eastAsia="??"/>
      <w:kern w:val="0"/>
      <w:sz w:val="24"/>
      <w:szCs w:val="24"/>
    </w:rPr>
  </w:style>
  <w:style w:type="paragraph" w:customStyle="1" w:styleId="72">
    <w:name w:val="_Style 8"/>
    <w:basedOn w:val="1"/>
    <w:next w:val="71"/>
    <w:autoRedefine/>
    <w:qFormat/>
    <w:uiPriority w:val="0"/>
    <w:pPr>
      <w:ind w:firstLine="420" w:firstLineChars="200"/>
    </w:pPr>
    <w:rPr>
      <w:rFonts w:ascii="Calibri" w:hAnsi="Calibri"/>
      <w:szCs w:val="22"/>
    </w:rPr>
  </w:style>
  <w:style w:type="paragraph" w:customStyle="1" w:styleId="73">
    <w:name w:val="书籍标题1"/>
    <w:basedOn w:val="1"/>
    <w:next w:val="1"/>
    <w:autoRedefine/>
    <w:qFormat/>
    <w:uiPriority w:val="0"/>
    <w:pPr>
      <w:pageBreakBefore/>
      <w:widowControl/>
      <w:tabs>
        <w:tab w:val="left" w:pos="360"/>
      </w:tabs>
      <w:spacing w:beforeLines="200" w:afterLines="200"/>
      <w:ind w:hanging="360"/>
      <w:jc w:val="center"/>
      <w:outlineLvl w:val="0"/>
    </w:pPr>
    <w:rPr>
      <w:rFonts w:eastAsia="黑体"/>
      <w:b/>
      <w:bCs/>
      <w:spacing w:val="20"/>
      <w:kern w:val="44"/>
      <w:sz w:val="44"/>
    </w:rPr>
  </w:style>
  <w:style w:type="paragraph" w:customStyle="1" w:styleId="74">
    <w:name w:val="newnewnewnew"/>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75">
    <w:name w:val="正文2"/>
    <w:autoRedefine/>
    <w:qFormat/>
    <w:uiPriority w:val="0"/>
    <w:pPr>
      <w:jc w:val="both"/>
    </w:pPr>
    <w:rPr>
      <w:rFonts w:ascii="Calibri" w:hAnsi="Calibri" w:eastAsia="宋体" w:cs="宋体"/>
      <w:kern w:val="2"/>
      <w:sz w:val="21"/>
      <w:szCs w:val="21"/>
      <w:lang w:val="en-US" w:eastAsia="zh-CN" w:bidi="ar-SA"/>
    </w:rPr>
  </w:style>
  <w:style w:type="paragraph" w:customStyle="1" w:styleId="76">
    <w:name w:val="newnew"/>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77">
    <w:name w:val="列出段落1"/>
    <w:basedOn w:val="1"/>
    <w:autoRedefine/>
    <w:qFormat/>
    <w:uiPriority w:val="0"/>
    <w:pPr>
      <w:ind w:firstLine="420" w:firstLineChars="200"/>
    </w:pPr>
    <w:rPr>
      <w:rFonts w:ascii="Calibri" w:hAnsi="Calibri"/>
      <w:szCs w:val="22"/>
    </w:rPr>
  </w:style>
  <w:style w:type="paragraph" w:customStyle="1" w:styleId="78">
    <w:name w:val="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9">
    <w:name w:val="Body text|1"/>
    <w:basedOn w:val="1"/>
    <w:autoRedefine/>
    <w:qFormat/>
    <w:uiPriority w:val="0"/>
    <w:pPr>
      <w:spacing w:line="413" w:lineRule="auto"/>
    </w:pPr>
    <w:rPr>
      <w:rFonts w:ascii="宋体" w:hAnsi="宋体" w:cs="宋体"/>
      <w:sz w:val="20"/>
      <w:lang w:val="zh-CN" w:bidi="zh-CN"/>
    </w:rPr>
  </w:style>
  <w:style w:type="paragraph" w:customStyle="1" w:styleId="80">
    <w:name w:val="xl35"/>
    <w:basedOn w:val="1"/>
    <w:autoRedefine/>
    <w:qFormat/>
    <w:uiPriority w:val="0"/>
    <w:pPr>
      <w:widowControl/>
      <w:spacing w:before="100" w:beforeAutospacing="1" w:after="100" w:afterAutospacing="1"/>
      <w:jc w:val="right"/>
      <w:textAlignment w:val="center"/>
    </w:pPr>
    <w:rPr>
      <w:rFonts w:ascii="宋体" w:hAnsi="宋体"/>
      <w:kern w:val="0"/>
      <w:sz w:val="18"/>
    </w:rPr>
  </w:style>
  <w:style w:type="paragraph" w:customStyle="1" w:styleId="81">
    <w:name w:val="List Paragraph1"/>
    <w:basedOn w:val="1"/>
    <w:autoRedefine/>
    <w:qFormat/>
    <w:uiPriority w:val="0"/>
    <w:pPr>
      <w:ind w:firstLine="420" w:firstLineChars="200"/>
    </w:pPr>
  </w:style>
  <w:style w:type="paragraph" w:customStyle="1" w:styleId="82">
    <w:name w:val="reader-word-layer reader-word-s1-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83">
    <w:name w:val="font5"/>
    <w:basedOn w:val="1"/>
    <w:autoRedefine/>
    <w:qFormat/>
    <w:uiPriority w:val="0"/>
    <w:pPr>
      <w:widowControl/>
      <w:spacing w:before="100" w:beforeAutospacing="1" w:after="100" w:afterAutospacing="1"/>
      <w:jc w:val="left"/>
    </w:pPr>
    <w:rPr>
      <w:rFonts w:hint="eastAsia" w:ascii="宋体" w:hAnsi="宋体"/>
      <w:kern w:val="0"/>
      <w:sz w:val="18"/>
    </w:rPr>
  </w:style>
  <w:style w:type="paragraph" w:customStyle="1" w:styleId="84">
    <w:name w:val="Char"/>
    <w:basedOn w:val="1"/>
    <w:autoRedefine/>
    <w:qFormat/>
    <w:uiPriority w:val="0"/>
    <w:rPr>
      <w:szCs w:val="24"/>
    </w:rPr>
  </w:style>
  <w:style w:type="paragraph" w:customStyle="1" w:styleId="85">
    <w:name w:val="xl30"/>
    <w:basedOn w:val="1"/>
    <w:autoRedefine/>
    <w:qFormat/>
    <w:uiPriority w:val="0"/>
    <w:pPr>
      <w:widowControl/>
      <w:spacing w:before="100" w:beforeAutospacing="1" w:after="100" w:afterAutospacing="1"/>
      <w:jc w:val="center"/>
      <w:textAlignment w:val="center"/>
    </w:pPr>
    <w:rPr>
      <w:rFonts w:ascii="楷体_GB2312" w:hAnsi="宋体" w:eastAsia="楷体_GB2312"/>
      <w:b/>
      <w:kern w:val="0"/>
      <w:sz w:val="32"/>
    </w:rPr>
  </w:style>
  <w:style w:type="paragraph" w:customStyle="1" w:styleId="86">
    <w:name w:val="[Normal]"/>
    <w:autoRedefine/>
    <w:qFormat/>
    <w:uiPriority w:val="0"/>
    <w:rPr>
      <w:rFonts w:ascii="宋体" w:hAnsi="宋体" w:eastAsia="宋体" w:cs="Times New Roman"/>
      <w:sz w:val="24"/>
      <w:szCs w:val="22"/>
      <w:lang w:val="zh-CN" w:eastAsia="zh-CN" w:bidi="ar-SA"/>
    </w:rPr>
  </w:style>
  <w:style w:type="paragraph" w:customStyle="1" w:styleId="87">
    <w:name w:val="p0"/>
    <w:basedOn w:val="1"/>
    <w:autoRedefine/>
    <w:qFormat/>
    <w:uiPriority w:val="0"/>
    <w:pPr>
      <w:widowControl/>
    </w:pPr>
    <w:rPr>
      <w:kern w:val="0"/>
      <w:szCs w:val="21"/>
    </w:rPr>
  </w:style>
  <w:style w:type="table" w:customStyle="1" w:styleId="88">
    <w:name w:val="网格型1"/>
    <w:basedOn w:val="26"/>
    <w:autoRedefine/>
    <w:qFormat/>
    <w:uiPriority w:val="0"/>
    <w:rPr>
      <w:rFonts w:ascii="Calibri" w:hAnsi="Calibri" w:cs="宋体"/>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9">
    <w:name w:val="Table Paragraph"/>
    <w:basedOn w:val="1"/>
    <w:autoRedefine/>
    <w:qFormat/>
    <w:uiPriority w:val="0"/>
    <w:rPr>
      <w:rFonts w:ascii="宋体" w:hAnsi="宋体" w:cs="宋体"/>
      <w:lang w:val="zh-CN" w:bidi="zh-CN"/>
    </w:rPr>
  </w:style>
  <w:style w:type="paragraph" w:customStyle="1" w:styleId="90">
    <w:name w:val="正文（首行缩进2字符）"/>
    <w:basedOn w:val="1"/>
    <w:autoRedefine/>
    <w:qFormat/>
    <w:uiPriority w:val="0"/>
    <w:pPr>
      <w:spacing w:line="360" w:lineRule="auto"/>
      <w:ind w:firstLine="420" w:firstLineChars="200"/>
    </w:pPr>
    <w:rPr>
      <w:szCs w:val="21"/>
    </w:rPr>
  </w:style>
  <w:style w:type="paragraph" w:customStyle="1" w:styleId="91">
    <w:name w:val="文档正文"/>
    <w:basedOn w:val="1"/>
    <w:autoRedefine/>
    <w:qFormat/>
    <w:uiPriority w:val="0"/>
    <w:rPr>
      <w:rFonts w:ascii="宋体" w:hAnsi="宋体" w:cs="Arial"/>
      <w:bCs/>
      <w:szCs w:val="21"/>
    </w:rPr>
  </w:style>
  <w:style w:type="paragraph" w:customStyle="1" w:styleId="92">
    <w:name w:val="form"/>
    <w:basedOn w:val="1"/>
    <w:autoRedefine/>
    <w:qFormat/>
    <w:uiPriority w:val="0"/>
    <w:pPr>
      <w:wordWrap w:val="0"/>
      <w:jc w:val="center"/>
    </w:pPr>
    <w:rPr>
      <w:rFonts w:ascii="宋体" w:hAnsi="Calibri" w:cs="宋体"/>
    </w:rPr>
  </w:style>
  <w:style w:type="paragraph" w:customStyle="1" w:styleId="93">
    <w:name w:val="仿宋小四"/>
    <w:basedOn w:val="6"/>
    <w:autoRedefine/>
    <w:qFormat/>
    <w:uiPriority w:val="0"/>
    <w:pPr>
      <w:spacing w:line="360" w:lineRule="auto"/>
      <w:ind w:firstLine="480"/>
    </w:pPr>
    <w:rPr>
      <w:rFonts w:ascii="仿宋_GB2312" w:hAnsi="仿宋_GB2312" w:eastAsia="仿宋_GB2312"/>
      <w:sz w:val="24"/>
    </w:rPr>
  </w:style>
  <w:style w:type="character" w:customStyle="1" w:styleId="94">
    <w:name w:val="font21"/>
    <w:basedOn w:val="28"/>
    <w:autoRedefine/>
    <w:qFormat/>
    <w:uiPriority w:val="0"/>
    <w:rPr>
      <w:rFonts w:hint="eastAsia" w:ascii="宋体" w:hAnsi="宋体" w:eastAsia="宋体" w:cs="宋体"/>
      <w:color w:val="000000"/>
      <w:sz w:val="24"/>
      <w:szCs w:val="24"/>
      <w:u w:val="none"/>
    </w:rPr>
  </w:style>
  <w:style w:type="table" w:customStyle="1" w:styleId="95">
    <w:name w:val="Table Normal"/>
    <w:autoRedefine/>
    <w:semiHidden/>
    <w:unhideWhenUsed/>
    <w:qFormat/>
    <w:uiPriority w:val="0"/>
    <w:tblPr>
      <w:tblCellMar>
        <w:top w:w="0" w:type="dxa"/>
        <w:left w:w="0" w:type="dxa"/>
        <w:bottom w:w="0" w:type="dxa"/>
        <w:right w:w="0" w:type="dxa"/>
      </w:tblCellMar>
    </w:tblPr>
  </w:style>
  <w:style w:type="character" w:customStyle="1" w:styleId="96">
    <w:name w:val="font41"/>
    <w:basedOn w:val="28"/>
    <w:autoRedefine/>
    <w:qFormat/>
    <w:uiPriority w:val="0"/>
    <w:rPr>
      <w:rFonts w:hint="eastAsia" w:ascii="宋体" w:hAnsi="宋体" w:eastAsia="宋体" w:cs="宋体"/>
      <w:b/>
      <w:bCs/>
      <w:color w:val="000000"/>
      <w:sz w:val="21"/>
      <w:szCs w:val="21"/>
      <w:u w:val="none"/>
    </w:rPr>
  </w:style>
  <w:style w:type="character" w:customStyle="1" w:styleId="97">
    <w:name w:val="font31"/>
    <w:basedOn w:val="28"/>
    <w:autoRedefine/>
    <w:qFormat/>
    <w:uiPriority w:val="0"/>
    <w:rPr>
      <w:rFonts w:hint="eastAsia" w:ascii="宋体" w:hAnsi="宋体" w:eastAsia="宋体" w:cs="宋体"/>
      <w:color w:val="000000"/>
      <w:sz w:val="21"/>
      <w:szCs w:val="21"/>
      <w:u w:val="none"/>
    </w:rPr>
  </w:style>
  <w:style w:type="character" w:customStyle="1" w:styleId="98">
    <w:name w:val="文档结构图 字符"/>
    <w:basedOn w:val="28"/>
    <w:link w:val="7"/>
    <w:autoRedefine/>
    <w:qFormat/>
    <w:uiPriority w:val="0"/>
    <w:rPr>
      <w:rFonts w:ascii="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A4D4B-67E9-441F-903A-9C13D62D47B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49</Pages>
  <Words>4881</Words>
  <Characters>27828</Characters>
  <Lines>231</Lines>
  <Paragraphs>65</Paragraphs>
  <TotalTime>85</TotalTime>
  <ScaleCrop>false</ScaleCrop>
  <LinksUpToDate>false</LinksUpToDate>
  <CharactersWithSpaces>32644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2020-04-25T22:04:00Z</dcterms:created>
  <dc:creator>Administrator</dc:creator>
  <cp:lastModifiedBy>Administrator</cp:lastModifiedBy>
  <cp:lastPrinted>2023-06-15T16:48:00Z</cp:lastPrinted>
  <dcterms:modified xsi:type="dcterms:W3CDTF">2024-04-08T06:19:42Z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97CC167D94304710898E1340D29E2081_13</vt:lpwstr>
  </property>
  <property fmtid="{D5CDD505-2E9C-101B-9397-08002B2CF9AE}" pid="4" name="commondata">
    <vt:lpwstr>eyJoZGlkIjoiMTY3NmVmZDMzNjIyYzhhNDE2N2E5MmI0Mzg3OGM1YTYifQ==</vt:lpwstr>
  </property>
</Properties>
</file>