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72D9A">
      <w:pPr>
        <w:pStyle w:val="24"/>
        <w:jc w:val="center"/>
        <w:rPr>
          <w:rFonts w:eastAsia="华文新魏" w:asciiTheme="minorHAnsi" w:hAnsiTheme="minorHAnsi" w:cstheme="minorBidi"/>
          <w:b/>
          <w:sz w:val="48"/>
          <w:szCs w:val="48"/>
        </w:rPr>
      </w:pPr>
      <w:bookmarkStart w:id="0" w:name="OLE_LINK1"/>
      <w:r>
        <w:rPr>
          <w:rFonts w:hint="eastAsia" w:eastAsia="华文新魏" w:asciiTheme="minorHAnsi" w:hAnsiTheme="minorHAnsi" w:cstheme="minorBidi"/>
          <w:b/>
          <w:sz w:val="48"/>
          <w:szCs w:val="48"/>
        </w:rPr>
        <w:t>定海区城镇房屋结构监测及装修巡查</w:t>
      </w:r>
    </w:p>
    <w:p w14:paraId="7AD9EDF3">
      <w:pPr>
        <w:pStyle w:val="24"/>
        <w:jc w:val="center"/>
        <w:rPr>
          <w:rFonts w:eastAsia="华文新魏" w:asciiTheme="minorHAnsi" w:hAnsiTheme="minorHAnsi" w:cstheme="minorBidi"/>
          <w:b/>
          <w:sz w:val="48"/>
          <w:szCs w:val="48"/>
        </w:rPr>
      </w:pPr>
      <w:r>
        <w:rPr>
          <w:rFonts w:hint="eastAsia" w:eastAsia="华文新魏" w:asciiTheme="minorHAnsi" w:hAnsiTheme="minorHAnsi" w:cstheme="minorBidi"/>
          <w:b/>
          <w:sz w:val="48"/>
          <w:szCs w:val="48"/>
        </w:rPr>
        <w:t>技术服务项目</w:t>
      </w:r>
    </w:p>
    <w:p w14:paraId="01AF6517">
      <w:pPr>
        <w:snapToGrid w:val="0"/>
        <w:spacing w:before="120" w:line="312" w:lineRule="auto"/>
        <w:ind w:firstLine="1922" w:firstLineChars="400"/>
        <w:rPr>
          <w:rFonts w:eastAsia="华文新魏"/>
          <w:b/>
          <w:sz w:val="48"/>
          <w:szCs w:val="48"/>
        </w:rPr>
      </w:pPr>
    </w:p>
    <w:p w14:paraId="27E3FDEF">
      <w:pPr>
        <w:snapToGrid w:val="0"/>
        <w:spacing w:before="120" w:line="312" w:lineRule="auto"/>
        <w:ind w:firstLine="1922" w:firstLineChars="400"/>
        <w:rPr>
          <w:rFonts w:eastAsia="华文新魏"/>
          <w:b/>
          <w:sz w:val="48"/>
          <w:szCs w:val="48"/>
        </w:rPr>
      </w:pPr>
      <w:r>
        <w:rPr>
          <w:rFonts w:hint="eastAsia" w:eastAsia="华文新魏"/>
          <w:b/>
          <w:sz w:val="48"/>
          <w:szCs w:val="48"/>
        </w:rPr>
        <w:t>公开招标采购文件</w:t>
      </w:r>
    </w:p>
    <w:p w14:paraId="5B2F41CE">
      <w:pPr>
        <w:snapToGrid w:val="0"/>
        <w:spacing w:before="120" w:line="312" w:lineRule="auto"/>
        <w:rPr>
          <w:rFonts w:ascii="Times New Roman" w:hAnsi="Times New Roman" w:eastAsia="华文新魏" w:cs="Times New Roman"/>
          <w:b/>
          <w:sz w:val="32"/>
        </w:rPr>
      </w:pPr>
    </w:p>
    <w:p w14:paraId="77B0A819">
      <w:pPr>
        <w:snapToGrid w:val="0"/>
        <w:spacing w:before="120" w:line="312" w:lineRule="auto"/>
        <w:ind w:left="1602" w:hanging="1602" w:hangingChars="500"/>
        <w:rPr>
          <w:rFonts w:eastAsia="华文新魏"/>
          <w:b/>
          <w:sz w:val="32"/>
        </w:rPr>
      </w:pPr>
    </w:p>
    <w:p w14:paraId="2A19F3FD">
      <w:pPr>
        <w:pStyle w:val="24"/>
        <w:rPr>
          <w:rFonts w:eastAsia="华文新魏" w:asciiTheme="minorHAnsi" w:hAnsiTheme="minorHAnsi" w:cstheme="minorBidi"/>
          <w:b/>
          <w:w w:val="95"/>
          <w:sz w:val="32"/>
        </w:rPr>
      </w:pPr>
      <w:r>
        <w:rPr>
          <w:rFonts w:eastAsia="华文新魏"/>
          <w:b/>
          <w:sz w:val="32"/>
        </w:rPr>
        <w:t>项目名称</w:t>
      </w:r>
      <w:r>
        <w:rPr>
          <w:rFonts w:eastAsia="华文新魏"/>
          <w:sz w:val="32"/>
        </w:rPr>
        <w:t>：</w:t>
      </w:r>
      <w:r>
        <w:rPr>
          <w:rFonts w:hint="eastAsia" w:eastAsia="华文新魏" w:asciiTheme="minorHAnsi" w:hAnsiTheme="minorHAnsi" w:cstheme="minorBidi"/>
          <w:b/>
          <w:w w:val="95"/>
          <w:sz w:val="32"/>
        </w:rPr>
        <w:t>定海区城镇房屋结构监测及装修巡查技术服务项目</w:t>
      </w:r>
    </w:p>
    <w:p w14:paraId="3FDD5DF2">
      <w:pPr>
        <w:snapToGrid w:val="0"/>
        <w:spacing w:before="120" w:line="312" w:lineRule="auto"/>
        <w:ind w:left="1602" w:hanging="1602" w:hangingChars="500"/>
        <w:rPr>
          <w:rFonts w:eastAsia="华文新魏"/>
          <w:b/>
          <w:sz w:val="32"/>
        </w:rPr>
      </w:pPr>
    </w:p>
    <w:p w14:paraId="1FB35759">
      <w:pPr>
        <w:snapToGrid w:val="0"/>
        <w:spacing w:before="120" w:line="312" w:lineRule="auto"/>
        <w:rPr>
          <w:rFonts w:ascii="华文新魏" w:eastAsia="华文新魏"/>
          <w:b/>
          <w:sz w:val="32"/>
        </w:rPr>
      </w:pPr>
      <w:r>
        <w:rPr>
          <w:rFonts w:eastAsia="华文新魏"/>
          <w:b/>
          <w:sz w:val="32"/>
        </w:rPr>
        <w:t>项目</w:t>
      </w:r>
      <w:r>
        <w:rPr>
          <w:rFonts w:hint="eastAsia" w:ascii="华文新魏" w:eastAsia="华文新魏"/>
          <w:b/>
          <w:sz w:val="32"/>
        </w:rPr>
        <w:t>编号：TLZB-2025-120</w:t>
      </w:r>
    </w:p>
    <w:p w14:paraId="53F7C734">
      <w:pPr>
        <w:pStyle w:val="3"/>
      </w:pPr>
    </w:p>
    <w:p w14:paraId="52FC55E4">
      <w:pPr>
        <w:snapToGrid w:val="0"/>
        <w:spacing w:before="120" w:line="312" w:lineRule="auto"/>
        <w:ind w:left="1523" w:hanging="1522" w:hangingChars="500"/>
        <w:rPr>
          <w:rFonts w:eastAsia="华文新魏"/>
          <w:b/>
          <w:w w:val="95"/>
          <w:sz w:val="32"/>
        </w:rPr>
      </w:pPr>
      <w:r>
        <w:rPr>
          <w:rFonts w:eastAsia="华文新魏"/>
          <w:b/>
          <w:w w:val="95"/>
          <w:sz w:val="32"/>
        </w:rPr>
        <w:t>采购单位：</w:t>
      </w:r>
      <w:r>
        <w:rPr>
          <w:rFonts w:hint="eastAsia" w:eastAsia="华文新魏"/>
          <w:b/>
          <w:w w:val="95"/>
          <w:sz w:val="32"/>
        </w:rPr>
        <w:t>舟山市定海区住房和城乡建设局</w:t>
      </w:r>
    </w:p>
    <w:p w14:paraId="3EE1DC96">
      <w:pPr>
        <w:snapToGrid w:val="0"/>
        <w:spacing w:before="120" w:line="312" w:lineRule="auto"/>
        <w:rPr>
          <w:rFonts w:eastAsia="华文新魏"/>
          <w:b/>
          <w:w w:val="95"/>
          <w:sz w:val="32"/>
        </w:rPr>
      </w:pPr>
    </w:p>
    <w:p w14:paraId="05BF3064">
      <w:pPr>
        <w:snapToGrid w:val="0"/>
        <w:spacing w:before="120" w:line="312" w:lineRule="auto"/>
        <w:rPr>
          <w:rFonts w:eastAsia="华文新魏"/>
          <w:b/>
          <w:w w:val="95"/>
          <w:sz w:val="32"/>
        </w:rPr>
      </w:pPr>
      <w:r>
        <w:rPr>
          <w:rFonts w:eastAsia="华文新魏"/>
          <w:b/>
          <w:w w:val="95"/>
          <w:sz w:val="32"/>
        </w:rPr>
        <w:t>代理机构：</w:t>
      </w:r>
      <w:r>
        <w:rPr>
          <w:rFonts w:hint="eastAsia" w:eastAsia="华文新魏"/>
          <w:b/>
          <w:w w:val="95"/>
          <w:sz w:val="32"/>
        </w:rPr>
        <w:t>浙江天隆工程管理有限公司</w:t>
      </w:r>
    </w:p>
    <w:p w14:paraId="2E97E4B4">
      <w:pPr>
        <w:snapToGrid w:val="0"/>
        <w:spacing w:before="120" w:line="312" w:lineRule="auto"/>
        <w:rPr>
          <w:rFonts w:ascii="Times New Roman" w:hAnsi="Times New Roman" w:eastAsia="华文新魏" w:cs="Times New Roman"/>
          <w:b/>
          <w:w w:val="95"/>
          <w:sz w:val="32"/>
        </w:rPr>
      </w:pPr>
    </w:p>
    <w:p w14:paraId="30D5FE46">
      <w:pPr>
        <w:snapToGrid w:val="0"/>
        <w:spacing w:before="120" w:line="312" w:lineRule="auto"/>
        <w:ind w:left="5974" w:hanging="5968" w:hangingChars="1961"/>
        <w:rPr>
          <w:rFonts w:ascii="Times New Roman" w:hAnsi="Times New Roman" w:eastAsia="华文新魏" w:cs="Times New Roman"/>
          <w:b/>
          <w:w w:val="95"/>
          <w:sz w:val="32"/>
        </w:rPr>
      </w:pPr>
    </w:p>
    <w:p w14:paraId="20A209A2">
      <w:pPr>
        <w:snapToGrid w:val="0"/>
        <w:spacing w:before="120" w:line="312" w:lineRule="auto"/>
        <w:rPr>
          <w:rFonts w:ascii="Times New Roman" w:hAnsi="Times New Roman" w:eastAsia="华文新魏" w:cs="Times New Roman"/>
          <w:b/>
          <w:w w:val="95"/>
          <w:sz w:val="32"/>
        </w:rPr>
      </w:pPr>
    </w:p>
    <w:p w14:paraId="698383F8">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7</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2</w:t>
      </w:r>
      <w:r>
        <w:rPr>
          <w:rFonts w:hint="eastAsia" w:ascii="Times New Roman" w:hAnsi="Times New Roman" w:eastAsia="华文新魏" w:cs="Times New Roman"/>
          <w:b/>
          <w:w w:val="95"/>
          <w:sz w:val="32"/>
        </w:rPr>
        <w:t>日</w:t>
      </w:r>
    </w:p>
    <w:p w14:paraId="5E229336">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3ADBE799">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7B480123">
      <w:pPr>
        <w:spacing w:after="120"/>
        <w:ind w:firstLine="320" w:firstLineChars="100"/>
        <w:rPr>
          <w:rFonts w:ascii="宋体" w:hAnsi="宋体" w:eastAsia="宋体" w:cs="宋体"/>
          <w:kern w:val="0"/>
          <w:sz w:val="32"/>
          <w:szCs w:val="32"/>
        </w:rPr>
      </w:pPr>
    </w:p>
    <w:p w14:paraId="5E93AD29">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采购公告</w:t>
      </w:r>
    </w:p>
    <w:p w14:paraId="38287323">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招标需求</w:t>
      </w:r>
    </w:p>
    <w:p w14:paraId="4F5BD967">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投标人须知</w:t>
      </w:r>
    </w:p>
    <w:p w14:paraId="73CFA68E">
      <w:pPr>
        <w:snapToGrid w:val="0"/>
        <w:spacing w:line="360" w:lineRule="auto"/>
        <w:ind w:left="1440"/>
        <w:rPr>
          <w:rFonts w:ascii="宋体" w:hAnsi="宋体" w:eastAsia="宋体" w:cs="宋体"/>
          <w:sz w:val="32"/>
          <w:szCs w:val="32"/>
        </w:rPr>
      </w:pPr>
      <w:r>
        <w:rPr>
          <w:rFonts w:hint="eastAsia" w:ascii="宋体" w:hAnsi="宋体" w:eastAsia="宋体" w:cs="宋体"/>
          <w:sz w:val="32"/>
          <w:szCs w:val="32"/>
        </w:rPr>
        <w:t>前附表</w:t>
      </w:r>
    </w:p>
    <w:p w14:paraId="0666DA18">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总则</w:t>
      </w:r>
    </w:p>
    <w:p w14:paraId="285AC8E3">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采购文件</w:t>
      </w:r>
    </w:p>
    <w:p w14:paraId="249E8A2C">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投标文件编制</w:t>
      </w:r>
    </w:p>
    <w:p w14:paraId="6D6EF2E1">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开标</w:t>
      </w:r>
    </w:p>
    <w:p w14:paraId="0802FE76">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评标</w:t>
      </w:r>
    </w:p>
    <w:p w14:paraId="2EB2C8C5">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定标</w:t>
      </w:r>
    </w:p>
    <w:p w14:paraId="2ED13A26">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合同授予</w:t>
      </w:r>
    </w:p>
    <w:p w14:paraId="5F747E6D">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第四章  评标办法及评分标准</w:t>
      </w:r>
    </w:p>
    <w:p w14:paraId="6B8DE9F9">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第五章  政府采购合同主要条款</w:t>
      </w:r>
    </w:p>
    <w:p w14:paraId="5DD5FB36">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第六章  投标文件相关格式</w:t>
      </w:r>
    </w:p>
    <w:p w14:paraId="509CF0D0">
      <w:pPr>
        <w:snapToGrid w:val="0"/>
        <w:spacing w:before="120" w:line="312" w:lineRule="auto"/>
        <w:outlineLvl w:val="0"/>
        <w:rPr>
          <w:rFonts w:ascii="宋体" w:hAnsi="宋体" w:eastAsia="宋体" w:cs="宋体"/>
          <w:sz w:val="32"/>
          <w:szCs w:val="32"/>
        </w:rPr>
      </w:pPr>
    </w:p>
    <w:p w14:paraId="0DA35DDA">
      <w:pPr>
        <w:snapToGrid w:val="0"/>
        <w:spacing w:before="120" w:line="312" w:lineRule="auto"/>
        <w:outlineLvl w:val="0"/>
        <w:rPr>
          <w:rFonts w:ascii="Times New Roman" w:hAnsi="Times New Roman" w:eastAsia="宋体" w:cs="Times New Roman"/>
        </w:rPr>
      </w:pPr>
    </w:p>
    <w:p w14:paraId="7D7E4889">
      <w:pPr>
        <w:snapToGrid w:val="0"/>
        <w:spacing w:before="120" w:line="312" w:lineRule="auto"/>
        <w:outlineLvl w:val="0"/>
        <w:rPr>
          <w:rFonts w:ascii="Times New Roman" w:hAnsi="Times New Roman" w:eastAsia="宋体" w:cs="Times New Roman"/>
        </w:rPr>
      </w:pPr>
    </w:p>
    <w:p w14:paraId="6F53DD42">
      <w:pPr>
        <w:snapToGrid w:val="0"/>
        <w:spacing w:before="120" w:line="312" w:lineRule="auto"/>
        <w:outlineLvl w:val="0"/>
        <w:rPr>
          <w:rFonts w:ascii="Times New Roman" w:hAnsi="Times New Roman" w:eastAsia="宋体" w:cs="Times New Roman"/>
        </w:rPr>
      </w:pPr>
    </w:p>
    <w:p w14:paraId="203EE0E3">
      <w:pPr>
        <w:snapToGrid w:val="0"/>
        <w:spacing w:before="120" w:line="312" w:lineRule="auto"/>
        <w:outlineLvl w:val="0"/>
        <w:rPr>
          <w:rFonts w:ascii="Times New Roman" w:hAnsi="Times New Roman" w:eastAsia="宋体" w:cs="Times New Roman"/>
        </w:rPr>
      </w:pPr>
    </w:p>
    <w:p w14:paraId="2052F903">
      <w:pPr>
        <w:snapToGrid w:val="0"/>
        <w:spacing w:before="120" w:line="312" w:lineRule="auto"/>
        <w:outlineLvl w:val="0"/>
        <w:rPr>
          <w:rFonts w:ascii="Times New Roman" w:hAnsi="Times New Roman" w:eastAsia="宋体" w:cs="Times New Roman"/>
        </w:rPr>
      </w:pPr>
    </w:p>
    <w:p w14:paraId="3EC23AC2">
      <w:pPr>
        <w:snapToGrid w:val="0"/>
        <w:spacing w:before="120" w:line="312" w:lineRule="auto"/>
        <w:outlineLvl w:val="0"/>
        <w:rPr>
          <w:rFonts w:ascii="Times New Roman" w:hAnsi="Times New Roman" w:eastAsia="宋体" w:cs="Times New Roman"/>
        </w:rPr>
      </w:pPr>
    </w:p>
    <w:p w14:paraId="4A8FE3F9">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009ACA8A">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 xml:space="preserve">第一章 </w:t>
      </w:r>
      <w:r>
        <w:rPr>
          <w:rFonts w:ascii="Times New Roman" w:hAnsi="Times New Roman" w:eastAsia="黑体" w:cs="Times New Roman"/>
          <w:sz w:val="30"/>
        </w:rPr>
        <w:t xml:space="preserve"> </w:t>
      </w:r>
      <w:r>
        <w:rPr>
          <w:rFonts w:hint="eastAsia" w:ascii="Times New Roman" w:hAnsi="Times New Roman" w:eastAsia="黑体" w:cs="Times New Roman"/>
          <w:sz w:val="30"/>
        </w:rPr>
        <w:t>公开招标采购公告</w:t>
      </w:r>
    </w:p>
    <w:p w14:paraId="6048B549">
      <w:pPr>
        <w:spacing w:line="312" w:lineRule="auto"/>
        <w:rPr>
          <w:rFonts w:ascii="Times New Roman" w:hAnsi="Times New Roman" w:eastAsia="宋体" w:cs="Times New Roman"/>
        </w:rPr>
      </w:pPr>
    </w:p>
    <w:p w14:paraId="309E40CB">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u w:val="single"/>
        </w:rPr>
        <w:t>项目概况：定海区城镇房屋结构监测及装修巡查技术服务项目的潜在投标人应在浙江政府采购网http://zfcg.czt.zj.gov.cn/（用“政采云”注册账号、密码登录系统后获取采购文件）获取（下载）采购文件，并于2025年</w:t>
      </w:r>
      <w:r>
        <w:rPr>
          <w:rFonts w:hint="eastAsia" w:ascii="宋体" w:hAnsi="宋体" w:eastAsia="宋体" w:cs="宋体"/>
          <w:szCs w:val="21"/>
          <w:u w:val="single"/>
          <w:lang w:val="en-US" w:eastAsia="zh-CN"/>
        </w:rPr>
        <w:t>7</w:t>
      </w:r>
      <w:r>
        <w:rPr>
          <w:rFonts w:hint="eastAsia" w:ascii="宋体" w:hAnsi="宋体" w:eastAsia="宋体" w:cs="宋体"/>
          <w:szCs w:val="21"/>
          <w:u w:val="single"/>
        </w:rPr>
        <w:t>月</w:t>
      </w:r>
      <w:r>
        <w:rPr>
          <w:rFonts w:hint="eastAsia" w:ascii="宋体" w:hAnsi="宋体" w:eastAsia="宋体" w:cs="宋体"/>
          <w:szCs w:val="21"/>
          <w:u w:val="single"/>
          <w:lang w:val="en-US" w:eastAsia="zh-CN"/>
        </w:rPr>
        <w:t>23</w:t>
      </w:r>
      <w:r>
        <w:rPr>
          <w:rFonts w:hint="eastAsia" w:ascii="宋体" w:hAnsi="宋体" w:eastAsia="宋体" w:cs="宋体"/>
          <w:szCs w:val="21"/>
          <w:u w:val="single"/>
        </w:rPr>
        <w:t>日</w:t>
      </w:r>
      <w:r>
        <w:rPr>
          <w:rFonts w:hint="eastAsia" w:ascii="宋体" w:hAnsi="宋体" w:eastAsia="宋体" w:cs="宋体"/>
          <w:szCs w:val="21"/>
          <w:u w:val="single"/>
          <w:lang w:val="en-US" w:eastAsia="zh-CN"/>
        </w:rPr>
        <w:t>9:00</w:t>
      </w:r>
      <w:r>
        <w:rPr>
          <w:rFonts w:hint="eastAsia" w:ascii="宋体" w:hAnsi="宋体" w:eastAsia="宋体" w:cs="宋体"/>
          <w:szCs w:val="21"/>
          <w:u w:val="single"/>
        </w:rPr>
        <w:t>（北京时间）前递交（上传）投标文件。</w:t>
      </w:r>
    </w:p>
    <w:p w14:paraId="0D2A5BCB">
      <w:pPr>
        <w:pStyle w:val="25"/>
        <w:numPr>
          <w:ilvl w:val="0"/>
          <w:numId w:val="8"/>
        </w:numPr>
        <w:ind w:firstLine="211"/>
        <w:rPr>
          <w:rFonts w:ascii="宋体" w:hAnsi="宋体" w:cs="宋体"/>
          <w:b/>
          <w:bCs/>
          <w:szCs w:val="21"/>
          <w:u w:val="single"/>
        </w:rPr>
      </w:pPr>
      <w:r>
        <w:rPr>
          <w:rFonts w:hint="eastAsia" w:ascii="宋体" w:hAnsi="宋体" w:cs="宋体"/>
          <w:b/>
          <w:bCs/>
          <w:szCs w:val="21"/>
          <w:u w:val="single"/>
        </w:rPr>
        <w:t>项目基本情况</w:t>
      </w:r>
    </w:p>
    <w:p w14:paraId="1E8BFA2C">
      <w:pPr>
        <w:snapToGrid w:val="0"/>
        <w:spacing w:before="120" w:line="312" w:lineRule="auto"/>
        <w:ind w:firstLine="630" w:firstLineChars="300"/>
        <w:rPr>
          <w:rFonts w:ascii="宋体" w:hAnsi="宋体" w:eastAsia="宋体" w:cs="宋体"/>
          <w:szCs w:val="21"/>
        </w:rPr>
      </w:pPr>
      <w:r>
        <w:rPr>
          <w:rFonts w:hint="eastAsia" w:ascii="宋体" w:hAnsi="宋体" w:eastAsia="宋体" w:cs="宋体"/>
          <w:szCs w:val="21"/>
        </w:rPr>
        <w:t>1、项目编号：TLZB-2025-77</w:t>
      </w:r>
    </w:p>
    <w:p w14:paraId="04167F01">
      <w:pPr>
        <w:widowControl/>
        <w:spacing w:line="360" w:lineRule="auto"/>
        <w:ind w:firstLine="630" w:firstLineChars="300"/>
        <w:jc w:val="left"/>
        <w:rPr>
          <w:rFonts w:ascii="宋体" w:hAnsi="宋体" w:eastAsia="宋体" w:cs="宋体"/>
          <w:szCs w:val="21"/>
          <w:u w:val="single"/>
        </w:rPr>
      </w:pPr>
      <w:r>
        <w:rPr>
          <w:rFonts w:hint="eastAsia" w:ascii="宋体" w:hAnsi="宋体" w:eastAsia="宋体" w:cs="宋体"/>
          <w:szCs w:val="21"/>
        </w:rPr>
        <w:t>2、项目名称：</w:t>
      </w:r>
      <w:r>
        <w:rPr>
          <w:rFonts w:hint="eastAsia" w:ascii="宋体" w:hAnsi="宋体" w:eastAsia="宋体" w:cs="宋体"/>
          <w:szCs w:val="21"/>
          <w:u w:val="single"/>
        </w:rPr>
        <w:t>定海区城镇房屋结构监测及装修巡查技术服务项目</w:t>
      </w:r>
    </w:p>
    <w:p w14:paraId="146B5E95">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3、预算金额：</w:t>
      </w:r>
      <w:r>
        <w:rPr>
          <w:rFonts w:hint="eastAsia" w:ascii="宋体" w:hAnsi="宋体" w:eastAsia="宋体" w:cs="宋体"/>
          <w:szCs w:val="21"/>
          <w:lang w:val="en-US" w:eastAsia="zh-CN"/>
        </w:rPr>
        <w:t>646.8</w:t>
      </w:r>
      <w:r>
        <w:rPr>
          <w:rFonts w:hint="eastAsia" w:ascii="宋体" w:hAnsi="宋体" w:eastAsia="宋体" w:cs="宋体"/>
          <w:szCs w:val="21"/>
        </w:rPr>
        <w:t>万元</w:t>
      </w:r>
    </w:p>
    <w:p w14:paraId="4A7C6CDE">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4、最高限价：</w:t>
      </w:r>
      <w:r>
        <w:rPr>
          <w:rFonts w:hint="eastAsia" w:ascii="宋体" w:hAnsi="宋体" w:eastAsia="宋体" w:cs="宋体"/>
          <w:szCs w:val="21"/>
          <w:lang w:val="en-US" w:eastAsia="zh-CN"/>
        </w:rPr>
        <w:t>646.8</w:t>
      </w:r>
      <w:r>
        <w:rPr>
          <w:rFonts w:hint="eastAsia" w:ascii="宋体" w:hAnsi="宋体" w:eastAsia="宋体" w:cs="宋体"/>
          <w:szCs w:val="21"/>
        </w:rPr>
        <w:t>万元</w:t>
      </w:r>
    </w:p>
    <w:p w14:paraId="285DB477">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5、采购需求：</w:t>
      </w:r>
    </w:p>
    <w:tbl>
      <w:tblPr>
        <w:tblStyle w:val="60"/>
        <w:tblW w:w="9054"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948"/>
        <w:gridCol w:w="3074"/>
        <w:gridCol w:w="1332"/>
        <w:gridCol w:w="1341"/>
        <w:gridCol w:w="1470"/>
        <w:gridCol w:w="889"/>
      </w:tblGrid>
      <w:tr w14:paraId="188938E0">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14:paraId="13DB3418">
            <w:pPr>
              <w:widowControl/>
              <w:spacing w:line="360" w:lineRule="auto"/>
              <w:jc w:val="left"/>
              <w:rPr>
                <w:rFonts w:ascii="宋体" w:hAnsi="宋体" w:eastAsia="宋体" w:cs="宋体"/>
                <w:szCs w:val="21"/>
              </w:rPr>
            </w:pPr>
            <w:r>
              <w:rPr>
                <w:rFonts w:hint="eastAsia" w:ascii="宋体" w:hAnsi="宋体" w:eastAsia="宋体" w:cs="宋体"/>
                <w:szCs w:val="21"/>
              </w:rPr>
              <w:t>序号</w:t>
            </w:r>
          </w:p>
        </w:tc>
        <w:tc>
          <w:tcPr>
            <w:tcW w:w="3074" w:type="dxa"/>
            <w:tcBorders>
              <w:top w:val="single" w:color="000000" w:sz="6" w:space="0"/>
              <w:left w:val="nil"/>
              <w:bottom w:val="single" w:color="000000" w:sz="6" w:space="0"/>
              <w:right w:val="single" w:color="000000" w:sz="6" w:space="0"/>
            </w:tcBorders>
            <w:noWrap/>
            <w:tcMar>
              <w:left w:w="105" w:type="dxa"/>
              <w:right w:w="105" w:type="dxa"/>
            </w:tcMar>
            <w:vAlign w:val="center"/>
          </w:tcPr>
          <w:p w14:paraId="4A73EB5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项目名称</w:t>
            </w:r>
          </w:p>
        </w:tc>
        <w:tc>
          <w:tcPr>
            <w:tcW w:w="1332" w:type="dxa"/>
            <w:tcBorders>
              <w:top w:val="single" w:color="000000" w:sz="6" w:space="0"/>
              <w:left w:val="nil"/>
              <w:bottom w:val="single" w:color="000000" w:sz="6" w:space="0"/>
              <w:right w:val="single" w:color="000000" w:sz="6" w:space="0"/>
            </w:tcBorders>
            <w:noWrap/>
            <w:tcMar>
              <w:left w:w="105" w:type="dxa"/>
              <w:right w:w="105" w:type="dxa"/>
            </w:tcMar>
            <w:vAlign w:val="center"/>
          </w:tcPr>
          <w:p w14:paraId="21A613DD">
            <w:pPr>
              <w:widowControl/>
              <w:spacing w:line="360" w:lineRule="auto"/>
              <w:jc w:val="left"/>
              <w:rPr>
                <w:rFonts w:ascii="宋体" w:hAnsi="宋体" w:eastAsia="宋体" w:cs="宋体"/>
                <w:szCs w:val="21"/>
              </w:rPr>
            </w:pPr>
            <w:r>
              <w:rPr>
                <w:rFonts w:hint="eastAsia" w:ascii="宋体" w:hAnsi="宋体" w:eastAsia="宋体" w:cs="宋体"/>
                <w:szCs w:val="21"/>
              </w:rPr>
              <w:t>单位数量</w:t>
            </w:r>
          </w:p>
        </w:tc>
        <w:tc>
          <w:tcPr>
            <w:tcW w:w="1341" w:type="dxa"/>
            <w:tcBorders>
              <w:top w:val="single" w:color="000000" w:sz="6" w:space="0"/>
              <w:left w:val="nil"/>
              <w:bottom w:val="single" w:color="000000" w:sz="6" w:space="0"/>
              <w:right w:val="single" w:color="000000" w:sz="6" w:space="0"/>
            </w:tcBorders>
            <w:noWrap/>
            <w:tcMar>
              <w:left w:w="105" w:type="dxa"/>
              <w:right w:w="105" w:type="dxa"/>
            </w:tcMar>
            <w:vAlign w:val="center"/>
          </w:tcPr>
          <w:p w14:paraId="5CDBA11E">
            <w:pPr>
              <w:widowControl/>
              <w:spacing w:line="360" w:lineRule="auto"/>
              <w:jc w:val="left"/>
              <w:rPr>
                <w:rFonts w:ascii="宋体" w:hAnsi="宋体" w:eastAsia="宋体" w:cs="宋体"/>
                <w:szCs w:val="21"/>
              </w:rPr>
            </w:pPr>
            <w:r>
              <w:rPr>
                <w:rFonts w:hint="eastAsia" w:ascii="宋体" w:hAnsi="宋体" w:eastAsia="宋体" w:cs="宋体"/>
                <w:szCs w:val="21"/>
              </w:rPr>
              <w:t>预算金额</w:t>
            </w:r>
          </w:p>
        </w:tc>
        <w:tc>
          <w:tcPr>
            <w:tcW w:w="1470" w:type="dxa"/>
            <w:tcBorders>
              <w:top w:val="single" w:color="000000" w:sz="6" w:space="0"/>
              <w:left w:val="nil"/>
              <w:bottom w:val="single" w:color="000000" w:sz="6" w:space="0"/>
              <w:right w:val="single" w:color="000000" w:sz="6" w:space="0"/>
            </w:tcBorders>
            <w:noWrap/>
            <w:tcMar>
              <w:left w:w="105" w:type="dxa"/>
              <w:right w:w="105" w:type="dxa"/>
            </w:tcMar>
            <w:vAlign w:val="center"/>
          </w:tcPr>
          <w:p w14:paraId="549CA320">
            <w:pPr>
              <w:widowControl/>
              <w:spacing w:line="360" w:lineRule="auto"/>
              <w:jc w:val="left"/>
              <w:rPr>
                <w:rFonts w:ascii="宋体" w:hAnsi="宋体" w:eastAsia="宋体" w:cs="宋体"/>
                <w:szCs w:val="21"/>
              </w:rPr>
            </w:pPr>
            <w:r>
              <w:rPr>
                <w:rFonts w:hint="eastAsia" w:ascii="宋体" w:hAnsi="宋体" w:eastAsia="宋体" w:cs="宋体"/>
                <w:szCs w:val="21"/>
              </w:rPr>
              <w:t>简要规格描述</w:t>
            </w:r>
          </w:p>
        </w:tc>
        <w:tc>
          <w:tcPr>
            <w:tcW w:w="889" w:type="dxa"/>
            <w:tcBorders>
              <w:top w:val="single" w:color="000000" w:sz="6" w:space="0"/>
              <w:left w:val="nil"/>
              <w:bottom w:val="single" w:color="000000" w:sz="6" w:space="0"/>
              <w:right w:val="single" w:color="000000" w:sz="6" w:space="0"/>
            </w:tcBorders>
            <w:noWrap/>
            <w:tcMar>
              <w:left w:w="105" w:type="dxa"/>
              <w:right w:w="105" w:type="dxa"/>
            </w:tcMar>
            <w:vAlign w:val="center"/>
          </w:tcPr>
          <w:p w14:paraId="092A2542">
            <w:pPr>
              <w:widowControl/>
              <w:spacing w:line="360" w:lineRule="auto"/>
              <w:jc w:val="left"/>
              <w:rPr>
                <w:rFonts w:ascii="宋体" w:hAnsi="宋体" w:eastAsia="宋体" w:cs="宋体"/>
                <w:szCs w:val="21"/>
              </w:rPr>
            </w:pPr>
            <w:r>
              <w:rPr>
                <w:rFonts w:hint="eastAsia" w:ascii="宋体" w:hAnsi="宋体" w:eastAsia="宋体" w:cs="宋体"/>
                <w:szCs w:val="21"/>
              </w:rPr>
              <w:t>备注</w:t>
            </w:r>
          </w:p>
        </w:tc>
      </w:tr>
      <w:tr w14:paraId="6F42D2D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nil"/>
              <w:left w:val="single" w:color="000000" w:sz="6" w:space="0"/>
              <w:bottom w:val="single" w:color="000000" w:sz="6" w:space="0"/>
              <w:right w:val="single" w:color="000000" w:sz="6" w:space="0"/>
            </w:tcBorders>
            <w:noWrap/>
            <w:tcMar>
              <w:left w:w="105" w:type="dxa"/>
              <w:right w:w="105" w:type="dxa"/>
            </w:tcMar>
            <w:vAlign w:val="center"/>
          </w:tcPr>
          <w:p w14:paraId="5E35B20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p>
        </w:tc>
        <w:tc>
          <w:tcPr>
            <w:tcW w:w="3074" w:type="dxa"/>
            <w:tcBorders>
              <w:top w:val="nil"/>
              <w:left w:val="nil"/>
              <w:bottom w:val="single" w:color="000000" w:sz="6" w:space="0"/>
              <w:right w:val="single" w:color="000000" w:sz="6" w:space="0"/>
            </w:tcBorders>
            <w:noWrap/>
            <w:tcMar>
              <w:left w:w="105" w:type="dxa"/>
              <w:right w:w="105" w:type="dxa"/>
            </w:tcMar>
            <w:vAlign w:val="center"/>
          </w:tcPr>
          <w:p w14:paraId="0E66C668">
            <w:pPr>
              <w:widowControl/>
              <w:spacing w:line="360" w:lineRule="auto"/>
              <w:jc w:val="left"/>
              <w:rPr>
                <w:rFonts w:ascii="宋体" w:hAnsi="宋体" w:eastAsia="宋体" w:cs="宋体"/>
                <w:szCs w:val="21"/>
              </w:rPr>
            </w:pPr>
            <w:r>
              <w:rPr>
                <w:rFonts w:hint="eastAsia" w:ascii="宋体" w:hAnsi="宋体" w:eastAsia="宋体" w:cs="宋体"/>
                <w:szCs w:val="21"/>
                <w:u w:val="single"/>
              </w:rPr>
              <w:t>定海区城镇房屋结构监测及装修巡查技术服务项目</w:t>
            </w:r>
          </w:p>
        </w:tc>
        <w:tc>
          <w:tcPr>
            <w:tcW w:w="1332" w:type="dxa"/>
            <w:tcBorders>
              <w:top w:val="nil"/>
              <w:left w:val="nil"/>
              <w:bottom w:val="single" w:color="000000" w:sz="6" w:space="0"/>
              <w:right w:val="single" w:color="000000" w:sz="6" w:space="0"/>
            </w:tcBorders>
            <w:noWrap/>
            <w:tcMar>
              <w:left w:w="105" w:type="dxa"/>
              <w:right w:w="105" w:type="dxa"/>
            </w:tcMar>
            <w:vAlign w:val="center"/>
          </w:tcPr>
          <w:p w14:paraId="0DA9BF1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1项</w:t>
            </w:r>
          </w:p>
        </w:tc>
        <w:tc>
          <w:tcPr>
            <w:tcW w:w="1341" w:type="dxa"/>
            <w:tcBorders>
              <w:top w:val="nil"/>
              <w:left w:val="nil"/>
              <w:bottom w:val="single" w:color="000000" w:sz="6" w:space="0"/>
              <w:right w:val="single" w:color="000000" w:sz="6" w:space="0"/>
            </w:tcBorders>
            <w:noWrap/>
            <w:tcMar>
              <w:left w:w="105" w:type="dxa"/>
              <w:right w:w="105" w:type="dxa"/>
            </w:tcMar>
            <w:vAlign w:val="center"/>
          </w:tcPr>
          <w:p w14:paraId="2CBB5C9C">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646.8</w:t>
            </w:r>
            <w:r>
              <w:rPr>
                <w:rFonts w:hint="eastAsia" w:ascii="宋体" w:hAnsi="宋体" w:eastAsia="宋体" w:cs="宋体"/>
                <w:szCs w:val="21"/>
              </w:rPr>
              <w:t>万元</w:t>
            </w:r>
          </w:p>
        </w:tc>
        <w:tc>
          <w:tcPr>
            <w:tcW w:w="1470" w:type="dxa"/>
            <w:tcBorders>
              <w:top w:val="nil"/>
              <w:left w:val="nil"/>
              <w:bottom w:val="single" w:color="000000" w:sz="6" w:space="0"/>
              <w:right w:val="single" w:color="000000" w:sz="6" w:space="0"/>
            </w:tcBorders>
            <w:noWrap/>
            <w:tcMar>
              <w:left w:w="105" w:type="dxa"/>
              <w:right w:w="105" w:type="dxa"/>
            </w:tcMar>
            <w:vAlign w:val="center"/>
          </w:tcPr>
          <w:p w14:paraId="1DE7B8FB">
            <w:pPr>
              <w:widowControl/>
              <w:spacing w:line="360" w:lineRule="auto"/>
              <w:jc w:val="left"/>
              <w:rPr>
                <w:rFonts w:ascii="宋体" w:hAnsi="宋体" w:eastAsia="宋体" w:cs="宋体"/>
                <w:szCs w:val="21"/>
              </w:rPr>
            </w:pPr>
            <w:r>
              <w:rPr>
                <w:rFonts w:hint="eastAsia" w:ascii="宋体" w:hAnsi="宋体" w:eastAsia="宋体" w:cs="宋体"/>
                <w:szCs w:val="21"/>
              </w:rPr>
              <w:t>详见采购需求</w:t>
            </w:r>
          </w:p>
        </w:tc>
        <w:tc>
          <w:tcPr>
            <w:tcW w:w="889" w:type="dxa"/>
            <w:tcBorders>
              <w:top w:val="nil"/>
              <w:left w:val="nil"/>
              <w:bottom w:val="single" w:color="000000" w:sz="6" w:space="0"/>
              <w:right w:val="single" w:color="000000" w:sz="6" w:space="0"/>
            </w:tcBorders>
            <w:noWrap/>
            <w:tcMar>
              <w:left w:w="105" w:type="dxa"/>
              <w:right w:w="105" w:type="dxa"/>
            </w:tcMar>
            <w:vAlign w:val="center"/>
          </w:tcPr>
          <w:p w14:paraId="36C66809">
            <w:pPr>
              <w:widowControl/>
              <w:spacing w:line="360" w:lineRule="auto"/>
              <w:ind w:firstLine="420" w:firstLineChars="200"/>
              <w:jc w:val="left"/>
              <w:rPr>
                <w:rFonts w:ascii="宋体" w:hAnsi="宋体" w:eastAsia="宋体" w:cs="宋体"/>
                <w:szCs w:val="21"/>
              </w:rPr>
            </w:pPr>
          </w:p>
        </w:tc>
      </w:tr>
    </w:tbl>
    <w:p w14:paraId="226199EB">
      <w:pPr>
        <w:pStyle w:val="55"/>
        <w:spacing w:before="0" w:beforeAutospacing="0" w:after="0" w:afterAutospacing="0" w:line="360" w:lineRule="auto"/>
        <w:ind w:firstLine="630" w:firstLineChars="300"/>
        <w:jc w:val="both"/>
        <w:rPr>
          <w:rFonts w:ascii="宋体" w:hAnsi="宋体" w:cs="宋体"/>
          <w:kern w:val="2"/>
          <w:sz w:val="21"/>
          <w:szCs w:val="21"/>
        </w:rPr>
      </w:pPr>
      <w:r>
        <w:rPr>
          <w:rFonts w:hint="eastAsia" w:ascii="宋体" w:hAnsi="宋体" w:cs="宋体"/>
          <w:kern w:val="2"/>
          <w:sz w:val="21"/>
          <w:szCs w:val="21"/>
        </w:rPr>
        <w:t>6、合同履约期限：本项目总服务期限三年，合同一年一签。一年合同期满但采购人未获得预算或需求取消，则经采购人提前书面通知供应商后，合同到期终止，不再顺延。</w:t>
      </w:r>
    </w:p>
    <w:p w14:paraId="4714C901">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7、本项目不接受联合体投标。</w:t>
      </w:r>
    </w:p>
    <w:p w14:paraId="34809B6A">
      <w:pPr>
        <w:pStyle w:val="125"/>
        <w:spacing w:beforeAutospacing="0" w:afterAutospacing="0" w:line="360" w:lineRule="auto"/>
        <w:jc w:val="both"/>
        <w:rPr>
          <w:rFonts w:ascii="Times New Roman" w:hAnsi="Times New Roman"/>
          <w:szCs w:val="21"/>
        </w:rPr>
      </w:pPr>
      <w:r>
        <w:rPr>
          <w:rFonts w:hint="eastAsia" w:ascii="Times New Roman" w:hAnsi="Times New Roman"/>
          <w:b/>
          <w:bCs/>
          <w:szCs w:val="21"/>
        </w:rPr>
        <w:t>二、投标投标人资格要求</w:t>
      </w:r>
      <w:r>
        <w:rPr>
          <w:rFonts w:ascii="Times New Roman" w:hAnsi="Times New Roman"/>
          <w:b/>
          <w:bCs/>
          <w:szCs w:val="21"/>
        </w:rPr>
        <w:t>:</w:t>
      </w:r>
    </w:p>
    <w:p w14:paraId="771BB531">
      <w:pPr>
        <w:widowControl/>
        <w:shd w:val="clear" w:color="auto" w:fill="FFFFFF"/>
        <w:spacing w:line="360"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1</w:t>
      </w:r>
      <w:r>
        <w:rPr>
          <w:rFonts w:hint="eastAsia" w:ascii="宋体" w:hAnsi="宋体" w:eastAsia="宋体" w:cs="宋体"/>
          <w:kern w:val="0"/>
          <w:szCs w:val="21"/>
        </w:rPr>
        <w:t>、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p w14:paraId="77270C0F">
      <w:pPr>
        <w:widowControl/>
        <w:shd w:val="clear" w:color="auto" w:fill="FFFFFF"/>
        <w:spacing w:line="360"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2、</w:t>
      </w:r>
      <w:r>
        <w:rPr>
          <w:rFonts w:hint="eastAsia" w:ascii="宋体" w:hAnsi="宋体" w:eastAsia="宋体" w:cs="宋体"/>
          <w:kern w:val="0"/>
          <w:szCs w:val="21"/>
        </w:rPr>
        <w:t>未被“信用中国”（www.creditchina.gov.cn）、中国政府采购网（www.ccgp.gov.cn）列入失信被执行人、重大税收违法案件当事人名单、政府采购严重违法失信行为记录名单。</w:t>
      </w:r>
    </w:p>
    <w:p w14:paraId="014FF437">
      <w:pPr>
        <w:pStyle w:val="125"/>
        <w:shd w:val="clear" w:color="auto" w:fill="FFFFFF"/>
        <w:spacing w:beforeAutospacing="0" w:afterAutospacing="0" w:line="360" w:lineRule="auto"/>
        <w:ind w:firstLine="422" w:firstLineChars="200"/>
        <w:rPr>
          <w:rFonts w:cs="宋体"/>
          <w:sz w:val="21"/>
          <w:szCs w:val="21"/>
        </w:rPr>
      </w:pPr>
      <w:r>
        <w:rPr>
          <w:rFonts w:hint="eastAsia" w:cs="宋体"/>
          <w:b/>
          <w:bCs/>
          <w:sz w:val="21"/>
          <w:szCs w:val="21"/>
        </w:rPr>
        <w:t>3、</w:t>
      </w:r>
      <w:r>
        <w:rPr>
          <w:rFonts w:hint="eastAsia" w:cs="宋体"/>
          <w:sz w:val="21"/>
          <w:szCs w:val="21"/>
        </w:rPr>
        <w:t>本项目专门面向中小企业。</w:t>
      </w:r>
    </w:p>
    <w:p w14:paraId="500C2D85">
      <w:pPr>
        <w:widowControl/>
        <w:spacing w:line="36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4、本项目的特定资格要求：具有建设工程质量检测机构资质，检测范围包括:建筑材料及构配件、主体结构及装饰装修、钢结构、地基基础现场检测资质</w:t>
      </w:r>
      <w:r>
        <w:rPr>
          <w:rFonts w:hint="eastAsia" w:ascii="宋体" w:hAnsi="宋体" w:eastAsia="宋体" w:cs="宋体"/>
          <w:kern w:val="0"/>
          <w:szCs w:val="21"/>
          <w:lang w:eastAsia="zh-CN"/>
        </w:rPr>
        <w:t>，（后附《检测能力附表》和《检测报告批准人附表》）</w:t>
      </w:r>
      <w:r>
        <w:rPr>
          <w:rFonts w:hint="eastAsia" w:ascii="宋体" w:hAnsi="宋体" w:eastAsia="宋体" w:cs="宋体"/>
          <w:kern w:val="0"/>
          <w:szCs w:val="21"/>
          <w:lang w:val="en-US" w:eastAsia="zh-CN"/>
        </w:rPr>
        <w:t>；</w:t>
      </w:r>
      <w:r>
        <w:rPr>
          <w:rFonts w:hint="eastAsia" w:ascii="宋体" w:hAnsi="宋体" w:eastAsia="宋体" w:cs="宋体"/>
          <w:kern w:val="0"/>
          <w:szCs w:val="21"/>
        </w:rPr>
        <w:t>或具备建设行政主管部门核发的工程设计资质</w:t>
      </w:r>
      <w:r>
        <w:rPr>
          <w:rFonts w:hint="eastAsia" w:ascii="宋体" w:hAnsi="宋体" w:eastAsia="宋体" w:cs="宋体"/>
          <w:kern w:val="0"/>
          <w:szCs w:val="21"/>
          <w:lang w:eastAsia="zh-CN"/>
        </w:rPr>
        <w:t>。</w:t>
      </w:r>
    </w:p>
    <w:p w14:paraId="56113AF2">
      <w:pPr>
        <w:pStyle w:val="125"/>
        <w:shd w:val="clear" w:color="auto" w:fill="FFFFFF"/>
        <w:spacing w:beforeAutospacing="0" w:afterAutospacing="0" w:line="360" w:lineRule="auto"/>
        <w:rPr>
          <w:rFonts w:ascii="Times New Roman" w:hAnsi="Times New Roman"/>
          <w:szCs w:val="21"/>
        </w:rPr>
      </w:pPr>
      <w:r>
        <w:rPr>
          <w:rFonts w:hint="eastAsia" w:cs="宋体"/>
          <w:szCs w:val="21"/>
        </w:rPr>
        <w:t xml:space="preserve"> </w:t>
      </w:r>
      <w:r>
        <w:rPr>
          <w:rFonts w:hint="eastAsia" w:ascii="Times New Roman" w:hAnsi="Times New Roman"/>
          <w:b/>
          <w:bCs/>
          <w:szCs w:val="21"/>
        </w:rPr>
        <w:t>三、</w:t>
      </w:r>
      <w:r>
        <w:rPr>
          <w:rFonts w:hint="eastAsia" w:ascii="Times New Roman" w:hAnsi="Times New Roman"/>
          <w:b/>
          <w:szCs w:val="21"/>
        </w:rPr>
        <w:t>公告期限：</w:t>
      </w:r>
      <w:r>
        <w:rPr>
          <w:rFonts w:hint="eastAsia" w:ascii="Times New Roman" w:hAnsi="Times New Roman"/>
          <w:b/>
          <w:szCs w:val="21"/>
          <w:u w:val="single"/>
        </w:rPr>
        <w:t>自公告发布之日起</w:t>
      </w:r>
      <w:r>
        <w:rPr>
          <w:rFonts w:ascii="Times New Roman" w:hAnsi="Times New Roman"/>
          <w:b/>
          <w:szCs w:val="21"/>
          <w:u w:val="single"/>
        </w:rPr>
        <w:t>5</w:t>
      </w:r>
      <w:r>
        <w:rPr>
          <w:rFonts w:hint="eastAsia" w:ascii="Times New Roman" w:hAnsi="Times New Roman"/>
          <w:b/>
          <w:szCs w:val="21"/>
          <w:u w:val="single"/>
        </w:rPr>
        <w:t>个工作日</w:t>
      </w:r>
    </w:p>
    <w:p w14:paraId="368085F2">
      <w:pPr>
        <w:snapToGrid w:val="0"/>
        <w:spacing w:line="360" w:lineRule="auto"/>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四、注册及采购文件的获取：</w:t>
      </w:r>
    </w:p>
    <w:p w14:paraId="790268B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22AEF46C">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54B915F9">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、免费注册网址：浙江政府采购网（投标人注册页面）：</w:t>
      </w:r>
    </w:p>
    <w:p w14:paraId="0DEBBD73">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，咨询电话：95763。已经注册成功的投标人无需重复注册。</w:t>
      </w:r>
    </w:p>
    <w:p w14:paraId="4E0F496F">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14:paraId="3AE778A3">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五、投标文件的制作及递交：</w:t>
      </w:r>
    </w:p>
    <w:p w14:paraId="173729BC">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投标人须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59D52C84">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E90B7A2">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69321492">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六、投标保证金：无。</w:t>
      </w:r>
    </w:p>
    <w:p w14:paraId="7B79BC1D">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七、投标截止时间和地址：</w:t>
      </w:r>
    </w:p>
    <w:p w14:paraId="3F81FE5D">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6C895C7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投标人应准备电子投标文件、以介质存储的数据电文形式的备份投标文件二类：</w:t>
      </w:r>
    </w:p>
    <w:p w14:paraId="0A36383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电子交易操作指南及本采购文件要求递交。</w:t>
      </w:r>
      <w:r>
        <w:rPr>
          <w:rFonts w:hint="eastAsia" w:ascii="Times New Roman" w:hAnsi="Times New Roman" w:eastAsia="宋体" w:cs="Times New Roman"/>
          <w:szCs w:val="21"/>
          <w:shd w:val="clear" w:color="auto" w:fill="FFFFFF"/>
        </w:rPr>
        <w:t>投标人应于</w:t>
      </w:r>
      <w:bookmarkStart w:id="1" w:name="_Hlk100345522"/>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rPr>
        <w:t>5</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7</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23</w:t>
      </w:r>
      <w:r>
        <w:rPr>
          <w:rFonts w:hint="eastAsia" w:ascii="Times New Roman" w:hAnsi="Times New Roman" w:eastAsia="宋体" w:cs="Times New Roman"/>
          <w:szCs w:val="21"/>
          <w:shd w:val="clear" w:color="auto" w:fill="FFFFFF"/>
        </w:rPr>
        <w:t xml:space="preserve"> 日 </w:t>
      </w:r>
      <w:r>
        <w:rPr>
          <w:rFonts w:hint="eastAsia" w:ascii="Times New Roman" w:hAnsi="Times New Roman" w:eastAsia="宋体" w:cs="Times New Roman"/>
          <w:szCs w:val="21"/>
          <w:shd w:val="clear" w:color="auto" w:fill="FFFFFF"/>
          <w:lang w:val="en-US" w:eastAsia="zh-CN"/>
        </w:rPr>
        <w:t>9</w:t>
      </w:r>
      <w:r>
        <w:rPr>
          <w:rFonts w:hint="eastAsia" w:ascii="Times New Roman" w:hAnsi="Times New Roman" w:eastAsia="宋体" w:cs="Times New Roman"/>
          <w:szCs w:val="21"/>
          <w:shd w:val="clear" w:color="auto" w:fill="FFFFFF"/>
        </w:rPr>
        <w:t xml:space="preserve"> ：</w:t>
      </w:r>
      <w:bookmarkEnd w:id="1"/>
      <w:r>
        <w:rPr>
          <w:rFonts w:hint="eastAsia" w:ascii="Times New Roman" w:hAnsi="Times New Roman" w:eastAsia="宋体" w:cs="Times New Roman"/>
          <w:szCs w:val="21"/>
          <w:shd w:val="clear" w:color="auto" w:fill="FFFFFF"/>
        </w:rPr>
        <w:t xml:space="preserve"> </w:t>
      </w:r>
      <w:r>
        <w:rPr>
          <w:rFonts w:hint="eastAsia" w:ascii="Times New Roman" w:hAnsi="Times New Roman" w:eastAsia="宋体" w:cs="Times New Roman"/>
          <w:szCs w:val="21"/>
          <w:shd w:val="clear" w:color="auto" w:fill="FFFFFF"/>
          <w:lang w:val="en-US" w:eastAsia="zh-CN"/>
        </w:rPr>
        <w:t>00</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11CE9B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D619B9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7</w:t>
      </w:r>
      <w:r>
        <w:rPr>
          <w:rFonts w:hint="eastAsia" w:ascii="Times New Roman" w:hAnsi="Times New Roman" w:eastAsia="宋体" w:cs="Times New Roman"/>
          <w:kern w:val="0"/>
          <w:szCs w:val="21"/>
        </w:rPr>
        <w:t xml:space="preserve">月 </w:t>
      </w:r>
      <w:r>
        <w:rPr>
          <w:rFonts w:hint="eastAsia" w:ascii="Times New Roman" w:hAnsi="Times New Roman" w:eastAsia="宋体" w:cs="Times New Roman"/>
          <w:kern w:val="0"/>
          <w:szCs w:val="21"/>
          <w:lang w:val="en-US" w:eastAsia="zh-CN"/>
        </w:rPr>
        <w:t>23</w:t>
      </w:r>
      <w:r>
        <w:rPr>
          <w:rFonts w:hint="eastAsia"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9</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00</w:t>
      </w:r>
      <w:r>
        <w:rPr>
          <w:rFonts w:hint="eastAsia" w:ascii="Times New Roman" w:hAnsi="Times New Roman" w:eastAsia="宋体" w:cs="Times New Roman"/>
          <w:kern w:val="0"/>
          <w:szCs w:val="21"/>
        </w:rPr>
        <w:t>（北京时间）前将备份的投标文件（U盘）寄于采购代理公司，未按时寄到的自行承担风险。也可开标会现场递交。</w:t>
      </w:r>
    </w:p>
    <w:p w14:paraId="3D87B32D">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442337FC">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年</w:t>
      </w:r>
      <w:r>
        <w:rPr>
          <w:rFonts w:hint="eastAsia" w:ascii="Times New Roman" w:hAnsi="Times New Roman" w:eastAsia="宋体" w:cs="Times New Roman"/>
          <w:kern w:val="0"/>
          <w:szCs w:val="21"/>
          <w:lang w:val="en-US" w:eastAsia="zh-CN"/>
        </w:rPr>
        <w:t>7</w:t>
      </w:r>
      <w:r>
        <w:rPr>
          <w:rFonts w:hint="eastAsia" w:ascii="Times New Roman" w:hAnsi="Times New Roman" w:eastAsia="宋体" w:cs="Times New Roman"/>
          <w:kern w:val="0"/>
          <w:szCs w:val="21"/>
        </w:rPr>
        <w:t xml:space="preserve">月 </w:t>
      </w:r>
      <w:r>
        <w:rPr>
          <w:rFonts w:hint="eastAsia" w:ascii="Times New Roman" w:hAnsi="Times New Roman" w:eastAsia="宋体" w:cs="Times New Roman"/>
          <w:kern w:val="0"/>
          <w:szCs w:val="21"/>
          <w:lang w:val="en-US" w:eastAsia="zh-CN"/>
        </w:rPr>
        <w:t>23</w:t>
      </w:r>
      <w:r>
        <w:rPr>
          <w:rFonts w:hint="eastAsia"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9</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lang w:val="en-US" w:eastAsia="zh-CN"/>
        </w:rPr>
        <w:t>00</w:t>
      </w:r>
      <w:r>
        <w:rPr>
          <w:rFonts w:hint="eastAsia" w:ascii="Times New Roman" w:hAnsi="Times New Roman" w:eastAsia="宋体" w:cs="Times New Roman"/>
          <w:kern w:val="0"/>
          <w:szCs w:val="21"/>
        </w:rPr>
        <w:t xml:space="preserve">  </w:t>
      </w:r>
    </w:p>
    <w:p w14:paraId="504B4792">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舟山市定海区东山路289号舟山市公共资源交易中心定海区分中心四楼评标  室</w:t>
      </w:r>
    </w:p>
    <w:p w14:paraId="409E5B66">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八、其他事项：</w:t>
      </w:r>
    </w:p>
    <w:p w14:paraId="6EC00E0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1B96B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FAE6C4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2D551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0891B3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九、联系方式：</w:t>
      </w:r>
    </w:p>
    <w:p w14:paraId="5D41A452">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1、招标代理名称：浙江天隆工程管理有限公司</w:t>
      </w:r>
    </w:p>
    <w:p w14:paraId="7B27FAA0">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地址：浙江省舟山市定沈路620号工行金跃大厦23楼</w:t>
      </w:r>
    </w:p>
    <w:p w14:paraId="61159F87">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传真：0580-8260928</w:t>
      </w:r>
    </w:p>
    <w:p w14:paraId="6D47932B">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项目联系人（询问）：王迪</w:t>
      </w:r>
    </w:p>
    <w:p w14:paraId="3E06A819">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项目联系方式（询问）：0580-8260928</w:t>
      </w:r>
    </w:p>
    <w:p w14:paraId="42E1A7A7">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质疑联系人：李云飞</w:t>
      </w:r>
    </w:p>
    <w:p w14:paraId="445741B3">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质疑联系方式：0580-8260928</w:t>
      </w:r>
    </w:p>
    <w:p w14:paraId="46476285">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2、采购人名称：舟山市定海区住房和城乡建设局</w:t>
      </w:r>
    </w:p>
    <w:p w14:paraId="5FB0AC2B">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地址：定海区东路289号7楼</w:t>
      </w:r>
    </w:p>
    <w:p w14:paraId="6CEC145A">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传真：0580-2586022</w:t>
      </w:r>
    </w:p>
    <w:p w14:paraId="06F75D78">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项目联系人（询问）：周杰</w:t>
      </w:r>
    </w:p>
    <w:p w14:paraId="069BC784">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 xml:space="preserve">项目联系方式（询问）：0580-2586022 </w:t>
      </w:r>
    </w:p>
    <w:p w14:paraId="4F93B4D6">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 xml:space="preserve">质疑联系人：陈德伟  </w:t>
      </w:r>
    </w:p>
    <w:p w14:paraId="16411383">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质疑联系方式：0580-2586004</w:t>
      </w:r>
    </w:p>
    <w:p w14:paraId="7F243AFD">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3、同级政府采购监督管理部门名称：舟山市定海区政府采购办公室</w:t>
      </w:r>
    </w:p>
    <w:p w14:paraId="1291FE06">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联系人：林先生</w:t>
      </w:r>
    </w:p>
    <w:p w14:paraId="7D40BD82">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监督投诉电话：0580-2027798</w:t>
      </w:r>
    </w:p>
    <w:p w14:paraId="6DFCE2C9">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传真：0580-2027798</w:t>
      </w:r>
    </w:p>
    <w:p w14:paraId="321C0C9C">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地址：舟山市定海区港务码头1号港务大楼6楼</w:t>
      </w:r>
    </w:p>
    <w:p w14:paraId="3684BDA9">
      <w:pPr>
        <w:pStyle w:val="55"/>
        <w:spacing w:before="0" w:beforeAutospacing="0" w:after="0" w:afterAutospacing="0" w:line="360" w:lineRule="auto"/>
        <w:ind w:firstLine="420"/>
        <w:jc w:val="both"/>
        <w:rPr>
          <w:rFonts w:ascii="宋体" w:hAnsi="宋体" w:cs="Times New Roman"/>
          <w:kern w:val="2"/>
          <w:sz w:val="21"/>
          <w:szCs w:val="21"/>
        </w:rPr>
      </w:pPr>
    </w:p>
    <w:p w14:paraId="127E50F7">
      <w:pPr>
        <w:pStyle w:val="55"/>
        <w:spacing w:before="0" w:beforeAutospacing="0" w:after="0" w:afterAutospacing="0" w:line="360" w:lineRule="auto"/>
        <w:ind w:firstLine="420"/>
        <w:jc w:val="both"/>
        <w:rPr>
          <w:rFonts w:ascii="宋体" w:hAnsi="宋体" w:cs="Times New Roman"/>
          <w:kern w:val="2"/>
          <w:sz w:val="21"/>
          <w:szCs w:val="21"/>
        </w:rPr>
      </w:pPr>
    </w:p>
    <w:p w14:paraId="2CA8DB12">
      <w:pPr>
        <w:pStyle w:val="55"/>
        <w:spacing w:before="0" w:beforeAutospacing="0" w:after="0" w:afterAutospacing="0" w:line="360" w:lineRule="auto"/>
        <w:ind w:firstLine="420"/>
        <w:jc w:val="both"/>
        <w:rPr>
          <w:rFonts w:ascii="宋体" w:hAnsi="宋体" w:cs="Times New Roman"/>
          <w:kern w:val="2"/>
          <w:sz w:val="21"/>
          <w:szCs w:val="21"/>
        </w:rPr>
      </w:pPr>
    </w:p>
    <w:p w14:paraId="69D57329">
      <w:pPr>
        <w:pStyle w:val="55"/>
        <w:spacing w:before="0" w:beforeAutospacing="0" w:after="0" w:afterAutospacing="0" w:line="360" w:lineRule="auto"/>
        <w:ind w:firstLine="420"/>
        <w:jc w:val="both"/>
        <w:rPr>
          <w:rFonts w:ascii="宋体" w:hAnsi="宋体" w:cs="Times New Roman"/>
          <w:kern w:val="2"/>
          <w:sz w:val="21"/>
          <w:szCs w:val="21"/>
        </w:rPr>
      </w:pPr>
    </w:p>
    <w:p w14:paraId="11589C0A">
      <w:pPr>
        <w:pStyle w:val="55"/>
        <w:spacing w:before="0" w:beforeAutospacing="0" w:after="0" w:afterAutospacing="0" w:line="360" w:lineRule="auto"/>
        <w:ind w:firstLine="420"/>
        <w:jc w:val="both"/>
        <w:rPr>
          <w:rFonts w:ascii="宋体" w:hAnsi="宋体" w:cs="Times New Roman"/>
          <w:kern w:val="2"/>
          <w:sz w:val="21"/>
          <w:szCs w:val="21"/>
        </w:rPr>
      </w:pPr>
    </w:p>
    <w:p w14:paraId="143A5590">
      <w:pPr>
        <w:pStyle w:val="55"/>
        <w:spacing w:before="0" w:beforeAutospacing="0" w:after="0" w:afterAutospacing="0" w:line="360" w:lineRule="auto"/>
        <w:ind w:firstLine="420"/>
        <w:jc w:val="both"/>
        <w:rPr>
          <w:rFonts w:ascii="宋体" w:hAnsi="宋体" w:cs="Times New Roman"/>
          <w:kern w:val="2"/>
          <w:sz w:val="21"/>
          <w:szCs w:val="21"/>
        </w:rPr>
      </w:pPr>
    </w:p>
    <w:p w14:paraId="3A29D3F3">
      <w:pPr>
        <w:pStyle w:val="55"/>
        <w:spacing w:before="0" w:beforeAutospacing="0" w:after="0" w:afterAutospacing="0" w:line="360" w:lineRule="auto"/>
        <w:ind w:firstLine="420"/>
        <w:jc w:val="both"/>
        <w:rPr>
          <w:rFonts w:ascii="宋体" w:hAnsi="宋体" w:cs="Times New Roman"/>
          <w:kern w:val="2"/>
          <w:sz w:val="21"/>
          <w:szCs w:val="21"/>
        </w:rPr>
      </w:pPr>
    </w:p>
    <w:p w14:paraId="2F6CCFDF">
      <w:pPr>
        <w:pStyle w:val="55"/>
        <w:spacing w:before="0" w:beforeAutospacing="0" w:after="0" w:afterAutospacing="0" w:line="360" w:lineRule="auto"/>
        <w:ind w:firstLine="420"/>
        <w:jc w:val="both"/>
        <w:rPr>
          <w:rFonts w:ascii="宋体" w:hAnsi="宋体" w:cs="Times New Roman"/>
          <w:kern w:val="2"/>
          <w:sz w:val="21"/>
          <w:szCs w:val="21"/>
        </w:rPr>
      </w:pPr>
    </w:p>
    <w:p w14:paraId="57EF9FEE">
      <w:pPr>
        <w:pStyle w:val="55"/>
        <w:spacing w:before="0" w:beforeAutospacing="0" w:after="0" w:afterAutospacing="0" w:line="360" w:lineRule="auto"/>
        <w:ind w:firstLine="420"/>
        <w:jc w:val="both"/>
        <w:rPr>
          <w:rFonts w:ascii="宋体" w:hAnsi="宋体" w:cs="Times New Roman"/>
          <w:kern w:val="2"/>
          <w:sz w:val="21"/>
          <w:szCs w:val="21"/>
        </w:rPr>
      </w:pPr>
    </w:p>
    <w:p w14:paraId="47CD4AC1">
      <w:pPr>
        <w:pStyle w:val="55"/>
        <w:spacing w:before="0" w:beforeAutospacing="0" w:after="0" w:afterAutospacing="0" w:line="360" w:lineRule="auto"/>
        <w:ind w:firstLine="420"/>
        <w:jc w:val="both"/>
        <w:rPr>
          <w:rFonts w:ascii="宋体" w:hAnsi="宋体" w:cs="Times New Roman"/>
          <w:kern w:val="2"/>
          <w:sz w:val="21"/>
          <w:szCs w:val="21"/>
        </w:rPr>
      </w:pPr>
    </w:p>
    <w:p w14:paraId="30AF6B0C">
      <w:pPr>
        <w:pStyle w:val="55"/>
        <w:spacing w:before="0" w:beforeAutospacing="0" w:after="0" w:afterAutospacing="0" w:line="360" w:lineRule="auto"/>
        <w:ind w:firstLine="420"/>
        <w:jc w:val="both"/>
        <w:rPr>
          <w:rFonts w:ascii="宋体" w:hAnsi="宋体" w:cs="Times New Roman"/>
          <w:kern w:val="2"/>
          <w:sz w:val="21"/>
          <w:szCs w:val="21"/>
        </w:rPr>
      </w:pPr>
    </w:p>
    <w:p w14:paraId="54F9601C">
      <w:pPr>
        <w:pStyle w:val="55"/>
        <w:spacing w:before="0" w:beforeAutospacing="0" w:after="0" w:afterAutospacing="0" w:line="360" w:lineRule="auto"/>
        <w:ind w:firstLine="420"/>
        <w:jc w:val="both"/>
        <w:rPr>
          <w:rFonts w:ascii="宋体" w:hAnsi="宋体" w:cs="Times New Roman"/>
          <w:kern w:val="2"/>
          <w:sz w:val="21"/>
          <w:szCs w:val="21"/>
        </w:rPr>
      </w:pPr>
    </w:p>
    <w:p w14:paraId="530402B0">
      <w:pPr>
        <w:pStyle w:val="55"/>
        <w:spacing w:before="0" w:beforeAutospacing="0" w:after="0" w:afterAutospacing="0" w:line="360" w:lineRule="auto"/>
        <w:ind w:firstLine="420"/>
        <w:jc w:val="both"/>
        <w:rPr>
          <w:rFonts w:ascii="宋体" w:hAnsi="宋体" w:cs="Times New Roman"/>
          <w:kern w:val="2"/>
          <w:sz w:val="21"/>
          <w:szCs w:val="21"/>
        </w:rPr>
      </w:pPr>
    </w:p>
    <w:p w14:paraId="5B398126">
      <w:pPr>
        <w:pStyle w:val="55"/>
        <w:spacing w:before="0" w:beforeAutospacing="0" w:after="0" w:afterAutospacing="0" w:line="360" w:lineRule="auto"/>
        <w:ind w:firstLine="420"/>
        <w:jc w:val="both"/>
        <w:rPr>
          <w:rFonts w:ascii="宋体" w:hAnsi="宋体" w:cs="Times New Roman"/>
          <w:kern w:val="2"/>
          <w:sz w:val="21"/>
          <w:szCs w:val="21"/>
        </w:rPr>
      </w:pPr>
    </w:p>
    <w:p w14:paraId="51B8EC50">
      <w:pPr>
        <w:pStyle w:val="55"/>
        <w:spacing w:before="0" w:beforeAutospacing="0" w:after="0" w:afterAutospacing="0" w:line="360" w:lineRule="auto"/>
        <w:ind w:firstLine="420"/>
        <w:jc w:val="both"/>
        <w:rPr>
          <w:rFonts w:ascii="宋体" w:hAnsi="宋体" w:cs="Times New Roman"/>
          <w:kern w:val="2"/>
          <w:sz w:val="21"/>
          <w:szCs w:val="21"/>
        </w:rPr>
      </w:pPr>
    </w:p>
    <w:p w14:paraId="3DB197C3">
      <w:pPr>
        <w:pStyle w:val="55"/>
        <w:spacing w:before="0" w:beforeAutospacing="0" w:after="0" w:afterAutospacing="0" w:line="360" w:lineRule="auto"/>
        <w:ind w:firstLine="420"/>
        <w:jc w:val="both"/>
        <w:rPr>
          <w:rFonts w:ascii="宋体" w:hAnsi="宋体" w:cs="Times New Roman"/>
          <w:kern w:val="2"/>
          <w:sz w:val="21"/>
          <w:szCs w:val="21"/>
        </w:rPr>
      </w:pPr>
    </w:p>
    <w:p w14:paraId="2532E394">
      <w:pPr>
        <w:pStyle w:val="55"/>
        <w:spacing w:before="0" w:beforeAutospacing="0" w:after="0" w:afterAutospacing="0" w:line="360" w:lineRule="auto"/>
        <w:ind w:firstLine="420"/>
        <w:jc w:val="both"/>
        <w:rPr>
          <w:rFonts w:ascii="宋体" w:hAnsi="宋体" w:cs="Times New Roman"/>
          <w:kern w:val="2"/>
          <w:sz w:val="21"/>
          <w:szCs w:val="21"/>
        </w:rPr>
      </w:pPr>
    </w:p>
    <w:p w14:paraId="28DF6176">
      <w:pPr>
        <w:pStyle w:val="55"/>
        <w:spacing w:before="0" w:beforeAutospacing="0" w:after="0" w:afterAutospacing="0" w:line="360" w:lineRule="auto"/>
        <w:ind w:firstLine="420"/>
        <w:jc w:val="both"/>
        <w:rPr>
          <w:rFonts w:ascii="宋体" w:hAnsi="宋体" w:cs="Times New Roman"/>
          <w:kern w:val="2"/>
          <w:sz w:val="21"/>
          <w:szCs w:val="21"/>
        </w:rPr>
      </w:pPr>
    </w:p>
    <w:p w14:paraId="263C1EAA">
      <w:pPr>
        <w:pStyle w:val="55"/>
        <w:spacing w:before="0" w:beforeAutospacing="0" w:after="0" w:afterAutospacing="0" w:line="360" w:lineRule="auto"/>
        <w:ind w:firstLine="420"/>
        <w:jc w:val="both"/>
        <w:rPr>
          <w:rFonts w:ascii="宋体" w:hAnsi="宋体" w:cs="Times New Roman"/>
          <w:kern w:val="2"/>
          <w:sz w:val="21"/>
          <w:szCs w:val="21"/>
        </w:rPr>
      </w:pPr>
    </w:p>
    <w:p w14:paraId="1E7F14FC">
      <w:pPr>
        <w:pStyle w:val="55"/>
        <w:spacing w:before="0" w:beforeAutospacing="0" w:after="0" w:afterAutospacing="0" w:line="360" w:lineRule="auto"/>
        <w:ind w:firstLine="420"/>
        <w:jc w:val="both"/>
        <w:rPr>
          <w:rFonts w:ascii="宋体" w:hAnsi="宋体" w:cs="Times New Roman"/>
          <w:kern w:val="2"/>
          <w:sz w:val="21"/>
          <w:szCs w:val="21"/>
        </w:rPr>
      </w:pPr>
    </w:p>
    <w:p w14:paraId="4C61DCED">
      <w:pPr>
        <w:pStyle w:val="55"/>
        <w:spacing w:before="0" w:beforeAutospacing="0" w:after="0" w:afterAutospacing="0" w:line="360" w:lineRule="auto"/>
        <w:ind w:firstLine="420"/>
        <w:jc w:val="both"/>
        <w:rPr>
          <w:rFonts w:ascii="宋体" w:hAnsi="宋体" w:cs="Times New Roman"/>
          <w:kern w:val="2"/>
          <w:sz w:val="21"/>
          <w:szCs w:val="21"/>
        </w:rPr>
      </w:pPr>
    </w:p>
    <w:p w14:paraId="453DE3A1">
      <w:pPr>
        <w:pStyle w:val="55"/>
        <w:spacing w:before="0" w:beforeAutospacing="0" w:after="0" w:afterAutospacing="0" w:line="360" w:lineRule="auto"/>
        <w:ind w:firstLine="420"/>
        <w:jc w:val="both"/>
        <w:rPr>
          <w:rFonts w:ascii="宋体" w:hAnsi="宋体" w:cs="Times New Roman"/>
          <w:kern w:val="2"/>
          <w:sz w:val="21"/>
          <w:szCs w:val="21"/>
        </w:rPr>
      </w:pPr>
    </w:p>
    <w:p w14:paraId="5AB80AEE">
      <w:pPr>
        <w:pStyle w:val="55"/>
        <w:spacing w:before="0" w:beforeAutospacing="0" w:after="0" w:afterAutospacing="0" w:line="360" w:lineRule="auto"/>
        <w:ind w:firstLine="420"/>
        <w:jc w:val="both"/>
        <w:rPr>
          <w:rFonts w:ascii="宋体" w:hAnsi="宋体" w:cs="Times New Roman"/>
          <w:kern w:val="2"/>
          <w:sz w:val="21"/>
          <w:szCs w:val="21"/>
        </w:rPr>
      </w:pPr>
    </w:p>
    <w:p w14:paraId="56922842">
      <w:pPr>
        <w:pStyle w:val="55"/>
        <w:spacing w:before="0" w:beforeAutospacing="0" w:after="0" w:afterAutospacing="0" w:line="360" w:lineRule="auto"/>
        <w:ind w:firstLine="420"/>
        <w:jc w:val="both"/>
        <w:rPr>
          <w:rFonts w:ascii="宋体" w:hAnsi="宋体" w:cs="Times New Roman"/>
          <w:kern w:val="2"/>
          <w:sz w:val="21"/>
          <w:szCs w:val="21"/>
        </w:rPr>
      </w:pPr>
    </w:p>
    <w:p w14:paraId="25E8EFEB">
      <w:pPr>
        <w:numPr>
          <w:ilvl w:val="0"/>
          <w:numId w:val="9"/>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 xml:space="preserve"> 采购需求</w:t>
      </w:r>
    </w:p>
    <w:p w14:paraId="07B87E4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定海区城镇老旧房屋结构监测技术服务项目，主要对舟山市定海区城镇老旧房屋进行人工监测以及对城镇房屋装修（结构拆改）进行巡查。总期限三年，合同一年一签。一年合同期满但采购人未获得预算或需求取消，则经采购人提前书面通知供应商后，合同到期终止，不再顺延。</w:t>
      </w:r>
    </w:p>
    <w:p w14:paraId="0063A6F2">
      <w:pPr>
        <w:pStyle w:val="16"/>
        <w:snapToGrid w:val="0"/>
        <w:spacing w:line="480" w:lineRule="exact"/>
        <w:ind w:firstLine="0"/>
        <w:rPr>
          <w:b/>
          <w:bCs/>
          <w:kern w:val="2"/>
          <w:sz w:val="21"/>
          <w:szCs w:val="21"/>
        </w:rPr>
      </w:pPr>
      <w:r>
        <w:rPr>
          <w:b/>
          <w:bCs/>
          <w:kern w:val="2"/>
          <w:sz w:val="21"/>
          <w:szCs w:val="21"/>
        </w:rPr>
        <w:t>一、项目概况</w:t>
      </w:r>
    </w:p>
    <w:p w14:paraId="13656B1E">
      <w:pPr>
        <w:spacing w:line="440" w:lineRule="exact"/>
        <w:ind w:firstLine="417" w:firstLineChars="199"/>
        <w:rPr>
          <w:rFonts w:ascii="Times New Roman" w:hAnsi="Times New Roman" w:eastAsia="宋体" w:cs="Times New Roman"/>
          <w:szCs w:val="21"/>
        </w:rPr>
      </w:pPr>
      <w:r>
        <w:rPr>
          <w:rFonts w:ascii="Times New Roman" w:hAnsi="Times New Roman" w:eastAsia="宋体" w:cs="Times New Roman"/>
          <w:szCs w:val="21"/>
        </w:rPr>
        <w:t>定海区城镇住宅房屋动态监测及装修</w:t>
      </w:r>
      <w:r>
        <w:rPr>
          <w:rFonts w:hint="eastAsia" w:ascii="Times New Roman" w:hAnsi="Times New Roman" w:eastAsia="宋体" w:cs="Times New Roman"/>
          <w:szCs w:val="21"/>
          <w:lang w:eastAsia="zh-Hans"/>
        </w:rPr>
        <w:t>备案</w:t>
      </w:r>
      <w:r>
        <w:rPr>
          <w:rFonts w:ascii="Times New Roman" w:hAnsi="Times New Roman" w:eastAsia="宋体" w:cs="Times New Roman"/>
          <w:szCs w:val="21"/>
          <w:lang w:eastAsia="zh-Hans"/>
        </w:rPr>
        <w:t>、</w:t>
      </w:r>
      <w:r>
        <w:rPr>
          <w:rFonts w:ascii="Times New Roman" w:hAnsi="Times New Roman" w:eastAsia="宋体" w:cs="Times New Roman"/>
          <w:szCs w:val="21"/>
        </w:rPr>
        <w:t>巡查技术服务项目，服务期限</w:t>
      </w:r>
      <w:r>
        <w:rPr>
          <w:rFonts w:hint="eastAsia" w:ascii="Times New Roman" w:hAnsi="Times New Roman" w:eastAsia="宋体" w:cs="Times New Roman"/>
          <w:szCs w:val="21"/>
        </w:rPr>
        <w:t>3</w:t>
      </w:r>
      <w:r>
        <w:rPr>
          <w:rFonts w:ascii="Times New Roman" w:hAnsi="Times New Roman" w:eastAsia="宋体" w:cs="Times New Roman"/>
          <w:szCs w:val="21"/>
        </w:rPr>
        <w:t>年；</w:t>
      </w:r>
      <w:r>
        <w:rPr>
          <w:rFonts w:hint="eastAsia" w:ascii="Times New Roman" w:hAnsi="Times New Roman" w:eastAsia="宋体" w:cs="Times New Roman"/>
          <w:szCs w:val="21"/>
        </w:rPr>
        <w:t>合同一年一签，</w:t>
      </w:r>
      <w:r>
        <w:rPr>
          <w:rFonts w:ascii="Times New Roman" w:hAnsi="Times New Roman" w:eastAsia="宋体" w:cs="Times New Roman"/>
          <w:szCs w:val="21"/>
        </w:rPr>
        <w:t>经釆购人考核合格后，</w:t>
      </w:r>
      <w:r>
        <w:rPr>
          <w:rFonts w:hint="eastAsia" w:ascii="Times New Roman" w:hAnsi="Times New Roman" w:eastAsia="宋体" w:cs="Times New Roman"/>
          <w:szCs w:val="21"/>
        </w:rPr>
        <w:t>可签订</w:t>
      </w:r>
      <w:r>
        <w:rPr>
          <w:rFonts w:ascii="Times New Roman" w:hAnsi="Times New Roman" w:eastAsia="宋体" w:cs="Times New Roman"/>
          <w:szCs w:val="21"/>
        </w:rPr>
        <w:t>下一年度的合同。</w:t>
      </w:r>
    </w:p>
    <w:p w14:paraId="28C60FF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房屋清单具体详见附件，房屋数量共计653栋。</w:t>
      </w:r>
    </w:p>
    <w:p w14:paraId="74FDA44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服务要求</w:t>
      </w:r>
    </w:p>
    <w:p w14:paraId="32AC05D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（一）项目服务内容</w:t>
      </w:r>
    </w:p>
    <w:p w14:paraId="06714D81">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服务项目提供的房屋安全动态监测项目应包含以下工作内容：</w:t>
      </w:r>
    </w:p>
    <w:p w14:paraId="29606227">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①房屋核查及动态监测分类；②外观及外部环境检查；③入户检查；④仪器设备动态监测以及人工监测；⑤台汛季节、重要活动节假日安全排查检查；⑥房安技术服务；⑦装修安全专项技术服务。</w:t>
      </w:r>
    </w:p>
    <w:p w14:paraId="1488E940">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（二）房屋安全动态监测要求</w:t>
      </w:r>
    </w:p>
    <w:p w14:paraId="52F6434B">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①房屋核查及动态监测分类</w:t>
      </w:r>
    </w:p>
    <w:p w14:paraId="718F3A29">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深入分析采购人提供的有关房屋安全资料、动态监测历史资料，根据监测范围内房屋危险性现状、是否历史危房已经实质性解危、解危后安全储备水平等实际情况，结合现场核查对监测房屋进行分类；以动态科学划分不同类型房屋及确定相应动态监测巡查频率，合理分配管理资源。</w:t>
      </w:r>
    </w:p>
    <w:p w14:paraId="65B3865B">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根据房屋安全储备的从高到低（危险性由低到高），根据相关技术依据将监测范围内房屋合理进行动态监测分类；各类对应的动态监测巡查频率和安全储备相对应。</w:t>
      </w:r>
    </w:p>
    <w:p w14:paraId="29ADA64C">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监测范围内所有房屋的定期人工监测总次数，平均不得低于1次/月/幢。</w:t>
      </w:r>
    </w:p>
    <w:p w14:paraId="3F68AC97">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②外观及外部环境检查</w:t>
      </w:r>
    </w:p>
    <w:p w14:paraId="1AB9FA93">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人工动态监测房屋分类方案报经委托方</w:t>
      </w:r>
      <w:r>
        <w:rPr>
          <w:rFonts w:hint="eastAsia" w:ascii="Times New Roman" w:hAnsi="Times New Roman" w:eastAsia="宋体" w:cs="Times New Roman"/>
          <w:color w:val="auto"/>
          <w:szCs w:val="21"/>
          <w:highlight w:val="none"/>
          <w:lang w:val="en-US" w:eastAsia="zh-CN"/>
        </w:rPr>
        <w:t>备案</w:t>
      </w:r>
      <w:r>
        <w:rPr>
          <w:rFonts w:hint="eastAsia" w:ascii="Times New Roman" w:hAnsi="Times New Roman" w:eastAsia="宋体" w:cs="Times New Roman"/>
          <w:color w:val="auto"/>
          <w:szCs w:val="21"/>
          <w:highlight w:val="none"/>
        </w:rPr>
        <w:t>后，根据房屋类别相应频率进行人工动态监测。特别危险的房屋应按委托人要求安装动态监测设备，监测方案报经委托人</w:t>
      </w:r>
      <w:r>
        <w:rPr>
          <w:rFonts w:hint="eastAsia" w:ascii="Times New Roman" w:hAnsi="Times New Roman" w:eastAsia="宋体" w:cs="Times New Roman"/>
          <w:color w:val="auto"/>
          <w:szCs w:val="21"/>
          <w:highlight w:val="none"/>
          <w:lang w:val="en-US" w:eastAsia="zh-CN"/>
        </w:rPr>
        <w:t>备案</w:t>
      </w:r>
      <w:r>
        <w:rPr>
          <w:rFonts w:hint="eastAsia" w:ascii="Times New Roman" w:hAnsi="Times New Roman" w:eastAsia="宋体" w:cs="Times New Roman"/>
          <w:color w:val="auto"/>
          <w:szCs w:val="21"/>
          <w:highlight w:val="none"/>
        </w:rPr>
        <w:t>后，对房屋的沉降、倾斜及裂缝等涉及房屋安全的关键数据进行监测</w:t>
      </w:r>
      <w:r>
        <w:rPr>
          <w:rFonts w:hint="eastAsia" w:ascii="Times New Roman" w:hAnsi="Times New Roman" w:eastAsia="宋体" w:cs="Times New Roman"/>
          <w:color w:val="auto"/>
          <w:szCs w:val="21"/>
          <w:highlight w:val="none"/>
          <w:lang w:eastAsia="zh-CN"/>
        </w:rPr>
        <w:t>并采样</w:t>
      </w:r>
      <w:r>
        <w:rPr>
          <w:rFonts w:hint="eastAsia" w:ascii="Times New Roman" w:hAnsi="Times New Roman" w:eastAsia="宋体" w:cs="Times New Roman"/>
          <w:color w:val="auto"/>
          <w:szCs w:val="21"/>
          <w:highlight w:val="none"/>
        </w:rPr>
        <w:t>。对外观及外部环境检查内容，应满足有关动态监测的国家标准、行业标准和地方标准，并制定具体执行方案报委托方</w:t>
      </w:r>
      <w:r>
        <w:rPr>
          <w:rFonts w:hint="eastAsia" w:ascii="Times New Roman" w:hAnsi="Times New Roman" w:eastAsia="宋体" w:cs="Times New Roman"/>
          <w:color w:val="auto"/>
          <w:szCs w:val="21"/>
          <w:highlight w:val="none"/>
          <w:lang w:val="en-US" w:eastAsia="zh-CN"/>
        </w:rPr>
        <w:t>备案</w:t>
      </w:r>
      <w:r>
        <w:rPr>
          <w:rFonts w:hint="eastAsia" w:ascii="Times New Roman" w:hAnsi="Times New Roman" w:eastAsia="宋体" w:cs="Times New Roman"/>
          <w:color w:val="auto"/>
          <w:szCs w:val="21"/>
          <w:highlight w:val="none"/>
        </w:rPr>
        <w:t>。</w:t>
      </w:r>
    </w:p>
    <w:p w14:paraId="10E52E6F">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特殊类房屋除已安装动态监测设备外，其余按实际需求确定人工监测频率且不少于每周两次。</w:t>
      </w:r>
    </w:p>
    <w:p w14:paraId="5C68DB1D">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③入户检查</w:t>
      </w:r>
    </w:p>
    <w:p w14:paraId="2D26F295">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入户标准为：监测范围内房屋户数的总入户率，首年达到30%比例，3年内累计达到70%；应结合不同房屋特点、不同结构部位性质，提出合理的详细入户方案，中标后报经委托方</w:t>
      </w:r>
      <w:r>
        <w:rPr>
          <w:rFonts w:hint="eastAsia" w:ascii="Times New Roman" w:hAnsi="Times New Roman" w:eastAsia="宋体" w:cs="Times New Roman"/>
          <w:color w:val="auto"/>
          <w:szCs w:val="21"/>
          <w:highlight w:val="none"/>
          <w:lang w:val="en-US" w:eastAsia="zh-CN"/>
        </w:rPr>
        <w:t>备案</w:t>
      </w:r>
      <w:r>
        <w:rPr>
          <w:rFonts w:hint="eastAsia" w:ascii="Times New Roman" w:hAnsi="Times New Roman" w:eastAsia="宋体" w:cs="Times New Roman"/>
          <w:color w:val="auto"/>
          <w:szCs w:val="21"/>
          <w:highlight w:val="none"/>
        </w:rPr>
        <w:t>后予以实施。因客观因素未能达成入户比例标准及入户方案要求，所有未能入户的房屋均须有对应的检查记录（包括每一次未入户的原因）。</w:t>
      </w:r>
    </w:p>
    <w:p w14:paraId="38D15B73">
      <w:pPr>
        <w:spacing w:line="440" w:lineRule="exact"/>
        <w:ind w:firstLine="420" w:firstLineChars="200"/>
        <w:contextualSpacing/>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④仪器设备人工监测</w:t>
      </w:r>
    </w:p>
    <w:p w14:paraId="6A64C79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color w:val="auto"/>
          <w:szCs w:val="21"/>
        </w:rPr>
        <w:t>对人工动态监测范围内房屋每年至少</w:t>
      </w:r>
      <w:r>
        <w:rPr>
          <w:rFonts w:hint="eastAsia" w:ascii="Times New Roman" w:hAnsi="Times New Roman" w:eastAsia="宋体" w:cs="Times New Roman"/>
          <w:szCs w:val="21"/>
        </w:rPr>
        <w:t>测量一次；根据动态监测历史资料，对房屋倾斜、沉降、裂缝状态近年有变化趋势；或者已经出现明显的倾斜变形或不均匀沉降、受相邻施工影响的房屋进行测量，适当增加测量频率。</w:t>
      </w:r>
    </w:p>
    <w:p w14:paraId="362C247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⑤台汛季节、重要活动节假日安全排查检查</w:t>
      </w:r>
    </w:p>
    <w:p w14:paraId="67B7655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按上级要求或甲方指示开展三类及以上房屋或特殊类别房屋应急安全排查检查，每年不少于5次。达到合同规定的幢次后，仍须服从甲方的应急排查检查指令，合同金额不追加。</w:t>
      </w:r>
    </w:p>
    <w:p w14:paraId="7B709D0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⑥房安技术服务</w:t>
      </w:r>
    </w:p>
    <w:p w14:paraId="433A977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满足属地区域房安技术咨询服务需求。日常技术咨询包括：房屋安全管理部门有需要的情况下，乙方采用电话咨询、现场等方式，对辖区内日常房屋安全问题进行咨询、问题判断、答疑等技术服务。</w:t>
      </w:r>
    </w:p>
    <w:p w14:paraId="72582B3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⑦装修安全专项技术服务</w:t>
      </w:r>
    </w:p>
    <w:p w14:paraId="58E62B0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对于发现装修、或接到房屋安全相关信访和投诉举报装修行为的房屋，提供装修安全专项技术服务：</w:t>
      </w:r>
    </w:p>
    <w:p w14:paraId="5102DA7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现场踏勘举报及信访件反映的房屋装修事项，给出是否涉及房屋结构、是否存在违规装修、后续处理的专业技术建议；</w:t>
      </w:r>
    </w:p>
    <w:p w14:paraId="79D206A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若存在违规装修，监督其进行破坏处恢复及加固处理，对不配合弥补违规过失的及时上报主管部门予以处理，并为行政执法提供技术支持；</w:t>
      </w:r>
    </w:p>
    <w:p w14:paraId="704B081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对装修房屋进行巡查（巡查频率至少为三次，即装修前的巡查、装修中的巡查、装修完成时的巡查），开展装</w:t>
      </w:r>
      <w:r>
        <w:rPr>
          <w:rFonts w:hint="eastAsia" w:ascii="Times New Roman" w:hAnsi="Times New Roman" w:eastAsia="宋体" w:cs="Times New Roman"/>
          <w:szCs w:val="21"/>
          <w:highlight w:val="none"/>
        </w:rPr>
        <w:t>修备案工作，内容包括装修设计方案审查、装修备案资料</w:t>
      </w:r>
      <w:r>
        <w:rPr>
          <w:rFonts w:hint="eastAsia" w:ascii="Times New Roman" w:hAnsi="Times New Roman" w:eastAsia="宋体" w:cs="Times New Roman"/>
          <w:szCs w:val="21"/>
        </w:rPr>
        <w:t>收集整理、巡查及系统中登记。</w:t>
      </w:r>
    </w:p>
    <w:p w14:paraId="682DD81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此项服务装修备案对象为全区（不限于本项目清单）范围内的房屋装修行为。</w:t>
      </w:r>
    </w:p>
    <w:p w14:paraId="55774FA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（三）房屋安全动态监测单位要求</w:t>
      </w:r>
    </w:p>
    <w:p w14:paraId="7F28F24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（1）房屋动态安全监测单位应具备</w:t>
      </w:r>
      <w:r>
        <w:rPr>
          <w:rFonts w:hint="eastAsia" w:ascii="Times New Roman" w:hAnsi="Times New Roman" w:eastAsia="宋体" w:cs="Times New Roman"/>
          <w:szCs w:val="21"/>
          <w:lang w:eastAsia="zh-Hans"/>
        </w:rPr>
        <w:t>所有情形</w:t>
      </w:r>
      <w:r>
        <w:rPr>
          <w:rFonts w:hint="eastAsia" w:ascii="Times New Roman" w:hAnsi="Times New Roman" w:eastAsia="宋体" w:cs="Times New Roman"/>
          <w:szCs w:val="21"/>
        </w:rPr>
        <w:t>房屋安全鉴定</w:t>
      </w:r>
      <w:r>
        <w:rPr>
          <w:rFonts w:hint="eastAsia" w:ascii="Times New Roman" w:hAnsi="Times New Roman" w:eastAsia="宋体" w:cs="Times New Roman"/>
          <w:szCs w:val="21"/>
          <w:lang w:eastAsia="zh-Hans"/>
        </w:rPr>
        <w:t>资格</w:t>
      </w:r>
      <w:r>
        <w:rPr>
          <w:rFonts w:hint="eastAsia" w:ascii="Times New Roman" w:hAnsi="Times New Roman" w:eastAsia="宋体" w:cs="Times New Roman"/>
          <w:szCs w:val="21"/>
        </w:rPr>
        <w:t>，有完整的检查、观测、监测、评估、安全预警机制，巡检人员能够对房屋安全情况进行识别查勘。</w:t>
      </w:r>
    </w:p>
    <w:p w14:paraId="7A7A6131">
      <w:pPr>
        <w:spacing w:line="440" w:lineRule="exact"/>
        <w:ind w:firstLine="420" w:firstLineChars="200"/>
        <w:contextualSpacing/>
        <w:rPr>
          <w:rFonts w:ascii="Times New Roman" w:hAnsi="Times New Roman" w:eastAsia="宋体" w:cs="Times New Roman"/>
          <w:color w:val="auto"/>
          <w:szCs w:val="21"/>
        </w:rPr>
      </w:pPr>
      <w:r>
        <w:rPr>
          <w:rFonts w:hint="eastAsia" w:ascii="Times New Roman" w:hAnsi="Times New Roman" w:eastAsia="宋体" w:cs="Times New Roman"/>
          <w:szCs w:val="21"/>
        </w:rPr>
        <w:t>（2）在房屋安全动态监测时，应为所有监测房屋建立完整的房屋安全档案；动态监测单</w:t>
      </w:r>
      <w:r>
        <w:rPr>
          <w:rFonts w:hint="eastAsia" w:ascii="Times New Roman" w:hAnsi="Times New Roman" w:eastAsia="宋体" w:cs="Times New Roman"/>
          <w:color w:val="auto"/>
          <w:szCs w:val="21"/>
        </w:rPr>
        <w:t>位需通过人工监测管理平台以及作业APP，形成一整套人工巡查管理流程，如：系统任务派发、巡查到位率管理、巡查成果照片管理、巡查数据查询，手机app定位、拍照、记录、完成巡查任务等。▲监测平台APP具备预留端口，服务期结束后本系统能与其他系统兼容或能将本项目所有数据资料导出。采用设备动态监测的，应具备人工监测的全部功能外，还需将数据实时上传至监测管理平台。</w:t>
      </w:r>
    </w:p>
    <w:p w14:paraId="4F53026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（3）中标单位</w:t>
      </w:r>
      <w:r>
        <w:rPr>
          <w:rFonts w:hint="eastAsia" w:ascii="Times New Roman" w:hAnsi="Times New Roman" w:eastAsia="宋体" w:cs="Times New Roman"/>
          <w:szCs w:val="21"/>
          <w:lang w:val="en-US" w:eastAsia="zh-CN"/>
        </w:rPr>
        <w:t>须</w:t>
      </w:r>
      <w:r>
        <w:rPr>
          <w:rFonts w:hint="eastAsia" w:ascii="Times New Roman" w:hAnsi="Times New Roman" w:eastAsia="宋体" w:cs="Times New Roman"/>
          <w:szCs w:val="21"/>
        </w:rPr>
        <w:t>配备房屋信息管理人员与房屋安全管理技术人员。房屋信息管理人员应负责管理老旧房屋监测信息和房屋装修巡查信息的整理、归纳、统计、归档各项房屋信息等工作；房屋安全管理技术人员负责房屋安全监管、房屋紧急情况下的初步判断及应急初步处理，房屋现场查看后的解释工作，对街道、社区的相关工作人员进行宣传培训，技术指导。</w:t>
      </w:r>
    </w:p>
    <w:p w14:paraId="19D973C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（4）合同期限内，中标单位须建立房屋安全管理专家组，为定海区房屋使用安全管理提供技术咨询。▲为本项目配备的注册结构工程师不少于一人。</w:t>
      </w:r>
    </w:p>
    <w:p w14:paraId="2830FB8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（5）如发现房屋危险情况严重或加剧的，第一时间书面告知属地街道社区，同时告知定海区住房和城乡建设局，提出相关合理化建议，并提供房屋加固、解危技术支持。</w:t>
      </w:r>
    </w:p>
    <w:p w14:paraId="37083B2F">
      <w:pPr>
        <w:spacing w:line="440" w:lineRule="exact"/>
        <w:ind w:firstLine="420" w:firstLineChars="200"/>
        <w:contextualSpacing/>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服务执行依据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包括但不限于以下文件</w:t>
      </w:r>
      <w:r>
        <w:rPr>
          <w:rFonts w:hint="eastAsia" w:ascii="Times New Roman" w:hAnsi="Times New Roman" w:eastAsia="宋体" w:cs="Times New Roman"/>
          <w:szCs w:val="21"/>
          <w:lang w:eastAsia="zh-CN"/>
        </w:rPr>
        <w:t>）</w:t>
      </w:r>
    </w:p>
    <w:p w14:paraId="3D32A60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依法根据有关动态监测的国家标准、行业标准和地方标准，开展本项目服务工作。</w:t>
      </w:r>
    </w:p>
    <w:p w14:paraId="616AEC5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《浙江省危险房屋结构监测技术导则》2019</w:t>
      </w:r>
    </w:p>
    <w:p w14:paraId="74324BF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《浙江省房屋使用安全管理条例》</w:t>
      </w:r>
    </w:p>
    <w:p w14:paraId="48E527F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《浙江省房屋安全隐患巡查（自查）手册》</w:t>
      </w:r>
    </w:p>
    <w:p w14:paraId="355DF79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《浙江省既有城镇住宅房屋结构安全排查技术导则》</w:t>
      </w:r>
    </w:p>
    <w:p w14:paraId="18C9FAD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 xml:space="preserve">《危险房屋鉴定标准》JGJ125-2016 </w:t>
      </w:r>
    </w:p>
    <w:p w14:paraId="48589C2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 xml:space="preserve">《建筑变形测量规范》JGJ8-2016 </w:t>
      </w:r>
    </w:p>
    <w:p w14:paraId="371009BF">
      <w:pPr>
        <w:spacing w:line="440" w:lineRule="exact"/>
        <w:ind w:firstLine="420" w:firstLineChars="200"/>
        <w:contextualSpacing/>
        <w:rPr>
          <w:rFonts w:hint="eastAsia" w:ascii="Times New Roman" w:hAnsi="Times New Roman" w:eastAsia="宋体" w:cs="Times New Roman"/>
          <w:szCs w:val="21"/>
        </w:rPr>
      </w:pPr>
      <w:r>
        <w:rPr>
          <w:rFonts w:hint="eastAsia" w:ascii="Times New Roman" w:hAnsi="Times New Roman" w:eastAsia="宋体" w:cs="Times New Roman"/>
          <w:szCs w:val="21"/>
        </w:rPr>
        <w:t>《工程测量标准》GB 50026-2020</w:t>
      </w:r>
    </w:p>
    <w:p w14:paraId="2C9BB5CA">
      <w:pPr>
        <w:spacing w:line="440" w:lineRule="exact"/>
        <w:ind w:firstLine="420" w:firstLineChars="200"/>
        <w:contextualSpacing/>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rPr>
        <w:t>注:若同一规范/标准已颁发新规范/标准，则按最新规定执行。若同一技术服务同时有几</w:t>
      </w:r>
      <w:r>
        <w:rPr>
          <w:rFonts w:hint="eastAsia" w:ascii="Times New Roman" w:hAnsi="Times New Roman" w:eastAsia="宋体" w:cs="Times New Roman"/>
          <w:szCs w:val="21"/>
          <w:highlight w:val="none"/>
        </w:rPr>
        <w:t>个规范/标准</w:t>
      </w:r>
      <w:r>
        <w:rPr>
          <w:rFonts w:hint="eastAsia" w:ascii="Times New Roman" w:hAnsi="Times New Roman" w:eastAsia="宋体" w:cs="Times New Roman"/>
          <w:szCs w:val="21"/>
          <w:highlight w:val="none"/>
          <w:lang w:val="en-US" w:eastAsia="zh-CN"/>
        </w:rPr>
        <w:t>的，</w:t>
      </w:r>
      <w:r>
        <w:rPr>
          <w:rFonts w:hint="eastAsia" w:ascii="Times New Roman" w:hAnsi="Times New Roman" w:eastAsia="宋体" w:cs="Times New Roman"/>
          <w:szCs w:val="21"/>
          <w:highlight w:val="none"/>
        </w:rPr>
        <w:t>则按最高层次的执行</w:t>
      </w:r>
      <w:r>
        <w:rPr>
          <w:rFonts w:hint="eastAsia" w:ascii="Times New Roman" w:hAnsi="Times New Roman" w:eastAsia="宋体" w:cs="Times New Roman"/>
          <w:szCs w:val="21"/>
          <w:highlight w:val="none"/>
          <w:lang w:eastAsia="zh-CN"/>
        </w:rPr>
        <w:t>。</w:t>
      </w:r>
    </w:p>
    <w:p w14:paraId="5C318293">
      <w:pPr>
        <w:spacing w:line="440" w:lineRule="exact"/>
        <w:ind w:firstLine="420" w:firstLineChars="200"/>
        <w:contextualSpacing/>
        <w:rPr>
          <w:rFonts w:hint="eastAsia" w:ascii="Times New Roman" w:hAnsi="Times New Roman" w:eastAsia="宋体" w:cs="Times New Roman"/>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6</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中标单位具有</w:t>
      </w:r>
      <w:r>
        <w:rPr>
          <w:rFonts w:hint="eastAsia" w:ascii="宋体" w:hAnsi="宋体" w:eastAsia="宋体" w:cs="宋体"/>
          <w:color w:val="auto"/>
          <w:szCs w:val="21"/>
          <w:highlight w:val="none"/>
        </w:rPr>
        <w:t>房屋使用安全大数据智能管控平台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且平台</w:t>
      </w:r>
      <w:r>
        <w:rPr>
          <w:rFonts w:hint="eastAsia" w:ascii="宋体" w:hAnsi="宋体" w:eastAsia="宋体" w:cs="宋体"/>
          <w:color w:val="auto"/>
          <w:szCs w:val="21"/>
          <w:highlight w:val="none"/>
          <w:lang w:eastAsia="zh-CN"/>
        </w:rPr>
        <w:t>具备“任务派发、巡查成果照片管理、巡查数据及动态监测装置数据记录、查询、上传等功能；监测数据实现分级审批功能；提供巡检人员定位、电子签到功能。</w:t>
      </w:r>
    </w:p>
    <w:p w14:paraId="1718F9D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四、监测及巡查考核</w:t>
      </w:r>
    </w:p>
    <w:p w14:paraId="3C9F245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（一）中标人应依合同的技术要求和实施方案实施监测服务，接受招标人和各属地街道社区的监督管理，主要监督中标人对项目技术要求的落实情况，根据督查情况按季度对其实施考核。</w:t>
      </w:r>
    </w:p>
    <w:p w14:paraId="455C640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房屋安全动态监测项目 季度考核表</w:t>
      </w:r>
    </w:p>
    <w:tbl>
      <w:tblPr>
        <w:tblStyle w:val="6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23"/>
        <w:gridCol w:w="787"/>
        <w:gridCol w:w="4414"/>
        <w:gridCol w:w="1062"/>
      </w:tblGrid>
      <w:tr w14:paraId="144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9E8F8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623" w:type="dxa"/>
            <w:vAlign w:val="center"/>
          </w:tcPr>
          <w:p w14:paraId="29F1B07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考核内容</w:t>
            </w:r>
          </w:p>
        </w:tc>
        <w:tc>
          <w:tcPr>
            <w:tcW w:w="787" w:type="dxa"/>
            <w:vAlign w:val="center"/>
          </w:tcPr>
          <w:p w14:paraId="349107A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分值</w:t>
            </w:r>
          </w:p>
        </w:tc>
        <w:tc>
          <w:tcPr>
            <w:tcW w:w="4414" w:type="dxa"/>
            <w:vAlign w:val="center"/>
          </w:tcPr>
          <w:p w14:paraId="2374ED9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评份标准</w:t>
            </w:r>
          </w:p>
        </w:tc>
        <w:tc>
          <w:tcPr>
            <w:tcW w:w="1062" w:type="dxa"/>
            <w:vAlign w:val="center"/>
          </w:tcPr>
          <w:p w14:paraId="056BCFE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考核评分</w:t>
            </w:r>
          </w:p>
        </w:tc>
      </w:tr>
      <w:tr w14:paraId="511D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667AF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w:t>
            </w:r>
          </w:p>
        </w:tc>
        <w:tc>
          <w:tcPr>
            <w:tcW w:w="1623" w:type="dxa"/>
            <w:vAlign w:val="center"/>
          </w:tcPr>
          <w:p w14:paraId="15EC8E3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日常动态监测</w:t>
            </w:r>
          </w:p>
        </w:tc>
        <w:tc>
          <w:tcPr>
            <w:tcW w:w="787" w:type="dxa"/>
            <w:vAlign w:val="center"/>
          </w:tcPr>
          <w:p w14:paraId="425231C3">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20</w:t>
            </w:r>
          </w:p>
        </w:tc>
        <w:tc>
          <w:tcPr>
            <w:tcW w:w="4414" w:type="dxa"/>
          </w:tcPr>
          <w:p w14:paraId="32AEB14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1、监测频率最高的房屋，每遗漏、延迟一次的扣2分。</w:t>
            </w:r>
          </w:p>
          <w:p w14:paraId="0193ACC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2、监测频率次高的房屋，每遗漏、延迟一次的扣1分。</w:t>
            </w:r>
          </w:p>
          <w:p w14:paraId="0E41B21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3、监测频率占主要比例的房屋，每遗漏、延迟一次的扣0.5分。</w:t>
            </w:r>
          </w:p>
        </w:tc>
        <w:tc>
          <w:tcPr>
            <w:tcW w:w="1062" w:type="dxa"/>
          </w:tcPr>
          <w:p w14:paraId="4FED39CD">
            <w:pPr>
              <w:spacing w:line="440" w:lineRule="exact"/>
              <w:ind w:firstLine="420" w:firstLineChars="200"/>
              <w:contextualSpacing/>
              <w:rPr>
                <w:rFonts w:ascii="Times New Roman" w:hAnsi="Times New Roman" w:eastAsia="宋体" w:cs="Times New Roman"/>
                <w:szCs w:val="21"/>
              </w:rPr>
            </w:pPr>
          </w:p>
        </w:tc>
      </w:tr>
      <w:tr w14:paraId="1DB0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88F14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w:t>
            </w:r>
          </w:p>
        </w:tc>
        <w:tc>
          <w:tcPr>
            <w:tcW w:w="1623" w:type="dxa"/>
            <w:vAlign w:val="center"/>
          </w:tcPr>
          <w:p w14:paraId="2C8B9B3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临时检查</w:t>
            </w:r>
          </w:p>
        </w:tc>
        <w:tc>
          <w:tcPr>
            <w:tcW w:w="787" w:type="dxa"/>
            <w:vAlign w:val="center"/>
          </w:tcPr>
          <w:p w14:paraId="6055E14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10</w:t>
            </w:r>
          </w:p>
        </w:tc>
        <w:tc>
          <w:tcPr>
            <w:tcW w:w="4414" w:type="dxa"/>
          </w:tcPr>
          <w:p w14:paraId="2D29346A">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1、接到临时检查任务后，未在1小时内派遣人员赶到现场检查的，每次扣2分。</w:t>
            </w:r>
          </w:p>
          <w:p w14:paraId="7F481D5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2、接到灾害天气值班任务后，未及时提交值班人员表，每次扣1分；未按值班人员表安排人员和值班时间的，每次扣1分；未加强重点区域监测的，每次扣1分。</w:t>
            </w:r>
          </w:p>
        </w:tc>
        <w:tc>
          <w:tcPr>
            <w:tcW w:w="1062" w:type="dxa"/>
          </w:tcPr>
          <w:p w14:paraId="5D724CB5">
            <w:pPr>
              <w:spacing w:line="440" w:lineRule="exact"/>
              <w:ind w:firstLine="420" w:firstLineChars="200"/>
              <w:contextualSpacing/>
              <w:rPr>
                <w:rFonts w:ascii="Times New Roman" w:hAnsi="Times New Roman" w:eastAsia="宋体" w:cs="Times New Roman"/>
                <w:szCs w:val="21"/>
              </w:rPr>
            </w:pPr>
          </w:p>
        </w:tc>
      </w:tr>
      <w:tr w14:paraId="3283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66803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w:t>
            </w:r>
          </w:p>
        </w:tc>
        <w:tc>
          <w:tcPr>
            <w:tcW w:w="1623" w:type="dxa"/>
            <w:vAlign w:val="center"/>
          </w:tcPr>
          <w:p w14:paraId="2B17DD34">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监测数据审核</w:t>
            </w:r>
          </w:p>
        </w:tc>
        <w:tc>
          <w:tcPr>
            <w:tcW w:w="787" w:type="dxa"/>
            <w:vAlign w:val="center"/>
          </w:tcPr>
          <w:p w14:paraId="23A013D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5</w:t>
            </w:r>
          </w:p>
        </w:tc>
        <w:tc>
          <w:tcPr>
            <w:tcW w:w="4414" w:type="dxa"/>
          </w:tcPr>
          <w:p w14:paraId="3DA73C2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监测数据上传系统后，未按时完成审核、动态评定的，每次扣2分（特殊情况的除外）。</w:t>
            </w:r>
          </w:p>
        </w:tc>
        <w:tc>
          <w:tcPr>
            <w:tcW w:w="1062" w:type="dxa"/>
          </w:tcPr>
          <w:p w14:paraId="422EE5B9">
            <w:pPr>
              <w:spacing w:line="440" w:lineRule="exact"/>
              <w:ind w:firstLine="420" w:firstLineChars="200"/>
              <w:contextualSpacing/>
              <w:rPr>
                <w:rFonts w:ascii="Times New Roman" w:hAnsi="Times New Roman" w:eastAsia="宋体" w:cs="Times New Roman"/>
                <w:szCs w:val="21"/>
              </w:rPr>
            </w:pPr>
          </w:p>
        </w:tc>
      </w:tr>
      <w:tr w14:paraId="0D1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59ED3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1623" w:type="dxa"/>
            <w:vAlign w:val="center"/>
          </w:tcPr>
          <w:p w14:paraId="3957D71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人员配备情况</w:t>
            </w:r>
          </w:p>
        </w:tc>
        <w:tc>
          <w:tcPr>
            <w:tcW w:w="787" w:type="dxa"/>
            <w:vAlign w:val="center"/>
          </w:tcPr>
          <w:p w14:paraId="37F025E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4414" w:type="dxa"/>
          </w:tcPr>
          <w:p w14:paraId="005D797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人员临时变动，但未提前向委托方进行“人员变动申请”的，每次扣2分。</w:t>
            </w:r>
          </w:p>
        </w:tc>
        <w:tc>
          <w:tcPr>
            <w:tcW w:w="1062" w:type="dxa"/>
          </w:tcPr>
          <w:p w14:paraId="6C9D814E">
            <w:pPr>
              <w:spacing w:line="440" w:lineRule="exact"/>
              <w:ind w:firstLine="420" w:firstLineChars="200"/>
              <w:contextualSpacing/>
              <w:rPr>
                <w:rFonts w:ascii="Times New Roman" w:hAnsi="Times New Roman" w:eastAsia="宋体" w:cs="Times New Roman"/>
                <w:szCs w:val="21"/>
              </w:rPr>
            </w:pPr>
          </w:p>
        </w:tc>
      </w:tr>
      <w:tr w14:paraId="465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F379B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5</w:t>
            </w:r>
          </w:p>
        </w:tc>
        <w:tc>
          <w:tcPr>
            <w:tcW w:w="1623" w:type="dxa"/>
            <w:vAlign w:val="center"/>
          </w:tcPr>
          <w:p w14:paraId="59303C0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监测服务资料</w:t>
            </w:r>
          </w:p>
        </w:tc>
        <w:tc>
          <w:tcPr>
            <w:tcW w:w="787" w:type="dxa"/>
            <w:vAlign w:val="center"/>
          </w:tcPr>
          <w:p w14:paraId="6CB608D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14</w:t>
            </w:r>
          </w:p>
        </w:tc>
        <w:tc>
          <w:tcPr>
            <w:tcW w:w="4414" w:type="dxa"/>
          </w:tcPr>
          <w:p w14:paraId="1FE2152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1、资料存在作假情况的，每次扣1分。</w:t>
            </w:r>
          </w:p>
          <w:p w14:paraId="4E18970E">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2、资料内容不符合相关要求的，每次扣1分。</w:t>
            </w:r>
          </w:p>
          <w:p w14:paraId="5684F703">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3、未及时提交监测报告的，每次扣1分。</w:t>
            </w:r>
          </w:p>
        </w:tc>
        <w:tc>
          <w:tcPr>
            <w:tcW w:w="1062" w:type="dxa"/>
          </w:tcPr>
          <w:p w14:paraId="430CB3EC">
            <w:pPr>
              <w:spacing w:line="440" w:lineRule="exact"/>
              <w:ind w:firstLine="420" w:firstLineChars="200"/>
              <w:contextualSpacing/>
              <w:rPr>
                <w:rFonts w:ascii="Times New Roman" w:hAnsi="Times New Roman" w:eastAsia="宋体" w:cs="Times New Roman"/>
                <w:szCs w:val="21"/>
              </w:rPr>
            </w:pPr>
          </w:p>
        </w:tc>
      </w:tr>
      <w:tr w14:paraId="18A0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71699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6</w:t>
            </w:r>
          </w:p>
        </w:tc>
        <w:tc>
          <w:tcPr>
            <w:tcW w:w="1623" w:type="dxa"/>
            <w:vAlign w:val="center"/>
          </w:tcPr>
          <w:p w14:paraId="7814661E">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现场事件处理</w:t>
            </w:r>
          </w:p>
        </w:tc>
        <w:tc>
          <w:tcPr>
            <w:tcW w:w="787" w:type="dxa"/>
            <w:vAlign w:val="center"/>
          </w:tcPr>
          <w:p w14:paraId="38BBD72F">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20</w:t>
            </w:r>
          </w:p>
        </w:tc>
        <w:tc>
          <w:tcPr>
            <w:tcW w:w="4414" w:type="dxa"/>
          </w:tcPr>
          <w:p w14:paraId="2E5A917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1、未处理好群众情绪，引起争吵，每次扣1分；引起肢体冲突，每次扣3分。</w:t>
            </w:r>
          </w:p>
          <w:p w14:paraId="5F7F20FA">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2、因自身原因（如未及时汇报安全隐患、擅自处理突发事件），造成人员伤亡、财产损失或被媒介通报批评等社会影响的，每次扣10分。</w:t>
            </w:r>
          </w:p>
        </w:tc>
        <w:tc>
          <w:tcPr>
            <w:tcW w:w="1062" w:type="dxa"/>
          </w:tcPr>
          <w:p w14:paraId="4E00084C">
            <w:pPr>
              <w:spacing w:line="440" w:lineRule="exact"/>
              <w:ind w:firstLine="420" w:firstLineChars="200"/>
              <w:contextualSpacing/>
              <w:rPr>
                <w:rFonts w:ascii="Times New Roman" w:hAnsi="Times New Roman" w:eastAsia="宋体" w:cs="Times New Roman"/>
                <w:szCs w:val="21"/>
              </w:rPr>
            </w:pPr>
          </w:p>
        </w:tc>
      </w:tr>
      <w:tr w14:paraId="63C3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D6CE3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7</w:t>
            </w:r>
          </w:p>
        </w:tc>
        <w:tc>
          <w:tcPr>
            <w:tcW w:w="1623" w:type="dxa"/>
            <w:vAlign w:val="center"/>
          </w:tcPr>
          <w:p w14:paraId="41F60EB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装修安全</w:t>
            </w:r>
          </w:p>
        </w:tc>
        <w:tc>
          <w:tcPr>
            <w:tcW w:w="787" w:type="dxa"/>
            <w:vAlign w:val="center"/>
          </w:tcPr>
          <w:p w14:paraId="52BEE46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15</w:t>
            </w:r>
          </w:p>
        </w:tc>
        <w:tc>
          <w:tcPr>
            <w:tcW w:w="4414" w:type="dxa"/>
            <w:vAlign w:val="center"/>
          </w:tcPr>
          <w:p w14:paraId="131122DD">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14:paraId="1FE5B4E4">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发现一次扣3分；造成严重后果或产生较大影响的发现一次扣5分。</w:t>
            </w:r>
          </w:p>
        </w:tc>
        <w:tc>
          <w:tcPr>
            <w:tcW w:w="1062" w:type="dxa"/>
            <w:vAlign w:val="center"/>
          </w:tcPr>
          <w:p w14:paraId="09503577">
            <w:pPr>
              <w:spacing w:line="440" w:lineRule="exact"/>
              <w:ind w:firstLine="420" w:firstLineChars="200"/>
              <w:contextualSpacing/>
              <w:rPr>
                <w:rFonts w:ascii="Times New Roman" w:hAnsi="Times New Roman" w:eastAsia="宋体" w:cs="Times New Roman"/>
                <w:szCs w:val="21"/>
              </w:rPr>
            </w:pPr>
          </w:p>
        </w:tc>
      </w:tr>
      <w:tr w14:paraId="0081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454D4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8</w:t>
            </w:r>
          </w:p>
        </w:tc>
        <w:tc>
          <w:tcPr>
            <w:tcW w:w="1623" w:type="dxa"/>
            <w:vAlign w:val="center"/>
          </w:tcPr>
          <w:p w14:paraId="46D8AFF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一般技术要求</w:t>
            </w:r>
          </w:p>
        </w:tc>
        <w:tc>
          <w:tcPr>
            <w:tcW w:w="787" w:type="dxa"/>
            <w:vAlign w:val="center"/>
          </w:tcPr>
          <w:p w14:paraId="003C83B7">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8</w:t>
            </w:r>
          </w:p>
        </w:tc>
        <w:tc>
          <w:tcPr>
            <w:tcW w:w="4414" w:type="dxa"/>
          </w:tcPr>
          <w:p w14:paraId="1C98E1A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除上述项次外，在现场抽检及系统数据核查中，未按招标文件进行监测</w:t>
            </w:r>
            <w:r>
              <w:rPr>
                <w:rFonts w:hint="eastAsia" w:ascii="Times New Roman" w:hAnsi="Times New Roman" w:eastAsia="宋体" w:cs="Times New Roman"/>
                <w:szCs w:val="21"/>
                <w:lang w:val="en-US" w:eastAsia="zh-CN"/>
              </w:rPr>
              <w:t>并采样</w:t>
            </w:r>
            <w:r>
              <w:rPr>
                <w:rFonts w:hint="eastAsia" w:ascii="Times New Roman" w:hAnsi="Times New Roman" w:eastAsia="宋体" w:cs="Times New Roman"/>
                <w:szCs w:val="21"/>
              </w:rPr>
              <w:t>的，每次扣2分。</w:t>
            </w:r>
          </w:p>
        </w:tc>
        <w:tc>
          <w:tcPr>
            <w:tcW w:w="1062" w:type="dxa"/>
          </w:tcPr>
          <w:p w14:paraId="4D9440B6">
            <w:pPr>
              <w:spacing w:line="440" w:lineRule="exact"/>
              <w:ind w:firstLine="420" w:firstLineChars="200"/>
              <w:contextualSpacing/>
              <w:rPr>
                <w:rFonts w:ascii="Times New Roman" w:hAnsi="Times New Roman" w:eastAsia="宋体" w:cs="Times New Roman"/>
                <w:szCs w:val="21"/>
              </w:rPr>
            </w:pPr>
          </w:p>
        </w:tc>
      </w:tr>
      <w:tr w14:paraId="511C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1613B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9</w:t>
            </w:r>
          </w:p>
        </w:tc>
        <w:tc>
          <w:tcPr>
            <w:tcW w:w="1623" w:type="dxa"/>
            <w:vAlign w:val="center"/>
          </w:tcPr>
          <w:p w14:paraId="11E4CE75">
            <w:pPr>
              <w:spacing w:line="440" w:lineRule="exact"/>
              <w:ind w:firstLine="422" w:firstLineChars="200"/>
              <w:contextualSpacing/>
              <w:rPr>
                <w:rFonts w:ascii="Times New Roman" w:hAnsi="Times New Roman" w:eastAsia="宋体" w:cs="Times New Roman"/>
                <w:b/>
                <w:bCs/>
                <w:szCs w:val="21"/>
              </w:rPr>
            </w:pPr>
            <w:r>
              <w:rPr>
                <w:rFonts w:hint="eastAsia" w:ascii="Times New Roman" w:hAnsi="Times New Roman" w:eastAsia="宋体" w:cs="Times New Roman"/>
                <w:b/>
                <w:bCs/>
                <w:szCs w:val="21"/>
              </w:rPr>
              <w:t>系统管理</w:t>
            </w:r>
          </w:p>
        </w:tc>
        <w:tc>
          <w:tcPr>
            <w:tcW w:w="787" w:type="dxa"/>
            <w:vAlign w:val="center"/>
          </w:tcPr>
          <w:p w14:paraId="2FC65D9F">
            <w:pPr>
              <w:spacing w:line="440" w:lineRule="exact"/>
              <w:contextualSpacing/>
              <w:rPr>
                <w:rFonts w:ascii="Times New Roman" w:hAnsi="Times New Roman" w:eastAsia="宋体" w:cs="Times New Roman"/>
                <w:b/>
                <w:bCs/>
                <w:szCs w:val="21"/>
              </w:rPr>
            </w:pPr>
            <w:r>
              <w:rPr>
                <w:rFonts w:hint="eastAsia" w:ascii="Times New Roman" w:hAnsi="Times New Roman" w:eastAsia="宋体" w:cs="Times New Roman"/>
                <w:b/>
                <w:bCs/>
                <w:szCs w:val="21"/>
              </w:rPr>
              <w:t>4</w:t>
            </w:r>
          </w:p>
        </w:tc>
        <w:tc>
          <w:tcPr>
            <w:tcW w:w="4414" w:type="dxa"/>
          </w:tcPr>
          <w:p w14:paraId="6B5AEB05">
            <w:pPr>
              <w:spacing w:line="440" w:lineRule="exact"/>
              <w:contextualSpacing/>
              <w:rPr>
                <w:rFonts w:ascii="Times New Roman" w:hAnsi="Times New Roman" w:eastAsia="宋体" w:cs="Times New Roman"/>
                <w:szCs w:val="21"/>
              </w:rPr>
            </w:pPr>
            <w:r>
              <w:rPr>
                <w:rFonts w:hint="eastAsia" w:ascii="宋体" w:hAnsi="宋体" w:eastAsia="宋体" w:cs="宋体"/>
                <w:b/>
                <w:bCs/>
                <w:woUserID w:val="1"/>
              </w:rPr>
              <w:t>合同期满后未预留能与其他系统兼容的端口或设备动态监测数据不能实时上传至监测管理平台的或未将本项目所有数据资料导出移交给甲方的，扣4分并没收全部履约保证金及取消下年度服务资格。</w:t>
            </w:r>
          </w:p>
        </w:tc>
        <w:tc>
          <w:tcPr>
            <w:tcW w:w="1062" w:type="dxa"/>
          </w:tcPr>
          <w:p w14:paraId="67394099">
            <w:pPr>
              <w:spacing w:line="440" w:lineRule="exact"/>
              <w:ind w:firstLine="420" w:firstLineChars="200"/>
              <w:contextualSpacing/>
              <w:rPr>
                <w:rFonts w:ascii="Times New Roman" w:hAnsi="Times New Roman" w:eastAsia="宋体" w:cs="Times New Roman"/>
                <w:szCs w:val="21"/>
              </w:rPr>
            </w:pPr>
          </w:p>
        </w:tc>
      </w:tr>
      <w:tr w14:paraId="7AF1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vAlign w:val="center"/>
          </w:tcPr>
          <w:p w14:paraId="1D12ABC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10</w:t>
            </w:r>
          </w:p>
        </w:tc>
        <w:tc>
          <w:tcPr>
            <w:tcW w:w="1623" w:type="dxa"/>
            <w:vAlign w:val="center"/>
          </w:tcPr>
          <w:p w14:paraId="3B2B38C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787" w:type="dxa"/>
            <w:vAlign w:val="center"/>
          </w:tcPr>
          <w:p w14:paraId="06D94EF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100</w:t>
            </w:r>
          </w:p>
        </w:tc>
        <w:tc>
          <w:tcPr>
            <w:tcW w:w="4414" w:type="dxa"/>
            <w:vAlign w:val="center"/>
          </w:tcPr>
          <w:p w14:paraId="0ACDEEDB">
            <w:pPr>
              <w:spacing w:line="440" w:lineRule="exact"/>
              <w:ind w:firstLine="420" w:firstLineChars="200"/>
              <w:contextualSpacing/>
              <w:rPr>
                <w:rFonts w:ascii="Times New Roman" w:hAnsi="Times New Roman" w:eastAsia="宋体" w:cs="Times New Roman"/>
                <w:szCs w:val="21"/>
              </w:rPr>
            </w:pPr>
          </w:p>
        </w:tc>
        <w:tc>
          <w:tcPr>
            <w:tcW w:w="1062" w:type="dxa"/>
            <w:vAlign w:val="center"/>
          </w:tcPr>
          <w:p w14:paraId="3F61F427">
            <w:pPr>
              <w:spacing w:line="440" w:lineRule="exact"/>
              <w:ind w:firstLine="420" w:firstLineChars="200"/>
              <w:contextualSpacing/>
              <w:rPr>
                <w:rFonts w:ascii="Times New Roman" w:hAnsi="Times New Roman" w:eastAsia="宋体" w:cs="Times New Roman"/>
                <w:szCs w:val="21"/>
              </w:rPr>
            </w:pPr>
          </w:p>
        </w:tc>
      </w:tr>
      <w:tr w14:paraId="4BB0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32" w:type="dxa"/>
            <w:gridSpan w:val="5"/>
            <w:vAlign w:val="center"/>
          </w:tcPr>
          <w:p w14:paraId="5A0D7DA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Times New Roman" w:hAnsi="Times New Roman" w:eastAsia="宋体" w:cs="Times New Roman"/>
                <w:szCs w:val="21"/>
                <w:lang w:eastAsia="zh-Hans"/>
              </w:rPr>
              <w:t>并</w:t>
            </w:r>
            <w:r>
              <w:rPr>
                <w:rFonts w:hint="eastAsia" w:ascii="Times New Roman" w:hAnsi="Times New Roman" w:eastAsia="宋体" w:cs="Times New Roman"/>
                <w:szCs w:val="21"/>
              </w:rPr>
              <w:t>取消</w:t>
            </w:r>
            <w:r>
              <w:rPr>
                <w:rFonts w:hint="eastAsia" w:ascii="Times New Roman" w:hAnsi="Times New Roman" w:eastAsia="宋体" w:cs="Times New Roman"/>
                <w:szCs w:val="21"/>
                <w:lang w:eastAsia="zh-Hans"/>
              </w:rPr>
              <w:t>下一年度</w:t>
            </w:r>
            <w:r>
              <w:rPr>
                <w:rFonts w:hint="eastAsia" w:ascii="Times New Roman" w:hAnsi="Times New Roman" w:eastAsia="宋体" w:cs="Times New Roman"/>
                <w:szCs w:val="21"/>
              </w:rPr>
              <w:t>第三方监测机构的服务资格。</w:t>
            </w:r>
            <w:r>
              <w:rPr>
                <w:rFonts w:hint="eastAsia" w:ascii="Times New Roman" w:hAnsi="Times New Roman" w:eastAsia="宋体" w:cs="Times New Roman"/>
                <w:szCs w:val="21"/>
                <w:lang w:eastAsia="zh-Hans"/>
              </w:rPr>
              <w:t>本项目的考核单位为</w:t>
            </w:r>
            <w:r>
              <w:rPr>
                <w:rFonts w:hint="eastAsia" w:ascii="Times New Roman" w:hAnsi="Times New Roman" w:eastAsia="宋体" w:cs="Times New Roman"/>
                <w:szCs w:val="21"/>
              </w:rPr>
              <w:t>舟山市定海区住房和城乡建设局。</w:t>
            </w:r>
          </w:p>
        </w:tc>
      </w:tr>
    </w:tbl>
    <w:p w14:paraId="2DC5A08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（二）中标人在服务过程中给业主、居民等造成的损失，由中标人承担。如因中标人的行为致不特定主体向招标人求偿并给招标人造成损失的，招标人有权直接向中标人追偿。</w:t>
      </w:r>
    </w:p>
    <w:p w14:paraId="1C37EFB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五、成果文件要求</w:t>
      </w:r>
    </w:p>
    <w:p w14:paraId="37E56695">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中标人应按国家规定和合同约定的技术规范、标准进行监测服务。并按要求向招标人交付监测服务文件。具体要求如下：</w:t>
      </w:r>
    </w:p>
    <w:tbl>
      <w:tblPr>
        <w:tblStyle w:val="6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14:paraId="2FDF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7EEEA80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资料及文件名称</w:t>
            </w:r>
          </w:p>
        </w:tc>
        <w:tc>
          <w:tcPr>
            <w:tcW w:w="3119" w:type="dxa"/>
            <w:vAlign w:val="center"/>
          </w:tcPr>
          <w:p w14:paraId="365D5A9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套数</w:t>
            </w:r>
          </w:p>
        </w:tc>
        <w:tc>
          <w:tcPr>
            <w:tcW w:w="2969" w:type="dxa"/>
            <w:vAlign w:val="center"/>
          </w:tcPr>
          <w:p w14:paraId="543A576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提交日期</w:t>
            </w:r>
          </w:p>
        </w:tc>
      </w:tr>
      <w:tr w14:paraId="1A83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2097A0DF">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房屋安全动态月度监测报告</w:t>
            </w:r>
          </w:p>
        </w:tc>
        <w:tc>
          <w:tcPr>
            <w:tcW w:w="3119" w:type="dxa"/>
            <w:vAlign w:val="center"/>
          </w:tcPr>
          <w:p w14:paraId="38C30FC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291E6CF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每月度结束后1周内</w:t>
            </w:r>
          </w:p>
        </w:tc>
      </w:tr>
      <w:tr w14:paraId="0CB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ADE77C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房屋安全动态季度监测报告</w:t>
            </w:r>
          </w:p>
        </w:tc>
        <w:tc>
          <w:tcPr>
            <w:tcW w:w="3119" w:type="dxa"/>
            <w:vAlign w:val="center"/>
          </w:tcPr>
          <w:p w14:paraId="7852A6C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0F30A77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每季度结束后2周内</w:t>
            </w:r>
          </w:p>
        </w:tc>
      </w:tr>
      <w:tr w14:paraId="6B77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BBCF02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房屋安全动态年度监测报告</w:t>
            </w:r>
          </w:p>
        </w:tc>
        <w:tc>
          <w:tcPr>
            <w:tcW w:w="3119" w:type="dxa"/>
            <w:vAlign w:val="center"/>
          </w:tcPr>
          <w:p w14:paraId="0BFCBD0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3476207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合同期结束后30日内</w:t>
            </w:r>
          </w:p>
        </w:tc>
      </w:tr>
      <w:tr w14:paraId="463A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354C47F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服务期结束后本项目所有数据资料</w:t>
            </w:r>
          </w:p>
        </w:tc>
        <w:tc>
          <w:tcPr>
            <w:tcW w:w="3119" w:type="dxa"/>
            <w:vAlign w:val="center"/>
          </w:tcPr>
          <w:p w14:paraId="5C73D06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电子文本1套</w:t>
            </w:r>
          </w:p>
        </w:tc>
        <w:tc>
          <w:tcPr>
            <w:tcW w:w="2969" w:type="dxa"/>
            <w:vAlign w:val="center"/>
          </w:tcPr>
          <w:p w14:paraId="48C6D4D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合同期结束后15日内</w:t>
            </w:r>
          </w:p>
        </w:tc>
      </w:tr>
    </w:tbl>
    <w:p w14:paraId="695DCDC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六、其他相关要求</w:t>
      </w:r>
    </w:p>
    <w:p w14:paraId="122ABFE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▲1、中标单位需对居民及社区反映有关房屋安全的信访和投诉类情况进行现场勘查，并出具相关报告（报告期限为甲方通知受理之日起2个工作日内）；</w:t>
      </w:r>
    </w:p>
    <w:p w14:paraId="1B0896B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▲2、中标单位必须在定海区驻点，安排常驻工作人员</w:t>
      </w:r>
      <w:r>
        <w:rPr>
          <w:rFonts w:ascii="Times New Roman" w:hAnsi="Times New Roman" w:eastAsia="宋体" w:cs="Times New Roman"/>
          <w:szCs w:val="21"/>
        </w:rPr>
        <w:t>4</w:t>
      </w:r>
      <w:r>
        <w:rPr>
          <w:rFonts w:hint="eastAsia" w:ascii="Times New Roman" w:hAnsi="Times New Roman" w:eastAsia="宋体" w:cs="Times New Roman"/>
          <w:szCs w:val="21"/>
        </w:rPr>
        <w:t>人以上（其中1人需作为专职</w:t>
      </w:r>
      <w:r>
        <w:rPr>
          <w:rFonts w:ascii="Times New Roman" w:hAnsi="Times New Roman" w:eastAsia="宋体" w:cs="Times New Roman"/>
          <w:szCs w:val="21"/>
        </w:rPr>
        <w:t>人员常驻</w:t>
      </w:r>
      <w:r>
        <w:rPr>
          <w:rFonts w:hint="eastAsia" w:ascii="Times New Roman" w:hAnsi="Times New Roman" w:eastAsia="宋体" w:cs="Times New Roman"/>
          <w:szCs w:val="21"/>
        </w:rPr>
        <w:t>定海</w:t>
      </w:r>
      <w:r>
        <w:rPr>
          <w:rFonts w:ascii="Times New Roman" w:hAnsi="Times New Roman" w:eastAsia="宋体" w:cs="Times New Roman"/>
          <w:szCs w:val="21"/>
        </w:rPr>
        <w:t>区房管中心</w:t>
      </w:r>
      <w:r>
        <w:rPr>
          <w:rFonts w:hint="eastAsia" w:ascii="Times New Roman" w:hAnsi="Times New Roman" w:eastAsia="宋体" w:cs="Times New Roman"/>
          <w:szCs w:val="21"/>
        </w:rPr>
        <w:t>，工作</w:t>
      </w:r>
      <w:r>
        <w:rPr>
          <w:rFonts w:ascii="Times New Roman" w:hAnsi="Times New Roman" w:eastAsia="宋体" w:cs="Times New Roman"/>
          <w:szCs w:val="21"/>
        </w:rPr>
        <w:t>时间与房管中心同步，负责</w:t>
      </w:r>
      <w:r>
        <w:rPr>
          <w:rFonts w:hint="eastAsia" w:ascii="Times New Roman" w:hAnsi="Times New Roman" w:eastAsia="宋体" w:cs="Times New Roman"/>
          <w:szCs w:val="21"/>
        </w:rPr>
        <w:t>配合开展装修安全专项技术服务工作）。需24小时提供技术支持，全天候处理突发事件并随时到达采购人指定地点，接到采购人通知后，30分钟内做出回应，1小时内到达现场。</w:t>
      </w:r>
    </w:p>
    <w:p w14:paraId="79B3D6FB">
      <w:pPr>
        <w:spacing w:line="440" w:lineRule="exact"/>
        <w:ind w:firstLine="420" w:firstLineChars="200"/>
        <w:contextualSpacing/>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▲3、在监测范围内发现具有现实危险或特别危险的房屋以及其他原因，需提供监测设备对房屋实施动态监测的，</w:t>
      </w:r>
      <w:r>
        <w:rPr>
          <w:rFonts w:ascii="Times New Roman" w:hAnsi="Times New Roman" w:eastAsia="宋体" w:cs="Times New Roman"/>
          <w:szCs w:val="21"/>
          <w:highlight w:val="none"/>
        </w:rPr>
        <w:t>经</w:t>
      </w:r>
      <w:r>
        <w:rPr>
          <w:rFonts w:hint="eastAsia" w:ascii="Times New Roman" w:hAnsi="Times New Roman" w:eastAsia="宋体" w:cs="Times New Roman"/>
          <w:szCs w:val="21"/>
          <w:highlight w:val="none"/>
        </w:rPr>
        <w:t>采购人</w:t>
      </w:r>
      <w:r>
        <w:rPr>
          <w:rFonts w:hint="eastAsia" w:ascii="Times New Roman" w:hAnsi="Times New Roman" w:eastAsia="宋体" w:cs="Times New Roman"/>
          <w:szCs w:val="21"/>
          <w:highlight w:val="none"/>
          <w:lang w:eastAsia="zh-CN"/>
        </w:rPr>
        <w:t>备案</w:t>
      </w:r>
      <w:r>
        <w:rPr>
          <w:rFonts w:hint="eastAsia" w:ascii="Times New Roman" w:hAnsi="Times New Roman" w:eastAsia="宋体" w:cs="Times New Roman"/>
          <w:szCs w:val="21"/>
          <w:highlight w:val="none"/>
        </w:rPr>
        <w:t>后及时安装监测设备，</w:t>
      </w:r>
      <w:r>
        <w:rPr>
          <w:rFonts w:hint="eastAsia" w:ascii="Times New Roman" w:hAnsi="Times New Roman" w:eastAsia="宋体" w:cs="Times New Roman"/>
          <w:szCs w:val="21"/>
          <w:highlight w:val="none"/>
          <w:lang w:val="en-US" w:eastAsia="zh-CN"/>
        </w:rPr>
        <w:t>所有</w:t>
      </w:r>
      <w:r>
        <w:rPr>
          <w:rFonts w:hint="eastAsia" w:ascii="Times New Roman" w:hAnsi="Times New Roman" w:eastAsia="宋体" w:cs="Times New Roman"/>
          <w:szCs w:val="21"/>
          <w:highlight w:val="none"/>
        </w:rPr>
        <w:t>费用包含在本次招标费用中，不另外支付。</w:t>
      </w:r>
    </w:p>
    <w:p w14:paraId="68535E3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、其他涉及危房工作开展，中标单位应无条件服从主管部门安排的工作。</w:t>
      </w:r>
    </w:p>
    <w:p w14:paraId="5CA60E7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注：以上内容投标单位须提供承诺书，并加盖公章。</w:t>
      </w:r>
    </w:p>
    <w:p w14:paraId="2DE8FD0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七、本项目费用限价</w:t>
      </w:r>
    </w:p>
    <w:p w14:paraId="090541C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1、人工动态监测（内容为本节二、服务要求中①②③④⑤⑥）：总幢数653幢，▲每幢限价3000元，年度总价限价</w:t>
      </w:r>
      <w:r>
        <w:rPr>
          <w:rFonts w:ascii="Times New Roman" w:hAnsi="Times New Roman" w:eastAsia="宋体" w:cs="Times New Roman"/>
          <w:szCs w:val="21"/>
        </w:rPr>
        <w:t>195.9</w:t>
      </w:r>
      <w:r>
        <w:rPr>
          <w:rFonts w:hint="eastAsia" w:ascii="Times New Roman" w:hAnsi="Times New Roman" w:eastAsia="宋体" w:cs="Times New Roman"/>
          <w:szCs w:val="21"/>
        </w:rPr>
        <w:t>万元（最终监测费用以实际监测幢数和监测月份结算）。</w:t>
      </w:r>
    </w:p>
    <w:tbl>
      <w:tblPr>
        <w:tblStyle w:val="61"/>
        <w:tblW w:w="6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3092"/>
        <w:gridCol w:w="1649"/>
      </w:tblGrid>
      <w:tr w14:paraId="6252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tcPr>
          <w:p w14:paraId="0C5551C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街道</w:t>
            </w:r>
          </w:p>
        </w:tc>
        <w:tc>
          <w:tcPr>
            <w:tcW w:w="3092" w:type="dxa"/>
          </w:tcPr>
          <w:p w14:paraId="44CF667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人工监测</w:t>
            </w:r>
          </w:p>
        </w:tc>
        <w:tc>
          <w:tcPr>
            <w:tcW w:w="1649" w:type="dxa"/>
          </w:tcPr>
          <w:p w14:paraId="5238F63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57F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7FD21D3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城东街道</w:t>
            </w:r>
          </w:p>
        </w:tc>
        <w:tc>
          <w:tcPr>
            <w:tcW w:w="3092" w:type="dxa"/>
            <w:vAlign w:val="center"/>
          </w:tcPr>
          <w:p w14:paraId="232C259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153</w:t>
            </w:r>
          </w:p>
        </w:tc>
        <w:tc>
          <w:tcPr>
            <w:tcW w:w="1649" w:type="dxa"/>
          </w:tcPr>
          <w:p w14:paraId="140BFDCD">
            <w:pPr>
              <w:spacing w:line="440" w:lineRule="exact"/>
              <w:ind w:firstLine="420" w:firstLineChars="200"/>
              <w:contextualSpacing/>
              <w:rPr>
                <w:rFonts w:ascii="Times New Roman" w:hAnsi="Times New Roman" w:eastAsia="宋体" w:cs="Times New Roman"/>
                <w:szCs w:val="21"/>
              </w:rPr>
            </w:pPr>
          </w:p>
        </w:tc>
      </w:tr>
      <w:tr w14:paraId="5239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2C607DC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环南街道</w:t>
            </w:r>
          </w:p>
        </w:tc>
        <w:tc>
          <w:tcPr>
            <w:tcW w:w="3092" w:type="dxa"/>
            <w:vAlign w:val="center"/>
          </w:tcPr>
          <w:p w14:paraId="4FC0AB3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206</w:t>
            </w:r>
          </w:p>
        </w:tc>
        <w:tc>
          <w:tcPr>
            <w:tcW w:w="1649" w:type="dxa"/>
          </w:tcPr>
          <w:p w14:paraId="2E2938E9">
            <w:pPr>
              <w:spacing w:line="440" w:lineRule="exact"/>
              <w:ind w:firstLine="420" w:firstLineChars="200"/>
              <w:contextualSpacing/>
              <w:rPr>
                <w:rFonts w:ascii="Times New Roman" w:hAnsi="Times New Roman" w:eastAsia="宋体" w:cs="Times New Roman"/>
                <w:szCs w:val="21"/>
              </w:rPr>
            </w:pPr>
          </w:p>
        </w:tc>
      </w:tr>
      <w:tr w14:paraId="53A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0DC68DD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昌国街道</w:t>
            </w:r>
          </w:p>
        </w:tc>
        <w:tc>
          <w:tcPr>
            <w:tcW w:w="3092" w:type="dxa"/>
            <w:vAlign w:val="center"/>
          </w:tcPr>
          <w:p w14:paraId="6C9A300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250</w:t>
            </w:r>
          </w:p>
        </w:tc>
        <w:tc>
          <w:tcPr>
            <w:tcW w:w="1649" w:type="dxa"/>
          </w:tcPr>
          <w:p w14:paraId="71A202FF">
            <w:pPr>
              <w:spacing w:line="440" w:lineRule="exact"/>
              <w:ind w:firstLine="420" w:firstLineChars="200"/>
              <w:contextualSpacing/>
              <w:rPr>
                <w:rFonts w:ascii="Times New Roman" w:hAnsi="Times New Roman" w:eastAsia="宋体" w:cs="Times New Roman"/>
                <w:szCs w:val="21"/>
              </w:rPr>
            </w:pPr>
          </w:p>
        </w:tc>
      </w:tr>
      <w:tr w14:paraId="5F5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1C2DBBF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白泉镇</w:t>
            </w:r>
          </w:p>
        </w:tc>
        <w:tc>
          <w:tcPr>
            <w:tcW w:w="3092" w:type="dxa"/>
            <w:vAlign w:val="center"/>
          </w:tcPr>
          <w:p w14:paraId="2324EB1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37</w:t>
            </w:r>
          </w:p>
        </w:tc>
        <w:tc>
          <w:tcPr>
            <w:tcW w:w="1649" w:type="dxa"/>
          </w:tcPr>
          <w:p w14:paraId="3471D204">
            <w:pPr>
              <w:spacing w:line="440" w:lineRule="exact"/>
              <w:ind w:firstLine="420" w:firstLineChars="200"/>
              <w:contextualSpacing/>
              <w:rPr>
                <w:rFonts w:ascii="Times New Roman" w:hAnsi="Times New Roman" w:eastAsia="宋体" w:cs="Times New Roman"/>
                <w:szCs w:val="21"/>
              </w:rPr>
            </w:pPr>
          </w:p>
        </w:tc>
      </w:tr>
      <w:tr w14:paraId="00D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5F22E69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小沙街道</w:t>
            </w:r>
          </w:p>
        </w:tc>
        <w:tc>
          <w:tcPr>
            <w:tcW w:w="3092" w:type="dxa"/>
            <w:vAlign w:val="center"/>
          </w:tcPr>
          <w:p w14:paraId="248E385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w:t>
            </w:r>
          </w:p>
        </w:tc>
        <w:tc>
          <w:tcPr>
            <w:tcW w:w="1649" w:type="dxa"/>
          </w:tcPr>
          <w:p w14:paraId="43C7ED70">
            <w:pPr>
              <w:spacing w:line="440" w:lineRule="exact"/>
              <w:ind w:firstLine="420" w:firstLineChars="200"/>
              <w:contextualSpacing/>
              <w:rPr>
                <w:rFonts w:ascii="Times New Roman" w:hAnsi="Times New Roman" w:eastAsia="宋体" w:cs="Times New Roman"/>
                <w:szCs w:val="21"/>
              </w:rPr>
            </w:pPr>
          </w:p>
        </w:tc>
      </w:tr>
      <w:tr w14:paraId="6703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1C4E616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干览镇</w:t>
            </w:r>
          </w:p>
        </w:tc>
        <w:tc>
          <w:tcPr>
            <w:tcW w:w="3092" w:type="dxa"/>
            <w:vAlign w:val="center"/>
          </w:tcPr>
          <w:p w14:paraId="7019977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w:t>
            </w:r>
          </w:p>
        </w:tc>
        <w:tc>
          <w:tcPr>
            <w:tcW w:w="1649" w:type="dxa"/>
          </w:tcPr>
          <w:p w14:paraId="03AEB47D">
            <w:pPr>
              <w:spacing w:line="440" w:lineRule="exact"/>
              <w:ind w:firstLine="420" w:firstLineChars="200"/>
              <w:contextualSpacing/>
              <w:rPr>
                <w:rFonts w:ascii="Times New Roman" w:hAnsi="Times New Roman" w:eastAsia="宋体" w:cs="Times New Roman"/>
                <w:szCs w:val="21"/>
              </w:rPr>
            </w:pPr>
          </w:p>
        </w:tc>
      </w:tr>
      <w:tr w14:paraId="7AA5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57" w:type="dxa"/>
            <w:vAlign w:val="center"/>
          </w:tcPr>
          <w:p w14:paraId="22FD6DC5">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岑港街道</w:t>
            </w:r>
          </w:p>
        </w:tc>
        <w:tc>
          <w:tcPr>
            <w:tcW w:w="3092" w:type="dxa"/>
            <w:vAlign w:val="center"/>
          </w:tcPr>
          <w:p w14:paraId="111C91F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1649" w:type="dxa"/>
          </w:tcPr>
          <w:p w14:paraId="26941A42">
            <w:pPr>
              <w:spacing w:line="440" w:lineRule="exact"/>
              <w:ind w:firstLine="420" w:firstLineChars="200"/>
              <w:contextualSpacing/>
              <w:rPr>
                <w:rFonts w:ascii="Times New Roman" w:hAnsi="Times New Roman" w:eastAsia="宋体" w:cs="Times New Roman"/>
                <w:szCs w:val="21"/>
              </w:rPr>
            </w:pPr>
          </w:p>
        </w:tc>
      </w:tr>
    </w:tbl>
    <w:p w14:paraId="5C857519">
      <w:pPr>
        <w:spacing w:line="440" w:lineRule="exact"/>
        <w:ind w:firstLine="420" w:firstLineChars="200"/>
        <w:contextualSpacing/>
        <w:rPr>
          <w:rFonts w:ascii="Times New Roman" w:hAnsi="Times New Roman" w:eastAsia="宋体" w:cs="Times New Roman"/>
          <w:color w:val="0000FF"/>
          <w:szCs w:val="21"/>
        </w:rPr>
      </w:pPr>
      <w:r>
        <w:rPr>
          <w:rFonts w:hint="eastAsia" w:ascii="Times New Roman" w:hAnsi="Times New Roman" w:eastAsia="宋体" w:cs="Times New Roman"/>
          <w:szCs w:val="21"/>
        </w:rPr>
        <w:t>2、城镇房屋装修安全专项技术服务（内容为本节二、服务要求中⑦）：年度装修备案巡查对象为全区范围内应备案装修行为，备案暂定数量为1000户/年，超过1000户/年的，服务费不予追加。▲每户最高限价200元，年度最高限价20万元。</w:t>
      </w:r>
    </w:p>
    <w:p w14:paraId="2BED8F8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八、其他说明</w:t>
      </w:r>
    </w:p>
    <w:p w14:paraId="2B6145B9">
      <w:pPr>
        <w:spacing w:line="440" w:lineRule="exact"/>
        <w:ind w:firstLine="420" w:firstLineChars="200"/>
        <w:contextualSpacing/>
        <w:rPr>
          <w:rFonts w:ascii="Times New Roman" w:hAnsi="Times New Roman" w:eastAsia="宋体" w:cs="Times New Roman"/>
          <w:szCs w:val="21"/>
        </w:rPr>
        <w:sectPr>
          <w:footerReference r:id="rId5"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szCs w:val="21"/>
        </w:rPr>
        <w:t>本项目综合评审得分排名第一的为中标单位。</w:t>
      </w:r>
      <w:r>
        <w:rPr>
          <w:rFonts w:hint="eastAsia" w:ascii="Times New Roman" w:hAnsi="Times New Roman" w:eastAsia="宋体" w:cs="Times New Roman"/>
          <w:szCs w:val="21"/>
          <w:lang w:val="en-US" w:eastAsia="zh-CN"/>
        </w:rPr>
        <w:t>中标</w:t>
      </w:r>
      <w:r>
        <w:rPr>
          <w:rFonts w:hint="eastAsia" w:ascii="Times New Roman" w:hAnsi="Times New Roman" w:eastAsia="宋体" w:cs="Times New Roman"/>
          <w:szCs w:val="21"/>
        </w:rPr>
        <w:t>单位分别与定海区住房和城乡建设局、各镇街道签订三方合同。</w:t>
      </w:r>
    </w:p>
    <w:p w14:paraId="30E06BE9">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4EFD007A">
      <w:pPr>
        <w:snapToGrid w:val="0"/>
        <w:ind w:firstLine="3360" w:firstLineChars="120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14:paraId="727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589C57">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4B8E12">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46D1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D4A6A2">
            <w:pPr>
              <w:snapToGrid w:val="0"/>
              <w:spacing w:line="240" w:lineRule="exact"/>
              <w:jc w:val="center"/>
              <w:rPr>
                <w:rFonts w:ascii="宋体" w:hAnsi="宋体" w:eastAsia="宋体" w:cs="宋体"/>
                <w:b/>
              </w:rPr>
            </w:pPr>
            <w:r>
              <w:rPr>
                <w:rFonts w:hint="eastAsia" w:ascii="宋体" w:hAnsi="宋体" w:eastAsia="宋体" w:cs="宋体"/>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0EF3AD">
            <w:pPr>
              <w:spacing w:line="240" w:lineRule="exact"/>
              <w:jc w:val="center"/>
              <w:rPr>
                <w:rFonts w:ascii="宋体" w:hAnsi="宋体" w:eastAsia="宋体" w:cs="宋体"/>
                <w:b/>
              </w:rPr>
            </w:pPr>
            <w:r>
              <w:rPr>
                <w:rFonts w:hint="eastAsia" w:ascii="宋体" w:hAnsi="宋体" w:eastAsia="宋体" w:cs="宋体"/>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16D574">
            <w:pPr>
              <w:spacing w:line="240" w:lineRule="exact"/>
              <w:rPr>
                <w:rFonts w:ascii="宋体" w:hAnsi="宋体" w:eastAsia="宋体" w:cs="宋体"/>
                <w:bCs/>
                <w:lang w:val="zh-CN"/>
              </w:rPr>
            </w:pPr>
            <w:r>
              <w:rPr>
                <w:rFonts w:hint="eastAsia" w:ascii="宋体" w:hAnsi="宋体" w:eastAsia="宋体" w:cs="宋体"/>
                <w:szCs w:val="21"/>
              </w:rPr>
              <w:t>定海区城镇房屋结构监测及装修巡查技术服务项目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45A126">
            <w:pPr>
              <w:spacing w:line="240" w:lineRule="exact"/>
              <w:jc w:val="center"/>
              <w:rPr>
                <w:rFonts w:ascii="宋体" w:hAnsi="宋体" w:eastAsia="宋体" w:cs="宋体"/>
                <w:bCs/>
              </w:rPr>
            </w:pPr>
            <w:r>
              <w:rPr>
                <w:rFonts w:hint="eastAsia" w:ascii="宋体" w:hAnsi="宋体" w:eastAsia="宋体" w:cs="宋体"/>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84D22F">
            <w:pPr>
              <w:spacing w:line="240" w:lineRule="exact"/>
              <w:rPr>
                <w:rFonts w:ascii="宋体" w:hAnsi="宋体" w:eastAsia="宋体" w:cs="宋体"/>
                <w:bCs/>
              </w:rPr>
            </w:pPr>
            <w:r>
              <w:rPr>
                <w:rFonts w:hint="eastAsia" w:ascii="宋体" w:hAnsi="宋体" w:eastAsia="宋体" w:cs="宋体"/>
                <w:bCs/>
              </w:rPr>
              <w:t>TLZB-2025-120</w:t>
            </w:r>
          </w:p>
        </w:tc>
      </w:tr>
      <w:tr w14:paraId="420F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D0861">
            <w:pPr>
              <w:snapToGrid w:val="0"/>
              <w:spacing w:line="240" w:lineRule="exact"/>
              <w:jc w:val="center"/>
              <w:rPr>
                <w:rFonts w:ascii="宋体" w:hAnsi="宋体" w:eastAsia="宋体" w:cs="宋体"/>
                <w:b/>
              </w:rPr>
            </w:pPr>
            <w:r>
              <w:rPr>
                <w:rFonts w:hint="eastAsia" w:ascii="宋体" w:hAnsi="宋体" w:eastAsia="宋体" w:cs="宋体"/>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DE2E98">
            <w:pPr>
              <w:spacing w:line="240" w:lineRule="exact"/>
              <w:jc w:val="center"/>
              <w:rPr>
                <w:rFonts w:ascii="宋体" w:hAnsi="宋体" w:eastAsia="宋体" w:cs="宋体"/>
                <w:b/>
              </w:rPr>
            </w:pPr>
            <w:r>
              <w:rPr>
                <w:rFonts w:hint="eastAsia" w:ascii="宋体" w:hAnsi="宋体" w:eastAsia="宋体" w:cs="宋体"/>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3A70CF">
            <w:pPr>
              <w:spacing w:line="240" w:lineRule="exact"/>
              <w:rPr>
                <w:rFonts w:ascii="宋体" w:hAnsi="宋体" w:eastAsia="宋体" w:cs="宋体"/>
                <w:bCs/>
              </w:rPr>
            </w:pPr>
            <w:r>
              <w:rPr>
                <w:rFonts w:hint="eastAsia" w:ascii="宋体" w:hAnsi="宋体" w:eastAsia="宋体" w:cs="宋体"/>
                <w:szCs w:val="21"/>
              </w:rPr>
              <w:t>舟山市定海区住房和城乡建设局</w:t>
            </w:r>
          </w:p>
        </w:tc>
      </w:tr>
      <w:tr w14:paraId="67C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FE2CE9">
            <w:pPr>
              <w:snapToGrid w:val="0"/>
              <w:spacing w:line="240" w:lineRule="exact"/>
              <w:jc w:val="center"/>
              <w:rPr>
                <w:rFonts w:ascii="宋体" w:hAnsi="宋体" w:eastAsia="宋体" w:cs="宋体"/>
                <w:b/>
              </w:rPr>
            </w:pPr>
            <w:r>
              <w:rPr>
                <w:rFonts w:hint="eastAsia" w:ascii="宋体" w:hAnsi="宋体" w:eastAsia="宋体" w:cs="宋体"/>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947505">
            <w:pPr>
              <w:spacing w:line="240" w:lineRule="exact"/>
              <w:jc w:val="center"/>
              <w:rPr>
                <w:rFonts w:ascii="宋体" w:hAnsi="宋体" w:eastAsia="宋体" w:cs="宋体"/>
                <w:b/>
              </w:rPr>
            </w:pPr>
            <w:r>
              <w:rPr>
                <w:rFonts w:hint="eastAsia" w:ascii="宋体" w:hAnsi="宋体" w:eastAsia="宋体" w:cs="宋体"/>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0D3CCF">
            <w:pPr>
              <w:pStyle w:val="82"/>
              <w:ind w:firstLine="0"/>
              <w:rPr>
                <w:rFonts w:ascii="宋体" w:hAnsi="宋体" w:eastAsia="宋体" w:cs="宋体"/>
              </w:rPr>
            </w:pPr>
            <w:r>
              <w:rPr>
                <w:rFonts w:hint="eastAsia" w:ascii="宋体" w:hAnsi="宋体" w:eastAsia="宋体" w:cs="宋体"/>
              </w:rPr>
              <w:t>定海区城镇房屋结构监测及装修巡查技术服务项目，详见采购文件采购需求。</w:t>
            </w:r>
          </w:p>
        </w:tc>
      </w:tr>
      <w:tr w14:paraId="08F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5EE34C">
            <w:pPr>
              <w:snapToGrid w:val="0"/>
              <w:spacing w:line="240" w:lineRule="exact"/>
              <w:jc w:val="center"/>
              <w:rPr>
                <w:rFonts w:ascii="宋体" w:hAnsi="宋体" w:eastAsia="宋体" w:cs="宋体"/>
                <w:b/>
              </w:rPr>
            </w:pPr>
            <w:r>
              <w:rPr>
                <w:rFonts w:hint="eastAsia" w:ascii="宋体" w:hAnsi="宋体" w:eastAsia="宋体" w:cs="宋体"/>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F62D9D">
            <w:pPr>
              <w:spacing w:line="240" w:lineRule="exact"/>
              <w:jc w:val="center"/>
              <w:rPr>
                <w:rFonts w:ascii="宋体" w:hAnsi="宋体" w:eastAsia="宋体" w:cs="宋体"/>
                <w:b/>
              </w:rPr>
            </w:pPr>
            <w:r>
              <w:rPr>
                <w:rFonts w:hint="eastAsia" w:ascii="宋体" w:hAnsi="宋体" w:eastAsia="宋体" w:cs="宋体"/>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365E0A">
            <w:pPr>
              <w:spacing w:line="240" w:lineRule="exact"/>
              <w:jc w:val="left"/>
              <w:rPr>
                <w:rFonts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szCs w:val="21"/>
                <w:lang w:val="en-US" w:eastAsia="zh-CN"/>
              </w:rPr>
              <w:t>646.8</w:t>
            </w:r>
            <w:r>
              <w:rPr>
                <w:rFonts w:hint="eastAsia" w:ascii="宋体" w:hAnsi="宋体" w:eastAsia="宋体" w:cs="宋体"/>
                <w:szCs w:val="21"/>
              </w:rPr>
              <w:t>万元</w:t>
            </w:r>
          </w:p>
        </w:tc>
      </w:tr>
      <w:tr w14:paraId="106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3C381C">
            <w:pPr>
              <w:snapToGrid w:val="0"/>
              <w:spacing w:line="240" w:lineRule="exact"/>
              <w:jc w:val="center"/>
              <w:rPr>
                <w:rFonts w:ascii="宋体" w:hAnsi="宋体" w:eastAsia="宋体" w:cs="宋体"/>
                <w:b/>
              </w:rPr>
            </w:pPr>
            <w:r>
              <w:rPr>
                <w:rFonts w:hint="eastAsia" w:ascii="宋体" w:hAnsi="宋体" w:eastAsia="宋体" w:cs="宋体"/>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22A60D">
            <w:pPr>
              <w:spacing w:line="240" w:lineRule="exact"/>
              <w:jc w:val="center"/>
              <w:rPr>
                <w:rFonts w:ascii="宋体" w:hAnsi="宋体" w:eastAsia="宋体" w:cs="宋体"/>
                <w:b/>
              </w:rPr>
            </w:pPr>
            <w:r>
              <w:rPr>
                <w:rFonts w:hint="eastAsia" w:ascii="宋体" w:hAnsi="宋体" w:eastAsia="宋体" w:cs="宋体"/>
                <w:b/>
              </w:rPr>
              <w:t>服务时间</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4DADE9">
            <w:pPr>
              <w:spacing w:line="240" w:lineRule="exact"/>
              <w:rPr>
                <w:rFonts w:ascii="宋体" w:hAnsi="宋体" w:eastAsia="宋体" w:cs="宋体"/>
                <w:szCs w:val="21"/>
              </w:rPr>
            </w:pPr>
            <w:r>
              <w:rPr>
                <w:rFonts w:ascii="宋体" w:hAnsi="宋体" w:eastAsia="宋体" w:cs="宋体"/>
                <w:kern w:val="0"/>
                <w:szCs w:val="21"/>
                <w:shd w:val="clear" w:color="auto" w:fill="FFFFFF"/>
              </w:rPr>
              <w:t>3</w:t>
            </w:r>
            <w:r>
              <w:rPr>
                <w:rFonts w:hint="eastAsia" w:ascii="宋体" w:hAnsi="宋体" w:eastAsia="宋体" w:cs="宋体"/>
                <w:kern w:val="0"/>
                <w:szCs w:val="21"/>
                <w:shd w:val="clear" w:color="auto" w:fill="FFFFFF"/>
              </w:rPr>
              <w:t>年</w:t>
            </w:r>
          </w:p>
        </w:tc>
      </w:tr>
      <w:tr w14:paraId="28AB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EB053D">
            <w:pPr>
              <w:snapToGrid w:val="0"/>
              <w:spacing w:line="240" w:lineRule="exact"/>
              <w:jc w:val="center"/>
              <w:rPr>
                <w:rFonts w:ascii="宋体" w:hAnsi="宋体" w:eastAsia="宋体" w:cs="宋体"/>
                <w:b/>
              </w:rPr>
            </w:pPr>
            <w:r>
              <w:rPr>
                <w:rFonts w:hint="eastAsia" w:ascii="宋体" w:hAnsi="宋体" w:eastAsia="宋体" w:cs="宋体"/>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C15C08">
            <w:pPr>
              <w:spacing w:line="240" w:lineRule="exact"/>
              <w:jc w:val="center"/>
              <w:rPr>
                <w:rFonts w:ascii="宋体" w:hAnsi="宋体" w:eastAsia="宋体" w:cs="宋体"/>
                <w:b/>
                <w:szCs w:val="21"/>
              </w:rPr>
            </w:pPr>
            <w:r>
              <w:rPr>
                <w:rFonts w:hint="eastAsia" w:ascii="宋体" w:hAnsi="宋体" w:eastAsia="宋体" w:cs="宋体"/>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40204A">
            <w:pPr>
              <w:spacing w:line="240" w:lineRule="exact"/>
              <w:rPr>
                <w:rFonts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2E2F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CE01DC">
            <w:pPr>
              <w:snapToGrid w:val="0"/>
              <w:spacing w:line="240" w:lineRule="exact"/>
              <w:jc w:val="center"/>
              <w:rPr>
                <w:rFonts w:ascii="宋体" w:hAnsi="宋体" w:eastAsia="宋体" w:cs="宋体"/>
                <w:b/>
              </w:rPr>
            </w:pPr>
            <w:r>
              <w:rPr>
                <w:rFonts w:hint="eastAsia" w:ascii="宋体" w:hAnsi="宋体" w:eastAsia="宋体" w:cs="宋体"/>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8F5833">
            <w:pPr>
              <w:spacing w:line="240" w:lineRule="exact"/>
              <w:jc w:val="center"/>
              <w:rPr>
                <w:rFonts w:ascii="宋体" w:hAnsi="宋体" w:eastAsia="宋体" w:cs="宋体"/>
                <w:b/>
                <w:szCs w:val="21"/>
              </w:rPr>
            </w:pPr>
            <w:r>
              <w:rPr>
                <w:rFonts w:hint="eastAsia" w:ascii="宋体" w:hAnsi="宋体" w:eastAsia="宋体" w:cs="宋体"/>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60AB02">
            <w:pPr>
              <w:spacing w:line="240" w:lineRule="exact"/>
              <w:rPr>
                <w:rFonts w:ascii="宋体" w:hAnsi="宋体" w:eastAsia="宋体" w:cs="宋体"/>
                <w:szCs w:val="21"/>
              </w:rPr>
            </w:pPr>
            <w:r>
              <w:rPr>
                <w:rFonts w:hint="eastAsia" w:ascii="宋体" w:hAnsi="宋体" w:eastAsia="宋体" w:cs="宋体"/>
                <w:szCs w:val="21"/>
              </w:rPr>
              <w:t>综合评分法</w:t>
            </w:r>
          </w:p>
        </w:tc>
      </w:tr>
      <w:tr w14:paraId="140F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D90772">
            <w:pPr>
              <w:snapToGrid w:val="0"/>
              <w:spacing w:line="240" w:lineRule="exact"/>
              <w:jc w:val="center"/>
              <w:rPr>
                <w:rFonts w:ascii="宋体" w:hAnsi="宋体" w:eastAsia="宋体" w:cs="宋体"/>
                <w:b/>
              </w:rPr>
            </w:pPr>
            <w:r>
              <w:rPr>
                <w:rFonts w:hint="eastAsia" w:ascii="宋体" w:hAnsi="宋体" w:eastAsia="宋体" w:cs="宋体"/>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7D937B">
            <w:pPr>
              <w:spacing w:line="240" w:lineRule="exact"/>
              <w:jc w:val="center"/>
              <w:rPr>
                <w:rFonts w:ascii="宋体" w:hAnsi="宋体" w:eastAsia="宋体" w:cs="宋体"/>
                <w:b/>
                <w:szCs w:val="21"/>
              </w:rPr>
            </w:pPr>
            <w:r>
              <w:rPr>
                <w:rFonts w:hint="eastAsia" w:ascii="宋体" w:hAnsi="宋体" w:eastAsia="宋体" w:cs="宋体"/>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6A7AA5">
            <w:pPr>
              <w:spacing w:line="240" w:lineRule="exact"/>
              <w:rPr>
                <w:rFonts w:ascii="宋体" w:hAnsi="宋体" w:eastAsia="宋体" w:cs="宋体"/>
                <w:szCs w:val="21"/>
              </w:rPr>
            </w:pPr>
            <w:r>
              <w:rPr>
                <w:rFonts w:hint="eastAsia" w:ascii="宋体" w:hAnsi="宋体" w:eastAsia="宋体" w:cs="宋体"/>
                <w:szCs w:val="21"/>
              </w:rPr>
              <w:t>中标通知书发出后</w:t>
            </w:r>
            <w:r>
              <w:rPr>
                <w:rFonts w:hint="eastAsia" w:ascii="宋体" w:hAnsi="宋体" w:eastAsia="宋体" w:cs="宋体"/>
                <w:szCs w:val="21"/>
                <w:u w:val="single"/>
              </w:rPr>
              <w:t>30</w:t>
            </w:r>
            <w:r>
              <w:rPr>
                <w:rFonts w:hint="eastAsia" w:ascii="宋体" w:hAnsi="宋体" w:eastAsia="宋体" w:cs="宋体"/>
                <w:szCs w:val="21"/>
              </w:rPr>
              <w:t>天内。</w:t>
            </w:r>
          </w:p>
        </w:tc>
      </w:tr>
      <w:tr w14:paraId="2905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93A612">
            <w:pPr>
              <w:snapToGrid w:val="0"/>
              <w:spacing w:line="240" w:lineRule="exact"/>
              <w:jc w:val="center"/>
              <w:rPr>
                <w:rFonts w:ascii="宋体" w:hAnsi="宋体" w:eastAsia="宋体" w:cs="宋体"/>
                <w:b/>
              </w:rPr>
            </w:pPr>
            <w:r>
              <w:rPr>
                <w:rFonts w:hint="eastAsia" w:ascii="宋体" w:hAnsi="宋体" w:eastAsia="宋体" w:cs="宋体"/>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F02CE4">
            <w:pPr>
              <w:spacing w:line="240" w:lineRule="exact"/>
              <w:jc w:val="center"/>
              <w:rPr>
                <w:rFonts w:ascii="宋体" w:hAnsi="宋体" w:eastAsia="宋体" w:cs="宋体"/>
                <w:b/>
                <w:szCs w:val="21"/>
              </w:rPr>
            </w:pPr>
            <w:r>
              <w:rPr>
                <w:rFonts w:hint="eastAsia" w:ascii="宋体" w:hAnsi="宋体" w:eastAsia="宋体" w:cs="宋体"/>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452C04">
            <w:pPr>
              <w:outlineLvl w:val="0"/>
              <w:rPr>
                <w:rFonts w:ascii="宋体" w:hAnsi="宋体" w:eastAsia="宋体" w:cs="宋体"/>
                <w:b/>
                <w:sz w:val="24"/>
              </w:rPr>
            </w:pPr>
            <w:r>
              <w:rPr>
                <w:rFonts w:hint="eastAsia" w:ascii="宋体" w:hAnsi="宋体" w:eastAsia="宋体" w:cs="宋体"/>
                <w:szCs w:val="21"/>
              </w:rPr>
              <w:t>详见合同</w:t>
            </w:r>
          </w:p>
        </w:tc>
      </w:tr>
      <w:tr w14:paraId="03C9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39BF68">
            <w:pPr>
              <w:snapToGrid w:val="0"/>
              <w:spacing w:line="240" w:lineRule="exact"/>
              <w:jc w:val="center"/>
              <w:rPr>
                <w:rFonts w:ascii="宋体" w:hAnsi="宋体" w:eastAsia="宋体" w:cs="宋体"/>
                <w:b/>
              </w:rPr>
            </w:pPr>
            <w:r>
              <w:rPr>
                <w:rFonts w:hint="eastAsia" w:ascii="宋体" w:hAnsi="宋体" w:eastAsia="宋体" w:cs="宋体"/>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156F3B">
            <w:pPr>
              <w:spacing w:line="240" w:lineRule="exact"/>
              <w:jc w:val="center"/>
              <w:rPr>
                <w:rFonts w:ascii="宋体" w:hAnsi="宋体" w:eastAsia="宋体" w:cs="宋体"/>
                <w:b/>
                <w:szCs w:val="21"/>
              </w:rPr>
            </w:pPr>
            <w:r>
              <w:rPr>
                <w:rFonts w:hint="eastAsia" w:ascii="宋体" w:hAnsi="宋体" w:eastAsia="宋体" w:cs="宋体"/>
                <w:b/>
                <w:szCs w:val="21"/>
              </w:rPr>
              <w:t>投标报价</w:t>
            </w:r>
          </w:p>
          <w:p w14:paraId="695C9320">
            <w:pPr>
              <w:spacing w:line="240" w:lineRule="exact"/>
              <w:jc w:val="center"/>
              <w:rPr>
                <w:rFonts w:ascii="宋体" w:hAnsi="宋体" w:eastAsia="宋体" w:cs="宋体"/>
                <w:b/>
                <w:szCs w:val="21"/>
              </w:rPr>
            </w:pPr>
            <w:r>
              <w:rPr>
                <w:rFonts w:hint="eastAsia" w:ascii="宋体" w:hAnsi="宋体" w:eastAsia="宋体" w:cs="宋体"/>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BCA949">
            <w:pPr>
              <w:rPr>
                <w:rFonts w:ascii="宋体" w:hAnsi="宋体" w:eastAsia="宋体" w:cs="宋体"/>
                <w:szCs w:val="21"/>
              </w:rPr>
            </w:pPr>
            <w:r>
              <w:rPr>
                <w:rFonts w:hint="eastAsia" w:ascii="宋体" w:hAnsi="宋体" w:eastAsia="宋体" w:cs="宋体"/>
                <w:szCs w:val="21"/>
              </w:rPr>
              <w:t>1.本项目的投标应以人民币报价，投标报价应包括所有费用。</w:t>
            </w:r>
          </w:p>
          <w:p w14:paraId="71F273A8">
            <w:pPr>
              <w:rPr>
                <w:rFonts w:ascii="宋体" w:hAnsi="宋体" w:eastAsia="宋体" w:cs="宋体"/>
                <w:szCs w:val="21"/>
              </w:rPr>
            </w:pPr>
            <w:r>
              <w:rPr>
                <w:rFonts w:hint="eastAsia" w:ascii="宋体" w:hAnsi="宋体" w:eastAsia="宋体" w:cs="宋体"/>
                <w:szCs w:val="21"/>
              </w:rPr>
              <w:t>2.投标人应承担其参加本招标活动自身所发生的费用。</w:t>
            </w:r>
          </w:p>
          <w:p w14:paraId="2D1CA481">
            <w:pPr>
              <w:rPr>
                <w:rFonts w:ascii="宋体" w:hAnsi="宋体" w:eastAsia="宋体" w:cs="宋体"/>
                <w:szCs w:val="21"/>
              </w:rPr>
            </w:pPr>
            <w:r>
              <w:rPr>
                <w:rFonts w:hint="eastAsia" w:ascii="宋体" w:hAnsi="宋体" w:eastAsia="宋体" w:cs="宋体"/>
                <w:szCs w:val="21"/>
              </w:rPr>
              <w:t>3.中标投标人须缴纳服务费,收费金额为：42000元。</w:t>
            </w:r>
          </w:p>
          <w:p w14:paraId="43456771">
            <w:pPr>
              <w:rPr>
                <w:rFonts w:ascii="宋体" w:hAnsi="宋体" w:eastAsia="宋体" w:cs="宋体"/>
                <w:szCs w:val="21"/>
              </w:rPr>
            </w:pPr>
            <w:r>
              <w:rPr>
                <w:rFonts w:hint="eastAsia" w:ascii="宋体" w:hAnsi="宋体" w:eastAsia="宋体" w:cs="宋体"/>
                <w:szCs w:val="21"/>
              </w:rPr>
              <w:t>4.中标通知书发出的同时，中标投标人应及时支付招标代理费，收到服务费后提供全额发票。</w:t>
            </w:r>
          </w:p>
        </w:tc>
      </w:tr>
      <w:tr w14:paraId="7908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045986">
            <w:pPr>
              <w:snapToGrid w:val="0"/>
              <w:spacing w:line="240" w:lineRule="exact"/>
              <w:jc w:val="center"/>
              <w:rPr>
                <w:rFonts w:ascii="宋体" w:hAnsi="宋体" w:eastAsia="宋体" w:cs="宋体"/>
                <w:b/>
              </w:rPr>
            </w:pPr>
            <w:r>
              <w:rPr>
                <w:rFonts w:hint="eastAsia" w:ascii="宋体" w:hAnsi="宋体" w:eastAsia="宋体" w:cs="宋体"/>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AD6A2A">
            <w:pPr>
              <w:spacing w:line="240" w:lineRule="exact"/>
              <w:jc w:val="center"/>
              <w:rPr>
                <w:rFonts w:ascii="宋体" w:hAnsi="宋体" w:eastAsia="宋体" w:cs="宋体"/>
                <w:b/>
                <w:szCs w:val="21"/>
              </w:rPr>
            </w:pPr>
            <w:r>
              <w:rPr>
                <w:rFonts w:hint="eastAsia" w:ascii="宋体" w:hAnsi="宋体" w:eastAsia="宋体" w:cs="宋体"/>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D232EE">
            <w:pPr>
              <w:spacing w:line="240" w:lineRule="exact"/>
              <w:rPr>
                <w:rFonts w:ascii="宋体" w:hAnsi="宋体" w:eastAsia="宋体" w:cs="宋体"/>
                <w:szCs w:val="21"/>
              </w:rPr>
            </w:pPr>
            <w:r>
              <w:rPr>
                <w:rFonts w:hint="eastAsia" w:ascii="宋体" w:hAnsi="宋体" w:eastAsia="宋体" w:cs="宋体"/>
                <w:szCs w:val="21"/>
              </w:rPr>
              <w:t xml:space="preserve">开户银行：舟山定海海洋农商银行营业部 </w:t>
            </w:r>
          </w:p>
          <w:p w14:paraId="55319374">
            <w:pPr>
              <w:spacing w:line="240" w:lineRule="exact"/>
              <w:rPr>
                <w:rFonts w:ascii="宋体" w:hAnsi="宋体" w:eastAsia="宋体" w:cs="宋体"/>
                <w:szCs w:val="21"/>
              </w:rPr>
            </w:pPr>
            <w:r>
              <w:rPr>
                <w:rFonts w:hint="eastAsia" w:ascii="宋体" w:hAnsi="宋体" w:eastAsia="宋体" w:cs="宋体"/>
                <w:szCs w:val="21"/>
              </w:rPr>
              <w:t>账 号：201000012335992</w:t>
            </w:r>
          </w:p>
          <w:p w14:paraId="3ED93FBE">
            <w:pPr>
              <w:spacing w:line="240" w:lineRule="exact"/>
              <w:rPr>
                <w:rFonts w:ascii="宋体" w:hAnsi="宋体" w:eastAsia="宋体" w:cs="宋体"/>
                <w:szCs w:val="21"/>
              </w:rPr>
            </w:pPr>
            <w:r>
              <w:rPr>
                <w:rFonts w:hint="eastAsia" w:ascii="宋体" w:hAnsi="宋体" w:eastAsia="宋体" w:cs="宋体"/>
                <w:szCs w:val="21"/>
              </w:rPr>
              <w:t>收 款 人：浙江天隆工程管理有限公司</w:t>
            </w:r>
          </w:p>
        </w:tc>
      </w:tr>
      <w:tr w14:paraId="7C16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CFD9D7">
            <w:pPr>
              <w:snapToGrid w:val="0"/>
              <w:spacing w:line="240" w:lineRule="exact"/>
              <w:jc w:val="center"/>
              <w:rPr>
                <w:rFonts w:ascii="宋体" w:hAnsi="宋体" w:eastAsia="宋体" w:cs="宋体"/>
                <w:b/>
              </w:rPr>
            </w:pPr>
            <w:r>
              <w:rPr>
                <w:rFonts w:hint="eastAsia" w:ascii="宋体" w:hAnsi="宋体" w:eastAsia="宋体" w:cs="宋体"/>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417BEF">
            <w:pPr>
              <w:spacing w:line="240" w:lineRule="exact"/>
              <w:jc w:val="center"/>
              <w:rPr>
                <w:rFonts w:ascii="宋体" w:hAnsi="宋体" w:eastAsia="宋体" w:cs="宋体"/>
                <w:b/>
                <w:szCs w:val="21"/>
              </w:rPr>
            </w:pPr>
            <w:r>
              <w:rPr>
                <w:rFonts w:hint="eastAsia" w:ascii="宋体" w:hAnsi="宋体" w:eastAsia="宋体" w:cs="宋体"/>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11137C">
            <w:pPr>
              <w:spacing w:line="240" w:lineRule="exact"/>
              <w:rPr>
                <w:rFonts w:ascii="宋体" w:hAnsi="宋体" w:eastAsia="宋体" w:cs="宋体"/>
                <w:szCs w:val="21"/>
              </w:rPr>
            </w:pPr>
            <w:r>
              <w:rPr>
                <w:rFonts w:hint="eastAsia" w:ascii="宋体" w:hAnsi="宋体" w:eastAsia="宋体" w:cs="宋体"/>
              </w:rPr>
              <w:t>合同约定，经验收合格</w:t>
            </w:r>
          </w:p>
        </w:tc>
      </w:tr>
      <w:tr w14:paraId="3661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B4AF28">
            <w:pPr>
              <w:snapToGrid w:val="0"/>
              <w:spacing w:line="240" w:lineRule="exact"/>
              <w:jc w:val="center"/>
              <w:rPr>
                <w:rFonts w:ascii="宋体" w:hAnsi="宋体" w:eastAsia="宋体" w:cs="宋体"/>
                <w:b/>
              </w:rPr>
            </w:pPr>
            <w:r>
              <w:rPr>
                <w:rFonts w:hint="eastAsia" w:ascii="宋体" w:hAnsi="宋体" w:eastAsia="宋体" w:cs="宋体"/>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ADA491">
            <w:pPr>
              <w:spacing w:line="240" w:lineRule="exact"/>
              <w:jc w:val="center"/>
              <w:rPr>
                <w:rFonts w:ascii="宋体" w:hAnsi="宋体" w:eastAsia="宋体" w:cs="宋体"/>
                <w:b/>
                <w:szCs w:val="21"/>
              </w:rPr>
            </w:pPr>
            <w:r>
              <w:rPr>
                <w:rFonts w:hint="eastAsia" w:ascii="宋体" w:hAnsi="宋体" w:eastAsia="宋体" w:cs="宋体"/>
                <w:b/>
                <w:szCs w:val="21"/>
              </w:rPr>
              <w:t xml:space="preserve">履约保证金 </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45028C">
            <w:pPr>
              <w:spacing w:line="240" w:lineRule="exact"/>
              <w:rPr>
                <w:rFonts w:ascii="宋体" w:hAnsi="宋体" w:eastAsia="宋体" w:cs="宋体"/>
              </w:rPr>
            </w:pPr>
            <w:r>
              <w:rPr>
                <w:rFonts w:hint="eastAsia" w:ascii="宋体" w:hAnsi="宋体" w:eastAsia="宋体" w:cs="宋体"/>
              </w:rPr>
              <w:t>无</w:t>
            </w:r>
          </w:p>
        </w:tc>
      </w:tr>
      <w:tr w14:paraId="470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ECB13F">
            <w:pPr>
              <w:snapToGrid w:val="0"/>
              <w:spacing w:line="240" w:lineRule="exact"/>
              <w:jc w:val="center"/>
              <w:rPr>
                <w:rFonts w:ascii="宋体" w:hAnsi="宋体" w:eastAsia="宋体" w:cs="宋体"/>
                <w:b/>
              </w:rPr>
            </w:pPr>
            <w:r>
              <w:rPr>
                <w:rFonts w:hint="eastAsia" w:ascii="宋体" w:hAnsi="宋体" w:eastAsia="宋体" w:cs="宋体"/>
                <w:b/>
              </w:rPr>
              <w:t>14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90BDD5">
            <w:pPr>
              <w:snapToGrid w:val="0"/>
              <w:spacing w:line="240" w:lineRule="exact"/>
              <w:jc w:val="center"/>
              <w:rPr>
                <w:rFonts w:ascii="宋体" w:hAnsi="宋体" w:eastAsia="宋体" w:cs="宋体"/>
                <w:b/>
              </w:rPr>
            </w:pPr>
            <w:r>
              <w:rPr>
                <w:rFonts w:hint="eastAsia" w:ascii="宋体" w:hAnsi="宋体" w:eastAsia="宋体" w:cs="宋体"/>
                <w:b/>
              </w:rPr>
              <w:t>投标文件的</w:t>
            </w:r>
          </w:p>
          <w:p w14:paraId="66FB9696">
            <w:pPr>
              <w:snapToGrid w:val="0"/>
              <w:spacing w:line="240" w:lineRule="exact"/>
              <w:jc w:val="center"/>
              <w:rPr>
                <w:rFonts w:ascii="宋体" w:hAnsi="宋体" w:eastAsia="宋体" w:cs="宋体"/>
                <w:b/>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F86D7C">
            <w:pPr>
              <w:snapToGrid w:val="0"/>
              <w:spacing w:line="240" w:lineRule="exact"/>
              <w:rPr>
                <w:rFonts w:ascii="宋体" w:hAnsi="宋体" w:eastAsia="宋体" w:cs="宋体"/>
                <w:szCs w:val="21"/>
              </w:rPr>
            </w:pPr>
            <w:r>
              <w:rPr>
                <w:rFonts w:hint="eastAsia" w:ascii="宋体" w:hAnsi="宋体" w:eastAsia="宋体" w:cs="宋体"/>
                <w:szCs w:val="21"/>
              </w:rPr>
              <w:t>投标文件由资格响应文件、商务及技术响应文件、报价文件组成。</w:t>
            </w:r>
          </w:p>
        </w:tc>
      </w:tr>
      <w:tr w14:paraId="2A2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B3722C">
            <w:pPr>
              <w:snapToGrid w:val="0"/>
              <w:spacing w:line="240" w:lineRule="exact"/>
              <w:jc w:val="center"/>
              <w:rPr>
                <w:rFonts w:ascii="宋体" w:hAnsi="宋体" w:eastAsia="宋体" w:cs="宋体"/>
                <w:b/>
              </w:rPr>
            </w:pPr>
            <w:r>
              <w:rPr>
                <w:rFonts w:hint="eastAsia" w:ascii="宋体" w:hAnsi="宋体" w:eastAsia="宋体" w:cs="宋体"/>
                <w:b/>
              </w:rPr>
              <w:t>15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74BEF7C">
            <w:pPr>
              <w:snapToGrid w:val="0"/>
              <w:spacing w:line="240" w:lineRule="exact"/>
              <w:jc w:val="center"/>
              <w:rPr>
                <w:rFonts w:ascii="宋体" w:hAnsi="宋体" w:eastAsia="宋体" w:cs="宋体"/>
                <w:b/>
              </w:rPr>
            </w:pPr>
            <w:r>
              <w:rPr>
                <w:rFonts w:hint="eastAsia" w:ascii="宋体" w:hAnsi="宋体" w:eastAsia="宋体" w:cs="宋体"/>
                <w:b/>
              </w:rPr>
              <w:t>投标文件的</w:t>
            </w:r>
          </w:p>
          <w:p w14:paraId="00F20BE4">
            <w:pPr>
              <w:spacing w:line="360" w:lineRule="auto"/>
              <w:ind w:firstLine="517" w:firstLineChars="245"/>
              <w:rPr>
                <w:rFonts w:ascii="宋体" w:hAnsi="宋体" w:eastAsia="宋体" w:cs="宋体"/>
                <w:b/>
                <w:szCs w:val="21"/>
                <w:shd w:val="pct10" w:color="auto" w:fill="FFFFFF"/>
              </w:rPr>
            </w:pPr>
            <w:r>
              <w:rPr>
                <w:rFonts w:hint="eastAsia" w:ascii="宋体" w:hAnsi="宋体" w:eastAsia="宋体" w:cs="宋体"/>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30ACF4">
            <w:pPr>
              <w:rPr>
                <w:rFonts w:ascii="宋体" w:hAnsi="宋体" w:eastAsia="宋体" w:cs="宋体"/>
                <w:szCs w:val="21"/>
              </w:rPr>
            </w:pPr>
            <w:r>
              <w:rPr>
                <w:rFonts w:hint="eastAsia" w:ascii="宋体" w:hAnsi="宋体" w:eastAsia="宋体" w:cs="宋体"/>
                <w:szCs w:val="21"/>
              </w:rPr>
              <w:t>本项目实行电子投标。</w:t>
            </w:r>
          </w:p>
          <w:p w14:paraId="1193FC5E">
            <w:pPr>
              <w:rPr>
                <w:rFonts w:ascii="宋体" w:hAnsi="宋体" w:eastAsia="宋体" w:cs="宋体"/>
                <w:szCs w:val="21"/>
              </w:rPr>
            </w:pPr>
            <w:r>
              <w:rPr>
                <w:rFonts w:hint="eastAsia" w:ascii="宋体" w:hAnsi="宋体" w:eastAsia="宋体" w:cs="宋体"/>
                <w:szCs w:val="21"/>
              </w:rPr>
              <w:t>投标人应准备电子投标文件、以介质存储的数据电文形式的备份投标文件二类：</w:t>
            </w:r>
          </w:p>
          <w:p w14:paraId="665A95CA">
            <w:pPr>
              <w:rPr>
                <w:rFonts w:ascii="宋体" w:hAnsi="宋体" w:eastAsia="宋体" w:cs="宋体"/>
                <w:szCs w:val="21"/>
              </w:rPr>
            </w:pPr>
            <w:r>
              <w:rPr>
                <w:rFonts w:hint="eastAsia" w:ascii="宋体" w:hAnsi="宋体" w:eastAsia="宋体" w:cs="宋体"/>
                <w:szCs w:val="21"/>
              </w:rPr>
              <w:t>（1）电子投标文件，按政采云平台项目采购-电子交易操作指南及本采购文件要求递交。</w:t>
            </w:r>
          </w:p>
          <w:p w14:paraId="6E852AF9">
            <w:pPr>
              <w:rPr>
                <w:rFonts w:ascii="宋体" w:hAnsi="宋体" w:eastAsia="宋体" w:cs="宋体"/>
                <w:szCs w:val="21"/>
              </w:rPr>
            </w:pPr>
            <w:r>
              <w:rPr>
                <w:rFonts w:hint="eastAsia" w:ascii="宋体" w:hAnsi="宋体" w:eastAsia="宋体" w:cs="宋体"/>
                <w:szCs w:val="21"/>
              </w:rPr>
              <w:t>（2）以介质存储的数据电文形式的备份投标文件，按政采云平台项目采购-电子交易操作指南中上传的电子投标文件格式，以U盘形式存储提供。数量为1份。</w:t>
            </w:r>
          </w:p>
          <w:p w14:paraId="0D7CA529">
            <w:pPr>
              <w:spacing w:line="300" w:lineRule="auto"/>
              <w:rPr>
                <w:rFonts w:ascii="宋体" w:hAnsi="宋体" w:eastAsia="宋体" w:cs="宋体"/>
                <w:szCs w:val="21"/>
              </w:rPr>
            </w:pPr>
            <w:r>
              <w:rPr>
                <w:rFonts w:hint="eastAsia" w:ascii="宋体" w:hAnsi="宋体" w:eastAsia="宋体" w:cs="宋体"/>
                <w:szCs w:val="21"/>
              </w:rPr>
              <w:t>投标文件均由资格响应文件、商务及技术响应文件、报价文件组成。</w:t>
            </w:r>
          </w:p>
          <w:p w14:paraId="3BDC1358">
            <w:pPr>
              <w:spacing w:line="300" w:lineRule="auto"/>
              <w:rPr>
                <w:rFonts w:ascii="宋体" w:hAnsi="宋体" w:eastAsia="宋体" w:cs="宋体"/>
                <w:sz w:val="22"/>
              </w:rPr>
            </w:pPr>
            <w:r>
              <w:rPr>
                <w:rFonts w:hint="eastAsia" w:ascii="宋体" w:hAnsi="宋体" w:eastAsia="宋体" w:cs="宋体"/>
                <w:b/>
                <w:szCs w:val="21"/>
              </w:rPr>
              <w:t>投标人可以不提供备份投标文件，造成项目开评标活动无法进行下去的，投标无效，相关风险由投标人自行承担</w:t>
            </w:r>
          </w:p>
        </w:tc>
      </w:tr>
      <w:tr w14:paraId="0C6B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B944DF">
            <w:pPr>
              <w:snapToGrid w:val="0"/>
              <w:spacing w:line="240" w:lineRule="exact"/>
              <w:jc w:val="center"/>
              <w:rPr>
                <w:rFonts w:ascii="宋体" w:hAnsi="宋体" w:eastAsia="宋体" w:cs="宋体"/>
                <w:b/>
              </w:rPr>
            </w:pPr>
            <w:r>
              <w:rPr>
                <w:rFonts w:hint="eastAsia" w:ascii="宋体" w:hAnsi="宋体" w:eastAsia="宋体" w:cs="宋体"/>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38CBF">
            <w:pPr>
              <w:snapToGrid w:val="0"/>
              <w:spacing w:line="240" w:lineRule="exact"/>
              <w:jc w:val="center"/>
              <w:rPr>
                <w:rFonts w:ascii="宋体" w:hAnsi="宋体" w:eastAsia="宋体" w:cs="宋体"/>
                <w:b/>
              </w:rPr>
            </w:pPr>
            <w:r>
              <w:rPr>
                <w:rFonts w:hint="eastAsia" w:ascii="宋体" w:hAnsi="宋体" w:eastAsia="宋体" w:cs="宋体"/>
                <w:b/>
              </w:rPr>
              <w:t>投标文件的</w:t>
            </w:r>
          </w:p>
          <w:p w14:paraId="18E6A483">
            <w:pPr>
              <w:spacing w:line="300" w:lineRule="auto"/>
              <w:jc w:val="center"/>
              <w:rPr>
                <w:rFonts w:ascii="宋体" w:hAnsi="宋体" w:eastAsia="宋体" w:cs="宋体"/>
                <w:b/>
                <w:sz w:val="22"/>
                <w:shd w:val="pct10" w:color="auto" w:fill="FFFFFF"/>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55B421">
            <w:pPr>
              <w:spacing w:line="264" w:lineRule="auto"/>
              <w:rPr>
                <w:rFonts w:ascii="宋体" w:hAnsi="宋体" w:eastAsia="宋体" w:cs="宋体"/>
                <w:sz w:val="22"/>
              </w:rPr>
            </w:pPr>
            <w:r>
              <w:rPr>
                <w:rFonts w:hint="eastAsia" w:ascii="宋体" w:hAnsi="宋体" w:eastAsia="宋体" w:cs="宋体"/>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2DC646D">
            <w:pPr>
              <w:spacing w:line="264" w:lineRule="auto"/>
              <w:rPr>
                <w:rFonts w:ascii="宋体" w:hAnsi="宋体" w:eastAsia="宋体" w:cs="宋体"/>
                <w:sz w:val="22"/>
              </w:rPr>
            </w:pPr>
            <w:r>
              <w:rPr>
                <w:rFonts w:hint="eastAsia" w:ascii="宋体" w:hAnsi="宋体" w:eastAsia="宋体" w:cs="宋体"/>
                <w:sz w:val="22"/>
              </w:rPr>
              <w:t>投标人应当在规定时间前将以介质存储的数据电文形式的备份投标文件寄到或送达采购代理公司。逾期送达或未密封将被拒收。也可现场递交。</w:t>
            </w:r>
          </w:p>
          <w:p w14:paraId="31F06B3A">
            <w:pPr>
              <w:spacing w:line="264" w:lineRule="auto"/>
              <w:rPr>
                <w:rFonts w:ascii="宋体" w:hAnsi="宋体" w:eastAsia="宋体" w:cs="宋体"/>
                <w:sz w:val="22"/>
              </w:rPr>
            </w:pPr>
            <w:r>
              <w:rPr>
                <w:rFonts w:hint="eastAsia" w:ascii="宋体" w:hAnsi="宋体" w:eastAsia="宋体" w:cs="宋体"/>
                <w:sz w:val="22"/>
              </w:rPr>
              <w:t>投标人递交以介质存储的数据电文形式的备份投标文件时，如出现下列情况之一的，将被拒收：</w:t>
            </w:r>
          </w:p>
          <w:p w14:paraId="5353EBE1">
            <w:pPr>
              <w:spacing w:line="264" w:lineRule="auto"/>
              <w:rPr>
                <w:rFonts w:ascii="宋体" w:hAnsi="宋体" w:eastAsia="宋体" w:cs="宋体"/>
                <w:sz w:val="22"/>
              </w:rPr>
            </w:pPr>
            <w:r>
              <w:rPr>
                <w:rFonts w:hint="eastAsia" w:ascii="宋体" w:hAnsi="宋体" w:eastAsia="宋体" w:cs="宋体"/>
                <w:sz w:val="22"/>
              </w:rPr>
              <w:t>1.未按规定密封或标记的投标文件；</w:t>
            </w:r>
          </w:p>
          <w:p w14:paraId="3AE05150">
            <w:pPr>
              <w:spacing w:line="264" w:lineRule="auto"/>
              <w:rPr>
                <w:rFonts w:ascii="宋体" w:hAnsi="宋体" w:eastAsia="宋体" w:cs="宋体"/>
                <w:sz w:val="22"/>
              </w:rPr>
            </w:pPr>
            <w:r>
              <w:rPr>
                <w:rFonts w:hint="eastAsia" w:ascii="宋体" w:hAnsi="宋体" w:eastAsia="宋体" w:cs="宋体"/>
                <w:sz w:val="22"/>
              </w:rPr>
              <w:t>2.由于包装不妥，在送交途中严重破损或失散的；</w:t>
            </w:r>
          </w:p>
          <w:p w14:paraId="77C0AA0C">
            <w:pPr>
              <w:spacing w:line="264" w:lineRule="auto"/>
              <w:rPr>
                <w:rFonts w:ascii="宋体" w:hAnsi="宋体" w:eastAsia="宋体" w:cs="宋体"/>
                <w:sz w:val="22"/>
              </w:rPr>
            </w:pPr>
            <w:r>
              <w:rPr>
                <w:rFonts w:hint="eastAsia" w:ascii="宋体" w:hAnsi="宋体" w:eastAsia="宋体" w:cs="宋体"/>
                <w:sz w:val="22"/>
              </w:rPr>
              <w:t>3.未成功办理投标人报名手续的；</w:t>
            </w:r>
          </w:p>
          <w:p w14:paraId="5B29EB62">
            <w:pPr>
              <w:spacing w:line="264" w:lineRule="auto"/>
              <w:rPr>
                <w:rFonts w:ascii="宋体" w:hAnsi="宋体" w:eastAsia="宋体" w:cs="宋体"/>
                <w:sz w:val="22"/>
              </w:rPr>
            </w:pPr>
            <w:r>
              <w:rPr>
                <w:rFonts w:hint="eastAsia" w:ascii="宋体" w:hAnsi="宋体" w:eastAsia="宋体" w:cs="宋体"/>
                <w:sz w:val="22"/>
              </w:rPr>
              <w:t>4.超过截止时间送达的；</w:t>
            </w:r>
          </w:p>
          <w:p w14:paraId="6D14768D">
            <w:pPr>
              <w:spacing w:line="264" w:lineRule="auto"/>
              <w:rPr>
                <w:rFonts w:ascii="宋体" w:hAnsi="宋体" w:eastAsia="宋体" w:cs="宋体"/>
                <w:sz w:val="22"/>
              </w:rPr>
            </w:pPr>
            <w:r>
              <w:rPr>
                <w:rFonts w:hint="eastAsia" w:ascii="宋体" w:hAnsi="宋体" w:eastAsia="宋体" w:cs="宋体"/>
                <w:sz w:val="22"/>
              </w:rPr>
              <w:t>仅提供备份投标文件的，投标无效。</w:t>
            </w:r>
          </w:p>
          <w:p w14:paraId="38D49DE0">
            <w:pPr>
              <w:spacing w:line="264" w:lineRule="auto"/>
              <w:rPr>
                <w:rFonts w:ascii="宋体" w:hAnsi="宋体" w:eastAsia="宋体" w:cs="宋体"/>
                <w:sz w:val="22"/>
              </w:rPr>
            </w:pPr>
            <w:r>
              <w:rPr>
                <w:rFonts w:hint="eastAsia" w:ascii="宋体" w:hAnsi="宋体" w:eastAsia="宋体" w:cs="宋体"/>
                <w:sz w:val="22"/>
              </w:rPr>
              <w:t>仅提供其中一种形式的备份投标文件，造成项目开评标活动无法进行下去的，投标无效，相关风险由投标人自行承担。</w:t>
            </w:r>
          </w:p>
        </w:tc>
      </w:tr>
      <w:tr w14:paraId="1371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1A304A">
            <w:pPr>
              <w:snapToGrid w:val="0"/>
              <w:jc w:val="center"/>
              <w:rPr>
                <w:rFonts w:ascii="宋体" w:hAnsi="宋体" w:eastAsia="宋体" w:cs="宋体"/>
                <w:b/>
              </w:rPr>
            </w:pPr>
            <w:r>
              <w:rPr>
                <w:rFonts w:hint="eastAsia" w:ascii="宋体" w:hAnsi="宋体" w:eastAsia="宋体" w:cs="宋体"/>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0E39F7">
            <w:pPr>
              <w:jc w:val="center"/>
              <w:rPr>
                <w:rFonts w:ascii="宋体" w:hAnsi="宋体" w:eastAsia="宋体" w:cs="宋体"/>
                <w:b/>
                <w:szCs w:val="21"/>
              </w:rPr>
            </w:pPr>
            <w:r>
              <w:rPr>
                <w:rFonts w:hint="eastAsia" w:ascii="宋体" w:hAnsi="宋体" w:eastAsia="宋体" w:cs="宋体"/>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41931B">
            <w:pPr>
              <w:spacing w:before="31" w:beforeLines="10"/>
              <w:jc w:val="left"/>
              <w:rPr>
                <w:rFonts w:ascii="宋体" w:hAnsi="宋体" w:eastAsia="宋体" w:cs="宋体"/>
                <w:bCs/>
                <w:snapToGrid w:val="0"/>
                <w:kern w:val="0"/>
              </w:rPr>
            </w:pPr>
            <w:r>
              <w:rPr>
                <w:rFonts w:hint="eastAsia" w:ascii="宋体" w:hAnsi="宋体" w:eastAsia="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1567796B">
            <w:pPr>
              <w:spacing w:before="31" w:beforeLines="10"/>
              <w:jc w:val="left"/>
              <w:rPr>
                <w:rFonts w:ascii="宋体" w:hAnsi="宋体" w:eastAsia="宋体" w:cs="宋体"/>
                <w:szCs w:val="21"/>
              </w:rPr>
            </w:pPr>
            <w:r>
              <w:rPr>
                <w:rFonts w:hint="eastAsia" w:ascii="宋体" w:hAnsi="宋体" w:eastAsia="宋体" w:cs="宋体"/>
                <w:bCs/>
                <w:snapToGrid w:val="0"/>
                <w:kern w:val="0"/>
              </w:rPr>
              <w:t>投标人在申请注册前，请认真阅读，学习《中华人民共和国政府采购法》和《浙江省政府采购投标人注册及诚信管理暂行办法》等相关法规规定。</w:t>
            </w:r>
          </w:p>
        </w:tc>
      </w:tr>
      <w:tr w14:paraId="2443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7B4D52">
            <w:pPr>
              <w:snapToGrid w:val="0"/>
              <w:spacing w:line="240" w:lineRule="exact"/>
              <w:jc w:val="center"/>
              <w:rPr>
                <w:rFonts w:ascii="宋体" w:hAnsi="宋体" w:eastAsia="宋体" w:cs="宋体"/>
                <w:b/>
              </w:rPr>
            </w:pPr>
            <w:r>
              <w:rPr>
                <w:rFonts w:hint="eastAsia" w:ascii="宋体" w:hAnsi="宋体" w:eastAsia="宋体" w:cs="宋体"/>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3B3BD6">
            <w:pPr>
              <w:jc w:val="center"/>
              <w:rPr>
                <w:rFonts w:ascii="宋体" w:hAnsi="宋体" w:eastAsia="宋体" w:cs="宋体"/>
                <w:b/>
                <w:szCs w:val="21"/>
              </w:rPr>
            </w:pPr>
            <w:r>
              <w:rPr>
                <w:rFonts w:hint="eastAsia" w:ascii="宋体" w:hAnsi="宋体" w:eastAsia="宋体" w:cs="宋体"/>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D68573">
            <w:pPr>
              <w:rPr>
                <w:rFonts w:ascii="宋体" w:hAnsi="宋体" w:eastAsia="宋体" w:cs="宋体"/>
                <w:szCs w:val="21"/>
              </w:rPr>
            </w:pPr>
            <w:r>
              <w:rPr>
                <w:rFonts w:hint="eastAsia" w:ascii="宋体" w:hAnsi="宋体" w:eastAsia="宋体" w:cs="宋体"/>
                <w:szCs w:val="21"/>
              </w:rPr>
              <w:t>根据财库[2016]125号文件：</w:t>
            </w:r>
          </w:p>
          <w:p w14:paraId="35A44197">
            <w:pPr>
              <w:rPr>
                <w:rFonts w:ascii="宋体" w:hAnsi="宋体" w:eastAsia="宋体" w:cs="宋体"/>
                <w:szCs w:val="21"/>
              </w:rPr>
            </w:pPr>
            <w:r>
              <w:rPr>
                <w:rFonts w:hint="eastAsia" w:ascii="宋体" w:hAnsi="宋体" w:eastAsia="宋体" w:cs="宋体"/>
                <w:szCs w:val="21"/>
              </w:rPr>
              <w:t>1.至本项目投标截止前未被列入“信用中国”网站(www.creditchina.gov.cn)“记录失信被执行人或重大税收违法案件当事人名单”记录名单。</w:t>
            </w:r>
          </w:p>
          <w:p w14:paraId="22EC30BB">
            <w:pPr>
              <w:rPr>
                <w:rFonts w:ascii="宋体" w:hAnsi="宋体" w:eastAsia="宋体" w:cs="宋体"/>
                <w:szCs w:val="21"/>
              </w:rPr>
            </w:pPr>
            <w:r>
              <w:rPr>
                <w:rFonts w:hint="eastAsia" w:ascii="宋体" w:hAnsi="宋体" w:eastAsia="宋体" w:cs="宋体"/>
                <w:szCs w:val="21"/>
              </w:rPr>
              <w:t>2.至本项目投标截止前不处于中国政府采购网(www.ccgp.gov.cn)“政府采购严重违法失信行为信息记录”中的禁止参加政府采购活动期间。</w:t>
            </w:r>
          </w:p>
          <w:p w14:paraId="50594B73">
            <w:pPr>
              <w:rPr>
                <w:rFonts w:ascii="宋体" w:hAnsi="宋体" w:eastAsia="宋体" w:cs="宋体"/>
              </w:rPr>
            </w:pPr>
            <w:r>
              <w:rPr>
                <w:rFonts w:hint="eastAsia" w:ascii="宋体" w:hAnsi="宋体" w:eastAsia="宋体" w:cs="宋体"/>
                <w:szCs w:val="21"/>
              </w:rPr>
              <w:t>提供</w:t>
            </w:r>
            <w:r>
              <w:rPr>
                <w:rFonts w:hint="eastAsia" w:ascii="宋体" w:hAnsi="宋体" w:eastAsia="宋体" w:cs="宋体"/>
                <w:b/>
              </w:rPr>
              <w:t>查询截图，（截图查询网站时间须在开标截止前二个星期内）。</w:t>
            </w:r>
            <w:r>
              <w:rPr>
                <w:rFonts w:hint="eastAsia" w:ascii="宋体" w:hAnsi="宋体" w:eastAsia="宋体" w:cs="宋体"/>
                <w:szCs w:val="21"/>
              </w:rPr>
              <w:t>对列入失信被执行人、重大税收违法案件当事人名单、政府采购严重违法失信行为记录名单的投标人，</w:t>
            </w:r>
            <w:r>
              <w:rPr>
                <w:rFonts w:hint="eastAsia" w:ascii="宋体" w:hAnsi="宋体" w:eastAsia="宋体" w:cs="宋体"/>
                <w:b/>
                <w:szCs w:val="21"/>
              </w:rPr>
              <w:t>其投标将作无效标处理</w:t>
            </w:r>
            <w:r>
              <w:rPr>
                <w:rFonts w:hint="eastAsia" w:ascii="宋体" w:hAnsi="宋体" w:eastAsia="宋体" w:cs="宋体"/>
                <w:szCs w:val="21"/>
              </w:rPr>
              <w:t>。</w:t>
            </w:r>
          </w:p>
        </w:tc>
      </w:tr>
      <w:tr w14:paraId="34D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63152">
            <w:pPr>
              <w:snapToGrid w:val="0"/>
              <w:spacing w:line="240" w:lineRule="exact"/>
              <w:jc w:val="center"/>
              <w:rPr>
                <w:rFonts w:ascii="宋体" w:hAnsi="宋体" w:eastAsia="宋体" w:cs="宋体"/>
                <w:b/>
              </w:rPr>
            </w:pPr>
            <w:r>
              <w:rPr>
                <w:rFonts w:hint="eastAsia" w:ascii="宋体" w:hAnsi="宋体" w:eastAsia="宋体" w:cs="宋体"/>
                <w:b/>
              </w:rPr>
              <w:t>19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B97803">
            <w:pPr>
              <w:jc w:val="center"/>
              <w:rPr>
                <w:rFonts w:ascii="宋体" w:hAnsi="宋体" w:eastAsia="宋体" w:cs="宋体"/>
                <w:b/>
                <w:szCs w:val="21"/>
              </w:rPr>
            </w:pPr>
            <w:r>
              <w:rPr>
                <w:rFonts w:hint="eastAsia" w:ascii="宋体" w:hAnsi="宋体" w:eastAsia="宋体" w:cs="宋体"/>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EC1D2C">
            <w:pPr>
              <w:rPr>
                <w:rFonts w:ascii="宋体" w:hAnsi="宋体" w:eastAsia="宋体" w:cs="宋体"/>
                <w:b/>
                <w:bCs/>
                <w:szCs w:val="21"/>
              </w:rPr>
            </w:pPr>
            <w:r>
              <w:rPr>
                <w:rFonts w:hint="eastAsia" w:ascii="宋体" w:hAnsi="宋体" w:eastAsia="宋体" w:cs="宋体"/>
                <w:szCs w:val="21"/>
              </w:rPr>
              <w:t>（1）中小企业预留份额情况：根据《政府采购促进中小企业发展管理办法》（财库〔2020〕46号），</w:t>
            </w:r>
            <w:r>
              <w:rPr>
                <w:rFonts w:hint="eastAsia" w:ascii="宋体" w:hAnsi="宋体" w:eastAsia="宋体" w:cs="宋体"/>
                <w:b/>
                <w:bCs/>
                <w:szCs w:val="21"/>
              </w:rPr>
              <w:t>本项目专门面向中小企业。 本项目对应的中小企业划分标准所属行业：其他服务业</w:t>
            </w:r>
            <w:r>
              <w:rPr>
                <w:rFonts w:hint="eastAsia" w:ascii="宋体" w:hAnsi="宋体" w:eastAsia="宋体" w:cs="宋体"/>
                <w:b/>
                <w:bCs/>
                <w:szCs w:val="21"/>
                <w:u w:val="single"/>
              </w:rPr>
              <w:t>。</w:t>
            </w:r>
          </w:p>
          <w:p w14:paraId="07C050BA">
            <w:pPr>
              <w:rPr>
                <w:rFonts w:ascii="宋体" w:hAnsi="宋体" w:eastAsia="宋体" w:cs="宋体"/>
                <w:szCs w:val="21"/>
              </w:rPr>
            </w:pPr>
            <w:r>
              <w:rPr>
                <w:rFonts w:hint="eastAsia" w:ascii="宋体" w:hAnsi="宋体" w:eastAsia="宋体" w:cs="宋体"/>
                <w:szCs w:val="21"/>
              </w:rPr>
              <w:t>（2）在政府采购活动中，投标人提供的货物、工程或者服务符合下列情形的，享受本办法规定的中小企业扶持政策：</w:t>
            </w:r>
          </w:p>
          <w:p w14:paraId="549B81BC">
            <w:pPr>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14:paraId="14D66D3F">
            <w:pPr>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14:paraId="069EB66D">
            <w:pPr>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56E2EC97">
            <w:pPr>
              <w:rPr>
                <w:rFonts w:ascii="宋体" w:hAnsi="宋体" w:eastAsia="宋体" w:cs="宋体"/>
                <w:szCs w:val="21"/>
              </w:rPr>
            </w:pPr>
            <w:r>
              <w:rPr>
                <w:rFonts w:hint="eastAsia" w:ascii="宋体" w:hAnsi="宋体" w:eastAsia="宋体" w:cs="宋体"/>
                <w:szCs w:val="21"/>
              </w:rPr>
              <w:t>在货物采购项目中，投标人提供的货物既有中小企业制造货物，也有大型企业制造货物的，不享受本办法规定的中小企业扶持政策。</w:t>
            </w:r>
          </w:p>
          <w:p w14:paraId="67EB13C7">
            <w:pPr>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2B518F95">
            <w:pPr>
              <w:rPr>
                <w:rFonts w:ascii="宋体" w:hAnsi="宋体" w:eastAsia="宋体" w:cs="宋体"/>
                <w:szCs w:val="21"/>
              </w:rPr>
            </w:pPr>
            <w:r>
              <w:rPr>
                <w:rFonts w:hint="eastAsia"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BF089E5">
            <w:pPr>
              <w:rPr>
                <w:rFonts w:ascii="宋体" w:hAnsi="宋体" w:eastAsia="宋体" w:cs="宋体"/>
                <w:szCs w:val="21"/>
              </w:rPr>
            </w:pPr>
            <w:r>
              <w:rPr>
                <w:rFonts w:hint="eastAsia" w:ascii="宋体" w:hAnsi="宋体" w:eastAsia="宋体" w:cs="宋体"/>
                <w:szCs w:val="21"/>
              </w:rPr>
              <w:t>（4）投标人符合《三部门联合发布关于促进残疾人就业政府采购政策的通知》（财库〔2017〕141号）文件要求，并提供《残疾人福利性单位声明函》的，则视同小型、微型企业。</w:t>
            </w:r>
          </w:p>
          <w:p w14:paraId="2470BDEF">
            <w:pPr>
              <w:rPr>
                <w:rFonts w:ascii="宋体" w:hAnsi="宋体" w:eastAsia="宋体" w:cs="宋体"/>
                <w:szCs w:val="21"/>
              </w:rPr>
            </w:pPr>
            <w:r>
              <w:rPr>
                <w:rFonts w:hint="eastAsia" w:ascii="宋体" w:hAnsi="宋体" w:eastAsia="宋体" w:cs="宋体"/>
                <w:b/>
                <w:szCs w:val="21"/>
              </w:rPr>
              <w:t>本项目专门面向中小企业采购（参加投标投标人须出具《中小企业声明函》，未提供不认定为中小企业，此次投标无效）。</w:t>
            </w:r>
          </w:p>
        </w:tc>
      </w:tr>
    </w:tbl>
    <w:p w14:paraId="6EA89B53">
      <w:pPr>
        <w:snapToGrid w:val="0"/>
        <w:spacing w:before="120" w:line="312" w:lineRule="auto"/>
        <w:rPr>
          <w:rFonts w:ascii="宋体" w:hAnsi="宋体" w:eastAsia="宋体" w:cs="宋体"/>
          <w:b/>
          <w:sz w:val="28"/>
        </w:rPr>
      </w:pPr>
    </w:p>
    <w:p w14:paraId="58FEED40">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  则</w:t>
      </w:r>
    </w:p>
    <w:p w14:paraId="69B421B5">
      <w:pPr>
        <w:snapToGrid w:val="0"/>
        <w:spacing w:before="120" w:line="360" w:lineRule="auto"/>
        <w:ind w:right="55" w:rightChars="26"/>
        <w:rPr>
          <w:rFonts w:ascii="宋体" w:hAnsi="宋体" w:eastAsia="宋体" w:cs="宋体"/>
          <w:b/>
          <w:sz w:val="28"/>
        </w:rPr>
      </w:pPr>
      <w:r>
        <w:rPr>
          <w:rFonts w:hint="eastAsia" w:ascii="宋体" w:hAnsi="宋体" w:eastAsia="宋体" w:cs="宋体"/>
          <w:b/>
        </w:rPr>
        <w:t>（一）适用范围</w:t>
      </w:r>
    </w:p>
    <w:p w14:paraId="2A7D6514">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本采购文件适用于</w:t>
      </w:r>
      <w:r>
        <w:rPr>
          <w:rFonts w:hint="eastAsia" w:ascii="宋体" w:hAnsi="宋体" w:eastAsia="宋体" w:cs="宋体"/>
          <w:szCs w:val="21"/>
          <w:u w:val="single"/>
        </w:rPr>
        <w:t>定海区城镇房屋结构监测及装修巡查技术服务项目</w:t>
      </w:r>
      <w:r>
        <w:rPr>
          <w:rFonts w:hint="eastAsia" w:ascii="宋体" w:hAnsi="宋体" w:eastAsia="宋体" w:cs="宋体"/>
        </w:rPr>
        <w:t>的招标、投标、评标、定标、验收、合同履约、付款等行为（法律、法规另有规定的，从其规定）。</w:t>
      </w:r>
    </w:p>
    <w:p w14:paraId="30AC7937">
      <w:pPr>
        <w:snapToGrid w:val="0"/>
        <w:spacing w:line="360" w:lineRule="auto"/>
        <w:ind w:right="55" w:rightChars="26"/>
        <w:jc w:val="left"/>
        <w:outlineLvl w:val="1"/>
        <w:rPr>
          <w:rFonts w:ascii="宋体" w:hAnsi="宋体" w:eastAsia="宋体" w:cs="宋体"/>
          <w:b/>
          <w:sz w:val="24"/>
        </w:rPr>
      </w:pPr>
      <w:r>
        <w:rPr>
          <w:rFonts w:hint="eastAsia" w:ascii="宋体" w:hAnsi="宋体" w:eastAsia="宋体" w:cs="宋体"/>
          <w:b/>
          <w:sz w:val="24"/>
        </w:rPr>
        <w:t>（二）定义</w:t>
      </w:r>
    </w:p>
    <w:p w14:paraId="4BC0139B">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1、“采购人”系指</w:t>
      </w:r>
      <w:r>
        <w:rPr>
          <w:rFonts w:hint="eastAsia" w:ascii="宋体" w:hAnsi="宋体" w:eastAsia="宋体" w:cs="宋体"/>
          <w:kern w:val="0"/>
        </w:rPr>
        <w:t>舟山市定海区住房和城乡建设局。</w:t>
      </w:r>
    </w:p>
    <w:p w14:paraId="34CE6DE7">
      <w:pPr>
        <w:spacing w:after="120"/>
        <w:ind w:firstLine="420" w:firstLineChars="200"/>
        <w:rPr>
          <w:rFonts w:ascii="宋体" w:hAnsi="宋体" w:eastAsia="宋体" w:cs="宋体"/>
          <w:kern w:val="0"/>
        </w:rPr>
      </w:pPr>
      <w:r>
        <w:rPr>
          <w:rFonts w:hint="eastAsia" w:ascii="宋体" w:hAnsi="宋体" w:eastAsia="宋体" w:cs="宋体"/>
          <w:kern w:val="0"/>
        </w:rPr>
        <w:t>2、“采购代理机构”系指组织本次招标的浙江天隆工程管理有限公司。</w:t>
      </w:r>
    </w:p>
    <w:p w14:paraId="06297C60">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3、“投标人”系指向采购人提交投标文件的单位或个人。</w:t>
      </w:r>
    </w:p>
    <w:p w14:paraId="6EE8274A">
      <w:pPr>
        <w:snapToGrid w:val="0"/>
        <w:spacing w:line="360" w:lineRule="auto"/>
        <w:ind w:firstLine="420" w:firstLineChars="200"/>
        <w:jc w:val="left"/>
        <w:rPr>
          <w:rFonts w:ascii="宋体" w:hAnsi="宋体" w:eastAsia="宋体" w:cs="宋体"/>
        </w:rPr>
      </w:pPr>
      <w:r>
        <w:rPr>
          <w:rFonts w:hint="eastAsia" w:ascii="宋体" w:hAnsi="宋体" w:eastAsia="宋体" w:cs="宋体"/>
        </w:rPr>
        <w:t>4、“合同”系指买卖双方签署的规定买卖双方权利与义务的协议，以及所有的附件、附录和采购文件所提到的构成合同的所有文件。</w:t>
      </w:r>
    </w:p>
    <w:p w14:paraId="57BE57E3">
      <w:pPr>
        <w:snapToGrid w:val="0"/>
        <w:spacing w:line="360" w:lineRule="auto"/>
        <w:ind w:firstLine="420" w:firstLineChars="200"/>
        <w:jc w:val="left"/>
        <w:rPr>
          <w:rFonts w:ascii="宋体" w:hAnsi="宋体" w:eastAsia="宋体" w:cs="宋体"/>
        </w:rPr>
      </w:pPr>
      <w:r>
        <w:rPr>
          <w:rFonts w:hint="eastAsia" w:ascii="宋体" w:hAnsi="宋体" w:eastAsia="宋体" w:cs="宋体"/>
        </w:rPr>
        <w:t>5、“服务”</w:t>
      </w:r>
      <w:r>
        <w:rPr>
          <w:rFonts w:hint="eastAsia" w:hAnsi="宋体" w:eastAsia="宋体" w:cs="宋体"/>
          <w:szCs w:val="21"/>
        </w:rPr>
        <w:t>系指采购文件规定投标人须承担的安装、调试、技术协助、校准、培训、技术指导以及其他类似的义务。</w:t>
      </w:r>
      <w:r>
        <w:rPr>
          <w:rFonts w:hint="eastAsia" w:ascii="宋体" w:hAnsi="宋体" w:eastAsia="宋体" w:cs="宋体"/>
        </w:rPr>
        <w:t>。</w:t>
      </w:r>
    </w:p>
    <w:p w14:paraId="6999EA8A">
      <w:pPr>
        <w:snapToGrid w:val="0"/>
        <w:spacing w:line="360" w:lineRule="auto"/>
        <w:ind w:firstLine="420" w:firstLineChars="200"/>
        <w:jc w:val="left"/>
        <w:rPr>
          <w:rFonts w:ascii="宋体" w:hAnsi="宋体" w:eastAsia="宋体" w:cs="宋体"/>
        </w:rPr>
      </w:pPr>
      <w:r>
        <w:rPr>
          <w:rFonts w:hint="eastAsia" w:ascii="宋体" w:hAnsi="宋体" w:eastAsia="宋体" w:cs="宋体"/>
        </w:rPr>
        <w:t xml:space="preserve">6、“附随服务”系指根据本合同规定卖方必须承担与货物有关的辅助服务，如免费运输、装卸以及合同中规定卖方应承担的义务,以及合同中未规定,但依有利于合同履行原则,应当由卖方承担的其它义务。 </w:t>
      </w:r>
    </w:p>
    <w:p w14:paraId="12DCAB81">
      <w:pPr>
        <w:snapToGrid w:val="0"/>
        <w:spacing w:line="360" w:lineRule="auto"/>
        <w:ind w:firstLine="420" w:firstLineChars="200"/>
        <w:jc w:val="left"/>
        <w:rPr>
          <w:rFonts w:ascii="宋体" w:hAnsi="宋体" w:eastAsia="宋体" w:cs="宋体"/>
        </w:rPr>
      </w:pPr>
      <w:r>
        <w:rPr>
          <w:rFonts w:hint="eastAsia" w:ascii="宋体" w:hAnsi="宋体" w:eastAsia="宋体" w:cs="宋体"/>
        </w:rPr>
        <w:t>7、“书面形式”包括信函、传真、电报、电子文档等。</w:t>
      </w:r>
    </w:p>
    <w:p w14:paraId="5DD2A6A9">
      <w:pPr>
        <w:snapToGrid w:val="0"/>
        <w:spacing w:line="360" w:lineRule="auto"/>
        <w:ind w:firstLine="420" w:firstLineChars="200"/>
        <w:jc w:val="left"/>
        <w:rPr>
          <w:rFonts w:ascii="宋体" w:hAnsi="宋体" w:eastAsia="宋体" w:cs="宋体"/>
        </w:rPr>
      </w:pPr>
      <w:r>
        <w:rPr>
          <w:rFonts w:hint="eastAsia" w:ascii="宋体" w:hAnsi="宋体" w:eastAsia="宋体" w:cs="宋体"/>
        </w:rPr>
        <w:t>8、“</w:t>
      </w:r>
      <w:r>
        <w:rPr>
          <w:rFonts w:hint="eastAsia" w:ascii="宋体" w:hAnsi="宋体" w:eastAsia="宋体" w:cs="宋体"/>
          <w:b/>
          <w:bCs/>
          <w:color w:val="000000"/>
          <w:szCs w:val="21"/>
        </w:rPr>
        <w:t>▲</w:t>
      </w:r>
      <w:r>
        <w:rPr>
          <w:rFonts w:hint="eastAsia" w:ascii="宋体" w:hAnsi="宋体" w:eastAsia="宋体" w:cs="宋体"/>
        </w:rPr>
        <w:t>”系指实质性要求条款。</w:t>
      </w:r>
    </w:p>
    <w:p w14:paraId="49A8744C">
      <w:pPr>
        <w:snapToGrid w:val="0"/>
        <w:spacing w:line="312" w:lineRule="auto"/>
        <w:jc w:val="left"/>
        <w:outlineLvl w:val="1"/>
        <w:rPr>
          <w:rFonts w:ascii="宋体" w:hAnsi="宋体" w:eastAsia="宋体" w:cs="宋体"/>
          <w:b/>
          <w:sz w:val="24"/>
        </w:rPr>
      </w:pPr>
      <w:r>
        <w:rPr>
          <w:rFonts w:hint="eastAsia" w:ascii="宋体" w:hAnsi="宋体" w:eastAsia="宋体" w:cs="宋体"/>
          <w:b/>
          <w:sz w:val="24"/>
        </w:rPr>
        <w:t>（三）招标方式</w:t>
      </w:r>
    </w:p>
    <w:p w14:paraId="1C6E1F5F">
      <w:pPr>
        <w:snapToGrid w:val="0"/>
        <w:spacing w:line="312" w:lineRule="auto"/>
        <w:ind w:firstLine="420" w:firstLineChars="200"/>
        <w:jc w:val="left"/>
        <w:rPr>
          <w:rFonts w:ascii="宋体" w:hAnsi="宋体" w:eastAsia="宋体" w:cs="宋体"/>
        </w:rPr>
      </w:pPr>
      <w:r>
        <w:rPr>
          <w:rFonts w:hint="eastAsia" w:ascii="宋体" w:hAnsi="宋体" w:eastAsia="宋体" w:cs="宋体"/>
        </w:rPr>
        <w:t>本次招标采用公开招标方式进行。</w:t>
      </w:r>
    </w:p>
    <w:p w14:paraId="0E7FC8A9">
      <w:pPr>
        <w:snapToGrid w:val="0"/>
        <w:spacing w:line="312" w:lineRule="auto"/>
        <w:ind w:right="55" w:rightChars="26"/>
        <w:jc w:val="left"/>
        <w:outlineLvl w:val="1"/>
        <w:rPr>
          <w:rFonts w:ascii="宋体" w:hAnsi="宋体" w:eastAsia="宋体" w:cs="宋体"/>
          <w:b/>
          <w:sz w:val="24"/>
        </w:rPr>
      </w:pPr>
      <w:r>
        <w:rPr>
          <w:rFonts w:hint="eastAsia" w:ascii="宋体" w:hAnsi="宋体" w:eastAsia="宋体" w:cs="宋体"/>
          <w:b/>
          <w:sz w:val="24"/>
        </w:rPr>
        <w:t>（四）投标费用</w:t>
      </w:r>
    </w:p>
    <w:p w14:paraId="074007C3">
      <w:pPr>
        <w:snapToGrid w:val="0"/>
        <w:spacing w:line="312" w:lineRule="auto"/>
        <w:ind w:right="55" w:rightChars="26" w:firstLine="420" w:firstLineChars="200"/>
        <w:jc w:val="left"/>
        <w:rPr>
          <w:rFonts w:ascii="宋体" w:hAnsi="宋体" w:eastAsia="宋体" w:cs="宋体"/>
        </w:rPr>
      </w:pPr>
      <w:r>
        <w:rPr>
          <w:rFonts w:hint="eastAsia" w:ascii="宋体" w:hAnsi="宋体" w:eastAsia="宋体" w:cs="宋体"/>
        </w:rPr>
        <w:t>不论投标结果如何，投标人均应自行承担所有与投标有关的全部费用（采购文件另有规定除外）。</w:t>
      </w:r>
    </w:p>
    <w:p w14:paraId="618F58C0">
      <w:pPr>
        <w:snapToGrid w:val="0"/>
        <w:spacing w:line="312" w:lineRule="auto"/>
        <w:ind w:right="55" w:rightChars="26"/>
        <w:rPr>
          <w:rFonts w:ascii="宋体" w:hAnsi="宋体" w:eastAsia="宋体" w:cs="宋体"/>
          <w:b/>
          <w:sz w:val="24"/>
        </w:rPr>
      </w:pPr>
      <w:r>
        <w:rPr>
          <w:rFonts w:hint="eastAsia" w:ascii="宋体" w:hAnsi="宋体" w:eastAsia="宋体" w:cs="宋体"/>
          <w:b/>
          <w:sz w:val="24"/>
        </w:rPr>
        <w:t>（五）关于联合体</w:t>
      </w:r>
    </w:p>
    <w:p w14:paraId="759EEAB9">
      <w:pPr>
        <w:pStyle w:val="25"/>
        <w:ind w:firstLine="210"/>
        <w:rPr>
          <w:rFonts w:ascii="宋体" w:hAnsi="宋体" w:cs="宋体"/>
        </w:rPr>
      </w:pPr>
      <w:r>
        <w:rPr>
          <w:rFonts w:hint="eastAsia" w:ascii="宋体" w:hAnsi="宋体" w:cs="宋体"/>
        </w:rPr>
        <w:t xml:space="preserve">   本项目不接受联合体</w:t>
      </w:r>
    </w:p>
    <w:p w14:paraId="22F82DFC">
      <w:pPr>
        <w:snapToGrid w:val="0"/>
        <w:spacing w:line="312" w:lineRule="auto"/>
        <w:ind w:right="55" w:rightChars="26"/>
        <w:rPr>
          <w:rFonts w:ascii="宋体" w:hAnsi="宋体" w:eastAsia="宋体" w:cs="宋体"/>
          <w:b/>
          <w:sz w:val="24"/>
        </w:rPr>
      </w:pPr>
      <w:r>
        <w:rPr>
          <w:rFonts w:hint="eastAsia" w:ascii="宋体" w:hAnsi="宋体" w:eastAsia="宋体" w:cs="宋体"/>
          <w:b/>
          <w:sz w:val="24"/>
        </w:rPr>
        <w:t>（六）关于分包和转包</w:t>
      </w:r>
    </w:p>
    <w:p w14:paraId="3074BA72">
      <w:pPr>
        <w:pStyle w:val="25"/>
        <w:ind w:firstLine="630" w:firstLineChars="300"/>
        <w:rPr>
          <w:rFonts w:ascii="宋体" w:hAnsi="宋体" w:cs="宋体"/>
        </w:rPr>
      </w:pPr>
      <w:r>
        <w:rPr>
          <w:rFonts w:hint="eastAsia" w:ascii="宋体" w:hAnsi="宋体" w:cs="宋体"/>
        </w:rPr>
        <w:t>本项目不允许分包。</w:t>
      </w:r>
    </w:p>
    <w:p w14:paraId="1562D94E">
      <w:pPr>
        <w:snapToGrid w:val="0"/>
        <w:spacing w:line="312" w:lineRule="auto"/>
        <w:ind w:right="55" w:rightChars="26" w:firstLine="630" w:firstLineChars="300"/>
        <w:rPr>
          <w:rFonts w:ascii="宋体" w:hAnsi="宋体" w:eastAsia="宋体" w:cs="宋体"/>
        </w:rPr>
      </w:pPr>
      <w:r>
        <w:rPr>
          <w:rFonts w:hint="eastAsia" w:ascii="宋体" w:hAnsi="宋体" w:eastAsia="宋体" w:cs="宋体"/>
        </w:rPr>
        <w:t>本项目不允许转包。</w:t>
      </w:r>
    </w:p>
    <w:p w14:paraId="5078D7DE">
      <w:pPr>
        <w:snapToGrid w:val="0"/>
        <w:spacing w:line="360" w:lineRule="auto"/>
        <w:ind w:right="55" w:rightChars="26"/>
        <w:rPr>
          <w:rFonts w:ascii="宋体" w:hAnsi="宋体" w:eastAsia="宋体" w:cs="宋体"/>
          <w:b/>
          <w:spacing w:val="-4"/>
          <w:kern w:val="0"/>
          <w:sz w:val="24"/>
          <w:szCs w:val="24"/>
        </w:rPr>
      </w:pPr>
      <w:r>
        <w:rPr>
          <w:rFonts w:hint="eastAsia" w:ascii="宋体" w:hAnsi="宋体" w:eastAsia="宋体" w:cs="宋体"/>
          <w:b/>
          <w:spacing w:val="-4"/>
          <w:kern w:val="0"/>
          <w:sz w:val="24"/>
          <w:szCs w:val="24"/>
        </w:rPr>
        <w:t>（七）特别说明：</w:t>
      </w:r>
    </w:p>
    <w:p w14:paraId="7A7B2BC1">
      <w:pPr>
        <w:pStyle w:val="26"/>
        <w:snapToGrid w:val="0"/>
        <w:spacing w:line="360" w:lineRule="auto"/>
        <w:ind w:right="-86" w:rightChars="-41" w:firstLine="401" w:firstLineChars="199"/>
        <w:rPr>
          <w:rFonts w:hAnsi="宋体" w:cs="宋体"/>
          <w:bCs/>
          <w:sz w:val="21"/>
        </w:rPr>
      </w:pPr>
      <w:r>
        <w:rPr>
          <w:rFonts w:hint="eastAsia" w:hAnsi="宋体" w:cs="宋体"/>
          <w:bCs/>
          <w:sz w:val="21"/>
        </w:rPr>
        <w:t>1、投标人投标所使用的资格、信誉、荣誉、业绩与企业认证必须为本法人所拥有。投标人投标所使用的采购项目实施人员必须为本法人员工。</w:t>
      </w:r>
    </w:p>
    <w:p w14:paraId="20725D28">
      <w:pPr>
        <w:pStyle w:val="26"/>
        <w:snapToGrid w:val="0"/>
        <w:spacing w:line="360" w:lineRule="auto"/>
        <w:ind w:right="-86" w:rightChars="-41"/>
        <w:rPr>
          <w:rFonts w:hAnsi="宋体" w:cs="宋体"/>
          <w:bCs/>
          <w:sz w:val="21"/>
        </w:rPr>
      </w:pPr>
      <w:r>
        <w:rPr>
          <w:rFonts w:hint="eastAsia" w:hAnsi="宋体" w:cs="宋体"/>
          <w:bCs/>
          <w:sz w:val="21"/>
        </w:rPr>
        <w:t xml:space="preserve"> 2、投标人应仔细阅读采购文件的所有内容，按照采购文件的要求提交投标文件，并对所提供的全部资料的真实性承担法律责任。</w:t>
      </w:r>
    </w:p>
    <w:p w14:paraId="6BD5C532">
      <w:pPr>
        <w:snapToGrid w:val="0"/>
        <w:spacing w:before="120" w:line="360" w:lineRule="auto"/>
        <w:outlineLvl w:val="1"/>
        <w:rPr>
          <w:rFonts w:ascii="宋体" w:hAnsi="宋体" w:eastAsia="宋体" w:cs="宋体"/>
          <w:b/>
          <w:sz w:val="24"/>
          <w:szCs w:val="24"/>
        </w:rPr>
      </w:pPr>
      <w:r>
        <w:rPr>
          <w:rFonts w:hint="eastAsia" w:ascii="宋体" w:hAnsi="宋体" w:eastAsia="宋体" w:cs="宋体"/>
          <w:b/>
          <w:sz w:val="24"/>
          <w:szCs w:val="24"/>
        </w:rPr>
        <w:t>（八）质疑</w:t>
      </w:r>
    </w:p>
    <w:p w14:paraId="730B2BC4">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投标人应当自知道或者应当知道其合法权益受到损害之日起七个工作日内提出质疑。</w:t>
      </w:r>
    </w:p>
    <w:p w14:paraId="63C687F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1、对可以质疑的采购文件提出质疑的，为收到采购文件之日或者采购文件公告期限届满之日；</w:t>
      </w:r>
    </w:p>
    <w:p w14:paraId="145C55F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2、对采购过程提出质疑的，为各采购程序环节结束之日；</w:t>
      </w:r>
    </w:p>
    <w:p w14:paraId="2561102F">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3、对中标或者成交结果提出质疑的，为中标或者成交结果公告期限届满之日。</w:t>
      </w:r>
    </w:p>
    <w:p w14:paraId="3598CCB3">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4、质疑书应包括下列主要内容：</w:t>
      </w:r>
    </w:p>
    <w:p w14:paraId="1E06A17B">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①质疑人的名称、地址、邮政编码、联系人、联系电话，以及被质疑人名称及联系方式；</w:t>
      </w:r>
    </w:p>
    <w:p w14:paraId="3650E3C0">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②被质疑采购项目名称、编号及采购内容；</w:t>
      </w:r>
    </w:p>
    <w:p w14:paraId="7C9F840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③具体的质疑事项及事实依据；</w:t>
      </w:r>
    </w:p>
    <w:p w14:paraId="6D016BD4">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④认为自己合法权益受到损害或可能受到损害的相关证据材料；</w:t>
      </w:r>
    </w:p>
    <w:p w14:paraId="49D210E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⑤提出质疑的日期。</w:t>
      </w:r>
    </w:p>
    <w:p w14:paraId="73B29E78">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投标人为自然人的，应当由本人签字：投标人为法人或者其他组织的，应当由法定代表人、主要负责人，或者其授权代表签字或者盖章，并加盖公章。</w:t>
      </w:r>
    </w:p>
    <w:p w14:paraId="4EF6D63C">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投标人在法定质疑期内一次性提出针对同一采购程序环节的质疑。</w:t>
      </w:r>
    </w:p>
    <w:p w14:paraId="587570BC">
      <w:pPr>
        <w:snapToGrid w:val="0"/>
        <w:spacing w:before="120" w:line="312" w:lineRule="auto"/>
        <w:ind w:right="-506" w:rightChars="-241" w:firstLine="3795" w:firstLineChars="1350"/>
        <w:rPr>
          <w:rFonts w:ascii="Times New Roman" w:hAnsi="Times New Roman" w:eastAsia="宋体" w:cs="Times New Roman"/>
          <w:b/>
          <w:sz w:val="28"/>
        </w:rPr>
      </w:pPr>
    </w:p>
    <w:p w14:paraId="728C1FC1">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二、采购文件</w:t>
      </w:r>
    </w:p>
    <w:p w14:paraId="6CEF659D">
      <w:pPr>
        <w:snapToGrid w:val="0"/>
        <w:spacing w:line="360" w:lineRule="auto"/>
        <w:ind w:right="-341"/>
        <w:jc w:val="left"/>
        <w:rPr>
          <w:rFonts w:ascii="宋体" w:hAnsi="宋体" w:eastAsia="宋体" w:cs="宋体"/>
          <w:b/>
          <w:sz w:val="24"/>
        </w:rPr>
      </w:pPr>
      <w:r>
        <w:rPr>
          <w:rFonts w:hint="eastAsia" w:ascii="宋体" w:hAnsi="宋体" w:eastAsia="宋体" w:cs="宋体"/>
          <w:b/>
          <w:sz w:val="24"/>
        </w:rPr>
        <w:t>（一）采购文件的构成。本采购文件由以下部份组成：</w:t>
      </w:r>
    </w:p>
    <w:p w14:paraId="7FFAC159">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1、招标公告</w:t>
      </w:r>
    </w:p>
    <w:p w14:paraId="3696A8EA">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2、采购需求</w:t>
      </w:r>
    </w:p>
    <w:p w14:paraId="7C45D7AE">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3、投标人须知</w:t>
      </w:r>
    </w:p>
    <w:p w14:paraId="69AE023C">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4、评标办法及标准</w:t>
      </w:r>
    </w:p>
    <w:p w14:paraId="29058809">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5、合同主要条款</w:t>
      </w:r>
    </w:p>
    <w:p w14:paraId="224F7D5C">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6、投标文件格式</w:t>
      </w:r>
    </w:p>
    <w:p w14:paraId="0966A2F2">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7、本项目采购文件的澄清、答复、修改、补充的内容</w:t>
      </w:r>
    </w:p>
    <w:p w14:paraId="2B0162AE">
      <w:pPr>
        <w:snapToGrid w:val="0"/>
        <w:spacing w:line="360" w:lineRule="auto"/>
        <w:ind w:right="-87"/>
        <w:jc w:val="left"/>
        <w:rPr>
          <w:rFonts w:ascii="宋体" w:hAnsi="宋体" w:eastAsia="宋体" w:cs="宋体"/>
          <w:b/>
          <w:sz w:val="24"/>
        </w:rPr>
      </w:pPr>
      <w:r>
        <w:rPr>
          <w:rFonts w:hint="eastAsia" w:ascii="宋体" w:hAnsi="宋体" w:eastAsia="宋体" w:cs="宋体"/>
          <w:b/>
          <w:sz w:val="24"/>
        </w:rPr>
        <w:t>（二）投标人的风险</w:t>
      </w:r>
    </w:p>
    <w:p w14:paraId="1454364D">
      <w:pPr>
        <w:spacing w:line="360" w:lineRule="auto"/>
        <w:ind w:right="-506" w:rightChars="-241" w:firstLine="420"/>
        <w:rPr>
          <w:rFonts w:ascii="宋体" w:hAnsi="宋体" w:eastAsia="宋体" w:cs="宋体"/>
        </w:rPr>
      </w:pPr>
      <w:r>
        <w:rPr>
          <w:rFonts w:hint="eastAsia" w:ascii="宋体" w:hAnsi="宋体" w:eastAsia="宋体" w:cs="宋体"/>
        </w:rPr>
        <w:t>投标人没有按照采购文件要求提供全部资料，或者投标人没有对采购文件在各方面作出实质性响应是投标人的风险，并可能导致其投标被拒绝。</w:t>
      </w:r>
    </w:p>
    <w:p w14:paraId="01D1725C">
      <w:pPr>
        <w:tabs>
          <w:tab w:val="left" w:pos="454"/>
          <w:tab w:val="left" w:pos="720"/>
          <w:tab w:val="left" w:pos="900"/>
        </w:tabs>
        <w:snapToGrid w:val="0"/>
        <w:spacing w:line="360" w:lineRule="auto"/>
        <w:ind w:left="247" w:right="-87" w:hanging="247" w:hangingChars="117"/>
        <w:rPr>
          <w:rFonts w:ascii="宋体" w:hAnsi="宋体" w:eastAsia="宋体" w:cs="宋体"/>
          <w:b/>
        </w:rPr>
      </w:pPr>
      <w:r>
        <w:rPr>
          <w:rFonts w:hint="eastAsia" w:ascii="宋体" w:hAnsi="宋体" w:eastAsia="宋体" w:cs="宋体"/>
          <w:b/>
        </w:rPr>
        <w:t>（三）采购文件的澄清与修改</w:t>
      </w:r>
    </w:p>
    <w:p w14:paraId="364FDA7F">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1、投标人应认真阅读本采购文件，发现其中有误或有要求不合理的，投标人必须在投标截止前15天内以书面形式要求招标采购单位澄清。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527D3DD">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693D45A">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3、采购文件澄清、答复、修改、补充的内容为采购文件的组成部分。当采购文件与采购文件的答复、澄清、修改、补充通知就同一内容的表述不一致时，以最后发出的变更公告为准。</w:t>
      </w:r>
    </w:p>
    <w:p w14:paraId="4DA034E9">
      <w:pPr>
        <w:snapToGrid w:val="0"/>
        <w:spacing w:before="120" w:line="360" w:lineRule="auto"/>
        <w:ind w:right="-506" w:rightChars="-241" w:firstLine="420" w:firstLineChars="200"/>
        <w:rPr>
          <w:rFonts w:ascii="宋体" w:hAnsi="宋体" w:eastAsia="宋体" w:cs="宋体"/>
          <w:szCs w:val="21"/>
        </w:rPr>
      </w:pPr>
      <w:r>
        <w:rPr>
          <w:rFonts w:hint="eastAsia" w:ascii="宋体" w:hAnsi="宋体" w:eastAsia="宋体" w:cs="宋体"/>
          <w:szCs w:val="21"/>
        </w:rPr>
        <w:t>4、采购文件的澄清、答复、修改或补充都应该通过本代理机构以法定形式发布。</w:t>
      </w:r>
    </w:p>
    <w:p w14:paraId="4BCDD7FE">
      <w:pPr>
        <w:snapToGrid w:val="0"/>
        <w:spacing w:before="120" w:line="360" w:lineRule="auto"/>
        <w:ind w:right="-87" w:firstLine="2923" w:firstLineChars="1040"/>
        <w:outlineLvl w:val="1"/>
        <w:rPr>
          <w:rFonts w:ascii="宋体" w:hAnsi="宋体" w:eastAsia="宋体" w:cs="宋体"/>
          <w:b/>
          <w:sz w:val="28"/>
        </w:rPr>
      </w:pPr>
      <w:r>
        <w:rPr>
          <w:rFonts w:hint="eastAsia" w:ascii="宋体" w:hAnsi="宋体" w:eastAsia="宋体" w:cs="宋体"/>
          <w:b/>
          <w:sz w:val="28"/>
        </w:rPr>
        <w:t>三、投标文件的编制</w:t>
      </w:r>
    </w:p>
    <w:p w14:paraId="3D50108B">
      <w:pPr>
        <w:spacing w:line="336" w:lineRule="auto"/>
        <w:ind w:firstLine="211" w:firstLineChars="100"/>
        <w:rPr>
          <w:rFonts w:ascii="宋体" w:hAnsi="宋体" w:eastAsia="宋体" w:cs="宋体"/>
          <w:b/>
          <w:szCs w:val="21"/>
        </w:rPr>
      </w:pPr>
      <w:r>
        <w:rPr>
          <w:rFonts w:hint="eastAsia" w:ascii="宋体" w:hAnsi="宋体" w:eastAsia="宋体" w:cs="宋体"/>
          <w:b/>
          <w:szCs w:val="21"/>
        </w:rPr>
        <w:t>（一）投标文件的签署</w:t>
      </w:r>
    </w:p>
    <w:p w14:paraId="5D305A4B">
      <w:pPr>
        <w:spacing w:line="336" w:lineRule="auto"/>
        <w:ind w:firstLine="420"/>
        <w:rPr>
          <w:rFonts w:ascii="宋体" w:hAnsi="宋体" w:eastAsia="宋体" w:cs="宋体"/>
          <w:b/>
          <w:bCs/>
          <w:szCs w:val="21"/>
        </w:rPr>
      </w:pPr>
      <w:r>
        <w:rPr>
          <w:rFonts w:hint="eastAsia" w:ascii="宋体" w:hAnsi="宋体" w:eastAsia="宋体" w:cs="宋体"/>
          <w:b/>
          <w:bCs/>
          <w:szCs w:val="21"/>
        </w:rPr>
        <w:t>1、电子投标文件部分：</w:t>
      </w:r>
    </w:p>
    <w:p w14:paraId="2CAEC332">
      <w:pPr>
        <w:spacing w:line="336" w:lineRule="auto"/>
        <w:ind w:firstLine="420"/>
        <w:rPr>
          <w:rFonts w:ascii="宋体" w:hAnsi="宋体" w:eastAsia="宋体" w:cs="宋体"/>
          <w:szCs w:val="21"/>
        </w:rPr>
      </w:pPr>
      <w:r>
        <w:rPr>
          <w:rFonts w:hint="eastAsia" w:ascii="宋体" w:hAnsi="宋体" w:eastAsia="宋体" w:cs="宋体"/>
          <w:szCs w:val="21"/>
        </w:rPr>
        <w:t>投标人应根据“政采云投标人项目采购-电子交易操作指南”及本采购文件规定的格式和顺序编制电子投标文件并进行关联定位。</w:t>
      </w:r>
    </w:p>
    <w:p w14:paraId="4FEA0C28">
      <w:pPr>
        <w:spacing w:line="336" w:lineRule="auto"/>
        <w:ind w:firstLine="420"/>
        <w:rPr>
          <w:rFonts w:ascii="宋体" w:hAnsi="宋体" w:eastAsia="宋体" w:cs="宋体"/>
          <w:b/>
          <w:bCs/>
          <w:szCs w:val="21"/>
        </w:rPr>
      </w:pPr>
      <w:r>
        <w:rPr>
          <w:rFonts w:hint="eastAsia" w:ascii="宋体" w:hAnsi="宋体" w:eastAsia="宋体" w:cs="宋体"/>
          <w:b/>
          <w:bCs/>
          <w:szCs w:val="21"/>
        </w:rPr>
        <w:t>2、备份投标文件部分：</w:t>
      </w:r>
    </w:p>
    <w:p w14:paraId="08CF4ADC">
      <w:pPr>
        <w:snapToGrid w:val="0"/>
        <w:spacing w:before="156" w:beforeLines="50" w:after="156" w:afterLines="50" w:line="336" w:lineRule="auto"/>
        <w:ind w:right="-506" w:rightChars="-241" w:firstLine="420" w:firstLineChars="200"/>
        <w:rPr>
          <w:rFonts w:ascii="宋体" w:hAnsi="宋体" w:eastAsia="宋体" w:cs="宋体"/>
          <w:szCs w:val="21"/>
        </w:rPr>
      </w:pPr>
      <w:r>
        <w:rPr>
          <w:rFonts w:hint="eastAsia" w:ascii="宋体" w:hAnsi="宋体" w:eastAsia="宋体" w:cs="宋体"/>
          <w:szCs w:val="21"/>
        </w:rPr>
        <w:t>2.1以介质存储的数据电文形式的备份投标文件，按政采云平台项目采购-电子交易操作指南中上传的电子投标文件格式，以U盘形式存储提供。数量为1份。</w:t>
      </w:r>
    </w:p>
    <w:p w14:paraId="09A7996E">
      <w:pPr>
        <w:tabs>
          <w:tab w:val="left" w:pos="0"/>
        </w:tabs>
        <w:spacing w:line="360" w:lineRule="auto"/>
        <w:ind w:firstLine="211" w:firstLineChars="100"/>
        <w:rPr>
          <w:rFonts w:ascii="宋体" w:hAnsi="宋体" w:eastAsia="宋体" w:cs="宋体"/>
          <w:b/>
          <w:szCs w:val="21"/>
        </w:rPr>
      </w:pPr>
      <w:r>
        <w:rPr>
          <w:rFonts w:hint="eastAsia" w:ascii="宋体" w:hAnsi="宋体" w:eastAsia="宋体" w:cs="宋体"/>
          <w:b/>
          <w:szCs w:val="21"/>
        </w:rPr>
        <w:t>（二）投标文件的组成</w:t>
      </w:r>
    </w:p>
    <w:p w14:paraId="388F3E84">
      <w:pPr>
        <w:spacing w:before="156" w:beforeLines="50" w:line="360" w:lineRule="auto"/>
        <w:ind w:firstLine="413" w:firstLineChars="196"/>
        <w:rPr>
          <w:rFonts w:ascii="宋体" w:hAnsi="宋体" w:eastAsia="宋体" w:cs="宋体"/>
          <w:szCs w:val="21"/>
        </w:rPr>
      </w:pPr>
      <w:r>
        <w:rPr>
          <w:rFonts w:hint="eastAsia" w:ascii="宋体" w:hAnsi="宋体" w:eastAsia="宋体" w:cs="宋体"/>
          <w:b/>
          <w:bCs/>
          <w:szCs w:val="21"/>
        </w:rPr>
        <w:t>投标文件由资格响应文件、商务及技术响应文件、报价文件三部份组成。</w:t>
      </w:r>
      <w:r>
        <w:rPr>
          <w:rFonts w:hint="eastAsia" w:ascii="宋体" w:hAnsi="宋体" w:eastAsia="宋体" w:cs="宋体"/>
          <w:szCs w:val="21"/>
        </w:rPr>
        <w:t>电子投标文件中所须加盖公章部分均采用CA签章。（以下投标文件的部分格式详见本采购文件第六章，如本采购文件没有提供相应的格式，投标人可自行制表填写）</w:t>
      </w:r>
    </w:p>
    <w:p w14:paraId="5E708076">
      <w:pPr>
        <w:spacing w:before="156" w:beforeLines="50" w:line="360" w:lineRule="auto"/>
        <w:ind w:left="417"/>
        <w:rPr>
          <w:rFonts w:ascii="宋体" w:hAnsi="宋体" w:eastAsia="宋体" w:cs="宋体"/>
          <w:b/>
          <w:szCs w:val="21"/>
        </w:rPr>
      </w:pPr>
      <w:r>
        <w:rPr>
          <w:rFonts w:hint="eastAsia" w:ascii="宋体" w:hAnsi="宋体" w:eastAsia="宋体" w:cs="宋体"/>
          <w:b/>
          <w:szCs w:val="21"/>
        </w:rPr>
        <w:t>资格响应部份：</w:t>
      </w:r>
    </w:p>
    <w:p w14:paraId="3957A00A">
      <w:pPr>
        <w:spacing w:line="360" w:lineRule="auto"/>
        <w:ind w:left="417"/>
        <w:rPr>
          <w:rFonts w:ascii="宋体" w:hAnsi="宋体" w:eastAsia="宋体" w:cs="宋体"/>
        </w:rPr>
      </w:pPr>
      <w:r>
        <w:rPr>
          <w:rFonts w:hint="eastAsia" w:ascii="宋体" w:hAnsi="宋体" w:eastAsia="宋体" w:cs="宋体"/>
        </w:rPr>
        <w:t>1、基本资格条件：符合《中华人民共和国政府采购法》第二十二条的规定；</w:t>
      </w:r>
    </w:p>
    <w:p w14:paraId="7FAC8E17">
      <w:pPr>
        <w:spacing w:line="360" w:lineRule="auto"/>
        <w:ind w:firstLine="420" w:firstLineChars="200"/>
        <w:rPr>
          <w:rFonts w:ascii="宋体" w:hAnsi="宋体" w:eastAsia="宋体" w:cs="宋体"/>
        </w:rPr>
      </w:pPr>
      <w:r>
        <w:rPr>
          <w:rFonts w:hint="eastAsia" w:ascii="宋体" w:hAnsi="宋体" w:eastAsia="宋体" w:cs="宋体"/>
        </w:rPr>
        <w:t>（以下A~E项是第二十二条要求及对应证明材料的具体内容，各投标人须在投标文件中出具对应证明材料）</w:t>
      </w:r>
    </w:p>
    <w:p w14:paraId="1FA4ADD0">
      <w:pPr>
        <w:spacing w:line="360" w:lineRule="auto"/>
        <w:ind w:firstLine="482" w:firstLineChars="200"/>
        <w:rPr>
          <w:rFonts w:ascii="宋体" w:hAnsi="宋体" w:eastAsia="宋体" w:cs="宋体"/>
          <w:b/>
          <w:bCs/>
        </w:rPr>
      </w:pPr>
      <w:r>
        <w:rPr>
          <w:rFonts w:hint="eastAsia" w:ascii="宋体" w:hAnsi="宋体" w:eastAsia="宋体" w:cs="宋体"/>
          <w:b/>
          <w:bCs/>
          <w:sz w:val="24"/>
        </w:rPr>
        <w:t>A.</w:t>
      </w:r>
      <w:r>
        <w:rPr>
          <w:rFonts w:hint="eastAsia" w:ascii="宋体" w:hAnsi="宋体" w:eastAsia="宋体" w:cs="宋体"/>
          <w:b/>
          <w:bCs/>
        </w:rPr>
        <w:t>具有独立承担民事责任的能力：</w:t>
      </w:r>
    </w:p>
    <w:p w14:paraId="709B90AF">
      <w:pPr>
        <w:spacing w:line="360" w:lineRule="auto"/>
        <w:ind w:firstLine="420" w:firstLineChars="200"/>
        <w:rPr>
          <w:rFonts w:ascii="宋体" w:hAnsi="宋体" w:eastAsia="宋体" w:cs="宋体"/>
          <w:b/>
          <w:bCs/>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（五选一）：</w:t>
      </w:r>
    </w:p>
    <w:p w14:paraId="33D10187">
      <w:pPr>
        <w:spacing w:line="360" w:lineRule="auto"/>
        <w:ind w:firstLine="420" w:firstLineChars="200"/>
        <w:rPr>
          <w:rFonts w:ascii="宋体" w:hAnsi="宋体" w:eastAsia="宋体" w:cs="宋体"/>
        </w:rPr>
      </w:pPr>
      <w:r>
        <w:rPr>
          <w:rFonts w:hint="eastAsia" w:ascii="宋体" w:hAnsi="宋体" w:eastAsia="宋体" w:cs="宋体"/>
        </w:rPr>
        <w:t>①如投标人是企业（包括合伙企业），提供在工商部门注册的有效“企业法人营业执照”或“营业执照”；</w:t>
      </w:r>
    </w:p>
    <w:p w14:paraId="0E34CCF3">
      <w:pPr>
        <w:spacing w:line="360" w:lineRule="auto"/>
        <w:ind w:firstLine="420" w:firstLineChars="200"/>
        <w:rPr>
          <w:rFonts w:ascii="宋体" w:hAnsi="宋体" w:eastAsia="宋体" w:cs="宋体"/>
        </w:rPr>
      </w:pPr>
      <w:r>
        <w:rPr>
          <w:rFonts w:hint="eastAsia" w:ascii="宋体" w:hAnsi="宋体" w:eastAsia="宋体" w:cs="宋体"/>
        </w:rPr>
        <w:t>②如投标人是事业单位，提供有效的“事业单位法人证书”；</w:t>
      </w:r>
    </w:p>
    <w:p w14:paraId="4D6F4C39">
      <w:pPr>
        <w:spacing w:line="360" w:lineRule="auto"/>
        <w:ind w:firstLine="420" w:firstLineChars="200"/>
        <w:rPr>
          <w:rFonts w:ascii="宋体" w:hAnsi="宋体" w:eastAsia="宋体" w:cs="宋体"/>
        </w:rPr>
      </w:pPr>
      <w:r>
        <w:rPr>
          <w:rFonts w:hint="eastAsia" w:ascii="宋体" w:hAnsi="宋体" w:eastAsia="宋体" w:cs="宋体"/>
        </w:rPr>
        <w:t>③如投标人是非企业专业服务机构的，提供执业许可证等证明文件等证明文件；</w:t>
      </w:r>
    </w:p>
    <w:p w14:paraId="24C209F4">
      <w:pPr>
        <w:spacing w:line="360" w:lineRule="auto"/>
        <w:ind w:firstLine="420" w:firstLineChars="200"/>
        <w:rPr>
          <w:rFonts w:ascii="宋体" w:hAnsi="宋体" w:eastAsia="宋体" w:cs="宋体"/>
        </w:rPr>
      </w:pPr>
      <w:r>
        <w:rPr>
          <w:rFonts w:hint="eastAsia" w:ascii="宋体" w:hAnsi="宋体" w:eastAsia="宋体" w:cs="宋体"/>
        </w:rPr>
        <w:t>④如投标人是个体工商户，提供有效的“个体工商户营业执照”；</w:t>
      </w:r>
    </w:p>
    <w:p w14:paraId="116A8022">
      <w:pPr>
        <w:spacing w:line="360" w:lineRule="auto"/>
        <w:ind w:firstLine="420" w:firstLineChars="200"/>
        <w:rPr>
          <w:rFonts w:ascii="宋体" w:hAnsi="宋体" w:eastAsia="宋体" w:cs="宋体"/>
        </w:rPr>
      </w:pPr>
      <w:r>
        <w:rPr>
          <w:rFonts w:hint="eastAsia" w:ascii="宋体" w:hAnsi="宋体" w:eastAsia="宋体" w:cs="宋体"/>
        </w:rPr>
        <w:t>⑤如投标人是自然人，提供有效的自然人身份证明（居民身份证正反面或公安机关出具的临时居民身份证正反面或港澳台胞证或证照）。</w:t>
      </w:r>
    </w:p>
    <w:p w14:paraId="3116F119">
      <w:pPr>
        <w:spacing w:line="360" w:lineRule="auto"/>
        <w:ind w:firstLine="422" w:firstLineChars="200"/>
        <w:rPr>
          <w:rFonts w:ascii="宋体" w:hAnsi="宋体" w:eastAsia="宋体" w:cs="宋体"/>
          <w:b/>
          <w:bCs/>
        </w:rPr>
      </w:pPr>
      <w:r>
        <w:rPr>
          <w:rFonts w:hint="eastAsia" w:ascii="宋体" w:hAnsi="宋体" w:eastAsia="宋体" w:cs="宋体"/>
          <w:b/>
          <w:bCs/>
          <w:szCs w:val="21"/>
        </w:rPr>
        <w:t>B.</w:t>
      </w:r>
      <w:r>
        <w:rPr>
          <w:rFonts w:hint="eastAsia" w:ascii="宋体" w:hAnsi="宋体" w:eastAsia="宋体" w:cs="宋体"/>
          <w:b/>
          <w:bCs/>
        </w:rPr>
        <w:t>具有良好的商业信誉和健全的财务会计制度：</w:t>
      </w:r>
    </w:p>
    <w:p w14:paraId="0203E3C7">
      <w:pPr>
        <w:spacing w:line="360" w:lineRule="auto"/>
        <w:ind w:firstLine="420" w:firstLineChars="200"/>
        <w:rPr>
          <w:rFonts w:ascii="宋体" w:hAnsi="宋体" w:eastAsia="宋体" w:cs="宋体"/>
        </w:rPr>
      </w:pPr>
      <w:r>
        <w:rPr>
          <w:rFonts w:hint="eastAsia" w:ascii="宋体" w:hAnsi="宋体" w:eastAsia="宋体" w:cs="宋体"/>
        </w:rPr>
        <w:t>①良好的商业信誉：</w:t>
      </w:r>
    </w:p>
    <w:p w14:paraId="32A953AD">
      <w:pPr>
        <w:spacing w:line="360" w:lineRule="auto"/>
        <w:ind w:firstLine="420" w:firstLineChars="200"/>
        <w:rPr>
          <w:rFonts w:ascii="宋体" w:hAnsi="宋体" w:eastAsia="宋体" w:cs="宋体"/>
        </w:rPr>
      </w:pPr>
      <w:r>
        <w:rPr>
          <w:rFonts w:hint="eastAsia" w:ascii="宋体" w:hAnsi="宋体" w:eastAsia="宋体" w:cs="宋体"/>
        </w:rPr>
        <w:t>至本项目投标截止时间止未被“信用中国”（www.creditchina.gov.cn）、中国政府采购网（www.ccgp.gov.cn）列入失信被执行人、重大税收违法案件当事人名单、政府采购严重违法失信行为记录名单网页查询记录截图。</w:t>
      </w:r>
    </w:p>
    <w:p w14:paraId="11980F86">
      <w:pPr>
        <w:spacing w:line="360" w:lineRule="auto"/>
        <w:ind w:firstLine="420" w:firstLineChars="200"/>
        <w:rPr>
          <w:rFonts w:ascii="宋体" w:hAnsi="宋体" w:eastAsia="宋体" w:cs="宋体"/>
        </w:rPr>
      </w:pPr>
      <w:r>
        <w:rPr>
          <w:rFonts w:hint="eastAsia" w:ascii="宋体" w:hAnsi="宋体" w:eastAsia="宋体" w:cs="宋体"/>
          <w:szCs w:val="21"/>
        </w:rPr>
        <w:t>提供</w:t>
      </w:r>
      <w:r>
        <w:rPr>
          <w:rFonts w:hint="eastAsia" w:ascii="宋体" w:hAnsi="宋体" w:eastAsia="宋体" w:cs="宋体"/>
        </w:rPr>
        <w:t>查询截图，（截图查询网站时间须在开标截止前二个星期内）</w:t>
      </w:r>
    </w:p>
    <w:p w14:paraId="50696846">
      <w:pPr>
        <w:spacing w:line="360" w:lineRule="auto"/>
        <w:ind w:firstLine="420" w:firstLineChars="200"/>
        <w:rPr>
          <w:rFonts w:ascii="宋体" w:hAnsi="宋体" w:eastAsia="宋体" w:cs="宋体"/>
        </w:rPr>
      </w:pPr>
      <w:r>
        <w:rPr>
          <w:rFonts w:hint="eastAsia" w:ascii="宋体" w:hAnsi="宋体" w:eastAsia="宋体" w:cs="宋体"/>
          <w:szCs w:val="21"/>
        </w:rPr>
        <w:t>对</w:t>
      </w:r>
      <w:r>
        <w:rPr>
          <w:rFonts w:hint="eastAsia" w:ascii="宋体" w:hAnsi="宋体" w:eastAsia="宋体" w:cs="宋体"/>
        </w:rPr>
        <w:t>列入失信被执行人、重大税收违法案件当事人名单、政府采购严重违法失信行为记录名单的投标人，其投标将作无效标处理。</w:t>
      </w:r>
    </w:p>
    <w:p w14:paraId="6EB7C45B">
      <w:pPr>
        <w:spacing w:line="360" w:lineRule="auto"/>
        <w:ind w:firstLine="420" w:firstLineChars="200"/>
        <w:rPr>
          <w:rFonts w:ascii="宋体" w:hAnsi="宋体" w:eastAsia="宋体" w:cs="宋体"/>
        </w:rPr>
      </w:pPr>
      <w:r>
        <w:rPr>
          <w:rFonts w:hint="eastAsia" w:ascii="宋体" w:hAnsi="宋体" w:eastAsia="宋体" w:cs="宋体"/>
        </w:rPr>
        <w:t>②健全的财务会计制度：</w:t>
      </w:r>
    </w:p>
    <w:p w14:paraId="6FE321FF">
      <w:pPr>
        <w:spacing w:line="360" w:lineRule="auto"/>
        <w:ind w:firstLine="420" w:firstLineChars="200"/>
        <w:rPr>
          <w:rFonts w:ascii="宋体" w:hAnsi="宋体" w:eastAsia="宋体" w:cs="宋体"/>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（三选一）</w:t>
      </w:r>
      <w:r>
        <w:rPr>
          <w:rFonts w:hint="eastAsia" w:ascii="宋体" w:hAnsi="宋体" w:eastAsia="宋体" w:cs="宋体"/>
        </w:rPr>
        <w:t>：</w:t>
      </w:r>
    </w:p>
    <w:p w14:paraId="277D537C">
      <w:pPr>
        <w:tabs>
          <w:tab w:val="left" w:pos="735"/>
        </w:tabs>
        <w:spacing w:line="360" w:lineRule="auto"/>
        <w:ind w:firstLine="420" w:firstLineChars="200"/>
        <w:rPr>
          <w:rFonts w:ascii="宋体" w:hAnsi="宋体" w:eastAsia="宋体" w:cs="宋体"/>
        </w:rPr>
      </w:pPr>
      <w:r>
        <w:rPr>
          <w:rFonts w:hint="eastAsia" w:ascii="宋体" w:hAnsi="宋体" w:eastAsia="宋体" w:cs="宋体"/>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6B12D6E7">
      <w:pPr>
        <w:numPr>
          <w:ilvl w:val="0"/>
          <w:numId w:val="10"/>
        </w:numPr>
        <w:tabs>
          <w:tab w:val="left" w:pos="735"/>
        </w:tabs>
        <w:spacing w:line="360" w:lineRule="auto"/>
        <w:rPr>
          <w:rFonts w:ascii="宋体" w:hAnsi="宋体" w:eastAsia="宋体" w:cs="宋体"/>
        </w:rPr>
      </w:pPr>
      <w:r>
        <w:rPr>
          <w:rFonts w:hint="eastAsia" w:ascii="宋体" w:hAnsi="宋体" w:eastAsia="宋体" w:cs="宋体"/>
        </w:rPr>
        <w:t>其他组织和自然人如没有经审计的财务报告的，可以提供资产负债表、利润表、</w:t>
      </w:r>
    </w:p>
    <w:p w14:paraId="0E381020">
      <w:pPr>
        <w:tabs>
          <w:tab w:val="left" w:pos="735"/>
        </w:tabs>
        <w:spacing w:line="360" w:lineRule="auto"/>
        <w:ind w:left="420"/>
        <w:rPr>
          <w:rFonts w:ascii="宋体" w:hAnsi="宋体" w:eastAsia="宋体" w:cs="宋体"/>
        </w:rPr>
      </w:pPr>
      <w:r>
        <w:rPr>
          <w:rFonts w:hint="eastAsia" w:ascii="宋体" w:hAnsi="宋体" w:eastAsia="宋体" w:cs="宋体"/>
        </w:rPr>
        <w:t>现金流量表。</w:t>
      </w:r>
    </w:p>
    <w:p w14:paraId="0D073390">
      <w:pPr>
        <w:numPr>
          <w:ilvl w:val="0"/>
          <w:numId w:val="10"/>
        </w:numPr>
        <w:tabs>
          <w:tab w:val="left" w:pos="735"/>
        </w:tabs>
        <w:spacing w:line="360" w:lineRule="auto"/>
        <w:rPr>
          <w:rFonts w:ascii="宋体" w:hAnsi="宋体" w:eastAsia="宋体" w:cs="宋体"/>
        </w:rPr>
      </w:pPr>
      <w:r>
        <w:rPr>
          <w:rFonts w:hint="eastAsia" w:ascii="宋体" w:hAnsi="宋体" w:eastAsia="宋体" w:cs="宋体"/>
        </w:rPr>
        <w:t>新成立不足一年的公司须出具情况说明。</w:t>
      </w:r>
    </w:p>
    <w:p w14:paraId="05444402">
      <w:pPr>
        <w:spacing w:line="360" w:lineRule="auto"/>
        <w:ind w:firstLine="413" w:firstLineChars="196"/>
        <w:rPr>
          <w:rFonts w:ascii="宋体" w:hAnsi="宋体" w:eastAsia="宋体" w:cs="宋体"/>
          <w:b/>
          <w:bCs/>
          <w:szCs w:val="21"/>
        </w:rPr>
      </w:pPr>
      <w:r>
        <w:rPr>
          <w:rFonts w:hint="eastAsia" w:ascii="宋体" w:hAnsi="宋体" w:eastAsia="宋体" w:cs="宋体"/>
          <w:b/>
          <w:bCs/>
          <w:szCs w:val="21"/>
        </w:rPr>
        <w:t>C.具有履行合同所必需的设备和专业技术能力：</w:t>
      </w:r>
    </w:p>
    <w:p w14:paraId="7D50152A">
      <w:pPr>
        <w:spacing w:line="360" w:lineRule="auto"/>
        <w:ind w:left="420"/>
        <w:rPr>
          <w:rFonts w:ascii="宋体" w:hAnsi="宋体" w:eastAsia="宋体" w:cs="宋体"/>
          <w:kern w:val="0"/>
          <w:szCs w:val="21"/>
        </w:rPr>
      </w:pPr>
      <w:r>
        <w:rPr>
          <w:rFonts w:hint="eastAsia" w:ascii="宋体" w:hAnsi="宋体" w:eastAsia="宋体" w:cs="宋体"/>
          <w:kern w:val="0"/>
          <w:szCs w:val="21"/>
        </w:rPr>
        <w:t>投标人须在投标文件中出具具有履行合同所必需的设备和专业技术能力的《投标函》。</w:t>
      </w:r>
    </w:p>
    <w:p w14:paraId="24CFB965">
      <w:pPr>
        <w:spacing w:line="360" w:lineRule="auto"/>
        <w:ind w:firstLine="413" w:firstLineChars="196"/>
        <w:rPr>
          <w:rFonts w:ascii="宋体" w:hAnsi="宋体" w:eastAsia="宋体" w:cs="宋体"/>
          <w:b/>
          <w:bCs/>
          <w:szCs w:val="21"/>
        </w:rPr>
      </w:pPr>
      <w:r>
        <w:rPr>
          <w:rFonts w:hint="eastAsia" w:ascii="宋体" w:hAnsi="宋体" w:eastAsia="宋体" w:cs="宋体"/>
          <w:b/>
          <w:bCs/>
          <w:szCs w:val="21"/>
        </w:rPr>
        <w:t>D.有依法缴纳税收和社会保障资金的良好记录：（如有）</w:t>
      </w:r>
    </w:p>
    <w:p w14:paraId="0D2A1357">
      <w:pPr>
        <w:spacing w:line="360" w:lineRule="auto"/>
        <w:ind w:firstLine="420" w:firstLineChars="200"/>
        <w:rPr>
          <w:rFonts w:ascii="宋体" w:hAnsi="宋体" w:eastAsia="宋体" w:cs="宋体"/>
        </w:rPr>
      </w:pPr>
      <w:r>
        <w:rPr>
          <w:rFonts w:hint="eastAsia" w:ascii="宋体" w:hAnsi="宋体" w:eastAsia="宋体" w:cs="宋体"/>
        </w:rPr>
        <w:t>1、投标人须在投标文件中同时出具满足以下要求的证明材料复印件：</w:t>
      </w:r>
    </w:p>
    <w:p w14:paraId="671CE51B">
      <w:pPr>
        <w:spacing w:line="360" w:lineRule="auto"/>
        <w:ind w:firstLine="420" w:firstLineChars="200"/>
        <w:rPr>
          <w:rFonts w:ascii="宋体" w:hAnsi="宋体" w:eastAsia="宋体" w:cs="宋体"/>
        </w:rPr>
      </w:pPr>
      <w:r>
        <w:rPr>
          <w:rFonts w:hint="eastAsia" w:ascii="宋体" w:hAnsi="宋体" w:eastAsia="宋体" w:cs="宋体"/>
        </w:rPr>
        <w:t>①投标人须提供由税务部门出具的最近一季度缴纳增值税和企业所得税的纳税证明。</w:t>
      </w:r>
    </w:p>
    <w:p w14:paraId="234D448E">
      <w:pPr>
        <w:spacing w:line="360" w:lineRule="auto"/>
        <w:ind w:firstLine="420" w:firstLineChars="200"/>
        <w:rPr>
          <w:rFonts w:ascii="宋体" w:hAnsi="宋体" w:eastAsia="宋体" w:cs="宋体"/>
        </w:rPr>
      </w:pPr>
      <w:r>
        <w:rPr>
          <w:rFonts w:hint="eastAsia" w:ascii="宋体" w:hAnsi="宋体" w:eastAsia="宋体" w:cs="宋体"/>
        </w:rPr>
        <w:t>②投标人须提供最近三个月内缴纳社会保险的凭据（缴税付款凭证或社会保险缴纳证明）</w:t>
      </w:r>
    </w:p>
    <w:p w14:paraId="49DCDDEA">
      <w:pPr>
        <w:spacing w:line="360" w:lineRule="auto"/>
        <w:ind w:firstLine="420" w:firstLineChars="200"/>
        <w:rPr>
          <w:rFonts w:ascii="宋体" w:hAnsi="宋体" w:eastAsia="宋体" w:cs="宋体"/>
        </w:rPr>
      </w:pPr>
      <w:r>
        <w:rPr>
          <w:rFonts w:hint="eastAsia" w:ascii="宋体" w:hAnsi="宋体" w:eastAsia="宋体" w:cs="宋体"/>
        </w:rPr>
        <w:t>依法免税或不需要缴纳社会保障资金的投标人，应提供相应文件证明其依法免税或不需要缴纳社会保障资金。</w:t>
      </w:r>
    </w:p>
    <w:p w14:paraId="5F0B7169">
      <w:pPr>
        <w:spacing w:line="360" w:lineRule="auto"/>
        <w:ind w:firstLine="422" w:firstLineChars="200"/>
        <w:rPr>
          <w:rFonts w:ascii="宋体" w:hAnsi="宋体" w:eastAsia="宋体" w:cs="宋体"/>
          <w:b/>
          <w:bCs/>
        </w:rPr>
      </w:pPr>
      <w:r>
        <w:rPr>
          <w:rFonts w:hint="eastAsia" w:ascii="宋体" w:hAnsi="宋体" w:eastAsia="宋体" w:cs="宋体"/>
          <w:b/>
          <w:bCs/>
        </w:rPr>
        <w:t>E.参加政府采购活动前三年内，在经营活动中没有重大违法记录：</w:t>
      </w:r>
    </w:p>
    <w:p w14:paraId="648F134C">
      <w:pPr>
        <w:spacing w:line="360" w:lineRule="auto"/>
        <w:ind w:firstLine="420" w:firstLineChars="200"/>
        <w:rPr>
          <w:rFonts w:ascii="宋体" w:hAnsi="宋体" w:eastAsia="宋体" w:cs="宋体"/>
        </w:rPr>
      </w:pPr>
      <w:r>
        <w:rPr>
          <w:rFonts w:hint="eastAsia" w:ascii="宋体" w:hAnsi="宋体" w:eastAsia="宋体" w:cs="宋体"/>
        </w:rPr>
        <w:t>投标人须在投标文件中出具《声明函》、廉政承诺书。（格式见附件）</w:t>
      </w:r>
    </w:p>
    <w:p w14:paraId="4EBF3702">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注：证明材料均需加盖签章。</w:t>
      </w:r>
    </w:p>
    <w:p w14:paraId="20F725E7">
      <w:pPr>
        <w:tabs>
          <w:tab w:val="left" w:pos="3870"/>
          <w:tab w:val="left" w:pos="4085"/>
        </w:tabs>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2、中小企业申明函；</w:t>
      </w:r>
    </w:p>
    <w:p w14:paraId="030A9759">
      <w:pPr>
        <w:tabs>
          <w:tab w:val="left" w:pos="3870"/>
          <w:tab w:val="left" w:pos="4085"/>
        </w:tabs>
        <w:snapToGrid w:val="0"/>
        <w:spacing w:line="336" w:lineRule="auto"/>
        <w:ind w:firstLine="630" w:firstLineChars="300"/>
        <w:jc w:val="left"/>
        <w:rPr>
          <w:rFonts w:ascii="宋体" w:hAnsi="宋体" w:eastAsia="宋体" w:cs="宋体"/>
          <w:szCs w:val="21"/>
        </w:rPr>
      </w:pPr>
      <w:r>
        <w:rPr>
          <w:rFonts w:hint="eastAsia" w:ascii="宋体" w:hAnsi="宋体" w:eastAsia="宋体" w:cs="宋体"/>
          <w:szCs w:val="21"/>
        </w:rPr>
        <w:t>监狱企业声明函；</w:t>
      </w:r>
    </w:p>
    <w:p w14:paraId="70442EC6">
      <w:pPr>
        <w:snapToGrid w:val="0"/>
        <w:spacing w:before="156" w:beforeLines="50" w:line="336" w:lineRule="auto"/>
        <w:ind w:firstLine="625" w:firstLineChars="298"/>
        <w:rPr>
          <w:rFonts w:ascii="宋体" w:hAnsi="宋体" w:eastAsia="宋体" w:cs="宋体"/>
          <w:szCs w:val="21"/>
        </w:rPr>
      </w:pPr>
      <w:r>
        <w:rPr>
          <w:rFonts w:hint="eastAsia" w:ascii="宋体" w:hAnsi="宋体" w:eastAsia="宋体" w:cs="宋体"/>
          <w:szCs w:val="21"/>
        </w:rPr>
        <w:t>残疾人福利性单位声明函；</w:t>
      </w:r>
    </w:p>
    <w:p w14:paraId="2D7B10FC">
      <w:pPr>
        <w:snapToGrid w:val="0"/>
        <w:spacing w:before="156" w:beforeLines="50" w:after="156" w:afterLines="50" w:line="336" w:lineRule="auto"/>
        <w:ind w:left="417" w:right="-506" w:rightChars="-241"/>
        <w:rPr>
          <w:rFonts w:ascii="宋体" w:hAnsi="宋体" w:eastAsia="宋体" w:cs="宋体"/>
          <w:b/>
          <w:szCs w:val="21"/>
        </w:rPr>
      </w:pPr>
      <w:r>
        <w:rPr>
          <w:rFonts w:hint="eastAsia" w:ascii="宋体" w:hAnsi="宋体" w:eastAsia="宋体" w:cs="宋体"/>
          <w:b/>
          <w:szCs w:val="21"/>
        </w:rPr>
        <w:t>3、商务及技术部分：</w:t>
      </w:r>
    </w:p>
    <w:p w14:paraId="5A43EA2C">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3.1目录或评分索引（为便于评审，请投标人务必自制目录或评分索引表）；</w:t>
      </w:r>
    </w:p>
    <w:p w14:paraId="596301BB">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3.2按评分标准依序提供相关材料、方案；</w:t>
      </w:r>
    </w:p>
    <w:p w14:paraId="4C102727">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3.3本采购文件要求提供的和投标人认为需要提供的其它说明和资料/文件。</w:t>
      </w:r>
    </w:p>
    <w:p w14:paraId="028051FE">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注：证明材料均需加盖签章。</w:t>
      </w:r>
    </w:p>
    <w:p w14:paraId="4EDD0D59">
      <w:pPr>
        <w:snapToGrid w:val="0"/>
        <w:spacing w:line="360" w:lineRule="auto"/>
        <w:ind w:firstLine="413" w:firstLineChars="196"/>
        <w:jc w:val="left"/>
        <w:rPr>
          <w:rFonts w:ascii="宋体" w:hAnsi="宋体" w:eastAsia="宋体" w:cs="宋体"/>
          <w:b/>
          <w:szCs w:val="21"/>
        </w:rPr>
      </w:pPr>
      <w:r>
        <w:rPr>
          <w:rFonts w:hint="eastAsia" w:ascii="宋体" w:hAnsi="宋体" w:eastAsia="宋体" w:cs="宋体"/>
          <w:b/>
          <w:szCs w:val="21"/>
        </w:rPr>
        <w:t>4、报价部分：</w:t>
      </w:r>
    </w:p>
    <w:p w14:paraId="2D1E94EB">
      <w:pPr>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4.1投标报价一览表；</w:t>
      </w:r>
    </w:p>
    <w:p w14:paraId="46AEC46C">
      <w:pPr>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4.2投标人针对报价需要说明的其他文件和说明。</w:t>
      </w:r>
    </w:p>
    <w:p w14:paraId="77E37C16">
      <w:pPr>
        <w:snapToGrid w:val="0"/>
        <w:spacing w:line="360" w:lineRule="auto"/>
        <w:ind w:right="55"/>
        <w:jc w:val="left"/>
        <w:outlineLvl w:val="0"/>
        <w:rPr>
          <w:rFonts w:ascii="宋体" w:hAnsi="宋体" w:eastAsia="宋体" w:cs="宋体"/>
          <w:b/>
          <w:sz w:val="24"/>
        </w:rPr>
      </w:pPr>
      <w:r>
        <w:rPr>
          <w:rFonts w:hint="eastAsia" w:ascii="宋体" w:hAnsi="宋体" w:eastAsia="宋体" w:cs="宋体"/>
          <w:b/>
          <w:szCs w:val="21"/>
        </w:rPr>
        <w:t>（二）投标文件的语言及计量</w:t>
      </w:r>
    </w:p>
    <w:p w14:paraId="16064132">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1.投标文件以及投标人与采购人就有关投标事宜的所有来往函电，均应以中文汉语书写。除签名、盖章、专用名称等特殊情形外，以中文汉语以外的文字表述的投标文件视同未提供。</w:t>
      </w:r>
    </w:p>
    <w:p w14:paraId="781764BF">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14:paraId="55DF289E">
      <w:pPr>
        <w:tabs>
          <w:tab w:val="left" w:pos="0"/>
        </w:tabs>
        <w:spacing w:line="360" w:lineRule="auto"/>
        <w:rPr>
          <w:rFonts w:ascii="宋体" w:hAnsi="宋体" w:eastAsia="宋体" w:cs="宋体"/>
          <w:b/>
          <w:szCs w:val="21"/>
        </w:rPr>
      </w:pPr>
      <w:r>
        <w:rPr>
          <w:rFonts w:hint="eastAsia" w:ascii="宋体" w:hAnsi="宋体" w:eastAsia="宋体" w:cs="宋体"/>
          <w:b/>
          <w:szCs w:val="21"/>
        </w:rPr>
        <w:t>（三）响应报价</w:t>
      </w:r>
    </w:p>
    <w:p w14:paraId="5FFF2E01">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1、投标报价应以人民币报价，投标人报价应是包括为完成本项目服务、设备可能发生的全部费用及中标人的利润和应交纳的税金等一切费用。</w:t>
      </w:r>
    </w:p>
    <w:p w14:paraId="21EAD396">
      <w:pPr>
        <w:spacing w:line="360" w:lineRule="auto"/>
        <w:ind w:firstLine="420"/>
        <w:rPr>
          <w:rFonts w:ascii="宋体" w:hAnsi="宋体" w:eastAsia="宋体" w:cs="宋体"/>
        </w:rPr>
      </w:pPr>
      <w:r>
        <w:rPr>
          <w:rFonts w:hint="eastAsia" w:ascii="宋体" w:hAnsi="宋体" w:eastAsia="宋体" w:cs="宋体"/>
          <w:b/>
          <w:bCs/>
          <w:szCs w:val="21"/>
        </w:rPr>
        <w:t>2、投标文件针对同一内容只允许有一个报价，有选择的或有条件的报价将不予接受。</w:t>
      </w:r>
    </w:p>
    <w:p w14:paraId="534A0939">
      <w:pPr>
        <w:snapToGrid w:val="0"/>
        <w:spacing w:line="360" w:lineRule="auto"/>
        <w:jc w:val="left"/>
        <w:outlineLvl w:val="0"/>
        <w:rPr>
          <w:rFonts w:ascii="宋体" w:hAnsi="宋体" w:eastAsia="宋体" w:cs="宋体"/>
          <w:b/>
          <w:szCs w:val="21"/>
        </w:rPr>
      </w:pPr>
      <w:r>
        <w:rPr>
          <w:rFonts w:hint="eastAsia" w:ascii="宋体" w:hAnsi="宋体" w:eastAsia="宋体" w:cs="宋体"/>
          <w:b/>
          <w:szCs w:val="21"/>
        </w:rPr>
        <w:t>（四）投标文件的有效期</w:t>
      </w:r>
    </w:p>
    <w:p w14:paraId="574AB37F">
      <w:pPr>
        <w:tabs>
          <w:tab w:val="left" w:pos="360"/>
          <w:tab w:val="left" w:pos="454"/>
          <w:tab w:val="left" w:pos="720"/>
          <w:tab w:val="left" w:pos="900"/>
        </w:tabs>
        <w:snapToGrid w:val="0"/>
        <w:spacing w:line="360" w:lineRule="auto"/>
        <w:ind w:right="-506" w:rightChars="-241" w:firstLine="420" w:firstLineChars="200"/>
        <w:rPr>
          <w:rFonts w:ascii="宋体" w:hAnsi="宋体" w:eastAsia="宋体" w:cs="宋体"/>
        </w:rPr>
      </w:pPr>
      <w:r>
        <w:rPr>
          <w:rFonts w:hint="eastAsia" w:ascii="宋体" w:hAnsi="宋体" w:eastAsia="宋体" w:cs="宋体"/>
        </w:rPr>
        <w:t>1、自投标截止日起</w:t>
      </w:r>
      <w:r>
        <w:rPr>
          <w:rFonts w:hint="eastAsia" w:ascii="宋体" w:hAnsi="宋体" w:eastAsia="宋体" w:cs="宋体"/>
          <w:b/>
          <w:u w:val="single"/>
        </w:rPr>
        <w:t>90</w:t>
      </w:r>
      <w:r>
        <w:rPr>
          <w:rFonts w:hint="eastAsia" w:ascii="宋体" w:hAnsi="宋体" w:eastAsia="宋体" w:cs="宋体"/>
          <w:b/>
        </w:rPr>
        <w:t>天</w:t>
      </w:r>
      <w:r>
        <w:rPr>
          <w:rFonts w:hint="eastAsia" w:ascii="宋体" w:hAnsi="宋体" w:eastAsia="宋体" w:cs="宋体"/>
        </w:rPr>
        <w:t>投标文件应保持有效。有效期不足的投标文件将被拒绝。</w:t>
      </w:r>
    </w:p>
    <w:p w14:paraId="6F2AF17F">
      <w:pPr>
        <w:snapToGrid w:val="0"/>
        <w:spacing w:line="360" w:lineRule="auto"/>
        <w:ind w:right="-86" w:rightChars="-41" w:firstLine="420" w:firstLineChars="200"/>
        <w:jc w:val="left"/>
        <w:outlineLvl w:val="0"/>
        <w:rPr>
          <w:rFonts w:ascii="宋体" w:hAnsi="宋体" w:eastAsia="宋体" w:cs="宋体"/>
        </w:rPr>
      </w:pPr>
      <w:r>
        <w:rPr>
          <w:rFonts w:hint="eastAsia" w:ascii="宋体" w:hAnsi="宋体" w:eastAsia="宋体" w:cs="宋体"/>
        </w:rPr>
        <w:t>2、在特殊情况下，采购人可与投标人协商延长投标书的有效期，这种要求和答复均以书面形式进行。</w:t>
      </w:r>
    </w:p>
    <w:p w14:paraId="25D3807F">
      <w:pPr>
        <w:snapToGrid w:val="0"/>
        <w:spacing w:line="360" w:lineRule="auto"/>
        <w:ind w:right="55" w:firstLine="420" w:firstLineChars="200"/>
        <w:jc w:val="left"/>
        <w:outlineLvl w:val="0"/>
        <w:rPr>
          <w:rFonts w:ascii="宋体" w:hAnsi="宋体" w:eastAsia="宋体" w:cs="宋体"/>
        </w:rPr>
      </w:pPr>
      <w:r>
        <w:rPr>
          <w:rFonts w:hint="eastAsia" w:ascii="宋体" w:hAnsi="宋体" w:eastAsia="宋体" w:cs="宋体"/>
        </w:rPr>
        <w:t>3、中标人的投标文件自开标之日起至合同履行完毕止均应保持有效。</w:t>
      </w:r>
    </w:p>
    <w:p w14:paraId="1BCF32FE">
      <w:pPr>
        <w:snapToGrid w:val="0"/>
        <w:spacing w:line="360" w:lineRule="auto"/>
        <w:jc w:val="left"/>
        <w:rPr>
          <w:rFonts w:ascii="宋体" w:hAnsi="宋体" w:eastAsia="宋体" w:cs="宋体"/>
          <w:b/>
          <w:szCs w:val="21"/>
        </w:rPr>
      </w:pPr>
      <w:r>
        <w:rPr>
          <w:rFonts w:hint="eastAsia" w:ascii="宋体" w:hAnsi="宋体" w:eastAsia="宋体" w:cs="宋体"/>
          <w:b/>
          <w:szCs w:val="21"/>
        </w:rPr>
        <w:t>（五）投标文件的包装、递交、修改和撤回</w:t>
      </w:r>
    </w:p>
    <w:p w14:paraId="0019E587">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A73A7A6">
      <w:pPr>
        <w:snapToGrid w:val="0"/>
        <w:spacing w:line="360" w:lineRule="auto"/>
        <w:ind w:right="-86" w:rightChars="-41" w:firstLine="210" w:firstLineChars="100"/>
        <w:jc w:val="left"/>
        <w:rPr>
          <w:rFonts w:ascii="宋体" w:hAnsi="宋体" w:eastAsia="宋体" w:cs="宋体"/>
        </w:rPr>
      </w:pPr>
      <w:r>
        <w:rPr>
          <w:rFonts w:hint="eastAsia" w:ascii="宋体" w:hAnsi="宋体" w:eastAsia="宋体" w:cs="宋体"/>
        </w:rPr>
        <w:t>2、投标人应当在投标截止时间前将以介质存储的数据电文形式的备份投标文件</w:t>
      </w:r>
      <w:r>
        <w:rPr>
          <w:rFonts w:hint="eastAsia" w:ascii="宋体" w:hAnsi="宋体" w:eastAsia="宋体" w:cs="宋体"/>
          <w:szCs w:val="21"/>
        </w:rPr>
        <w:t>寄到或送达采购代理公司。地址：浙江天隆工程管理有限公司（舟山市临城定沈路620号（工行金跃大厦）23楼）。也可现场递交。</w:t>
      </w:r>
      <w:r>
        <w:rPr>
          <w:rFonts w:hint="eastAsia" w:ascii="宋体" w:hAnsi="宋体" w:eastAsia="宋体" w:cs="宋体"/>
        </w:rPr>
        <w:t>逾期送达或未密封将被拒收。</w:t>
      </w:r>
    </w:p>
    <w:p w14:paraId="438E064E">
      <w:pPr>
        <w:snapToGrid w:val="0"/>
        <w:spacing w:line="360" w:lineRule="auto"/>
        <w:ind w:right="-86" w:rightChars="-41" w:firstLine="422" w:firstLineChars="200"/>
        <w:jc w:val="left"/>
        <w:rPr>
          <w:rFonts w:ascii="宋体" w:hAnsi="宋体" w:eastAsia="宋体" w:cs="宋体"/>
        </w:rPr>
      </w:pPr>
      <w:r>
        <w:rPr>
          <w:rFonts w:hint="eastAsia" w:ascii="宋体" w:hAnsi="宋体" w:eastAsia="宋体" w:cs="宋体"/>
          <w:b/>
          <w:szCs w:val="21"/>
        </w:rPr>
        <w:t>投标人可以不提供备份投标文件，造成项目开评标活动无法进行下去的，投标无效，相关风险由投标人自行承担</w:t>
      </w:r>
    </w:p>
    <w:p w14:paraId="5F7A49FD">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投标人递交以介质存储的数据电文形式的备份投标文件时，如出现下列情况之一的，将被拒收：</w:t>
      </w:r>
    </w:p>
    <w:p w14:paraId="3DEB0E01">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（1）未按规定密封或标记的投标文件；</w:t>
      </w:r>
    </w:p>
    <w:p w14:paraId="1A6FB270">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（2）由于包装不妥，在送交途中严重破损或失散的；</w:t>
      </w:r>
    </w:p>
    <w:p w14:paraId="3C97D77A">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（3）未成功办理投标人报名手续的；</w:t>
      </w:r>
    </w:p>
    <w:p w14:paraId="0089DFBC">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（4）超过投标截止时间送达的；</w:t>
      </w:r>
    </w:p>
    <w:p w14:paraId="0A3B34B2">
      <w:pPr>
        <w:snapToGrid w:val="0"/>
        <w:spacing w:line="360" w:lineRule="auto"/>
        <w:ind w:right="-86" w:rightChars="-41" w:firstLine="630" w:firstLineChars="300"/>
        <w:jc w:val="left"/>
        <w:rPr>
          <w:rFonts w:ascii="宋体" w:hAnsi="宋体" w:eastAsia="宋体" w:cs="宋体"/>
        </w:rPr>
      </w:pPr>
      <w:r>
        <w:rPr>
          <w:rFonts w:hint="eastAsia" w:ascii="宋体" w:hAnsi="宋体" w:eastAsia="宋体" w:cs="宋体"/>
        </w:rPr>
        <w:t>仅提供备份投标文件的，投标无效。</w:t>
      </w:r>
    </w:p>
    <w:p w14:paraId="34045916">
      <w:pPr>
        <w:snapToGrid w:val="0"/>
        <w:spacing w:line="360" w:lineRule="auto"/>
        <w:ind w:right="-86" w:rightChars="-41" w:firstLine="630" w:firstLineChars="300"/>
        <w:jc w:val="left"/>
        <w:rPr>
          <w:rFonts w:ascii="宋体" w:hAnsi="宋体" w:eastAsia="宋体" w:cs="宋体"/>
        </w:rPr>
      </w:pPr>
      <w:r>
        <w:rPr>
          <w:rFonts w:hint="eastAsia" w:ascii="宋体" w:hAnsi="宋体" w:eastAsia="宋体" w:cs="宋体"/>
        </w:rPr>
        <w:t>提供的备份投标文件无法进行启用的，投标无效，相关风险由投标人自行承担。</w:t>
      </w:r>
    </w:p>
    <w:p w14:paraId="347FACF5">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3、投标、响应文件未按时解密，投标人提供了备份投标、响应文件的，以备份投标、响应文件作为依据，否则视为投标、响应文件撤回。投标、响应文件已按时解密的，备份投标、响应文件自动失效。</w:t>
      </w:r>
    </w:p>
    <w:p w14:paraId="7412EBB4">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4、备份投标文件须密封封装。包装封面上应注明投标人名称，封口处加盖投标人公章。</w:t>
      </w:r>
    </w:p>
    <w:p w14:paraId="34EF2AEB">
      <w:pPr>
        <w:spacing w:line="360" w:lineRule="auto"/>
        <w:rPr>
          <w:rFonts w:ascii="宋体" w:hAnsi="宋体" w:eastAsia="宋体" w:cs="宋体"/>
        </w:rPr>
      </w:pPr>
      <w:r>
        <w:rPr>
          <w:rFonts w:hint="eastAsia" w:ascii="宋体" w:hAnsi="宋体" w:eastAsia="宋体" w:cs="宋体"/>
          <w:b/>
          <w:szCs w:val="21"/>
        </w:rPr>
        <w:t>（六）投标无效的情形</w:t>
      </w:r>
    </w:p>
    <w:p w14:paraId="1CB86FBC">
      <w:pPr>
        <w:snapToGrid w:val="0"/>
        <w:spacing w:before="156" w:beforeLines="50" w:after="156" w:afterLines="50" w:line="360" w:lineRule="auto"/>
        <w:ind w:right="-86" w:rightChars="-41" w:firstLine="625" w:firstLineChars="298"/>
        <w:rPr>
          <w:rFonts w:ascii="宋体" w:hAnsi="宋体" w:eastAsia="宋体" w:cs="宋体"/>
          <w:szCs w:val="21"/>
        </w:rPr>
      </w:pPr>
      <w:r>
        <w:rPr>
          <w:rFonts w:hint="eastAsia" w:ascii="宋体" w:hAnsi="宋体" w:eastAsia="宋体" w:cs="宋体"/>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8D8252F">
      <w:pPr>
        <w:snapToGrid w:val="0"/>
        <w:spacing w:before="156" w:beforeLines="50" w:after="156" w:afterLines="50" w:line="360" w:lineRule="auto"/>
        <w:ind w:firstLine="417" w:firstLineChars="198"/>
        <w:rPr>
          <w:rFonts w:ascii="宋体" w:hAnsi="宋体" w:eastAsia="宋体" w:cs="宋体"/>
          <w:szCs w:val="21"/>
        </w:rPr>
      </w:pPr>
      <w:r>
        <w:rPr>
          <w:rFonts w:hint="eastAsia" w:ascii="宋体" w:hAnsi="宋体" w:eastAsia="宋体" w:cs="宋体"/>
          <w:b/>
          <w:bCs/>
          <w:szCs w:val="21"/>
        </w:rPr>
        <w:t>1、在符合性审查和商务评审时，如发现下列情形之一的，投标文件将被视为无效投标：</w:t>
      </w:r>
    </w:p>
    <w:p w14:paraId="3BB1E70C">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1.1电子投标文件解密失败的，且未在规定时间内提交备份投标文件的；</w:t>
      </w:r>
    </w:p>
    <w:p w14:paraId="00DEA240">
      <w:pPr>
        <w:pStyle w:val="162"/>
        <w:snapToGrid w:val="0"/>
        <w:spacing w:beforeLines="0" w:line="360" w:lineRule="auto"/>
        <w:ind w:firstLine="415" w:firstLineChars="198"/>
        <w:outlineLvl w:val="3"/>
        <w:rPr>
          <w:rFonts w:hAnsi="宋体" w:eastAsia="宋体" w:cs="宋体"/>
          <w:bCs/>
          <w:sz w:val="21"/>
          <w:szCs w:val="21"/>
        </w:rPr>
      </w:pPr>
      <w:r>
        <w:rPr>
          <w:rFonts w:hint="eastAsia" w:hAnsi="宋体" w:eastAsia="宋体" w:cs="宋体"/>
          <w:bCs/>
          <w:sz w:val="21"/>
          <w:szCs w:val="21"/>
        </w:rPr>
        <w:t>1.2投标文件未按采购文件要求密封、签字、盖章</w:t>
      </w:r>
      <w:r>
        <w:rPr>
          <w:rFonts w:hint="eastAsia" w:hAnsi="宋体" w:eastAsia="宋体" w:cs="宋体"/>
          <w:sz w:val="21"/>
          <w:szCs w:val="21"/>
        </w:rPr>
        <w:t>或电子签章</w:t>
      </w:r>
      <w:r>
        <w:rPr>
          <w:rFonts w:hint="eastAsia" w:hAnsi="宋体" w:eastAsia="宋体" w:cs="宋体"/>
          <w:bCs/>
          <w:sz w:val="21"/>
          <w:szCs w:val="21"/>
        </w:rPr>
        <w:t>的；</w:t>
      </w:r>
    </w:p>
    <w:p w14:paraId="11291417">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1.3</w:t>
      </w:r>
      <w:r>
        <w:rPr>
          <w:rFonts w:hint="eastAsia" w:hAnsi="宋体" w:eastAsia="宋体" w:cs="宋体"/>
          <w:sz w:val="21"/>
          <w:szCs w:val="21"/>
        </w:rPr>
        <w:t>资格证明文件不全的，或者不符合采购文件标明的资格要求的</w:t>
      </w:r>
      <w:r>
        <w:rPr>
          <w:rFonts w:hint="eastAsia" w:hAnsi="宋体" w:eastAsia="宋体" w:cs="宋体"/>
          <w:bCs/>
          <w:sz w:val="21"/>
          <w:szCs w:val="21"/>
        </w:rPr>
        <w:t>；</w:t>
      </w:r>
    </w:p>
    <w:p w14:paraId="09517FD3">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1.4</w:t>
      </w:r>
      <w:r>
        <w:rPr>
          <w:rFonts w:hint="eastAsia" w:hAnsi="宋体" w:eastAsia="宋体" w:cs="宋体"/>
          <w:sz w:val="21"/>
          <w:szCs w:val="21"/>
        </w:rPr>
        <w:t>投标文件组成不全的；</w:t>
      </w:r>
    </w:p>
    <w:p w14:paraId="7483B33B">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1.5投标文件无法定代表人或授权人签字；或未提供法定代表人授权委托书；</w:t>
      </w:r>
    </w:p>
    <w:p w14:paraId="3F741DF7">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1.6投标代表人未能出具身份证明或与法定代表人授权委托人身份不符的；</w:t>
      </w:r>
    </w:p>
    <w:p w14:paraId="3C80E73A">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1.7投标文件的实质性内容未使用中文表述、意思表述不明确、前后矛盾或者使用计量单位不符合采购文件要求的；（</w:t>
      </w:r>
      <w:r>
        <w:rPr>
          <w:rFonts w:hint="eastAsia" w:hAnsi="宋体" w:eastAsia="宋体" w:cs="宋体"/>
          <w:sz w:val="21"/>
          <w:szCs w:val="21"/>
        </w:rPr>
        <w:t>经评审小组认定允许其在线更正的笔误除外</w:t>
      </w:r>
      <w:r>
        <w:rPr>
          <w:rFonts w:hint="eastAsia" w:hAnsi="宋体" w:eastAsia="宋体" w:cs="宋体"/>
          <w:bCs/>
          <w:sz w:val="21"/>
          <w:szCs w:val="21"/>
        </w:rPr>
        <w:t>）</w:t>
      </w:r>
    </w:p>
    <w:p w14:paraId="63530E18">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1.8投标文件的关键内容字迹模糊、无法辨认的，或者投标文件中经修正的内容字迹模糊难以辩认或者修改处未按规定签名盖章</w:t>
      </w:r>
      <w:r>
        <w:rPr>
          <w:rFonts w:hint="eastAsia" w:hAnsi="宋体" w:eastAsia="宋体" w:cs="宋体"/>
          <w:sz w:val="21"/>
          <w:szCs w:val="21"/>
        </w:rPr>
        <w:t>或电子签章</w:t>
      </w:r>
      <w:r>
        <w:rPr>
          <w:rFonts w:hint="eastAsia" w:hAnsi="宋体" w:eastAsia="宋体" w:cs="宋体"/>
          <w:bCs/>
          <w:sz w:val="21"/>
          <w:szCs w:val="21"/>
        </w:rPr>
        <w:t>的；</w:t>
      </w:r>
    </w:p>
    <w:p w14:paraId="6156654B">
      <w:pPr>
        <w:pStyle w:val="162"/>
        <w:snapToGrid w:val="0"/>
        <w:spacing w:beforeLines="0" w:line="360" w:lineRule="auto"/>
        <w:ind w:firstLine="415" w:firstLineChars="198"/>
        <w:outlineLvl w:val="3"/>
        <w:rPr>
          <w:rFonts w:hAnsi="宋体" w:eastAsia="宋体" w:cs="宋体"/>
          <w:bCs/>
          <w:sz w:val="21"/>
          <w:szCs w:val="21"/>
        </w:rPr>
      </w:pPr>
      <w:r>
        <w:rPr>
          <w:rFonts w:hint="eastAsia" w:hAnsi="宋体" w:eastAsia="宋体" w:cs="宋体"/>
          <w:bCs/>
          <w:sz w:val="21"/>
          <w:szCs w:val="21"/>
        </w:rPr>
        <w:t>1.9投标有效期、服务期等商务条款不能满足采购文件要求的；</w:t>
      </w:r>
    </w:p>
    <w:p w14:paraId="24DF49E9">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1.10未响应采购文件实质性要求或者投标文件有采购人不能接受的附加条件的；</w:t>
      </w:r>
    </w:p>
    <w:p w14:paraId="18FF1C2C">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1.11投标文件没有按采购文件要求响应有标“▲”的条款的资料和材料的；</w:t>
      </w:r>
    </w:p>
    <w:p w14:paraId="740FDE86">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1.12除政府采购法律法规规章规定的属于恶意串通、视为串通投标情形外，在不影响公平竞争的前提下，采购人在采购文件中明确规定参与同一个采购包（标段）的投标人存在下列情形之一且无法合理解释的，其投标（响应）文件无效：（1）不同投标人的电子投标（响应）文件上传计算机的网卡MAC地址或硬盘序列号等硬件信息相同的；（2）上传的电子投标（响应）文件若出现使用本项目其他投标（响应）投标人的数字证书加密的，或者加盖本项目其他投标（响应）投标人的电子印章的；（3）不同投标人的投标（响应）文件的内容存在3处（含）以上错误一致的；（4）不同投标人联系人为同一人或不同联系人的联系电话一致的。</w:t>
      </w:r>
    </w:p>
    <w:p w14:paraId="6A33033D">
      <w:pPr>
        <w:spacing w:line="360" w:lineRule="auto"/>
        <w:ind w:firstLine="420"/>
        <w:rPr>
          <w:rFonts w:ascii="宋体" w:hAnsi="宋体" w:eastAsia="宋体" w:cs="宋体"/>
          <w:szCs w:val="21"/>
        </w:rPr>
      </w:pPr>
      <w:r>
        <w:rPr>
          <w:rFonts w:hint="eastAsia" w:ascii="宋体" w:hAnsi="宋体" w:eastAsia="宋体" w:cs="宋体"/>
          <w:b/>
          <w:bCs/>
        </w:rPr>
        <w:t>2、在技术评审时，如发现下列情形之一的，投标文件将被视为无效响应：</w:t>
      </w:r>
    </w:p>
    <w:p w14:paraId="7110E84F">
      <w:pPr>
        <w:spacing w:line="360" w:lineRule="auto"/>
        <w:ind w:firstLine="420"/>
        <w:rPr>
          <w:rFonts w:ascii="宋体" w:hAnsi="宋体" w:eastAsia="宋体" w:cs="宋体"/>
          <w:szCs w:val="21"/>
        </w:rPr>
      </w:pPr>
      <w:r>
        <w:rPr>
          <w:rFonts w:hint="eastAsia" w:ascii="宋体" w:hAnsi="宋体" w:eastAsia="宋体" w:cs="宋体"/>
          <w:szCs w:val="21"/>
        </w:rPr>
        <w:t>2.1投标文件标明的响应或偏离与事实不符或虚假投标的；</w:t>
      </w:r>
    </w:p>
    <w:p w14:paraId="5C912C2E">
      <w:pPr>
        <w:spacing w:line="360" w:lineRule="auto"/>
        <w:ind w:firstLine="420" w:firstLineChars="200"/>
        <w:rPr>
          <w:rFonts w:ascii="宋体" w:hAnsi="宋体" w:eastAsia="宋体" w:cs="宋体"/>
          <w:szCs w:val="21"/>
        </w:rPr>
      </w:pPr>
      <w:r>
        <w:rPr>
          <w:rFonts w:hint="eastAsia" w:ascii="宋体" w:hAnsi="宋体" w:eastAsia="宋体" w:cs="宋体"/>
          <w:bCs/>
          <w:szCs w:val="21"/>
        </w:rPr>
        <w:t>2.2明显不符合采购文件标明的质量标准，或者采购文件中标“</w:t>
      </w:r>
      <w:r>
        <w:rPr>
          <w:rFonts w:hint="eastAsia" w:ascii="宋体" w:hAnsi="宋体" w:eastAsia="宋体" w:cs="宋体"/>
          <w:b/>
          <w:bCs/>
          <w:color w:val="000000"/>
          <w:szCs w:val="21"/>
        </w:rPr>
        <w:t>▲</w:t>
      </w:r>
      <w:r>
        <w:rPr>
          <w:rFonts w:hint="eastAsia" w:ascii="宋体" w:hAnsi="宋体" w:eastAsia="宋体" w:cs="宋体"/>
          <w:bCs/>
          <w:szCs w:val="21"/>
        </w:rPr>
        <w:t>”的技术参数、条款（如有）发生实质性偏离的；</w:t>
      </w:r>
    </w:p>
    <w:p w14:paraId="335FB064">
      <w:pPr>
        <w:spacing w:line="360" w:lineRule="auto"/>
        <w:ind w:firstLine="420"/>
        <w:rPr>
          <w:rFonts w:ascii="宋体" w:hAnsi="宋体" w:eastAsia="宋体" w:cs="宋体"/>
        </w:rPr>
      </w:pPr>
      <w:r>
        <w:rPr>
          <w:rFonts w:hint="eastAsia" w:ascii="宋体" w:hAnsi="宋体" w:eastAsia="宋体" w:cs="宋体"/>
          <w:szCs w:val="21"/>
        </w:rPr>
        <w:t>2.3投标技术方案不明确，存在一个或一个以上备选（替代）投标方案的；</w:t>
      </w:r>
    </w:p>
    <w:p w14:paraId="57242EC0">
      <w:pPr>
        <w:spacing w:line="360" w:lineRule="auto"/>
        <w:ind w:firstLine="420"/>
        <w:rPr>
          <w:rFonts w:ascii="宋体" w:hAnsi="宋体" w:eastAsia="宋体" w:cs="宋体"/>
          <w:szCs w:val="21"/>
        </w:rPr>
      </w:pPr>
      <w:r>
        <w:rPr>
          <w:rFonts w:hint="eastAsia" w:ascii="宋体" w:hAnsi="宋体" w:eastAsia="宋体" w:cs="宋体"/>
          <w:b/>
          <w:bCs/>
        </w:rPr>
        <w:t>3、</w:t>
      </w:r>
      <w:r>
        <w:rPr>
          <w:rFonts w:hint="eastAsia" w:ascii="宋体" w:hAnsi="宋体" w:eastAsia="宋体" w:cs="宋体"/>
          <w:b/>
          <w:szCs w:val="21"/>
        </w:rPr>
        <w:t>在投标报价文件评审时</w:t>
      </w:r>
      <w:r>
        <w:rPr>
          <w:rFonts w:hint="eastAsia" w:ascii="宋体" w:hAnsi="宋体" w:eastAsia="宋体" w:cs="宋体"/>
          <w:b/>
          <w:bCs/>
        </w:rPr>
        <w:t>，如发现下列情形之一的，投标文件将被视为无效响应：</w:t>
      </w:r>
    </w:p>
    <w:p w14:paraId="63D51A52">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3.1未采用人民币报价或者未按照采购文件标明的币种报价的；</w:t>
      </w:r>
    </w:p>
    <w:p w14:paraId="1284766C">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3.2报价超出最高限价，或者超出采购预算金额，采购人不能支付的；</w:t>
      </w:r>
    </w:p>
    <w:p w14:paraId="6A0EB185">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7CA4E0">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3.4投标报价具有选择性，或者开标价格与投标文件承诺的优惠（折扣）价格不一致的；</w:t>
      </w:r>
    </w:p>
    <w:p w14:paraId="665E619D">
      <w:pPr>
        <w:snapToGrid w:val="0"/>
        <w:spacing w:line="360" w:lineRule="auto"/>
        <w:ind w:right="-86" w:rightChars="-41" w:firstLine="441" w:firstLineChars="209"/>
        <w:rPr>
          <w:rFonts w:ascii="宋体" w:hAnsi="宋体" w:eastAsia="宋体" w:cs="宋体"/>
          <w:szCs w:val="20"/>
        </w:rPr>
      </w:pPr>
      <w:r>
        <w:rPr>
          <w:rFonts w:hint="eastAsia" w:ascii="宋体" w:hAnsi="宋体" w:eastAsia="宋体" w:cs="宋体"/>
          <w:b/>
          <w:bCs/>
          <w:szCs w:val="20"/>
        </w:rPr>
        <w:t>4、</w:t>
      </w:r>
      <w:r>
        <w:rPr>
          <w:rFonts w:hint="eastAsia" w:ascii="宋体" w:hAnsi="宋体" w:eastAsia="宋体" w:cs="宋体"/>
          <w:szCs w:val="20"/>
        </w:rPr>
        <w:t>法律、法规和采购文件规定的其他无效情形。</w:t>
      </w:r>
    </w:p>
    <w:p w14:paraId="5F228452">
      <w:pPr>
        <w:snapToGrid w:val="0"/>
        <w:spacing w:line="360" w:lineRule="auto"/>
        <w:ind w:right="-86" w:rightChars="-41"/>
        <w:rPr>
          <w:rFonts w:ascii="宋体" w:hAnsi="宋体" w:eastAsia="宋体" w:cs="宋体"/>
          <w:szCs w:val="20"/>
        </w:rPr>
      </w:pPr>
      <w:r>
        <w:rPr>
          <w:rFonts w:hint="eastAsia" w:ascii="宋体" w:hAnsi="宋体" w:eastAsia="宋体" w:cs="宋体"/>
          <w:b/>
          <w:szCs w:val="21"/>
        </w:rPr>
        <w:t>（七）</w:t>
      </w:r>
      <w:r>
        <w:rPr>
          <w:rFonts w:hint="eastAsia" w:ascii="宋体" w:hAnsi="宋体" w:eastAsia="宋体" w:cs="宋体"/>
          <w:b/>
          <w:szCs w:val="20"/>
        </w:rPr>
        <w:t>出现以下情形，导致电子交易平台无法正常运行，或者无法保证电子交易的公平、公正和安全时，中止电子交易活动：</w:t>
      </w:r>
    </w:p>
    <w:p w14:paraId="254523B6">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（一）电子交易平台发生故障而无法登录访问的；</w:t>
      </w:r>
    </w:p>
    <w:p w14:paraId="5CAA5BE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（二）电子交易平台应用或数据库出现错误，不能进行正常操作的；</w:t>
      </w:r>
    </w:p>
    <w:p w14:paraId="63F5B60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（三）电子交易平台发现严重安全漏洞，有潜在泄密危险的；</w:t>
      </w:r>
    </w:p>
    <w:p w14:paraId="0400BCE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（四）病毒发作导致不能进行正常操作的；</w:t>
      </w:r>
    </w:p>
    <w:p w14:paraId="23DA04E2">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（五）其他无法保证电子交易的公平、公正和安全的情况。</w:t>
      </w:r>
    </w:p>
    <w:p w14:paraId="57D09496">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出现前款规定情形，不影响采购公平、公正性的，代理机构可以待上述情形消除后继续组织电子交易活动；影响或可能影响采购公平、公正性的，重新采购。</w:t>
      </w:r>
    </w:p>
    <w:p w14:paraId="33601ADD">
      <w:pPr>
        <w:widowControl/>
        <w:snapToGrid w:val="0"/>
        <w:spacing w:line="360" w:lineRule="auto"/>
        <w:ind w:right="55"/>
        <w:rPr>
          <w:rFonts w:ascii="宋体" w:hAnsi="宋体" w:eastAsia="宋体" w:cs="宋体"/>
          <w:b/>
          <w:bCs/>
          <w:spacing w:val="-4"/>
          <w:kern w:val="0"/>
          <w:szCs w:val="21"/>
        </w:rPr>
      </w:pPr>
      <w:r>
        <w:rPr>
          <w:rFonts w:hint="eastAsia" w:ascii="宋体" w:hAnsi="宋体" w:eastAsia="宋体" w:cs="宋体"/>
          <w:b/>
          <w:bCs/>
          <w:spacing w:val="-4"/>
          <w:kern w:val="0"/>
          <w:szCs w:val="21"/>
        </w:rPr>
        <w:t>（八）报名不足三家的处理方式</w:t>
      </w:r>
    </w:p>
    <w:p w14:paraId="0EB59A90">
      <w:pPr>
        <w:widowControl/>
        <w:snapToGrid w:val="0"/>
        <w:spacing w:line="360" w:lineRule="auto"/>
        <w:ind w:right="55" w:firstLine="470"/>
        <w:rPr>
          <w:rFonts w:ascii="宋体" w:hAnsi="宋体" w:eastAsia="宋体" w:cs="宋体"/>
          <w:bCs/>
          <w:spacing w:val="-4"/>
          <w:kern w:val="0"/>
          <w:szCs w:val="21"/>
        </w:rPr>
      </w:pPr>
      <w:r>
        <w:rPr>
          <w:rFonts w:hint="eastAsia" w:ascii="宋体" w:hAnsi="宋体" w:eastAsia="宋体" w:cs="宋体"/>
          <w:bCs/>
          <w:spacing w:val="-4"/>
          <w:kern w:val="0"/>
          <w:szCs w:val="21"/>
        </w:rPr>
        <w:t>报名时间截止后，在开标时间前获取采购文件的潜在投标人不足三家的，采购代理机构可以顺延提供期限，并予公告。</w:t>
      </w:r>
    </w:p>
    <w:p w14:paraId="457479FD">
      <w:pPr>
        <w:widowControl/>
        <w:snapToGrid w:val="0"/>
        <w:spacing w:line="360" w:lineRule="auto"/>
        <w:ind w:right="55"/>
        <w:jc w:val="left"/>
        <w:rPr>
          <w:rFonts w:ascii="宋体" w:hAnsi="宋体" w:eastAsia="宋体" w:cs="宋体"/>
          <w:b/>
          <w:spacing w:val="-4"/>
          <w:kern w:val="0"/>
          <w:szCs w:val="21"/>
        </w:rPr>
      </w:pPr>
      <w:r>
        <w:rPr>
          <w:rFonts w:hint="eastAsia" w:ascii="宋体" w:hAnsi="宋体" w:eastAsia="宋体" w:cs="宋体"/>
          <w:b/>
          <w:spacing w:val="-4"/>
          <w:kern w:val="0"/>
          <w:szCs w:val="21"/>
        </w:rPr>
        <w:t>（九）被拒绝的投标文件为无效。</w:t>
      </w:r>
    </w:p>
    <w:p w14:paraId="7086B073">
      <w:pPr>
        <w:ind w:firstLine="420" w:firstLineChars="200"/>
        <w:rPr>
          <w:rFonts w:ascii="宋体" w:hAnsi="宋体" w:eastAsia="宋体" w:cs="宋体"/>
          <w:szCs w:val="20"/>
        </w:rPr>
      </w:pPr>
    </w:p>
    <w:p w14:paraId="16E08D45">
      <w:pPr>
        <w:widowControl/>
        <w:snapToGrid w:val="0"/>
        <w:spacing w:line="360" w:lineRule="auto"/>
        <w:ind w:right="55" w:firstLine="3591" w:firstLineChars="1315"/>
        <w:rPr>
          <w:rFonts w:ascii="宋体" w:hAnsi="宋体" w:eastAsia="宋体" w:cs="宋体"/>
          <w:b/>
          <w:spacing w:val="-4"/>
          <w:kern w:val="0"/>
          <w:sz w:val="28"/>
          <w:szCs w:val="28"/>
        </w:rPr>
      </w:pPr>
      <w:r>
        <w:rPr>
          <w:rFonts w:hint="eastAsia" w:ascii="宋体" w:hAnsi="宋体" w:eastAsia="宋体" w:cs="宋体"/>
          <w:b/>
          <w:spacing w:val="-4"/>
          <w:kern w:val="0"/>
          <w:sz w:val="28"/>
          <w:szCs w:val="28"/>
        </w:rPr>
        <w:t>四、开标</w:t>
      </w:r>
    </w:p>
    <w:p w14:paraId="55AE4300">
      <w:pPr>
        <w:spacing w:after="120" w:line="360" w:lineRule="auto"/>
        <w:ind w:firstLine="422" w:firstLineChars="200"/>
        <w:jc w:val="left"/>
        <w:rPr>
          <w:rFonts w:ascii="宋体" w:hAnsi="宋体" w:eastAsia="宋体" w:cs="宋体"/>
          <w:b/>
          <w:szCs w:val="21"/>
        </w:rPr>
      </w:pPr>
      <w:r>
        <w:rPr>
          <w:rFonts w:hint="eastAsia" w:ascii="宋体" w:hAnsi="宋体" w:eastAsia="宋体" w:cs="宋体"/>
          <w:b/>
          <w:szCs w:val="21"/>
        </w:rPr>
        <w:t>电子招投标开标及评审程序</w:t>
      </w:r>
    </w:p>
    <w:p w14:paraId="7974DF55">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1、采购组织机构按照规定的时间通过政采云系统组织开标、开启响应文件，所有投标人均应当准时在线参加。</w:t>
      </w:r>
    </w:p>
    <w:p w14:paraId="5E7337FE">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2、投标截止时间后，投标人登录政采云平台，用“项目采购-开标评标”功能对电子投标文件进行</w:t>
      </w:r>
      <w:r>
        <w:rPr>
          <w:rFonts w:hint="eastAsia" w:ascii="宋体" w:hAnsi="宋体" w:eastAsia="宋体" w:cs="宋体"/>
          <w:b/>
          <w:bCs/>
          <w:szCs w:val="21"/>
        </w:rPr>
        <w:t>在线解密。</w:t>
      </w:r>
      <w:r>
        <w:rPr>
          <w:rFonts w:hint="eastAsia" w:ascii="宋体" w:hAnsi="宋体" w:eastAsia="宋体" w:cs="宋体"/>
          <w:szCs w:val="21"/>
        </w:rPr>
        <w:t>在线解密电子投标文件时间</w:t>
      </w:r>
      <w:r>
        <w:rPr>
          <w:rFonts w:hint="eastAsia" w:ascii="宋体" w:hAnsi="宋体" w:eastAsia="宋体" w:cs="宋体"/>
          <w:b/>
          <w:bCs/>
          <w:szCs w:val="21"/>
        </w:rPr>
        <w:t>为开标时间起半个小时内；</w:t>
      </w:r>
    </w:p>
    <w:p w14:paraId="0F9056F2">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3、采购人或代理机构对资格文件进行评审，评标委员会对商务技术响应文件进行评审。</w:t>
      </w:r>
    </w:p>
    <w:p w14:paraId="56A6F3DF">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4、在系统上公开资格和商务技术评审结果；</w:t>
      </w:r>
    </w:p>
    <w:p w14:paraId="109EE0AA">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5、在系统上公开报价开标情况；</w:t>
      </w:r>
    </w:p>
    <w:p w14:paraId="49E93BB2">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6、评标委员会对报价情况进行评审；</w:t>
      </w:r>
    </w:p>
    <w:p w14:paraId="3A855DB6">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7、在系统上公布评审结果。</w:t>
      </w:r>
    </w:p>
    <w:p w14:paraId="64DD32DA">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特别说明：政采云公司如对电子化开标及评审程序有调整的，按调整后的程序操作。</w:t>
      </w:r>
    </w:p>
    <w:p w14:paraId="0744AE86">
      <w:pPr>
        <w:ind w:firstLine="420" w:firstLineChars="200"/>
        <w:rPr>
          <w:rFonts w:ascii="宋体" w:hAnsi="宋体" w:eastAsia="宋体" w:cs="宋体"/>
          <w:szCs w:val="20"/>
        </w:rPr>
      </w:pPr>
    </w:p>
    <w:p w14:paraId="41D80ED9">
      <w:pPr>
        <w:snapToGrid w:val="0"/>
        <w:spacing w:before="120" w:line="360" w:lineRule="auto"/>
        <w:ind w:right="-87" w:firstLine="3654" w:firstLineChars="1300"/>
        <w:outlineLvl w:val="1"/>
        <w:rPr>
          <w:rFonts w:ascii="宋体" w:hAnsi="宋体" w:eastAsia="宋体" w:cs="宋体"/>
          <w:b/>
          <w:sz w:val="28"/>
        </w:rPr>
      </w:pPr>
      <w:r>
        <w:rPr>
          <w:rFonts w:hint="eastAsia" w:ascii="宋体" w:hAnsi="宋体" w:eastAsia="宋体" w:cs="宋体"/>
          <w:b/>
          <w:sz w:val="28"/>
        </w:rPr>
        <w:t>五、评标</w:t>
      </w:r>
    </w:p>
    <w:p w14:paraId="5BC827BD">
      <w:pPr>
        <w:snapToGrid w:val="0"/>
        <w:spacing w:before="120" w:line="360" w:lineRule="auto"/>
        <w:ind w:right="-87"/>
        <w:rPr>
          <w:rFonts w:ascii="宋体" w:hAnsi="宋体" w:eastAsia="宋体" w:cs="宋体"/>
          <w:b/>
        </w:rPr>
      </w:pPr>
      <w:r>
        <w:rPr>
          <w:rFonts w:hint="eastAsia" w:ascii="宋体" w:hAnsi="宋体" w:eastAsia="宋体" w:cs="宋体"/>
          <w:b/>
        </w:rPr>
        <w:t>（一）组建评标委员会</w:t>
      </w:r>
    </w:p>
    <w:p w14:paraId="54AE788B">
      <w:pPr>
        <w:snapToGrid w:val="0"/>
        <w:spacing w:before="120" w:line="360" w:lineRule="auto"/>
        <w:ind w:right="-87" w:firstLine="420" w:firstLineChars="200"/>
        <w:rPr>
          <w:rFonts w:ascii="宋体" w:hAnsi="宋体" w:eastAsia="宋体" w:cs="宋体"/>
          <w:highlight w:val="none"/>
        </w:rPr>
      </w:pPr>
      <w:r>
        <w:rPr>
          <w:rFonts w:hint="eastAsia" w:ascii="宋体" w:hAnsi="宋体" w:eastAsia="宋体" w:cs="宋体"/>
          <w:highlight w:val="none"/>
        </w:rPr>
        <w:t>评标委员会由采购人代表和评审专家组成，成员人数为5人。</w:t>
      </w:r>
    </w:p>
    <w:p w14:paraId="0AC3375D">
      <w:pPr>
        <w:snapToGrid w:val="0"/>
        <w:spacing w:before="120" w:line="360" w:lineRule="auto"/>
        <w:ind w:right="-87"/>
        <w:rPr>
          <w:rFonts w:ascii="宋体" w:hAnsi="宋体" w:eastAsia="宋体" w:cs="宋体"/>
          <w:b/>
        </w:rPr>
      </w:pPr>
      <w:r>
        <w:rPr>
          <w:rFonts w:hint="eastAsia" w:ascii="宋体" w:hAnsi="宋体" w:eastAsia="宋体" w:cs="宋体"/>
          <w:b/>
        </w:rPr>
        <w:t>（二）评标程序</w:t>
      </w:r>
    </w:p>
    <w:p w14:paraId="0301D0DB">
      <w:pPr>
        <w:snapToGrid w:val="0"/>
        <w:spacing w:line="360" w:lineRule="auto"/>
        <w:ind w:right="-87"/>
        <w:rPr>
          <w:rFonts w:ascii="宋体" w:hAnsi="宋体" w:eastAsia="宋体" w:cs="宋体"/>
          <w:szCs w:val="21"/>
        </w:rPr>
      </w:pPr>
      <w:r>
        <w:rPr>
          <w:rFonts w:hint="eastAsia" w:ascii="宋体" w:hAnsi="宋体" w:eastAsia="宋体" w:cs="宋体"/>
          <w:b/>
          <w:szCs w:val="21"/>
        </w:rPr>
        <w:t>1、投标文件初审。</w:t>
      </w:r>
    </w:p>
    <w:p w14:paraId="6F06A651">
      <w:pPr>
        <w:snapToGrid w:val="0"/>
        <w:spacing w:line="360" w:lineRule="auto"/>
        <w:ind w:right="-87" w:firstLine="420" w:firstLineChars="200"/>
        <w:rPr>
          <w:rFonts w:ascii="宋体" w:hAnsi="宋体" w:eastAsia="宋体" w:cs="宋体"/>
          <w:b/>
          <w:szCs w:val="21"/>
        </w:rPr>
      </w:pPr>
      <w:r>
        <w:rPr>
          <w:rFonts w:hint="eastAsia" w:ascii="宋体" w:hAnsi="宋体" w:eastAsia="宋体" w:cs="宋体"/>
          <w:szCs w:val="21"/>
        </w:rPr>
        <w:t>初审分为资格性检查和符合性检查。</w:t>
      </w:r>
    </w:p>
    <w:p w14:paraId="1974F27C">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1.1资格性检查。依据法律法规和采购文件的规定，对投标文件中的资格证明等进行审查，以确定投标投标人是否具备投标资格。</w:t>
      </w:r>
    </w:p>
    <w:p w14:paraId="4B04D5B4">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1.2符合性检查。依据采购文件的规定，从投标文件的有效性、完整性和对采购文件的响应程度进行审查，以确定是否对采购文件的实质性要求作出响应。</w:t>
      </w:r>
    </w:p>
    <w:p w14:paraId="35813FD9">
      <w:pPr>
        <w:snapToGrid w:val="0"/>
        <w:spacing w:line="360" w:lineRule="auto"/>
        <w:ind w:right="-87"/>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Cs w:val="21"/>
        </w:rPr>
        <w:t>实质审查</w:t>
      </w:r>
    </w:p>
    <w:p w14:paraId="406CB97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2.1评标委员会审查投标文件的实质性内容是否符合采购文件的实质性要求。</w:t>
      </w:r>
    </w:p>
    <w:p w14:paraId="7A5FFB5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5D9646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2.3评审小组商务、技术方案响应性评定；</w:t>
      </w:r>
    </w:p>
    <w:p w14:paraId="0BED578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2.4各投标人的技术得分为所有评委的有效评分的算术平均数，由指定专人进行计算复核。</w:t>
      </w:r>
    </w:p>
    <w:p w14:paraId="67F15A82">
      <w:pPr>
        <w:spacing w:line="360" w:lineRule="auto"/>
        <w:ind w:firstLine="420" w:firstLineChars="200"/>
        <w:rPr>
          <w:rFonts w:ascii="宋体" w:hAnsi="宋体" w:eastAsia="宋体" w:cs="宋体"/>
          <w:b/>
          <w:szCs w:val="21"/>
        </w:rPr>
      </w:pPr>
      <w:r>
        <w:rPr>
          <w:rFonts w:hint="eastAsia" w:ascii="宋体" w:hAnsi="宋体" w:eastAsia="宋体" w:cs="宋体"/>
          <w:kern w:val="0"/>
          <w:szCs w:val="21"/>
        </w:rPr>
        <w:t>2.5评标委员会完成评标后，评委对各部分得分汇总，计算出本项目综合评估分。评标委员会按评标原则通过电子系统向采购人及采购代理机构提交评审报告。</w:t>
      </w:r>
    </w:p>
    <w:p w14:paraId="23AA1000">
      <w:pPr>
        <w:spacing w:line="360" w:lineRule="auto"/>
        <w:rPr>
          <w:rFonts w:ascii="宋体" w:hAnsi="宋体" w:eastAsia="宋体" w:cs="宋体"/>
          <w:b/>
          <w:szCs w:val="21"/>
        </w:rPr>
      </w:pPr>
      <w:r>
        <w:rPr>
          <w:rFonts w:hint="eastAsia" w:ascii="宋体" w:hAnsi="宋体" w:eastAsia="宋体" w:cs="宋体"/>
          <w:b/>
          <w:szCs w:val="21"/>
        </w:rPr>
        <w:t>（三）澄清问题的形式</w:t>
      </w:r>
    </w:p>
    <w:p w14:paraId="44D5FA77">
      <w:pPr>
        <w:snapToGrid w:val="0"/>
        <w:spacing w:line="360" w:lineRule="auto"/>
        <w:ind w:left="228" w:right="-87" w:firstLine="420" w:firstLineChars="200"/>
        <w:rPr>
          <w:rFonts w:ascii="宋体" w:hAnsi="宋体" w:eastAsia="宋体" w:cs="宋体"/>
        </w:rPr>
      </w:pPr>
      <w:r>
        <w:rPr>
          <w:rFonts w:hint="eastAsia" w:ascii="宋体" w:hAnsi="宋体" w:eastAsia="宋体" w:cs="宋体"/>
        </w:rPr>
        <w:t>对投标文件中含义不明确、同类问题表述不一致或者有明显文字和计算错误的内容，评标委员会可要求投标人作出必要的澄清、说明或者纠正。投标人与评审小组</w:t>
      </w:r>
      <w:r>
        <w:rPr>
          <w:rFonts w:hint="eastAsia" w:ascii="宋体" w:hAnsi="宋体" w:eastAsia="宋体" w:cs="宋体"/>
          <w:szCs w:val="21"/>
        </w:rPr>
        <w:t>通过电子交易平台交换数据电文的形式进行</w:t>
      </w:r>
      <w:r>
        <w:rPr>
          <w:rFonts w:hint="eastAsia" w:ascii="宋体" w:hAnsi="宋体" w:eastAsia="宋体" w:cs="宋体"/>
        </w:rPr>
        <w:t>，给予投标人提交澄清说明或补正的时间不少于半个小时，投标人已经明确表示澄清说明或补正完毕的除外。不得超出投标文件的范围或者改变投标文件的实质性内容。</w:t>
      </w:r>
    </w:p>
    <w:p w14:paraId="69F23D10">
      <w:pPr>
        <w:snapToGrid w:val="0"/>
        <w:spacing w:before="156" w:beforeLines="50" w:after="156" w:afterLines="50" w:line="360" w:lineRule="auto"/>
        <w:rPr>
          <w:rFonts w:ascii="宋体" w:hAnsi="宋体" w:eastAsia="宋体" w:cs="宋体"/>
          <w:b/>
          <w:szCs w:val="21"/>
        </w:rPr>
      </w:pPr>
      <w:r>
        <w:rPr>
          <w:rFonts w:hint="eastAsia" w:ascii="宋体" w:hAnsi="宋体" w:eastAsia="宋体" w:cs="宋体"/>
          <w:b/>
          <w:szCs w:val="21"/>
        </w:rPr>
        <w:t>（四）错误修正</w:t>
      </w:r>
    </w:p>
    <w:p w14:paraId="3B449728">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投标文件如果出现计算或表达上的错误，修正错误的原则如下：</w:t>
      </w:r>
    </w:p>
    <w:p w14:paraId="07ABE849">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35668F63">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5D6DA6BF">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0ABA325C">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58822BE2">
      <w:pPr>
        <w:snapToGrid w:val="0"/>
        <w:spacing w:before="156" w:beforeLines="50" w:line="360" w:lineRule="auto"/>
        <w:ind w:firstLine="417" w:firstLineChars="198"/>
        <w:rPr>
          <w:rFonts w:ascii="宋体" w:hAnsi="宋体" w:eastAsia="宋体" w:cs="宋体"/>
          <w:b/>
          <w:bCs/>
          <w:szCs w:val="21"/>
        </w:rPr>
      </w:pPr>
      <w:r>
        <w:rPr>
          <w:rFonts w:hint="eastAsia" w:ascii="宋体" w:hAnsi="宋体" w:eastAsia="宋体" w:cs="宋体"/>
          <w:b/>
          <w:bCs/>
          <w:szCs w:val="21"/>
        </w:rPr>
        <w:t>同时出现两种以上不一致的，按照前款规定的顺序修正。</w:t>
      </w:r>
    </w:p>
    <w:p w14:paraId="59EB5882">
      <w:pPr>
        <w:snapToGrid w:val="0"/>
        <w:spacing w:before="156" w:beforeLines="50" w:line="360" w:lineRule="auto"/>
        <w:ind w:firstLine="417" w:firstLineChars="198"/>
        <w:rPr>
          <w:rFonts w:ascii="宋体" w:hAnsi="宋体" w:eastAsia="宋体" w:cs="宋体"/>
          <w:szCs w:val="21"/>
        </w:rPr>
      </w:pPr>
      <w:r>
        <w:rPr>
          <w:rFonts w:hint="eastAsia" w:ascii="宋体" w:hAnsi="宋体" w:eastAsia="宋体" w:cs="宋体"/>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3C701F2">
      <w:pPr>
        <w:snapToGrid w:val="0"/>
        <w:spacing w:before="156" w:beforeLines="50" w:after="156" w:afterLines="50" w:line="360" w:lineRule="auto"/>
        <w:jc w:val="left"/>
        <w:rPr>
          <w:rFonts w:ascii="宋体" w:hAnsi="宋体" w:eastAsia="宋体" w:cs="宋体"/>
          <w:b/>
          <w:szCs w:val="21"/>
        </w:rPr>
      </w:pPr>
      <w:r>
        <w:rPr>
          <w:rFonts w:hint="eastAsia" w:ascii="宋体" w:hAnsi="宋体" w:eastAsia="宋体" w:cs="宋体"/>
          <w:b/>
          <w:szCs w:val="21"/>
        </w:rPr>
        <w:t>（五）评标原则和评标办法</w:t>
      </w:r>
    </w:p>
    <w:p w14:paraId="1E56C84F">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ADC0FD">
      <w:pPr>
        <w:snapToGrid w:val="0"/>
        <w:spacing w:before="156" w:beforeLines="50" w:line="360" w:lineRule="auto"/>
        <w:ind w:firstLine="420" w:firstLineChars="200"/>
        <w:rPr>
          <w:rFonts w:ascii="宋体" w:hAnsi="宋体" w:eastAsia="宋体" w:cs="宋体"/>
          <w:sz w:val="24"/>
        </w:rPr>
      </w:pPr>
      <w:r>
        <w:rPr>
          <w:rFonts w:hint="eastAsia" w:ascii="宋体" w:hAnsi="宋体" w:eastAsia="宋体" w:cs="宋体"/>
          <w:szCs w:val="21"/>
        </w:rPr>
        <w:t>2、评标办法。本项目评标办法是</w:t>
      </w:r>
      <w:r>
        <w:rPr>
          <w:rFonts w:hint="eastAsia" w:ascii="宋体" w:hAnsi="宋体" w:eastAsia="宋体" w:cs="宋体"/>
          <w:szCs w:val="21"/>
          <w:u w:val="single"/>
        </w:rPr>
        <w:t>综合评分法</w:t>
      </w:r>
      <w:r>
        <w:rPr>
          <w:rFonts w:hint="eastAsia" w:ascii="宋体" w:hAnsi="宋体" w:eastAsia="宋体" w:cs="宋体"/>
          <w:szCs w:val="21"/>
        </w:rPr>
        <w:t>，具体评标内容及评分标准等详见《第四章：评标办法及评分标准》。</w:t>
      </w:r>
    </w:p>
    <w:p w14:paraId="405AA91B">
      <w:pPr>
        <w:widowControl/>
        <w:snapToGrid w:val="0"/>
        <w:spacing w:line="360" w:lineRule="auto"/>
        <w:ind w:right="-87"/>
        <w:rPr>
          <w:rFonts w:ascii="宋体" w:hAnsi="宋体" w:eastAsia="宋体" w:cs="宋体"/>
          <w:b/>
          <w:szCs w:val="21"/>
        </w:rPr>
      </w:pPr>
      <w:r>
        <w:rPr>
          <w:rFonts w:hint="eastAsia" w:ascii="宋体" w:hAnsi="宋体" w:eastAsia="宋体" w:cs="宋体"/>
          <w:b/>
          <w:szCs w:val="21"/>
        </w:rPr>
        <w:t>（六）评标过程的监控</w:t>
      </w:r>
    </w:p>
    <w:p w14:paraId="50E91D62">
      <w:pPr>
        <w:snapToGrid w:val="0"/>
        <w:spacing w:before="156" w:beforeLines="50" w:after="156" w:afterLines="50" w:line="360" w:lineRule="auto"/>
        <w:ind w:firstLine="420" w:firstLineChars="200"/>
        <w:rPr>
          <w:rFonts w:ascii="宋体" w:hAnsi="宋体" w:eastAsia="宋体" w:cs="宋体"/>
          <w:b/>
          <w:sz w:val="28"/>
          <w:szCs w:val="24"/>
        </w:rPr>
      </w:pPr>
      <w:r>
        <w:rPr>
          <w:rFonts w:hint="eastAsia" w:ascii="宋体" w:hAnsi="宋体" w:eastAsia="宋体" w:cs="宋体"/>
          <w:szCs w:val="24"/>
        </w:rPr>
        <w:t>本项目评标过程实行全程录音、录像监控。</w:t>
      </w:r>
    </w:p>
    <w:p w14:paraId="70652805">
      <w:pPr>
        <w:ind w:firstLine="420" w:firstLineChars="200"/>
        <w:rPr>
          <w:rFonts w:ascii="宋体" w:hAnsi="宋体" w:eastAsia="宋体" w:cs="宋体"/>
          <w:szCs w:val="20"/>
        </w:rPr>
      </w:pPr>
    </w:p>
    <w:p w14:paraId="2FB5A65A">
      <w:pPr>
        <w:snapToGrid w:val="0"/>
        <w:spacing w:before="120" w:line="360" w:lineRule="auto"/>
        <w:ind w:right="-87"/>
        <w:jc w:val="center"/>
        <w:outlineLvl w:val="1"/>
        <w:rPr>
          <w:rFonts w:ascii="宋体" w:hAnsi="宋体" w:eastAsia="宋体" w:cs="宋体"/>
          <w:b/>
          <w:sz w:val="28"/>
        </w:rPr>
      </w:pPr>
      <w:r>
        <w:rPr>
          <w:rFonts w:hint="eastAsia" w:ascii="宋体" w:hAnsi="宋体" w:eastAsia="宋体" w:cs="宋体"/>
          <w:b/>
          <w:sz w:val="28"/>
        </w:rPr>
        <w:t>六、定标</w:t>
      </w:r>
    </w:p>
    <w:p w14:paraId="1DD9105B">
      <w:pPr>
        <w:snapToGrid w:val="0"/>
        <w:spacing w:before="156" w:beforeLines="50" w:line="360" w:lineRule="auto"/>
        <w:rPr>
          <w:rFonts w:ascii="宋体" w:hAnsi="宋体" w:eastAsia="宋体" w:cs="宋体"/>
          <w:b/>
          <w:szCs w:val="21"/>
        </w:rPr>
      </w:pPr>
      <w:r>
        <w:rPr>
          <w:rFonts w:hint="eastAsia" w:ascii="宋体" w:hAnsi="宋体" w:eastAsia="宋体" w:cs="宋体"/>
          <w:b/>
          <w:szCs w:val="21"/>
        </w:rPr>
        <w:t>（一）确定中标人。</w:t>
      </w:r>
    </w:p>
    <w:p w14:paraId="78A084CF">
      <w:pPr>
        <w:snapToGrid w:val="0"/>
        <w:spacing w:before="156" w:beforeLines="50" w:line="360" w:lineRule="auto"/>
        <w:ind w:firstLine="415" w:firstLineChars="198"/>
        <w:rPr>
          <w:rFonts w:ascii="宋体" w:hAnsi="宋体" w:eastAsia="宋体" w:cs="宋体"/>
        </w:rPr>
      </w:pPr>
      <w:r>
        <w:rPr>
          <w:rFonts w:hint="eastAsia" w:ascii="宋体" w:hAnsi="宋体" w:eastAsia="宋体" w:cs="宋体"/>
          <w:szCs w:val="21"/>
        </w:rPr>
        <w:t>本项目由采购人事先授权评审小组确定候选中标人。经采购人确认后，确定项目中标人，同时发布采购结果公告</w:t>
      </w:r>
      <w:r>
        <w:rPr>
          <w:rFonts w:hint="eastAsia" w:ascii="宋体" w:hAnsi="宋体" w:eastAsia="宋体" w:cs="宋体"/>
          <w:b/>
          <w:szCs w:val="21"/>
        </w:rPr>
        <w:t xml:space="preserve">（中标人通过政采云系统领取中标通知书）。 </w:t>
      </w:r>
    </w:p>
    <w:p w14:paraId="1CA7C6D1">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1、采购代理机构在评标结束后在2个工作日内将评审报告交采购人确认。</w:t>
      </w:r>
    </w:p>
    <w:p w14:paraId="506AC734">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2、投标人对评审结果无异议的，采购人应在收到评审报告后5个工作日内对评审结果进行确认。如有投标人对评审结果提出质疑的，采购人可在质疑处理完毕后确定中标人。</w:t>
      </w:r>
    </w:p>
    <w:p w14:paraId="483EE38A">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3、采购人依法确定中标人后2个工作日内，采购代理机构发出《中标通知书》,并同时在相关网站上发布中标公告。</w:t>
      </w:r>
    </w:p>
    <w:p w14:paraId="3513C723">
      <w:pPr>
        <w:spacing w:line="380" w:lineRule="exact"/>
        <w:rPr>
          <w:rFonts w:ascii="宋体" w:hAnsi="宋体" w:eastAsia="宋体" w:cs="宋体"/>
          <w:b/>
        </w:rPr>
      </w:pPr>
      <w:r>
        <w:rPr>
          <w:rFonts w:hint="eastAsia" w:ascii="宋体" w:hAnsi="宋体" w:eastAsia="宋体" w:cs="宋体"/>
          <w:szCs w:val="21"/>
        </w:rPr>
        <w:t>（二）</w:t>
      </w:r>
      <w:r>
        <w:rPr>
          <w:rFonts w:hint="eastAsia" w:ascii="宋体" w:hAnsi="宋体" w:eastAsia="宋体" w:cs="宋体"/>
        </w:rPr>
        <w:t>根据《中华人民共和国招标投标法实施条例》（国务院第613号令）第四章第五十五条的规定，排名第一的中标候选人放弃中标、因不可抗力不能履行合同、不按照采购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2EB22783">
      <w:pPr>
        <w:snapToGrid w:val="0"/>
        <w:spacing w:before="120" w:line="360" w:lineRule="auto"/>
        <w:ind w:right="-87"/>
        <w:outlineLvl w:val="1"/>
        <w:rPr>
          <w:rFonts w:ascii="宋体" w:hAnsi="宋体" w:eastAsia="宋体" w:cs="宋体"/>
          <w:b/>
          <w:sz w:val="28"/>
        </w:rPr>
      </w:pPr>
    </w:p>
    <w:p w14:paraId="03AA5437">
      <w:pPr>
        <w:snapToGrid w:val="0"/>
        <w:spacing w:before="120" w:line="360" w:lineRule="auto"/>
        <w:ind w:right="-87" w:firstLine="3345" w:firstLineChars="1190"/>
        <w:outlineLvl w:val="1"/>
        <w:rPr>
          <w:rFonts w:ascii="宋体" w:hAnsi="宋体" w:eastAsia="宋体" w:cs="宋体"/>
          <w:b/>
          <w:sz w:val="28"/>
        </w:rPr>
      </w:pPr>
      <w:r>
        <w:rPr>
          <w:rFonts w:hint="eastAsia" w:ascii="宋体" w:hAnsi="宋体" w:eastAsia="宋体" w:cs="宋体"/>
          <w:b/>
          <w:sz w:val="28"/>
        </w:rPr>
        <w:t>七、合同授予</w:t>
      </w:r>
    </w:p>
    <w:p w14:paraId="7AADD28F">
      <w:pPr>
        <w:widowControl/>
        <w:numPr>
          <w:ilvl w:val="0"/>
          <w:numId w:val="11"/>
        </w:numPr>
        <w:overflowPunct w:val="0"/>
        <w:autoSpaceDE w:val="0"/>
        <w:autoSpaceDN w:val="0"/>
        <w:adjustRightInd w:val="0"/>
        <w:snapToGrid w:val="0"/>
        <w:spacing w:line="336" w:lineRule="auto"/>
        <w:ind w:right="-87"/>
        <w:jc w:val="left"/>
        <w:textAlignment w:val="baseline"/>
        <w:rPr>
          <w:rFonts w:ascii="宋体" w:hAnsi="宋体" w:eastAsia="宋体" w:cs="宋体"/>
          <w:b/>
          <w:sz w:val="24"/>
        </w:rPr>
      </w:pPr>
      <w:r>
        <w:rPr>
          <w:rFonts w:hint="eastAsia" w:ascii="宋体" w:hAnsi="宋体" w:eastAsia="宋体" w:cs="宋体"/>
          <w:b/>
          <w:sz w:val="24"/>
        </w:rPr>
        <w:t>签订合同</w:t>
      </w:r>
    </w:p>
    <w:p w14:paraId="4643F840">
      <w:pPr>
        <w:snapToGrid w:val="0"/>
        <w:spacing w:line="336" w:lineRule="auto"/>
        <w:ind w:right="-87" w:firstLine="424" w:firstLineChars="202"/>
        <w:rPr>
          <w:rFonts w:ascii="宋体" w:hAnsi="宋体" w:eastAsia="宋体" w:cs="宋体"/>
        </w:rPr>
      </w:pPr>
      <w:r>
        <w:rPr>
          <w:rFonts w:hint="eastAsia" w:ascii="宋体" w:hAnsi="宋体" w:eastAsia="宋体" w:cs="宋体"/>
        </w:rPr>
        <w:t>1、采购人与中标人应当在《中标通知书》发出之日起30日内签订政府采购合同。同时，采购代理机构对合同内容进行审查，如发现与采购结果和投标承诺内容不一致的，应予以纠正。</w:t>
      </w:r>
    </w:p>
    <w:p w14:paraId="1D1BB2F6">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2、中标人拖延、拒签合同的，将上报监管部门并取消中标资格。</w:t>
      </w:r>
    </w:p>
    <w:p w14:paraId="14747079">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3、中标人和采购人签订合同，按合同规定的供货时间供货并安装调试完毕。</w:t>
      </w:r>
    </w:p>
    <w:p w14:paraId="24B2240A">
      <w:pPr>
        <w:snapToGrid w:val="0"/>
        <w:spacing w:before="156" w:beforeLines="50" w:line="336" w:lineRule="auto"/>
        <w:ind w:firstLine="415" w:firstLineChars="198"/>
        <w:rPr>
          <w:rFonts w:ascii="宋体" w:hAnsi="宋体" w:eastAsia="宋体" w:cs="宋体"/>
          <w:b/>
          <w:bCs/>
          <w:sz w:val="24"/>
          <w:szCs w:val="24"/>
        </w:rPr>
      </w:pPr>
      <w:r>
        <w:rPr>
          <w:rFonts w:hint="eastAsia" w:ascii="宋体" w:hAnsi="宋体" w:eastAsia="宋体" w:cs="宋体"/>
          <w:szCs w:val="21"/>
        </w:rPr>
        <w:t>4、已确定中标或者成交投标人但尚未签订政府采购合同的，认定中标或者成交结果无效。合格投标人符合法定数量时，可以从合格的中标或者成交候选人中另行确定中标或者成交投标人的，应当要求采购人依法另行确定中标、成交投标人；否则责令重新开展采购活动。</w:t>
      </w:r>
    </w:p>
    <w:p w14:paraId="33BCD9DE">
      <w:pPr>
        <w:snapToGrid w:val="0"/>
        <w:spacing w:before="156" w:beforeLines="50" w:line="336" w:lineRule="auto"/>
        <w:rPr>
          <w:rFonts w:ascii="宋体" w:hAnsi="宋体" w:eastAsia="宋体" w:cs="宋体"/>
          <w:b/>
          <w:bCs/>
          <w:sz w:val="24"/>
          <w:szCs w:val="24"/>
        </w:rPr>
      </w:pPr>
      <w:r>
        <w:rPr>
          <w:rFonts w:hint="eastAsia" w:ascii="宋体" w:hAnsi="宋体" w:eastAsia="宋体" w:cs="宋体"/>
          <w:b/>
          <w:bCs/>
          <w:sz w:val="24"/>
          <w:szCs w:val="24"/>
        </w:rPr>
        <w:t>（二）合同公告</w:t>
      </w:r>
    </w:p>
    <w:p w14:paraId="5E7C4CD2">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采购人应当自政府采购合同签订之日起2个工作日内，将政府采购合同在省级以上人民政府财政部门指定的媒体上公告，但政府采购合同中涉及国家秘密、商业秘密的内容除外。</w:t>
      </w:r>
    </w:p>
    <w:p w14:paraId="030FC24B">
      <w:pPr>
        <w:snapToGrid w:val="0"/>
        <w:spacing w:before="156" w:beforeLines="50" w:line="336" w:lineRule="auto"/>
        <w:ind w:firstLine="415" w:firstLineChars="198"/>
        <w:rPr>
          <w:rFonts w:ascii="宋体" w:hAnsi="宋体" w:eastAsia="宋体" w:cs="宋体"/>
          <w:szCs w:val="21"/>
        </w:rPr>
      </w:pPr>
    </w:p>
    <w:p w14:paraId="104895AA">
      <w:pPr>
        <w:pStyle w:val="134"/>
        <w:snapToGrid w:val="0"/>
        <w:spacing w:line="360" w:lineRule="auto"/>
        <w:ind w:right="-87" w:firstLine="3483" w:firstLineChars="1239"/>
        <w:outlineLvl w:val="1"/>
        <w:rPr>
          <w:rFonts w:ascii="宋体" w:hAnsi="宋体" w:cs="宋体"/>
          <w:b/>
          <w:sz w:val="28"/>
        </w:rPr>
      </w:pPr>
      <w:r>
        <w:rPr>
          <w:rFonts w:hint="eastAsia" w:ascii="宋体" w:hAnsi="宋体" w:cs="宋体"/>
          <w:b/>
          <w:sz w:val="28"/>
        </w:rPr>
        <w:t>八、政府采购政策</w:t>
      </w:r>
    </w:p>
    <w:p w14:paraId="47C91A10">
      <w:pPr>
        <w:spacing w:line="380" w:lineRule="exact"/>
        <w:rPr>
          <w:rFonts w:ascii="宋体" w:hAnsi="宋体" w:eastAsia="宋体" w:cs="宋体"/>
        </w:rPr>
      </w:pPr>
      <w:r>
        <w:rPr>
          <w:rFonts w:hint="eastAsia" w:ascii="宋体" w:hAnsi="宋体" w:eastAsia="宋体" w:cs="宋体"/>
        </w:rPr>
        <w:t xml:space="preserve"> 1、政府采购活动中有关中小企业的相关规定（采购进口产品的项目不适用）</w:t>
      </w:r>
    </w:p>
    <w:p w14:paraId="369064A7">
      <w:pPr>
        <w:spacing w:line="380" w:lineRule="exact"/>
        <w:ind w:firstLine="420" w:firstLineChars="200"/>
        <w:rPr>
          <w:rFonts w:ascii="宋体" w:hAnsi="宋体" w:eastAsia="宋体" w:cs="宋体"/>
        </w:rPr>
      </w:pPr>
      <w:r>
        <w:rPr>
          <w:rFonts w:hint="eastAsia" w:ascii="宋体" w:hAnsi="宋体" w:eastAsia="宋体" w:cs="宋体"/>
        </w:rPr>
        <w:t xml:space="preserve"> 1.1根据《政府采购促进中小企业发展管理办法》（财库[2020]46号）规定：</w:t>
      </w:r>
    </w:p>
    <w:p w14:paraId="05C00B89">
      <w:pPr>
        <w:spacing w:line="380" w:lineRule="exact"/>
        <w:ind w:firstLine="420" w:firstLineChars="200"/>
        <w:rPr>
          <w:rFonts w:ascii="宋体" w:hAnsi="宋体" w:eastAsia="宋体" w:cs="宋体"/>
        </w:rPr>
      </w:pPr>
      <w:r>
        <w:rPr>
          <w:rFonts w:hint="eastAsia" w:ascii="宋体" w:hAnsi="宋体" w:eastAsia="宋体" w:cs="宋体"/>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5C256F6">
      <w:pPr>
        <w:spacing w:line="380" w:lineRule="exact"/>
        <w:rPr>
          <w:rFonts w:ascii="宋体" w:hAnsi="宋体" w:eastAsia="宋体" w:cs="宋体"/>
        </w:rPr>
      </w:pPr>
      <w:r>
        <w:rPr>
          <w:rFonts w:hint="eastAsia" w:ascii="宋体" w:hAnsi="宋体" w:eastAsia="宋体" w:cs="宋体"/>
        </w:rPr>
        <w:t>符合中小企业划分标准的个体工商户，在政府采购活动中视同中小企业。</w:t>
      </w:r>
    </w:p>
    <w:p w14:paraId="269A2E36">
      <w:pPr>
        <w:spacing w:line="380" w:lineRule="exact"/>
        <w:rPr>
          <w:rFonts w:ascii="宋体" w:hAnsi="宋体" w:eastAsia="宋体" w:cs="宋体"/>
        </w:rPr>
      </w:pPr>
      <w:r>
        <w:rPr>
          <w:rFonts w:hint="eastAsia" w:ascii="宋体" w:hAnsi="宋体" w:eastAsia="宋体" w:cs="宋体"/>
        </w:rPr>
        <w:t>2、在政府采购活动中，投标人提供的货物、工程或者服务符合下列情形的，享受本办法规定的中小企业扶持政策：</w:t>
      </w:r>
    </w:p>
    <w:p w14:paraId="587C3932">
      <w:pPr>
        <w:spacing w:line="380" w:lineRule="exact"/>
        <w:ind w:firstLine="420" w:firstLineChars="200"/>
        <w:rPr>
          <w:rFonts w:ascii="宋体" w:hAnsi="宋体" w:eastAsia="宋体" w:cs="宋体"/>
        </w:rPr>
      </w:pPr>
      <w:r>
        <w:rPr>
          <w:rFonts w:hint="eastAsia" w:ascii="宋体" w:hAnsi="宋体" w:eastAsia="宋体" w:cs="宋体"/>
        </w:rPr>
        <w:t xml:space="preserve">2.1在货物采购项目中，货物由中小企业制造，即货物由中小企业生产且使用该中小企业商号或者注册商标； </w:t>
      </w:r>
    </w:p>
    <w:p w14:paraId="5E9F9097">
      <w:pPr>
        <w:spacing w:line="380" w:lineRule="exact"/>
        <w:ind w:firstLine="420" w:firstLineChars="200"/>
        <w:rPr>
          <w:rFonts w:ascii="宋体" w:hAnsi="宋体" w:eastAsia="宋体" w:cs="宋体"/>
        </w:rPr>
      </w:pPr>
      <w:r>
        <w:rPr>
          <w:rFonts w:hint="eastAsia" w:ascii="宋体" w:hAnsi="宋体" w:eastAsia="宋体" w:cs="宋体"/>
        </w:rPr>
        <w:t xml:space="preserve">2.2在工程采购项目中，工程由中小企业承建，即工程施工单位为中小企业； </w:t>
      </w:r>
    </w:p>
    <w:p w14:paraId="2C29114F">
      <w:pPr>
        <w:spacing w:line="380" w:lineRule="exact"/>
        <w:ind w:firstLine="420" w:firstLineChars="200"/>
        <w:rPr>
          <w:rFonts w:ascii="宋体" w:hAnsi="宋体" w:eastAsia="宋体" w:cs="宋体"/>
        </w:rPr>
      </w:pPr>
      <w:r>
        <w:rPr>
          <w:rFonts w:hint="eastAsia" w:ascii="宋体" w:hAnsi="宋体" w:eastAsia="宋体" w:cs="宋体"/>
        </w:rPr>
        <w:t xml:space="preserve">2.3在服务采购项目中，服务由中小企业承接，即提供服务的人员为中小企业依照《中华人民共和国劳动合同法》订立劳动合同的从业人员。 </w:t>
      </w:r>
    </w:p>
    <w:p w14:paraId="459AFBD3">
      <w:pPr>
        <w:spacing w:line="380" w:lineRule="exact"/>
        <w:rPr>
          <w:rFonts w:ascii="宋体" w:hAnsi="宋体" w:eastAsia="宋体" w:cs="宋体"/>
        </w:rPr>
      </w:pPr>
      <w:r>
        <w:rPr>
          <w:rFonts w:hint="eastAsia" w:ascii="宋体" w:hAnsi="宋体" w:eastAsia="宋体" w:cs="宋体"/>
        </w:rPr>
        <w:t xml:space="preserve">在货物采购项目中，投标人提供的货物既有中小企业制造货物，也有大型企业制造货物的，不享受本办法规定的中小企业扶持政策。 </w:t>
      </w:r>
    </w:p>
    <w:p w14:paraId="3C9FB47D">
      <w:pPr>
        <w:spacing w:line="380" w:lineRule="exact"/>
        <w:ind w:firstLine="420" w:firstLineChars="200"/>
        <w:rPr>
          <w:rFonts w:ascii="宋体" w:hAnsi="宋体" w:eastAsia="宋体" w:cs="宋体"/>
        </w:rPr>
      </w:pPr>
      <w:r>
        <w:rPr>
          <w:rFonts w:hint="eastAsia" w:ascii="宋体" w:hAnsi="宋体" w:eastAsia="宋体" w:cs="宋体"/>
        </w:rPr>
        <w:t>2.4在政府采购活动中，监狱企业、残疾人福利性单位视同小型、微型企业，享受本办法规定的中小企业扶持政策；监狱企业、残疾人福利性单位属于小型、微型企业的，不重复享受政策。</w:t>
      </w:r>
    </w:p>
    <w:p w14:paraId="11C4394E">
      <w:pPr>
        <w:spacing w:line="380" w:lineRule="exact"/>
        <w:rPr>
          <w:rFonts w:ascii="宋体" w:hAnsi="宋体" w:eastAsia="宋体" w:cs="宋体"/>
        </w:rPr>
      </w:pPr>
      <w:r>
        <w:rPr>
          <w:rFonts w:hint="eastAsia" w:ascii="宋体" w:hAnsi="宋体" w:eastAsia="宋体" w:cs="宋体"/>
        </w:rPr>
        <w:t>3、本项目中小企业扶持政策：</w:t>
      </w:r>
    </w:p>
    <w:p w14:paraId="3888E87D">
      <w:pPr>
        <w:spacing w:line="380" w:lineRule="exact"/>
        <w:ind w:firstLine="420" w:firstLineChars="200"/>
        <w:rPr>
          <w:rFonts w:ascii="宋体" w:hAnsi="宋体" w:eastAsia="宋体" w:cs="宋体"/>
        </w:rPr>
      </w:pPr>
      <w:r>
        <w:rPr>
          <w:rFonts w:hint="eastAsia" w:ascii="宋体" w:hAnsi="宋体" w:eastAsia="宋体" w:cs="宋体"/>
        </w:rPr>
        <w:t>【评审中价格扣除政策】本项目对符合本办法规定的小微企业报价给予10%的扣除，用扣除后的价格参加评审：</w:t>
      </w:r>
    </w:p>
    <w:p w14:paraId="2F6262ED">
      <w:pPr>
        <w:spacing w:line="380" w:lineRule="exact"/>
        <w:ind w:firstLine="420" w:firstLineChars="200"/>
        <w:rPr>
          <w:rFonts w:ascii="宋体" w:hAnsi="宋体" w:eastAsia="宋体" w:cs="宋体"/>
        </w:rPr>
      </w:pPr>
      <w:r>
        <w:rPr>
          <w:rFonts w:hint="eastAsia" w:ascii="宋体" w:hAnsi="宋体" w:eastAsia="宋体" w:cs="宋体"/>
        </w:rPr>
        <w:t>3.1小微企业须提供《中小企业声明函》，附在报价文件内，否则不享受评审中价格扣除政策；</w:t>
      </w:r>
    </w:p>
    <w:p w14:paraId="33EB9342">
      <w:pPr>
        <w:spacing w:line="380" w:lineRule="exact"/>
        <w:ind w:firstLine="420" w:firstLineChars="200"/>
        <w:rPr>
          <w:rFonts w:ascii="宋体" w:hAnsi="宋体" w:eastAsia="宋体" w:cs="宋体"/>
        </w:rPr>
      </w:pPr>
      <w:r>
        <w:rPr>
          <w:rFonts w:hint="eastAsia" w:ascii="宋体" w:hAnsi="宋体" w:eastAsia="宋体" w:cs="宋体"/>
        </w:rPr>
        <w:t>3.2监狱企业须提供由省级以上监狱管理局、戒毒管理局（含新疆生产建设兵团）出具的属于监狱企业的证明文件，附在报价文件内，否则不享受评审中价格扣除政策；</w:t>
      </w:r>
    </w:p>
    <w:p w14:paraId="641BEA00">
      <w:pPr>
        <w:spacing w:line="380" w:lineRule="exact"/>
        <w:ind w:firstLine="420" w:firstLineChars="200"/>
        <w:rPr>
          <w:rFonts w:ascii="宋体" w:hAnsi="宋体" w:eastAsia="宋体" w:cs="宋体"/>
        </w:rPr>
      </w:pPr>
      <w:r>
        <w:rPr>
          <w:rFonts w:hint="eastAsia" w:ascii="宋体" w:hAnsi="宋体" w:eastAsia="宋体" w:cs="宋体"/>
        </w:rPr>
        <w:t>3.3残疾人福利性单位须提供《残疾人福利性单位声明函》，附在报价文件内，否则不享受评审中价格扣除政策。</w:t>
      </w:r>
    </w:p>
    <w:p w14:paraId="52D18632">
      <w:pPr>
        <w:spacing w:line="380" w:lineRule="exact"/>
        <w:rPr>
          <w:rFonts w:ascii="宋体" w:hAnsi="宋体" w:eastAsia="宋体" w:cs="宋体"/>
        </w:rPr>
      </w:pPr>
      <w:r>
        <w:rPr>
          <w:rFonts w:hint="eastAsia" w:ascii="宋体" w:hAnsi="宋体" w:eastAsia="宋体" w:cs="宋体"/>
        </w:rPr>
        <w:t>4、信贷政策</w:t>
      </w:r>
    </w:p>
    <w:p w14:paraId="10EE2DDE">
      <w:pPr>
        <w:spacing w:line="380" w:lineRule="exact"/>
        <w:ind w:firstLine="420" w:firstLineChars="200"/>
        <w:rPr>
          <w:rFonts w:ascii="宋体" w:hAnsi="宋体" w:eastAsia="宋体" w:cs="宋体"/>
        </w:rPr>
      </w:pPr>
      <w:r>
        <w:rPr>
          <w:rFonts w:hint="eastAsia" w:ascii="宋体" w:hAnsi="宋体" w:eastAsia="宋体" w:cs="宋体"/>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074B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3E891C55">
            <w:pPr>
              <w:spacing w:line="380" w:lineRule="exact"/>
              <w:rPr>
                <w:rFonts w:ascii="宋体" w:hAnsi="宋体" w:eastAsia="宋体" w:cs="宋体"/>
              </w:rPr>
            </w:pPr>
            <w:r>
              <w:rPr>
                <w:rFonts w:hint="eastAsia" w:ascii="宋体" w:hAnsi="宋体" w:eastAsia="宋体" w:cs="宋体"/>
              </w:rPr>
              <w:t>舟山市政府采购信用融资合作银行</w:t>
            </w:r>
          </w:p>
        </w:tc>
      </w:tr>
      <w:tr w14:paraId="29E2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460C0524">
            <w:pPr>
              <w:spacing w:line="380" w:lineRule="exact"/>
              <w:rPr>
                <w:rFonts w:ascii="宋体" w:hAnsi="宋体" w:eastAsia="宋体" w:cs="宋体"/>
              </w:rPr>
            </w:pPr>
            <w:r>
              <w:rPr>
                <w:rFonts w:hint="eastAsia" w:ascii="宋体" w:hAnsi="宋体" w:eastAsia="宋体" w:cs="宋体"/>
              </w:rPr>
              <w:t>银行名称</w:t>
            </w:r>
          </w:p>
        </w:tc>
        <w:tc>
          <w:tcPr>
            <w:tcW w:w="3960" w:type="dxa"/>
            <w:vAlign w:val="center"/>
          </w:tcPr>
          <w:p w14:paraId="6327854B">
            <w:pPr>
              <w:spacing w:line="380" w:lineRule="exact"/>
              <w:rPr>
                <w:rFonts w:ascii="宋体" w:hAnsi="宋体" w:eastAsia="宋体" w:cs="宋体"/>
              </w:rPr>
            </w:pPr>
            <w:r>
              <w:rPr>
                <w:rFonts w:hint="eastAsia" w:ascii="宋体" w:hAnsi="宋体" w:eastAsia="宋体" w:cs="宋体"/>
              </w:rPr>
              <w:t>各银行介绍的产品特点</w:t>
            </w:r>
          </w:p>
        </w:tc>
        <w:tc>
          <w:tcPr>
            <w:tcW w:w="2115" w:type="dxa"/>
            <w:vAlign w:val="center"/>
          </w:tcPr>
          <w:p w14:paraId="7AC687AC">
            <w:pPr>
              <w:spacing w:line="380" w:lineRule="exact"/>
              <w:rPr>
                <w:rFonts w:ascii="宋体" w:hAnsi="宋体" w:eastAsia="宋体" w:cs="宋体"/>
              </w:rPr>
            </w:pPr>
            <w:r>
              <w:rPr>
                <w:rFonts w:hint="eastAsia" w:ascii="宋体" w:hAnsi="宋体" w:eastAsia="宋体" w:cs="宋体"/>
              </w:rPr>
              <w:t>经办人</w:t>
            </w:r>
          </w:p>
        </w:tc>
        <w:tc>
          <w:tcPr>
            <w:tcW w:w="1908" w:type="dxa"/>
            <w:vAlign w:val="center"/>
          </w:tcPr>
          <w:p w14:paraId="2641CE9F">
            <w:pPr>
              <w:spacing w:line="380" w:lineRule="exact"/>
              <w:rPr>
                <w:rFonts w:ascii="宋体" w:hAnsi="宋体" w:eastAsia="宋体" w:cs="宋体"/>
              </w:rPr>
            </w:pPr>
            <w:r>
              <w:rPr>
                <w:rFonts w:hint="eastAsia" w:ascii="宋体" w:hAnsi="宋体" w:eastAsia="宋体" w:cs="宋体"/>
              </w:rPr>
              <w:t>联系方式</w:t>
            </w:r>
          </w:p>
        </w:tc>
      </w:tr>
      <w:tr w14:paraId="3E2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22AD8A4">
            <w:pPr>
              <w:spacing w:line="380" w:lineRule="exact"/>
              <w:rPr>
                <w:rFonts w:ascii="宋体" w:hAnsi="宋体" w:eastAsia="宋体" w:cs="宋体"/>
              </w:rPr>
            </w:pPr>
            <w:r>
              <w:rPr>
                <w:rFonts w:hint="eastAsia" w:ascii="宋体" w:hAnsi="宋体" w:eastAsia="宋体" w:cs="宋体"/>
              </w:rPr>
              <w:t>中国工商银行股份有限公司舟山分行</w:t>
            </w:r>
          </w:p>
        </w:tc>
        <w:tc>
          <w:tcPr>
            <w:tcW w:w="3960" w:type="dxa"/>
          </w:tcPr>
          <w:p w14:paraId="2ABD5A79">
            <w:pPr>
              <w:spacing w:line="380" w:lineRule="exact"/>
              <w:rPr>
                <w:rFonts w:ascii="宋体" w:hAnsi="宋体" w:eastAsia="宋体" w:cs="宋体"/>
              </w:rPr>
            </w:pPr>
            <w:r>
              <w:rPr>
                <w:rFonts w:hint="eastAsia" w:ascii="宋体" w:hAnsi="宋体" w:eastAsia="宋体" w:cs="宋体"/>
              </w:rPr>
              <w:t>融资额度高，融资金额最高可至订单金额70%，线上申请，随借随还。2.融资利率低，最低可至当期LPR利率。</w:t>
            </w:r>
          </w:p>
          <w:p w14:paraId="6B3D3C80">
            <w:pPr>
              <w:spacing w:line="380" w:lineRule="exact"/>
              <w:rPr>
                <w:rFonts w:ascii="宋体" w:hAnsi="宋体" w:eastAsia="宋体" w:cs="宋体"/>
              </w:rPr>
            </w:pPr>
            <w:r>
              <w:rPr>
                <w:rFonts w:hint="eastAsia" w:ascii="宋体" w:hAnsi="宋体" w:eastAsia="宋体" w:cs="宋体"/>
              </w:rPr>
              <w:t>3.担保方式灵活，以政府采购合同进行融资，无需另外抵押。</w:t>
            </w:r>
          </w:p>
        </w:tc>
        <w:tc>
          <w:tcPr>
            <w:tcW w:w="2115" w:type="dxa"/>
            <w:vAlign w:val="center"/>
          </w:tcPr>
          <w:p w14:paraId="2FFAB213">
            <w:pPr>
              <w:spacing w:line="380" w:lineRule="exact"/>
              <w:rPr>
                <w:rFonts w:ascii="宋体" w:hAnsi="宋体" w:eastAsia="宋体" w:cs="宋体"/>
              </w:rPr>
            </w:pPr>
            <w:r>
              <w:rPr>
                <w:rFonts w:hint="eastAsia" w:ascii="宋体" w:hAnsi="宋体" w:eastAsia="宋体" w:cs="宋体"/>
              </w:rPr>
              <w:t>柳超颖</w:t>
            </w:r>
          </w:p>
        </w:tc>
        <w:tc>
          <w:tcPr>
            <w:tcW w:w="1908" w:type="dxa"/>
            <w:vAlign w:val="center"/>
          </w:tcPr>
          <w:p w14:paraId="6B9DD14D">
            <w:pPr>
              <w:spacing w:line="380" w:lineRule="exact"/>
              <w:rPr>
                <w:rFonts w:ascii="宋体" w:hAnsi="宋体" w:eastAsia="宋体" w:cs="宋体"/>
              </w:rPr>
            </w:pPr>
            <w:r>
              <w:rPr>
                <w:rFonts w:hint="eastAsia" w:ascii="宋体" w:hAnsi="宋体" w:eastAsia="宋体" w:cs="宋体"/>
              </w:rPr>
              <w:t>0580-2166242, 15858076468</w:t>
            </w:r>
          </w:p>
        </w:tc>
      </w:tr>
      <w:tr w14:paraId="557D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4B5B653F">
            <w:pPr>
              <w:spacing w:line="380" w:lineRule="exact"/>
              <w:rPr>
                <w:rFonts w:ascii="宋体" w:hAnsi="宋体" w:eastAsia="宋体" w:cs="宋体"/>
              </w:rPr>
            </w:pPr>
            <w:r>
              <w:rPr>
                <w:rFonts w:hint="eastAsia" w:ascii="宋体" w:hAnsi="宋体" w:eastAsia="宋体" w:cs="宋体"/>
              </w:rPr>
              <w:t>中国建设银行股份有限公司舟山分行</w:t>
            </w:r>
          </w:p>
        </w:tc>
        <w:tc>
          <w:tcPr>
            <w:tcW w:w="3960" w:type="dxa"/>
          </w:tcPr>
          <w:p w14:paraId="6B6111C1">
            <w:pPr>
              <w:spacing w:line="380" w:lineRule="exact"/>
              <w:rPr>
                <w:rFonts w:ascii="宋体" w:hAnsi="宋体" w:eastAsia="宋体" w:cs="宋体"/>
              </w:rPr>
            </w:pPr>
            <w:r>
              <w:rPr>
                <w:rFonts w:hint="eastAsia" w:ascii="宋体" w:hAnsi="宋体" w:eastAsia="宋体" w:cs="宋体"/>
              </w:rPr>
              <w:t>快速便捷：全流程线上操作，通过浙江省政府采购网数据审核信用额度，建行供应链平台快速放款。</w:t>
            </w:r>
          </w:p>
          <w:p w14:paraId="2636E5C9">
            <w:pPr>
              <w:spacing w:line="380" w:lineRule="exact"/>
              <w:rPr>
                <w:rFonts w:ascii="宋体" w:hAnsi="宋体" w:eastAsia="宋体" w:cs="宋体"/>
              </w:rPr>
            </w:pPr>
            <w:r>
              <w:rPr>
                <w:rFonts w:hint="eastAsia" w:ascii="宋体" w:hAnsi="宋体" w:eastAsia="宋体" w:cs="宋体"/>
              </w:rPr>
              <w:t>申请额度高：单笔融资额度最高可达政府采购合同金额的90%，单户额度最高可达3000万。</w:t>
            </w:r>
          </w:p>
          <w:p w14:paraId="5E74E98B">
            <w:pPr>
              <w:spacing w:line="380" w:lineRule="exact"/>
              <w:rPr>
                <w:rFonts w:ascii="宋体" w:hAnsi="宋体" w:eastAsia="宋体" w:cs="宋体"/>
              </w:rPr>
            </w:pPr>
            <w:r>
              <w:rPr>
                <w:rFonts w:hint="eastAsia" w:ascii="宋体" w:hAnsi="宋体" w:eastAsia="宋体" w:cs="宋体"/>
              </w:rPr>
              <w:t>无需额外抵押：以浙江省政府采购网备案公示的政府采购合同进行融资，无需额外抵押担保。</w:t>
            </w:r>
          </w:p>
          <w:p w14:paraId="0919F677">
            <w:pPr>
              <w:spacing w:line="380" w:lineRule="exact"/>
              <w:rPr>
                <w:rFonts w:ascii="宋体" w:hAnsi="宋体" w:eastAsia="宋体" w:cs="宋体"/>
              </w:rPr>
            </w:pPr>
            <w:r>
              <w:rPr>
                <w:rFonts w:hint="eastAsia" w:ascii="宋体" w:hAnsi="宋体" w:eastAsia="宋体" w:cs="宋体"/>
              </w:rPr>
              <w:t>利率优惠：给予流动资金贷款最优惠利率。</w:t>
            </w:r>
          </w:p>
        </w:tc>
        <w:tc>
          <w:tcPr>
            <w:tcW w:w="2115" w:type="dxa"/>
            <w:vAlign w:val="center"/>
          </w:tcPr>
          <w:p w14:paraId="7DCFA07B">
            <w:pPr>
              <w:spacing w:line="380" w:lineRule="exact"/>
              <w:rPr>
                <w:rFonts w:ascii="宋体" w:hAnsi="宋体" w:eastAsia="宋体" w:cs="宋体"/>
              </w:rPr>
            </w:pPr>
            <w:r>
              <w:rPr>
                <w:rFonts w:hint="eastAsia" w:ascii="宋体" w:hAnsi="宋体" w:eastAsia="宋体" w:cs="宋体"/>
              </w:rPr>
              <w:t>普陀片区：蔡妮妮</w:t>
            </w:r>
          </w:p>
          <w:p w14:paraId="32A333A3">
            <w:pPr>
              <w:spacing w:line="380" w:lineRule="exact"/>
              <w:rPr>
                <w:rFonts w:ascii="宋体" w:hAnsi="宋体" w:eastAsia="宋体" w:cs="宋体"/>
              </w:rPr>
            </w:pPr>
            <w:r>
              <w:rPr>
                <w:rFonts w:hint="eastAsia" w:ascii="宋体" w:hAnsi="宋体" w:eastAsia="宋体" w:cs="宋体"/>
              </w:rPr>
              <w:t>定海片区：杨莹</w:t>
            </w:r>
          </w:p>
          <w:p w14:paraId="626C9B20">
            <w:pPr>
              <w:spacing w:line="380" w:lineRule="exact"/>
              <w:rPr>
                <w:rFonts w:ascii="宋体" w:hAnsi="宋体" w:eastAsia="宋体" w:cs="宋体"/>
              </w:rPr>
            </w:pPr>
            <w:r>
              <w:rPr>
                <w:rFonts w:hint="eastAsia" w:ascii="宋体" w:hAnsi="宋体" w:eastAsia="宋体" w:cs="宋体"/>
              </w:rPr>
              <w:t>自贸区片区：方晓</w:t>
            </w:r>
          </w:p>
        </w:tc>
        <w:tc>
          <w:tcPr>
            <w:tcW w:w="1908" w:type="dxa"/>
            <w:vAlign w:val="center"/>
          </w:tcPr>
          <w:p w14:paraId="20036BD8">
            <w:pPr>
              <w:spacing w:line="380" w:lineRule="exact"/>
              <w:rPr>
                <w:rFonts w:ascii="宋体" w:hAnsi="宋体" w:eastAsia="宋体" w:cs="宋体"/>
              </w:rPr>
            </w:pPr>
            <w:r>
              <w:rPr>
                <w:rFonts w:hint="eastAsia" w:ascii="宋体" w:hAnsi="宋体" w:eastAsia="宋体" w:cs="宋体"/>
              </w:rPr>
              <w:t>普陀片区：13957201791</w:t>
            </w:r>
          </w:p>
          <w:p w14:paraId="5960D6C6">
            <w:pPr>
              <w:spacing w:line="380" w:lineRule="exact"/>
              <w:rPr>
                <w:rFonts w:ascii="宋体" w:hAnsi="宋体" w:eastAsia="宋体" w:cs="宋体"/>
              </w:rPr>
            </w:pPr>
            <w:r>
              <w:rPr>
                <w:rFonts w:hint="eastAsia" w:ascii="宋体" w:hAnsi="宋体" w:eastAsia="宋体" w:cs="宋体"/>
              </w:rPr>
              <w:t>定海片区：13655803997</w:t>
            </w:r>
          </w:p>
          <w:p w14:paraId="5FE3055A">
            <w:pPr>
              <w:spacing w:line="380" w:lineRule="exact"/>
              <w:rPr>
                <w:rFonts w:ascii="宋体" w:hAnsi="宋体" w:eastAsia="宋体" w:cs="宋体"/>
              </w:rPr>
            </w:pPr>
            <w:r>
              <w:rPr>
                <w:rFonts w:hint="eastAsia" w:ascii="宋体" w:hAnsi="宋体" w:eastAsia="宋体" w:cs="宋体"/>
              </w:rPr>
              <w:t>自贸区片区：13587086324</w:t>
            </w:r>
          </w:p>
        </w:tc>
      </w:tr>
      <w:tr w14:paraId="28A2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39ED05B">
            <w:pPr>
              <w:spacing w:line="380" w:lineRule="exact"/>
              <w:rPr>
                <w:rFonts w:ascii="宋体" w:hAnsi="宋体" w:eastAsia="宋体" w:cs="宋体"/>
              </w:rPr>
            </w:pPr>
            <w:r>
              <w:rPr>
                <w:rFonts w:hint="eastAsia" w:ascii="宋体" w:hAnsi="宋体" w:eastAsia="宋体" w:cs="宋体"/>
              </w:rPr>
              <w:t>杭州银行股份有限公司舟山市分行</w:t>
            </w:r>
          </w:p>
        </w:tc>
        <w:tc>
          <w:tcPr>
            <w:tcW w:w="3960" w:type="dxa"/>
          </w:tcPr>
          <w:p w14:paraId="4C722C94">
            <w:pPr>
              <w:spacing w:line="380" w:lineRule="exact"/>
              <w:rPr>
                <w:rFonts w:ascii="宋体" w:hAnsi="宋体" w:eastAsia="宋体" w:cs="宋体"/>
              </w:rPr>
            </w:pPr>
            <w:r>
              <w:rPr>
                <w:rFonts w:hint="eastAsia" w:ascii="宋体" w:hAnsi="宋体" w:eastAsia="宋体" w:cs="宋体"/>
              </w:rPr>
              <w:t>“云采贷”是杭州银行为政府采购投标人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7E34704F">
            <w:pPr>
              <w:spacing w:line="380" w:lineRule="exact"/>
              <w:rPr>
                <w:rFonts w:ascii="宋体" w:hAnsi="宋体" w:eastAsia="宋体" w:cs="宋体"/>
              </w:rPr>
            </w:pPr>
            <w:r>
              <w:rPr>
                <w:rFonts w:hint="eastAsia" w:ascii="宋体" w:hAnsi="宋体" w:eastAsia="宋体" w:cs="宋体"/>
              </w:rPr>
              <w:t>方经理</w:t>
            </w:r>
          </w:p>
        </w:tc>
        <w:tc>
          <w:tcPr>
            <w:tcW w:w="1908" w:type="dxa"/>
            <w:vAlign w:val="center"/>
          </w:tcPr>
          <w:p w14:paraId="325750F5">
            <w:pPr>
              <w:spacing w:line="380" w:lineRule="exact"/>
              <w:rPr>
                <w:rFonts w:ascii="宋体" w:hAnsi="宋体" w:eastAsia="宋体" w:cs="宋体"/>
              </w:rPr>
            </w:pPr>
            <w:r>
              <w:rPr>
                <w:rFonts w:hint="eastAsia" w:ascii="宋体" w:hAnsi="宋体" w:eastAsia="宋体" w:cs="宋体"/>
              </w:rPr>
              <w:t>0580-2185201，18205800451</w:t>
            </w:r>
          </w:p>
        </w:tc>
      </w:tr>
      <w:tr w14:paraId="0B98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5BB017E3">
            <w:pPr>
              <w:spacing w:line="380" w:lineRule="exact"/>
              <w:rPr>
                <w:rFonts w:ascii="宋体" w:hAnsi="宋体" w:eastAsia="宋体" w:cs="宋体"/>
              </w:rPr>
            </w:pPr>
            <w:r>
              <w:rPr>
                <w:rFonts w:hint="eastAsia" w:ascii="宋体" w:hAnsi="宋体" w:eastAsia="宋体" w:cs="宋体"/>
              </w:rPr>
              <w:t>招商银行股份有限公司浙江自贸试验区舟山分行</w:t>
            </w:r>
          </w:p>
        </w:tc>
        <w:tc>
          <w:tcPr>
            <w:tcW w:w="3960" w:type="dxa"/>
          </w:tcPr>
          <w:p w14:paraId="3D80C997">
            <w:pPr>
              <w:spacing w:line="380" w:lineRule="exact"/>
              <w:rPr>
                <w:rFonts w:ascii="宋体" w:hAnsi="宋体" w:eastAsia="宋体" w:cs="宋体"/>
              </w:rPr>
            </w:pPr>
            <w:r>
              <w:rPr>
                <w:rFonts w:hint="eastAsia" w:ascii="宋体" w:hAnsi="宋体" w:eastAsia="宋体" w:cs="宋体"/>
              </w:rPr>
              <w:t>小企业政采贷是招商银行为政府采购成交投标人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41F319A1">
            <w:pPr>
              <w:spacing w:line="380" w:lineRule="exact"/>
              <w:rPr>
                <w:rFonts w:ascii="宋体" w:hAnsi="宋体" w:eastAsia="宋体" w:cs="宋体"/>
              </w:rPr>
            </w:pPr>
            <w:r>
              <w:rPr>
                <w:rFonts w:hint="eastAsia" w:ascii="宋体" w:hAnsi="宋体" w:eastAsia="宋体" w:cs="宋体"/>
              </w:rPr>
              <w:t>李玲</w:t>
            </w:r>
          </w:p>
        </w:tc>
        <w:tc>
          <w:tcPr>
            <w:tcW w:w="1908" w:type="dxa"/>
            <w:vAlign w:val="center"/>
          </w:tcPr>
          <w:p w14:paraId="664CCD77">
            <w:pPr>
              <w:spacing w:line="380" w:lineRule="exact"/>
              <w:rPr>
                <w:rFonts w:ascii="宋体" w:hAnsi="宋体" w:eastAsia="宋体" w:cs="宋体"/>
              </w:rPr>
            </w:pPr>
            <w:r>
              <w:rPr>
                <w:rFonts w:hint="eastAsia" w:ascii="宋体" w:hAnsi="宋体" w:eastAsia="宋体" w:cs="宋体"/>
              </w:rPr>
              <w:t>0580-2061710，13957227971</w:t>
            </w:r>
          </w:p>
        </w:tc>
      </w:tr>
      <w:tr w14:paraId="2FA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449F642E">
            <w:pPr>
              <w:spacing w:line="380" w:lineRule="exact"/>
              <w:rPr>
                <w:rFonts w:ascii="宋体" w:hAnsi="宋体" w:eastAsia="宋体" w:cs="宋体"/>
              </w:rPr>
            </w:pPr>
            <w:r>
              <w:rPr>
                <w:rFonts w:hint="eastAsia" w:ascii="宋体" w:hAnsi="宋体" w:eastAsia="宋体" w:cs="宋体"/>
              </w:rPr>
              <w:t>温州银行股份有限公司舟山市分行</w:t>
            </w:r>
          </w:p>
        </w:tc>
        <w:tc>
          <w:tcPr>
            <w:tcW w:w="3960" w:type="dxa"/>
          </w:tcPr>
          <w:p w14:paraId="3B973539">
            <w:pPr>
              <w:spacing w:line="380" w:lineRule="exact"/>
              <w:rPr>
                <w:rFonts w:ascii="宋体" w:hAnsi="宋体" w:eastAsia="宋体" w:cs="宋体"/>
              </w:rPr>
            </w:pPr>
            <w:r>
              <w:rPr>
                <w:rFonts w:hint="eastAsia" w:ascii="宋体" w:hAnsi="宋体" w:eastAsia="宋体" w:cs="宋体"/>
              </w:rPr>
              <w:t>单户授信敞口最高不超过1000万元，且最高额度核定一般不超过借款人（含实际控制人控制的其他经营实体）最近13个月合计有效中标合同金额的70%。</w:t>
            </w:r>
          </w:p>
          <w:p w14:paraId="32A1406D">
            <w:pPr>
              <w:spacing w:line="380" w:lineRule="exact"/>
              <w:rPr>
                <w:rFonts w:ascii="宋体" w:hAnsi="宋体" w:eastAsia="宋体" w:cs="宋体"/>
              </w:rPr>
            </w:pPr>
            <w:r>
              <w:rPr>
                <w:rFonts w:hint="eastAsia" w:ascii="宋体" w:hAnsi="宋体" w:eastAsia="宋体" w:cs="宋体"/>
              </w:rPr>
              <w:t>单笔借款额度最高不超过1000万元，单笔业务授信额度不超过“政采云平台”提供的中标通知书承载的中标金额或本次申请授信提供的采购合同金额的80%，且用信金额不超过采购合同未付金额的80%。</w:t>
            </w:r>
          </w:p>
          <w:p w14:paraId="50C306A8">
            <w:pPr>
              <w:spacing w:line="380" w:lineRule="exact"/>
              <w:rPr>
                <w:rFonts w:ascii="宋体" w:hAnsi="宋体" w:eastAsia="宋体" w:cs="宋体"/>
              </w:rPr>
            </w:pPr>
            <w:r>
              <w:rPr>
                <w:rFonts w:hint="eastAsia" w:ascii="宋体" w:hAnsi="宋体" w:eastAsia="宋体" w:cs="宋体"/>
              </w:rPr>
              <w:t>借款人中标采购人自行采购项目并向我行发起授信申请的，单笔业务授信敞口不超500万元，且不超过借款人中标通知书承载的中标金额或本次申请授信提供的采购合同的80%。</w:t>
            </w:r>
          </w:p>
          <w:p w14:paraId="18475564">
            <w:pPr>
              <w:spacing w:line="380" w:lineRule="exact"/>
              <w:rPr>
                <w:rFonts w:ascii="宋体" w:hAnsi="宋体" w:eastAsia="宋体" w:cs="宋体"/>
              </w:rPr>
            </w:pPr>
            <w:r>
              <w:rPr>
                <w:rFonts w:hint="eastAsia" w:ascii="宋体" w:hAnsi="宋体" w:eastAsia="宋体" w:cs="宋体"/>
              </w:rPr>
              <w:t>符合我行采购人资质的，且负债率不超75%，配合应收账款质押登记确认的，并可出具确认函，单笔借款额度可按不超过采购合同的90%办理。</w:t>
            </w:r>
          </w:p>
        </w:tc>
        <w:tc>
          <w:tcPr>
            <w:tcW w:w="2115" w:type="dxa"/>
            <w:vAlign w:val="center"/>
          </w:tcPr>
          <w:p w14:paraId="3B6C87A7">
            <w:pPr>
              <w:spacing w:line="380" w:lineRule="exact"/>
              <w:rPr>
                <w:rFonts w:ascii="宋体" w:hAnsi="宋体" w:eastAsia="宋体" w:cs="宋体"/>
              </w:rPr>
            </w:pPr>
            <w:r>
              <w:rPr>
                <w:rFonts w:hint="eastAsia" w:ascii="宋体" w:hAnsi="宋体" w:eastAsia="宋体" w:cs="宋体"/>
              </w:rPr>
              <w:t>郑贤栋</w:t>
            </w:r>
          </w:p>
        </w:tc>
        <w:tc>
          <w:tcPr>
            <w:tcW w:w="1908" w:type="dxa"/>
            <w:vAlign w:val="center"/>
          </w:tcPr>
          <w:p w14:paraId="09DD3B3B">
            <w:pPr>
              <w:spacing w:line="380" w:lineRule="exact"/>
              <w:rPr>
                <w:rFonts w:ascii="宋体" w:hAnsi="宋体" w:eastAsia="宋体" w:cs="宋体"/>
              </w:rPr>
            </w:pPr>
            <w:r>
              <w:rPr>
                <w:rFonts w:hint="eastAsia" w:ascii="宋体" w:hAnsi="宋体" w:eastAsia="宋体" w:cs="宋体"/>
              </w:rPr>
              <w:t>058—8866086</w:t>
            </w:r>
          </w:p>
        </w:tc>
      </w:tr>
      <w:tr w14:paraId="1C35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499C1AFB">
            <w:pPr>
              <w:spacing w:line="380" w:lineRule="exact"/>
              <w:rPr>
                <w:rFonts w:ascii="宋体" w:hAnsi="宋体" w:eastAsia="宋体" w:cs="宋体"/>
              </w:rPr>
            </w:pPr>
            <w:r>
              <w:rPr>
                <w:rFonts w:hint="eastAsia" w:ascii="宋体" w:hAnsi="宋体" w:eastAsia="宋体" w:cs="宋体"/>
              </w:rPr>
              <w:t>交通银行股份有限公司舟山分行</w:t>
            </w:r>
          </w:p>
        </w:tc>
        <w:tc>
          <w:tcPr>
            <w:tcW w:w="3960" w:type="dxa"/>
          </w:tcPr>
          <w:p w14:paraId="061E9377">
            <w:pPr>
              <w:spacing w:line="380" w:lineRule="exact"/>
              <w:rPr>
                <w:rFonts w:ascii="宋体" w:hAnsi="宋体" w:eastAsia="宋体" w:cs="宋体"/>
              </w:rPr>
            </w:pPr>
            <w:r>
              <w:rPr>
                <w:rFonts w:hint="eastAsia" w:ascii="宋体" w:hAnsi="宋体" w:eastAsia="宋体" w:cs="宋体"/>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2BBDDE58">
            <w:pPr>
              <w:spacing w:line="380" w:lineRule="exact"/>
              <w:rPr>
                <w:rFonts w:ascii="宋体" w:hAnsi="宋体" w:eastAsia="宋体" w:cs="宋体"/>
              </w:rPr>
            </w:pPr>
            <w:r>
              <w:rPr>
                <w:rFonts w:hint="eastAsia" w:ascii="宋体" w:hAnsi="宋体" w:eastAsia="宋体" w:cs="宋体"/>
              </w:rPr>
              <w:t>赵争艳</w:t>
            </w:r>
          </w:p>
        </w:tc>
        <w:tc>
          <w:tcPr>
            <w:tcW w:w="1908" w:type="dxa"/>
            <w:vAlign w:val="center"/>
          </w:tcPr>
          <w:p w14:paraId="14C3B4B8">
            <w:pPr>
              <w:spacing w:line="380" w:lineRule="exact"/>
              <w:rPr>
                <w:rFonts w:ascii="宋体" w:hAnsi="宋体" w:eastAsia="宋体" w:cs="宋体"/>
              </w:rPr>
            </w:pPr>
            <w:r>
              <w:rPr>
                <w:rFonts w:hint="eastAsia" w:ascii="宋体" w:hAnsi="宋体" w:eastAsia="宋体" w:cs="宋体"/>
              </w:rPr>
              <w:t>0580-2260728</w:t>
            </w:r>
          </w:p>
          <w:p w14:paraId="199EF050">
            <w:pPr>
              <w:spacing w:line="380" w:lineRule="exact"/>
              <w:rPr>
                <w:rFonts w:ascii="宋体" w:hAnsi="宋体" w:eastAsia="宋体" w:cs="宋体"/>
              </w:rPr>
            </w:pPr>
            <w:r>
              <w:rPr>
                <w:rFonts w:hint="eastAsia" w:ascii="宋体" w:hAnsi="宋体" w:eastAsia="宋体" w:cs="宋体"/>
              </w:rPr>
              <w:t>13758007280</w:t>
            </w:r>
          </w:p>
        </w:tc>
      </w:tr>
      <w:tr w14:paraId="44F8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0E1D5483">
            <w:pPr>
              <w:spacing w:line="380" w:lineRule="exact"/>
              <w:rPr>
                <w:rFonts w:ascii="宋体" w:hAnsi="宋体" w:eastAsia="宋体" w:cs="宋体"/>
              </w:rPr>
            </w:pPr>
            <w:r>
              <w:rPr>
                <w:rFonts w:hint="eastAsia" w:ascii="宋体" w:hAnsi="宋体" w:eastAsia="宋体" w:cs="宋体"/>
              </w:rPr>
              <w:t>中信银行股份有限公司舟山分行</w:t>
            </w:r>
          </w:p>
        </w:tc>
        <w:tc>
          <w:tcPr>
            <w:tcW w:w="3960" w:type="dxa"/>
          </w:tcPr>
          <w:p w14:paraId="125E5448">
            <w:pPr>
              <w:spacing w:line="380" w:lineRule="exact"/>
              <w:rPr>
                <w:rFonts w:ascii="宋体" w:hAnsi="宋体" w:eastAsia="宋体" w:cs="宋体"/>
              </w:rPr>
            </w:pPr>
            <w:r>
              <w:rPr>
                <w:rFonts w:hint="eastAsia" w:ascii="宋体" w:hAnsi="宋体" w:eastAsia="宋体" w:cs="宋体"/>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1971DD3F">
            <w:pPr>
              <w:spacing w:line="380" w:lineRule="exact"/>
              <w:rPr>
                <w:rFonts w:ascii="宋体" w:hAnsi="宋体" w:eastAsia="宋体" w:cs="宋体"/>
              </w:rPr>
            </w:pPr>
            <w:r>
              <w:rPr>
                <w:rFonts w:hint="eastAsia" w:ascii="宋体" w:hAnsi="宋体" w:eastAsia="宋体" w:cs="宋体"/>
              </w:rPr>
              <w:t>黄丽</w:t>
            </w:r>
          </w:p>
        </w:tc>
        <w:tc>
          <w:tcPr>
            <w:tcW w:w="1908" w:type="dxa"/>
            <w:vAlign w:val="center"/>
          </w:tcPr>
          <w:p w14:paraId="4D203F35">
            <w:pPr>
              <w:spacing w:line="380" w:lineRule="exact"/>
              <w:rPr>
                <w:rFonts w:ascii="宋体" w:hAnsi="宋体" w:eastAsia="宋体" w:cs="宋体"/>
              </w:rPr>
            </w:pPr>
            <w:r>
              <w:rPr>
                <w:rFonts w:hint="eastAsia" w:ascii="宋体" w:hAnsi="宋体" w:eastAsia="宋体" w:cs="宋体"/>
              </w:rPr>
              <w:t>13905808032</w:t>
            </w:r>
          </w:p>
        </w:tc>
      </w:tr>
      <w:tr w14:paraId="39A5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422C0EA9">
            <w:pPr>
              <w:spacing w:line="380" w:lineRule="exact"/>
              <w:rPr>
                <w:rFonts w:ascii="宋体" w:hAnsi="宋体" w:eastAsia="宋体" w:cs="宋体"/>
              </w:rPr>
            </w:pPr>
            <w:r>
              <w:rPr>
                <w:rFonts w:hint="eastAsia" w:ascii="宋体" w:hAnsi="宋体" w:eastAsia="宋体" w:cs="宋体"/>
              </w:rPr>
              <w:t>泰隆银行舟山市分行</w:t>
            </w:r>
          </w:p>
        </w:tc>
        <w:tc>
          <w:tcPr>
            <w:tcW w:w="3960" w:type="dxa"/>
          </w:tcPr>
          <w:p w14:paraId="032FC8A0">
            <w:pPr>
              <w:spacing w:line="380" w:lineRule="exact"/>
              <w:rPr>
                <w:rFonts w:ascii="宋体" w:hAnsi="宋体" w:eastAsia="宋体" w:cs="宋体"/>
              </w:rPr>
            </w:pPr>
            <w:r>
              <w:rPr>
                <w:rFonts w:hint="eastAsia" w:ascii="宋体" w:hAnsi="宋体" w:eastAsia="宋体" w:cs="宋体"/>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027C0BAC">
            <w:pPr>
              <w:spacing w:line="380" w:lineRule="exact"/>
              <w:rPr>
                <w:rFonts w:ascii="宋体" w:hAnsi="宋体" w:eastAsia="宋体" w:cs="宋体"/>
              </w:rPr>
            </w:pPr>
            <w:r>
              <w:rPr>
                <w:rFonts w:hint="eastAsia" w:ascii="宋体" w:hAnsi="宋体" w:eastAsia="宋体" w:cs="宋体"/>
              </w:rPr>
              <w:t>胡亢宇</w:t>
            </w:r>
          </w:p>
        </w:tc>
        <w:tc>
          <w:tcPr>
            <w:tcW w:w="1908" w:type="dxa"/>
            <w:vAlign w:val="center"/>
          </w:tcPr>
          <w:p w14:paraId="004F7B6C">
            <w:pPr>
              <w:spacing w:line="380" w:lineRule="exact"/>
              <w:rPr>
                <w:rFonts w:ascii="宋体" w:hAnsi="宋体" w:eastAsia="宋体" w:cs="宋体"/>
              </w:rPr>
            </w:pPr>
            <w:r>
              <w:rPr>
                <w:rFonts w:hint="eastAsia" w:ascii="宋体" w:hAnsi="宋体" w:eastAsia="宋体" w:cs="宋体"/>
              </w:rPr>
              <w:t>17605868703</w:t>
            </w:r>
          </w:p>
        </w:tc>
      </w:tr>
      <w:tr w14:paraId="23EE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81682C7">
            <w:pPr>
              <w:spacing w:line="380" w:lineRule="exact"/>
              <w:rPr>
                <w:rFonts w:ascii="宋体" w:hAnsi="宋体" w:eastAsia="宋体" w:cs="宋体"/>
              </w:rPr>
            </w:pPr>
            <w:r>
              <w:rPr>
                <w:rFonts w:hint="eastAsia" w:ascii="宋体" w:hAnsi="宋体" w:eastAsia="宋体" w:cs="宋体"/>
              </w:rPr>
              <w:t>中国农业银行股份有限公司舟山分行</w:t>
            </w:r>
          </w:p>
        </w:tc>
        <w:tc>
          <w:tcPr>
            <w:tcW w:w="3960" w:type="dxa"/>
          </w:tcPr>
          <w:p w14:paraId="03295B64">
            <w:pPr>
              <w:spacing w:line="380" w:lineRule="exact"/>
              <w:rPr>
                <w:rFonts w:ascii="宋体" w:hAnsi="宋体" w:eastAsia="宋体" w:cs="宋体"/>
              </w:rPr>
            </w:pPr>
            <w:r>
              <w:rPr>
                <w:rFonts w:hint="eastAsia" w:ascii="宋体" w:hAnsi="宋体" w:eastAsia="宋体" w:cs="宋体"/>
              </w:rPr>
              <w:t>“政采贷”业务原则上不超过政府采购合同实有金额的80%，单户借款额度不超过500万元。借款到期日不晚于合同约定付款日后90天，原则上不超过1年，最长可放宽至2年。应收账款形成前，可采用信用方式用信并追加投标人法定代表人或实际控制人连带责任保证担保；应收账款形成后，信用方式用信需变更为应收账款质押担保。</w:t>
            </w:r>
          </w:p>
        </w:tc>
        <w:tc>
          <w:tcPr>
            <w:tcW w:w="2115" w:type="dxa"/>
            <w:vAlign w:val="center"/>
          </w:tcPr>
          <w:p w14:paraId="3D9BA861">
            <w:pPr>
              <w:spacing w:line="380" w:lineRule="exact"/>
              <w:rPr>
                <w:rFonts w:ascii="宋体" w:hAnsi="宋体" w:eastAsia="宋体" w:cs="宋体"/>
              </w:rPr>
            </w:pPr>
            <w:r>
              <w:rPr>
                <w:rFonts w:hint="eastAsia" w:ascii="宋体" w:hAnsi="宋体" w:eastAsia="宋体" w:cs="宋体"/>
              </w:rPr>
              <w:t>苏华瞻</w:t>
            </w:r>
          </w:p>
        </w:tc>
        <w:tc>
          <w:tcPr>
            <w:tcW w:w="1908" w:type="dxa"/>
            <w:vAlign w:val="center"/>
          </w:tcPr>
          <w:p w14:paraId="7FFAC66F">
            <w:pPr>
              <w:spacing w:line="380" w:lineRule="exact"/>
              <w:rPr>
                <w:rFonts w:ascii="宋体" w:hAnsi="宋体" w:eastAsia="宋体" w:cs="宋体"/>
              </w:rPr>
            </w:pPr>
            <w:r>
              <w:rPr>
                <w:rFonts w:hint="eastAsia" w:ascii="宋体" w:hAnsi="宋体" w:eastAsia="宋体" w:cs="宋体"/>
              </w:rPr>
              <w:t>13967228926</w:t>
            </w:r>
          </w:p>
        </w:tc>
      </w:tr>
      <w:tr w14:paraId="6A0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1318EFDB">
            <w:pPr>
              <w:spacing w:line="380" w:lineRule="exact"/>
              <w:rPr>
                <w:rFonts w:ascii="宋体" w:hAnsi="宋体" w:eastAsia="宋体" w:cs="宋体"/>
              </w:rPr>
            </w:pPr>
            <w:r>
              <w:rPr>
                <w:rFonts w:hint="eastAsia" w:ascii="宋体" w:hAnsi="宋体" w:eastAsia="宋体" w:cs="宋体"/>
              </w:rPr>
              <w:t>中国邮政储蓄银行股份有限公司舟山市分行</w:t>
            </w:r>
          </w:p>
        </w:tc>
        <w:tc>
          <w:tcPr>
            <w:tcW w:w="3960" w:type="dxa"/>
          </w:tcPr>
          <w:p w14:paraId="1F4D89A5">
            <w:pPr>
              <w:spacing w:line="380" w:lineRule="exact"/>
              <w:rPr>
                <w:rFonts w:ascii="宋体" w:hAnsi="宋体" w:eastAsia="宋体" w:cs="宋体"/>
              </w:rPr>
            </w:pPr>
            <w:r>
              <w:rPr>
                <w:rFonts w:hint="eastAsia" w:ascii="宋体" w:hAnsi="宋体" w:eastAsia="宋体" w:cs="宋体"/>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3AD80E8C">
            <w:pPr>
              <w:spacing w:line="380" w:lineRule="exact"/>
              <w:rPr>
                <w:rFonts w:ascii="宋体" w:hAnsi="宋体" w:eastAsia="宋体" w:cs="宋体"/>
              </w:rPr>
            </w:pPr>
            <w:r>
              <w:rPr>
                <w:rFonts w:hint="eastAsia" w:ascii="宋体" w:hAnsi="宋体" w:eastAsia="宋体" w:cs="宋体"/>
              </w:rPr>
              <w:t>蒋志燕</w:t>
            </w:r>
          </w:p>
        </w:tc>
        <w:tc>
          <w:tcPr>
            <w:tcW w:w="1908" w:type="dxa"/>
            <w:vAlign w:val="center"/>
          </w:tcPr>
          <w:p w14:paraId="73AEA8C3">
            <w:pPr>
              <w:spacing w:line="380" w:lineRule="exact"/>
              <w:rPr>
                <w:rFonts w:ascii="宋体" w:hAnsi="宋体" w:eastAsia="宋体" w:cs="宋体"/>
              </w:rPr>
            </w:pPr>
            <w:r>
              <w:rPr>
                <w:rFonts w:hint="eastAsia" w:ascii="宋体" w:hAnsi="宋体" w:eastAsia="宋体" w:cs="宋体"/>
              </w:rPr>
              <w:t>13732527321</w:t>
            </w:r>
          </w:p>
        </w:tc>
      </w:tr>
    </w:tbl>
    <w:p w14:paraId="7DB0332F">
      <w:pPr>
        <w:spacing w:line="380" w:lineRule="exact"/>
        <w:rPr>
          <w:rFonts w:ascii="宋体" w:hAnsi="宋体" w:eastAsia="宋体" w:cs="宋体"/>
        </w:rPr>
      </w:pPr>
      <w:r>
        <w:rPr>
          <w:rFonts w:hint="eastAsia" w:ascii="宋体" w:hAnsi="宋体" w:eastAsia="宋体" w:cs="宋体"/>
        </w:rPr>
        <w:t>4.2一般步骤</w:t>
      </w:r>
    </w:p>
    <w:p w14:paraId="14BC1EB1">
      <w:pPr>
        <w:spacing w:line="380" w:lineRule="exact"/>
        <w:rPr>
          <w:rFonts w:ascii="宋体" w:hAnsi="宋体" w:eastAsia="宋体" w:cs="宋体"/>
        </w:rPr>
      </w:pPr>
      <w:r>
        <w:rPr>
          <w:rFonts w:hint="eastAsia" w:ascii="宋体" w:hAnsi="宋体" w:eastAsia="宋体" w:cs="宋体"/>
        </w:rPr>
        <w:t>（1）投标人先与银行对接，办理融资前期手续；</w:t>
      </w:r>
    </w:p>
    <w:p w14:paraId="2F99C773">
      <w:pPr>
        <w:spacing w:line="380" w:lineRule="exact"/>
        <w:rPr>
          <w:rFonts w:ascii="宋体" w:hAnsi="宋体" w:eastAsia="宋体" w:cs="宋体"/>
        </w:rPr>
      </w:pPr>
      <w:r>
        <w:rPr>
          <w:rFonts w:hint="eastAsia" w:ascii="宋体" w:hAnsi="宋体" w:eastAsia="宋体" w:cs="宋体"/>
        </w:rPr>
        <w:t>（2）投标人中标后，凭中标通知书等材料，向相关合作银行发出融资申请；</w:t>
      </w:r>
    </w:p>
    <w:p w14:paraId="53507C3E">
      <w:pPr>
        <w:spacing w:line="380" w:lineRule="exact"/>
        <w:rPr>
          <w:rFonts w:ascii="宋体" w:hAnsi="宋体" w:eastAsia="宋体" w:cs="宋体"/>
        </w:rPr>
      </w:pPr>
      <w:r>
        <w:rPr>
          <w:rFonts w:hint="eastAsia" w:ascii="宋体" w:hAnsi="宋体" w:eastAsia="宋体" w:cs="宋体"/>
        </w:rPr>
        <w:t>（3）银行、投标人线上办理审批、放贷事宜。</w:t>
      </w:r>
    </w:p>
    <w:p w14:paraId="5A87A590">
      <w:pPr>
        <w:spacing w:line="380" w:lineRule="exact"/>
        <w:rPr>
          <w:rFonts w:ascii="宋体" w:hAnsi="宋体" w:eastAsia="宋体" w:cs="宋体"/>
        </w:rPr>
      </w:pPr>
      <w:r>
        <w:rPr>
          <w:rFonts w:hint="eastAsia" w:ascii="宋体" w:hAnsi="宋体" w:eastAsia="宋体" w:cs="宋体"/>
        </w:rPr>
        <w:t>4.3注意事项</w:t>
      </w:r>
    </w:p>
    <w:p w14:paraId="788CC099">
      <w:pPr>
        <w:spacing w:line="380" w:lineRule="exact"/>
        <w:rPr>
          <w:rFonts w:ascii="宋体" w:hAnsi="宋体" w:eastAsia="宋体" w:cs="宋体"/>
        </w:rPr>
      </w:pPr>
      <w:r>
        <w:rPr>
          <w:rFonts w:hint="eastAsia" w:ascii="宋体" w:hAnsi="宋体" w:eastAsia="宋体" w:cs="宋体"/>
        </w:rPr>
        <w:t>（1）中标投标人需确保政府采购合同的收款账户与融资银行开户账户一致。</w:t>
      </w:r>
    </w:p>
    <w:p w14:paraId="6A7147D7">
      <w:pPr>
        <w:spacing w:line="380" w:lineRule="exact"/>
        <w:rPr>
          <w:rFonts w:ascii="宋体" w:hAnsi="宋体" w:eastAsia="宋体" w:cs="宋体"/>
        </w:rPr>
      </w:pPr>
      <w:r>
        <w:rPr>
          <w:rFonts w:hint="eastAsia" w:ascii="宋体" w:hAnsi="宋体" w:eastAsia="宋体" w:cs="宋体"/>
        </w:rPr>
        <w:t>（2）用于政府采购信用融资的政府采购合同，应当包含如下条款：“第   条：政府采购合同贷款</w:t>
      </w:r>
    </w:p>
    <w:p w14:paraId="7DFF7393">
      <w:pPr>
        <w:spacing w:line="380" w:lineRule="exact"/>
        <w:rPr>
          <w:rFonts w:ascii="宋体" w:hAnsi="宋体" w:eastAsia="宋体" w:cs="宋体"/>
        </w:rPr>
      </w:pPr>
      <w:r>
        <w:rPr>
          <w:rFonts w:hint="eastAsia" w:ascii="宋体" w:hAnsi="宋体" w:eastAsia="宋体" w:cs="宋体"/>
        </w:rPr>
        <w:t>本合同同时用于乙方向      银行（金融机构）申请政府采购信用贷款。</w:t>
      </w:r>
    </w:p>
    <w:p w14:paraId="14F4120C">
      <w:pPr>
        <w:spacing w:line="380" w:lineRule="exact"/>
        <w:rPr>
          <w:rFonts w:ascii="宋体" w:hAnsi="宋体" w:eastAsia="宋体" w:cs="宋体"/>
        </w:rPr>
      </w:pPr>
      <w:r>
        <w:rPr>
          <w:rFonts w:hint="eastAsia" w:ascii="宋体" w:hAnsi="宋体" w:eastAsia="宋体" w:cs="宋体"/>
        </w:rPr>
        <w:t>本合同一经签订，原则上不得更改乙方收款账户信息。确须更改的，乙方应取得原合同收款账户开户银行书面同意，否则修改后的合同不予备案，采购资金不予支付。”</w:t>
      </w:r>
    </w:p>
    <w:p w14:paraId="60FAC246">
      <w:pPr>
        <w:snapToGrid w:val="0"/>
        <w:spacing w:before="120" w:line="360" w:lineRule="auto"/>
        <w:ind w:right="-87"/>
        <w:jc w:val="center"/>
        <w:rPr>
          <w:rFonts w:ascii="宋体" w:hAnsi="宋体" w:eastAsia="宋体" w:cs="宋体"/>
          <w:sz w:val="30"/>
        </w:rPr>
      </w:pPr>
    </w:p>
    <w:p w14:paraId="4410AAE4">
      <w:pPr>
        <w:snapToGrid w:val="0"/>
        <w:spacing w:before="120" w:line="360" w:lineRule="auto"/>
        <w:ind w:right="-87"/>
        <w:jc w:val="center"/>
        <w:rPr>
          <w:rFonts w:ascii="宋体" w:hAnsi="宋体" w:eastAsia="宋体" w:cs="宋体"/>
          <w:sz w:val="30"/>
        </w:rPr>
      </w:pPr>
    </w:p>
    <w:p w14:paraId="6A557448">
      <w:pPr>
        <w:snapToGrid w:val="0"/>
        <w:spacing w:before="120" w:line="360" w:lineRule="auto"/>
        <w:ind w:right="-87"/>
        <w:jc w:val="center"/>
        <w:rPr>
          <w:rFonts w:ascii="宋体" w:hAnsi="宋体" w:eastAsia="宋体" w:cs="宋体"/>
          <w:sz w:val="30"/>
        </w:rPr>
      </w:pPr>
    </w:p>
    <w:p w14:paraId="41903679">
      <w:pPr>
        <w:snapToGrid w:val="0"/>
        <w:spacing w:before="120" w:line="360" w:lineRule="auto"/>
        <w:ind w:right="-87"/>
        <w:jc w:val="center"/>
        <w:rPr>
          <w:rFonts w:ascii="宋体" w:hAnsi="宋体" w:eastAsia="宋体" w:cs="宋体"/>
          <w:sz w:val="30"/>
        </w:rPr>
      </w:pPr>
    </w:p>
    <w:p w14:paraId="08B2858C">
      <w:pPr>
        <w:pStyle w:val="25"/>
        <w:ind w:firstLine="300"/>
        <w:rPr>
          <w:rFonts w:ascii="宋体" w:hAnsi="宋体" w:cs="宋体"/>
          <w:sz w:val="30"/>
        </w:rPr>
      </w:pPr>
    </w:p>
    <w:p w14:paraId="2BD70CB0">
      <w:pPr>
        <w:pStyle w:val="25"/>
        <w:ind w:firstLine="300"/>
        <w:rPr>
          <w:rFonts w:ascii="宋体" w:hAnsi="宋体" w:cs="宋体"/>
          <w:sz w:val="30"/>
        </w:rPr>
      </w:pPr>
    </w:p>
    <w:p w14:paraId="3BCBC2C3">
      <w:pPr>
        <w:pStyle w:val="25"/>
        <w:ind w:firstLine="300"/>
        <w:rPr>
          <w:rFonts w:ascii="宋体" w:hAnsi="宋体" w:cs="宋体"/>
          <w:sz w:val="30"/>
        </w:rPr>
      </w:pPr>
    </w:p>
    <w:p w14:paraId="221D5D6E"/>
    <w:p w14:paraId="6EFC9EBC">
      <w:pPr>
        <w:pStyle w:val="3"/>
      </w:pPr>
    </w:p>
    <w:p w14:paraId="0E405F35"/>
    <w:p w14:paraId="1B41EE3A">
      <w:pPr>
        <w:pStyle w:val="3"/>
      </w:pPr>
    </w:p>
    <w:p w14:paraId="0FFFFB88"/>
    <w:p w14:paraId="3041D153">
      <w:pPr>
        <w:pStyle w:val="3"/>
      </w:pPr>
    </w:p>
    <w:p w14:paraId="56FB95EB"/>
    <w:p w14:paraId="05DE0ACB">
      <w:pPr>
        <w:pStyle w:val="25"/>
        <w:ind w:firstLine="300"/>
        <w:rPr>
          <w:rFonts w:ascii="宋体" w:hAnsi="宋体" w:cs="宋体"/>
          <w:sz w:val="30"/>
        </w:rPr>
      </w:pPr>
    </w:p>
    <w:p w14:paraId="394B3A4B">
      <w:pPr>
        <w:rPr>
          <w:rFonts w:ascii="宋体" w:hAnsi="宋体" w:cs="宋体"/>
          <w:sz w:val="30"/>
        </w:rPr>
      </w:pPr>
    </w:p>
    <w:p w14:paraId="37825755">
      <w:pPr>
        <w:rPr>
          <w:rFonts w:ascii="宋体" w:hAnsi="宋体" w:cs="宋体"/>
          <w:sz w:val="30"/>
        </w:rPr>
      </w:pPr>
    </w:p>
    <w:p w14:paraId="45C0E3E0">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ascii="Times New Roman" w:hAnsi="Times New Roman" w:eastAsia="黑体" w:cs="Times New Roman"/>
          <w:sz w:val="30"/>
        </w:rPr>
        <w:t xml:space="preserve"> </w:t>
      </w:r>
      <w:r>
        <w:rPr>
          <w:rFonts w:hint="eastAsia" w:ascii="Times New Roman" w:hAnsi="Times New Roman" w:eastAsia="黑体" w:cs="Times New Roman"/>
          <w:sz w:val="30"/>
        </w:rPr>
        <w:t>评标办法及评分标准</w:t>
      </w:r>
    </w:p>
    <w:p w14:paraId="49DB4569">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EDCACAC">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为公正、公平、科学地选择中标人，根据《中华人民共和国政府采购法》等有关法律法规的规定，并结合本项目的实际，制定本办法，本办法适用本项目的评标。</w:t>
      </w:r>
    </w:p>
    <w:p w14:paraId="36D0B47A">
      <w:pPr>
        <w:spacing w:line="360" w:lineRule="exact"/>
        <w:ind w:firstLine="422" w:firstLineChars="200"/>
        <w:rPr>
          <w:rFonts w:ascii="宋体" w:hAnsi="宋体" w:eastAsia="宋体" w:cs="宋体"/>
          <w:b/>
          <w:bCs/>
          <w:szCs w:val="21"/>
          <w:lang w:val="zh-CN"/>
        </w:rPr>
      </w:pPr>
      <w:r>
        <w:rPr>
          <w:rFonts w:hint="eastAsia" w:ascii="宋体" w:hAnsi="宋体" w:eastAsia="宋体" w:cs="宋体"/>
          <w:b/>
          <w:bCs/>
          <w:szCs w:val="21"/>
          <w:lang w:val="zh-CN"/>
        </w:rPr>
        <w:t>一、资格审查</w:t>
      </w:r>
    </w:p>
    <w:p w14:paraId="5C838CD2">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1、由招标人代表对投标人的资格进行审查。</w:t>
      </w:r>
    </w:p>
    <w:p w14:paraId="77D6C3F6">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2、按以下内容审核投标文件是否符合采购文件的资格文件要求。</w:t>
      </w:r>
    </w:p>
    <w:tbl>
      <w:tblPr>
        <w:tblStyle w:val="60"/>
        <w:tblpPr w:leftFromText="180" w:rightFromText="180" w:vertAnchor="text" w:horzAnchor="page" w:tblpX="1941" w:tblpY="376"/>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030"/>
        <w:gridCol w:w="1995"/>
      </w:tblGrid>
      <w:tr w14:paraId="024B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94" w:type="dxa"/>
            <w:vAlign w:val="center"/>
          </w:tcPr>
          <w:p w14:paraId="2B3E3FEF">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6030" w:type="dxa"/>
            <w:tcBorders>
              <w:tl2br w:val="single" w:color="auto" w:sz="4" w:space="0"/>
            </w:tcBorders>
          </w:tcPr>
          <w:p w14:paraId="0332D672">
            <w:pPr>
              <w:spacing w:line="360" w:lineRule="auto"/>
              <w:jc w:val="center"/>
              <w:rPr>
                <w:rFonts w:ascii="宋体" w:hAnsi="宋体" w:eastAsia="宋体" w:cs="宋体"/>
                <w:b/>
                <w:szCs w:val="21"/>
              </w:rPr>
            </w:pPr>
            <w:r>
              <w:rPr>
                <w:rFonts w:hint="eastAsia" w:ascii="宋体" w:hAnsi="宋体" w:eastAsia="宋体" w:cs="宋体"/>
                <w:b/>
                <w:szCs w:val="21"/>
              </w:rPr>
              <w:t xml:space="preserve">                            投标人内容</w:t>
            </w:r>
          </w:p>
        </w:tc>
        <w:tc>
          <w:tcPr>
            <w:tcW w:w="1995" w:type="dxa"/>
            <w:vAlign w:val="center"/>
          </w:tcPr>
          <w:p w14:paraId="795D64C6">
            <w:pPr>
              <w:spacing w:line="360" w:lineRule="auto"/>
              <w:jc w:val="center"/>
              <w:rPr>
                <w:rFonts w:ascii="宋体" w:hAnsi="宋体" w:eastAsia="宋体" w:cs="宋体"/>
                <w:b/>
                <w:szCs w:val="21"/>
              </w:rPr>
            </w:pPr>
            <w:r>
              <w:rPr>
                <w:rFonts w:hint="eastAsia" w:ascii="宋体" w:hAnsi="宋体" w:eastAsia="宋体" w:cs="宋体"/>
                <w:b/>
                <w:szCs w:val="21"/>
              </w:rPr>
              <w:t>审核标准</w:t>
            </w:r>
          </w:p>
        </w:tc>
      </w:tr>
      <w:tr w14:paraId="244F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60CF95F4">
            <w:pPr>
              <w:snapToGrid w:val="0"/>
              <w:spacing w:line="360" w:lineRule="auto"/>
              <w:ind w:right="-87"/>
              <w:jc w:val="center"/>
              <w:rPr>
                <w:rFonts w:ascii="宋体" w:hAnsi="宋体" w:eastAsia="宋体" w:cs="宋体"/>
              </w:rPr>
            </w:pPr>
            <w:r>
              <w:rPr>
                <w:rFonts w:hint="eastAsia" w:ascii="宋体" w:hAnsi="宋体" w:eastAsia="宋体" w:cs="宋体"/>
              </w:rPr>
              <w:t>1</w:t>
            </w:r>
          </w:p>
        </w:tc>
        <w:tc>
          <w:tcPr>
            <w:tcW w:w="6030" w:type="dxa"/>
            <w:vAlign w:val="center"/>
          </w:tcPr>
          <w:p w14:paraId="00F4CBE0">
            <w:pPr>
              <w:snapToGrid w:val="0"/>
              <w:spacing w:line="360" w:lineRule="auto"/>
              <w:ind w:right="-87"/>
              <w:jc w:val="center"/>
              <w:rPr>
                <w:rFonts w:ascii="宋体" w:hAnsi="宋体" w:eastAsia="宋体" w:cs="宋体"/>
              </w:rPr>
            </w:pPr>
            <w:r>
              <w:rPr>
                <w:rFonts w:hint="eastAsia" w:ascii="宋体" w:hAnsi="宋体" w:eastAsia="宋体" w:cs="宋体"/>
              </w:rPr>
              <w:t>投标函。</w:t>
            </w:r>
          </w:p>
        </w:tc>
        <w:tc>
          <w:tcPr>
            <w:tcW w:w="1995" w:type="dxa"/>
            <w:vAlign w:val="center"/>
          </w:tcPr>
          <w:p w14:paraId="62326DF2">
            <w:pPr>
              <w:snapToGrid w:val="0"/>
              <w:spacing w:line="360" w:lineRule="auto"/>
              <w:ind w:right="-87"/>
              <w:jc w:val="center"/>
              <w:rPr>
                <w:rFonts w:ascii="宋体" w:hAnsi="宋体" w:eastAsia="宋体" w:cs="宋体"/>
              </w:rPr>
            </w:pPr>
          </w:p>
        </w:tc>
      </w:tr>
      <w:tr w14:paraId="6500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3B9F32BC">
            <w:pPr>
              <w:snapToGrid w:val="0"/>
              <w:spacing w:line="360" w:lineRule="auto"/>
              <w:ind w:right="-87"/>
              <w:jc w:val="center"/>
              <w:rPr>
                <w:rFonts w:ascii="宋体" w:hAnsi="宋体" w:eastAsia="宋体" w:cs="宋体"/>
              </w:rPr>
            </w:pPr>
            <w:r>
              <w:rPr>
                <w:rFonts w:hint="eastAsia" w:ascii="宋体" w:hAnsi="宋体" w:eastAsia="宋体" w:cs="宋体"/>
              </w:rPr>
              <w:t>2</w:t>
            </w:r>
          </w:p>
        </w:tc>
        <w:tc>
          <w:tcPr>
            <w:tcW w:w="6030" w:type="dxa"/>
            <w:vAlign w:val="center"/>
          </w:tcPr>
          <w:p w14:paraId="55B8F983">
            <w:pPr>
              <w:snapToGrid w:val="0"/>
              <w:spacing w:line="360" w:lineRule="auto"/>
              <w:ind w:right="-87"/>
              <w:jc w:val="center"/>
              <w:rPr>
                <w:rFonts w:ascii="宋体" w:hAnsi="宋体" w:eastAsia="宋体" w:cs="宋体"/>
              </w:rPr>
            </w:pPr>
            <w:r>
              <w:rPr>
                <w:rFonts w:hint="eastAsia" w:ascii="宋体" w:hAnsi="宋体" w:eastAsia="宋体" w:cs="宋体"/>
              </w:rPr>
              <w:t>投标人具有独立承担民事责任的能力的证明材料。</w:t>
            </w:r>
          </w:p>
        </w:tc>
        <w:tc>
          <w:tcPr>
            <w:tcW w:w="1995" w:type="dxa"/>
            <w:vAlign w:val="center"/>
          </w:tcPr>
          <w:p w14:paraId="4B46B5CD">
            <w:pPr>
              <w:snapToGrid w:val="0"/>
              <w:spacing w:line="360" w:lineRule="auto"/>
              <w:ind w:right="-87"/>
              <w:jc w:val="center"/>
              <w:rPr>
                <w:rFonts w:ascii="宋体" w:hAnsi="宋体" w:eastAsia="宋体" w:cs="宋体"/>
              </w:rPr>
            </w:pPr>
          </w:p>
        </w:tc>
      </w:tr>
      <w:tr w14:paraId="265A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CBBB5D3">
            <w:pPr>
              <w:snapToGrid w:val="0"/>
              <w:spacing w:line="360" w:lineRule="auto"/>
              <w:ind w:right="-87"/>
              <w:jc w:val="center"/>
              <w:rPr>
                <w:rFonts w:ascii="宋体" w:hAnsi="宋体" w:eastAsia="宋体" w:cs="宋体"/>
              </w:rPr>
            </w:pPr>
            <w:r>
              <w:rPr>
                <w:rFonts w:hint="eastAsia" w:ascii="宋体" w:hAnsi="宋体" w:eastAsia="宋体" w:cs="宋体"/>
              </w:rPr>
              <w:t>3</w:t>
            </w:r>
          </w:p>
        </w:tc>
        <w:tc>
          <w:tcPr>
            <w:tcW w:w="6030" w:type="dxa"/>
            <w:vAlign w:val="center"/>
          </w:tcPr>
          <w:p w14:paraId="0E27DA5E">
            <w:pPr>
              <w:snapToGrid w:val="0"/>
              <w:spacing w:line="360" w:lineRule="auto"/>
              <w:ind w:right="-87"/>
              <w:jc w:val="left"/>
              <w:rPr>
                <w:rFonts w:ascii="宋体" w:hAnsi="宋体" w:eastAsia="宋体" w:cs="宋体"/>
              </w:rPr>
            </w:pPr>
            <w:r>
              <w:rPr>
                <w:rFonts w:hint="eastAsia" w:ascii="宋体" w:hAnsi="宋体" w:eastAsia="宋体" w:cs="宋体"/>
              </w:rPr>
              <w:t>投标人书面承诺具有良好的商业信誉和健全的财务会计制度，至本项目投标截止时间止符合参与政府采购活动资格条件（格式自拟）。</w:t>
            </w:r>
          </w:p>
        </w:tc>
        <w:tc>
          <w:tcPr>
            <w:tcW w:w="1995" w:type="dxa"/>
            <w:vAlign w:val="center"/>
          </w:tcPr>
          <w:p w14:paraId="3CB35D99">
            <w:pPr>
              <w:snapToGrid w:val="0"/>
              <w:spacing w:line="360" w:lineRule="auto"/>
              <w:ind w:right="-87"/>
              <w:jc w:val="center"/>
              <w:rPr>
                <w:rFonts w:ascii="宋体" w:hAnsi="宋体" w:eastAsia="宋体" w:cs="宋体"/>
              </w:rPr>
            </w:pPr>
          </w:p>
        </w:tc>
      </w:tr>
      <w:tr w14:paraId="1196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5E42933B">
            <w:pPr>
              <w:snapToGrid w:val="0"/>
              <w:spacing w:line="360" w:lineRule="auto"/>
              <w:ind w:right="-87"/>
              <w:jc w:val="center"/>
              <w:rPr>
                <w:rFonts w:ascii="宋体" w:hAnsi="宋体" w:eastAsia="宋体" w:cs="宋体"/>
              </w:rPr>
            </w:pPr>
            <w:r>
              <w:rPr>
                <w:rFonts w:hint="eastAsia" w:ascii="宋体" w:hAnsi="宋体" w:eastAsia="宋体" w:cs="宋体"/>
              </w:rPr>
              <w:t>4</w:t>
            </w:r>
          </w:p>
        </w:tc>
        <w:tc>
          <w:tcPr>
            <w:tcW w:w="6030" w:type="dxa"/>
            <w:vAlign w:val="center"/>
          </w:tcPr>
          <w:p w14:paraId="655F19FC">
            <w:pPr>
              <w:snapToGrid w:val="0"/>
              <w:spacing w:line="360" w:lineRule="auto"/>
              <w:ind w:right="-87"/>
              <w:jc w:val="left"/>
              <w:rPr>
                <w:rFonts w:ascii="宋体" w:hAnsi="宋体" w:eastAsia="宋体" w:cs="宋体"/>
              </w:rPr>
            </w:pPr>
            <w:r>
              <w:rPr>
                <w:rFonts w:hint="eastAsia" w:ascii="宋体" w:hAnsi="宋体" w:eastAsia="宋体" w:cs="宋体"/>
              </w:rPr>
              <w:t>投标人书面承诺有依法缴纳税收和社会保障资金的良好记录，至本项目投标截止时间止符合参与政府采购活动资格条件（格式自拟）。</w:t>
            </w:r>
          </w:p>
        </w:tc>
        <w:tc>
          <w:tcPr>
            <w:tcW w:w="1995" w:type="dxa"/>
            <w:vAlign w:val="center"/>
          </w:tcPr>
          <w:p w14:paraId="124A9054">
            <w:pPr>
              <w:snapToGrid w:val="0"/>
              <w:spacing w:line="360" w:lineRule="auto"/>
              <w:ind w:right="-87"/>
              <w:jc w:val="center"/>
              <w:rPr>
                <w:rFonts w:ascii="宋体" w:hAnsi="宋体" w:eastAsia="宋体" w:cs="宋体"/>
              </w:rPr>
            </w:pPr>
          </w:p>
        </w:tc>
      </w:tr>
      <w:tr w14:paraId="5B31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18EAC169">
            <w:pPr>
              <w:snapToGrid w:val="0"/>
              <w:spacing w:line="360" w:lineRule="auto"/>
              <w:ind w:right="-87"/>
              <w:jc w:val="center"/>
              <w:rPr>
                <w:rFonts w:ascii="宋体" w:hAnsi="宋体" w:eastAsia="宋体" w:cs="宋体"/>
              </w:rPr>
            </w:pPr>
            <w:r>
              <w:rPr>
                <w:rFonts w:hint="eastAsia" w:ascii="宋体" w:hAnsi="宋体" w:eastAsia="宋体" w:cs="宋体"/>
              </w:rPr>
              <w:t>5</w:t>
            </w:r>
          </w:p>
        </w:tc>
        <w:tc>
          <w:tcPr>
            <w:tcW w:w="6030" w:type="dxa"/>
            <w:vAlign w:val="center"/>
          </w:tcPr>
          <w:p w14:paraId="56B51C3B">
            <w:pPr>
              <w:snapToGrid w:val="0"/>
              <w:spacing w:line="360" w:lineRule="auto"/>
              <w:ind w:right="-87"/>
              <w:jc w:val="center"/>
              <w:rPr>
                <w:rFonts w:ascii="宋体" w:hAnsi="宋体" w:eastAsia="宋体" w:cs="宋体"/>
              </w:rPr>
            </w:pPr>
            <w:r>
              <w:rPr>
                <w:rFonts w:hint="eastAsia" w:ascii="宋体" w:hAnsi="宋体" w:eastAsia="宋体" w:cs="宋体"/>
              </w:rPr>
              <w:t>声明函。</w:t>
            </w:r>
          </w:p>
        </w:tc>
        <w:tc>
          <w:tcPr>
            <w:tcW w:w="1995" w:type="dxa"/>
            <w:vAlign w:val="center"/>
          </w:tcPr>
          <w:p w14:paraId="45B70715">
            <w:pPr>
              <w:snapToGrid w:val="0"/>
              <w:spacing w:line="360" w:lineRule="auto"/>
              <w:ind w:right="-87"/>
              <w:jc w:val="center"/>
              <w:rPr>
                <w:rFonts w:ascii="宋体" w:hAnsi="宋体" w:eastAsia="宋体" w:cs="宋体"/>
              </w:rPr>
            </w:pPr>
          </w:p>
        </w:tc>
      </w:tr>
      <w:tr w14:paraId="58F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8E0E6CC">
            <w:pPr>
              <w:snapToGrid w:val="0"/>
              <w:spacing w:line="360" w:lineRule="auto"/>
              <w:ind w:right="-87"/>
              <w:jc w:val="center"/>
              <w:rPr>
                <w:rFonts w:ascii="宋体" w:hAnsi="宋体" w:eastAsia="宋体" w:cs="宋体"/>
              </w:rPr>
            </w:pPr>
            <w:r>
              <w:rPr>
                <w:rFonts w:hint="eastAsia" w:ascii="宋体" w:hAnsi="宋体" w:eastAsia="宋体" w:cs="宋体"/>
              </w:rPr>
              <w:t>6</w:t>
            </w:r>
          </w:p>
        </w:tc>
        <w:tc>
          <w:tcPr>
            <w:tcW w:w="6030" w:type="dxa"/>
            <w:vAlign w:val="center"/>
          </w:tcPr>
          <w:p w14:paraId="7DDBD1FC">
            <w:pPr>
              <w:snapToGrid w:val="0"/>
              <w:spacing w:line="360" w:lineRule="auto"/>
              <w:ind w:right="-87"/>
              <w:jc w:val="center"/>
              <w:rPr>
                <w:rFonts w:ascii="宋体" w:hAnsi="宋体" w:eastAsia="宋体" w:cs="宋体"/>
              </w:rPr>
            </w:pPr>
            <w:r>
              <w:rPr>
                <w:rFonts w:hint="eastAsia" w:ascii="宋体" w:hAnsi="宋体" w:eastAsia="宋体" w:cs="宋体"/>
              </w:rPr>
              <w:t>投标人法定代表人身份证。</w:t>
            </w:r>
          </w:p>
        </w:tc>
        <w:tc>
          <w:tcPr>
            <w:tcW w:w="1995" w:type="dxa"/>
            <w:vAlign w:val="center"/>
          </w:tcPr>
          <w:p w14:paraId="2EFA00C7">
            <w:pPr>
              <w:snapToGrid w:val="0"/>
              <w:spacing w:line="360" w:lineRule="auto"/>
              <w:ind w:right="-87"/>
              <w:jc w:val="center"/>
              <w:rPr>
                <w:rFonts w:ascii="宋体" w:hAnsi="宋体" w:eastAsia="宋体" w:cs="宋体"/>
              </w:rPr>
            </w:pPr>
          </w:p>
        </w:tc>
      </w:tr>
      <w:tr w14:paraId="063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5BD422D6">
            <w:pPr>
              <w:snapToGrid w:val="0"/>
              <w:spacing w:line="360" w:lineRule="auto"/>
              <w:ind w:right="-87"/>
              <w:jc w:val="center"/>
              <w:rPr>
                <w:rFonts w:ascii="宋体" w:hAnsi="宋体" w:eastAsia="宋体" w:cs="宋体"/>
              </w:rPr>
            </w:pPr>
            <w:r>
              <w:rPr>
                <w:rFonts w:hint="eastAsia" w:ascii="宋体" w:hAnsi="宋体" w:eastAsia="宋体" w:cs="宋体"/>
              </w:rPr>
              <w:t>7</w:t>
            </w:r>
          </w:p>
        </w:tc>
        <w:tc>
          <w:tcPr>
            <w:tcW w:w="6030" w:type="dxa"/>
            <w:vAlign w:val="center"/>
          </w:tcPr>
          <w:p w14:paraId="24DE06E5">
            <w:pPr>
              <w:snapToGrid w:val="0"/>
              <w:spacing w:line="360" w:lineRule="auto"/>
              <w:ind w:right="-87"/>
              <w:jc w:val="left"/>
              <w:rPr>
                <w:rFonts w:ascii="宋体" w:hAnsi="宋体" w:eastAsia="宋体" w:cs="宋体"/>
              </w:rPr>
            </w:pPr>
            <w:r>
              <w:rPr>
                <w:rFonts w:hint="eastAsia" w:ascii="宋体" w:hAnsi="宋体" w:eastAsia="宋体" w:cs="宋体"/>
              </w:rPr>
              <w:t>未被“信用中国”（www.creditchina.gov.cn）、中国政府采购网（www.ccgp.gov.cn）列入失信被执行人、重大税收违法案件当事人名单、政府采购严重违法失信行为记录名单。（具体以开标现场网页查询结果为准）</w:t>
            </w:r>
          </w:p>
        </w:tc>
        <w:tc>
          <w:tcPr>
            <w:tcW w:w="1995" w:type="dxa"/>
            <w:vAlign w:val="center"/>
          </w:tcPr>
          <w:p w14:paraId="3816DFEF">
            <w:pPr>
              <w:snapToGrid w:val="0"/>
              <w:spacing w:line="360" w:lineRule="auto"/>
              <w:ind w:right="-87"/>
              <w:jc w:val="center"/>
              <w:rPr>
                <w:rFonts w:ascii="宋体" w:hAnsi="宋体" w:eastAsia="宋体" w:cs="宋体"/>
              </w:rPr>
            </w:pPr>
          </w:p>
        </w:tc>
      </w:tr>
      <w:tr w14:paraId="7BE7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78FDEAD5">
            <w:pPr>
              <w:snapToGrid w:val="0"/>
              <w:spacing w:line="360" w:lineRule="auto"/>
              <w:ind w:right="-87"/>
              <w:jc w:val="center"/>
              <w:rPr>
                <w:rFonts w:ascii="宋体" w:hAnsi="宋体" w:eastAsia="宋体" w:cs="宋体"/>
              </w:rPr>
            </w:pPr>
            <w:r>
              <w:rPr>
                <w:rFonts w:hint="eastAsia" w:ascii="宋体" w:hAnsi="宋体" w:eastAsia="宋体" w:cs="宋体"/>
              </w:rPr>
              <w:t>8</w:t>
            </w:r>
          </w:p>
        </w:tc>
        <w:tc>
          <w:tcPr>
            <w:tcW w:w="6030" w:type="dxa"/>
            <w:vAlign w:val="center"/>
          </w:tcPr>
          <w:p w14:paraId="505A7AAE">
            <w:pPr>
              <w:snapToGrid w:val="0"/>
              <w:spacing w:line="360" w:lineRule="auto"/>
              <w:ind w:right="-87"/>
              <w:jc w:val="left"/>
              <w:rPr>
                <w:rFonts w:ascii="宋体" w:hAnsi="宋体" w:eastAsia="宋体" w:cs="宋体"/>
              </w:rPr>
            </w:pPr>
            <w:r>
              <w:rPr>
                <w:rFonts w:hint="eastAsia" w:ascii="宋体" w:hAnsi="宋体" w:eastAsia="宋体" w:cs="宋体"/>
              </w:rPr>
              <w:t>本项目专门面向中小企业采购，投标供应商应为中小企业/小微企业，监狱企业、残疾人福利性单位视为中小企业。</w:t>
            </w:r>
          </w:p>
        </w:tc>
        <w:tc>
          <w:tcPr>
            <w:tcW w:w="1995" w:type="dxa"/>
            <w:vAlign w:val="center"/>
          </w:tcPr>
          <w:p w14:paraId="4B3359C3">
            <w:pPr>
              <w:snapToGrid w:val="0"/>
              <w:spacing w:line="360" w:lineRule="auto"/>
              <w:ind w:right="-87"/>
              <w:jc w:val="center"/>
              <w:rPr>
                <w:rFonts w:ascii="宋体" w:hAnsi="宋体" w:eastAsia="宋体" w:cs="宋体"/>
              </w:rPr>
            </w:pPr>
          </w:p>
        </w:tc>
      </w:tr>
      <w:tr w14:paraId="5709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6A7A10CE">
            <w:pPr>
              <w:snapToGrid w:val="0"/>
              <w:spacing w:line="360" w:lineRule="auto"/>
              <w:ind w:right="-87"/>
              <w:jc w:val="center"/>
              <w:rPr>
                <w:rFonts w:hint="eastAsia" w:ascii="宋体" w:hAnsi="宋体" w:eastAsia="宋体" w:cs="宋体"/>
                <w:highlight w:val="yellow"/>
                <w:lang w:val="en-US" w:eastAsia="zh-CN"/>
              </w:rPr>
            </w:pPr>
            <w:r>
              <w:rPr>
                <w:rFonts w:hint="eastAsia" w:ascii="宋体" w:hAnsi="宋体" w:eastAsia="宋体" w:cs="宋体"/>
                <w:highlight w:val="none"/>
                <w:lang w:val="en-US" w:eastAsia="zh-CN"/>
              </w:rPr>
              <w:t>9</w:t>
            </w:r>
          </w:p>
        </w:tc>
        <w:tc>
          <w:tcPr>
            <w:tcW w:w="6030" w:type="dxa"/>
            <w:vAlign w:val="center"/>
          </w:tcPr>
          <w:p w14:paraId="78F2A7DF">
            <w:pPr>
              <w:widowControl/>
              <w:spacing w:line="360" w:lineRule="auto"/>
              <w:jc w:val="left"/>
              <w:rPr>
                <w:rFonts w:hint="eastAsia" w:ascii="宋体" w:hAnsi="宋体" w:eastAsia="宋体" w:cs="宋体"/>
                <w:highlight w:val="yellow"/>
              </w:rPr>
            </w:pPr>
            <w:r>
              <w:rPr>
                <w:rFonts w:hint="eastAsia" w:ascii="宋体" w:hAnsi="宋体" w:eastAsia="宋体" w:cs="宋体"/>
                <w:kern w:val="0"/>
                <w:szCs w:val="21"/>
              </w:rPr>
              <w:t>具有建设工程质量检测机构资质，检测范围包括:建筑材料及构配件、主体结构及装饰装修、钢结构、地基基础现场检测资质</w:t>
            </w:r>
            <w:r>
              <w:rPr>
                <w:rFonts w:hint="eastAsia" w:ascii="宋体" w:hAnsi="宋体" w:eastAsia="宋体" w:cs="宋体"/>
                <w:kern w:val="0"/>
                <w:szCs w:val="21"/>
                <w:lang w:eastAsia="zh-CN"/>
              </w:rPr>
              <w:t>，（后附《检测能力附表》和《检测报告批准人附表》）；</w:t>
            </w:r>
            <w:r>
              <w:rPr>
                <w:rFonts w:hint="eastAsia" w:ascii="宋体" w:hAnsi="宋体" w:eastAsia="宋体" w:cs="宋体"/>
                <w:kern w:val="0"/>
                <w:szCs w:val="21"/>
              </w:rPr>
              <w:t>或具备建设行政主管部门核发的工程设计资质</w:t>
            </w:r>
            <w:r>
              <w:rPr>
                <w:rFonts w:hint="eastAsia" w:ascii="宋体" w:hAnsi="宋体" w:eastAsia="宋体" w:cs="宋体"/>
                <w:kern w:val="0"/>
                <w:szCs w:val="21"/>
                <w:lang w:eastAsia="zh-CN"/>
              </w:rPr>
              <w:t>。</w:t>
            </w:r>
          </w:p>
        </w:tc>
        <w:tc>
          <w:tcPr>
            <w:tcW w:w="1995" w:type="dxa"/>
            <w:vAlign w:val="center"/>
          </w:tcPr>
          <w:p w14:paraId="6014FF6C">
            <w:pPr>
              <w:snapToGrid w:val="0"/>
              <w:spacing w:line="360" w:lineRule="auto"/>
              <w:ind w:right="-87"/>
              <w:jc w:val="center"/>
              <w:rPr>
                <w:rFonts w:ascii="宋体" w:hAnsi="宋体" w:eastAsia="宋体" w:cs="宋体"/>
                <w:highlight w:val="yellow"/>
              </w:rPr>
            </w:pPr>
          </w:p>
        </w:tc>
      </w:tr>
      <w:tr w14:paraId="2A3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719" w:type="dxa"/>
            <w:gridSpan w:val="3"/>
            <w:vAlign w:val="center"/>
          </w:tcPr>
          <w:p w14:paraId="5D99B3AB">
            <w:pPr>
              <w:snapToGrid w:val="0"/>
              <w:spacing w:line="360" w:lineRule="auto"/>
              <w:ind w:right="-87"/>
              <w:jc w:val="center"/>
              <w:rPr>
                <w:rFonts w:ascii="宋体" w:hAnsi="宋体" w:eastAsia="宋体" w:cs="宋体"/>
              </w:rPr>
            </w:pPr>
            <w:r>
              <w:rPr>
                <w:rFonts w:hint="eastAsia" w:ascii="宋体" w:hAnsi="宋体" w:eastAsia="宋体" w:cs="宋体"/>
              </w:rPr>
              <w:t>非法定代表人参加投标时</w:t>
            </w:r>
          </w:p>
        </w:tc>
      </w:tr>
      <w:tr w14:paraId="4613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365F19A">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030" w:type="dxa"/>
            <w:vAlign w:val="center"/>
          </w:tcPr>
          <w:p w14:paraId="123A562E">
            <w:pPr>
              <w:snapToGrid w:val="0"/>
              <w:spacing w:line="360" w:lineRule="auto"/>
              <w:ind w:right="-87"/>
              <w:jc w:val="center"/>
              <w:rPr>
                <w:rFonts w:ascii="宋体" w:hAnsi="宋体" w:eastAsia="宋体" w:cs="宋体"/>
              </w:rPr>
            </w:pPr>
            <w:r>
              <w:rPr>
                <w:rFonts w:hint="eastAsia" w:ascii="宋体" w:hAnsi="宋体" w:eastAsia="宋体" w:cs="宋体"/>
              </w:rPr>
              <w:t>《法定代表人授权函》原件。（非法定代表人参加投标时）</w:t>
            </w:r>
          </w:p>
        </w:tc>
        <w:tc>
          <w:tcPr>
            <w:tcW w:w="1995" w:type="dxa"/>
            <w:vAlign w:val="center"/>
          </w:tcPr>
          <w:p w14:paraId="73452D53">
            <w:pPr>
              <w:snapToGrid w:val="0"/>
              <w:spacing w:line="360" w:lineRule="auto"/>
              <w:ind w:right="-87"/>
              <w:jc w:val="center"/>
              <w:rPr>
                <w:rFonts w:ascii="宋体" w:hAnsi="宋体" w:eastAsia="宋体" w:cs="宋体"/>
              </w:rPr>
            </w:pPr>
          </w:p>
        </w:tc>
      </w:tr>
      <w:tr w14:paraId="6B30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4FC4E51">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6030" w:type="dxa"/>
            <w:vAlign w:val="center"/>
          </w:tcPr>
          <w:p w14:paraId="001CA140">
            <w:pPr>
              <w:snapToGrid w:val="0"/>
              <w:spacing w:line="360" w:lineRule="auto"/>
              <w:ind w:right="-87"/>
              <w:jc w:val="center"/>
              <w:rPr>
                <w:rFonts w:ascii="宋体" w:hAnsi="宋体" w:eastAsia="宋体" w:cs="宋体"/>
              </w:rPr>
            </w:pPr>
            <w:r>
              <w:rPr>
                <w:rFonts w:hint="eastAsia" w:ascii="宋体" w:hAnsi="宋体" w:eastAsia="宋体" w:cs="宋体"/>
              </w:rPr>
              <w:t>投标人代表身份证扫描件。（非法定代表人参加投标时）</w:t>
            </w:r>
          </w:p>
        </w:tc>
        <w:tc>
          <w:tcPr>
            <w:tcW w:w="1995" w:type="dxa"/>
            <w:vAlign w:val="center"/>
          </w:tcPr>
          <w:p w14:paraId="79F8F8E6">
            <w:pPr>
              <w:snapToGrid w:val="0"/>
              <w:spacing w:line="360" w:lineRule="auto"/>
              <w:ind w:right="-87"/>
              <w:jc w:val="center"/>
              <w:rPr>
                <w:rFonts w:ascii="宋体" w:hAnsi="宋体" w:eastAsia="宋体" w:cs="宋体"/>
              </w:rPr>
            </w:pPr>
          </w:p>
        </w:tc>
      </w:tr>
      <w:tr w14:paraId="6D85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24" w:type="dxa"/>
            <w:gridSpan w:val="2"/>
          </w:tcPr>
          <w:p w14:paraId="6ACDE379">
            <w:pPr>
              <w:pStyle w:val="38"/>
              <w:spacing w:line="360" w:lineRule="auto"/>
              <w:ind w:firstLine="0" w:firstLineChars="0"/>
              <w:jc w:val="center"/>
              <w:rPr>
                <w:rFonts w:ascii="宋体" w:cs="宋体"/>
                <w:b w:val="0"/>
                <w:color w:val="auto"/>
                <w:kern w:val="2"/>
                <w:sz w:val="21"/>
              </w:rPr>
            </w:pPr>
            <w:r>
              <w:rPr>
                <w:rFonts w:hint="eastAsia" w:ascii="宋体" w:cs="宋体"/>
                <w:b w:val="0"/>
                <w:color w:val="auto"/>
                <w:kern w:val="2"/>
                <w:sz w:val="21"/>
              </w:rPr>
              <w:t>结   论</w:t>
            </w:r>
          </w:p>
        </w:tc>
        <w:tc>
          <w:tcPr>
            <w:tcW w:w="1995" w:type="dxa"/>
            <w:vAlign w:val="center"/>
          </w:tcPr>
          <w:p w14:paraId="4951EBFD">
            <w:pPr>
              <w:spacing w:line="360" w:lineRule="auto"/>
              <w:ind w:left="180"/>
              <w:jc w:val="center"/>
              <w:rPr>
                <w:rFonts w:ascii="宋体" w:hAnsi="宋体" w:eastAsia="宋体" w:cs="宋体"/>
              </w:rPr>
            </w:pPr>
          </w:p>
        </w:tc>
      </w:tr>
    </w:tbl>
    <w:p w14:paraId="09B116FB">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3、未通过资格审的投标人，其投标文件作无效投标处理，不再进入后续评标。</w:t>
      </w:r>
    </w:p>
    <w:p w14:paraId="415F5BA4">
      <w:pPr>
        <w:pStyle w:val="25"/>
        <w:ind w:firstLine="210"/>
      </w:pPr>
    </w:p>
    <w:p w14:paraId="4763CDB6">
      <w:pPr>
        <w:autoSpaceDE w:val="0"/>
        <w:autoSpaceDN w:val="0"/>
        <w:adjustRightInd w:val="0"/>
        <w:snapToGrid w:val="0"/>
        <w:spacing w:line="336" w:lineRule="auto"/>
        <w:ind w:right="-87" w:firstLine="411" w:firstLineChars="196"/>
        <w:rPr>
          <w:rFonts w:ascii="Times New Roman" w:hAnsi="Times New Roman" w:eastAsia="宋体" w:cs="Times New Roman"/>
          <w:szCs w:val="21"/>
          <w:lang w:val="zh-CN"/>
        </w:rPr>
      </w:pPr>
    </w:p>
    <w:p w14:paraId="5C348E43">
      <w:pPr>
        <w:autoSpaceDE w:val="0"/>
        <w:autoSpaceDN w:val="0"/>
        <w:adjustRightInd w:val="0"/>
        <w:snapToGrid w:val="0"/>
        <w:spacing w:line="336" w:lineRule="auto"/>
        <w:ind w:right="-87" w:firstLine="411" w:firstLineChars="196"/>
        <w:rPr>
          <w:rFonts w:ascii="Times New Roman" w:hAnsi="Times New Roman" w:eastAsia="宋体" w:cs="Times New Roman"/>
          <w:szCs w:val="21"/>
          <w:lang w:val="zh-CN"/>
        </w:rPr>
      </w:pPr>
    </w:p>
    <w:bookmarkEnd w:id="0"/>
    <w:p w14:paraId="2416DF69">
      <w:pPr>
        <w:autoSpaceDE w:val="0"/>
        <w:autoSpaceDN w:val="0"/>
        <w:adjustRightInd w:val="0"/>
        <w:spacing w:line="360" w:lineRule="exact"/>
        <w:rPr>
          <w:rFonts w:ascii="宋体" w:hAnsi="宋体" w:eastAsia="宋体" w:cs="宋体"/>
          <w:b/>
          <w:szCs w:val="21"/>
        </w:rPr>
      </w:pPr>
      <w:r>
        <w:rPr>
          <w:rFonts w:hint="eastAsia" w:ascii="宋体" w:hAnsi="宋体" w:eastAsia="宋体" w:cs="宋体"/>
          <w:b/>
          <w:szCs w:val="21"/>
        </w:rPr>
        <w:t>二、中标候选人的选取</w:t>
      </w:r>
    </w:p>
    <w:p w14:paraId="2CAA5142">
      <w:pPr>
        <w:spacing w:line="360" w:lineRule="exact"/>
        <w:ind w:firstLine="420" w:firstLineChars="200"/>
        <w:rPr>
          <w:rFonts w:ascii="宋体" w:hAnsi="宋体" w:eastAsia="宋体" w:cs="宋体"/>
          <w:b/>
          <w:szCs w:val="21"/>
          <w:lang w:val="zh-CN"/>
        </w:rPr>
      </w:pPr>
      <w:r>
        <w:rPr>
          <w:rFonts w:hint="eastAsia" w:ascii="宋体" w:hAnsi="宋体" w:eastAsia="宋体" w:cs="宋体"/>
          <w:szCs w:val="21"/>
        </w:rPr>
        <w:t>将综合评估分从高到低排序，得出投标人名次，按照综合评估分名次推荐中标候选人3名。综合评估分相同时，按投标报价由低到高顺序排列，综合评估分且投标报价相同的，</w:t>
      </w:r>
      <w:r>
        <w:rPr>
          <w:rFonts w:hint="eastAsia" w:ascii="宋体" w:hAnsi="宋体" w:eastAsia="宋体" w:cs="宋体"/>
          <w:color w:val="000000"/>
          <w:szCs w:val="21"/>
        </w:rPr>
        <w:t>按技术指标优劣顺序排列。</w:t>
      </w:r>
    </w:p>
    <w:p w14:paraId="2C0B15FD">
      <w:pPr>
        <w:spacing w:line="360" w:lineRule="exact"/>
        <w:rPr>
          <w:rFonts w:ascii="宋体" w:hAnsi="宋体" w:eastAsia="宋体" w:cs="宋体"/>
          <w:b/>
          <w:szCs w:val="21"/>
        </w:rPr>
      </w:pPr>
      <w:r>
        <w:rPr>
          <w:rFonts w:hint="eastAsia" w:ascii="宋体" w:hAnsi="宋体" w:eastAsia="宋体" w:cs="宋体"/>
          <w:b/>
          <w:szCs w:val="21"/>
        </w:rPr>
        <w:t>三、中标人选取依据</w:t>
      </w:r>
    </w:p>
    <w:p w14:paraId="7A9D8352">
      <w:pPr>
        <w:spacing w:line="360" w:lineRule="exact"/>
        <w:ind w:firstLine="420" w:firstLineChars="200"/>
        <w:rPr>
          <w:rFonts w:ascii="宋体" w:hAnsi="宋体" w:eastAsia="宋体" w:cs="宋体"/>
          <w:b/>
          <w:szCs w:val="21"/>
        </w:rPr>
      </w:pPr>
      <w:r>
        <w:rPr>
          <w:rFonts w:hint="eastAsia" w:ascii="宋体" w:hAnsi="宋体" w:eastAsia="宋体" w:cs="宋体"/>
          <w:szCs w:val="21"/>
        </w:rPr>
        <w:t>评标委员会根据综合评估分得分排序，推荐第一名中标候选人为中标人，经采购人确认后，确定项目中标人，同时发布采购结果公告，发出中标通知书。</w:t>
      </w:r>
    </w:p>
    <w:p w14:paraId="5473E916">
      <w:pPr>
        <w:spacing w:line="360" w:lineRule="exact"/>
        <w:rPr>
          <w:rFonts w:ascii="宋体" w:hAnsi="宋体" w:eastAsia="宋体" w:cs="宋体"/>
          <w:b/>
          <w:szCs w:val="21"/>
        </w:rPr>
      </w:pPr>
      <w:r>
        <w:rPr>
          <w:rFonts w:hint="eastAsia" w:ascii="宋体" w:hAnsi="宋体" w:eastAsia="宋体" w:cs="宋体"/>
          <w:b/>
          <w:szCs w:val="21"/>
        </w:rPr>
        <w:t>四、综合评估分计分方法</w:t>
      </w:r>
    </w:p>
    <w:p w14:paraId="3165DED7">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1、本项目采用综合评估计分法，即满足招标文件要求且投标价格最低的投标报价为评标基准价，其价格分为满分，其他投标人的价格分按下列公式计算：投标报价得分＝（评标基准价/投标报价）×价格权重×100。</w:t>
      </w:r>
    </w:p>
    <w:p w14:paraId="0CED5938">
      <w:pPr>
        <w:autoSpaceDE w:val="0"/>
        <w:autoSpaceDN w:val="0"/>
        <w:adjustRightInd w:val="0"/>
        <w:spacing w:line="360" w:lineRule="exact"/>
        <w:ind w:firstLine="420" w:firstLineChars="200"/>
        <w:rPr>
          <w:rFonts w:ascii="宋体" w:hAnsi="宋体" w:eastAsia="宋体" w:cs="宋体"/>
          <w:color w:val="0000FF"/>
          <w:szCs w:val="21"/>
          <w:lang w:val="zh-CN"/>
        </w:rPr>
      </w:pPr>
      <w:r>
        <w:rPr>
          <w:rFonts w:hint="eastAsia" w:ascii="宋体" w:hAnsi="宋体" w:eastAsia="宋体" w:cs="宋体"/>
          <w:szCs w:val="21"/>
          <w:lang w:val="zh-CN"/>
        </w:rPr>
        <w:t>本项目最高限价为646.8万元</w:t>
      </w:r>
      <w:r>
        <w:rPr>
          <w:rFonts w:hint="eastAsia" w:ascii="宋体" w:hAnsi="宋体" w:eastAsia="宋体" w:cs="宋体"/>
          <w:szCs w:val="21"/>
        </w:rPr>
        <w:t>，投标报价超过最高限价的，作无效投标处理。</w:t>
      </w:r>
    </w:p>
    <w:p w14:paraId="0BA5EF5F">
      <w:pPr>
        <w:autoSpaceDE w:val="0"/>
        <w:autoSpaceDN w:val="0"/>
        <w:adjustRightInd w:val="0"/>
        <w:spacing w:line="360" w:lineRule="exact"/>
        <w:ind w:left="416" w:leftChars="198"/>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政府采购优惠政策</w:t>
      </w:r>
    </w:p>
    <w:p w14:paraId="082B1DD5">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根据财政部关于《政府采购促进中小企业发展政策问答》，本项目专门面向中小企业采购，不再执行价格评审优惠的扶持政策。</w:t>
      </w:r>
    </w:p>
    <w:p w14:paraId="5C6C5998">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3、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0933B9">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 xml:space="preserve">在评分时，各投标人投标报价得分保留小数点后二位，第三位四舍五入。评审专家打分准确到小数点后一位，商务技术部分得分为所有评委评分的算术平均值，得分保留小数点后二位，第三位四舍五入。综合评估分=商务技术部分得分＋投标报价得分。 </w:t>
      </w:r>
    </w:p>
    <w:p w14:paraId="6AD3711E">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、投标报价和商务技术得分权重</w:t>
      </w:r>
    </w:p>
    <w:tbl>
      <w:tblPr>
        <w:tblStyle w:val="60"/>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049"/>
        <w:gridCol w:w="1927"/>
        <w:gridCol w:w="2119"/>
      </w:tblGrid>
      <w:tr w14:paraId="02B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1" w:type="dxa"/>
            <w:noWrap/>
          </w:tcPr>
          <w:p w14:paraId="0048B51C">
            <w:pPr>
              <w:spacing w:line="360" w:lineRule="exact"/>
              <w:jc w:val="center"/>
              <w:rPr>
                <w:rFonts w:ascii="宋体" w:hAnsi="宋体" w:eastAsia="宋体" w:cs="宋体"/>
                <w:szCs w:val="21"/>
              </w:rPr>
            </w:pPr>
            <w:r>
              <w:rPr>
                <w:rFonts w:hint="eastAsia" w:ascii="宋体" w:hAnsi="宋体" w:eastAsia="宋体" w:cs="宋体"/>
                <w:szCs w:val="21"/>
              </w:rPr>
              <w:t>评标指标</w:t>
            </w:r>
          </w:p>
        </w:tc>
        <w:tc>
          <w:tcPr>
            <w:tcW w:w="2049" w:type="dxa"/>
            <w:noWrap/>
          </w:tcPr>
          <w:p w14:paraId="5D04E869">
            <w:pPr>
              <w:spacing w:line="360" w:lineRule="exact"/>
              <w:jc w:val="center"/>
              <w:rPr>
                <w:rFonts w:ascii="宋体" w:hAnsi="宋体" w:eastAsia="宋体" w:cs="宋体"/>
                <w:szCs w:val="21"/>
              </w:rPr>
            </w:pPr>
            <w:r>
              <w:rPr>
                <w:rFonts w:hint="eastAsia" w:ascii="宋体" w:hAnsi="宋体" w:eastAsia="宋体" w:cs="宋体"/>
                <w:szCs w:val="21"/>
              </w:rPr>
              <w:t>投标报价</w:t>
            </w:r>
          </w:p>
        </w:tc>
        <w:tc>
          <w:tcPr>
            <w:tcW w:w="1927" w:type="dxa"/>
            <w:noWrap/>
          </w:tcPr>
          <w:p w14:paraId="4BE26475">
            <w:pPr>
              <w:spacing w:line="360" w:lineRule="exact"/>
              <w:jc w:val="center"/>
              <w:rPr>
                <w:rFonts w:ascii="宋体" w:hAnsi="宋体" w:eastAsia="宋体" w:cs="宋体"/>
                <w:szCs w:val="21"/>
              </w:rPr>
            </w:pPr>
            <w:r>
              <w:rPr>
                <w:rFonts w:hint="eastAsia" w:ascii="宋体" w:hAnsi="宋体" w:eastAsia="宋体" w:cs="宋体"/>
                <w:szCs w:val="21"/>
              </w:rPr>
              <w:t>商务技术部分</w:t>
            </w:r>
          </w:p>
        </w:tc>
        <w:tc>
          <w:tcPr>
            <w:tcW w:w="2119" w:type="dxa"/>
            <w:noWrap/>
          </w:tcPr>
          <w:p w14:paraId="4C1C4C35">
            <w:pPr>
              <w:spacing w:line="360" w:lineRule="exact"/>
              <w:jc w:val="center"/>
              <w:rPr>
                <w:rFonts w:ascii="宋体" w:hAnsi="宋体" w:eastAsia="宋体" w:cs="宋体"/>
                <w:szCs w:val="21"/>
              </w:rPr>
            </w:pPr>
            <w:r>
              <w:rPr>
                <w:rFonts w:hint="eastAsia" w:ascii="宋体" w:hAnsi="宋体" w:eastAsia="宋体" w:cs="宋体"/>
                <w:szCs w:val="21"/>
              </w:rPr>
              <w:t>合计</w:t>
            </w:r>
          </w:p>
        </w:tc>
      </w:tr>
      <w:tr w14:paraId="102E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1" w:type="dxa"/>
            <w:noWrap/>
          </w:tcPr>
          <w:p w14:paraId="2F45FC97">
            <w:pPr>
              <w:spacing w:line="360" w:lineRule="exact"/>
              <w:jc w:val="center"/>
              <w:rPr>
                <w:rFonts w:ascii="宋体" w:hAnsi="宋体" w:eastAsia="宋体" w:cs="宋体"/>
                <w:szCs w:val="21"/>
              </w:rPr>
            </w:pPr>
            <w:r>
              <w:rPr>
                <w:rFonts w:hint="eastAsia" w:ascii="宋体" w:hAnsi="宋体" w:eastAsia="宋体" w:cs="宋体"/>
                <w:szCs w:val="21"/>
              </w:rPr>
              <w:t>权重（%）</w:t>
            </w:r>
          </w:p>
        </w:tc>
        <w:tc>
          <w:tcPr>
            <w:tcW w:w="2049" w:type="dxa"/>
            <w:noWrap/>
          </w:tcPr>
          <w:p w14:paraId="28A664BA">
            <w:pPr>
              <w:spacing w:line="360" w:lineRule="exact"/>
              <w:jc w:val="center"/>
              <w:rPr>
                <w:rFonts w:ascii="宋体" w:hAnsi="宋体" w:eastAsia="宋体" w:cs="宋体"/>
                <w:szCs w:val="21"/>
              </w:rPr>
            </w:pPr>
            <w:r>
              <w:rPr>
                <w:rFonts w:hint="eastAsia" w:ascii="宋体" w:hAnsi="宋体" w:eastAsia="宋体" w:cs="宋体"/>
                <w:szCs w:val="21"/>
              </w:rPr>
              <w:t>15</w:t>
            </w:r>
          </w:p>
        </w:tc>
        <w:tc>
          <w:tcPr>
            <w:tcW w:w="1927" w:type="dxa"/>
            <w:noWrap/>
          </w:tcPr>
          <w:p w14:paraId="649D4947">
            <w:pPr>
              <w:spacing w:line="360" w:lineRule="exact"/>
              <w:jc w:val="center"/>
              <w:rPr>
                <w:rFonts w:ascii="宋体" w:hAnsi="宋体" w:eastAsia="宋体" w:cs="宋体"/>
                <w:szCs w:val="21"/>
              </w:rPr>
            </w:pPr>
            <w:r>
              <w:rPr>
                <w:rFonts w:hint="eastAsia" w:ascii="宋体" w:hAnsi="宋体" w:eastAsia="宋体" w:cs="宋体"/>
                <w:szCs w:val="21"/>
              </w:rPr>
              <w:t>85</w:t>
            </w:r>
          </w:p>
        </w:tc>
        <w:tc>
          <w:tcPr>
            <w:tcW w:w="2119" w:type="dxa"/>
            <w:noWrap/>
          </w:tcPr>
          <w:p w14:paraId="57CAAF34">
            <w:pPr>
              <w:spacing w:line="360" w:lineRule="exact"/>
              <w:jc w:val="center"/>
              <w:rPr>
                <w:rFonts w:ascii="宋体" w:hAnsi="宋体" w:eastAsia="宋体" w:cs="宋体"/>
                <w:szCs w:val="21"/>
              </w:rPr>
            </w:pPr>
            <w:r>
              <w:rPr>
                <w:rFonts w:hint="eastAsia" w:ascii="宋体" w:hAnsi="宋体" w:eastAsia="宋体" w:cs="宋体"/>
                <w:szCs w:val="21"/>
              </w:rPr>
              <w:t>100</w:t>
            </w:r>
          </w:p>
        </w:tc>
      </w:tr>
    </w:tbl>
    <w:p w14:paraId="2C0BB338">
      <w:pPr>
        <w:pStyle w:val="33"/>
        <w:snapToGrid w:val="0"/>
        <w:spacing w:before="156" w:line="360" w:lineRule="exact"/>
        <w:ind w:firstLine="367" w:firstLineChars="175"/>
        <w:jc w:val="left"/>
        <w:outlineLvl w:val="0"/>
        <w:rPr>
          <w:rFonts w:hAnsi="宋体" w:cs="宋体"/>
          <w:b/>
          <w:bCs/>
          <w:sz w:val="21"/>
          <w:szCs w:val="21"/>
          <w:lang w:val="zh-CN"/>
        </w:rPr>
      </w:pPr>
      <w:r>
        <w:rPr>
          <w:rFonts w:hint="eastAsia" w:hAnsi="宋体" w:cs="宋体"/>
          <w:bCs/>
          <w:sz w:val="21"/>
          <w:szCs w:val="21"/>
        </w:rPr>
        <w:t>5、商务技术评分标准</w:t>
      </w:r>
    </w:p>
    <w:tbl>
      <w:tblPr>
        <w:tblStyle w:val="6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9"/>
        <w:gridCol w:w="7632"/>
      </w:tblGrid>
      <w:tr w14:paraId="74B7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4" w:type="dxa"/>
            <w:vAlign w:val="center"/>
          </w:tcPr>
          <w:p w14:paraId="74765F97">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内容</w:t>
            </w:r>
          </w:p>
        </w:tc>
        <w:tc>
          <w:tcPr>
            <w:tcW w:w="1329" w:type="dxa"/>
            <w:vAlign w:val="center"/>
          </w:tcPr>
          <w:p w14:paraId="53DB41E0">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评分内容</w:t>
            </w:r>
          </w:p>
        </w:tc>
        <w:tc>
          <w:tcPr>
            <w:tcW w:w="7632" w:type="dxa"/>
            <w:vAlign w:val="center"/>
          </w:tcPr>
          <w:p w14:paraId="34405E6B">
            <w:pPr>
              <w:autoSpaceDE w:val="0"/>
              <w:autoSpaceDN w:val="0"/>
              <w:adjustRightInd w:val="0"/>
              <w:spacing w:line="360" w:lineRule="exact"/>
              <w:ind w:firstLine="420" w:firstLineChars="200"/>
              <w:rPr>
                <w:rFonts w:ascii="宋体" w:hAnsi="宋体" w:eastAsia="宋体" w:cs="宋体"/>
                <w:szCs w:val="21"/>
                <w:lang w:eastAsia="en-US"/>
              </w:rPr>
            </w:pPr>
            <w:r>
              <w:rPr>
                <w:rFonts w:hint="eastAsia" w:ascii="宋体" w:hAnsi="宋体" w:eastAsia="宋体" w:cs="宋体"/>
                <w:szCs w:val="21"/>
              </w:rPr>
              <w:t>评分标准</w:t>
            </w:r>
          </w:p>
        </w:tc>
      </w:tr>
      <w:tr w14:paraId="522A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4" w:type="dxa"/>
            <w:vAlign w:val="center"/>
          </w:tcPr>
          <w:p w14:paraId="661A811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报价部分15分</w:t>
            </w:r>
          </w:p>
        </w:tc>
        <w:tc>
          <w:tcPr>
            <w:tcW w:w="1329" w:type="dxa"/>
            <w:vAlign w:val="center"/>
          </w:tcPr>
          <w:p w14:paraId="40A28916">
            <w:pPr>
              <w:autoSpaceDE w:val="0"/>
              <w:autoSpaceDN w:val="0"/>
              <w:adjustRightInd w:val="0"/>
              <w:spacing w:line="360" w:lineRule="exact"/>
              <w:ind w:firstLine="420" w:firstLineChars="200"/>
              <w:rPr>
                <w:rFonts w:ascii="宋体" w:hAnsi="宋体" w:eastAsia="宋体" w:cs="宋体"/>
                <w:szCs w:val="21"/>
              </w:rPr>
            </w:pPr>
          </w:p>
          <w:p w14:paraId="2C0DD0E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价格分</w:t>
            </w:r>
          </w:p>
          <w:p w14:paraId="1BA6EA03">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1F624F2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按满足采购文件要求且有效投标价格最低的投标报价作为评标基准价，其价格分为满分15分；其他投标人的价格分按以下公式计算：</w:t>
            </w:r>
          </w:p>
          <w:p w14:paraId="2F227734">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投标报价得分＝（评标基准价/投标报价）×15×100%</w:t>
            </w:r>
          </w:p>
        </w:tc>
      </w:tr>
      <w:tr w14:paraId="26D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4" w:type="dxa"/>
            <w:vMerge w:val="restart"/>
            <w:vAlign w:val="center"/>
          </w:tcPr>
          <w:p w14:paraId="28C4A8CB">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商务部分9.5分</w:t>
            </w:r>
          </w:p>
        </w:tc>
        <w:tc>
          <w:tcPr>
            <w:tcW w:w="1329" w:type="dxa"/>
            <w:vAlign w:val="center"/>
          </w:tcPr>
          <w:p w14:paraId="762CD9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企业资信</w:t>
            </w:r>
          </w:p>
          <w:p w14:paraId="7F975BEE">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（2分）</w:t>
            </w:r>
          </w:p>
        </w:tc>
        <w:tc>
          <w:tcPr>
            <w:tcW w:w="7632" w:type="dxa"/>
            <w:vAlign w:val="center"/>
          </w:tcPr>
          <w:p w14:paraId="291206A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投标人具备有效的质量管理体系认证证书、信息安全管理体系认证证书、</w:t>
            </w:r>
            <w:r>
              <w:rPr>
                <w:rFonts w:hint="eastAsia" w:ascii="宋体" w:hAnsi="宋体" w:eastAsia="宋体" w:cs="宋体"/>
                <w:szCs w:val="21"/>
                <w:lang w:eastAsia="zh-Hans"/>
              </w:rPr>
              <w:t>知识产权管理体系认证</w:t>
            </w:r>
            <w:r>
              <w:rPr>
                <w:rFonts w:hint="eastAsia" w:ascii="宋体" w:hAnsi="宋体" w:eastAsia="宋体" w:cs="宋体"/>
                <w:szCs w:val="21"/>
              </w:rPr>
              <w:t>，每项得1分，本项最高得</w:t>
            </w:r>
            <w:r>
              <w:rPr>
                <w:rFonts w:ascii="宋体" w:hAnsi="宋体" w:eastAsia="宋体" w:cs="宋体"/>
                <w:szCs w:val="21"/>
              </w:rPr>
              <w:t>2</w:t>
            </w:r>
            <w:r>
              <w:rPr>
                <w:rFonts w:hint="eastAsia" w:ascii="宋体" w:hAnsi="宋体" w:eastAsia="宋体" w:cs="宋体"/>
                <w:szCs w:val="21"/>
              </w:rPr>
              <w:t>分。</w:t>
            </w:r>
          </w:p>
          <w:p w14:paraId="77ABBB8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注：证明材料为加盖公章的认证证书复印件或扫描件，以及 国家认证认可监督管理委员会官方网站（www.cnca.gov.cn)上查询截图作为评审依据。未按要求附证明材料或证明材料不完整的不得分证明材料或</w:t>
            </w:r>
            <w:r>
              <w:rPr>
                <w:rFonts w:hint="eastAsia" w:ascii="宋体" w:hAnsi="宋体" w:eastAsia="宋体" w:cs="宋体"/>
                <w:szCs w:val="21"/>
                <w:lang w:eastAsia="zh-Hans"/>
              </w:rPr>
              <w:t>证书</w:t>
            </w:r>
            <w:r>
              <w:rPr>
                <w:rFonts w:hint="eastAsia" w:ascii="宋体" w:hAnsi="宋体" w:eastAsia="宋体" w:cs="宋体"/>
                <w:szCs w:val="21"/>
              </w:rPr>
              <w:t>不完整的不得分</w:t>
            </w:r>
          </w:p>
        </w:tc>
      </w:tr>
      <w:tr w14:paraId="375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4" w:type="dxa"/>
            <w:vMerge w:val="continue"/>
            <w:vAlign w:val="center"/>
          </w:tcPr>
          <w:p w14:paraId="75DC587A">
            <w:pPr>
              <w:autoSpaceDE w:val="0"/>
              <w:autoSpaceDN w:val="0"/>
              <w:adjustRightInd w:val="0"/>
              <w:spacing w:line="360" w:lineRule="exact"/>
              <w:ind w:firstLine="420" w:firstLineChars="200"/>
              <w:rPr>
                <w:rFonts w:ascii="宋体" w:hAnsi="宋体" w:eastAsia="宋体" w:cs="宋体"/>
                <w:szCs w:val="21"/>
              </w:rPr>
            </w:pPr>
          </w:p>
        </w:tc>
        <w:tc>
          <w:tcPr>
            <w:tcW w:w="1329" w:type="dxa"/>
            <w:tcBorders>
              <w:bottom w:val="single" w:color="auto" w:sz="4" w:space="0"/>
            </w:tcBorders>
            <w:vAlign w:val="center"/>
          </w:tcPr>
          <w:p w14:paraId="40D702FC">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lang w:eastAsia="zh-Hans"/>
              </w:rPr>
              <w:t>类似业绩</w:t>
            </w:r>
          </w:p>
          <w:p w14:paraId="526A6C69">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（1.5分）</w:t>
            </w:r>
          </w:p>
        </w:tc>
        <w:tc>
          <w:tcPr>
            <w:tcW w:w="7632" w:type="dxa"/>
            <w:tcBorders>
              <w:bottom w:val="single" w:color="auto" w:sz="4" w:space="0"/>
            </w:tcBorders>
            <w:vAlign w:val="center"/>
          </w:tcPr>
          <w:p w14:paraId="2EFBAD51">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2022年1月1日以来（以合同签订时间为准），</w:t>
            </w:r>
            <w:r>
              <w:rPr>
                <w:rFonts w:hint="eastAsia" w:ascii="宋体" w:hAnsi="宋体" w:eastAsia="宋体" w:cs="宋体"/>
                <w:szCs w:val="21"/>
                <w:lang w:eastAsia="zh-Hans"/>
              </w:rPr>
              <w:t>具有</w:t>
            </w:r>
            <w:r>
              <w:rPr>
                <w:rFonts w:hint="eastAsia" w:ascii="宋体" w:hAnsi="宋体" w:eastAsia="宋体" w:cs="宋体"/>
                <w:szCs w:val="21"/>
              </w:rPr>
              <w:t>危险房屋监测类似</w:t>
            </w:r>
            <w:r>
              <w:rPr>
                <w:rFonts w:hint="eastAsia" w:ascii="宋体" w:hAnsi="宋体" w:eastAsia="宋体" w:cs="宋体"/>
                <w:szCs w:val="21"/>
                <w:lang w:eastAsia="zh-Hans"/>
              </w:rPr>
              <w:t>业绩</w:t>
            </w:r>
            <w:r>
              <w:rPr>
                <w:rFonts w:hint="eastAsia" w:ascii="宋体" w:hAnsi="宋体" w:eastAsia="宋体" w:cs="宋体"/>
                <w:szCs w:val="21"/>
              </w:rPr>
              <w:t>的得1分，具有房屋装修巡查类似业绩的得0.5分，本项最高得1.5分。</w:t>
            </w:r>
          </w:p>
          <w:p w14:paraId="6CC3E372">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注：</w:t>
            </w:r>
            <w:r>
              <w:rPr>
                <w:rFonts w:hint="eastAsia" w:ascii="宋体" w:hAnsi="宋体" w:eastAsia="宋体" w:cs="宋体"/>
                <w:szCs w:val="21"/>
                <w:lang w:val="zh-CN"/>
              </w:rPr>
              <w:t>证明材料为加盖公章后的</w:t>
            </w:r>
            <w:r>
              <w:rPr>
                <w:rFonts w:hint="eastAsia" w:ascii="宋体" w:hAnsi="宋体" w:eastAsia="宋体" w:cs="宋体"/>
                <w:szCs w:val="21"/>
              </w:rPr>
              <w:t>合同复印件或扫描件作为评审依据。未按要求附证明材料或证明材料体现信息不完整的不得分。</w:t>
            </w:r>
          </w:p>
        </w:tc>
      </w:tr>
      <w:tr w14:paraId="58B7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14" w:type="dxa"/>
            <w:vMerge w:val="continue"/>
            <w:vAlign w:val="center"/>
          </w:tcPr>
          <w:p w14:paraId="69C7B60B">
            <w:pPr>
              <w:autoSpaceDE w:val="0"/>
              <w:autoSpaceDN w:val="0"/>
              <w:adjustRightInd w:val="0"/>
              <w:spacing w:line="360" w:lineRule="exact"/>
              <w:ind w:firstLine="420" w:firstLineChars="200"/>
              <w:rPr>
                <w:rFonts w:ascii="宋体" w:hAnsi="宋体" w:eastAsia="宋体" w:cs="宋体"/>
                <w:szCs w:val="21"/>
              </w:rPr>
            </w:pPr>
          </w:p>
        </w:tc>
        <w:tc>
          <w:tcPr>
            <w:tcW w:w="1329" w:type="dxa"/>
            <w:tcBorders>
              <w:top w:val="single" w:color="auto" w:sz="4" w:space="0"/>
            </w:tcBorders>
            <w:vAlign w:val="center"/>
          </w:tcPr>
          <w:p w14:paraId="3B3E4B51">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检测能力</w:t>
            </w:r>
          </w:p>
          <w:p w14:paraId="57004125">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（5分）</w:t>
            </w:r>
          </w:p>
        </w:tc>
        <w:tc>
          <w:tcPr>
            <w:tcW w:w="7632" w:type="dxa"/>
            <w:tcBorders>
              <w:top w:val="single" w:color="auto" w:sz="4" w:space="0"/>
              <w:bottom w:val="single" w:color="auto" w:sz="4" w:space="0"/>
            </w:tcBorders>
            <w:vAlign w:val="center"/>
          </w:tcPr>
          <w:p w14:paraId="3129136A">
            <w:pPr>
              <w:snapToGrid w:val="0"/>
              <w:rPr>
                <w:rFonts w:ascii="宋体" w:hAnsi="宋体" w:eastAsia="宋体" w:cs="宋体"/>
                <w:szCs w:val="21"/>
              </w:rPr>
            </w:pPr>
            <w:r>
              <w:rPr>
                <w:rFonts w:hint="eastAsia" w:ascii="宋体" w:hAnsi="宋体" w:eastAsia="宋体" w:cs="宋体"/>
                <w:szCs w:val="21"/>
                <w:lang w:eastAsia="zh-Hans"/>
              </w:rPr>
              <w:t>投标人</w:t>
            </w:r>
            <w:r>
              <w:rPr>
                <w:rFonts w:hint="eastAsia" w:ascii="宋体" w:hAnsi="宋体" w:eastAsia="宋体" w:cs="宋体"/>
                <w:szCs w:val="21"/>
              </w:rPr>
              <w:t>具有</w:t>
            </w:r>
            <w:r>
              <w:rPr>
                <w:rFonts w:hint="eastAsia" w:ascii="宋体" w:hAnsi="宋体" w:eastAsia="宋体" w:cs="宋体"/>
                <w:szCs w:val="21"/>
                <w:lang w:eastAsia="zh-Hans"/>
              </w:rPr>
              <w:t>相应检验检测能力，能力范围包括</w:t>
            </w:r>
            <w:r>
              <w:rPr>
                <w:rFonts w:hint="eastAsia" w:ascii="宋体" w:hAnsi="宋体" w:eastAsia="宋体" w:cs="宋体"/>
                <w:szCs w:val="21"/>
              </w:rPr>
              <w:t>建筑物沉降、倾斜、位移；混凝土构件碳化深度和裂缝深度；木构件裂缝宽度、深度和长度检测 ；混凝土性能受影响层厚度和内部不密实区检测；混凝土中的钢筋锈蚀状况，每个得1分；本项最高得5分。</w:t>
            </w:r>
          </w:p>
          <w:p w14:paraId="0BF9D419">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lang w:eastAsia="zh-Hans"/>
              </w:rPr>
              <w:t>注：</w:t>
            </w:r>
            <w:r>
              <w:rPr>
                <w:rFonts w:hint="eastAsia" w:ascii="宋体" w:hAnsi="宋体" w:eastAsia="宋体" w:cs="宋体"/>
                <w:szCs w:val="21"/>
              </w:rPr>
              <w:t>提供</w:t>
            </w:r>
            <w:r>
              <w:rPr>
                <w:rFonts w:hint="eastAsia" w:ascii="宋体" w:hAnsi="宋体" w:eastAsia="宋体" w:cs="宋体"/>
                <w:szCs w:val="21"/>
                <w:lang w:eastAsia="zh-Hans"/>
              </w:rPr>
              <w:t>相关检验检测能力证明材料</w:t>
            </w:r>
            <w:r>
              <w:rPr>
                <w:rFonts w:hint="eastAsia" w:ascii="宋体" w:hAnsi="宋体" w:eastAsia="宋体" w:cs="宋体"/>
                <w:szCs w:val="21"/>
              </w:rPr>
              <w:t>复印件或扫描件</w:t>
            </w:r>
            <w:r>
              <w:rPr>
                <w:rFonts w:hint="eastAsia" w:ascii="宋体" w:hAnsi="宋体" w:eastAsia="宋体" w:cs="宋体"/>
                <w:szCs w:val="21"/>
                <w:lang w:eastAsia="zh-Hans"/>
              </w:rPr>
              <w:t>加盖公章，并</w:t>
            </w:r>
            <w:r>
              <w:rPr>
                <w:rFonts w:hint="eastAsia" w:ascii="宋体" w:hAnsi="宋体" w:eastAsia="宋体" w:cs="宋体"/>
                <w:szCs w:val="21"/>
              </w:rPr>
              <w:t>列表注明</w:t>
            </w:r>
            <w:r>
              <w:rPr>
                <w:rFonts w:hint="eastAsia" w:ascii="宋体" w:hAnsi="宋体" w:eastAsia="宋体" w:cs="宋体"/>
                <w:szCs w:val="21"/>
                <w:lang w:eastAsia="zh-Hans"/>
              </w:rPr>
              <w:t>检验检测能力证明材料页码。</w:t>
            </w:r>
            <w:r>
              <w:rPr>
                <w:rFonts w:hint="eastAsia" w:ascii="宋体" w:hAnsi="宋体" w:eastAsia="宋体" w:cs="宋体"/>
                <w:szCs w:val="21"/>
              </w:rPr>
              <w:t>每组参数</w:t>
            </w:r>
            <w:r>
              <w:rPr>
                <w:rFonts w:hint="eastAsia" w:ascii="宋体" w:hAnsi="宋体" w:eastAsia="宋体" w:cs="宋体"/>
                <w:color w:val="000000" w:themeColor="text1"/>
                <w:szCs w:val="21"/>
                <w14:textFill>
                  <w14:solidFill>
                    <w14:schemeClr w14:val="tx1"/>
                  </w14:solidFill>
                </w14:textFill>
              </w:rPr>
              <w:t>不完整的不得分。</w:t>
            </w:r>
          </w:p>
        </w:tc>
      </w:tr>
      <w:tr w14:paraId="7131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14" w:type="dxa"/>
            <w:vAlign w:val="center"/>
          </w:tcPr>
          <w:p w14:paraId="31E98D9D">
            <w:pPr>
              <w:autoSpaceDE w:val="0"/>
              <w:autoSpaceDN w:val="0"/>
              <w:adjustRightInd w:val="0"/>
              <w:spacing w:line="360" w:lineRule="exact"/>
              <w:ind w:firstLine="420" w:firstLineChars="200"/>
              <w:rPr>
                <w:rFonts w:ascii="宋体" w:hAnsi="宋体" w:eastAsia="宋体" w:cs="宋体"/>
                <w:szCs w:val="21"/>
              </w:rPr>
            </w:pPr>
          </w:p>
        </w:tc>
        <w:tc>
          <w:tcPr>
            <w:tcW w:w="1329" w:type="dxa"/>
            <w:tcBorders>
              <w:top w:val="single" w:color="auto" w:sz="4" w:space="0"/>
            </w:tcBorders>
            <w:vAlign w:val="center"/>
          </w:tcPr>
          <w:p w14:paraId="68FB87FB">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系统管理能力（1分）</w:t>
            </w:r>
          </w:p>
        </w:tc>
        <w:tc>
          <w:tcPr>
            <w:tcW w:w="7632" w:type="dxa"/>
            <w:tcBorders>
              <w:top w:val="single" w:color="auto" w:sz="4" w:space="0"/>
              <w:bottom w:val="single" w:color="auto" w:sz="4" w:space="0"/>
            </w:tcBorders>
            <w:vAlign w:val="center"/>
          </w:tcPr>
          <w:p w14:paraId="68D288BA">
            <w:pPr>
              <w:autoSpaceDE w:val="0"/>
              <w:autoSpaceDN w:val="0"/>
              <w:adjustRightInd w:val="0"/>
              <w:spacing w:line="360" w:lineRule="exact"/>
              <w:rPr>
                <w:rFonts w:ascii="宋体" w:hAnsi="宋体" w:eastAsia="宋体" w:cs="宋体"/>
                <w:szCs w:val="21"/>
                <w:lang w:eastAsia="zh-Hans"/>
              </w:rPr>
            </w:pPr>
            <w:r>
              <w:rPr>
                <w:rFonts w:hint="eastAsia" w:ascii="宋体" w:hAnsi="宋体" w:eastAsia="宋体" w:cs="宋体"/>
                <w:szCs w:val="21"/>
              </w:rPr>
              <w:t>具有</w:t>
            </w:r>
            <w:r>
              <w:rPr>
                <w:rFonts w:hint="eastAsia" w:ascii="宋体" w:hAnsi="宋体" w:eastAsia="宋体" w:cs="宋体"/>
                <w:szCs w:val="21"/>
                <w:lang w:eastAsia="zh-Hans"/>
              </w:rPr>
              <w:t>房屋巡检管控软件或相关房屋动态监测管控系统软件</w:t>
            </w:r>
            <w:r>
              <w:rPr>
                <w:rFonts w:hint="eastAsia" w:ascii="宋体" w:hAnsi="宋体" w:eastAsia="宋体" w:cs="宋体"/>
                <w:szCs w:val="21"/>
              </w:rPr>
              <w:t>相关著作权登记证书或专利证书。每个证书得1分；</w:t>
            </w:r>
            <w:r>
              <w:rPr>
                <w:rFonts w:hint="eastAsia" w:ascii="宋体" w:hAnsi="宋体" w:eastAsia="宋体" w:cs="宋体"/>
                <w:szCs w:val="21"/>
                <w:lang w:eastAsia="zh-Hans"/>
              </w:rPr>
              <w:t>本项</w:t>
            </w:r>
            <w:r>
              <w:rPr>
                <w:rFonts w:hint="eastAsia" w:ascii="宋体" w:hAnsi="宋体" w:eastAsia="宋体" w:cs="宋体"/>
                <w:szCs w:val="21"/>
              </w:rPr>
              <w:t>最高得1分。</w:t>
            </w:r>
          </w:p>
        </w:tc>
      </w:tr>
      <w:tr w14:paraId="561C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714" w:type="dxa"/>
            <w:vMerge w:val="restart"/>
            <w:vAlign w:val="center"/>
          </w:tcPr>
          <w:p w14:paraId="08A6F272">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技术部分75.5分</w:t>
            </w:r>
          </w:p>
        </w:tc>
        <w:tc>
          <w:tcPr>
            <w:tcW w:w="1329" w:type="dxa"/>
            <w:tcBorders>
              <w:top w:val="single" w:color="auto" w:sz="4" w:space="0"/>
            </w:tcBorders>
            <w:vAlign w:val="center"/>
          </w:tcPr>
          <w:p w14:paraId="599EE747">
            <w:pPr>
              <w:snapToGrid w:val="0"/>
              <w:rPr>
                <w:rFonts w:ascii="宋体" w:hAnsi="宋体" w:eastAsia="宋体" w:cs="宋体"/>
                <w:szCs w:val="21"/>
              </w:rPr>
            </w:pPr>
            <w:r>
              <w:rPr>
                <w:rFonts w:hint="eastAsia" w:ascii="宋体" w:hAnsi="宋体" w:eastAsia="宋体" w:cs="宋体"/>
                <w:szCs w:val="21"/>
              </w:rPr>
              <w:t>项目组人员配备情况</w:t>
            </w:r>
          </w:p>
          <w:p w14:paraId="1EA34DE0">
            <w:pPr>
              <w:snapToGrid w:val="0"/>
              <w:rPr>
                <w:rFonts w:ascii="宋体" w:hAnsi="宋体" w:eastAsia="宋体" w:cs="宋体"/>
                <w:szCs w:val="21"/>
              </w:rPr>
            </w:pPr>
            <w:r>
              <w:rPr>
                <w:rFonts w:hint="eastAsia" w:ascii="宋体" w:hAnsi="宋体" w:eastAsia="宋体" w:cs="宋体"/>
                <w:szCs w:val="21"/>
              </w:rPr>
              <w:t>（10分）</w:t>
            </w:r>
          </w:p>
        </w:tc>
        <w:tc>
          <w:tcPr>
            <w:tcW w:w="7632" w:type="dxa"/>
            <w:tcBorders>
              <w:top w:val="single" w:color="auto" w:sz="4" w:space="0"/>
            </w:tcBorders>
            <w:vAlign w:val="center"/>
          </w:tcPr>
          <w:p w14:paraId="74DCC63E">
            <w:pPr>
              <w:snapToGrid w:val="0"/>
              <w:rPr>
                <w:rFonts w:ascii="宋体" w:hAnsi="宋体" w:eastAsia="宋体" w:cs="宋体"/>
                <w:szCs w:val="21"/>
              </w:rPr>
            </w:pPr>
            <w:r>
              <w:rPr>
                <w:rFonts w:hint="eastAsia" w:ascii="宋体" w:hAnsi="宋体" w:eastAsia="宋体" w:cs="宋体"/>
                <w:szCs w:val="21"/>
              </w:rPr>
              <w:t>1、拟派项目负责人，具有国家二级注册结构工程师执业资格证书的得0.5分，</w:t>
            </w:r>
            <w:r>
              <w:rPr>
                <w:rFonts w:hint="eastAsia" w:ascii="宋体" w:hAnsi="宋体" w:eastAsia="宋体" w:cs="宋体"/>
                <w:szCs w:val="21"/>
                <w:lang w:eastAsia="zh-Hans"/>
              </w:rPr>
              <w:t>同时</w:t>
            </w:r>
            <w:r>
              <w:rPr>
                <w:rFonts w:hint="eastAsia" w:ascii="宋体" w:hAnsi="宋体" w:eastAsia="宋体" w:cs="宋体"/>
                <w:szCs w:val="21"/>
              </w:rPr>
              <w:t>具有</w:t>
            </w:r>
            <w:r>
              <w:rPr>
                <w:rFonts w:hint="eastAsia" w:ascii="宋体" w:hAnsi="宋体" w:eastAsia="宋体" w:cs="宋体"/>
                <w:szCs w:val="21"/>
                <w:lang w:eastAsia="zh-Hans"/>
              </w:rPr>
              <w:t>国家</w:t>
            </w:r>
            <w:r>
              <w:rPr>
                <w:rFonts w:hint="eastAsia" w:ascii="宋体" w:hAnsi="宋体" w:eastAsia="宋体" w:cs="宋体"/>
                <w:szCs w:val="21"/>
              </w:rPr>
              <w:t>注册土</w:t>
            </w:r>
            <w:r>
              <w:rPr>
                <w:rFonts w:hint="eastAsia" w:ascii="宋体" w:hAnsi="宋体" w:eastAsia="宋体" w:cs="宋体"/>
                <w:szCs w:val="21"/>
                <w:lang w:eastAsia="zh-Hans"/>
              </w:rPr>
              <w:t>木</w:t>
            </w:r>
            <w:r>
              <w:rPr>
                <w:rFonts w:hint="eastAsia" w:ascii="宋体" w:hAnsi="宋体" w:eastAsia="宋体" w:cs="宋体"/>
                <w:szCs w:val="21"/>
              </w:rPr>
              <w:t>工程师(</w:t>
            </w:r>
            <w:r>
              <w:rPr>
                <w:rFonts w:hint="eastAsia" w:ascii="宋体" w:hAnsi="宋体" w:eastAsia="宋体" w:cs="宋体"/>
                <w:szCs w:val="21"/>
                <w:lang w:eastAsia="zh-Hans"/>
              </w:rPr>
              <w:t>岩土）</w:t>
            </w:r>
            <w:r>
              <w:rPr>
                <w:rFonts w:hint="eastAsia" w:ascii="宋体" w:hAnsi="宋体" w:eastAsia="宋体" w:cs="宋体"/>
                <w:szCs w:val="21"/>
              </w:rPr>
              <w:t>执业资格的</w:t>
            </w:r>
            <w:r>
              <w:rPr>
                <w:rFonts w:hint="eastAsia" w:ascii="宋体" w:hAnsi="宋体" w:eastAsia="宋体" w:cs="宋体"/>
                <w:szCs w:val="21"/>
                <w:lang w:eastAsia="zh-Hans"/>
              </w:rPr>
              <w:t>加1</w:t>
            </w:r>
            <w:r>
              <w:rPr>
                <w:rFonts w:hint="eastAsia" w:ascii="宋体" w:hAnsi="宋体" w:eastAsia="宋体" w:cs="宋体"/>
                <w:szCs w:val="21"/>
              </w:rPr>
              <w:t>分；具有国家</w:t>
            </w:r>
            <w:r>
              <w:rPr>
                <w:rFonts w:hint="eastAsia" w:ascii="宋体" w:hAnsi="宋体" w:eastAsia="宋体" w:cs="宋体"/>
                <w:szCs w:val="21"/>
                <w:lang w:eastAsia="zh-Hans"/>
              </w:rPr>
              <w:t>一</w:t>
            </w:r>
            <w:r>
              <w:rPr>
                <w:rFonts w:hint="eastAsia" w:ascii="宋体" w:hAnsi="宋体" w:eastAsia="宋体" w:cs="宋体"/>
                <w:szCs w:val="21"/>
              </w:rPr>
              <w:t>级注册结构工程师执业资格证书的得1分，</w:t>
            </w:r>
            <w:r>
              <w:rPr>
                <w:rFonts w:hint="eastAsia" w:ascii="宋体" w:hAnsi="宋体" w:eastAsia="宋体" w:cs="宋体"/>
                <w:szCs w:val="21"/>
                <w:lang w:eastAsia="zh-Hans"/>
              </w:rPr>
              <w:t>同时</w:t>
            </w:r>
            <w:r>
              <w:rPr>
                <w:rFonts w:hint="eastAsia" w:ascii="宋体" w:hAnsi="宋体" w:eastAsia="宋体" w:cs="宋体"/>
                <w:szCs w:val="21"/>
              </w:rPr>
              <w:t>具有</w:t>
            </w:r>
            <w:r>
              <w:rPr>
                <w:rFonts w:hint="eastAsia" w:ascii="宋体" w:hAnsi="宋体" w:eastAsia="宋体" w:cs="宋体"/>
                <w:szCs w:val="21"/>
                <w:lang w:eastAsia="zh-Hans"/>
              </w:rPr>
              <w:t>国家</w:t>
            </w:r>
            <w:r>
              <w:rPr>
                <w:rFonts w:hint="eastAsia" w:ascii="宋体" w:hAnsi="宋体" w:eastAsia="宋体" w:cs="宋体"/>
                <w:szCs w:val="21"/>
              </w:rPr>
              <w:t>注册土</w:t>
            </w:r>
            <w:r>
              <w:rPr>
                <w:rFonts w:hint="eastAsia" w:ascii="宋体" w:hAnsi="宋体" w:eastAsia="宋体" w:cs="宋体"/>
                <w:szCs w:val="21"/>
                <w:lang w:eastAsia="zh-Hans"/>
              </w:rPr>
              <w:t>木</w:t>
            </w:r>
            <w:r>
              <w:rPr>
                <w:rFonts w:hint="eastAsia" w:ascii="宋体" w:hAnsi="宋体" w:eastAsia="宋体" w:cs="宋体"/>
                <w:szCs w:val="21"/>
              </w:rPr>
              <w:t>工程师(</w:t>
            </w:r>
            <w:r>
              <w:rPr>
                <w:rFonts w:hint="eastAsia" w:ascii="宋体" w:hAnsi="宋体" w:eastAsia="宋体" w:cs="宋体"/>
                <w:szCs w:val="21"/>
                <w:lang w:eastAsia="zh-Hans"/>
              </w:rPr>
              <w:t>岩土）</w:t>
            </w:r>
            <w:r>
              <w:rPr>
                <w:rFonts w:hint="eastAsia" w:ascii="宋体" w:hAnsi="宋体" w:eastAsia="宋体" w:cs="宋体"/>
                <w:szCs w:val="21"/>
              </w:rPr>
              <w:t>执业资格的</w:t>
            </w:r>
            <w:r>
              <w:rPr>
                <w:rFonts w:hint="eastAsia" w:ascii="宋体" w:hAnsi="宋体" w:eastAsia="宋体" w:cs="宋体"/>
                <w:szCs w:val="21"/>
                <w:lang w:eastAsia="zh-Hans"/>
              </w:rPr>
              <w:t>加1</w:t>
            </w:r>
            <w:r>
              <w:rPr>
                <w:rFonts w:hint="eastAsia" w:ascii="宋体" w:hAnsi="宋体" w:eastAsia="宋体" w:cs="宋体"/>
                <w:szCs w:val="21"/>
              </w:rPr>
              <w:t>分；</w:t>
            </w:r>
            <w:r>
              <w:rPr>
                <w:rFonts w:hint="eastAsia" w:ascii="宋体" w:hAnsi="宋体" w:eastAsia="宋体" w:cs="宋体"/>
                <w:szCs w:val="21"/>
                <w:lang w:eastAsia="zh-Hans"/>
              </w:rPr>
              <w:t>本项</w:t>
            </w:r>
            <w:r>
              <w:rPr>
                <w:rFonts w:hint="eastAsia" w:ascii="宋体" w:hAnsi="宋体" w:eastAsia="宋体" w:cs="宋体"/>
                <w:szCs w:val="21"/>
              </w:rPr>
              <w:t>最</w:t>
            </w:r>
            <w:r>
              <w:rPr>
                <w:rFonts w:hint="eastAsia" w:ascii="宋体" w:hAnsi="宋体" w:eastAsia="宋体" w:cs="宋体"/>
                <w:szCs w:val="21"/>
                <w:lang w:eastAsia="zh-Hans"/>
              </w:rPr>
              <w:t>高</w:t>
            </w:r>
            <w:r>
              <w:rPr>
                <w:rFonts w:hint="eastAsia" w:ascii="宋体" w:hAnsi="宋体" w:eastAsia="宋体" w:cs="宋体"/>
                <w:szCs w:val="21"/>
              </w:rPr>
              <w:t>得2分</w:t>
            </w:r>
            <w:r>
              <w:rPr>
                <w:rFonts w:hint="eastAsia" w:ascii="宋体" w:hAnsi="宋体" w:eastAsia="宋体" w:cs="宋体"/>
                <w:szCs w:val="21"/>
                <w:lang w:eastAsia="zh-Hans"/>
              </w:rPr>
              <w:t>。</w:t>
            </w:r>
          </w:p>
          <w:p w14:paraId="7A28638A">
            <w:pPr>
              <w:snapToGrid w:val="0"/>
              <w:rPr>
                <w:rFonts w:ascii="宋体" w:hAnsi="宋体" w:eastAsia="宋体" w:cs="宋体"/>
                <w:szCs w:val="21"/>
              </w:rPr>
            </w:pPr>
            <w:r>
              <w:rPr>
                <w:rFonts w:hint="eastAsia" w:ascii="宋体" w:hAnsi="宋体" w:eastAsia="宋体" w:cs="宋体"/>
                <w:szCs w:val="21"/>
              </w:rPr>
              <w:t>2、拟派技术负责人具有国家二级以上注册结构工程师执业资格证书的得</w:t>
            </w:r>
            <w:r>
              <w:rPr>
                <w:rFonts w:hint="eastAsia" w:ascii="宋体" w:hAnsi="宋体" w:eastAsia="宋体" w:cs="宋体"/>
                <w:szCs w:val="21"/>
                <w:lang w:eastAsia="zh-Hans"/>
              </w:rPr>
              <w:t>1分</w:t>
            </w:r>
            <w:r>
              <w:rPr>
                <w:rFonts w:hint="eastAsia" w:ascii="宋体" w:hAnsi="宋体" w:eastAsia="宋体" w:cs="宋体"/>
                <w:szCs w:val="21"/>
              </w:rPr>
              <w:t>；同时</w:t>
            </w:r>
            <w:r>
              <w:rPr>
                <w:rFonts w:hint="eastAsia" w:ascii="宋体" w:hAnsi="宋体" w:eastAsia="宋体" w:cs="宋体"/>
                <w:szCs w:val="21"/>
                <w:lang w:eastAsia="zh-Hans"/>
              </w:rPr>
              <w:t>具有副</w:t>
            </w:r>
            <w:r>
              <w:rPr>
                <w:rFonts w:hint="eastAsia" w:ascii="宋体" w:hAnsi="宋体" w:eastAsia="宋体" w:cs="宋体"/>
                <w:szCs w:val="21"/>
              </w:rPr>
              <w:t>高级工程师职称的加1分，</w:t>
            </w:r>
            <w:r>
              <w:rPr>
                <w:rFonts w:hint="eastAsia" w:ascii="宋体" w:hAnsi="宋体" w:eastAsia="宋体" w:cs="宋体"/>
                <w:szCs w:val="21"/>
                <w:lang w:eastAsia="zh-Hans"/>
              </w:rPr>
              <w:t>同时具有</w:t>
            </w:r>
            <w:r>
              <w:rPr>
                <w:rFonts w:hint="eastAsia" w:ascii="宋体" w:hAnsi="宋体" w:eastAsia="宋体" w:cs="宋体"/>
                <w:szCs w:val="21"/>
              </w:rPr>
              <w:t>正高级工程师职称的</w:t>
            </w:r>
            <w:r>
              <w:rPr>
                <w:rFonts w:hint="eastAsia" w:ascii="宋体" w:hAnsi="宋体" w:eastAsia="宋体" w:cs="宋体"/>
                <w:szCs w:val="21"/>
                <w:lang w:eastAsia="zh-Hans"/>
              </w:rPr>
              <w:t>加</w:t>
            </w:r>
            <w:r>
              <w:rPr>
                <w:rFonts w:hint="eastAsia" w:ascii="宋体" w:hAnsi="宋体" w:eastAsia="宋体" w:cs="宋体"/>
                <w:szCs w:val="21"/>
              </w:rPr>
              <w:t>2分；</w:t>
            </w:r>
            <w:r>
              <w:rPr>
                <w:rFonts w:hint="eastAsia" w:ascii="宋体" w:hAnsi="宋体" w:eastAsia="宋体" w:cs="宋体"/>
                <w:szCs w:val="21"/>
                <w:lang w:eastAsia="zh-Hans"/>
              </w:rPr>
              <w:t>本项</w:t>
            </w:r>
            <w:r>
              <w:rPr>
                <w:rFonts w:hint="eastAsia" w:ascii="宋体" w:hAnsi="宋体" w:eastAsia="宋体" w:cs="宋体"/>
                <w:szCs w:val="21"/>
              </w:rPr>
              <w:t>最</w:t>
            </w:r>
            <w:r>
              <w:rPr>
                <w:rFonts w:hint="eastAsia" w:ascii="宋体" w:hAnsi="宋体" w:eastAsia="宋体" w:cs="宋体"/>
                <w:szCs w:val="21"/>
                <w:lang w:eastAsia="zh-Hans"/>
              </w:rPr>
              <w:t>高</w:t>
            </w:r>
            <w:r>
              <w:rPr>
                <w:rFonts w:hint="eastAsia" w:ascii="宋体" w:hAnsi="宋体" w:eastAsia="宋体" w:cs="宋体"/>
                <w:szCs w:val="21"/>
              </w:rPr>
              <w:t>得3分</w:t>
            </w:r>
            <w:r>
              <w:rPr>
                <w:rFonts w:hint="eastAsia" w:ascii="宋体" w:hAnsi="宋体" w:eastAsia="宋体" w:cs="宋体"/>
                <w:szCs w:val="21"/>
                <w:lang w:eastAsia="zh-Hans"/>
              </w:rPr>
              <w:t>。</w:t>
            </w:r>
          </w:p>
          <w:p w14:paraId="2AD7F379">
            <w:pPr>
              <w:snapToGrid w:val="0"/>
              <w:rPr>
                <w:rFonts w:ascii="宋体" w:hAnsi="宋体" w:eastAsia="宋体" w:cs="宋体"/>
                <w:szCs w:val="21"/>
              </w:rPr>
            </w:pPr>
            <w:r>
              <w:rPr>
                <w:rFonts w:hint="eastAsia" w:ascii="宋体" w:hAnsi="宋体" w:eastAsia="宋体" w:cs="宋体"/>
                <w:szCs w:val="21"/>
              </w:rPr>
              <w:t>3、项目班子人员</w:t>
            </w:r>
            <w:r>
              <w:rPr>
                <w:rFonts w:hint="eastAsia" w:ascii="宋体" w:hAnsi="宋体" w:eastAsia="宋体" w:cs="宋体"/>
                <w:szCs w:val="21"/>
                <w:lang w:eastAsia="zh-Hans"/>
              </w:rPr>
              <w:t>中，除项目负责人和技术负责人外，具有</w:t>
            </w:r>
            <w:r>
              <w:rPr>
                <w:rFonts w:hint="eastAsia" w:ascii="宋体" w:hAnsi="宋体" w:eastAsia="宋体" w:cs="宋体"/>
                <w:szCs w:val="21"/>
              </w:rPr>
              <w:t>国家</w:t>
            </w:r>
            <w:r>
              <w:rPr>
                <w:rFonts w:hint="eastAsia" w:ascii="宋体" w:hAnsi="宋体" w:eastAsia="宋体" w:cs="宋体"/>
                <w:szCs w:val="21"/>
                <w:lang w:eastAsia="zh-Hans"/>
              </w:rPr>
              <w:t>注册结构工程师或国家注册土木工程师(岩土）执业资格的，每人得</w:t>
            </w:r>
            <w:r>
              <w:rPr>
                <w:rFonts w:hint="eastAsia" w:ascii="宋体" w:hAnsi="宋体" w:eastAsia="宋体" w:cs="宋体"/>
                <w:szCs w:val="21"/>
              </w:rPr>
              <w:t>1</w:t>
            </w:r>
            <w:r>
              <w:rPr>
                <w:rFonts w:hint="eastAsia" w:ascii="宋体" w:hAnsi="宋体" w:eastAsia="宋体" w:cs="宋体"/>
                <w:szCs w:val="21"/>
                <w:lang w:eastAsia="zh-Hans"/>
              </w:rPr>
              <w:t>分</w:t>
            </w:r>
            <w:r>
              <w:rPr>
                <w:rFonts w:hint="eastAsia" w:ascii="宋体" w:hAnsi="宋体" w:eastAsia="宋体" w:cs="宋体"/>
                <w:szCs w:val="21"/>
              </w:rPr>
              <w:t>；</w:t>
            </w:r>
            <w:r>
              <w:rPr>
                <w:rFonts w:hint="eastAsia" w:ascii="宋体" w:hAnsi="宋体" w:eastAsia="宋体" w:cs="宋体"/>
                <w:szCs w:val="21"/>
                <w:lang w:eastAsia="zh-Hans"/>
              </w:rPr>
              <w:t>本项最高得</w:t>
            </w:r>
            <w:r>
              <w:rPr>
                <w:rFonts w:hint="eastAsia" w:ascii="宋体" w:hAnsi="宋体" w:eastAsia="宋体" w:cs="宋体"/>
                <w:szCs w:val="21"/>
              </w:rPr>
              <w:t>5</w:t>
            </w:r>
            <w:r>
              <w:rPr>
                <w:rFonts w:hint="eastAsia" w:ascii="宋体" w:hAnsi="宋体" w:eastAsia="宋体" w:cs="宋体"/>
                <w:szCs w:val="21"/>
                <w:lang w:eastAsia="zh-Hans"/>
              </w:rPr>
              <w:t>分。</w:t>
            </w:r>
          </w:p>
          <w:p w14:paraId="0E597ADE">
            <w:pPr>
              <w:snapToGrid w:val="0"/>
              <w:rPr>
                <w:rFonts w:ascii="宋体" w:hAnsi="宋体" w:eastAsia="宋体" w:cs="宋体"/>
                <w:szCs w:val="21"/>
              </w:rPr>
            </w:pPr>
            <w:r>
              <w:rPr>
                <w:rFonts w:hint="eastAsia" w:ascii="宋体" w:hAnsi="宋体" w:eastAsia="宋体" w:cs="宋体"/>
                <w:szCs w:val="21"/>
              </w:rPr>
              <w:t>注：项目负责人和技术负责人为同一人的，如项目负责人已得分，则技术负责人不再重复得分。上述人员须提供加盖公章后证书复印件或扫描件及近三个月内任意一个月社保证明材料，否则不得分。</w:t>
            </w:r>
          </w:p>
        </w:tc>
      </w:tr>
      <w:tr w14:paraId="3CAC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14" w:type="dxa"/>
            <w:vMerge w:val="continue"/>
            <w:vAlign w:val="center"/>
          </w:tcPr>
          <w:p w14:paraId="2367000D">
            <w:pPr>
              <w:autoSpaceDE w:val="0"/>
              <w:autoSpaceDN w:val="0"/>
              <w:adjustRightInd w:val="0"/>
              <w:spacing w:line="360" w:lineRule="exact"/>
              <w:rPr>
                <w:rFonts w:ascii="宋体" w:hAnsi="宋体" w:eastAsia="宋体" w:cs="宋体"/>
                <w:szCs w:val="21"/>
              </w:rPr>
            </w:pPr>
          </w:p>
        </w:tc>
        <w:tc>
          <w:tcPr>
            <w:tcW w:w="1329" w:type="dxa"/>
            <w:vMerge w:val="restart"/>
            <w:tcBorders>
              <w:top w:val="single" w:color="auto" w:sz="4" w:space="0"/>
            </w:tcBorders>
            <w:vAlign w:val="center"/>
          </w:tcPr>
          <w:p w14:paraId="4E3D89DF">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监测方案 </w:t>
            </w:r>
            <w:r>
              <w:rPr>
                <w:rFonts w:hint="eastAsia" w:ascii="宋体" w:hAnsi="宋体" w:eastAsia="宋体" w:cs="宋体"/>
                <w:color w:val="auto"/>
                <w:sz w:val="18"/>
                <w:szCs w:val="21"/>
                <w:highlight w:val="none"/>
              </w:rPr>
              <w:t>（人工</w:t>
            </w:r>
            <w:r>
              <w:rPr>
                <w:rFonts w:ascii="宋体" w:hAnsi="宋体" w:eastAsia="宋体" w:cs="宋体"/>
                <w:color w:val="auto"/>
                <w:sz w:val="18"/>
                <w:szCs w:val="21"/>
                <w:highlight w:val="none"/>
              </w:rPr>
              <w:t>+</w:t>
            </w:r>
            <w:r>
              <w:rPr>
                <w:rFonts w:hint="eastAsia" w:ascii="宋体" w:hAnsi="宋体" w:eastAsia="宋体" w:cs="宋体"/>
                <w:color w:val="auto"/>
                <w:sz w:val="18"/>
                <w:szCs w:val="21"/>
                <w:highlight w:val="none"/>
              </w:rPr>
              <w:t>装置）</w:t>
            </w:r>
          </w:p>
          <w:p w14:paraId="0CC28B36">
            <w:pPr>
              <w:autoSpaceDE w:val="0"/>
              <w:autoSpaceDN w:val="0"/>
              <w:adjustRightInd w:val="0"/>
              <w:spacing w:line="36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30</w:t>
            </w:r>
            <w:r>
              <w:rPr>
                <w:rFonts w:hint="eastAsia" w:ascii="宋体" w:hAnsi="宋体" w:eastAsia="宋体" w:cs="宋体"/>
                <w:color w:val="auto"/>
                <w:szCs w:val="21"/>
                <w:highlight w:val="none"/>
              </w:rPr>
              <w:t>分）</w:t>
            </w:r>
          </w:p>
        </w:tc>
        <w:tc>
          <w:tcPr>
            <w:tcW w:w="7632" w:type="dxa"/>
            <w:tcBorders>
              <w:top w:val="single" w:color="auto" w:sz="4" w:space="0"/>
            </w:tcBorders>
            <w:vAlign w:val="center"/>
          </w:tcPr>
          <w:p w14:paraId="4DBCD163">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对本项目人工动态监测组织、方案配置，由评委综合酌情打分：</w:t>
            </w:r>
          </w:p>
          <w:p w14:paraId="1ACF35B1">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完全满足采购需求、安排合理、方案科学可执行性强的得6分；部分满足采购需求、安排较合理、方案基本可执行的得4分；较少或不能体现采购需求、安排不合理、方案可执行性差的得2分。</w:t>
            </w:r>
          </w:p>
        </w:tc>
      </w:tr>
      <w:tr w14:paraId="02E0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4" w:type="dxa"/>
            <w:vMerge w:val="continue"/>
            <w:vAlign w:val="center"/>
          </w:tcPr>
          <w:p w14:paraId="23468910">
            <w:pPr>
              <w:autoSpaceDE w:val="0"/>
              <w:autoSpaceDN w:val="0"/>
              <w:adjustRightInd w:val="0"/>
              <w:spacing w:line="360" w:lineRule="exact"/>
              <w:rPr>
                <w:rFonts w:ascii="宋体" w:hAnsi="宋体" w:eastAsia="宋体" w:cs="宋体"/>
                <w:szCs w:val="21"/>
              </w:rPr>
            </w:pPr>
          </w:p>
        </w:tc>
        <w:tc>
          <w:tcPr>
            <w:tcW w:w="1329" w:type="dxa"/>
            <w:vMerge w:val="continue"/>
            <w:vAlign w:val="center"/>
          </w:tcPr>
          <w:p w14:paraId="1A1EE125">
            <w:pPr>
              <w:autoSpaceDE w:val="0"/>
              <w:autoSpaceDN w:val="0"/>
              <w:adjustRightInd w:val="0"/>
              <w:spacing w:line="360" w:lineRule="exact"/>
              <w:rPr>
                <w:rFonts w:ascii="宋体" w:hAnsi="宋体" w:eastAsia="宋体" w:cs="宋体"/>
                <w:color w:val="auto"/>
                <w:szCs w:val="21"/>
                <w:highlight w:val="none"/>
              </w:rPr>
            </w:pPr>
          </w:p>
        </w:tc>
        <w:tc>
          <w:tcPr>
            <w:tcW w:w="7632" w:type="dxa"/>
            <w:vAlign w:val="center"/>
          </w:tcPr>
          <w:p w14:paraId="24838894">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对本项目</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动态监测组织、方案配置，由评委综合酌情打分：</w:t>
            </w:r>
          </w:p>
          <w:p w14:paraId="0BA1A106">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完全满足采购需求、安排合理、方案科学可执行性强、动态监测装置配置完整的得6分；部分满足采购需求、安排较合理、方案基本可执行、动态监测装置配置基本完整的得4分；较少或不能体现采购需求、安排不合理、方案可执行性差、动态监测装置配置差的得2分。</w:t>
            </w:r>
          </w:p>
        </w:tc>
      </w:tr>
      <w:tr w14:paraId="63B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14" w:type="dxa"/>
            <w:vMerge w:val="continue"/>
            <w:vAlign w:val="center"/>
          </w:tcPr>
          <w:p w14:paraId="2157DAF7">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027C605">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7EA2DA6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对本项目制定的管理制度（包括但不限于：检测管理制度、责任制度，技术管理与质量保证体系情况），由评委综合酌情打分：</w:t>
            </w:r>
          </w:p>
          <w:p w14:paraId="5CBCB4A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管理制度规范、完善、项目进度安排合理科学、条理清晰的得6分；管理制度规范性一般、不完善、项目进度安排较为零散、条理模糊的得4分；管理制度规范性差、不完善、项目进度安排不合理、不科学、条理混乱的得2分。</w:t>
            </w:r>
          </w:p>
        </w:tc>
      </w:tr>
      <w:tr w14:paraId="1AC3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14:paraId="15374AD4">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18390E09">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1478FB0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对本项目制定的质量保证措施及验收方案，由评委综合酌情打分：</w:t>
            </w:r>
          </w:p>
          <w:p w14:paraId="0FCD277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质量保证措施及验收方案完善、科学、条理清晰标准严明的得6分；内容完善性不足、条理制度标准缺项的得4分；内容不完整、不科学、不合理、条理混乱的得2分。</w:t>
            </w:r>
          </w:p>
        </w:tc>
      </w:tr>
      <w:tr w14:paraId="079E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14:paraId="4723C6BE">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B711B59">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3E691C67">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w:t>
            </w:r>
            <w:r>
              <w:rPr>
                <w:rFonts w:hint="eastAsia" w:ascii="宋体" w:hAnsi="宋体" w:eastAsia="宋体" w:cs="宋体"/>
                <w:color w:val="auto"/>
                <w:szCs w:val="21"/>
              </w:rPr>
              <w:t>投入的设备齐全性、先</w:t>
            </w:r>
            <w:r>
              <w:rPr>
                <w:rFonts w:hint="eastAsia" w:ascii="宋体" w:hAnsi="宋体" w:eastAsia="宋体" w:cs="宋体"/>
                <w:szCs w:val="21"/>
              </w:rPr>
              <w:t>进性，准确性高的得6分；</w:t>
            </w:r>
          </w:p>
          <w:p w14:paraId="70F976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针对本项目拟投入的设备基本能满足本项目需求的得4分；</w:t>
            </w:r>
          </w:p>
          <w:p w14:paraId="46A9D2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针对本项目拟投入的设备无法满足本项目需求或拟投入本项目的设备不齐全的得2分。</w:t>
            </w:r>
          </w:p>
        </w:tc>
      </w:tr>
      <w:tr w14:paraId="0608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14" w:type="dxa"/>
            <w:vMerge w:val="continue"/>
            <w:vAlign w:val="center"/>
          </w:tcPr>
          <w:p w14:paraId="41C9F337">
            <w:pPr>
              <w:autoSpaceDE w:val="0"/>
              <w:autoSpaceDN w:val="0"/>
              <w:adjustRightInd w:val="0"/>
              <w:spacing w:line="360" w:lineRule="exact"/>
              <w:ind w:firstLine="420" w:firstLineChars="200"/>
              <w:rPr>
                <w:rFonts w:ascii="宋体" w:hAnsi="宋体" w:eastAsia="宋体" w:cs="宋体"/>
                <w:szCs w:val="21"/>
              </w:rPr>
            </w:pPr>
          </w:p>
        </w:tc>
        <w:tc>
          <w:tcPr>
            <w:tcW w:w="1329" w:type="dxa"/>
            <w:vMerge w:val="restart"/>
            <w:vAlign w:val="center"/>
          </w:tcPr>
          <w:p w14:paraId="13CDBFB5">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房屋装修入户巡检方案（</w:t>
            </w:r>
            <w:r>
              <w:rPr>
                <w:rFonts w:ascii="宋体" w:hAnsi="宋体" w:eastAsia="宋体" w:cs="宋体"/>
                <w:szCs w:val="21"/>
                <w:highlight w:val="none"/>
              </w:rPr>
              <w:t>18</w:t>
            </w:r>
            <w:r>
              <w:rPr>
                <w:rFonts w:hint="eastAsia" w:ascii="宋体" w:hAnsi="宋体" w:eastAsia="宋体" w:cs="宋体"/>
                <w:szCs w:val="21"/>
                <w:highlight w:val="none"/>
              </w:rPr>
              <w:t>分）</w:t>
            </w:r>
          </w:p>
        </w:tc>
        <w:tc>
          <w:tcPr>
            <w:tcW w:w="7632" w:type="dxa"/>
            <w:vAlign w:val="center"/>
          </w:tcPr>
          <w:p w14:paraId="7A1D3C44">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巡查质量管理方案：安排合理、内容完整，制度严明的得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4504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4" w:type="dxa"/>
            <w:vMerge w:val="continue"/>
            <w:vAlign w:val="center"/>
          </w:tcPr>
          <w:p w14:paraId="33797F97">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0DFBA84B">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06844651">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巡查安全管理方案安排：合理、内容完整，制度严明的得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64DD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Merge w:val="continue"/>
            <w:vAlign w:val="center"/>
          </w:tcPr>
          <w:p w14:paraId="309A4045">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45DC6C31">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519C60F9">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巡查进度方案安排：合理、内容完整，制度严明的得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621F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2DB285F3">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52CD92E">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06A6A676">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巡查人员安排：人员分配合理、职责分明、人员充足的得</w:t>
            </w:r>
            <w:r>
              <w:rPr>
                <w:rFonts w:ascii="宋体" w:hAnsi="宋体" w:eastAsia="宋体" w:cs="宋体"/>
                <w:szCs w:val="21"/>
                <w:highlight w:val="none"/>
              </w:rPr>
              <w:t>4.5</w:t>
            </w:r>
            <w:r>
              <w:rPr>
                <w:rFonts w:hint="eastAsia" w:ascii="宋体" w:hAnsi="宋体" w:eastAsia="宋体" w:cs="宋体"/>
                <w:szCs w:val="21"/>
                <w:highlight w:val="none"/>
              </w:rPr>
              <w:t>分；人员分配混乱或职责不明确的得</w:t>
            </w:r>
            <w:r>
              <w:rPr>
                <w:rFonts w:ascii="宋体" w:hAnsi="宋体" w:eastAsia="宋体" w:cs="宋体"/>
                <w:szCs w:val="21"/>
                <w:highlight w:val="none"/>
              </w:rPr>
              <w:t>2.5</w:t>
            </w:r>
            <w:r>
              <w:rPr>
                <w:rFonts w:hint="eastAsia" w:ascii="宋体" w:hAnsi="宋体" w:eastAsia="宋体" w:cs="宋体"/>
                <w:szCs w:val="21"/>
                <w:highlight w:val="none"/>
              </w:rPr>
              <w:t>分；人员不足或未提及人员安排情况的得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0BDD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75C0A999">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6FAA9E4A">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房屋使用安全大数据智能管控平台</w:t>
            </w:r>
            <w:r>
              <w:rPr>
                <w:rFonts w:hint="eastAsia" w:ascii="宋体" w:hAnsi="宋体" w:eastAsia="宋体" w:cs="宋体"/>
                <w:color w:val="auto"/>
                <w:szCs w:val="21"/>
                <w:highlight w:val="none"/>
                <w:lang w:eastAsia="zh-Hans"/>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Hans"/>
              </w:rPr>
              <w:t>分）</w:t>
            </w:r>
          </w:p>
        </w:tc>
        <w:tc>
          <w:tcPr>
            <w:tcW w:w="7632" w:type="dxa"/>
            <w:vAlign w:val="center"/>
          </w:tcPr>
          <w:p w14:paraId="547A915C">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.服务期内提供同版本软件免费客户化修改与免费升级服务。并能为用户后续的信息化建设提供长期的技术支持的得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3分</w:t>
            </w:r>
            <w:r>
              <w:rPr>
                <w:rFonts w:hint="eastAsia" w:ascii="宋体" w:hAnsi="宋体" w:eastAsia="宋体" w:cs="宋体"/>
                <w:color w:val="auto"/>
                <w:szCs w:val="21"/>
                <w:highlight w:val="none"/>
                <w:lang w:eastAsia="zh-CN"/>
              </w:rPr>
              <w:t>）</w:t>
            </w:r>
          </w:p>
          <w:p w14:paraId="1541B444">
            <w:pPr>
              <w:autoSpaceDE w:val="0"/>
              <w:autoSpaceDN w:val="0"/>
              <w:adjustRightInd w:val="0"/>
              <w:spacing w:line="360" w:lineRule="exact"/>
              <w:rPr>
                <w:rFonts w:ascii="宋体" w:hAnsi="宋体" w:eastAsia="宋体" w:cs="宋体"/>
                <w:color w:val="auto"/>
                <w:szCs w:val="21"/>
                <w:highlight w:val="none"/>
              </w:rPr>
            </w:pPr>
          </w:p>
        </w:tc>
      </w:tr>
      <w:tr w14:paraId="1135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14" w:type="dxa"/>
            <w:vMerge w:val="continue"/>
            <w:vAlign w:val="center"/>
          </w:tcPr>
          <w:p w14:paraId="47A4688B">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3CF792C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应急预案</w:t>
            </w:r>
          </w:p>
          <w:p w14:paraId="7A4C691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（5分）</w:t>
            </w:r>
          </w:p>
        </w:tc>
        <w:tc>
          <w:tcPr>
            <w:tcW w:w="7632" w:type="dxa"/>
            <w:vAlign w:val="center"/>
          </w:tcPr>
          <w:p w14:paraId="3B8D34EC">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1.投标人根据本项目台汛季节及其他突发情况的应急预案完整、科学合理的得5分；</w:t>
            </w:r>
          </w:p>
          <w:p w14:paraId="17945E6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2.投标人根据本项目台汛季节其他突发情况的应急预案能满足采购需求的得3分；</w:t>
            </w:r>
          </w:p>
          <w:p w14:paraId="675718F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3.投标人根据本项目台汛季节其他突发情况的应急预案无法满足采购需求或未提及相关内容的得0分；</w:t>
            </w:r>
          </w:p>
        </w:tc>
      </w:tr>
      <w:tr w14:paraId="7D8F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4" w:type="dxa"/>
            <w:vAlign w:val="center"/>
          </w:tcPr>
          <w:p w14:paraId="75CA8CEA">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093928C5">
            <w:pPr>
              <w:autoSpaceDE w:val="0"/>
              <w:autoSpaceDN w:val="0"/>
              <w:adjustRightInd w:val="0"/>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合理化意见与建议（</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rPr>
              <w:t>分）</w:t>
            </w:r>
          </w:p>
          <w:p w14:paraId="0AA83A11">
            <w:pPr>
              <w:autoSpaceDE w:val="0"/>
              <w:autoSpaceDN w:val="0"/>
              <w:adjustRightInd w:val="0"/>
              <w:spacing w:line="360" w:lineRule="exact"/>
              <w:ind w:firstLine="420" w:firstLineChars="200"/>
              <w:rPr>
                <w:rFonts w:ascii="宋体" w:hAnsi="宋体" w:eastAsia="宋体" w:cs="宋体"/>
                <w:color w:val="auto"/>
                <w:szCs w:val="21"/>
                <w:highlight w:val="none"/>
              </w:rPr>
            </w:pPr>
          </w:p>
        </w:tc>
        <w:tc>
          <w:tcPr>
            <w:tcW w:w="7632" w:type="dxa"/>
            <w:vAlign w:val="center"/>
          </w:tcPr>
          <w:p w14:paraId="6A1BE669">
            <w:pPr>
              <w:autoSpaceDE w:val="0"/>
              <w:autoSpaceDN w:val="0"/>
              <w:adjustRightInd w:val="0"/>
              <w:spacing w:line="360" w:lineRule="exact"/>
              <w:rPr>
                <w:rFonts w:ascii="宋体" w:hAnsi="宋体" w:eastAsia="宋体" w:cs="宋体"/>
                <w:color w:val="auto"/>
                <w:szCs w:val="21"/>
                <w:highlight w:val="none"/>
                <w:lang w:val="zh-CN"/>
              </w:rPr>
            </w:pPr>
            <w:bookmarkStart w:id="2" w:name="_GoBack"/>
            <w:r>
              <w:rPr>
                <w:rFonts w:hint="eastAsia" w:ascii="宋体" w:hAnsi="宋体" w:eastAsia="宋体" w:cs="宋体"/>
                <w:color w:val="auto"/>
                <w:szCs w:val="21"/>
                <w:highlight w:val="none"/>
                <w:lang w:val="zh-CN"/>
              </w:rPr>
              <w:t>投标人针对本项目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建议合理性、针对性等：</w:t>
            </w:r>
          </w:p>
          <w:p w14:paraId="11A17F93">
            <w:pPr>
              <w:numPr>
                <w:ilvl w:val="0"/>
                <w:numId w:val="12"/>
              </w:numPr>
              <w:autoSpaceDE w:val="0"/>
              <w:autoSpaceDN w:val="0"/>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针对本项目的建议合理、可执行性强的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9.5</w:t>
            </w:r>
            <w:r>
              <w:rPr>
                <w:rFonts w:hint="eastAsia" w:ascii="宋体" w:hAnsi="宋体" w:eastAsia="宋体" w:cs="宋体"/>
                <w:color w:val="auto"/>
                <w:szCs w:val="21"/>
                <w:highlight w:val="none"/>
                <w:lang w:val="zh-CN"/>
              </w:rPr>
              <w:t>分；</w:t>
            </w:r>
          </w:p>
          <w:p w14:paraId="3253C395">
            <w:pPr>
              <w:numPr>
                <w:ilvl w:val="0"/>
                <w:numId w:val="12"/>
              </w:numPr>
              <w:autoSpaceDE w:val="0"/>
              <w:autoSpaceDN w:val="0"/>
              <w:adjustRightInd w:val="0"/>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针对本项目的建议合理、可执行性</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lang w:val="zh-CN"/>
              </w:rPr>
              <w:t>强的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分；</w:t>
            </w:r>
          </w:p>
          <w:p w14:paraId="2C34A2C4">
            <w:pPr>
              <w:autoSpaceDE w:val="0"/>
              <w:autoSpaceDN w:val="0"/>
              <w:adjustRightInd w:val="0"/>
              <w:spacing w:line="36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投标人针对本项目的合理化建议</w:t>
            </w:r>
            <w:r>
              <w:rPr>
                <w:rFonts w:hint="eastAsia" w:ascii="宋体" w:hAnsi="宋体" w:eastAsia="宋体" w:cs="宋体"/>
                <w:color w:val="auto"/>
                <w:szCs w:val="21"/>
                <w:highlight w:val="none"/>
              </w:rPr>
              <w:t>操作困难的得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分；</w:t>
            </w:r>
          </w:p>
          <w:p w14:paraId="3A50D1E8">
            <w:pPr>
              <w:autoSpaceDE w:val="0"/>
              <w:autoSpaceDN w:val="0"/>
              <w:adjustRightInd w:val="0"/>
              <w:spacing w:line="3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未提及</w:t>
            </w:r>
            <w:r>
              <w:rPr>
                <w:rFonts w:hint="eastAsia" w:ascii="宋体" w:hAnsi="宋体" w:eastAsia="宋体" w:cs="宋体"/>
                <w:color w:val="auto"/>
                <w:szCs w:val="21"/>
                <w:highlight w:val="none"/>
              </w:rPr>
              <w:t>或不具备操作性的不得分</w:t>
            </w:r>
            <w:bookmarkEnd w:id="2"/>
          </w:p>
        </w:tc>
      </w:tr>
    </w:tbl>
    <w:p w14:paraId="503FCA3C">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注：以上得分项目证明材料为加盖公章后的</w:t>
      </w:r>
      <w:r>
        <w:rPr>
          <w:rFonts w:hint="eastAsia" w:ascii="宋体" w:hAnsi="宋体" w:eastAsia="宋体" w:cs="宋体"/>
          <w:szCs w:val="21"/>
        </w:rPr>
        <w:t>复印件或扫描件作为评审依据。未按要求附证明材料或证明材料体现信息不完整的不得分。投标人应保证其证明材料的真实性和有效性，如出现与事实不符等情况，将根据有关规定以“提供虚假材料谋取中标”予以处罚。</w:t>
      </w:r>
    </w:p>
    <w:p w14:paraId="5C54C5F3">
      <w:pPr>
        <w:autoSpaceDE w:val="0"/>
        <w:autoSpaceDN w:val="0"/>
        <w:adjustRightInd w:val="0"/>
        <w:spacing w:line="360" w:lineRule="exact"/>
        <w:ind w:firstLine="420" w:firstLineChars="200"/>
        <w:rPr>
          <w:rFonts w:ascii="宋体" w:hAnsi="宋体" w:eastAsia="宋体" w:cs="宋体"/>
          <w:b/>
          <w:bCs/>
          <w:sz w:val="30"/>
        </w:rPr>
      </w:pPr>
      <w:r>
        <w:rPr>
          <w:rFonts w:hint="eastAsia" w:ascii="宋体" w:hAnsi="宋体" w:eastAsia="宋体" w:cs="宋体"/>
          <w:szCs w:val="21"/>
        </w:rPr>
        <w:br w:type="page"/>
      </w:r>
    </w:p>
    <w:p w14:paraId="7A5D1EBE">
      <w:pPr>
        <w:spacing w:line="360" w:lineRule="auto"/>
        <w:ind w:right="-341"/>
        <w:jc w:val="center"/>
        <w:rPr>
          <w:rFonts w:ascii="宋体" w:hAnsi="宋体" w:eastAsia="宋体" w:cs="宋体"/>
          <w:b/>
          <w:bCs/>
          <w:sz w:val="30"/>
        </w:rPr>
      </w:pPr>
      <w:r>
        <w:rPr>
          <w:rFonts w:hint="eastAsia" w:ascii="宋体" w:hAnsi="宋体" w:eastAsia="宋体" w:cs="宋体"/>
          <w:b/>
          <w:bCs/>
          <w:sz w:val="30"/>
        </w:rPr>
        <w:t>第五章合同主要条款</w:t>
      </w:r>
    </w:p>
    <w:p w14:paraId="50AC9F76">
      <w:pPr>
        <w:snapToGrid w:val="0"/>
        <w:spacing w:before="156" w:beforeLines="50" w:after="156" w:afterLines="50" w:line="288" w:lineRule="auto"/>
        <w:jc w:val="center"/>
        <w:rPr>
          <w:rFonts w:ascii="宋体" w:hAnsi="宋体" w:eastAsia="宋体" w:cs="宋体"/>
          <w:b/>
          <w:sz w:val="28"/>
          <w:szCs w:val="28"/>
        </w:rPr>
      </w:pPr>
      <w:r>
        <w:rPr>
          <w:rFonts w:hint="eastAsia" w:ascii="宋体" w:hAnsi="宋体" w:eastAsia="宋体" w:cs="宋体"/>
          <w:b/>
          <w:sz w:val="28"/>
          <w:szCs w:val="28"/>
        </w:rPr>
        <w:t>（具体条款以甲方为主协商确定）</w:t>
      </w:r>
    </w:p>
    <w:p w14:paraId="7101B2D7">
      <w:pPr>
        <w:snapToGrid w:val="0"/>
        <w:spacing w:before="156" w:beforeLines="50" w:after="156" w:afterLines="50"/>
        <w:jc w:val="center"/>
        <w:rPr>
          <w:rFonts w:ascii="宋体" w:hAnsi="宋体" w:eastAsia="宋体" w:cs="宋体"/>
          <w:b/>
          <w:sz w:val="32"/>
          <w:szCs w:val="32"/>
        </w:rPr>
      </w:pPr>
      <w:r>
        <w:rPr>
          <w:rFonts w:hint="eastAsia" w:ascii="宋体" w:hAnsi="宋体" w:eastAsia="宋体" w:cs="宋体"/>
          <w:b/>
          <w:sz w:val="32"/>
          <w:szCs w:val="32"/>
        </w:rPr>
        <w:t>合 同 书</w:t>
      </w:r>
    </w:p>
    <w:p w14:paraId="7E9C529B">
      <w:pPr>
        <w:pStyle w:val="25"/>
        <w:ind w:firstLine="210"/>
        <w:rPr>
          <w:rFonts w:ascii="宋体" w:hAnsi="宋体" w:cs="宋体"/>
          <w:color w:val="000000" w:themeColor="text1"/>
          <w14:textFill>
            <w14:solidFill>
              <w14:schemeClr w14:val="tx1"/>
            </w14:solidFill>
          </w14:textFill>
        </w:rPr>
      </w:pPr>
    </w:p>
    <w:p w14:paraId="2B4ED7E1">
      <w:pPr>
        <w:spacing w:line="360" w:lineRule="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甲方（采购人）</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 xml:space="preserve"> </w:t>
      </w:r>
    </w:p>
    <w:p w14:paraId="76D9A55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乙方（各街道）：</w:t>
      </w:r>
      <w:r>
        <w:rPr>
          <w:rFonts w:hint="eastAsia" w:ascii="宋体" w:hAnsi="宋体" w:eastAsia="宋体" w:cs="宋体"/>
          <w:color w:val="000000" w:themeColor="text1"/>
          <w:sz w:val="24"/>
          <w14:textFill>
            <w14:solidFill>
              <w14:schemeClr w14:val="tx1"/>
            </w14:solidFill>
          </w14:textFill>
        </w:rPr>
        <w:t xml:space="preserve">                  　　　 　　　　　　 　</w:t>
      </w:r>
    </w:p>
    <w:p w14:paraId="25BC1A85">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丙方（供应商）</w:t>
      </w:r>
      <w:r>
        <w:rPr>
          <w:rFonts w:hint="eastAsia" w:ascii="宋体" w:hAnsi="宋体" w:eastAsia="宋体" w:cs="宋体"/>
          <w:color w:val="000000" w:themeColor="text1"/>
          <w:sz w:val="28"/>
          <w:szCs w:val="28"/>
          <w14:textFill>
            <w14:solidFill>
              <w14:schemeClr w14:val="tx1"/>
            </w14:solidFill>
          </w14:textFill>
        </w:rPr>
        <w:t xml:space="preserve">： </w:t>
      </w:r>
    </w:p>
    <w:p w14:paraId="485F63AA">
      <w:pPr>
        <w:spacing w:line="360" w:lineRule="auto"/>
        <w:ind w:left="162" w:leftChars="77" w:firstLine="240" w:firstLineChars="100"/>
        <w:rPr>
          <w:rFonts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依据《中华人民共和国民法典》的规定，合同三方就</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的技术服务经协商一致，签订本合同：</w:t>
      </w:r>
      <w:r>
        <w:rPr>
          <w:rFonts w:hint="eastAsia" w:ascii="宋体" w:hAnsi="宋体" w:eastAsia="宋体" w:cs="宋体"/>
          <w:color w:val="000000" w:themeColor="text1"/>
          <w14:textFill>
            <w14:solidFill>
              <w14:schemeClr w14:val="tx1"/>
            </w14:solidFill>
          </w14:textFill>
        </w:rPr>
        <w:tab/>
      </w:r>
    </w:p>
    <w:p w14:paraId="3C4BD7F8">
      <w:pPr>
        <w:spacing w:line="440" w:lineRule="exact"/>
        <w:rPr>
          <w:rFonts w:ascii="宋体" w:hAnsi="宋体" w:eastAsia="宋体" w:cs="宋体"/>
          <w:b/>
        </w:rPr>
      </w:pPr>
      <w:r>
        <w:rPr>
          <w:rFonts w:hint="eastAsia" w:ascii="宋体" w:hAnsi="宋体" w:eastAsia="宋体" w:cs="宋体"/>
          <w:b/>
        </w:rPr>
        <w:t>一、服务要求</w:t>
      </w:r>
    </w:p>
    <w:p w14:paraId="2EA69B90">
      <w:pPr>
        <w:spacing w:line="440" w:lineRule="exact"/>
        <w:rPr>
          <w:rFonts w:ascii="宋体" w:hAnsi="宋体" w:eastAsia="宋体" w:cs="宋体"/>
          <w:b/>
        </w:rPr>
      </w:pPr>
      <w:r>
        <w:rPr>
          <w:rFonts w:hint="eastAsia" w:ascii="宋体" w:hAnsi="宋体" w:eastAsia="宋体" w:cs="宋体"/>
          <w:b/>
        </w:rPr>
        <w:t>（一）项目服务内容</w:t>
      </w:r>
    </w:p>
    <w:p w14:paraId="58DEA12E">
      <w:pPr>
        <w:spacing w:line="440" w:lineRule="exact"/>
        <w:ind w:firstLine="417" w:firstLineChars="199"/>
        <w:rPr>
          <w:rFonts w:ascii="宋体" w:hAnsi="宋体" w:eastAsia="宋体" w:cs="宋体"/>
        </w:rPr>
      </w:pPr>
      <w:r>
        <w:rPr>
          <w:rFonts w:hint="eastAsia" w:ascii="宋体" w:hAnsi="宋体" w:eastAsia="宋体" w:cs="宋体"/>
        </w:rPr>
        <w:t>服务项目提供的房屋安全动态监测项目应包含以下工作内容：</w:t>
      </w:r>
    </w:p>
    <w:p w14:paraId="1EB521D2">
      <w:pPr>
        <w:spacing w:line="440" w:lineRule="exact"/>
        <w:ind w:firstLine="417" w:firstLineChars="199"/>
        <w:rPr>
          <w:rFonts w:ascii="宋体" w:hAnsi="宋体" w:eastAsia="宋体" w:cs="宋体"/>
        </w:rPr>
      </w:pPr>
      <w:r>
        <w:rPr>
          <w:rFonts w:hint="eastAsia" w:ascii="宋体" w:hAnsi="宋体" w:eastAsia="宋体" w:cs="宋体"/>
        </w:rPr>
        <w:t>①房屋核查及动态监测分类；②外观及外部环境检查；③入户检查；④仪器设备动态监测以及人工监测；；⑤台汛季节、重要活动节假日安全排查检查；⑥房安技术服务；⑦装修安全专项技术服务。</w:t>
      </w:r>
    </w:p>
    <w:p w14:paraId="27C6087E">
      <w:pPr>
        <w:spacing w:line="440" w:lineRule="exact"/>
        <w:rPr>
          <w:rFonts w:ascii="宋体" w:hAnsi="宋体" w:eastAsia="宋体" w:cs="宋体"/>
          <w:b/>
        </w:rPr>
      </w:pPr>
      <w:r>
        <w:rPr>
          <w:rFonts w:hint="eastAsia" w:ascii="宋体" w:hAnsi="宋体" w:eastAsia="宋体" w:cs="宋体"/>
          <w:b/>
        </w:rPr>
        <w:t>（二）房屋安全动态监测要求</w:t>
      </w:r>
    </w:p>
    <w:p w14:paraId="26419CAA">
      <w:pPr>
        <w:spacing w:line="440" w:lineRule="exact"/>
        <w:ind w:firstLine="420" w:firstLineChars="199"/>
        <w:rPr>
          <w:rFonts w:ascii="宋体" w:hAnsi="宋体" w:eastAsia="宋体" w:cs="宋体"/>
          <w:b/>
          <w:bCs/>
        </w:rPr>
      </w:pPr>
      <w:r>
        <w:rPr>
          <w:rFonts w:hint="eastAsia" w:ascii="宋体" w:hAnsi="宋体" w:eastAsia="宋体" w:cs="宋体"/>
          <w:b/>
          <w:bCs/>
        </w:rPr>
        <w:t>①房屋核查及动态监测分类</w:t>
      </w:r>
    </w:p>
    <w:p w14:paraId="1C7C54BD">
      <w:pPr>
        <w:spacing w:line="440" w:lineRule="exact"/>
        <w:ind w:firstLine="417" w:firstLineChars="199"/>
        <w:rPr>
          <w:rFonts w:ascii="宋体" w:hAnsi="宋体" w:eastAsia="宋体" w:cs="宋体"/>
        </w:rPr>
      </w:pPr>
      <w:r>
        <w:rPr>
          <w:rFonts w:hint="eastAsia" w:ascii="宋体" w:hAnsi="宋体" w:eastAsia="宋体" w:cs="宋体"/>
        </w:rPr>
        <w:t>深入分析采购人提供的有关房屋安全资料、动态监测历史资料，根据监测范围内房屋危险性现状、是否历史危房已经实质性解危、解危后安全储备水平等实际情况，结合现场核查对监测房屋进行分类；以动态科学划分不同类型房屋及确定相应动态监测巡查频率，合理分配管理资源。</w:t>
      </w:r>
    </w:p>
    <w:p w14:paraId="686AC87B">
      <w:pPr>
        <w:spacing w:line="440" w:lineRule="exact"/>
        <w:ind w:firstLine="417" w:firstLineChars="199"/>
        <w:rPr>
          <w:rFonts w:ascii="宋体" w:hAnsi="宋体" w:eastAsia="宋体" w:cs="宋体"/>
        </w:rPr>
      </w:pPr>
      <w:r>
        <w:rPr>
          <w:rFonts w:hint="eastAsia" w:ascii="宋体" w:hAnsi="宋体" w:eastAsia="宋体" w:cs="宋体"/>
        </w:rPr>
        <w:t>根据房屋安全储备的从高到低（危险性由低到高），根据相关技术依据将监测范围内房屋合理进行动态监测分类；各类对应的动态监测巡查频率和安全储备相对应。</w:t>
      </w:r>
    </w:p>
    <w:p w14:paraId="33B25951">
      <w:pPr>
        <w:tabs>
          <w:tab w:val="left" w:pos="851"/>
        </w:tabs>
        <w:spacing w:line="440" w:lineRule="exact"/>
        <w:ind w:firstLine="411" w:firstLineChars="196"/>
        <w:rPr>
          <w:rFonts w:ascii="宋体" w:hAnsi="宋体" w:eastAsia="宋体" w:cs="宋体"/>
        </w:rPr>
      </w:pPr>
      <w:r>
        <w:rPr>
          <w:rFonts w:hint="eastAsia" w:ascii="宋体" w:hAnsi="宋体" w:eastAsia="宋体" w:cs="宋体"/>
        </w:rPr>
        <w:t>监测范围内所有房屋的定期人工监测总次数，平均不得低于1次/月/幢。</w:t>
      </w:r>
    </w:p>
    <w:p w14:paraId="72C316C0">
      <w:pPr>
        <w:spacing w:line="440" w:lineRule="exact"/>
        <w:ind w:firstLine="420" w:firstLineChars="199"/>
        <w:rPr>
          <w:rFonts w:ascii="宋体" w:hAnsi="宋体" w:eastAsia="宋体" w:cs="宋体"/>
          <w:b/>
          <w:bCs/>
        </w:rPr>
      </w:pPr>
      <w:r>
        <w:rPr>
          <w:rFonts w:hint="eastAsia" w:ascii="宋体" w:hAnsi="宋体" w:eastAsia="宋体" w:cs="宋体"/>
          <w:b/>
          <w:bCs/>
        </w:rPr>
        <w:t>②外观及外部环境检查</w:t>
      </w:r>
    </w:p>
    <w:p w14:paraId="56AF1D6C">
      <w:pPr>
        <w:spacing w:line="440" w:lineRule="exact"/>
        <w:ind w:firstLine="417" w:firstLineChars="199"/>
        <w:rPr>
          <w:rFonts w:ascii="宋体" w:hAnsi="宋体" w:eastAsia="宋体" w:cs="宋体"/>
          <w:b/>
          <w:bCs/>
          <w:highlight w:val="none"/>
        </w:rPr>
      </w:pPr>
      <w:r>
        <w:rPr>
          <w:rFonts w:hint="eastAsia" w:ascii="宋体" w:hAnsi="宋体" w:eastAsia="宋体" w:cs="宋体"/>
        </w:rPr>
        <w:t>人工动态监测房屋分类方案报经委托</w:t>
      </w:r>
      <w:r>
        <w:rPr>
          <w:rFonts w:hint="eastAsia" w:ascii="宋体" w:hAnsi="宋体" w:eastAsia="宋体" w:cs="宋体"/>
          <w:highlight w:val="none"/>
        </w:rPr>
        <w:t>方</w:t>
      </w:r>
      <w:r>
        <w:rPr>
          <w:rFonts w:hint="eastAsia" w:ascii="宋体" w:hAnsi="宋体" w:eastAsia="宋体" w:cs="宋体"/>
          <w:highlight w:val="none"/>
          <w:lang w:val="en-US" w:eastAsia="zh-CN"/>
        </w:rPr>
        <w:t>备案</w:t>
      </w:r>
      <w:r>
        <w:rPr>
          <w:rFonts w:hint="eastAsia" w:ascii="宋体" w:hAnsi="宋体" w:eastAsia="宋体" w:cs="宋体"/>
          <w:highlight w:val="none"/>
        </w:rPr>
        <w:t>后，根据房屋类别相应频率进行人工动态监测。特别危险的房屋应按委托人要求安装动态监测设备，监测方案报经委托人</w:t>
      </w:r>
      <w:r>
        <w:rPr>
          <w:rFonts w:hint="eastAsia" w:ascii="宋体" w:hAnsi="宋体" w:eastAsia="宋体" w:cs="宋体"/>
          <w:highlight w:val="none"/>
          <w:lang w:val="en-US" w:eastAsia="zh-CN"/>
        </w:rPr>
        <w:t>备案</w:t>
      </w:r>
      <w:r>
        <w:rPr>
          <w:rFonts w:hint="eastAsia" w:ascii="宋体" w:hAnsi="宋体" w:eastAsia="宋体" w:cs="宋体"/>
          <w:highlight w:val="none"/>
        </w:rPr>
        <w:t>后，对房</w:t>
      </w:r>
      <w:r>
        <w:rPr>
          <w:rFonts w:hint="eastAsia" w:ascii="宋体" w:hAnsi="宋体" w:eastAsia="宋体" w:cs="宋体"/>
        </w:rPr>
        <w:t>屋的沉降、倾斜及裂缝等涉及房屋安全的关键数据进行监测</w:t>
      </w:r>
      <w:r>
        <w:rPr>
          <w:rFonts w:hint="eastAsia" w:ascii="宋体" w:hAnsi="宋体" w:eastAsia="宋体" w:cs="宋体"/>
          <w:lang w:val="en-US" w:eastAsia="zh-CN"/>
        </w:rPr>
        <w:t>并采样</w:t>
      </w:r>
      <w:r>
        <w:rPr>
          <w:rFonts w:hint="eastAsia" w:ascii="宋体" w:hAnsi="宋体" w:eastAsia="宋体" w:cs="宋体"/>
        </w:rPr>
        <w:t>。对外观及外部环境检查内容，应满足有关动态监测的国家标准、行业标准和地方标准，并制定具体执行方案报委托</w:t>
      </w:r>
      <w:r>
        <w:rPr>
          <w:rFonts w:hint="eastAsia" w:ascii="宋体" w:hAnsi="宋体" w:eastAsia="宋体" w:cs="宋体"/>
          <w:highlight w:val="none"/>
        </w:rPr>
        <w:t>方</w:t>
      </w:r>
      <w:r>
        <w:rPr>
          <w:rFonts w:hint="eastAsia" w:ascii="宋体" w:hAnsi="宋体" w:eastAsia="宋体" w:cs="宋体"/>
          <w:highlight w:val="none"/>
          <w:lang w:val="en-US" w:eastAsia="zh-CN"/>
        </w:rPr>
        <w:t>备案</w:t>
      </w:r>
      <w:r>
        <w:rPr>
          <w:rFonts w:hint="eastAsia" w:ascii="宋体" w:hAnsi="宋体" w:eastAsia="宋体" w:cs="宋体"/>
          <w:highlight w:val="none"/>
        </w:rPr>
        <w:t>。</w:t>
      </w:r>
      <w:r>
        <w:rPr>
          <w:rFonts w:ascii="宋体" w:hAnsi="宋体" w:eastAsia="宋体" w:cs="宋体"/>
          <w:highlight w:val="none"/>
        </w:rPr>
        <w:cr/>
      </w:r>
      <w:r>
        <w:rPr>
          <w:rFonts w:ascii="宋体" w:hAnsi="宋体" w:eastAsia="宋体" w:cs="宋体"/>
          <w:highlight w:val="none"/>
        </w:rPr>
        <w:t xml:space="preserve">    特殊类房屋除已安装动态监测设备外，其余按实际需求确定人工监测频率且不少于每周两次。</w:t>
      </w:r>
      <w:r>
        <w:rPr>
          <w:rFonts w:ascii="宋体" w:hAnsi="宋体" w:eastAsia="宋体" w:cs="宋体"/>
          <w:highlight w:val="none"/>
        </w:rPr>
        <w:cr/>
      </w:r>
      <w:r>
        <w:rPr>
          <w:rFonts w:hint="eastAsia" w:ascii="宋体" w:hAnsi="宋体" w:eastAsia="宋体" w:cs="宋体"/>
          <w:b/>
          <w:bCs/>
          <w:highlight w:val="none"/>
        </w:rPr>
        <w:t>③入户检查</w:t>
      </w:r>
    </w:p>
    <w:p w14:paraId="7D8C8A10">
      <w:pPr>
        <w:spacing w:line="440" w:lineRule="exact"/>
        <w:ind w:firstLine="417" w:firstLineChars="199"/>
        <w:rPr>
          <w:rFonts w:ascii="宋体" w:hAnsi="宋体" w:eastAsia="宋体" w:cs="宋体"/>
          <w:highlight w:val="none"/>
        </w:rPr>
      </w:pPr>
      <w:r>
        <w:rPr>
          <w:rFonts w:hint="eastAsia" w:ascii="宋体" w:hAnsi="宋体" w:eastAsia="宋体" w:cs="宋体"/>
          <w:highlight w:val="none"/>
        </w:rPr>
        <w:t>入户标准为：监测范围内房屋户数的总入户率，首年达到30%比例，3年内累计达到70%；应结合不同房屋特点、不同结构部位性质，提出合理的详细入户方案，中标后报经委托方</w:t>
      </w:r>
      <w:r>
        <w:rPr>
          <w:rFonts w:hint="eastAsia" w:ascii="宋体" w:hAnsi="宋体" w:eastAsia="宋体" w:cs="宋体"/>
          <w:highlight w:val="none"/>
          <w:lang w:val="en-US" w:eastAsia="zh-CN"/>
        </w:rPr>
        <w:t>备案</w:t>
      </w:r>
      <w:r>
        <w:rPr>
          <w:rFonts w:hint="eastAsia" w:ascii="宋体" w:hAnsi="宋体" w:eastAsia="宋体" w:cs="宋体"/>
          <w:highlight w:val="none"/>
        </w:rPr>
        <w:t>后予以实施。因客观因素未能达成入户比例标准及入户方案要求，所有未能入户的房屋均须有对应的检查记录（包括每一次未入户的原因）。</w:t>
      </w:r>
    </w:p>
    <w:p w14:paraId="5E2F2F19">
      <w:pPr>
        <w:spacing w:line="440" w:lineRule="exact"/>
        <w:ind w:firstLine="420" w:firstLineChars="199"/>
        <w:rPr>
          <w:rFonts w:ascii="宋体" w:hAnsi="宋体" w:eastAsia="宋体" w:cs="宋体"/>
          <w:b/>
          <w:bCs/>
        </w:rPr>
      </w:pPr>
      <w:r>
        <w:rPr>
          <w:rFonts w:hint="eastAsia" w:ascii="宋体" w:hAnsi="宋体" w:eastAsia="宋体" w:cs="宋体"/>
          <w:b/>
          <w:bCs/>
        </w:rPr>
        <w:t>④仪器设备人工监测</w:t>
      </w:r>
    </w:p>
    <w:p w14:paraId="48A0A6B5">
      <w:pPr>
        <w:spacing w:line="440" w:lineRule="exact"/>
        <w:ind w:firstLine="417" w:firstLineChars="199"/>
        <w:rPr>
          <w:rFonts w:ascii="宋体" w:hAnsi="宋体" w:eastAsia="宋体" w:cs="宋体"/>
        </w:rPr>
      </w:pPr>
      <w:r>
        <w:rPr>
          <w:rFonts w:hint="eastAsia" w:ascii="宋体" w:hAnsi="宋体" w:eastAsia="宋体" w:cs="宋体"/>
        </w:rPr>
        <w:t>对人工动态监测范围内房屋每年至少测量一次；根据动态监测历史资料，对房屋倾斜、沉降、裂缝状态近年有变化趋势；或者已经出现明显的倾斜变形或不均匀沉降、受相邻施工影响的房屋进行测量，适当增加测量频率。</w:t>
      </w:r>
    </w:p>
    <w:p w14:paraId="1F5F642C">
      <w:pPr>
        <w:spacing w:line="440" w:lineRule="exact"/>
        <w:ind w:firstLine="420" w:firstLineChars="199"/>
        <w:rPr>
          <w:rFonts w:ascii="宋体" w:hAnsi="宋体" w:eastAsia="宋体" w:cs="宋体"/>
          <w:b/>
          <w:bCs/>
        </w:rPr>
      </w:pPr>
      <w:r>
        <w:rPr>
          <w:rFonts w:hint="eastAsia" w:ascii="宋体" w:hAnsi="宋体" w:eastAsia="宋体" w:cs="宋体"/>
          <w:b/>
          <w:bCs/>
        </w:rPr>
        <w:t>⑤台汛季节、重要活动节假日安全排查检查</w:t>
      </w:r>
    </w:p>
    <w:p w14:paraId="1509B297">
      <w:pPr>
        <w:tabs>
          <w:tab w:val="left" w:pos="851"/>
        </w:tabs>
        <w:spacing w:line="440" w:lineRule="exact"/>
        <w:ind w:firstLine="411" w:firstLineChars="196"/>
        <w:rPr>
          <w:rFonts w:ascii="宋体" w:hAnsi="宋体" w:eastAsia="宋体" w:cs="宋体"/>
        </w:rPr>
      </w:pPr>
      <w:r>
        <w:rPr>
          <w:rFonts w:hint="eastAsia" w:ascii="宋体" w:hAnsi="宋体" w:eastAsia="宋体" w:cs="宋体"/>
        </w:rPr>
        <w:t>按上级要求或甲方指示开展三类及以上房屋或特殊类别房屋应急安全排查检查，每年不少于5次。达到合同规定的幢次后，仍须服从甲方的应急排查检查指令，合同金额不追加。</w:t>
      </w:r>
    </w:p>
    <w:p w14:paraId="1AADCFE5">
      <w:pPr>
        <w:spacing w:line="440" w:lineRule="exact"/>
        <w:ind w:firstLine="420" w:firstLineChars="199"/>
        <w:rPr>
          <w:rFonts w:ascii="宋体" w:hAnsi="宋体" w:eastAsia="宋体" w:cs="宋体"/>
          <w:b/>
          <w:bCs/>
        </w:rPr>
      </w:pPr>
      <w:r>
        <w:rPr>
          <w:rFonts w:hint="eastAsia" w:ascii="宋体" w:hAnsi="宋体" w:eastAsia="宋体" w:cs="宋体"/>
          <w:b/>
          <w:bCs/>
        </w:rPr>
        <w:t>⑥房安技术服务</w:t>
      </w:r>
    </w:p>
    <w:p w14:paraId="140F8169">
      <w:pPr>
        <w:tabs>
          <w:tab w:val="left" w:pos="851"/>
        </w:tabs>
        <w:spacing w:line="440" w:lineRule="exact"/>
        <w:ind w:firstLine="411" w:firstLineChars="196"/>
        <w:rPr>
          <w:rFonts w:ascii="宋体" w:hAnsi="宋体" w:eastAsia="宋体" w:cs="宋体"/>
        </w:rPr>
      </w:pPr>
      <w:r>
        <w:rPr>
          <w:rFonts w:hint="eastAsia" w:ascii="宋体" w:hAnsi="宋体" w:eastAsia="宋体" w:cs="宋体"/>
        </w:rPr>
        <w:t>满足属地区域房安技术咨询服务需求。日常技术咨询包括：房屋安全管理部门有需要的情况下，乙方采用电话咨询、现场等方式，对辖区内日常房屋安全问题进行咨询、问题判断、答疑等技术服务。</w:t>
      </w:r>
    </w:p>
    <w:p w14:paraId="2E9C017D">
      <w:pPr>
        <w:spacing w:line="440" w:lineRule="exact"/>
        <w:ind w:firstLine="420" w:firstLineChars="199"/>
        <w:rPr>
          <w:rFonts w:ascii="宋体" w:hAnsi="宋体" w:eastAsia="宋体" w:cs="宋体"/>
          <w:b/>
          <w:bCs/>
        </w:rPr>
      </w:pPr>
      <w:r>
        <w:rPr>
          <w:rFonts w:hint="eastAsia" w:ascii="宋体" w:hAnsi="宋体" w:eastAsia="宋体" w:cs="宋体"/>
          <w:b/>
          <w:bCs/>
        </w:rPr>
        <w:t>⑦装修安全专项技术服务</w:t>
      </w:r>
    </w:p>
    <w:p w14:paraId="66F5D23C">
      <w:pPr>
        <w:spacing w:line="440" w:lineRule="exact"/>
        <w:ind w:firstLine="417" w:firstLineChars="199"/>
        <w:rPr>
          <w:rFonts w:ascii="宋体" w:hAnsi="宋体" w:eastAsia="宋体" w:cs="宋体"/>
        </w:rPr>
      </w:pPr>
      <w:r>
        <w:rPr>
          <w:rFonts w:hint="eastAsia" w:ascii="宋体" w:hAnsi="宋体" w:eastAsia="宋体" w:cs="宋体"/>
        </w:rPr>
        <w:t>对于发现装修、或接到房屋安全相关信访和投诉举报装修行为的房屋，提供装修安全专项技术服务：</w:t>
      </w:r>
    </w:p>
    <w:p w14:paraId="37869F3B">
      <w:pPr>
        <w:spacing w:line="440" w:lineRule="exact"/>
        <w:ind w:firstLine="417" w:firstLineChars="199"/>
        <w:rPr>
          <w:rFonts w:ascii="宋体" w:hAnsi="宋体" w:eastAsia="宋体" w:cs="宋体"/>
        </w:rPr>
      </w:pPr>
      <w:r>
        <w:rPr>
          <w:rFonts w:hint="eastAsia" w:ascii="宋体" w:hAnsi="宋体" w:eastAsia="宋体" w:cs="宋体"/>
        </w:rPr>
        <w:t>现场踏勘举报及信访件反映的房屋装修事项，给出是否涉及房屋结构、是否存在违规装修、后续处理的专业技术建议；</w:t>
      </w:r>
    </w:p>
    <w:p w14:paraId="329D3573">
      <w:pPr>
        <w:spacing w:line="440" w:lineRule="exact"/>
        <w:ind w:firstLine="417" w:firstLineChars="199"/>
        <w:rPr>
          <w:rFonts w:ascii="宋体" w:hAnsi="宋体" w:eastAsia="宋体" w:cs="宋体"/>
          <w:highlight w:val="none"/>
        </w:rPr>
      </w:pPr>
      <w:r>
        <w:rPr>
          <w:rFonts w:hint="eastAsia" w:ascii="宋体" w:hAnsi="宋体" w:eastAsia="宋体" w:cs="宋体"/>
        </w:rPr>
        <w:t>若存在违规装修，监督其进行破坏处恢复及加固处理，对不配合弥补违规过失的及时上报</w:t>
      </w:r>
      <w:r>
        <w:rPr>
          <w:rFonts w:hint="eastAsia" w:ascii="宋体" w:hAnsi="宋体" w:eastAsia="宋体" w:cs="宋体"/>
          <w:highlight w:val="none"/>
        </w:rPr>
        <w:t>主管部门予以处理，并为行政执法提供技术支持；</w:t>
      </w:r>
    </w:p>
    <w:p w14:paraId="22D76349">
      <w:pPr>
        <w:spacing w:line="440" w:lineRule="exact"/>
        <w:ind w:firstLine="417" w:firstLineChars="199"/>
        <w:rPr>
          <w:rFonts w:ascii="宋体" w:hAnsi="宋体" w:eastAsia="宋体" w:cs="宋体"/>
          <w:highlight w:val="none"/>
        </w:rPr>
      </w:pPr>
      <w:r>
        <w:rPr>
          <w:rFonts w:hint="eastAsia" w:ascii="宋体" w:hAnsi="宋体" w:eastAsia="宋体" w:cs="宋体"/>
          <w:highlight w:val="none"/>
        </w:rPr>
        <w:t>对装修房屋进行巡查（巡查频率至少为三次，即装修前的巡查、装修中的巡查、装修完成时的巡查），开展装修备案工作，内容包括装修设计方案审查、装修备案资料收集整理、巡查及系统中登记。</w:t>
      </w:r>
    </w:p>
    <w:p w14:paraId="1E9B01C6">
      <w:pPr>
        <w:spacing w:line="440" w:lineRule="exact"/>
        <w:ind w:firstLine="417" w:firstLineChars="199"/>
        <w:rPr>
          <w:rFonts w:ascii="宋体" w:hAnsi="宋体" w:eastAsia="宋体" w:cs="宋体"/>
        </w:rPr>
      </w:pPr>
      <w:r>
        <w:rPr>
          <w:rFonts w:hint="eastAsia" w:ascii="宋体" w:hAnsi="宋体" w:eastAsia="宋体" w:cs="宋体"/>
          <w:highlight w:val="none"/>
        </w:rPr>
        <w:t>此项服务装修备案对</w:t>
      </w:r>
      <w:r>
        <w:rPr>
          <w:rFonts w:hint="eastAsia" w:ascii="宋体" w:hAnsi="宋体" w:eastAsia="宋体" w:cs="宋体"/>
        </w:rPr>
        <w:t>象为全区（不限于本项目清单）范围内的房屋装修行为。</w:t>
      </w:r>
    </w:p>
    <w:p w14:paraId="262FB380">
      <w:pPr>
        <w:spacing w:line="440" w:lineRule="exact"/>
        <w:rPr>
          <w:rFonts w:ascii="宋体" w:hAnsi="宋体" w:eastAsia="宋体" w:cs="宋体"/>
          <w:b/>
        </w:rPr>
      </w:pPr>
      <w:r>
        <w:rPr>
          <w:rFonts w:hint="eastAsia" w:ascii="宋体" w:hAnsi="宋体" w:eastAsia="宋体" w:cs="宋体"/>
          <w:b/>
        </w:rPr>
        <w:t>（三）房屋安全动态监测单位要求</w:t>
      </w:r>
    </w:p>
    <w:p w14:paraId="15B5FD05">
      <w:pPr>
        <w:tabs>
          <w:tab w:val="left" w:pos="851"/>
        </w:tabs>
        <w:spacing w:line="440" w:lineRule="exact"/>
        <w:ind w:firstLine="411" w:firstLineChars="196"/>
        <w:rPr>
          <w:rFonts w:ascii="宋体" w:hAnsi="宋体" w:eastAsia="宋体" w:cs="宋体"/>
        </w:rPr>
      </w:pPr>
      <w:r>
        <w:rPr>
          <w:rFonts w:hint="eastAsia" w:ascii="宋体" w:hAnsi="宋体" w:eastAsia="宋体" w:cs="宋体"/>
        </w:rPr>
        <w:t>（1）房屋动态安全监测单位应具备房屋安全鉴定资质，有完整的检查、观测、监测、评估、安全预警机制，巡检人员能够对房屋安全情况进行识别查勘。</w:t>
      </w:r>
    </w:p>
    <w:p w14:paraId="0EECECA9">
      <w:pPr>
        <w:tabs>
          <w:tab w:val="left" w:pos="851"/>
        </w:tabs>
        <w:spacing w:line="440" w:lineRule="exact"/>
        <w:ind w:firstLine="411" w:firstLineChars="196"/>
        <w:rPr>
          <w:rFonts w:ascii="宋体" w:hAnsi="宋体" w:eastAsia="宋体" w:cs="宋体"/>
          <w:b/>
          <w:bCs/>
        </w:rPr>
      </w:pPr>
      <w:r>
        <w:rPr>
          <w:rFonts w:hint="eastAsia" w:ascii="宋体" w:hAnsi="宋体" w:eastAsia="宋体" w:cs="宋体"/>
        </w:rPr>
        <w:t>（2）在房屋安全动态监测时，应为所有监测房屋建立完整的房屋安全档案；动态监测单位需通过人工监测管理平台以及作业APP，形成一整套人工巡查管理流程，如：系统任务派发、巡查到位率管理、巡查成果照片管理、巡查数据查询，手机app定位、拍照、记录、完成巡查任务等。监测平台APP具备预留端口，服务期结束后本系统能与其他系统兼容或能将本项目所有数据资料导出。采用设备动态监测的，应具备人工监测的全部功能外，还需将数据实时上传至监测管理平台。</w:t>
      </w:r>
    </w:p>
    <w:p w14:paraId="4E3BCD49">
      <w:pPr>
        <w:spacing w:line="440" w:lineRule="exact"/>
        <w:ind w:firstLine="420" w:firstLineChars="200"/>
        <w:contextualSpacing/>
        <w:rPr>
          <w:rFonts w:ascii="宋体" w:hAnsi="宋体" w:eastAsia="宋体" w:cs="宋体"/>
        </w:rPr>
      </w:pPr>
      <w:r>
        <w:rPr>
          <w:rFonts w:hint="eastAsia" w:ascii="宋体" w:hAnsi="宋体" w:eastAsia="宋体" w:cs="宋体"/>
        </w:rPr>
        <w:t>（3）中标单位需配备房屋信息管理人员与房屋安全管理技术人员。房屋信息管理人员应负责管理老旧房屋监测信息和房屋装修巡查信息的整理、归纳、统计、归档各项房屋信息等工作；房屋安全管理技术人员负责房屋安全监管、房屋紧急情况下的初步判断及应急初步处理，房屋现场查看后的解释工作，对街道、社区的相关工作人员进行宣传培训，技术指导。</w:t>
      </w:r>
    </w:p>
    <w:p w14:paraId="399B89FC">
      <w:pPr>
        <w:spacing w:line="440" w:lineRule="exact"/>
        <w:ind w:firstLine="420" w:firstLineChars="200"/>
        <w:contextualSpacing/>
        <w:rPr>
          <w:rFonts w:ascii="宋体" w:hAnsi="宋体" w:eastAsia="宋体" w:cs="宋体"/>
        </w:rPr>
      </w:pPr>
      <w:r>
        <w:rPr>
          <w:rFonts w:hint="eastAsia" w:ascii="宋体" w:hAnsi="宋体" w:eastAsia="宋体" w:cs="宋体"/>
        </w:rPr>
        <w:t>（4）合同期限内，中标单位须建立房屋安全管理专家组，为定海区房屋使用安全管理提供技术咨询。为本项目配备的注册结构工程师不少于一人。</w:t>
      </w:r>
    </w:p>
    <w:p w14:paraId="396CCA3D">
      <w:pPr>
        <w:spacing w:line="440" w:lineRule="exact"/>
        <w:ind w:firstLine="420" w:firstLineChars="200"/>
        <w:contextualSpacing/>
        <w:rPr>
          <w:rFonts w:ascii="宋体" w:hAnsi="宋体" w:eastAsia="宋体" w:cs="宋体"/>
        </w:rPr>
      </w:pPr>
      <w:r>
        <w:rPr>
          <w:rFonts w:hint="eastAsia" w:ascii="宋体" w:hAnsi="宋体" w:eastAsia="宋体" w:cs="宋体"/>
        </w:rPr>
        <w:t>（5）如发现房屋危险情况严重或加剧的，第一时间书面告知属地街道社区，同时告知定海区住房和城乡建设局，提出相关合理化建议，并提供房屋加固、解危技术支持。</w:t>
      </w:r>
    </w:p>
    <w:p w14:paraId="1FDF791E">
      <w:pPr>
        <w:spacing w:line="440" w:lineRule="exact"/>
        <w:rPr>
          <w:rFonts w:ascii="宋体" w:hAnsi="宋体" w:eastAsia="宋体" w:cs="宋体"/>
          <w:b/>
        </w:rPr>
      </w:pPr>
      <w:r>
        <w:rPr>
          <w:rFonts w:hint="eastAsia" w:ascii="宋体" w:hAnsi="宋体" w:eastAsia="宋体" w:cs="宋体"/>
          <w:b/>
        </w:rPr>
        <w:t>三、服务执行依据</w:t>
      </w:r>
    </w:p>
    <w:p w14:paraId="5B2AB618">
      <w:pPr>
        <w:spacing w:line="440" w:lineRule="exact"/>
        <w:ind w:firstLine="420" w:firstLineChars="200"/>
        <w:contextualSpacing/>
        <w:rPr>
          <w:rFonts w:ascii="宋体" w:hAnsi="宋体" w:eastAsia="宋体" w:cs="宋体"/>
        </w:rPr>
      </w:pPr>
      <w:r>
        <w:rPr>
          <w:rFonts w:hint="eastAsia" w:ascii="宋体" w:hAnsi="宋体" w:eastAsia="宋体" w:cs="宋体"/>
        </w:rPr>
        <w:t>依法根据有关动态监测的国家标准、行业标准和地方标准，开展本项目服务工作。</w:t>
      </w:r>
    </w:p>
    <w:p w14:paraId="17A678F8">
      <w:pPr>
        <w:spacing w:line="440" w:lineRule="exact"/>
        <w:ind w:firstLine="420" w:firstLineChars="200"/>
        <w:contextualSpacing/>
        <w:rPr>
          <w:rFonts w:ascii="宋体" w:hAnsi="宋体" w:eastAsia="宋体" w:cs="宋体"/>
        </w:rPr>
      </w:pPr>
      <w:r>
        <w:rPr>
          <w:rFonts w:hint="eastAsia" w:ascii="宋体" w:hAnsi="宋体" w:eastAsia="宋体" w:cs="宋体"/>
        </w:rPr>
        <w:t>《浙江省危险房屋结构监测技术导则》2019</w:t>
      </w:r>
    </w:p>
    <w:p w14:paraId="14EA466A">
      <w:pPr>
        <w:spacing w:line="440" w:lineRule="exact"/>
        <w:ind w:firstLine="420" w:firstLineChars="200"/>
        <w:contextualSpacing/>
        <w:rPr>
          <w:rFonts w:ascii="宋体" w:hAnsi="宋体" w:eastAsia="宋体" w:cs="宋体"/>
        </w:rPr>
      </w:pPr>
      <w:r>
        <w:rPr>
          <w:rFonts w:hint="eastAsia" w:ascii="宋体" w:hAnsi="宋体" w:eastAsia="宋体" w:cs="宋体"/>
        </w:rPr>
        <w:t>《浙江省房屋使用安全管理条例》</w:t>
      </w:r>
    </w:p>
    <w:p w14:paraId="26F29E07">
      <w:pPr>
        <w:spacing w:line="440" w:lineRule="exact"/>
        <w:ind w:firstLine="420" w:firstLineChars="200"/>
        <w:contextualSpacing/>
        <w:rPr>
          <w:rFonts w:ascii="宋体" w:hAnsi="宋体" w:eastAsia="宋体" w:cs="宋体"/>
        </w:rPr>
      </w:pPr>
      <w:r>
        <w:rPr>
          <w:rFonts w:hint="eastAsia" w:ascii="宋体" w:hAnsi="宋体" w:eastAsia="宋体" w:cs="宋体"/>
        </w:rPr>
        <w:t>《浙江省房屋安全隐患巡查（自查）手册》</w:t>
      </w:r>
    </w:p>
    <w:p w14:paraId="675B73CB">
      <w:pPr>
        <w:spacing w:line="440" w:lineRule="exact"/>
        <w:ind w:firstLine="420" w:firstLineChars="200"/>
        <w:contextualSpacing/>
        <w:rPr>
          <w:rFonts w:ascii="宋体" w:hAnsi="宋体" w:eastAsia="宋体" w:cs="宋体"/>
        </w:rPr>
      </w:pPr>
      <w:r>
        <w:rPr>
          <w:rFonts w:hint="eastAsia" w:ascii="宋体" w:hAnsi="宋体" w:eastAsia="宋体" w:cs="宋体"/>
        </w:rPr>
        <w:t>《浙江省既有城镇住宅房屋结构安全排查技术导则》</w:t>
      </w:r>
    </w:p>
    <w:p w14:paraId="631EAEE6">
      <w:pPr>
        <w:spacing w:line="440" w:lineRule="exact"/>
        <w:ind w:firstLine="420" w:firstLineChars="200"/>
        <w:contextualSpacing/>
        <w:rPr>
          <w:rFonts w:ascii="宋体" w:hAnsi="宋体" w:eastAsia="宋体" w:cs="宋体"/>
        </w:rPr>
      </w:pPr>
      <w:r>
        <w:rPr>
          <w:rFonts w:hint="eastAsia" w:ascii="宋体" w:hAnsi="宋体" w:eastAsia="宋体" w:cs="宋体"/>
        </w:rPr>
        <w:t xml:space="preserve">《危险房屋鉴定标准》JGJ125-2016 </w:t>
      </w:r>
    </w:p>
    <w:p w14:paraId="62FC061A">
      <w:pPr>
        <w:spacing w:line="440" w:lineRule="exact"/>
        <w:ind w:firstLine="420" w:firstLineChars="200"/>
        <w:contextualSpacing/>
        <w:rPr>
          <w:rFonts w:ascii="宋体" w:hAnsi="宋体" w:eastAsia="宋体" w:cs="宋体"/>
        </w:rPr>
      </w:pPr>
      <w:r>
        <w:rPr>
          <w:rFonts w:hint="eastAsia" w:ascii="宋体" w:hAnsi="宋体" w:eastAsia="宋体" w:cs="宋体"/>
        </w:rPr>
        <w:t xml:space="preserve">《建筑变形测量规范》JGJ8-2016 </w:t>
      </w:r>
    </w:p>
    <w:p w14:paraId="6C0A3AA9">
      <w:pPr>
        <w:spacing w:line="440" w:lineRule="exact"/>
        <w:ind w:firstLine="420" w:firstLineChars="200"/>
        <w:contextualSpacing/>
        <w:rPr>
          <w:rFonts w:ascii="宋体" w:hAnsi="宋体" w:eastAsia="宋体" w:cs="宋体"/>
        </w:rPr>
      </w:pPr>
      <w:r>
        <w:rPr>
          <w:rFonts w:hint="eastAsia" w:ascii="宋体" w:hAnsi="宋体" w:eastAsia="宋体" w:cs="宋体"/>
        </w:rPr>
        <w:t>《工程测量标准》GB 50026-2020</w:t>
      </w:r>
    </w:p>
    <w:p w14:paraId="332D11A0">
      <w:pPr>
        <w:pStyle w:val="55"/>
        <w:spacing w:before="0" w:beforeAutospacing="0" w:after="0" w:afterAutospacing="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宋体" w:hAnsi="宋体" w:cs="宋体"/>
          <w:b/>
          <w:color w:val="000000" w:themeColor="text1"/>
          <w:spacing w:val="58"/>
          <w14:textFill>
            <w14:solidFill>
              <w14:schemeClr w14:val="tx1"/>
            </w14:solidFill>
          </w14:textFill>
        </w:rPr>
        <w:t>四、</w:t>
      </w:r>
      <w:r>
        <w:rPr>
          <w:rFonts w:hint="eastAsia" w:ascii="宋体" w:hAnsi="宋体" w:cs="宋体"/>
          <w:color w:val="000000" w:themeColor="text1"/>
          <w14:textFill>
            <w14:solidFill>
              <w14:schemeClr w14:val="tx1"/>
            </w14:solidFill>
          </w14:textFill>
        </w:rPr>
        <w:t>服务期限：</w:t>
      </w:r>
      <w:r>
        <w:rPr>
          <w:rFonts w:ascii="Times New Roman" w:hAnsi="Times New Roman" w:cs="Times New Roman"/>
          <w:color w:val="000000" w:themeColor="text1"/>
          <w:sz w:val="21"/>
          <w:szCs w:val="21"/>
          <w14:textFill>
            <w14:solidFill>
              <w14:schemeClr w14:val="tx1"/>
            </w14:solidFill>
          </w14:textFill>
        </w:rPr>
        <w:t>本项目</w:t>
      </w:r>
      <w:r>
        <w:rPr>
          <w:rFonts w:hint="eastAsia" w:ascii="Times New Roman" w:hAnsi="Times New Roman" w:cs="Times New Roman"/>
          <w:color w:val="000000" w:themeColor="text1"/>
          <w:sz w:val="21"/>
          <w:szCs w:val="21"/>
          <w14:textFill>
            <w14:solidFill>
              <w14:schemeClr w14:val="tx1"/>
            </w14:solidFill>
          </w14:textFill>
        </w:rPr>
        <w:t>总服务期限三年，合同一年一签</w:t>
      </w:r>
      <w:r>
        <w:rPr>
          <w:rFonts w:ascii="Times New Roman" w:hAnsi="Times New Roman" w:cs="Times New Roman"/>
          <w:color w:val="000000" w:themeColor="text1"/>
          <w:sz w:val="21"/>
          <w:szCs w:val="21"/>
          <w14:textFill>
            <w14:solidFill>
              <w14:schemeClr w14:val="tx1"/>
            </w14:solidFill>
          </w14:textFill>
        </w:rPr>
        <w:t>。</w:t>
      </w:r>
    </w:p>
    <w:p w14:paraId="696962AE">
      <w:pPr>
        <w:spacing w:line="360" w:lineRule="auto"/>
        <w:rPr>
          <w:rFonts w:ascii="宋体" w:hAnsi="宋体" w:eastAsia="宋体" w:cs="宋体"/>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五、三方职责</w:t>
      </w:r>
    </w:p>
    <w:p w14:paraId="1FA428C4">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(一)甲方职责：</w:t>
      </w:r>
    </w:p>
    <w:p w14:paraId="1A66423E">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1、按合同做好资金的保障工作；</w:t>
      </w:r>
    </w:p>
    <w:p w14:paraId="5F6A862A">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2、负责监测工作的总体协调；</w:t>
      </w:r>
    </w:p>
    <w:p w14:paraId="153BCC24">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(二)乙方职责</w:t>
      </w:r>
    </w:p>
    <w:p w14:paraId="4A128064">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1、做好辖区内检测单位进场设点的协助工作；</w:t>
      </w:r>
    </w:p>
    <w:p w14:paraId="1000B651">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2、监督辖区内检测单位的日常监测工作；</w:t>
      </w:r>
    </w:p>
    <w:p w14:paraId="6F312E12">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3、负责测点保护工作；</w:t>
      </w:r>
    </w:p>
    <w:p w14:paraId="6EDF715F">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（三）丙方职责</w:t>
      </w:r>
    </w:p>
    <w:p w14:paraId="050B515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1、本合同签订后七个工作日内向甲方缴纳金额为合同价1%的履约保证金；</w:t>
      </w:r>
    </w:p>
    <w:p w14:paraId="10134C17">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2、按监测要求配备检测人员，检测人员需具有相应的检测资质证书；</w:t>
      </w:r>
    </w:p>
    <w:p w14:paraId="046E5F60">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3、现场查勘、测试，记录各种数据和状况；及时整理技术资料，全面分析，论证定性，作出综合判断；</w:t>
      </w:r>
    </w:p>
    <w:p w14:paraId="2D2DD6C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4、出具《监测报告》（报告应包括相应的监测数据）；</w:t>
      </w:r>
    </w:p>
    <w:p w14:paraId="6483BE7B">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5、服从甲、乙双方的监管，在发现重大异常情况时，应迅速报告</w:t>
      </w:r>
      <w:r>
        <w:rPr>
          <w:rFonts w:hint="eastAsia" w:ascii="宋体" w:hAnsi="宋体" w:eastAsia="宋体" w:cs="宋体"/>
          <w:color w:val="000000" w:themeColor="text1"/>
          <w:kern w:val="0"/>
          <w14:textFill>
            <w14:solidFill>
              <w14:schemeClr w14:val="tx1"/>
            </w14:solidFill>
          </w14:textFill>
        </w:rPr>
        <w:t>当地街道和</w:t>
      </w:r>
      <w:r>
        <w:rPr>
          <w:rFonts w:hint="eastAsia" w:ascii="宋体" w:hAnsi="宋体" w:eastAsia="宋体" w:cs="宋体"/>
          <w:color w:val="000000" w:themeColor="text1"/>
          <w14:textFill>
            <w14:solidFill>
              <w14:schemeClr w14:val="tx1"/>
            </w14:solidFill>
          </w14:textFill>
        </w:rPr>
        <w:t>区危改办</w:t>
      </w:r>
      <w:r>
        <w:rPr>
          <w:rFonts w:hint="eastAsia" w:ascii="宋体" w:hAnsi="宋体" w:eastAsia="宋体" w:cs="宋体"/>
          <w:color w:val="000000" w:themeColor="text1"/>
          <w:kern w:val="0"/>
          <w14:textFill>
            <w14:solidFill>
              <w14:schemeClr w14:val="tx1"/>
            </w14:solidFill>
          </w14:textFill>
        </w:rPr>
        <w:t>，并协助街道做好居民撤离工作；如遇台风、暴雨、大雪等灾害性天气，按甲方要求做好值班巡查工作，并实时监测，并及将检测结果上报所属街道。</w:t>
      </w:r>
    </w:p>
    <w:p w14:paraId="73A7F1B5">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6、危房发生重大变化情况下,丙方未及时报告甲、乙双方，引起的责任由丙方负责。</w:t>
      </w:r>
    </w:p>
    <w:p w14:paraId="77451BA4">
      <w:pPr>
        <w:spacing w:line="480" w:lineRule="exact"/>
        <w:rPr>
          <w:rFonts w:ascii="宋体" w:hAnsi="宋体" w:eastAsia="宋体" w:cs="宋体"/>
          <w:color w:val="000000"/>
        </w:rPr>
      </w:pPr>
      <w:r>
        <w:rPr>
          <w:rFonts w:hint="eastAsia" w:ascii="宋体" w:hAnsi="宋体" w:eastAsia="宋体" w:cs="宋体"/>
          <w:color w:val="000000"/>
        </w:rPr>
        <w:t>7、丙方对居民及社区反映有关房屋安全的信访和投诉类情况进行现场勘查，并出具相关报告（报告期限为甲方通知受理之日起2个工作日内）；</w:t>
      </w:r>
    </w:p>
    <w:p w14:paraId="4844E429">
      <w:pPr>
        <w:spacing w:line="480" w:lineRule="exact"/>
        <w:rPr>
          <w:rFonts w:ascii="宋体" w:hAnsi="宋体" w:eastAsia="宋体" w:cs="宋体"/>
          <w:color w:val="000000"/>
        </w:rPr>
      </w:pPr>
      <w:r>
        <w:rPr>
          <w:rFonts w:hint="eastAsia" w:ascii="宋体" w:hAnsi="宋体" w:eastAsia="宋体" w:cs="宋体"/>
          <w:color w:val="000000"/>
        </w:rPr>
        <w:t>8、丙方须在定海区驻点，安排常驻工作人员</w:t>
      </w:r>
      <w:r>
        <w:rPr>
          <w:rFonts w:ascii="宋体" w:hAnsi="宋体" w:eastAsia="宋体" w:cs="宋体"/>
          <w:color w:val="000000"/>
        </w:rPr>
        <w:t>4</w:t>
      </w:r>
      <w:r>
        <w:rPr>
          <w:rFonts w:hint="eastAsia" w:ascii="宋体" w:hAnsi="宋体" w:eastAsia="宋体" w:cs="宋体"/>
          <w:color w:val="000000"/>
        </w:rPr>
        <w:t>人以上（含常驻房管</w:t>
      </w:r>
      <w:r>
        <w:rPr>
          <w:rFonts w:ascii="宋体" w:hAnsi="宋体" w:eastAsia="宋体" w:cs="宋体"/>
          <w:color w:val="000000"/>
        </w:rPr>
        <w:t>中心</w:t>
      </w:r>
      <w:r>
        <w:rPr>
          <w:rFonts w:hint="eastAsia" w:ascii="宋体" w:hAnsi="宋体" w:eastAsia="宋体" w:cs="宋体"/>
          <w:color w:val="000000"/>
        </w:rPr>
        <w:t>1人）。24小时提供技术支持，全天候处理突发事件并随时到达甲方指定地点，接到甲方通知后，30分钟内做出回应，1小时内到达现场。</w:t>
      </w:r>
    </w:p>
    <w:p w14:paraId="2453D2B7">
      <w:pPr>
        <w:pStyle w:val="25"/>
        <w:ind w:firstLine="0" w:firstLineChars="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rPr>
        <w:t>9、其他涉及危房工作开展，丙方无条件服从主管部门安排的工作。</w:t>
      </w:r>
    </w:p>
    <w:p w14:paraId="2E7A499F">
      <w:pPr>
        <w:spacing w:line="360" w:lineRule="auto"/>
        <w:rPr>
          <w:rFonts w:ascii="宋体" w:hAnsi="宋体" w:eastAsia="宋体" w:cs="宋体"/>
          <w:b/>
          <w:color w:val="000000" w:themeColor="text1"/>
          <w:spacing w:val="24"/>
          <w14:textFill>
            <w14:solidFill>
              <w14:schemeClr w14:val="tx1"/>
            </w14:solidFill>
          </w14:textFill>
        </w:rPr>
      </w:pPr>
      <w:r>
        <w:rPr>
          <w:rFonts w:hint="eastAsia" w:ascii="宋体" w:hAnsi="宋体" w:eastAsia="宋体" w:cs="宋体"/>
          <w:b/>
          <w:color w:val="000000" w:themeColor="text1"/>
          <w:spacing w:val="24"/>
          <w14:textFill>
            <w14:solidFill>
              <w14:schemeClr w14:val="tx1"/>
            </w14:solidFill>
          </w14:textFill>
        </w:rPr>
        <w:t>六、履行期限和方式：</w:t>
      </w:r>
    </w:p>
    <w:p w14:paraId="4E896B9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1．甲方应提前三天通知丙方工作，丙方应按时进场工作；</w:t>
      </w:r>
    </w:p>
    <w:p w14:paraId="394345A6">
      <w:pPr>
        <w:tabs>
          <w:tab w:val="left" w:pos="720"/>
          <w:tab w:val="left" w:pos="840"/>
        </w:tabs>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 丙方完成现场工作后十个工作日内，向乙方提交成果报告。 </w:t>
      </w:r>
    </w:p>
    <w:p w14:paraId="52679804">
      <w:pPr>
        <w:spacing w:line="480" w:lineRule="exact"/>
        <w:rPr>
          <w:rFonts w:ascii="宋体" w:hAnsi="宋体" w:eastAsia="宋体" w:cs="宋体"/>
          <w:b/>
        </w:rPr>
      </w:pPr>
      <w:r>
        <w:rPr>
          <w:rFonts w:hint="eastAsia" w:ascii="宋体" w:hAnsi="宋体" w:eastAsia="宋体" w:cs="宋体"/>
          <w:b/>
        </w:rPr>
        <w:t>成果文件要求具体要求如下：</w:t>
      </w:r>
    </w:p>
    <w:tbl>
      <w:tblPr>
        <w:tblStyle w:val="6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14:paraId="4C6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3CACEA07">
            <w:pPr>
              <w:spacing w:line="480" w:lineRule="exact"/>
              <w:jc w:val="center"/>
              <w:rPr>
                <w:rFonts w:ascii="宋体" w:hAnsi="宋体" w:eastAsia="宋体" w:cs="宋体"/>
                <w:kern w:val="0"/>
              </w:rPr>
            </w:pPr>
            <w:r>
              <w:rPr>
                <w:rFonts w:hint="eastAsia" w:ascii="宋体" w:hAnsi="宋体" w:eastAsia="宋体" w:cs="宋体"/>
                <w:kern w:val="0"/>
              </w:rPr>
              <w:t>资料及文件名称</w:t>
            </w:r>
          </w:p>
        </w:tc>
        <w:tc>
          <w:tcPr>
            <w:tcW w:w="3119" w:type="dxa"/>
            <w:vAlign w:val="center"/>
          </w:tcPr>
          <w:p w14:paraId="634A4E41">
            <w:pPr>
              <w:spacing w:line="480" w:lineRule="exact"/>
              <w:jc w:val="center"/>
              <w:rPr>
                <w:rFonts w:ascii="宋体" w:hAnsi="宋体" w:eastAsia="宋体" w:cs="宋体"/>
                <w:kern w:val="0"/>
              </w:rPr>
            </w:pPr>
            <w:r>
              <w:rPr>
                <w:rFonts w:hint="eastAsia" w:ascii="宋体" w:hAnsi="宋体" w:eastAsia="宋体" w:cs="宋体"/>
                <w:kern w:val="0"/>
              </w:rPr>
              <w:t>套数</w:t>
            </w:r>
          </w:p>
        </w:tc>
        <w:tc>
          <w:tcPr>
            <w:tcW w:w="2969" w:type="dxa"/>
            <w:vAlign w:val="center"/>
          </w:tcPr>
          <w:p w14:paraId="0009B533">
            <w:pPr>
              <w:spacing w:line="480" w:lineRule="exact"/>
              <w:jc w:val="center"/>
              <w:rPr>
                <w:rFonts w:ascii="宋体" w:hAnsi="宋体" w:eastAsia="宋体" w:cs="宋体"/>
                <w:kern w:val="0"/>
              </w:rPr>
            </w:pPr>
            <w:r>
              <w:rPr>
                <w:rFonts w:hint="eastAsia" w:ascii="宋体" w:hAnsi="宋体" w:eastAsia="宋体" w:cs="宋体"/>
                <w:kern w:val="0"/>
              </w:rPr>
              <w:t>提交日期</w:t>
            </w:r>
          </w:p>
        </w:tc>
      </w:tr>
      <w:tr w14:paraId="01F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73424DF8">
            <w:pPr>
              <w:tabs>
                <w:tab w:val="left" w:pos="851"/>
              </w:tabs>
              <w:spacing w:line="480" w:lineRule="exact"/>
              <w:jc w:val="center"/>
              <w:rPr>
                <w:rFonts w:ascii="宋体" w:hAnsi="宋体" w:eastAsia="宋体" w:cs="宋体"/>
              </w:rPr>
            </w:pPr>
            <w:r>
              <w:rPr>
                <w:rFonts w:hint="eastAsia" w:ascii="宋体" w:hAnsi="宋体" w:eastAsia="宋体" w:cs="宋体"/>
              </w:rPr>
              <w:t>房屋安全动态月度监测报告</w:t>
            </w:r>
          </w:p>
        </w:tc>
        <w:tc>
          <w:tcPr>
            <w:tcW w:w="3119" w:type="dxa"/>
            <w:vAlign w:val="center"/>
          </w:tcPr>
          <w:p w14:paraId="36741336">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4FFFCCED">
            <w:pPr>
              <w:tabs>
                <w:tab w:val="left" w:pos="851"/>
              </w:tabs>
              <w:spacing w:line="480" w:lineRule="exact"/>
              <w:jc w:val="center"/>
              <w:rPr>
                <w:rFonts w:ascii="宋体" w:hAnsi="宋体" w:eastAsia="宋体" w:cs="宋体"/>
              </w:rPr>
            </w:pPr>
            <w:r>
              <w:rPr>
                <w:rFonts w:hint="eastAsia" w:ascii="宋体" w:hAnsi="宋体" w:eastAsia="宋体" w:cs="宋体"/>
              </w:rPr>
              <w:t>每月度结束后1周内</w:t>
            </w:r>
          </w:p>
        </w:tc>
      </w:tr>
      <w:tr w14:paraId="6FC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5B2C93FC">
            <w:pPr>
              <w:tabs>
                <w:tab w:val="left" w:pos="851"/>
              </w:tabs>
              <w:spacing w:line="480" w:lineRule="exact"/>
              <w:jc w:val="center"/>
              <w:rPr>
                <w:rFonts w:ascii="宋体" w:hAnsi="宋体" w:eastAsia="宋体" w:cs="宋体"/>
              </w:rPr>
            </w:pPr>
            <w:r>
              <w:rPr>
                <w:rFonts w:hint="eastAsia" w:ascii="宋体" w:hAnsi="宋体" w:eastAsia="宋体" w:cs="宋体"/>
              </w:rPr>
              <w:t>房屋安全动态季度监测报告</w:t>
            </w:r>
          </w:p>
        </w:tc>
        <w:tc>
          <w:tcPr>
            <w:tcW w:w="3119" w:type="dxa"/>
            <w:vAlign w:val="center"/>
          </w:tcPr>
          <w:p w14:paraId="42B4CEEE">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35DB915A">
            <w:pPr>
              <w:tabs>
                <w:tab w:val="left" w:pos="851"/>
              </w:tabs>
              <w:spacing w:line="480" w:lineRule="exact"/>
              <w:jc w:val="center"/>
              <w:rPr>
                <w:rFonts w:ascii="宋体" w:hAnsi="宋体" w:eastAsia="宋体" w:cs="宋体"/>
              </w:rPr>
            </w:pPr>
            <w:r>
              <w:rPr>
                <w:rFonts w:hint="eastAsia" w:ascii="宋体" w:hAnsi="宋体" w:eastAsia="宋体" w:cs="宋体"/>
              </w:rPr>
              <w:t>每季度结束后2周内</w:t>
            </w:r>
          </w:p>
        </w:tc>
      </w:tr>
      <w:tr w14:paraId="0E69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2A9BB190">
            <w:pPr>
              <w:tabs>
                <w:tab w:val="left" w:pos="851"/>
              </w:tabs>
              <w:spacing w:line="480" w:lineRule="exact"/>
              <w:jc w:val="center"/>
              <w:rPr>
                <w:rFonts w:ascii="宋体" w:hAnsi="宋体" w:eastAsia="宋体" w:cs="宋体"/>
              </w:rPr>
            </w:pPr>
            <w:r>
              <w:rPr>
                <w:rFonts w:hint="eastAsia" w:ascii="宋体" w:hAnsi="宋体" w:eastAsia="宋体" w:cs="宋体"/>
              </w:rPr>
              <w:t>房屋安全动态年度监测报告</w:t>
            </w:r>
          </w:p>
        </w:tc>
        <w:tc>
          <w:tcPr>
            <w:tcW w:w="3119" w:type="dxa"/>
            <w:vAlign w:val="center"/>
          </w:tcPr>
          <w:p w14:paraId="6A6F8B1A">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5B32984A">
            <w:pPr>
              <w:tabs>
                <w:tab w:val="left" w:pos="851"/>
              </w:tabs>
              <w:spacing w:line="480" w:lineRule="exact"/>
              <w:jc w:val="center"/>
              <w:rPr>
                <w:rFonts w:ascii="宋体" w:hAnsi="宋体" w:eastAsia="宋体" w:cs="宋体"/>
              </w:rPr>
            </w:pPr>
            <w:r>
              <w:rPr>
                <w:rFonts w:hint="eastAsia" w:ascii="宋体" w:hAnsi="宋体" w:eastAsia="宋体" w:cs="宋体"/>
              </w:rPr>
              <w:t>合同期结束后30日内</w:t>
            </w:r>
          </w:p>
        </w:tc>
      </w:tr>
      <w:tr w14:paraId="706C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80B8787">
            <w:pPr>
              <w:tabs>
                <w:tab w:val="left" w:pos="851"/>
              </w:tabs>
              <w:jc w:val="center"/>
              <w:rPr>
                <w:rFonts w:ascii="宋体" w:hAnsi="宋体" w:eastAsia="宋体" w:cs="宋体"/>
              </w:rPr>
            </w:pPr>
            <w:r>
              <w:rPr>
                <w:rFonts w:hint="eastAsia" w:ascii="宋体" w:hAnsi="宋体" w:eastAsia="宋体" w:cs="宋体"/>
              </w:rPr>
              <w:t>服务期结束后本项目所有数据资料</w:t>
            </w:r>
          </w:p>
        </w:tc>
        <w:tc>
          <w:tcPr>
            <w:tcW w:w="3119" w:type="dxa"/>
            <w:vAlign w:val="center"/>
          </w:tcPr>
          <w:p w14:paraId="4248ACC5">
            <w:pPr>
              <w:tabs>
                <w:tab w:val="left" w:pos="851"/>
              </w:tabs>
              <w:spacing w:line="480" w:lineRule="exact"/>
              <w:jc w:val="center"/>
              <w:rPr>
                <w:rFonts w:ascii="宋体" w:hAnsi="宋体" w:eastAsia="宋体" w:cs="宋体"/>
              </w:rPr>
            </w:pPr>
            <w:r>
              <w:rPr>
                <w:rFonts w:hint="eastAsia" w:ascii="宋体" w:hAnsi="宋体" w:eastAsia="宋体" w:cs="宋体"/>
              </w:rPr>
              <w:t>电子文本1套</w:t>
            </w:r>
          </w:p>
        </w:tc>
        <w:tc>
          <w:tcPr>
            <w:tcW w:w="2969" w:type="dxa"/>
            <w:vAlign w:val="center"/>
          </w:tcPr>
          <w:p w14:paraId="3F6051D9">
            <w:pPr>
              <w:tabs>
                <w:tab w:val="left" w:pos="851"/>
              </w:tabs>
              <w:spacing w:line="480" w:lineRule="exact"/>
              <w:jc w:val="center"/>
              <w:rPr>
                <w:rFonts w:ascii="宋体" w:hAnsi="宋体" w:eastAsia="宋体" w:cs="宋体"/>
              </w:rPr>
            </w:pPr>
            <w:r>
              <w:rPr>
                <w:rFonts w:hint="eastAsia" w:ascii="宋体" w:hAnsi="宋体" w:eastAsia="宋体" w:cs="宋体"/>
              </w:rPr>
              <w:t>合同期结束后15日内</w:t>
            </w:r>
          </w:p>
        </w:tc>
      </w:tr>
    </w:tbl>
    <w:p w14:paraId="6AF6121B">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pacing w:val="24"/>
          <w14:textFill>
            <w14:solidFill>
              <w14:schemeClr w14:val="tx1"/>
            </w14:solidFill>
          </w14:textFill>
        </w:rPr>
        <w:t>七、</w:t>
      </w:r>
      <w:r>
        <w:rPr>
          <w:rFonts w:hint="eastAsia" w:ascii="宋体" w:hAnsi="宋体" w:eastAsia="宋体" w:cs="宋体"/>
          <w:b/>
          <w:color w:val="000000" w:themeColor="text1"/>
          <w14:textFill>
            <w14:solidFill>
              <w14:schemeClr w14:val="tx1"/>
            </w14:solidFill>
          </w14:textFill>
        </w:rPr>
        <w:t>报酬及其支付方式：</w:t>
      </w:r>
    </w:p>
    <w:p w14:paraId="1CE65BCD">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1、本项目服务费用：</w:t>
      </w:r>
    </w:p>
    <w:p w14:paraId="43A3B61F">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（1）人工动态监测建筑物共</w:t>
      </w:r>
      <w:r>
        <w:rPr>
          <w:rFonts w:hint="eastAsia" w:ascii="宋体" w:hAnsi="宋体" w:eastAsia="宋体" w:cs="宋体"/>
          <w:color w:val="000000" w:themeColor="text1"/>
          <w:kern w:val="0"/>
          <w:u w:val="single"/>
          <w14:textFill>
            <w14:solidFill>
              <w14:schemeClr w14:val="tx1"/>
            </w14:solidFill>
          </w14:textFill>
        </w:rPr>
        <w:t xml:space="preserve"> 653 </w:t>
      </w:r>
      <w:r>
        <w:rPr>
          <w:rFonts w:hint="eastAsia" w:ascii="宋体" w:hAnsi="宋体" w:eastAsia="宋体" w:cs="宋体"/>
          <w:color w:val="000000" w:themeColor="text1"/>
          <w:kern w:val="0"/>
          <w14:textFill>
            <w14:solidFill>
              <w14:schemeClr w14:val="tx1"/>
            </w14:solidFill>
          </w14:textFill>
        </w:rPr>
        <w:t>幢，每幢</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共计费用</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4E5744A4">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结算价调整：按实际监测幢数及实际监测月份数调整结算价。</w:t>
      </w:r>
    </w:p>
    <w:p w14:paraId="2DEC978E">
      <w:pPr>
        <w:numPr>
          <w:ilvl w:val="0"/>
          <w:numId w:val="13"/>
        </w:num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城镇房屋装修安全专项技术服务共</w:t>
      </w:r>
      <w:r>
        <w:rPr>
          <w:rFonts w:hint="eastAsia" w:ascii="宋体" w:hAnsi="宋体" w:eastAsia="宋体" w:cs="宋体"/>
          <w:color w:val="000000" w:themeColor="text1"/>
          <w:kern w:val="0"/>
          <w:u w:val="single"/>
          <w14:textFill>
            <w14:solidFill>
              <w14:schemeClr w14:val="tx1"/>
            </w14:solidFill>
          </w14:textFill>
        </w:rPr>
        <w:t xml:space="preserve">  1000  </w:t>
      </w:r>
      <w:r>
        <w:rPr>
          <w:rFonts w:hint="eastAsia" w:ascii="宋体" w:hAnsi="宋体" w:eastAsia="宋体" w:cs="宋体"/>
          <w:color w:val="000000" w:themeColor="text1"/>
          <w:kern w:val="0"/>
          <w14:textFill>
            <w14:solidFill>
              <w14:schemeClr w14:val="tx1"/>
            </w14:solidFill>
          </w14:textFill>
        </w:rPr>
        <w:t>户，每户</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共计费用</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28F3BD1E">
      <w:pPr>
        <w:numPr>
          <w:ilvl w:val="0"/>
          <w:numId w:val="13"/>
        </w:numPr>
        <w:spacing w:line="360" w:lineRule="auto"/>
        <w:ind w:firstLine="420" w:firstLineChars="200"/>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合同总价（人民币）</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元（小写） ，大写：</w:t>
      </w:r>
      <w:r>
        <w:rPr>
          <w:rFonts w:hint="eastAsia" w:ascii="宋体" w:hAnsi="宋体" w:eastAsia="宋体" w:cs="宋体"/>
          <w:color w:val="000000" w:themeColor="text1"/>
          <w:kern w:val="0"/>
          <w:u w:val="single"/>
          <w14:textFill>
            <w14:solidFill>
              <w14:schemeClr w14:val="tx1"/>
            </w14:solidFill>
          </w14:textFill>
        </w:rPr>
        <w:t xml:space="preserve">            元整。</w:t>
      </w:r>
    </w:p>
    <w:p w14:paraId="1D0981B9">
      <w:pPr>
        <w:spacing w:line="360" w:lineRule="auto"/>
        <w:ind w:firstLine="42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（4）城镇房屋装修安全专项技术服务超过1000户/年的，服务费不予追加。</w:t>
      </w:r>
    </w:p>
    <w:p w14:paraId="7350890F">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2、费用支付办法：</w:t>
      </w:r>
    </w:p>
    <w:p w14:paraId="6F4888F3">
      <w:pPr>
        <w:spacing w:line="360" w:lineRule="auto"/>
        <w:rPr>
          <w:rFonts w:ascii="宋体" w:hAnsi="宋体" w:eastAsia="宋体" w:cs="宋体"/>
        </w:rPr>
      </w:pPr>
      <w:r>
        <w:rPr>
          <w:rFonts w:hint="eastAsia" w:ascii="宋体" w:hAnsi="宋体" w:eastAsia="宋体" w:cs="宋体"/>
          <w:color w:val="000000" w:themeColor="text1"/>
          <w14:textFill>
            <w14:solidFill>
              <w14:schemeClr w14:val="tx1"/>
            </w14:solidFill>
          </w14:textFill>
        </w:rPr>
        <w:t xml:space="preserve">  （1）</w:t>
      </w:r>
      <w:r>
        <w:rPr>
          <w:rFonts w:hint="eastAsia" w:ascii="宋体" w:hAnsi="宋体" w:eastAsia="宋体" w:cs="宋体"/>
        </w:rPr>
        <w:t>合同生效后7个工作日内支付合同总价的20%作为预付款；合同生效6个月</w:t>
      </w:r>
      <w:r>
        <w:rPr>
          <w:rFonts w:hint="eastAsia" w:ascii="宋体" w:hAnsi="宋体" w:eastAsia="宋体" w:cs="宋体"/>
          <w:lang w:eastAsia="zh-Hans"/>
        </w:rPr>
        <w:t>后</w:t>
      </w:r>
      <w:r>
        <w:rPr>
          <w:rFonts w:hint="eastAsia" w:ascii="宋体" w:hAnsi="宋体" w:eastAsia="宋体" w:cs="宋体"/>
        </w:rPr>
        <w:t>15</w:t>
      </w:r>
      <w:r>
        <w:rPr>
          <w:rFonts w:hint="eastAsia" w:ascii="宋体" w:hAnsi="宋体" w:eastAsia="宋体" w:cs="宋体"/>
          <w:lang w:eastAsia="zh-Hans"/>
        </w:rPr>
        <w:t>个工作日</w:t>
      </w:r>
      <w:r>
        <w:rPr>
          <w:rFonts w:hint="eastAsia" w:ascii="宋体" w:hAnsi="宋体" w:eastAsia="宋体" w:cs="宋体"/>
        </w:rPr>
        <w:t>内支付</w:t>
      </w:r>
      <w:r>
        <w:rPr>
          <w:rFonts w:hint="eastAsia" w:ascii="宋体" w:hAnsi="宋体" w:eastAsia="宋体" w:cs="宋体"/>
          <w:lang w:eastAsia="zh-Hans"/>
        </w:rPr>
        <w:t>项目进</w:t>
      </w:r>
      <w:r>
        <w:rPr>
          <w:rFonts w:hint="eastAsia" w:ascii="宋体" w:hAnsi="宋体" w:eastAsia="宋体" w:cs="宋体"/>
        </w:rPr>
        <w:t>合同总价的20%；合同期</w:t>
      </w:r>
      <w:r>
        <w:rPr>
          <w:rFonts w:hint="eastAsia" w:ascii="宋体" w:hAnsi="宋体" w:eastAsia="宋体" w:cs="宋体"/>
          <w:lang w:eastAsia="zh-Hans"/>
        </w:rPr>
        <w:t>满15个工作日内，按季度考核结果进行结算，付清余款，</w:t>
      </w:r>
      <w:r>
        <w:rPr>
          <w:rFonts w:hint="eastAsia" w:ascii="宋体" w:hAnsi="宋体" w:eastAsia="宋体" w:cs="宋体"/>
        </w:rPr>
        <w:t>并退还履约保证金。</w:t>
      </w:r>
    </w:p>
    <w:p w14:paraId="7817FC18">
      <w:pPr>
        <w:spacing w:line="360" w:lineRule="auto"/>
        <w:ind w:firstLine="105" w:firstLineChars="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（2）监测经费由政府拨款，如因政策的影响，拨款未能及时到位，丙方不得以此为由而不履行规定的义务，否则招标人按规定扣罚。</w:t>
      </w:r>
    </w:p>
    <w:p w14:paraId="00332BD2">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八、 违约金或损失赔偿金额的计算方法</w:t>
      </w:r>
    </w:p>
    <w:p w14:paraId="02EA24FC">
      <w:pPr>
        <w:spacing w:line="440" w:lineRule="exact"/>
        <w:ind w:firstLine="420" w:firstLineChars="200"/>
        <w:contextualSpacing/>
        <w:rPr>
          <w:rFonts w:ascii="宋体" w:hAnsi="宋体" w:eastAsia="宋体" w:cs="宋体"/>
          <w:kern w:val="0"/>
        </w:rPr>
      </w:pPr>
      <w:r>
        <w:rPr>
          <w:rFonts w:hint="eastAsia" w:ascii="宋体" w:hAnsi="宋体" w:eastAsia="宋体" w:cs="宋体"/>
          <w:kern w:val="0"/>
        </w:rPr>
        <w:t>（一）丙方应依合同的技术要求和实施方案实施监测服务，接受甲乙双方的监督管理，主要监督中丙方对项目技术要求的落实情况，根据督查情况按季度对其实施考核。</w:t>
      </w:r>
    </w:p>
    <w:p w14:paraId="10781462">
      <w:pPr>
        <w:spacing w:line="440" w:lineRule="exact"/>
        <w:contextualSpacing/>
        <w:jc w:val="center"/>
        <w:rPr>
          <w:rFonts w:ascii="宋体" w:hAnsi="宋体" w:eastAsia="宋体" w:cs="宋体"/>
          <w:kern w:val="0"/>
        </w:rPr>
      </w:pPr>
      <w:r>
        <w:rPr>
          <w:rFonts w:hint="eastAsia" w:ascii="宋体" w:hAnsi="宋体" w:eastAsia="宋体" w:cs="宋体"/>
          <w:kern w:val="0"/>
        </w:rPr>
        <w:t>房屋安全动态监测项目 季度考核表</w:t>
      </w:r>
    </w:p>
    <w:tbl>
      <w:tblPr>
        <w:tblStyle w:val="6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70"/>
        <w:gridCol w:w="676"/>
        <w:gridCol w:w="4566"/>
        <w:gridCol w:w="889"/>
      </w:tblGrid>
      <w:tr w14:paraId="1577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14:paraId="49CEA98A">
            <w:pPr>
              <w:jc w:val="center"/>
              <w:rPr>
                <w:rFonts w:ascii="宋体" w:hAnsi="宋体" w:eastAsia="宋体" w:cs="宋体"/>
                <w:b/>
              </w:rPr>
            </w:pPr>
            <w:r>
              <w:rPr>
                <w:rFonts w:hint="eastAsia" w:ascii="宋体" w:hAnsi="宋体" w:eastAsia="宋体" w:cs="宋体"/>
                <w:b/>
              </w:rPr>
              <w:t>序号</w:t>
            </w:r>
          </w:p>
        </w:tc>
        <w:tc>
          <w:tcPr>
            <w:tcW w:w="1470" w:type="dxa"/>
            <w:vAlign w:val="center"/>
          </w:tcPr>
          <w:p w14:paraId="7A9B94B9">
            <w:pPr>
              <w:jc w:val="center"/>
              <w:rPr>
                <w:rFonts w:ascii="宋体" w:hAnsi="宋体" w:eastAsia="宋体" w:cs="宋体"/>
                <w:b/>
              </w:rPr>
            </w:pPr>
            <w:r>
              <w:rPr>
                <w:rFonts w:hint="eastAsia" w:ascii="宋体" w:hAnsi="宋体" w:eastAsia="宋体" w:cs="宋体"/>
                <w:b/>
              </w:rPr>
              <w:t>考核内容</w:t>
            </w:r>
          </w:p>
        </w:tc>
        <w:tc>
          <w:tcPr>
            <w:tcW w:w="676" w:type="dxa"/>
            <w:vAlign w:val="center"/>
          </w:tcPr>
          <w:p w14:paraId="09C20768">
            <w:pPr>
              <w:jc w:val="center"/>
              <w:rPr>
                <w:rFonts w:ascii="宋体" w:hAnsi="宋体" w:eastAsia="宋体" w:cs="宋体"/>
                <w:b/>
              </w:rPr>
            </w:pPr>
            <w:r>
              <w:rPr>
                <w:rFonts w:hint="eastAsia" w:ascii="宋体" w:hAnsi="宋体" w:eastAsia="宋体" w:cs="宋体"/>
                <w:b/>
              </w:rPr>
              <w:t>分值</w:t>
            </w:r>
          </w:p>
        </w:tc>
        <w:tc>
          <w:tcPr>
            <w:tcW w:w="4566" w:type="dxa"/>
            <w:vAlign w:val="center"/>
          </w:tcPr>
          <w:p w14:paraId="6EC43172">
            <w:pPr>
              <w:jc w:val="center"/>
              <w:rPr>
                <w:rFonts w:ascii="宋体" w:hAnsi="宋体" w:eastAsia="宋体" w:cs="宋体"/>
                <w:b/>
              </w:rPr>
            </w:pPr>
            <w:r>
              <w:rPr>
                <w:rFonts w:hint="eastAsia" w:ascii="宋体" w:hAnsi="宋体" w:eastAsia="宋体" w:cs="宋体"/>
                <w:b/>
              </w:rPr>
              <w:t>评份标准</w:t>
            </w:r>
          </w:p>
        </w:tc>
        <w:tc>
          <w:tcPr>
            <w:tcW w:w="889" w:type="dxa"/>
            <w:vAlign w:val="center"/>
          </w:tcPr>
          <w:p w14:paraId="654EF41D">
            <w:pPr>
              <w:jc w:val="center"/>
              <w:rPr>
                <w:rFonts w:ascii="宋体" w:hAnsi="宋体" w:eastAsia="宋体" w:cs="宋体"/>
                <w:b/>
              </w:rPr>
            </w:pPr>
            <w:r>
              <w:rPr>
                <w:rFonts w:hint="eastAsia" w:ascii="宋体" w:hAnsi="宋体" w:eastAsia="宋体" w:cs="宋体"/>
                <w:b/>
              </w:rPr>
              <w:t>考核评分</w:t>
            </w:r>
          </w:p>
        </w:tc>
      </w:tr>
      <w:tr w14:paraId="26F2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25392610">
            <w:pPr>
              <w:jc w:val="center"/>
              <w:rPr>
                <w:rFonts w:ascii="宋体" w:hAnsi="宋体" w:eastAsia="宋体" w:cs="宋体"/>
              </w:rPr>
            </w:pPr>
            <w:r>
              <w:rPr>
                <w:rFonts w:hint="eastAsia" w:ascii="宋体" w:hAnsi="宋体" w:eastAsia="宋体" w:cs="宋体"/>
              </w:rPr>
              <w:t>1</w:t>
            </w:r>
          </w:p>
        </w:tc>
        <w:tc>
          <w:tcPr>
            <w:tcW w:w="1470" w:type="dxa"/>
            <w:vAlign w:val="center"/>
          </w:tcPr>
          <w:p w14:paraId="37171CA6">
            <w:pPr>
              <w:jc w:val="center"/>
              <w:rPr>
                <w:rFonts w:ascii="宋体" w:hAnsi="宋体" w:eastAsia="宋体" w:cs="宋体"/>
              </w:rPr>
            </w:pPr>
            <w:r>
              <w:rPr>
                <w:rFonts w:hint="eastAsia" w:ascii="宋体" w:hAnsi="宋体" w:eastAsia="宋体" w:cs="宋体"/>
              </w:rPr>
              <w:t>日常动态监测</w:t>
            </w:r>
          </w:p>
        </w:tc>
        <w:tc>
          <w:tcPr>
            <w:tcW w:w="676" w:type="dxa"/>
            <w:vAlign w:val="center"/>
          </w:tcPr>
          <w:p w14:paraId="1A005EB8">
            <w:pPr>
              <w:jc w:val="center"/>
              <w:rPr>
                <w:rFonts w:ascii="宋体" w:hAnsi="宋体" w:eastAsia="宋体" w:cs="宋体"/>
              </w:rPr>
            </w:pPr>
            <w:r>
              <w:rPr>
                <w:rFonts w:hint="eastAsia" w:ascii="宋体" w:hAnsi="宋体" w:eastAsia="宋体" w:cs="宋体"/>
              </w:rPr>
              <w:t>20</w:t>
            </w:r>
          </w:p>
        </w:tc>
        <w:tc>
          <w:tcPr>
            <w:tcW w:w="4566" w:type="dxa"/>
          </w:tcPr>
          <w:p w14:paraId="5698CC86">
            <w:pPr>
              <w:rPr>
                <w:rFonts w:ascii="宋体" w:hAnsi="宋体" w:eastAsia="宋体" w:cs="宋体"/>
              </w:rPr>
            </w:pPr>
            <w:r>
              <w:rPr>
                <w:rFonts w:hint="eastAsia" w:ascii="宋体" w:hAnsi="宋体" w:eastAsia="宋体" w:cs="宋体"/>
              </w:rPr>
              <w:t>1、监测频率最高的房屋，每遗漏、延迟一次的扣2分。</w:t>
            </w:r>
          </w:p>
          <w:p w14:paraId="16884D86">
            <w:pPr>
              <w:rPr>
                <w:rFonts w:ascii="宋体" w:hAnsi="宋体" w:eastAsia="宋体" w:cs="宋体"/>
              </w:rPr>
            </w:pPr>
            <w:r>
              <w:rPr>
                <w:rFonts w:hint="eastAsia" w:ascii="宋体" w:hAnsi="宋体" w:eastAsia="宋体" w:cs="宋体"/>
              </w:rPr>
              <w:t>2、监测频率次高的房屋，每遗漏、延迟一次的扣1分。</w:t>
            </w:r>
          </w:p>
          <w:p w14:paraId="16324861">
            <w:pPr>
              <w:rPr>
                <w:rFonts w:ascii="宋体" w:hAnsi="宋体" w:eastAsia="宋体" w:cs="宋体"/>
              </w:rPr>
            </w:pPr>
            <w:r>
              <w:rPr>
                <w:rFonts w:hint="eastAsia" w:ascii="宋体" w:hAnsi="宋体" w:eastAsia="宋体" w:cs="宋体"/>
              </w:rPr>
              <w:t>3、监测频率占主要比例的房屋，每遗漏、延迟一次的扣0.5分。</w:t>
            </w:r>
          </w:p>
        </w:tc>
        <w:tc>
          <w:tcPr>
            <w:tcW w:w="889" w:type="dxa"/>
          </w:tcPr>
          <w:p w14:paraId="08462414">
            <w:pPr>
              <w:jc w:val="center"/>
              <w:rPr>
                <w:rFonts w:ascii="宋体" w:hAnsi="宋体" w:eastAsia="宋体" w:cs="宋体"/>
              </w:rPr>
            </w:pPr>
          </w:p>
        </w:tc>
      </w:tr>
      <w:tr w14:paraId="0637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1DED34BE">
            <w:pPr>
              <w:jc w:val="center"/>
              <w:rPr>
                <w:rFonts w:ascii="宋体" w:hAnsi="宋体" w:eastAsia="宋体" w:cs="宋体"/>
              </w:rPr>
            </w:pPr>
            <w:r>
              <w:rPr>
                <w:rFonts w:hint="eastAsia" w:ascii="宋体" w:hAnsi="宋体" w:eastAsia="宋体" w:cs="宋体"/>
              </w:rPr>
              <w:t>2</w:t>
            </w:r>
          </w:p>
        </w:tc>
        <w:tc>
          <w:tcPr>
            <w:tcW w:w="1470" w:type="dxa"/>
            <w:vAlign w:val="center"/>
          </w:tcPr>
          <w:p w14:paraId="25829F7D">
            <w:pPr>
              <w:jc w:val="center"/>
              <w:rPr>
                <w:rFonts w:ascii="宋体" w:hAnsi="宋体" w:eastAsia="宋体" w:cs="宋体"/>
              </w:rPr>
            </w:pPr>
            <w:r>
              <w:rPr>
                <w:rFonts w:hint="eastAsia" w:ascii="宋体" w:hAnsi="宋体" w:eastAsia="宋体" w:cs="宋体"/>
              </w:rPr>
              <w:t>临时检查</w:t>
            </w:r>
          </w:p>
        </w:tc>
        <w:tc>
          <w:tcPr>
            <w:tcW w:w="676" w:type="dxa"/>
            <w:vAlign w:val="center"/>
          </w:tcPr>
          <w:p w14:paraId="5D898F22">
            <w:pPr>
              <w:jc w:val="center"/>
              <w:rPr>
                <w:rFonts w:ascii="宋体" w:hAnsi="宋体" w:eastAsia="宋体" w:cs="宋体"/>
              </w:rPr>
            </w:pPr>
            <w:r>
              <w:rPr>
                <w:rFonts w:hint="eastAsia" w:ascii="宋体" w:hAnsi="宋体" w:eastAsia="宋体" w:cs="宋体"/>
              </w:rPr>
              <w:t>10</w:t>
            </w:r>
          </w:p>
        </w:tc>
        <w:tc>
          <w:tcPr>
            <w:tcW w:w="4566" w:type="dxa"/>
          </w:tcPr>
          <w:p w14:paraId="0E77CC39">
            <w:pPr>
              <w:rPr>
                <w:rFonts w:ascii="宋体" w:hAnsi="宋体" w:eastAsia="宋体" w:cs="宋体"/>
              </w:rPr>
            </w:pPr>
            <w:r>
              <w:rPr>
                <w:rFonts w:hint="eastAsia" w:ascii="宋体" w:hAnsi="宋体" w:eastAsia="宋体" w:cs="宋体"/>
              </w:rPr>
              <w:t>1、接到临时检查任务后，未在1小时内派遣人员赶到现场检查的，每次扣2分。</w:t>
            </w:r>
          </w:p>
          <w:p w14:paraId="0D94A3F7">
            <w:pPr>
              <w:rPr>
                <w:rFonts w:ascii="宋体" w:hAnsi="宋体" w:eastAsia="宋体" w:cs="宋体"/>
              </w:rPr>
            </w:pPr>
            <w:r>
              <w:rPr>
                <w:rFonts w:hint="eastAsia" w:ascii="宋体" w:hAnsi="宋体" w:eastAsia="宋体" w:cs="宋体"/>
              </w:rPr>
              <w:t>2、接到灾害天气值班任务后，未及时提交值班人员表，每次扣1分；未按值班人员表安排人员和值班时间的，每次扣1分；未加强重点区域监测的，每次扣1分。</w:t>
            </w:r>
          </w:p>
        </w:tc>
        <w:tc>
          <w:tcPr>
            <w:tcW w:w="889" w:type="dxa"/>
          </w:tcPr>
          <w:p w14:paraId="2DDDDF6D">
            <w:pPr>
              <w:jc w:val="center"/>
              <w:rPr>
                <w:rFonts w:ascii="宋体" w:hAnsi="宋体" w:eastAsia="宋体" w:cs="宋体"/>
              </w:rPr>
            </w:pPr>
          </w:p>
        </w:tc>
      </w:tr>
      <w:tr w14:paraId="5417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70E2CA49">
            <w:pPr>
              <w:jc w:val="center"/>
              <w:rPr>
                <w:rFonts w:ascii="宋体" w:hAnsi="宋体" w:eastAsia="宋体" w:cs="宋体"/>
              </w:rPr>
            </w:pPr>
            <w:r>
              <w:rPr>
                <w:rFonts w:hint="eastAsia" w:ascii="宋体" w:hAnsi="宋体" w:eastAsia="宋体" w:cs="宋体"/>
              </w:rPr>
              <w:t>3</w:t>
            </w:r>
          </w:p>
        </w:tc>
        <w:tc>
          <w:tcPr>
            <w:tcW w:w="1470" w:type="dxa"/>
            <w:vAlign w:val="center"/>
          </w:tcPr>
          <w:p w14:paraId="4CBFDD55">
            <w:pPr>
              <w:jc w:val="center"/>
              <w:rPr>
                <w:rFonts w:ascii="宋体" w:hAnsi="宋体" w:eastAsia="宋体" w:cs="宋体"/>
              </w:rPr>
            </w:pPr>
            <w:r>
              <w:rPr>
                <w:rFonts w:hint="eastAsia" w:ascii="宋体" w:hAnsi="宋体" w:eastAsia="宋体" w:cs="宋体"/>
              </w:rPr>
              <w:t>监测数据审核</w:t>
            </w:r>
          </w:p>
        </w:tc>
        <w:tc>
          <w:tcPr>
            <w:tcW w:w="676" w:type="dxa"/>
            <w:vAlign w:val="center"/>
          </w:tcPr>
          <w:p w14:paraId="5432B6D1">
            <w:pPr>
              <w:jc w:val="center"/>
              <w:rPr>
                <w:rFonts w:ascii="宋体" w:hAnsi="宋体" w:eastAsia="宋体" w:cs="宋体"/>
              </w:rPr>
            </w:pPr>
            <w:r>
              <w:rPr>
                <w:rFonts w:hint="eastAsia" w:ascii="宋体" w:hAnsi="宋体" w:eastAsia="宋体" w:cs="宋体"/>
              </w:rPr>
              <w:t>5</w:t>
            </w:r>
          </w:p>
        </w:tc>
        <w:tc>
          <w:tcPr>
            <w:tcW w:w="4566" w:type="dxa"/>
          </w:tcPr>
          <w:p w14:paraId="2C5A9871">
            <w:pPr>
              <w:rPr>
                <w:rFonts w:ascii="宋体" w:hAnsi="宋体" w:eastAsia="宋体" w:cs="宋体"/>
              </w:rPr>
            </w:pPr>
            <w:r>
              <w:rPr>
                <w:rFonts w:hint="eastAsia" w:ascii="宋体" w:hAnsi="宋体" w:eastAsia="宋体" w:cs="宋体"/>
              </w:rPr>
              <w:t>监测数据上传系统后，未按时完成审核、动态评定的，每次扣2分（特殊情况的除外）。</w:t>
            </w:r>
          </w:p>
        </w:tc>
        <w:tc>
          <w:tcPr>
            <w:tcW w:w="889" w:type="dxa"/>
          </w:tcPr>
          <w:p w14:paraId="1E4B1F51">
            <w:pPr>
              <w:jc w:val="center"/>
              <w:rPr>
                <w:rFonts w:ascii="宋体" w:hAnsi="宋体" w:eastAsia="宋体" w:cs="宋体"/>
              </w:rPr>
            </w:pPr>
          </w:p>
        </w:tc>
      </w:tr>
      <w:tr w14:paraId="34E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6BDFAE4E">
            <w:pPr>
              <w:jc w:val="center"/>
              <w:rPr>
                <w:rFonts w:ascii="宋体" w:hAnsi="宋体" w:eastAsia="宋体" w:cs="宋体"/>
              </w:rPr>
            </w:pPr>
            <w:r>
              <w:rPr>
                <w:rFonts w:hint="eastAsia" w:ascii="宋体" w:hAnsi="宋体" w:eastAsia="宋体" w:cs="宋体"/>
              </w:rPr>
              <w:t>4</w:t>
            </w:r>
          </w:p>
        </w:tc>
        <w:tc>
          <w:tcPr>
            <w:tcW w:w="1470" w:type="dxa"/>
            <w:vAlign w:val="center"/>
          </w:tcPr>
          <w:p w14:paraId="3BDCA9B5">
            <w:pPr>
              <w:jc w:val="center"/>
              <w:rPr>
                <w:rFonts w:ascii="宋体" w:hAnsi="宋体" w:eastAsia="宋体" w:cs="宋体"/>
              </w:rPr>
            </w:pPr>
            <w:r>
              <w:rPr>
                <w:rFonts w:hint="eastAsia" w:ascii="宋体" w:hAnsi="宋体" w:eastAsia="宋体" w:cs="宋体"/>
              </w:rPr>
              <w:t>人员配备情况</w:t>
            </w:r>
          </w:p>
        </w:tc>
        <w:tc>
          <w:tcPr>
            <w:tcW w:w="676" w:type="dxa"/>
            <w:vAlign w:val="center"/>
          </w:tcPr>
          <w:p w14:paraId="1EFDB3AD">
            <w:pPr>
              <w:jc w:val="center"/>
              <w:rPr>
                <w:rFonts w:ascii="宋体" w:hAnsi="宋体" w:eastAsia="宋体" w:cs="宋体"/>
              </w:rPr>
            </w:pPr>
            <w:r>
              <w:rPr>
                <w:rFonts w:hint="eastAsia" w:ascii="宋体" w:hAnsi="宋体" w:eastAsia="宋体" w:cs="宋体"/>
              </w:rPr>
              <w:t>4</w:t>
            </w:r>
          </w:p>
        </w:tc>
        <w:tc>
          <w:tcPr>
            <w:tcW w:w="4566" w:type="dxa"/>
          </w:tcPr>
          <w:p w14:paraId="5AD85533">
            <w:pPr>
              <w:rPr>
                <w:rFonts w:ascii="宋体" w:hAnsi="宋体" w:eastAsia="宋体" w:cs="宋体"/>
              </w:rPr>
            </w:pPr>
            <w:r>
              <w:rPr>
                <w:rFonts w:hint="eastAsia" w:ascii="宋体" w:hAnsi="宋体" w:eastAsia="宋体" w:cs="宋体"/>
              </w:rPr>
              <w:t>人员临时变动，但未提前向委托方进行“人员变动申请”的，每次扣2分。</w:t>
            </w:r>
          </w:p>
        </w:tc>
        <w:tc>
          <w:tcPr>
            <w:tcW w:w="889" w:type="dxa"/>
          </w:tcPr>
          <w:p w14:paraId="67D5BD63">
            <w:pPr>
              <w:jc w:val="center"/>
              <w:rPr>
                <w:rFonts w:ascii="宋体" w:hAnsi="宋体" w:eastAsia="宋体" w:cs="宋体"/>
              </w:rPr>
            </w:pPr>
          </w:p>
        </w:tc>
      </w:tr>
      <w:tr w14:paraId="66DF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06F3EDC1">
            <w:pPr>
              <w:jc w:val="center"/>
              <w:rPr>
                <w:rFonts w:ascii="宋体" w:hAnsi="宋体" w:eastAsia="宋体" w:cs="宋体"/>
              </w:rPr>
            </w:pPr>
            <w:r>
              <w:rPr>
                <w:rFonts w:hint="eastAsia" w:ascii="宋体" w:hAnsi="宋体" w:eastAsia="宋体" w:cs="宋体"/>
              </w:rPr>
              <w:t>5</w:t>
            </w:r>
          </w:p>
        </w:tc>
        <w:tc>
          <w:tcPr>
            <w:tcW w:w="1470" w:type="dxa"/>
            <w:vAlign w:val="center"/>
          </w:tcPr>
          <w:p w14:paraId="27DFD86F">
            <w:pPr>
              <w:jc w:val="center"/>
              <w:rPr>
                <w:rFonts w:ascii="宋体" w:hAnsi="宋体" w:eastAsia="宋体" w:cs="宋体"/>
              </w:rPr>
            </w:pPr>
            <w:r>
              <w:rPr>
                <w:rFonts w:hint="eastAsia" w:ascii="宋体" w:hAnsi="宋体" w:eastAsia="宋体" w:cs="宋体"/>
              </w:rPr>
              <w:t>监测服务资料</w:t>
            </w:r>
          </w:p>
        </w:tc>
        <w:tc>
          <w:tcPr>
            <w:tcW w:w="676" w:type="dxa"/>
            <w:vAlign w:val="center"/>
          </w:tcPr>
          <w:p w14:paraId="2C1F9916">
            <w:pPr>
              <w:jc w:val="center"/>
              <w:rPr>
                <w:rFonts w:ascii="宋体" w:hAnsi="宋体" w:eastAsia="宋体" w:cs="宋体"/>
              </w:rPr>
            </w:pPr>
            <w:r>
              <w:rPr>
                <w:rFonts w:hint="eastAsia" w:ascii="宋体" w:hAnsi="宋体" w:eastAsia="宋体" w:cs="宋体"/>
              </w:rPr>
              <w:t>14</w:t>
            </w:r>
          </w:p>
        </w:tc>
        <w:tc>
          <w:tcPr>
            <w:tcW w:w="4566" w:type="dxa"/>
          </w:tcPr>
          <w:p w14:paraId="0F750AE2">
            <w:pPr>
              <w:rPr>
                <w:rFonts w:ascii="宋体" w:hAnsi="宋体" w:eastAsia="宋体" w:cs="宋体"/>
              </w:rPr>
            </w:pPr>
            <w:r>
              <w:rPr>
                <w:rFonts w:hint="eastAsia" w:ascii="宋体" w:hAnsi="宋体" w:eastAsia="宋体" w:cs="宋体"/>
              </w:rPr>
              <w:t>1、资料存在作假情况的，每次扣1分。</w:t>
            </w:r>
          </w:p>
          <w:p w14:paraId="11D17B2F">
            <w:pPr>
              <w:rPr>
                <w:rFonts w:ascii="宋体" w:hAnsi="宋体" w:eastAsia="宋体" w:cs="宋体"/>
              </w:rPr>
            </w:pPr>
            <w:r>
              <w:rPr>
                <w:rFonts w:hint="eastAsia" w:ascii="宋体" w:hAnsi="宋体" w:eastAsia="宋体" w:cs="宋体"/>
              </w:rPr>
              <w:t>2、资料内容不符合相关要求的，每次扣1分。</w:t>
            </w:r>
          </w:p>
          <w:p w14:paraId="7FF372DE">
            <w:pPr>
              <w:rPr>
                <w:rFonts w:ascii="宋体" w:hAnsi="宋体" w:eastAsia="宋体" w:cs="宋体"/>
              </w:rPr>
            </w:pPr>
            <w:r>
              <w:rPr>
                <w:rFonts w:hint="eastAsia" w:ascii="宋体" w:hAnsi="宋体" w:eastAsia="宋体" w:cs="宋体"/>
              </w:rPr>
              <w:t>3、未及时提交监测报告的，每次扣1分。</w:t>
            </w:r>
          </w:p>
        </w:tc>
        <w:tc>
          <w:tcPr>
            <w:tcW w:w="889" w:type="dxa"/>
          </w:tcPr>
          <w:p w14:paraId="380D1059">
            <w:pPr>
              <w:jc w:val="center"/>
              <w:rPr>
                <w:rFonts w:ascii="宋体" w:hAnsi="宋体" w:eastAsia="宋体" w:cs="宋体"/>
              </w:rPr>
            </w:pPr>
          </w:p>
        </w:tc>
      </w:tr>
      <w:tr w14:paraId="54CF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5E11701B">
            <w:pPr>
              <w:jc w:val="center"/>
              <w:rPr>
                <w:rFonts w:ascii="宋体" w:hAnsi="宋体" w:eastAsia="宋体" w:cs="宋体"/>
              </w:rPr>
            </w:pPr>
            <w:r>
              <w:rPr>
                <w:rFonts w:hint="eastAsia" w:ascii="宋体" w:hAnsi="宋体" w:eastAsia="宋体" w:cs="宋体"/>
              </w:rPr>
              <w:t>6</w:t>
            </w:r>
          </w:p>
        </w:tc>
        <w:tc>
          <w:tcPr>
            <w:tcW w:w="1470" w:type="dxa"/>
            <w:vAlign w:val="center"/>
          </w:tcPr>
          <w:p w14:paraId="73CA84FA">
            <w:pPr>
              <w:jc w:val="center"/>
              <w:rPr>
                <w:rFonts w:ascii="宋体" w:hAnsi="宋体" w:eastAsia="宋体" w:cs="宋体"/>
              </w:rPr>
            </w:pPr>
            <w:r>
              <w:rPr>
                <w:rFonts w:hint="eastAsia" w:ascii="宋体" w:hAnsi="宋体" w:eastAsia="宋体" w:cs="宋体"/>
              </w:rPr>
              <w:t>现场事件处理</w:t>
            </w:r>
          </w:p>
        </w:tc>
        <w:tc>
          <w:tcPr>
            <w:tcW w:w="676" w:type="dxa"/>
            <w:vAlign w:val="center"/>
          </w:tcPr>
          <w:p w14:paraId="4D43289E">
            <w:pPr>
              <w:jc w:val="center"/>
              <w:rPr>
                <w:rFonts w:ascii="宋体" w:hAnsi="宋体" w:eastAsia="宋体" w:cs="宋体"/>
              </w:rPr>
            </w:pPr>
            <w:r>
              <w:rPr>
                <w:rFonts w:hint="eastAsia" w:ascii="宋体" w:hAnsi="宋体" w:eastAsia="宋体" w:cs="宋体"/>
              </w:rPr>
              <w:t>20</w:t>
            </w:r>
          </w:p>
        </w:tc>
        <w:tc>
          <w:tcPr>
            <w:tcW w:w="4566" w:type="dxa"/>
          </w:tcPr>
          <w:p w14:paraId="0D40D346">
            <w:pPr>
              <w:rPr>
                <w:rFonts w:ascii="宋体" w:hAnsi="宋体" w:eastAsia="宋体" w:cs="宋体"/>
              </w:rPr>
            </w:pPr>
            <w:r>
              <w:rPr>
                <w:rFonts w:hint="eastAsia" w:ascii="宋体" w:hAnsi="宋体" w:eastAsia="宋体" w:cs="宋体"/>
              </w:rPr>
              <w:t>1、未处理好群众情绪，引起争吵，每次扣1分；引起肢体冲突，每次扣3分。</w:t>
            </w:r>
          </w:p>
          <w:p w14:paraId="74DCC27A">
            <w:pPr>
              <w:rPr>
                <w:rFonts w:ascii="宋体" w:hAnsi="宋体" w:eastAsia="宋体" w:cs="宋体"/>
              </w:rPr>
            </w:pPr>
            <w:r>
              <w:rPr>
                <w:rFonts w:hint="eastAsia" w:ascii="宋体" w:hAnsi="宋体" w:eastAsia="宋体" w:cs="宋体"/>
              </w:rPr>
              <w:t>2、因自身原因（如未及时汇报安全隐患、擅自处理突发事件），造成人员伤亡、财产损失或被媒介通报批评等社会影响的，每次扣10分。</w:t>
            </w:r>
          </w:p>
        </w:tc>
        <w:tc>
          <w:tcPr>
            <w:tcW w:w="889" w:type="dxa"/>
          </w:tcPr>
          <w:p w14:paraId="35F87D90">
            <w:pPr>
              <w:jc w:val="center"/>
              <w:rPr>
                <w:rFonts w:ascii="宋体" w:hAnsi="宋体" w:eastAsia="宋体" w:cs="宋体"/>
              </w:rPr>
            </w:pPr>
          </w:p>
        </w:tc>
      </w:tr>
      <w:tr w14:paraId="5A1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7A3AB306">
            <w:pPr>
              <w:jc w:val="center"/>
              <w:rPr>
                <w:rFonts w:ascii="宋体" w:hAnsi="宋体" w:eastAsia="宋体" w:cs="宋体"/>
              </w:rPr>
            </w:pPr>
            <w:r>
              <w:rPr>
                <w:rFonts w:hint="eastAsia" w:ascii="宋体" w:hAnsi="宋体" w:eastAsia="宋体" w:cs="宋体"/>
              </w:rPr>
              <w:t>7</w:t>
            </w:r>
          </w:p>
        </w:tc>
        <w:tc>
          <w:tcPr>
            <w:tcW w:w="1470" w:type="dxa"/>
            <w:vAlign w:val="center"/>
          </w:tcPr>
          <w:p w14:paraId="0BDC7698">
            <w:pPr>
              <w:jc w:val="center"/>
              <w:rPr>
                <w:rFonts w:ascii="宋体" w:hAnsi="宋体" w:eastAsia="宋体" w:cs="宋体"/>
              </w:rPr>
            </w:pPr>
            <w:r>
              <w:rPr>
                <w:rFonts w:hint="eastAsia" w:ascii="宋体" w:hAnsi="宋体" w:eastAsia="宋体" w:cs="宋体"/>
              </w:rPr>
              <w:t>装修安全</w:t>
            </w:r>
          </w:p>
        </w:tc>
        <w:tc>
          <w:tcPr>
            <w:tcW w:w="676" w:type="dxa"/>
            <w:vAlign w:val="center"/>
          </w:tcPr>
          <w:p w14:paraId="720CF04D">
            <w:pPr>
              <w:jc w:val="center"/>
              <w:rPr>
                <w:rFonts w:ascii="宋体" w:hAnsi="宋体" w:eastAsia="宋体" w:cs="宋体"/>
              </w:rPr>
            </w:pPr>
            <w:r>
              <w:rPr>
                <w:rFonts w:hint="eastAsia" w:ascii="宋体" w:hAnsi="宋体" w:eastAsia="宋体" w:cs="宋体"/>
              </w:rPr>
              <w:t>15</w:t>
            </w:r>
          </w:p>
        </w:tc>
        <w:tc>
          <w:tcPr>
            <w:tcW w:w="4566" w:type="dxa"/>
            <w:vAlign w:val="center"/>
          </w:tcPr>
          <w:p w14:paraId="2B3E72A1">
            <w:pPr>
              <w:rPr>
                <w:rFonts w:ascii="宋体" w:hAnsi="宋体" w:eastAsia="宋体" w:cs="宋体"/>
              </w:rPr>
            </w:pPr>
            <w:r>
              <w:rPr>
                <w:rFonts w:hint="eastAsia" w:ascii="宋体" w:hAnsi="宋体" w:eastAsia="宋体" w:cs="宋体"/>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14:paraId="2937B5D1">
            <w:pPr>
              <w:rPr>
                <w:rFonts w:ascii="宋体" w:hAnsi="宋体" w:eastAsia="宋体" w:cs="宋体"/>
              </w:rPr>
            </w:pPr>
            <w:r>
              <w:rPr>
                <w:rFonts w:hint="eastAsia" w:ascii="宋体" w:hAnsi="宋体" w:eastAsia="宋体" w:cs="宋体"/>
                <w:szCs w:val="24"/>
              </w:rPr>
              <w:t>发现一次扣3分；造成严重后果或产生</w:t>
            </w:r>
            <w:r>
              <w:rPr>
                <w:rFonts w:hint="eastAsia" w:ascii="宋体" w:hAnsi="宋体" w:eastAsia="宋体" w:cs="宋体"/>
              </w:rPr>
              <w:t>较大</w:t>
            </w:r>
            <w:r>
              <w:rPr>
                <w:rFonts w:hint="eastAsia" w:ascii="宋体" w:hAnsi="宋体" w:eastAsia="宋体" w:cs="宋体"/>
                <w:szCs w:val="24"/>
              </w:rPr>
              <w:t>影响的发现一次扣5分。</w:t>
            </w:r>
          </w:p>
        </w:tc>
        <w:tc>
          <w:tcPr>
            <w:tcW w:w="889" w:type="dxa"/>
            <w:vAlign w:val="center"/>
          </w:tcPr>
          <w:p w14:paraId="173138A0">
            <w:pPr>
              <w:jc w:val="center"/>
              <w:rPr>
                <w:rFonts w:ascii="宋体" w:hAnsi="宋体" w:eastAsia="宋体" w:cs="宋体"/>
                <w:szCs w:val="24"/>
              </w:rPr>
            </w:pPr>
          </w:p>
        </w:tc>
      </w:tr>
      <w:tr w14:paraId="27CA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4CB6EA8B">
            <w:pPr>
              <w:jc w:val="center"/>
              <w:rPr>
                <w:rFonts w:ascii="宋体" w:hAnsi="宋体" w:eastAsia="宋体" w:cs="宋体"/>
              </w:rPr>
            </w:pPr>
            <w:r>
              <w:rPr>
                <w:rFonts w:hint="eastAsia" w:ascii="宋体" w:hAnsi="宋体" w:eastAsia="宋体" w:cs="宋体"/>
              </w:rPr>
              <w:t>8</w:t>
            </w:r>
          </w:p>
        </w:tc>
        <w:tc>
          <w:tcPr>
            <w:tcW w:w="1470" w:type="dxa"/>
            <w:vAlign w:val="center"/>
          </w:tcPr>
          <w:p w14:paraId="3357C588">
            <w:pPr>
              <w:jc w:val="center"/>
              <w:rPr>
                <w:rFonts w:ascii="宋体" w:hAnsi="宋体" w:eastAsia="宋体" w:cs="宋体"/>
              </w:rPr>
            </w:pPr>
            <w:r>
              <w:rPr>
                <w:rFonts w:hint="eastAsia" w:ascii="宋体" w:hAnsi="宋体" w:eastAsia="宋体" w:cs="宋体"/>
              </w:rPr>
              <w:t>一般技术要求</w:t>
            </w:r>
          </w:p>
        </w:tc>
        <w:tc>
          <w:tcPr>
            <w:tcW w:w="676" w:type="dxa"/>
            <w:vAlign w:val="center"/>
          </w:tcPr>
          <w:p w14:paraId="493890C2">
            <w:pPr>
              <w:jc w:val="center"/>
              <w:rPr>
                <w:rFonts w:ascii="宋体" w:hAnsi="宋体" w:eastAsia="宋体" w:cs="宋体"/>
              </w:rPr>
            </w:pPr>
            <w:r>
              <w:rPr>
                <w:rFonts w:hint="eastAsia" w:ascii="宋体" w:hAnsi="宋体" w:eastAsia="宋体" w:cs="宋体"/>
              </w:rPr>
              <w:t>8</w:t>
            </w:r>
          </w:p>
        </w:tc>
        <w:tc>
          <w:tcPr>
            <w:tcW w:w="4566" w:type="dxa"/>
          </w:tcPr>
          <w:p w14:paraId="7F6BD2F4">
            <w:pPr>
              <w:rPr>
                <w:rFonts w:ascii="宋体" w:hAnsi="宋体" w:eastAsia="宋体" w:cs="宋体"/>
              </w:rPr>
            </w:pPr>
            <w:r>
              <w:rPr>
                <w:rFonts w:hint="eastAsia" w:ascii="宋体" w:hAnsi="宋体" w:eastAsia="宋体" w:cs="宋体"/>
              </w:rPr>
              <w:t>除上述项次外，在现场抽检及系统数据核查中，未按招标文件进行监测</w:t>
            </w:r>
            <w:r>
              <w:rPr>
                <w:rFonts w:hint="eastAsia" w:ascii="宋体" w:hAnsi="宋体" w:eastAsia="宋体" w:cs="宋体"/>
                <w:lang w:val="en-US" w:eastAsia="zh-CN"/>
              </w:rPr>
              <w:t>并采样</w:t>
            </w:r>
            <w:r>
              <w:rPr>
                <w:rFonts w:hint="eastAsia" w:ascii="宋体" w:hAnsi="宋体" w:eastAsia="宋体" w:cs="宋体"/>
              </w:rPr>
              <w:t>的，每次扣2分。</w:t>
            </w:r>
          </w:p>
        </w:tc>
        <w:tc>
          <w:tcPr>
            <w:tcW w:w="889" w:type="dxa"/>
          </w:tcPr>
          <w:p w14:paraId="6AE2A520">
            <w:pPr>
              <w:jc w:val="center"/>
              <w:rPr>
                <w:rFonts w:ascii="宋体" w:hAnsi="宋体" w:eastAsia="宋体" w:cs="宋体"/>
              </w:rPr>
            </w:pPr>
          </w:p>
        </w:tc>
      </w:tr>
      <w:tr w14:paraId="4385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D0F5874">
            <w:pPr>
              <w:jc w:val="center"/>
              <w:rPr>
                <w:rFonts w:ascii="宋体" w:hAnsi="宋体" w:eastAsia="宋体" w:cs="宋体"/>
                <w:b/>
                <w:bCs/>
              </w:rPr>
            </w:pPr>
            <w:r>
              <w:rPr>
                <w:rFonts w:hint="eastAsia" w:ascii="宋体" w:hAnsi="宋体" w:eastAsia="宋体" w:cs="宋体"/>
                <w:b/>
                <w:bCs/>
              </w:rPr>
              <w:t>9</w:t>
            </w:r>
          </w:p>
        </w:tc>
        <w:tc>
          <w:tcPr>
            <w:tcW w:w="1470" w:type="dxa"/>
            <w:vAlign w:val="center"/>
          </w:tcPr>
          <w:p w14:paraId="3A1F0327">
            <w:pPr>
              <w:jc w:val="center"/>
              <w:rPr>
                <w:rFonts w:ascii="宋体" w:hAnsi="宋体" w:eastAsia="宋体" w:cs="宋体"/>
                <w:b/>
                <w:bCs/>
              </w:rPr>
            </w:pPr>
            <w:r>
              <w:rPr>
                <w:rFonts w:hint="eastAsia" w:ascii="宋体" w:hAnsi="宋体" w:eastAsia="宋体" w:cs="宋体"/>
                <w:b/>
                <w:bCs/>
              </w:rPr>
              <w:t>系统管理</w:t>
            </w:r>
          </w:p>
        </w:tc>
        <w:tc>
          <w:tcPr>
            <w:tcW w:w="676" w:type="dxa"/>
            <w:vAlign w:val="center"/>
          </w:tcPr>
          <w:p w14:paraId="0964F945">
            <w:pPr>
              <w:jc w:val="center"/>
              <w:rPr>
                <w:rFonts w:ascii="宋体" w:hAnsi="宋体" w:eastAsia="宋体" w:cs="宋体"/>
                <w:b/>
                <w:bCs/>
              </w:rPr>
            </w:pPr>
            <w:r>
              <w:rPr>
                <w:rFonts w:hint="eastAsia" w:ascii="宋体" w:hAnsi="宋体" w:eastAsia="宋体" w:cs="宋体"/>
                <w:b/>
                <w:bCs/>
              </w:rPr>
              <w:t>4</w:t>
            </w:r>
          </w:p>
        </w:tc>
        <w:tc>
          <w:tcPr>
            <w:tcW w:w="4566" w:type="dxa"/>
          </w:tcPr>
          <w:p w14:paraId="33559276">
            <w:pPr>
              <w:jc w:val="left"/>
              <w:rPr>
                <w:rFonts w:ascii="宋体" w:hAnsi="宋体" w:eastAsia="宋体" w:cs="宋体"/>
                <w:b/>
                <w:bCs/>
              </w:rPr>
            </w:pPr>
            <w:r>
              <w:rPr>
                <w:rFonts w:hint="eastAsia" w:ascii="宋体" w:hAnsi="宋体" w:eastAsia="宋体" w:cs="宋体"/>
                <w:b/>
                <w:bCs/>
              </w:rPr>
              <w:t>合同期满后未预留能与其他系统兼容的端口或设备动态监测数据不能实时上传至监测管理平台的或未将本项目所有数据资料导出移交给甲方的，扣4分并没收全部履约保证金及取消下年度服务资格。</w:t>
            </w:r>
          </w:p>
        </w:tc>
        <w:tc>
          <w:tcPr>
            <w:tcW w:w="889" w:type="dxa"/>
          </w:tcPr>
          <w:p w14:paraId="60AFA6C2">
            <w:pPr>
              <w:jc w:val="center"/>
              <w:rPr>
                <w:rFonts w:ascii="宋体" w:hAnsi="宋体" w:eastAsia="宋体" w:cs="宋体"/>
              </w:rPr>
            </w:pPr>
          </w:p>
        </w:tc>
      </w:tr>
      <w:tr w14:paraId="617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5" w:type="dxa"/>
            <w:vAlign w:val="center"/>
          </w:tcPr>
          <w:p w14:paraId="39B6F53C">
            <w:pPr>
              <w:jc w:val="center"/>
              <w:rPr>
                <w:rFonts w:ascii="宋体" w:hAnsi="宋体" w:eastAsia="宋体" w:cs="宋体"/>
              </w:rPr>
            </w:pPr>
            <w:r>
              <w:rPr>
                <w:rFonts w:hint="eastAsia" w:ascii="宋体" w:hAnsi="宋体" w:eastAsia="宋体" w:cs="宋体"/>
              </w:rPr>
              <w:t>10</w:t>
            </w:r>
          </w:p>
        </w:tc>
        <w:tc>
          <w:tcPr>
            <w:tcW w:w="1470" w:type="dxa"/>
            <w:vAlign w:val="center"/>
          </w:tcPr>
          <w:p w14:paraId="017285C5">
            <w:pPr>
              <w:jc w:val="center"/>
              <w:rPr>
                <w:rFonts w:ascii="宋体" w:hAnsi="宋体" w:eastAsia="宋体" w:cs="宋体"/>
              </w:rPr>
            </w:pPr>
            <w:r>
              <w:rPr>
                <w:rFonts w:hint="eastAsia" w:ascii="宋体" w:hAnsi="宋体" w:eastAsia="宋体" w:cs="宋体"/>
              </w:rPr>
              <w:t>合计</w:t>
            </w:r>
          </w:p>
        </w:tc>
        <w:tc>
          <w:tcPr>
            <w:tcW w:w="676" w:type="dxa"/>
            <w:vAlign w:val="center"/>
          </w:tcPr>
          <w:p w14:paraId="74538A69">
            <w:pPr>
              <w:jc w:val="center"/>
              <w:rPr>
                <w:rFonts w:ascii="宋体" w:hAnsi="宋体" w:eastAsia="宋体" w:cs="宋体"/>
              </w:rPr>
            </w:pPr>
            <w:r>
              <w:rPr>
                <w:rFonts w:hint="eastAsia" w:ascii="宋体" w:hAnsi="宋体" w:eastAsia="宋体" w:cs="宋体"/>
              </w:rPr>
              <w:t>100</w:t>
            </w:r>
          </w:p>
        </w:tc>
        <w:tc>
          <w:tcPr>
            <w:tcW w:w="4566" w:type="dxa"/>
            <w:vAlign w:val="center"/>
          </w:tcPr>
          <w:p w14:paraId="48EB7667">
            <w:pPr>
              <w:rPr>
                <w:rFonts w:ascii="宋体" w:hAnsi="宋体" w:eastAsia="宋体" w:cs="宋体"/>
              </w:rPr>
            </w:pPr>
          </w:p>
        </w:tc>
        <w:tc>
          <w:tcPr>
            <w:tcW w:w="889" w:type="dxa"/>
            <w:vAlign w:val="center"/>
          </w:tcPr>
          <w:p w14:paraId="7E6E9FCA">
            <w:pPr>
              <w:jc w:val="center"/>
              <w:rPr>
                <w:rFonts w:ascii="宋体" w:hAnsi="宋体" w:eastAsia="宋体" w:cs="宋体"/>
              </w:rPr>
            </w:pPr>
          </w:p>
        </w:tc>
      </w:tr>
      <w:tr w14:paraId="0364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96" w:type="dxa"/>
            <w:gridSpan w:val="5"/>
            <w:vAlign w:val="center"/>
          </w:tcPr>
          <w:p w14:paraId="0678B510">
            <w:pPr>
              <w:rPr>
                <w:rFonts w:ascii="宋体" w:hAnsi="宋体" w:eastAsia="宋体" w:cs="宋体"/>
              </w:rPr>
            </w:pPr>
            <w:r>
              <w:rPr>
                <w:rFonts w:hint="eastAsia" w:ascii="宋体" w:hAnsi="宋体" w:eastAsia="宋体" w:cs="宋体"/>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宋体" w:hAnsi="宋体" w:eastAsia="宋体" w:cs="宋体"/>
                <w:lang w:eastAsia="zh-Hans"/>
              </w:rPr>
              <w:t>并</w:t>
            </w:r>
            <w:r>
              <w:rPr>
                <w:rFonts w:hint="eastAsia" w:ascii="宋体" w:hAnsi="宋体" w:eastAsia="宋体" w:cs="宋体"/>
              </w:rPr>
              <w:t>取消</w:t>
            </w:r>
            <w:r>
              <w:rPr>
                <w:rFonts w:hint="eastAsia" w:ascii="宋体" w:hAnsi="宋体" w:eastAsia="宋体" w:cs="宋体"/>
                <w:lang w:eastAsia="zh-Hans"/>
              </w:rPr>
              <w:t>下一年度</w:t>
            </w:r>
            <w:r>
              <w:rPr>
                <w:rFonts w:hint="eastAsia" w:ascii="宋体" w:hAnsi="宋体" w:eastAsia="宋体" w:cs="宋体"/>
              </w:rPr>
              <w:t>第三方监测机构的服务资格。</w:t>
            </w:r>
            <w:r>
              <w:rPr>
                <w:rFonts w:hint="eastAsia" w:ascii="宋体" w:hAnsi="宋体" w:eastAsia="宋体" w:cs="宋体"/>
                <w:lang w:eastAsia="zh-Hans"/>
              </w:rPr>
              <w:t>本项目的考核单位为</w:t>
            </w:r>
            <w:r>
              <w:rPr>
                <w:rFonts w:hint="eastAsia" w:ascii="宋体" w:hAnsi="宋体" w:eastAsia="宋体" w:cs="宋体"/>
                <w:color w:val="000000" w:themeColor="text1"/>
                <w14:textFill>
                  <w14:solidFill>
                    <w14:schemeClr w14:val="tx1"/>
                  </w14:solidFill>
                </w14:textFill>
              </w:rPr>
              <w:t>舟山市定海区住房和城乡建设局。</w:t>
            </w:r>
          </w:p>
        </w:tc>
      </w:tr>
    </w:tbl>
    <w:p w14:paraId="0BFEDB8A">
      <w:pPr>
        <w:spacing w:line="440" w:lineRule="exact"/>
        <w:ind w:firstLine="420" w:firstLineChars="200"/>
        <w:contextualSpacing/>
        <w:rPr>
          <w:rFonts w:ascii="宋体" w:hAnsi="宋体" w:eastAsia="宋体" w:cs="宋体"/>
          <w:kern w:val="0"/>
          <w:highlight w:val="green"/>
        </w:rPr>
      </w:pPr>
      <w:r>
        <w:rPr>
          <w:rFonts w:hint="eastAsia" w:ascii="宋体" w:hAnsi="宋体" w:eastAsia="宋体" w:cs="宋体"/>
          <w:kern w:val="0"/>
        </w:rPr>
        <w:t>（二）丙方在服务过程中给业主、居民等造成的损失，由丙方承担。如因丙方的行为致不特定主体向丙方求偿并给甲乙方造成损失的，甲乙方有权直接向丙方追偿。</w:t>
      </w:r>
    </w:p>
    <w:p w14:paraId="3F1BED1B">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九、争议的解决办法：</w:t>
      </w:r>
    </w:p>
    <w:p w14:paraId="3487F016">
      <w:pPr>
        <w:spacing w:line="360" w:lineRule="auto"/>
        <w:ind w:firstLine="525" w:firstLineChars="2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在合同履行过程中发生争议，三方应当协商解决，协商不成的，三方同意将本协议的争议提交舟山仲裁委，按该委现行有效的仲裁规则进行仲裁，仲裁裁决是终局性的，对三方均有约束力。 </w:t>
      </w:r>
    </w:p>
    <w:p w14:paraId="2D1556CA">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十、其它</w:t>
      </w:r>
    </w:p>
    <w:p w14:paraId="38C0024D">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（一）未尽事宜，经三方协商一致，签订补充协议；</w:t>
      </w:r>
    </w:p>
    <w:p w14:paraId="7B083F27">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（二）三方的协商补充条款、补充协议与本合同均具效力；</w:t>
      </w:r>
    </w:p>
    <w:p w14:paraId="00C0ACD3">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（三）本合同正本一式六份，甲乙丙三方各执贰份，经三方盖章及签字后生效。</w:t>
      </w:r>
    </w:p>
    <w:p w14:paraId="7D300BA4">
      <w:pPr>
        <w:spacing w:line="360" w:lineRule="auto"/>
        <w:ind w:left="7482" w:leftChars="-57" w:right="-1052" w:rightChars="-501" w:hanging="7602" w:hangingChars="3620"/>
        <w:rPr>
          <w:rFonts w:ascii="宋体" w:hAnsi="宋体" w:eastAsia="宋体" w:cs="宋体"/>
          <w:color w:val="000000" w:themeColor="text1"/>
          <w14:textFill>
            <w14:solidFill>
              <w14:schemeClr w14:val="tx1"/>
            </w14:solidFill>
          </w14:textFill>
        </w:rPr>
      </w:pPr>
    </w:p>
    <w:p w14:paraId="336A4791">
      <w:pPr>
        <w:spacing w:line="360" w:lineRule="auto"/>
        <w:ind w:left="7482" w:leftChars="-57" w:right="-1052" w:rightChars="-501" w:hanging="7602" w:hangingChars="36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 方（盖章）：                             　 乙 方（盖章）：　</w:t>
      </w:r>
    </w:p>
    <w:p w14:paraId="615A5D3A">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法定代表人（签字或盖章）：                 </w:t>
      </w:r>
    </w:p>
    <w:p w14:paraId="7784B071">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联系人及联系号码：                            联系人及联系号码：                                                                            </w:t>
      </w:r>
    </w:p>
    <w:p w14:paraId="19C08FC4">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p>
    <w:p w14:paraId="2337F531">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p>
    <w:p w14:paraId="2CDC7443">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丙　方（盖章）：                              </w:t>
      </w:r>
    </w:p>
    <w:p w14:paraId="2D9F33AB">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78ECB20B">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联系人及联系号码：                           </w:t>
      </w:r>
    </w:p>
    <w:p w14:paraId="6E6FED12">
      <w:pPr>
        <w:spacing w:line="360" w:lineRule="auto"/>
        <w:ind w:firstLine="5355" w:firstLineChars="2550"/>
        <w:rPr>
          <w:rFonts w:ascii="宋体" w:hAnsi="宋体" w:eastAsia="宋体" w:cs="宋体"/>
          <w:color w:val="000000" w:themeColor="text1"/>
          <w14:textFill>
            <w14:solidFill>
              <w14:schemeClr w14:val="tx1"/>
            </w14:solidFill>
          </w14:textFill>
        </w:rPr>
      </w:pPr>
    </w:p>
    <w:p w14:paraId="73D50011">
      <w:pPr>
        <w:spacing w:line="360" w:lineRule="auto"/>
        <w:ind w:firstLine="5355" w:firstLineChars="25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   年   月   日</w:t>
      </w:r>
    </w:p>
    <w:p w14:paraId="6B4E0CB1">
      <w:pPr>
        <w:pStyle w:val="25"/>
        <w:spacing w:line="360" w:lineRule="auto"/>
        <w:ind w:firstLineChars="0"/>
        <w:rPr>
          <w:rFonts w:ascii="宋体" w:hAnsi="宋体" w:cs="宋体"/>
        </w:rPr>
      </w:pPr>
    </w:p>
    <w:p w14:paraId="66930958">
      <w:pPr>
        <w:pStyle w:val="24"/>
        <w:spacing w:line="360" w:lineRule="auto"/>
        <w:rPr>
          <w:rFonts w:ascii="宋体" w:hAnsi="宋体" w:cs="宋体"/>
          <w:szCs w:val="21"/>
        </w:rPr>
      </w:pPr>
    </w:p>
    <w:p w14:paraId="0A87A4E7">
      <w:pPr>
        <w:spacing w:line="360" w:lineRule="auto"/>
        <w:rPr>
          <w:rFonts w:ascii="宋体" w:hAnsi="宋体" w:eastAsia="宋体" w:cs="宋体"/>
          <w:b/>
          <w:bCs/>
        </w:rPr>
      </w:pPr>
    </w:p>
    <w:p w14:paraId="2A52A789">
      <w:pPr>
        <w:spacing w:line="360" w:lineRule="auto"/>
        <w:ind w:left="645"/>
        <w:rPr>
          <w:rFonts w:ascii="宋体" w:hAnsi="宋体" w:eastAsia="宋体" w:cs="宋体"/>
        </w:rPr>
      </w:pPr>
      <w:r>
        <w:rPr>
          <w:rFonts w:hint="eastAsia" w:ascii="宋体" w:hAnsi="宋体" w:eastAsia="宋体" w:cs="宋体"/>
          <w:b/>
        </w:rPr>
        <w:t>注：本合同为示范文本，具体以中标人与采购人所签定正式合同为准。</w:t>
      </w:r>
    </w:p>
    <w:p w14:paraId="4BAC06D2">
      <w:pPr>
        <w:pStyle w:val="25"/>
        <w:ind w:firstLine="210"/>
        <w:rPr>
          <w:rFonts w:ascii="宋体" w:hAnsi="宋体" w:cs="宋体"/>
          <w:color w:val="000000" w:themeColor="text1"/>
          <w14:textFill>
            <w14:solidFill>
              <w14:schemeClr w14:val="tx1"/>
            </w14:solidFill>
          </w14:textFill>
        </w:rPr>
      </w:pPr>
    </w:p>
    <w:p w14:paraId="006EC511">
      <w:pPr>
        <w:rPr>
          <w:rFonts w:ascii="宋体" w:hAnsi="宋体" w:eastAsia="宋体" w:cs="宋体"/>
          <w:sz w:val="30"/>
        </w:rPr>
      </w:pPr>
      <w:r>
        <w:rPr>
          <w:rFonts w:hint="eastAsia" w:ascii="宋体" w:hAnsi="宋体" w:eastAsia="宋体" w:cs="宋体"/>
          <w:b/>
          <w:bCs/>
          <w:color w:val="000000" w:themeColor="text1"/>
          <w:sz w:val="30"/>
          <w:szCs w:val="30"/>
          <w14:textFill>
            <w14:solidFill>
              <w14:schemeClr w14:val="tx1"/>
            </w14:solidFill>
          </w14:textFill>
        </w:rPr>
        <w:br w:type="page"/>
      </w:r>
    </w:p>
    <w:p w14:paraId="10FDBF96">
      <w:pPr>
        <w:tabs>
          <w:tab w:val="left" w:pos="2472"/>
        </w:tabs>
        <w:snapToGrid w:val="0"/>
        <w:spacing w:before="120" w:line="312" w:lineRule="auto"/>
        <w:ind w:right="-87"/>
        <w:jc w:val="center"/>
        <w:rPr>
          <w:rFonts w:ascii="Times New Roman" w:hAnsi="Times New Roman" w:eastAsia="黑体" w:cs="Times New Roman"/>
          <w:sz w:val="30"/>
        </w:rPr>
      </w:pPr>
    </w:p>
    <w:p w14:paraId="44DED47E">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E4A4F27">
      <w:pPr>
        <w:tabs>
          <w:tab w:val="left" w:pos="2472"/>
        </w:tabs>
        <w:snapToGrid w:val="0"/>
        <w:spacing w:before="120" w:line="312" w:lineRule="auto"/>
        <w:ind w:right="-87"/>
        <w:jc w:val="center"/>
        <w:rPr>
          <w:rFonts w:ascii="Times New Roman" w:hAnsi="Times New Roman" w:eastAsia="黑体" w:cs="Times New Roman"/>
          <w:sz w:val="30"/>
        </w:rPr>
      </w:pPr>
    </w:p>
    <w:p w14:paraId="185C2AF5">
      <w:pPr>
        <w:snapToGrid w:val="0"/>
        <w:spacing w:line="360" w:lineRule="auto"/>
        <w:ind w:right="-85"/>
        <w:rPr>
          <w:rFonts w:ascii="Times New Roman" w:hAnsi="Times New Roman" w:eastAsia="宋体" w:cs="Times New Roman"/>
          <w:sz w:val="24"/>
        </w:rPr>
      </w:pPr>
    </w:p>
    <w:p w14:paraId="01B5BAE3">
      <w:pPr>
        <w:snapToGrid w:val="0"/>
        <w:spacing w:line="360" w:lineRule="auto"/>
        <w:ind w:right="-85"/>
        <w:rPr>
          <w:rFonts w:ascii="Times New Roman" w:hAnsi="Times New Roman" w:eastAsia="宋体" w:cs="Times New Roman"/>
          <w:sz w:val="24"/>
        </w:rPr>
      </w:pPr>
    </w:p>
    <w:p w14:paraId="2BD4AAA9">
      <w:pPr>
        <w:snapToGrid w:val="0"/>
        <w:spacing w:line="360" w:lineRule="auto"/>
        <w:ind w:right="-85" w:firstLine="1440" w:firstLineChars="600"/>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47EC3035">
      <w:pPr>
        <w:snapToGrid w:val="0"/>
        <w:spacing w:line="360" w:lineRule="auto"/>
        <w:ind w:right="-85"/>
        <w:jc w:val="center"/>
        <w:rPr>
          <w:rFonts w:ascii="Times New Roman" w:hAnsi="Times New Roman" w:eastAsia="宋体" w:cs="Times New Roman"/>
          <w:sz w:val="24"/>
        </w:rPr>
      </w:pPr>
    </w:p>
    <w:p w14:paraId="64C16D83">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7EBFA2E">
      <w:pPr>
        <w:snapToGrid w:val="0"/>
        <w:spacing w:line="360" w:lineRule="auto"/>
        <w:ind w:right="-85"/>
        <w:rPr>
          <w:rFonts w:ascii="Times New Roman" w:hAnsi="Times New Roman" w:eastAsia="宋体" w:cs="Times New Roman"/>
          <w:sz w:val="24"/>
        </w:rPr>
      </w:pPr>
    </w:p>
    <w:p w14:paraId="7F679896">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46208D40">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34AA3B1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C05B3D4">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336E390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52140B91">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054819A5">
      <w:pPr>
        <w:snapToGrid w:val="0"/>
        <w:spacing w:line="360" w:lineRule="auto"/>
        <w:ind w:right="-85" w:firstLine="4080" w:firstLineChars="1700"/>
        <w:rPr>
          <w:rFonts w:ascii="Times New Roman" w:hAnsi="Times New Roman" w:eastAsia="宋体" w:cs="Times New Roman"/>
          <w:sz w:val="24"/>
        </w:rPr>
      </w:pPr>
    </w:p>
    <w:p w14:paraId="11ACA032">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67DBEE02">
      <w:pPr>
        <w:pStyle w:val="24"/>
      </w:pPr>
    </w:p>
    <w:p w14:paraId="37073B5F">
      <w:pPr>
        <w:pStyle w:val="25"/>
        <w:ind w:firstLine="210"/>
      </w:pPr>
    </w:p>
    <w:p w14:paraId="2121109E"/>
    <w:p w14:paraId="7EC1A900">
      <w:pPr>
        <w:pStyle w:val="25"/>
        <w:ind w:firstLine="210"/>
      </w:pPr>
    </w:p>
    <w:p w14:paraId="46FB744F"/>
    <w:p w14:paraId="1A04C47D">
      <w:pPr>
        <w:pStyle w:val="25"/>
        <w:ind w:firstLine="210"/>
      </w:pPr>
    </w:p>
    <w:p w14:paraId="4CF06CAE">
      <w:pPr>
        <w:pStyle w:val="25"/>
        <w:ind w:firstLine="210"/>
      </w:pPr>
    </w:p>
    <w:p w14:paraId="037B5791">
      <w:pPr>
        <w:pStyle w:val="25"/>
        <w:ind w:firstLine="210"/>
      </w:pPr>
    </w:p>
    <w:p w14:paraId="5ADD2462">
      <w:pPr>
        <w:pStyle w:val="25"/>
        <w:ind w:firstLine="210"/>
      </w:pPr>
    </w:p>
    <w:p w14:paraId="600791AD"/>
    <w:p w14:paraId="22A2F65B">
      <w:pPr>
        <w:pStyle w:val="25"/>
        <w:ind w:firstLine="210"/>
      </w:pPr>
    </w:p>
    <w:p w14:paraId="7892563B">
      <w:pPr>
        <w:pStyle w:val="33"/>
        <w:snapToGrid w:val="0"/>
        <w:spacing w:before="156" w:after="120"/>
        <w:jc w:val="center"/>
        <w:rPr>
          <w:rFonts w:hAnsi="宋体" w:cs="宋体"/>
          <w:b/>
          <w:sz w:val="32"/>
        </w:rPr>
      </w:pPr>
    </w:p>
    <w:p w14:paraId="3BEF9F4B">
      <w:pPr>
        <w:pStyle w:val="33"/>
        <w:snapToGrid w:val="0"/>
        <w:spacing w:before="156" w:after="120"/>
        <w:jc w:val="center"/>
        <w:rPr>
          <w:rFonts w:hAnsi="宋体" w:cs="宋体"/>
          <w:b/>
          <w:sz w:val="32"/>
        </w:rPr>
      </w:pPr>
    </w:p>
    <w:p w14:paraId="339F5430">
      <w:pPr>
        <w:pStyle w:val="33"/>
        <w:snapToGrid w:val="0"/>
        <w:spacing w:before="156" w:after="120"/>
        <w:jc w:val="center"/>
        <w:rPr>
          <w:rFonts w:hAnsi="宋体" w:cs="宋体"/>
          <w:b/>
          <w:sz w:val="32"/>
        </w:rPr>
      </w:pPr>
    </w:p>
    <w:p w14:paraId="230281C7">
      <w:pPr>
        <w:pStyle w:val="33"/>
        <w:snapToGrid w:val="0"/>
        <w:spacing w:before="156" w:after="120"/>
        <w:jc w:val="center"/>
        <w:rPr>
          <w:rFonts w:hAnsi="宋体" w:cs="宋体"/>
          <w:b/>
          <w:sz w:val="32"/>
        </w:rPr>
      </w:pPr>
      <w:r>
        <w:rPr>
          <w:rFonts w:hint="eastAsia" w:hAnsi="宋体" w:cs="宋体"/>
          <w:b/>
          <w:sz w:val="32"/>
        </w:rPr>
        <w:t>二、投标报价一览表</w:t>
      </w:r>
    </w:p>
    <w:p w14:paraId="1DCFD556">
      <w:pPr>
        <w:snapToGrid w:val="0"/>
        <w:spacing w:before="50" w:after="50"/>
        <w:rPr>
          <w:rFonts w:ascii="宋体" w:hAnsi="宋体" w:eastAsia="宋体" w:cs="宋体"/>
          <w:color w:val="000000" w:themeColor="text1"/>
          <w14:textFill>
            <w14:solidFill>
              <w14:schemeClr w14:val="tx1"/>
            </w14:solidFill>
          </w14:textFill>
        </w:rPr>
      </w:pPr>
    </w:p>
    <w:p w14:paraId="423FE541">
      <w:pPr>
        <w:snapToGrid w:val="0"/>
        <w:spacing w:before="50" w:after="50"/>
        <w:ind w:left="-420" w:leftChars="-200"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              项目名称：              单位：元</w:t>
      </w:r>
    </w:p>
    <w:tbl>
      <w:tblPr>
        <w:tblStyle w:val="60"/>
        <w:tblW w:w="8379" w:type="dxa"/>
        <w:tblInd w:w="-15" w:type="dxa"/>
        <w:tblLayout w:type="fixed"/>
        <w:tblCellMar>
          <w:top w:w="0" w:type="dxa"/>
          <w:left w:w="0" w:type="dxa"/>
          <w:bottom w:w="0" w:type="dxa"/>
          <w:right w:w="0" w:type="dxa"/>
        </w:tblCellMar>
      </w:tblPr>
      <w:tblGrid>
        <w:gridCol w:w="780"/>
        <w:gridCol w:w="3900"/>
        <w:gridCol w:w="1863"/>
        <w:gridCol w:w="1836"/>
      </w:tblGrid>
      <w:tr w14:paraId="5CD4CAAE">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280696B5">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编号</w:t>
            </w:r>
          </w:p>
        </w:tc>
        <w:tc>
          <w:tcPr>
            <w:tcW w:w="3900" w:type="dxa"/>
            <w:tcBorders>
              <w:top w:val="single" w:color="auto" w:sz="12" w:space="0"/>
              <w:left w:val="single" w:color="auto" w:sz="6" w:space="0"/>
              <w:bottom w:val="single" w:color="auto" w:sz="6" w:space="0"/>
              <w:right w:val="single" w:color="auto" w:sz="6" w:space="0"/>
            </w:tcBorders>
            <w:vAlign w:val="center"/>
          </w:tcPr>
          <w:p w14:paraId="7536D4BB">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项  目  名  称</w:t>
            </w:r>
          </w:p>
        </w:tc>
        <w:tc>
          <w:tcPr>
            <w:tcW w:w="1863" w:type="dxa"/>
            <w:tcBorders>
              <w:top w:val="single" w:color="auto" w:sz="12" w:space="0"/>
              <w:left w:val="single" w:color="auto" w:sz="6" w:space="0"/>
              <w:bottom w:val="single" w:color="auto" w:sz="6" w:space="0"/>
            </w:tcBorders>
            <w:vAlign w:val="center"/>
          </w:tcPr>
          <w:p w14:paraId="6ED52D29">
            <w:pPr>
              <w:ind w:left="405" w:leftChars="193" w:firstLine="210" w:firstLineChars="100"/>
              <w:jc w:val="left"/>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金额</w:t>
            </w:r>
          </w:p>
        </w:tc>
        <w:tc>
          <w:tcPr>
            <w:tcW w:w="1836" w:type="dxa"/>
            <w:tcBorders>
              <w:top w:val="single" w:color="auto" w:sz="12" w:space="0"/>
              <w:left w:val="single" w:color="auto" w:sz="6" w:space="0"/>
              <w:bottom w:val="single" w:color="auto" w:sz="6" w:space="0"/>
              <w:right w:val="single" w:color="auto" w:sz="12" w:space="0"/>
            </w:tcBorders>
            <w:vAlign w:val="center"/>
          </w:tcPr>
          <w:p w14:paraId="5DD21C3C">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备　　注</w:t>
            </w:r>
          </w:p>
        </w:tc>
      </w:tr>
      <w:tr w14:paraId="04616AB0">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14:paraId="702C8730">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1</w:t>
            </w:r>
          </w:p>
        </w:tc>
        <w:tc>
          <w:tcPr>
            <w:tcW w:w="3900" w:type="dxa"/>
            <w:tcBorders>
              <w:top w:val="single" w:color="auto" w:sz="6" w:space="0"/>
              <w:left w:val="single" w:color="auto" w:sz="6" w:space="0"/>
              <w:bottom w:val="single" w:color="auto" w:sz="6" w:space="0"/>
              <w:right w:val="single" w:color="auto" w:sz="6" w:space="0"/>
            </w:tcBorders>
            <w:vAlign w:val="center"/>
          </w:tcPr>
          <w:p w14:paraId="6D8D2281">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动态</w:t>
            </w:r>
            <w:r>
              <w:rPr>
                <w:rFonts w:hint="eastAsia" w:ascii="宋体" w:hAnsi="宋体" w:eastAsia="宋体" w:cs="宋体"/>
                <w:snapToGrid w:val="0"/>
                <w:color w:val="000000" w:themeColor="text1"/>
                <w14:textFill>
                  <w14:solidFill>
                    <w14:schemeClr w14:val="tx1"/>
                  </w14:solidFill>
                </w14:textFill>
              </w:rPr>
              <w:t>监测</w:t>
            </w:r>
          </w:p>
        </w:tc>
        <w:tc>
          <w:tcPr>
            <w:tcW w:w="1863" w:type="dxa"/>
            <w:tcBorders>
              <w:top w:val="single" w:color="auto" w:sz="6" w:space="0"/>
              <w:left w:val="single" w:color="auto" w:sz="6" w:space="0"/>
              <w:bottom w:val="single" w:color="auto" w:sz="6" w:space="0"/>
              <w:right w:val="single" w:color="auto" w:sz="6" w:space="0"/>
            </w:tcBorders>
            <w:vAlign w:val="center"/>
          </w:tcPr>
          <w:p w14:paraId="1FC6E9B0">
            <w:pPr>
              <w:jc w:val="cente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12" w:space="0"/>
            </w:tcBorders>
            <w:vAlign w:val="center"/>
          </w:tcPr>
          <w:p w14:paraId="1CD79C76">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7950AC3D">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14:paraId="02BD6B03">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2</w:t>
            </w:r>
          </w:p>
        </w:tc>
        <w:tc>
          <w:tcPr>
            <w:tcW w:w="3900" w:type="dxa"/>
            <w:tcBorders>
              <w:top w:val="single" w:color="auto" w:sz="6" w:space="0"/>
              <w:left w:val="single" w:color="auto" w:sz="6" w:space="0"/>
              <w:bottom w:val="single" w:color="auto" w:sz="6" w:space="0"/>
              <w:right w:val="single" w:color="auto" w:sz="6" w:space="0"/>
            </w:tcBorders>
            <w:vAlign w:val="center"/>
          </w:tcPr>
          <w:p w14:paraId="12D6408F">
            <w:pPr>
              <w:tabs>
                <w:tab w:val="left" w:pos="3780"/>
              </w:tabs>
              <w:jc w:val="center"/>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城镇房屋装修巡查安全专项技术服务</w:t>
            </w:r>
          </w:p>
        </w:tc>
        <w:tc>
          <w:tcPr>
            <w:tcW w:w="1863" w:type="dxa"/>
            <w:tcBorders>
              <w:top w:val="single" w:color="auto" w:sz="6" w:space="0"/>
              <w:left w:val="single" w:color="auto" w:sz="6" w:space="0"/>
              <w:bottom w:val="single" w:color="auto" w:sz="6" w:space="0"/>
              <w:right w:val="single" w:color="auto" w:sz="4" w:space="0"/>
            </w:tcBorders>
            <w:vAlign w:val="center"/>
          </w:tcPr>
          <w:p w14:paraId="0F94AA71">
            <w:pPr>
              <w:jc w:val="cente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14:paraId="561E1A62">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1B1B2772">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14:paraId="01CFF9A8">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3</w:t>
            </w:r>
          </w:p>
        </w:tc>
        <w:tc>
          <w:tcPr>
            <w:tcW w:w="3900" w:type="dxa"/>
            <w:tcBorders>
              <w:top w:val="single" w:color="auto" w:sz="6" w:space="0"/>
              <w:left w:val="single" w:color="auto" w:sz="4" w:space="0"/>
              <w:bottom w:val="single" w:color="auto" w:sz="6" w:space="0"/>
              <w:right w:val="single" w:color="auto" w:sz="4" w:space="0"/>
            </w:tcBorders>
            <w:vAlign w:val="center"/>
          </w:tcPr>
          <w:p w14:paraId="7FC7E9B8">
            <w:pPr>
              <w:tabs>
                <w:tab w:val="left" w:pos="3780"/>
              </w:tabs>
              <w:jc w:val="center"/>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其他（如有自拟）</w:t>
            </w:r>
          </w:p>
        </w:tc>
        <w:tc>
          <w:tcPr>
            <w:tcW w:w="1863" w:type="dxa"/>
            <w:tcBorders>
              <w:top w:val="single" w:color="auto" w:sz="6" w:space="0"/>
              <w:left w:val="single" w:color="auto" w:sz="4" w:space="0"/>
              <w:bottom w:val="single" w:color="auto" w:sz="6" w:space="0"/>
              <w:right w:val="single" w:color="auto" w:sz="4" w:space="0"/>
            </w:tcBorders>
            <w:vAlign w:val="center"/>
          </w:tcPr>
          <w:p w14:paraId="644723F9">
            <w:pP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14:paraId="49C6A6DE">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5DE4162B">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14:paraId="00176494">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4</w:t>
            </w:r>
          </w:p>
        </w:tc>
        <w:tc>
          <w:tcPr>
            <w:tcW w:w="3900" w:type="dxa"/>
            <w:tcBorders>
              <w:top w:val="single" w:color="auto" w:sz="6" w:space="0"/>
              <w:left w:val="single" w:color="auto" w:sz="4" w:space="0"/>
              <w:bottom w:val="single" w:color="auto" w:sz="6" w:space="0"/>
              <w:right w:val="single" w:color="auto" w:sz="4" w:space="0"/>
            </w:tcBorders>
            <w:vAlign w:val="center"/>
          </w:tcPr>
          <w:p w14:paraId="09CE66CE">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投标总报价大写（三年）</w:t>
            </w:r>
          </w:p>
        </w:tc>
        <w:tc>
          <w:tcPr>
            <w:tcW w:w="3699" w:type="dxa"/>
            <w:gridSpan w:val="2"/>
            <w:tcBorders>
              <w:top w:val="single" w:color="auto" w:sz="6" w:space="0"/>
              <w:left w:val="single" w:color="auto" w:sz="4" w:space="0"/>
              <w:bottom w:val="single" w:color="auto" w:sz="6" w:space="0"/>
              <w:right w:val="single" w:color="auto" w:sz="12" w:space="0"/>
            </w:tcBorders>
            <w:vAlign w:val="center"/>
          </w:tcPr>
          <w:p w14:paraId="2CC4541C">
            <w:pPr>
              <w:textAlignment w:val="bottom"/>
              <w:rPr>
                <w:rFonts w:ascii="宋体" w:hAnsi="宋体" w:eastAsia="宋体" w:cs="宋体"/>
                <w:snapToGrid w:val="0"/>
                <w:color w:val="000000" w:themeColor="text1"/>
                <w14:textFill>
                  <w14:solidFill>
                    <w14:schemeClr w14:val="tx1"/>
                  </w14:solidFill>
                </w14:textFill>
              </w:rPr>
            </w:pPr>
          </w:p>
        </w:tc>
      </w:tr>
      <w:tr w14:paraId="41C115DC">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14:paraId="66363785">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5</w:t>
            </w:r>
          </w:p>
        </w:tc>
        <w:tc>
          <w:tcPr>
            <w:tcW w:w="3900" w:type="dxa"/>
            <w:tcBorders>
              <w:top w:val="single" w:color="auto" w:sz="6" w:space="0"/>
              <w:left w:val="single" w:color="auto" w:sz="4" w:space="0"/>
              <w:bottom w:val="single" w:color="auto" w:sz="12" w:space="0"/>
              <w:right w:val="single" w:color="auto" w:sz="4" w:space="0"/>
            </w:tcBorders>
            <w:vAlign w:val="center"/>
          </w:tcPr>
          <w:p w14:paraId="375E7468">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投标总报价小写（三年）</w:t>
            </w:r>
          </w:p>
        </w:tc>
        <w:tc>
          <w:tcPr>
            <w:tcW w:w="3699" w:type="dxa"/>
            <w:gridSpan w:val="2"/>
            <w:tcBorders>
              <w:top w:val="single" w:color="auto" w:sz="6" w:space="0"/>
              <w:left w:val="single" w:color="auto" w:sz="4" w:space="0"/>
              <w:bottom w:val="single" w:color="auto" w:sz="12" w:space="0"/>
              <w:right w:val="single" w:color="auto" w:sz="12" w:space="0"/>
            </w:tcBorders>
            <w:vAlign w:val="center"/>
          </w:tcPr>
          <w:p w14:paraId="48D828EB">
            <w:pPr>
              <w:textAlignment w:val="bottom"/>
              <w:rPr>
                <w:rFonts w:ascii="宋体" w:hAnsi="宋体" w:eastAsia="宋体" w:cs="宋体"/>
                <w:snapToGrid w:val="0"/>
                <w:color w:val="000000" w:themeColor="text1"/>
                <w14:textFill>
                  <w14:solidFill>
                    <w14:schemeClr w14:val="tx1"/>
                  </w14:solidFill>
                </w14:textFill>
              </w:rPr>
            </w:pPr>
          </w:p>
        </w:tc>
      </w:tr>
    </w:tbl>
    <w:p w14:paraId="2D6D96DD">
      <w:pPr>
        <w:snapToGrid w:val="0"/>
        <w:spacing w:before="50" w:after="50"/>
        <w:jc w:val="left"/>
        <w:rPr>
          <w:rFonts w:ascii="宋体" w:hAnsi="宋体" w:eastAsia="宋体" w:cs="宋体"/>
          <w:color w:val="000000" w:themeColor="text1"/>
          <w14:textFill>
            <w14:solidFill>
              <w14:schemeClr w14:val="tx1"/>
            </w14:solidFill>
          </w14:textFill>
        </w:rPr>
      </w:pPr>
    </w:p>
    <w:p w14:paraId="468FADB9">
      <w:pPr>
        <w:snapToGrid w:val="0"/>
        <w:spacing w:before="50" w:after="5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 此投标报价为三年的费用。</w:t>
      </w:r>
    </w:p>
    <w:p w14:paraId="66E31653">
      <w:pPr>
        <w:snapToGrid w:val="0"/>
        <w:spacing w:before="50" w:after="50"/>
        <w:ind w:right="-817" w:rightChars="-389"/>
        <w:rPr>
          <w:rFonts w:ascii="宋体" w:hAnsi="宋体" w:eastAsia="宋体" w:cs="宋体"/>
          <w:color w:val="000000" w:themeColor="text1"/>
          <w14:textFill>
            <w14:solidFill>
              <w14:schemeClr w14:val="tx1"/>
            </w14:solidFill>
          </w14:textFill>
        </w:rPr>
      </w:pPr>
    </w:p>
    <w:p w14:paraId="4546012C">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p>
    <w:p w14:paraId="64868B9A">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投标人（盖章）：</w:t>
      </w:r>
    </w:p>
    <w:p w14:paraId="3C0385E0">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4893449A">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52E92568">
      <w:pPr>
        <w:spacing w:line="360" w:lineRule="auto"/>
        <w:rPr>
          <w:rFonts w:ascii="宋体" w:hAnsi="宋体" w:eastAsia="宋体" w:cs="宋体"/>
          <w:b/>
          <w:color w:val="000000" w:themeColor="text1"/>
          <w:spacing w:val="20"/>
          <w14:textFill>
            <w14:solidFill>
              <w14:schemeClr w14:val="tx1"/>
            </w14:solidFill>
          </w14:textFill>
        </w:rPr>
      </w:pPr>
    </w:p>
    <w:p w14:paraId="6A0EFABF">
      <w:pPr>
        <w:spacing w:line="360" w:lineRule="auto"/>
        <w:rPr>
          <w:rFonts w:ascii="Times New Roman" w:hAnsi="Times New Roman" w:cs="Times New Roman"/>
          <w:b/>
          <w:color w:val="000000" w:themeColor="text1"/>
          <w:spacing w:val="20"/>
          <w14:textFill>
            <w14:solidFill>
              <w14:schemeClr w14:val="tx1"/>
            </w14:solidFill>
          </w14:textFill>
        </w:rPr>
      </w:pPr>
    </w:p>
    <w:p w14:paraId="3CE7E347">
      <w:pPr>
        <w:snapToGrid w:val="0"/>
        <w:spacing w:before="120" w:line="312" w:lineRule="auto"/>
        <w:ind w:right="-341"/>
        <w:jc w:val="center"/>
        <w:rPr>
          <w:rFonts w:ascii="Times New Roman" w:hAnsi="Times New Roman" w:eastAsia="宋体" w:cs="Times New Roman"/>
          <w:b/>
          <w:sz w:val="32"/>
        </w:rPr>
      </w:pPr>
    </w:p>
    <w:p w14:paraId="65C3F174">
      <w:pPr>
        <w:snapToGrid w:val="0"/>
        <w:spacing w:before="120" w:line="312" w:lineRule="auto"/>
        <w:ind w:right="-341"/>
        <w:jc w:val="center"/>
        <w:rPr>
          <w:rFonts w:ascii="Times New Roman" w:hAnsi="Times New Roman" w:eastAsia="宋体" w:cs="Times New Roman"/>
          <w:b/>
          <w:sz w:val="32"/>
        </w:rPr>
      </w:pPr>
    </w:p>
    <w:p w14:paraId="14BF0D00">
      <w:pPr>
        <w:snapToGrid w:val="0"/>
        <w:spacing w:before="120" w:line="312" w:lineRule="auto"/>
        <w:ind w:right="-341"/>
        <w:jc w:val="center"/>
        <w:rPr>
          <w:rFonts w:ascii="Times New Roman" w:hAnsi="Times New Roman" w:eastAsia="宋体" w:cs="Times New Roman"/>
          <w:b/>
          <w:sz w:val="32"/>
        </w:rPr>
      </w:pPr>
    </w:p>
    <w:p w14:paraId="24DB09F7">
      <w:pPr>
        <w:pStyle w:val="3"/>
        <w:rPr>
          <w:rFonts w:ascii="Times New Roman" w:hAnsi="Times New Roman" w:eastAsia="宋体" w:cs="Times New Roman"/>
        </w:rPr>
      </w:pPr>
    </w:p>
    <w:p w14:paraId="64BE5008">
      <w:pPr>
        <w:rPr>
          <w:rFonts w:ascii="Times New Roman" w:hAnsi="Times New Roman" w:eastAsia="宋体" w:cs="Times New Roman"/>
          <w:b/>
          <w:sz w:val="32"/>
        </w:rPr>
      </w:pPr>
    </w:p>
    <w:p w14:paraId="2D0B4F60">
      <w:pPr>
        <w:pStyle w:val="3"/>
        <w:rPr>
          <w:rFonts w:ascii="Times New Roman" w:hAnsi="Times New Roman" w:eastAsia="宋体" w:cs="Times New Roman"/>
        </w:rPr>
      </w:pPr>
    </w:p>
    <w:p w14:paraId="7B477B9C">
      <w:pPr>
        <w:autoSpaceDE w:val="0"/>
        <w:autoSpaceDN w:val="0"/>
        <w:adjustRightInd w:val="0"/>
        <w:rPr>
          <w:rFonts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投标报价明细表</w:t>
      </w:r>
    </w:p>
    <w:p w14:paraId="26A1BBC7">
      <w:pPr>
        <w:pStyle w:val="26"/>
        <w:spacing w:line="360" w:lineRule="auto"/>
        <w:rPr>
          <w:rFonts w:hAnsi="宋体" w:cs="宋体"/>
          <w:b/>
          <w:bCs/>
          <w:color w:val="000000" w:themeColor="text1"/>
          <w:szCs w:val="21"/>
          <w14:textFill>
            <w14:solidFill>
              <w14:schemeClr w14:val="tx1"/>
            </w14:solidFill>
          </w14:textFill>
        </w:rPr>
      </w:pPr>
    </w:p>
    <w:p w14:paraId="129406A2">
      <w:pPr>
        <w:pStyle w:val="26"/>
        <w:spacing w:line="360" w:lineRule="auto"/>
        <w:jc w:val="center"/>
        <w:rPr>
          <w:rFonts w:hAnsi="宋体" w:cs="宋体"/>
          <w:b/>
          <w:bCs/>
          <w:color w:val="000000" w:themeColor="text1"/>
          <w:kern w:val="2"/>
          <w:sz w:val="21"/>
          <w:szCs w:val="21"/>
          <w14:textFill>
            <w14:solidFill>
              <w14:schemeClr w14:val="tx1"/>
            </w14:solidFill>
          </w14:textFill>
        </w:rPr>
      </w:pPr>
      <w:r>
        <w:rPr>
          <w:rFonts w:hint="eastAsia" w:hAnsi="宋体" w:cs="宋体"/>
          <w:b/>
          <w:bCs/>
          <w:color w:val="000000" w:themeColor="text1"/>
          <w:kern w:val="2"/>
          <w:sz w:val="21"/>
          <w:szCs w:val="21"/>
          <w14:textFill>
            <w14:solidFill>
              <w14:schemeClr w14:val="tx1"/>
            </w14:solidFill>
          </w14:textFill>
        </w:rPr>
        <w:t>投标报价明细表</w:t>
      </w:r>
    </w:p>
    <w:p w14:paraId="2DB13589">
      <w:pPr>
        <w:pStyle w:val="26"/>
        <w:spacing w:line="360" w:lineRule="auto"/>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项目编号：                  </w:t>
      </w:r>
      <w:r>
        <w:rPr>
          <w:rFonts w:hint="eastAsia" w:hAnsi="宋体" w:cs="宋体"/>
          <w:color w:val="000000" w:themeColor="text1"/>
          <w:sz w:val="21"/>
          <w:szCs w:val="21"/>
          <w:u w:val="single"/>
          <w14:textFill>
            <w14:solidFill>
              <w14:schemeClr w14:val="tx1"/>
            </w14:solidFill>
          </w14:textFill>
        </w:rPr>
        <w:t xml:space="preserve">         </w:t>
      </w:r>
    </w:p>
    <w:tbl>
      <w:tblPr>
        <w:tblStyle w:val="6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6"/>
        <w:gridCol w:w="688"/>
        <w:gridCol w:w="963"/>
        <w:gridCol w:w="1888"/>
        <w:gridCol w:w="2891"/>
      </w:tblGrid>
      <w:tr w14:paraId="2877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16918660">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916" w:type="dxa"/>
            <w:vAlign w:val="center"/>
          </w:tcPr>
          <w:p w14:paraId="151BAF19">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688" w:type="dxa"/>
            <w:vAlign w:val="center"/>
          </w:tcPr>
          <w:p w14:paraId="36BD1305">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963" w:type="dxa"/>
            <w:vAlign w:val="center"/>
          </w:tcPr>
          <w:p w14:paraId="604B084D">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888" w:type="dxa"/>
            <w:vAlign w:val="center"/>
          </w:tcPr>
          <w:p w14:paraId="25EA8E90">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综合单价（一年）</w:t>
            </w:r>
          </w:p>
        </w:tc>
        <w:tc>
          <w:tcPr>
            <w:tcW w:w="2891" w:type="dxa"/>
            <w:vAlign w:val="center"/>
          </w:tcPr>
          <w:p w14:paraId="3288755B">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总价（一年）</w:t>
            </w:r>
          </w:p>
        </w:tc>
      </w:tr>
      <w:tr w14:paraId="0AA7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A746476">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916" w:type="dxa"/>
            <w:vAlign w:val="center"/>
          </w:tcPr>
          <w:p w14:paraId="10A14322">
            <w:pPr>
              <w:tabs>
                <w:tab w:val="left" w:pos="3780"/>
              </w:tabs>
              <w:adjustRightInd w:val="0"/>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动态监测</w:t>
            </w:r>
          </w:p>
        </w:tc>
        <w:tc>
          <w:tcPr>
            <w:tcW w:w="688" w:type="dxa"/>
            <w:vAlign w:val="center"/>
          </w:tcPr>
          <w:p w14:paraId="52F69DA4">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幢</w:t>
            </w:r>
          </w:p>
        </w:tc>
        <w:tc>
          <w:tcPr>
            <w:tcW w:w="963" w:type="dxa"/>
            <w:vAlign w:val="center"/>
          </w:tcPr>
          <w:p w14:paraId="57B44B34">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653</w:t>
            </w:r>
          </w:p>
        </w:tc>
        <w:tc>
          <w:tcPr>
            <w:tcW w:w="1888" w:type="dxa"/>
            <w:vAlign w:val="center"/>
          </w:tcPr>
          <w:p w14:paraId="1B472D39">
            <w:pPr>
              <w:tabs>
                <w:tab w:val="left" w:pos="3780"/>
              </w:tabs>
              <w:jc w:val="center"/>
              <w:rPr>
                <w:rFonts w:ascii="宋体" w:hAnsi="宋体" w:eastAsia="宋体" w:cs="宋体"/>
                <w:color w:val="000000" w:themeColor="text1"/>
                <w14:textFill>
                  <w14:solidFill>
                    <w14:schemeClr w14:val="tx1"/>
                  </w14:solidFill>
                </w14:textFill>
              </w:rPr>
            </w:pPr>
          </w:p>
        </w:tc>
        <w:tc>
          <w:tcPr>
            <w:tcW w:w="2891" w:type="dxa"/>
            <w:vAlign w:val="center"/>
          </w:tcPr>
          <w:p w14:paraId="174F3991">
            <w:pPr>
              <w:tabs>
                <w:tab w:val="left" w:pos="3780"/>
              </w:tabs>
              <w:jc w:val="center"/>
              <w:rPr>
                <w:rFonts w:ascii="宋体" w:hAnsi="宋体" w:eastAsia="宋体" w:cs="宋体"/>
                <w:color w:val="000000" w:themeColor="text1"/>
                <w14:textFill>
                  <w14:solidFill>
                    <w14:schemeClr w14:val="tx1"/>
                  </w14:solidFill>
                </w14:textFill>
              </w:rPr>
            </w:pPr>
          </w:p>
        </w:tc>
      </w:tr>
      <w:tr w14:paraId="5C9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restart"/>
            <w:vAlign w:val="center"/>
          </w:tcPr>
          <w:p w14:paraId="5229EDAE">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916" w:type="dxa"/>
            <w:vMerge w:val="restart"/>
            <w:vAlign w:val="center"/>
          </w:tcPr>
          <w:p w14:paraId="307D8709">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城镇房屋装修安全专项技术服务</w:t>
            </w:r>
          </w:p>
        </w:tc>
        <w:tc>
          <w:tcPr>
            <w:tcW w:w="688" w:type="dxa"/>
            <w:vMerge w:val="restart"/>
            <w:vAlign w:val="center"/>
          </w:tcPr>
          <w:p w14:paraId="58A8F758">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户</w:t>
            </w:r>
          </w:p>
        </w:tc>
        <w:tc>
          <w:tcPr>
            <w:tcW w:w="963" w:type="dxa"/>
            <w:vMerge w:val="restart"/>
            <w:vAlign w:val="center"/>
          </w:tcPr>
          <w:p w14:paraId="0C4F393D">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w:t>
            </w:r>
          </w:p>
        </w:tc>
        <w:tc>
          <w:tcPr>
            <w:tcW w:w="1888" w:type="dxa"/>
            <w:vMerge w:val="restart"/>
            <w:vAlign w:val="center"/>
          </w:tcPr>
          <w:p w14:paraId="6B955C7F">
            <w:pPr>
              <w:tabs>
                <w:tab w:val="left" w:pos="3780"/>
              </w:tabs>
              <w:rPr>
                <w:rFonts w:ascii="宋体" w:hAnsi="宋体" w:eastAsia="宋体" w:cs="宋体"/>
                <w:color w:val="000000" w:themeColor="text1"/>
                <w14:textFill>
                  <w14:solidFill>
                    <w14:schemeClr w14:val="tx1"/>
                  </w14:solidFill>
                </w14:textFill>
              </w:rPr>
            </w:pPr>
          </w:p>
        </w:tc>
        <w:tc>
          <w:tcPr>
            <w:tcW w:w="2891" w:type="dxa"/>
            <w:vMerge w:val="restart"/>
            <w:vAlign w:val="center"/>
          </w:tcPr>
          <w:p w14:paraId="7A57EDCF">
            <w:pPr>
              <w:tabs>
                <w:tab w:val="left" w:pos="3780"/>
              </w:tabs>
              <w:rPr>
                <w:rFonts w:ascii="宋体" w:hAnsi="宋体" w:eastAsia="宋体" w:cs="宋体"/>
                <w:color w:val="000000" w:themeColor="text1"/>
                <w14:textFill>
                  <w14:solidFill>
                    <w14:schemeClr w14:val="tx1"/>
                  </w14:solidFill>
                </w14:textFill>
              </w:rPr>
            </w:pPr>
          </w:p>
        </w:tc>
      </w:tr>
      <w:tr w14:paraId="5D1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continue"/>
            <w:vAlign w:val="center"/>
          </w:tcPr>
          <w:p w14:paraId="7D47039E">
            <w:pPr>
              <w:tabs>
                <w:tab w:val="left" w:pos="3780"/>
              </w:tabs>
              <w:rPr>
                <w:rFonts w:ascii="宋体" w:hAnsi="宋体" w:eastAsia="宋体" w:cs="宋体"/>
                <w:color w:val="000000" w:themeColor="text1"/>
                <w14:textFill>
                  <w14:solidFill>
                    <w14:schemeClr w14:val="tx1"/>
                  </w14:solidFill>
                </w14:textFill>
              </w:rPr>
            </w:pPr>
          </w:p>
        </w:tc>
        <w:tc>
          <w:tcPr>
            <w:tcW w:w="1916" w:type="dxa"/>
            <w:vMerge w:val="continue"/>
            <w:vAlign w:val="center"/>
          </w:tcPr>
          <w:p w14:paraId="78D3B4E9">
            <w:pPr>
              <w:tabs>
                <w:tab w:val="left" w:pos="3780"/>
              </w:tabs>
              <w:rPr>
                <w:rFonts w:ascii="宋体" w:hAnsi="宋体" w:eastAsia="宋体" w:cs="宋体"/>
                <w:color w:val="000000" w:themeColor="text1"/>
                <w14:textFill>
                  <w14:solidFill>
                    <w14:schemeClr w14:val="tx1"/>
                  </w14:solidFill>
                </w14:textFill>
              </w:rPr>
            </w:pPr>
          </w:p>
        </w:tc>
        <w:tc>
          <w:tcPr>
            <w:tcW w:w="688" w:type="dxa"/>
            <w:vMerge w:val="continue"/>
            <w:vAlign w:val="center"/>
          </w:tcPr>
          <w:p w14:paraId="6DC08504">
            <w:pPr>
              <w:tabs>
                <w:tab w:val="left" w:pos="3780"/>
              </w:tabs>
              <w:rPr>
                <w:rFonts w:ascii="宋体" w:hAnsi="宋体" w:eastAsia="宋体" w:cs="宋体"/>
                <w:color w:val="000000" w:themeColor="text1"/>
                <w14:textFill>
                  <w14:solidFill>
                    <w14:schemeClr w14:val="tx1"/>
                  </w14:solidFill>
                </w14:textFill>
              </w:rPr>
            </w:pPr>
          </w:p>
        </w:tc>
        <w:tc>
          <w:tcPr>
            <w:tcW w:w="963" w:type="dxa"/>
            <w:vMerge w:val="continue"/>
            <w:vAlign w:val="center"/>
          </w:tcPr>
          <w:p w14:paraId="62D03D37">
            <w:pPr>
              <w:tabs>
                <w:tab w:val="left" w:pos="3780"/>
              </w:tabs>
              <w:rPr>
                <w:rFonts w:ascii="宋体" w:hAnsi="宋体" w:eastAsia="宋体" w:cs="宋体"/>
                <w:color w:val="000000" w:themeColor="text1"/>
                <w14:textFill>
                  <w14:solidFill>
                    <w14:schemeClr w14:val="tx1"/>
                  </w14:solidFill>
                </w14:textFill>
              </w:rPr>
            </w:pPr>
          </w:p>
        </w:tc>
        <w:tc>
          <w:tcPr>
            <w:tcW w:w="1888" w:type="dxa"/>
            <w:vMerge w:val="continue"/>
            <w:vAlign w:val="center"/>
          </w:tcPr>
          <w:p w14:paraId="4D790D22">
            <w:pPr>
              <w:tabs>
                <w:tab w:val="left" w:pos="3780"/>
              </w:tabs>
              <w:rPr>
                <w:rFonts w:ascii="宋体" w:hAnsi="宋体" w:eastAsia="宋体" w:cs="宋体"/>
                <w:color w:val="000000" w:themeColor="text1"/>
                <w14:textFill>
                  <w14:solidFill>
                    <w14:schemeClr w14:val="tx1"/>
                  </w14:solidFill>
                </w14:textFill>
              </w:rPr>
            </w:pPr>
          </w:p>
        </w:tc>
        <w:tc>
          <w:tcPr>
            <w:tcW w:w="2891" w:type="dxa"/>
            <w:vMerge w:val="continue"/>
            <w:vAlign w:val="center"/>
          </w:tcPr>
          <w:p w14:paraId="79EA935A">
            <w:pPr>
              <w:tabs>
                <w:tab w:val="left" w:pos="3780"/>
              </w:tabs>
              <w:rPr>
                <w:rFonts w:ascii="宋体" w:hAnsi="宋体" w:eastAsia="宋体" w:cs="宋体"/>
                <w:color w:val="000000" w:themeColor="text1"/>
                <w14:textFill>
                  <w14:solidFill>
                    <w14:schemeClr w14:val="tx1"/>
                  </w14:solidFill>
                </w14:textFill>
              </w:rPr>
            </w:pPr>
          </w:p>
        </w:tc>
      </w:tr>
      <w:tr w14:paraId="77B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C7463F0">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916" w:type="dxa"/>
            <w:vAlign w:val="center"/>
          </w:tcPr>
          <w:p w14:paraId="49454D21">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其他（如有自拟）</w:t>
            </w:r>
          </w:p>
        </w:tc>
        <w:tc>
          <w:tcPr>
            <w:tcW w:w="688" w:type="dxa"/>
            <w:vAlign w:val="center"/>
          </w:tcPr>
          <w:p w14:paraId="41889D67">
            <w:pPr>
              <w:tabs>
                <w:tab w:val="left" w:pos="3780"/>
              </w:tabs>
              <w:rPr>
                <w:rFonts w:ascii="宋体" w:hAnsi="宋体" w:eastAsia="宋体" w:cs="宋体"/>
                <w:color w:val="000000" w:themeColor="text1"/>
                <w14:textFill>
                  <w14:solidFill>
                    <w14:schemeClr w14:val="tx1"/>
                  </w14:solidFill>
                </w14:textFill>
              </w:rPr>
            </w:pPr>
          </w:p>
        </w:tc>
        <w:tc>
          <w:tcPr>
            <w:tcW w:w="963" w:type="dxa"/>
            <w:vAlign w:val="center"/>
          </w:tcPr>
          <w:p w14:paraId="55B6FE9E">
            <w:pPr>
              <w:tabs>
                <w:tab w:val="left" w:pos="3780"/>
              </w:tabs>
              <w:rPr>
                <w:rFonts w:ascii="宋体" w:hAnsi="宋体" w:eastAsia="宋体" w:cs="宋体"/>
                <w:color w:val="000000" w:themeColor="text1"/>
                <w14:textFill>
                  <w14:solidFill>
                    <w14:schemeClr w14:val="tx1"/>
                  </w14:solidFill>
                </w14:textFill>
              </w:rPr>
            </w:pPr>
          </w:p>
        </w:tc>
        <w:tc>
          <w:tcPr>
            <w:tcW w:w="1888" w:type="dxa"/>
            <w:vAlign w:val="center"/>
          </w:tcPr>
          <w:p w14:paraId="5FE9D421">
            <w:pPr>
              <w:tabs>
                <w:tab w:val="left" w:pos="3780"/>
              </w:tabs>
              <w:rPr>
                <w:rFonts w:ascii="宋体" w:hAnsi="宋体" w:eastAsia="宋体" w:cs="宋体"/>
                <w:color w:val="000000" w:themeColor="text1"/>
                <w14:textFill>
                  <w14:solidFill>
                    <w14:schemeClr w14:val="tx1"/>
                  </w14:solidFill>
                </w14:textFill>
              </w:rPr>
            </w:pPr>
          </w:p>
        </w:tc>
        <w:tc>
          <w:tcPr>
            <w:tcW w:w="2891" w:type="dxa"/>
            <w:vAlign w:val="center"/>
          </w:tcPr>
          <w:p w14:paraId="59199D25">
            <w:pPr>
              <w:tabs>
                <w:tab w:val="left" w:pos="3780"/>
              </w:tabs>
              <w:rPr>
                <w:rFonts w:ascii="宋体" w:hAnsi="宋体" w:eastAsia="宋体" w:cs="宋体"/>
                <w:color w:val="000000" w:themeColor="text1"/>
                <w14:textFill>
                  <w14:solidFill>
                    <w14:schemeClr w14:val="tx1"/>
                  </w14:solidFill>
                </w14:textFill>
              </w:rPr>
            </w:pPr>
          </w:p>
        </w:tc>
      </w:tr>
      <w:tr w14:paraId="1DC2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97EDE46">
            <w:pPr>
              <w:tabs>
                <w:tab w:val="left" w:pos="3780"/>
              </w:tabs>
              <w:jc w:val="center"/>
              <w:rPr>
                <w:rFonts w:ascii="宋体" w:hAnsi="宋体" w:eastAsia="宋体" w:cs="宋体"/>
                <w:color w:val="000000" w:themeColor="text1"/>
                <w14:textFill>
                  <w14:solidFill>
                    <w14:schemeClr w14:val="tx1"/>
                  </w14:solidFill>
                </w14:textFill>
              </w:rPr>
            </w:pPr>
          </w:p>
        </w:tc>
        <w:tc>
          <w:tcPr>
            <w:tcW w:w="1916" w:type="dxa"/>
            <w:vAlign w:val="center"/>
          </w:tcPr>
          <w:p w14:paraId="009D7C48">
            <w:pPr>
              <w:tabs>
                <w:tab w:val="left" w:pos="3780"/>
              </w:tabs>
              <w:jc w:val="left"/>
              <w:rPr>
                <w:rFonts w:ascii="宋体" w:hAnsi="宋体" w:eastAsia="宋体" w:cs="宋体"/>
                <w:color w:val="000000" w:themeColor="text1"/>
                <w14:textFill>
                  <w14:solidFill>
                    <w14:schemeClr w14:val="tx1"/>
                  </w14:solidFill>
                </w14:textFill>
              </w:rPr>
            </w:pPr>
          </w:p>
        </w:tc>
        <w:tc>
          <w:tcPr>
            <w:tcW w:w="688" w:type="dxa"/>
            <w:vAlign w:val="center"/>
          </w:tcPr>
          <w:p w14:paraId="385872E7">
            <w:pPr>
              <w:tabs>
                <w:tab w:val="left" w:pos="3780"/>
              </w:tabs>
              <w:jc w:val="center"/>
              <w:rPr>
                <w:rFonts w:ascii="宋体" w:hAnsi="宋体" w:eastAsia="宋体" w:cs="宋体"/>
                <w:color w:val="000000" w:themeColor="text1"/>
                <w14:textFill>
                  <w14:solidFill>
                    <w14:schemeClr w14:val="tx1"/>
                  </w14:solidFill>
                </w14:textFill>
              </w:rPr>
            </w:pPr>
          </w:p>
        </w:tc>
        <w:tc>
          <w:tcPr>
            <w:tcW w:w="963" w:type="dxa"/>
            <w:vAlign w:val="center"/>
          </w:tcPr>
          <w:p w14:paraId="2F6A9F2D">
            <w:pPr>
              <w:tabs>
                <w:tab w:val="left" w:pos="3780"/>
              </w:tabs>
              <w:jc w:val="center"/>
              <w:rPr>
                <w:rFonts w:ascii="宋体" w:hAnsi="宋体" w:eastAsia="宋体" w:cs="宋体"/>
                <w:color w:val="000000" w:themeColor="text1"/>
                <w14:textFill>
                  <w14:solidFill>
                    <w14:schemeClr w14:val="tx1"/>
                  </w14:solidFill>
                </w14:textFill>
              </w:rPr>
            </w:pPr>
          </w:p>
        </w:tc>
        <w:tc>
          <w:tcPr>
            <w:tcW w:w="1888" w:type="dxa"/>
            <w:vAlign w:val="center"/>
          </w:tcPr>
          <w:p w14:paraId="3E9DD0BC">
            <w:pPr>
              <w:tabs>
                <w:tab w:val="left" w:pos="3780"/>
              </w:tabs>
              <w:jc w:val="center"/>
              <w:rPr>
                <w:rFonts w:ascii="宋体" w:hAnsi="宋体" w:eastAsia="宋体" w:cs="宋体"/>
                <w:color w:val="000000" w:themeColor="text1"/>
                <w14:textFill>
                  <w14:solidFill>
                    <w14:schemeClr w14:val="tx1"/>
                  </w14:solidFill>
                </w14:textFill>
              </w:rPr>
            </w:pPr>
          </w:p>
        </w:tc>
        <w:tc>
          <w:tcPr>
            <w:tcW w:w="2891" w:type="dxa"/>
            <w:vAlign w:val="center"/>
          </w:tcPr>
          <w:p w14:paraId="41AE35B9">
            <w:pPr>
              <w:tabs>
                <w:tab w:val="left" w:pos="3780"/>
              </w:tabs>
              <w:jc w:val="center"/>
              <w:rPr>
                <w:rFonts w:ascii="宋体" w:hAnsi="宋体" w:eastAsia="宋体" w:cs="宋体"/>
                <w:color w:val="000000" w:themeColor="text1"/>
                <w14:textFill>
                  <w14:solidFill>
                    <w14:schemeClr w14:val="tx1"/>
                  </w14:solidFill>
                </w14:textFill>
              </w:rPr>
            </w:pPr>
          </w:p>
        </w:tc>
      </w:tr>
      <w:tr w14:paraId="1FBD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14:paraId="3EA27795">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合计报价：</w:t>
            </w:r>
          </w:p>
        </w:tc>
      </w:tr>
      <w:tr w14:paraId="639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14:paraId="17A1BB4F">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投标总报价（合计报价×3年）：</w:t>
            </w:r>
          </w:p>
        </w:tc>
      </w:tr>
    </w:tbl>
    <w:p w14:paraId="680101AF">
      <w:pPr>
        <w:pStyle w:val="26"/>
        <w:tabs>
          <w:tab w:val="left" w:pos="3025"/>
        </w:tabs>
        <w:ind w:firstLine="0"/>
        <w:rPr>
          <w:rFonts w:hAnsi="宋体" w:cs="宋体"/>
          <w:color w:val="000000" w:themeColor="text1"/>
          <w:kern w:val="2"/>
          <w:sz w:val="21"/>
          <w:szCs w:val="21"/>
          <w14:textFill>
            <w14:solidFill>
              <w14:schemeClr w14:val="tx1"/>
            </w14:solidFill>
          </w14:textFill>
        </w:rPr>
      </w:pPr>
    </w:p>
    <w:p w14:paraId="6F2FD2FA">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4F28ADEF">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表中综合单价应自行考虑（1）建设投资费用：根据本项目投入的各类设备、装置、材料及附属设施等的折旧成本及安装调试费用。（2）监测费用：各级管理监测人员的工资、社会保险、奖金、福利费用等；运行电费，燃料费用，各类设备设施维护保养费用等。（3）自行检测费用、应急处置费用、防汛防台等环境保障费用。（4）企业管理费用，利润、税金以及其他与监测相关的各项费用。（5）其他与本次招标相关的一切费用。上述费用均包含在投标报价中。</w:t>
      </w:r>
    </w:p>
    <w:p w14:paraId="0D832361">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投标人（盖章）：</w:t>
      </w:r>
    </w:p>
    <w:p w14:paraId="4CD20B10">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法定代表人（签字或盖章）：                  </w:t>
      </w:r>
    </w:p>
    <w:p w14:paraId="2A005A60">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4269E18B">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23E36E6F">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日期：    年   月   日</w:t>
      </w:r>
    </w:p>
    <w:p w14:paraId="316F30FA">
      <w:pPr>
        <w:autoSpaceDE w:val="0"/>
        <w:autoSpaceDN w:val="0"/>
        <w:adjustRightInd w:val="0"/>
        <w:spacing w:line="360" w:lineRule="auto"/>
        <w:jc w:val="left"/>
        <w:rPr>
          <w:rFonts w:ascii="宋体" w:hAnsi="宋体" w:eastAsia="宋体" w:cs="宋体"/>
          <w:b/>
          <w:bCs/>
          <w:color w:val="000000" w:themeColor="text1"/>
          <w14:textFill>
            <w14:solidFill>
              <w14:schemeClr w14:val="tx1"/>
            </w14:solidFill>
          </w14:textFill>
        </w:rPr>
      </w:pPr>
    </w:p>
    <w:p w14:paraId="1573F1E4">
      <w:pPr>
        <w:autoSpaceDE w:val="0"/>
        <w:autoSpaceDN w:val="0"/>
        <w:adjustRightInd w:val="0"/>
        <w:spacing w:line="360" w:lineRule="auto"/>
        <w:jc w:val="left"/>
        <w:rPr>
          <w:rFonts w:ascii="宋体" w:hAnsi="宋体" w:eastAsia="宋体" w:cs="宋体"/>
          <w:b/>
          <w:bCs/>
          <w:color w:val="000000" w:themeColor="text1"/>
          <w14:textFill>
            <w14:solidFill>
              <w14:schemeClr w14:val="tx1"/>
            </w14:solidFill>
          </w14:textFill>
        </w:rPr>
      </w:pPr>
    </w:p>
    <w:p w14:paraId="4A4D944B">
      <w:pPr>
        <w:rPr>
          <w:rFonts w:ascii="Times New Roman" w:hAnsi="Times New Roman" w:cs="Times New Roman"/>
          <w:b/>
          <w:bCs/>
          <w:color w:val="000000" w:themeColor="text1"/>
          <w:szCs w:val="24"/>
          <w14:textFill>
            <w14:solidFill>
              <w14:schemeClr w14:val="tx1"/>
            </w14:solidFill>
          </w14:textFill>
        </w:rPr>
      </w:pPr>
    </w:p>
    <w:p w14:paraId="54C151F0"/>
    <w:p w14:paraId="4125B1E7">
      <w:pPr>
        <w:snapToGrid w:val="0"/>
        <w:spacing w:before="120" w:line="312" w:lineRule="auto"/>
        <w:ind w:right="-341"/>
        <w:jc w:val="center"/>
        <w:rPr>
          <w:rFonts w:ascii="Times New Roman" w:hAnsi="Times New Roman" w:eastAsia="宋体" w:cs="Times New Roman"/>
          <w:b/>
          <w:sz w:val="32"/>
        </w:rPr>
      </w:pPr>
    </w:p>
    <w:p w14:paraId="44EC5F04">
      <w:pPr>
        <w:snapToGrid w:val="0"/>
        <w:spacing w:before="120" w:line="312" w:lineRule="auto"/>
        <w:ind w:right="-341"/>
        <w:jc w:val="center"/>
        <w:rPr>
          <w:rFonts w:ascii="Times New Roman" w:hAnsi="Times New Roman" w:eastAsia="宋体" w:cs="Times New Roman"/>
          <w:b/>
          <w:sz w:val="32"/>
        </w:rPr>
      </w:pPr>
    </w:p>
    <w:p w14:paraId="71B7C17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w:t>
      </w:r>
      <w:r>
        <w:rPr>
          <w:rFonts w:ascii="Times New Roman" w:hAnsi="Times New Roman" w:eastAsia="宋体" w:cs="Times New Roman"/>
          <w:b/>
          <w:sz w:val="32"/>
        </w:rPr>
        <w:t>、投标函</w:t>
      </w:r>
    </w:p>
    <w:p w14:paraId="3502B7CE">
      <w:pPr>
        <w:snapToGrid w:val="0"/>
        <w:spacing w:line="312" w:lineRule="auto"/>
        <w:ind w:right="-341"/>
        <w:rPr>
          <w:rFonts w:ascii="Times New Roman" w:hAnsi="Times New Roman" w:eastAsia="宋体" w:cs="Times New Roman"/>
          <w:color w:val="0000FF"/>
        </w:rPr>
      </w:pPr>
    </w:p>
    <w:p w14:paraId="315F6A39">
      <w:pPr>
        <w:spacing w:line="360" w:lineRule="auto"/>
        <w:jc w:val="left"/>
        <w:rPr>
          <w:rFonts w:ascii="宋体" w:hAnsi="宋体" w:eastAsia="宋体" w:cs="宋体"/>
          <w:spacing w:val="-4"/>
          <w:szCs w:val="21"/>
        </w:rPr>
      </w:pPr>
      <w:r>
        <w:rPr>
          <w:rFonts w:hint="eastAsia" w:ascii="宋体" w:hAnsi="宋体" w:eastAsia="宋体" w:cs="宋体"/>
          <w:spacing w:val="-4"/>
          <w:szCs w:val="21"/>
        </w:rPr>
        <w:t xml:space="preserve">致： </w:t>
      </w:r>
      <w:r>
        <w:rPr>
          <w:rFonts w:hint="eastAsia" w:ascii="宋体" w:hAnsi="宋体" w:eastAsia="宋体" w:cs="宋体"/>
          <w:szCs w:val="21"/>
          <w:u w:val="single"/>
        </w:rPr>
        <w:t>舟山市定海区住房和城乡建设局</w:t>
      </w:r>
      <w:r>
        <w:rPr>
          <w:rFonts w:hint="eastAsia" w:ascii="宋体" w:hAnsi="宋体" w:eastAsia="宋体" w:cs="宋体"/>
          <w:spacing w:val="-4"/>
          <w:szCs w:val="21"/>
        </w:rPr>
        <w:t xml:space="preserve"> </w:t>
      </w:r>
    </w:p>
    <w:p w14:paraId="01819C7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我方（投标人名称）已详细审查了贵方采购编号为（采购编号）的（项目名称）采购项目的采购文件及其相关补充文件（若有），并正式授权我公司的（被授权人姓名）  以本公司名义，全权代表我方自愿参加上述招标项目的投标，现就有关事项向采购代理机构郑重承诺如下：</w:t>
      </w:r>
    </w:p>
    <w:p w14:paraId="2052D1EE">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1、我方已详细审查了采购文件的全部内容及其相关补充文件（若有），并完全清晰理解全部内容及相关的补充文件（若有），不存在任何误解之处，同意放弃提出异议和质疑的权利。</w:t>
      </w:r>
    </w:p>
    <w:p w14:paraId="14D45DD4">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2、我方遵守《中华人民共和国政府采购法》及相关法律法规的规定。同意采购文件中所提到的无效标条款，并服从有关开标现场的会议纪律。否则，同意被废除投标资格。</w:t>
      </w:r>
    </w:p>
    <w:p w14:paraId="39B93A3E">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3、我方本服务项目所提供的投标服务报价均具充分的合理性和准确性，保证不存在低于成本的恶意报价行为，同时清楚理解到报价最低并非意味着必定获得合同授予资格。</w:t>
      </w:r>
    </w:p>
    <w:p w14:paraId="2296E10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4、投标有效期为自开标之日起90天内，如在投标有效期内撤回投标，我方同意被废除投标资格。</w:t>
      </w:r>
    </w:p>
    <w:p w14:paraId="07E0C81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5、我方承诺参加政府采购活动前3年内在经营活动中没有重大违法记录，依法缴纳了税收和社会保障资金（投标截止时间进行计算）。</w:t>
      </w:r>
    </w:p>
    <w:p w14:paraId="7407C2AA">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6、我方承诺具备本项目履行合同所必需的设备和专业技术能力。</w:t>
      </w:r>
    </w:p>
    <w:p w14:paraId="4251E22D">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E983F59">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8、我方承诺至本项目投标截止时间止未被列入失信被执行人、重大税收违法案件当事人名单、政府采购严重违法失信行为记录。</w:t>
      </w:r>
    </w:p>
    <w:p w14:paraId="67432DAE">
      <w:pPr>
        <w:pStyle w:val="25"/>
        <w:ind w:firstLine="404" w:firstLineChars="200"/>
        <w:rPr>
          <w:rFonts w:ascii="宋体" w:hAnsi="宋体" w:cs="宋体"/>
          <w:szCs w:val="21"/>
        </w:rPr>
      </w:pPr>
      <w:r>
        <w:rPr>
          <w:rFonts w:hint="eastAsia" w:ascii="宋体" w:hAnsi="宋体" w:cs="宋体"/>
          <w:spacing w:val="-4"/>
          <w:szCs w:val="21"/>
        </w:rPr>
        <w:t>9、我方承诺</w:t>
      </w:r>
      <w:r>
        <w:rPr>
          <w:rFonts w:hint="eastAsia" w:ascii="宋体" w:hAnsi="宋体" w:cs="宋体"/>
          <w:szCs w:val="21"/>
        </w:rPr>
        <w:t>具有独立承担民事责任的能力、具有良好的商业信誉和健全的财务会计制度。</w:t>
      </w:r>
    </w:p>
    <w:p w14:paraId="065407DD">
      <w:pPr>
        <w:pStyle w:val="25"/>
        <w:ind w:firstLineChars="200"/>
        <w:rPr>
          <w:rFonts w:ascii="宋体" w:hAnsi="宋体" w:cs="宋体"/>
          <w:szCs w:val="21"/>
        </w:rPr>
      </w:pPr>
      <w:r>
        <w:rPr>
          <w:rFonts w:hint="eastAsia" w:ascii="宋体" w:hAnsi="宋体" w:cs="宋体"/>
          <w:szCs w:val="21"/>
        </w:rPr>
        <w:t>10、</w:t>
      </w:r>
      <w:r>
        <w:rPr>
          <w:rFonts w:hint="eastAsia" w:ascii="宋体" w:hAnsi="宋体" w:cs="宋体"/>
          <w:spacing w:val="-4"/>
          <w:szCs w:val="21"/>
        </w:rPr>
        <w:t>我方承诺满足</w:t>
      </w:r>
      <w:r>
        <w:rPr>
          <w:rFonts w:hint="eastAsia" w:ascii="宋体" w:hAnsi="宋体" w:cs="宋体"/>
          <w:szCs w:val="21"/>
        </w:rPr>
        <w:t>法律、行政法规规定的其他条件。</w:t>
      </w:r>
    </w:p>
    <w:p w14:paraId="1EA4A44E">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投标人名称：                  （加盖公章）    </w:t>
      </w:r>
    </w:p>
    <w:p w14:paraId="6CF23F05">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投标人代表：                  （签字或盖章）        </w:t>
      </w:r>
    </w:p>
    <w:p w14:paraId="320AB030">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投标人地址：                   </w:t>
      </w:r>
    </w:p>
    <w:p w14:paraId="060CD2C4">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日期：    年   月   日</w:t>
      </w:r>
    </w:p>
    <w:p w14:paraId="59A900E7">
      <w:pPr>
        <w:snapToGrid w:val="0"/>
        <w:spacing w:line="360" w:lineRule="auto"/>
        <w:jc w:val="left"/>
        <w:rPr>
          <w:rFonts w:ascii="宋体" w:hAnsi="宋体" w:cs="宋体"/>
          <w:b/>
          <w:bCs/>
          <w:szCs w:val="21"/>
        </w:rPr>
      </w:pPr>
    </w:p>
    <w:p w14:paraId="6B5574B2">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五、声明函</w:t>
      </w:r>
    </w:p>
    <w:p w14:paraId="3FD81CE2">
      <w:pPr>
        <w:spacing w:line="360" w:lineRule="auto"/>
        <w:jc w:val="left"/>
        <w:rPr>
          <w:rFonts w:ascii="宋体" w:hAnsi="宋体" w:eastAsia="宋体" w:cs="宋体"/>
          <w:spacing w:val="-4"/>
          <w:szCs w:val="21"/>
        </w:rPr>
      </w:pPr>
      <w:r>
        <w:rPr>
          <w:rFonts w:ascii="Times New Roman" w:hAnsi="Times New Roman" w:eastAsia="宋体" w:cs="Times New Roman"/>
          <w:spacing w:val="-4"/>
          <w:szCs w:val="21"/>
        </w:rPr>
        <w:t>致：</w:t>
      </w:r>
      <w:r>
        <w:rPr>
          <w:rFonts w:hint="eastAsia" w:ascii="宋体" w:hAnsi="宋体" w:eastAsia="宋体" w:cs="宋体"/>
          <w:spacing w:val="-4"/>
          <w:szCs w:val="21"/>
        </w:rPr>
        <w:t xml:space="preserve"> </w:t>
      </w:r>
      <w:r>
        <w:rPr>
          <w:rFonts w:hint="eastAsia" w:ascii="宋体" w:hAnsi="宋体" w:eastAsia="宋体" w:cs="宋体"/>
          <w:szCs w:val="21"/>
          <w:u w:val="single"/>
        </w:rPr>
        <w:t>舟山市定海区住房和城乡建设局</w:t>
      </w:r>
      <w:r>
        <w:rPr>
          <w:rFonts w:hint="eastAsia" w:ascii="宋体" w:hAnsi="宋体" w:eastAsia="宋体" w:cs="宋体"/>
          <w:spacing w:val="-4"/>
          <w:szCs w:val="21"/>
        </w:rPr>
        <w:t xml:space="preserve"> </w:t>
      </w:r>
    </w:p>
    <w:p w14:paraId="647E886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5AA1411">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特此声明！</w:t>
      </w:r>
    </w:p>
    <w:p w14:paraId="6116CC08">
      <w:pPr>
        <w:spacing w:line="360" w:lineRule="auto"/>
        <w:ind w:right="-341" w:firstLine="404" w:firstLineChars="200"/>
        <w:rPr>
          <w:rFonts w:ascii="Times New Roman" w:hAnsi="Times New Roman" w:eastAsia="宋体" w:cs="Times New Roman"/>
          <w:spacing w:val="-4"/>
          <w:szCs w:val="21"/>
        </w:rPr>
      </w:pPr>
    </w:p>
    <w:p w14:paraId="1980C7AB">
      <w:pPr>
        <w:spacing w:line="360" w:lineRule="auto"/>
        <w:ind w:right="-341" w:firstLine="404" w:firstLineChars="200"/>
        <w:rPr>
          <w:rFonts w:ascii="Times New Roman" w:hAnsi="Times New Roman" w:eastAsia="宋体" w:cs="Times New Roman"/>
          <w:spacing w:val="-4"/>
          <w:szCs w:val="21"/>
        </w:rPr>
      </w:pPr>
    </w:p>
    <w:p w14:paraId="4066A8BC">
      <w:pPr>
        <w:spacing w:line="360" w:lineRule="auto"/>
        <w:ind w:right="-341" w:firstLine="404" w:firstLineChars="200"/>
        <w:rPr>
          <w:rFonts w:ascii="Times New Roman" w:hAnsi="Times New Roman" w:eastAsia="宋体" w:cs="Times New Roman"/>
          <w:spacing w:val="-4"/>
          <w:szCs w:val="21"/>
        </w:rPr>
      </w:pPr>
    </w:p>
    <w:p w14:paraId="4B3F1681">
      <w:pPr>
        <w:spacing w:line="360" w:lineRule="auto"/>
        <w:ind w:right="-341" w:firstLine="404" w:firstLineChars="200"/>
        <w:rPr>
          <w:rFonts w:ascii="Times New Roman" w:hAnsi="Times New Roman" w:eastAsia="宋体" w:cs="Times New Roman"/>
          <w:spacing w:val="-4"/>
          <w:szCs w:val="21"/>
        </w:rPr>
      </w:pPr>
    </w:p>
    <w:p w14:paraId="3EFAF61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投标人名称（盖章）：</w:t>
      </w:r>
    </w:p>
    <w:p w14:paraId="42B221C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日期：</w:t>
      </w:r>
    </w:p>
    <w:p w14:paraId="5C484A15">
      <w:pPr>
        <w:spacing w:line="360" w:lineRule="auto"/>
        <w:ind w:right="-341" w:firstLine="404" w:firstLineChars="200"/>
        <w:rPr>
          <w:rFonts w:ascii="Times New Roman" w:hAnsi="Times New Roman" w:eastAsia="宋体" w:cs="Times New Roman"/>
          <w:spacing w:val="-4"/>
          <w:szCs w:val="21"/>
        </w:rPr>
      </w:pPr>
    </w:p>
    <w:p w14:paraId="57CB3C83">
      <w:pPr>
        <w:spacing w:line="360" w:lineRule="auto"/>
        <w:ind w:right="-341" w:firstLine="404" w:firstLineChars="200"/>
        <w:rPr>
          <w:rFonts w:ascii="Times New Roman" w:hAnsi="Times New Roman" w:eastAsia="宋体" w:cs="Times New Roman"/>
          <w:spacing w:val="-4"/>
          <w:szCs w:val="21"/>
        </w:rPr>
      </w:pPr>
    </w:p>
    <w:p w14:paraId="0E597009">
      <w:pPr>
        <w:spacing w:line="360" w:lineRule="auto"/>
        <w:ind w:right="-341" w:firstLine="404" w:firstLineChars="200"/>
        <w:rPr>
          <w:rFonts w:ascii="Times New Roman" w:hAnsi="Times New Roman" w:eastAsia="宋体" w:cs="Times New Roman"/>
          <w:spacing w:val="-4"/>
          <w:szCs w:val="21"/>
        </w:rPr>
      </w:pPr>
    </w:p>
    <w:p w14:paraId="164F723B">
      <w:pPr>
        <w:spacing w:line="360" w:lineRule="auto"/>
        <w:ind w:right="-341" w:firstLine="404" w:firstLineChars="200"/>
        <w:rPr>
          <w:rFonts w:ascii="Times New Roman" w:hAnsi="Times New Roman" w:eastAsia="宋体" w:cs="Times New Roman"/>
          <w:spacing w:val="-4"/>
          <w:szCs w:val="21"/>
        </w:rPr>
      </w:pPr>
    </w:p>
    <w:p w14:paraId="388D4464">
      <w:pPr>
        <w:spacing w:line="360" w:lineRule="auto"/>
        <w:ind w:right="-341" w:firstLine="404" w:firstLineChars="200"/>
        <w:rPr>
          <w:rFonts w:ascii="Times New Roman" w:hAnsi="Times New Roman" w:eastAsia="宋体" w:cs="Times New Roman"/>
          <w:spacing w:val="-4"/>
          <w:szCs w:val="21"/>
        </w:rPr>
      </w:pPr>
    </w:p>
    <w:p w14:paraId="0B89A3A3">
      <w:pPr>
        <w:spacing w:line="360" w:lineRule="auto"/>
        <w:ind w:right="-341" w:firstLine="404" w:firstLineChars="200"/>
        <w:rPr>
          <w:rFonts w:ascii="Times New Roman" w:hAnsi="Times New Roman" w:eastAsia="宋体" w:cs="Times New Roman"/>
          <w:spacing w:val="-4"/>
          <w:szCs w:val="21"/>
        </w:rPr>
      </w:pPr>
    </w:p>
    <w:p w14:paraId="67DDE4D4">
      <w:pPr>
        <w:spacing w:line="360" w:lineRule="auto"/>
        <w:ind w:right="-341" w:firstLine="404" w:firstLineChars="200"/>
        <w:rPr>
          <w:rFonts w:ascii="Times New Roman" w:hAnsi="Times New Roman" w:eastAsia="宋体" w:cs="Times New Roman"/>
          <w:spacing w:val="-4"/>
          <w:szCs w:val="21"/>
        </w:rPr>
      </w:pPr>
    </w:p>
    <w:p w14:paraId="75589EBF">
      <w:pPr>
        <w:spacing w:line="360" w:lineRule="auto"/>
        <w:ind w:right="-341" w:firstLine="404" w:firstLineChars="200"/>
        <w:rPr>
          <w:rFonts w:ascii="Times New Roman" w:hAnsi="Times New Roman" w:eastAsia="宋体" w:cs="Times New Roman"/>
          <w:spacing w:val="-4"/>
          <w:szCs w:val="21"/>
        </w:rPr>
      </w:pPr>
    </w:p>
    <w:p w14:paraId="172A66AB">
      <w:pPr>
        <w:snapToGrid w:val="0"/>
        <w:spacing w:line="312" w:lineRule="auto"/>
        <w:jc w:val="left"/>
        <w:rPr>
          <w:b/>
          <w:sz w:val="32"/>
        </w:rPr>
      </w:pPr>
    </w:p>
    <w:p w14:paraId="30540329">
      <w:pPr>
        <w:pStyle w:val="25"/>
        <w:ind w:firstLine="321"/>
        <w:rPr>
          <w:b/>
          <w:sz w:val="32"/>
        </w:rPr>
      </w:pPr>
    </w:p>
    <w:p w14:paraId="1BB547FC"/>
    <w:p w14:paraId="5CC57614">
      <w:pPr>
        <w:rPr>
          <w:rFonts w:hint="eastAsia"/>
        </w:rPr>
      </w:pPr>
    </w:p>
    <w:p w14:paraId="006EC155"/>
    <w:p w14:paraId="16F1FB6A">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六、中小企业声明函（服务）</w:t>
      </w:r>
    </w:p>
    <w:p w14:paraId="3602FE90">
      <w:pPr>
        <w:pStyle w:val="26"/>
        <w:ind w:firstLine="0"/>
        <w:rPr>
          <w:rFonts w:ascii="Times New Roman" w:hAnsi="Times New Roman"/>
          <w:kern w:val="2"/>
          <w:sz w:val="21"/>
          <w:szCs w:val="21"/>
        </w:rPr>
      </w:pPr>
    </w:p>
    <w:p w14:paraId="0A8D9B6B">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766C15C9">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1.（标的名称），属于（采购文件中明确的所属行业）行业；制造商为（企业名称），从业人员人，营业收入为万元，资产总额为万元，属于（中型企业、小型企业、微型企业）； </w:t>
      </w:r>
    </w:p>
    <w:p w14:paraId="0CDCE427">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2.（标的名称），属于（采购文件中明确的所属行业）行业；制造商为（企业名称），从业人员人，营业收入为万元，资产总额为万元，属于（中型企业、小型企业、微型企业）； </w:t>
      </w:r>
    </w:p>
    <w:p w14:paraId="2D2AA396">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w:t>
      </w:r>
    </w:p>
    <w:p w14:paraId="40DE6EDE">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以上企业，不属于大企业的分支机构，不存在控股股东为大企业的情形，也不存在与大企业的负责人为同一人的情形。</w:t>
      </w:r>
    </w:p>
    <w:p w14:paraId="5E6F34F9">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本企业对上述声明内容的真实性负责。如有虚假，将依法承担相应责任。 </w:t>
      </w:r>
    </w:p>
    <w:p w14:paraId="76320F73">
      <w:pPr>
        <w:widowControl/>
        <w:spacing w:line="48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企业名称（盖章）： </w:t>
      </w:r>
    </w:p>
    <w:p w14:paraId="712C8551">
      <w:pPr>
        <w:widowControl/>
        <w:spacing w:line="48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日 期： </w:t>
      </w:r>
    </w:p>
    <w:p w14:paraId="3C499F65">
      <w:pPr>
        <w:spacing w:line="360" w:lineRule="auto"/>
        <w:rPr>
          <w:rFonts w:ascii="Times New Roman" w:hAnsi="Times New Roman" w:eastAsia="宋体" w:cs="Times New Roman"/>
          <w:spacing w:val="-4"/>
          <w:szCs w:val="21"/>
        </w:rPr>
      </w:pPr>
      <w:r>
        <w:rPr>
          <w:rFonts w:hint="eastAsia" w:ascii="Times New Roman" w:hAnsi="Times New Roman" w:eastAsia="宋体" w:cs="Times New Roman"/>
          <w:spacing w:val="-4"/>
          <w:szCs w:val="21"/>
        </w:rPr>
        <w:t>注：1.从业人员、营业收入、资产总额填报上一年度数据，无上一年度数据的新成立企业可不填报。</w:t>
      </w:r>
    </w:p>
    <w:p w14:paraId="14DF8A24">
      <w:pPr>
        <w:snapToGrid w:val="0"/>
        <w:spacing w:line="36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2.中标、成交投标人享受《政府采购促进中小企业发展管理办法》（财库[2020]46号）规定的中小企业扶持政策的，《中小企业声明函》随中标、成交结果公开。</w:t>
      </w:r>
    </w:p>
    <w:p w14:paraId="76D5EE43">
      <w:pPr>
        <w:snapToGrid w:val="0"/>
        <w:spacing w:line="36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3.投标人应当按照《政府采购促进中小企业发展管理办法》（财库[2020]46号）规定和《中小企业划型标准规定》（工信部联企业〔2011〕300号），如实填写并提交《中小企业声明函》。投标人对其声明内容的真实性负责，声明函内容不实的，属于提供虚假材料谋取中标、成交，依照《中华人民共和国政府采购法》等国家有关规定追究相应责任。</w:t>
      </w:r>
    </w:p>
    <w:p w14:paraId="2EDBF03D">
      <w:pPr>
        <w:snapToGrid w:val="0"/>
        <w:spacing w:line="360" w:lineRule="auto"/>
        <w:ind w:firstLine="404" w:firstLineChars="200"/>
        <w:rPr>
          <w:rFonts w:ascii="Times New Roman" w:hAnsi="Times New Roman" w:eastAsia="宋体" w:cs="Times New Roman"/>
          <w:spacing w:val="-4"/>
          <w:szCs w:val="21"/>
        </w:rPr>
      </w:pPr>
    </w:p>
    <w:p w14:paraId="59FE5716">
      <w:pPr>
        <w:spacing w:line="360" w:lineRule="auto"/>
        <w:ind w:firstLine="404" w:firstLineChars="200"/>
        <w:rPr>
          <w:rFonts w:ascii="Times New Roman" w:hAnsi="Times New Roman" w:eastAsia="宋体" w:cs="Times New Roman"/>
          <w:spacing w:val="-4"/>
          <w:szCs w:val="21"/>
        </w:rPr>
      </w:pPr>
    </w:p>
    <w:p w14:paraId="20C1BD54">
      <w:pPr>
        <w:snapToGrid w:val="0"/>
        <w:spacing w:line="360" w:lineRule="auto"/>
        <w:ind w:right="-341" w:firstLine="404" w:firstLineChars="200"/>
        <w:jc w:val="left"/>
        <w:rPr>
          <w:rFonts w:ascii="Times New Roman" w:hAnsi="Times New Roman" w:eastAsia="宋体" w:cs="Times New Roman"/>
          <w:spacing w:val="-4"/>
          <w:szCs w:val="21"/>
        </w:rPr>
      </w:pPr>
    </w:p>
    <w:p w14:paraId="03053A19">
      <w:pPr>
        <w:pStyle w:val="24"/>
        <w:jc w:val="center"/>
        <w:rPr>
          <w:spacing w:val="-4"/>
          <w:szCs w:val="21"/>
        </w:rPr>
      </w:pPr>
    </w:p>
    <w:p w14:paraId="56A060B0">
      <w:pPr>
        <w:pStyle w:val="24"/>
        <w:jc w:val="center"/>
        <w:rPr>
          <w:spacing w:val="-4"/>
          <w:szCs w:val="21"/>
        </w:rPr>
      </w:pPr>
    </w:p>
    <w:p w14:paraId="5ECE79C8">
      <w:pPr>
        <w:pStyle w:val="24"/>
        <w:jc w:val="center"/>
        <w:rPr>
          <w:spacing w:val="-4"/>
          <w:szCs w:val="21"/>
        </w:rPr>
      </w:pPr>
      <w:r>
        <w:rPr>
          <w:rFonts w:hint="eastAsia"/>
          <w:spacing w:val="-4"/>
          <w:szCs w:val="21"/>
        </w:rPr>
        <w:t>残疾人福利性单位声明函（服务）</w:t>
      </w:r>
    </w:p>
    <w:p w14:paraId="4A5AEB9A">
      <w:pPr>
        <w:widowControl/>
        <w:spacing w:before="312" w:beforeLines="100" w:line="500" w:lineRule="exact"/>
        <w:ind w:firstLine="601"/>
        <w:rPr>
          <w:rFonts w:ascii="Times New Roman" w:hAnsi="Times New Roman" w:eastAsia="宋体" w:cs="Times New Roman"/>
          <w:spacing w:val="-4"/>
          <w:szCs w:val="21"/>
        </w:rPr>
      </w:pPr>
      <w:r>
        <w:rPr>
          <w:rFonts w:hint="eastAsia" w:ascii="Times New Roman" w:hAnsi="Times New Roman" w:eastAsia="宋体" w:cs="Times New Roman"/>
          <w:spacing w:val="-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7726927">
      <w:pPr>
        <w:widowControl/>
        <w:spacing w:line="500" w:lineRule="exact"/>
        <w:ind w:firstLine="600"/>
        <w:rPr>
          <w:rFonts w:ascii="Times New Roman" w:hAnsi="Times New Roman" w:eastAsia="宋体" w:cs="Times New Roman"/>
          <w:spacing w:val="-4"/>
          <w:szCs w:val="21"/>
        </w:rPr>
      </w:pPr>
      <w:r>
        <w:rPr>
          <w:rFonts w:hint="eastAsia" w:ascii="Times New Roman" w:hAnsi="Times New Roman" w:eastAsia="宋体" w:cs="Times New Roman"/>
          <w:spacing w:val="-4"/>
          <w:szCs w:val="21"/>
        </w:rPr>
        <w:t>本单位对上述声明的真实性负责。如有虚假，将依法承担相应责任。</w:t>
      </w:r>
    </w:p>
    <w:p w14:paraId="004625AF">
      <w:pPr>
        <w:widowControl/>
        <w:spacing w:line="500" w:lineRule="exact"/>
        <w:rPr>
          <w:rFonts w:ascii="Times New Roman" w:hAnsi="Times New Roman" w:eastAsia="宋体" w:cs="Times New Roman"/>
          <w:spacing w:val="-4"/>
          <w:szCs w:val="21"/>
        </w:rPr>
      </w:pPr>
    </w:p>
    <w:p w14:paraId="0573EF0C">
      <w:pPr>
        <w:widowControl/>
        <w:spacing w:line="500" w:lineRule="exact"/>
        <w:ind w:right="1560" w:firstLine="600"/>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单位名称（盖章）：</w:t>
      </w:r>
    </w:p>
    <w:p w14:paraId="14D4E514">
      <w:pPr>
        <w:widowControl/>
        <w:spacing w:line="500" w:lineRule="exact"/>
        <w:ind w:right="1560" w:firstLine="600"/>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       日  期：</w:t>
      </w:r>
    </w:p>
    <w:p w14:paraId="689F8800">
      <w:pPr>
        <w:spacing w:before="312" w:beforeLines="100" w:line="440" w:lineRule="atLeast"/>
        <w:ind w:firstLine="404" w:firstLineChars="200"/>
        <w:rPr>
          <w:rFonts w:ascii="Times New Roman" w:hAnsi="Times New Roman" w:eastAsia="宋体" w:cs="Times New Roman"/>
          <w:spacing w:val="-4"/>
          <w:szCs w:val="21"/>
        </w:rPr>
      </w:pPr>
    </w:p>
    <w:p w14:paraId="1D5B5829">
      <w:pPr>
        <w:spacing w:before="312" w:beforeLines="100" w:line="440" w:lineRule="atLeast"/>
        <w:ind w:firstLine="404" w:firstLineChars="200"/>
        <w:rPr>
          <w:rFonts w:ascii="Times New Roman" w:hAnsi="Times New Roman" w:eastAsia="宋体" w:cs="Times New Roman"/>
          <w:spacing w:val="-4"/>
          <w:szCs w:val="21"/>
        </w:rPr>
      </w:pPr>
    </w:p>
    <w:p w14:paraId="358CE776">
      <w:pPr>
        <w:spacing w:line="360" w:lineRule="auto"/>
        <w:rPr>
          <w:rFonts w:ascii="Times New Roman" w:hAnsi="Times New Roman" w:eastAsia="宋体" w:cs="Times New Roman"/>
          <w:spacing w:val="-4"/>
          <w:szCs w:val="21"/>
        </w:rPr>
      </w:pPr>
      <w:r>
        <w:rPr>
          <w:rFonts w:hint="eastAsia" w:ascii="Times New Roman" w:hAnsi="Times New Roman" w:eastAsia="宋体" w:cs="Times New Roman"/>
          <w:spacing w:val="-4"/>
          <w:szCs w:val="21"/>
        </w:rPr>
        <w:t>注：</w:t>
      </w:r>
    </w:p>
    <w:p w14:paraId="1BCB56FA">
      <w:pPr>
        <w:snapToGrid w:val="0"/>
        <w:spacing w:line="360" w:lineRule="auto"/>
        <w:ind w:firstLine="404" w:firstLineChars="200"/>
        <w:jc w:val="left"/>
        <w:rPr>
          <w:rFonts w:ascii="Times New Roman" w:hAnsi="Times New Roman" w:eastAsia="宋体" w:cs="Times New Roman"/>
          <w:spacing w:val="-4"/>
          <w:szCs w:val="21"/>
        </w:rPr>
      </w:pPr>
      <w:r>
        <w:rPr>
          <w:rFonts w:hint="eastAsia" w:ascii="Times New Roman" w:hAnsi="Times New Roman" w:eastAsia="宋体" w:cs="Times New Roman"/>
          <w:spacing w:val="-4"/>
          <w:szCs w:val="21"/>
        </w:rPr>
        <w:t>1.中标、成交投标人为残疾人福利性单位的，《残疾人福利性单位声明函》随中标、成交结果同时公告，接受社会监督。</w:t>
      </w:r>
    </w:p>
    <w:p w14:paraId="53609784">
      <w:pPr>
        <w:snapToGrid w:val="0"/>
        <w:spacing w:line="360" w:lineRule="auto"/>
        <w:ind w:firstLine="404" w:firstLineChars="200"/>
        <w:jc w:val="left"/>
        <w:rPr>
          <w:rFonts w:ascii="Times New Roman" w:hAnsi="Times New Roman" w:eastAsia="宋体" w:cs="Times New Roman"/>
          <w:spacing w:val="-4"/>
          <w:szCs w:val="21"/>
        </w:rPr>
      </w:pPr>
      <w:r>
        <w:rPr>
          <w:rFonts w:hint="eastAsia" w:ascii="Times New Roman" w:hAnsi="Times New Roman" w:eastAsia="宋体" w:cs="Times New Roman"/>
          <w:spacing w:val="-4"/>
          <w:szCs w:val="21"/>
        </w:rPr>
        <w:t>2.投标人提供的《残疾人福利性单位声明函》与事实不符的，依照《政府采购法》第七十七条第一款的规定追究法律责任。</w:t>
      </w:r>
    </w:p>
    <w:p w14:paraId="6CE553A7">
      <w:pPr>
        <w:widowControl/>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14:paraId="358E6D93">
      <w:pPr>
        <w:pStyle w:val="24"/>
        <w:ind w:firstLine="2424" w:firstLineChars="1200"/>
        <w:rPr>
          <w:spacing w:val="-4"/>
          <w:szCs w:val="21"/>
        </w:rPr>
      </w:pPr>
      <w:r>
        <w:rPr>
          <w:rFonts w:hint="eastAsia"/>
          <w:spacing w:val="-4"/>
          <w:szCs w:val="21"/>
        </w:rPr>
        <w:t>监狱企业声明函（服务）</w:t>
      </w:r>
    </w:p>
    <w:p w14:paraId="4F576313">
      <w:pPr>
        <w:spacing w:line="36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【非监狱企业不用提供】</w:t>
      </w:r>
    </w:p>
    <w:p w14:paraId="278A19A9">
      <w:pPr>
        <w:spacing w:line="360" w:lineRule="auto"/>
        <w:ind w:firstLine="480"/>
        <w:rPr>
          <w:rFonts w:ascii="Times New Roman" w:hAnsi="Times New Roman" w:eastAsia="宋体" w:cs="Times New Roman"/>
          <w:spacing w:val="-4"/>
          <w:szCs w:val="21"/>
        </w:rPr>
      </w:pPr>
    </w:p>
    <w:p w14:paraId="4942D135">
      <w:pPr>
        <w:spacing w:line="360" w:lineRule="auto"/>
        <w:ind w:firstLine="505" w:firstLineChars="250"/>
        <w:rPr>
          <w:rFonts w:ascii="Times New Roman" w:hAnsi="Times New Roman" w:eastAsia="宋体" w:cs="Times New Roman"/>
          <w:spacing w:val="-4"/>
          <w:szCs w:val="21"/>
        </w:rPr>
      </w:pPr>
      <w:r>
        <w:rPr>
          <w:rFonts w:hint="eastAsia" w:ascii="Times New Roman" w:hAnsi="Times New Roman" w:eastAsia="宋体" w:cs="Times New Roman"/>
          <w:spacing w:val="-4"/>
          <w:szCs w:val="21"/>
        </w:rPr>
        <w:t>监狱企业参加政府采购活动时，应当提供由省级以上监狱管理本企业郑重声明，根据《关于政府采购支持监狱企业发展有关问题的通知》（财库[2014]68号）的规定，本企业为监狱企业。</w:t>
      </w:r>
    </w:p>
    <w:p w14:paraId="0093735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根据上述标准，我企业属于监狱企业的理由为：。</w:t>
      </w:r>
    </w:p>
    <w:p w14:paraId="07DB8B45">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本企业为参加（项目名称： ）（项目编号： ）采购活动提供本企业的产品。</w:t>
      </w:r>
    </w:p>
    <w:p w14:paraId="585BE00C">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本企业对上述声明的真实性负责。如有虚假，将依法承担相应责任。</w:t>
      </w:r>
    </w:p>
    <w:p w14:paraId="577334AC">
      <w:pPr>
        <w:spacing w:line="360" w:lineRule="auto"/>
        <w:ind w:firstLine="480"/>
        <w:rPr>
          <w:rFonts w:ascii="Times New Roman" w:hAnsi="Times New Roman" w:eastAsia="宋体" w:cs="Times New Roman"/>
          <w:spacing w:val="-4"/>
          <w:szCs w:val="21"/>
        </w:rPr>
      </w:pPr>
    </w:p>
    <w:p w14:paraId="4B24134F">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投标人名称（盖章）：</w:t>
      </w:r>
    </w:p>
    <w:p w14:paraId="351E6423">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日期： 年 月 日</w:t>
      </w:r>
    </w:p>
    <w:p w14:paraId="46BE5398">
      <w:pPr>
        <w:spacing w:line="360" w:lineRule="auto"/>
        <w:ind w:firstLine="480"/>
        <w:rPr>
          <w:rFonts w:ascii="Times New Roman" w:hAnsi="Times New Roman" w:eastAsia="宋体" w:cs="Times New Roman"/>
          <w:spacing w:val="-4"/>
          <w:szCs w:val="21"/>
        </w:rPr>
      </w:pPr>
    </w:p>
    <w:p w14:paraId="13C0FB19">
      <w:pPr>
        <w:spacing w:line="360" w:lineRule="auto"/>
        <w:ind w:firstLine="480"/>
        <w:rPr>
          <w:rFonts w:ascii="Times New Roman" w:hAnsi="Times New Roman" w:eastAsia="宋体" w:cs="Times New Roman"/>
          <w:spacing w:val="-4"/>
          <w:szCs w:val="21"/>
        </w:rPr>
      </w:pPr>
    </w:p>
    <w:p w14:paraId="15E47437">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投标人为监狱企业的提供此函。</w:t>
      </w:r>
    </w:p>
    <w:p w14:paraId="2141761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局、戒毒管理局（含新疆生产建设兵团）出具的属于监狱企业的证明文件。</w:t>
      </w:r>
    </w:p>
    <w:p w14:paraId="6AB41ED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97B8DE">
      <w:pPr>
        <w:rPr>
          <w:rFonts w:asciiTheme="minorEastAsia" w:hAnsiTheme="minorEastAsia"/>
          <w:b/>
          <w:sz w:val="32"/>
        </w:rPr>
      </w:pPr>
    </w:p>
    <w:p w14:paraId="42840695">
      <w:pPr>
        <w:widowControl/>
        <w:jc w:val="left"/>
        <w:rPr>
          <w:rFonts w:ascii="宋体" w:hAnsi="宋体" w:cs="宋体"/>
          <w:b/>
          <w:bCs/>
          <w:szCs w:val="21"/>
        </w:rPr>
      </w:pPr>
      <w:r>
        <w:rPr>
          <w:rFonts w:ascii="宋体" w:hAnsi="宋体" w:cs="宋体"/>
          <w:b/>
          <w:bCs/>
          <w:szCs w:val="21"/>
        </w:rPr>
        <w:br w:type="page"/>
      </w:r>
    </w:p>
    <w:p w14:paraId="1488A480">
      <w:pPr>
        <w:adjustRightInd w:val="0"/>
        <w:snapToGrid w:val="0"/>
        <w:spacing w:line="360" w:lineRule="auto"/>
        <w:jc w:val="center"/>
        <w:rPr>
          <w:rFonts w:ascii="宋体" w:hAnsi="宋体" w:eastAsia="宋体" w:cs="宋体"/>
          <w:b/>
          <w:sz w:val="30"/>
          <w:szCs w:val="30"/>
        </w:rPr>
      </w:pPr>
      <w:r>
        <w:rPr>
          <w:rFonts w:hint="eastAsia" w:ascii="宋体" w:hAnsi="宋体" w:eastAsia="宋体" w:cs="宋体"/>
          <w:b/>
          <w:sz w:val="30"/>
          <w:szCs w:val="30"/>
        </w:rPr>
        <w:t>七、拟派本项目人员配备表</w:t>
      </w:r>
    </w:p>
    <w:p w14:paraId="14BFBD13">
      <w:pPr>
        <w:adjustRightInd w:val="0"/>
        <w:snapToGrid w:val="0"/>
        <w:spacing w:line="360" w:lineRule="auto"/>
        <w:ind w:left="240"/>
        <w:jc w:val="center"/>
        <w:rPr>
          <w:rFonts w:ascii="宋体" w:hAnsi="宋体" w:eastAsia="宋体" w:cs="宋体"/>
          <w:b/>
          <w:szCs w:val="21"/>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34"/>
        <w:gridCol w:w="1701"/>
        <w:gridCol w:w="1701"/>
        <w:gridCol w:w="2268"/>
      </w:tblGrid>
      <w:tr w14:paraId="2FEF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D9F505">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418" w:type="dxa"/>
          </w:tcPr>
          <w:p w14:paraId="2EDB97EE">
            <w:pPr>
              <w:spacing w:line="360" w:lineRule="auto"/>
              <w:jc w:val="center"/>
              <w:rPr>
                <w:rFonts w:ascii="宋体" w:hAnsi="宋体" w:eastAsia="宋体" w:cs="宋体"/>
                <w:szCs w:val="21"/>
              </w:rPr>
            </w:pPr>
            <w:r>
              <w:rPr>
                <w:rFonts w:hint="eastAsia" w:ascii="宋体" w:hAnsi="宋体" w:eastAsia="宋体" w:cs="宋体"/>
                <w:szCs w:val="21"/>
              </w:rPr>
              <w:t>姓名</w:t>
            </w:r>
          </w:p>
        </w:tc>
        <w:tc>
          <w:tcPr>
            <w:tcW w:w="1134" w:type="dxa"/>
          </w:tcPr>
          <w:p w14:paraId="2B5DAFE5">
            <w:pPr>
              <w:spacing w:line="360" w:lineRule="auto"/>
              <w:jc w:val="center"/>
              <w:rPr>
                <w:rFonts w:ascii="宋体" w:hAnsi="宋体" w:eastAsia="宋体" w:cs="宋体"/>
                <w:szCs w:val="21"/>
              </w:rPr>
            </w:pPr>
            <w:r>
              <w:rPr>
                <w:rFonts w:hint="eastAsia" w:ascii="宋体" w:hAnsi="宋体" w:eastAsia="宋体" w:cs="宋体"/>
                <w:szCs w:val="21"/>
              </w:rPr>
              <w:t>年龄</w:t>
            </w:r>
          </w:p>
        </w:tc>
        <w:tc>
          <w:tcPr>
            <w:tcW w:w="1701" w:type="dxa"/>
            <w:vAlign w:val="center"/>
          </w:tcPr>
          <w:p w14:paraId="4A270EEE">
            <w:pPr>
              <w:spacing w:line="360" w:lineRule="auto"/>
              <w:jc w:val="center"/>
              <w:rPr>
                <w:rFonts w:ascii="宋体" w:hAnsi="宋体" w:eastAsia="宋体" w:cs="宋体"/>
                <w:szCs w:val="21"/>
              </w:rPr>
            </w:pPr>
            <w:r>
              <w:rPr>
                <w:rFonts w:hint="eastAsia" w:ascii="宋体" w:hAnsi="宋体" w:eastAsia="宋体" w:cs="宋体"/>
                <w:szCs w:val="21"/>
              </w:rPr>
              <w:t>拟任岗位</w:t>
            </w:r>
          </w:p>
        </w:tc>
        <w:tc>
          <w:tcPr>
            <w:tcW w:w="1701" w:type="dxa"/>
            <w:vAlign w:val="center"/>
          </w:tcPr>
          <w:p w14:paraId="00B9D2D5">
            <w:pPr>
              <w:spacing w:line="360" w:lineRule="auto"/>
              <w:jc w:val="center"/>
              <w:rPr>
                <w:rFonts w:ascii="宋体" w:hAnsi="宋体" w:eastAsia="宋体" w:cs="宋体"/>
                <w:szCs w:val="21"/>
              </w:rPr>
            </w:pPr>
            <w:r>
              <w:rPr>
                <w:rFonts w:hint="eastAsia" w:ascii="宋体" w:hAnsi="宋体" w:eastAsia="宋体" w:cs="宋体"/>
                <w:szCs w:val="21"/>
              </w:rPr>
              <w:t>证书名称</w:t>
            </w:r>
          </w:p>
        </w:tc>
        <w:tc>
          <w:tcPr>
            <w:tcW w:w="2268" w:type="dxa"/>
            <w:vAlign w:val="center"/>
          </w:tcPr>
          <w:p w14:paraId="4A48E6B0">
            <w:pPr>
              <w:spacing w:line="360" w:lineRule="auto"/>
              <w:jc w:val="center"/>
              <w:rPr>
                <w:rFonts w:ascii="宋体" w:hAnsi="宋体" w:eastAsia="宋体" w:cs="宋体"/>
                <w:szCs w:val="21"/>
              </w:rPr>
            </w:pPr>
            <w:r>
              <w:rPr>
                <w:rFonts w:hint="eastAsia" w:ascii="宋体" w:hAnsi="宋体" w:eastAsia="宋体" w:cs="宋体"/>
                <w:szCs w:val="21"/>
              </w:rPr>
              <w:t>主要资历、经验及业绩</w:t>
            </w:r>
          </w:p>
        </w:tc>
      </w:tr>
      <w:tr w14:paraId="345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01D2A7E">
            <w:pPr>
              <w:spacing w:line="360" w:lineRule="auto"/>
              <w:jc w:val="center"/>
              <w:rPr>
                <w:rFonts w:ascii="宋体" w:hAnsi="宋体" w:eastAsia="宋体" w:cs="宋体"/>
                <w:szCs w:val="21"/>
              </w:rPr>
            </w:pPr>
          </w:p>
        </w:tc>
        <w:tc>
          <w:tcPr>
            <w:tcW w:w="1418" w:type="dxa"/>
          </w:tcPr>
          <w:p w14:paraId="74BE8C8C">
            <w:pPr>
              <w:spacing w:line="360" w:lineRule="auto"/>
              <w:jc w:val="center"/>
              <w:rPr>
                <w:rFonts w:ascii="宋体" w:hAnsi="宋体" w:eastAsia="宋体" w:cs="宋体"/>
                <w:szCs w:val="21"/>
              </w:rPr>
            </w:pPr>
          </w:p>
        </w:tc>
        <w:tc>
          <w:tcPr>
            <w:tcW w:w="1134" w:type="dxa"/>
          </w:tcPr>
          <w:p w14:paraId="1929D5E8">
            <w:pPr>
              <w:spacing w:line="360" w:lineRule="auto"/>
              <w:jc w:val="center"/>
              <w:rPr>
                <w:rFonts w:ascii="宋体" w:hAnsi="宋体" w:eastAsia="宋体" w:cs="宋体"/>
                <w:szCs w:val="21"/>
              </w:rPr>
            </w:pPr>
          </w:p>
        </w:tc>
        <w:tc>
          <w:tcPr>
            <w:tcW w:w="1701" w:type="dxa"/>
            <w:vAlign w:val="center"/>
          </w:tcPr>
          <w:p w14:paraId="7180C53C">
            <w:pPr>
              <w:spacing w:line="360" w:lineRule="auto"/>
              <w:jc w:val="center"/>
              <w:rPr>
                <w:rFonts w:ascii="宋体" w:hAnsi="宋体" w:eastAsia="宋体" w:cs="宋体"/>
                <w:szCs w:val="21"/>
              </w:rPr>
            </w:pPr>
          </w:p>
        </w:tc>
        <w:tc>
          <w:tcPr>
            <w:tcW w:w="1701" w:type="dxa"/>
            <w:vAlign w:val="center"/>
          </w:tcPr>
          <w:p w14:paraId="1E0D572B">
            <w:pPr>
              <w:spacing w:line="360" w:lineRule="auto"/>
              <w:jc w:val="center"/>
              <w:rPr>
                <w:rFonts w:ascii="宋体" w:hAnsi="宋体" w:eastAsia="宋体" w:cs="宋体"/>
                <w:szCs w:val="21"/>
              </w:rPr>
            </w:pPr>
          </w:p>
        </w:tc>
        <w:tc>
          <w:tcPr>
            <w:tcW w:w="2268" w:type="dxa"/>
            <w:vAlign w:val="center"/>
          </w:tcPr>
          <w:p w14:paraId="13F0FE2D">
            <w:pPr>
              <w:spacing w:line="360" w:lineRule="auto"/>
              <w:jc w:val="center"/>
              <w:rPr>
                <w:rFonts w:ascii="宋体" w:hAnsi="宋体" w:eastAsia="宋体" w:cs="宋体"/>
                <w:szCs w:val="21"/>
              </w:rPr>
            </w:pPr>
          </w:p>
        </w:tc>
      </w:tr>
      <w:tr w14:paraId="6C51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D5D2F73">
            <w:pPr>
              <w:spacing w:line="360" w:lineRule="auto"/>
              <w:jc w:val="center"/>
              <w:rPr>
                <w:rFonts w:ascii="宋体" w:hAnsi="宋体" w:eastAsia="宋体" w:cs="宋体"/>
                <w:szCs w:val="21"/>
              </w:rPr>
            </w:pPr>
          </w:p>
        </w:tc>
        <w:tc>
          <w:tcPr>
            <w:tcW w:w="1418" w:type="dxa"/>
          </w:tcPr>
          <w:p w14:paraId="7AFA1E9D">
            <w:pPr>
              <w:spacing w:line="360" w:lineRule="auto"/>
              <w:jc w:val="center"/>
              <w:rPr>
                <w:rFonts w:ascii="宋体" w:hAnsi="宋体" w:eastAsia="宋体" w:cs="宋体"/>
                <w:szCs w:val="21"/>
              </w:rPr>
            </w:pPr>
          </w:p>
        </w:tc>
        <w:tc>
          <w:tcPr>
            <w:tcW w:w="1134" w:type="dxa"/>
          </w:tcPr>
          <w:p w14:paraId="7E92FD1A">
            <w:pPr>
              <w:spacing w:line="360" w:lineRule="auto"/>
              <w:jc w:val="center"/>
              <w:rPr>
                <w:rFonts w:ascii="宋体" w:hAnsi="宋体" w:eastAsia="宋体" w:cs="宋体"/>
                <w:szCs w:val="21"/>
              </w:rPr>
            </w:pPr>
          </w:p>
        </w:tc>
        <w:tc>
          <w:tcPr>
            <w:tcW w:w="1701" w:type="dxa"/>
            <w:vAlign w:val="center"/>
          </w:tcPr>
          <w:p w14:paraId="00C40F28">
            <w:pPr>
              <w:spacing w:line="360" w:lineRule="auto"/>
              <w:jc w:val="center"/>
              <w:rPr>
                <w:rFonts w:ascii="宋体" w:hAnsi="宋体" w:eastAsia="宋体" w:cs="宋体"/>
                <w:szCs w:val="21"/>
              </w:rPr>
            </w:pPr>
          </w:p>
        </w:tc>
        <w:tc>
          <w:tcPr>
            <w:tcW w:w="1701" w:type="dxa"/>
            <w:vAlign w:val="center"/>
          </w:tcPr>
          <w:p w14:paraId="7400D2E4">
            <w:pPr>
              <w:spacing w:line="360" w:lineRule="auto"/>
              <w:jc w:val="center"/>
              <w:rPr>
                <w:rFonts w:ascii="宋体" w:hAnsi="宋体" w:eastAsia="宋体" w:cs="宋体"/>
                <w:szCs w:val="21"/>
              </w:rPr>
            </w:pPr>
          </w:p>
        </w:tc>
        <w:tc>
          <w:tcPr>
            <w:tcW w:w="2268" w:type="dxa"/>
            <w:vAlign w:val="center"/>
          </w:tcPr>
          <w:p w14:paraId="49EC4680">
            <w:pPr>
              <w:spacing w:line="360" w:lineRule="auto"/>
              <w:jc w:val="center"/>
              <w:rPr>
                <w:rFonts w:ascii="宋体" w:hAnsi="宋体" w:eastAsia="宋体" w:cs="宋体"/>
                <w:szCs w:val="21"/>
              </w:rPr>
            </w:pPr>
          </w:p>
        </w:tc>
      </w:tr>
      <w:tr w14:paraId="189D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6908EEF">
            <w:pPr>
              <w:spacing w:line="360" w:lineRule="auto"/>
              <w:jc w:val="center"/>
              <w:rPr>
                <w:rFonts w:ascii="宋体" w:hAnsi="宋体" w:eastAsia="宋体" w:cs="宋体"/>
                <w:szCs w:val="21"/>
              </w:rPr>
            </w:pPr>
          </w:p>
        </w:tc>
        <w:tc>
          <w:tcPr>
            <w:tcW w:w="1418" w:type="dxa"/>
          </w:tcPr>
          <w:p w14:paraId="373A6C20">
            <w:pPr>
              <w:spacing w:line="360" w:lineRule="auto"/>
              <w:jc w:val="center"/>
              <w:rPr>
                <w:rFonts w:ascii="宋体" w:hAnsi="宋体" w:eastAsia="宋体" w:cs="宋体"/>
                <w:szCs w:val="21"/>
              </w:rPr>
            </w:pPr>
          </w:p>
        </w:tc>
        <w:tc>
          <w:tcPr>
            <w:tcW w:w="1134" w:type="dxa"/>
          </w:tcPr>
          <w:p w14:paraId="6D1B87B0">
            <w:pPr>
              <w:spacing w:line="360" w:lineRule="auto"/>
              <w:jc w:val="center"/>
              <w:rPr>
                <w:rFonts w:ascii="宋体" w:hAnsi="宋体" w:eastAsia="宋体" w:cs="宋体"/>
                <w:szCs w:val="21"/>
              </w:rPr>
            </w:pPr>
          </w:p>
        </w:tc>
        <w:tc>
          <w:tcPr>
            <w:tcW w:w="1701" w:type="dxa"/>
            <w:vAlign w:val="center"/>
          </w:tcPr>
          <w:p w14:paraId="5B187280">
            <w:pPr>
              <w:spacing w:line="360" w:lineRule="auto"/>
              <w:jc w:val="center"/>
              <w:rPr>
                <w:rFonts w:ascii="宋体" w:hAnsi="宋体" w:eastAsia="宋体" w:cs="宋体"/>
                <w:szCs w:val="21"/>
              </w:rPr>
            </w:pPr>
          </w:p>
        </w:tc>
        <w:tc>
          <w:tcPr>
            <w:tcW w:w="1701" w:type="dxa"/>
            <w:vAlign w:val="center"/>
          </w:tcPr>
          <w:p w14:paraId="2C209223">
            <w:pPr>
              <w:spacing w:line="360" w:lineRule="auto"/>
              <w:jc w:val="center"/>
              <w:rPr>
                <w:rFonts w:ascii="宋体" w:hAnsi="宋体" w:eastAsia="宋体" w:cs="宋体"/>
                <w:szCs w:val="21"/>
              </w:rPr>
            </w:pPr>
          </w:p>
        </w:tc>
        <w:tc>
          <w:tcPr>
            <w:tcW w:w="2268" w:type="dxa"/>
            <w:vAlign w:val="center"/>
          </w:tcPr>
          <w:p w14:paraId="2A07C9D4">
            <w:pPr>
              <w:spacing w:line="360" w:lineRule="auto"/>
              <w:jc w:val="center"/>
              <w:rPr>
                <w:rFonts w:ascii="宋体" w:hAnsi="宋体" w:eastAsia="宋体" w:cs="宋体"/>
                <w:szCs w:val="21"/>
              </w:rPr>
            </w:pPr>
          </w:p>
        </w:tc>
      </w:tr>
      <w:tr w14:paraId="7BA0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E3B0D0">
            <w:pPr>
              <w:spacing w:line="360" w:lineRule="auto"/>
              <w:jc w:val="center"/>
              <w:rPr>
                <w:rFonts w:ascii="宋体" w:hAnsi="宋体" w:eastAsia="宋体" w:cs="宋体"/>
                <w:szCs w:val="21"/>
              </w:rPr>
            </w:pPr>
          </w:p>
        </w:tc>
        <w:tc>
          <w:tcPr>
            <w:tcW w:w="1418" w:type="dxa"/>
          </w:tcPr>
          <w:p w14:paraId="36AEF251">
            <w:pPr>
              <w:spacing w:line="360" w:lineRule="auto"/>
              <w:jc w:val="center"/>
              <w:rPr>
                <w:rFonts w:ascii="宋体" w:hAnsi="宋体" w:eastAsia="宋体" w:cs="宋体"/>
                <w:szCs w:val="21"/>
              </w:rPr>
            </w:pPr>
          </w:p>
        </w:tc>
        <w:tc>
          <w:tcPr>
            <w:tcW w:w="1134" w:type="dxa"/>
          </w:tcPr>
          <w:p w14:paraId="5D28E5ED">
            <w:pPr>
              <w:spacing w:line="360" w:lineRule="auto"/>
              <w:jc w:val="center"/>
              <w:rPr>
                <w:rFonts w:ascii="宋体" w:hAnsi="宋体" w:eastAsia="宋体" w:cs="宋体"/>
                <w:szCs w:val="21"/>
              </w:rPr>
            </w:pPr>
          </w:p>
        </w:tc>
        <w:tc>
          <w:tcPr>
            <w:tcW w:w="1701" w:type="dxa"/>
            <w:vAlign w:val="center"/>
          </w:tcPr>
          <w:p w14:paraId="7BEA5F0F">
            <w:pPr>
              <w:spacing w:line="360" w:lineRule="auto"/>
              <w:jc w:val="center"/>
              <w:rPr>
                <w:rFonts w:ascii="宋体" w:hAnsi="宋体" w:eastAsia="宋体" w:cs="宋体"/>
                <w:szCs w:val="21"/>
              </w:rPr>
            </w:pPr>
          </w:p>
        </w:tc>
        <w:tc>
          <w:tcPr>
            <w:tcW w:w="1701" w:type="dxa"/>
            <w:vAlign w:val="center"/>
          </w:tcPr>
          <w:p w14:paraId="333BD648">
            <w:pPr>
              <w:spacing w:line="360" w:lineRule="auto"/>
              <w:jc w:val="center"/>
              <w:rPr>
                <w:rFonts w:ascii="宋体" w:hAnsi="宋体" w:eastAsia="宋体" w:cs="宋体"/>
                <w:szCs w:val="21"/>
              </w:rPr>
            </w:pPr>
          </w:p>
        </w:tc>
        <w:tc>
          <w:tcPr>
            <w:tcW w:w="2268" w:type="dxa"/>
            <w:vAlign w:val="center"/>
          </w:tcPr>
          <w:p w14:paraId="6AEA0663">
            <w:pPr>
              <w:spacing w:line="360" w:lineRule="auto"/>
              <w:jc w:val="center"/>
              <w:rPr>
                <w:rFonts w:ascii="宋体" w:hAnsi="宋体" w:eastAsia="宋体" w:cs="宋体"/>
                <w:szCs w:val="21"/>
              </w:rPr>
            </w:pPr>
          </w:p>
        </w:tc>
      </w:tr>
      <w:tr w14:paraId="21C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73BDA29">
            <w:pPr>
              <w:spacing w:line="360" w:lineRule="auto"/>
              <w:jc w:val="center"/>
              <w:rPr>
                <w:rFonts w:ascii="宋体" w:hAnsi="宋体" w:eastAsia="宋体" w:cs="宋体"/>
                <w:szCs w:val="21"/>
              </w:rPr>
            </w:pPr>
          </w:p>
        </w:tc>
        <w:tc>
          <w:tcPr>
            <w:tcW w:w="1418" w:type="dxa"/>
          </w:tcPr>
          <w:p w14:paraId="11B6D9CE">
            <w:pPr>
              <w:spacing w:line="360" w:lineRule="auto"/>
              <w:jc w:val="center"/>
              <w:rPr>
                <w:rFonts w:ascii="宋体" w:hAnsi="宋体" w:eastAsia="宋体" w:cs="宋体"/>
                <w:szCs w:val="21"/>
              </w:rPr>
            </w:pPr>
          </w:p>
        </w:tc>
        <w:tc>
          <w:tcPr>
            <w:tcW w:w="1134" w:type="dxa"/>
          </w:tcPr>
          <w:p w14:paraId="46BDDA8F">
            <w:pPr>
              <w:spacing w:line="360" w:lineRule="auto"/>
              <w:jc w:val="center"/>
              <w:rPr>
                <w:rFonts w:ascii="宋体" w:hAnsi="宋体" w:eastAsia="宋体" w:cs="宋体"/>
                <w:szCs w:val="21"/>
              </w:rPr>
            </w:pPr>
          </w:p>
        </w:tc>
        <w:tc>
          <w:tcPr>
            <w:tcW w:w="1701" w:type="dxa"/>
            <w:vAlign w:val="center"/>
          </w:tcPr>
          <w:p w14:paraId="54AB1103">
            <w:pPr>
              <w:spacing w:line="360" w:lineRule="auto"/>
              <w:jc w:val="center"/>
              <w:rPr>
                <w:rFonts w:ascii="宋体" w:hAnsi="宋体" w:eastAsia="宋体" w:cs="宋体"/>
                <w:szCs w:val="21"/>
              </w:rPr>
            </w:pPr>
          </w:p>
        </w:tc>
        <w:tc>
          <w:tcPr>
            <w:tcW w:w="1701" w:type="dxa"/>
            <w:vAlign w:val="center"/>
          </w:tcPr>
          <w:p w14:paraId="31789D96">
            <w:pPr>
              <w:spacing w:line="360" w:lineRule="auto"/>
              <w:jc w:val="center"/>
              <w:rPr>
                <w:rFonts w:ascii="宋体" w:hAnsi="宋体" w:eastAsia="宋体" w:cs="宋体"/>
                <w:szCs w:val="21"/>
              </w:rPr>
            </w:pPr>
          </w:p>
        </w:tc>
        <w:tc>
          <w:tcPr>
            <w:tcW w:w="2268" w:type="dxa"/>
            <w:vAlign w:val="center"/>
          </w:tcPr>
          <w:p w14:paraId="68607AB4">
            <w:pPr>
              <w:spacing w:line="360" w:lineRule="auto"/>
              <w:jc w:val="center"/>
              <w:rPr>
                <w:rFonts w:ascii="宋体" w:hAnsi="宋体" w:eastAsia="宋体" w:cs="宋体"/>
                <w:szCs w:val="21"/>
              </w:rPr>
            </w:pPr>
          </w:p>
        </w:tc>
      </w:tr>
      <w:tr w14:paraId="29B1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4F14A68">
            <w:pPr>
              <w:spacing w:line="360" w:lineRule="auto"/>
              <w:jc w:val="center"/>
              <w:rPr>
                <w:rFonts w:ascii="宋体" w:hAnsi="宋体" w:eastAsia="宋体" w:cs="宋体"/>
                <w:szCs w:val="21"/>
              </w:rPr>
            </w:pPr>
          </w:p>
        </w:tc>
        <w:tc>
          <w:tcPr>
            <w:tcW w:w="1418" w:type="dxa"/>
          </w:tcPr>
          <w:p w14:paraId="6CE68F9C">
            <w:pPr>
              <w:spacing w:line="360" w:lineRule="auto"/>
              <w:jc w:val="center"/>
              <w:rPr>
                <w:rFonts w:ascii="宋体" w:hAnsi="宋体" w:eastAsia="宋体" w:cs="宋体"/>
                <w:szCs w:val="21"/>
              </w:rPr>
            </w:pPr>
          </w:p>
        </w:tc>
        <w:tc>
          <w:tcPr>
            <w:tcW w:w="1134" w:type="dxa"/>
          </w:tcPr>
          <w:p w14:paraId="3FCEEAEB">
            <w:pPr>
              <w:spacing w:line="360" w:lineRule="auto"/>
              <w:jc w:val="center"/>
              <w:rPr>
                <w:rFonts w:ascii="宋体" w:hAnsi="宋体" w:eastAsia="宋体" w:cs="宋体"/>
                <w:szCs w:val="21"/>
              </w:rPr>
            </w:pPr>
          </w:p>
        </w:tc>
        <w:tc>
          <w:tcPr>
            <w:tcW w:w="1701" w:type="dxa"/>
            <w:vAlign w:val="center"/>
          </w:tcPr>
          <w:p w14:paraId="1EDA7A85">
            <w:pPr>
              <w:spacing w:line="360" w:lineRule="auto"/>
              <w:jc w:val="center"/>
              <w:rPr>
                <w:rFonts w:ascii="宋体" w:hAnsi="宋体" w:eastAsia="宋体" w:cs="宋体"/>
                <w:szCs w:val="21"/>
              </w:rPr>
            </w:pPr>
          </w:p>
        </w:tc>
        <w:tc>
          <w:tcPr>
            <w:tcW w:w="1701" w:type="dxa"/>
            <w:vAlign w:val="center"/>
          </w:tcPr>
          <w:p w14:paraId="1653BE94">
            <w:pPr>
              <w:spacing w:line="360" w:lineRule="auto"/>
              <w:jc w:val="center"/>
              <w:rPr>
                <w:rFonts w:ascii="宋体" w:hAnsi="宋体" w:eastAsia="宋体" w:cs="宋体"/>
                <w:szCs w:val="21"/>
              </w:rPr>
            </w:pPr>
          </w:p>
        </w:tc>
        <w:tc>
          <w:tcPr>
            <w:tcW w:w="2268" w:type="dxa"/>
            <w:vAlign w:val="center"/>
          </w:tcPr>
          <w:p w14:paraId="7BBE4D33">
            <w:pPr>
              <w:spacing w:line="360" w:lineRule="auto"/>
              <w:jc w:val="center"/>
              <w:rPr>
                <w:rFonts w:ascii="宋体" w:hAnsi="宋体" w:eastAsia="宋体" w:cs="宋体"/>
                <w:szCs w:val="21"/>
              </w:rPr>
            </w:pPr>
          </w:p>
        </w:tc>
      </w:tr>
      <w:tr w14:paraId="1B9B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36F8CAE">
            <w:pPr>
              <w:spacing w:line="360" w:lineRule="auto"/>
              <w:jc w:val="center"/>
              <w:rPr>
                <w:rFonts w:ascii="宋体" w:hAnsi="宋体" w:eastAsia="宋体" w:cs="宋体"/>
                <w:szCs w:val="21"/>
              </w:rPr>
            </w:pPr>
          </w:p>
        </w:tc>
        <w:tc>
          <w:tcPr>
            <w:tcW w:w="1418" w:type="dxa"/>
          </w:tcPr>
          <w:p w14:paraId="74027060">
            <w:pPr>
              <w:spacing w:line="360" w:lineRule="auto"/>
              <w:jc w:val="center"/>
              <w:rPr>
                <w:rFonts w:ascii="宋体" w:hAnsi="宋体" w:eastAsia="宋体" w:cs="宋体"/>
                <w:szCs w:val="21"/>
              </w:rPr>
            </w:pPr>
          </w:p>
        </w:tc>
        <w:tc>
          <w:tcPr>
            <w:tcW w:w="1134" w:type="dxa"/>
          </w:tcPr>
          <w:p w14:paraId="6F7A9AEF">
            <w:pPr>
              <w:spacing w:line="360" w:lineRule="auto"/>
              <w:jc w:val="center"/>
              <w:rPr>
                <w:rFonts w:ascii="宋体" w:hAnsi="宋体" w:eastAsia="宋体" w:cs="宋体"/>
                <w:szCs w:val="21"/>
              </w:rPr>
            </w:pPr>
          </w:p>
        </w:tc>
        <w:tc>
          <w:tcPr>
            <w:tcW w:w="1701" w:type="dxa"/>
            <w:vAlign w:val="center"/>
          </w:tcPr>
          <w:p w14:paraId="3D94373D">
            <w:pPr>
              <w:spacing w:line="360" w:lineRule="auto"/>
              <w:jc w:val="center"/>
              <w:rPr>
                <w:rFonts w:ascii="宋体" w:hAnsi="宋体" w:eastAsia="宋体" w:cs="宋体"/>
                <w:szCs w:val="21"/>
              </w:rPr>
            </w:pPr>
          </w:p>
        </w:tc>
        <w:tc>
          <w:tcPr>
            <w:tcW w:w="1701" w:type="dxa"/>
            <w:vAlign w:val="center"/>
          </w:tcPr>
          <w:p w14:paraId="449542A1">
            <w:pPr>
              <w:spacing w:line="360" w:lineRule="auto"/>
              <w:jc w:val="center"/>
              <w:rPr>
                <w:rFonts w:ascii="宋体" w:hAnsi="宋体" w:eastAsia="宋体" w:cs="宋体"/>
                <w:szCs w:val="21"/>
              </w:rPr>
            </w:pPr>
          </w:p>
        </w:tc>
        <w:tc>
          <w:tcPr>
            <w:tcW w:w="2268" w:type="dxa"/>
            <w:vAlign w:val="center"/>
          </w:tcPr>
          <w:p w14:paraId="62E14A13">
            <w:pPr>
              <w:spacing w:line="360" w:lineRule="auto"/>
              <w:jc w:val="center"/>
              <w:rPr>
                <w:rFonts w:ascii="宋体" w:hAnsi="宋体" w:eastAsia="宋体" w:cs="宋体"/>
                <w:szCs w:val="21"/>
              </w:rPr>
            </w:pPr>
          </w:p>
        </w:tc>
      </w:tr>
      <w:tr w14:paraId="715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0572A8F">
            <w:pPr>
              <w:spacing w:line="360" w:lineRule="auto"/>
              <w:jc w:val="center"/>
              <w:rPr>
                <w:rFonts w:ascii="宋体" w:hAnsi="宋体" w:eastAsia="宋体" w:cs="宋体"/>
                <w:szCs w:val="21"/>
              </w:rPr>
            </w:pPr>
          </w:p>
        </w:tc>
        <w:tc>
          <w:tcPr>
            <w:tcW w:w="1418" w:type="dxa"/>
          </w:tcPr>
          <w:p w14:paraId="54F334F7">
            <w:pPr>
              <w:spacing w:line="360" w:lineRule="auto"/>
              <w:jc w:val="center"/>
              <w:rPr>
                <w:rFonts w:ascii="宋体" w:hAnsi="宋体" w:eastAsia="宋体" w:cs="宋体"/>
                <w:szCs w:val="21"/>
              </w:rPr>
            </w:pPr>
          </w:p>
        </w:tc>
        <w:tc>
          <w:tcPr>
            <w:tcW w:w="1134" w:type="dxa"/>
          </w:tcPr>
          <w:p w14:paraId="00FF2429">
            <w:pPr>
              <w:spacing w:line="360" w:lineRule="auto"/>
              <w:jc w:val="center"/>
              <w:rPr>
                <w:rFonts w:ascii="宋体" w:hAnsi="宋体" w:eastAsia="宋体" w:cs="宋体"/>
                <w:szCs w:val="21"/>
              </w:rPr>
            </w:pPr>
          </w:p>
        </w:tc>
        <w:tc>
          <w:tcPr>
            <w:tcW w:w="1701" w:type="dxa"/>
            <w:vAlign w:val="center"/>
          </w:tcPr>
          <w:p w14:paraId="2BF6C0CE">
            <w:pPr>
              <w:spacing w:line="360" w:lineRule="auto"/>
              <w:jc w:val="center"/>
              <w:rPr>
                <w:rFonts w:ascii="宋体" w:hAnsi="宋体" w:eastAsia="宋体" w:cs="宋体"/>
                <w:szCs w:val="21"/>
              </w:rPr>
            </w:pPr>
          </w:p>
        </w:tc>
        <w:tc>
          <w:tcPr>
            <w:tcW w:w="1701" w:type="dxa"/>
            <w:vAlign w:val="center"/>
          </w:tcPr>
          <w:p w14:paraId="7A05B3BA">
            <w:pPr>
              <w:spacing w:line="360" w:lineRule="auto"/>
              <w:jc w:val="center"/>
              <w:rPr>
                <w:rFonts w:ascii="宋体" w:hAnsi="宋体" w:eastAsia="宋体" w:cs="宋体"/>
                <w:szCs w:val="21"/>
              </w:rPr>
            </w:pPr>
          </w:p>
        </w:tc>
        <w:tc>
          <w:tcPr>
            <w:tcW w:w="2268" w:type="dxa"/>
            <w:vAlign w:val="center"/>
          </w:tcPr>
          <w:p w14:paraId="052022EA">
            <w:pPr>
              <w:spacing w:line="360" w:lineRule="auto"/>
              <w:jc w:val="center"/>
              <w:rPr>
                <w:rFonts w:ascii="宋体" w:hAnsi="宋体" w:eastAsia="宋体" w:cs="宋体"/>
                <w:szCs w:val="21"/>
              </w:rPr>
            </w:pPr>
          </w:p>
        </w:tc>
      </w:tr>
      <w:tr w14:paraId="22D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5DE76D">
            <w:pPr>
              <w:spacing w:line="360" w:lineRule="auto"/>
              <w:jc w:val="center"/>
              <w:rPr>
                <w:rFonts w:ascii="宋体" w:hAnsi="宋体" w:eastAsia="宋体" w:cs="宋体"/>
                <w:szCs w:val="21"/>
              </w:rPr>
            </w:pPr>
          </w:p>
        </w:tc>
        <w:tc>
          <w:tcPr>
            <w:tcW w:w="1418" w:type="dxa"/>
          </w:tcPr>
          <w:p w14:paraId="2F25D900">
            <w:pPr>
              <w:spacing w:line="360" w:lineRule="auto"/>
              <w:jc w:val="center"/>
              <w:rPr>
                <w:rFonts w:ascii="宋体" w:hAnsi="宋体" w:eastAsia="宋体" w:cs="宋体"/>
                <w:szCs w:val="21"/>
              </w:rPr>
            </w:pPr>
          </w:p>
        </w:tc>
        <w:tc>
          <w:tcPr>
            <w:tcW w:w="1134" w:type="dxa"/>
          </w:tcPr>
          <w:p w14:paraId="32B731D2">
            <w:pPr>
              <w:spacing w:line="360" w:lineRule="auto"/>
              <w:jc w:val="center"/>
              <w:rPr>
                <w:rFonts w:ascii="宋体" w:hAnsi="宋体" w:eastAsia="宋体" w:cs="宋体"/>
                <w:szCs w:val="21"/>
              </w:rPr>
            </w:pPr>
          </w:p>
        </w:tc>
        <w:tc>
          <w:tcPr>
            <w:tcW w:w="1701" w:type="dxa"/>
            <w:vAlign w:val="center"/>
          </w:tcPr>
          <w:p w14:paraId="1C3B5F78">
            <w:pPr>
              <w:spacing w:line="360" w:lineRule="auto"/>
              <w:jc w:val="center"/>
              <w:rPr>
                <w:rFonts w:ascii="宋体" w:hAnsi="宋体" w:eastAsia="宋体" w:cs="宋体"/>
                <w:szCs w:val="21"/>
              </w:rPr>
            </w:pPr>
          </w:p>
        </w:tc>
        <w:tc>
          <w:tcPr>
            <w:tcW w:w="1701" w:type="dxa"/>
            <w:vAlign w:val="center"/>
          </w:tcPr>
          <w:p w14:paraId="3D21B0D3">
            <w:pPr>
              <w:spacing w:line="360" w:lineRule="auto"/>
              <w:jc w:val="center"/>
              <w:rPr>
                <w:rFonts w:ascii="宋体" w:hAnsi="宋体" w:eastAsia="宋体" w:cs="宋体"/>
                <w:szCs w:val="21"/>
              </w:rPr>
            </w:pPr>
          </w:p>
        </w:tc>
        <w:tc>
          <w:tcPr>
            <w:tcW w:w="2268" w:type="dxa"/>
            <w:vAlign w:val="center"/>
          </w:tcPr>
          <w:p w14:paraId="4A0FBBCF">
            <w:pPr>
              <w:spacing w:line="360" w:lineRule="auto"/>
              <w:jc w:val="center"/>
              <w:rPr>
                <w:rFonts w:ascii="宋体" w:hAnsi="宋体" w:eastAsia="宋体" w:cs="宋体"/>
                <w:szCs w:val="21"/>
              </w:rPr>
            </w:pPr>
          </w:p>
        </w:tc>
      </w:tr>
      <w:tr w14:paraId="7E4E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6A68E3D">
            <w:pPr>
              <w:spacing w:line="360" w:lineRule="auto"/>
              <w:jc w:val="center"/>
              <w:rPr>
                <w:rFonts w:ascii="宋体" w:hAnsi="宋体" w:eastAsia="宋体" w:cs="宋体"/>
                <w:szCs w:val="21"/>
              </w:rPr>
            </w:pPr>
          </w:p>
        </w:tc>
        <w:tc>
          <w:tcPr>
            <w:tcW w:w="1418" w:type="dxa"/>
          </w:tcPr>
          <w:p w14:paraId="623A19B2">
            <w:pPr>
              <w:spacing w:line="360" w:lineRule="auto"/>
              <w:jc w:val="center"/>
              <w:rPr>
                <w:rFonts w:ascii="宋体" w:hAnsi="宋体" w:eastAsia="宋体" w:cs="宋体"/>
                <w:szCs w:val="21"/>
              </w:rPr>
            </w:pPr>
          </w:p>
        </w:tc>
        <w:tc>
          <w:tcPr>
            <w:tcW w:w="1134" w:type="dxa"/>
          </w:tcPr>
          <w:p w14:paraId="41CF2E5F">
            <w:pPr>
              <w:spacing w:line="360" w:lineRule="auto"/>
              <w:jc w:val="center"/>
              <w:rPr>
                <w:rFonts w:ascii="宋体" w:hAnsi="宋体" w:eastAsia="宋体" w:cs="宋体"/>
                <w:szCs w:val="21"/>
              </w:rPr>
            </w:pPr>
          </w:p>
        </w:tc>
        <w:tc>
          <w:tcPr>
            <w:tcW w:w="1701" w:type="dxa"/>
            <w:vAlign w:val="center"/>
          </w:tcPr>
          <w:p w14:paraId="4AB2062C">
            <w:pPr>
              <w:spacing w:line="360" w:lineRule="auto"/>
              <w:jc w:val="center"/>
              <w:rPr>
                <w:rFonts w:ascii="宋体" w:hAnsi="宋体" w:eastAsia="宋体" w:cs="宋体"/>
                <w:szCs w:val="21"/>
              </w:rPr>
            </w:pPr>
          </w:p>
        </w:tc>
        <w:tc>
          <w:tcPr>
            <w:tcW w:w="1701" w:type="dxa"/>
            <w:vAlign w:val="center"/>
          </w:tcPr>
          <w:p w14:paraId="3B48B8A7">
            <w:pPr>
              <w:spacing w:line="360" w:lineRule="auto"/>
              <w:jc w:val="center"/>
              <w:rPr>
                <w:rFonts w:ascii="宋体" w:hAnsi="宋体" w:eastAsia="宋体" w:cs="宋体"/>
                <w:szCs w:val="21"/>
              </w:rPr>
            </w:pPr>
          </w:p>
        </w:tc>
        <w:tc>
          <w:tcPr>
            <w:tcW w:w="2268" w:type="dxa"/>
            <w:vAlign w:val="center"/>
          </w:tcPr>
          <w:p w14:paraId="6A8A6B6E">
            <w:pPr>
              <w:spacing w:line="360" w:lineRule="auto"/>
              <w:jc w:val="center"/>
              <w:rPr>
                <w:rFonts w:ascii="宋体" w:hAnsi="宋体" w:eastAsia="宋体" w:cs="宋体"/>
                <w:szCs w:val="21"/>
              </w:rPr>
            </w:pPr>
          </w:p>
        </w:tc>
      </w:tr>
      <w:tr w14:paraId="0CB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3AE905C">
            <w:pPr>
              <w:spacing w:line="360" w:lineRule="auto"/>
              <w:jc w:val="center"/>
              <w:rPr>
                <w:rFonts w:ascii="宋体" w:hAnsi="宋体" w:eastAsia="宋体" w:cs="宋体"/>
                <w:szCs w:val="21"/>
              </w:rPr>
            </w:pPr>
          </w:p>
        </w:tc>
        <w:tc>
          <w:tcPr>
            <w:tcW w:w="1418" w:type="dxa"/>
          </w:tcPr>
          <w:p w14:paraId="6DA222E5">
            <w:pPr>
              <w:spacing w:line="360" w:lineRule="auto"/>
              <w:jc w:val="center"/>
              <w:rPr>
                <w:rFonts w:ascii="宋体" w:hAnsi="宋体" w:eastAsia="宋体" w:cs="宋体"/>
                <w:szCs w:val="21"/>
              </w:rPr>
            </w:pPr>
          </w:p>
        </w:tc>
        <w:tc>
          <w:tcPr>
            <w:tcW w:w="1134" w:type="dxa"/>
          </w:tcPr>
          <w:p w14:paraId="0F5CA481">
            <w:pPr>
              <w:spacing w:line="360" w:lineRule="auto"/>
              <w:jc w:val="center"/>
              <w:rPr>
                <w:rFonts w:ascii="宋体" w:hAnsi="宋体" w:eastAsia="宋体" w:cs="宋体"/>
                <w:szCs w:val="21"/>
              </w:rPr>
            </w:pPr>
          </w:p>
        </w:tc>
        <w:tc>
          <w:tcPr>
            <w:tcW w:w="1701" w:type="dxa"/>
            <w:vAlign w:val="center"/>
          </w:tcPr>
          <w:p w14:paraId="7F3B7F23">
            <w:pPr>
              <w:spacing w:line="360" w:lineRule="auto"/>
              <w:jc w:val="center"/>
              <w:rPr>
                <w:rFonts w:ascii="宋体" w:hAnsi="宋体" w:eastAsia="宋体" w:cs="宋体"/>
                <w:szCs w:val="21"/>
              </w:rPr>
            </w:pPr>
          </w:p>
        </w:tc>
        <w:tc>
          <w:tcPr>
            <w:tcW w:w="1701" w:type="dxa"/>
            <w:vAlign w:val="center"/>
          </w:tcPr>
          <w:p w14:paraId="16AF5F0A">
            <w:pPr>
              <w:spacing w:line="360" w:lineRule="auto"/>
              <w:jc w:val="center"/>
              <w:rPr>
                <w:rFonts w:ascii="宋体" w:hAnsi="宋体" w:eastAsia="宋体" w:cs="宋体"/>
                <w:szCs w:val="21"/>
              </w:rPr>
            </w:pPr>
          </w:p>
        </w:tc>
        <w:tc>
          <w:tcPr>
            <w:tcW w:w="2268" w:type="dxa"/>
            <w:vAlign w:val="center"/>
          </w:tcPr>
          <w:p w14:paraId="486C608E">
            <w:pPr>
              <w:spacing w:line="360" w:lineRule="auto"/>
              <w:jc w:val="center"/>
              <w:rPr>
                <w:rFonts w:ascii="宋体" w:hAnsi="宋体" w:eastAsia="宋体" w:cs="宋体"/>
                <w:szCs w:val="21"/>
              </w:rPr>
            </w:pPr>
          </w:p>
        </w:tc>
      </w:tr>
      <w:tr w14:paraId="2C79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06D75BB">
            <w:pPr>
              <w:spacing w:line="360" w:lineRule="auto"/>
              <w:jc w:val="center"/>
              <w:rPr>
                <w:rFonts w:ascii="宋体" w:hAnsi="宋体" w:eastAsia="宋体" w:cs="宋体"/>
                <w:szCs w:val="21"/>
              </w:rPr>
            </w:pPr>
          </w:p>
        </w:tc>
        <w:tc>
          <w:tcPr>
            <w:tcW w:w="1418" w:type="dxa"/>
          </w:tcPr>
          <w:p w14:paraId="69BCC74A">
            <w:pPr>
              <w:spacing w:line="360" w:lineRule="auto"/>
              <w:jc w:val="center"/>
              <w:rPr>
                <w:rFonts w:ascii="宋体" w:hAnsi="宋体" w:eastAsia="宋体" w:cs="宋体"/>
                <w:szCs w:val="21"/>
              </w:rPr>
            </w:pPr>
          </w:p>
        </w:tc>
        <w:tc>
          <w:tcPr>
            <w:tcW w:w="1134" w:type="dxa"/>
          </w:tcPr>
          <w:p w14:paraId="24BE7F29">
            <w:pPr>
              <w:spacing w:line="360" w:lineRule="auto"/>
              <w:jc w:val="center"/>
              <w:rPr>
                <w:rFonts w:ascii="宋体" w:hAnsi="宋体" w:eastAsia="宋体" w:cs="宋体"/>
                <w:szCs w:val="21"/>
              </w:rPr>
            </w:pPr>
          </w:p>
        </w:tc>
        <w:tc>
          <w:tcPr>
            <w:tcW w:w="1701" w:type="dxa"/>
            <w:vAlign w:val="center"/>
          </w:tcPr>
          <w:p w14:paraId="63A98298">
            <w:pPr>
              <w:spacing w:line="360" w:lineRule="auto"/>
              <w:jc w:val="center"/>
              <w:rPr>
                <w:rFonts w:ascii="宋体" w:hAnsi="宋体" w:eastAsia="宋体" w:cs="宋体"/>
                <w:szCs w:val="21"/>
              </w:rPr>
            </w:pPr>
          </w:p>
        </w:tc>
        <w:tc>
          <w:tcPr>
            <w:tcW w:w="1701" w:type="dxa"/>
            <w:vAlign w:val="center"/>
          </w:tcPr>
          <w:p w14:paraId="38E781E4">
            <w:pPr>
              <w:spacing w:line="360" w:lineRule="auto"/>
              <w:jc w:val="center"/>
              <w:rPr>
                <w:rFonts w:ascii="宋体" w:hAnsi="宋体" w:eastAsia="宋体" w:cs="宋体"/>
                <w:szCs w:val="21"/>
              </w:rPr>
            </w:pPr>
          </w:p>
        </w:tc>
        <w:tc>
          <w:tcPr>
            <w:tcW w:w="2268" w:type="dxa"/>
            <w:vAlign w:val="center"/>
          </w:tcPr>
          <w:p w14:paraId="4599F564">
            <w:pPr>
              <w:spacing w:line="360" w:lineRule="auto"/>
              <w:jc w:val="center"/>
              <w:rPr>
                <w:rFonts w:ascii="宋体" w:hAnsi="宋体" w:eastAsia="宋体" w:cs="宋体"/>
                <w:szCs w:val="21"/>
              </w:rPr>
            </w:pPr>
          </w:p>
        </w:tc>
      </w:tr>
    </w:tbl>
    <w:p w14:paraId="0D08D263">
      <w:pPr>
        <w:adjustRightInd w:val="0"/>
        <w:snapToGrid w:val="0"/>
        <w:spacing w:line="360" w:lineRule="auto"/>
        <w:jc w:val="left"/>
        <w:rPr>
          <w:rFonts w:ascii="宋体" w:hAnsi="宋体" w:eastAsia="宋体" w:cs="宋体"/>
          <w:b/>
          <w:bCs/>
          <w:szCs w:val="21"/>
        </w:rPr>
      </w:pPr>
      <w:r>
        <w:rPr>
          <w:rFonts w:hint="eastAsia" w:ascii="宋体" w:hAnsi="宋体" w:eastAsia="宋体" w:cs="宋体"/>
          <w:szCs w:val="21"/>
        </w:rPr>
        <w:t>注：上述人员相关证书等证明资料后附，详见</w:t>
      </w:r>
      <w:r>
        <w:rPr>
          <w:rFonts w:hint="eastAsia" w:ascii="宋体" w:hAnsi="宋体" w:eastAsia="宋体" w:cs="宋体"/>
          <w:b/>
          <w:bCs/>
          <w:szCs w:val="21"/>
        </w:rPr>
        <w:t>采购需求相关要求</w:t>
      </w:r>
      <w:r>
        <w:rPr>
          <w:rFonts w:hint="eastAsia" w:ascii="宋体" w:hAnsi="宋体" w:eastAsia="宋体" w:cs="宋体"/>
          <w:szCs w:val="21"/>
        </w:rPr>
        <w:t>及商务技术评分标准。</w:t>
      </w:r>
    </w:p>
    <w:p w14:paraId="614ADC81">
      <w:pPr>
        <w:adjustRightInd w:val="0"/>
        <w:snapToGrid w:val="0"/>
        <w:spacing w:line="360" w:lineRule="auto"/>
        <w:ind w:firstLine="5040" w:firstLineChars="2400"/>
        <w:rPr>
          <w:rFonts w:ascii="宋体" w:hAnsi="宋体" w:eastAsia="宋体" w:cs="宋体"/>
          <w:szCs w:val="21"/>
        </w:rPr>
      </w:pPr>
    </w:p>
    <w:p w14:paraId="1F013ECC">
      <w:pPr>
        <w:adjustRightInd w:val="0"/>
        <w:snapToGrid w:val="0"/>
        <w:spacing w:line="360" w:lineRule="auto"/>
        <w:ind w:firstLine="5040" w:firstLineChars="2400"/>
        <w:rPr>
          <w:rFonts w:ascii="宋体" w:hAnsi="宋体" w:eastAsia="宋体" w:cs="宋体"/>
          <w:szCs w:val="21"/>
        </w:rPr>
      </w:pPr>
    </w:p>
    <w:p w14:paraId="779AABF9">
      <w:pPr>
        <w:adjustRightInd w:val="0"/>
        <w:snapToGrid w:val="0"/>
        <w:spacing w:line="360" w:lineRule="auto"/>
        <w:jc w:val="left"/>
        <w:rPr>
          <w:rFonts w:ascii="宋体" w:hAnsi="宋体" w:eastAsia="宋体" w:cs="宋体"/>
          <w:szCs w:val="21"/>
        </w:rPr>
      </w:pPr>
    </w:p>
    <w:p w14:paraId="401FD6D1">
      <w:pPr>
        <w:adjustRightInd w:val="0"/>
        <w:snapToGrid w:val="0"/>
        <w:spacing w:line="400" w:lineRule="exact"/>
        <w:jc w:val="left"/>
        <w:rPr>
          <w:rFonts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0E418B71">
      <w:pPr>
        <w:spacing w:line="400" w:lineRule="exact"/>
        <w:jc w:val="left"/>
        <w:rPr>
          <w:rFonts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43C55D6B">
      <w:pPr>
        <w:adjustRightInd w:val="0"/>
        <w:snapToGrid w:val="0"/>
        <w:spacing w:line="400" w:lineRule="exact"/>
        <w:jc w:val="left"/>
        <w:rPr>
          <w:rFonts w:ascii="宋体" w:hAnsi="宋体" w:eastAsia="宋体" w:cs="宋体"/>
          <w:b/>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20AA3330">
      <w:pPr>
        <w:tabs>
          <w:tab w:val="center" w:pos="4535"/>
          <w:tab w:val="left" w:pos="6390"/>
        </w:tabs>
        <w:spacing w:line="480" w:lineRule="auto"/>
        <w:ind w:firstLine="315" w:firstLineChars="150"/>
        <w:rPr>
          <w:rFonts w:ascii="宋体" w:hAnsi="宋体" w:eastAsia="宋体" w:cs="宋体"/>
          <w:szCs w:val="21"/>
        </w:rPr>
      </w:pPr>
    </w:p>
    <w:p w14:paraId="1B5EED68">
      <w:pPr>
        <w:rPr>
          <w:rFonts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 xml:space="preserve"> </w:t>
      </w:r>
    </w:p>
    <w:p w14:paraId="09BEF6E3">
      <w:pPr>
        <w:pStyle w:val="24"/>
        <w:rPr>
          <w:rFonts w:ascii="宋体" w:hAnsi="宋体" w:cs="宋体"/>
          <w:b/>
          <w:bCs/>
          <w:sz w:val="24"/>
        </w:rPr>
      </w:pPr>
    </w:p>
    <w:p w14:paraId="100B28F6">
      <w:pPr>
        <w:adjustRightInd w:val="0"/>
        <w:snapToGrid w:val="0"/>
        <w:spacing w:line="360" w:lineRule="auto"/>
        <w:jc w:val="center"/>
        <w:rPr>
          <w:rFonts w:ascii="宋体" w:hAnsi="宋体" w:eastAsia="宋体" w:cs="宋体"/>
          <w:b/>
          <w:sz w:val="30"/>
          <w:szCs w:val="30"/>
        </w:rPr>
      </w:pPr>
      <w:r>
        <w:rPr>
          <w:rFonts w:hint="eastAsia" w:ascii="宋体" w:hAnsi="宋体" w:eastAsia="宋体" w:cs="宋体"/>
          <w:b/>
          <w:sz w:val="30"/>
          <w:szCs w:val="30"/>
        </w:rPr>
        <w:t>八、拟投入本项目设备配置表</w:t>
      </w:r>
    </w:p>
    <w:p w14:paraId="7EDFF5AC">
      <w:pPr>
        <w:adjustRightInd w:val="0"/>
        <w:snapToGrid w:val="0"/>
        <w:spacing w:line="360" w:lineRule="auto"/>
        <w:ind w:left="240"/>
        <w:rPr>
          <w:rFonts w:ascii="宋体" w:hAnsi="宋体" w:eastAsia="宋体" w:cs="宋体"/>
          <w:b/>
        </w:rPr>
      </w:pPr>
    </w:p>
    <w:tbl>
      <w:tblPr>
        <w:tblStyle w:val="6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40"/>
        <w:gridCol w:w="1440"/>
        <w:gridCol w:w="1980"/>
        <w:gridCol w:w="1080"/>
      </w:tblGrid>
      <w:tr w14:paraId="147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3856651">
            <w:pPr>
              <w:adjustRightInd w:val="0"/>
              <w:snapToGrid w:val="0"/>
              <w:jc w:val="center"/>
              <w:rPr>
                <w:rFonts w:ascii="宋体" w:hAnsi="宋体" w:eastAsia="宋体" w:cs="宋体"/>
                <w:b/>
                <w:szCs w:val="21"/>
              </w:rPr>
            </w:pPr>
            <w:r>
              <w:rPr>
                <w:rFonts w:hint="eastAsia" w:ascii="宋体" w:hAnsi="宋体" w:eastAsia="宋体" w:cs="宋体"/>
                <w:b/>
                <w:szCs w:val="21"/>
              </w:rPr>
              <w:t>序号</w:t>
            </w:r>
          </w:p>
        </w:tc>
        <w:tc>
          <w:tcPr>
            <w:tcW w:w="4140" w:type="dxa"/>
            <w:vAlign w:val="center"/>
          </w:tcPr>
          <w:p w14:paraId="50F660D8">
            <w:pPr>
              <w:adjustRightInd w:val="0"/>
              <w:snapToGrid w:val="0"/>
              <w:jc w:val="center"/>
              <w:rPr>
                <w:rFonts w:ascii="宋体" w:hAnsi="宋体" w:eastAsia="宋体" w:cs="宋体"/>
                <w:b/>
                <w:szCs w:val="21"/>
              </w:rPr>
            </w:pPr>
            <w:r>
              <w:rPr>
                <w:rFonts w:hint="eastAsia" w:ascii="宋体" w:hAnsi="宋体" w:eastAsia="宋体" w:cs="宋体"/>
                <w:b/>
                <w:szCs w:val="21"/>
              </w:rPr>
              <w:t>名称</w:t>
            </w:r>
          </w:p>
        </w:tc>
        <w:tc>
          <w:tcPr>
            <w:tcW w:w="1440" w:type="dxa"/>
            <w:vAlign w:val="center"/>
          </w:tcPr>
          <w:p w14:paraId="6FD1C9F2">
            <w:pPr>
              <w:adjustRightInd w:val="0"/>
              <w:snapToGrid w:val="0"/>
              <w:jc w:val="center"/>
              <w:rPr>
                <w:rFonts w:ascii="宋体" w:hAnsi="宋体" w:eastAsia="宋体" w:cs="宋体"/>
                <w:b/>
                <w:szCs w:val="21"/>
              </w:rPr>
            </w:pPr>
            <w:r>
              <w:rPr>
                <w:rFonts w:hint="eastAsia" w:ascii="宋体" w:hAnsi="宋体" w:eastAsia="宋体" w:cs="宋体"/>
                <w:b/>
                <w:szCs w:val="21"/>
              </w:rPr>
              <w:t>数量</w:t>
            </w:r>
          </w:p>
        </w:tc>
        <w:tc>
          <w:tcPr>
            <w:tcW w:w="1980" w:type="dxa"/>
            <w:vAlign w:val="center"/>
          </w:tcPr>
          <w:p w14:paraId="6658C2C7">
            <w:pPr>
              <w:adjustRightInd w:val="0"/>
              <w:snapToGrid w:val="0"/>
              <w:jc w:val="center"/>
              <w:rPr>
                <w:rFonts w:ascii="宋体" w:hAnsi="宋体" w:eastAsia="宋体" w:cs="宋体"/>
                <w:b/>
                <w:szCs w:val="21"/>
              </w:rPr>
            </w:pPr>
            <w:r>
              <w:rPr>
                <w:rFonts w:hint="eastAsia" w:ascii="宋体" w:hAnsi="宋体" w:eastAsia="宋体" w:cs="宋体"/>
                <w:b/>
                <w:szCs w:val="21"/>
              </w:rPr>
              <w:t>品牌及型号规格</w:t>
            </w:r>
          </w:p>
        </w:tc>
        <w:tc>
          <w:tcPr>
            <w:tcW w:w="1080" w:type="dxa"/>
            <w:vAlign w:val="center"/>
          </w:tcPr>
          <w:p w14:paraId="187B5CF2">
            <w:pPr>
              <w:adjustRightInd w:val="0"/>
              <w:snapToGrid w:val="0"/>
              <w:jc w:val="center"/>
              <w:rPr>
                <w:rFonts w:ascii="宋体" w:hAnsi="宋体" w:eastAsia="宋体" w:cs="宋体"/>
                <w:b/>
                <w:szCs w:val="21"/>
              </w:rPr>
            </w:pPr>
            <w:r>
              <w:rPr>
                <w:rFonts w:hint="eastAsia" w:ascii="宋体" w:hAnsi="宋体" w:eastAsia="宋体" w:cs="宋体"/>
                <w:b/>
                <w:szCs w:val="21"/>
              </w:rPr>
              <w:t>备注</w:t>
            </w:r>
          </w:p>
        </w:tc>
      </w:tr>
      <w:tr w14:paraId="7F47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1D1A248">
            <w:pPr>
              <w:adjustRightInd w:val="0"/>
              <w:snapToGrid w:val="0"/>
              <w:jc w:val="center"/>
              <w:rPr>
                <w:rFonts w:ascii="宋体" w:hAnsi="宋体" w:eastAsia="宋体" w:cs="宋体"/>
                <w:szCs w:val="21"/>
              </w:rPr>
            </w:pPr>
          </w:p>
        </w:tc>
        <w:tc>
          <w:tcPr>
            <w:tcW w:w="4140" w:type="dxa"/>
            <w:vAlign w:val="center"/>
          </w:tcPr>
          <w:p w14:paraId="1A39CA5D">
            <w:pPr>
              <w:rPr>
                <w:rFonts w:ascii="宋体" w:hAnsi="宋体" w:eastAsia="宋体" w:cs="宋体"/>
                <w:szCs w:val="21"/>
              </w:rPr>
            </w:pPr>
          </w:p>
        </w:tc>
        <w:tc>
          <w:tcPr>
            <w:tcW w:w="1440" w:type="dxa"/>
            <w:vAlign w:val="center"/>
          </w:tcPr>
          <w:p w14:paraId="043B5149">
            <w:pPr>
              <w:adjustRightInd w:val="0"/>
              <w:snapToGrid w:val="0"/>
              <w:jc w:val="center"/>
              <w:rPr>
                <w:rFonts w:ascii="宋体" w:hAnsi="宋体" w:eastAsia="宋体" w:cs="宋体"/>
                <w:szCs w:val="21"/>
              </w:rPr>
            </w:pPr>
          </w:p>
        </w:tc>
        <w:tc>
          <w:tcPr>
            <w:tcW w:w="1980" w:type="dxa"/>
            <w:vAlign w:val="center"/>
          </w:tcPr>
          <w:p w14:paraId="7FFBD830">
            <w:pPr>
              <w:adjustRightInd w:val="0"/>
              <w:snapToGrid w:val="0"/>
              <w:jc w:val="center"/>
              <w:rPr>
                <w:rFonts w:ascii="宋体" w:hAnsi="宋体" w:eastAsia="宋体" w:cs="宋体"/>
                <w:szCs w:val="21"/>
              </w:rPr>
            </w:pPr>
          </w:p>
        </w:tc>
        <w:tc>
          <w:tcPr>
            <w:tcW w:w="1080" w:type="dxa"/>
            <w:vAlign w:val="center"/>
          </w:tcPr>
          <w:p w14:paraId="24F0891C">
            <w:pPr>
              <w:adjustRightInd w:val="0"/>
              <w:snapToGrid w:val="0"/>
              <w:jc w:val="center"/>
              <w:rPr>
                <w:rFonts w:ascii="宋体" w:hAnsi="宋体" w:eastAsia="宋体" w:cs="宋体"/>
                <w:szCs w:val="21"/>
              </w:rPr>
            </w:pPr>
          </w:p>
        </w:tc>
      </w:tr>
      <w:tr w14:paraId="4570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786AA42">
            <w:pPr>
              <w:adjustRightInd w:val="0"/>
              <w:snapToGrid w:val="0"/>
              <w:jc w:val="center"/>
              <w:rPr>
                <w:rFonts w:ascii="宋体" w:hAnsi="宋体" w:eastAsia="宋体" w:cs="宋体"/>
                <w:szCs w:val="21"/>
              </w:rPr>
            </w:pPr>
          </w:p>
        </w:tc>
        <w:tc>
          <w:tcPr>
            <w:tcW w:w="4140" w:type="dxa"/>
            <w:vAlign w:val="center"/>
          </w:tcPr>
          <w:p w14:paraId="590FC2B1">
            <w:pPr>
              <w:rPr>
                <w:rFonts w:ascii="宋体" w:hAnsi="宋体" w:eastAsia="宋体" w:cs="宋体"/>
                <w:szCs w:val="21"/>
              </w:rPr>
            </w:pPr>
          </w:p>
        </w:tc>
        <w:tc>
          <w:tcPr>
            <w:tcW w:w="1440" w:type="dxa"/>
            <w:vAlign w:val="center"/>
          </w:tcPr>
          <w:p w14:paraId="6C22F3B5">
            <w:pPr>
              <w:adjustRightInd w:val="0"/>
              <w:snapToGrid w:val="0"/>
              <w:jc w:val="center"/>
              <w:rPr>
                <w:rFonts w:ascii="宋体" w:hAnsi="宋体" w:eastAsia="宋体" w:cs="宋体"/>
                <w:szCs w:val="21"/>
              </w:rPr>
            </w:pPr>
          </w:p>
        </w:tc>
        <w:tc>
          <w:tcPr>
            <w:tcW w:w="1980" w:type="dxa"/>
            <w:vAlign w:val="center"/>
          </w:tcPr>
          <w:p w14:paraId="6B4D4E2C">
            <w:pPr>
              <w:adjustRightInd w:val="0"/>
              <w:snapToGrid w:val="0"/>
              <w:jc w:val="center"/>
              <w:rPr>
                <w:rFonts w:ascii="宋体" w:hAnsi="宋体" w:eastAsia="宋体" w:cs="宋体"/>
                <w:szCs w:val="21"/>
              </w:rPr>
            </w:pPr>
          </w:p>
        </w:tc>
        <w:tc>
          <w:tcPr>
            <w:tcW w:w="1080" w:type="dxa"/>
            <w:vAlign w:val="center"/>
          </w:tcPr>
          <w:p w14:paraId="54DF8858">
            <w:pPr>
              <w:adjustRightInd w:val="0"/>
              <w:snapToGrid w:val="0"/>
              <w:jc w:val="center"/>
              <w:rPr>
                <w:rFonts w:ascii="宋体" w:hAnsi="宋体" w:eastAsia="宋体" w:cs="宋体"/>
                <w:szCs w:val="21"/>
              </w:rPr>
            </w:pPr>
          </w:p>
        </w:tc>
      </w:tr>
      <w:tr w14:paraId="0088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FB33C99">
            <w:pPr>
              <w:adjustRightInd w:val="0"/>
              <w:snapToGrid w:val="0"/>
              <w:jc w:val="center"/>
              <w:rPr>
                <w:rFonts w:ascii="宋体" w:hAnsi="宋体" w:eastAsia="宋体" w:cs="宋体"/>
                <w:szCs w:val="21"/>
              </w:rPr>
            </w:pPr>
          </w:p>
        </w:tc>
        <w:tc>
          <w:tcPr>
            <w:tcW w:w="4140" w:type="dxa"/>
            <w:vAlign w:val="center"/>
          </w:tcPr>
          <w:p w14:paraId="11A937D3">
            <w:pPr>
              <w:rPr>
                <w:rFonts w:ascii="宋体" w:hAnsi="宋体" w:eastAsia="宋体" w:cs="宋体"/>
                <w:szCs w:val="21"/>
              </w:rPr>
            </w:pPr>
          </w:p>
        </w:tc>
        <w:tc>
          <w:tcPr>
            <w:tcW w:w="1440" w:type="dxa"/>
            <w:vAlign w:val="center"/>
          </w:tcPr>
          <w:p w14:paraId="2BCF94B0">
            <w:pPr>
              <w:adjustRightInd w:val="0"/>
              <w:snapToGrid w:val="0"/>
              <w:jc w:val="center"/>
              <w:rPr>
                <w:rFonts w:ascii="宋体" w:hAnsi="宋体" w:eastAsia="宋体" w:cs="宋体"/>
                <w:szCs w:val="21"/>
              </w:rPr>
            </w:pPr>
          </w:p>
        </w:tc>
        <w:tc>
          <w:tcPr>
            <w:tcW w:w="1980" w:type="dxa"/>
            <w:vAlign w:val="center"/>
          </w:tcPr>
          <w:p w14:paraId="63826745">
            <w:pPr>
              <w:adjustRightInd w:val="0"/>
              <w:snapToGrid w:val="0"/>
              <w:jc w:val="center"/>
              <w:rPr>
                <w:rFonts w:ascii="宋体" w:hAnsi="宋体" w:eastAsia="宋体" w:cs="宋体"/>
                <w:szCs w:val="21"/>
              </w:rPr>
            </w:pPr>
          </w:p>
        </w:tc>
        <w:tc>
          <w:tcPr>
            <w:tcW w:w="1080" w:type="dxa"/>
            <w:vAlign w:val="center"/>
          </w:tcPr>
          <w:p w14:paraId="1EFF1DDF">
            <w:pPr>
              <w:adjustRightInd w:val="0"/>
              <w:snapToGrid w:val="0"/>
              <w:jc w:val="center"/>
              <w:rPr>
                <w:rFonts w:ascii="宋体" w:hAnsi="宋体" w:eastAsia="宋体" w:cs="宋体"/>
                <w:szCs w:val="21"/>
              </w:rPr>
            </w:pPr>
          </w:p>
        </w:tc>
      </w:tr>
      <w:tr w14:paraId="72F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9488D4F">
            <w:pPr>
              <w:adjustRightInd w:val="0"/>
              <w:snapToGrid w:val="0"/>
              <w:jc w:val="center"/>
              <w:rPr>
                <w:rFonts w:ascii="宋体" w:hAnsi="宋体" w:eastAsia="宋体" w:cs="宋体"/>
                <w:szCs w:val="21"/>
              </w:rPr>
            </w:pPr>
          </w:p>
        </w:tc>
        <w:tc>
          <w:tcPr>
            <w:tcW w:w="4140" w:type="dxa"/>
            <w:vAlign w:val="center"/>
          </w:tcPr>
          <w:p w14:paraId="5518A87C">
            <w:pPr>
              <w:rPr>
                <w:rFonts w:ascii="宋体" w:hAnsi="宋体" w:eastAsia="宋体" w:cs="宋体"/>
                <w:szCs w:val="21"/>
              </w:rPr>
            </w:pPr>
          </w:p>
        </w:tc>
        <w:tc>
          <w:tcPr>
            <w:tcW w:w="1440" w:type="dxa"/>
            <w:vAlign w:val="center"/>
          </w:tcPr>
          <w:p w14:paraId="22E05CD6">
            <w:pPr>
              <w:adjustRightInd w:val="0"/>
              <w:snapToGrid w:val="0"/>
              <w:jc w:val="center"/>
              <w:rPr>
                <w:rFonts w:ascii="宋体" w:hAnsi="宋体" w:eastAsia="宋体" w:cs="宋体"/>
                <w:szCs w:val="21"/>
              </w:rPr>
            </w:pPr>
          </w:p>
        </w:tc>
        <w:tc>
          <w:tcPr>
            <w:tcW w:w="1980" w:type="dxa"/>
            <w:vAlign w:val="center"/>
          </w:tcPr>
          <w:p w14:paraId="6E56F7E7">
            <w:pPr>
              <w:adjustRightInd w:val="0"/>
              <w:snapToGrid w:val="0"/>
              <w:jc w:val="center"/>
              <w:rPr>
                <w:rFonts w:ascii="宋体" w:hAnsi="宋体" w:eastAsia="宋体" w:cs="宋体"/>
                <w:szCs w:val="21"/>
              </w:rPr>
            </w:pPr>
          </w:p>
        </w:tc>
        <w:tc>
          <w:tcPr>
            <w:tcW w:w="1080" w:type="dxa"/>
            <w:vAlign w:val="center"/>
          </w:tcPr>
          <w:p w14:paraId="4E3A1D29">
            <w:pPr>
              <w:adjustRightInd w:val="0"/>
              <w:snapToGrid w:val="0"/>
              <w:jc w:val="center"/>
              <w:rPr>
                <w:rFonts w:ascii="宋体" w:hAnsi="宋体" w:eastAsia="宋体" w:cs="宋体"/>
                <w:szCs w:val="21"/>
              </w:rPr>
            </w:pPr>
          </w:p>
        </w:tc>
      </w:tr>
      <w:tr w14:paraId="597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2175707">
            <w:pPr>
              <w:adjustRightInd w:val="0"/>
              <w:snapToGrid w:val="0"/>
              <w:jc w:val="center"/>
              <w:rPr>
                <w:rFonts w:ascii="宋体" w:hAnsi="宋体" w:eastAsia="宋体" w:cs="宋体"/>
                <w:szCs w:val="21"/>
              </w:rPr>
            </w:pPr>
          </w:p>
        </w:tc>
        <w:tc>
          <w:tcPr>
            <w:tcW w:w="4140" w:type="dxa"/>
            <w:vAlign w:val="center"/>
          </w:tcPr>
          <w:p w14:paraId="38C7F137">
            <w:pPr>
              <w:rPr>
                <w:rFonts w:ascii="宋体" w:hAnsi="宋体" w:eastAsia="宋体" w:cs="宋体"/>
                <w:szCs w:val="21"/>
              </w:rPr>
            </w:pPr>
          </w:p>
        </w:tc>
        <w:tc>
          <w:tcPr>
            <w:tcW w:w="1440" w:type="dxa"/>
            <w:vAlign w:val="center"/>
          </w:tcPr>
          <w:p w14:paraId="142A89C5">
            <w:pPr>
              <w:adjustRightInd w:val="0"/>
              <w:snapToGrid w:val="0"/>
              <w:jc w:val="center"/>
              <w:rPr>
                <w:rFonts w:ascii="宋体" w:hAnsi="宋体" w:eastAsia="宋体" w:cs="宋体"/>
                <w:szCs w:val="21"/>
              </w:rPr>
            </w:pPr>
          </w:p>
        </w:tc>
        <w:tc>
          <w:tcPr>
            <w:tcW w:w="1980" w:type="dxa"/>
            <w:vAlign w:val="center"/>
          </w:tcPr>
          <w:p w14:paraId="05189418">
            <w:pPr>
              <w:adjustRightInd w:val="0"/>
              <w:snapToGrid w:val="0"/>
              <w:jc w:val="center"/>
              <w:rPr>
                <w:rFonts w:ascii="宋体" w:hAnsi="宋体" w:eastAsia="宋体" w:cs="宋体"/>
                <w:szCs w:val="21"/>
              </w:rPr>
            </w:pPr>
          </w:p>
        </w:tc>
        <w:tc>
          <w:tcPr>
            <w:tcW w:w="1080" w:type="dxa"/>
            <w:vAlign w:val="center"/>
          </w:tcPr>
          <w:p w14:paraId="0DA1CE5F">
            <w:pPr>
              <w:adjustRightInd w:val="0"/>
              <w:snapToGrid w:val="0"/>
              <w:jc w:val="center"/>
              <w:rPr>
                <w:rFonts w:ascii="宋体" w:hAnsi="宋体" w:eastAsia="宋体" w:cs="宋体"/>
                <w:szCs w:val="21"/>
              </w:rPr>
            </w:pPr>
          </w:p>
        </w:tc>
      </w:tr>
      <w:tr w14:paraId="7E27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5EE37DD">
            <w:pPr>
              <w:adjustRightInd w:val="0"/>
              <w:snapToGrid w:val="0"/>
              <w:jc w:val="center"/>
              <w:rPr>
                <w:rFonts w:ascii="宋体" w:hAnsi="宋体" w:eastAsia="宋体" w:cs="宋体"/>
                <w:szCs w:val="21"/>
              </w:rPr>
            </w:pPr>
          </w:p>
        </w:tc>
        <w:tc>
          <w:tcPr>
            <w:tcW w:w="4140" w:type="dxa"/>
            <w:vAlign w:val="center"/>
          </w:tcPr>
          <w:p w14:paraId="4CE94783">
            <w:pPr>
              <w:rPr>
                <w:rFonts w:ascii="宋体" w:hAnsi="宋体" w:eastAsia="宋体" w:cs="宋体"/>
                <w:szCs w:val="21"/>
              </w:rPr>
            </w:pPr>
          </w:p>
        </w:tc>
        <w:tc>
          <w:tcPr>
            <w:tcW w:w="1440" w:type="dxa"/>
            <w:vAlign w:val="center"/>
          </w:tcPr>
          <w:p w14:paraId="33027627">
            <w:pPr>
              <w:adjustRightInd w:val="0"/>
              <w:snapToGrid w:val="0"/>
              <w:jc w:val="center"/>
              <w:rPr>
                <w:rFonts w:ascii="宋体" w:hAnsi="宋体" w:eastAsia="宋体" w:cs="宋体"/>
                <w:szCs w:val="21"/>
              </w:rPr>
            </w:pPr>
          </w:p>
        </w:tc>
        <w:tc>
          <w:tcPr>
            <w:tcW w:w="1980" w:type="dxa"/>
            <w:vAlign w:val="center"/>
          </w:tcPr>
          <w:p w14:paraId="0B240CEC">
            <w:pPr>
              <w:adjustRightInd w:val="0"/>
              <w:snapToGrid w:val="0"/>
              <w:jc w:val="center"/>
              <w:rPr>
                <w:rFonts w:ascii="宋体" w:hAnsi="宋体" w:eastAsia="宋体" w:cs="宋体"/>
                <w:szCs w:val="21"/>
              </w:rPr>
            </w:pPr>
          </w:p>
        </w:tc>
        <w:tc>
          <w:tcPr>
            <w:tcW w:w="1080" w:type="dxa"/>
            <w:vAlign w:val="center"/>
          </w:tcPr>
          <w:p w14:paraId="3755910A">
            <w:pPr>
              <w:adjustRightInd w:val="0"/>
              <w:snapToGrid w:val="0"/>
              <w:jc w:val="center"/>
              <w:rPr>
                <w:rFonts w:ascii="宋体" w:hAnsi="宋体" w:eastAsia="宋体" w:cs="宋体"/>
                <w:szCs w:val="21"/>
              </w:rPr>
            </w:pPr>
          </w:p>
        </w:tc>
      </w:tr>
      <w:tr w14:paraId="1C7A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AFF8A5E">
            <w:pPr>
              <w:adjustRightInd w:val="0"/>
              <w:snapToGrid w:val="0"/>
              <w:jc w:val="center"/>
              <w:rPr>
                <w:rFonts w:ascii="宋体" w:hAnsi="宋体" w:eastAsia="宋体" w:cs="宋体"/>
                <w:szCs w:val="21"/>
              </w:rPr>
            </w:pPr>
          </w:p>
        </w:tc>
        <w:tc>
          <w:tcPr>
            <w:tcW w:w="4140" w:type="dxa"/>
            <w:vAlign w:val="center"/>
          </w:tcPr>
          <w:p w14:paraId="62512243">
            <w:pPr>
              <w:rPr>
                <w:rFonts w:ascii="宋体" w:hAnsi="宋体" w:eastAsia="宋体" w:cs="宋体"/>
                <w:szCs w:val="21"/>
              </w:rPr>
            </w:pPr>
          </w:p>
        </w:tc>
        <w:tc>
          <w:tcPr>
            <w:tcW w:w="1440" w:type="dxa"/>
            <w:vAlign w:val="center"/>
          </w:tcPr>
          <w:p w14:paraId="52BBE43B">
            <w:pPr>
              <w:adjustRightInd w:val="0"/>
              <w:snapToGrid w:val="0"/>
              <w:jc w:val="center"/>
              <w:rPr>
                <w:rFonts w:ascii="宋体" w:hAnsi="宋体" w:eastAsia="宋体" w:cs="宋体"/>
                <w:szCs w:val="21"/>
              </w:rPr>
            </w:pPr>
          </w:p>
        </w:tc>
        <w:tc>
          <w:tcPr>
            <w:tcW w:w="1980" w:type="dxa"/>
            <w:vAlign w:val="center"/>
          </w:tcPr>
          <w:p w14:paraId="13D9D953">
            <w:pPr>
              <w:adjustRightInd w:val="0"/>
              <w:snapToGrid w:val="0"/>
              <w:jc w:val="center"/>
              <w:rPr>
                <w:rFonts w:ascii="宋体" w:hAnsi="宋体" w:eastAsia="宋体" w:cs="宋体"/>
                <w:szCs w:val="21"/>
              </w:rPr>
            </w:pPr>
          </w:p>
        </w:tc>
        <w:tc>
          <w:tcPr>
            <w:tcW w:w="1080" w:type="dxa"/>
            <w:vAlign w:val="center"/>
          </w:tcPr>
          <w:p w14:paraId="056942E4">
            <w:pPr>
              <w:adjustRightInd w:val="0"/>
              <w:snapToGrid w:val="0"/>
              <w:jc w:val="center"/>
              <w:rPr>
                <w:rFonts w:ascii="宋体" w:hAnsi="宋体" w:eastAsia="宋体" w:cs="宋体"/>
                <w:szCs w:val="21"/>
              </w:rPr>
            </w:pPr>
          </w:p>
        </w:tc>
      </w:tr>
      <w:tr w14:paraId="45B0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A13F7FB">
            <w:pPr>
              <w:adjustRightInd w:val="0"/>
              <w:snapToGrid w:val="0"/>
              <w:jc w:val="center"/>
              <w:rPr>
                <w:rFonts w:ascii="宋体" w:hAnsi="宋体" w:eastAsia="宋体" w:cs="宋体"/>
                <w:szCs w:val="21"/>
              </w:rPr>
            </w:pPr>
          </w:p>
        </w:tc>
        <w:tc>
          <w:tcPr>
            <w:tcW w:w="4140" w:type="dxa"/>
            <w:vAlign w:val="center"/>
          </w:tcPr>
          <w:p w14:paraId="42E79AAF">
            <w:pPr>
              <w:rPr>
                <w:rFonts w:ascii="宋体" w:hAnsi="宋体" w:eastAsia="宋体" w:cs="宋体"/>
                <w:szCs w:val="21"/>
              </w:rPr>
            </w:pPr>
          </w:p>
        </w:tc>
        <w:tc>
          <w:tcPr>
            <w:tcW w:w="1440" w:type="dxa"/>
            <w:vAlign w:val="center"/>
          </w:tcPr>
          <w:p w14:paraId="1456F472">
            <w:pPr>
              <w:adjustRightInd w:val="0"/>
              <w:snapToGrid w:val="0"/>
              <w:jc w:val="center"/>
              <w:rPr>
                <w:rFonts w:ascii="宋体" w:hAnsi="宋体" w:eastAsia="宋体" w:cs="宋体"/>
                <w:szCs w:val="21"/>
              </w:rPr>
            </w:pPr>
          </w:p>
        </w:tc>
        <w:tc>
          <w:tcPr>
            <w:tcW w:w="1980" w:type="dxa"/>
            <w:vAlign w:val="center"/>
          </w:tcPr>
          <w:p w14:paraId="42D04508">
            <w:pPr>
              <w:adjustRightInd w:val="0"/>
              <w:snapToGrid w:val="0"/>
              <w:jc w:val="center"/>
              <w:rPr>
                <w:rFonts w:ascii="宋体" w:hAnsi="宋体" w:eastAsia="宋体" w:cs="宋体"/>
                <w:szCs w:val="21"/>
              </w:rPr>
            </w:pPr>
          </w:p>
        </w:tc>
        <w:tc>
          <w:tcPr>
            <w:tcW w:w="1080" w:type="dxa"/>
            <w:vAlign w:val="center"/>
          </w:tcPr>
          <w:p w14:paraId="03D1ECF3">
            <w:pPr>
              <w:adjustRightInd w:val="0"/>
              <w:snapToGrid w:val="0"/>
              <w:jc w:val="center"/>
              <w:rPr>
                <w:rFonts w:ascii="宋体" w:hAnsi="宋体" w:eastAsia="宋体" w:cs="宋体"/>
                <w:szCs w:val="21"/>
              </w:rPr>
            </w:pPr>
          </w:p>
        </w:tc>
      </w:tr>
      <w:tr w14:paraId="36EB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7CCAF22">
            <w:pPr>
              <w:adjustRightInd w:val="0"/>
              <w:snapToGrid w:val="0"/>
              <w:jc w:val="center"/>
              <w:rPr>
                <w:rFonts w:ascii="宋体" w:hAnsi="宋体" w:eastAsia="宋体" w:cs="宋体"/>
                <w:szCs w:val="21"/>
              </w:rPr>
            </w:pPr>
          </w:p>
        </w:tc>
        <w:tc>
          <w:tcPr>
            <w:tcW w:w="4140" w:type="dxa"/>
            <w:vAlign w:val="center"/>
          </w:tcPr>
          <w:p w14:paraId="709E3F0B">
            <w:pPr>
              <w:rPr>
                <w:rFonts w:ascii="宋体" w:hAnsi="宋体" w:eastAsia="宋体" w:cs="宋体"/>
                <w:szCs w:val="21"/>
              </w:rPr>
            </w:pPr>
          </w:p>
        </w:tc>
        <w:tc>
          <w:tcPr>
            <w:tcW w:w="1440" w:type="dxa"/>
            <w:vAlign w:val="center"/>
          </w:tcPr>
          <w:p w14:paraId="156F5A5C">
            <w:pPr>
              <w:adjustRightInd w:val="0"/>
              <w:snapToGrid w:val="0"/>
              <w:jc w:val="center"/>
              <w:rPr>
                <w:rFonts w:ascii="宋体" w:hAnsi="宋体" w:eastAsia="宋体" w:cs="宋体"/>
                <w:szCs w:val="21"/>
              </w:rPr>
            </w:pPr>
          </w:p>
        </w:tc>
        <w:tc>
          <w:tcPr>
            <w:tcW w:w="1980" w:type="dxa"/>
            <w:vAlign w:val="center"/>
          </w:tcPr>
          <w:p w14:paraId="0992D0E2">
            <w:pPr>
              <w:adjustRightInd w:val="0"/>
              <w:snapToGrid w:val="0"/>
              <w:jc w:val="center"/>
              <w:rPr>
                <w:rFonts w:ascii="宋体" w:hAnsi="宋体" w:eastAsia="宋体" w:cs="宋体"/>
                <w:szCs w:val="21"/>
              </w:rPr>
            </w:pPr>
          </w:p>
        </w:tc>
        <w:tc>
          <w:tcPr>
            <w:tcW w:w="1080" w:type="dxa"/>
            <w:vAlign w:val="center"/>
          </w:tcPr>
          <w:p w14:paraId="36FFDCC4">
            <w:pPr>
              <w:adjustRightInd w:val="0"/>
              <w:snapToGrid w:val="0"/>
              <w:jc w:val="center"/>
              <w:rPr>
                <w:rFonts w:ascii="宋体" w:hAnsi="宋体" w:eastAsia="宋体" w:cs="宋体"/>
                <w:szCs w:val="21"/>
              </w:rPr>
            </w:pPr>
          </w:p>
        </w:tc>
      </w:tr>
      <w:tr w14:paraId="085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AA05FEF">
            <w:pPr>
              <w:adjustRightInd w:val="0"/>
              <w:snapToGrid w:val="0"/>
              <w:jc w:val="center"/>
              <w:rPr>
                <w:rFonts w:ascii="宋体" w:hAnsi="宋体" w:eastAsia="宋体" w:cs="宋体"/>
                <w:szCs w:val="21"/>
              </w:rPr>
            </w:pPr>
          </w:p>
        </w:tc>
        <w:tc>
          <w:tcPr>
            <w:tcW w:w="4140" w:type="dxa"/>
            <w:vAlign w:val="center"/>
          </w:tcPr>
          <w:p w14:paraId="3AA7A190">
            <w:pPr>
              <w:rPr>
                <w:rFonts w:ascii="宋体" w:hAnsi="宋体" w:eastAsia="宋体" w:cs="宋体"/>
                <w:szCs w:val="21"/>
              </w:rPr>
            </w:pPr>
          </w:p>
        </w:tc>
        <w:tc>
          <w:tcPr>
            <w:tcW w:w="1440" w:type="dxa"/>
            <w:vAlign w:val="center"/>
          </w:tcPr>
          <w:p w14:paraId="68B49395">
            <w:pPr>
              <w:adjustRightInd w:val="0"/>
              <w:snapToGrid w:val="0"/>
              <w:jc w:val="center"/>
              <w:rPr>
                <w:rFonts w:ascii="宋体" w:hAnsi="宋体" w:eastAsia="宋体" w:cs="宋体"/>
                <w:szCs w:val="21"/>
              </w:rPr>
            </w:pPr>
          </w:p>
        </w:tc>
        <w:tc>
          <w:tcPr>
            <w:tcW w:w="1980" w:type="dxa"/>
            <w:vAlign w:val="center"/>
          </w:tcPr>
          <w:p w14:paraId="09B76E7E">
            <w:pPr>
              <w:adjustRightInd w:val="0"/>
              <w:snapToGrid w:val="0"/>
              <w:jc w:val="center"/>
              <w:rPr>
                <w:rFonts w:ascii="宋体" w:hAnsi="宋体" w:eastAsia="宋体" w:cs="宋体"/>
                <w:szCs w:val="21"/>
              </w:rPr>
            </w:pPr>
          </w:p>
        </w:tc>
        <w:tc>
          <w:tcPr>
            <w:tcW w:w="1080" w:type="dxa"/>
            <w:vAlign w:val="center"/>
          </w:tcPr>
          <w:p w14:paraId="5951C5B2">
            <w:pPr>
              <w:adjustRightInd w:val="0"/>
              <w:snapToGrid w:val="0"/>
              <w:jc w:val="center"/>
              <w:rPr>
                <w:rFonts w:ascii="宋体" w:hAnsi="宋体" w:eastAsia="宋体" w:cs="宋体"/>
                <w:szCs w:val="21"/>
              </w:rPr>
            </w:pPr>
          </w:p>
        </w:tc>
      </w:tr>
      <w:tr w14:paraId="4DCA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65D74A3">
            <w:pPr>
              <w:adjustRightInd w:val="0"/>
              <w:snapToGrid w:val="0"/>
              <w:jc w:val="center"/>
              <w:rPr>
                <w:rFonts w:ascii="宋体" w:hAnsi="宋体" w:eastAsia="宋体" w:cs="宋体"/>
                <w:szCs w:val="21"/>
              </w:rPr>
            </w:pPr>
          </w:p>
        </w:tc>
        <w:tc>
          <w:tcPr>
            <w:tcW w:w="4140" w:type="dxa"/>
            <w:vAlign w:val="center"/>
          </w:tcPr>
          <w:p w14:paraId="49FAAFED">
            <w:pPr>
              <w:rPr>
                <w:rFonts w:ascii="宋体" w:hAnsi="宋体" w:eastAsia="宋体" w:cs="宋体"/>
                <w:szCs w:val="21"/>
              </w:rPr>
            </w:pPr>
          </w:p>
        </w:tc>
        <w:tc>
          <w:tcPr>
            <w:tcW w:w="1440" w:type="dxa"/>
            <w:vAlign w:val="center"/>
          </w:tcPr>
          <w:p w14:paraId="4AFEBBD3">
            <w:pPr>
              <w:adjustRightInd w:val="0"/>
              <w:snapToGrid w:val="0"/>
              <w:jc w:val="center"/>
              <w:rPr>
                <w:rFonts w:ascii="宋体" w:hAnsi="宋体" w:eastAsia="宋体" w:cs="宋体"/>
                <w:szCs w:val="21"/>
              </w:rPr>
            </w:pPr>
          </w:p>
        </w:tc>
        <w:tc>
          <w:tcPr>
            <w:tcW w:w="1980" w:type="dxa"/>
            <w:vAlign w:val="center"/>
          </w:tcPr>
          <w:p w14:paraId="194F63BD">
            <w:pPr>
              <w:adjustRightInd w:val="0"/>
              <w:snapToGrid w:val="0"/>
              <w:jc w:val="center"/>
              <w:rPr>
                <w:rFonts w:ascii="宋体" w:hAnsi="宋体" w:eastAsia="宋体" w:cs="宋体"/>
                <w:szCs w:val="21"/>
              </w:rPr>
            </w:pPr>
          </w:p>
        </w:tc>
        <w:tc>
          <w:tcPr>
            <w:tcW w:w="1080" w:type="dxa"/>
            <w:vAlign w:val="center"/>
          </w:tcPr>
          <w:p w14:paraId="286AD0E7">
            <w:pPr>
              <w:adjustRightInd w:val="0"/>
              <w:snapToGrid w:val="0"/>
              <w:jc w:val="center"/>
              <w:rPr>
                <w:rFonts w:ascii="宋体" w:hAnsi="宋体" w:eastAsia="宋体" w:cs="宋体"/>
                <w:szCs w:val="21"/>
              </w:rPr>
            </w:pPr>
          </w:p>
        </w:tc>
      </w:tr>
      <w:tr w14:paraId="6F51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480532E">
            <w:pPr>
              <w:adjustRightInd w:val="0"/>
              <w:snapToGrid w:val="0"/>
              <w:jc w:val="center"/>
              <w:rPr>
                <w:rFonts w:ascii="宋体" w:hAnsi="宋体" w:eastAsia="宋体" w:cs="宋体"/>
                <w:szCs w:val="21"/>
              </w:rPr>
            </w:pPr>
          </w:p>
        </w:tc>
        <w:tc>
          <w:tcPr>
            <w:tcW w:w="4140" w:type="dxa"/>
            <w:vAlign w:val="center"/>
          </w:tcPr>
          <w:p w14:paraId="3AD97754">
            <w:pPr>
              <w:rPr>
                <w:rFonts w:ascii="宋体" w:hAnsi="宋体" w:eastAsia="宋体" w:cs="宋体"/>
                <w:szCs w:val="21"/>
              </w:rPr>
            </w:pPr>
          </w:p>
        </w:tc>
        <w:tc>
          <w:tcPr>
            <w:tcW w:w="1440" w:type="dxa"/>
            <w:vAlign w:val="center"/>
          </w:tcPr>
          <w:p w14:paraId="11E96220">
            <w:pPr>
              <w:adjustRightInd w:val="0"/>
              <w:snapToGrid w:val="0"/>
              <w:jc w:val="center"/>
              <w:rPr>
                <w:rFonts w:ascii="宋体" w:hAnsi="宋体" w:eastAsia="宋体" w:cs="宋体"/>
                <w:szCs w:val="21"/>
              </w:rPr>
            </w:pPr>
          </w:p>
        </w:tc>
        <w:tc>
          <w:tcPr>
            <w:tcW w:w="1980" w:type="dxa"/>
            <w:vAlign w:val="center"/>
          </w:tcPr>
          <w:p w14:paraId="6BBAD2CB">
            <w:pPr>
              <w:adjustRightInd w:val="0"/>
              <w:snapToGrid w:val="0"/>
              <w:jc w:val="center"/>
              <w:rPr>
                <w:rFonts w:ascii="宋体" w:hAnsi="宋体" w:eastAsia="宋体" w:cs="宋体"/>
                <w:szCs w:val="21"/>
              </w:rPr>
            </w:pPr>
          </w:p>
        </w:tc>
        <w:tc>
          <w:tcPr>
            <w:tcW w:w="1080" w:type="dxa"/>
            <w:vAlign w:val="center"/>
          </w:tcPr>
          <w:p w14:paraId="206C8625">
            <w:pPr>
              <w:adjustRightInd w:val="0"/>
              <w:snapToGrid w:val="0"/>
              <w:jc w:val="center"/>
              <w:rPr>
                <w:rFonts w:ascii="宋体" w:hAnsi="宋体" w:eastAsia="宋体" w:cs="宋体"/>
                <w:szCs w:val="21"/>
              </w:rPr>
            </w:pPr>
          </w:p>
        </w:tc>
      </w:tr>
      <w:tr w14:paraId="58BB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D1D80DE">
            <w:pPr>
              <w:adjustRightInd w:val="0"/>
              <w:snapToGrid w:val="0"/>
              <w:jc w:val="center"/>
              <w:rPr>
                <w:rFonts w:ascii="宋体" w:hAnsi="宋体" w:eastAsia="宋体" w:cs="宋体"/>
                <w:szCs w:val="21"/>
              </w:rPr>
            </w:pPr>
          </w:p>
        </w:tc>
        <w:tc>
          <w:tcPr>
            <w:tcW w:w="4140" w:type="dxa"/>
            <w:vAlign w:val="center"/>
          </w:tcPr>
          <w:p w14:paraId="726BDFDE">
            <w:pPr>
              <w:rPr>
                <w:rFonts w:ascii="宋体" w:hAnsi="宋体" w:eastAsia="宋体" w:cs="宋体"/>
                <w:szCs w:val="21"/>
              </w:rPr>
            </w:pPr>
          </w:p>
        </w:tc>
        <w:tc>
          <w:tcPr>
            <w:tcW w:w="1440" w:type="dxa"/>
            <w:vAlign w:val="center"/>
          </w:tcPr>
          <w:p w14:paraId="267E7510">
            <w:pPr>
              <w:adjustRightInd w:val="0"/>
              <w:snapToGrid w:val="0"/>
              <w:jc w:val="center"/>
              <w:rPr>
                <w:rFonts w:ascii="宋体" w:hAnsi="宋体" w:eastAsia="宋体" w:cs="宋体"/>
                <w:szCs w:val="21"/>
              </w:rPr>
            </w:pPr>
          </w:p>
        </w:tc>
        <w:tc>
          <w:tcPr>
            <w:tcW w:w="1980" w:type="dxa"/>
            <w:vAlign w:val="center"/>
          </w:tcPr>
          <w:p w14:paraId="338378B8">
            <w:pPr>
              <w:adjustRightInd w:val="0"/>
              <w:snapToGrid w:val="0"/>
              <w:jc w:val="center"/>
              <w:rPr>
                <w:rFonts w:ascii="宋体" w:hAnsi="宋体" w:eastAsia="宋体" w:cs="宋体"/>
                <w:szCs w:val="21"/>
              </w:rPr>
            </w:pPr>
          </w:p>
        </w:tc>
        <w:tc>
          <w:tcPr>
            <w:tcW w:w="1080" w:type="dxa"/>
            <w:vAlign w:val="center"/>
          </w:tcPr>
          <w:p w14:paraId="68D4E019">
            <w:pPr>
              <w:adjustRightInd w:val="0"/>
              <w:snapToGrid w:val="0"/>
              <w:jc w:val="center"/>
              <w:rPr>
                <w:rFonts w:ascii="宋体" w:hAnsi="宋体" w:eastAsia="宋体" w:cs="宋体"/>
                <w:szCs w:val="21"/>
              </w:rPr>
            </w:pPr>
          </w:p>
        </w:tc>
      </w:tr>
      <w:tr w14:paraId="1AB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75E6A62">
            <w:pPr>
              <w:adjustRightInd w:val="0"/>
              <w:snapToGrid w:val="0"/>
              <w:jc w:val="center"/>
              <w:rPr>
                <w:rFonts w:ascii="宋体" w:hAnsi="宋体" w:eastAsia="宋体" w:cs="宋体"/>
                <w:szCs w:val="21"/>
              </w:rPr>
            </w:pPr>
          </w:p>
        </w:tc>
        <w:tc>
          <w:tcPr>
            <w:tcW w:w="4140" w:type="dxa"/>
            <w:vAlign w:val="center"/>
          </w:tcPr>
          <w:p w14:paraId="63DA655C">
            <w:pPr>
              <w:rPr>
                <w:rFonts w:ascii="宋体" w:hAnsi="宋体" w:eastAsia="宋体" w:cs="宋体"/>
                <w:szCs w:val="21"/>
              </w:rPr>
            </w:pPr>
          </w:p>
        </w:tc>
        <w:tc>
          <w:tcPr>
            <w:tcW w:w="1440" w:type="dxa"/>
            <w:vAlign w:val="center"/>
          </w:tcPr>
          <w:p w14:paraId="1D5721EF">
            <w:pPr>
              <w:adjustRightInd w:val="0"/>
              <w:snapToGrid w:val="0"/>
              <w:jc w:val="center"/>
              <w:rPr>
                <w:rFonts w:ascii="宋体" w:hAnsi="宋体" w:eastAsia="宋体" w:cs="宋体"/>
                <w:szCs w:val="21"/>
              </w:rPr>
            </w:pPr>
          </w:p>
        </w:tc>
        <w:tc>
          <w:tcPr>
            <w:tcW w:w="1980" w:type="dxa"/>
            <w:vAlign w:val="center"/>
          </w:tcPr>
          <w:p w14:paraId="4EC75A7F">
            <w:pPr>
              <w:adjustRightInd w:val="0"/>
              <w:snapToGrid w:val="0"/>
              <w:jc w:val="center"/>
              <w:rPr>
                <w:rFonts w:ascii="宋体" w:hAnsi="宋体" w:eastAsia="宋体" w:cs="宋体"/>
                <w:szCs w:val="21"/>
              </w:rPr>
            </w:pPr>
          </w:p>
        </w:tc>
        <w:tc>
          <w:tcPr>
            <w:tcW w:w="1080" w:type="dxa"/>
            <w:vAlign w:val="center"/>
          </w:tcPr>
          <w:p w14:paraId="145A5EF9">
            <w:pPr>
              <w:adjustRightInd w:val="0"/>
              <w:snapToGrid w:val="0"/>
              <w:jc w:val="center"/>
              <w:rPr>
                <w:rFonts w:ascii="宋体" w:hAnsi="宋体" w:eastAsia="宋体" w:cs="宋体"/>
                <w:szCs w:val="21"/>
              </w:rPr>
            </w:pPr>
          </w:p>
        </w:tc>
      </w:tr>
      <w:tr w14:paraId="617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510065F">
            <w:pPr>
              <w:adjustRightInd w:val="0"/>
              <w:snapToGrid w:val="0"/>
              <w:jc w:val="center"/>
              <w:rPr>
                <w:rFonts w:ascii="宋体" w:hAnsi="宋体" w:eastAsia="宋体" w:cs="宋体"/>
                <w:szCs w:val="21"/>
              </w:rPr>
            </w:pPr>
          </w:p>
        </w:tc>
        <w:tc>
          <w:tcPr>
            <w:tcW w:w="4140" w:type="dxa"/>
            <w:vAlign w:val="center"/>
          </w:tcPr>
          <w:p w14:paraId="4E762B1E">
            <w:pPr>
              <w:adjustRightInd w:val="0"/>
              <w:snapToGrid w:val="0"/>
              <w:jc w:val="center"/>
              <w:rPr>
                <w:rFonts w:ascii="宋体" w:hAnsi="宋体" w:eastAsia="宋体" w:cs="宋体"/>
                <w:szCs w:val="21"/>
              </w:rPr>
            </w:pPr>
          </w:p>
        </w:tc>
        <w:tc>
          <w:tcPr>
            <w:tcW w:w="1440" w:type="dxa"/>
            <w:vAlign w:val="center"/>
          </w:tcPr>
          <w:p w14:paraId="158EAB91">
            <w:pPr>
              <w:adjustRightInd w:val="0"/>
              <w:snapToGrid w:val="0"/>
              <w:jc w:val="center"/>
              <w:rPr>
                <w:rFonts w:ascii="宋体" w:hAnsi="宋体" w:eastAsia="宋体" w:cs="宋体"/>
                <w:szCs w:val="21"/>
              </w:rPr>
            </w:pPr>
          </w:p>
        </w:tc>
        <w:tc>
          <w:tcPr>
            <w:tcW w:w="1980" w:type="dxa"/>
            <w:vAlign w:val="center"/>
          </w:tcPr>
          <w:p w14:paraId="73279BA8">
            <w:pPr>
              <w:adjustRightInd w:val="0"/>
              <w:snapToGrid w:val="0"/>
              <w:jc w:val="center"/>
              <w:rPr>
                <w:rFonts w:ascii="宋体" w:hAnsi="宋体" w:eastAsia="宋体" w:cs="宋体"/>
                <w:szCs w:val="21"/>
              </w:rPr>
            </w:pPr>
          </w:p>
        </w:tc>
        <w:tc>
          <w:tcPr>
            <w:tcW w:w="1080" w:type="dxa"/>
            <w:vAlign w:val="center"/>
          </w:tcPr>
          <w:p w14:paraId="6DE04116">
            <w:pPr>
              <w:adjustRightInd w:val="0"/>
              <w:snapToGrid w:val="0"/>
              <w:jc w:val="center"/>
              <w:rPr>
                <w:rFonts w:ascii="宋体" w:hAnsi="宋体" w:eastAsia="宋体" w:cs="宋体"/>
                <w:szCs w:val="21"/>
              </w:rPr>
            </w:pPr>
          </w:p>
        </w:tc>
      </w:tr>
      <w:tr w14:paraId="7BEB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D9027B0">
            <w:pPr>
              <w:adjustRightInd w:val="0"/>
              <w:snapToGrid w:val="0"/>
              <w:jc w:val="center"/>
              <w:rPr>
                <w:rFonts w:ascii="宋体" w:hAnsi="宋体" w:eastAsia="宋体" w:cs="宋体"/>
                <w:szCs w:val="21"/>
              </w:rPr>
            </w:pPr>
          </w:p>
        </w:tc>
        <w:tc>
          <w:tcPr>
            <w:tcW w:w="4140" w:type="dxa"/>
            <w:vAlign w:val="center"/>
          </w:tcPr>
          <w:p w14:paraId="106CBCFB">
            <w:pPr>
              <w:adjustRightInd w:val="0"/>
              <w:snapToGrid w:val="0"/>
              <w:jc w:val="center"/>
              <w:rPr>
                <w:rFonts w:ascii="宋体" w:hAnsi="宋体" w:eastAsia="宋体" w:cs="宋体"/>
                <w:szCs w:val="21"/>
              </w:rPr>
            </w:pPr>
            <w:r>
              <w:rPr>
                <w:rFonts w:hint="eastAsia" w:ascii="宋体" w:hAnsi="宋体" w:eastAsia="宋体" w:cs="宋体"/>
                <w:szCs w:val="21"/>
              </w:rPr>
              <w:t>其他</w:t>
            </w:r>
          </w:p>
        </w:tc>
        <w:tc>
          <w:tcPr>
            <w:tcW w:w="1440" w:type="dxa"/>
            <w:vAlign w:val="center"/>
          </w:tcPr>
          <w:p w14:paraId="42DE1060">
            <w:pPr>
              <w:adjustRightInd w:val="0"/>
              <w:snapToGrid w:val="0"/>
              <w:jc w:val="center"/>
              <w:rPr>
                <w:rFonts w:ascii="宋体" w:hAnsi="宋体" w:eastAsia="宋体" w:cs="宋体"/>
                <w:szCs w:val="21"/>
              </w:rPr>
            </w:pPr>
          </w:p>
        </w:tc>
        <w:tc>
          <w:tcPr>
            <w:tcW w:w="1980" w:type="dxa"/>
            <w:vAlign w:val="center"/>
          </w:tcPr>
          <w:p w14:paraId="5B90F4FA">
            <w:pPr>
              <w:adjustRightInd w:val="0"/>
              <w:snapToGrid w:val="0"/>
              <w:jc w:val="center"/>
              <w:rPr>
                <w:rFonts w:ascii="宋体" w:hAnsi="宋体" w:eastAsia="宋体" w:cs="宋体"/>
                <w:szCs w:val="21"/>
              </w:rPr>
            </w:pPr>
          </w:p>
        </w:tc>
        <w:tc>
          <w:tcPr>
            <w:tcW w:w="1080" w:type="dxa"/>
            <w:vAlign w:val="center"/>
          </w:tcPr>
          <w:p w14:paraId="28B2E76A">
            <w:pPr>
              <w:adjustRightInd w:val="0"/>
              <w:snapToGrid w:val="0"/>
              <w:jc w:val="center"/>
              <w:rPr>
                <w:rFonts w:ascii="宋体" w:hAnsi="宋体" w:eastAsia="宋体" w:cs="宋体"/>
                <w:szCs w:val="21"/>
              </w:rPr>
            </w:pPr>
          </w:p>
        </w:tc>
      </w:tr>
      <w:tr w14:paraId="57A0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9A1CFA1">
            <w:pPr>
              <w:adjustRightInd w:val="0"/>
              <w:snapToGrid w:val="0"/>
              <w:jc w:val="center"/>
              <w:rPr>
                <w:rFonts w:ascii="宋体" w:hAnsi="宋体" w:eastAsia="宋体" w:cs="宋体"/>
                <w:szCs w:val="21"/>
              </w:rPr>
            </w:pPr>
          </w:p>
        </w:tc>
        <w:tc>
          <w:tcPr>
            <w:tcW w:w="4140" w:type="dxa"/>
            <w:vAlign w:val="center"/>
          </w:tcPr>
          <w:p w14:paraId="5CA59ED4">
            <w:pPr>
              <w:adjustRightInd w:val="0"/>
              <w:snapToGrid w:val="0"/>
              <w:jc w:val="center"/>
              <w:rPr>
                <w:rFonts w:ascii="宋体" w:hAnsi="宋体" w:eastAsia="宋体" w:cs="宋体"/>
                <w:szCs w:val="21"/>
              </w:rPr>
            </w:pPr>
            <w:r>
              <w:rPr>
                <w:rFonts w:hint="eastAsia" w:ascii="宋体" w:hAnsi="宋体" w:eastAsia="宋体" w:cs="宋体"/>
                <w:szCs w:val="21"/>
              </w:rPr>
              <w:t>……</w:t>
            </w:r>
          </w:p>
        </w:tc>
        <w:tc>
          <w:tcPr>
            <w:tcW w:w="1440" w:type="dxa"/>
            <w:vAlign w:val="center"/>
          </w:tcPr>
          <w:p w14:paraId="3375CF5F">
            <w:pPr>
              <w:adjustRightInd w:val="0"/>
              <w:snapToGrid w:val="0"/>
              <w:jc w:val="center"/>
              <w:rPr>
                <w:rFonts w:ascii="宋体" w:hAnsi="宋体" w:eastAsia="宋体" w:cs="宋体"/>
                <w:szCs w:val="21"/>
              </w:rPr>
            </w:pPr>
          </w:p>
        </w:tc>
        <w:tc>
          <w:tcPr>
            <w:tcW w:w="1980" w:type="dxa"/>
            <w:vAlign w:val="center"/>
          </w:tcPr>
          <w:p w14:paraId="59259E6D">
            <w:pPr>
              <w:adjustRightInd w:val="0"/>
              <w:snapToGrid w:val="0"/>
              <w:jc w:val="center"/>
              <w:rPr>
                <w:rFonts w:ascii="宋体" w:hAnsi="宋体" w:eastAsia="宋体" w:cs="宋体"/>
                <w:szCs w:val="21"/>
              </w:rPr>
            </w:pPr>
          </w:p>
        </w:tc>
        <w:tc>
          <w:tcPr>
            <w:tcW w:w="1080" w:type="dxa"/>
            <w:vAlign w:val="center"/>
          </w:tcPr>
          <w:p w14:paraId="4D84F264">
            <w:pPr>
              <w:adjustRightInd w:val="0"/>
              <w:snapToGrid w:val="0"/>
              <w:jc w:val="center"/>
              <w:rPr>
                <w:rFonts w:ascii="宋体" w:hAnsi="宋体" w:eastAsia="宋体" w:cs="宋体"/>
                <w:szCs w:val="21"/>
              </w:rPr>
            </w:pPr>
          </w:p>
        </w:tc>
      </w:tr>
    </w:tbl>
    <w:p w14:paraId="06B07907">
      <w:pPr>
        <w:adjustRightInd w:val="0"/>
        <w:snapToGrid w:val="0"/>
        <w:spacing w:line="360" w:lineRule="auto"/>
        <w:ind w:left="240"/>
        <w:rPr>
          <w:rFonts w:ascii="宋体" w:hAnsi="宋体" w:eastAsia="宋体" w:cs="宋体"/>
          <w:szCs w:val="21"/>
        </w:rPr>
      </w:pPr>
    </w:p>
    <w:p w14:paraId="155B0013">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注：此表仅提供了表格形式，投标人应根据需要及招标文件的具体要求，准备足够数量的表格按实填写。上述拟投入设备的证明材料后附，详见商务技术评分标准。</w:t>
      </w:r>
    </w:p>
    <w:p w14:paraId="4D17C013">
      <w:pPr>
        <w:adjustRightInd w:val="0"/>
        <w:snapToGrid w:val="0"/>
        <w:spacing w:line="360" w:lineRule="auto"/>
        <w:rPr>
          <w:rFonts w:ascii="宋体" w:hAnsi="宋体" w:eastAsia="宋体" w:cs="宋体"/>
          <w:b/>
          <w:bCs/>
          <w:szCs w:val="21"/>
        </w:rPr>
      </w:pPr>
    </w:p>
    <w:p w14:paraId="2B7AAC96">
      <w:pPr>
        <w:pStyle w:val="33"/>
        <w:adjustRightInd w:val="0"/>
        <w:snapToGrid w:val="0"/>
        <w:spacing w:before="156" w:after="120" w:line="360" w:lineRule="auto"/>
        <w:rPr>
          <w:rFonts w:hAnsi="宋体" w:cs="宋体"/>
          <w:sz w:val="21"/>
          <w:szCs w:val="21"/>
        </w:rPr>
      </w:pPr>
    </w:p>
    <w:p w14:paraId="24D785E4">
      <w:pPr>
        <w:adjustRightInd w:val="0"/>
        <w:snapToGrid w:val="0"/>
        <w:spacing w:line="360" w:lineRule="auto"/>
        <w:rPr>
          <w:rFonts w:ascii="宋体" w:hAnsi="宋体" w:eastAsia="宋体" w:cs="宋体"/>
          <w:szCs w:val="21"/>
        </w:rPr>
      </w:pPr>
    </w:p>
    <w:p w14:paraId="58DA06C3">
      <w:pPr>
        <w:adjustRightInd w:val="0"/>
        <w:snapToGrid w:val="0"/>
        <w:spacing w:line="360" w:lineRule="auto"/>
        <w:rPr>
          <w:rFonts w:ascii="宋体" w:hAnsi="宋体" w:eastAsia="宋体" w:cs="宋体"/>
          <w:szCs w:val="21"/>
        </w:rPr>
      </w:pPr>
    </w:p>
    <w:p w14:paraId="079A4D9B">
      <w:pPr>
        <w:adjustRightInd w:val="0"/>
        <w:snapToGrid w:val="0"/>
        <w:spacing w:line="360" w:lineRule="auto"/>
        <w:rPr>
          <w:rFonts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50E2BE4A">
      <w:pPr>
        <w:wordWrap w:val="0"/>
        <w:spacing w:line="360" w:lineRule="auto"/>
        <w:rPr>
          <w:rFonts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51B14710">
      <w:pPr>
        <w:spacing w:line="360" w:lineRule="exac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772B89EC">
      <w:pPr>
        <w:rPr>
          <w:rFonts w:ascii="宋体" w:hAnsi="宋体" w:eastAsia="宋体" w:cs="宋体"/>
        </w:rPr>
      </w:pPr>
    </w:p>
    <w:p w14:paraId="7EEEF8DB">
      <w:pPr>
        <w:spacing w:line="360" w:lineRule="auto"/>
        <w:jc w:val="center"/>
        <w:rPr>
          <w:rFonts w:ascii="宋体" w:hAnsi="宋体" w:eastAsia="宋体" w:cs="宋体"/>
          <w:b/>
          <w:sz w:val="30"/>
          <w:szCs w:val="30"/>
        </w:rPr>
      </w:pPr>
    </w:p>
    <w:p w14:paraId="3E029E24">
      <w:pPr>
        <w:spacing w:line="360" w:lineRule="auto"/>
        <w:jc w:val="center"/>
        <w:rPr>
          <w:rFonts w:ascii="宋体" w:hAnsi="宋体" w:eastAsia="宋体" w:cs="宋体"/>
          <w:b/>
          <w:sz w:val="30"/>
          <w:szCs w:val="30"/>
        </w:rPr>
      </w:pPr>
    </w:p>
    <w:p w14:paraId="7B540397">
      <w:pPr>
        <w:spacing w:line="360" w:lineRule="auto"/>
        <w:jc w:val="center"/>
        <w:rPr>
          <w:rFonts w:ascii="宋体" w:hAnsi="宋体" w:eastAsia="宋体" w:cs="宋体"/>
          <w:b/>
          <w:sz w:val="30"/>
          <w:szCs w:val="30"/>
        </w:rPr>
      </w:pPr>
    </w:p>
    <w:p w14:paraId="4DC44E8D">
      <w:pPr>
        <w:pStyle w:val="3"/>
        <w:rPr>
          <w:rFonts w:ascii="宋体" w:hAnsi="宋体" w:eastAsia="宋体" w:cs="宋体"/>
        </w:rPr>
      </w:pPr>
    </w:p>
    <w:p w14:paraId="7674F142">
      <w:pPr>
        <w:spacing w:line="360" w:lineRule="auto"/>
        <w:jc w:val="center"/>
        <w:rPr>
          <w:rFonts w:ascii="宋体" w:hAnsi="宋体" w:eastAsia="宋体" w:cs="宋体"/>
          <w:b/>
          <w:sz w:val="30"/>
          <w:szCs w:val="30"/>
        </w:rPr>
      </w:pPr>
      <w:r>
        <w:rPr>
          <w:rFonts w:hint="eastAsia" w:ascii="宋体" w:hAnsi="宋体" w:eastAsia="宋体" w:cs="宋体"/>
          <w:b/>
          <w:sz w:val="30"/>
          <w:szCs w:val="30"/>
        </w:rPr>
        <w:t>九、相关案例证明材料</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069"/>
      </w:tblGrid>
      <w:tr w14:paraId="742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263EA3E">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59" w:type="dxa"/>
            <w:vAlign w:val="center"/>
          </w:tcPr>
          <w:p w14:paraId="29A237BB">
            <w:pPr>
              <w:spacing w:line="360" w:lineRule="auto"/>
              <w:jc w:val="center"/>
              <w:rPr>
                <w:rFonts w:ascii="宋体" w:hAnsi="宋体" w:eastAsia="宋体" w:cs="宋体"/>
                <w:b/>
                <w:szCs w:val="21"/>
              </w:rPr>
            </w:pPr>
            <w:r>
              <w:rPr>
                <w:rFonts w:hint="eastAsia" w:ascii="宋体" w:hAnsi="宋体" w:eastAsia="宋体" w:cs="宋体"/>
                <w:b/>
                <w:szCs w:val="21"/>
              </w:rPr>
              <w:t>业主名称</w:t>
            </w:r>
          </w:p>
        </w:tc>
        <w:tc>
          <w:tcPr>
            <w:tcW w:w="3260" w:type="dxa"/>
            <w:vAlign w:val="center"/>
          </w:tcPr>
          <w:p w14:paraId="0A3039A0">
            <w:pPr>
              <w:spacing w:line="360" w:lineRule="auto"/>
              <w:jc w:val="center"/>
              <w:rPr>
                <w:rFonts w:ascii="宋体" w:hAnsi="宋体" w:eastAsia="宋体" w:cs="宋体"/>
                <w:b/>
                <w:szCs w:val="21"/>
              </w:rPr>
            </w:pPr>
            <w:r>
              <w:rPr>
                <w:rFonts w:hint="eastAsia" w:ascii="宋体" w:hAnsi="宋体" w:eastAsia="宋体" w:cs="宋体"/>
                <w:b/>
                <w:szCs w:val="21"/>
              </w:rPr>
              <w:t>项目名称</w:t>
            </w:r>
          </w:p>
        </w:tc>
        <w:tc>
          <w:tcPr>
            <w:tcW w:w="1200" w:type="dxa"/>
            <w:vAlign w:val="center"/>
          </w:tcPr>
          <w:p w14:paraId="78DD48FE">
            <w:pPr>
              <w:spacing w:line="360" w:lineRule="auto"/>
              <w:jc w:val="center"/>
              <w:rPr>
                <w:rFonts w:ascii="宋体" w:hAnsi="宋体" w:eastAsia="宋体" w:cs="宋体"/>
                <w:b/>
                <w:szCs w:val="21"/>
              </w:rPr>
            </w:pPr>
            <w:r>
              <w:rPr>
                <w:rFonts w:hint="eastAsia" w:ascii="宋体" w:hAnsi="宋体" w:eastAsia="宋体" w:cs="宋体"/>
                <w:b/>
                <w:szCs w:val="21"/>
              </w:rPr>
              <w:t>合同金额</w:t>
            </w:r>
          </w:p>
        </w:tc>
        <w:tc>
          <w:tcPr>
            <w:tcW w:w="1559" w:type="dxa"/>
            <w:vAlign w:val="center"/>
          </w:tcPr>
          <w:p w14:paraId="65C67D55">
            <w:pPr>
              <w:spacing w:line="360" w:lineRule="auto"/>
              <w:jc w:val="center"/>
              <w:rPr>
                <w:rFonts w:ascii="宋体" w:hAnsi="宋体" w:eastAsia="宋体" w:cs="宋体"/>
                <w:b/>
                <w:szCs w:val="21"/>
              </w:rPr>
            </w:pPr>
            <w:r>
              <w:rPr>
                <w:rFonts w:hint="eastAsia" w:ascii="宋体" w:hAnsi="宋体" w:eastAsia="宋体" w:cs="宋体"/>
                <w:b/>
                <w:szCs w:val="21"/>
              </w:rPr>
              <w:t>业主联系人及联系方式</w:t>
            </w:r>
          </w:p>
        </w:tc>
        <w:tc>
          <w:tcPr>
            <w:tcW w:w="1069" w:type="dxa"/>
            <w:vAlign w:val="center"/>
          </w:tcPr>
          <w:p w14:paraId="7CBCAA01">
            <w:pPr>
              <w:snapToGrid w:val="0"/>
              <w:jc w:val="center"/>
              <w:rPr>
                <w:rFonts w:ascii="宋体" w:hAnsi="宋体" w:eastAsia="宋体" w:cs="宋体"/>
                <w:b/>
                <w:szCs w:val="21"/>
              </w:rPr>
            </w:pPr>
            <w:r>
              <w:rPr>
                <w:rFonts w:hint="eastAsia" w:ascii="宋体" w:hAnsi="宋体" w:eastAsia="宋体" w:cs="宋体"/>
                <w:b/>
                <w:szCs w:val="21"/>
              </w:rPr>
              <w:t>附件</w:t>
            </w:r>
          </w:p>
          <w:p w14:paraId="49BD54F4">
            <w:pPr>
              <w:snapToGrid w:val="0"/>
              <w:jc w:val="center"/>
              <w:rPr>
                <w:rFonts w:ascii="宋体" w:hAnsi="宋体" w:eastAsia="宋体" w:cs="宋体"/>
                <w:b/>
                <w:szCs w:val="21"/>
              </w:rPr>
            </w:pPr>
            <w:r>
              <w:rPr>
                <w:rFonts w:hint="eastAsia" w:ascii="宋体" w:hAnsi="宋体" w:eastAsia="宋体" w:cs="宋体"/>
                <w:b/>
                <w:szCs w:val="21"/>
              </w:rPr>
              <w:t>页码</w:t>
            </w:r>
          </w:p>
        </w:tc>
      </w:tr>
      <w:tr w14:paraId="5E9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FA9A850">
            <w:pPr>
              <w:spacing w:line="360" w:lineRule="auto"/>
              <w:rPr>
                <w:rFonts w:ascii="宋体" w:hAnsi="宋体" w:eastAsia="宋体" w:cs="宋体"/>
                <w:b/>
                <w:szCs w:val="21"/>
              </w:rPr>
            </w:pPr>
          </w:p>
        </w:tc>
        <w:tc>
          <w:tcPr>
            <w:tcW w:w="1559" w:type="dxa"/>
          </w:tcPr>
          <w:p w14:paraId="41D647F2">
            <w:pPr>
              <w:spacing w:line="360" w:lineRule="auto"/>
              <w:rPr>
                <w:rFonts w:ascii="宋体" w:hAnsi="宋体" w:eastAsia="宋体" w:cs="宋体"/>
                <w:b/>
                <w:szCs w:val="21"/>
              </w:rPr>
            </w:pPr>
          </w:p>
        </w:tc>
        <w:tc>
          <w:tcPr>
            <w:tcW w:w="3260" w:type="dxa"/>
          </w:tcPr>
          <w:p w14:paraId="0643F903">
            <w:pPr>
              <w:spacing w:line="360" w:lineRule="auto"/>
              <w:rPr>
                <w:rFonts w:ascii="宋体" w:hAnsi="宋体" w:eastAsia="宋体" w:cs="宋体"/>
                <w:b/>
                <w:szCs w:val="21"/>
              </w:rPr>
            </w:pPr>
          </w:p>
        </w:tc>
        <w:tc>
          <w:tcPr>
            <w:tcW w:w="1200" w:type="dxa"/>
          </w:tcPr>
          <w:p w14:paraId="3C091707">
            <w:pPr>
              <w:spacing w:line="360" w:lineRule="auto"/>
              <w:rPr>
                <w:rFonts w:ascii="宋体" w:hAnsi="宋体" w:eastAsia="宋体" w:cs="宋体"/>
                <w:b/>
                <w:szCs w:val="21"/>
              </w:rPr>
            </w:pPr>
          </w:p>
        </w:tc>
        <w:tc>
          <w:tcPr>
            <w:tcW w:w="1559" w:type="dxa"/>
          </w:tcPr>
          <w:p w14:paraId="433D0EBF">
            <w:pPr>
              <w:spacing w:line="360" w:lineRule="auto"/>
              <w:rPr>
                <w:rFonts w:ascii="宋体" w:hAnsi="宋体" w:eastAsia="宋体" w:cs="宋体"/>
                <w:b/>
                <w:szCs w:val="21"/>
              </w:rPr>
            </w:pPr>
          </w:p>
        </w:tc>
        <w:tc>
          <w:tcPr>
            <w:tcW w:w="1069" w:type="dxa"/>
          </w:tcPr>
          <w:p w14:paraId="6FDB6E91">
            <w:pPr>
              <w:spacing w:line="360" w:lineRule="auto"/>
              <w:rPr>
                <w:rFonts w:ascii="宋体" w:hAnsi="宋体" w:eastAsia="宋体" w:cs="宋体"/>
                <w:b/>
                <w:szCs w:val="21"/>
              </w:rPr>
            </w:pPr>
          </w:p>
        </w:tc>
      </w:tr>
      <w:tr w14:paraId="46B8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1A0DD8">
            <w:pPr>
              <w:spacing w:line="360" w:lineRule="auto"/>
              <w:rPr>
                <w:rFonts w:ascii="宋体" w:hAnsi="宋体" w:eastAsia="宋体" w:cs="宋体"/>
                <w:b/>
                <w:szCs w:val="21"/>
              </w:rPr>
            </w:pPr>
          </w:p>
        </w:tc>
        <w:tc>
          <w:tcPr>
            <w:tcW w:w="1559" w:type="dxa"/>
          </w:tcPr>
          <w:p w14:paraId="3A2F85C8">
            <w:pPr>
              <w:spacing w:line="360" w:lineRule="auto"/>
              <w:rPr>
                <w:rFonts w:ascii="宋体" w:hAnsi="宋体" w:eastAsia="宋体" w:cs="宋体"/>
                <w:b/>
                <w:szCs w:val="21"/>
              </w:rPr>
            </w:pPr>
          </w:p>
        </w:tc>
        <w:tc>
          <w:tcPr>
            <w:tcW w:w="3260" w:type="dxa"/>
          </w:tcPr>
          <w:p w14:paraId="1B930EF5">
            <w:pPr>
              <w:spacing w:line="360" w:lineRule="auto"/>
              <w:rPr>
                <w:rFonts w:ascii="宋体" w:hAnsi="宋体" w:eastAsia="宋体" w:cs="宋体"/>
                <w:b/>
                <w:szCs w:val="21"/>
              </w:rPr>
            </w:pPr>
          </w:p>
        </w:tc>
        <w:tc>
          <w:tcPr>
            <w:tcW w:w="1200" w:type="dxa"/>
          </w:tcPr>
          <w:p w14:paraId="6E480758">
            <w:pPr>
              <w:spacing w:line="360" w:lineRule="auto"/>
              <w:rPr>
                <w:rFonts w:ascii="宋体" w:hAnsi="宋体" w:eastAsia="宋体" w:cs="宋体"/>
                <w:b/>
                <w:szCs w:val="21"/>
              </w:rPr>
            </w:pPr>
          </w:p>
        </w:tc>
        <w:tc>
          <w:tcPr>
            <w:tcW w:w="1559" w:type="dxa"/>
          </w:tcPr>
          <w:p w14:paraId="173EBAA2">
            <w:pPr>
              <w:spacing w:line="360" w:lineRule="auto"/>
              <w:rPr>
                <w:rFonts w:ascii="宋体" w:hAnsi="宋体" w:eastAsia="宋体" w:cs="宋体"/>
                <w:b/>
                <w:szCs w:val="21"/>
              </w:rPr>
            </w:pPr>
          </w:p>
        </w:tc>
        <w:tc>
          <w:tcPr>
            <w:tcW w:w="1069" w:type="dxa"/>
          </w:tcPr>
          <w:p w14:paraId="0644AD49">
            <w:pPr>
              <w:spacing w:line="360" w:lineRule="auto"/>
              <w:rPr>
                <w:rFonts w:ascii="宋体" w:hAnsi="宋体" w:eastAsia="宋体" w:cs="宋体"/>
                <w:b/>
                <w:szCs w:val="21"/>
              </w:rPr>
            </w:pPr>
          </w:p>
        </w:tc>
      </w:tr>
      <w:tr w14:paraId="427E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F3097D7">
            <w:pPr>
              <w:spacing w:line="360" w:lineRule="auto"/>
              <w:rPr>
                <w:rFonts w:ascii="宋体" w:hAnsi="宋体" w:eastAsia="宋体" w:cs="宋体"/>
                <w:b/>
                <w:szCs w:val="21"/>
              </w:rPr>
            </w:pPr>
          </w:p>
        </w:tc>
        <w:tc>
          <w:tcPr>
            <w:tcW w:w="1559" w:type="dxa"/>
          </w:tcPr>
          <w:p w14:paraId="41130153">
            <w:pPr>
              <w:spacing w:line="360" w:lineRule="auto"/>
              <w:rPr>
                <w:rFonts w:ascii="宋体" w:hAnsi="宋体" w:eastAsia="宋体" w:cs="宋体"/>
                <w:b/>
                <w:szCs w:val="21"/>
              </w:rPr>
            </w:pPr>
          </w:p>
        </w:tc>
        <w:tc>
          <w:tcPr>
            <w:tcW w:w="3260" w:type="dxa"/>
          </w:tcPr>
          <w:p w14:paraId="418FDF8E">
            <w:pPr>
              <w:spacing w:line="360" w:lineRule="auto"/>
              <w:rPr>
                <w:rFonts w:ascii="宋体" w:hAnsi="宋体" w:eastAsia="宋体" w:cs="宋体"/>
                <w:b/>
                <w:szCs w:val="21"/>
              </w:rPr>
            </w:pPr>
          </w:p>
        </w:tc>
        <w:tc>
          <w:tcPr>
            <w:tcW w:w="1200" w:type="dxa"/>
          </w:tcPr>
          <w:p w14:paraId="5DE6FF84">
            <w:pPr>
              <w:spacing w:line="360" w:lineRule="auto"/>
              <w:rPr>
                <w:rFonts w:ascii="宋体" w:hAnsi="宋体" w:eastAsia="宋体" w:cs="宋体"/>
                <w:b/>
                <w:szCs w:val="21"/>
              </w:rPr>
            </w:pPr>
          </w:p>
        </w:tc>
        <w:tc>
          <w:tcPr>
            <w:tcW w:w="1559" w:type="dxa"/>
          </w:tcPr>
          <w:p w14:paraId="0C1E2548">
            <w:pPr>
              <w:spacing w:line="360" w:lineRule="auto"/>
              <w:rPr>
                <w:rFonts w:ascii="宋体" w:hAnsi="宋体" w:eastAsia="宋体" w:cs="宋体"/>
                <w:b/>
                <w:szCs w:val="21"/>
              </w:rPr>
            </w:pPr>
          </w:p>
        </w:tc>
        <w:tc>
          <w:tcPr>
            <w:tcW w:w="1069" w:type="dxa"/>
          </w:tcPr>
          <w:p w14:paraId="59A1961C">
            <w:pPr>
              <w:spacing w:line="360" w:lineRule="auto"/>
              <w:rPr>
                <w:rFonts w:ascii="宋体" w:hAnsi="宋体" w:eastAsia="宋体" w:cs="宋体"/>
                <w:b/>
                <w:szCs w:val="21"/>
              </w:rPr>
            </w:pPr>
          </w:p>
        </w:tc>
      </w:tr>
      <w:tr w14:paraId="5E00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57CEF1">
            <w:pPr>
              <w:spacing w:line="360" w:lineRule="auto"/>
              <w:rPr>
                <w:rFonts w:ascii="宋体" w:hAnsi="宋体" w:eastAsia="宋体" w:cs="宋体"/>
                <w:b/>
                <w:szCs w:val="21"/>
              </w:rPr>
            </w:pPr>
          </w:p>
        </w:tc>
        <w:tc>
          <w:tcPr>
            <w:tcW w:w="1559" w:type="dxa"/>
          </w:tcPr>
          <w:p w14:paraId="6361E8F8">
            <w:pPr>
              <w:spacing w:line="360" w:lineRule="auto"/>
              <w:rPr>
                <w:rFonts w:ascii="宋体" w:hAnsi="宋体" w:eastAsia="宋体" w:cs="宋体"/>
                <w:b/>
                <w:szCs w:val="21"/>
              </w:rPr>
            </w:pPr>
          </w:p>
        </w:tc>
        <w:tc>
          <w:tcPr>
            <w:tcW w:w="3260" w:type="dxa"/>
          </w:tcPr>
          <w:p w14:paraId="72A267C8">
            <w:pPr>
              <w:spacing w:line="360" w:lineRule="auto"/>
              <w:rPr>
                <w:rFonts w:ascii="宋体" w:hAnsi="宋体" w:eastAsia="宋体" w:cs="宋体"/>
                <w:b/>
                <w:szCs w:val="21"/>
              </w:rPr>
            </w:pPr>
          </w:p>
        </w:tc>
        <w:tc>
          <w:tcPr>
            <w:tcW w:w="1200" w:type="dxa"/>
          </w:tcPr>
          <w:p w14:paraId="41C2BF45">
            <w:pPr>
              <w:spacing w:line="360" w:lineRule="auto"/>
              <w:rPr>
                <w:rFonts w:ascii="宋体" w:hAnsi="宋体" w:eastAsia="宋体" w:cs="宋体"/>
                <w:b/>
                <w:szCs w:val="21"/>
              </w:rPr>
            </w:pPr>
          </w:p>
        </w:tc>
        <w:tc>
          <w:tcPr>
            <w:tcW w:w="1559" w:type="dxa"/>
          </w:tcPr>
          <w:p w14:paraId="17283CA7">
            <w:pPr>
              <w:spacing w:line="360" w:lineRule="auto"/>
              <w:rPr>
                <w:rFonts w:ascii="宋体" w:hAnsi="宋体" w:eastAsia="宋体" w:cs="宋体"/>
                <w:b/>
                <w:szCs w:val="21"/>
              </w:rPr>
            </w:pPr>
          </w:p>
        </w:tc>
        <w:tc>
          <w:tcPr>
            <w:tcW w:w="1069" w:type="dxa"/>
          </w:tcPr>
          <w:p w14:paraId="3174B297">
            <w:pPr>
              <w:spacing w:line="360" w:lineRule="auto"/>
              <w:rPr>
                <w:rFonts w:ascii="宋体" w:hAnsi="宋体" w:eastAsia="宋体" w:cs="宋体"/>
                <w:b/>
                <w:szCs w:val="21"/>
              </w:rPr>
            </w:pPr>
          </w:p>
        </w:tc>
      </w:tr>
      <w:tr w14:paraId="0DBB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6C2D3D7">
            <w:pPr>
              <w:spacing w:line="360" w:lineRule="auto"/>
              <w:rPr>
                <w:rFonts w:ascii="宋体" w:hAnsi="宋体" w:eastAsia="宋体" w:cs="宋体"/>
                <w:b/>
                <w:szCs w:val="21"/>
              </w:rPr>
            </w:pPr>
          </w:p>
        </w:tc>
        <w:tc>
          <w:tcPr>
            <w:tcW w:w="1559" w:type="dxa"/>
          </w:tcPr>
          <w:p w14:paraId="68B2B76D">
            <w:pPr>
              <w:spacing w:line="360" w:lineRule="auto"/>
              <w:rPr>
                <w:rFonts w:ascii="宋体" w:hAnsi="宋体" w:eastAsia="宋体" w:cs="宋体"/>
                <w:b/>
                <w:szCs w:val="21"/>
              </w:rPr>
            </w:pPr>
          </w:p>
        </w:tc>
        <w:tc>
          <w:tcPr>
            <w:tcW w:w="3260" w:type="dxa"/>
          </w:tcPr>
          <w:p w14:paraId="25689E98">
            <w:pPr>
              <w:spacing w:line="360" w:lineRule="auto"/>
              <w:rPr>
                <w:rFonts w:ascii="宋体" w:hAnsi="宋体" w:eastAsia="宋体" w:cs="宋体"/>
                <w:b/>
                <w:szCs w:val="21"/>
              </w:rPr>
            </w:pPr>
          </w:p>
        </w:tc>
        <w:tc>
          <w:tcPr>
            <w:tcW w:w="1200" w:type="dxa"/>
          </w:tcPr>
          <w:p w14:paraId="5F685279">
            <w:pPr>
              <w:spacing w:line="360" w:lineRule="auto"/>
              <w:rPr>
                <w:rFonts w:ascii="宋体" w:hAnsi="宋体" w:eastAsia="宋体" w:cs="宋体"/>
                <w:b/>
                <w:szCs w:val="21"/>
              </w:rPr>
            </w:pPr>
          </w:p>
        </w:tc>
        <w:tc>
          <w:tcPr>
            <w:tcW w:w="1559" w:type="dxa"/>
          </w:tcPr>
          <w:p w14:paraId="68BE88E3">
            <w:pPr>
              <w:spacing w:line="360" w:lineRule="auto"/>
              <w:rPr>
                <w:rFonts w:ascii="宋体" w:hAnsi="宋体" w:eastAsia="宋体" w:cs="宋体"/>
                <w:b/>
                <w:szCs w:val="21"/>
              </w:rPr>
            </w:pPr>
          </w:p>
        </w:tc>
        <w:tc>
          <w:tcPr>
            <w:tcW w:w="1069" w:type="dxa"/>
          </w:tcPr>
          <w:p w14:paraId="5F94186A">
            <w:pPr>
              <w:spacing w:line="360" w:lineRule="auto"/>
              <w:rPr>
                <w:rFonts w:ascii="宋体" w:hAnsi="宋体" w:eastAsia="宋体" w:cs="宋体"/>
                <w:b/>
                <w:szCs w:val="21"/>
              </w:rPr>
            </w:pPr>
          </w:p>
        </w:tc>
      </w:tr>
      <w:tr w14:paraId="0F6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001BB4">
            <w:pPr>
              <w:spacing w:line="360" w:lineRule="auto"/>
              <w:rPr>
                <w:rFonts w:ascii="宋体" w:hAnsi="宋体" w:eastAsia="宋体" w:cs="宋体"/>
                <w:b/>
                <w:szCs w:val="21"/>
              </w:rPr>
            </w:pPr>
          </w:p>
        </w:tc>
        <w:tc>
          <w:tcPr>
            <w:tcW w:w="1559" w:type="dxa"/>
          </w:tcPr>
          <w:p w14:paraId="37FDD108">
            <w:pPr>
              <w:spacing w:line="360" w:lineRule="auto"/>
              <w:rPr>
                <w:rFonts w:ascii="宋体" w:hAnsi="宋体" w:eastAsia="宋体" w:cs="宋体"/>
                <w:b/>
                <w:szCs w:val="21"/>
              </w:rPr>
            </w:pPr>
          </w:p>
        </w:tc>
        <w:tc>
          <w:tcPr>
            <w:tcW w:w="3260" w:type="dxa"/>
          </w:tcPr>
          <w:p w14:paraId="16DE78AF">
            <w:pPr>
              <w:spacing w:line="360" w:lineRule="auto"/>
              <w:rPr>
                <w:rFonts w:ascii="宋体" w:hAnsi="宋体" w:eastAsia="宋体" w:cs="宋体"/>
                <w:b/>
                <w:szCs w:val="21"/>
              </w:rPr>
            </w:pPr>
          </w:p>
        </w:tc>
        <w:tc>
          <w:tcPr>
            <w:tcW w:w="1200" w:type="dxa"/>
          </w:tcPr>
          <w:p w14:paraId="2714361D">
            <w:pPr>
              <w:spacing w:line="360" w:lineRule="auto"/>
              <w:rPr>
                <w:rFonts w:ascii="宋体" w:hAnsi="宋体" w:eastAsia="宋体" w:cs="宋体"/>
                <w:b/>
                <w:szCs w:val="21"/>
              </w:rPr>
            </w:pPr>
          </w:p>
        </w:tc>
        <w:tc>
          <w:tcPr>
            <w:tcW w:w="1559" w:type="dxa"/>
          </w:tcPr>
          <w:p w14:paraId="7DBC3426">
            <w:pPr>
              <w:spacing w:line="360" w:lineRule="auto"/>
              <w:rPr>
                <w:rFonts w:ascii="宋体" w:hAnsi="宋体" w:eastAsia="宋体" w:cs="宋体"/>
                <w:b/>
                <w:szCs w:val="21"/>
              </w:rPr>
            </w:pPr>
          </w:p>
        </w:tc>
        <w:tc>
          <w:tcPr>
            <w:tcW w:w="1069" w:type="dxa"/>
          </w:tcPr>
          <w:p w14:paraId="36F6E46D">
            <w:pPr>
              <w:spacing w:line="360" w:lineRule="auto"/>
              <w:rPr>
                <w:rFonts w:ascii="宋体" w:hAnsi="宋体" w:eastAsia="宋体" w:cs="宋体"/>
                <w:b/>
                <w:szCs w:val="21"/>
              </w:rPr>
            </w:pPr>
          </w:p>
        </w:tc>
      </w:tr>
      <w:tr w14:paraId="58E2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CDCFD64">
            <w:pPr>
              <w:spacing w:line="360" w:lineRule="auto"/>
              <w:rPr>
                <w:rFonts w:ascii="宋体" w:hAnsi="宋体" w:eastAsia="宋体" w:cs="宋体"/>
                <w:b/>
                <w:szCs w:val="21"/>
              </w:rPr>
            </w:pPr>
          </w:p>
        </w:tc>
        <w:tc>
          <w:tcPr>
            <w:tcW w:w="1559" w:type="dxa"/>
          </w:tcPr>
          <w:p w14:paraId="53CEEAEE">
            <w:pPr>
              <w:spacing w:line="360" w:lineRule="auto"/>
              <w:rPr>
                <w:rFonts w:ascii="宋体" w:hAnsi="宋体" w:eastAsia="宋体" w:cs="宋体"/>
                <w:b/>
                <w:szCs w:val="21"/>
              </w:rPr>
            </w:pPr>
          </w:p>
        </w:tc>
        <w:tc>
          <w:tcPr>
            <w:tcW w:w="3260" w:type="dxa"/>
          </w:tcPr>
          <w:p w14:paraId="17E3B21E">
            <w:pPr>
              <w:spacing w:line="360" w:lineRule="auto"/>
              <w:rPr>
                <w:rFonts w:ascii="宋体" w:hAnsi="宋体" w:eastAsia="宋体" w:cs="宋体"/>
                <w:b/>
                <w:szCs w:val="21"/>
              </w:rPr>
            </w:pPr>
          </w:p>
        </w:tc>
        <w:tc>
          <w:tcPr>
            <w:tcW w:w="1200" w:type="dxa"/>
          </w:tcPr>
          <w:p w14:paraId="3643DCA7">
            <w:pPr>
              <w:spacing w:line="360" w:lineRule="auto"/>
              <w:rPr>
                <w:rFonts w:ascii="宋体" w:hAnsi="宋体" w:eastAsia="宋体" w:cs="宋体"/>
                <w:b/>
                <w:szCs w:val="21"/>
              </w:rPr>
            </w:pPr>
          </w:p>
        </w:tc>
        <w:tc>
          <w:tcPr>
            <w:tcW w:w="1559" w:type="dxa"/>
          </w:tcPr>
          <w:p w14:paraId="6D621FF0">
            <w:pPr>
              <w:spacing w:line="360" w:lineRule="auto"/>
              <w:rPr>
                <w:rFonts w:ascii="宋体" w:hAnsi="宋体" w:eastAsia="宋体" w:cs="宋体"/>
                <w:b/>
                <w:szCs w:val="21"/>
              </w:rPr>
            </w:pPr>
          </w:p>
        </w:tc>
        <w:tc>
          <w:tcPr>
            <w:tcW w:w="1069" w:type="dxa"/>
          </w:tcPr>
          <w:p w14:paraId="303E4DD4">
            <w:pPr>
              <w:spacing w:line="360" w:lineRule="auto"/>
              <w:rPr>
                <w:rFonts w:ascii="宋体" w:hAnsi="宋体" w:eastAsia="宋体" w:cs="宋体"/>
                <w:b/>
                <w:szCs w:val="21"/>
              </w:rPr>
            </w:pPr>
          </w:p>
        </w:tc>
      </w:tr>
      <w:tr w14:paraId="0850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96B353">
            <w:pPr>
              <w:spacing w:line="360" w:lineRule="auto"/>
              <w:rPr>
                <w:rFonts w:ascii="宋体" w:hAnsi="宋体" w:eastAsia="宋体" w:cs="宋体"/>
                <w:b/>
                <w:szCs w:val="21"/>
              </w:rPr>
            </w:pPr>
          </w:p>
        </w:tc>
        <w:tc>
          <w:tcPr>
            <w:tcW w:w="1559" w:type="dxa"/>
          </w:tcPr>
          <w:p w14:paraId="1D22B738">
            <w:pPr>
              <w:spacing w:line="360" w:lineRule="auto"/>
              <w:rPr>
                <w:rFonts w:ascii="宋体" w:hAnsi="宋体" w:eastAsia="宋体" w:cs="宋体"/>
                <w:b/>
                <w:szCs w:val="21"/>
              </w:rPr>
            </w:pPr>
          </w:p>
        </w:tc>
        <w:tc>
          <w:tcPr>
            <w:tcW w:w="3260" w:type="dxa"/>
          </w:tcPr>
          <w:p w14:paraId="58FC502B">
            <w:pPr>
              <w:spacing w:line="360" w:lineRule="auto"/>
              <w:rPr>
                <w:rFonts w:ascii="宋体" w:hAnsi="宋体" w:eastAsia="宋体" w:cs="宋体"/>
                <w:b/>
                <w:szCs w:val="21"/>
              </w:rPr>
            </w:pPr>
          </w:p>
        </w:tc>
        <w:tc>
          <w:tcPr>
            <w:tcW w:w="1200" w:type="dxa"/>
          </w:tcPr>
          <w:p w14:paraId="3E4BAA13">
            <w:pPr>
              <w:spacing w:line="360" w:lineRule="auto"/>
              <w:rPr>
                <w:rFonts w:ascii="宋体" w:hAnsi="宋体" w:eastAsia="宋体" w:cs="宋体"/>
                <w:b/>
                <w:szCs w:val="21"/>
              </w:rPr>
            </w:pPr>
          </w:p>
        </w:tc>
        <w:tc>
          <w:tcPr>
            <w:tcW w:w="1559" w:type="dxa"/>
          </w:tcPr>
          <w:p w14:paraId="026E3E7A">
            <w:pPr>
              <w:spacing w:line="360" w:lineRule="auto"/>
              <w:rPr>
                <w:rFonts w:ascii="宋体" w:hAnsi="宋体" w:eastAsia="宋体" w:cs="宋体"/>
                <w:b/>
                <w:szCs w:val="21"/>
              </w:rPr>
            </w:pPr>
          </w:p>
        </w:tc>
        <w:tc>
          <w:tcPr>
            <w:tcW w:w="1069" w:type="dxa"/>
          </w:tcPr>
          <w:p w14:paraId="59CB4ED9">
            <w:pPr>
              <w:spacing w:line="360" w:lineRule="auto"/>
              <w:rPr>
                <w:rFonts w:ascii="宋体" w:hAnsi="宋体" w:eastAsia="宋体" w:cs="宋体"/>
                <w:b/>
                <w:szCs w:val="21"/>
              </w:rPr>
            </w:pPr>
          </w:p>
        </w:tc>
      </w:tr>
      <w:tr w14:paraId="3AE7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B9407A">
            <w:pPr>
              <w:spacing w:line="360" w:lineRule="auto"/>
              <w:rPr>
                <w:rFonts w:ascii="宋体" w:hAnsi="宋体" w:eastAsia="宋体" w:cs="宋体"/>
                <w:b/>
                <w:szCs w:val="21"/>
              </w:rPr>
            </w:pPr>
          </w:p>
        </w:tc>
        <w:tc>
          <w:tcPr>
            <w:tcW w:w="1559" w:type="dxa"/>
          </w:tcPr>
          <w:p w14:paraId="22E8C580">
            <w:pPr>
              <w:spacing w:line="360" w:lineRule="auto"/>
              <w:rPr>
                <w:rFonts w:ascii="宋体" w:hAnsi="宋体" w:eastAsia="宋体" w:cs="宋体"/>
                <w:b/>
                <w:szCs w:val="21"/>
              </w:rPr>
            </w:pPr>
          </w:p>
        </w:tc>
        <w:tc>
          <w:tcPr>
            <w:tcW w:w="3260" w:type="dxa"/>
          </w:tcPr>
          <w:p w14:paraId="6477F8C6">
            <w:pPr>
              <w:spacing w:line="360" w:lineRule="auto"/>
              <w:rPr>
                <w:rFonts w:ascii="宋体" w:hAnsi="宋体" w:eastAsia="宋体" w:cs="宋体"/>
                <w:b/>
                <w:szCs w:val="21"/>
              </w:rPr>
            </w:pPr>
          </w:p>
        </w:tc>
        <w:tc>
          <w:tcPr>
            <w:tcW w:w="1200" w:type="dxa"/>
          </w:tcPr>
          <w:p w14:paraId="62E5CF83">
            <w:pPr>
              <w:spacing w:line="360" w:lineRule="auto"/>
              <w:rPr>
                <w:rFonts w:ascii="宋体" w:hAnsi="宋体" w:eastAsia="宋体" w:cs="宋体"/>
                <w:b/>
                <w:szCs w:val="21"/>
              </w:rPr>
            </w:pPr>
          </w:p>
        </w:tc>
        <w:tc>
          <w:tcPr>
            <w:tcW w:w="1559" w:type="dxa"/>
          </w:tcPr>
          <w:p w14:paraId="3293A104">
            <w:pPr>
              <w:spacing w:line="360" w:lineRule="auto"/>
              <w:rPr>
                <w:rFonts w:ascii="宋体" w:hAnsi="宋体" w:eastAsia="宋体" w:cs="宋体"/>
                <w:b/>
                <w:szCs w:val="21"/>
              </w:rPr>
            </w:pPr>
          </w:p>
        </w:tc>
        <w:tc>
          <w:tcPr>
            <w:tcW w:w="1069" w:type="dxa"/>
          </w:tcPr>
          <w:p w14:paraId="0F669189">
            <w:pPr>
              <w:spacing w:line="360" w:lineRule="auto"/>
              <w:rPr>
                <w:rFonts w:ascii="宋体" w:hAnsi="宋体" w:eastAsia="宋体" w:cs="宋体"/>
                <w:b/>
                <w:szCs w:val="21"/>
              </w:rPr>
            </w:pPr>
          </w:p>
        </w:tc>
      </w:tr>
      <w:tr w14:paraId="25B5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618472">
            <w:pPr>
              <w:spacing w:line="360" w:lineRule="auto"/>
              <w:rPr>
                <w:rFonts w:ascii="宋体" w:hAnsi="宋体" w:eastAsia="宋体" w:cs="宋体"/>
                <w:b/>
                <w:szCs w:val="21"/>
              </w:rPr>
            </w:pPr>
          </w:p>
        </w:tc>
        <w:tc>
          <w:tcPr>
            <w:tcW w:w="1559" w:type="dxa"/>
          </w:tcPr>
          <w:p w14:paraId="3A7E2D66">
            <w:pPr>
              <w:spacing w:line="360" w:lineRule="auto"/>
              <w:rPr>
                <w:rFonts w:ascii="宋体" w:hAnsi="宋体" w:eastAsia="宋体" w:cs="宋体"/>
                <w:b/>
                <w:szCs w:val="21"/>
              </w:rPr>
            </w:pPr>
          </w:p>
        </w:tc>
        <w:tc>
          <w:tcPr>
            <w:tcW w:w="3260" w:type="dxa"/>
          </w:tcPr>
          <w:p w14:paraId="7994CC92">
            <w:pPr>
              <w:spacing w:line="360" w:lineRule="auto"/>
              <w:rPr>
                <w:rFonts w:ascii="宋体" w:hAnsi="宋体" w:eastAsia="宋体" w:cs="宋体"/>
                <w:b/>
                <w:szCs w:val="21"/>
              </w:rPr>
            </w:pPr>
          </w:p>
        </w:tc>
        <w:tc>
          <w:tcPr>
            <w:tcW w:w="1200" w:type="dxa"/>
          </w:tcPr>
          <w:p w14:paraId="3FE73B9A">
            <w:pPr>
              <w:spacing w:line="360" w:lineRule="auto"/>
              <w:rPr>
                <w:rFonts w:ascii="宋体" w:hAnsi="宋体" w:eastAsia="宋体" w:cs="宋体"/>
                <w:b/>
                <w:szCs w:val="21"/>
              </w:rPr>
            </w:pPr>
          </w:p>
        </w:tc>
        <w:tc>
          <w:tcPr>
            <w:tcW w:w="1559" w:type="dxa"/>
          </w:tcPr>
          <w:p w14:paraId="6BDD9648">
            <w:pPr>
              <w:spacing w:line="360" w:lineRule="auto"/>
              <w:rPr>
                <w:rFonts w:ascii="宋体" w:hAnsi="宋体" w:eastAsia="宋体" w:cs="宋体"/>
                <w:b/>
                <w:szCs w:val="21"/>
              </w:rPr>
            </w:pPr>
          </w:p>
        </w:tc>
        <w:tc>
          <w:tcPr>
            <w:tcW w:w="1069" w:type="dxa"/>
          </w:tcPr>
          <w:p w14:paraId="2A27FEFE">
            <w:pPr>
              <w:spacing w:line="360" w:lineRule="auto"/>
              <w:rPr>
                <w:rFonts w:ascii="宋体" w:hAnsi="宋体" w:eastAsia="宋体" w:cs="宋体"/>
                <w:b/>
                <w:szCs w:val="21"/>
              </w:rPr>
            </w:pPr>
          </w:p>
        </w:tc>
      </w:tr>
    </w:tbl>
    <w:p w14:paraId="54A489F2">
      <w:pPr>
        <w:spacing w:line="360" w:lineRule="auto"/>
        <w:rPr>
          <w:rFonts w:ascii="宋体" w:hAnsi="宋体" w:eastAsia="宋体" w:cs="宋体"/>
          <w:b/>
          <w:bCs/>
          <w:szCs w:val="21"/>
        </w:rPr>
      </w:pPr>
      <w:r>
        <w:rPr>
          <w:rFonts w:hint="eastAsia" w:ascii="宋体" w:hAnsi="宋体" w:eastAsia="宋体" w:cs="宋体"/>
          <w:b/>
          <w:bCs/>
          <w:szCs w:val="21"/>
        </w:rPr>
        <w:t>注：相关证明材料后附，详见商务技术评分标准。</w:t>
      </w:r>
    </w:p>
    <w:p w14:paraId="281EE277">
      <w:pPr>
        <w:spacing w:line="360" w:lineRule="auto"/>
        <w:rPr>
          <w:rFonts w:ascii="宋体" w:hAnsi="宋体" w:eastAsia="宋体" w:cs="宋体"/>
          <w:b/>
          <w:spacing w:val="20"/>
          <w:szCs w:val="21"/>
        </w:rPr>
      </w:pPr>
    </w:p>
    <w:p w14:paraId="41E926DF">
      <w:pPr>
        <w:spacing w:line="360" w:lineRule="auto"/>
        <w:rPr>
          <w:rFonts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33ED4DBB">
      <w:pPr>
        <w:spacing w:line="360" w:lineRule="auto"/>
        <w:rPr>
          <w:rFonts w:ascii="宋体" w:hAnsi="宋体" w:eastAsia="宋体" w:cs="宋体"/>
          <w:szCs w:val="21"/>
        </w:rPr>
      </w:pPr>
      <w:r>
        <w:rPr>
          <w:rFonts w:hint="eastAsia" w:ascii="宋体" w:hAnsi="宋体" w:eastAsia="宋体" w:cs="宋体"/>
          <w:spacing w:val="-4"/>
          <w:szCs w:val="21"/>
        </w:rPr>
        <w:t>法定代表人或投标人代表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p>
    <w:p w14:paraId="5B233E54">
      <w:pPr>
        <w:spacing w:line="360" w:lineRule="auto"/>
        <w:rPr>
          <w:rFonts w:ascii="宋体" w:hAnsi="宋体" w:eastAsia="宋体" w:cs="宋体"/>
          <w:spacing w:val="20"/>
          <w:sz w:val="24"/>
          <w:szCs w:val="24"/>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月   </w:t>
      </w:r>
      <w:r>
        <w:rPr>
          <w:rFonts w:hint="eastAsia" w:ascii="宋体" w:hAnsi="宋体" w:eastAsia="宋体" w:cs="宋体"/>
          <w:spacing w:val="20"/>
          <w:szCs w:val="21"/>
        </w:rPr>
        <w:t>日</w:t>
      </w:r>
    </w:p>
    <w:p w14:paraId="0C316A29">
      <w:pPr>
        <w:pStyle w:val="24"/>
        <w:rPr>
          <w:rFonts w:ascii="宋体" w:hAnsi="宋体" w:cs="宋体"/>
          <w:b/>
          <w:bCs/>
          <w:sz w:val="24"/>
        </w:rPr>
      </w:pPr>
    </w:p>
    <w:p w14:paraId="37798652">
      <w:pPr>
        <w:pStyle w:val="24"/>
        <w:rPr>
          <w:rFonts w:ascii="宋体" w:hAnsi="宋体" w:cs="宋体"/>
          <w:b/>
          <w:bCs/>
          <w:sz w:val="24"/>
        </w:rPr>
      </w:pPr>
    </w:p>
    <w:p w14:paraId="176C73E1">
      <w:pPr>
        <w:pStyle w:val="24"/>
        <w:rPr>
          <w:rFonts w:ascii="宋体" w:hAnsi="宋体" w:cs="宋体"/>
          <w:b/>
          <w:bCs/>
          <w:sz w:val="24"/>
        </w:rPr>
      </w:pPr>
    </w:p>
    <w:p w14:paraId="5EC12EDA">
      <w:pPr>
        <w:pStyle w:val="24"/>
        <w:rPr>
          <w:rFonts w:ascii="宋体" w:hAnsi="宋体" w:cs="宋体"/>
          <w:b/>
          <w:bCs/>
          <w:sz w:val="24"/>
        </w:rPr>
      </w:pPr>
    </w:p>
    <w:p w14:paraId="6ED2AC0C">
      <w:pPr>
        <w:pStyle w:val="24"/>
        <w:rPr>
          <w:rFonts w:ascii="宋体" w:hAnsi="宋体" w:cs="宋体"/>
          <w:b/>
          <w:bCs/>
          <w:sz w:val="24"/>
        </w:rPr>
      </w:pPr>
    </w:p>
    <w:p w14:paraId="6A77DBF5">
      <w:pPr>
        <w:pStyle w:val="24"/>
        <w:rPr>
          <w:rFonts w:ascii="宋体" w:hAnsi="宋体" w:cs="宋体"/>
          <w:b/>
          <w:bCs/>
          <w:sz w:val="24"/>
        </w:rPr>
      </w:pPr>
    </w:p>
    <w:p w14:paraId="53F04E2B">
      <w:pPr>
        <w:pStyle w:val="24"/>
        <w:rPr>
          <w:rFonts w:ascii="宋体" w:hAnsi="宋体" w:cs="宋体"/>
          <w:b/>
          <w:bCs/>
          <w:sz w:val="24"/>
        </w:rPr>
      </w:pPr>
    </w:p>
    <w:p w14:paraId="063695C7">
      <w:pPr>
        <w:pStyle w:val="24"/>
        <w:rPr>
          <w:rFonts w:ascii="宋体" w:hAnsi="宋体" w:cs="宋体"/>
          <w:b/>
          <w:bCs/>
          <w:sz w:val="24"/>
        </w:rPr>
      </w:pPr>
    </w:p>
    <w:p w14:paraId="6A75482B">
      <w:pPr>
        <w:spacing w:line="480" w:lineRule="auto"/>
        <w:ind w:left="-358" w:leftChars="-171" w:hanging="1"/>
        <w:jc w:val="center"/>
        <w:rPr>
          <w:rFonts w:ascii="宋体" w:hAnsi="宋体" w:eastAsia="宋体" w:cs="宋体"/>
          <w:b/>
          <w:bCs/>
          <w:sz w:val="24"/>
        </w:rPr>
      </w:pPr>
    </w:p>
    <w:p w14:paraId="35245264">
      <w:pPr>
        <w:spacing w:line="480" w:lineRule="auto"/>
        <w:ind w:left="-358" w:leftChars="-171" w:hanging="1"/>
        <w:jc w:val="center"/>
        <w:rPr>
          <w:rFonts w:ascii="宋体" w:hAnsi="宋体" w:eastAsia="宋体" w:cs="宋体"/>
          <w:b/>
          <w:bCs/>
          <w:sz w:val="30"/>
          <w:szCs w:val="30"/>
        </w:rPr>
      </w:pPr>
      <w:r>
        <w:rPr>
          <w:rFonts w:hint="eastAsia" w:ascii="宋体" w:hAnsi="宋体" w:eastAsia="宋体" w:cs="宋体"/>
          <w:b/>
          <w:bCs/>
          <w:sz w:val="30"/>
          <w:szCs w:val="30"/>
        </w:rPr>
        <w:t>十、商务技术偏离表</w:t>
      </w:r>
    </w:p>
    <w:p w14:paraId="0171432E">
      <w:pPr>
        <w:spacing w:line="560" w:lineRule="exact"/>
        <w:rPr>
          <w:rFonts w:ascii="宋体" w:hAnsi="宋体" w:eastAsia="宋体" w:cs="宋体"/>
          <w:bCs/>
          <w:sz w:val="22"/>
        </w:rPr>
      </w:pPr>
      <w:r>
        <w:rPr>
          <w:rFonts w:hint="eastAsia" w:ascii="宋体" w:hAnsi="宋体" w:eastAsia="宋体" w:cs="宋体"/>
          <w:bCs/>
          <w:sz w:val="22"/>
        </w:rPr>
        <w:t>项目名称：                                            项目编号：</w:t>
      </w:r>
    </w:p>
    <w:tbl>
      <w:tblPr>
        <w:tblStyle w:val="6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924"/>
        <w:gridCol w:w="1950"/>
        <w:gridCol w:w="2020"/>
        <w:gridCol w:w="2166"/>
      </w:tblGrid>
      <w:tr w14:paraId="473C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23" w:type="dxa"/>
            <w:vAlign w:val="center"/>
          </w:tcPr>
          <w:p w14:paraId="19A2826F">
            <w:pPr>
              <w:jc w:val="center"/>
              <w:rPr>
                <w:rFonts w:ascii="宋体" w:hAnsi="宋体" w:eastAsia="宋体" w:cs="宋体"/>
                <w:bCs/>
                <w:sz w:val="22"/>
              </w:rPr>
            </w:pPr>
            <w:r>
              <w:rPr>
                <w:rFonts w:hint="eastAsia" w:ascii="宋体" w:hAnsi="宋体" w:eastAsia="宋体" w:cs="宋体"/>
                <w:bCs/>
                <w:sz w:val="22"/>
              </w:rPr>
              <w:t>内   容</w:t>
            </w:r>
          </w:p>
        </w:tc>
        <w:tc>
          <w:tcPr>
            <w:tcW w:w="1924" w:type="dxa"/>
            <w:vAlign w:val="center"/>
          </w:tcPr>
          <w:p w14:paraId="1388674D">
            <w:pPr>
              <w:jc w:val="center"/>
              <w:rPr>
                <w:rFonts w:ascii="宋体" w:hAnsi="宋体" w:eastAsia="宋体" w:cs="宋体"/>
                <w:bCs/>
                <w:sz w:val="22"/>
              </w:rPr>
            </w:pPr>
            <w:r>
              <w:rPr>
                <w:rFonts w:hint="eastAsia" w:ascii="宋体" w:hAnsi="宋体" w:eastAsia="宋体" w:cs="宋体"/>
                <w:bCs/>
                <w:sz w:val="22"/>
              </w:rPr>
              <w:t>采购要求</w:t>
            </w:r>
          </w:p>
        </w:tc>
        <w:tc>
          <w:tcPr>
            <w:tcW w:w="1950" w:type="dxa"/>
            <w:vAlign w:val="center"/>
          </w:tcPr>
          <w:p w14:paraId="26E5FDF2">
            <w:pPr>
              <w:jc w:val="center"/>
              <w:rPr>
                <w:rFonts w:ascii="宋体" w:hAnsi="宋体" w:eastAsia="宋体" w:cs="宋体"/>
                <w:bCs/>
                <w:sz w:val="22"/>
              </w:rPr>
            </w:pPr>
            <w:r>
              <w:rPr>
                <w:rFonts w:hint="eastAsia" w:ascii="宋体" w:hAnsi="宋体" w:eastAsia="宋体" w:cs="宋体"/>
                <w:bCs/>
                <w:sz w:val="22"/>
              </w:rPr>
              <w:t>投标响应</w:t>
            </w:r>
          </w:p>
        </w:tc>
        <w:tc>
          <w:tcPr>
            <w:tcW w:w="2020" w:type="dxa"/>
            <w:vAlign w:val="center"/>
          </w:tcPr>
          <w:p w14:paraId="45C16D06">
            <w:pPr>
              <w:jc w:val="center"/>
              <w:rPr>
                <w:rFonts w:ascii="宋体" w:hAnsi="宋体" w:eastAsia="宋体" w:cs="宋体"/>
                <w:bCs/>
                <w:sz w:val="22"/>
              </w:rPr>
            </w:pPr>
            <w:r>
              <w:rPr>
                <w:rFonts w:hint="eastAsia" w:ascii="宋体" w:hAnsi="宋体" w:eastAsia="宋体" w:cs="宋体"/>
                <w:bCs/>
                <w:sz w:val="22"/>
              </w:rPr>
              <w:t>偏离</w:t>
            </w:r>
          </w:p>
        </w:tc>
        <w:tc>
          <w:tcPr>
            <w:tcW w:w="2166" w:type="dxa"/>
            <w:vAlign w:val="center"/>
          </w:tcPr>
          <w:p w14:paraId="668ADAFE">
            <w:pPr>
              <w:jc w:val="center"/>
              <w:rPr>
                <w:rFonts w:ascii="宋体" w:hAnsi="宋体" w:eastAsia="宋体" w:cs="宋体"/>
                <w:bCs/>
                <w:sz w:val="22"/>
              </w:rPr>
            </w:pPr>
            <w:r>
              <w:rPr>
                <w:rFonts w:hint="eastAsia" w:ascii="宋体" w:hAnsi="宋体" w:eastAsia="宋体" w:cs="宋体"/>
                <w:bCs/>
                <w:sz w:val="22"/>
              </w:rPr>
              <w:t>说   明</w:t>
            </w:r>
          </w:p>
        </w:tc>
      </w:tr>
      <w:tr w14:paraId="588B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23" w:type="dxa"/>
            <w:vMerge w:val="restart"/>
            <w:vAlign w:val="center"/>
          </w:tcPr>
          <w:p w14:paraId="121DA784">
            <w:pPr>
              <w:jc w:val="center"/>
              <w:rPr>
                <w:rFonts w:ascii="宋体" w:hAnsi="宋体" w:eastAsia="宋体" w:cs="宋体"/>
                <w:bCs/>
                <w:sz w:val="22"/>
              </w:rPr>
            </w:pPr>
            <w:r>
              <w:rPr>
                <w:rFonts w:hint="eastAsia" w:ascii="宋体" w:hAnsi="宋体" w:eastAsia="宋体" w:cs="宋体"/>
                <w:bCs/>
                <w:sz w:val="22"/>
              </w:rPr>
              <w:t>商务技术条款</w:t>
            </w:r>
          </w:p>
        </w:tc>
        <w:tc>
          <w:tcPr>
            <w:tcW w:w="1924" w:type="dxa"/>
            <w:vAlign w:val="center"/>
          </w:tcPr>
          <w:p w14:paraId="5ECF9E87">
            <w:pPr>
              <w:jc w:val="center"/>
              <w:rPr>
                <w:rFonts w:ascii="宋体" w:hAnsi="宋体" w:eastAsia="宋体" w:cs="宋体"/>
                <w:bCs/>
                <w:sz w:val="22"/>
              </w:rPr>
            </w:pPr>
          </w:p>
        </w:tc>
        <w:tc>
          <w:tcPr>
            <w:tcW w:w="1950" w:type="dxa"/>
            <w:vAlign w:val="center"/>
          </w:tcPr>
          <w:p w14:paraId="38CCE439">
            <w:pPr>
              <w:jc w:val="center"/>
              <w:rPr>
                <w:rFonts w:ascii="宋体" w:hAnsi="宋体" w:eastAsia="宋体" w:cs="宋体"/>
                <w:bCs/>
                <w:sz w:val="22"/>
              </w:rPr>
            </w:pPr>
          </w:p>
        </w:tc>
        <w:tc>
          <w:tcPr>
            <w:tcW w:w="2020" w:type="dxa"/>
            <w:vAlign w:val="center"/>
          </w:tcPr>
          <w:p w14:paraId="48FFD52E">
            <w:pPr>
              <w:jc w:val="center"/>
              <w:rPr>
                <w:rFonts w:ascii="宋体" w:hAnsi="宋体" w:eastAsia="宋体" w:cs="宋体"/>
                <w:bCs/>
                <w:sz w:val="22"/>
              </w:rPr>
            </w:pPr>
          </w:p>
        </w:tc>
        <w:tc>
          <w:tcPr>
            <w:tcW w:w="2166" w:type="dxa"/>
            <w:vAlign w:val="center"/>
          </w:tcPr>
          <w:p w14:paraId="46999049">
            <w:pPr>
              <w:jc w:val="center"/>
              <w:rPr>
                <w:rFonts w:ascii="宋体" w:hAnsi="宋体" w:eastAsia="宋体" w:cs="宋体"/>
                <w:bCs/>
                <w:sz w:val="22"/>
              </w:rPr>
            </w:pPr>
          </w:p>
        </w:tc>
      </w:tr>
      <w:tr w14:paraId="01A3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23" w:type="dxa"/>
            <w:vMerge w:val="continue"/>
            <w:vAlign w:val="center"/>
          </w:tcPr>
          <w:p w14:paraId="470BC3D0">
            <w:pPr>
              <w:jc w:val="center"/>
              <w:rPr>
                <w:rFonts w:ascii="宋体" w:hAnsi="宋体" w:eastAsia="宋体" w:cs="宋体"/>
                <w:bCs/>
                <w:sz w:val="22"/>
              </w:rPr>
            </w:pPr>
          </w:p>
        </w:tc>
        <w:tc>
          <w:tcPr>
            <w:tcW w:w="1924" w:type="dxa"/>
            <w:vAlign w:val="center"/>
          </w:tcPr>
          <w:p w14:paraId="4CF9FC2D">
            <w:pPr>
              <w:jc w:val="center"/>
              <w:rPr>
                <w:rFonts w:ascii="宋体" w:hAnsi="宋体" w:eastAsia="宋体" w:cs="宋体"/>
                <w:bCs/>
                <w:sz w:val="22"/>
              </w:rPr>
            </w:pPr>
          </w:p>
        </w:tc>
        <w:tc>
          <w:tcPr>
            <w:tcW w:w="1950" w:type="dxa"/>
            <w:vAlign w:val="center"/>
          </w:tcPr>
          <w:p w14:paraId="62E45454">
            <w:pPr>
              <w:jc w:val="center"/>
              <w:rPr>
                <w:rFonts w:ascii="宋体" w:hAnsi="宋体" w:eastAsia="宋体" w:cs="宋体"/>
                <w:bCs/>
                <w:sz w:val="22"/>
              </w:rPr>
            </w:pPr>
          </w:p>
        </w:tc>
        <w:tc>
          <w:tcPr>
            <w:tcW w:w="2020" w:type="dxa"/>
            <w:vAlign w:val="center"/>
          </w:tcPr>
          <w:p w14:paraId="2858EB49">
            <w:pPr>
              <w:jc w:val="center"/>
              <w:rPr>
                <w:rFonts w:ascii="宋体" w:hAnsi="宋体" w:eastAsia="宋体" w:cs="宋体"/>
                <w:bCs/>
                <w:sz w:val="22"/>
              </w:rPr>
            </w:pPr>
          </w:p>
        </w:tc>
        <w:tc>
          <w:tcPr>
            <w:tcW w:w="2166" w:type="dxa"/>
            <w:vAlign w:val="center"/>
          </w:tcPr>
          <w:p w14:paraId="0FCBA149">
            <w:pPr>
              <w:jc w:val="center"/>
              <w:rPr>
                <w:rFonts w:ascii="宋体" w:hAnsi="宋体" w:eastAsia="宋体" w:cs="宋体"/>
                <w:bCs/>
                <w:sz w:val="22"/>
              </w:rPr>
            </w:pPr>
          </w:p>
        </w:tc>
      </w:tr>
      <w:tr w14:paraId="28E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23" w:type="dxa"/>
            <w:vMerge w:val="continue"/>
            <w:vAlign w:val="center"/>
          </w:tcPr>
          <w:p w14:paraId="531CE74D">
            <w:pPr>
              <w:jc w:val="center"/>
              <w:rPr>
                <w:rFonts w:ascii="宋体" w:hAnsi="宋体" w:eastAsia="宋体" w:cs="宋体"/>
                <w:bCs/>
                <w:sz w:val="22"/>
              </w:rPr>
            </w:pPr>
          </w:p>
        </w:tc>
        <w:tc>
          <w:tcPr>
            <w:tcW w:w="1924" w:type="dxa"/>
            <w:vAlign w:val="center"/>
          </w:tcPr>
          <w:p w14:paraId="3143A16F">
            <w:pPr>
              <w:jc w:val="center"/>
              <w:rPr>
                <w:rFonts w:ascii="宋体" w:hAnsi="宋体" w:eastAsia="宋体" w:cs="宋体"/>
                <w:bCs/>
                <w:sz w:val="22"/>
              </w:rPr>
            </w:pPr>
          </w:p>
        </w:tc>
        <w:tc>
          <w:tcPr>
            <w:tcW w:w="1950" w:type="dxa"/>
            <w:vAlign w:val="center"/>
          </w:tcPr>
          <w:p w14:paraId="057F8918">
            <w:pPr>
              <w:jc w:val="center"/>
              <w:rPr>
                <w:rFonts w:ascii="宋体" w:hAnsi="宋体" w:eastAsia="宋体" w:cs="宋体"/>
                <w:bCs/>
                <w:sz w:val="22"/>
              </w:rPr>
            </w:pPr>
          </w:p>
        </w:tc>
        <w:tc>
          <w:tcPr>
            <w:tcW w:w="2020" w:type="dxa"/>
            <w:vAlign w:val="center"/>
          </w:tcPr>
          <w:p w14:paraId="553613E4">
            <w:pPr>
              <w:jc w:val="center"/>
              <w:rPr>
                <w:rFonts w:ascii="宋体" w:hAnsi="宋体" w:eastAsia="宋体" w:cs="宋体"/>
                <w:bCs/>
                <w:sz w:val="22"/>
              </w:rPr>
            </w:pPr>
          </w:p>
        </w:tc>
        <w:tc>
          <w:tcPr>
            <w:tcW w:w="2166" w:type="dxa"/>
            <w:vAlign w:val="center"/>
          </w:tcPr>
          <w:p w14:paraId="5CFC0D93">
            <w:pPr>
              <w:jc w:val="center"/>
              <w:rPr>
                <w:rFonts w:ascii="宋体" w:hAnsi="宋体" w:eastAsia="宋体" w:cs="宋体"/>
                <w:bCs/>
                <w:sz w:val="22"/>
              </w:rPr>
            </w:pPr>
          </w:p>
        </w:tc>
      </w:tr>
      <w:tr w14:paraId="2BE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23" w:type="dxa"/>
            <w:vMerge w:val="continue"/>
            <w:vAlign w:val="center"/>
          </w:tcPr>
          <w:p w14:paraId="43AAE538">
            <w:pPr>
              <w:jc w:val="center"/>
              <w:rPr>
                <w:rFonts w:ascii="宋体" w:hAnsi="宋体" w:eastAsia="宋体" w:cs="宋体"/>
                <w:bCs/>
                <w:sz w:val="22"/>
              </w:rPr>
            </w:pPr>
          </w:p>
        </w:tc>
        <w:tc>
          <w:tcPr>
            <w:tcW w:w="1924" w:type="dxa"/>
            <w:vAlign w:val="center"/>
          </w:tcPr>
          <w:p w14:paraId="787BE0A9">
            <w:pPr>
              <w:jc w:val="center"/>
              <w:rPr>
                <w:rFonts w:ascii="宋体" w:hAnsi="宋体" w:eastAsia="宋体" w:cs="宋体"/>
                <w:bCs/>
                <w:sz w:val="22"/>
              </w:rPr>
            </w:pPr>
          </w:p>
        </w:tc>
        <w:tc>
          <w:tcPr>
            <w:tcW w:w="1950" w:type="dxa"/>
            <w:vAlign w:val="center"/>
          </w:tcPr>
          <w:p w14:paraId="6A51C177">
            <w:pPr>
              <w:jc w:val="center"/>
              <w:rPr>
                <w:rFonts w:ascii="宋体" w:hAnsi="宋体" w:eastAsia="宋体" w:cs="宋体"/>
                <w:bCs/>
                <w:sz w:val="22"/>
              </w:rPr>
            </w:pPr>
          </w:p>
        </w:tc>
        <w:tc>
          <w:tcPr>
            <w:tcW w:w="2020" w:type="dxa"/>
            <w:vAlign w:val="center"/>
          </w:tcPr>
          <w:p w14:paraId="6C1511A4">
            <w:pPr>
              <w:jc w:val="center"/>
              <w:rPr>
                <w:rFonts w:ascii="宋体" w:hAnsi="宋体" w:eastAsia="宋体" w:cs="宋体"/>
                <w:bCs/>
                <w:sz w:val="22"/>
              </w:rPr>
            </w:pPr>
          </w:p>
        </w:tc>
        <w:tc>
          <w:tcPr>
            <w:tcW w:w="2166" w:type="dxa"/>
            <w:vAlign w:val="center"/>
          </w:tcPr>
          <w:p w14:paraId="2B65F4D3">
            <w:pPr>
              <w:jc w:val="center"/>
              <w:rPr>
                <w:rFonts w:ascii="宋体" w:hAnsi="宋体" w:eastAsia="宋体" w:cs="宋体"/>
                <w:bCs/>
                <w:sz w:val="22"/>
              </w:rPr>
            </w:pPr>
          </w:p>
        </w:tc>
      </w:tr>
    </w:tbl>
    <w:p w14:paraId="753A94D8">
      <w:pPr>
        <w:pStyle w:val="33"/>
        <w:spacing w:before="156"/>
        <w:ind w:left="512" w:hanging="512" w:hangingChars="243"/>
        <w:rPr>
          <w:rFonts w:hAnsi="宋体" w:cs="宋体"/>
          <w:b/>
          <w:sz w:val="21"/>
          <w:szCs w:val="21"/>
        </w:rPr>
      </w:pPr>
      <w:r>
        <w:rPr>
          <w:rFonts w:hint="eastAsia" w:hAnsi="宋体" w:cs="宋体"/>
          <w:b/>
          <w:sz w:val="21"/>
          <w:szCs w:val="21"/>
        </w:rPr>
        <w:t>注： 如有偏离，必须在偏离表中进行详细对比说明并注明正偏离（负偏离），如此表不填或填写为无偏离或不说明偏离情况，视为完全响应招标文件要求。</w:t>
      </w:r>
    </w:p>
    <w:p w14:paraId="669CAA2F">
      <w:pPr>
        <w:rPr>
          <w:rFonts w:ascii="宋体" w:hAnsi="宋体" w:eastAsia="宋体" w:cs="宋体"/>
          <w:sz w:val="22"/>
        </w:rPr>
      </w:pPr>
    </w:p>
    <w:p w14:paraId="0614B87F">
      <w:pPr>
        <w:ind w:firstLine="210" w:firstLineChars="100"/>
        <w:rPr>
          <w:rFonts w:ascii="宋体" w:hAnsi="宋体" w:eastAsia="宋体" w:cs="宋体"/>
          <w:szCs w:val="21"/>
        </w:rPr>
      </w:pPr>
      <w:r>
        <w:rPr>
          <w:rFonts w:hint="eastAsia" w:ascii="宋体" w:hAnsi="宋体" w:eastAsia="宋体" w:cs="宋体"/>
          <w:szCs w:val="21"/>
        </w:rPr>
        <w:t xml:space="preserve">供应商（盖章）：                               </w:t>
      </w:r>
    </w:p>
    <w:p w14:paraId="084D43A0">
      <w:pPr>
        <w:ind w:firstLine="210" w:firstLineChars="100"/>
        <w:rPr>
          <w:rFonts w:ascii="宋体" w:hAnsi="宋体" w:eastAsia="宋体" w:cs="宋体"/>
          <w:szCs w:val="21"/>
        </w:rPr>
      </w:pPr>
      <w:r>
        <w:rPr>
          <w:rFonts w:hint="eastAsia" w:ascii="宋体" w:hAnsi="宋体" w:eastAsia="宋体" w:cs="宋体"/>
          <w:szCs w:val="21"/>
        </w:rPr>
        <w:t xml:space="preserve">法定代表人或授权代表（签字或盖章）：                        </w:t>
      </w:r>
    </w:p>
    <w:p w14:paraId="657F02F1">
      <w:pPr>
        <w:ind w:firstLine="199" w:firstLineChars="95"/>
        <w:rPr>
          <w:rFonts w:ascii="宋体" w:hAnsi="宋体" w:eastAsia="宋体" w:cs="宋体"/>
        </w:rPr>
      </w:pPr>
      <w:r>
        <w:rPr>
          <w:rFonts w:hint="eastAsia" w:ascii="宋体" w:hAnsi="宋体" w:eastAsia="宋体" w:cs="宋体"/>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4BE4607A">
      <w:pPr>
        <w:pStyle w:val="24"/>
        <w:rPr>
          <w:rFonts w:ascii="宋体" w:hAnsi="宋体" w:cs="宋体"/>
        </w:rPr>
      </w:pPr>
    </w:p>
    <w:p w14:paraId="1F143817">
      <w:pPr>
        <w:rPr>
          <w:rFonts w:ascii="宋体" w:hAnsi="宋体" w:eastAsia="宋体" w:cs="宋体"/>
        </w:rPr>
      </w:pPr>
    </w:p>
    <w:p w14:paraId="74216139">
      <w:pPr>
        <w:pStyle w:val="24"/>
        <w:rPr>
          <w:rFonts w:ascii="宋体" w:hAnsi="宋体" w:cs="宋体"/>
        </w:rPr>
      </w:pPr>
    </w:p>
    <w:p w14:paraId="7125B94F">
      <w:pPr>
        <w:rPr>
          <w:rFonts w:ascii="宋体" w:hAnsi="宋体" w:eastAsia="宋体" w:cs="宋体"/>
        </w:rPr>
      </w:pPr>
    </w:p>
    <w:p w14:paraId="44D18F3F">
      <w:pPr>
        <w:pStyle w:val="24"/>
        <w:rPr>
          <w:rFonts w:ascii="宋体" w:hAnsi="宋体" w:cs="宋体"/>
        </w:rPr>
      </w:pPr>
    </w:p>
    <w:p w14:paraId="797359CB">
      <w:pPr>
        <w:rPr>
          <w:rFonts w:ascii="宋体" w:hAnsi="宋体" w:eastAsia="宋体" w:cs="宋体"/>
        </w:rPr>
      </w:pPr>
    </w:p>
    <w:p w14:paraId="2F4F3D5D">
      <w:pPr>
        <w:pStyle w:val="24"/>
        <w:rPr>
          <w:rFonts w:ascii="宋体" w:hAnsi="宋体" w:cs="宋体"/>
        </w:rPr>
      </w:pPr>
    </w:p>
    <w:p w14:paraId="151C40FE">
      <w:pPr>
        <w:snapToGrid w:val="0"/>
        <w:spacing w:before="50" w:after="156" w:afterLines="50"/>
        <w:rPr>
          <w:rFonts w:ascii="宋体" w:hAnsi="宋体" w:eastAsia="宋体" w:cs="宋体"/>
          <w:b/>
          <w:sz w:val="24"/>
          <w:szCs w:val="24"/>
        </w:rPr>
      </w:pPr>
    </w:p>
    <w:p w14:paraId="0034532D">
      <w:pPr>
        <w:snapToGrid w:val="0"/>
        <w:spacing w:before="50" w:after="156" w:afterLines="50"/>
        <w:rPr>
          <w:rFonts w:ascii="宋体" w:hAnsi="宋体" w:eastAsia="宋体" w:cs="宋体"/>
          <w:b/>
          <w:sz w:val="24"/>
          <w:szCs w:val="24"/>
        </w:rPr>
      </w:pPr>
    </w:p>
    <w:p w14:paraId="17AC8144">
      <w:pPr>
        <w:snapToGrid w:val="0"/>
        <w:spacing w:before="50" w:after="156" w:afterLines="50"/>
        <w:rPr>
          <w:rFonts w:ascii="宋体" w:hAnsi="宋体" w:eastAsia="宋体" w:cs="宋体"/>
          <w:b/>
          <w:sz w:val="24"/>
          <w:szCs w:val="24"/>
        </w:rPr>
      </w:pPr>
    </w:p>
    <w:p w14:paraId="17778790">
      <w:pPr>
        <w:snapToGrid w:val="0"/>
        <w:spacing w:before="50" w:after="156" w:afterLines="50"/>
        <w:rPr>
          <w:rFonts w:ascii="宋体" w:hAnsi="宋体" w:eastAsia="宋体" w:cs="宋体"/>
          <w:b/>
          <w:sz w:val="24"/>
          <w:szCs w:val="24"/>
        </w:rPr>
      </w:pPr>
    </w:p>
    <w:p w14:paraId="13A95049">
      <w:pPr>
        <w:snapToGrid w:val="0"/>
        <w:spacing w:before="50" w:after="156" w:afterLines="50"/>
        <w:rPr>
          <w:rFonts w:ascii="宋体" w:hAnsi="宋体" w:eastAsia="宋体" w:cs="宋体"/>
          <w:b/>
          <w:sz w:val="24"/>
          <w:szCs w:val="24"/>
        </w:rPr>
      </w:pPr>
    </w:p>
    <w:p w14:paraId="5EF2F88B">
      <w:pPr>
        <w:pStyle w:val="3"/>
        <w:rPr>
          <w:rFonts w:ascii="宋体" w:hAnsi="宋体" w:eastAsia="宋体" w:cs="宋体"/>
          <w:sz w:val="24"/>
          <w:szCs w:val="24"/>
        </w:rPr>
      </w:pPr>
    </w:p>
    <w:p w14:paraId="1E1F3B2F">
      <w:pPr>
        <w:rPr>
          <w:rFonts w:ascii="宋体" w:hAnsi="宋体" w:eastAsia="宋体" w:cs="宋体"/>
          <w:b/>
          <w:sz w:val="24"/>
          <w:szCs w:val="24"/>
        </w:rPr>
      </w:pPr>
    </w:p>
    <w:p w14:paraId="01A3444D">
      <w:pPr>
        <w:pStyle w:val="3"/>
        <w:rPr>
          <w:rFonts w:ascii="宋体" w:hAnsi="宋体" w:eastAsia="宋体" w:cs="宋体"/>
          <w:sz w:val="24"/>
          <w:szCs w:val="24"/>
        </w:rPr>
      </w:pPr>
    </w:p>
    <w:p w14:paraId="540ABDC2">
      <w:pPr>
        <w:rPr>
          <w:rFonts w:ascii="宋体" w:hAnsi="宋体" w:eastAsia="宋体" w:cs="宋体"/>
          <w:b/>
          <w:sz w:val="24"/>
          <w:szCs w:val="24"/>
        </w:rPr>
      </w:pPr>
    </w:p>
    <w:p w14:paraId="13374212">
      <w:pPr>
        <w:spacing w:line="380" w:lineRule="exact"/>
        <w:ind w:hanging="1"/>
        <w:jc w:val="left"/>
        <w:rPr>
          <w:rFonts w:ascii="Times New Roman" w:hAnsi="Times New Roman" w:cs="Times New Roman"/>
          <w:b/>
          <w:color w:val="000000" w:themeColor="text1"/>
          <w:kern w:val="0"/>
          <w14:textFill>
            <w14:solidFill>
              <w14:schemeClr w14:val="tx1"/>
            </w14:solidFill>
          </w14:textFill>
        </w:rPr>
      </w:pPr>
    </w:p>
    <w:p w14:paraId="7ABEC031">
      <w:pPr>
        <w:spacing w:line="380" w:lineRule="exact"/>
        <w:ind w:hanging="1"/>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十一、技术偏离表</w:t>
      </w:r>
    </w:p>
    <w:p w14:paraId="281E4703">
      <w:pPr>
        <w:spacing w:line="380" w:lineRule="exact"/>
        <w:ind w:left="-358" w:leftChars="-171" w:hanging="1"/>
        <w:jc w:val="center"/>
        <w:rPr>
          <w:rFonts w:ascii="宋体" w:hAnsi="宋体" w:eastAsia="宋体" w:cs="宋体"/>
          <w:b/>
          <w:color w:val="000000" w:themeColor="text1"/>
          <w:kern w:val="0"/>
          <w14:textFill>
            <w14:solidFill>
              <w14:schemeClr w14:val="tx1"/>
            </w14:solidFill>
          </w14:textFill>
        </w:rPr>
      </w:pPr>
    </w:p>
    <w:p w14:paraId="38D661EB">
      <w:pPr>
        <w:spacing w:line="380" w:lineRule="exact"/>
        <w:ind w:left="-358" w:leftChars="-171" w:hanging="1"/>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技术偏离表</w:t>
      </w:r>
    </w:p>
    <w:p w14:paraId="47CEDC07">
      <w:pPr>
        <w:pStyle w:val="24"/>
        <w:rPr>
          <w:rFonts w:ascii="宋体" w:hAnsi="宋体" w:cs="宋体"/>
          <w:color w:val="000000" w:themeColor="text1"/>
          <w14:textFill>
            <w14:solidFill>
              <w14:schemeClr w14:val="tx1"/>
            </w14:solidFill>
          </w14:textFill>
        </w:rPr>
      </w:pPr>
    </w:p>
    <w:tbl>
      <w:tblPr>
        <w:tblStyle w:val="6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080"/>
        <w:gridCol w:w="1711"/>
        <w:gridCol w:w="1976"/>
        <w:gridCol w:w="1680"/>
      </w:tblGrid>
      <w:tr w14:paraId="2C7F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14:paraId="68E39E85">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内   容</w:t>
            </w:r>
          </w:p>
        </w:tc>
        <w:tc>
          <w:tcPr>
            <w:tcW w:w="2080" w:type="dxa"/>
            <w:vAlign w:val="center"/>
          </w:tcPr>
          <w:p w14:paraId="28458ADD">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采购要求</w:t>
            </w:r>
          </w:p>
        </w:tc>
        <w:tc>
          <w:tcPr>
            <w:tcW w:w="1711" w:type="dxa"/>
            <w:vAlign w:val="center"/>
          </w:tcPr>
          <w:p w14:paraId="62B9F1E1">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投标响应</w:t>
            </w:r>
          </w:p>
        </w:tc>
        <w:tc>
          <w:tcPr>
            <w:tcW w:w="1976" w:type="dxa"/>
            <w:vAlign w:val="center"/>
          </w:tcPr>
          <w:p w14:paraId="77377647">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偏离</w:t>
            </w:r>
          </w:p>
        </w:tc>
        <w:tc>
          <w:tcPr>
            <w:tcW w:w="1680" w:type="dxa"/>
            <w:vAlign w:val="center"/>
          </w:tcPr>
          <w:p w14:paraId="04D16E4C">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说   明</w:t>
            </w:r>
          </w:p>
        </w:tc>
      </w:tr>
      <w:tr w14:paraId="6D1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14:paraId="76CF16B4">
            <w:pPr>
              <w:ind w:firstLine="220" w:firstLineChars="100"/>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技术条款</w:t>
            </w:r>
          </w:p>
        </w:tc>
        <w:tc>
          <w:tcPr>
            <w:tcW w:w="2080" w:type="dxa"/>
            <w:vAlign w:val="center"/>
          </w:tcPr>
          <w:p w14:paraId="751F1552">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具备任务派发、巡查成果照片管理、巡查数据记录、查询、上传等功能</w:t>
            </w:r>
          </w:p>
        </w:tc>
        <w:tc>
          <w:tcPr>
            <w:tcW w:w="1711" w:type="dxa"/>
            <w:vAlign w:val="center"/>
          </w:tcPr>
          <w:p w14:paraId="7DDC9678">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3155532E">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E4E22D3">
            <w:pPr>
              <w:jc w:val="center"/>
              <w:rPr>
                <w:rFonts w:ascii="宋体" w:hAnsi="宋体" w:eastAsia="宋体" w:cs="宋体"/>
                <w:bCs/>
                <w:color w:val="000000" w:themeColor="text1"/>
                <w:sz w:val="22"/>
                <w14:textFill>
                  <w14:solidFill>
                    <w14:schemeClr w14:val="tx1"/>
                  </w14:solidFill>
                </w14:textFill>
              </w:rPr>
            </w:pPr>
          </w:p>
        </w:tc>
      </w:tr>
      <w:tr w14:paraId="36D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1D472255">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22999F37">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具备对监测数据实现分级审批功能</w:t>
            </w:r>
          </w:p>
        </w:tc>
        <w:tc>
          <w:tcPr>
            <w:tcW w:w="1711" w:type="dxa"/>
            <w:vAlign w:val="center"/>
          </w:tcPr>
          <w:p w14:paraId="3B385286">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0D501065">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B2F1C70">
            <w:pPr>
              <w:jc w:val="center"/>
              <w:rPr>
                <w:rFonts w:ascii="宋体" w:hAnsi="宋体" w:eastAsia="宋体" w:cs="宋体"/>
                <w:bCs/>
                <w:color w:val="000000" w:themeColor="text1"/>
                <w:sz w:val="22"/>
                <w14:textFill>
                  <w14:solidFill>
                    <w14:schemeClr w14:val="tx1"/>
                  </w14:solidFill>
                </w14:textFill>
              </w:rPr>
            </w:pPr>
          </w:p>
        </w:tc>
      </w:tr>
      <w:tr w14:paraId="339E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30580B04">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30B2D837">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可以提供巡检人员定位、电子签到功能</w:t>
            </w:r>
          </w:p>
        </w:tc>
        <w:tc>
          <w:tcPr>
            <w:tcW w:w="1711" w:type="dxa"/>
            <w:vAlign w:val="center"/>
          </w:tcPr>
          <w:p w14:paraId="1F292E3A">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54B24A5B">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7346229E">
            <w:pPr>
              <w:jc w:val="center"/>
              <w:rPr>
                <w:rFonts w:ascii="宋体" w:hAnsi="宋体" w:eastAsia="宋体" w:cs="宋体"/>
                <w:bCs/>
                <w:color w:val="000000" w:themeColor="text1"/>
                <w:sz w:val="22"/>
                <w14:textFill>
                  <w14:solidFill>
                    <w14:schemeClr w14:val="tx1"/>
                  </w14:solidFill>
                </w14:textFill>
              </w:rPr>
            </w:pPr>
          </w:p>
        </w:tc>
      </w:tr>
      <w:tr w14:paraId="746F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038C55EE">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1135E1A8">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服务期内提供同版本软件免费客户化修改与免费升级服务。并能为用户后续的信息化建设提供长期的技术支持</w:t>
            </w:r>
          </w:p>
        </w:tc>
        <w:tc>
          <w:tcPr>
            <w:tcW w:w="1711" w:type="dxa"/>
            <w:vAlign w:val="center"/>
          </w:tcPr>
          <w:p w14:paraId="0A44E1DF">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67C6F763">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72C069CC">
            <w:pPr>
              <w:jc w:val="center"/>
              <w:rPr>
                <w:rFonts w:ascii="宋体" w:hAnsi="宋体" w:eastAsia="宋体" w:cs="宋体"/>
                <w:bCs/>
                <w:color w:val="000000" w:themeColor="text1"/>
                <w:sz w:val="22"/>
                <w14:textFill>
                  <w14:solidFill>
                    <w14:schemeClr w14:val="tx1"/>
                  </w14:solidFill>
                </w14:textFill>
              </w:rPr>
            </w:pPr>
          </w:p>
        </w:tc>
      </w:tr>
      <w:tr w14:paraId="33D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3D5CF689">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3AE581D6">
            <w:pPr>
              <w:spacing w:line="440" w:lineRule="exact"/>
              <w:ind w:firstLine="420" w:firstLineChars="200"/>
              <w:contextualSpacing/>
              <w:rPr>
                <w:rFonts w:ascii="Times New Roman" w:hAnsi="Times New Roman" w:eastAsia="宋体" w:cs="Times New Roman"/>
                <w:color w:val="auto"/>
                <w:szCs w:val="21"/>
                <w:woUserID w:val="1"/>
              </w:rPr>
            </w:pPr>
            <w:r>
              <w:rPr>
                <w:rFonts w:hint="eastAsia" w:ascii="宋体" w:hAnsi="宋体" w:eastAsia="宋体" w:cs="宋体"/>
                <w:color w:val="auto"/>
              </w:rPr>
              <w:t>▲具备预留端口，服务期结束后本系统能与其他系统兼容或能将本项目所有数据资料导出</w:t>
            </w:r>
            <w:r>
              <w:rPr>
                <w:rFonts w:hint="default" w:ascii="宋体" w:hAnsi="宋体" w:eastAsia="宋体" w:cs="宋体"/>
                <w:color w:val="auto"/>
                <w:woUserID w:val="1"/>
              </w:rPr>
              <w:t>且</w:t>
            </w:r>
            <w:r>
              <w:rPr>
                <w:rFonts w:hint="eastAsia" w:ascii="Times New Roman" w:hAnsi="Times New Roman" w:eastAsia="宋体" w:cs="Times New Roman"/>
                <w:color w:val="auto"/>
                <w:szCs w:val="21"/>
                <w:woUserID w:val="1"/>
              </w:rPr>
              <w:t>采用设备动态监测的</w:t>
            </w:r>
            <w:r>
              <w:rPr>
                <w:rFonts w:hint="default" w:ascii="Times New Roman" w:hAnsi="Times New Roman" w:eastAsia="宋体" w:cs="Times New Roman"/>
                <w:color w:val="auto"/>
                <w:szCs w:val="21"/>
                <w:woUserID w:val="1"/>
              </w:rPr>
              <w:t>能</w:t>
            </w:r>
            <w:r>
              <w:rPr>
                <w:rFonts w:hint="eastAsia" w:ascii="Times New Roman" w:hAnsi="Times New Roman" w:eastAsia="宋体" w:cs="Times New Roman"/>
                <w:color w:val="auto"/>
                <w:szCs w:val="21"/>
                <w:woUserID w:val="1"/>
              </w:rPr>
              <w:t>将数据实时上传至监测管理平台。</w:t>
            </w:r>
          </w:p>
          <w:p w14:paraId="30BBCE39">
            <w:pPr>
              <w:jc w:val="left"/>
              <w:rPr>
                <w:rFonts w:hint="default" w:ascii="宋体" w:hAnsi="宋体" w:eastAsia="宋体" w:cs="宋体"/>
                <w:bCs/>
                <w:color w:val="000000" w:themeColor="text1"/>
                <w:sz w:val="22"/>
                <w14:textFill>
                  <w14:solidFill>
                    <w14:schemeClr w14:val="tx1"/>
                  </w14:solidFill>
                </w14:textFill>
                <w:woUserID w:val="1"/>
              </w:rPr>
            </w:pPr>
          </w:p>
        </w:tc>
        <w:tc>
          <w:tcPr>
            <w:tcW w:w="1711" w:type="dxa"/>
            <w:vAlign w:val="center"/>
          </w:tcPr>
          <w:p w14:paraId="0C874C7B">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098AFE66">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86B9621">
            <w:pPr>
              <w:jc w:val="center"/>
              <w:rPr>
                <w:rFonts w:ascii="宋体" w:hAnsi="宋体" w:eastAsia="宋体" w:cs="宋体"/>
                <w:bCs/>
                <w:color w:val="000000" w:themeColor="text1"/>
                <w:sz w:val="22"/>
                <w14:textFill>
                  <w14:solidFill>
                    <w14:schemeClr w14:val="tx1"/>
                  </w14:solidFill>
                </w14:textFill>
              </w:rPr>
            </w:pPr>
          </w:p>
        </w:tc>
      </w:tr>
      <w:tr w14:paraId="546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2A0720E2">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258347E8">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72694365">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2B670FEE">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03ADFCFC">
            <w:pPr>
              <w:jc w:val="center"/>
              <w:rPr>
                <w:rFonts w:ascii="宋体" w:hAnsi="宋体" w:eastAsia="宋体" w:cs="宋体"/>
                <w:bCs/>
                <w:color w:val="000000" w:themeColor="text1"/>
                <w:sz w:val="22"/>
                <w14:textFill>
                  <w14:solidFill>
                    <w14:schemeClr w14:val="tx1"/>
                  </w14:solidFill>
                </w14:textFill>
              </w:rPr>
            </w:pPr>
          </w:p>
        </w:tc>
      </w:tr>
      <w:tr w14:paraId="0B14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146D9993">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77211160">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144F6894">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4999268A">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47898204">
            <w:pPr>
              <w:jc w:val="center"/>
              <w:rPr>
                <w:rFonts w:ascii="宋体" w:hAnsi="宋体" w:eastAsia="宋体" w:cs="宋体"/>
                <w:bCs/>
                <w:color w:val="000000" w:themeColor="text1"/>
                <w:sz w:val="22"/>
                <w14:textFill>
                  <w14:solidFill>
                    <w14:schemeClr w14:val="tx1"/>
                  </w14:solidFill>
                </w14:textFill>
              </w:rPr>
            </w:pPr>
          </w:p>
        </w:tc>
      </w:tr>
      <w:tr w14:paraId="3B17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763F3727">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51543498">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5B53885C">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715CEFD6">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F9FAAB2">
            <w:pPr>
              <w:jc w:val="center"/>
              <w:rPr>
                <w:rFonts w:ascii="宋体" w:hAnsi="宋体" w:eastAsia="宋体" w:cs="宋体"/>
                <w:bCs/>
                <w:color w:val="000000" w:themeColor="text1"/>
                <w:sz w:val="22"/>
                <w14:textFill>
                  <w14:solidFill>
                    <w14:schemeClr w14:val="tx1"/>
                  </w14:solidFill>
                </w14:textFill>
              </w:rPr>
            </w:pPr>
          </w:p>
        </w:tc>
      </w:tr>
    </w:tbl>
    <w:p w14:paraId="07741967">
      <w:pPr>
        <w:pStyle w:val="33"/>
        <w:spacing w:before="156" w:line="400" w:lineRule="atLeast"/>
        <w:ind w:left="537" w:hanging="537" w:hangingChars="243"/>
        <w:rPr>
          <w:rFonts w:hAnsi="宋体" w:cs="宋体"/>
          <w:b/>
          <w:color w:val="000000" w:themeColor="text1"/>
          <w:sz w:val="22"/>
          <w14:textFill>
            <w14:solidFill>
              <w14:schemeClr w14:val="tx1"/>
            </w14:solidFill>
          </w14:textFill>
        </w:rPr>
      </w:pPr>
      <w:r>
        <w:rPr>
          <w:rFonts w:hint="eastAsia" w:hAnsi="宋体" w:cs="宋体"/>
          <w:b/>
          <w:color w:val="000000" w:themeColor="text1"/>
          <w:sz w:val="22"/>
          <w14:textFill>
            <w14:solidFill>
              <w14:schemeClr w14:val="tx1"/>
            </w14:solidFill>
          </w14:textFill>
        </w:rPr>
        <w:t>注： 如有偏离，必须在偏离表中进行详细对比说明并注明正偏离（负偏离），如此表不填或填写为无偏离或不说明偏离情况，视为完全响应招标文件要求。</w:t>
      </w:r>
    </w:p>
    <w:p w14:paraId="53A851CA">
      <w:pPr>
        <w:rPr>
          <w:rFonts w:ascii="宋体" w:hAnsi="宋体" w:eastAsia="宋体" w:cs="宋体"/>
          <w:color w:val="000000" w:themeColor="text1"/>
          <w:sz w:val="22"/>
          <w14:textFill>
            <w14:solidFill>
              <w14:schemeClr w14:val="tx1"/>
            </w14:solidFill>
          </w14:textFill>
        </w:rPr>
      </w:pPr>
    </w:p>
    <w:p w14:paraId="67B76794">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投标人（盖章）：</w:t>
      </w:r>
    </w:p>
    <w:p w14:paraId="7EFB1883">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25466C98">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208C1FEF">
      <w:pPr>
        <w:ind w:firstLine="420"/>
        <w:jc w:val="left"/>
        <w:rPr>
          <w:rFonts w:ascii="宋体" w:hAnsi="宋体" w:eastAsia="宋体" w:cs="宋体"/>
          <w:b/>
          <w:bCs/>
          <w:color w:val="000000" w:themeColor="text1"/>
          <w:spacing w:val="-4"/>
          <w14:textFill>
            <w14:solidFill>
              <w14:schemeClr w14:val="tx1"/>
            </w14:solidFill>
          </w14:textFill>
        </w:rPr>
      </w:pPr>
    </w:p>
    <w:p w14:paraId="4AF68AC2">
      <w:pPr>
        <w:ind w:firstLine="420"/>
        <w:jc w:val="left"/>
        <w:rPr>
          <w:rFonts w:ascii="宋体" w:hAnsi="宋体" w:eastAsia="宋体" w:cs="宋体"/>
          <w:b/>
          <w:bCs/>
          <w:color w:val="000000" w:themeColor="text1"/>
          <w:spacing w:val="-4"/>
          <w14:textFill>
            <w14:solidFill>
              <w14:schemeClr w14:val="tx1"/>
            </w14:solidFill>
          </w14:textFill>
        </w:rPr>
      </w:pPr>
    </w:p>
    <w:p w14:paraId="48AB2C60">
      <w:pPr>
        <w:pStyle w:val="25"/>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十二、承诺书</w:t>
      </w:r>
    </w:p>
    <w:p w14:paraId="154C3506">
      <w:pPr>
        <w:adjustRightInd w:val="0"/>
        <w:snapToGrid w:val="0"/>
        <w:spacing w:line="400" w:lineRule="exact"/>
        <w:ind w:firstLine="200"/>
        <w:jc w:val="center"/>
        <w:rPr>
          <w:rFonts w:ascii="宋体" w:hAnsi="宋体" w:eastAsia="宋体" w:cs="宋体"/>
          <w:b/>
          <w:color w:val="000000" w:themeColor="text1"/>
          <w:kern w:val="0"/>
          <w:sz w:val="24"/>
          <w:szCs w:val="32"/>
          <w:lang w:val="zh-CN"/>
          <w14:textFill>
            <w14:solidFill>
              <w14:schemeClr w14:val="tx1"/>
            </w14:solidFill>
          </w14:textFill>
        </w:rPr>
      </w:pPr>
    </w:p>
    <w:p w14:paraId="536E5A2F">
      <w:pPr>
        <w:adjustRightInd w:val="0"/>
        <w:snapToGrid w:val="0"/>
        <w:spacing w:line="400" w:lineRule="exact"/>
        <w:ind w:firstLine="200"/>
        <w:jc w:val="center"/>
        <w:rPr>
          <w:rFonts w:ascii="宋体" w:hAnsi="宋体" w:eastAsia="宋体" w:cs="宋体"/>
          <w:b/>
          <w:color w:val="000000" w:themeColor="text1"/>
          <w:kern w:val="0"/>
          <w:sz w:val="24"/>
          <w:szCs w:val="32"/>
          <w:lang w:val="zh-CN"/>
          <w14:textFill>
            <w14:solidFill>
              <w14:schemeClr w14:val="tx1"/>
            </w14:solidFill>
          </w14:textFill>
        </w:rPr>
      </w:pPr>
    </w:p>
    <w:p w14:paraId="4A34692F">
      <w:pPr>
        <w:adjustRightInd w:val="0"/>
        <w:snapToGrid w:val="0"/>
        <w:spacing w:line="400" w:lineRule="exact"/>
        <w:ind w:firstLine="200"/>
        <w:jc w:val="center"/>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承诺书</w:t>
      </w:r>
    </w:p>
    <w:p w14:paraId="418C6F8D">
      <w:pPr>
        <w:adjustRightInd w:val="0"/>
        <w:snapToGrid w:val="0"/>
        <w:spacing w:line="400" w:lineRule="exact"/>
        <w:ind w:firstLine="200"/>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舟山市定海区住房和城乡建设局:</w:t>
      </w:r>
    </w:p>
    <w:p w14:paraId="34D19BA7">
      <w:pPr>
        <w:adjustRightInd w:val="0"/>
        <w:snapToGrid w:val="0"/>
        <w:spacing w:line="400" w:lineRule="exact"/>
        <w:ind w:firstLine="622" w:firstLineChars="2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我公司针对本项目作出如下承诺</w:t>
      </w:r>
    </w:p>
    <w:p w14:paraId="0C9EE939">
      <w:pPr>
        <w:numPr>
          <w:ilvl w:val="0"/>
          <w:numId w:val="14"/>
        </w:numPr>
        <w:adjustRightInd w:val="0"/>
        <w:snapToGrid w:val="0"/>
        <w:spacing w:line="400" w:lineRule="exact"/>
        <w:ind w:left="563" w:leftChars="0" w:firstLine="0" w:firstLineChars="0"/>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我公司承诺中标后对居民及社区反映有关房屋安全的信访和投诉类情况进行现场</w:t>
      </w:r>
    </w:p>
    <w:p w14:paraId="2C708AB6">
      <w:pPr>
        <w:numPr>
          <w:ilvl w:val="0"/>
          <w:numId w:val="0"/>
        </w:numPr>
        <w:adjustRightInd w:val="0"/>
        <w:snapToGrid w:val="0"/>
        <w:spacing w:line="400" w:lineRule="exact"/>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勘查，并出具相关报告(报告期限为甲方通知受理之日起2个工作日内)。</w:t>
      </w:r>
    </w:p>
    <w:p w14:paraId="485828A4">
      <w:pPr>
        <w:adjustRightInd w:val="0"/>
        <w:snapToGrid w:val="0"/>
        <w:spacing w:line="400" w:lineRule="exact"/>
        <w:ind w:firstLine="622" w:firstLineChars="2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2、我公司承诺中标后在定海区驻点，安排常驻工作人员4人以上(含常驻房管中心1人)。24小时提供技术支持，全天候处理突发事件并随时到达采购人指定地点，接到采购人通知后，30 分钟内做出回应，1小时内到达现场。</w:t>
      </w:r>
    </w:p>
    <w:p w14:paraId="1CC35394">
      <w:pPr>
        <w:adjustRightInd w:val="0"/>
        <w:snapToGrid w:val="0"/>
        <w:spacing w:line="400" w:lineRule="exact"/>
        <w:ind w:firstLine="200"/>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en-US" w:eastAsia="zh-CN"/>
          <w14:textFill>
            <w14:solidFill>
              <w14:schemeClr w14:val="tx1"/>
            </w14:solidFill>
          </w14:textFill>
        </w:rPr>
        <w:t xml:space="preserve"> </w:t>
      </w:r>
      <w:r>
        <w:rPr>
          <w:rFonts w:hint="eastAsia" w:ascii="宋体" w:hAnsi="宋体" w:eastAsia="宋体" w:cs="宋体"/>
          <w:b/>
          <w:color w:val="000000" w:themeColor="text1"/>
          <w:kern w:val="0"/>
          <w:szCs w:val="21"/>
          <w:lang w:val="zh-CN"/>
          <w14:textFill>
            <w14:solidFill>
              <w14:schemeClr w14:val="tx1"/>
            </w14:solidFill>
          </w14:textFill>
        </w:rPr>
        <w:t>3、在监测范围内发现具有现实危险或特别危险的房屋以及其他原因，需提供监测设备对房屋实施动态监测的,经采购人备案后及时安装监测设备,费用包含在本次招标费用中，</w:t>
      </w:r>
    </w:p>
    <w:p w14:paraId="3DB55B85">
      <w:pPr>
        <w:adjustRightInd w:val="0"/>
        <w:snapToGrid w:val="0"/>
        <w:spacing w:line="400" w:lineRule="exact"/>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不另外支付。</w:t>
      </w:r>
    </w:p>
    <w:p w14:paraId="5EDE4824">
      <w:pPr>
        <w:adjustRightInd w:val="0"/>
        <w:snapToGrid w:val="0"/>
        <w:spacing w:line="400" w:lineRule="exact"/>
        <w:ind w:firstLine="411" w:firstLineChars="1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4、中标后其他涉及危房工作开展，我公司无条件服从主管部门安排的工作。</w:t>
      </w:r>
    </w:p>
    <w:p w14:paraId="2FD79C3B">
      <w:pPr>
        <w:adjustRightInd w:val="0"/>
        <w:snapToGrid w:val="0"/>
        <w:spacing w:line="400" w:lineRule="exact"/>
        <w:ind w:firstLine="200"/>
        <w:jc w:val="center"/>
        <w:rPr>
          <w:rFonts w:ascii="宋体" w:hAnsi="宋体" w:eastAsia="宋体" w:cs="宋体"/>
          <w:color w:val="000000" w:themeColor="text1"/>
          <w:szCs w:val="21"/>
          <w14:textFill>
            <w14:solidFill>
              <w14:schemeClr w14:val="tx1"/>
            </w14:solidFill>
          </w14:textFill>
        </w:rPr>
      </w:pPr>
    </w:p>
    <w:p w14:paraId="1607D2D2">
      <w:pPr>
        <w:autoSpaceDE w:val="0"/>
        <w:autoSpaceDN w:val="0"/>
        <w:adjustRightInd w:val="0"/>
        <w:snapToGrid w:val="0"/>
        <w:spacing w:line="400" w:lineRule="exact"/>
        <w:ind w:firstLine="4464" w:firstLineChars="2126"/>
        <w:jc w:val="left"/>
        <w:rPr>
          <w:rFonts w:hint="eastAsia" w:ascii="宋体" w:hAnsi="宋体" w:eastAsia="宋体" w:cs="宋体"/>
          <w:color w:val="000000" w:themeColor="text1"/>
          <w:kern w:val="0"/>
          <w:szCs w:val="21"/>
          <w14:textFill>
            <w14:solidFill>
              <w14:schemeClr w14:val="tx1"/>
            </w14:solidFill>
          </w14:textFill>
        </w:rPr>
      </w:pPr>
    </w:p>
    <w:p w14:paraId="6D6AEA48">
      <w:pPr>
        <w:autoSpaceDE w:val="0"/>
        <w:autoSpaceDN w:val="0"/>
        <w:adjustRightInd w:val="0"/>
        <w:snapToGrid w:val="0"/>
        <w:spacing w:line="400" w:lineRule="exact"/>
        <w:ind w:firstLine="4464" w:firstLineChars="2126"/>
        <w:jc w:val="left"/>
        <w:rPr>
          <w:rFonts w:hint="eastAsia" w:ascii="宋体" w:hAnsi="宋体" w:eastAsia="宋体" w:cs="宋体"/>
          <w:color w:val="000000" w:themeColor="text1"/>
          <w:kern w:val="0"/>
          <w:szCs w:val="21"/>
          <w14:textFill>
            <w14:solidFill>
              <w14:schemeClr w14:val="tx1"/>
            </w14:solidFill>
          </w14:textFill>
        </w:rPr>
      </w:pPr>
    </w:p>
    <w:p w14:paraId="75836783">
      <w:pPr>
        <w:autoSpaceDE w:val="0"/>
        <w:autoSpaceDN w:val="0"/>
        <w:adjustRightInd w:val="0"/>
        <w:snapToGrid w:val="0"/>
        <w:spacing w:line="400" w:lineRule="exact"/>
        <w:ind w:firstLine="4464" w:firstLineChars="212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投标人名称（公章）：</w:t>
      </w:r>
    </w:p>
    <w:p w14:paraId="33464E32">
      <w:pPr>
        <w:autoSpaceDE w:val="0"/>
        <w:autoSpaceDN w:val="0"/>
        <w:adjustRightInd w:val="0"/>
        <w:snapToGrid w:val="0"/>
        <w:spacing w:line="400" w:lineRule="exact"/>
        <w:ind w:firstLine="4464" w:firstLineChars="212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法定代表人（签字或盖章）：</w:t>
      </w:r>
    </w:p>
    <w:p w14:paraId="039BA69F">
      <w:pPr>
        <w:adjustRightInd w:val="0"/>
        <w:snapToGrid w:val="0"/>
        <w:spacing w:line="400" w:lineRule="exact"/>
        <w:ind w:firstLine="4464" w:firstLineChars="2126"/>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日期：2025年  月   日</w:t>
      </w:r>
    </w:p>
    <w:p w14:paraId="58709C34">
      <w:pPr>
        <w:ind w:firstLine="199" w:firstLineChars="95"/>
        <w:jc w:val="right"/>
        <w:rPr>
          <w:rFonts w:ascii="宋体" w:hAnsi="宋体" w:eastAsia="宋体" w:cs="宋体"/>
          <w:color w:val="000000" w:themeColor="text1"/>
          <w14:textFill>
            <w14:solidFill>
              <w14:schemeClr w14:val="tx1"/>
            </w14:solidFill>
          </w14:textFill>
        </w:rPr>
      </w:pPr>
    </w:p>
    <w:p w14:paraId="5E337F4A">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6BF89328">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425C884B">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7BCD2C31">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6A66276D">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710213C7">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1CE9F561">
      <w:pPr>
        <w:rPr>
          <w:rFonts w:ascii="宋体" w:hAnsi="宋体" w:eastAsia="宋体" w:cs="宋体"/>
        </w:rPr>
      </w:pPr>
    </w:p>
    <w:p w14:paraId="506EED62">
      <w:pPr>
        <w:pStyle w:val="3"/>
        <w:rPr>
          <w:rFonts w:eastAsia="宋体"/>
        </w:rPr>
      </w:pPr>
      <w:r>
        <w:rPr>
          <w:rFonts w:hint="eastAsia" w:ascii="宋体" w:hAnsi="宋体" w:eastAsia="宋体" w:cs="宋体"/>
        </w:rPr>
        <w:t>附件另册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hiller">
    <w:panose1 w:val="04020404031007020602"/>
    <w:charset w:val="00"/>
    <w:family w:val="decorative"/>
    <w:pitch w:val="default"/>
    <w:sig w:usb0="00000003" w:usb1="00000000" w:usb2="00000000" w:usb3="00000000" w:csb0="20000001" w:csb1="0000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Noto Serif SC"/>
    <w:panose1 w:val="00000000000000000000"/>
    <w:charset w:val="00"/>
    <w:family w:val="roman"/>
    <w:pitch w:val="default"/>
    <w:sig w:usb0="00000000" w:usb1="00000000" w:usb2="00000000" w:usb3="00000000" w:csb0="00040001" w:csb1="00000000"/>
  </w:font>
  <w:font w:name="标准粗黑">
    <w:altName w:val="黑体"/>
    <w:panose1 w:val="02000503000000000000"/>
    <w:charset w:val="86"/>
    <w:family w:val="auto"/>
    <w:pitch w:val="default"/>
    <w:sig w:usb0="00000000" w:usb1="00000000" w:usb2="00000012"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Arial Unicode MS"/>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Arial Unicode MS"/>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Noto Serif SC">
    <w:panose1 w:val="02020200000000000000"/>
    <w:charset w:val="86"/>
    <w:family w:val="auto"/>
    <w:pitch w:val="default"/>
    <w:sig w:usb0="20000083" w:usb1="2ADF3C10" w:usb2="00000016" w:usb3="00000000" w:csb0="60060107"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018C">
    <w:pPr>
      <w:pStyle w:val="4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C8F76EC">
                          <w:pPr>
                            <w:pStyle w:val="4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0C8F76E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20D6">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C571D">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2DC571D">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301A">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0DCAF"/>
    <w:multiLevelType w:val="singleLevel"/>
    <w:tmpl w:val="C2A0DCAF"/>
    <w:lvl w:ilvl="0" w:tentative="0">
      <w:start w:val="1"/>
      <w:numFmt w:val="decimal"/>
      <w:suff w:val="nothing"/>
      <w:lvlText w:val="%1、"/>
      <w:lvlJc w:val="left"/>
      <w:pPr>
        <w:ind w:left="563" w:leftChars="0" w:firstLine="0" w:firstLineChars="0"/>
      </w:pPr>
    </w:lvl>
  </w:abstractNum>
  <w:abstractNum w:abstractNumId="1">
    <w:nsid w:val="C32AC44B"/>
    <w:multiLevelType w:val="singleLevel"/>
    <w:tmpl w:val="C32AC44B"/>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3">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4">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6">
    <w:nsid w:val="00000009"/>
    <w:multiLevelType w:val="multilevel"/>
    <w:tmpl w:val="00000009"/>
    <w:lvl w:ilvl="0" w:tentative="0">
      <w:start w:val="1"/>
      <w:numFmt w:val="japaneseCounting"/>
      <w:pStyle w:val="403"/>
      <w:suff w:val="nothing"/>
      <w:lvlText w:val="%1、"/>
      <w:lvlJc w:val="left"/>
      <w:pPr>
        <w:ind w:left="0" w:firstLine="0"/>
      </w:pPr>
      <w:rPr>
        <w:rFonts w:hint="eastAsia" w:ascii="宋体" w:eastAsia="宋体"/>
        <w:b/>
        <w:i w:val="0"/>
        <w:sz w:val="28"/>
      </w:rPr>
    </w:lvl>
    <w:lvl w:ilvl="1" w:tentative="0">
      <w:start w:val="1"/>
      <w:numFmt w:val="japaneseCounting"/>
      <w:pStyle w:val="401"/>
      <w:suff w:val="nothing"/>
      <w:lvlText w:val="（%2）"/>
      <w:lvlJc w:val="left"/>
      <w:pPr>
        <w:ind w:left="0" w:firstLine="0"/>
      </w:pPr>
      <w:rPr>
        <w:rFonts w:hint="eastAsia" w:ascii="宋体" w:eastAsia="宋体"/>
        <w:b/>
        <w:i w:val="0"/>
        <w:sz w:val="24"/>
      </w:rPr>
    </w:lvl>
    <w:lvl w:ilvl="2" w:tentative="0">
      <w:start w:val="1"/>
      <w:numFmt w:val="decimal"/>
      <w:pStyle w:val="399"/>
      <w:lvlText w:val="%1.%2.%3"/>
      <w:lvlJc w:val="left"/>
      <w:pPr>
        <w:ind w:left="0" w:firstLine="0"/>
      </w:pPr>
      <w:rPr>
        <w:rFonts w:hint="eastAsia" w:ascii="宋体" w:eastAsia="宋体"/>
        <w:b/>
        <w:i w:val="0"/>
        <w:sz w:val="24"/>
      </w:rPr>
    </w:lvl>
    <w:lvl w:ilvl="3" w:tentative="0">
      <w:start w:val="1"/>
      <w:numFmt w:val="decimal"/>
      <w:pStyle w:val="398"/>
      <w:lvlText w:val="%1.%2.%3.%4"/>
      <w:lvlJc w:val="left"/>
      <w:pPr>
        <w:ind w:left="0" w:firstLine="0"/>
      </w:pPr>
      <w:rPr>
        <w:rFonts w:hint="eastAsia" w:ascii="宋体" w:eastAsia="宋体"/>
        <w:b/>
        <w:i w:val="0"/>
        <w:sz w:val="21"/>
      </w:rPr>
    </w:lvl>
    <w:lvl w:ilvl="4" w:tentative="0">
      <w:start w:val="1"/>
      <w:numFmt w:val="lowerLetter"/>
      <w:pStyle w:val="707"/>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A"/>
    <w:multiLevelType w:val="multilevel"/>
    <w:tmpl w:val="0000000A"/>
    <w:lvl w:ilvl="0" w:tentative="0">
      <w:start w:val="1"/>
      <w:numFmt w:val="decimal"/>
      <w:pStyle w:val="375"/>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1"/>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ADC6A9"/>
    <w:multiLevelType w:val="singleLevel"/>
    <w:tmpl w:val="0AADC6A9"/>
    <w:lvl w:ilvl="0" w:tentative="0">
      <w:start w:val="2"/>
      <w:numFmt w:val="chineseCounting"/>
      <w:suff w:val="space"/>
      <w:lvlText w:val="第%1章"/>
      <w:lvlJc w:val="left"/>
      <w:rPr>
        <w:rFonts w:hint="eastAsia"/>
      </w:rPr>
    </w:lvl>
  </w:abstractNum>
  <w:abstractNum w:abstractNumId="9">
    <w:nsid w:val="0DE4DFD3"/>
    <w:multiLevelType w:val="singleLevel"/>
    <w:tmpl w:val="0DE4DFD3"/>
    <w:lvl w:ilvl="0" w:tentative="0">
      <w:start w:val="1"/>
      <w:numFmt w:val="chineseCounting"/>
      <w:suff w:val="nothing"/>
      <w:lvlText w:val="%1、"/>
      <w:lvlJc w:val="left"/>
      <w:rPr>
        <w:rFonts w:hint="eastAsia"/>
      </w:rPr>
    </w:lvl>
  </w:abstractNum>
  <w:abstractNum w:abstractNumId="10">
    <w:nsid w:val="21EACBAD"/>
    <w:multiLevelType w:val="singleLevel"/>
    <w:tmpl w:val="21EACBAD"/>
    <w:lvl w:ilvl="0" w:tentative="0">
      <w:start w:val="2"/>
      <w:numFmt w:val="decimal"/>
      <w:suff w:val="nothing"/>
      <w:lvlText w:val="（%1）"/>
      <w:lvlJc w:val="left"/>
    </w:lvl>
  </w:abstractNum>
  <w:abstractNum w:abstractNumId="11">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276BF3"/>
    <w:rsid w:val="00001909"/>
    <w:rsid w:val="00043047"/>
    <w:rsid w:val="000529E9"/>
    <w:rsid w:val="00062C66"/>
    <w:rsid w:val="00062C8E"/>
    <w:rsid w:val="00070617"/>
    <w:rsid w:val="00072BCE"/>
    <w:rsid w:val="00081C10"/>
    <w:rsid w:val="000832CC"/>
    <w:rsid w:val="000932ED"/>
    <w:rsid w:val="00096AEF"/>
    <w:rsid w:val="000C2AB4"/>
    <w:rsid w:val="000D0BE4"/>
    <w:rsid w:val="000E5EE7"/>
    <w:rsid w:val="000F6008"/>
    <w:rsid w:val="000F6A3B"/>
    <w:rsid w:val="001049C5"/>
    <w:rsid w:val="001118FC"/>
    <w:rsid w:val="0012203B"/>
    <w:rsid w:val="001256CF"/>
    <w:rsid w:val="001673E5"/>
    <w:rsid w:val="00171CB6"/>
    <w:rsid w:val="001852F8"/>
    <w:rsid w:val="001A7489"/>
    <w:rsid w:val="001B758D"/>
    <w:rsid w:val="001E5A25"/>
    <w:rsid w:val="001F13CF"/>
    <w:rsid w:val="002139E0"/>
    <w:rsid w:val="00231C23"/>
    <w:rsid w:val="00247001"/>
    <w:rsid w:val="0027055C"/>
    <w:rsid w:val="00276BF3"/>
    <w:rsid w:val="00282A56"/>
    <w:rsid w:val="00283C8D"/>
    <w:rsid w:val="00285F07"/>
    <w:rsid w:val="00290B86"/>
    <w:rsid w:val="00291D55"/>
    <w:rsid w:val="0029562F"/>
    <w:rsid w:val="00296CA2"/>
    <w:rsid w:val="002A1EF7"/>
    <w:rsid w:val="002B1B72"/>
    <w:rsid w:val="002C5E9E"/>
    <w:rsid w:val="002C6E39"/>
    <w:rsid w:val="002E735C"/>
    <w:rsid w:val="002F5A9E"/>
    <w:rsid w:val="003031F5"/>
    <w:rsid w:val="003165C7"/>
    <w:rsid w:val="00331809"/>
    <w:rsid w:val="003339C0"/>
    <w:rsid w:val="003364EC"/>
    <w:rsid w:val="00345217"/>
    <w:rsid w:val="00361E3A"/>
    <w:rsid w:val="003765FB"/>
    <w:rsid w:val="00380CCB"/>
    <w:rsid w:val="003A2212"/>
    <w:rsid w:val="003D338C"/>
    <w:rsid w:val="004064C3"/>
    <w:rsid w:val="00413687"/>
    <w:rsid w:val="004152E2"/>
    <w:rsid w:val="00424B7D"/>
    <w:rsid w:val="00425D7F"/>
    <w:rsid w:val="00430EF1"/>
    <w:rsid w:val="004478F1"/>
    <w:rsid w:val="00462E61"/>
    <w:rsid w:val="00464A22"/>
    <w:rsid w:val="0047394C"/>
    <w:rsid w:val="00475182"/>
    <w:rsid w:val="00476F6B"/>
    <w:rsid w:val="00481FEA"/>
    <w:rsid w:val="004876FB"/>
    <w:rsid w:val="0049430C"/>
    <w:rsid w:val="004958C9"/>
    <w:rsid w:val="004C12A7"/>
    <w:rsid w:val="004C1369"/>
    <w:rsid w:val="004C43DD"/>
    <w:rsid w:val="004E0AA5"/>
    <w:rsid w:val="004E7BBE"/>
    <w:rsid w:val="004F0332"/>
    <w:rsid w:val="00561582"/>
    <w:rsid w:val="0056278B"/>
    <w:rsid w:val="00567B86"/>
    <w:rsid w:val="00573444"/>
    <w:rsid w:val="005763CC"/>
    <w:rsid w:val="005815C0"/>
    <w:rsid w:val="005A3595"/>
    <w:rsid w:val="005D0B62"/>
    <w:rsid w:val="00603EDC"/>
    <w:rsid w:val="00627F70"/>
    <w:rsid w:val="00633123"/>
    <w:rsid w:val="0064445F"/>
    <w:rsid w:val="00653F94"/>
    <w:rsid w:val="00661A5F"/>
    <w:rsid w:val="00672702"/>
    <w:rsid w:val="006811B5"/>
    <w:rsid w:val="0068484F"/>
    <w:rsid w:val="006931D7"/>
    <w:rsid w:val="00697BA6"/>
    <w:rsid w:val="00701385"/>
    <w:rsid w:val="00702AD0"/>
    <w:rsid w:val="00710E49"/>
    <w:rsid w:val="0071386E"/>
    <w:rsid w:val="00716BC3"/>
    <w:rsid w:val="00733E90"/>
    <w:rsid w:val="00741ABF"/>
    <w:rsid w:val="00747C1E"/>
    <w:rsid w:val="007804B8"/>
    <w:rsid w:val="0079072B"/>
    <w:rsid w:val="00792BD8"/>
    <w:rsid w:val="007B2B16"/>
    <w:rsid w:val="007B525A"/>
    <w:rsid w:val="007D441C"/>
    <w:rsid w:val="007D4462"/>
    <w:rsid w:val="007E3A5A"/>
    <w:rsid w:val="007E6A58"/>
    <w:rsid w:val="007F0C69"/>
    <w:rsid w:val="007F144B"/>
    <w:rsid w:val="00804D7C"/>
    <w:rsid w:val="00812E74"/>
    <w:rsid w:val="00814795"/>
    <w:rsid w:val="0083050D"/>
    <w:rsid w:val="008328D8"/>
    <w:rsid w:val="00835D13"/>
    <w:rsid w:val="0084208B"/>
    <w:rsid w:val="00861344"/>
    <w:rsid w:val="008703AE"/>
    <w:rsid w:val="008711BB"/>
    <w:rsid w:val="008837B8"/>
    <w:rsid w:val="008A69E6"/>
    <w:rsid w:val="008B3A5F"/>
    <w:rsid w:val="008C4BF6"/>
    <w:rsid w:val="008C6C41"/>
    <w:rsid w:val="008D1D00"/>
    <w:rsid w:val="00921DC0"/>
    <w:rsid w:val="00944CE9"/>
    <w:rsid w:val="00951DAB"/>
    <w:rsid w:val="009614D5"/>
    <w:rsid w:val="0096550A"/>
    <w:rsid w:val="00980E49"/>
    <w:rsid w:val="00984B6E"/>
    <w:rsid w:val="00992E6C"/>
    <w:rsid w:val="009A0329"/>
    <w:rsid w:val="009B5C7D"/>
    <w:rsid w:val="009B7F29"/>
    <w:rsid w:val="009C0F94"/>
    <w:rsid w:val="009C3FBF"/>
    <w:rsid w:val="009C7E5F"/>
    <w:rsid w:val="009D3A4F"/>
    <w:rsid w:val="009F0B92"/>
    <w:rsid w:val="009F2E6D"/>
    <w:rsid w:val="00A06BF5"/>
    <w:rsid w:val="00A2421E"/>
    <w:rsid w:val="00A24588"/>
    <w:rsid w:val="00A501E4"/>
    <w:rsid w:val="00A546BF"/>
    <w:rsid w:val="00A65269"/>
    <w:rsid w:val="00A67D80"/>
    <w:rsid w:val="00A8194D"/>
    <w:rsid w:val="00A87727"/>
    <w:rsid w:val="00A920C1"/>
    <w:rsid w:val="00AB6559"/>
    <w:rsid w:val="00AD43F6"/>
    <w:rsid w:val="00AE6043"/>
    <w:rsid w:val="00AF087D"/>
    <w:rsid w:val="00B055DA"/>
    <w:rsid w:val="00B07A47"/>
    <w:rsid w:val="00B07FBE"/>
    <w:rsid w:val="00B56AD7"/>
    <w:rsid w:val="00B61DA0"/>
    <w:rsid w:val="00B64070"/>
    <w:rsid w:val="00B654B5"/>
    <w:rsid w:val="00B71F65"/>
    <w:rsid w:val="00B837C8"/>
    <w:rsid w:val="00B86CE6"/>
    <w:rsid w:val="00B92BE4"/>
    <w:rsid w:val="00BA159D"/>
    <w:rsid w:val="00BB5AA3"/>
    <w:rsid w:val="00BC1791"/>
    <w:rsid w:val="00BC1B8D"/>
    <w:rsid w:val="00BC1D8B"/>
    <w:rsid w:val="00BD757C"/>
    <w:rsid w:val="00BE46DE"/>
    <w:rsid w:val="00C07FA0"/>
    <w:rsid w:val="00C36465"/>
    <w:rsid w:val="00C4349A"/>
    <w:rsid w:val="00C434C8"/>
    <w:rsid w:val="00C43B4B"/>
    <w:rsid w:val="00C45DF9"/>
    <w:rsid w:val="00C46335"/>
    <w:rsid w:val="00C464D3"/>
    <w:rsid w:val="00C551D4"/>
    <w:rsid w:val="00C62140"/>
    <w:rsid w:val="00C65E41"/>
    <w:rsid w:val="00CA1E96"/>
    <w:rsid w:val="00CD3DC6"/>
    <w:rsid w:val="00CD4B28"/>
    <w:rsid w:val="00CF309C"/>
    <w:rsid w:val="00D10085"/>
    <w:rsid w:val="00D103C4"/>
    <w:rsid w:val="00D11A56"/>
    <w:rsid w:val="00D26FCE"/>
    <w:rsid w:val="00D31F31"/>
    <w:rsid w:val="00D40D6A"/>
    <w:rsid w:val="00D52A9B"/>
    <w:rsid w:val="00D600FE"/>
    <w:rsid w:val="00D60AB8"/>
    <w:rsid w:val="00D84EE4"/>
    <w:rsid w:val="00D85B60"/>
    <w:rsid w:val="00D87611"/>
    <w:rsid w:val="00DB79D0"/>
    <w:rsid w:val="00DC4A01"/>
    <w:rsid w:val="00DD0465"/>
    <w:rsid w:val="00DD214F"/>
    <w:rsid w:val="00DD7091"/>
    <w:rsid w:val="00DE4B67"/>
    <w:rsid w:val="00DF5DA1"/>
    <w:rsid w:val="00E12EE4"/>
    <w:rsid w:val="00E25A73"/>
    <w:rsid w:val="00E263D2"/>
    <w:rsid w:val="00E32137"/>
    <w:rsid w:val="00E32638"/>
    <w:rsid w:val="00E541E4"/>
    <w:rsid w:val="00E6532C"/>
    <w:rsid w:val="00E70344"/>
    <w:rsid w:val="00E77C5D"/>
    <w:rsid w:val="00E94FD5"/>
    <w:rsid w:val="00EA0391"/>
    <w:rsid w:val="00EA6C1D"/>
    <w:rsid w:val="00EB29EF"/>
    <w:rsid w:val="00EB7776"/>
    <w:rsid w:val="00EC22AC"/>
    <w:rsid w:val="00ED20C5"/>
    <w:rsid w:val="00ED7AAE"/>
    <w:rsid w:val="00F068DE"/>
    <w:rsid w:val="00F10B70"/>
    <w:rsid w:val="00F164A0"/>
    <w:rsid w:val="00F35975"/>
    <w:rsid w:val="00F36D99"/>
    <w:rsid w:val="00F41F22"/>
    <w:rsid w:val="00F94E39"/>
    <w:rsid w:val="00FA5506"/>
    <w:rsid w:val="00FB1413"/>
    <w:rsid w:val="00FC3563"/>
    <w:rsid w:val="00FE2EDE"/>
    <w:rsid w:val="00FF519F"/>
    <w:rsid w:val="00FF5CDD"/>
    <w:rsid w:val="013B37D7"/>
    <w:rsid w:val="01693D70"/>
    <w:rsid w:val="01762172"/>
    <w:rsid w:val="017E0CD4"/>
    <w:rsid w:val="01C71CB0"/>
    <w:rsid w:val="01EE0B37"/>
    <w:rsid w:val="01F122AD"/>
    <w:rsid w:val="01F62035"/>
    <w:rsid w:val="021F6ED0"/>
    <w:rsid w:val="022A6766"/>
    <w:rsid w:val="022F73A2"/>
    <w:rsid w:val="026C46FD"/>
    <w:rsid w:val="02A66735"/>
    <w:rsid w:val="02A91D81"/>
    <w:rsid w:val="02C552B4"/>
    <w:rsid w:val="034F2928"/>
    <w:rsid w:val="03602F97"/>
    <w:rsid w:val="03773C2D"/>
    <w:rsid w:val="03863E70"/>
    <w:rsid w:val="03A26EFC"/>
    <w:rsid w:val="03B62950"/>
    <w:rsid w:val="03F4380B"/>
    <w:rsid w:val="03F92D50"/>
    <w:rsid w:val="04357D70"/>
    <w:rsid w:val="04475814"/>
    <w:rsid w:val="04525DA3"/>
    <w:rsid w:val="04A86F85"/>
    <w:rsid w:val="04AF38FD"/>
    <w:rsid w:val="04B05649"/>
    <w:rsid w:val="051200B1"/>
    <w:rsid w:val="052E181F"/>
    <w:rsid w:val="05322502"/>
    <w:rsid w:val="053E392E"/>
    <w:rsid w:val="054D194C"/>
    <w:rsid w:val="05656433"/>
    <w:rsid w:val="057228FE"/>
    <w:rsid w:val="05921FB2"/>
    <w:rsid w:val="05A76A4C"/>
    <w:rsid w:val="05FC39A4"/>
    <w:rsid w:val="06367DD0"/>
    <w:rsid w:val="06952D48"/>
    <w:rsid w:val="06B17456"/>
    <w:rsid w:val="06F8001C"/>
    <w:rsid w:val="06FB3B03"/>
    <w:rsid w:val="073D0C76"/>
    <w:rsid w:val="074107DA"/>
    <w:rsid w:val="07550729"/>
    <w:rsid w:val="077A4BE5"/>
    <w:rsid w:val="07A1410D"/>
    <w:rsid w:val="07A64C4C"/>
    <w:rsid w:val="07E12AFC"/>
    <w:rsid w:val="07E850FA"/>
    <w:rsid w:val="07F4255A"/>
    <w:rsid w:val="07FA3C26"/>
    <w:rsid w:val="0849203C"/>
    <w:rsid w:val="084A36DA"/>
    <w:rsid w:val="084E78AD"/>
    <w:rsid w:val="088F199B"/>
    <w:rsid w:val="08BA6A96"/>
    <w:rsid w:val="08E77E2A"/>
    <w:rsid w:val="08F02CB9"/>
    <w:rsid w:val="090B10A0"/>
    <w:rsid w:val="09376339"/>
    <w:rsid w:val="095600DF"/>
    <w:rsid w:val="095813E4"/>
    <w:rsid w:val="095E38C5"/>
    <w:rsid w:val="09B41737"/>
    <w:rsid w:val="09B96D4E"/>
    <w:rsid w:val="09BF0765"/>
    <w:rsid w:val="09F064E7"/>
    <w:rsid w:val="0A036B3E"/>
    <w:rsid w:val="0A0976D6"/>
    <w:rsid w:val="0A0A5BB3"/>
    <w:rsid w:val="0A200B7B"/>
    <w:rsid w:val="0A5B41C5"/>
    <w:rsid w:val="0A98523E"/>
    <w:rsid w:val="0AB679E1"/>
    <w:rsid w:val="0AC27C6A"/>
    <w:rsid w:val="0AD66408"/>
    <w:rsid w:val="0ADB113E"/>
    <w:rsid w:val="0B094DFD"/>
    <w:rsid w:val="0B10394C"/>
    <w:rsid w:val="0B36617C"/>
    <w:rsid w:val="0B4108CC"/>
    <w:rsid w:val="0B53783F"/>
    <w:rsid w:val="0BA34770"/>
    <w:rsid w:val="0C1661EF"/>
    <w:rsid w:val="0C264442"/>
    <w:rsid w:val="0C8F7E2E"/>
    <w:rsid w:val="0C9C64B3"/>
    <w:rsid w:val="0C9E3D6D"/>
    <w:rsid w:val="0CDB7272"/>
    <w:rsid w:val="0CE02843"/>
    <w:rsid w:val="0CE638C1"/>
    <w:rsid w:val="0D1E7807"/>
    <w:rsid w:val="0D731909"/>
    <w:rsid w:val="0DC611E4"/>
    <w:rsid w:val="0DC679A9"/>
    <w:rsid w:val="0DDC4A0F"/>
    <w:rsid w:val="0DFF25E8"/>
    <w:rsid w:val="0E0D1416"/>
    <w:rsid w:val="0E404166"/>
    <w:rsid w:val="0E462B7A"/>
    <w:rsid w:val="0F072534"/>
    <w:rsid w:val="0F2A401B"/>
    <w:rsid w:val="0FBA10DE"/>
    <w:rsid w:val="0FDF4796"/>
    <w:rsid w:val="0FF24D67"/>
    <w:rsid w:val="105A79C4"/>
    <w:rsid w:val="106F460A"/>
    <w:rsid w:val="10C203FB"/>
    <w:rsid w:val="10C77FA2"/>
    <w:rsid w:val="10E2302E"/>
    <w:rsid w:val="10E943BC"/>
    <w:rsid w:val="10F83057"/>
    <w:rsid w:val="112A66B2"/>
    <w:rsid w:val="114E2118"/>
    <w:rsid w:val="11604CE6"/>
    <w:rsid w:val="119755B5"/>
    <w:rsid w:val="1199094B"/>
    <w:rsid w:val="11C24C0D"/>
    <w:rsid w:val="11C569A6"/>
    <w:rsid w:val="124F2582"/>
    <w:rsid w:val="12642623"/>
    <w:rsid w:val="128A74D9"/>
    <w:rsid w:val="129E11D6"/>
    <w:rsid w:val="12EF726C"/>
    <w:rsid w:val="13025F11"/>
    <w:rsid w:val="13BE9BB9"/>
    <w:rsid w:val="13FF7A53"/>
    <w:rsid w:val="14060DE1"/>
    <w:rsid w:val="14241A31"/>
    <w:rsid w:val="14BB338F"/>
    <w:rsid w:val="14C75E31"/>
    <w:rsid w:val="14CC7B6B"/>
    <w:rsid w:val="14FD54CA"/>
    <w:rsid w:val="15165CA2"/>
    <w:rsid w:val="152D20F4"/>
    <w:rsid w:val="1555138F"/>
    <w:rsid w:val="1565124C"/>
    <w:rsid w:val="156C61CB"/>
    <w:rsid w:val="15842235"/>
    <w:rsid w:val="15853F88"/>
    <w:rsid w:val="158F12AA"/>
    <w:rsid w:val="159A3523"/>
    <w:rsid w:val="15C44D9D"/>
    <w:rsid w:val="15DB629E"/>
    <w:rsid w:val="15ED3F4E"/>
    <w:rsid w:val="16196B4E"/>
    <w:rsid w:val="16585B40"/>
    <w:rsid w:val="16654D46"/>
    <w:rsid w:val="16B57320"/>
    <w:rsid w:val="16DA4A0E"/>
    <w:rsid w:val="17257A3B"/>
    <w:rsid w:val="172F4AF3"/>
    <w:rsid w:val="17C46B8A"/>
    <w:rsid w:val="17FDC41B"/>
    <w:rsid w:val="1813218C"/>
    <w:rsid w:val="1830625E"/>
    <w:rsid w:val="184B14B9"/>
    <w:rsid w:val="18C809B6"/>
    <w:rsid w:val="19173A91"/>
    <w:rsid w:val="191D13C0"/>
    <w:rsid w:val="19205339"/>
    <w:rsid w:val="19472589"/>
    <w:rsid w:val="194C6A11"/>
    <w:rsid w:val="196C5B8A"/>
    <w:rsid w:val="19C05ED6"/>
    <w:rsid w:val="19E07E8B"/>
    <w:rsid w:val="1A3F6023"/>
    <w:rsid w:val="1A420699"/>
    <w:rsid w:val="1A7E1D67"/>
    <w:rsid w:val="1ABC669E"/>
    <w:rsid w:val="1AC35C7E"/>
    <w:rsid w:val="1AC87DF6"/>
    <w:rsid w:val="1AE532AF"/>
    <w:rsid w:val="1AFB72AE"/>
    <w:rsid w:val="1B4F57C2"/>
    <w:rsid w:val="1B81532C"/>
    <w:rsid w:val="1BB04941"/>
    <w:rsid w:val="1BC534F8"/>
    <w:rsid w:val="1BDD20AF"/>
    <w:rsid w:val="1BE51C24"/>
    <w:rsid w:val="1BE85FD5"/>
    <w:rsid w:val="1BF400B9"/>
    <w:rsid w:val="1BF70EAC"/>
    <w:rsid w:val="1C4B6E6A"/>
    <w:rsid w:val="1C556DAA"/>
    <w:rsid w:val="1C5D17BA"/>
    <w:rsid w:val="1C7C20CC"/>
    <w:rsid w:val="1C8832E6"/>
    <w:rsid w:val="1C8F3637"/>
    <w:rsid w:val="1C9176B6"/>
    <w:rsid w:val="1CB02232"/>
    <w:rsid w:val="1CC16350"/>
    <w:rsid w:val="1D0D65B3"/>
    <w:rsid w:val="1D0E6B73"/>
    <w:rsid w:val="1D1502E7"/>
    <w:rsid w:val="1D15F42A"/>
    <w:rsid w:val="1D3151EA"/>
    <w:rsid w:val="1D3F66C7"/>
    <w:rsid w:val="1DAB3498"/>
    <w:rsid w:val="1DB55626"/>
    <w:rsid w:val="1E032835"/>
    <w:rsid w:val="1E086AA1"/>
    <w:rsid w:val="1E116D00"/>
    <w:rsid w:val="1E193E07"/>
    <w:rsid w:val="1E2307E2"/>
    <w:rsid w:val="1EC52D7D"/>
    <w:rsid w:val="1F525822"/>
    <w:rsid w:val="1F597889"/>
    <w:rsid w:val="1F9FA9C4"/>
    <w:rsid w:val="1FA20AF0"/>
    <w:rsid w:val="1FD04999"/>
    <w:rsid w:val="1FD652E4"/>
    <w:rsid w:val="1FE741BD"/>
    <w:rsid w:val="207F5A82"/>
    <w:rsid w:val="20825C93"/>
    <w:rsid w:val="210E5779"/>
    <w:rsid w:val="21224D81"/>
    <w:rsid w:val="212B00D9"/>
    <w:rsid w:val="213F1DD6"/>
    <w:rsid w:val="216E2870"/>
    <w:rsid w:val="21D45668"/>
    <w:rsid w:val="21E7182E"/>
    <w:rsid w:val="222B7BAE"/>
    <w:rsid w:val="223D47BB"/>
    <w:rsid w:val="22425151"/>
    <w:rsid w:val="22B660C8"/>
    <w:rsid w:val="22E22D4A"/>
    <w:rsid w:val="22F73BE9"/>
    <w:rsid w:val="231D6147"/>
    <w:rsid w:val="23335D3B"/>
    <w:rsid w:val="233F62DB"/>
    <w:rsid w:val="234F5BD5"/>
    <w:rsid w:val="23757D3B"/>
    <w:rsid w:val="239F449A"/>
    <w:rsid w:val="239F6B5C"/>
    <w:rsid w:val="240412CD"/>
    <w:rsid w:val="240B134B"/>
    <w:rsid w:val="24B71C84"/>
    <w:rsid w:val="24CF6FCD"/>
    <w:rsid w:val="24DC22E9"/>
    <w:rsid w:val="24F20F0E"/>
    <w:rsid w:val="25304341"/>
    <w:rsid w:val="25357D1C"/>
    <w:rsid w:val="255928EB"/>
    <w:rsid w:val="255D293A"/>
    <w:rsid w:val="257346E0"/>
    <w:rsid w:val="25CA011E"/>
    <w:rsid w:val="25F969F8"/>
    <w:rsid w:val="26356F09"/>
    <w:rsid w:val="2668592C"/>
    <w:rsid w:val="26953A5A"/>
    <w:rsid w:val="26CC19EC"/>
    <w:rsid w:val="26D703BB"/>
    <w:rsid w:val="26F121F0"/>
    <w:rsid w:val="26F83ECA"/>
    <w:rsid w:val="271B3332"/>
    <w:rsid w:val="273477E1"/>
    <w:rsid w:val="276145F5"/>
    <w:rsid w:val="27A33318"/>
    <w:rsid w:val="27ED000E"/>
    <w:rsid w:val="27EF434C"/>
    <w:rsid w:val="280C74C5"/>
    <w:rsid w:val="286C3843"/>
    <w:rsid w:val="28A03AF9"/>
    <w:rsid w:val="28F13E9E"/>
    <w:rsid w:val="28F43F3F"/>
    <w:rsid w:val="28F95A2D"/>
    <w:rsid w:val="29084248"/>
    <w:rsid w:val="29276259"/>
    <w:rsid w:val="29DF0E57"/>
    <w:rsid w:val="2A103412"/>
    <w:rsid w:val="2A475AEA"/>
    <w:rsid w:val="2A72028B"/>
    <w:rsid w:val="2A8E16D9"/>
    <w:rsid w:val="2A9C442F"/>
    <w:rsid w:val="2B136138"/>
    <w:rsid w:val="2B2F386A"/>
    <w:rsid w:val="2B3C3686"/>
    <w:rsid w:val="2B5D7E0A"/>
    <w:rsid w:val="2BA02E46"/>
    <w:rsid w:val="2BD355F5"/>
    <w:rsid w:val="2BE041B6"/>
    <w:rsid w:val="2BEB6DE3"/>
    <w:rsid w:val="2C02412C"/>
    <w:rsid w:val="2C344011"/>
    <w:rsid w:val="2CE81574"/>
    <w:rsid w:val="2D0B0DBF"/>
    <w:rsid w:val="2D1D0B66"/>
    <w:rsid w:val="2D216834"/>
    <w:rsid w:val="2D4B565F"/>
    <w:rsid w:val="2D636E4D"/>
    <w:rsid w:val="2D7050C6"/>
    <w:rsid w:val="2DCD49FD"/>
    <w:rsid w:val="2DE7EB9F"/>
    <w:rsid w:val="2DF6F328"/>
    <w:rsid w:val="2E1F020D"/>
    <w:rsid w:val="2E2270BF"/>
    <w:rsid w:val="2E580034"/>
    <w:rsid w:val="2E6469D8"/>
    <w:rsid w:val="2E9D013C"/>
    <w:rsid w:val="2ED15F5E"/>
    <w:rsid w:val="2ED3590C"/>
    <w:rsid w:val="2ED56B63"/>
    <w:rsid w:val="2EDF2CF6"/>
    <w:rsid w:val="2F171C9D"/>
    <w:rsid w:val="2F3B32FA"/>
    <w:rsid w:val="2F4316F0"/>
    <w:rsid w:val="2F623CB1"/>
    <w:rsid w:val="2F64E6AD"/>
    <w:rsid w:val="2F662C47"/>
    <w:rsid w:val="2F725125"/>
    <w:rsid w:val="2F7964B4"/>
    <w:rsid w:val="2FB96C5A"/>
    <w:rsid w:val="2FBD0FF1"/>
    <w:rsid w:val="2FC55B9D"/>
    <w:rsid w:val="2FE029D7"/>
    <w:rsid w:val="2FF76CD5"/>
    <w:rsid w:val="2FFBF0BC"/>
    <w:rsid w:val="30216B85"/>
    <w:rsid w:val="307D4ABA"/>
    <w:rsid w:val="30C3032E"/>
    <w:rsid w:val="30CF7E4F"/>
    <w:rsid w:val="30FF3436"/>
    <w:rsid w:val="31025E73"/>
    <w:rsid w:val="31444EC1"/>
    <w:rsid w:val="317038E6"/>
    <w:rsid w:val="31A26763"/>
    <w:rsid w:val="31F462C5"/>
    <w:rsid w:val="32195012"/>
    <w:rsid w:val="32285C55"/>
    <w:rsid w:val="322A6968"/>
    <w:rsid w:val="328E671A"/>
    <w:rsid w:val="3297F56D"/>
    <w:rsid w:val="329D324D"/>
    <w:rsid w:val="32C37159"/>
    <w:rsid w:val="32C959A4"/>
    <w:rsid w:val="32DA5865"/>
    <w:rsid w:val="32F347CF"/>
    <w:rsid w:val="33260700"/>
    <w:rsid w:val="33300D42"/>
    <w:rsid w:val="3330157F"/>
    <w:rsid w:val="3341553A"/>
    <w:rsid w:val="336C0197"/>
    <w:rsid w:val="339616AF"/>
    <w:rsid w:val="33F149FD"/>
    <w:rsid w:val="34373437"/>
    <w:rsid w:val="348F22D5"/>
    <w:rsid w:val="34C21D26"/>
    <w:rsid w:val="34C226AB"/>
    <w:rsid w:val="34D0301A"/>
    <w:rsid w:val="350160F2"/>
    <w:rsid w:val="351849C1"/>
    <w:rsid w:val="355317BE"/>
    <w:rsid w:val="355D6599"/>
    <w:rsid w:val="35622C71"/>
    <w:rsid w:val="356E2FD9"/>
    <w:rsid w:val="35B20725"/>
    <w:rsid w:val="35B83F26"/>
    <w:rsid w:val="35CC29F6"/>
    <w:rsid w:val="35D5415D"/>
    <w:rsid w:val="360C62D3"/>
    <w:rsid w:val="36251011"/>
    <w:rsid w:val="36981915"/>
    <w:rsid w:val="369938DF"/>
    <w:rsid w:val="36A64537"/>
    <w:rsid w:val="36C85AB1"/>
    <w:rsid w:val="36D1697E"/>
    <w:rsid w:val="37044CAB"/>
    <w:rsid w:val="372F1B4E"/>
    <w:rsid w:val="378821CC"/>
    <w:rsid w:val="37A34A15"/>
    <w:rsid w:val="37B79D2B"/>
    <w:rsid w:val="37C62713"/>
    <w:rsid w:val="37D56B99"/>
    <w:rsid w:val="37FB617A"/>
    <w:rsid w:val="382D0783"/>
    <w:rsid w:val="383D3652"/>
    <w:rsid w:val="38AE740E"/>
    <w:rsid w:val="38D92C21"/>
    <w:rsid w:val="38E76B84"/>
    <w:rsid w:val="392C4597"/>
    <w:rsid w:val="394F0285"/>
    <w:rsid w:val="39810D86"/>
    <w:rsid w:val="399860D0"/>
    <w:rsid w:val="39DF5AAD"/>
    <w:rsid w:val="39F23A32"/>
    <w:rsid w:val="39F63CEA"/>
    <w:rsid w:val="3A2E5B86"/>
    <w:rsid w:val="3A30455A"/>
    <w:rsid w:val="3A3E1F9C"/>
    <w:rsid w:val="3ADD00EB"/>
    <w:rsid w:val="3AFC4F2B"/>
    <w:rsid w:val="3B364AD1"/>
    <w:rsid w:val="3B5D312D"/>
    <w:rsid w:val="3B653AFE"/>
    <w:rsid w:val="3BD85BD5"/>
    <w:rsid w:val="3BFA1DF4"/>
    <w:rsid w:val="3C355E58"/>
    <w:rsid w:val="3C7721BF"/>
    <w:rsid w:val="3C82628E"/>
    <w:rsid w:val="3CC80A7A"/>
    <w:rsid w:val="3CCD1DA9"/>
    <w:rsid w:val="3CF16A51"/>
    <w:rsid w:val="3D147027"/>
    <w:rsid w:val="3D192232"/>
    <w:rsid w:val="3D3F4E19"/>
    <w:rsid w:val="3D5B4EAA"/>
    <w:rsid w:val="3D7338D9"/>
    <w:rsid w:val="3D8F067A"/>
    <w:rsid w:val="3DA24BB0"/>
    <w:rsid w:val="3DAB794E"/>
    <w:rsid w:val="3DCFD675"/>
    <w:rsid w:val="3DD60F75"/>
    <w:rsid w:val="3DDF1F81"/>
    <w:rsid w:val="3E1C6396"/>
    <w:rsid w:val="3E2E70EF"/>
    <w:rsid w:val="3E324F97"/>
    <w:rsid w:val="3E3C050B"/>
    <w:rsid w:val="3E3D0FF4"/>
    <w:rsid w:val="3E3E1A84"/>
    <w:rsid w:val="3E5E7173"/>
    <w:rsid w:val="3E88226F"/>
    <w:rsid w:val="3E8E0DB8"/>
    <w:rsid w:val="3EBE0F77"/>
    <w:rsid w:val="3EC722BE"/>
    <w:rsid w:val="3EE6343A"/>
    <w:rsid w:val="3EEC652A"/>
    <w:rsid w:val="3EEF088A"/>
    <w:rsid w:val="3EFED8A8"/>
    <w:rsid w:val="3F314E39"/>
    <w:rsid w:val="3F542A99"/>
    <w:rsid w:val="3F5D116F"/>
    <w:rsid w:val="3F6FC61D"/>
    <w:rsid w:val="3FAF04C4"/>
    <w:rsid w:val="3FBE5436"/>
    <w:rsid w:val="3FC90D91"/>
    <w:rsid w:val="3FF3CAEC"/>
    <w:rsid w:val="3FFFF19F"/>
    <w:rsid w:val="40356427"/>
    <w:rsid w:val="408B6047"/>
    <w:rsid w:val="410F6C78"/>
    <w:rsid w:val="411918A4"/>
    <w:rsid w:val="41417FB7"/>
    <w:rsid w:val="41897253"/>
    <w:rsid w:val="41934623"/>
    <w:rsid w:val="41A76EB0"/>
    <w:rsid w:val="41AF1136"/>
    <w:rsid w:val="41CA1EAB"/>
    <w:rsid w:val="41F4274F"/>
    <w:rsid w:val="420339DD"/>
    <w:rsid w:val="420958E7"/>
    <w:rsid w:val="420D21C8"/>
    <w:rsid w:val="423A41C8"/>
    <w:rsid w:val="424D3B68"/>
    <w:rsid w:val="424D3EFC"/>
    <w:rsid w:val="425F0874"/>
    <w:rsid w:val="42636414"/>
    <w:rsid w:val="42AB79EA"/>
    <w:rsid w:val="4395089F"/>
    <w:rsid w:val="43A8628C"/>
    <w:rsid w:val="441B3B85"/>
    <w:rsid w:val="445769C9"/>
    <w:rsid w:val="44A8676D"/>
    <w:rsid w:val="44C2210F"/>
    <w:rsid w:val="44D73F50"/>
    <w:rsid w:val="45011D41"/>
    <w:rsid w:val="454702B7"/>
    <w:rsid w:val="455F50A9"/>
    <w:rsid w:val="46054AED"/>
    <w:rsid w:val="46054EFF"/>
    <w:rsid w:val="460B79E3"/>
    <w:rsid w:val="46113492"/>
    <w:rsid w:val="463333B8"/>
    <w:rsid w:val="469F284C"/>
    <w:rsid w:val="46F1479A"/>
    <w:rsid w:val="46FD6304"/>
    <w:rsid w:val="4703102D"/>
    <w:rsid w:val="472674C8"/>
    <w:rsid w:val="472F2356"/>
    <w:rsid w:val="473513C9"/>
    <w:rsid w:val="474E4E09"/>
    <w:rsid w:val="477A6E15"/>
    <w:rsid w:val="47A8312D"/>
    <w:rsid w:val="47B70069"/>
    <w:rsid w:val="47E80223"/>
    <w:rsid w:val="47FF4A18"/>
    <w:rsid w:val="48033D20"/>
    <w:rsid w:val="48037215"/>
    <w:rsid w:val="48301B2B"/>
    <w:rsid w:val="48305E1A"/>
    <w:rsid w:val="486C49B0"/>
    <w:rsid w:val="48A65332"/>
    <w:rsid w:val="48B102D4"/>
    <w:rsid w:val="49234E8C"/>
    <w:rsid w:val="493801AD"/>
    <w:rsid w:val="49463453"/>
    <w:rsid w:val="495E69EE"/>
    <w:rsid w:val="49614097"/>
    <w:rsid w:val="49646232"/>
    <w:rsid w:val="497E15BE"/>
    <w:rsid w:val="49896CB2"/>
    <w:rsid w:val="498B1A71"/>
    <w:rsid w:val="499E6DEB"/>
    <w:rsid w:val="49A21DA1"/>
    <w:rsid w:val="49C91C9A"/>
    <w:rsid w:val="49CC4853"/>
    <w:rsid w:val="49DF0C57"/>
    <w:rsid w:val="4A976A30"/>
    <w:rsid w:val="4AA01CFD"/>
    <w:rsid w:val="4AD92144"/>
    <w:rsid w:val="4B226DD3"/>
    <w:rsid w:val="4B8169C4"/>
    <w:rsid w:val="4BFA71B5"/>
    <w:rsid w:val="4C2A5200"/>
    <w:rsid w:val="4C3103EA"/>
    <w:rsid w:val="4C436F62"/>
    <w:rsid w:val="4C4C5224"/>
    <w:rsid w:val="4C7F5B38"/>
    <w:rsid w:val="4C8248BD"/>
    <w:rsid w:val="4C927F2F"/>
    <w:rsid w:val="4C995F8F"/>
    <w:rsid w:val="4CB80446"/>
    <w:rsid w:val="4CDE6D29"/>
    <w:rsid w:val="4CFE7C69"/>
    <w:rsid w:val="4DD21759"/>
    <w:rsid w:val="4DDFDB34"/>
    <w:rsid w:val="4E257040"/>
    <w:rsid w:val="4E7074C0"/>
    <w:rsid w:val="4E772300"/>
    <w:rsid w:val="4EBA6128"/>
    <w:rsid w:val="4EEA6215"/>
    <w:rsid w:val="4EFD498B"/>
    <w:rsid w:val="4F0B18BC"/>
    <w:rsid w:val="4F1162B1"/>
    <w:rsid w:val="4F1B2C8C"/>
    <w:rsid w:val="4F45079D"/>
    <w:rsid w:val="4F451D9C"/>
    <w:rsid w:val="4F493920"/>
    <w:rsid w:val="4F5D4A66"/>
    <w:rsid w:val="4FB271AA"/>
    <w:rsid w:val="4FBC3C5F"/>
    <w:rsid w:val="4FBF2665"/>
    <w:rsid w:val="4FC7336D"/>
    <w:rsid w:val="4FD96448"/>
    <w:rsid w:val="4FEB6B02"/>
    <w:rsid w:val="4FEED003"/>
    <w:rsid w:val="4FF87480"/>
    <w:rsid w:val="50113E8E"/>
    <w:rsid w:val="501A7404"/>
    <w:rsid w:val="50231A83"/>
    <w:rsid w:val="50A53BED"/>
    <w:rsid w:val="50A56CB1"/>
    <w:rsid w:val="50AA2519"/>
    <w:rsid w:val="50D06F2B"/>
    <w:rsid w:val="511E7AB0"/>
    <w:rsid w:val="51206DA9"/>
    <w:rsid w:val="518D60D8"/>
    <w:rsid w:val="51E7154B"/>
    <w:rsid w:val="52096D27"/>
    <w:rsid w:val="522401F4"/>
    <w:rsid w:val="523302EC"/>
    <w:rsid w:val="52650568"/>
    <w:rsid w:val="52E837CD"/>
    <w:rsid w:val="52F45CCD"/>
    <w:rsid w:val="53313A9A"/>
    <w:rsid w:val="535B4456"/>
    <w:rsid w:val="53CC6EFE"/>
    <w:rsid w:val="53DCDC81"/>
    <w:rsid w:val="54321702"/>
    <w:rsid w:val="544551DE"/>
    <w:rsid w:val="545220E4"/>
    <w:rsid w:val="548A223D"/>
    <w:rsid w:val="54AB12DF"/>
    <w:rsid w:val="54B51E36"/>
    <w:rsid w:val="54C85664"/>
    <w:rsid w:val="55054CC7"/>
    <w:rsid w:val="552A3C28"/>
    <w:rsid w:val="55342CF9"/>
    <w:rsid w:val="555B64D8"/>
    <w:rsid w:val="55B13E0D"/>
    <w:rsid w:val="55E2480B"/>
    <w:rsid w:val="56177F93"/>
    <w:rsid w:val="565E0EBF"/>
    <w:rsid w:val="56680EAC"/>
    <w:rsid w:val="56D173F1"/>
    <w:rsid w:val="56E042BC"/>
    <w:rsid w:val="56E4691C"/>
    <w:rsid w:val="56F95FA8"/>
    <w:rsid w:val="57464C52"/>
    <w:rsid w:val="57483C27"/>
    <w:rsid w:val="574A1DC1"/>
    <w:rsid w:val="576F373B"/>
    <w:rsid w:val="577F481A"/>
    <w:rsid w:val="579F2B50"/>
    <w:rsid w:val="57BECB18"/>
    <w:rsid w:val="57BF35F0"/>
    <w:rsid w:val="57DBE81D"/>
    <w:rsid w:val="57EF3FFD"/>
    <w:rsid w:val="57FB18AC"/>
    <w:rsid w:val="582B30DA"/>
    <w:rsid w:val="58967865"/>
    <w:rsid w:val="58E97957"/>
    <w:rsid w:val="595F7C29"/>
    <w:rsid w:val="597701F1"/>
    <w:rsid w:val="599D34E8"/>
    <w:rsid w:val="59C02DAD"/>
    <w:rsid w:val="59C271C9"/>
    <w:rsid w:val="59F2173A"/>
    <w:rsid w:val="5A2570B4"/>
    <w:rsid w:val="5A5F26D4"/>
    <w:rsid w:val="5A6B3AB0"/>
    <w:rsid w:val="5AA06E1B"/>
    <w:rsid w:val="5ABE3C25"/>
    <w:rsid w:val="5ADD34EB"/>
    <w:rsid w:val="5AE33153"/>
    <w:rsid w:val="5B413A7A"/>
    <w:rsid w:val="5B435774"/>
    <w:rsid w:val="5B5E4889"/>
    <w:rsid w:val="5B6854AA"/>
    <w:rsid w:val="5B773940"/>
    <w:rsid w:val="5B7E2B2B"/>
    <w:rsid w:val="5BB3DA1A"/>
    <w:rsid w:val="5BCF12C3"/>
    <w:rsid w:val="5BE80399"/>
    <w:rsid w:val="5BF60D08"/>
    <w:rsid w:val="5BFA484F"/>
    <w:rsid w:val="5BFF442E"/>
    <w:rsid w:val="5C080FA9"/>
    <w:rsid w:val="5C0D239D"/>
    <w:rsid w:val="5C352CCC"/>
    <w:rsid w:val="5C5504D2"/>
    <w:rsid w:val="5C882ACB"/>
    <w:rsid w:val="5CD34356"/>
    <w:rsid w:val="5CF35248"/>
    <w:rsid w:val="5D00718A"/>
    <w:rsid w:val="5D2E2F67"/>
    <w:rsid w:val="5D870FD6"/>
    <w:rsid w:val="5D883A73"/>
    <w:rsid w:val="5DA36667"/>
    <w:rsid w:val="5DAF453C"/>
    <w:rsid w:val="5DC07E1D"/>
    <w:rsid w:val="5DDE928F"/>
    <w:rsid w:val="5DE45C74"/>
    <w:rsid w:val="5DE7DCF0"/>
    <w:rsid w:val="5DF6A660"/>
    <w:rsid w:val="5E177445"/>
    <w:rsid w:val="5E3BF01E"/>
    <w:rsid w:val="5E532442"/>
    <w:rsid w:val="5E964F94"/>
    <w:rsid w:val="5EAC2CE3"/>
    <w:rsid w:val="5EDC08A5"/>
    <w:rsid w:val="5EE78E25"/>
    <w:rsid w:val="5EEFBD2C"/>
    <w:rsid w:val="5EEFCF83"/>
    <w:rsid w:val="5EFF0CFA"/>
    <w:rsid w:val="5F160904"/>
    <w:rsid w:val="5F2754E4"/>
    <w:rsid w:val="5F2D261B"/>
    <w:rsid w:val="5F345879"/>
    <w:rsid w:val="5F8108E9"/>
    <w:rsid w:val="5F9A5E4E"/>
    <w:rsid w:val="5FA42829"/>
    <w:rsid w:val="5FCB425A"/>
    <w:rsid w:val="5FE1750C"/>
    <w:rsid w:val="5FE33FB4"/>
    <w:rsid w:val="5FF373C6"/>
    <w:rsid w:val="5FF7504F"/>
    <w:rsid w:val="5FF7A830"/>
    <w:rsid w:val="6034528E"/>
    <w:rsid w:val="603D6DB4"/>
    <w:rsid w:val="604223DA"/>
    <w:rsid w:val="606C74FF"/>
    <w:rsid w:val="60BD3E61"/>
    <w:rsid w:val="60DD09F9"/>
    <w:rsid w:val="611C2D78"/>
    <w:rsid w:val="61327D6B"/>
    <w:rsid w:val="61790877"/>
    <w:rsid w:val="617A1B7C"/>
    <w:rsid w:val="61B009D1"/>
    <w:rsid w:val="61B57446"/>
    <w:rsid w:val="621A4158"/>
    <w:rsid w:val="623C3EC5"/>
    <w:rsid w:val="62404A8B"/>
    <w:rsid w:val="62487C4B"/>
    <w:rsid w:val="62506A02"/>
    <w:rsid w:val="629E7A04"/>
    <w:rsid w:val="63065E39"/>
    <w:rsid w:val="637F15E3"/>
    <w:rsid w:val="63A05215"/>
    <w:rsid w:val="63AA629D"/>
    <w:rsid w:val="63CF256B"/>
    <w:rsid w:val="63E777BB"/>
    <w:rsid w:val="642A59F3"/>
    <w:rsid w:val="64785203"/>
    <w:rsid w:val="64D836A1"/>
    <w:rsid w:val="64DD15DF"/>
    <w:rsid w:val="6503156E"/>
    <w:rsid w:val="653603C7"/>
    <w:rsid w:val="657D7DA4"/>
    <w:rsid w:val="65AD24DB"/>
    <w:rsid w:val="65BC6B1F"/>
    <w:rsid w:val="65D5369F"/>
    <w:rsid w:val="65DC302A"/>
    <w:rsid w:val="65DC45DF"/>
    <w:rsid w:val="663F10FC"/>
    <w:rsid w:val="66570776"/>
    <w:rsid w:val="671C7059"/>
    <w:rsid w:val="673B3A73"/>
    <w:rsid w:val="673D196D"/>
    <w:rsid w:val="67631FF9"/>
    <w:rsid w:val="676705B3"/>
    <w:rsid w:val="67745B52"/>
    <w:rsid w:val="67E747FB"/>
    <w:rsid w:val="68104F00"/>
    <w:rsid w:val="681A299B"/>
    <w:rsid w:val="682C217D"/>
    <w:rsid w:val="685A68BE"/>
    <w:rsid w:val="68DE1099"/>
    <w:rsid w:val="68E9DB2B"/>
    <w:rsid w:val="68FA341D"/>
    <w:rsid w:val="692D497F"/>
    <w:rsid w:val="69320EA6"/>
    <w:rsid w:val="69A320DB"/>
    <w:rsid w:val="69A9560C"/>
    <w:rsid w:val="69DC1BD1"/>
    <w:rsid w:val="69E178BF"/>
    <w:rsid w:val="69EC15D6"/>
    <w:rsid w:val="6A0720EC"/>
    <w:rsid w:val="6A3A04B9"/>
    <w:rsid w:val="6A5D0610"/>
    <w:rsid w:val="6A892D47"/>
    <w:rsid w:val="6A9F256B"/>
    <w:rsid w:val="6AA933EA"/>
    <w:rsid w:val="6AC77F7F"/>
    <w:rsid w:val="6AEF704E"/>
    <w:rsid w:val="6B225676"/>
    <w:rsid w:val="6B2C2051"/>
    <w:rsid w:val="6B460C38"/>
    <w:rsid w:val="6B6F018F"/>
    <w:rsid w:val="6B755E21"/>
    <w:rsid w:val="6BB43DF4"/>
    <w:rsid w:val="6BC524A5"/>
    <w:rsid w:val="6BD8288F"/>
    <w:rsid w:val="6BE04BE9"/>
    <w:rsid w:val="6BE309E6"/>
    <w:rsid w:val="6C027255"/>
    <w:rsid w:val="6C0841E4"/>
    <w:rsid w:val="6C103720"/>
    <w:rsid w:val="6C3F7B62"/>
    <w:rsid w:val="6C4DFAA5"/>
    <w:rsid w:val="6C554EC8"/>
    <w:rsid w:val="6C65495A"/>
    <w:rsid w:val="6CB65BFE"/>
    <w:rsid w:val="6CE4695B"/>
    <w:rsid w:val="6CEDC09F"/>
    <w:rsid w:val="6CF592B2"/>
    <w:rsid w:val="6D015A2E"/>
    <w:rsid w:val="6D087F43"/>
    <w:rsid w:val="6D323B6A"/>
    <w:rsid w:val="6D5FE277"/>
    <w:rsid w:val="6D8433BC"/>
    <w:rsid w:val="6D997745"/>
    <w:rsid w:val="6DC24EEE"/>
    <w:rsid w:val="6DF727CA"/>
    <w:rsid w:val="6DFF3A4C"/>
    <w:rsid w:val="6E4B4EE4"/>
    <w:rsid w:val="6E5E0284"/>
    <w:rsid w:val="6E5E554C"/>
    <w:rsid w:val="6E6B164E"/>
    <w:rsid w:val="6E6B2034"/>
    <w:rsid w:val="6E8474D1"/>
    <w:rsid w:val="6E855B98"/>
    <w:rsid w:val="6E9F7E94"/>
    <w:rsid w:val="6EC16F54"/>
    <w:rsid w:val="6EDD503B"/>
    <w:rsid w:val="6F046D30"/>
    <w:rsid w:val="6F203FCD"/>
    <w:rsid w:val="6F4F0A46"/>
    <w:rsid w:val="6FB645D5"/>
    <w:rsid w:val="6FBB39A3"/>
    <w:rsid w:val="6FBE565B"/>
    <w:rsid w:val="6FE72280"/>
    <w:rsid w:val="6FEC447E"/>
    <w:rsid w:val="6FEE29CF"/>
    <w:rsid w:val="6FF6876A"/>
    <w:rsid w:val="6FF77322"/>
    <w:rsid w:val="6FF77F61"/>
    <w:rsid w:val="6FFDC26C"/>
    <w:rsid w:val="70043BDB"/>
    <w:rsid w:val="70531ED5"/>
    <w:rsid w:val="70561566"/>
    <w:rsid w:val="7073586F"/>
    <w:rsid w:val="70C9376D"/>
    <w:rsid w:val="7104203A"/>
    <w:rsid w:val="71104F85"/>
    <w:rsid w:val="712A1F38"/>
    <w:rsid w:val="712B617B"/>
    <w:rsid w:val="71773D35"/>
    <w:rsid w:val="719C5A56"/>
    <w:rsid w:val="71A1306D"/>
    <w:rsid w:val="722F0678"/>
    <w:rsid w:val="72461FBE"/>
    <w:rsid w:val="72473609"/>
    <w:rsid w:val="724D0AFE"/>
    <w:rsid w:val="725B76BF"/>
    <w:rsid w:val="726245AA"/>
    <w:rsid w:val="7272748D"/>
    <w:rsid w:val="727B5099"/>
    <w:rsid w:val="7287504E"/>
    <w:rsid w:val="72B113CE"/>
    <w:rsid w:val="72ED47BB"/>
    <w:rsid w:val="72F37330"/>
    <w:rsid w:val="730D09BA"/>
    <w:rsid w:val="731970B0"/>
    <w:rsid w:val="731A30D6"/>
    <w:rsid w:val="735C36EF"/>
    <w:rsid w:val="7367CFC6"/>
    <w:rsid w:val="73722F12"/>
    <w:rsid w:val="73781E2A"/>
    <w:rsid w:val="73A9A0FE"/>
    <w:rsid w:val="73AA445A"/>
    <w:rsid w:val="73D41640"/>
    <w:rsid w:val="73DA06FA"/>
    <w:rsid w:val="73DFF914"/>
    <w:rsid w:val="73E060CE"/>
    <w:rsid w:val="73FF8890"/>
    <w:rsid w:val="743313D8"/>
    <w:rsid w:val="744A1799"/>
    <w:rsid w:val="744D1AFA"/>
    <w:rsid w:val="74652E24"/>
    <w:rsid w:val="74807A6F"/>
    <w:rsid w:val="748F004B"/>
    <w:rsid w:val="74A643ED"/>
    <w:rsid w:val="74AC1BA1"/>
    <w:rsid w:val="7552606E"/>
    <w:rsid w:val="75722D56"/>
    <w:rsid w:val="75864A53"/>
    <w:rsid w:val="75B07D22"/>
    <w:rsid w:val="75FD3C8F"/>
    <w:rsid w:val="75FF86F4"/>
    <w:rsid w:val="760475AC"/>
    <w:rsid w:val="763224E5"/>
    <w:rsid w:val="7663715E"/>
    <w:rsid w:val="766E0586"/>
    <w:rsid w:val="769F582D"/>
    <w:rsid w:val="76D96E05"/>
    <w:rsid w:val="76DF7600"/>
    <w:rsid w:val="771C566F"/>
    <w:rsid w:val="773A78A3"/>
    <w:rsid w:val="775D9B88"/>
    <w:rsid w:val="77674BFC"/>
    <w:rsid w:val="776B2153"/>
    <w:rsid w:val="779FA59F"/>
    <w:rsid w:val="77D47E28"/>
    <w:rsid w:val="77D55160"/>
    <w:rsid w:val="77DF12D9"/>
    <w:rsid w:val="77E36DBE"/>
    <w:rsid w:val="77FF7F81"/>
    <w:rsid w:val="780E41D1"/>
    <w:rsid w:val="78AA0A59"/>
    <w:rsid w:val="78CB4582"/>
    <w:rsid w:val="78F148D9"/>
    <w:rsid w:val="790B6C04"/>
    <w:rsid w:val="795760CA"/>
    <w:rsid w:val="7967694A"/>
    <w:rsid w:val="79EA52F5"/>
    <w:rsid w:val="79EF706B"/>
    <w:rsid w:val="79F6541D"/>
    <w:rsid w:val="7A007F9E"/>
    <w:rsid w:val="7A096743"/>
    <w:rsid w:val="7A0D129F"/>
    <w:rsid w:val="7A1B7D87"/>
    <w:rsid w:val="7A291E51"/>
    <w:rsid w:val="7A8D2CAF"/>
    <w:rsid w:val="7AAD4830"/>
    <w:rsid w:val="7AC6289B"/>
    <w:rsid w:val="7AD93877"/>
    <w:rsid w:val="7AEB92DC"/>
    <w:rsid w:val="7B0979D0"/>
    <w:rsid w:val="7B0F7299"/>
    <w:rsid w:val="7B166879"/>
    <w:rsid w:val="7B2791C4"/>
    <w:rsid w:val="7B825CBD"/>
    <w:rsid w:val="7B8D7658"/>
    <w:rsid w:val="7B9FB2DE"/>
    <w:rsid w:val="7BBB4D2B"/>
    <w:rsid w:val="7BBBC392"/>
    <w:rsid w:val="7BBFBC51"/>
    <w:rsid w:val="7BF12F4B"/>
    <w:rsid w:val="7BFB6BC2"/>
    <w:rsid w:val="7C075F7A"/>
    <w:rsid w:val="7C3051CE"/>
    <w:rsid w:val="7C7F5DFF"/>
    <w:rsid w:val="7C865339"/>
    <w:rsid w:val="7CF7098F"/>
    <w:rsid w:val="7CF71F3E"/>
    <w:rsid w:val="7CFF2C14"/>
    <w:rsid w:val="7D002024"/>
    <w:rsid w:val="7D3DE5ED"/>
    <w:rsid w:val="7D3F62B0"/>
    <w:rsid w:val="7D4BD6E4"/>
    <w:rsid w:val="7D5E7E3F"/>
    <w:rsid w:val="7D7C1468"/>
    <w:rsid w:val="7D7F24B4"/>
    <w:rsid w:val="7D85447B"/>
    <w:rsid w:val="7D883202"/>
    <w:rsid w:val="7D891584"/>
    <w:rsid w:val="7D91845B"/>
    <w:rsid w:val="7DA7DCAE"/>
    <w:rsid w:val="7DCA3EE2"/>
    <w:rsid w:val="7DD7FA30"/>
    <w:rsid w:val="7DDAA6C9"/>
    <w:rsid w:val="7E091D8E"/>
    <w:rsid w:val="7E1105A1"/>
    <w:rsid w:val="7E2E3B63"/>
    <w:rsid w:val="7E5E1A3A"/>
    <w:rsid w:val="7E6D27C6"/>
    <w:rsid w:val="7EB51F05"/>
    <w:rsid w:val="7EBF7457"/>
    <w:rsid w:val="7EBFE7D3"/>
    <w:rsid w:val="7EC73C7C"/>
    <w:rsid w:val="7EDB7E78"/>
    <w:rsid w:val="7EEF40D6"/>
    <w:rsid w:val="7EFC5B0D"/>
    <w:rsid w:val="7F1809C7"/>
    <w:rsid w:val="7F5524F8"/>
    <w:rsid w:val="7F588807"/>
    <w:rsid w:val="7F67FA15"/>
    <w:rsid w:val="7F704811"/>
    <w:rsid w:val="7F722BA9"/>
    <w:rsid w:val="7F731732"/>
    <w:rsid w:val="7F73320A"/>
    <w:rsid w:val="7F7922D8"/>
    <w:rsid w:val="7F7E58BB"/>
    <w:rsid w:val="7F7FED93"/>
    <w:rsid w:val="7F9E374B"/>
    <w:rsid w:val="7FA773E3"/>
    <w:rsid w:val="7FBB019E"/>
    <w:rsid w:val="7FBF4902"/>
    <w:rsid w:val="7FD85EAB"/>
    <w:rsid w:val="7FDE9C03"/>
    <w:rsid w:val="7FE34250"/>
    <w:rsid w:val="7FE358CA"/>
    <w:rsid w:val="7FE7A405"/>
    <w:rsid w:val="7FEF396C"/>
    <w:rsid w:val="7FEF6D24"/>
    <w:rsid w:val="7FEF9669"/>
    <w:rsid w:val="7FF5364D"/>
    <w:rsid w:val="7FFAE1C3"/>
    <w:rsid w:val="7FFB0500"/>
    <w:rsid w:val="7FFD94B9"/>
    <w:rsid w:val="7FFFE92E"/>
    <w:rsid w:val="917B3387"/>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7">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5"/>
    <w:unhideWhenUsed/>
    <w:qFormat/>
    <w:uiPriority w:val="0"/>
    <w:pPr>
      <w:shd w:val="clear" w:color="auto" w:fill="000080"/>
    </w:pPr>
    <w:rPr>
      <w:rFonts w:ascii="Times New Roman" w:hAnsi="Times New Roman" w:eastAsia="宋体" w:cs="宋体"/>
    </w:rPr>
  </w:style>
  <w:style w:type="paragraph" w:styleId="20">
    <w:name w:val="annotation text"/>
    <w:basedOn w:val="1"/>
    <w:link w:val="96"/>
    <w:unhideWhenUsed/>
    <w:qFormat/>
    <w:uiPriority w:val="0"/>
    <w:pPr>
      <w:jc w:val="left"/>
    </w:pPr>
    <w:rPr>
      <w:rFonts w:ascii="Times New Roman" w:hAnsi="Times New Roman" w:eastAsia="宋体" w:cs="Times New Roman"/>
    </w:rPr>
  </w:style>
  <w:style w:type="paragraph" w:styleId="21">
    <w:name w:val="Salutation"/>
    <w:basedOn w:val="1"/>
    <w:next w:val="1"/>
    <w:link w:val="361"/>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25"/>
    <w:link w:val="98"/>
    <w:unhideWhenUsed/>
    <w:qFormat/>
    <w:uiPriority w:val="1"/>
    <w:pPr>
      <w:spacing w:after="120"/>
    </w:pPr>
    <w:rPr>
      <w:rFonts w:ascii="Times New Roman" w:hAnsi="Times New Roman" w:eastAsia="宋体" w:cs="Times New Roman"/>
    </w:rPr>
  </w:style>
  <w:style w:type="paragraph" w:styleId="25">
    <w:name w:val="Body Text First Indent"/>
    <w:basedOn w:val="24"/>
    <w:next w:val="1"/>
    <w:link w:val="99"/>
    <w:unhideWhenUsed/>
    <w:qFormat/>
    <w:uiPriority w:val="0"/>
    <w:pPr>
      <w:ind w:firstLine="420" w:firstLineChars="100"/>
    </w:pPr>
    <w:rPr>
      <w:rFonts w:hAnsi="Calibri"/>
      <w:kern w:val="0"/>
    </w:rPr>
  </w:style>
  <w:style w:type="paragraph" w:styleId="26">
    <w:name w:val="Body Text Indent"/>
    <w:basedOn w:val="1"/>
    <w:next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eastAsia="宋体" w:cs="Calibri"/>
      <w:sz w:val="18"/>
      <w:szCs w:val="18"/>
    </w:rPr>
  </w:style>
  <w:style w:type="paragraph" w:styleId="32">
    <w:name w:val="toc 3"/>
    <w:basedOn w:val="1"/>
    <w:next w:val="1"/>
    <w:qFormat/>
    <w:uiPriority w:val="39"/>
    <w:pPr>
      <w:ind w:left="420"/>
      <w:jc w:val="left"/>
    </w:pPr>
    <w:rPr>
      <w:rFonts w:ascii="Calibri" w:hAnsi="Calibri" w:eastAsia="宋体" w:cs="Calibri"/>
      <w:i/>
      <w:iCs/>
      <w:sz w:val="20"/>
      <w:szCs w:val="20"/>
    </w:rPr>
  </w:style>
  <w:style w:type="paragraph" w:styleId="33">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6">
    <w:name w:val="toc 8"/>
    <w:basedOn w:val="1"/>
    <w:next w:val="1"/>
    <w:qFormat/>
    <w:uiPriority w:val="39"/>
    <w:pPr>
      <w:ind w:left="1470"/>
      <w:jc w:val="left"/>
    </w:pPr>
    <w:rPr>
      <w:rFonts w:ascii="Calibri" w:hAnsi="Calibri" w:eastAsia="宋体" w:cs="Calibri"/>
      <w:sz w:val="18"/>
      <w:szCs w:val="18"/>
    </w:rPr>
  </w:style>
  <w:style w:type="paragraph" w:styleId="37">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38">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39">
    <w:name w:val="endnote text"/>
    <w:basedOn w:val="1"/>
    <w:link w:val="362"/>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0">
    <w:name w:val="Balloon Text"/>
    <w:basedOn w:val="1"/>
    <w:link w:val="104"/>
    <w:unhideWhenUsed/>
    <w:qFormat/>
    <w:uiPriority w:val="0"/>
    <w:rPr>
      <w:rFonts w:ascii="Calibri" w:hAnsi="Calibri" w:eastAsia="宋体" w:cs="Times New Roman"/>
      <w:sz w:val="18"/>
      <w:szCs w:val="18"/>
    </w:rPr>
  </w:style>
  <w:style w:type="paragraph" w:styleId="41">
    <w:name w:val="footer"/>
    <w:basedOn w:val="1"/>
    <w:link w:val="85"/>
    <w:unhideWhenUsed/>
    <w:qFormat/>
    <w:uiPriority w:val="99"/>
    <w:pPr>
      <w:tabs>
        <w:tab w:val="center" w:pos="4153"/>
        <w:tab w:val="right" w:pos="8306"/>
      </w:tabs>
      <w:snapToGrid w:val="0"/>
      <w:jc w:val="left"/>
    </w:pPr>
    <w:rPr>
      <w:sz w:val="18"/>
      <w:szCs w:val="18"/>
    </w:rPr>
  </w:style>
  <w:style w:type="paragraph" w:styleId="42">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link w:val="369"/>
    <w:unhideWhenUsed/>
    <w:qFormat/>
    <w:uiPriority w:val="39"/>
    <w:rPr>
      <w:rFonts w:ascii="Times New Roman" w:hAnsi="Times New Roman" w:eastAsia="宋体" w:cs="Times New Roman"/>
    </w:rPr>
  </w:style>
  <w:style w:type="paragraph" w:styleId="44">
    <w:name w:val="toc 4"/>
    <w:basedOn w:val="1"/>
    <w:next w:val="1"/>
    <w:qFormat/>
    <w:uiPriority w:val="39"/>
    <w:pPr>
      <w:ind w:left="630"/>
      <w:jc w:val="left"/>
    </w:pPr>
    <w:rPr>
      <w:rFonts w:ascii="Calibri" w:hAnsi="Calibri" w:eastAsia="宋体" w:cs="Calibri"/>
      <w:sz w:val="18"/>
      <w:szCs w:val="18"/>
    </w:rPr>
  </w:style>
  <w:style w:type="paragraph" w:styleId="45">
    <w:name w:val="Subtitle"/>
    <w:basedOn w:val="1"/>
    <w:next w:val="1"/>
    <w:link w:val="363"/>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7">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48">
    <w:name w:val="footnote text"/>
    <w:basedOn w:val="1"/>
    <w:link w:val="364"/>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49">
    <w:name w:val="toc 6"/>
    <w:basedOn w:val="1"/>
    <w:next w:val="1"/>
    <w:qFormat/>
    <w:uiPriority w:val="39"/>
    <w:pPr>
      <w:ind w:left="1050"/>
      <w:jc w:val="left"/>
    </w:pPr>
    <w:rPr>
      <w:rFonts w:ascii="Calibri" w:hAnsi="Calibri" w:eastAsia="宋体" w:cs="Calibri"/>
      <w:sz w:val="18"/>
      <w:szCs w:val="18"/>
    </w:rPr>
  </w:style>
  <w:style w:type="paragraph" w:styleId="50">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1">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2">
    <w:name w:val="toc 9"/>
    <w:basedOn w:val="1"/>
    <w:next w:val="1"/>
    <w:qFormat/>
    <w:uiPriority w:val="39"/>
    <w:pPr>
      <w:ind w:left="1680"/>
      <w:jc w:val="left"/>
    </w:pPr>
    <w:rPr>
      <w:rFonts w:ascii="Calibri" w:hAnsi="Calibri" w:eastAsia="宋体" w:cs="Calibri"/>
      <w:sz w:val="18"/>
      <w:szCs w:val="18"/>
    </w:rPr>
  </w:style>
  <w:style w:type="paragraph" w:styleId="53">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4">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5">
    <w:name w:val="Normal (Web)"/>
    <w:basedOn w:val="1"/>
    <w:link w:val="722"/>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57">
    <w:name w:val="Title"/>
    <w:basedOn w:val="1"/>
    <w:next w:val="1"/>
    <w:link w:val="365"/>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8">
    <w:name w:val="annotation subject"/>
    <w:basedOn w:val="20"/>
    <w:next w:val="20"/>
    <w:link w:val="108"/>
    <w:unhideWhenUsed/>
    <w:qFormat/>
    <w:uiPriority w:val="0"/>
    <w:rPr>
      <w:rFonts w:cs="宋体"/>
      <w:b/>
      <w:bCs/>
    </w:rPr>
  </w:style>
  <w:style w:type="paragraph" w:styleId="59">
    <w:name w:val="Body Text First Indent 2"/>
    <w:basedOn w:val="26"/>
    <w:next w:val="1"/>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82">
    <w:name w:val="首行缩进"/>
    <w:basedOn w:val="1"/>
    <w:qFormat/>
    <w:uiPriority w:val="0"/>
    <w:pPr>
      <w:spacing w:line="360" w:lineRule="auto"/>
      <w:ind w:firstLine="720"/>
    </w:pPr>
    <w:rPr>
      <w:szCs w:val="21"/>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69"/>
    <w:link w:val="42"/>
    <w:qFormat/>
    <w:uiPriority w:val="99"/>
    <w:rPr>
      <w:sz w:val="18"/>
      <w:szCs w:val="18"/>
    </w:rPr>
  </w:style>
  <w:style w:type="character" w:customStyle="1" w:styleId="85">
    <w:name w:val="页脚 字符"/>
    <w:basedOn w:val="69"/>
    <w:link w:val="41"/>
    <w:qFormat/>
    <w:uiPriority w:val="99"/>
    <w:rPr>
      <w:sz w:val="18"/>
      <w:szCs w:val="18"/>
    </w:rPr>
  </w:style>
  <w:style w:type="character" w:customStyle="1" w:styleId="86">
    <w:name w:val="标题 1 字符"/>
    <w:basedOn w:val="69"/>
    <w:link w:val="2"/>
    <w:qFormat/>
    <w:uiPriority w:val="0"/>
    <w:rPr>
      <w:rFonts w:ascii="Times New Roman" w:hAnsi="Times New Roman" w:eastAsia="黑体" w:cs="Times New Roman"/>
      <w:b/>
      <w:bCs/>
      <w:kern w:val="44"/>
      <w:sz w:val="52"/>
      <w:szCs w:val="20"/>
    </w:rPr>
  </w:style>
  <w:style w:type="character" w:customStyle="1" w:styleId="87">
    <w:name w:val="标题 2 字符"/>
    <w:basedOn w:val="69"/>
    <w:link w:val="3"/>
    <w:qFormat/>
    <w:uiPriority w:val="9"/>
    <w:rPr>
      <w:rFonts w:ascii="Arial" w:hAnsi="Arial" w:eastAsia="黑体" w:cs="Times New Roman"/>
      <w:b/>
      <w:kern w:val="0"/>
      <w:sz w:val="32"/>
      <w:szCs w:val="20"/>
    </w:rPr>
  </w:style>
  <w:style w:type="character" w:customStyle="1" w:styleId="88">
    <w:name w:val="标题 3 字符"/>
    <w:basedOn w:val="69"/>
    <w:link w:val="4"/>
    <w:qFormat/>
    <w:uiPriority w:val="0"/>
    <w:rPr>
      <w:rFonts w:ascii="Times New Roman" w:hAnsi="Times New Roman" w:eastAsia="黑体" w:cs="Times New Roman"/>
      <w:b/>
      <w:bCs/>
      <w:sz w:val="36"/>
      <w:szCs w:val="36"/>
    </w:rPr>
  </w:style>
  <w:style w:type="character" w:customStyle="1" w:styleId="89">
    <w:name w:val="标题 4 字符"/>
    <w:basedOn w:val="69"/>
    <w:link w:val="5"/>
    <w:qFormat/>
    <w:uiPriority w:val="0"/>
    <w:rPr>
      <w:rFonts w:ascii="Arial" w:hAnsi="Arial" w:eastAsia="黑体" w:cs="Times New Roman"/>
      <w:b/>
      <w:bCs/>
      <w:sz w:val="30"/>
      <w:szCs w:val="28"/>
    </w:rPr>
  </w:style>
  <w:style w:type="character" w:customStyle="1" w:styleId="90">
    <w:name w:val="标题 5 字符"/>
    <w:basedOn w:val="69"/>
    <w:link w:val="6"/>
    <w:qFormat/>
    <w:uiPriority w:val="0"/>
    <w:rPr>
      <w:rFonts w:ascii="Times New Roman" w:hAnsi="Times New Roman" w:eastAsia="宋体" w:cs="Times New Roman"/>
      <w:b/>
      <w:bCs/>
      <w:sz w:val="28"/>
      <w:szCs w:val="28"/>
    </w:rPr>
  </w:style>
  <w:style w:type="character" w:customStyle="1" w:styleId="91">
    <w:name w:val="标题 6 字符"/>
    <w:basedOn w:val="69"/>
    <w:link w:val="7"/>
    <w:qFormat/>
    <w:uiPriority w:val="9"/>
    <w:rPr>
      <w:rFonts w:ascii="Arial" w:hAnsi="Arial" w:eastAsia="黑体" w:cs="Times New Roman"/>
      <w:b/>
      <w:sz w:val="24"/>
      <w:szCs w:val="24"/>
    </w:rPr>
  </w:style>
  <w:style w:type="character" w:customStyle="1" w:styleId="92">
    <w:name w:val="标题 7 字符"/>
    <w:basedOn w:val="69"/>
    <w:link w:val="8"/>
    <w:qFormat/>
    <w:uiPriority w:val="9"/>
    <w:rPr>
      <w:rFonts w:ascii="Times New Roman" w:hAnsi="Times New Roman" w:eastAsia="黑体"/>
      <w:sz w:val="24"/>
      <w:szCs w:val="21"/>
    </w:rPr>
  </w:style>
  <w:style w:type="character" w:customStyle="1" w:styleId="93">
    <w:name w:val="标题 8 字符"/>
    <w:basedOn w:val="69"/>
    <w:link w:val="9"/>
    <w:qFormat/>
    <w:uiPriority w:val="9"/>
    <w:rPr>
      <w:rFonts w:ascii="Times New Roman" w:hAnsi="Times New Roman" w:eastAsia="黑体" w:cs="Times New Roman"/>
      <w:bCs/>
      <w:sz w:val="24"/>
      <w:szCs w:val="32"/>
    </w:rPr>
  </w:style>
  <w:style w:type="character" w:customStyle="1" w:styleId="94">
    <w:name w:val="标题 9 字符"/>
    <w:basedOn w:val="69"/>
    <w:link w:val="10"/>
    <w:qFormat/>
    <w:uiPriority w:val="9"/>
    <w:rPr>
      <w:rFonts w:ascii="Times New Roman" w:hAnsi="Times New Roman" w:eastAsia="黑体"/>
      <w:sz w:val="24"/>
      <w:szCs w:val="21"/>
    </w:rPr>
  </w:style>
  <w:style w:type="character" w:customStyle="1" w:styleId="95">
    <w:name w:val="文档结构图 字符"/>
    <w:basedOn w:val="69"/>
    <w:link w:val="19"/>
    <w:qFormat/>
    <w:uiPriority w:val="0"/>
    <w:rPr>
      <w:rFonts w:ascii="Times New Roman" w:hAnsi="Times New Roman" w:eastAsia="宋体" w:cs="宋体"/>
      <w:shd w:val="clear" w:color="auto" w:fill="000080"/>
    </w:rPr>
  </w:style>
  <w:style w:type="character" w:customStyle="1" w:styleId="96">
    <w:name w:val="批注文字 字符"/>
    <w:basedOn w:val="69"/>
    <w:link w:val="20"/>
    <w:qFormat/>
    <w:uiPriority w:val="0"/>
    <w:rPr>
      <w:rFonts w:ascii="Times New Roman" w:hAnsi="Times New Roman" w:eastAsia="宋体" w:cs="Times New Roman"/>
    </w:rPr>
  </w:style>
  <w:style w:type="character" w:customStyle="1" w:styleId="97">
    <w:name w:val="正文文本 3 字符"/>
    <w:basedOn w:val="69"/>
    <w:link w:val="22"/>
    <w:qFormat/>
    <w:uiPriority w:val="0"/>
    <w:rPr>
      <w:rFonts w:ascii="Times New Roman" w:hAnsi="宋体" w:eastAsia="Times New Roman" w:cs="Times New Roman"/>
      <w:b/>
      <w:sz w:val="24"/>
    </w:rPr>
  </w:style>
  <w:style w:type="character" w:customStyle="1" w:styleId="98">
    <w:name w:val="正文文本 字符"/>
    <w:basedOn w:val="69"/>
    <w:link w:val="24"/>
    <w:qFormat/>
    <w:uiPriority w:val="1"/>
    <w:rPr>
      <w:rFonts w:ascii="Times New Roman" w:hAnsi="Times New Roman" w:eastAsia="宋体" w:cs="Times New Roman"/>
    </w:rPr>
  </w:style>
  <w:style w:type="character" w:customStyle="1" w:styleId="99">
    <w:name w:val="正文首行缩进 字符"/>
    <w:basedOn w:val="98"/>
    <w:link w:val="25"/>
    <w:qFormat/>
    <w:uiPriority w:val="0"/>
    <w:rPr>
      <w:rFonts w:ascii="Times New Roman" w:hAnsi="Calibri" w:eastAsia="宋体" w:cs="Times New Roman"/>
      <w:kern w:val="0"/>
    </w:rPr>
  </w:style>
  <w:style w:type="character" w:customStyle="1" w:styleId="100">
    <w:name w:val="正文文本缩进 字符"/>
    <w:basedOn w:val="69"/>
    <w:qFormat/>
    <w:uiPriority w:val="99"/>
  </w:style>
  <w:style w:type="character" w:customStyle="1" w:styleId="101">
    <w:name w:val="纯文本 字符"/>
    <w:basedOn w:val="69"/>
    <w:qFormat/>
    <w:uiPriority w:val="0"/>
    <w:rPr>
      <w:rFonts w:hAnsi="Courier New" w:cs="Courier New" w:asciiTheme="minorEastAsia"/>
    </w:rPr>
  </w:style>
  <w:style w:type="character" w:customStyle="1" w:styleId="102">
    <w:name w:val="日期 字符"/>
    <w:basedOn w:val="69"/>
    <w:link w:val="37"/>
    <w:qFormat/>
    <w:uiPriority w:val="99"/>
    <w:rPr>
      <w:rFonts w:ascii="Calibri" w:hAnsi="Calibri" w:eastAsia="楷体_GB2312" w:cs="Times New Roman"/>
      <w:kern w:val="0"/>
      <w:sz w:val="32"/>
    </w:rPr>
  </w:style>
  <w:style w:type="character" w:customStyle="1" w:styleId="103">
    <w:name w:val="正文文本缩进 2 字符"/>
    <w:basedOn w:val="69"/>
    <w:link w:val="38"/>
    <w:qFormat/>
    <w:uiPriority w:val="0"/>
    <w:rPr>
      <w:rFonts w:ascii="仿宋_GB2312" w:hAnsi="宋体" w:eastAsia="宋体" w:cs="Times New Roman"/>
      <w:b/>
      <w:color w:val="000000"/>
      <w:kern w:val="0"/>
      <w:sz w:val="24"/>
    </w:rPr>
  </w:style>
  <w:style w:type="character" w:customStyle="1" w:styleId="104">
    <w:name w:val="批注框文本 字符"/>
    <w:basedOn w:val="69"/>
    <w:link w:val="40"/>
    <w:qFormat/>
    <w:uiPriority w:val="0"/>
    <w:rPr>
      <w:rFonts w:ascii="Calibri" w:hAnsi="Calibri" w:eastAsia="宋体" w:cs="Times New Roman"/>
      <w:sz w:val="18"/>
      <w:szCs w:val="18"/>
    </w:rPr>
  </w:style>
  <w:style w:type="character" w:customStyle="1" w:styleId="105">
    <w:name w:val="正文文本缩进 3 字符"/>
    <w:basedOn w:val="69"/>
    <w:link w:val="50"/>
    <w:qFormat/>
    <w:uiPriority w:val="0"/>
    <w:rPr>
      <w:rFonts w:ascii="仿宋_GB2312" w:hAnsi="宋体" w:eastAsia="Times New Roman" w:cs="Times New Roman"/>
      <w:color w:val="000000"/>
      <w:kern w:val="0"/>
      <w:sz w:val="24"/>
    </w:rPr>
  </w:style>
  <w:style w:type="character" w:customStyle="1" w:styleId="106">
    <w:name w:val="正文文本 2 字符"/>
    <w:basedOn w:val="69"/>
    <w:link w:val="53"/>
    <w:qFormat/>
    <w:uiPriority w:val="0"/>
    <w:rPr>
      <w:rFonts w:ascii="宋体" w:hAnsi="宋体" w:eastAsia="宋体" w:cs="宋体"/>
      <w:bCs/>
    </w:rPr>
  </w:style>
  <w:style w:type="character" w:customStyle="1" w:styleId="107">
    <w:name w:val="HTML 预设格式 字符"/>
    <w:basedOn w:val="69"/>
    <w:link w:val="54"/>
    <w:qFormat/>
    <w:uiPriority w:val="0"/>
    <w:rPr>
      <w:rFonts w:ascii="Courier New" w:hAnsi="Courier New" w:eastAsia="宋体" w:cs="Times New Roman"/>
      <w:kern w:val="0"/>
      <w:sz w:val="20"/>
      <w:szCs w:val="20"/>
    </w:rPr>
  </w:style>
  <w:style w:type="character" w:customStyle="1" w:styleId="108">
    <w:name w:val="批注主题 字符"/>
    <w:basedOn w:val="96"/>
    <w:link w:val="58"/>
    <w:qFormat/>
    <w:uiPriority w:val="0"/>
    <w:rPr>
      <w:rFonts w:ascii="Times New Roman" w:hAnsi="Times New Roman" w:eastAsia="宋体" w:cs="宋体"/>
      <w:b/>
      <w:bCs/>
    </w:rPr>
  </w:style>
  <w:style w:type="character" w:customStyle="1" w:styleId="109">
    <w:name w:val="正文首行缩进 2 字符"/>
    <w:basedOn w:val="100"/>
    <w:link w:val="59"/>
    <w:qFormat/>
    <w:uiPriority w:val="99"/>
    <w:rPr>
      <w:rFonts w:ascii="Calibri" w:hAnsi="Calibri" w:eastAsia="宋体" w:cs="Times New Roman"/>
      <w:szCs w:val="24"/>
    </w:rPr>
  </w:style>
  <w:style w:type="character" w:customStyle="1" w:styleId="110">
    <w:name w:val="正文缩进 字符"/>
    <w:link w:val="16"/>
    <w:qFormat/>
    <w:locked/>
    <w:uiPriority w:val="0"/>
    <w:rPr>
      <w:rFonts w:ascii="Times New Roman" w:hAnsi="Times New Roman" w:eastAsia="宋体" w:cs="Times New Roman"/>
      <w:kern w:val="0"/>
      <w:sz w:val="20"/>
      <w:szCs w:val="20"/>
    </w:rPr>
  </w:style>
  <w:style w:type="character" w:customStyle="1" w:styleId="111">
    <w:name w:val="题注 字符"/>
    <w:link w:val="17"/>
    <w:semiHidden/>
    <w:qFormat/>
    <w:locked/>
    <w:uiPriority w:val="0"/>
    <w:rPr>
      <w:rFonts w:ascii="Arial" w:hAnsi="Arial" w:eastAsia="黑体" w:cs="Times New Roman"/>
      <w:kern w:val="0"/>
      <w:sz w:val="20"/>
      <w:szCs w:val="20"/>
    </w:rPr>
  </w:style>
  <w:style w:type="character" w:customStyle="1" w:styleId="112">
    <w:name w:val="正文文本缩进 字符2"/>
    <w:basedOn w:val="69"/>
    <w:link w:val="26"/>
    <w:semiHidden/>
    <w:qFormat/>
    <w:uiPriority w:val="99"/>
    <w:rPr>
      <w:rFonts w:ascii="宋体" w:hAnsi="Courier New" w:eastAsia="宋体" w:cs="Times New Roman"/>
      <w:spacing w:val="-4"/>
      <w:kern w:val="0"/>
      <w:sz w:val="18"/>
    </w:rPr>
  </w:style>
  <w:style w:type="character" w:customStyle="1" w:styleId="113">
    <w:name w:val="纯文本 字符1"/>
    <w:basedOn w:val="69"/>
    <w:link w:val="33"/>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4"/>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5"/>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81"/>
    <w:qFormat/>
    <w:locked/>
    <w:uiPriority w:val="0"/>
    <w:rPr>
      <w:rFonts w:ascii="Times New Roman" w:hAnsi="Times New Roman" w:eastAsia="宋体" w:cs="Times New Roman"/>
      <w:kern w:val="0"/>
      <w:sz w:val="24"/>
      <w:szCs w:val="20"/>
    </w:rPr>
  </w:style>
  <w:style w:type="paragraph" w:customStyle="1" w:styleId="15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3">
    <w:name w:val="表格内容 字符"/>
    <w:link w:val="154"/>
    <w:qFormat/>
    <w:locked/>
    <w:uiPriority w:val="0"/>
    <w:rPr>
      <w:rFonts w:ascii="仿宋" w:hAnsi="仿宋" w:eastAsia="仿宋" w:cs="Times New Roman"/>
      <w:kern w:val="0"/>
      <w:sz w:val="24"/>
    </w:rPr>
  </w:style>
  <w:style w:type="paragraph" w:customStyle="1" w:styleId="154">
    <w:name w:val="表格内容"/>
    <w:next w:val="81"/>
    <w:link w:val="153"/>
    <w:qFormat/>
    <w:uiPriority w:val="0"/>
    <w:pPr>
      <w:jc w:val="center"/>
    </w:pPr>
    <w:rPr>
      <w:rFonts w:ascii="仿宋" w:hAnsi="仿宋" w:eastAsia="仿宋" w:cs="Times New Roman"/>
      <w:sz w:val="24"/>
      <w:szCs w:val="22"/>
      <w:lang w:val="en-US" w:eastAsia="zh-CN" w:bidi="ar-SA"/>
    </w:rPr>
  </w:style>
  <w:style w:type="paragraph" w:customStyle="1" w:styleId="15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6">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7">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8">
    <w:name w:val="文档正文"/>
    <w:basedOn w:val="1"/>
    <w:qFormat/>
    <w:uiPriority w:val="0"/>
    <w:rPr>
      <w:rFonts w:ascii="宋体" w:hAnsi="宋体" w:eastAsia="宋体" w:cs="Arial"/>
      <w:bCs/>
      <w:szCs w:val="21"/>
    </w:rPr>
  </w:style>
  <w:style w:type="paragraph" w:customStyle="1" w:styleId="159">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0">
    <w:name w:val="无间隔 Char"/>
    <w:link w:val="161"/>
    <w:qFormat/>
    <w:locked/>
    <w:uiPriority w:val="0"/>
    <w:rPr>
      <w:rFonts w:ascii="Calibri" w:hAnsi="Calibri" w:eastAsia="宋体" w:cs="Times New Roman"/>
      <w:kern w:val="0"/>
      <w:sz w:val="22"/>
    </w:rPr>
  </w:style>
  <w:style w:type="paragraph" w:customStyle="1" w:styleId="161">
    <w:name w:val="无间隔1"/>
    <w:link w:val="160"/>
    <w:qFormat/>
    <w:uiPriority w:val="0"/>
    <w:rPr>
      <w:rFonts w:ascii="Calibri" w:hAnsi="Calibri" w:eastAsia="宋体" w:cs="Times New Roman"/>
      <w:sz w:val="22"/>
      <w:szCs w:val="22"/>
      <w:lang w:val="en-US" w:eastAsia="zh-CN" w:bidi="ar-SA"/>
    </w:rPr>
  </w:style>
  <w:style w:type="paragraph" w:customStyle="1" w:styleId="162">
    <w:name w:val="纯文本1"/>
    <w:basedOn w:val="163"/>
    <w:link w:val="378"/>
    <w:qFormat/>
    <w:uiPriority w:val="0"/>
    <w:pPr>
      <w:spacing w:beforeLines="50" w:line="400" w:lineRule="exact"/>
    </w:pPr>
    <w:rPr>
      <w:rFonts w:ascii="宋体" w:hAnsi="Courier New" w:eastAsia="Times New Roman" w:cs="Times New Roman"/>
      <w:sz w:val="30"/>
      <w:szCs w:val="24"/>
    </w:rPr>
  </w:style>
  <w:style w:type="paragraph" w:customStyle="1" w:styleId="163">
    <w:name w:val="正文1"/>
    <w:link w:val="517"/>
    <w:qFormat/>
    <w:uiPriority w:val="0"/>
    <w:pPr>
      <w:widowControl w:val="0"/>
      <w:jc w:val="both"/>
    </w:pPr>
    <w:rPr>
      <w:rFonts w:ascii="Calibri" w:hAnsi="Calibri" w:eastAsia="宋体" w:cs="Calibri"/>
      <w:kern w:val="2"/>
      <w:sz w:val="21"/>
      <w:szCs w:val="21"/>
      <w:lang w:val="en-US" w:eastAsia="zh-CN" w:bidi="ar-SA"/>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正文2"/>
    <w:basedOn w:val="1"/>
    <w:link w:val="410"/>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3">
    <w:name w:val="正文 首行缩进:  2 字符 Char Char Char"/>
    <w:link w:val="174"/>
    <w:qFormat/>
    <w:locked/>
    <w:uiPriority w:val="0"/>
    <w:rPr>
      <w:sz w:val="24"/>
    </w:rPr>
  </w:style>
  <w:style w:type="paragraph" w:customStyle="1" w:styleId="174">
    <w:name w:val="正文 首行缩进:  2 字符 Char"/>
    <w:basedOn w:val="1"/>
    <w:link w:val="173"/>
    <w:qFormat/>
    <w:uiPriority w:val="0"/>
    <w:pPr>
      <w:spacing w:line="360" w:lineRule="auto"/>
      <w:ind w:firstLine="480"/>
    </w:pPr>
    <w:rPr>
      <w:sz w:val="24"/>
    </w:rPr>
  </w:style>
  <w:style w:type="character" w:customStyle="1" w:styleId="175">
    <w:name w:val="样式 首行缩进:  0 字符 Char"/>
    <w:link w:val="176"/>
    <w:qFormat/>
    <w:locked/>
    <w:uiPriority w:val="0"/>
    <w:rPr>
      <w:rFonts w:ascii="Arial" w:hAnsi="Arial" w:eastAsia="宋体" w:cs="Times New Roman"/>
      <w:kern w:val="0"/>
      <w:sz w:val="20"/>
      <w:szCs w:val="20"/>
    </w:rPr>
  </w:style>
  <w:style w:type="paragraph" w:customStyle="1" w:styleId="176">
    <w:name w:val="样式 首行缩进:  0 字符"/>
    <w:basedOn w:val="1"/>
    <w:link w:val="175"/>
    <w:qFormat/>
    <w:uiPriority w:val="0"/>
    <w:pPr>
      <w:spacing w:line="360" w:lineRule="auto"/>
      <w:ind w:firstLine="200" w:firstLineChars="200"/>
    </w:pPr>
    <w:rPr>
      <w:rFonts w:ascii="Arial" w:hAnsi="Arial" w:eastAsia="宋体" w:cs="Times New Roman"/>
      <w:kern w:val="0"/>
      <w:sz w:val="20"/>
      <w:szCs w:val="20"/>
    </w:rPr>
  </w:style>
  <w:style w:type="paragraph" w:customStyle="1" w:styleId="177">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8">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79">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0">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1">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3">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5">
    <w:name w:val="Char Char Char Char1"/>
    <w:basedOn w:val="1"/>
    <w:qFormat/>
    <w:uiPriority w:val="99"/>
    <w:rPr>
      <w:rFonts w:ascii="Tahoma" w:hAnsi="Tahoma" w:eastAsia="宋体" w:cs="Times New Roman"/>
      <w:sz w:val="24"/>
      <w:szCs w:val="20"/>
    </w:rPr>
  </w:style>
  <w:style w:type="paragraph" w:customStyle="1" w:styleId="186">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7">
    <w:name w:val="z-窗体顶端 Char"/>
    <w:link w:val="188"/>
    <w:qFormat/>
    <w:locked/>
    <w:uiPriority w:val="0"/>
    <w:rPr>
      <w:rFonts w:ascii="Arial" w:hAnsi="Arial" w:eastAsia="宋体" w:cs="Times New Roman"/>
      <w:vanish/>
      <w:kern w:val="0"/>
      <w:sz w:val="20"/>
      <w:szCs w:val="20"/>
    </w:rPr>
  </w:style>
  <w:style w:type="paragraph" w:customStyle="1" w:styleId="188">
    <w:name w:val="_Style 46"/>
    <w:basedOn w:val="1"/>
    <w:next w:val="1"/>
    <w:link w:val="187"/>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89">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0">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1">
    <w:name w:val="彩色列表 - 强调文字颜色 11"/>
    <w:basedOn w:val="1"/>
    <w:link w:val="528"/>
    <w:qFormat/>
    <w:uiPriority w:val="0"/>
    <w:pPr>
      <w:ind w:firstLine="420" w:firstLineChars="200"/>
    </w:pPr>
    <w:rPr>
      <w:rFonts w:ascii="Calibri" w:hAnsi="Calibri" w:eastAsia="宋体" w:cs="Times New Roman"/>
    </w:rPr>
  </w:style>
  <w:style w:type="paragraph" w:customStyle="1" w:styleId="192">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3">
    <w:name w:val="z-窗体底端 Char"/>
    <w:link w:val="194"/>
    <w:qFormat/>
    <w:locked/>
    <w:uiPriority w:val="0"/>
    <w:rPr>
      <w:rFonts w:ascii="Arial" w:hAnsi="Arial" w:eastAsia="宋体" w:cs="Times New Roman"/>
      <w:vanish/>
      <w:kern w:val="0"/>
      <w:sz w:val="20"/>
      <w:szCs w:val="20"/>
    </w:rPr>
  </w:style>
  <w:style w:type="paragraph" w:customStyle="1" w:styleId="194">
    <w:name w:val="_Style 54"/>
    <w:basedOn w:val="1"/>
    <w:next w:val="1"/>
    <w:link w:val="193"/>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5">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6">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7">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8">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9">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0">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1">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3">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4">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7">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09">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0">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2">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3">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4">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5">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19">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0">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1">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2">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3">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5">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6">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8">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0">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3">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4">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5">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6">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7">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9">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3">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4">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8">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9">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0">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2">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5">
    <w:name w:val="列表段落 字符"/>
    <w:link w:val="256"/>
    <w:qFormat/>
    <w:locked/>
    <w:uiPriority w:val="34"/>
    <w:rPr>
      <w:rFonts w:ascii="宋体" w:hAnsi="宋体" w:eastAsia="宋体" w:cs="宋体"/>
      <w:kern w:val="0"/>
      <w:sz w:val="24"/>
      <w:szCs w:val="24"/>
    </w:rPr>
  </w:style>
  <w:style w:type="paragraph" w:customStyle="1" w:styleId="256">
    <w:name w:val="列表段落1"/>
    <w:basedOn w:val="1"/>
    <w:next w:val="114"/>
    <w:link w:val="255"/>
    <w:qFormat/>
    <w:uiPriority w:val="34"/>
    <w:pPr>
      <w:widowControl/>
      <w:ind w:firstLine="420" w:firstLineChars="200"/>
      <w:jc w:val="left"/>
    </w:pPr>
    <w:rPr>
      <w:rFonts w:ascii="宋体" w:hAnsi="宋体" w:eastAsia="宋体" w:cs="宋体"/>
      <w:kern w:val="0"/>
      <w:sz w:val="24"/>
      <w:szCs w:val="24"/>
    </w:rPr>
  </w:style>
  <w:style w:type="paragraph" w:customStyle="1" w:styleId="257">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8">
    <w:name w:val="图片居中"/>
    <w:basedOn w:val="1"/>
    <w:qFormat/>
    <w:uiPriority w:val="99"/>
    <w:pPr>
      <w:keepNext/>
      <w:jc w:val="center"/>
    </w:pPr>
    <w:rPr>
      <w:rFonts w:ascii="Times New Roman" w:hAnsi="Times New Roman" w:eastAsia="宋体" w:cs="Times New Roman"/>
    </w:rPr>
  </w:style>
  <w:style w:type="paragraph" w:customStyle="1" w:styleId="259">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0">
    <w:name w:val="图片题注"/>
    <w:basedOn w:val="17"/>
    <w:qFormat/>
    <w:uiPriority w:val="99"/>
  </w:style>
  <w:style w:type="paragraph" w:customStyle="1" w:styleId="261">
    <w:name w:val="表格正文"/>
    <w:basedOn w:val="1"/>
    <w:qFormat/>
    <w:uiPriority w:val="99"/>
    <w:pPr>
      <w:widowControl/>
      <w:jc w:val="left"/>
    </w:pPr>
    <w:rPr>
      <w:rFonts w:ascii="宋体" w:hAnsi="宋体" w:eastAsia="宋体" w:cs="宋体"/>
      <w:szCs w:val="28"/>
    </w:rPr>
  </w:style>
  <w:style w:type="paragraph" w:customStyle="1" w:styleId="262">
    <w:name w:val="修订1"/>
    <w:qFormat/>
    <w:uiPriority w:val="99"/>
    <w:rPr>
      <w:rFonts w:ascii="Times New Roman" w:hAnsi="Times New Roman" w:eastAsia="宋体" w:cs="Times New Roman"/>
      <w:kern w:val="2"/>
      <w:sz w:val="21"/>
      <w:szCs w:val="22"/>
      <w:lang w:val="en-US" w:eastAsia="zh-CN" w:bidi="ar-SA"/>
    </w:rPr>
  </w:style>
  <w:style w:type="paragraph" w:customStyle="1" w:styleId="263">
    <w:name w:val="修订2"/>
    <w:qFormat/>
    <w:uiPriority w:val="99"/>
    <w:rPr>
      <w:rFonts w:ascii="Times New Roman" w:hAnsi="Times New Roman" w:eastAsia="宋体" w:cs="Times New Roman"/>
      <w:kern w:val="2"/>
      <w:sz w:val="21"/>
      <w:szCs w:val="22"/>
      <w:lang w:val="en-US" w:eastAsia="zh-CN" w:bidi="ar-SA"/>
    </w:rPr>
  </w:style>
  <w:style w:type="paragraph" w:customStyle="1" w:styleId="264">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5">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4">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5">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9">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8">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6">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99">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2">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
    <w:name w:val="修订4"/>
    <w:qFormat/>
    <w:uiPriority w:val="99"/>
    <w:rPr>
      <w:rFonts w:ascii="Times New Roman" w:hAnsi="Times New Roman" w:eastAsia="宋体" w:cs="Times New Roman"/>
      <w:kern w:val="2"/>
      <w:sz w:val="21"/>
      <w:szCs w:val="22"/>
      <w:lang w:val="en-US" w:eastAsia="zh-CN" w:bidi="ar-SA"/>
    </w:rPr>
  </w:style>
  <w:style w:type="character" w:customStyle="1" w:styleId="307">
    <w:name w:val="font21"/>
    <w:basedOn w:val="69"/>
    <w:qFormat/>
    <w:uiPriority w:val="0"/>
    <w:rPr>
      <w:rFonts w:hint="eastAsia" w:ascii="等线" w:hAnsi="等线" w:eastAsia="等线" w:cs="等线"/>
      <w:color w:val="000000"/>
      <w:sz w:val="22"/>
      <w:szCs w:val="22"/>
      <w:u w:val="none"/>
    </w:rPr>
  </w:style>
  <w:style w:type="character" w:customStyle="1" w:styleId="308">
    <w:name w:val="apple-converted-space"/>
    <w:qFormat/>
    <w:uiPriority w:val="0"/>
    <w:rPr>
      <w:rFonts w:hint="default" w:ascii="Times New Roman" w:hAnsi="Times New Roman" w:cs="Times New Roman"/>
    </w:rPr>
  </w:style>
  <w:style w:type="character" w:customStyle="1" w:styleId="309">
    <w:name w:val="正文文本缩进 3 Char1"/>
    <w:basedOn w:val="69"/>
    <w:qFormat/>
    <w:uiPriority w:val="0"/>
    <w:rPr>
      <w:rFonts w:hint="default" w:ascii="Times New Roman" w:hAnsi="Times New Roman" w:eastAsia="宋体" w:cs="Times New Roman"/>
      <w:sz w:val="16"/>
      <w:szCs w:val="16"/>
    </w:rPr>
  </w:style>
  <w:style w:type="character" w:customStyle="1" w:styleId="310">
    <w:name w:val="批注文字 Char1"/>
    <w:basedOn w:val="69"/>
    <w:qFormat/>
    <w:uiPriority w:val="0"/>
    <w:rPr>
      <w:rFonts w:hint="default" w:ascii="Times New Roman" w:hAnsi="Times New Roman" w:eastAsia="宋体" w:cs="Times New Roman"/>
    </w:rPr>
  </w:style>
  <w:style w:type="character" w:customStyle="1" w:styleId="311">
    <w:name w:val="apple-tab-span"/>
    <w:qFormat/>
    <w:uiPriority w:val="0"/>
    <w:rPr>
      <w:rFonts w:hint="default" w:ascii="Times New Roman" w:hAnsi="Times New Roman" w:cs="Times New Roman"/>
    </w:rPr>
  </w:style>
  <w:style w:type="character" w:customStyle="1" w:styleId="312">
    <w:name w:val="font11"/>
    <w:basedOn w:val="69"/>
    <w:qFormat/>
    <w:uiPriority w:val="0"/>
    <w:rPr>
      <w:rFonts w:hint="default" w:ascii="Times New Roman" w:hAnsi="Times New Roman" w:cs="Times New Roman"/>
      <w:color w:val="000000"/>
      <w:sz w:val="20"/>
      <w:szCs w:val="20"/>
      <w:u w:val="none"/>
    </w:rPr>
  </w:style>
  <w:style w:type="character" w:customStyle="1" w:styleId="313">
    <w:name w:val="font31"/>
    <w:basedOn w:val="69"/>
    <w:qFormat/>
    <w:uiPriority w:val="0"/>
    <w:rPr>
      <w:rFonts w:hint="eastAsia" w:ascii="等线" w:hAnsi="等线" w:eastAsia="等线" w:cs="等线"/>
      <w:color w:val="000000"/>
      <w:sz w:val="22"/>
      <w:szCs w:val="22"/>
      <w:u w:val="none"/>
    </w:rPr>
  </w:style>
  <w:style w:type="character" w:customStyle="1" w:styleId="314">
    <w:name w:val="正文文本缩进 Char1"/>
    <w:basedOn w:val="69"/>
    <w:qFormat/>
    <w:uiPriority w:val="0"/>
    <w:rPr>
      <w:rFonts w:hint="default" w:ascii="Times New Roman" w:hAnsi="Times New Roman" w:eastAsia="宋体" w:cs="Times New Roman"/>
    </w:rPr>
  </w:style>
  <w:style w:type="character" w:customStyle="1" w:styleId="315">
    <w:name w:val="正文文本 3 Char1"/>
    <w:basedOn w:val="69"/>
    <w:qFormat/>
    <w:uiPriority w:val="0"/>
    <w:rPr>
      <w:rFonts w:hint="default" w:ascii="Times New Roman" w:hAnsi="Times New Roman" w:eastAsia="宋体" w:cs="Times New Roman"/>
      <w:sz w:val="16"/>
      <w:szCs w:val="16"/>
    </w:rPr>
  </w:style>
  <w:style w:type="character" w:customStyle="1" w:styleId="316">
    <w:name w:val="正文文本 Char1"/>
    <w:basedOn w:val="69"/>
    <w:qFormat/>
    <w:uiPriority w:val="0"/>
    <w:rPr>
      <w:rFonts w:hint="default" w:ascii="Times New Roman" w:hAnsi="Times New Roman" w:eastAsia="宋体" w:cs="Times New Roman"/>
    </w:rPr>
  </w:style>
  <w:style w:type="character" w:customStyle="1" w:styleId="317">
    <w:name w:val="font01"/>
    <w:basedOn w:val="69"/>
    <w:qFormat/>
    <w:uiPriority w:val="0"/>
    <w:rPr>
      <w:rFonts w:hint="eastAsia" w:ascii="宋体" w:hAnsi="宋体" w:eastAsia="宋体" w:cs="宋体"/>
      <w:color w:val="000000"/>
      <w:sz w:val="20"/>
      <w:szCs w:val="20"/>
      <w:u w:val="none"/>
    </w:rPr>
  </w:style>
  <w:style w:type="character" w:customStyle="1" w:styleId="318">
    <w:name w:val="纯文本 Char2"/>
    <w:basedOn w:val="69"/>
    <w:qFormat/>
    <w:uiPriority w:val="0"/>
    <w:rPr>
      <w:rFonts w:hint="eastAsia" w:ascii="宋体" w:hAnsi="Courier New" w:eastAsia="宋体" w:cs="Courier New"/>
      <w:sz w:val="21"/>
      <w:szCs w:val="21"/>
    </w:rPr>
  </w:style>
  <w:style w:type="character" w:customStyle="1" w:styleId="319">
    <w:name w:val="文档结构图 Char1"/>
    <w:basedOn w:val="69"/>
    <w:qFormat/>
    <w:uiPriority w:val="0"/>
    <w:rPr>
      <w:rFonts w:hint="eastAsia" w:ascii="宋体" w:hAnsi="Times New Roman" w:eastAsia="宋体" w:cs="Times New Roman"/>
      <w:sz w:val="18"/>
      <w:szCs w:val="18"/>
    </w:rPr>
  </w:style>
  <w:style w:type="character" w:customStyle="1" w:styleId="320">
    <w:name w:val="纯文本 Char1"/>
    <w:qFormat/>
    <w:uiPriority w:val="0"/>
    <w:rPr>
      <w:rFonts w:hint="eastAsia" w:ascii="宋体" w:hAnsi="Courier New" w:eastAsia="宋体"/>
      <w:sz w:val="21"/>
    </w:rPr>
  </w:style>
  <w:style w:type="character" w:customStyle="1" w:styleId="321">
    <w:name w:val="日期 Char1"/>
    <w:basedOn w:val="69"/>
    <w:qFormat/>
    <w:uiPriority w:val="0"/>
    <w:rPr>
      <w:rFonts w:hint="default" w:ascii="Times New Roman" w:hAnsi="Times New Roman" w:eastAsia="宋体" w:cs="Times New Roman"/>
    </w:rPr>
  </w:style>
  <w:style w:type="character" w:customStyle="1" w:styleId="322">
    <w:name w:val="正文文本缩进 2 Char1"/>
    <w:basedOn w:val="69"/>
    <w:qFormat/>
    <w:uiPriority w:val="0"/>
    <w:rPr>
      <w:rFonts w:hint="default" w:ascii="Times New Roman" w:hAnsi="Times New Roman" w:eastAsia="宋体" w:cs="Times New Roman"/>
    </w:rPr>
  </w:style>
  <w:style w:type="character" w:customStyle="1" w:styleId="323">
    <w:name w:val="批注框文本 Char1"/>
    <w:basedOn w:val="69"/>
    <w:qFormat/>
    <w:uiPriority w:val="0"/>
    <w:rPr>
      <w:rFonts w:hint="default" w:ascii="Times New Roman" w:hAnsi="Times New Roman" w:eastAsia="宋体" w:cs="Times New Roman"/>
      <w:sz w:val="18"/>
      <w:szCs w:val="18"/>
    </w:rPr>
  </w:style>
  <w:style w:type="character" w:customStyle="1" w:styleId="324">
    <w:name w:val="正文文本 2 Char1"/>
    <w:basedOn w:val="69"/>
    <w:qFormat/>
    <w:uiPriority w:val="0"/>
    <w:rPr>
      <w:rFonts w:hint="default" w:ascii="Times New Roman" w:hAnsi="Times New Roman" w:eastAsia="宋体" w:cs="Times New Roman"/>
    </w:rPr>
  </w:style>
  <w:style w:type="character" w:customStyle="1" w:styleId="325">
    <w:name w:val="大黑10.5px"/>
    <w:qFormat/>
    <w:uiPriority w:val="0"/>
    <w:rPr>
      <w:rFonts w:hint="eastAsia" w:ascii="方正大黑简体" w:eastAsia="方正大黑简体"/>
      <w:sz w:val="21"/>
    </w:rPr>
  </w:style>
  <w:style w:type="character" w:customStyle="1" w:styleId="326">
    <w:name w:val="黑简10.5px"/>
    <w:qFormat/>
    <w:uiPriority w:val="0"/>
    <w:rPr>
      <w:rFonts w:hint="eastAsia" w:ascii="方正黑体简体" w:hAnsi="方正黑体简体" w:eastAsia="方正黑体简体"/>
      <w:sz w:val="21"/>
    </w:rPr>
  </w:style>
  <w:style w:type="character" w:customStyle="1" w:styleId="327">
    <w:name w:val="jbox-icon-warning"/>
    <w:basedOn w:val="69"/>
    <w:qFormat/>
    <w:uiPriority w:val="0"/>
    <w:rPr>
      <w:rFonts w:hint="default" w:ascii="Times New Roman" w:hAnsi="Times New Roman" w:cs="Times New Roman"/>
    </w:rPr>
  </w:style>
  <w:style w:type="character" w:customStyle="1" w:styleId="328">
    <w:name w:val="hover9"/>
    <w:qFormat/>
    <w:uiPriority w:val="0"/>
    <w:rPr>
      <w:shd w:val="clear" w:color="auto" w:fill="EEEEEE"/>
    </w:rPr>
  </w:style>
  <w:style w:type="character" w:customStyle="1" w:styleId="329">
    <w:name w:val="hour_pm"/>
    <w:basedOn w:val="69"/>
    <w:qFormat/>
    <w:uiPriority w:val="0"/>
    <w:rPr>
      <w:rFonts w:hint="default" w:ascii="Times New Roman" w:hAnsi="Times New Roman" w:cs="Times New Roman"/>
    </w:rPr>
  </w:style>
  <w:style w:type="character" w:customStyle="1" w:styleId="330">
    <w:name w:val="jbox-icon-info"/>
    <w:basedOn w:val="69"/>
    <w:qFormat/>
    <w:uiPriority w:val="0"/>
    <w:rPr>
      <w:rFonts w:hint="default" w:ascii="Times New Roman" w:hAnsi="Times New Roman" w:cs="Times New Roman"/>
    </w:rPr>
  </w:style>
  <w:style w:type="character" w:customStyle="1" w:styleId="331">
    <w:name w:val="black601"/>
    <w:qFormat/>
    <w:uiPriority w:val="0"/>
    <w:rPr>
      <w:color w:val="666666"/>
    </w:rPr>
  </w:style>
  <w:style w:type="character" w:customStyle="1" w:styleId="332">
    <w:name w:val="hour_am"/>
    <w:basedOn w:val="69"/>
    <w:qFormat/>
    <w:uiPriority w:val="0"/>
    <w:rPr>
      <w:rFonts w:hint="default" w:ascii="Times New Roman" w:hAnsi="Times New Roman" w:cs="Times New Roman"/>
    </w:rPr>
  </w:style>
  <w:style w:type="character" w:customStyle="1" w:styleId="333">
    <w:name w:val="jbox-icon-error"/>
    <w:basedOn w:val="69"/>
    <w:qFormat/>
    <w:uiPriority w:val="0"/>
    <w:rPr>
      <w:rFonts w:hint="default" w:ascii="Times New Roman" w:hAnsi="Times New Roman" w:cs="Times New Roman"/>
    </w:rPr>
  </w:style>
  <w:style w:type="character" w:customStyle="1" w:styleId="334">
    <w:name w:val="jbox-icon-success"/>
    <w:basedOn w:val="69"/>
    <w:qFormat/>
    <w:uiPriority w:val="0"/>
    <w:rPr>
      <w:rFonts w:hint="default" w:ascii="Times New Roman" w:hAnsi="Times New Roman" w:cs="Times New Roman"/>
    </w:rPr>
  </w:style>
  <w:style w:type="character" w:customStyle="1" w:styleId="335">
    <w:name w:val="maywed421"/>
    <w:qFormat/>
    <w:uiPriority w:val="0"/>
    <w:rPr>
      <w:color w:val="366FB6"/>
      <w:u w:val="none"/>
    </w:rPr>
  </w:style>
  <w:style w:type="character" w:customStyle="1" w:styleId="336">
    <w:name w:val="正文文本缩进 字符1"/>
    <w:qFormat/>
    <w:uiPriority w:val="0"/>
    <w:rPr>
      <w:rFonts w:hint="eastAsia" w:ascii="宋体" w:hAnsi="Courier New" w:eastAsia="宋体"/>
      <w:spacing w:val="-4"/>
      <w:kern w:val="2"/>
      <w:sz w:val="18"/>
    </w:rPr>
  </w:style>
  <w:style w:type="character" w:customStyle="1" w:styleId="337">
    <w:name w:val="jbox-icon-question"/>
    <w:basedOn w:val="69"/>
    <w:qFormat/>
    <w:uiPriority w:val="0"/>
    <w:rPr>
      <w:rFonts w:hint="default" w:ascii="Times New Roman" w:hAnsi="Times New Roman" w:cs="Times New Roman"/>
    </w:rPr>
  </w:style>
  <w:style w:type="character" w:customStyle="1" w:styleId="338">
    <w:name w:val="jbox-icon-loading"/>
    <w:basedOn w:val="69"/>
    <w:qFormat/>
    <w:uiPriority w:val="0"/>
    <w:rPr>
      <w:rFonts w:hint="default" w:ascii="Times New Roman" w:hAnsi="Times New Roman" w:cs="Times New Roman"/>
    </w:rPr>
  </w:style>
  <w:style w:type="character" w:customStyle="1" w:styleId="339">
    <w:name w:val="标题 1 Char Char"/>
    <w:qFormat/>
    <w:uiPriority w:val="0"/>
    <w:rPr>
      <w:rFonts w:hint="eastAsia" w:ascii="宋体" w:hAnsi="宋体" w:eastAsia="宋体"/>
      <w:b/>
      <w:spacing w:val="-2"/>
      <w:sz w:val="24"/>
      <w:lang w:val="en-US" w:eastAsia="zh-CN"/>
    </w:rPr>
  </w:style>
  <w:style w:type="character" w:customStyle="1" w:styleId="340">
    <w:name w:val="jbox-icon-none"/>
    <w:qFormat/>
    <w:uiPriority w:val="0"/>
    <w:rPr>
      <w:vanish/>
    </w:rPr>
  </w:style>
  <w:style w:type="character" w:customStyle="1" w:styleId="341">
    <w:name w:val="sub_title s0"/>
    <w:basedOn w:val="69"/>
    <w:qFormat/>
    <w:uiPriority w:val="0"/>
    <w:rPr>
      <w:rFonts w:hint="default" w:ascii="Times New Roman" w:hAnsi="Times New Roman" w:cs="Times New Roman"/>
    </w:rPr>
  </w:style>
  <w:style w:type="character" w:customStyle="1" w:styleId="342">
    <w:name w:val="纯文本 字符2"/>
    <w:qFormat/>
    <w:uiPriority w:val="0"/>
    <w:rPr>
      <w:rFonts w:hint="eastAsia" w:ascii="宋体" w:hAnsi="Courier New" w:eastAsia="宋体"/>
      <w:kern w:val="2"/>
      <w:sz w:val="24"/>
    </w:rPr>
  </w:style>
  <w:style w:type="character" w:customStyle="1" w:styleId="343">
    <w:name w:val="jbox-icon"/>
    <w:basedOn w:val="69"/>
    <w:qFormat/>
    <w:uiPriority w:val="0"/>
    <w:rPr>
      <w:rFonts w:hint="default" w:ascii="Times New Roman" w:hAnsi="Times New Roman" w:cs="Times New Roman"/>
    </w:rPr>
  </w:style>
  <w:style w:type="character" w:customStyle="1" w:styleId="344">
    <w:name w:val="old"/>
    <w:qFormat/>
    <w:uiPriority w:val="0"/>
    <w:rPr>
      <w:color w:val="999999"/>
    </w:rPr>
  </w:style>
  <w:style w:type="character" w:customStyle="1" w:styleId="345">
    <w:name w:val="font41"/>
    <w:basedOn w:val="69"/>
    <w:qFormat/>
    <w:uiPriority w:val="0"/>
    <w:rPr>
      <w:rFonts w:hint="eastAsia" w:ascii="宋体" w:hAnsi="宋体" w:eastAsia="宋体" w:cs="宋体"/>
      <w:b/>
      <w:bCs/>
      <w:color w:val="000000"/>
      <w:sz w:val="24"/>
      <w:szCs w:val="24"/>
      <w:u w:val="none"/>
    </w:rPr>
  </w:style>
  <w:style w:type="character" w:customStyle="1" w:styleId="346">
    <w:name w:val="font12"/>
    <w:basedOn w:val="69"/>
    <w:qFormat/>
    <w:uiPriority w:val="0"/>
    <w:rPr>
      <w:rFonts w:hint="default" w:ascii="Times New Roman" w:hAnsi="Times New Roman" w:cs="Times New Roman"/>
      <w:color w:val="000000"/>
      <w:sz w:val="24"/>
      <w:szCs w:val="24"/>
      <w:u w:val="none"/>
    </w:rPr>
  </w:style>
  <w:style w:type="character" w:customStyle="1" w:styleId="347">
    <w:name w:val="font111"/>
    <w:basedOn w:val="69"/>
    <w:qFormat/>
    <w:uiPriority w:val="0"/>
    <w:rPr>
      <w:rFonts w:hint="eastAsia" w:ascii="宋体" w:hAnsi="宋体" w:eastAsia="宋体" w:cs="宋体"/>
      <w:color w:val="000000"/>
      <w:sz w:val="22"/>
      <w:szCs w:val="22"/>
      <w:u w:val="none"/>
    </w:rPr>
  </w:style>
  <w:style w:type="character" w:customStyle="1" w:styleId="348">
    <w:name w:val="标题 7 字符1"/>
    <w:basedOn w:val="69"/>
    <w:semiHidden/>
    <w:qFormat/>
    <w:uiPriority w:val="9"/>
    <w:rPr>
      <w:b/>
      <w:bCs/>
      <w:sz w:val="24"/>
      <w:szCs w:val="24"/>
    </w:rPr>
  </w:style>
  <w:style w:type="character" w:customStyle="1" w:styleId="349">
    <w:name w:val="标题 8 字符1"/>
    <w:basedOn w:val="69"/>
    <w:semiHidden/>
    <w:qFormat/>
    <w:uiPriority w:val="9"/>
    <w:rPr>
      <w:rFonts w:hint="default" w:ascii="Cambria" w:hAnsi="Cambria" w:eastAsia="宋体" w:cs="Times New Roman"/>
      <w:sz w:val="24"/>
      <w:szCs w:val="24"/>
    </w:rPr>
  </w:style>
  <w:style w:type="character" w:customStyle="1" w:styleId="350">
    <w:name w:val="标题 9 字符1"/>
    <w:basedOn w:val="69"/>
    <w:semiHidden/>
    <w:qFormat/>
    <w:uiPriority w:val="9"/>
    <w:rPr>
      <w:rFonts w:hint="default" w:ascii="Cambria" w:hAnsi="Cambria" w:eastAsia="宋体" w:cs="Times New Roman"/>
      <w:szCs w:val="21"/>
    </w:rPr>
  </w:style>
  <w:style w:type="table" w:customStyle="1" w:styleId="351">
    <w:name w:val="Table Normal"/>
    <w:qFormat/>
    <w:uiPriority w:val="59"/>
    <w:tblPr>
      <w:tblCellMar>
        <w:top w:w="0" w:type="dxa"/>
        <w:left w:w="108" w:type="dxa"/>
        <w:bottom w:w="0" w:type="dxa"/>
        <w:right w:w="108" w:type="dxa"/>
      </w:tblCellMar>
    </w:tblPr>
  </w:style>
  <w:style w:type="table" w:customStyle="1" w:styleId="352">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3">
    <w:name w:val="批注主题 Char1"/>
    <w:basedOn w:val="310"/>
    <w:qFormat/>
    <w:uiPriority w:val="0"/>
    <w:rPr>
      <w:rFonts w:hint="default" w:ascii="Times New Roman" w:hAnsi="Times New Roman" w:eastAsia="宋体" w:cs="Times New Roman"/>
      <w:b/>
      <w:bCs/>
    </w:rPr>
  </w:style>
  <w:style w:type="paragraph" w:customStyle="1" w:styleId="354">
    <w:name w:val="Body text|1"/>
    <w:basedOn w:val="1"/>
    <w:qFormat/>
    <w:uiPriority w:val="0"/>
    <w:rPr>
      <w:sz w:val="10"/>
      <w:szCs w:val="10"/>
    </w:rPr>
  </w:style>
  <w:style w:type="paragraph" w:customStyle="1" w:styleId="355">
    <w:name w:val="Picture caption|2"/>
    <w:basedOn w:val="1"/>
    <w:qFormat/>
    <w:uiPriority w:val="0"/>
    <w:rPr>
      <w:sz w:val="10"/>
      <w:szCs w:val="10"/>
      <w:lang w:val="zh-TW" w:eastAsia="zh-TW" w:bidi="zh-TW"/>
    </w:rPr>
  </w:style>
  <w:style w:type="paragraph" w:customStyle="1" w:styleId="356">
    <w:name w:val="Picture caption|1"/>
    <w:basedOn w:val="1"/>
    <w:qFormat/>
    <w:uiPriority w:val="0"/>
    <w:rPr>
      <w:rFonts w:ascii="宋体" w:hAnsi="宋体" w:eastAsia="宋体" w:cs="宋体"/>
      <w:sz w:val="9"/>
      <w:szCs w:val="9"/>
    </w:rPr>
  </w:style>
  <w:style w:type="paragraph" w:customStyle="1" w:styleId="357">
    <w:name w:val="Other|2"/>
    <w:basedOn w:val="1"/>
    <w:qFormat/>
    <w:uiPriority w:val="0"/>
    <w:rPr>
      <w:rFonts w:ascii="宋体" w:hAnsi="宋体" w:eastAsia="宋体" w:cs="宋体"/>
      <w:sz w:val="11"/>
      <w:szCs w:val="11"/>
      <w:lang w:val="zh-TW" w:eastAsia="zh-TW" w:bidi="zh-TW"/>
    </w:rPr>
  </w:style>
  <w:style w:type="paragraph" w:customStyle="1" w:styleId="358">
    <w:name w:val="Other|1"/>
    <w:basedOn w:val="1"/>
    <w:qFormat/>
    <w:uiPriority w:val="0"/>
    <w:rPr>
      <w:b/>
      <w:bCs/>
      <w:sz w:val="9"/>
      <w:szCs w:val="9"/>
      <w:lang w:val="zh-TW" w:eastAsia="zh-TW" w:bidi="zh-TW"/>
    </w:rPr>
  </w:style>
  <w:style w:type="character" w:customStyle="1" w:styleId="359">
    <w:name w:val="font51"/>
    <w:basedOn w:val="69"/>
    <w:qFormat/>
    <w:uiPriority w:val="0"/>
    <w:rPr>
      <w:rFonts w:hint="eastAsia" w:ascii="宋体" w:hAnsi="宋体" w:eastAsia="宋体" w:cs="宋体"/>
      <w:color w:val="000000"/>
      <w:sz w:val="20"/>
      <w:szCs w:val="20"/>
      <w:u w:val="none"/>
      <w:vertAlign w:val="superscript"/>
    </w:rPr>
  </w:style>
  <w:style w:type="paragraph" w:customStyle="1" w:styleId="360">
    <w:name w:val="cover"/>
    <w:link w:val="367"/>
    <w:qFormat/>
    <w:uiPriority w:val="0"/>
    <w:rPr>
      <w:rFonts w:ascii="宋体" w:hAnsi="Cambria" w:eastAsia="宋体" w:cs="宋体"/>
      <w:b/>
      <w:kern w:val="2"/>
      <w:sz w:val="52"/>
      <w:szCs w:val="22"/>
      <w:lang w:val="en-US" w:eastAsia="zh-CN" w:bidi="ar-SA"/>
    </w:rPr>
  </w:style>
  <w:style w:type="character" w:customStyle="1" w:styleId="361">
    <w:name w:val="称呼 字符"/>
    <w:basedOn w:val="69"/>
    <w:link w:val="21"/>
    <w:qFormat/>
    <w:uiPriority w:val="0"/>
    <w:rPr>
      <w:szCs w:val="24"/>
    </w:rPr>
  </w:style>
  <w:style w:type="character" w:customStyle="1" w:styleId="362">
    <w:name w:val="尾注文本 字符"/>
    <w:basedOn w:val="69"/>
    <w:link w:val="39"/>
    <w:qFormat/>
    <w:uiPriority w:val="0"/>
    <w:rPr>
      <w:sz w:val="24"/>
    </w:rPr>
  </w:style>
  <w:style w:type="character" w:customStyle="1" w:styleId="363">
    <w:name w:val="副标题 字符"/>
    <w:basedOn w:val="69"/>
    <w:link w:val="45"/>
    <w:qFormat/>
    <w:uiPriority w:val="0"/>
    <w:rPr>
      <w:rFonts w:ascii="Calibri" w:hAnsi="Calibri" w:cs="宋体"/>
      <w:b/>
      <w:bCs/>
      <w:kern w:val="28"/>
      <w:sz w:val="32"/>
      <w:szCs w:val="32"/>
    </w:rPr>
  </w:style>
  <w:style w:type="character" w:customStyle="1" w:styleId="364">
    <w:name w:val="脚注文本 字符"/>
    <w:basedOn w:val="69"/>
    <w:link w:val="48"/>
    <w:qFormat/>
    <w:uiPriority w:val="0"/>
    <w:rPr>
      <w:rFonts w:ascii="宋体" w:hAnsi="Calibri" w:cs="宋体"/>
      <w:kern w:val="2"/>
      <w:sz w:val="18"/>
      <w:szCs w:val="18"/>
    </w:rPr>
  </w:style>
  <w:style w:type="character" w:customStyle="1" w:styleId="365">
    <w:name w:val="标题 字符"/>
    <w:basedOn w:val="69"/>
    <w:link w:val="57"/>
    <w:qFormat/>
    <w:uiPriority w:val="0"/>
    <w:rPr>
      <w:rFonts w:ascii="Cambria" w:hAnsi="Cambria" w:cs="宋体"/>
      <w:b/>
      <w:bCs/>
      <w:kern w:val="2"/>
      <w:sz w:val="32"/>
      <w:szCs w:val="32"/>
    </w:rPr>
  </w:style>
  <w:style w:type="paragraph" w:customStyle="1" w:styleId="366">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7">
    <w:name w:val="cover 字符"/>
    <w:basedOn w:val="69"/>
    <w:link w:val="360"/>
    <w:qFormat/>
    <w:uiPriority w:val="0"/>
    <w:rPr>
      <w:rFonts w:ascii="宋体" w:hAnsi="Cambria" w:cs="宋体"/>
      <w:b/>
      <w:kern w:val="2"/>
      <w:sz w:val="52"/>
      <w:szCs w:val="22"/>
    </w:rPr>
  </w:style>
  <w:style w:type="paragraph" w:customStyle="1" w:styleId="368">
    <w:name w:val="index"/>
    <w:basedOn w:val="43"/>
    <w:link w:val="370"/>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69">
    <w:name w:val="目录 1 字符"/>
    <w:basedOn w:val="69"/>
    <w:link w:val="43"/>
    <w:qFormat/>
    <w:uiPriority w:val="39"/>
    <w:rPr>
      <w:kern w:val="2"/>
      <w:sz w:val="21"/>
      <w:szCs w:val="22"/>
    </w:rPr>
  </w:style>
  <w:style w:type="character" w:customStyle="1" w:styleId="370">
    <w:name w:val="index 字符"/>
    <w:basedOn w:val="369"/>
    <w:link w:val="368"/>
    <w:qFormat/>
    <w:uiPriority w:val="0"/>
    <w:rPr>
      <w:rFonts w:hAnsi="Calibri" w:cs="宋体"/>
      <w:kern w:val="2"/>
      <w:sz w:val="21"/>
      <w:szCs w:val="32"/>
    </w:rPr>
  </w:style>
  <w:style w:type="paragraph" w:customStyle="1" w:styleId="371">
    <w:name w:val="form"/>
    <w:basedOn w:val="1"/>
    <w:link w:val="372"/>
    <w:qFormat/>
    <w:uiPriority w:val="0"/>
    <w:pPr>
      <w:wordWrap w:val="0"/>
      <w:snapToGrid w:val="0"/>
      <w:jc w:val="center"/>
    </w:pPr>
    <w:rPr>
      <w:rFonts w:ascii="宋体" w:hAnsi="Calibri" w:eastAsia="宋体" w:cs="宋体"/>
      <w:szCs w:val="21"/>
    </w:rPr>
  </w:style>
  <w:style w:type="character" w:customStyle="1" w:styleId="372">
    <w:name w:val="form 字符"/>
    <w:basedOn w:val="69"/>
    <w:link w:val="371"/>
    <w:qFormat/>
    <w:uiPriority w:val="0"/>
    <w:rPr>
      <w:rFonts w:ascii="宋体" w:hAnsi="Calibri" w:cs="宋体"/>
      <w:kern w:val="2"/>
      <w:sz w:val="21"/>
      <w:szCs w:val="21"/>
    </w:rPr>
  </w:style>
  <w:style w:type="paragraph" w:customStyle="1" w:styleId="373">
    <w:name w:val="序号列"/>
    <w:basedOn w:val="114"/>
    <w:link w:val="374"/>
    <w:qFormat/>
    <w:uiPriority w:val="0"/>
    <w:pPr>
      <w:wordWrap w:val="0"/>
      <w:spacing w:line="360" w:lineRule="auto"/>
      <w:ind w:firstLine="0" w:firstLineChars="0"/>
    </w:pPr>
    <w:rPr>
      <w:rFonts w:ascii="宋体" w:hAnsi="Calibri" w:eastAsia="宋体" w:cs="宋体"/>
    </w:rPr>
  </w:style>
  <w:style w:type="character" w:customStyle="1" w:styleId="374">
    <w:name w:val="序号列 字符"/>
    <w:basedOn w:val="255"/>
    <w:link w:val="373"/>
    <w:qFormat/>
    <w:uiPriority w:val="0"/>
    <w:rPr>
      <w:rFonts w:ascii="宋体" w:hAnsi="Calibri" w:eastAsia="宋体" w:cs="宋体"/>
      <w:kern w:val="2"/>
      <w:sz w:val="21"/>
      <w:szCs w:val="22"/>
    </w:rPr>
  </w:style>
  <w:style w:type="paragraph" w:customStyle="1" w:styleId="375">
    <w:name w:val="加粗子列表"/>
    <w:basedOn w:val="114"/>
    <w:link w:val="377"/>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6">
    <w:name w:val="子列2"/>
    <w:basedOn w:val="375"/>
    <w:link w:val="379"/>
    <w:qFormat/>
    <w:uiPriority w:val="0"/>
    <w:pPr>
      <w:numPr>
        <w:ilvl w:val="1"/>
        <w:numId w:val="0"/>
      </w:numPr>
    </w:pPr>
    <w:rPr>
      <w:b w:val="0"/>
      <w:bCs w:val="0"/>
    </w:rPr>
  </w:style>
  <w:style w:type="character" w:customStyle="1" w:styleId="377">
    <w:name w:val="加粗子列表 字符"/>
    <w:basedOn w:val="255"/>
    <w:link w:val="375"/>
    <w:qFormat/>
    <w:uiPriority w:val="0"/>
    <w:rPr>
      <w:rFonts w:ascii="宋体" w:hAnsi="Calibri" w:eastAsia="宋体" w:cs="宋体"/>
      <w:b/>
      <w:bCs/>
      <w:kern w:val="2"/>
      <w:sz w:val="21"/>
      <w:szCs w:val="22"/>
    </w:rPr>
  </w:style>
  <w:style w:type="character" w:customStyle="1" w:styleId="378">
    <w:name w:val="纯文本 Char"/>
    <w:link w:val="162"/>
    <w:qFormat/>
    <w:uiPriority w:val="0"/>
    <w:rPr>
      <w:rFonts w:ascii="宋体" w:hAnsi="Courier New" w:eastAsia="Times New Roman"/>
      <w:kern w:val="2"/>
      <w:sz w:val="30"/>
      <w:szCs w:val="24"/>
    </w:rPr>
  </w:style>
  <w:style w:type="character" w:customStyle="1" w:styleId="379">
    <w:name w:val="子列2 字符"/>
    <w:basedOn w:val="377"/>
    <w:link w:val="376"/>
    <w:qFormat/>
    <w:uiPriority w:val="0"/>
    <w:rPr>
      <w:rFonts w:ascii="宋体" w:hAnsi="Calibri" w:eastAsia="宋体" w:cs="宋体"/>
      <w:b w:val="0"/>
      <w:bCs w:val="0"/>
      <w:kern w:val="2"/>
      <w:sz w:val="21"/>
      <w:szCs w:val="22"/>
    </w:rPr>
  </w:style>
  <w:style w:type="paragraph" w:customStyle="1" w:styleId="380">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1">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2">
    <w:name w:val="纯文本2"/>
    <w:basedOn w:val="1"/>
    <w:qFormat/>
    <w:uiPriority w:val="0"/>
    <w:rPr>
      <w:rFonts w:ascii="宋体" w:hAnsi="Courier New" w:eastAsia="仿宋_GB2312" w:cs="Times New Roman"/>
      <w:sz w:val="30"/>
      <w:szCs w:val="24"/>
    </w:rPr>
  </w:style>
  <w:style w:type="paragraph" w:customStyle="1" w:styleId="383">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4">
    <w:name w:val="批注框文本 Char"/>
    <w:basedOn w:val="69"/>
    <w:link w:val="385"/>
    <w:qFormat/>
    <w:uiPriority w:val="0"/>
    <w:rPr>
      <w:rFonts w:ascii="Calibri" w:hAnsi="Calibri"/>
      <w:sz w:val="18"/>
      <w:szCs w:val="18"/>
    </w:rPr>
  </w:style>
  <w:style w:type="paragraph" w:customStyle="1" w:styleId="385">
    <w:name w:val="批注框文本1"/>
    <w:basedOn w:val="1"/>
    <w:link w:val="384"/>
    <w:qFormat/>
    <w:uiPriority w:val="0"/>
    <w:rPr>
      <w:rFonts w:ascii="Calibri" w:hAnsi="Calibri" w:eastAsia="宋体" w:cs="Times New Roman"/>
      <w:kern w:val="0"/>
      <w:sz w:val="18"/>
      <w:szCs w:val="18"/>
    </w:rPr>
  </w:style>
  <w:style w:type="paragraph" w:customStyle="1" w:styleId="386">
    <w:name w:val="纯文本5"/>
    <w:basedOn w:val="1"/>
    <w:qFormat/>
    <w:uiPriority w:val="0"/>
    <w:rPr>
      <w:rFonts w:ascii="宋体" w:hAnsi="Courier New" w:eastAsia="仿宋_GB2312" w:cs="Times New Roman"/>
      <w:sz w:val="30"/>
      <w:szCs w:val="24"/>
    </w:rPr>
  </w:style>
  <w:style w:type="paragraph" w:customStyle="1" w:styleId="387">
    <w:name w:val="附件格式"/>
    <w:basedOn w:val="1"/>
    <w:link w:val="388"/>
    <w:qFormat/>
    <w:uiPriority w:val="0"/>
    <w:pPr>
      <w:wordWrap w:val="0"/>
      <w:spacing w:line="360" w:lineRule="auto"/>
      <w:ind w:firstLine="200" w:firstLineChars="200"/>
    </w:pPr>
    <w:rPr>
      <w:rFonts w:ascii="宋体" w:hAnsi="Calibri" w:eastAsia="宋体" w:cs="宋体"/>
      <w:sz w:val="28"/>
    </w:rPr>
  </w:style>
  <w:style w:type="character" w:customStyle="1" w:styleId="388">
    <w:name w:val="附件格式 字符"/>
    <w:basedOn w:val="69"/>
    <w:link w:val="387"/>
    <w:qFormat/>
    <w:uiPriority w:val="0"/>
    <w:rPr>
      <w:rFonts w:ascii="宋体" w:hAnsi="Calibri" w:cs="宋体"/>
      <w:kern w:val="2"/>
      <w:sz w:val="28"/>
      <w:szCs w:val="22"/>
    </w:rPr>
  </w:style>
  <w:style w:type="paragraph" w:customStyle="1" w:styleId="389">
    <w:name w:val="大纲"/>
    <w:next w:val="1"/>
    <w:link w:val="390"/>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0">
    <w:name w:val="大纲 字符"/>
    <w:basedOn w:val="69"/>
    <w:link w:val="389"/>
    <w:qFormat/>
    <w:uiPriority w:val="0"/>
    <w:rPr>
      <w:rFonts w:ascii="宋体" w:hAnsi="Calibri" w:cs="宋体"/>
      <w:b/>
      <w:bCs/>
      <w:kern w:val="2"/>
      <w:sz w:val="24"/>
      <w:szCs w:val="22"/>
    </w:rPr>
  </w:style>
  <w:style w:type="character" w:customStyle="1" w:styleId="391">
    <w:name w:val="fontstyle01"/>
    <w:qFormat/>
    <w:uiPriority w:val="0"/>
    <w:rPr>
      <w:rFonts w:hint="eastAsia" w:ascii="宋体" w:hAnsi="宋体" w:eastAsia="宋体"/>
      <w:color w:val="000000"/>
      <w:sz w:val="44"/>
      <w:szCs w:val="44"/>
    </w:rPr>
  </w:style>
  <w:style w:type="character" w:customStyle="1" w:styleId="392">
    <w:name w:val="bookmark-item"/>
    <w:basedOn w:val="69"/>
    <w:qFormat/>
    <w:uiPriority w:val="0"/>
  </w:style>
  <w:style w:type="character" w:customStyle="1" w:styleId="393">
    <w:name w:val="Body Text Indent Char Char"/>
    <w:basedOn w:val="69"/>
    <w:link w:val="394"/>
    <w:qFormat/>
    <w:uiPriority w:val="0"/>
  </w:style>
  <w:style w:type="paragraph" w:customStyle="1" w:styleId="394">
    <w:name w:val="正文文本缩进1"/>
    <w:basedOn w:val="1"/>
    <w:link w:val="393"/>
    <w:qFormat/>
    <w:uiPriority w:val="0"/>
    <w:pPr>
      <w:spacing w:line="200" w:lineRule="exact"/>
      <w:ind w:firstLine="301"/>
    </w:pPr>
    <w:rPr>
      <w:rFonts w:ascii="Times New Roman" w:hAnsi="Times New Roman" w:eastAsia="宋体" w:cs="Times New Roman"/>
      <w:kern w:val="0"/>
      <w:sz w:val="20"/>
      <w:szCs w:val="20"/>
    </w:rPr>
  </w:style>
  <w:style w:type="paragraph" w:customStyle="1" w:styleId="395">
    <w:name w:val="段"/>
    <w:link w:val="4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6">
    <w:name w:val="Placeholder Text"/>
    <w:basedOn w:val="69"/>
    <w:qFormat/>
    <w:uiPriority w:val="99"/>
    <w:rPr>
      <w:color w:val="808080"/>
    </w:rPr>
  </w:style>
  <w:style w:type="paragraph" w:customStyle="1" w:styleId="397">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8">
    <w:name w:val="4需求"/>
    <w:next w:val="1"/>
    <w:link w:val="400"/>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399">
    <w:name w:val="3需求"/>
    <w:next w:val="398"/>
    <w:link w:val="402"/>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0">
    <w:name w:val="4需求 字符"/>
    <w:basedOn w:val="69"/>
    <w:link w:val="398"/>
    <w:qFormat/>
    <w:uiPriority w:val="0"/>
    <w:rPr>
      <w:rFonts w:ascii="宋体" w:hAnsi="Calibri" w:cs="宋体"/>
      <w:b/>
      <w:bCs/>
      <w:kern w:val="2"/>
      <w:sz w:val="21"/>
      <w:szCs w:val="22"/>
    </w:rPr>
  </w:style>
  <w:style w:type="paragraph" w:customStyle="1" w:styleId="401">
    <w:name w:val="2需求"/>
    <w:next w:val="1"/>
    <w:link w:val="404"/>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2">
    <w:name w:val="3需求 字符"/>
    <w:basedOn w:val="69"/>
    <w:link w:val="399"/>
    <w:qFormat/>
    <w:uiPriority w:val="0"/>
    <w:rPr>
      <w:rFonts w:ascii="宋体" w:hAnsi="Calibri" w:cs="宋体"/>
      <w:b/>
      <w:bCs/>
      <w:kern w:val="2"/>
      <w:sz w:val="24"/>
      <w:szCs w:val="22"/>
    </w:rPr>
  </w:style>
  <w:style w:type="paragraph" w:customStyle="1" w:styleId="403">
    <w:name w:val="1需求"/>
    <w:next w:val="1"/>
    <w:link w:val="405"/>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4">
    <w:name w:val="2需求 字符"/>
    <w:basedOn w:val="69"/>
    <w:link w:val="401"/>
    <w:qFormat/>
    <w:uiPriority w:val="0"/>
    <w:rPr>
      <w:rFonts w:ascii="宋体" w:hAnsi="Calibri" w:cs="宋体"/>
      <w:b/>
      <w:bCs/>
      <w:kern w:val="2"/>
      <w:sz w:val="24"/>
      <w:szCs w:val="22"/>
    </w:rPr>
  </w:style>
  <w:style w:type="character" w:customStyle="1" w:styleId="405">
    <w:name w:val="1需求 字符"/>
    <w:basedOn w:val="69"/>
    <w:link w:val="403"/>
    <w:qFormat/>
    <w:uiPriority w:val="0"/>
    <w:rPr>
      <w:rFonts w:ascii="宋体" w:hAnsi="Calibri" w:cs="宋体"/>
      <w:b/>
      <w:bCs/>
      <w:kern w:val="2"/>
      <w:sz w:val="28"/>
      <w:szCs w:val="22"/>
    </w:rPr>
  </w:style>
  <w:style w:type="paragraph" w:customStyle="1" w:styleId="406">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7">
    <w:name w:val="批注框文本 字符1"/>
    <w:qFormat/>
    <w:uiPriority w:val="0"/>
    <w:rPr>
      <w:rFonts w:ascii="Times New Roman" w:hAnsi="Times New Roman" w:eastAsia="宋体" w:cs="Times New Roman"/>
      <w:sz w:val="18"/>
      <w:szCs w:val="18"/>
    </w:rPr>
  </w:style>
  <w:style w:type="character" w:customStyle="1" w:styleId="408">
    <w:name w:val="页眉 字符1"/>
    <w:qFormat/>
    <w:uiPriority w:val="99"/>
    <w:rPr>
      <w:rFonts w:ascii="Times New Roman" w:hAnsi="Times New Roman" w:eastAsia="宋体" w:cs="Times New Roman"/>
      <w:sz w:val="18"/>
      <w:szCs w:val="18"/>
    </w:rPr>
  </w:style>
  <w:style w:type="character" w:customStyle="1" w:styleId="409">
    <w:name w:val="v0066991"/>
    <w:qFormat/>
    <w:uiPriority w:val="0"/>
    <w:rPr>
      <w:rFonts w:ascii="Arial" w:hAnsi="Arial" w:eastAsia="宋体" w:cs="Times New Roman"/>
      <w:color w:val="000000"/>
      <w:sz w:val="26"/>
      <w:u w:val="none"/>
    </w:rPr>
  </w:style>
  <w:style w:type="character" w:customStyle="1" w:styleId="410">
    <w:name w:val="正文2 Char"/>
    <w:link w:val="172"/>
    <w:qFormat/>
    <w:uiPriority w:val="0"/>
    <w:rPr>
      <w:kern w:val="2"/>
      <w:sz w:val="24"/>
    </w:rPr>
  </w:style>
  <w:style w:type="character" w:customStyle="1" w:styleId="411">
    <w:name w:val="Char Char7"/>
    <w:qFormat/>
    <w:uiPriority w:val="0"/>
    <w:rPr>
      <w:rFonts w:ascii="Cambria" w:hAnsi="Cambria" w:eastAsia="仿宋_GB2312" w:cs="Times New Roman"/>
      <w:b/>
      <w:kern w:val="2"/>
      <w:sz w:val="28"/>
    </w:rPr>
  </w:style>
  <w:style w:type="character" w:customStyle="1" w:styleId="412">
    <w:name w:val="Subtle Reference1"/>
    <w:qFormat/>
    <w:uiPriority w:val="0"/>
    <w:rPr>
      <w:rFonts w:ascii="Calibri" w:hAnsi="Calibri" w:eastAsia="宋体" w:cs="Times New Roman"/>
      <w:smallCaps/>
      <w:color w:val="C0504D"/>
      <w:u w:val="single"/>
    </w:rPr>
  </w:style>
  <w:style w:type="character" w:customStyle="1" w:styleId="413">
    <w:name w:val="正文首行缩进 Char"/>
    <w:qFormat/>
    <w:uiPriority w:val="0"/>
    <w:rPr>
      <w:rFonts w:ascii="Times New Roman" w:hAnsi="Times New Roman" w:eastAsia="仿宋_GB2312" w:cs="Times New Roman"/>
      <w:kern w:val="2"/>
      <w:sz w:val="21"/>
      <w:szCs w:val="24"/>
    </w:rPr>
  </w:style>
  <w:style w:type="character" w:customStyle="1" w:styleId="414">
    <w:name w:val="段 Char"/>
    <w:link w:val="395"/>
    <w:qFormat/>
    <w:uiPriority w:val="0"/>
    <w:rPr>
      <w:rFonts w:ascii="宋体"/>
      <w:sz w:val="21"/>
    </w:rPr>
  </w:style>
  <w:style w:type="character" w:customStyle="1" w:styleId="415">
    <w:name w:val="样式1 Char Char"/>
    <w:link w:val="149"/>
    <w:qFormat/>
    <w:uiPriority w:val="0"/>
    <w:rPr>
      <w:rFonts w:ascii="Calibri" w:hAnsi="Calibri"/>
      <w:b/>
      <w:i/>
      <w:sz w:val="24"/>
      <w:szCs w:val="21"/>
      <w:u w:val="thick"/>
    </w:rPr>
  </w:style>
  <w:style w:type="character" w:customStyle="1" w:styleId="416">
    <w:name w:val="17"/>
    <w:qFormat/>
    <w:uiPriority w:val="0"/>
    <w:rPr>
      <w:rFonts w:hint="default" w:ascii="Calibri" w:hAnsi="Calibri" w:eastAsia="宋体" w:cs="Times New Roman"/>
      <w:sz w:val="21"/>
      <w:szCs w:val="21"/>
    </w:rPr>
  </w:style>
  <w:style w:type="character" w:customStyle="1" w:styleId="417">
    <w:name w:val="标题 6 Char1"/>
    <w:qFormat/>
    <w:uiPriority w:val="0"/>
    <w:rPr>
      <w:rFonts w:ascii="Arial" w:hAnsi="Arial" w:eastAsia="黑体" w:cs="Times New Roman"/>
      <w:b/>
      <w:kern w:val="2"/>
      <w:sz w:val="24"/>
    </w:rPr>
  </w:style>
  <w:style w:type="character" w:customStyle="1" w:styleId="418">
    <w:name w:val="自定义正文 Char Char"/>
    <w:qFormat/>
    <w:uiPriority w:val="0"/>
    <w:rPr>
      <w:rFonts w:ascii="Calibri" w:hAnsi="Calibri" w:eastAsia="宋体" w:cs="Times New Roman"/>
      <w:sz w:val="24"/>
    </w:rPr>
  </w:style>
  <w:style w:type="character" w:customStyle="1" w:styleId="419">
    <w:name w:val="正文文本 Char3"/>
    <w:qFormat/>
    <w:uiPriority w:val="0"/>
    <w:rPr>
      <w:rFonts w:ascii="Times New Roman" w:hAnsi="Times New Roman" w:eastAsia="宋体" w:cs="Times New Roman"/>
      <w:sz w:val="20"/>
      <w:szCs w:val="20"/>
    </w:rPr>
  </w:style>
  <w:style w:type="character" w:customStyle="1" w:styleId="420">
    <w:name w:val="标题 2 Char1"/>
    <w:qFormat/>
    <w:uiPriority w:val="0"/>
    <w:rPr>
      <w:rFonts w:ascii="仿宋_GB2312" w:hAnsi="Calibri" w:eastAsia="仿宋_GB2312" w:cs="Times New Roman"/>
      <w:sz w:val="28"/>
    </w:rPr>
  </w:style>
  <w:style w:type="character" w:customStyle="1" w:styleId="421">
    <w:name w:val="批注引用111"/>
    <w:qFormat/>
    <w:uiPriority w:val="0"/>
    <w:rPr>
      <w:rFonts w:ascii="Calibri" w:hAnsi="Calibri" w:eastAsia="宋体" w:cs="Times New Roman"/>
      <w:sz w:val="21"/>
      <w:szCs w:val="21"/>
    </w:rPr>
  </w:style>
  <w:style w:type="character" w:customStyle="1" w:styleId="422">
    <w:name w:val="blue"/>
    <w:qFormat/>
    <w:uiPriority w:val="0"/>
    <w:rPr>
      <w:rFonts w:ascii="Calibri" w:hAnsi="Calibri" w:eastAsia="宋体" w:cs="Times New Roman"/>
    </w:rPr>
  </w:style>
  <w:style w:type="character" w:customStyle="1" w:styleId="423">
    <w:name w:val="段 Char Char"/>
    <w:qFormat/>
    <w:uiPriority w:val="0"/>
    <w:rPr>
      <w:rFonts w:ascii="宋体" w:hAnsi="Calibri" w:eastAsia="宋体" w:cs="Times New Roman"/>
      <w:lang w:val="en-US" w:eastAsia="zh-CN"/>
    </w:rPr>
  </w:style>
  <w:style w:type="character" w:customStyle="1" w:styleId="424">
    <w:name w:val="标题3 Char"/>
    <w:link w:val="425"/>
    <w:qFormat/>
    <w:uiPriority w:val="0"/>
    <w:rPr>
      <w:rFonts w:ascii="宋体" w:hAnsi="宋体" w:eastAsia="华文中宋" w:cs="Arial"/>
      <w:b/>
      <w:sz w:val="24"/>
      <w:szCs w:val="24"/>
    </w:rPr>
  </w:style>
  <w:style w:type="paragraph" w:customStyle="1" w:styleId="425">
    <w:name w:val="标题3"/>
    <w:basedOn w:val="1"/>
    <w:next w:val="1"/>
    <w:link w:val="424"/>
    <w:qFormat/>
    <w:uiPriority w:val="0"/>
    <w:pPr>
      <w:widowControl/>
      <w:jc w:val="left"/>
    </w:pPr>
    <w:rPr>
      <w:rFonts w:ascii="宋体" w:hAnsi="宋体" w:eastAsia="华文中宋" w:cs="Arial"/>
      <w:b/>
      <w:kern w:val="0"/>
      <w:sz w:val="24"/>
      <w:szCs w:val="24"/>
    </w:rPr>
  </w:style>
  <w:style w:type="character" w:customStyle="1" w:styleId="426">
    <w:name w:val="style17"/>
    <w:qFormat/>
    <w:uiPriority w:val="0"/>
    <w:rPr>
      <w:rFonts w:ascii="Calibri" w:hAnsi="Calibri" w:eastAsia="宋体" w:cs="Times New Roman"/>
    </w:rPr>
  </w:style>
  <w:style w:type="character" w:customStyle="1" w:styleId="427">
    <w:name w:val="g1"/>
    <w:qFormat/>
    <w:uiPriority w:val="0"/>
    <w:rPr>
      <w:rFonts w:ascii="Calibri" w:hAnsi="Calibri" w:eastAsia="宋体" w:cs="Times New Roman"/>
      <w:color w:val="008000"/>
    </w:rPr>
  </w:style>
  <w:style w:type="character" w:customStyle="1" w:styleId="428">
    <w:name w:val="Char Char9"/>
    <w:qFormat/>
    <w:uiPriority w:val="0"/>
    <w:rPr>
      <w:rFonts w:ascii="Calibri" w:hAnsi="Calibri" w:eastAsia="宋体" w:cs="Times New Roman"/>
      <w:b/>
      <w:kern w:val="44"/>
      <w:sz w:val="44"/>
    </w:rPr>
  </w:style>
  <w:style w:type="character" w:customStyle="1" w:styleId="429">
    <w:name w:val="页脚 Char3"/>
    <w:qFormat/>
    <w:uiPriority w:val="0"/>
    <w:rPr>
      <w:rFonts w:ascii="Times New Roman" w:hAnsi="Times New Roman" w:eastAsia="宋体" w:cs="Times New Roman"/>
      <w:sz w:val="20"/>
      <w:szCs w:val="20"/>
    </w:rPr>
  </w:style>
  <w:style w:type="character" w:customStyle="1" w:styleId="430">
    <w:name w:val="称呼 Char"/>
    <w:qFormat/>
    <w:uiPriority w:val="0"/>
    <w:rPr>
      <w:rFonts w:ascii="Times New Roman" w:hAnsi="Times New Roman" w:eastAsia="宋体" w:cs="Times New Roman"/>
      <w:kern w:val="2"/>
      <w:sz w:val="21"/>
      <w:szCs w:val="24"/>
    </w:rPr>
  </w:style>
  <w:style w:type="character" w:customStyle="1" w:styleId="431">
    <w:name w:val="●一级符号home Char Char1"/>
    <w:link w:val="432"/>
    <w:qFormat/>
    <w:uiPriority w:val="0"/>
    <w:rPr>
      <w:rFonts w:ascii="Verdana" w:hAnsi="Verdana"/>
      <w:sz w:val="21"/>
      <w:lang w:val="zh-CN"/>
    </w:rPr>
  </w:style>
  <w:style w:type="paragraph" w:customStyle="1" w:styleId="432">
    <w:name w:val="●一级符号home"/>
    <w:basedOn w:val="1"/>
    <w:link w:val="431"/>
    <w:qFormat/>
    <w:uiPriority w:val="0"/>
    <w:pPr>
      <w:tabs>
        <w:tab w:val="left" w:pos="901"/>
      </w:tabs>
      <w:spacing w:line="360" w:lineRule="auto"/>
    </w:pPr>
    <w:rPr>
      <w:rFonts w:ascii="Verdana" w:hAnsi="Verdana" w:eastAsia="宋体" w:cs="Times New Roman"/>
      <w:kern w:val="0"/>
      <w:szCs w:val="20"/>
      <w:lang w:val="zh-CN"/>
    </w:rPr>
  </w:style>
  <w:style w:type="character" w:customStyle="1" w:styleId="433">
    <w:name w:val="15"/>
    <w:qFormat/>
    <w:uiPriority w:val="0"/>
    <w:rPr>
      <w:rFonts w:hint="default" w:ascii="Calibri" w:hAnsi="Calibri" w:eastAsia="宋体" w:cs="Times New Roman"/>
      <w:sz w:val="18"/>
      <w:szCs w:val="18"/>
    </w:rPr>
  </w:style>
  <w:style w:type="character" w:customStyle="1" w:styleId="434">
    <w:name w:val="font81"/>
    <w:qFormat/>
    <w:uiPriority w:val="0"/>
    <w:rPr>
      <w:rFonts w:hint="default" w:ascii="Times New Roman" w:hAnsi="Times New Roman" w:eastAsia="宋体" w:cs="Times New Roman"/>
      <w:color w:val="000000"/>
      <w:sz w:val="18"/>
      <w:szCs w:val="18"/>
      <w:u w:val="none"/>
    </w:rPr>
  </w:style>
  <w:style w:type="character" w:customStyle="1" w:styleId="435">
    <w:name w:val="16"/>
    <w:qFormat/>
    <w:uiPriority w:val="0"/>
    <w:rPr>
      <w:rFonts w:hint="default" w:ascii="Calibri" w:hAnsi="Calibri" w:eastAsia="宋体" w:cs="Times New Roman"/>
      <w:sz w:val="21"/>
      <w:szCs w:val="21"/>
    </w:rPr>
  </w:style>
  <w:style w:type="character" w:customStyle="1" w:styleId="436">
    <w:name w:val="lf3"/>
    <w:qFormat/>
    <w:uiPriority w:val="0"/>
    <w:rPr>
      <w:rFonts w:ascii="Calibri" w:hAnsi="Calibri" w:eastAsia="宋体" w:cs="Times New Roman"/>
    </w:rPr>
  </w:style>
  <w:style w:type="character" w:customStyle="1" w:styleId="437">
    <w:name w:val="正文文本缩进 Char2"/>
    <w:qFormat/>
    <w:uiPriority w:val="0"/>
    <w:rPr>
      <w:rFonts w:ascii="Calibri" w:hAnsi="Calibri" w:eastAsia="宋体" w:cs="Times New Roman"/>
      <w:kern w:val="2"/>
      <w:sz w:val="21"/>
    </w:rPr>
  </w:style>
  <w:style w:type="character" w:customStyle="1" w:styleId="438">
    <w:name w:val="自定义正文 Char"/>
    <w:link w:val="439"/>
    <w:qFormat/>
    <w:uiPriority w:val="0"/>
    <w:rPr>
      <w:kern w:val="2"/>
      <w:sz w:val="24"/>
    </w:rPr>
  </w:style>
  <w:style w:type="paragraph" w:customStyle="1" w:styleId="439">
    <w:name w:val="自定义正文"/>
    <w:basedOn w:val="1"/>
    <w:link w:val="438"/>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0">
    <w:name w:val="样式 黑体 二号"/>
    <w:qFormat/>
    <w:uiPriority w:val="0"/>
    <w:rPr>
      <w:rFonts w:ascii="Arial" w:hAnsi="Arial" w:eastAsia="黑体" w:cs="Times New Roman"/>
      <w:sz w:val="44"/>
    </w:rPr>
  </w:style>
  <w:style w:type="character" w:customStyle="1" w:styleId="441">
    <w:name w:val="标题 Char1"/>
    <w:qFormat/>
    <w:uiPriority w:val="0"/>
    <w:rPr>
      <w:rFonts w:ascii="Calibri" w:hAnsi="Calibri" w:eastAsia="黑体" w:cs="Times New Roman"/>
      <w:b/>
      <w:sz w:val="28"/>
    </w:rPr>
  </w:style>
  <w:style w:type="character" w:customStyle="1" w:styleId="442">
    <w:name w:val="textfont"/>
    <w:qFormat/>
    <w:uiPriority w:val="0"/>
    <w:rPr>
      <w:rFonts w:ascii="Calibri" w:hAnsi="Calibri" w:eastAsia="宋体" w:cs="Times New Roman"/>
    </w:rPr>
  </w:style>
  <w:style w:type="character" w:customStyle="1" w:styleId="443">
    <w:name w:val="r13"/>
    <w:qFormat/>
    <w:uiPriority w:val="0"/>
    <w:rPr>
      <w:rFonts w:ascii="Calibri" w:hAnsi="Calibri" w:eastAsia="宋体" w:cs="Times New Roman"/>
    </w:rPr>
  </w:style>
  <w:style w:type="character" w:customStyle="1" w:styleId="444">
    <w:name w:val="副标题 Char"/>
    <w:qFormat/>
    <w:uiPriority w:val="0"/>
    <w:rPr>
      <w:rFonts w:ascii="Cambria" w:hAnsi="Cambria" w:eastAsia="宋体" w:cs="Times New Roman"/>
      <w:b/>
      <w:bCs/>
      <w:kern w:val="28"/>
      <w:sz w:val="32"/>
      <w:szCs w:val="32"/>
    </w:rPr>
  </w:style>
  <w:style w:type="character" w:customStyle="1" w:styleId="445">
    <w:name w:val="style15"/>
    <w:qFormat/>
    <w:uiPriority w:val="0"/>
    <w:rPr>
      <w:rFonts w:ascii="Calibri" w:hAnsi="Calibri" w:eastAsia="宋体" w:cs="Times New Roman"/>
    </w:rPr>
  </w:style>
  <w:style w:type="character" w:customStyle="1" w:styleId="446">
    <w:name w:val="页眉 Char2"/>
    <w:qFormat/>
    <w:uiPriority w:val="0"/>
    <w:rPr>
      <w:rFonts w:ascii="Calibri" w:hAnsi="Calibri" w:eastAsia="宋体" w:cs="Times New Roman"/>
      <w:kern w:val="2"/>
      <w:sz w:val="18"/>
    </w:rPr>
  </w:style>
  <w:style w:type="character" w:customStyle="1" w:styleId="447">
    <w:name w:val="headline-content2"/>
    <w:qFormat/>
    <w:uiPriority w:val="0"/>
    <w:rPr>
      <w:rFonts w:ascii="Calibri" w:hAnsi="Calibri" w:eastAsia="宋体" w:cs="Times New Roman"/>
    </w:rPr>
  </w:style>
  <w:style w:type="character" w:customStyle="1" w:styleId="448">
    <w:name w:val="paramname"/>
    <w:qFormat/>
    <w:uiPriority w:val="0"/>
    <w:rPr>
      <w:rFonts w:ascii="Calibri" w:hAnsi="Calibri" w:eastAsia="宋体" w:cs="Times New Roman"/>
    </w:rPr>
  </w:style>
  <w:style w:type="character" w:customStyle="1" w:styleId="449">
    <w:name w:val="页眉 Char Char"/>
    <w:qFormat/>
    <w:uiPriority w:val="0"/>
    <w:rPr>
      <w:rFonts w:ascii="Calibri" w:hAnsi="Calibri" w:eastAsia="宋体" w:cs="Times New Roman"/>
      <w:kern w:val="2"/>
      <w:sz w:val="18"/>
      <w:lang w:val="en-US" w:eastAsia="zh-CN"/>
    </w:rPr>
  </w:style>
  <w:style w:type="character" w:customStyle="1" w:styleId="450">
    <w:name w:val="正文2 Char Char"/>
    <w:qFormat/>
    <w:uiPriority w:val="0"/>
    <w:rPr>
      <w:rFonts w:ascii="Calibri" w:hAnsi="Calibri" w:eastAsia="宋体" w:cs="Times New Roman"/>
      <w:sz w:val="24"/>
    </w:rPr>
  </w:style>
  <w:style w:type="character" w:customStyle="1" w:styleId="451">
    <w:name w:val="正文首行缩进 Char2"/>
    <w:qFormat/>
    <w:uiPriority w:val="0"/>
    <w:rPr>
      <w:rFonts w:ascii="Calibri" w:hAnsi="Calibri" w:eastAsia="宋体" w:cs="Times New Roman"/>
    </w:rPr>
  </w:style>
  <w:style w:type="paragraph" w:customStyle="1" w:styleId="452">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3">
    <w:name w:val="批注引用10"/>
    <w:qFormat/>
    <w:uiPriority w:val="0"/>
    <w:rPr>
      <w:rFonts w:ascii="Calibri" w:hAnsi="Calibri" w:eastAsia="宋体" w:cs="Times New Roman"/>
      <w:sz w:val="21"/>
    </w:rPr>
  </w:style>
  <w:style w:type="character" w:customStyle="1" w:styleId="454">
    <w:name w:val="EmailStyle30"/>
    <w:qFormat/>
    <w:uiPriority w:val="0"/>
    <w:rPr>
      <w:rFonts w:ascii="Calibri" w:hAnsi="Calibri" w:eastAsia="宋体" w:cs="Times New Roman"/>
      <w:color w:val="000000"/>
    </w:rPr>
  </w:style>
  <w:style w:type="character" w:customStyle="1" w:styleId="455">
    <w:name w:val="批注引用5"/>
    <w:qFormat/>
    <w:uiPriority w:val="0"/>
    <w:rPr>
      <w:rFonts w:ascii="Calibri" w:hAnsi="Calibri" w:eastAsia="宋体" w:cs="Times New Roman"/>
      <w:sz w:val="21"/>
    </w:rPr>
  </w:style>
  <w:style w:type="character" w:customStyle="1" w:styleId="456">
    <w:name w:val="apple-style-span"/>
    <w:qFormat/>
    <w:uiPriority w:val="0"/>
    <w:rPr>
      <w:rFonts w:ascii="Calibri" w:hAnsi="Calibri" w:eastAsia="宋体" w:cs="Times New Roman"/>
    </w:rPr>
  </w:style>
  <w:style w:type="character" w:customStyle="1" w:styleId="457">
    <w:name w:val="无 A"/>
    <w:qFormat/>
    <w:uiPriority w:val="0"/>
    <w:rPr>
      <w:rFonts w:ascii="Calibri" w:hAnsi="Calibri" w:eastAsia="宋体" w:cs="Times New Roman"/>
      <w:lang w:val="en-US"/>
    </w:rPr>
  </w:style>
  <w:style w:type="character" w:customStyle="1" w:styleId="458">
    <w:name w:val="custbt1"/>
    <w:qFormat/>
    <w:uiPriority w:val="0"/>
    <w:rPr>
      <w:rFonts w:ascii="Calibri" w:hAnsi="Calibri" w:eastAsia="宋体" w:cs="Times New Roman"/>
      <w:color w:val="0066CC"/>
      <w:sz w:val="20"/>
    </w:rPr>
  </w:style>
  <w:style w:type="character" w:customStyle="1" w:styleId="459">
    <w:name w:val="日期 Char2"/>
    <w:qFormat/>
    <w:uiPriority w:val="0"/>
    <w:rPr>
      <w:rFonts w:ascii="Calibri" w:hAnsi="Calibri" w:eastAsia="宋体" w:cs="Times New Roman"/>
      <w:kern w:val="2"/>
      <w:sz w:val="21"/>
    </w:rPr>
  </w:style>
  <w:style w:type="character" w:customStyle="1" w:styleId="460">
    <w:name w:val="批注引用6"/>
    <w:qFormat/>
    <w:uiPriority w:val="0"/>
    <w:rPr>
      <w:rFonts w:ascii="Calibri" w:hAnsi="Calibri" w:eastAsia="宋体" w:cs="Times New Roman"/>
      <w:sz w:val="21"/>
    </w:rPr>
  </w:style>
  <w:style w:type="character" w:customStyle="1" w:styleId="461">
    <w:name w:val="font71"/>
    <w:qFormat/>
    <w:uiPriority w:val="0"/>
    <w:rPr>
      <w:rFonts w:hint="default" w:ascii="Times New Roman" w:hAnsi="Times New Roman" w:eastAsia="楷体_GB2312" w:cs="Times New Roman"/>
      <w:sz w:val="28"/>
      <w:szCs w:val="24"/>
    </w:rPr>
  </w:style>
  <w:style w:type="character" w:customStyle="1" w:styleId="462">
    <w:name w:val="正文首缩两字 Char1"/>
    <w:link w:val="463"/>
    <w:qFormat/>
    <w:uiPriority w:val="0"/>
    <w:rPr>
      <w:rFonts w:ascii="Verdana" w:hAnsi="Verdana"/>
      <w:sz w:val="24"/>
    </w:rPr>
  </w:style>
  <w:style w:type="paragraph" w:customStyle="1" w:styleId="463">
    <w:name w:val="正文首缩两字"/>
    <w:basedOn w:val="1"/>
    <w:link w:val="462"/>
    <w:qFormat/>
    <w:uiPriority w:val="0"/>
    <w:pPr>
      <w:spacing w:line="360" w:lineRule="auto"/>
      <w:ind w:firstLine="200" w:firstLineChars="200"/>
    </w:pPr>
    <w:rPr>
      <w:rFonts w:ascii="Verdana" w:hAnsi="Verdana" w:eastAsia="宋体" w:cs="Times New Roman"/>
      <w:kern w:val="0"/>
      <w:sz w:val="24"/>
      <w:szCs w:val="20"/>
    </w:rPr>
  </w:style>
  <w:style w:type="character" w:customStyle="1" w:styleId="464">
    <w:name w:val="ss"/>
    <w:qFormat/>
    <w:uiPriority w:val="0"/>
    <w:rPr>
      <w:rFonts w:ascii="Calibri" w:hAnsi="Calibri" w:eastAsia="宋体" w:cs="Times New Roman"/>
    </w:rPr>
  </w:style>
  <w:style w:type="character" w:customStyle="1" w:styleId="465">
    <w:name w:val="Char Char6"/>
    <w:qFormat/>
    <w:uiPriority w:val="0"/>
    <w:rPr>
      <w:rFonts w:ascii="Calibri" w:hAnsi="Calibri" w:eastAsia="宋体" w:cs="Times New Roman"/>
      <w:sz w:val="24"/>
    </w:rPr>
  </w:style>
  <w:style w:type="character" w:customStyle="1" w:styleId="466">
    <w:name w:val="批注文字 Char2"/>
    <w:qFormat/>
    <w:uiPriority w:val="0"/>
    <w:rPr>
      <w:rFonts w:ascii="Calibri" w:hAnsi="Calibri" w:eastAsia="宋体" w:cs="Times New Roman"/>
      <w:kern w:val="2"/>
      <w:sz w:val="21"/>
    </w:rPr>
  </w:style>
  <w:style w:type="character" w:customStyle="1" w:styleId="467">
    <w:name w:val="font_8"/>
    <w:qFormat/>
    <w:uiPriority w:val="0"/>
    <w:rPr>
      <w:rFonts w:ascii="Calibri" w:hAnsi="Calibri" w:eastAsia="宋体" w:cs="Times New Roman"/>
    </w:rPr>
  </w:style>
  <w:style w:type="character" w:customStyle="1" w:styleId="468">
    <w:name w:val="批注主题 Char2"/>
    <w:qFormat/>
    <w:uiPriority w:val="0"/>
    <w:rPr>
      <w:rFonts w:ascii="Calibri" w:hAnsi="Calibri" w:eastAsia="宋体" w:cs="Times New Roman"/>
      <w:b/>
      <w:kern w:val="2"/>
      <w:sz w:val="21"/>
    </w:rPr>
  </w:style>
  <w:style w:type="character" w:customStyle="1" w:styleId="469">
    <w:name w:val="Char Char Char Char Char"/>
    <w:qFormat/>
    <w:uiPriority w:val="0"/>
    <w:rPr>
      <w:rFonts w:ascii="宋体" w:hAnsi="Courier New" w:cs="Times New Roman"/>
    </w:rPr>
  </w:style>
  <w:style w:type="character" w:customStyle="1" w:styleId="470">
    <w:name w:val="一级条标题 Char"/>
    <w:link w:val="471"/>
    <w:qFormat/>
    <w:uiPriority w:val="0"/>
    <w:rPr>
      <w:rFonts w:ascii="黑体" w:eastAsia="黑体"/>
      <w:sz w:val="21"/>
    </w:rPr>
  </w:style>
  <w:style w:type="paragraph" w:customStyle="1" w:styleId="471">
    <w:name w:val="一级条标题"/>
    <w:basedOn w:val="1"/>
    <w:next w:val="395"/>
    <w:link w:val="470"/>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2">
    <w:name w:val="标题 Char3"/>
    <w:qFormat/>
    <w:uiPriority w:val="0"/>
    <w:rPr>
      <w:rFonts w:ascii="Cambria" w:hAnsi="Cambria" w:eastAsia="宋体" w:cs="黑体"/>
      <w:b/>
      <w:bCs/>
      <w:sz w:val="32"/>
      <w:szCs w:val="32"/>
    </w:rPr>
  </w:style>
  <w:style w:type="character" w:customStyle="1" w:styleId="473">
    <w:name w:val="List Paragraph Char Char"/>
    <w:qFormat/>
    <w:locked/>
    <w:uiPriority w:val="0"/>
    <w:rPr>
      <w:rFonts w:ascii="宋体" w:hAnsi="宋体" w:cs="Times New Roman"/>
      <w:kern w:val="2"/>
      <w:sz w:val="21"/>
      <w:szCs w:val="24"/>
    </w:rPr>
  </w:style>
  <w:style w:type="character" w:customStyle="1" w:styleId="474">
    <w:name w:val="wz1"/>
    <w:qFormat/>
    <w:uiPriority w:val="0"/>
    <w:rPr>
      <w:rFonts w:ascii="Calibri" w:hAnsi="Calibri" w:eastAsia="宋体" w:cs="Times New Roman"/>
      <w:color w:val="5A5A5A"/>
      <w:sz w:val="18"/>
      <w:u w:val="none"/>
    </w:rPr>
  </w:style>
  <w:style w:type="character" w:customStyle="1" w:styleId="475">
    <w:name w:val="aa1"/>
    <w:qFormat/>
    <w:uiPriority w:val="0"/>
    <w:rPr>
      <w:rFonts w:ascii="Calibri" w:hAnsi="Calibri" w:eastAsia="宋体" w:cs="Times New Roman"/>
      <w:sz w:val="20"/>
      <w:u w:val="none"/>
    </w:rPr>
  </w:style>
  <w:style w:type="character" w:customStyle="1" w:styleId="476">
    <w:name w:val="style14"/>
    <w:qFormat/>
    <w:uiPriority w:val="0"/>
    <w:rPr>
      <w:rFonts w:ascii="Calibri" w:hAnsi="Calibri" w:eastAsia="宋体" w:cs="Times New Roman"/>
    </w:rPr>
  </w:style>
  <w:style w:type="character" w:customStyle="1" w:styleId="477">
    <w:name w:val="正文首行缩进 Char1"/>
    <w:qFormat/>
    <w:uiPriority w:val="0"/>
    <w:rPr>
      <w:rFonts w:ascii="Calibri" w:hAnsi="Calibri" w:eastAsia="宋体" w:cs="Times New Roman"/>
      <w:kern w:val="2"/>
      <w:sz w:val="22"/>
      <w:lang w:val="en-US" w:eastAsia="zh-CN"/>
    </w:rPr>
  </w:style>
  <w:style w:type="character" w:customStyle="1" w:styleId="478">
    <w:name w:val="正文文本 2 Char2"/>
    <w:qFormat/>
    <w:uiPriority w:val="0"/>
    <w:rPr>
      <w:rFonts w:ascii="Calibri" w:hAnsi="Calibri" w:eastAsia="宋体" w:cs="Times New Roman"/>
      <w:kern w:val="2"/>
      <w:sz w:val="21"/>
    </w:rPr>
  </w:style>
  <w:style w:type="paragraph" w:customStyle="1" w:styleId="479">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0">
    <w:name w:val="Char Char5"/>
    <w:qFormat/>
    <w:uiPriority w:val="0"/>
    <w:rPr>
      <w:rFonts w:ascii="Calibri" w:hAnsi="Calibri" w:eastAsia="宋体" w:cs="Times New Roman"/>
      <w:sz w:val="18"/>
    </w:rPr>
  </w:style>
  <w:style w:type="character" w:customStyle="1" w:styleId="481">
    <w:name w:val="正文2 Char Char Char"/>
    <w:qFormat/>
    <w:uiPriority w:val="0"/>
    <w:rPr>
      <w:rFonts w:ascii="Calibri" w:hAnsi="Calibri" w:eastAsia="宋体" w:cs="Times New Roman"/>
      <w:kern w:val="2"/>
      <w:sz w:val="24"/>
      <w:lang w:val="en-US" w:eastAsia="zh-CN"/>
    </w:rPr>
  </w:style>
  <w:style w:type="character" w:customStyle="1" w:styleId="482">
    <w:name w:val="标题 1 Char1"/>
    <w:qFormat/>
    <w:uiPriority w:val="0"/>
    <w:rPr>
      <w:rFonts w:ascii="仿宋_GB2312" w:hAnsi="Calibri" w:eastAsia="仿宋_GB2312" w:cs="Times New Roman"/>
      <w:b/>
      <w:color w:val="000000"/>
      <w:kern w:val="2"/>
      <w:sz w:val="36"/>
    </w:rPr>
  </w:style>
  <w:style w:type="character" w:customStyle="1" w:styleId="483">
    <w:name w:val="批注引用4"/>
    <w:qFormat/>
    <w:uiPriority w:val="0"/>
    <w:rPr>
      <w:rFonts w:ascii="Calibri" w:hAnsi="Calibri" w:eastAsia="宋体" w:cs="Times New Roman"/>
      <w:sz w:val="21"/>
    </w:rPr>
  </w:style>
  <w:style w:type="character" w:customStyle="1" w:styleId="484">
    <w:name w:val="style141"/>
    <w:qFormat/>
    <w:uiPriority w:val="0"/>
    <w:rPr>
      <w:rFonts w:ascii="Calibri" w:hAnsi="Calibri" w:eastAsia="宋体" w:cs="Times New Roman"/>
    </w:rPr>
  </w:style>
  <w:style w:type="character" w:customStyle="1" w:styleId="485">
    <w:name w:val="文档结构图 Char2"/>
    <w:qFormat/>
    <w:uiPriority w:val="0"/>
    <w:rPr>
      <w:rFonts w:ascii="宋体" w:hAnsi="Calibri" w:eastAsia="宋体" w:cs="Times New Roman"/>
      <w:kern w:val="2"/>
      <w:sz w:val="18"/>
    </w:rPr>
  </w:style>
  <w:style w:type="character" w:customStyle="1" w:styleId="486">
    <w:name w:val="批注框文本 Char2"/>
    <w:qFormat/>
    <w:uiPriority w:val="0"/>
    <w:rPr>
      <w:rFonts w:ascii="Calibri" w:hAnsi="Calibri" w:eastAsia="宋体" w:cs="Times New Roman"/>
      <w:kern w:val="2"/>
      <w:sz w:val="18"/>
    </w:rPr>
  </w:style>
  <w:style w:type="character" w:customStyle="1" w:styleId="487">
    <w:name w:val="font61"/>
    <w:qFormat/>
    <w:uiPriority w:val="0"/>
    <w:rPr>
      <w:rFonts w:ascii="Arial" w:hAnsi="Arial" w:eastAsia="宋体" w:cs="Arial"/>
      <w:color w:val="000000"/>
      <w:sz w:val="20"/>
      <w:szCs w:val="20"/>
      <w:u w:val="none"/>
    </w:rPr>
  </w:style>
  <w:style w:type="character" w:customStyle="1" w:styleId="488">
    <w:name w:val="fontblank12"/>
    <w:qFormat/>
    <w:uiPriority w:val="0"/>
    <w:rPr>
      <w:rFonts w:ascii="Calibri" w:hAnsi="Calibri" w:eastAsia="宋体" w:cs="Times New Roman"/>
    </w:rPr>
  </w:style>
  <w:style w:type="character" w:customStyle="1" w:styleId="489">
    <w:name w:val="标题 9 Char1"/>
    <w:qFormat/>
    <w:uiPriority w:val="0"/>
    <w:rPr>
      <w:rFonts w:ascii="Arial" w:hAnsi="Arial" w:eastAsia="黑体" w:cs="Times New Roman"/>
      <w:kern w:val="2"/>
      <w:sz w:val="21"/>
    </w:rPr>
  </w:style>
  <w:style w:type="character" w:customStyle="1" w:styleId="490">
    <w:name w:val="high-light-bg4"/>
    <w:qFormat/>
    <w:uiPriority w:val="0"/>
    <w:rPr>
      <w:rFonts w:ascii="Calibri" w:hAnsi="Calibri" w:eastAsia="宋体" w:cs="Times New Roman"/>
    </w:rPr>
  </w:style>
  <w:style w:type="character" w:customStyle="1" w:styleId="491">
    <w:name w:val="正文文本 3 Char2"/>
    <w:qFormat/>
    <w:uiPriority w:val="0"/>
    <w:rPr>
      <w:rFonts w:ascii="Calibri" w:hAnsi="Calibri" w:eastAsia="宋体" w:cs="Times New Roman"/>
      <w:kern w:val="2"/>
      <w:sz w:val="16"/>
    </w:rPr>
  </w:style>
  <w:style w:type="character" w:customStyle="1" w:styleId="492">
    <w:name w:val="正文缩进 Char1"/>
    <w:qFormat/>
    <w:uiPriority w:val="0"/>
    <w:rPr>
      <w:rFonts w:ascii="Calibri" w:hAnsi="Calibri" w:eastAsia="宋体" w:cs="Times New Roman"/>
      <w:kern w:val="2"/>
      <w:sz w:val="21"/>
    </w:rPr>
  </w:style>
  <w:style w:type="character" w:customStyle="1" w:styleId="493">
    <w:name w:val="批注引用1"/>
    <w:qFormat/>
    <w:uiPriority w:val="0"/>
    <w:rPr>
      <w:rFonts w:ascii="Calibri" w:hAnsi="Calibri" w:eastAsia="宋体" w:cs="Times New Roman"/>
      <w:sz w:val="21"/>
      <w:szCs w:val="21"/>
    </w:rPr>
  </w:style>
  <w:style w:type="character" w:customStyle="1" w:styleId="494">
    <w:name w:val="正文文本 2 Char"/>
    <w:qFormat/>
    <w:uiPriority w:val="0"/>
    <w:rPr>
      <w:rFonts w:ascii="Times New Roman" w:hAnsi="Times New Roman" w:eastAsia="宋体" w:cs="Times New Roman"/>
      <w:kern w:val="2"/>
      <w:sz w:val="21"/>
      <w:szCs w:val="24"/>
    </w:rPr>
  </w:style>
  <w:style w:type="character" w:customStyle="1" w:styleId="495">
    <w:name w:val="Table Text Char Char"/>
    <w:link w:val="496"/>
    <w:qFormat/>
    <w:uiPriority w:val="0"/>
    <w:rPr>
      <w:rFonts w:ascii="Arial" w:hAnsi="Arial"/>
      <w:sz w:val="18"/>
    </w:rPr>
  </w:style>
  <w:style w:type="paragraph" w:customStyle="1" w:styleId="496">
    <w:name w:val="Table Text"/>
    <w:link w:val="495"/>
    <w:qFormat/>
    <w:uiPriority w:val="0"/>
    <w:pPr>
      <w:snapToGrid w:val="0"/>
      <w:spacing w:before="80" w:after="80"/>
    </w:pPr>
    <w:rPr>
      <w:rFonts w:ascii="Arial" w:hAnsi="Arial" w:eastAsia="宋体" w:cs="Times New Roman"/>
      <w:sz w:val="18"/>
      <w:lang w:val="en-US" w:eastAsia="zh-CN" w:bidi="ar-SA"/>
    </w:rPr>
  </w:style>
  <w:style w:type="character" w:customStyle="1" w:styleId="497">
    <w:name w:val="批注文字 Char3"/>
    <w:qFormat/>
    <w:uiPriority w:val="0"/>
    <w:rPr>
      <w:rFonts w:ascii="Times New Roman" w:hAnsi="Times New Roman" w:eastAsia="宋体" w:cs="Times New Roman"/>
      <w:sz w:val="20"/>
      <w:szCs w:val="20"/>
    </w:rPr>
  </w:style>
  <w:style w:type="character" w:customStyle="1" w:styleId="498">
    <w:name w:val="普通文字 Char2"/>
    <w:qFormat/>
    <w:uiPriority w:val="0"/>
    <w:rPr>
      <w:rFonts w:ascii="宋体" w:hAnsi="Courier New" w:eastAsia="宋体" w:cs="Times New Roman"/>
      <w:kern w:val="2"/>
      <w:sz w:val="21"/>
      <w:lang w:val="en-US" w:eastAsia="zh-CN"/>
    </w:rPr>
  </w:style>
  <w:style w:type="character" w:customStyle="1" w:styleId="499">
    <w:name w:val="正文文本 3 Char"/>
    <w:qFormat/>
    <w:uiPriority w:val="0"/>
    <w:rPr>
      <w:rFonts w:ascii="Times New Roman" w:hAnsi="Times New Roman" w:eastAsia="宋体" w:cs="Times New Roman"/>
      <w:kern w:val="2"/>
      <w:sz w:val="16"/>
      <w:szCs w:val="16"/>
    </w:rPr>
  </w:style>
  <w:style w:type="character" w:customStyle="1" w:styleId="500">
    <w:name w:val="HTML 预设格式 Char"/>
    <w:qFormat/>
    <w:uiPriority w:val="0"/>
    <w:rPr>
      <w:rFonts w:ascii="Courier New" w:hAnsi="Courier New" w:eastAsia="宋体" w:cs="Courier New"/>
      <w:kern w:val="2"/>
    </w:rPr>
  </w:style>
  <w:style w:type="character" w:customStyle="1" w:styleId="501">
    <w:name w:val="页眉 Char1"/>
    <w:qFormat/>
    <w:uiPriority w:val="0"/>
    <w:rPr>
      <w:rFonts w:ascii="Calibri" w:hAnsi="Calibri" w:eastAsia="宋体" w:cs="Times New Roman"/>
      <w:kern w:val="2"/>
      <w:sz w:val="18"/>
    </w:rPr>
  </w:style>
  <w:style w:type="character" w:customStyle="1" w:styleId="502">
    <w:name w:val="标题 8 Char1"/>
    <w:qFormat/>
    <w:uiPriority w:val="0"/>
    <w:rPr>
      <w:rFonts w:ascii="Arial" w:hAnsi="Arial" w:eastAsia="黑体" w:cs="Times New Roman"/>
      <w:kern w:val="2"/>
      <w:sz w:val="24"/>
    </w:rPr>
  </w:style>
  <w:style w:type="character" w:customStyle="1" w:styleId="503">
    <w:name w:val="Char Char8"/>
    <w:qFormat/>
    <w:uiPriority w:val="0"/>
    <w:rPr>
      <w:rFonts w:ascii="Calibri" w:hAnsi="Calibri" w:eastAsia="仿宋_GB2312" w:cs="Times New Roman"/>
      <w:b/>
      <w:kern w:val="2"/>
      <w:sz w:val="32"/>
    </w:rPr>
  </w:style>
  <w:style w:type="character" w:customStyle="1" w:styleId="504">
    <w:name w:val="正文文本缩进 3 Char2"/>
    <w:qFormat/>
    <w:uiPriority w:val="0"/>
    <w:rPr>
      <w:rFonts w:ascii="Calibri" w:hAnsi="Calibri" w:eastAsia="宋体" w:cs="Times New Roman"/>
      <w:kern w:val="2"/>
      <w:sz w:val="16"/>
    </w:rPr>
  </w:style>
  <w:style w:type="character" w:customStyle="1" w:styleId="505">
    <w:name w:val="◆ 二级符号end Char Char"/>
    <w:link w:val="506"/>
    <w:qFormat/>
    <w:uiPriority w:val="0"/>
    <w:rPr>
      <w:rFonts w:ascii="Verdana" w:hAnsi="Verdana"/>
      <w:sz w:val="24"/>
    </w:rPr>
  </w:style>
  <w:style w:type="paragraph" w:customStyle="1" w:styleId="506">
    <w:name w:val="◆ 二级符号end"/>
    <w:basedOn w:val="1"/>
    <w:link w:val="505"/>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7">
    <w:name w:val="正文文本 Char2"/>
    <w:qFormat/>
    <w:uiPriority w:val="0"/>
    <w:rPr>
      <w:rFonts w:ascii="Calibri" w:hAnsi="Calibri" w:eastAsia="宋体" w:cs="Times New Roman"/>
      <w:kern w:val="2"/>
      <w:sz w:val="21"/>
    </w:rPr>
  </w:style>
  <w:style w:type="character" w:customStyle="1" w:styleId="508">
    <w:name w:val="批注引用11"/>
    <w:qFormat/>
    <w:uiPriority w:val="0"/>
    <w:rPr>
      <w:rFonts w:ascii="Calibri" w:hAnsi="Calibri" w:eastAsia="宋体" w:cs="Times New Roman"/>
      <w:sz w:val="21"/>
    </w:rPr>
  </w:style>
  <w:style w:type="character" w:customStyle="1" w:styleId="509">
    <w:name w:val="标题 5 Char1"/>
    <w:qFormat/>
    <w:uiPriority w:val="0"/>
    <w:rPr>
      <w:rFonts w:ascii="Calibri" w:hAnsi="Calibri" w:eastAsia="宋体" w:cs="Times New Roman"/>
      <w:b/>
      <w:kern w:val="2"/>
      <w:sz w:val="28"/>
    </w:rPr>
  </w:style>
  <w:style w:type="character" w:customStyle="1" w:styleId="510">
    <w:name w:val="批注引用9"/>
    <w:qFormat/>
    <w:uiPriority w:val="0"/>
    <w:rPr>
      <w:rFonts w:ascii="Calibri" w:hAnsi="Calibri" w:eastAsia="宋体" w:cs="Times New Roman"/>
      <w:sz w:val="21"/>
    </w:rPr>
  </w:style>
  <w:style w:type="character" w:customStyle="1" w:styleId="511">
    <w:name w:val="标题 7 Char1"/>
    <w:qFormat/>
    <w:uiPriority w:val="0"/>
    <w:rPr>
      <w:rFonts w:ascii="Calibri" w:hAnsi="Calibri" w:eastAsia="宋体" w:cs="Times New Roman"/>
      <w:b/>
      <w:kern w:val="2"/>
      <w:sz w:val="24"/>
    </w:rPr>
  </w:style>
  <w:style w:type="character" w:customStyle="1" w:styleId="512">
    <w:name w:val="SANGFOR_6_正文 Char"/>
    <w:link w:val="513"/>
    <w:qFormat/>
    <w:uiPriority w:val="0"/>
    <w:rPr>
      <w:rFonts w:ascii="宋体" w:hAnsi="宋体"/>
      <w:sz w:val="28"/>
      <w:szCs w:val="28"/>
    </w:rPr>
  </w:style>
  <w:style w:type="paragraph" w:customStyle="1" w:styleId="513">
    <w:name w:val="SANGFOR_6_正文"/>
    <w:basedOn w:val="1"/>
    <w:link w:val="512"/>
    <w:qFormat/>
    <w:uiPriority w:val="0"/>
    <w:pPr>
      <w:spacing w:line="360" w:lineRule="auto"/>
      <w:ind w:left="420"/>
      <w:jc w:val="left"/>
    </w:pPr>
    <w:rPr>
      <w:rFonts w:ascii="宋体" w:hAnsi="宋体" w:eastAsia="宋体" w:cs="Times New Roman"/>
      <w:kern w:val="0"/>
      <w:sz w:val="28"/>
      <w:szCs w:val="28"/>
    </w:rPr>
  </w:style>
  <w:style w:type="character" w:customStyle="1" w:styleId="514">
    <w:name w:val="标题 3 Char1"/>
    <w:qFormat/>
    <w:uiPriority w:val="0"/>
    <w:rPr>
      <w:rFonts w:ascii="Calibri" w:hAnsi="Calibri" w:eastAsia="宋体" w:cs="Times New Roman"/>
      <w:b/>
      <w:kern w:val="2"/>
      <w:sz w:val="32"/>
    </w:rPr>
  </w:style>
  <w:style w:type="character" w:customStyle="1" w:styleId="515">
    <w:name w:val="页脚 Char1"/>
    <w:qFormat/>
    <w:uiPriority w:val="0"/>
    <w:rPr>
      <w:rFonts w:ascii="Calibri" w:hAnsi="Calibri" w:eastAsia="宋体" w:cs="Times New Roman"/>
      <w:kern w:val="2"/>
      <w:sz w:val="18"/>
    </w:rPr>
  </w:style>
  <w:style w:type="character" w:customStyle="1" w:styleId="516">
    <w:name w:val="页脚 Char2"/>
    <w:qFormat/>
    <w:uiPriority w:val="0"/>
    <w:rPr>
      <w:rFonts w:ascii="Calibri" w:hAnsi="Calibri" w:eastAsia="宋体" w:cs="Times New Roman"/>
      <w:kern w:val="2"/>
      <w:sz w:val="18"/>
    </w:rPr>
  </w:style>
  <w:style w:type="character" w:customStyle="1" w:styleId="517">
    <w:name w:val="正文1 Char"/>
    <w:link w:val="163"/>
    <w:qFormat/>
    <w:uiPriority w:val="0"/>
    <w:rPr>
      <w:rFonts w:ascii="Calibri" w:hAnsi="Calibri" w:cs="Calibri"/>
      <w:kern w:val="2"/>
      <w:sz w:val="21"/>
      <w:szCs w:val="21"/>
    </w:rPr>
  </w:style>
  <w:style w:type="character" w:customStyle="1" w:styleId="518">
    <w:name w:val="批注引用2"/>
    <w:qFormat/>
    <w:uiPriority w:val="0"/>
    <w:rPr>
      <w:rFonts w:ascii="Calibri" w:hAnsi="Calibri" w:eastAsia="宋体" w:cs="Times New Roman"/>
      <w:sz w:val="21"/>
    </w:rPr>
  </w:style>
  <w:style w:type="character" w:customStyle="1" w:styleId="519">
    <w:name w:val="标题 Char2"/>
    <w:qFormat/>
    <w:uiPriority w:val="0"/>
    <w:rPr>
      <w:rFonts w:ascii="Cambria" w:hAnsi="Cambria" w:eastAsia="宋体" w:cs="Times New Roman"/>
      <w:b/>
      <w:kern w:val="2"/>
      <w:sz w:val="32"/>
    </w:rPr>
  </w:style>
  <w:style w:type="character" w:customStyle="1" w:styleId="520">
    <w:name w:val="c1"/>
    <w:qFormat/>
    <w:uiPriority w:val="0"/>
    <w:rPr>
      <w:rFonts w:ascii="Calibri" w:hAnsi="Calibri" w:eastAsia="宋体" w:cs="Times New Roman"/>
      <w:sz w:val="24"/>
    </w:rPr>
  </w:style>
  <w:style w:type="character" w:customStyle="1" w:styleId="521">
    <w:name w:val="font121"/>
    <w:qFormat/>
    <w:uiPriority w:val="0"/>
    <w:rPr>
      <w:rFonts w:hint="default" w:ascii="???" w:hAnsi="???" w:eastAsia="宋体" w:cs="Times New Roman"/>
      <w:color w:val="333333"/>
      <w:sz w:val="18"/>
      <w:szCs w:val="18"/>
      <w:u w:val="none"/>
    </w:rPr>
  </w:style>
  <w:style w:type="character" w:customStyle="1" w:styleId="522">
    <w:name w:val="标准文本 Char Char"/>
    <w:link w:val="523"/>
    <w:qFormat/>
    <w:uiPriority w:val="0"/>
  </w:style>
  <w:style w:type="paragraph" w:customStyle="1" w:styleId="523">
    <w:name w:val="标准文本"/>
    <w:basedOn w:val="1"/>
    <w:link w:val="522"/>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4">
    <w:name w:val="尾注文本 Char"/>
    <w:qFormat/>
    <w:uiPriority w:val="0"/>
    <w:rPr>
      <w:rFonts w:ascii="Times New Roman" w:hAnsi="Times New Roman" w:eastAsia="宋体" w:cs="Times New Roman"/>
      <w:kern w:val="2"/>
      <w:sz w:val="21"/>
      <w:szCs w:val="24"/>
    </w:rPr>
  </w:style>
  <w:style w:type="character" w:customStyle="1" w:styleId="525">
    <w:name w:val="标题 4 Char1"/>
    <w:qFormat/>
    <w:uiPriority w:val="0"/>
    <w:rPr>
      <w:rFonts w:ascii="Arial" w:hAnsi="Arial" w:eastAsia="黑体" w:cs="Times New Roman"/>
      <w:b/>
      <w:kern w:val="2"/>
      <w:sz w:val="28"/>
    </w:rPr>
  </w:style>
  <w:style w:type="character" w:customStyle="1" w:styleId="526">
    <w:name w:val="批注文字 Char4"/>
    <w:qFormat/>
    <w:uiPriority w:val="0"/>
    <w:rPr>
      <w:rFonts w:ascii="Times New Roman" w:hAnsi="Times New Roman" w:eastAsia="宋体" w:cs="Times New Roman"/>
      <w:szCs w:val="20"/>
    </w:rPr>
  </w:style>
  <w:style w:type="character" w:customStyle="1" w:styleId="527">
    <w:name w:val="批注引用8"/>
    <w:qFormat/>
    <w:uiPriority w:val="0"/>
    <w:rPr>
      <w:rFonts w:ascii="Calibri" w:hAnsi="Calibri" w:eastAsia="宋体" w:cs="Times New Roman"/>
      <w:sz w:val="21"/>
    </w:rPr>
  </w:style>
  <w:style w:type="character" w:customStyle="1" w:styleId="528">
    <w:name w:val="彩色列表 - 强调文字颜色 1 Char"/>
    <w:link w:val="191"/>
    <w:qFormat/>
    <w:uiPriority w:val="0"/>
    <w:rPr>
      <w:rFonts w:ascii="Calibri" w:hAnsi="Calibri"/>
      <w:kern w:val="2"/>
      <w:sz w:val="21"/>
      <w:szCs w:val="22"/>
    </w:rPr>
  </w:style>
  <w:style w:type="character" w:customStyle="1" w:styleId="529">
    <w:name w:val="DH 正文 Char"/>
    <w:link w:val="530"/>
    <w:qFormat/>
    <w:uiPriority w:val="0"/>
    <w:rPr>
      <w:rFonts w:ascii="宋体"/>
      <w:kern w:val="2"/>
      <w:sz w:val="24"/>
      <w:szCs w:val="24"/>
    </w:rPr>
  </w:style>
  <w:style w:type="paragraph" w:customStyle="1" w:styleId="530">
    <w:name w:val="DH 正文"/>
    <w:basedOn w:val="1"/>
    <w:link w:val="529"/>
    <w:qFormat/>
    <w:uiPriority w:val="0"/>
    <w:pPr>
      <w:spacing w:line="360" w:lineRule="auto"/>
      <w:ind w:firstLine="200" w:firstLineChars="200"/>
    </w:pPr>
    <w:rPr>
      <w:rFonts w:ascii="宋体" w:hAnsi="Times New Roman" w:eastAsia="宋体" w:cs="Times New Roman"/>
      <w:sz w:val="24"/>
      <w:szCs w:val="24"/>
    </w:rPr>
  </w:style>
  <w:style w:type="character" w:customStyle="1" w:styleId="531">
    <w:name w:val="unnamed21"/>
    <w:qFormat/>
    <w:uiPriority w:val="0"/>
    <w:rPr>
      <w:rFonts w:ascii="Calibri" w:hAnsi="Calibri" w:eastAsia="宋体" w:cs="Times New Roman"/>
      <w:color w:val="000000"/>
      <w:sz w:val="20"/>
    </w:rPr>
  </w:style>
  <w:style w:type="character" w:customStyle="1" w:styleId="532">
    <w:name w:val="news1"/>
    <w:qFormat/>
    <w:uiPriority w:val="0"/>
    <w:rPr>
      <w:rFonts w:ascii="Calibri" w:hAnsi="Calibri" w:eastAsia="宋体" w:cs="Times New Roman"/>
      <w:color w:val="4D4D4D"/>
      <w:sz w:val="18"/>
    </w:rPr>
  </w:style>
  <w:style w:type="character" w:customStyle="1" w:styleId="533">
    <w:name w:val="批注引用7"/>
    <w:qFormat/>
    <w:uiPriority w:val="0"/>
    <w:rPr>
      <w:rFonts w:ascii="Calibri" w:hAnsi="Calibri" w:eastAsia="宋体" w:cs="Times New Roman"/>
      <w:sz w:val="21"/>
    </w:rPr>
  </w:style>
  <w:style w:type="character" w:customStyle="1" w:styleId="534">
    <w:name w:val="line1"/>
    <w:qFormat/>
    <w:uiPriority w:val="0"/>
    <w:rPr>
      <w:rFonts w:ascii="Calibri" w:hAnsi="Calibri" w:eastAsia="宋体" w:cs="Times New Roman"/>
    </w:rPr>
  </w:style>
  <w:style w:type="character" w:customStyle="1" w:styleId="535">
    <w:name w:val="Char Char4"/>
    <w:qFormat/>
    <w:uiPriority w:val="0"/>
    <w:rPr>
      <w:rFonts w:ascii="Calibri" w:hAnsi="Calibri" w:eastAsia="宋体" w:cs="Times New Roman"/>
      <w:sz w:val="18"/>
    </w:rPr>
  </w:style>
  <w:style w:type="character" w:customStyle="1" w:styleId="536">
    <w:name w:val="批注引用3"/>
    <w:qFormat/>
    <w:uiPriority w:val="0"/>
    <w:rPr>
      <w:rFonts w:ascii="Calibri" w:hAnsi="Calibri" w:eastAsia="宋体" w:cs="Times New Roman"/>
      <w:sz w:val="21"/>
      <w:szCs w:val="21"/>
    </w:rPr>
  </w:style>
  <w:style w:type="character" w:customStyle="1" w:styleId="537">
    <w:name w:val="样式 8 磅"/>
    <w:qFormat/>
    <w:uiPriority w:val="0"/>
    <w:rPr>
      <w:rFonts w:ascii="Calibri" w:hAnsi="Calibri" w:eastAsia="宋体" w:cs="Times New Roman"/>
      <w:sz w:val="18"/>
    </w:rPr>
  </w:style>
  <w:style w:type="paragraph" w:customStyle="1" w:styleId="538">
    <w:name w:val="Char Char1 Char Char Char Char Char Char Char"/>
    <w:basedOn w:val="1"/>
    <w:qFormat/>
    <w:uiPriority w:val="0"/>
    <w:rPr>
      <w:rFonts w:ascii="Calibri" w:hAnsi="Calibri" w:eastAsia="宋体" w:cs="Times New Roman"/>
      <w:szCs w:val="24"/>
    </w:rPr>
  </w:style>
  <w:style w:type="paragraph" w:customStyle="1" w:styleId="539">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0">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1">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2">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3">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4">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5">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6">
    <w:name w:val="列出段落3"/>
    <w:basedOn w:val="1"/>
    <w:qFormat/>
    <w:uiPriority w:val="0"/>
    <w:pPr>
      <w:ind w:firstLine="420" w:firstLineChars="200"/>
    </w:pPr>
    <w:rPr>
      <w:rFonts w:ascii="Cambria" w:hAnsi="Cambria" w:eastAsia="宋体" w:cs="Times New Roman"/>
      <w:sz w:val="24"/>
      <w:szCs w:val="24"/>
    </w:rPr>
  </w:style>
  <w:style w:type="paragraph" w:customStyle="1" w:styleId="547">
    <w:name w:val="Char1"/>
    <w:basedOn w:val="1"/>
    <w:qFormat/>
    <w:uiPriority w:val="0"/>
    <w:pPr>
      <w:widowControl/>
      <w:jc w:val="left"/>
    </w:pPr>
    <w:rPr>
      <w:rFonts w:ascii="仿宋_GB2312" w:hAnsi="Calibri" w:eastAsia="仿宋_GB2312" w:cs="Times New Roman"/>
      <w:b/>
      <w:sz w:val="32"/>
      <w:szCs w:val="20"/>
    </w:rPr>
  </w:style>
  <w:style w:type="paragraph" w:customStyle="1" w:styleId="548">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49">
    <w:name w:val="p1"/>
    <w:basedOn w:val="1"/>
    <w:qFormat/>
    <w:uiPriority w:val="0"/>
    <w:pPr>
      <w:widowControl/>
      <w:jc w:val="left"/>
    </w:pPr>
    <w:rPr>
      <w:rFonts w:ascii="Helvetica" w:hAnsi="Helvetica" w:eastAsia="等线" w:cs="Times New Roman"/>
      <w:kern w:val="0"/>
      <w:sz w:val="16"/>
      <w:szCs w:val="16"/>
    </w:rPr>
  </w:style>
  <w:style w:type="paragraph" w:customStyle="1" w:styleId="550">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2">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5">
    <w:name w:val="TOC 标题1"/>
    <w:basedOn w:val="2"/>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556">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7">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8">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59">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0">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1">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2">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3">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4">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5">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6">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7">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9">
    <w:name w:val="p16"/>
    <w:basedOn w:val="1"/>
    <w:qFormat/>
    <w:uiPriority w:val="0"/>
    <w:pPr>
      <w:widowControl/>
      <w:spacing w:before="80" w:after="80"/>
      <w:jc w:val="left"/>
    </w:pPr>
    <w:rPr>
      <w:rFonts w:ascii="Arial" w:hAnsi="Arial" w:eastAsia="宋体" w:cs="Arial"/>
      <w:kern w:val="0"/>
      <w:sz w:val="18"/>
      <w:szCs w:val="18"/>
    </w:rPr>
  </w:style>
  <w:style w:type="paragraph" w:customStyle="1" w:styleId="57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1">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2">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3">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4">
    <w:name w:val="Char Char Char Char Char Char Char Char Char Char"/>
    <w:basedOn w:val="19"/>
    <w:qFormat/>
    <w:uiPriority w:val="0"/>
    <w:rPr>
      <w:rFonts w:ascii="Tahoma" w:hAnsi="Tahoma" w:cs="Times New Roman"/>
      <w:kern w:val="0"/>
      <w:sz w:val="24"/>
      <w:szCs w:val="24"/>
    </w:rPr>
  </w:style>
  <w:style w:type="paragraph" w:customStyle="1" w:styleId="575">
    <w:name w:val="4"/>
    <w:basedOn w:val="1"/>
    <w:next w:val="5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6">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7">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8">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7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0">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1">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3">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6">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7">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8">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1">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2">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3">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4">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5">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6">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7">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8">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9">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0">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1">
    <w:name w:val="msolistparagraph"/>
    <w:basedOn w:val="1"/>
    <w:qFormat/>
    <w:uiPriority w:val="0"/>
    <w:pPr>
      <w:ind w:firstLine="420" w:firstLineChars="200"/>
    </w:pPr>
    <w:rPr>
      <w:rFonts w:ascii="Calibri" w:hAnsi="Calibri" w:eastAsia="宋体" w:cs="Times New Roman"/>
      <w:szCs w:val="20"/>
    </w:rPr>
  </w:style>
  <w:style w:type="paragraph" w:customStyle="1" w:styleId="602">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3">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4">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5">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五级条标题"/>
    <w:basedOn w:val="607"/>
    <w:next w:val="395"/>
    <w:qFormat/>
    <w:uiPriority w:val="0"/>
    <w:pPr>
      <w:tabs>
        <w:tab w:val="left" w:pos="1200"/>
      </w:tabs>
      <w:outlineLvl w:val="6"/>
    </w:pPr>
  </w:style>
  <w:style w:type="paragraph" w:customStyle="1" w:styleId="607">
    <w:name w:val="四级条标题"/>
    <w:basedOn w:val="608"/>
    <w:next w:val="395"/>
    <w:qFormat/>
    <w:uiPriority w:val="0"/>
    <w:pPr>
      <w:tabs>
        <w:tab w:val="left" w:pos="1200"/>
      </w:tabs>
      <w:outlineLvl w:val="5"/>
    </w:pPr>
  </w:style>
  <w:style w:type="paragraph" w:customStyle="1" w:styleId="608">
    <w:name w:val="三级条标题"/>
    <w:basedOn w:val="609"/>
    <w:next w:val="395"/>
    <w:qFormat/>
    <w:uiPriority w:val="0"/>
    <w:pPr>
      <w:tabs>
        <w:tab w:val="left" w:pos="1200"/>
      </w:tabs>
      <w:outlineLvl w:val="4"/>
    </w:pPr>
  </w:style>
  <w:style w:type="paragraph" w:customStyle="1" w:styleId="609">
    <w:name w:val="二级条标题"/>
    <w:basedOn w:val="471"/>
    <w:next w:val="395"/>
    <w:qFormat/>
    <w:uiPriority w:val="0"/>
    <w:pPr>
      <w:outlineLvl w:val="3"/>
    </w:pPr>
    <w:rPr>
      <w:rFonts w:ascii="Calibri" w:hAnsi="Calibri" w:eastAsia="宋体"/>
    </w:rPr>
  </w:style>
  <w:style w:type="paragraph" w:customStyle="1" w:styleId="610">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1">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3">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4">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5">
    <w:name w:val="Revision1"/>
    <w:qFormat/>
    <w:uiPriority w:val="0"/>
    <w:rPr>
      <w:rFonts w:ascii="Times New Roman" w:hAnsi="Times New Roman" w:eastAsia="宋体" w:cs="Times New Roman"/>
      <w:kern w:val="2"/>
      <w:sz w:val="21"/>
      <w:lang w:val="en-US" w:eastAsia="zh-CN" w:bidi="ar-SA"/>
    </w:rPr>
  </w:style>
  <w:style w:type="paragraph" w:customStyle="1" w:styleId="616">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7">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8">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19">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0">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1">
    <w:name w:val="无间隔11"/>
    <w:basedOn w:val="1"/>
    <w:qFormat/>
    <w:uiPriority w:val="0"/>
    <w:pPr>
      <w:widowControl/>
    </w:pPr>
    <w:rPr>
      <w:rFonts w:ascii="Calibri" w:hAnsi="Calibri" w:eastAsia="宋体" w:cs="Calibri"/>
      <w:kern w:val="0"/>
      <w:szCs w:val="24"/>
      <w:lang w:eastAsia="en-US"/>
    </w:rPr>
  </w:style>
  <w:style w:type="paragraph" w:customStyle="1" w:styleId="622">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3">
    <w:name w:val="p21"/>
    <w:basedOn w:val="1"/>
    <w:qFormat/>
    <w:uiPriority w:val="0"/>
    <w:pPr>
      <w:widowControl/>
      <w:ind w:firstLine="420"/>
    </w:pPr>
    <w:rPr>
      <w:rFonts w:ascii="Calibri" w:hAnsi="Calibri" w:eastAsia="宋体" w:cs="宋体"/>
      <w:kern w:val="0"/>
      <w:szCs w:val="21"/>
    </w:rPr>
  </w:style>
  <w:style w:type="paragraph" w:customStyle="1" w:styleId="624">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5">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7">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8">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2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0">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1">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2">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3">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4">
    <w:name w:val="章标题"/>
    <w:next w:val="39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5">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6">
    <w:name w:val="List Paragraph3"/>
    <w:basedOn w:val="1"/>
    <w:qFormat/>
    <w:uiPriority w:val="0"/>
    <w:pPr>
      <w:ind w:firstLine="420" w:firstLineChars="200"/>
    </w:pPr>
    <w:rPr>
      <w:rFonts w:ascii="Calibri" w:hAnsi="Calibri" w:eastAsia="宋体" w:cs="Times New Roman"/>
    </w:rPr>
  </w:style>
  <w:style w:type="paragraph" w:customStyle="1" w:styleId="637">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8">
    <w:name w:val="樣式1"/>
    <w:basedOn w:val="639"/>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39">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0">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1">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2">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3">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4">
    <w:name w:val="Char2"/>
    <w:basedOn w:val="1"/>
    <w:qFormat/>
    <w:uiPriority w:val="0"/>
    <w:pPr>
      <w:widowControl/>
      <w:jc w:val="left"/>
    </w:pPr>
    <w:rPr>
      <w:rFonts w:ascii="Calibri" w:hAnsi="Calibri" w:eastAsia="仿宋_GB2312" w:cs="Times New Roman"/>
      <w:sz w:val="28"/>
      <w:szCs w:val="20"/>
    </w:rPr>
  </w:style>
  <w:style w:type="paragraph" w:customStyle="1" w:styleId="645">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6">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7">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8">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49">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0">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1">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2">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3">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4">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5">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7">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8">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59">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0">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1">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2">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3">
    <w:name w:val="TOC Heading1"/>
    <w:basedOn w:val="2"/>
    <w:next w:val="1"/>
    <w:qFormat/>
    <w:uiPriority w:val="0"/>
    <w:pPr>
      <w:tabs>
        <w:tab w:val="clear" w:pos="1440"/>
      </w:tabs>
      <w:spacing w:before="480" w:beforeLines="0" w:line="276" w:lineRule="auto"/>
      <w:jc w:val="left"/>
      <w:outlineLvl w:val="9"/>
    </w:pPr>
    <w:rPr>
      <w:rFonts w:ascii="Cambria" w:hAnsi="Cambria" w:eastAsia="宋体"/>
      <w:color w:val="365F91"/>
      <w:kern w:val="0"/>
      <w:sz w:val="28"/>
      <w:szCs w:val="28"/>
    </w:rPr>
  </w:style>
  <w:style w:type="paragraph" w:customStyle="1" w:styleId="664">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5">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6">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7">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8">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69">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0">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1">
    <w:name w:val="Char Char Char"/>
    <w:basedOn w:val="1"/>
    <w:qFormat/>
    <w:uiPriority w:val="0"/>
    <w:pPr>
      <w:widowControl/>
      <w:jc w:val="left"/>
    </w:pPr>
    <w:rPr>
      <w:rFonts w:ascii="Tahoma" w:hAnsi="Tahoma" w:eastAsia="宋体" w:cs="Times New Roman"/>
      <w:sz w:val="24"/>
      <w:szCs w:val="20"/>
    </w:rPr>
  </w:style>
  <w:style w:type="paragraph" w:customStyle="1" w:styleId="672">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3">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5">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7">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8">
    <w:name w:val="Char1 Char Char Char Char Char Char"/>
    <w:basedOn w:val="1"/>
    <w:qFormat/>
    <w:uiPriority w:val="0"/>
    <w:rPr>
      <w:rFonts w:ascii="Calibri" w:hAnsi="Calibri" w:eastAsia="宋体" w:cs="Times New Roman"/>
      <w:szCs w:val="20"/>
    </w:rPr>
  </w:style>
  <w:style w:type="paragraph" w:customStyle="1" w:styleId="679">
    <w:name w:val="正文文本1"/>
    <w:basedOn w:val="1"/>
    <w:qFormat/>
    <w:uiPriority w:val="0"/>
    <w:pPr>
      <w:spacing w:after="120"/>
    </w:pPr>
    <w:rPr>
      <w:rFonts w:ascii="Calibri" w:hAnsi="Calibri" w:eastAsia="宋体" w:cs="Times New Roman"/>
      <w:kern w:val="0"/>
      <w:sz w:val="20"/>
      <w:szCs w:val="24"/>
    </w:rPr>
  </w:style>
  <w:style w:type="paragraph" w:customStyle="1" w:styleId="680">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1">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2">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3">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4">
    <w:name w:val="Char Char19"/>
    <w:basedOn w:val="1"/>
    <w:qFormat/>
    <w:uiPriority w:val="0"/>
    <w:pPr>
      <w:widowControl/>
      <w:jc w:val="left"/>
    </w:pPr>
    <w:rPr>
      <w:rFonts w:ascii="Tahoma" w:hAnsi="Tahoma" w:eastAsia="宋体" w:cs="Times New Roman"/>
      <w:sz w:val="24"/>
      <w:szCs w:val="20"/>
    </w:rPr>
  </w:style>
  <w:style w:type="paragraph" w:customStyle="1" w:styleId="685">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7">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8">
    <w:name w:val="TOC 标题2"/>
    <w:basedOn w:val="2"/>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689">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0">
    <w:name w:val="样式 Verdana 首行缩进:  0.74 厘米"/>
    <w:basedOn w:val="1"/>
    <w:qFormat/>
    <w:uiPriority w:val="0"/>
    <w:pPr>
      <w:widowControl/>
      <w:jc w:val="left"/>
    </w:pPr>
    <w:rPr>
      <w:rFonts w:ascii="Verdana" w:hAnsi="Verdana" w:eastAsia="宋体" w:cs="Times New Roman"/>
      <w:szCs w:val="20"/>
    </w:rPr>
  </w:style>
  <w:style w:type="paragraph" w:customStyle="1" w:styleId="691">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2">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3">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5">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6">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7">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8">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9">
    <w:name w:val="Char11"/>
    <w:basedOn w:val="1"/>
    <w:qFormat/>
    <w:uiPriority w:val="0"/>
    <w:pPr>
      <w:widowControl/>
      <w:jc w:val="left"/>
    </w:pPr>
    <w:rPr>
      <w:rFonts w:ascii="仿宋_GB2312" w:hAnsi="Calibri" w:eastAsia="仿宋_GB2312" w:cs="Times New Roman"/>
      <w:b/>
      <w:sz w:val="32"/>
      <w:szCs w:val="20"/>
    </w:rPr>
  </w:style>
  <w:style w:type="paragraph" w:customStyle="1" w:styleId="700">
    <w:name w:val="无间隔3"/>
    <w:basedOn w:val="1"/>
    <w:qFormat/>
    <w:uiPriority w:val="0"/>
    <w:pPr>
      <w:snapToGrid w:val="0"/>
    </w:pPr>
    <w:rPr>
      <w:rFonts w:ascii="仿宋_GB2312" w:hAnsi="Calibri" w:eastAsia="仿宋_GB2312" w:cs="Times New Roman"/>
      <w:b/>
      <w:kern w:val="0"/>
      <w:sz w:val="30"/>
      <w:szCs w:val="24"/>
    </w:rPr>
  </w:style>
  <w:style w:type="paragraph" w:customStyle="1" w:styleId="701">
    <w:name w:val="彩色列表 - 强调文字颜色 111"/>
    <w:basedOn w:val="1"/>
    <w:qFormat/>
    <w:uiPriority w:val="34"/>
    <w:pPr>
      <w:ind w:firstLine="420" w:firstLineChars="200"/>
    </w:pPr>
    <w:rPr>
      <w:rFonts w:ascii="Calibri" w:hAnsi="Calibri" w:eastAsia="宋体" w:cs="Times New Roman"/>
    </w:rPr>
  </w:style>
  <w:style w:type="paragraph" w:customStyle="1" w:styleId="702">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3">
    <w:name w:val="中等深浅网格 31"/>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4">
    <w:name w:val="题注1"/>
    <w:basedOn w:val="1"/>
    <w:next w:val="1"/>
    <w:unhideWhenUsed/>
    <w:qFormat/>
    <w:uiPriority w:val="99"/>
    <w:rPr>
      <w:rFonts w:ascii="Calibri Light" w:hAnsi="Calibri Light" w:eastAsia="黑体" w:cs="Times New Roman"/>
      <w:sz w:val="20"/>
      <w:szCs w:val="20"/>
    </w:rPr>
  </w:style>
  <w:style w:type="table" w:customStyle="1" w:styleId="705">
    <w:name w:val="网格型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6">
    <w:name w:val="批注文字 Char"/>
    <w:basedOn w:val="69"/>
    <w:qFormat/>
    <w:uiPriority w:val="99"/>
    <w:rPr>
      <w:rFonts w:ascii="Calibri" w:hAnsi="Calibri" w:eastAsia="宋体" w:cs="Times New Roman"/>
    </w:rPr>
  </w:style>
  <w:style w:type="paragraph" w:customStyle="1" w:styleId="707">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8">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09">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0">
    <w:name w:val="文章正文"/>
    <w:basedOn w:val="122"/>
    <w:qFormat/>
    <w:uiPriority w:val="0"/>
    <w:pPr>
      <w:widowControl/>
      <w:adjustRightInd w:val="0"/>
      <w:spacing w:beforeLines="0" w:after="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1">
    <w:name w:val="_Style 31"/>
    <w:basedOn w:val="1"/>
    <w:next w:val="114"/>
    <w:qFormat/>
    <w:uiPriority w:val="34"/>
    <w:pPr>
      <w:widowControl/>
      <w:adjustRightInd w:val="0"/>
      <w:spacing w:after="50"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2">
    <w:name w:val="列表段落11"/>
    <w:basedOn w:val="1"/>
    <w:qFormat/>
    <w:uiPriority w:val="34"/>
    <w:pPr>
      <w:ind w:firstLine="420" w:firstLineChars="200"/>
    </w:pPr>
    <w:rPr>
      <w:rFonts w:ascii="Calibri" w:hAnsi="Calibri" w:eastAsia="宋体" w:cs="Times New Roman"/>
    </w:rPr>
  </w:style>
  <w:style w:type="paragraph" w:customStyle="1" w:styleId="713">
    <w:name w:val="_Style 45"/>
    <w:basedOn w:val="1"/>
    <w:next w:val="114"/>
    <w:qFormat/>
    <w:uiPriority w:val="34"/>
    <w:pPr>
      <w:ind w:firstLine="420" w:firstLineChars="200"/>
    </w:pPr>
    <w:rPr>
      <w:rFonts w:ascii="Times New Roman" w:hAnsi="Times New Roman" w:eastAsia="宋体" w:cs="Times New Roman"/>
    </w:rPr>
  </w:style>
  <w:style w:type="paragraph" w:customStyle="1" w:styleId="7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6">
    <w:name w:val="无间隔4"/>
    <w:next w:val="717"/>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A_表格头"/>
    <w:basedOn w:val="1"/>
    <w:qFormat/>
    <w:uiPriority w:val="0"/>
    <w:pPr>
      <w:jc w:val="center"/>
    </w:pPr>
    <w:rPr>
      <w:rFonts w:ascii="Times New Roman" w:hAnsi="Times New Roman" w:eastAsia="黑体" w:cs="Times New Roman"/>
      <w:bCs/>
      <w:kern w:val="0"/>
      <w:szCs w:val="20"/>
    </w:rPr>
  </w:style>
  <w:style w:type="paragraph" w:customStyle="1" w:styleId="719">
    <w:name w:val="A_表格正文（居中）"/>
    <w:basedOn w:val="1"/>
    <w:qFormat/>
    <w:uiPriority w:val="0"/>
    <w:pPr>
      <w:jc w:val="center"/>
    </w:pPr>
    <w:rPr>
      <w:rFonts w:ascii="Times New Roman" w:hAnsi="Times New Roman" w:eastAsia="仿宋" w:cs="Times New Roman"/>
      <w:kern w:val="0"/>
      <w:szCs w:val="20"/>
    </w:rPr>
  </w:style>
  <w:style w:type="paragraph" w:customStyle="1" w:styleId="720">
    <w:name w:val="A_表格正文（加黑）"/>
    <w:basedOn w:val="719"/>
    <w:qFormat/>
    <w:uiPriority w:val="0"/>
    <w:rPr>
      <w:b/>
      <w:color w:val="000000"/>
    </w:rPr>
  </w:style>
  <w:style w:type="character" w:customStyle="1" w:styleId="721">
    <w:name w:val="标题 Char"/>
    <w:qFormat/>
    <w:uiPriority w:val="0"/>
    <w:rPr>
      <w:rFonts w:ascii="宋体" w:hAnsi="Courier New" w:eastAsia="宋体" w:cs="Courier New"/>
      <w:kern w:val="2"/>
      <w:sz w:val="21"/>
      <w:szCs w:val="21"/>
      <w:lang w:val="en-US" w:eastAsia="zh-CN" w:bidi="ar-SA"/>
    </w:rPr>
  </w:style>
  <w:style w:type="character" w:customStyle="1" w:styleId="722">
    <w:name w:val="普通(网站) 字符"/>
    <w:link w:val="55"/>
    <w:qFormat/>
    <w:locked/>
    <w:uiPriority w:val="0"/>
    <w:rPr>
      <w:rFonts w:ascii="(使用中文字体)" w:hAnsi="(使用中文字体)" w:cs="(使用中文字体)"/>
      <w:sz w:val="24"/>
      <w:szCs w:val="24"/>
    </w:rPr>
  </w:style>
  <w:style w:type="paragraph" w:customStyle="1" w:styleId="723">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4">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5">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6">
    <w:name w:val="[Normal]"/>
    <w:qFormat/>
    <w:uiPriority w:val="0"/>
    <w:rPr>
      <w:rFonts w:ascii="宋体" w:hAnsi="宋体" w:eastAsia="宋体" w:cs="Times New Roman"/>
      <w:sz w:val="24"/>
      <w:szCs w:val="22"/>
      <w:lang w:val="zh-CN" w:eastAsia="zh-CN" w:bidi="ar-SA"/>
    </w:rPr>
  </w:style>
  <w:style w:type="paragraph" w:customStyle="1" w:styleId="727">
    <w:name w:val="正文首行缩进 21"/>
    <w:basedOn w:val="394"/>
    <w:qFormat/>
    <w:uiPriority w:val="0"/>
    <w:pPr>
      <w:ind w:firstLine="420"/>
    </w:pPr>
  </w:style>
  <w:style w:type="paragraph" w:customStyle="1" w:styleId="728">
    <w:name w:val="列表 21"/>
    <w:basedOn w:val="1"/>
    <w:qFormat/>
    <w:uiPriority w:val="0"/>
    <w:pPr>
      <w:ind w:left="200" w:leftChars="200" w:hanging="200" w:hangingChars="2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56</Pages>
  <Words>32912</Words>
  <Characters>34215</Characters>
  <Lines>265</Lines>
  <Paragraphs>74</Paragraphs>
  <TotalTime>23</TotalTime>
  <ScaleCrop>false</ScaleCrop>
  <LinksUpToDate>false</LinksUpToDate>
  <CharactersWithSpaces>35385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2025-06-16T23:23:00Z</dcterms:created>
  <dc:creator>黄 晓</dc:creator>
  <cp:lastModifiedBy>柠檬头小迪</cp:lastModifiedBy>
  <cp:lastPrinted>2025-06-17T00:07:00Z</cp:lastPrinted>
  <dcterms:modified xsi:type="dcterms:W3CDTF">2025-07-02T07:04:24Z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0434615C271C43BFA075F424276514AA_13</vt:lpwstr>
  </property>
  <property fmtid="{D5CDD505-2E9C-101B-9397-08002B2CF9AE}" pid="4" name="KSOTemplateDocerSaveRecord">
    <vt:lpwstr>eyJoZGlkIjoiYzhiYjZjYjRlM2RkNTBkMTU2ZDU2OWIzMTFkNGM4N2EiLCJ1c2VySWQiOiI3ODEwNDU5NTcifQ==</vt:lpwstr>
  </property>
</Properties>
</file>