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6" w:beforeLines="50" w:line="720" w:lineRule="auto"/>
        <w:ind w:firstLine="0" w:firstLineChars="0"/>
        <w:jc w:val="center"/>
        <w:rPr>
          <w:rFonts w:ascii="宋体"/>
          <w:b/>
          <w:color w:val="auto"/>
          <w:sz w:val="44"/>
          <w:szCs w:val="44"/>
          <w:highlight w:val="none"/>
        </w:rPr>
      </w:pPr>
      <w:r>
        <w:rPr>
          <w:rFonts w:hint="eastAsia" w:ascii="宋体"/>
          <w:b/>
          <w:color w:val="auto"/>
          <w:sz w:val="44"/>
          <w:szCs w:val="44"/>
          <w:highlight w:val="none"/>
        </w:rPr>
        <w:t>浙江衢州公信工程管理有限公司关于</w:t>
      </w:r>
      <w:r>
        <w:rPr>
          <w:rFonts w:ascii="宋体"/>
          <w:b/>
          <w:color w:val="auto"/>
          <w:sz w:val="44"/>
          <w:szCs w:val="44"/>
          <w:highlight w:val="none"/>
        </w:rPr>
        <w:t>东阳市应急广播</w:t>
      </w:r>
      <w:r>
        <w:rPr>
          <w:rFonts w:hint="eastAsia" w:ascii="宋体"/>
          <w:b/>
          <w:color w:val="auto"/>
          <w:sz w:val="44"/>
          <w:szCs w:val="44"/>
          <w:highlight w:val="none"/>
        </w:rPr>
        <w:t>维保</w:t>
      </w:r>
      <w:r>
        <w:rPr>
          <w:rFonts w:ascii="宋体"/>
          <w:b/>
          <w:color w:val="auto"/>
          <w:sz w:val="44"/>
          <w:szCs w:val="44"/>
          <w:highlight w:val="none"/>
        </w:rPr>
        <w:t>提升改造项目</w:t>
      </w: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spacing w:before="166" w:beforeLines="50" w:line="720" w:lineRule="auto"/>
        <w:ind w:firstLine="0" w:firstLineChars="0"/>
        <w:jc w:val="center"/>
        <w:rPr>
          <w:rFonts w:ascii="宋体"/>
          <w:b/>
          <w:color w:val="auto"/>
          <w:sz w:val="52"/>
          <w:szCs w:val="52"/>
          <w:highlight w:val="none"/>
        </w:rPr>
      </w:pPr>
      <w:r>
        <w:rPr>
          <w:rFonts w:hint="eastAsia" w:ascii="宋体" w:hAnsi="宋体"/>
          <w:b/>
          <w:color w:val="auto"/>
          <w:sz w:val="52"/>
          <w:szCs w:val="52"/>
          <w:highlight w:val="none"/>
        </w:rPr>
        <w:t>公开招标采购文件</w:t>
      </w:r>
    </w:p>
    <w:p>
      <w:pPr>
        <w:pStyle w:val="29"/>
        <w:snapToGrid w:val="0"/>
        <w:spacing w:before="166" w:after="166" w:line="480" w:lineRule="auto"/>
        <w:ind w:firstLine="602"/>
        <w:rPr>
          <w:rFonts w:hAnsi="宋体"/>
          <w:b/>
          <w:bCs/>
          <w:color w:val="auto"/>
          <w:sz w:val="30"/>
          <w:szCs w:val="30"/>
          <w:highlight w:val="none"/>
        </w:rPr>
      </w:pPr>
    </w:p>
    <w:p>
      <w:pPr>
        <w:ind w:firstLine="480"/>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29"/>
        <w:snapToGrid w:val="0"/>
        <w:spacing w:before="166" w:after="166" w:line="480" w:lineRule="auto"/>
        <w:ind w:firstLine="0" w:firstLineChars="0"/>
        <w:rPr>
          <w:rFonts w:hAnsi="宋体"/>
          <w:b/>
          <w:bCs/>
          <w:color w:val="auto"/>
          <w:sz w:val="30"/>
          <w:szCs w:val="30"/>
          <w:highlight w:val="none"/>
        </w:rPr>
      </w:pPr>
      <w:r>
        <w:rPr>
          <w:rFonts w:hint="eastAsia" w:hAnsi="宋体"/>
          <w:b/>
          <w:bCs/>
          <w:color w:val="auto"/>
          <w:sz w:val="30"/>
          <w:szCs w:val="30"/>
          <w:highlight w:val="none"/>
        </w:rPr>
        <w:t>项目编号：</w:t>
      </w:r>
      <w:r>
        <w:rPr>
          <w:rFonts w:hAnsi="宋体"/>
          <w:b/>
          <w:bCs/>
          <w:color w:val="auto"/>
          <w:sz w:val="30"/>
          <w:szCs w:val="30"/>
          <w:highlight w:val="none"/>
        </w:rPr>
        <w:t>ZJQZGX2023-010</w:t>
      </w:r>
    </w:p>
    <w:p>
      <w:pPr>
        <w:pStyle w:val="29"/>
        <w:snapToGrid w:val="0"/>
        <w:spacing w:before="166" w:after="166" w:line="480" w:lineRule="auto"/>
        <w:ind w:left="1494" w:hanging="1494" w:hangingChars="496"/>
        <w:rPr>
          <w:b/>
          <w:color w:val="auto"/>
          <w:sz w:val="30"/>
          <w:szCs w:val="30"/>
          <w:highlight w:val="none"/>
        </w:rPr>
      </w:pPr>
      <w:r>
        <w:rPr>
          <w:rFonts w:hint="eastAsia"/>
          <w:b/>
          <w:bCs/>
          <w:color w:val="auto"/>
          <w:sz w:val="30"/>
          <w:szCs w:val="30"/>
          <w:highlight w:val="none"/>
        </w:rPr>
        <w:t>项目名称：</w:t>
      </w:r>
      <w:r>
        <w:rPr>
          <w:rFonts w:hAnsi="宋体"/>
          <w:b/>
          <w:bCs/>
          <w:color w:val="auto"/>
          <w:sz w:val="30"/>
          <w:szCs w:val="30"/>
          <w:highlight w:val="none"/>
        </w:rPr>
        <w:t>东阳市应急广播</w:t>
      </w:r>
      <w:r>
        <w:rPr>
          <w:rFonts w:hint="eastAsia" w:hAnsi="宋体"/>
          <w:b/>
          <w:bCs/>
          <w:color w:val="auto"/>
          <w:sz w:val="30"/>
          <w:szCs w:val="30"/>
          <w:highlight w:val="none"/>
        </w:rPr>
        <w:t>维保</w:t>
      </w:r>
      <w:r>
        <w:rPr>
          <w:rFonts w:hAnsi="宋体"/>
          <w:b/>
          <w:bCs/>
          <w:color w:val="auto"/>
          <w:sz w:val="30"/>
          <w:szCs w:val="30"/>
          <w:highlight w:val="none"/>
        </w:rPr>
        <w:t>提升改造项目</w:t>
      </w:r>
    </w:p>
    <w:p>
      <w:pPr>
        <w:pStyle w:val="29"/>
        <w:snapToGrid w:val="0"/>
        <w:spacing w:before="166" w:after="166" w:line="480" w:lineRule="auto"/>
        <w:ind w:left="1494" w:hanging="1494" w:hangingChars="496"/>
        <w:rPr>
          <w:rFonts w:hAnsi="宋体" w:cs="宋体"/>
          <w:b/>
          <w:color w:val="auto"/>
          <w:sz w:val="30"/>
          <w:szCs w:val="30"/>
          <w:highlight w:val="none"/>
        </w:rPr>
      </w:pPr>
      <w:r>
        <w:rPr>
          <w:rFonts w:hint="eastAsia" w:hAnsi="宋体"/>
          <w:b/>
          <w:bCs/>
          <w:color w:val="auto"/>
          <w:sz w:val="30"/>
          <w:szCs w:val="30"/>
          <w:highlight w:val="none"/>
        </w:rPr>
        <w:t>采购单位：</w:t>
      </w:r>
      <w:r>
        <w:rPr>
          <w:rFonts w:hAnsi="宋体"/>
          <w:b/>
          <w:bCs/>
          <w:color w:val="auto"/>
          <w:sz w:val="30"/>
          <w:szCs w:val="30"/>
          <w:highlight w:val="none"/>
        </w:rPr>
        <w:t xml:space="preserve">东阳市文化和广电旅游体育局 </w:t>
      </w:r>
    </w:p>
    <w:p>
      <w:pPr>
        <w:pStyle w:val="29"/>
        <w:snapToGrid w:val="0"/>
        <w:spacing w:before="166" w:after="166" w:line="480" w:lineRule="auto"/>
        <w:ind w:firstLine="0" w:firstLineChars="0"/>
        <w:rPr>
          <w:rFonts w:hAnsi="宋体"/>
          <w:b/>
          <w:color w:val="auto"/>
          <w:sz w:val="30"/>
          <w:szCs w:val="48"/>
          <w:highlight w:val="none"/>
        </w:rPr>
      </w:pPr>
      <w:r>
        <w:rPr>
          <w:rFonts w:hint="eastAsia" w:hAnsi="宋体"/>
          <w:b/>
          <w:bCs/>
          <w:color w:val="auto"/>
          <w:w w:val="95"/>
          <w:sz w:val="30"/>
          <w:szCs w:val="30"/>
          <w:highlight w:val="none"/>
        </w:rPr>
        <w:t>招标机构：</w:t>
      </w:r>
      <w:r>
        <w:rPr>
          <w:rFonts w:hAnsi="宋体"/>
          <w:b/>
          <w:color w:val="auto"/>
          <w:sz w:val="30"/>
          <w:szCs w:val="48"/>
          <w:highlight w:val="none"/>
        </w:rPr>
        <w:t xml:space="preserve"> 浙江衢州公信工程管理有限公司</w:t>
      </w:r>
    </w:p>
    <w:p>
      <w:pPr>
        <w:snapToGrid w:val="0"/>
        <w:spacing w:before="166" w:beforeLines="50"/>
        <w:ind w:left="3096" w:leftChars="1290" w:firstLine="2623" w:firstLineChars="863"/>
        <w:rPr>
          <w:color w:val="auto"/>
          <w:w w:val="95"/>
          <w:sz w:val="32"/>
          <w:szCs w:val="32"/>
          <w:highlight w:val="none"/>
        </w:rPr>
      </w:pPr>
    </w:p>
    <w:p>
      <w:pPr>
        <w:snapToGrid w:val="0"/>
        <w:spacing w:before="166" w:beforeLines="50"/>
        <w:ind w:firstLine="5722" w:firstLineChars="1900"/>
        <w:jc w:val="center"/>
        <w:rPr>
          <w:rFonts w:ascii="宋体" w:hAnsi="Courier New"/>
          <w:b/>
          <w:color w:val="auto"/>
          <w:sz w:val="30"/>
          <w:szCs w:val="30"/>
          <w:highlight w:val="none"/>
        </w:rPr>
        <w:sectPr>
          <w:headerReference r:id="rId6" w:type="first"/>
          <w:headerReference r:id="rId5" w:type="default"/>
          <w:footerReference r:id="rId7" w:type="even"/>
          <w:pgSz w:w="11906" w:h="16838"/>
          <w:pgMar w:top="1440" w:right="1800" w:bottom="1440" w:left="1800" w:header="851" w:footer="992" w:gutter="0"/>
          <w:pgNumType w:start="0"/>
          <w:cols w:space="720" w:num="1"/>
          <w:titlePg/>
          <w:docGrid w:type="lines" w:linePitch="332" w:charSpace="0"/>
        </w:sectPr>
      </w:pPr>
      <w:r>
        <w:rPr>
          <w:rFonts w:ascii="宋体" w:hAnsi="Courier New"/>
          <w:b/>
          <w:color w:val="auto"/>
          <w:sz w:val="30"/>
          <w:szCs w:val="30"/>
          <w:highlight w:val="none"/>
        </w:rPr>
        <w:t>20</w:t>
      </w:r>
      <w:r>
        <w:rPr>
          <w:rFonts w:hint="eastAsia" w:ascii="宋体" w:hAnsi="Courier New"/>
          <w:b/>
          <w:color w:val="auto"/>
          <w:sz w:val="30"/>
          <w:szCs w:val="30"/>
          <w:highlight w:val="none"/>
        </w:rPr>
        <w:t>23年</w:t>
      </w:r>
      <w:r>
        <w:rPr>
          <w:rFonts w:hint="eastAsia" w:ascii="宋体" w:hAnsi="Courier New"/>
          <w:b/>
          <w:color w:val="auto"/>
          <w:sz w:val="30"/>
          <w:szCs w:val="30"/>
          <w:highlight w:val="none"/>
          <w:lang w:val="en-US" w:eastAsia="zh-CN"/>
        </w:rPr>
        <w:t>5</w:t>
      </w:r>
      <w:r>
        <w:rPr>
          <w:rFonts w:hint="eastAsia" w:ascii="宋体" w:hAnsi="Courier New"/>
          <w:b/>
          <w:color w:val="auto"/>
          <w:sz w:val="30"/>
          <w:szCs w:val="30"/>
          <w:highlight w:val="none"/>
        </w:rPr>
        <w:t>月</w:t>
      </w:r>
      <w:r>
        <w:rPr>
          <w:rFonts w:hint="eastAsia" w:ascii="宋体" w:hAnsi="Courier New"/>
          <w:b/>
          <w:color w:val="auto"/>
          <w:sz w:val="30"/>
          <w:szCs w:val="30"/>
          <w:highlight w:val="none"/>
          <w:lang w:val="en-US" w:eastAsia="zh-CN"/>
        </w:rPr>
        <w:t>4</w:t>
      </w:r>
      <w:r>
        <w:rPr>
          <w:rFonts w:hint="eastAsia" w:ascii="宋体" w:hAnsi="Courier New"/>
          <w:b/>
          <w:color w:val="auto"/>
          <w:sz w:val="30"/>
          <w:szCs w:val="30"/>
          <w:highlight w:val="none"/>
        </w:rPr>
        <w:t>日</w:t>
      </w:r>
    </w:p>
    <w:p>
      <w:pPr>
        <w:snapToGrid w:val="0"/>
        <w:spacing w:before="166" w:beforeLines="50"/>
        <w:ind w:firstLine="880"/>
        <w:jc w:val="center"/>
        <w:rPr>
          <w:rFonts w:ascii="创艺简标宋" w:hAnsi="宋体" w:eastAsia="创艺简标宋"/>
          <w:color w:val="auto"/>
          <w:sz w:val="44"/>
          <w:szCs w:val="44"/>
          <w:highlight w:val="none"/>
        </w:rPr>
      </w:pPr>
      <w:r>
        <w:rPr>
          <w:rFonts w:hint="eastAsia" w:ascii="创艺简标宋" w:hAnsi="宋体" w:eastAsia="创艺简标宋"/>
          <w:color w:val="auto"/>
          <w:sz w:val="44"/>
          <w:szCs w:val="44"/>
          <w:highlight w:val="none"/>
        </w:rPr>
        <w:t>目   录</w:t>
      </w:r>
    </w:p>
    <w:p>
      <w:pPr>
        <w:pStyle w:val="29"/>
        <w:spacing w:before="166" w:after="166" w:line="360" w:lineRule="auto"/>
        <w:ind w:firstLine="880"/>
        <w:jc w:val="center"/>
        <w:rPr>
          <w:rFonts w:ascii="创艺简标宋" w:hAnsi="宋体" w:eastAsia="创艺简标宋"/>
          <w:color w:val="auto"/>
          <w:sz w:val="44"/>
          <w:szCs w:val="44"/>
          <w:highlight w:val="none"/>
        </w:rPr>
      </w:pPr>
    </w:p>
    <w:p>
      <w:pPr>
        <w:numPr>
          <w:ilvl w:val="0"/>
          <w:numId w:val="3"/>
        </w:numPr>
        <w:ind w:firstLine="0" w:firstLineChars="0"/>
        <w:rPr>
          <w:rFonts w:ascii="宋体"/>
          <w:color w:val="auto"/>
          <w:sz w:val="30"/>
          <w:szCs w:val="20"/>
          <w:highlight w:val="none"/>
        </w:rPr>
      </w:pPr>
      <w:r>
        <w:rPr>
          <w:rFonts w:hint="eastAsia" w:ascii="宋体" w:hAnsi="宋体"/>
          <w:color w:val="auto"/>
          <w:sz w:val="30"/>
          <w:highlight w:val="none"/>
        </w:rPr>
        <w:t>公开招标采购公告</w:t>
      </w:r>
    </w:p>
    <w:p>
      <w:pPr>
        <w:numPr>
          <w:ilvl w:val="0"/>
          <w:numId w:val="3"/>
        </w:numPr>
        <w:ind w:firstLine="0" w:firstLineChars="0"/>
        <w:rPr>
          <w:rFonts w:ascii="宋体"/>
          <w:color w:val="auto"/>
          <w:sz w:val="30"/>
          <w:szCs w:val="20"/>
          <w:highlight w:val="none"/>
        </w:rPr>
      </w:pPr>
      <w:r>
        <w:rPr>
          <w:rFonts w:hint="eastAsia" w:ascii="宋体" w:hAnsi="宋体"/>
          <w:color w:val="auto"/>
          <w:sz w:val="30"/>
          <w:highlight w:val="none"/>
        </w:rPr>
        <w:t>招标需求</w:t>
      </w:r>
    </w:p>
    <w:p>
      <w:pPr>
        <w:numPr>
          <w:ilvl w:val="0"/>
          <w:numId w:val="3"/>
        </w:numPr>
        <w:ind w:firstLine="0" w:firstLineChars="0"/>
        <w:rPr>
          <w:rFonts w:ascii="宋体"/>
          <w:color w:val="auto"/>
          <w:sz w:val="30"/>
          <w:szCs w:val="20"/>
          <w:highlight w:val="none"/>
        </w:rPr>
      </w:pPr>
      <w:r>
        <w:rPr>
          <w:rFonts w:hint="eastAsia" w:ascii="宋体" w:hAnsi="宋体"/>
          <w:color w:val="auto"/>
          <w:sz w:val="30"/>
          <w:highlight w:val="none"/>
        </w:rPr>
        <w:t>投标人须知</w:t>
      </w:r>
    </w:p>
    <w:p>
      <w:pPr>
        <w:numPr>
          <w:ilvl w:val="0"/>
          <w:numId w:val="3"/>
        </w:numPr>
        <w:ind w:firstLine="0" w:firstLineChars="0"/>
        <w:rPr>
          <w:rFonts w:ascii="宋体"/>
          <w:color w:val="auto"/>
          <w:sz w:val="30"/>
          <w:szCs w:val="20"/>
          <w:highlight w:val="none"/>
        </w:rPr>
      </w:pPr>
      <w:r>
        <w:rPr>
          <w:rFonts w:hint="eastAsia" w:ascii="宋体" w:hAnsi="宋体"/>
          <w:color w:val="auto"/>
          <w:sz w:val="30"/>
          <w:highlight w:val="none"/>
        </w:rPr>
        <w:t>评标办法及评分标准</w:t>
      </w:r>
    </w:p>
    <w:p>
      <w:pPr>
        <w:numPr>
          <w:ilvl w:val="0"/>
          <w:numId w:val="3"/>
        </w:numPr>
        <w:ind w:firstLine="0" w:firstLineChars="0"/>
        <w:rPr>
          <w:rFonts w:ascii="宋体"/>
          <w:color w:val="auto"/>
          <w:sz w:val="30"/>
          <w:szCs w:val="20"/>
          <w:highlight w:val="none"/>
        </w:rPr>
      </w:pPr>
      <w:r>
        <w:rPr>
          <w:rFonts w:hint="eastAsia" w:ascii="宋体" w:hAnsi="宋体"/>
          <w:color w:val="auto"/>
          <w:sz w:val="30"/>
          <w:highlight w:val="none"/>
        </w:rPr>
        <w:t>政府采购合同主要条款</w:t>
      </w:r>
    </w:p>
    <w:p>
      <w:pPr>
        <w:numPr>
          <w:ilvl w:val="0"/>
          <w:numId w:val="3"/>
        </w:numPr>
        <w:ind w:firstLine="0" w:firstLineChars="0"/>
        <w:rPr>
          <w:rFonts w:ascii="宋体"/>
          <w:color w:val="auto"/>
          <w:sz w:val="30"/>
          <w:szCs w:val="20"/>
          <w:highlight w:val="none"/>
        </w:rPr>
      </w:pPr>
      <w:r>
        <w:rPr>
          <w:rFonts w:hint="eastAsia" w:ascii="宋体" w:hAnsi="宋体"/>
          <w:color w:val="auto"/>
          <w:sz w:val="30"/>
          <w:highlight w:val="none"/>
        </w:rPr>
        <w:t>投标文件格式</w:t>
      </w:r>
    </w:p>
    <w:p>
      <w:pPr>
        <w:pStyle w:val="29"/>
        <w:snapToGrid w:val="0"/>
        <w:spacing w:beforeLines="0" w:after="166" w:line="360" w:lineRule="auto"/>
        <w:ind w:firstLine="0" w:firstLineChars="0"/>
        <w:outlineLvl w:val="0"/>
        <w:rPr>
          <w:rFonts w:hAnsi="宋体"/>
          <w:color w:val="auto"/>
          <w:highlight w:val="none"/>
        </w:rPr>
        <w:sectPr>
          <w:footerReference r:id="rId9" w:type="first"/>
          <w:footerReference r:id="rId8" w:type="default"/>
          <w:pgSz w:w="11906" w:h="16838"/>
          <w:pgMar w:top="1440" w:right="1800" w:bottom="1440" w:left="1800" w:header="851" w:footer="992" w:gutter="0"/>
          <w:pgNumType w:start="1"/>
          <w:cols w:space="720" w:num="1"/>
          <w:docGrid w:type="lines" w:linePitch="332" w:charSpace="0"/>
        </w:sectPr>
      </w:pPr>
    </w:p>
    <w:p>
      <w:pPr>
        <w:pStyle w:val="29"/>
        <w:snapToGrid w:val="0"/>
        <w:spacing w:before="156" w:after="156" w:line="360" w:lineRule="auto"/>
        <w:ind w:firstLine="480"/>
        <w:jc w:val="both"/>
        <w:outlineLvl w:val="0"/>
        <w:rPr>
          <w:rFonts w:hAnsi="宋体"/>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0" w:firstLineChars="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pStyle w:val="3"/>
        <w:spacing w:line="360" w:lineRule="auto"/>
        <w:ind w:firstLine="584"/>
        <w:rPr>
          <w:rFonts w:hAnsi="宋体" w:cs="宋体"/>
          <w:color w:val="auto"/>
          <w:sz w:val="30"/>
          <w:szCs w:val="30"/>
          <w:highlight w:val="none"/>
        </w:rPr>
      </w:pPr>
      <w:r>
        <w:rPr>
          <w:rFonts w:hint="eastAsia" w:hAnsi="宋体" w:cs="宋体"/>
          <w:color w:val="auto"/>
          <w:sz w:val="30"/>
          <w:szCs w:val="30"/>
          <w:highlight w:val="none"/>
        </w:rPr>
        <w:t>注：如招标公告与招标文件有出入或不一致的地方，以招标文件规定为准。</w:t>
      </w:r>
    </w:p>
    <w:p>
      <w:pPr>
        <w:pStyle w:val="29"/>
        <w:snapToGrid w:val="0"/>
        <w:spacing w:before="156" w:after="156" w:line="360" w:lineRule="auto"/>
        <w:ind w:firstLine="480"/>
        <w:outlineLvl w:val="0"/>
        <w:rPr>
          <w:rFonts w:hAnsi="宋体"/>
          <w:color w:val="auto"/>
          <w:highlight w:val="none"/>
        </w:rPr>
        <w:sectPr>
          <w:headerReference r:id="rId11" w:type="first"/>
          <w:footerReference r:id="rId14" w:type="first"/>
          <w:headerReference r:id="rId10" w:type="default"/>
          <w:footerReference r:id="rId12" w:type="default"/>
          <w:footerReference r:id="rId13" w:type="even"/>
          <w:type w:val="continuous"/>
          <w:pgSz w:w="11906" w:h="16838"/>
          <w:pgMar w:top="1440" w:right="1797" w:bottom="1440" w:left="1797" w:header="851" w:footer="992" w:gutter="0"/>
          <w:cols w:space="720" w:num="1"/>
          <w:docGrid w:type="linesAndChars" w:linePitch="312" w:charSpace="0"/>
        </w:sectPr>
      </w:pPr>
    </w:p>
    <w:p>
      <w:pPr>
        <w:pStyle w:val="5"/>
        <w:ind w:firstLine="482"/>
        <w:jc w:val="center"/>
        <w:rPr>
          <w:color w:val="auto"/>
          <w:highlight w:val="none"/>
        </w:rPr>
      </w:pPr>
      <w:r>
        <w:rPr>
          <w:rFonts w:hint="eastAsia"/>
          <w:color w:val="auto"/>
          <w:highlight w:val="none"/>
        </w:rPr>
        <w:t>公开招标采购公告</w:t>
      </w:r>
    </w:p>
    <w:p>
      <w:pPr>
        <w:pBdr>
          <w:top w:val="single" w:color="auto" w:sz="4" w:space="1"/>
          <w:left w:val="single" w:color="auto" w:sz="4" w:space="4"/>
          <w:bottom w:val="single" w:color="auto" w:sz="4" w:space="1"/>
          <w:right w:val="single" w:color="auto" w:sz="4" w:space="4"/>
        </w:pBdr>
        <w:ind w:firstLine="562"/>
        <w:rPr>
          <w:rFonts w:ascii="宋体"/>
          <w:color w:val="auto"/>
          <w:highlight w:val="none"/>
        </w:rPr>
      </w:pPr>
      <w:r>
        <w:rPr>
          <w:rFonts w:hint="eastAsia" w:ascii="宋体" w:hAnsi="宋体"/>
          <w:b/>
          <w:bCs/>
          <w:color w:val="auto"/>
          <w:sz w:val="28"/>
          <w:szCs w:val="28"/>
          <w:highlight w:val="none"/>
        </w:rPr>
        <w:t>项目概况</w:t>
      </w:r>
    </w:p>
    <w:p>
      <w:pPr>
        <w:pBdr>
          <w:top w:val="single" w:color="auto" w:sz="4" w:space="1"/>
          <w:left w:val="single" w:color="auto" w:sz="4" w:space="4"/>
          <w:bottom w:val="single" w:color="auto" w:sz="4" w:space="1"/>
          <w:right w:val="single" w:color="auto" w:sz="4" w:space="4"/>
        </w:pBdr>
        <w:ind w:firstLine="480"/>
        <w:rPr>
          <w:rFonts w:ascii="宋体"/>
          <w:color w:val="auto"/>
          <w:highlight w:val="none"/>
        </w:rPr>
      </w:pPr>
      <w:r>
        <w:rPr>
          <w:rFonts w:hint="eastAsia" w:ascii="宋体" w:hAnsi="宋体"/>
          <w:color w:val="auto"/>
          <w:highlight w:val="none"/>
          <w:u w:val="single"/>
        </w:rPr>
        <w:t>根据《中华人民共和国政府采购法》、《政府采购货物和服务招标投标管理办法》、《浙江省财政厅关于印发浙江省政府采购项目电子交易管理暂行办法的通知》等规定，经</w:t>
      </w:r>
      <w:r>
        <w:rPr>
          <w:rFonts w:hint="eastAsia" w:ascii="宋体" w:hAnsi="宋体"/>
          <w:b/>
          <w:bCs/>
          <w:color w:val="auto"/>
          <w:highlight w:val="none"/>
          <w:u w:val="single"/>
        </w:rPr>
        <w:t>东阳市财政局</w:t>
      </w:r>
      <w:r>
        <w:rPr>
          <w:rFonts w:hint="eastAsia" w:ascii="宋体" w:hAnsi="宋体"/>
          <w:b/>
          <w:bCs/>
          <w:color w:val="auto"/>
          <w:highlight w:val="none"/>
          <w:u w:val="single"/>
        </w:rPr>
        <w:fldChar w:fldCharType="begin"/>
      </w:r>
      <w:r>
        <w:rPr>
          <w:rFonts w:hint="eastAsia" w:ascii="宋体" w:hAnsi="宋体"/>
          <w:b/>
          <w:bCs/>
          <w:color w:val="auto"/>
          <w:highlight w:val="none"/>
          <w:u w:val="single"/>
        </w:rPr>
        <w:instrText xml:space="preserve"> HYPERLINK "https://pay.zcygov.cn/purchaseplan_front/" \l "/plan/list/detail?id=1000000000010239226&amp;encrypt=b8f2bfc982ea749d2186cfa51765ff3e" \t "https://www.zcygov.cn/project-center/purchasePlans/_blank" </w:instrText>
      </w:r>
      <w:r>
        <w:rPr>
          <w:rFonts w:hint="eastAsia" w:ascii="宋体" w:hAnsi="宋体"/>
          <w:b/>
          <w:bCs/>
          <w:color w:val="auto"/>
          <w:highlight w:val="none"/>
          <w:u w:val="single"/>
        </w:rPr>
        <w:fldChar w:fldCharType="separate"/>
      </w:r>
      <w:r>
        <w:rPr>
          <w:rFonts w:hint="eastAsia" w:ascii="宋体" w:hAnsi="宋体"/>
          <w:b/>
          <w:bCs/>
          <w:color w:val="auto"/>
          <w:highlight w:val="none"/>
          <w:u w:val="single"/>
        </w:rPr>
        <w:t>临[2023]688号</w:t>
      </w:r>
      <w:r>
        <w:rPr>
          <w:rFonts w:hint="eastAsia" w:ascii="宋体" w:hAnsi="宋体"/>
          <w:b/>
          <w:bCs/>
          <w:color w:val="auto"/>
          <w:highlight w:val="none"/>
          <w:u w:val="single"/>
        </w:rPr>
        <w:fldChar w:fldCharType="end"/>
      </w:r>
      <w:r>
        <w:rPr>
          <w:rFonts w:hint="eastAsia" w:ascii="宋体" w:hAnsi="宋体"/>
          <w:b/>
          <w:bCs/>
          <w:color w:val="auto"/>
          <w:highlight w:val="none"/>
          <w:u w:val="single"/>
        </w:rPr>
        <w:t>政府采购计划书</w:t>
      </w:r>
      <w:r>
        <w:rPr>
          <w:rFonts w:hint="eastAsia" w:ascii="宋体" w:hAnsi="宋体"/>
          <w:color w:val="auto"/>
          <w:highlight w:val="none"/>
          <w:u w:val="single"/>
        </w:rPr>
        <w:t>批准。现就</w:t>
      </w:r>
      <w:r>
        <w:rPr>
          <w:rFonts w:ascii="宋体" w:hAnsi="宋体"/>
          <w:color w:val="auto"/>
          <w:highlight w:val="none"/>
          <w:u w:val="single"/>
        </w:rPr>
        <w:t>东阳市应急广播</w:t>
      </w:r>
      <w:r>
        <w:rPr>
          <w:rFonts w:hint="eastAsia" w:ascii="宋体" w:hAnsi="宋体"/>
          <w:color w:val="auto"/>
          <w:highlight w:val="none"/>
          <w:u w:val="single"/>
        </w:rPr>
        <w:t>维保</w:t>
      </w:r>
      <w:r>
        <w:rPr>
          <w:rFonts w:ascii="宋体" w:hAnsi="宋体"/>
          <w:color w:val="auto"/>
          <w:highlight w:val="none"/>
          <w:u w:val="single"/>
        </w:rPr>
        <w:t>提升改造项目</w:t>
      </w:r>
      <w:r>
        <w:rPr>
          <w:rFonts w:hint="eastAsia" w:ascii="宋体" w:hAnsi="宋体"/>
          <w:color w:val="auto"/>
          <w:highlight w:val="none"/>
          <w:u w:val="single"/>
        </w:rPr>
        <w:t>进行公开招标采购。（</w:t>
      </w:r>
      <w:r>
        <w:rPr>
          <w:rFonts w:ascii="宋体" w:hAnsi="宋体"/>
          <w:color w:val="auto"/>
          <w:highlight w:val="none"/>
          <w:u w:val="single"/>
        </w:rPr>
        <w:t>东阳市应急广播</w:t>
      </w:r>
      <w:r>
        <w:rPr>
          <w:rFonts w:hint="eastAsia" w:ascii="宋体" w:hAnsi="宋体"/>
          <w:color w:val="auto"/>
          <w:highlight w:val="none"/>
          <w:u w:val="single"/>
        </w:rPr>
        <w:t>维保</w:t>
      </w:r>
      <w:r>
        <w:rPr>
          <w:rFonts w:ascii="宋体" w:hAnsi="宋体"/>
          <w:color w:val="auto"/>
          <w:highlight w:val="none"/>
          <w:u w:val="single"/>
        </w:rPr>
        <w:t>提升改造项目)</w:t>
      </w:r>
      <w:r>
        <w:rPr>
          <w:rFonts w:hint="eastAsia" w:ascii="宋体" w:hAnsi="宋体"/>
          <w:color w:val="auto"/>
          <w:highlight w:val="none"/>
          <w:u w:val="single"/>
        </w:rPr>
        <w:t>招标项目的潜在投标人应在（网址：浙江政府采购网</w:t>
      </w:r>
      <w:r>
        <w:rPr>
          <w:rFonts w:ascii="宋体" w:hAnsi="宋体"/>
          <w:color w:val="auto"/>
          <w:highlight w:val="none"/>
          <w:u w:val="single"/>
        </w:rPr>
        <w:t>(</w:t>
      </w:r>
      <w:r>
        <w:rPr>
          <w:color w:val="auto"/>
          <w:highlight w:val="none"/>
        </w:rPr>
        <w:fldChar w:fldCharType="begin"/>
      </w:r>
      <w:r>
        <w:rPr>
          <w:color w:val="auto"/>
          <w:highlight w:val="none"/>
        </w:rPr>
        <w:instrText xml:space="preserve"> HYPERLINK "http://www.zjzfcg.gov.cn/)、东阳市公共资源交易网" </w:instrText>
      </w:r>
      <w:r>
        <w:rPr>
          <w:color w:val="auto"/>
          <w:highlight w:val="none"/>
        </w:rPr>
        <w:fldChar w:fldCharType="separate"/>
      </w:r>
      <w:r>
        <w:rPr>
          <w:rFonts w:ascii="宋体" w:hAnsi="宋体"/>
          <w:color w:val="auto"/>
          <w:highlight w:val="none"/>
          <w:u w:val="single"/>
        </w:rPr>
        <w:t>www.zjzfcg.gov.cn/)</w:t>
      </w:r>
      <w:r>
        <w:rPr>
          <w:rFonts w:hint="eastAsia" w:ascii="宋体" w:hAnsi="宋体"/>
          <w:color w:val="auto"/>
          <w:highlight w:val="none"/>
          <w:u w:val="single"/>
        </w:rPr>
        <w:t>、东阳市公共资源交易网</w:t>
      </w:r>
      <w:r>
        <w:rPr>
          <w:rFonts w:hint="eastAsia" w:ascii="宋体" w:hAnsi="宋体"/>
          <w:color w:val="auto"/>
          <w:highlight w:val="none"/>
          <w:u w:val="single"/>
        </w:rPr>
        <w:fldChar w:fldCharType="end"/>
      </w:r>
      <w:r>
        <w:rPr>
          <w:color w:val="auto"/>
          <w:highlight w:val="none"/>
        </w:rPr>
        <w:fldChar w:fldCharType="begin"/>
      </w:r>
      <w:r>
        <w:rPr>
          <w:color w:val="auto"/>
          <w:highlight w:val="none"/>
        </w:rPr>
        <w:instrText xml:space="preserve"> HYPERLINK "http://www.dongyang.gov.cn/ggzyjy/index.html)）获取招标文件，并于2022年%20%20月" </w:instrText>
      </w:r>
      <w:r>
        <w:rPr>
          <w:color w:val="auto"/>
          <w:highlight w:val="none"/>
        </w:rPr>
        <w:fldChar w:fldCharType="separate"/>
      </w:r>
      <w:r>
        <w:rPr>
          <w:color w:val="auto"/>
          <w:highlight w:val="none"/>
        </w:rPr>
        <w:t>http://www.dongyang.gov.cn/ggzyjy/index.html)</w:t>
      </w:r>
      <w:r>
        <w:rPr>
          <w:rFonts w:hint="eastAsia"/>
          <w:color w:val="auto"/>
          <w:highlight w:val="none"/>
        </w:rPr>
        <w:t>）获取招标文件，并于</w:t>
      </w:r>
      <w:r>
        <w:rPr>
          <w:rFonts w:hint="eastAsia" w:ascii="宋体" w:hAnsi="宋体"/>
          <w:color w:val="auto"/>
          <w:highlight w:val="none"/>
          <w:u w:val="single"/>
        </w:rPr>
        <w:t>2023年</w:t>
      </w:r>
      <w:r>
        <w:rPr>
          <w:rFonts w:hint="eastAsia" w:ascii="宋体" w:hAnsi="宋体"/>
          <w:color w:val="auto"/>
          <w:highlight w:val="none"/>
          <w:u w:val="single"/>
          <w:lang w:val="en-US" w:eastAsia="zh-CN"/>
        </w:rPr>
        <w:t>5</w:t>
      </w:r>
      <w:r>
        <w:rPr>
          <w:rFonts w:hint="eastAsia"/>
          <w:color w:val="auto"/>
          <w:highlight w:val="none"/>
          <w:u w:val="single"/>
        </w:rPr>
        <w:t>月</w:t>
      </w:r>
      <w:r>
        <w:rPr>
          <w:rFonts w:hint="eastAsia"/>
          <w:color w:val="auto"/>
          <w:highlight w:val="none"/>
          <w:u w:val="single"/>
        </w:rPr>
        <w:fldChar w:fldCharType="end"/>
      </w:r>
      <w:r>
        <w:rPr>
          <w:rFonts w:hint="eastAsia"/>
          <w:color w:val="auto"/>
          <w:highlight w:val="none"/>
          <w:u w:val="single"/>
          <w:lang w:val="en-US" w:eastAsia="zh-CN"/>
        </w:rPr>
        <w:t>25</w:t>
      </w:r>
      <w:r>
        <w:rPr>
          <w:rFonts w:hint="eastAsia" w:ascii="宋体" w:hAnsi="宋体"/>
          <w:color w:val="auto"/>
          <w:highlight w:val="none"/>
          <w:u w:val="single"/>
        </w:rPr>
        <w:t>日14时00分（北京时间）前递交投标文件。</w:t>
      </w:r>
    </w:p>
    <w:p>
      <w:pPr>
        <w:ind w:firstLine="480"/>
        <w:rPr>
          <w:color w:val="auto"/>
          <w:highlight w:val="none"/>
        </w:rPr>
      </w:pPr>
    </w:p>
    <w:p>
      <w:pPr>
        <w:pStyle w:val="246"/>
        <w:spacing w:after="120"/>
        <w:ind w:firstLine="482"/>
        <w:rPr>
          <w:rFonts w:ascii="宋体" w:hAnsi="宋体" w:cs="宋体"/>
          <w:b/>
          <w:bCs/>
          <w:color w:val="auto"/>
          <w:szCs w:val="24"/>
          <w:highlight w:val="none"/>
        </w:rPr>
      </w:pPr>
      <w:r>
        <w:rPr>
          <w:rFonts w:hint="eastAsia" w:ascii="宋体" w:hAnsi="宋体" w:cs="宋体"/>
          <w:b/>
          <w:bCs/>
          <w:color w:val="auto"/>
          <w:szCs w:val="24"/>
          <w:highlight w:val="none"/>
        </w:rPr>
        <w:t>一、项目基本情况</w:t>
      </w:r>
    </w:p>
    <w:p>
      <w:pPr>
        <w:snapToGrid w:val="0"/>
        <w:ind w:firstLine="482"/>
        <w:rPr>
          <w:rFonts w:ascii="宋体" w:hAnsi="宋体" w:cs="宋体"/>
          <w:b/>
          <w:bCs/>
          <w:color w:val="auto"/>
          <w:kern w:val="0"/>
          <w:highlight w:val="none"/>
        </w:rPr>
      </w:pPr>
      <w:r>
        <w:rPr>
          <w:rFonts w:hint="eastAsia" w:ascii="宋体" w:hAnsi="宋体" w:cs="宋体"/>
          <w:b/>
          <w:bCs/>
          <w:color w:val="auto"/>
          <w:kern w:val="0"/>
          <w:highlight w:val="none"/>
        </w:rPr>
        <w:t>项目编号：</w:t>
      </w:r>
      <w:r>
        <w:rPr>
          <w:rFonts w:ascii="宋体" w:hAnsi="宋体" w:cs="宋体"/>
          <w:b/>
          <w:bCs/>
          <w:color w:val="auto"/>
          <w:kern w:val="0"/>
          <w:highlight w:val="none"/>
        </w:rPr>
        <w:t>ZJQZGX2023-010</w:t>
      </w:r>
      <w:r>
        <w:rPr>
          <w:rFonts w:hint="eastAsia" w:ascii="宋体" w:hAnsi="宋体" w:cs="宋体"/>
          <w:b/>
          <w:bCs/>
          <w:color w:val="auto"/>
          <w:kern w:val="0"/>
          <w:highlight w:val="none"/>
        </w:rPr>
        <w:t xml:space="preserve"> </w:t>
      </w:r>
    </w:p>
    <w:p>
      <w:pPr>
        <w:snapToGrid w:val="0"/>
        <w:ind w:firstLine="482"/>
        <w:rPr>
          <w:rFonts w:ascii="宋体" w:hAnsi="宋体" w:cs="宋体"/>
          <w:b/>
          <w:bCs/>
          <w:color w:val="auto"/>
          <w:kern w:val="0"/>
          <w:highlight w:val="none"/>
        </w:rPr>
      </w:pPr>
      <w:r>
        <w:rPr>
          <w:rFonts w:hint="eastAsia" w:ascii="宋体" w:hAnsi="宋体" w:cs="宋体"/>
          <w:b/>
          <w:bCs/>
          <w:color w:val="auto"/>
          <w:kern w:val="0"/>
          <w:highlight w:val="none"/>
        </w:rPr>
        <w:t>项目名称：</w:t>
      </w:r>
      <w:r>
        <w:rPr>
          <w:rFonts w:ascii="宋体" w:hAnsi="宋体" w:cs="宋体"/>
          <w:b/>
          <w:bCs/>
          <w:color w:val="auto"/>
          <w:kern w:val="0"/>
          <w:highlight w:val="none"/>
        </w:rPr>
        <w:t>东阳市应急广播</w:t>
      </w:r>
      <w:r>
        <w:rPr>
          <w:rFonts w:hint="eastAsia" w:ascii="宋体" w:hAnsi="宋体" w:cs="宋体"/>
          <w:b/>
          <w:bCs/>
          <w:color w:val="auto"/>
          <w:kern w:val="0"/>
          <w:highlight w:val="none"/>
        </w:rPr>
        <w:t>维保</w:t>
      </w:r>
      <w:r>
        <w:rPr>
          <w:rFonts w:ascii="宋体" w:hAnsi="宋体" w:cs="宋体"/>
          <w:b/>
          <w:bCs/>
          <w:color w:val="auto"/>
          <w:kern w:val="0"/>
          <w:highlight w:val="none"/>
        </w:rPr>
        <w:t>提升改造项目</w:t>
      </w:r>
    </w:p>
    <w:p>
      <w:pPr>
        <w:pStyle w:val="246"/>
        <w:spacing w:after="120"/>
        <w:ind w:firstLine="482"/>
        <w:rPr>
          <w:rFonts w:ascii="宋体" w:cs="宋体"/>
          <w:b/>
          <w:bCs/>
          <w:color w:val="auto"/>
          <w:szCs w:val="24"/>
          <w:highlight w:val="none"/>
        </w:rPr>
      </w:pPr>
      <w:r>
        <w:rPr>
          <w:rFonts w:hint="eastAsia" w:ascii="宋体" w:hAnsi="宋体" w:cs="宋体"/>
          <w:b/>
          <w:bCs/>
          <w:color w:val="auto"/>
          <w:szCs w:val="24"/>
          <w:highlight w:val="none"/>
        </w:rPr>
        <w:t>最高限价</w:t>
      </w:r>
      <w:r>
        <w:rPr>
          <w:rFonts w:hint="eastAsia" w:ascii="宋体" w:hAnsi="宋体" w:cs="宋体"/>
          <w:color w:val="auto"/>
          <w:szCs w:val="24"/>
          <w:highlight w:val="none"/>
        </w:rPr>
        <w:t>：</w:t>
      </w:r>
      <w:r>
        <w:rPr>
          <w:rFonts w:hint="eastAsia" w:ascii="宋体" w:hAnsi="宋体"/>
          <w:color w:val="auto"/>
          <w:szCs w:val="22"/>
          <w:highlight w:val="none"/>
        </w:rPr>
        <w:t>137</w:t>
      </w:r>
      <w:r>
        <w:rPr>
          <w:rFonts w:hint="eastAsia" w:ascii="宋体" w:hAnsi="宋体"/>
          <w:color w:val="auto"/>
          <w:szCs w:val="22"/>
          <w:highlight w:val="none"/>
          <w:lang w:val="en-US" w:eastAsia="zh-CN"/>
        </w:rPr>
        <w:t>5.998</w:t>
      </w:r>
      <w:r>
        <w:rPr>
          <w:rFonts w:hint="eastAsia" w:ascii="宋体" w:hAnsi="宋体" w:cs="宋体"/>
          <w:color w:val="auto"/>
          <w:szCs w:val="24"/>
          <w:highlight w:val="none"/>
        </w:rPr>
        <w:t>万元</w:t>
      </w:r>
    </w:p>
    <w:p>
      <w:pPr>
        <w:pStyle w:val="246"/>
        <w:spacing w:after="120"/>
        <w:ind w:firstLine="482"/>
        <w:rPr>
          <w:rFonts w:ascii="宋体" w:hAnsi="宋体" w:cs="宋体"/>
          <w:b/>
          <w:bCs/>
          <w:color w:val="auto"/>
          <w:szCs w:val="24"/>
          <w:highlight w:val="none"/>
        </w:rPr>
      </w:pPr>
      <w:r>
        <w:rPr>
          <w:rFonts w:hint="eastAsia" w:ascii="宋体" w:hAnsi="宋体" w:cs="宋体"/>
          <w:b/>
          <w:bCs/>
          <w:color w:val="auto"/>
          <w:szCs w:val="24"/>
          <w:highlight w:val="none"/>
        </w:rPr>
        <w:t>采购需求：</w:t>
      </w:r>
    </w:p>
    <w:tbl>
      <w:tblPr>
        <w:tblStyle w:val="46"/>
        <w:tblW w:w="9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551"/>
        <w:gridCol w:w="1026"/>
        <w:gridCol w:w="756"/>
        <w:gridCol w:w="851"/>
        <w:gridCol w:w="1924"/>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bCs/>
                <w:color w:val="auto"/>
                <w:highlight w:val="none"/>
              </w:rPr>
            </w:pPr>
            <w:r>
              <w:rPr>
                <w:rFonts w:hint="eastAsia" w:ascii="宋体" w:hAnsi="宋体" w:cs="宋体"/>
                <w:b/>
                <w:bCs/>
                <w:color w:val="auto"/>
                <w:highlight w:val="none"/>
              </w:rPr>
              <w:t>标项</w:t>
            </w:r>
          </w:p>
        </w:tc>
        <w:tc>
          <w:tcPr>
            <w:tcW w:w="2551" w:type="dxa"/>
            <w:tcBorders>
              <w:top w:val="single" w:color="auto" w:sz="4" w:space="0"/>
              <w:left w:val="single" w:color="auto" w:sz="4" w:space="0"/>
              <w:bottom w:val="single" w:color="auto" w:sz="4" w:space="0"/>
              <w:right w:val="single" w:color="auto" w:sz="4" w:space="0"/>
            </w:tcBorders>
            <w:vAlign w:val="center"/>
          </w:tcPr>
          <w:p>
            <w:pPr>
              <w:ind w:firstLine="482"/>
              <w:jc w:val="center"/>
              <w:rPr>
                <w:rFonts w:ascii="宋体" w:hAnsi="宋体" w:cs="宋体"/>
                <w:b/>
                <w:bCs/>
                <w:color w:val="auto"/>
                <w:highlight w:val="none"/>
              </w:rPr>
            </w:pPr>
            <w:r>
              <w:rPr>
                <w:rFonts w:hint="eastAsia" w:ascii="宋体" w:hAnsi="宋体" w:cs="宋体"/>
                <w:b/>
                <w:bCs/>
                <w:color w:val="auto"/>
                <w:highlight w:val="none"/>
              </w:rPr>
              <w:t>标项内容</w:t>
            </w:r>
          </w:p>
        </w:tc>
        <w:tc>
          <w:tcPr>
            <w:tcW w:w="102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bCs/>
                <w:color w:val="auto"/>
                <w:highlight w:val="none"/>
              </w:rPr>
            </w:pPr>
            <w:r>
              <w:rPr>
                <w:rFonts w:hint="eastAsia" w:ascii="宋体" w:hAnsi="宋体" w:cs="宋体"/>
                <w:b/>
                <w:bCs/>
                <w:color w:val="auto"/>
                <w:highlight w:val="none"/>
              </w:rPr>
              <w:t>服务期</w:t>
            </w:r>
          </w:p>
        </w:tc>
        <w:tc>
          <w:tcPr>
            <w:tcW w:w="75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bCs/>
                <w:color w:val="auto"/>
                <w:highlight w:val="none"/>
              </w:rPr>
            </w:pPr>
            <w:r>
              <w:rPr>
                <w:rFonts w:hint="eastAsia" w:ascii="宋体" w:hAnsi="宋体" w:cs="宋体"/>
                <w:b/>
                <w:bCs/>
                <w:color w:val="auto"/>
                <w:highlight w:val="none"/>
              </w:rPr>
              <w:t>数量</w:t>
            </w:r>
          </w:p>
        </w:tc>
        <w:tc>
          <w:tcPr>
            <w:tcW w:w="85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bCs/>
                <w:color w:val="auto"/>
                <w:highlight w:val="none"/>
              </w:rPr>
            </w:pPr>
            <w:r>
              <w:rPr>
                <w:rFonts w:hint="eastAsia" w:ascii="宋体" w:hAnsi="宋体" w:cs="宋体"/>
                <w:b/>
                <w:bCs/>
                <w:color w:val="auto"/>
                <w:highlight w:val="none"/>
              </w:rPr>
              <w:t>单位</w:t>
            </w:r>
          </w:p>
        </w:tc>
        <w:tc>
          <w:tcPr>
            <w:tcW w:w="19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bCs/>
                <w:color w:val="auto"/>
                <w:highlight w:val="none"/>
              </w:rPr>
            </w:pPr>
            <w:r>
              <w:rPr>
                <w:rFonts w:hint="eastAsia" w:ascii="宋体" w:hAnsi="宋体" w:cs="宋体"/>
                <w:b/>
                <w:bCs/>
                <w:color w:val="auto"/>
                <w:highlight w:val="none"/>
              </w:rPr>
              <w:t>单点服务费最高限价（元</w:t>
            </w:r>
            <w:r>
              <w:rPr>
                <w:rFonts w:hint="eastAsia" w:ascii="宋体" w:hAnsi="宋体" w:cs="宋体"/>
                <w:b/>
                <w:bCs/>
                <w:color w:val="auto"/>
                <w:highlight w:val="none"/>
                <w:lang w:val="en-US" w:eastAsia="zh-CN"/>
              </w:rPr>
              <w:t>每年</w:t>
            </w:r>
            <w:r>
              <w:rPr>
                <w:rFonts w:hint="eastAsia" w:ascii="宋体" w:hAnsi="宋体" w:cs="宋体"/>
                <w:b/>
                <w:bCs/>
                <w:color w:val="auto"/>
                <w:highlight w:val="none"/>
              </w:rPr>
              <w:t>）</w:t>
            </w:r>
          </w:p>
        </w:tc>
        <w:tc>
          <w:tcPr>
            <w:tcW w:w="191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bCs/>
                <w:color w:val="auto"/>
                <w:highlight w:val="none"/>
              </w:rPr>
            </w:pPr>
            <w:r>
              <w:rPr>
                <w:rFonts w:hint="eastAsia" w:ascii="宋体" w:hAnsi="宋体" w:cs="宋体"/>
                <w:b/>
                <w:bCs/>
                <w:color w:val="auto"/>
                <w:highlight w:val="none"/>
              </w:rPr>
              <w:t>简要技术要求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255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2"/>
                <w:highlight w:val="none"/>
              </w:rPr>
            </w:pPr>
            <w:r>
              <w:rPr>
                <w:rFonts w:hint="eastAsia" w:ascii="仿宋" w:hAnsi="仿宋"/>
                <w:color w:val="auto"/>
                <w:highlight w:val="none"/>
              </w:rPr>
              <w:t>东阳市应急广播维保提升改造项目</w:t>
            </w:r>
          </w:p>
        </w:tc>
        <w:tc>
          <w:tcPr>
            <w:tcW w:w="102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2"/>
                <w:highlight w:val="none"/>
              </w:rPr>
            </w:pPr>
            <w:r>
              <w:rPr>
                <w:rFonts w:hint="eastAsia" w:ascii="宋体" w:hAnsi="宋体"/>
                <w:color w:val="auto"/>
                <w:szCs w:val="22"/>
                <w:highlight w:val="none"/>
              </w:rPr>
              <w:t>3年</w:t>
            </w:r>
          </w:p>
        </w:tc>
        <w:tc>
          <w:tcPr>
            <w:tcW w:w="75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2"/>
                <w:highlight w:val="none"/>
              </w:rPr>
            </w:pPr>
            <w:r>
              <w:rPr>
                <w:rFonts w:hint="eastAsia" w:ascii="宋体" w:hAnsi="宋体"/>
                <w:color w:val="auto"/>
                <w:szCs w:val="22"/>
                <w:highlight w:val="none"/>
              </w:rPr>
              <w:t>1</w:t>
            </w:r>
          </w:p>
        </w:tc>
        <w:tc>
          <w:tcPr>
            <w:tcW w:w="85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2"/>
                <w:highlight w:val="none"/>
              </w:rPr>
            </w:pPr>
            <w:r>
              <w:rPr>
                <w:rFonts w:hint="eastAsia" w:ascii="宋体" w:hAnsi="宋体"/>
                <w:color w:val="auto"/>
                <w:szCs w:val="22"/>
                <w:highlight w:val="none"/>
              </w:rPr>
              <w:t>批</w:t>
            </w:r>
          </w:p>
        </w:tc>
        <w:tc>
          <w:tcPr>
            <w:tcW w:w="19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olor w:val="auto"/>
                <w:szCs w:val="22"/>
                <w:highlight w:val="none"/>
                <w:lang w:eastAsia="zh-CN"/>
              </w:rPr>
            </w:pPr>
            <w:r>
              <w:rPr>
                <w:rFonts w:hint="eastAsia" w:ascii="宋体" w:hAnsi="宋体"/>
                <w:color w:val="auto"/>
                <w:szCs w:val="22"/>
                <w:highlight w:val="none"/>
                <w:lang w:eastAsia="zh-CN"/>
              </w:rPr>
              <w:t>882.05</w:t>
            </w:r>
          </w:p>
        </w:tc>
        <w:tc>
          <w:tcPr>
            <w:tcW w:w="1919" w:type="dxa"/>
            <w:tcBorders>
              <w:top w:val="single" w:color="auto" w:sz="4" w:space="0"/>
              <w:left w:val="single" w:color="auto" w:sz="4" w:space="0"/>
              <w:right w:val="single" w:color="auto" w:sz="4" w:space="0"/>
            </w:tcBorders>
            <w:vAlign w:val="center"/>
          </w:tcPr>
          <w:p>
            <w:pPr>
              <w:ind w:firstLine="0" w:firstLineChars="0"/>
              <w:jc w:val="center"/>
              <w:rPr>
                <w:rFonts w:ascii="宋体" w:hAnsi="宋体"/>
                <w:color w:val="auto"/>
                <w:szCs w:val="22"/>
                <w:highlight w:val="none"/>
              </w:rPr>
            </w:pPr>
            <w:r>
              <w:rPr>
                <w:rFonts w:hint="eastAsia" w:ascii="宋体" w:hAnsi="宋体"/>
                <w:color w:val="auto"/>
                <w:szCs w:val="22"/>
                <w:highlight w:val="none"/>
              </w:rPr>
              <w:t>具体要求详见第二章招标需求</w:t>
            </w:r>
          </w:p>
        </w:tc>
      </w:tr>
    </w:tbl>
    <w:p>
      <w:pPr>
        <w:pStyle w:val="246"/>
        <w:spacing w:after="120"/>
        <w:ind w:firstLine="482"/>
        <w:rPr>
          <w:rFonts w:ascii="宋体" w:cs="宋体"/>
          <w:b/>
          <w:bCs/>
          <w:color w:val="auto"/>
          <w:szCs w:val="24"/>
          <w:highlight w:val="none"/>
        </w:rPr>
      </w:pPr>
    </w:p>
    <w:p>
      <w:pPr>
        <w:pStyle w:val="29"/>
        <w:spacing w:before="120" w:after="120" w:line="360" w:lineRule="auto"/>
        <w:ind w:firstLine="482"/>
        <w:rPr>
          <w:rFonts w:hAnsi="宋体"/>
          <w:b/>
          <w:bCs/>
          <w:color w:val="auto"/>
          <w:highlight w:val="none"/>
        </w:rPr>
      </w:pPr>
      <w:r>
        <w:rPr>
          <w:rFonts w:hint="eastAsia" w:hAnsi="宋体" w:cs="宋体"/>
          <w:b/>
          <w:bCs/>
          <w:color w:val="auto"/>
          <w:highlight w:val="none"/>
        </w:rPr>
        <w:t>▲</w:t>
      </w:r>
      <w:r>
        <w:rPr>
          <w:rFonts w:hint="eastAsia" w:hAnsi="宋体" w:cs="Arial"/>
          <w:b/>
          <w:bCs/>
          <w:color w:val="auto"/>
          <w:highlight w:val="none"/>
        </w:rPr>
        <w:t>二、</w:t>
      </w:r>
      <w:r>
        <w:rPr>
          <w:rFonts w:hint="eastAsia" w:hAnsi="宋体"/>
          <w:b/>
          <w:bCs/>
          <w:color w:val="auto"/>
          <w:highlight w:val="none"/>
        </w:rPr>
        <w:t>申请人的资格要求：</w:t>
      </w:r>
    </w:p>
    <w:p>
      <w:pPr>
        <w:pStyle w:val="16"/>
        <w:numPr>
          <w:ilvl w:val="0"/>
          <w:numId w:val="4"/>
        </w:numPr>
        <w:ind w:firstLine="480"/>
        <w:rPr>
          <w:rFonts w:ascii="宋体" w:hAnsi="宋体"/>
          <w:color w:val="auto"/>
          <w:highlight w:val="none"/>
        </w:rPr>
      </w:pPr>
      <w:r>
        <w:rPr>
          <w:rFonts w:hint="eastAsia" w:ascii="宋体" w:hAnsi="宋体"/>
          <w:color w:val="auto"/>
          <w:highlight w:val="none"/>
        </w:rPr>
        <w:t>满足《中华人民共和国政府采购法》第二十二条规定；</w:t>
      </w:r>
    </w:p>
    <w:p>
      <w:pPr>
        <w:pStyle w:val="17"/>
        <w:ind w:firstLine="480"/>
        <w:rPr>
          <w:rFonts w:hint="eastAsia"/>
          <w:color w:val="auto"/>
          <w:highlight w:val="none"/>
        </w:rPr>
      </w:pPr>
      <w:r>
        <w:rPr>
          <w:rFonts w:hint="eastAsia"/>
          <w:color w:val="auto"/>
          <w:highlight w:val="none"/>
        </w:rPr>
        <w:t>2.根据国家广播电视总局等部委的文件要求，应急广播传输覆盖网是在现有各级广播电视传输通道基础上进行相应改造实现应急广播消息的传输与覆盖。投标人必须提供省内广播电视节目传送经营许可证或持有项目所在地广播电视节目传送经营许可证单位的授权。</w:t>
      </w:r>
    </w:p>
    <w:p>
      <w:pPr>
        <w:pStyle w:val="16"/>
        <w:ind w:firstLine="482"/>
        <w:rPr>
          <w:rFonts w:ascii="宋体"/>
          <w:color w:val="auto"/>
          <w:highlight w:val="none"/>
        </w:rPr>
      </w:pPr>
      <w:r>
        <w:rPr>
          <w:rFonts w:hint="eastAsia" w:ascii="宋体" w:hAnsi="宋体"/>
          <w:b/>
          <w:bCs/>
          <w:color w:val="auto"/>
          <w:highlight w:val="none"/>
        </w:rPr>
        <w:t>3.本项目的特定资格要求：</w:t>
      </w:r>
    </w:p>
    <w:p>
      <w:pPr>
        <w:snapToGrid w:val="0"/>
        <w:ind w:firstLine="240" w:firstLineChars="100"/>
        <w:rPr>
          <w:rFonts w:ascii="宋体" w:cs="Arial"/>
          <w:color w:val="auto"/>
          <w:highlight w:val="none"/>
        </w:rPr>
      </w:pPr>
      <w:r>
        <w:rPr>
          <w:rFonts w:hint="eastAsia" w:ascii="宋体" w:hAnsi="宋体" w:cs="Arial"/>
          <w:color w:val="auto"/>
          <w:highlight w:val="none"/>
        </w:rPr>
        <w:t>（</w:t>
      </w:r>
      <w:r>
        <w:rPr>
          <w:rFonts w:ascii="宋体" w:hAnsi="宋体" w:cs="Arial"/>
          <w:color w:val="auto"/>
          <w:highlight w:val="none"/>
        </w:rPr>
        <w:t>1</w:t>
      </w:r>
      <w:r>
        <w:rPr>
          <w:rFonts w:hint="eastAsia" w:ascii="宋体" w:hAnsi="宋体" w:cs="Arial"/>
          <w:color w:val="auto"/>
          <w:highlight w:val="none"/>
        </w:rPr>
        <w:t>）本项目投标截止之日前三年内，未被“信用中国”、“中国政府采购网”列入失信被执行人、重大税收违法案件当事人名单、政府采购严重违法失信行为记录名单的；</w:t>
      </w:r>
    </w:p>
    <w:p>
      <w:pPr>
        <w:snapToGrid w:val="0"/>
        <w:ind w:firstLine="240" w:firstLineChars="100"/>
        <w:rPr>
          <w:rFonts w:ascii="宋体" w:cs="Arial"/>
          <w:color w:val="auto"/>
          <w:highlight w:val="none"/>
        </w:rPr>
      </w:pPr>
      <w:r>
        <w:rPr>
          <w:rFonts w:hint="eastAsia" w:ascii="宋体" w:hAnsi="宋体" w:cs="Arial"/>
          <w:color w:val="auto"/>
          <w:highlight w:val="none"/>
        </w:rPr>
        <w:t>（</w:t>
      </w:r>
      <w:r>
        <w:rPr>
          <w:rFonts w:ascii="宋体" w:hAnsi="宋体" w:cs="Arial"/>
          <w:color w:val="auto"/>
          <w:highlight w:val="none"/>
        </w:rPr>
        <w:t>2</w:t>
      </w:r>
      <w:r>
        <w:rPr>
          <w:rFonts w:hint="eastAsia" w:ascii="宋体" w:hAnsi="宋体" w:cs="Arial"/>
          <w:color w:val="auto"/>
          <w:highlight w:val="none"/>
        </w:rPr>
        <w:t>）</w:t>
      </w:r>
      <w:r>
        <w:rPr>
          <w:rFonts w:hint="eastAsia" w:ascii="宋体" w:hAnsi="宋体" w:cs="宋体"/>
          <w:color w:val="auto"/>
          <w:kern w:val="0"/>
          <w:highlight w:val="none"/>
        </w:rPr>
        <w:t>投标人注册：非浙江政府采购网注册或发生变更且未及时更新的投标人，应当在规定时间内按照《浙江省政府采购供应商注册及诚信管理暂行办法》（浙财采监字［</w:t>
      </w:r>
      <w:r>
        <w:rPr>
          <w:rFonts w:ascii="宋体" w:hAnsi="宋体" w:cs="宋体"/>
          <w:color w:val="auto"/>
          <w:kern w:val="0"/>
          <w:highlight w:val="none"/>
        </w:rPr>
        <w:t>2009</w:t>
      </w:r>
      <w:r>
        <w:rPr>
          <w:rFonts w:hint="eastAsia" w:ascii="宋体" w:hAnsi="宋体" w:cs="宋体"/>
          <w:color w:val="auto"/>
          <w:kern w:val="0"/>
          <w:highlight w:val="none"/>
        </w:rPr>
        <w:t>］</w:t>
      </w:r>
      <w:r>
        <w:rPr>
          <w:rFonts w:ascii="宋体" w:hAnsi="宋体" w:cs="宋体"/>
          <w:color w:val="auto"/>
          <w:kern w:val="0"/>
          <w:highlight w:val="none"/>
        </w:rPr>
        <w:t>28</w:t>
      </w:r>
      <w:r>
        <w:rPr>
          <w:rFonts w:hint="eastAsia" w:ascii="宋体" w:hAnsi="宋体" w:cs="宋体"/>
          <w:color w:val="auto"/>
          <w:kern w:val="0"/>
          <w:highlight w:val="none"/>
        </w:rPr>
        <w:t>号）的相关规定及时办理更新或投标人注册事项。</w:t>
      </w:r>
    </w:p>
    <w:p>
      <w:pPr>
        <w:snapToGrid w:val="0"/>
        <w:ind w:firstLine="240" w:firstLineChars="100"/>
        <w:rPr>
          <w:rFonts w:ascii="宋体" w:hAnsi="宋体" w:cs="Arial"/>
          <w:color w:val="auto"/>
          <w:highlight w:val="none"/>
        </w:rPr>
      </w:pPr>
      <w:bookmarkStart w:id="0" w:name="OLE_LINK1"/>
      <w:r>
        <w:rPr>
          <w:rFonts w:hint="eastAsia" w:ascii="宋体" w:hAnsi="宋体" w:cs="Arial"/>
          <w:color w:val="auto"/>
          <w:highlight w:val="none"/>
        </w:rPr>
        <w:t>（</w:t>
      </w:r>
      <w:r>
        <w:rPr>
          <w:rFonts w:ascii="宋体" w:hAnsi="宋体" w:cs="Arial"/>
          <w:color w:val="auto"/>
          <w:highlight w:val="none"/>
        </w:rPr>
        <w:t>3</w:t>
      </w:r>
      <w:r>
        <w:rPr>
          <w:rFonts w:hint="eastAsia" w:ascii="宋体" w:hAnsi="宋体" w:cs="Arial"/>
          <w:color w:val="auto"/>
          <w:highlight w:val="none"/>
        </w:rPr>
        <w:t>）本项目接受联合体投标</w:t>
      </w:r>
      <w:bookmarkEnd w:id="0"/>
      <w:r>
        <w:rPr>
          <w:rFonts w:hint="eastAsia" w:ascii="宋体" w:hAnsi="宋体" w:cs="Arial"/>
          <w:color w:val="auto"/>
          <w:highlight w:val="none"/>
        </w:rPr>
        <w:t>。</w:t>
      </w:r>
    </w:p>
    <w:p>
      <w:pPr>
        <w:spacing w:line="300" w:lineRule="auto"/>
        <w:ind w:firstLine="241" w:firstLineChars="100"/>
        <w:rPr>
          <w:rFonts w:ascii="宋体" w:hAnsi="宋体" w:cs="宋体"/>
          <w:b/>
          <w:bCs/>
          <w:color w:val="auto"/>
          <w:highlight w:val="none"/>
        </w:rPr>
      </w:pPr>
      <w:r>
        <w:rPr>
          <w:rFonts w:hint="eastAsia" w:ascii="宋体" w:hAnsi="宋体" w:cs="宋体"/>
          <w:b/>
          <w:bCs/>
          <w:color w:val="auto"/>
          <w:highlight w:val="none"/>
        </w:rPr>
        <w:t>（4）落实政府采购政策需满足的资格要求：</w:t>
      </w:r>
    </w:p>
    <w:p>
      <w:pPr>
        <w:spacing w:line="300" w:lineRule="auto"/>
        <w:ind w:firstLine="482"/>
        <w:rPr>
          <w:rFonts w:ascii="宋体" w:hAnsi="宋体" w:cs="宋体"/>
          <w:b/>
          <w:bCs/>
          <w:color w:val="auto"/>
          <w:highlight w:val="none"/>
        </w:rPr>
      </w:pPr>
      <w:r>
        <w:rPr>
          <w:rFonts w:hint="eastAsia" w:ascii="宋体" w:hAnsi="宋体" w:cs="宋体"/>
          <w:b/>
          <w:bCs/>
          <w:color w:val="auto"/>
          <w:highlight w:val="none"/>
        </w:rPr>
        <w:t>投标供应商须采用以下其中一种方式参与投标：</w:t>
      </w:r>
    </w:p>
    <w:p>
      <w:pPr>
        <w:spacing w:line="300" w:lineRule="auto"/>
        <w:ind w:firstLine="482"/>
        <w:rPr>
          <w:rFonts w:ascii="宋体" w:hAnsi="宋体" w:cs="宋体"/>
          <w:b/>
          <w:bCs/>
          <w:color w:val="auto"/>
          <w:highlight w:val="none"/>
        </w:rPr>
      </w:pPr>
      <w:r>
        <w:rPr>
          <w:rFonts w:hint="eastAsia" w:ascii="宋体" w:hAnsi="宋体" w:cs="宋体"/>
          <w:b/>
          <w:bCs/>
          <w:color w:val="auto"/>
          <w:highlight w:val="none"/>
        </w:rPr>
        <w:t>A、供应商提供所有服务均由中小企业承接。提供中小企业声明函（格式见附件）。</w:t>
      </w:r>
    </w:p>
    <w:p>
      <w:pPr>
        <w:spacing w:line="300" w:lineRule="auto"/>
        <w:ind w:firstLine="482"/>
        <w:rPr>
          <w:rFonts w:ascii="宋体" w:hAnsi="宋体" w:cs="宋体"/>
          <w:b/>
          <w:bCs/>
          <w:color w:val="auto"/>
          <w:highlight w:val="none"/>
        </w:rPr>
      </w:pPr>
      <w:r>
        <w:rPr>
          <w:rFonts w:hint="eastAsia" w:ascii="宋体" w:hAnsi="宋体" w:cs="宋体"/>
          <w:b/>
          <w:bCs/>
          <w:color w:val="auto"/>
          <w:highlight w:val="none"/>
        </w:rPr>
        <w:t>B、供应商提供部分服务由大型企业承接，由大型企业与中小微企业组成联合体投标，且联合协议中“中小微企业承接的服务合同份额”达到合同总金额的40%及以上。提供联合体协议（格式见附件）。</w:t>
      </w:r>
    </w:p>
    <w:p>
      <w:pPr>
        <w:spacing w:line="300" w:lineRule="auto"/>
        <w:ind w:firstLine="482"/>
        <w:rPr>
          <w:rFonts w:ascii="宋体" w:hAnsi="宋体" w:cs="宋体"/>
          <w:b/>
          <w:bCs/>
          <w:color w:val="auto"/>
          <w:highlight w:val="none"/>
        </w:rPr>
      </w:pPr>
      <w:r>
        <w:rPr>
          <w:rFonts w:hint="eastAsia" w:ascii="宋体" w:hAnsi="宋体" w:cs="宋体"/>
          <w:b/>
          <w:bCs/>
          <w:color w:val="auto"/>
          <w:highlight w:val="none"/>
        </w:rPr>
        <w:t>C、供应商提供部分服务由大型企业承接，由大型企业向中小微企业合理分包，且分包意向协议中“中小微企业承接的服务合同份额”达到合同总金额的40%及以上，提供分包意向协议（格式见附件）。</w:t>
      </w:r>
    </w:p>
    <w:p>
      <w:pPr>
        <w:snapToGrid w:val="0"/>
        <w:ind w:firstLine="241" w:firstLineChars="100"/>
        <w:rPr>
          <w:color w:val="auto"/>
          <w:highlight w:val="none"/>
        </w:rPr>
      </w:pPr>
      <w:r>
        <w:rPr>
          <w:rFonts w:hint="eastAsia" w:ascii="宋体" w:hAnsi="宋体" w:cs="宋体"/>
          <w:b/>
          <w:bCs/>
          <w:color w:val="auto"/>
          <w:highlight w:val="none"/>
        </w:rPr>
        <w:t xml:space="preserve"> D、监狱企业、残疾人福利性单位视同小微企业。 </w:t>
      </w:r>
      <w:r>
        <w:rPr>
          <w:rFonts w:hint="eastAsia" w:ascii="宋体" w:hAnsi="宋体" w:cs="宋体"/>
          <w:color w:val="auto"/>
          <w:highlight w:val="none"/>
        </w:rPr>
        <w:t xml:space="preserve">   </w:t>
      </w:r>
    </w:p>
    <w:p>
      <w:pPr>
        <w:snapToGrid w:val="0"/>
        <w:ind w:firstLine="241" w:firstLineChars="100"/>
        <w:rPr>
          <w:rFonts w:ascii="宋体" w:cs="宋体"/>
          <w:b/>
          <w:bCs/>
          <w:color w:val="auto"/>
          <w:highlight w:val="none"/>
        </w:rPr>
      </w:pPr>
      <w:r>
        <w:rPr>
          <w:rFonts w:hint="eastAsia" w:ascii="宋体" w:hAnsi="宋体" w:cs="宋体"/>
          <w:b/>
          <w:bCs/>
          <w:color w:val="auto"/>
          <w:highlight w:val="none"/>
        </w:rPr>
        <w:t>▲三、招标文件的获取：</w:t>
      </w:r>
    </w:p>
    <w:p>
      <w:pPr>
        <w:ind w:firstLine="48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、时间：</w:t>
      </w:r>
      <w:r>
        <w:rPr>
          <w:rFonts w:ascii="宋体" w:hAnsi="宋体" w:cs="宋体"/>
          <w:color w:val="auto"/>
          <w:highlight w:val="none"/>
        </w:rPr>
        <w:t>202</w:t>
      </w:r>
      <w:r>
        <w:rPr>
          <w:rFonts w:hint="eastAsia" w:ascii="宋体" w:hAnsi="宋体" w:cs="宋体"/>
          <w:color w:val="auto"/>
          <w:highlight w:val="none"/>
        </w:rPr>
        <w:t>3年</w:t>
      </w:r>
      <w:r>
        <w:rPr>
          <w:rFonts w:hint="eastAsia" w:ascii="宋体" w:hAnsi="宋体" w:cs="宋体"/>
          <w:color w:val="auto"/>
          <w:highlight w:val="none"/>
          <w:lang w:val="en-US" w:eastAsia="zh-CN"/>
        </w:rPr>
        <w:t>5</w:t>
      </w:r>
      <w:r>
        <w:rPr>
          <w:rFonts w:hint="eastAsia" w:ascii="宋体" w:hAnsi="宋体" w:cs="宋体"/>
          <w:color w:val="auto"/>
          <w:highlight w:val="none"/>
        </w:rPr>
        <w:t>月</w:t>
      </w:r>
      <w:r>
        <w:rPr>
          <w:rFonts w:hint="eastAsia" w:ascii="宋体" w:hAnsi="宋体" w:cs="宋体"/>
          <w:color w:val="auto"/>
          <w:highlight w:val="none"/>
          <w:lang w:val="en-US" w:eastAsia="zh-CN"/>
        </w:rPr>
        <w:t>5</w:t>
      </w:r>
      <w:r>
        <w:rPr>
          <w:rFonts w:hint="eastAsia" w:ascii="宋体" w:hAnsi="宋体" w:cs="宋体"/>
          <w:color w:val="auto"/>
          <w:highlight w:val="none"/>
        </w:rPr>
        <w:t>日至</w:t>
      </w:r>
      <w:r>
        <w:rPr>
          <w:rFonts w:ascii="宋体" w:hAnsi="宋体" w:cs="宋体"/>
          <w:color w:val="auto"/>
          <w:highlight w:val="none"/>
        </w:rPr>
        <w:t>202</w:t>
      </w:r>
      <w:r>
        <w:rPr>
          <w:rFonts w:hint="eastAsia" w:ascii="宋体" w:hAnsi="宋体" w:cs="宋体"/>
          <w:color w:val="auto"/>
          <w:highlight w:val="none"/>
        </w:rPr>
        <w:t>3年</w:t>
      </w:r>
      <w:r>
        <w:rPr>
          <w:rFonts w:hint="eastAsia" w:ascii="宋体" w:hAnsi="宋体" w:cs="宋体"/>
          <w:color w:val="auto"/>
          <w:highlight w:val="none"/>
          <w:lang w:val="en-US" w:eastAsia="zh-CN"/>
        </w:rPr>
        <w:t>5</w:t>
      </w:r>
      <w:r>
        <w:rPr>
          <w:rFonts w:hint="eastAsia" w:ascii="宋体" w:hAnsi="宋体" w:cs="宋体"/>
          <w:color w:val="auto"/>
          <w:highlight w:val="none"/>
        </w:rPr>
        <w:t>月</w:t>
      </w:r>
      <w:r>
        <w:rPr>
          <w:rFonts w:hint="eastAsia" w:ascii="宋体" w:hAnsi="宋体" w:cs="宋体"/>
          <w:color w:val="auto"/>
          <w:highlight w:val="none"/>
          <w:lang w:val="en-US" w:eastAsia="zh-CN"/>
        </w:rPr>
        <w:t>24</w:t>
      </w:r>
      <w:r>
        <w:rPr>
          <w:rFonts w:hint="eastAsia" w:ascii="宋体" w:hAnsi="宋体" w:cs="宋体"/>
          <w:color w:val="auto"/>
          <w:highlight w:val="none"/>
        </w:rPr>
        <w:t>日，每天上午</w:t>
      </w:r>
      <w:r>
        <w:rPr>
          <w:rFonts w:ascii="宋体" w:cs="宋体"/>
          <w:color w:val="auto"/>
          <w:highlight w:val="none"/>
        </w:rPr>
        <w:t>00</w:t>
      </w:r>
      <w:r>
        <w:rPr>
          <w:rFonts w:hint="eastAsia" w:ascii="宋体" w:hAnsi="宋体" w:cs="宋体"/>
          <w:color w:val="auto"/>
          <w:highlight w:val="none"/>
        </w:rPr>
        <w:t>：</w:t>
      </w:r>
      <w:r>
        <w:rPr>
          <w:rFonts w:ascii="宋体" w:cs="宋体"/>
          <w:color w:val="auto"/>
          <w:highlight w:val="none"/>
        </w:rPr>
        <w:t>00</w:t>
      </w:r>
      <w:r>
        <w:rPr>
          <w:rFonts w:hint="eastAsia" w:ascii="宋体" w:hAnsi="宋体" w:cs="宋体"/>
          <w:color w:val="auto"/>
          <w:highlight w:val="none"/>
        </w:rPr>
        <w:t>至</w:t>
      </w:r>
      <w:r>
        <w:rPr>
          <w:rFonts w:ascii="宋体" w:hAnsi="宋体" w:cs="宋体"/>
          <w:color w:val="auto"/>
          <w:highlight w:val="none"/>
        </w:rPr>
        <w:t>12:00</w:t>
      </w:r>
      <w:r>
        <w:rPr>
          <w:rFonts w:hint="eastAsia" w:ascii="宋体" w:hAnsi="宋体" w:cs="宋体"/>
          <w:color w:val="auto"/>
          <w:highlight w:val="none"/>
        </w:rPr>
        <w:t>，下午</w:t>
      </w:r>
      <w:r>
        <w:rPr>
          <w:rFonts w:ascii="宋体" w:hAnsi="宋体" w:cs="宋体"/>
          <w:color w:val="auto"/>
          <w:highlight w:val="none"/>
        </w:rPr>
        <w:t>12:00</w:t>
      </w:r>
      <w:r>
        <w:rPr>
          <w:rFonts w:hint="eastAsia" w:ascii="宋体" w:hAnsi="宋体" w:cs="宋体"/>
          <w:color w:val="auto"/>
          <w:highlight w:val="none"/>
        </w:rPr>
        <w:t>至</w:t>
      </w:r>
      <w:r>
        <w:rPr>
          <w:rFonts w:ascii="宋体" w:hAnsi="宋体" w:cs="宋体"/>
          <w:color w:val="auto"/>
          <w:highlight w:val="none"/>
        </w:rPr>
        <w:t>23:59</w:t>
      </w:r>
      <w:r>
        <w:rPr>
          <w:rFonts w:hint="eastAsia" w:ascii="宋体" w:hAnsi="宋体" w:cs="宋体"/>
          <w:color w:val="auto"/>
          <w:highlight w:val="none"/>
        </w:rPr>
        <w:t>（北京时间，线上获取法定节假日均可，线下获取文件法定节假日除外）。</w:t>
      </w:r>
    </w:p>
    <w:p>
      <w:pPr>
        <w:ind w:firstLine="48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、地点（网址）：</w:t>
      </w:r>
    </w:p>
    <w:p>
      <w:pPr>
        <w:ind w:firstLine="480"/>
        <w:rPr>
          <w:rFonts w:ascii="宋体" w:cs="宋体"/>
          <w:color w:val="auto"/>
          <w:highlight w:val="none"/>
        </w:rPr>
      </w:pPr>
      <w:r>
        <w:rPr>
          <w:rFonts w:hint="eastAsia" w:ascii="宋体" w:hAnsi="宋体" w:cs="宋体"/>
          <w:color w:val="auto"/>
          <w:highlight w:val="none"/>
        </w:rPr>
        <w:t>浙江政府采购网（</w:t>
      </w:r>
      <w:r>
        <w:rPr>
          <w:rFonts w:ascii="宋体" w:hAnsi="宋体" w:cs="宋体"/>
          <w:color w:val="auto"/>
          <w:highlight w:val="none"/>
        </w:rPr>
        <w:t>www.zjzfcg.gov.cn/</w:t>
      </w:r>
      <w:r>
        <w:rPr>
          <w:rFonts w:hint="eastAsia" w:ascii="宋体" w:hAnsi="宋体" w:cs="宋体"/>
          <w:color w:val="auto"/>
          <w:highlight w:val="none"/>
        </w:rPr>
        <w:t>）；</w:t>
      </w:r>
    </w:p>
    <w:p>
      <w:pPr>
        <w:ind w:firstLine="480"/>
        <w:rPr>
          <w:rFonts w:ascii="宋体" w:cs="宋体"/>
          <w:color w:val="auto"/>
          <w:highlight w:val="none"/>
        </w:rPr>
      </w:pPr>
      <w:r>
        <w:rPr>
          <w:rFonts w:hint="eastAsia" w:ascii="宋体" w:hAnsi="宋体" w:cs="宋体"/>
          <w:color w:val="auto"/>
          <w:highlight w:val="none"/>
        </w:rPr>
        <w:t>东阳市公共资源交易网</w:t>
      </w:r>
      <w:r>
        <w:rPr>
          <w:rFonts w:ascii="宋体" w:hAnsi="宋体" w:cs="宋体"/>
          <w:color w:val="auto"/>
          <w:highlight w:val="none"/>
        </w:rPr>
        <w:t>(http://www.dongyang.gov.cn/ggzyjy/index.html)</w:t>
      </w:r>
      <w:r>
        <w:rPr>
          <w:rFonts w:hint="eastAsia" w:ascii="宋体" w:hAnsi="宋体" w:cs="宋体"/>
          <w:color w:val="auto"/>
          <w:highlight w:val="none"/>
        </w:rPr>
        <w:t>。</w:t>
      </w:r>
    </w:p>
    <w:p>
      <w:pPr>
        <w:snapToGrid w:val="0"/>
        <w:ind w:firstLine="482"/>
        <w:rPr>
          <w:rFonts w:ascii="宋体" w:cs="宋体"/>
          <w:b/>
          <w:bCs/>
          <w:color w:val="auto"/>
          <w:highlight w:val="none"/>
        </w:rPr>
      </w:pPr>
      <w:r>
        <w:rPr>
          <w:rFonts w:ascii="宋体" w:hAnsi="宋体" w:cs="宋体"/>
          <w:b/>
          <w:bCs/>
          <w:color w:val="auto"/>
          <w:highlight w:val="none"/>
        </w:rPr>
        <w:t>3</w:t>
      </w:r>
      <w:r>
        <w:rPr>
          <w:rFonts w:hint="eastAsia" w:ascii="宋体" w:hAnsi="宋体" w:cs="宋体"/>
          <w:b/>
          <w:bCs/>
          <w:color w:val="auto"/>
          <w:highlight w:val="none"/>
        </w:rPr>
        <w:t>、获取方式：由投标单位通过浙江省政府采购网</w:t>
      </w:r>
      <w:r>
        <w:rPr>
          <w:rFonts w:ascii="宋体" w:hAnsi="宋体" w:cs="宋体"/>
          <w:b/>
          <w:bCs/>
          <w:color w:val="auto"/>
          <w:highlight w:val="none"/>
        </w:rPr>
        <w:t>(www.zjzfcg.gov.cn/)</w:t>
      </w:r>
      <w:r>
        <w:rPr>
          <w:rFonts w:hint="eastAsia" w:ascii="宋体" w:hAnsi="宋体" w:cs="宋体"/>
          <w:b/>
          <w:bCs/>
          <w:color w:val="auto"/>
          <w:highlight w:val="none"/>
        </w:rPr>
        <w:t>上的政采云获取系统进行获取（首次参加投标的单位应先登录浙江省政府采购网</w:t>
      </w:r>
      <w:r>
        <w:rPr>
          <w:rFonts w:ascii="宋体" w:hAnsi="宋体" w:cs="宋体"/>
          <w:b/>
          <w:bCs/>
          <w:color w:val="auto"/>
          <w:highlight w:val="none"/>
        </w:rPr>
        <w:t>(www.zjzfcg.gov.cn/)</w:t>
      </w:r>
      <w:r>
        <w:rPr>
          <w:rFonts w:hint="eastAsia" w:ascii="宋体" w:hAnsi="宋体" w:cs="宋体"/>
          <w:b/>
          <w:bCs/>
          <w:color w:val="auto"/>
          <w:highlight w:val="none"/>
        </w:rPr>
        <w:t>进行账户注册，注册完毕待审核成功后方可登录获取，注册咨询电话：</w:t>
      </w:r>
      <w:r>
        <w:rPr>
          <w:rFonts w:ascii="宋体" w:hAnsi="宋体" w:cs="宋体"/>
          <w:b/>
          <w:bCs/>
          <w:color w:val="auto"/>
          <w:highlight w:val="none"/>
        </w:rPr>
        <w:t>400-881-7190</w:t>
      </w:r>
      <w:r>
        <w:rPr>
          <w:rFonts w:hint="eastAsia" w:ascii="宋体" w:hAnsi="宋体" w:cs="宋体"/>
          <w:b/>
          <w:bCs/>
          <w:color w:val="auto"/>
          <w:highlight w:val="none"/>
        </w:rPr>
        <w:t>；注册流程见网址</w:t>
      </w:r>
    </w:p>
    <w:p>
      <w:pPr>
        <w:snapToGrid w:val="0"/>
        <w:ind w:firstLine="482"/>
        <w:rPr>
          <w:rFonts w:ascii="宋体" w:cs="宋体"/>
          <w:b/>
          <w:bCs/>
          <w:color w:val="auto"/>
          <w:highlight w:val="none"/>
        </w:rPr>
      </w:pPr>
      <w:r>
        <w:rPr>
          <w:rFonts w:ascii="宋体" w:hAnsi="宋体" w:cs="宋体"/>
          <w:b/>
          <w:bCs/>
          <w:color w:val="auto"/>
          <w:highlight w:val="none"/>
        </w:rPr>
        <w:t>http://www.zjzfcg.gov.cn/register/2017-07-24/6728.html?_=2017-11-13%2011:10:28</w:t>
      </w:r>
      <w:r>
        <w:rPr>
          <w:rFonts w:hint="eastAsia" w:ascii="宋体" w:hAnsi="宋体" w:cs="宋体"/>
          <w:b/>
          <w:bCs/>
          <w:color w:val="auto"/>
          <w:highlight w:val="none"/>
        </w:rPr>
        <w:t>）。</w:t>
      </w:r>
    </w:p>
    <w:p>
      <w:pPr>
        <w:snapToGrid w:val="0"/>
        <w:ind w:firstLine="482"/>
        <w:rPr>
          <w:rFonts w:ascii="宋体" w:cs="宋体"/>
          <w:b/>
          <w:bCs/>
          <w:color w:val="auto"/>
          <w:highlight w:val="none"/>
        </w:rPr>
      </w:pPr>
      <w:r>
        <w:rPr>
          <w:rFonts w:ascii="宋体" w:hAnsi="宋体" w:cs="宋体"/>
          <w:b/>
          <w:bCs/>
          <w:color w:val="auto"/>
          <w:highlight w:val="none"/>
        </w:rPr>
        <w:t>4</w:t>
      </w:r>
      <w:r>
        <w:rPr>
          <w:rFonts w:hint="eastAsia" w:ascii="宋体" w:hAnsi="宋体" w:cs="宋体"/>
          <w:b/>
          <w:bCs/>
          <w:color w:val="auto"/>
          <w:highlight w:val="none"/>
        </w:rPr>
        <w:t>、获取流程：浙江政府采购网</w:t>
      </w:r>
      <w:r>
        <w:rPr>
          <w:rFonts w:ascii="宋体" w:cs="宋体"/>
          <w:b/>
          <w:bCs/>
          <w:color w:val="auto"/>
          <w:highlight w:val="none"/>
        </w:rPr>
        <w:t>-</w:t>
      </w:r>
      <w:r>
        <w:rPr>
          <w:rFonts w:hint="eastAsia" w:ascii="宋体" w:hAnsi="宋体" w:cs="宋体"/>
          <w:b/>
          <w:bCs/>
          <w:color w:val="auto"/>
          <w:highlight w:val="none"/>
        </w:rPr>
        <w:t>政采云用户登录</w:t>
      </w:r>
      <w:r>
        <w:rPr>
          <w:rFonts w:ascii="宋体" w:cs="宋体"/>
          <w:b/>
          <w:bCs/>
          <w:color w:val="auto"/>
          <w:highlight w:val="none"/>
        </w:rPr>
        <w:t>-</w:t>
      </w:r>
      <w:r>
        <w:rPr>
          <w:rFonts w:hint="eastAsia" w:ascii="宋体" w:hAnsi="宋体" w:cs="宋体"/>
          <w:b/>
          <w:bCs/>
          <w:color w:val="auto"/>
          <w:highlight w:val="none"/>
        </w:rPr>
        <w:t>用户中心</w:t>
      </w:r>
      <w:r>
        <w:rPr>
          <w:rFonts w:ascii="宋体" w:cs="宋体"/>
          <w:b/>
          <w:bCs/>
          <w:color w:val="auto"/>
          <w:highlight w:val="none"/>
        </w:rPr>
        <w:t>-</w:t>
      </w:r>
      <w:r>
        <w:rPr>
          <w:rFonts w:hint="eastAsia" w:ascii="宋体" w:hAnsi="宋体" w:cs="宋体"/>
          <w:b/>
          <w:bCs/>
          <w:color w:val="auto"/>
          <w:highlight w:val="none"/>
        </w:rPr>
        <w:t>项目采购</w:t>
      </w:r>
      <w:r>
        <w:rPr>
          <w:rFonts w:ascii="宋体" w:cs="宋体"/>
          <w:b/>
          <w:bCs/>
          <w:color w:val="auto"/>
          <w:highlight w:val="none"/>
        </w:rPr>
        <w:t>-</w:t>
      </w:r>
      <w:r>
        <w:rPr>
          <w:rFonts w:hint="eastAsia" w:ascii="宋体" w:hAnsi="宋体" w:cs="宋体"/>
          <w:b/>
          <w:bCs/>
          <w:color w:val="auto"/>
          <w:highlight w:val="none"/>
        </w:rPr>
        <w:t>获取采购文件管理，电子版采购文件免费获取。</w:t>
      </w:r>
    </w:p>
    <w:p>
      <w:pPr>
        <w:snapToGrid w:val="0"/>
        <w:ind w:firstLine="482"/>
        <w:rPr>
          <w:rFonts w:ascii="宋体" w:cs="宋体"/>
          <w:b/>
          <w:bCs/>
          <w:color w:val="auto"/>
          <w:highlight w:val="none"/>
        </w:rPr>
      </w:pPr>
      <w:r>
        <w:rPr>
          <w:rFonts w:ascii="宋体" w:hAnsi="宋体" w:cs="宋体"/>
          <w:b/>
          <w:bCs/>
          <w:color w:val="auto"/>
          <w:highlight w:val="none"/>
        </w:rPr>
        <w:t>5</w:t>
      </w:r>
      <w:r>
        <w:rPr>
          <w:rFonts w:hint="eastAsia" w:ascii="宋体" w:hAnsi="宋体" w:cs="宋体"/>
          <w:b/>
          <w:bCs/>
          <w:color w:val="auto"/>
          <w:highlight w:val="none"/>
        </w:rPr>
        <w:t>、浙江政府采购网上以“游客”身份获取的采购文件仅供阅览；潜在供应商应按上述方式获取采购文件；未按上述方式获取采购文件的，不得对采购文件提起质疑投诉。</w:t>
      </w:r>
    </w:p>
    <w:p>
      <w:pPr>
        <w:snapToGrid w:val="0"/>
        <w:ind w:firstLine="482"/>
        <w:rPr>
          <w:rFonts w:ascii="宋体" w:cs="宋体"/>
          <w:b/>
          <w:bCs/>
          <w:color w:val="auto"/>
          <w:highlight w:val="none"/>
        </w:rPr>
      </w:pPr>
      <w:r>
        <w:rPr>
          <w:rFonts w:hint="eastAsia" w:ascii="宋体" w:hAnsi="宋体" w:cs="宋体"/>
          <w:b/>
          <w:bCs/>
          <w:color w:val="auto"/>
          <w:highlight w:val="none"/>
        </w:rPr>
        <w:t>四、提交投标文件截止时间、开标时间和地点</w:t>
      </w:r>
    </w:p>
    <w:p>
      <w:pPr>
        <w:snapToGrid w:val="0"/>
        <w:ind w:firstLine="482"/>
        <w:rPr>
          <w:rFonts w:ascii="宋体" w:cs="宋体"/>
          <w:b/>
          <w:bCs/>
          <w:color w:val="auto"/>
          <w:highlight w:val="none"/>
        </w:rPr>
      </w:pPr>
      <w:r>
        <w:rPr>
          <w:rFonts w:hint="eastAsia" w:ascii="宋体" w:hAnsi="宋体" w:cs="宋体"/>
          <w:b/>
          <w:bCs/>
          <w:color w:val="auto"/>
          <w:highlight w:val="none"/>
        </w:rPr>
        <w:t>提交投标文件截止时间：2023年</w:t>
      </w:r>
      <w:r>
        <w:rPr>
          <w:rFonts w:hint="eastAsia" w:ascii="宋体" w:hAnsi="宋体" w:cs="宋体"/>
          <w:b/>
          <w:bCs/>
          <w:color w:val="auto"/>
          <w:highlight w:val="none"/>
          <w:lang w:val="en-US" w:eastAsia="zh-CN"/>
        </w:rPr>
        <w:t>5</w:t>
      </w:r>
      <w:r>
        <w:rPr>
          <w:rFonts w:ascii="宋体" w:hAnsi="宋体" w:cs="宋体"/>
          <w:b/>
          <w:bCs/>
          <w:color w:val="auto"/>
          <w:highlight w:val="none"/>
        </w:rPr>
        <w:t>月</w:t>
      </w:r>
      <w:r>
        <w:rPr>
          <w:rFonts w:hint="eastAsia" w:ascii="宋体" w:hAnsi="宋体" w:cs="宋体"/>
          <w:b/>
          <w:bCs/>
          <w:color w:val="auto"/>
          <w:highlight w:val="none"/>
          <w:lang w:val="en-US" w:eastAsia="zh-CN"/>
        </w:rPr>
        <w:t>25</w:t>
      </w:r>
      <w:r>
        <w:rPr>
          <w:rFonts w:ascii="宋体" w:hAnsi="宋体" w:cs="宋体"/>
          <w:b/>
          <w:bCs/>
          <w:color w:val="auto"/>
          <w:highlight w:val="none"/>
        </w:rPr>
        <w:t>日</w:t>
      </w:r>
      <w:r>
        <w:rPr>
          <w:rFonts w:hint="eastAsia" w:ascii="宋体" w:hAnsi="宋体" w:cs="宋体"/>
          <w:b/>
          <w:bCs/>
          <w:color w:val="auto"/>
          <w:highlight w:val="none"/>
        </w:rPr>
        <w:t>14时00分（北京时间）</w:t>
      </w:r>
    </w:p>
    <w:p>
      <w:pPr>
        <w:snapToGrid w:val="0"/>
        <w:ind w:firstLine="480"/>
        <w:rPr>
          <w:rFonts w:ascii="宋体" w:cs="宋体"/>
          <w:color w:val="auto"/>
          <w:highlight w:val="none"/>
        </w:rPr>
      </w:pPr>
      <w:r>
        <w:rPr>
          <w:rFonts w:hint="eastAsia" w:ascii="宋体" w:hAnsi="宋体" w:cs="宋体"/>
          <w:color w:val="auto"/>
          <w:highlight w:val="none"/>
        </w:rPr>
        <w:t>投标地点（网址）：政采云平台</w:t>
      </w:r>
    </w:p>
    <w:p>
      <w:pPr>
        <w:snapToGrid w:val="0"/>
        <w:ind w:firstLine="482"/>
        <w:rPr>
          <w:rFonts w:ascii="宋体" w:cs="宋体"/>
          <w:color w:val="auto"/>
          <w:highlight w:val="none"/>
        </w:rPr>
      </w:pPr>
      <w:r>
        <w:rPr>
          <w:rFonts w:hint="eastAsia" w:ascii="宋体" w:hAnsi="宋体" w:cs="宋体"/>
          <w:b/>
          <w:bCs/>
          <w:color w:val="auto"/>
          <w:highlight w:val="none"/>
        </w:rPr>
        <w:t>开标时间：2023年</w:t>
      </w:r>
      <w:r>
        <w:rPr>
          <w:rFonts w:hint="eastAsia" w:ascii="宋体" w:hAnsi="宋体" w:cs="宋体"/>
          <w:b/>
          <w:bCs/>
          <w:color w:val="auto"/>
          <w:highlight w:val="none"/>
          <w:lang w:val="en-US" w:eastAsia="zh-CN"/>
        </w:rPr>
        <w:t>5</w:t>
      </w:r>
      <w:r>
        <w:rPr>
          <w:rFonts w:ascii="宋体" w:hAnsi="宋体" w:cs="宋体"/>
          <w:b/>
          <w:bCs/>
          <w:color w:val="auto"/>
          <w:highlight w:val="none"/>
        </w:rPr>
        <w:t>月</w:t>
      </w:r>
      <w:r>
        <w:rPr>
          <w:rFonts w:hint="eastAsia" w:ascii="宋体" w:hAnsi="宋体" w:cs="宋体"/>
          <w:b/>
          <w:bCs/>
          <w:color w:val="auto"/>
          <w:highlight w:val="none"/>
          <w:lang w:val="en-US" w:eastAsia="zh-CN"/>
        </w:rPr>
        <w:t>25</w:t>
      </w:r>
      <w:r>
        <w:rPr>
          <w:rFonts w:ascii="宋体" w:hAnsi="宋体" w:cs="宋体"/>
          <w:b/>
          <w:bCs/>
          <w:color w:val="auto"/>
          <w:highlight w:val="none"/>
        </w:rPr>
        <w:t>日</w:t>
      </w:r>
      <w:r>
        <w:rPr>
          <w:rFonts w:hint="eastAsia" w:ascii="宋体" w:hAnsi="宋体" w:cs="宋体"/>
          <w:b/>
          <w:bCs/>
          <w:color w:val="auto"/>
          <w:highlight w:val="none"/>
        </w:rPr>
        <w:t>14时00分</w:t>
      </w:r>
    </w:p>
    <w:p>
      <w:pPr>
        <w:snapToGrid w:val="0"/>
        <w:ind w:firstLine="480"/>
        <w:rPr>
          <w:rFonts w:ascii="宋体" w:cs="宋体"/>
          <w:color w:val="auto"/>
          <w:highlight w:val="none"/>
        </w:rPr>
      </w:pPr>
      <w:r>
        <w:rPr>
          <w:rFonts w:hint="eastAsia" w:ascii="宋体" w:hAnsi="宋体" w:cs="宋体"/>
          <w:color w:val="auto"/>
          <w:highlight w:val="none"/>
        </w:rPr>
        <w:t>开标地点（网址）：政采云平台</w:t>
      </w:r>
    </w:p>
    <w:p>
      <w:pPr>
        <w:snapToGrid w:val="0"/>
        <w:ind w:firstLine="482"/>
        <w:rPr>
          <w:rFonts w:ascii="宋体" w:cs="宋体"/>
          <w:b/>
          <w:bCs/>
          <w:color w:val="auto"/>
          <w:highlight w:val="none"/>
        </w:rPr>
      </w:pPr>
      <w:r>
        <w:rPr>
          <w:rFonts w:hint="eastAsia" w:ascii="宋体" w:hAnsi="宋体" w:cs="宋体"/>
          <w:b/>
          <w:bCs/>
          <w:color w:val="auto"/>
          <w:highlight w:val="none"/>
        </w:rPr>
        <w:t>五、公告期限</w:t>
      </w:r>
    </w:p>
    <w:p>
      <w:pPr>
        <w:snapToGrid w:val="0"/>
        <w:ind w:firstLine="480"/>
        <w:rPr>
          <w:rFonts w:ascii="宋体" w:cs="宋体"/>
          <w:color w:val="auto"/>
          <w:highlight w:val="none"/>
        </w:rPr>
      </w:pPr>
      <w:r>
        <w:rPr>
          <w:rFonts w:hint="eastAsia" w:ascii="宋体" w:hAnsi="宋体" w:cs="宋体"/>
          <w:color w:val="auto"/>
          <w:highlight w:val="none"/>
        </w:rPr>
        <w:t>自本公告发布之日起</w:t>
      </w:r>
      <w:r>
        <w:rPr>
          <w:rFonts w:ascii="宋体" w:hAnsi="宋体" w:cs="宋体"/>
          <w:color w:val="auto"/>
          <w:highlight w:val="none"/>
        </w:rPr>
        <w:t>5</w:t>
      </w:r>
      <w:r>
        <w:rPr>
          <w:rFonts w:hint="eastAsia" w:ascii="宋体" w:hAnsi="宋体" w:cs="宋体"/>
          <w:color w:val="auto"/>
          <w:highlight w:val="none"/>
        </w:rPr>
        <w:t>个工作日。</w:t>
      </w:r>
    </w:p>
    <w:p>
      <w:pPr>
        <w:numPr>
          <w:ilvl w:val="0"/>
          <w:numId w:val="5"/>
        </w:numPr>
        <w:snapToGrid w:val="0"/>
        <w:ind w:firstLine="482"/>
        <w:rPr>
          <w:rFonts w:ascii="宋体" w:cs="宋体"/>
          <w:b/>
          <w:bCs/>
          <w:color w:val="auto"/>
          <w:highlight w:val="none"/>
        </w:rPr>
      </w:pPr>
      <w:r>
        <w:rPr>
          <w:rFonts w:hint="eastAsia" w:ascii="宋体" w:hAnsi="宋体" w:cs="宋体"/>
          <w:b/>
          <w:bCs/>
          <w:color w:val="auto"/>
          <w:highlight w:val="none"/>
        </w:rPr>
        <w:t>其他补充事宜</w:t>
      </w:r>
    </w:p>
    <w:p>
      <w:pPr>
        <w:snapToGrid w:val="0"/>
        <w:ind w:firstLine="48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、供应商认为采购文件使自己的权益受到损害的，可以自获取采购文件之日或者采购文件公告期限届满之日（公告期限届满后获取采购文件的，以公告期限届满之日为准）起</w:t>
      </w:r>
      <w:r>
        <w:rPr>
          <w:rFonts w:ascii="宋体" w:hAnsi="宋体" w:cs="宋体"/>
          <w:color w:val="auto"/>
          <w:highlight w:val="none"/>
        </w:rPr>
        <w:t>7</w:t>
      </w:r>
      <w:r>
        <w:rPr>
          <w:rFonts w:hint="eastAsia" w:ascii="宋体" w:hAnsi="宋体" w:cs="宋体"/>
          <w:color w:val="auto"/>
          <w:highlight w:val="none"/>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ind w:firstLine="240" w:firstLineChars="100"/>
        <w:rPr>
          <w:rFonts w:ascii="宋体" w:cs="宋体"/>
          <w:color w:val="auto"/>
          <w:highlight w:val="none"/>
        </w:rPr>
      </w:pPr>
      <w:r>
        <w:rPr>
          <w:rFonts w:hint="eastAsia" w:ascii="宋体" w:hAnsi="宋体" w:cs="宋体"/>
          <w:color w:val="auto"/>
          <w:highlight w:val="none"/>
        </w:rPr>
        <w:t>2、本项目实行电子投标，投标文件应按照本项目招标文件和政采云平台的要求编制、加密并递交。投标人在使用系统进行投标的过程中遇到涉及平台使用的任何问题，可致电政采云平台技术支持热线咨询，联系方式：</w:t>
      </w:r>
      <w:r>
        <w:rPr>
          <w:rFonts w:ascii="宋体" w:hAnsi="宋体" w:cs="宋体"/>
          <w:color w:val="auto"/>
          <w:highlight w:val="none"/>
        </w:rPr>
        <w:t>400-881-7190</w:t>
      </w:r>
      <w:r>
        <w:rPr>
          <w:rFonts w:hint="eastAsia" w:ascii="宋体" w:hAnsi="宋体" w:cs="宋体"/>
          <w:color w:val="auto"/>
          <w:highlight w:val="none"/>
        </w:rPr>
        <w:t>。</w:t>
      </w:r>
    </w:p>
    <w:p>
      <w:pPr>
        <w:wordWrap w:val="0"/>
        <w:snapToGrid w:val="0"/>
        <w:ind w:firstLine="480"/>
        <w:rPr>
          <w:rFonts w:ascii="宋体" w:cs="宋体"/>
          <w:color w:val="auto"/>
          <w:highlight w:val="none"/>
        </w:rPr>
      </w:pPr>
      <w:r>
        <w:rPr>
          <w:rFonts w:hint="eastAsia" w:ascii="宋体" w:hAnsi="宋体" w:cs="宋体"/>
          <w:color w:val="auto"/>
          <w:highlight w:val="none"/>
        </w:rPr>
        <w:t>3、投标人应在开标前完成</w:t>
      </w:r>
      <w:r>
        <w:rPr>
          <w:rFonts w:ascii="宋体" w:hAnsi="宋体" w:cs="宋体"/>
          <w:color w:val="auto"/>
          <w:highlight w:val="none"/>
        </w:rPr>
        <w:t xml:space="preserve"> CA </w:t>
      </w:r>
      <w:r>
        <w:rPr>
          <w:rFonts w:hint="eastAsia" w:ascii="宋体" w:hAnsi="宋体" w:cs="宋体"/>
          <w:color w:val="auto"/>
          <w:highlight w:val="none"/>
        </w:rPr>
        <w:t>数字证书办理。（办理流程详见</w:t>
      </w:r>
      <w:r>
        <w:rPr>
          <w:rFonts w:ascii="宋体" w:hAnsi="宋体" w:cs="宋体"/>
          <w:color w:val="auto"/>
          <w:highlight w:val="none"/>
        </w:rPr>
        <w:t>http://zfcg.czt.zj.gov.cn/bidClientTemplate/2019-05-27/12945.html</w:t>
      </w:r>
      <w:r>
        <w:rPr>
          <w:rFonts w:hint="eastAsia" w:ascii="宋体" w:hAnsi="宋体" w:cs="宋体"/>
          <w:color w:val="auto"/>
          <w:highlight w:val="none"/>
        </w:rPr>
        <w:t>）。完成</w:t>
      </w:r>
      <w:r>
        <w:rPr>
          <w:rFonts w:ascii="宋体" w:hAnsi="宋体" w:cs="宋体"/>
          <w:color w:val="auto"/>
          <w:highlight w:val="none"/>
        </w:rPr>
        <w:t xml:space="preserve"> CA </w:t>
      </w:r>
      <w:r>
        <w:rPr>
          <w:rFonts w:hint="eastAsia" w:ascii="宋体" w:hAnsi="宋体" w:cs="宋体"/>
          <w:color w:val="auto"/>
          <w:highlight w:val="none"/>
        </w:rPr>
        <w:t>数字证书办理预计一周左右，因未办理</w:t>
      </w:r>
      <w:r>
        <w:rPr>
          <w:rFonts w:ascii="宋体" w:hAnsi="宋体" w:cs="宋体"/>
          <w:color w:val="auto"/>
          <w:highlight w:val="none"/>
        </w:rPr>
        <w:t>CA</w:t>
      </w:r>
      <w:r>
        <w:rPr>
          <w:rFonts w:hint="eastAsia" w:ascii="宋体" w:hAnsi="宋体" w:cs="宋体"/>
          <w:color w:val="auto"/>
          <w:highlight w:val="none"/>
        </w:rPr>
        <w:t>数字证书等原因造成无法投标或投标失败等后果由供应商自行承担。</w:t>
      </w:r>
    </w:p>
    <w:p>
      <w:pPr>
        <w:wordWrap w:val="0"/>
        <w:snapToGrid w:val="0"/>
        <w:ind w:firstLine="480"/>
        <w:rPr>
          <w:rFonts w:ascii="宋体" w:cs="宋体"/>
          <w:color w:val="auto"/>
          <w:highlight w:val="none"/>
        </w:rPr>
      </w:pPr>
      <w:r>
        <w:rPr>
          <w:rFonts w:hint="eastAsia" w:ascii="宋体" w:hAnsi="宋体" w:cs="宋体"/>
          <w:color w:val="auto"/>
          <w:highlight w:val="none"/>
        </w:rPr>
        <w:t>4、投标人通过政采云平台电子投标工具制作投标文件，电子投标工具请供应商自行前往浙江省政府采购网下载并安装，（下载网址：</w:t>
      </w:r>
      <w:r>
        <w:rPr>
          <w:rFonts w:ascii="宋体" w:hAnsi="宋体" w:cs="宋体"/>
          <w:color w:val="auto"/>
          <w:highlight w:val="none"/>
        </w:rPr>
        <w:t>http://zfcg.czt.zj.gov.cn/bidClientTemplate/2019-08-30/12975.html</w:t>
      </w:r>
      <w:r>
        <w:rPr>
          <w:rFonts w:hint="eastAsia" w:ascii="宋体" w:hAnsi="宋体" w:cs="宋体"/>
          <w:color w:val="auto"/>
          <w:highlight w:val="none"/>
        </w:rPr>
        <w:t>），</w:t>
      </w:r>
    </w:p>
    <w:p>
      <w:pPr>
        <w:wordWrap w:val="0"/>
        <w:snapToGrid w:val="0"/>
        <w:ind w:firstLine="480"/>
        <w:rPr>
          <w:rFonts w:ascii="宋体" w:cs="宋体"/>
          <w:color w:val="auto"/>
          <w:highlight w:val="none"/>
        </w:rPr>
      </w:pPr>
      <w:r>
        <w:rPr>
          <w:rFonts w:hint="eastAsia" w:ascii="宋体" w:hAnsi="宋体" w:cs="宋体"/>
          <w:color w:val="auto"/>
          <w:highlight w:val="none"/>
        </w:rPr>
        <w:t>（电子投标相关学习网址：</w:t>
      </w:r>
      <w:r>
        <w:rPr>
          <w:rFonts w:ascii="宋体" w:hAnsi="宋体" w:cs="宋体"/>
          <w:color w:val="auto"/>
          <w:highlight w:val="none"/>
        </w:rPr>
        <w:t xml:space="preserve"> https://edu.zcygov.cn/luban/e-biding?utm=a0004.2ef5001f.0001.0109.2d44db10df9111e9b92b0f36d4889416</w:t>
      </w:r>
      <w:r>
        <w:rPr>
          <w:rFonts w:hint="eastAsia" w:ascii="宋体" w:hAnsi="宋体" w:cs="宋体"/>
          <w:color w:val="auto"/>
          <w:highlight w:val="none"/>
        </w:rPr>
        <w:t>。）</w:t>
      </w:r>
    </w:p>
    <w:p>
      <w:pPr>
        <w:snapToGrid w:val="0"/>
        <w:ind w:firstLine="480"/>
        <w:rPr>
          <w:rFonts w:ascii="宋体" w:cs="宋体"/>
          <w:color w:val="auto"/>
          <w:highlight w:val="none"/>
        </w:rPr>
      </w:pPr>
      <w:r>
        <w:rPr>
          <w:rFonts w:hint="eastAsia" w:ascii="宋体" w:hAnsi="宋体" w:cs="宋体"/>
          <w:color w:val="auto"/>
          <w:highlight w:val="none"/>
        </w:rPr>
        <w:t>5、为确保招投标活动的公开、公平、公正，切实维护各方合法权益，凡在招标投标、开标评标过程中，受到敲诈、勒索或发现围标串标、虚假投标、恶意竞标等涉黑涉恶线索者，请及时保留相关证据并向有关部门举报。举报电话：</w:t>
      </w:r>
    </w:p>
    <w:p>
      <w:pPr>
        <w:snapToGrid w:val="0"/>
        <w:ind w:firstLine="480"/>
        <w:rPr>
          <w:rFonts w:ascii="宋体" w:cs="宋体"/>
          <w:color w:val="auto"/>
          <w:highlight w:val="none"/>
        </w:rPr>
      </w:pPr>
      <w:r>
        <w:rPr>
          <w:rFonts w:hint="eastAsia" w:ascii="宋体" w:hAnsi="宋体" w:cs="宋体"/>
          <w:color w:val="auto"/>
          <w:highlight w:val="none"/>
        </w:rPr>
        <w:t>市扫黑办：</w:t>
      </w:r>
      <w:r>
        <w:rPr>
          <w:rFonts w:ascii="宋体" w:hAnsi="宋体" w:cs="宋体"/>
          <w:color w:val="auto"/>
          <w:highlight w:val="none"/>
        </w:rPr>
        <w:t xml:space="preserve">0579-86655381               </w:t>
      </w:r>
      <w:r>
        <w:rPr>
          <w:rFonts w:hint="eastAsia" w:ascii="宋体" w:hAnsi="宋体" w:cs="宋体"/>
          <w:color w:val="auto"/>
          <w:highlight w:val="none"/>
        </w:rPr>
        <w:t>市公安局：</w:t>
      </w:r>
      <w:r>
        <w:rPr>
          <w:rFonts w:ascii="宋体" w:hAnsi="宋体" w:cs="宋体"/>
          <w:color w:val="auto"/>
          <w:highlight w:val="none"/>
        </w:rPr>
        <w:t>110</w:t>
      </w:r>
      <w:r>
        <w:rPr>
          <w:rFonts w:hint="eastAsia" w:ascii="宋体" w:hAnsi="宋体" w:cs="宋体"/>
          <w:color w:val="auto"/>
          <w:highlight w:val="none"/>
        </w:rPr>
        <w:t>、</w:t>
      </w:r>
      <w:r>
        <w:rPr>
          <w:rFonts w:ascii="宋体" w:hAnsi="宋体" w:cs="宋体"/>
          <w:color w:val="auto"/>
          <w:highlight w:val="none"/>
        </w:rPr>
        <w:t>0579-86096000</w:t>
      </w:r>
    </w:p>
    <w:p>
      <w:pPr>
        <w:snapToGrid w:val="0"/>
        <w:ind w:firstLine="480"/>
        <w:rPr>
          <w:rFonts w:ascii="宋体" w:cs="宋体"/>
          <w:color w:val="auto"/>
          <w:highlight w:val="none"/>
        </w:rPr>
      </w:pPr>
      <w:r>
        <w:rPr>
          <w:rFonts w:hint="eastAsia" w:ascii="宋体" w:hAnsi="宋体" w:cs="宋体"/>
          <w:color w:val="auto"/>
          <w:highlight w:val="none"/>
        </w:rPr>
        <w:t>市检察院</w:t>
      </w:r>
      <w:r>
        <w:rPr>
          <w:rFonts w:ascii="宋体" w:hAnsi="宋体" w:cs="宋体"/>
          <w:color w:val="auto"/>
          <w:highlight w:val="none"/>
        </w:rPr>
        <w:t xml:space="preserve">: 0579-86642000               </w:t>
      </w:r>
      <w:r>
        <w:rPr>
          <w:rFonts w:hint="eastAsia" w:ascii="宋体" w:hAnsi="宋体" w:cs="宋体"/>
          <w:color w:val="auto"/>
          <w:highlight w:val="none"/>
        </w:rPr>
        <w:t>市法院：</w:t>
      </w:r>
      <w:r>
        <w:rPr>
          <w:rFonts w:ascii="宋体" w:hAnsi="宋体" w:cs="宋体"/>
          <w:color w:val="auto"/>
          <w:highlight w:val="none"/>
        </w:rPr>
        <w:t>0579-86620148</w:t>
      </w:r>
    </w:p>
    <w:p>
      <w:pPr>
        <w:snapToGrid w:val="0"/>
        <w:ind w:firstLine="480"/>
        <w:rPr>
          <w:rFonts w:ascii="宋体" w:hAnsi="宋体" w:cs="宋体"/>
          <w:color w:val="auto"/>
          <w:highlight w:val="none"/>
        </w:rPr>
      </w:pPr>
      <w:r>
        <w:rPr>
          <w:rFonts w:hint="eastAsia" w:ascii="宋体" w:hAnsi="宋体" w:cs="宋体"/>
          <w:color w:val="auto"/>
          <w:highlight w:val="none"/>
        </w:rPr>
        <w:t>市公共资源办</w:t>
      </w:r>
      <w:r>
        <w:rPr>
          <w:rFonts w:ascii="宋体" w:hAnsi="宋体" w:cs="宋体"/>
          <w:color w:val="auto"/>
          <w:highlight w:val="none"/>
        </w:rPr>
        <w:t xml:space="preserve">:0579-86691835            </w:t>
      </w:r>
      <w:r>
        <w:rPr>
          <w:rFonts w:hint="eastAsia" w:ascii="宋体" w:hAnsi="宋体" w:cs="宋体"/>
          <w:color w:val="auto"/>
          <w:highlight w:val="none"/>
        </w:rPr>
        <w:t>市公共资源交易中心</w:t>
      </w:r>
      <w:r>
        <w:rPr>
          <w:rFonts w:ascii="宋体" w:hAnsi="宋体" w:cs="宋体"/>
          <w:color w:val="auto"/>
          <w:highlight w:val="none"/>
        </w:rPr>
        <w:t>:0579-86691729</w:t>
      </w:r>
    </w:p>
    <w:p>
      <w:pPr>
        <w:snapToGrid w:val="0"/>
        <w:spacing w:line="312" w:lineRule="auto"/>
        <w:ind w:firstLine="482"/>
        <w:rPr>
          <w:color w:val="auto"/>
          <w:highlight w:val="none"/>
        </w:rPr>
      </w:pPr>
      <w:r>
        <w:rPr>
          <w:rFonts w:hint="eastAsia" w:ascii="宋体" w:hAnsi="宋体" w:cs="宋体"/>
          <w:b/>
          <w:bCs/>
          <w:color w:val="auto"/>
          <w:highlight w:val="none"/>
        </w:rPr>
        <w:t>6、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80" w:lineRule="exact"/>
        <w:ind w:firstLine="482"/>
        <w:outlineLvl w:val="0"/>
        <w:rPr>
          <w:rStyle w:val="57"/>
          <w:rFonts w:ascii="宋体" w:hAnsi="宋体" w:cs="宋体"/>
          <w:color w:val="auto"/>
          <w:szCs w:val="24"/>
          <w:highlight w:val="none"/>
        </w:rPr>
      </w:pPr>
      <w:r>
        <w:rPr>
          <w:rStyle w:val="57"/>
          <w:rFonts w:hint="eastAsia" w:ascii="宋体" w:hAnsi="宋体" w:cs="宋体"/>
          <w:color w:val="auto"/>
          <w:szCs w:val="24"/>
          <w:highlight w:val="none"/>
        </w:rPr>
        <w:t>7、《浙江省财政厅关于进一步发挥政府采购政策功能全力推动经济稳进提质的通知》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pPr>
        <w:snapToGrid w:val="0"/>
        <w:spacing w:line="380" w:lineRule="exact"/>
        <w:ind w:firstLine="482"/>
        <w:outlineLvl w:val="0"/>
        <w:rPr>
          <w:rStyle w:val="57"/>
          <w:rFonts w:ascii="宋体" w:hAnsi="宋体" w:cs="宋体"/>
          <w:color w:val="auto"/>
          <w:szCs w:val="24"/>
          <w:highlight w:val="none"/>
        </w:rPr>
      </w:pPr>
      <w:r>
        <w:rPr>
          <w:rStyle w:val="57"/>
          <w:rFonts w:hint="eastAsia" w:ascii="宋体" w:hAnsi="宋体" w:cs="宋体"/>
          <w:color w:val="auto"/>
          <w:szCs w:val="24"/>
          <w:highlight w:val="none"/>
        </w:rPr>
        <w:t>8、企业信用融资: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w:t>
      </w:r>
      <w:r>
        <w:rPr>
          <w:rStyle w:val="57"/>
          <w:rFonts w:hint="eastAsia" w:ascii="宋体" w:hAnsi="宋体" w:cs="宋体"/>
          <w:color w:val="auto"/>
          <w:szCs w:val="24"/>
          <w:highlight w:val="none"/>
          <w:lang w:val="en-US" w:eastAsia="zh-CN"/>
        </w:rPr>
        <w:t>ht</w:t>
      </w:r>
      <w:r>
        <w:rPr>
          <w:rStyle w:val="57"/>
          <w:rFonts w:hint="eastAsia" w:ascii="宋体" w:hAnsi="宋体" w:cs="宋体"/>
          <w:color w:val="auto"/>
          <w:szCs w:val="24"/>
          <w:highlight w:val="none"/>
        </w:rPr>
        <w:t>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snapToGrid w:val="0"/>
        <w:spacing w:line="380" w:lineRule="exact"/>
        <w:ind w:firstLine="482"/>
        <w:outlineLvl w:val="0"/>
        <w:rPr>
          <w:rStyle w:val="57"/>
          <w:rFonts w:ascii="宋体" w:hAnsi="宋体" w:cs="宋体"/>
          <w:color w:val="auto"/>
          <w:szCs w:val="24"/>
          <w:highlight w:val="none"/>
        </w:rPr>
      </w:pPr>
      <w:r>
        <w:rPr>
          <w:rStyle w:val="57"/>
          <w:rFonts w:hint="eastAsia" w:ascii="宋体" w:hAnsi="宋体" w:cs="宋体"/>
          <w:color w:val="auto"/>
          <w:szCs w:val="24"/>
          <w:highlight w:val="none"/>
        </w:rPr>
        <w:t>9、根据《浙江省财政厅关于进一步加大政府采购支持中小企业力度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pPr>
        <w:snapToGrid w:val="0"/>
        <w:spacing w:line="380" w:lineRule="exact"/>
        <w:ind w:firstLine="482"/>
        <w:outlineLvl w:val="0"/>
        <w:rPr>
          <w:rStyle w:val="57"/>
          <w:rFonts w:ascii="宋体" w:hAnsi="宋体" w:cs="宋体"/>
          <w:color w:val="auto"/>
          <w:szCs w:val="24"/>
          <w:highlight w:val="none"/>
        </w:rPr>
      </w:pPr>
      <w:r>
        <w:rPr>
          <w:rStyle w:val="57"/>
          <w:rFonts w:hint="eastAsia" w:ascii="宋体" w:hAnsi="宋体" w:cs="宋体"/>
          <w:color w:val="auto"/>
          <w:szCs w:val="24"/>
          <w:highlight w:val="none"/>
        </w:rPr>
        <w:t>10、政府采购金融服务提示：</w:t>
      </w:r>
    </w:p>
    <w:p>
      <w:pPr>
        <w:snapToGrid w:val="0"/>
        <w:spacing w:line="312" w:lineRule="auto"/>
        <w:ind w:firstLine="482"/>
        <w:rPr>
          <w:rFonts w:ascii="宋体" w:hAnsi="宋体" w:cs="宋体"/>
          <w:b/>
          <w:bCs/>
          <w:color w:val="auto"/>
          <w:highlight w:val="none"/>
        </w:rPr>
      </w:pPr>
      <w:r>
        <w:rPr>
          <w:rFonts w:hint="eastAsia" w:ascii="宋体" w:hAnsi="宋体" w:cs="宋体"/>
          <w:b/>
          <w:bCs/>
          <w:color w:val="auto"/>
          <w:highlight w:val="none"/>
        </w:rPr>
        <w:t xml:space="preserve">为扩大政府采购金融服务面，除政采云网上金融服务合作银行外，东阳市范围内增加浙商银行金华分行东阳支行作为线下合作银行。   </w:t>
      </w:r>
    </w:p>
    <w:p>
      <w:pPr>
        <w:ind w:firstLine="482"/>
        <w:rPr>
          <w:rFonts w:ascii="宋体" w:hAnsi="宋体" w:cs="宋体"/>
          <w:b/>
          <w:bCs/>
          <w:color w:val="auto"/>
          <w:highlight w:val="none"/>
        </w:rPr>
      </w:pPr>
      <w:r>
        <w:rPr>
          <w:rFonts w:hint="eastAsia" w:ascii="宋体" w:hAnsi="宋体" w:cs="宋体"/>
          <w:b/>
          <w:bCs/>
          <w:color w:val="auto"/>
          <w:highlight w:val="none"/>
        </w:rPr>
        <w:t>浙商银行金华东阳支行联系人：许燕</w:t>
      </w:r>
    </w:p>
    <w:p>
      <w:pPr>
        <w:ind w:firstLine="482"/>
        <w:rPr>
          <w:rFonts w:ascii="宋体" w:hAnsi="宋体" w:cs="宋体"/>
          <w:b/>
          <w:bCs/>
          <w:color w:val="auto"/>
          <w:highlight w:val="none"/>
        </w:rPr>
      </w:pPr>
      <w:r>
        <w:rPr>
          <w:rFonts w:hint="eastAsia" w:ascii="宋体" w:hAnsi="宋体" w:cs="宋体"/>
          <w:b/>
          <w:bCs/>
          <w:color w:val="auto"/>
          <w:highlight w:val="none"/>
        </w:rPr>
        <w:t>联系电话：13967983441    0579-86222992</w:t>
      </w:r>
    </w:p>
    <w:p>
      <w:pPr>
        <w:pStyle w:val="3"/>
        <w:ind w:firstLine="344"/>
        <w:rPr>
          <w:color w:val="auto"/>
          <w:highlight w:val="none"/>
        </w:rPr>
      </w:pPr>
    </w:p>
    <w:p>
      <w:pPr>
        <w:pStyle w:val="3"/>
        <w:spacing w:line="360" w:lineRule="auto"/>
        <w:ind w:firstLine="482"/>
        <w:rPr>
          <w:rFonts w:hAnsi="宋体" w:cs="宋体"/>
          <w:b/>
          <w:bCs/>
          <w:color w:val="auto"/>
          <w:spacing w:val="0"/>
          <w:sz w:val="24"/>
          <w:szCs w:val="24"/>
          <w:highlight w:val="none"/>
        </w:rPr>
      </w:pPr>
      <w:r>
        <w:rPr>
          <w:rFonts w:hint="eastAsia" w:hAnsi="宋体" w:cs="宋体"/>
          <w:b/>
          <w:bCs/>
          <w:color w:val="auto"/>
          <w:spacing w:val="0"/>
          <w:sz w:val="24"/>
          <w:szCs w:val="24"/>
          <w:highlight w:val="none"/>
        </w:rPr>
        <w:t>七、对本次采购提出询问、质疑、投诉，请按以下方式联系：</w:t>
      </w:r>
    </w:p>
    <w:p>
      <w:pPr>
        <w:snapToGrid w:val="0"/>
        <w:ind w:firstLine="482"/>
        <w:rPr>
          <w:rFonts w:ascii="宋体" w:cs="宋体"/>
          <w:b/>
          <w:bCs/>
          <w:color w:val="auto"/>
          <w:highlight w:val="none"/>
        </w:rPr>
      </w:pPr>
      <w:r>
        <w:rPr>
          <w:rFonts w:ascii="宋体" w:hAnsi="宋体" w:cs="宋体"/>
          <w:b/>
          <w:bCs/>
          <w:color w:val="auto"/>
          <w:highlight w:val="none"/>
        </w:rPr>
        <w:t>1</w:t>
      </w:r>
      <w:r>
        <w:rPr>
          <w:rFonts w:hint="eastAsia" w:ascii="宋体" w:hAnsi="宋体" w:cs="宋体"/>
          <w:b/>
          <w:bCs/>
          <w:color w:val="auto"/>
          <w:highlight w:val="none"/>
        </w:rPr>
        <w:t>、采购人信息</w:t>
      </w:r>
    </w:p>
    <w:p>
      <w:pPr>
        <w:snapToGrid w:val="0"/>
        <w:ind w:firstLine="540" w:firstLineChars="225"/>
        <w:rPr>
          <w:rFonts w:ascii="宋体" w:cs="宋体"/>
          <w:color w:val="auto"/>
          <w:highlight w:val="none"/>
        </w:rPr>
      </w:pPr>
      <w:r>
        <w:rPr>
          <w:rFonts w:hint="eastAsia" w:ascii="宋体" w:hAnsi="宋体" w:cs="宋体"/>
          <w:color w:val="auto"/>
          <w:highlight w:val="none"/>
        </w:rPr>
        <w:t>名称：</w:t>
      </w:r>
      <w:r>
        <w:rPr>
          <w:rFonts w:ascii="宋体" w:hAnsi="宋体" w:cs="宋体"/>
          <w:color w:val="auto"/>
          <w:highlight w:val="none"/>
        </w:rPr>
        <w:t xml:space="preserve">东阳市文化和广电旅游体育局 </w:t>
      </w:r>
    </w:p>
    <w:p>
      <w:pPr>
        <w:snapToGrid w:val="0"/>
        <w:ind w:firstLine="540" w:firstLineChars="225"/>
        <w:rPr>
          <w:rFonts w:ascii="宋体" w:hAnsi="宋体" w:cs="宋体"/>
          <w:color w:val="auto"/>
          <w:highlight w:val="none"/>
        </w:rPr>
      </w:pPr>
      <w:r>
        <w:rPr>
          <w:rFonts w:hint="eastAsia" w:ascii="宋体" w:hAnsi="宋体" w:cs="宋体"/>
          <w:color w:val="auto"/>
          <w:highlight w:val="none"/>
        </w:rPr>
        <w:t>地址：东阳市</w:t>
      </w:r>
      <w:r>
        <w:rPr>
          <w:rFonts w:ascii="宋体" w:hAnsi="宋体" w:cs="宋体"/>
          <w:color w:val="auto"/>
          <w:highlight w:val="none"/>
        </w:rPr>
        <w:t>江滨北街18号东阳市行政中心 </w:t>
      </w:r>
    </w:p>
    <w:p>
      <w:pPr>
        <w:snapToGrid w:val="0"/>
        <w:ind w:firstLine="540" w:firstLineChars="225"/>
        <w:rPr>
          <w:rFonts w:ascii="宋体" w:hAnsi="宋体" w:cs="宋体"/>
          <w:color w:val="auto"/>
          <w:highlight w:val="none"/>
        </w:rPr>
      </w:pPr>
      <w:r>
        <w:rPr>
          <w:rFonts w:hint="eastAsia" w:ascii="宋体" w:hAnsi="宋体" w:cs="宋体"/>
          <w:color w:val="auto"/>
          <w:highlight w:val="none"/>
        </w:rPr>
        <w:t>项目联系人：陈</w:t>
      </w:r>
      <w:r>
        <w:rPr>
          <w:rFonts w:hint="eastAsia" w:ascii="宋体" w:hAnsi="宋体" w:cs="宋体"/>
          <w:color w:val="auto"/>
          <w:highlight w:val="none"/>
          <w:lang w:val="en-US" w:eastAsia="zh-CN"/>
        </w:rPr>
        <w:t>女士</w:t>
      </w:r>
      <w:r>
        <w:rPr>
          <w:rFonts w:hint="eastAsia" w:ascii="宋体" w:hAnsi="宋体" w:cs="宋体"/>
          <w:color w:val="auto"/>
          <w:highlight w:val="none"/>
        </w:rPr>
        <w:t xml:space="preserve">      </w:t>
      </w:r>
    </w:p>
    <w:p>
      <w:pPr>
        <w:snapToGrid w:val="0"/>
        <w:ind w:firstLine="480"/>
        <w:rPr>
          <w:rFonts w:ascii="宋体" w:hAnsi="宋体" w:cs="宋体"/>
          <w:color w:val="auto"/>
          <w:highlight w:val="none"/>
        </w:rPr>
      </w:pPr>
      <w:r>
        <w:rPr>
          <w:rFonts w:hint="eastAsia" w:ascii="宋体" w:hAnsi="宋体" w:cs="宋体"/>
          <w:color w:val="auto"/>
          <w:highlight w:val="none"/>
        </w:rPr>
        <w:t>项目联系方式：0579-86010311</w:t>
      </w:r>
    </w:p>
    <w:p>
      <w:pPr>
        <w:snapToGrid w:val="0"/>
        <w:ind w:firstLine="480"/>
        <w:rPr>
          <w:rFonts w:hint="eastAsia" w:ascii="宋体" w:hAnsi="宋体" w:eastAsia="宋体" w:cs="宋体"/>
          <w:color w:val="auto"/>
          <w:highlight w:val="none"/>
          <w:lang w:eastAsia="zh-CN"/>
        </w:rPr>
      </w:pPr>
      <w:r>
        <w:rPr>
          <w:rFonts w:hint="eastAsia" w:ascii="宋体" w:hAnsi="宋体" w:cs="宋体"/>
          <w:color w:val="auto"/>
          <w:highlight w:val="none"/>
        </w:rPr>
        <w:t>质疑联系人：洪</w:t>
      </w:r>
      <w:r>
        <w:rPr>
          <w:rFonts w:hint="eastAsia" w:ascii="宋体" w:hAnsi="宋体" w:cs="宋体"/>
          <w:color w:val="auto"/>
          <w:highlight w:val="none"/>
          <w:lang w:val="en-US" w:eastAsia="zh-CN"/>
        </w:rPr>
        <w:t>女士</w:t>
      </w:r>
    </w:p>
    <w:p>
      <w:pPr>
        <w:snapToGrid w:val="0"/>
        <w:ind w:firstLine="480"/>
        <w:rPr>
          <w:rFonts w:ascii="宋体" w:hAnsi="宋体" w:cs="宋体"/>
          <w:color w:val="auto"/>
          <w:highlight w:val="none"/>
        </w:rPr>
      </w:pPr>
      <w:r>
        <w:rPr>
          <w:rFonts w:hint="eastAsia" w:ascii="宋体" w:hAnsi="宋体" w:cs="宋体"/>
          <w:color w:val="auto"/>
          <w:highlight w:val="none"/>
        </w:rPr>
        <w:t>项目联系方式：13588620779</w:t>
      </w:r>
    </w:p>
    <w:p>
      <w:pPr>
        <w:snapToGrid w:val="0"/>
        <w:ind w:firstLine="482"/>
        <w:rPr>
          <w:rFonts w:ascii="宋体" w:cs="宋体"/>
          <w:b/>
          <w:bCs/>
          <w:color w:val="auto"/>
          <w:highlight w:val="none"/>
        </w:rPr>
      </w:pPr>
      <w:r>
        <w:rPr>
          <w:rFonts w:ascii="宋体" w:hAnsi="宋体" w:cs="宋体"/>
          <w:b/>
          <w:bCs/>
          <w:color w:val="auto"/>
          <w:highlight w:val="none"/>
        </w:rPr>
        <w:t>2</w:t>
      </w:r>
      <w:r>
        <w:rPr>
          <w:rFonts w:hint="eastAsia" w:ascii="宋体" w:hAnsi="宋体" w:cs="宋体"/>
          <w:b/>
          <w:bCs/>
          <w:color w:val="auto"/>
          <w:highlight w:val="none"/>
        </w:rPr>
        <w:t>、采购代理机构信息</w:t>
      </w:r>
    </w:p>
    <w:p>
      <w:pPr>
        <w:snapToGrid w:val="0"/>
        <w:ind w:firstLine="480"/>
        <w:rPr>
          <w:rFonts w:ascii="宋体" w:cs="宋体"/>
          <w:color w:val="auto"/>
          <w:highlight w:val="none"/>
        </w:rPr>
      </w:pPr>
      <w:r>
        <w:rPr>
          <w:rFonts w:hint="eastAsia" w:ascii="宋体" w:hAnsi="宋体" w:cs="宋体"/>
          <w:color w:val="auto"/>
          <w:highlight w:val="none"/>
        </w:rPr>
        <w:t>名称：浙江衢州公信工程管理有限公司</w:t>
      </w:r>
    </w:p>
    <w:p>
      <w:pPr>
        <w:snapToGrid w:val="0"/>
        <w:ind w:firstLine="540" w:firstLineChars="225"/>
        <w:rPr>
          <w:rFonts w:ascii="宋体" w:cs="宋体"/>
          <w:color w:val="auto"/>
          <w:highlight w:val="none"/>
        </w:rPr>
      </w:pPr>
      <w:r>
        <w:rPr>
          <w:rFonts w:hint="eastAsia" w:ascii="宋体" w:hAnsi="宋体" w:cs="宋体"/>
          <w:color w:val="auto"/>
          <w:highlight w:val="none"/>
        </w:rPr>
        <w:t>地址：东阳市江滨南街555号</w:t>
      </w:r>
    </w:p>
    <w:p>
      <w:pPr>
        <w:snapToGrid w:val="0"/>
        <w:ind w:firstLine="480"/>
        <w:rPr>
          <w:rFonts w:ascii="宋体" w:cs="宋体"/>
          <w:color w:val="auto"/>
          <w:highlight w:val="none"/>
        </w:rPr>
      </w:pPr>
      <w:r>
        <w:rPr>
          <w:rFonts w:hint="eastAsia" w:ascii="宋体" w:hAnsi="宋体" w:cs="宋体"/>
          <w:color w:val="auto"/>
          <w:highlight w:val="none"/>
        </w:rPr>
        <w:t>项目联系人：张先生</w:t>
      </w:r>
    </w:p>
    <w:p>
      <w:pPr>
        <w:snapToGrid w:val="0"/>
        <w:ind w:firstLine="480"/>
        <w:rPr>
          <w:rFonts w:ascii="宋体" w:hAnsi="宋体" w:cs="宋体"/>
          <w:color w:val="auto"/>
          <w:highlight w:val="none"/>
        </w:rPr>
      </w:pPr>
      <w:r>
        <w:rPr>
          <w:rFonts w:hint="eastAsia" w:ascii="宋体" w:hAnsi="宋体" w:cs="宋体"/>
          <w:color w:val="auto"/>
          <w:highlight w:val="none"/>
        </w:rPr>
        <w:t>项目联系方式：18267906178</w:t>
      </w:r>
      <w:r>
        <w:rPr>
          <w:rFonts w:ascii="宋体" w:hAnsi="宋体" w:cs="宋体"/>
          <w:color w:val="auto"/>
          <w:highlight w:val="none"/>
        </w:rPr>
        <w:t xml:space="preserve"> </w:t>
      </w:r>
    </w:p>
    <w:p>
      <w:pPr>
        <w:snapToGrid w:val="0"/>
        <w:ind w:firstLine="480"/>
        <w:rPr>
          <w:rFonts w:ascii="宋体" w:cs="宋体"/>
          <w:color w:val="auto"/>
          <w:highlight w:val="none"/>
        </w:rPr>
      </w:pPr>
      <w:r>
        <w:rPr>
          <w:rFonts w:hint="eastAsia" w:ascii="宋体" w:hAnsi="宋体" w:cs="宋体"/>
          <w:color w:val="auto"/>
          <w:highlight w:val="none"/>
        </w:rPr>
        <w:t>质疑联系人：卜先生</w:t>
      </w:r>
    </w:p>
    <w:p>
      <w:pPr>
        <w:snapToGrid w:val="0"/>
        <w:ind w:firstLine="480"/>
        <w:rPr>
          <w:rFonts w:ascii="宋体" w:cs="宋体"/>
          <w:color w:val="auto"/>
          <w:highlight w:val="none"/>
        </w:rPr>
      </w:pPr>
      <w:r>
        <w:rPr>
          <w:rFonts w:hint="eastAsia" w:ascii="宋体" w:hAnsi="宋体" w:cs="宋体"/>
          <w:color w:val="auto"/>
          <w:highlight w:val="none"/>
        </w:rPr>
        <w:t>联系方式：15957956000</w:t>
      </w:r>
    </w:p>
    <w:p>
      <w:pPr>
        <w:snapToGrid w:val="0"/>
        <w:ind w:firstLine="482"/>
        <w:rPr>
          <w:rFonts w:ascii="宋体" w:cs="宋体"/>
          <w:b/>
          <w:bCs/>
          <w:color w:val="auto"/>
          <w:highlight w:val="none"/>
        </w:rPr>
      </w:pPr>
      <w:r>
        <w:rPr>
          <w:rFonts w:ascii="宋体" w:hAnsi="宋体" w:cs="宋体"/>
          <w:b/>
          <w:bCs/>
          <w:color w:val="auto"/>
          <w:highlight w:val="none"/>
        </w:rPr>
        <w:t>3</w:t>
      </w:r>
      <w:r>
        <w:rPr>
          <w:rFonts w:hint="eastAsia" w:ascii="宋体" w:hAnsi="宋体" w:cs="宋体"/>
          <w:b/>
          <w:bCs/>
          <w:color w:val="auto"/>
          <w:highlight w:val="none"/>
        </w:rPr>
        <w:t>、同级政府采购监督管理部门：</w:t>
      </w:r>
    </w:p>
    <w:p>
      <w:pPr>
        <w:snapToGrid w:val="0"/>
        <w:ind w:firstLine="480"/>
        <w:rPr>
          <w:rFonts w:ascii="宋体" w:cs="宋体"/>
          <w:color w:val="auto"/>
          <w:highlight w:val="none"/>
        </w:rPr>
      </w:pPr>
      <w:r>
        <w:rPr>
          <w:rFonts w:hint="eastAsia" w:ascii="宋体" w:hAnsi="宋体" w:cs="宋体"/>
          <w:color w:val="auto"/>
          <w:highlight w:val="none"/>
        </w:rPr>
        <w:t>名称：东阳市财政局采购办</w:t>
      </w:r>
    </w:p>
    <w:p>
      <w:pPr>
        <w:snapToGrid w:val="0"/>
        <w:ind w:firstLine="480"/>
        <w:rPr>
          <w:rFonts w:ascii="宋体" w:cs="宋体"/>
          <w:color w:val="auto"/>
          <w:highlight w:val="none"/>
        </w:rPr>
      </w:pPr>
      <w:r>
        <w:rPr>
          <w:rFonts w:hint="eastAsia" w:ascii="宋体" w:hAnsi="宋体" w:cs="宋体"/>
          <w:color w:val="auto"/>
          <w:highlight w:val="none"/>
        </w:rPr>
        <w:t>地址：东阳市人民北路</w:t>
      </w:r>
      <w:r>
        <w:rPr>
          <w:rFonts w:ascii="宋体" w:hAnsi="宋体" w:cs="宋体"/>
          <w:color w:val="auto"/>
          <w:highlight w:val="none"/>
        </w:rPr>
        <w:t>8</w:t>
      </w:r>
      <w:r>
        <w:rPr>
          <w:rFonts w:hint="eastAsia" w:ascii="宋体" w:hAnsi="宋体" w:cs="宋体"/>
          <w:color w:val="auto"/>
          <w:highlight w:val="none"/>
        </w:rPr>
        <w:t>号</w:t>
      </w:r>
    </w:p>
    <w:p>
      <w:pPr>
        <w:snapToGrid w:val="0"/>
        <w:ind w:firstLine="480"/>
        <w:rPr>
          <w:rFonts w:ascii="宋体" w:cs="宋体"/>
          <w:b/>
          <w:color w:val="auto"/>
          <w:highlight w:val="none"/>
        </w:rPr>
      </w:pPr>
      <w:r>
        <w:rPr>
          <w:rFonts w:hint="eastAsia" w:ascii="宋体" w:hAnsi="宋体" w:cs="宋体"/>
          <w:color w:val="auto"/>
          <w:highlight w:val="none"/>
        </w:rPr>
        <w:t>监督投诉电话：</w:t>
      </w:r>
      <w:r>
        <w:rPr>
          <w:rFonts w:ascii="宋体" w:hAnsi="宋体" w:cs="宋体"/>
          <w:color w:val="auto"/>
          <w:highlight w:val="none"/>
        </w:rPr>
        <w:t>0579-86662677</w:t>
      </w:r>
    </w:p>
    <w:p>
      <w:pPr>
        <w:ind w:firstLine="480"/>
        <w:rPr>
          <w:rFonts w:ascii="宋体" w:cs="宋体"/>
          <w:color w:val="auto"/>
          <w:highlight w:val="none"/>
        </w:rPr>
      </w:pPr>
    </w:p>
    <w:p>
      <w:pPr>
        <w:pStyle w:val="3"/>
        <w:ind w:firstLine="464"/>
        <w:rPr>
          <w:rFonts w:cs="宋体"/>
          <w:color w:val="auto"/>
          <w:sz w:val="24"/>
          <w:highlight w:val="none"/>
        </w:rPr>
      </w:pPr>
    </w:p>
    <w:p>
      <w:pPr>
        <w:pStyle w:val="3"/>
        <w:ind w:firstLine="464"/>
        <w:rPr>
          <w:rFonts w:cs="宋体"/>
          <w:color w:val="auto"/>
          <w:sz w:val="24"/>
          <w:highlight w:val="none"/>
        </w:rPr>
      </w:pPr>
    </w:p>
    <w:p>
      <w:pPr>
        <w:pStyle w:val="3"/>
        <w:ind w:firstLine="464"/>
        <w:rPr>
          <w:rFonts w:cs="宋体"/>
          <w:color w:val="auto"/>
          <w:sz w:val="24"/>
          <w:highlight w:val="none"/>
        </w:rPr>
      </w:pPr>
    </w:p>
    <w:p>
      <w:pPr>
        <w:pStyle w:val="3"/>
        <w:ind w:firstLine="464"/>
        <w:rPr>
          <w:rFonts w:cs="宋体"/>
          <w:color w:val="auto"/>
          <w:sz w:val="24"/>
          <w:highlight w:val="none"/>
        </w:rPr>
      </w:pPr>
    </w:p>
    <w:p>
      <w:pPr>
        <w:ind w:left="238" w:firstLine="480"/>
        <w:jc w:val="center"/>
        <w:rPr>
          <w:rFonts w:ascii="宋体" w:hAnsi="宋体" w:cs="宋体"/>
          <w:color w:val="auto"/>
          <w:highlight w:val="none"/>
        </w:rPr>
      </w:pPr>
      <w:r>
        <w:rPr>
          <w:rFonts w:hint="eastAsia" w:ascii="宋体" w:hAnsi="宋体" w:cs="宋体"/>
          <w:color w:val="auto"/>
          <w:highlight w:val="none"/>
        </w:rPr>
        <w:t xml:space="preserve">                             </w:t>
      </w:r>
      <w:r>
        <w:rPr>
          <w:rFonts w:ascii="宋体" w:hAnsi="宋体" w:cs="宋体"/>
          <w:color w:val="auto"/>
          <w:highlight w:val="none"/>
        </w:rPr>
        <w:t xml:space="preserve">东阳市文化和广电旅游体育局 </w:t>
      </w:r>
    </w:p>
    <w:p>
      <w:pPr>
        <w:ind w:left="238" w:firstLine="480"/>
        <w:jc w:val="center"/>
        <w:rPr>
          <w:rFonts w:ascii="宋体" w:hAnsi="宋体" w:cs="宋体"/>
          <w:color w:val="auto"/>
          <w:highlight w:val="none"/>
        </w:rPr>
      </w:pPr>
      <w:r>
        <w:rPr>
          <w:rFonts w:hint="eastAsia" w:ascii="宋体" w:hAnsi="宋体" w:cs="宋体"/>
          <w:color w:val="auto"/>
          <w:highlight w:val="none"/>
        </w:rPr>
        <w:t>　                                         浙江衢州公信工程管理有限公司</w:t>
      </w:r>
    </w:p>
    <w:p>
      <w:pPr>
        <w:ind w:left="238" w:firstLine="480"/>
        <w:jc w:val="center"/>
        <w:rPr>
          <w:rFonts w:ascii="宋体"/>
          <w:b/>
          <w:color w:val="auto"/>
          <w:highlight w:val="none"/>
        </w:rPr>
      </w:pPr>
      <w:r>
        <w:rPr>
          <w:rFonts w:ascii="宋体" w:hAnsi="宋体" w:cs="宋体"/>
          <w:color w:val="auto"/>
          <w:highlight w:val="none"/>
        </w:rPr>
        <w:t xml:space="preserve">                                                 202</w:t>
      </w:r>
      <w:r>
        <w:rPr>
          <w:rFonts w:hint="eastAsia" w:ascii="宋体" w:hAnsi="宋体" w:cs="宋体"/>
          <w:color w:val="auto"/>
          <w:highlight w:val="none"/>
        </w:rPr>
        <w:t>3年</w:t>
      </w:r>
      <w:r>
        <w:rPr>
          <w:rFonts w:hint="eastAsia" w:ascii="宋体" w:hAnsi="宋体" w:cs="宋体"/>
          <w:color w:val="auto"/>
          <w:highlight w:val="none"/>
          <w:lang w:val="en-US" w:eastAsia="zh-CN"/>
        </w:rPr>
        <w:t>5</w:t>
      </w:r>
      <w:r>
        <w:rPr>
          <w:rFonts w:hint="eastAsia" w:ascii="宋体" w:hAnsi="宋体" w:cs="宋体"/>
          <w:color w:val="auto"/>
          <w:highlight w:val="none"/>
        </w:rPr>
        <w:t>月</w:t>
      </w:r>
      <w:r>
        <w:rPr>
          <w:rFonts w:hint="eastAsia" w:ascii="宋体" w:hAnsi="宋体" w:cs="宋体"/>
          <w:color w:val="auto"/>
          <w:highlight w:val="none"/>
          <w:lang w:val="en-US" w:eastAsia="zh-CN"/>
        </w:rPr>
        <w:t>4</w:t>
      </w:r>
      <w:r>
        <w:rPr>
          <w:rFonts w:hint="eastAsia" w:ascii="宋体" w:hAnsi="宋体" w:cs="宋体"/>
          <w:color w:val="auto"/>
          <w:highlight w:val="none"/>
        </w:rPr>
        <w:t>日</w:t>
      </w:r>
    </w:p>
    <w:p>
      <w:pPr>
        <w:ind w:firstLine="560"/>
        <w:rPr>
          <w:rFonts w:ascii="黑体" w:eastAsia="黑体"/>
          <w:color w:val="auto"/>
          <w:sz w:val="28"/>
          <w:szCs w:val="28"/>
          <w:highlight w:val="none"/>
        </w:rPr>
      </w:pPr>
    </w:p>
    <w:p>
      <w:pPr>
        <w:pStyle w:val="3"/>
        <w:ind w:firstLine="544"/>
        <w:rPr>
          <w:rFonts w:ascii="黑体" w:eastAsia="黑体"/>
          <w:color w:val="auto"/>
          <w:sz w:val="28"/>
          <w:szCs w:val="28"/>
          <w:highlight w:val="none"/>
        </w:rPr>
      </w:pPr>
    </w:p>
    <w:p>
      <w:pPr>
        <w:pStyle w:val="3"/>
        <w:ind w:firstLine="544"/>
        <w:rPr>
          <w:rFonts w:ascii="黑体" w:eastAsia="黑体"/>
          <w:color w:val="auto"/>
          <w:sz w:val="28"/>
          <w:szCs w:val="28"/>
          <w:highlight w:val="none"/>
        </w:rPr>
      </w:pPr>
    </w:p>
    <w:p>
      <w:pPr>
        <w:pStyle w:val="3"/>
        <w:ind w:firstLine="0" w:firstLineChars="0"/>
        <w:rPr>
          <w:rFonts w:ascii="黑体" w:eastAsia="黑体"/>
          <w:color w:val="auto"/>
          <w:sz w:val="28"/>
          <w:szCs w:val="28"/>
          <w:highlight w:val="none"/>
        </w:rPr>
      </w:pPr>
    </w:p>
    <w:p>
      <w:pPr>
        <w:pStyle w:val="3"/>
        <w:ind w:firstLine="544"/>
        <w:rPr>
          <w:rFonts w:ascii="黑体" w:eastAsia="黑体"/>
          <w:color w:val="auto"/>
          <w:sz w:val="28"/>
          <w:szCs w:val="28"/>
          <w:highlight w:val="none"/>
        </w:rPr>
      </w:pPr>
    </w:p>
    <w:p>
      <w:pPr>
        <w:pStyle w:val="3"/>
        <w:ind w:firstLine="544"/>
        <w:rPr>
          <w:rFonts w:ascii="黑体" w:eastAsia="黑体"/>
          <w:color w:val="auto"/>
          <w:sz w:val="28"/>
          <w:szCs w:val="28"/>
          <w:highlight w:val="none"/>
        </w:rPr>
      </w:pPr>
    </w:p>
    <w:p>
      <w:pPr>
        <w:pStyle w:val="3"/>
        <w:ind w:firstLine="544"/>
        <w:rPr>
          <w:rFonts w:ascii="黑体" w:eastAsia="黑体"/>
          <w:color w:val="auto"/>
          <w:sz w:val="28"/>
          <w:szCs w:val="28"/>
          <w:highlight w:val="none"/>
        </w:rPr>
      </w:pPr>
    </w:p>
    <w:p>
      <w:pPr>
        <w:pStyle w:val="4"/>
        <w:rPr>
          <w:rFonts w:ascii="黑体" w:eastAsia="黑体"/>
          <w:color w:val="auto"/>
          <w:sz w:val="28"/>
          <w:szCs w:val="28"/>
          <w:highlight w:val="none"/>
        </w:rPr>
      </w:pPr>
    </w:p>
    <w:p>
      <w:pPr>
        <w:rPr>
          <w:color w:val="auto"/>
          <w:highlight w:val="none"/>
        </w:rPr>
      </w:pPr>
    </w:p>
    <w:p>
      <w:pPr>
        <w:pStyle w:val="2"/>
        <w:rPr>
          <w:color w:val="auto"/>
          <w:highlight w:val="none"/>
        </w:rPr>
      </w:pPr>
    </w:p>
    <w:p>
      <w:pPr>
        <w:pStyle w:val="3"/>
        <w:rPr>
          <w:color w:val="auto"/>
          <w:highlight w:val="none"/>
        </w:rPr>
      </w:pPr>
    </w:p>
    <w:p>
      <w:pPr>
        <w:pStyle w:val="4"/>
        <w:rPr>
          <w:color w:val="auto"/>
          <w:highlight w:val="none"/>
        </w:rPr>
      </w:pPr>
    </w:p>
    <w:p>
      <w:pPr>
        <w:pStyle w:val="3"/>
        <w:ind w:firstLine="0" w:firstLineChars="0"/>
        <w:rPr>
          <w:rFonts w:ascii="黑体" w:eastAsia="黑体"/>
          <w:color w:val="auto"/>
          <w:sz w:val="28"/>
          <w:szCs w:val="28"/>
          <w:highlight w:val="none"/>
        </w:rPr>
      </w:pPr>
    </w:p>
    <w:p>
      <w:pPr>
        <w:pStyle w:val="3"/>
        <w:ind w:firstLine="0" w:firstLineChars="0"/>
        <w:rPr>
          <w:rFonts w:ascii="黑体" w:eastAsia="黑体"/>
          <w:color w:val="auto"/>
          <w:sz w:val="28"/>
          <w:szCs w:val="28"/>
          <w:highlight w:val="none"/>
        </w:rPr>
      </w:pPr>
    </w:p>
    <w:p>
      <w:pPr>
        <w:pStyle w:val="3"/>
        <w:ind w:firstLine="0" w:firstLineChars="0"/>
        <w:rPr>
          <w:color w:val="auto"/>
          <w:highlight w:val="none"/>
        </w:rPr>
      </w:pPr>
    </w:p>
    <w:p>
      <w:pPr>
        <w:spacing w:line="480" w:lineRule="auto"/>
        <w:ind w:firstLine="643"/>
        <w:jc w:val="center"/>
        <w:rPr>
          <w:color w:val="auto"/>
          <w:sz w:val="32"/>
          <w:szCs w:val="32"/>
          <w:highlight w:val="none"/>
        </w:rPr>
      </w:pPr>
      <w:r>
        <w:rPr>
          <w:rFonts w:hint="eastAsia" w:ascii="黑体" w:hAnsi="黑体" w:eastAsia="黑体" w:cs="黑体"/>
          <w:b/>
          <w:bCs/>
          <w:color w:val="auto"/>
          <w:sz w:val="32"/>
          <w:szCs w:val="32"/>
          <w:highlight w:val="none"/>
        </w:rPr>
        <w:t>政府采购金融服务简介</w:t>
      </w:r>
    </w:p>
    <w:p>
      <w:pPr>
        <w:ind w:firstLine="480"/>
        <w:rPr>
          <w:rFonts w:ascii="宋体" w:hAnsi="宋体" w:cs="宋体"/>
          <w:color w:val="auto"/>
          <w:highlight w:val="none"/>
        </w:rPr>
      </w:pPr>
      <w:r>
        <w:rPr>
          <w:rFonts w:hint="eastAsia" w:ascii="宋体" w:hAnsi="宋体" w:cs="宋体"/>
          <w:color w:val="auto"/>
          <w:highlight w:val="none"/>
        </w:rPr>
        <w:t>为优化政府采购营商环境，缓解供应商资金难题，有需要的中标供应商可根据需要申请办理政府采购合同贷款（以下简称“政采贷”）、履约保函、预付款保函等政府采购金融服务。</w:t>
      </w:r>
    </w:p>
    <w:p>
      <w:pPr>
        <w:ind w:firstLine="480"/>
        <w:rPr>
          <w:rFonts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、政采贷</w:t>
      </w:r>
    </w:p>
    <w:p>
      <w:pPr>
        <w:ind w:firstLine="480"/>
        <w:rPr>
          <w:rFonts w:ascii="宋体" w:hAnsi="宋体" w:cs="宋体"/>
          <w:color w:val="auto"/>
          <w:highlight w:val="none"/>
        </w:rPr>
      </w:pPr>
      <w:r>
        <w:rPr>
          <w:rFonts w:hint="eastAsia" w:ascii="宋体" w:hAnsi="宋体" w:cs="宋体"/>
          <w:color w:val="auto"/>
          <w:highlight w:val="none"/>
        </w:rPr>
        <w:t>通过发挥政府采购政策功能，依托政采云在互联网、云计算、大数据等方面的优势，由各银行向平台用户提供中短期贷款（主要包括流水贷和合同贷），以解决中小微企业“融资难”、“担保难”问题的信用融资产品。</w:t>
      </w:r>
    </w:p>
    <w:p>
      <w:pPr>
        <w:ind w:firstLine="360" w:firstLineChars="150"/>
        <w:rPr>
          <w:rFonts w:ascii="宋体" w:hAnsi="宋体" w:cs="宋体"/>
          <w:color w:val="auto"/>
          <w:highlight w:val="none"/>
        </w:rPr>
      </w:pPr>
      <w:r>
        <w:rPr>
          <w:rFonts w:hint="eastAsia" w:ascii="宋体" w:hAnsi="宋体" w:cs="宋体"/>
          <w:color w:val="auto"/>
          <w:highlight w:val="none"/>
        </w:rPr>
        <w:t>具体要求、条件和操作教程可通过政采云首页右上角</w:t>
      </w:r>
      <w:r>
        <w:rPr>
          <w:rFonts w:ascii="宋体" w:hAnsi="宋体" w:cs="宋体"/>
          <w:color w:val="auto"/>
          <w:highlight w:val="none"/>
        </w:rPr>
        <w:t>——</w:t>
      </w:r>
      <w:r>
        <w:rPr>
          <w:rFonts w:hint="eastAsia" w:ascii="宋体" w:hAnsi="宋体" w:cs="宋体"/>
          <w:color w:val="auto"/>
          <w:highlight w:val="none"/>
        </w:rPr>
        <w:t>网站导航</w:t>
      </w:r>
      <w:r>
        <w:rPr>
          <w:rFonts w:ascii="宋体" w:hAnsi="宋体" w:cs="宋体"/>
          <w:color w:val="auto"/>
          <w:highlight w:val="none"/>
        </w:rPr>
        <w:t>——</w:t>
      </w:r>
      <w:r>
        <w:rPr>
          <w:rFonts w:hint="eastAsia" w:ascii="宋体" w:hAnsi="宋体" w:cs="宋体"/>
          <w:color w:val="auto"/>
          <w:highlight w:val="none"/>
        </w:rPr>
        <w:t>金融服务查看，也可拨打政采云客服热线</w:t>
      </w:r>
      <w:r>
        <w:rPr>
          <w:rFonts w:ascii="宋体" w:hAnsi="宋体" w:cs="宋体"/>
          <w:color w:val="auto"/>
          <w:highlight w:val="none"/>
        </w:rPr>
        <w:t>400-881-7190</w:t>
      </w:r>
      <w:r>
        <w:rPr>
          <w:rFonts w:hint="eastAsia" w:ascii="宋体" w:hAnsi="宋体" w:cs="宋体"/>
          <w:color w:val="auto"/>
          <w:highlight w:val="none"/>
        </w:rPr>
        <w:t>咨询，也可查看公告附件中的相关宣传资料，或向各地已开通政采贷的银行咨询办理。</w:t>
      </w:r>
    </w:p>
    <w:p>
      <w:pPr>
        <w:ind w:firstLine="480"/>
        <w:rPr>
          <w:rFonts w:ascii="宋体" w:hAnsi="宋体" w:cs="宋体"/>
          <w:color w:val="auto"/>
          <w:highlight w:val="none"/>
        </w:rPr>
      </w:pPr>
      <w:r>
        <w:rPr>
          <w:rFonts w:ascii="宋体" w:hAnsi="宋体" w:cs="宋体"/>
          <w:color w:val="auto"/>
          <w:highlight w:val="none"/>
        </w:rPr>
        <w:t>2</w:t>
      </w:r>
      <w:r>
        <w:rPr>
          <w:rFonts w:hint="eastAsia" w:ascii="宋体" w:hAnsi="宋体" w:cs="宋体"/>
          <w:color w:val="auto"/>
          <w:highlight w:val="none"/>
        </w:rPr>
        <w:t>、履约保函</w:t>
      </w:r>
    </w:p>
    <w:p>
      <w:pPr>
        <w:ind w:firstLine="480"/>
        <w:rPr>
          <w:rFonts w:ascii="宋体" w:hAnsi="宋体" w:cs="宋体"/>
          <w:color w:val="auto"/>
          <w:highlight w:val="none"/>
        </w:rPr>
      </w:pPr>
      <w:r>
        <w:rPr>
          <w:rFonts w:hint="eastAsia" w:ascii="宋体" w:hAnsi="宋体" w:cs="宋体"/>
          <w:color w:val="auto"/>
          <w:highlight w:val="none"/>
        </w:rPr>
        <w:t>中标供应商可通过以保函的形式提交履约保证金，减少对中小微企业的资金占用，降低财务成本。</w:t>
      </w:r>
    </w:p>
    <w:p>
      <w:pPr>
        <w:ind w:firstLine="480"/>
        <w:rPr>
          <w:rFonts w:ascii="宋体" w:hAnsi="宋体" w:cs="宋体"/>
          <w:color w:val="auto"/>
          <w:highlight w:val="none"/>
        </w:rPr>
      </w:pPr>
      <w:r>
        <w:rPr>
          <w:rFonts w:hint="eastAsia" w:ascii="宋体" w:hAnsi="宋体" w:cs="宋体"/>
          <w:color w:val="auto"/>
          <w:highlight w:val="none"/>
        </w:rPr>
        <w:t>具体的条件、要求和操作程序由申请贷款的中标供应商向各地保险公司、银行咨询办理。</w:t>
      </w:r>
    </w:p>
    <w:p>
      <w:pPr>
        <w:ind w:firstLine="480"/>
        <w:rPr>
          <w:rFonts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rPr>
        <w:t>风险提示</w:t>
      </w:r>
    </w:p>
    <w:p>
      <w:pPr>
        <w:ind w:firstLine="480"/>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）本宣传简介内容仅为提供给各中标供应商对办理政府采购金融服务的宣传和了解之方便，对金融服务的具体内容和操作流程均以各金融机构的要求为准，也不作强制要求。</w:t>
      </w:r>
    </w:p>
    <w:p>
      <w:pPr>
        <w:ind w:firstLine="480"/>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）政府采购金融服务有风险，请详细了解并综合评估后再决定。</w:t>
      </w:r>
    </w:p>
    <w:p>
      <w:pPr>
        <w:ind w:firstLine="480"/>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）政府采购金融服务遵循平等自愿、风险自担的原则。采购人、代理机构、财政部门不为任何政府采购金融服务项目承担任何形式的担保、解释或其他连带责任。</w:t>
      </w:r>
    </w:p>
    <w:p>
      <w:pPr>
        <w:ind w:firstLine="480"/>
        <w:rPr>
          <w:rFonts w:ascii="宋体" w:hAnsi="宋体" w:cs="宋体"/>
          <w:b/>
          <w:bCs/>
          <w:color w:val="auto"/>
          <w:highlight w:val="none"/>
        </w:rPr>
      </w:pPr>
      <w:r>
        <w:rPr>
          <w:rFonts w:hint="eastAsia" w:ascii="宋体" w:hAnsi="宋体" w:cs="宋体"/>
          <w:color w:val="auto"/>
          <w:highlight w:val="none"/>
        </w:rPr>
        <w:t>4</w:t>
      </w:r>
      <w:r>
        <w:rPr>
          <w:rFonts w:ascii="宋体" w:hAnsi="宋体" w:cs="宋体"/>
          <w:color w:val="auto"/>
          <w:highlight w:val="none"/>
        </w:rPr>
        <w:t>.</w:t>
      </w:r>
      <w:r>
        <w:rPr>
          <w:rFonts w:hint="eastAsia" w:ascii="宋体" w:hAnsi="宋体" w:cs="宋体"/>
          <w:color w:val="auto"/>
          <w:highlight w:val="none"/>
        </w:rPr>
        <w:t>为扩大政府采购金融服务面，除政采云网上金融服务合作银行外，东阳市范围内增加浙商银行金华分行东阳支行作为线下合作银行。浙商银行金华东阳支行联系人：</w:t>
      </w:r>
      <w:r>
        <w:rPr>
          <w:rFonts w:hint="eastAsia" w:ascii="宋体" w:hAnsi="宋体" w:cs="宋体"/>
          <w:b/>
          <w:bCs/>
          <w:color w:val="auto"/>
          <w:highlight w:val="none"/>
        </w:rPr>
        <w:t>许燕</w:t>
      </w:r>
    </w:p>
    <w:p>
      <w:pPr>
        <w:ind w:firstLine="482"/>
        <w:rPr>
          <w:rFonts w:ascii="宋体" w:hAnsi="宋体" w:cs="宋体"/>
          <w:b/>
          <w:bCs/>
          <w:color w:val="auto"/>
          <w:highlight w:val="none"/>
        </w:rPr>
      </w:pPr>
      <w:r>
        <w:rPr>
          <w:rFonts w:hint="eastAsia" w:ascii="宋体" w:hAnsi="宋体" w:cs="宋体"/>
          <w:b/>
          <w:bCs/>
          <w:color w:val="auto"/>
          <w:highlight w:val="none"/>
        </w:rPr>
        <w:t>联系电话：13967983441    0579-86222992</w:t>
      </w:r>
    </w:p>
    <w:p>
      <w:pPr>
        <w:ind w:firstLine="480"/>
        <w:rPr>
          <w:rFonts w:ascii="宋体" w:hAnsi="宋体" w:cs="宋体"/>
          <w:color w:val="auto"/>
          <w:highlight w:val="none"/>
        </w:rPr>
      </w:pPr>
    </w:p>
    <w:p>
      <w:pPr>
        <w:pStyle w:val="3"/>
        <w:ind w:firstLine="344"/>
        <w:rPr>
          <w:color w:val="auto"/>
          <w:highlight w:val="none"/>
        </w:rPr>
        <w:sectPr>
          <w:footerReference r:id="rId15" w:type="first"/>
          <w:pgSz w:w="11906" w:h="16838"/>
          <w:pgMar w:top="1474" w:right="1274" w:bottom="1247" w:left="1276" w:header="851" w:footer="851" w:gutter="0"/>
          <w:pgNumType w:start="1"/>
          <w:cols w:space="720" w:num="1"/>
          <w:docGrid w:linePitch="312" w:charSpace="0"/>
        </w:sectPr>
      </w:pPr>
    </w:p>
    <w:p>
      <w:pPr>
        <w:pStyle w:val="5"/>
        <w:ind w:firstLine="482"/>
        <w:jc w:val="center"/>
        <w:rPr>
          <w:color w:val="auto"/>
          <w:sz w:val="28"/>
          <w:szCs w:val="28"/>
          <w:highlight w:val="none"/>
        </w:rPr>
      </w:pPr>
      <w:r>
        <w:rPr>
          <w:rFonts w:hint="eastAsia"/>
          <w:color w:val="auto"/>
          <w:sz w:val="28"/>
          <w:szCs w:val="28"/>
          <w:highlight w:val="none"/>
        </w:rPr>
        <w:t>招标需求</w:t>
      </w:r>
    </w:p>
    <w:p>
      <w:pPr>
        <w:snapToGrid w:val="0"/>
        <w:ind w:left="0" w:leftChars="0" w:firstLine="0" w:firstLineChars="0"/>
        <w:rPr>
          <w:rFonts w:ascii="宋体" w:cs="宋体"/>
          <w:color w:val="auto"/>
          <w:highlight w:val="none"/>
        </w:rPr>
      </w:pPr>
      <w:r>
        <w:rPr>
          <w:rFonts w:hint="eastAsia" w:hAnsi="宋体" w:cs="宋体"/>
          <w:b/>
          <w:bCs/>
          <w:color w:val="auto"/>
          <w:highlight w:val="none"/>
        </w:rPr>
        <w:t>一、项目编号：</w:t>
      </w:r>
      <w:r>
        <w:rPr>
          <w:rFonts w:ascii="宋体" w:hAnsi="宋体" w:cs="宋体"/>
          <w:bCs/>
          <w:color w:val="auto"/>
          <w:highlight w:val="none"/>
        </w:rPr>
        <w:t>ZJQZGX2023-010</w:t>
      </w:r>
      <w:r>
        <w:rPr>
          <w:rFonts w:hint="eastAsia" w:ascii="宋体" w:hAnsi="宋体" w:cs="Arial"/>
          <w:color w:val="auto"/>
          <w:highlight w:val="none"/>
        </w:rPr>
        <w:t xml:space="preserve"> </w:t>
      </w:r>
    </w:p>
    <w:p>
      <w:pPr>
        <w:pStyle w:val="29"/>
        <w:snapToGrid w:val="0"/>
        <w:spacing w:beforeLines="0" w:afterLines="0" w:line="360" w:lineRule="auto"/>
        <w:ind w:left="0" w:leftChars="0" w:firstLine="0" w:firstLineChars="0"/>
        <w:outlineLvl w:val="0"/>
        <w:rPr>
          <w:rFonts w:hAnsi="宋体" w:cs="宋体"/>
          <w:bCs/>
          <w:color w:val="auto"/>
          <w:szCs w:val="24"/>
          <w:highlight w:val="none"/>
        </w:rPr>
      </w:pPr>
      <w:r>
        <w:rPr>
          <w:rFonts w:hint="eastAsia" w:hAnsi="宋体" w:cs="宋体"/>
          <w:b/>
          <w:color w:val="auto"/>
          <w:szCs w:val="24"/>
          <w:highlight w:val="none"/>
        </w:rPr>
        <w:t>二、项目名称：</w:t>
      </w:r>
      <w:r>
        <w:rPr>
          <w:rStyle w:val="74"/>
          <w:rFonts w:hint="eastAsia"/>
          <w:b w:val="0"/>
          <w:bCs/>
          <w:color w:val="auto"/>
          <w:szCs w:val="24"/>
          <w:highlight w:val="none"/>
        </w:rPr>
        <w:t>东阳市应急广播维保提升改造项目</w:t>
      </w:r>
    </w:p>
    <w:p>
      <w:pPr>
        <w:snapToGrid w:val="0"/>
        <w:ind w:left="0" w:leftChars="0" w:firstLine="0" w:firstLineChars="0"/>
        <w:rPr>
          <w:rStyle w:val="52"/>
          <w:rFonts w:hAnsi="宋体"/>
          <w:b/>
          <w:i w:val="0"/>
          <w:color w:val="auto"/>
          <w:highlight w:val="none"/>
        </w:rPr>
      </w:pPr>
      <w:r>
        <w:rPr>
          <w:rStyle w:val="52"/>
          <w:rFonts w:hint="eastAsia" w:hAnsi="宋体"/>
          <w:b/>
          <w:i w:val="0"/>
          <w:color w:val="auto"/>
          <w:highlight w:val="none"/>
        </w:rPr>
        <w:t>三、项目采购需求：</w:t>
      </w:r>
    </w:p>
    <w:p>
      <w:pPr>
        <w:pStyle w:val="6"/>
        <w:rPr>
          <w:color w:val="auto"/>
          <w:highlight w:val="none"/>
        </w:rPr>
      </w:pPr>
      <w:r>
        <w:rPr>
          <w:rFonts w:hint="eastAsia"/>
          <w:color w:val="auto"/>
          <w:highlight w:val="none"/>
        </w:rPr>
        <w:t>建设目标</w:t>
      </w:r>
    </w:p>
    <w:p>
      <w:pPr>
        <w:ind w:firstLine="480"/>
        <w:rPr>
          <w:rFonts w:ascii="仿宋" w:hAnsi="仿宋" w:cs="仿宋"/>
          <w:color w:val="auto"/>
          <w:highlight w:val="none"/>
        </w:rPr>
      </w:pPr>
      <w:bookmarkStart w:id="1" w:name="_Hlk85703947"/>
      <w:r>
        <w:rPr>
          <w:rFonts w:hint="eastAsia" w:ascii="仿宋" w:hAnsi="仿宋" w:cs="仿宋"/>
          <w:color w:val="auto"/>
          <w:highlight w:val="none"/>
        </w:rPr>
        <w:t>按照国家广电总局等五部局《关于加快推动农村应急广播主动发布式终端的通知》（广电发2</w:t>
      </w:r>
      <w:r>
        <w:rPr>
          <w:rFonts w:ascii="仿宋" w:hAnsi="仿宋" w:cs="仿宋"/>
          <w:color w:val="auto"/>
          <w:highlight w:val="none"/>
        </w:rPr>
        <w:t>022[60</w:t>
      </w:r>
      <w:r>
        <w:rPr>
          <w:rFonts w:hint="eastAsia" w:ascii="仿宋" w:hAnsi="仿宋" w:cs="仿宋"/>
          <w:color w:val="auto"/>
          <w:highlight w:val="none"/>
        </w:rPr>
        <w:t>号]），浙江省人民政府办公厅《关于深化全省应急广播体系建设的通知》（浙政办发[</w:t>
      </w:r>
      <w:r>
        <w:rPr>
          <w:rFonts w:ascii="仿宋" w:hAnsi="仿宋" w:cs="仿宋"/>
          <w:color w:val="auto"/>
          <w:highlight w:val="none"/>
        </w:rPr>
        <w:t>2022</w:t>
      </w:r>
      <w:r>
        <w:rPr>
          <w:rFonts w:hint="eastAsia" w:ascii="仿宋" w:hAnsi="仿宋" w:cs="仿宋"/>
          <w:color w:val="auto"/>
          <w:highlight w:val="none"/>
        </w:rPr>
        <w:t>]</w:t>
      </w:r>
      <w:r>
        <w:rPr>
          <w:rFonts w:ascii="仿宋" w:hAnsi="仿宋" w:cs="仿宋"/>
          <w:color w:val="auto"/>
          <w:highlight w:val="none"/>
        </w:rPr>
        <w:t>76</w:t>
      </w:r>
      <w:r>
        <w:rPr>
          <w:rFonts w:hint="eastAsia" w:ascii="仿宋" w:hAnsi="仿宋" w:cs="仿宋"/>
          <w:color w:val="auto"/>
          <w:highlight w:val="none"/>
        </w:rPr>
        <w:t>号），省应急管理厅、广播电视局《关于进一步推进全省农村应急广播体系建设的通知》（浙应急指挥〔</w:t>
      </w:r>
      <w:r>
        <w:rPr>
          <w:rFonts w:ascii="仿宋" w:hAnsi="仿宋" w:cs="仿宋"/>
          <w:color w:val="auto"/>
          <w:highlight w:val="none"/>
        </w:rPr>
        <w:t>2021〕18号）文件精神，建设一套省、市、</w:t>
      </w:r>
      <w:r>
        <w:rPr>
          <w:rFonts w:hint="eastAsia" w:ascii="仿宋" w:hAnsi="仿宋" w:cs="仿宋"/>
          <w:color w:val="auto"/>
          <w:highlight w:val="none"/>
        </w:rPr>
        <w:t>县</w:t>
      </w:r>
      <w:r>
        <w:rPr>
          <w:rFonts w:ascii="仿宋" w:hAnsi="仿宋" w:cs="仿宋"/>
          <w:color w:val="auto"/>
          <w:highlight w:val="none"/>
        </w:rPr>
        <w:t>、乡、村五级统一协调</w:t>
      </w:r>
      <w:r>
        <w:rPr>
          <w:rFonts w:hint="eastAsia" w:ascii="仿宋" w:hAnsi="仿宋" w:cs="仿宋"/>
          <w:color w:val="auto"/>
          <w:highlight w:val="none"/>
        </w:rPr>
        <w:t>的平台</w:t>
      </w:r>
      <w:r>
        <w:rPr>
          <w:rFonts w:ascii="仿宋" w:hAnsi="仿宋" w:cs="仿宋"/>
          <w:color w:val="auto"/>
          <w:highlight w:val="none"/>
        </w:rPr>
        <w:t>，对全市农村的应急广播终端在线率、通响率、发布率等工作状态进行实时监管。</w:t>
      </w:r>
    </w:p>
    <w:p>
      <w:pPr>
        <w:ind w:firstLine="480"/>
        <w:rPr>
          <w:rFonts w:ascii="仿宋" w:hAnsi="仿宋" w:cs="仿宋"/>
          <w:color w:val="auto"/>
          <w:highlight w:val="none"/>
        </w:rPr>
      </w:pPr>
      <w:r>
        <w:rPr>
          <w:rFonts w:hint="eastAsia" w:ascii="仿宋" w:hAnsi="仿宋" w:cs="仿宋"/>
          <w:color w:val="auto"/>
          <w:highlight w:val="none"/>
        </w:rPr>
        <w:t>东阳</w:t>
      </w:r>
      <w:r>
        <w:rPr>
          <w:rFonts w:ascii="仿宋" w:hAnsi="仿宋" w:cs="仿宋"/>
          <w:color w:val="auto"/>
          <w:highlight w:val="none"/>
        </w:rPr>
        <w:t>应急广播平台于2014年</w:t>
      </w:r>
      <w:r>
        <w:rPr>
          <w:rFonts w:hint="eastAsia" w:ascii="仿宋" w:hAnsi="仿宋" w:cs="仿宋"/>
          <w:color w:val="auto"/>
          <w:highlight w:val="none"/>
        </w:rPr>
        <w:t>建设</w:t>
      </w:r>
      <w:r>
        <w:rPr>
          <w:rFonts w:ascii="仿宋" w:hAnsi="仿宋" w:cs="仿宋"/>
          <w:color w:val="auto"/>
          <w:highlight w:val="none"/>
        </w:rPr>
        <w:t>，平台建设早于国家标准发布，</w:t>
      </w:r>
      <w:r>
        <w:rPr>
          <w:rFonts w:hint="eastAsia" w:ascii="仿宋" w:hAnsi="仿宋" w:cs="仿宋"/>
          <w:color w:val="auto"/>
          <w:highlight w:val="none"/>
        </w:rPr>
        <w:t>终端设施陈旧且故障率高，在东阳市防汛防洪、地质灾害点等部分重点区域未覆盖应急广播终端，按照上级文件考核要求和实际应急调度需求，需覆盖新应急广播终端，并将平台进行升级，升级成</w:t>
      </w:r>
      <w:r>
        <w:rPr>
          <w:rFonts w:ascii="仿宋" w:hAnsi="仿宋" w:cs="仿宋"/>
          <w:color w:val="auto"/>
          <w:highlight w:val="none"/>
        </w:rPr>
        <w:t>一套</w:t>
      </w:r>
      <w:r>
        <w:rPr>
          <w:rFonts w:hint="eastAsia" w:ascii="仿宋" w:hAnsi="仿宋" w:cs="仿宋"/>
          <w:color w:val="auto"/>
          <w:highlight w:val="none"/>
        </w:rPr>
        <w:t>符合国标标准，</w:t>
      </w:r>
      <w:r>
        <w:rPr>
          <w:rFonts w:ascii="仿宋" w:hAnsi="仿宋" w:cs="仿宋"/>
          <w:color w:val="auto"/>
          <w:highlight w:val="none"/>
        </w:rPr>
        <w:t>能够与省、市平台实现互联互通，</w:t>
      </w:r>
      <w:r>
        <w:rPr>
          <w:rFonts w:hint="eastAsia" w:ascii="仿宋" w:hAnsi="仿宋" w:cs="仿宋"/>
          <w:color w:val="auto"/>
          <w:highlight w:val="none"/>
        </w:rPr>
        <w:t>在“战”时提供应急预警，在“平”时作为党的宣传阵地，达到“平战结合”的目的。</w:t>
      </w:r>
    </w:p>
    <w:bookmarkEnd w:id="1"/>
    <w:p>
      <w:pPr>
        <w:pStyle w:val="6"/>
        <w:rPr>
          <w:color w:val="auto"/>
          <w:highlight w:val="none"/>
        </w:rPr>
      </w:pPr>
      <w:bookmarkStart w:id="2" w:name="_Toc15934"/>
      <w:bookmarkStart w:id="3" w:name="_Toc28697"/>
      <w:bookmarkStart w:id="4" w:name="_Toc31200"/>
      <w:bookmarkStart w:id="5" w:name="_Toc22705"/>
      <w:r>
        <w:rPr>
          <w:rFonts w:hint="eastAsia"/>
          <w:color w:val="auto"/>
          <w:highlight w:val="none"/>
        </w:rPr>
        <w:t>建设</w:t>
      </w:r>
      <w:bookmarkEnd w:id="2"/>
      <w:bookmarkEnd w:id="3"/>
      <w:r>
        <w:rPr>
          <w:rFonts w:hint="eastAsia"/>
          <w:color w:val="auto"/>
          <w:highlight w:val="none"/>
        </w:rPr>
        <w:t>内容</w:t>
      </w:r>
    </w:p>
    <w:p>
      <w:pPr>
        <w:ind w:firstLine="480"/>
        <w:rPr>
          <w:color w:val="auto"/>
          <w:highlight w:val="none"/>
        </w:rPr>
      </w:pPr>
      <w:r>
        <w:rPr>
          <w:rFonts w:hint="eastAsia" w:ascii="仿宋" w:hAnsi="仿宋" w:cs="仿宋"/>
          <w:color w:val="auto"/>
          <w:szCs w:val="32"/>
          <w:highlight w:val="none"/>
          <w:shd w:val="clear" w:color="auto" w:fill="FFFFFF" w:themeFill="background1"/>
        </w:rPr>
        <w:t>在全市范围内对应急广播系统进行维保升级改造。</w:t>
      </w:r>
      <w:bookmarkEnd w:id="4"/>
      <w:bookmarkEnd w:id="5"/>
      <w:bookmarkStart w:id="6" w:name="_Toc14799"/>
      <w:r>
        <w:rPr>
          <w:rFonts w:hint="eastAsia"/>
          <w:color w:val="auto"/>
          <w:highlight w:val="none"/>
        </w:rPr>
        <w:t>在行政村、20户以上自然村、灾害事故多发易发区域（点），覆盖建设双向化应急广播</w:t>
      </w:r>
      <w:r>
        <w:rPr>
          <w:color w:val="auto"/>
          <w:highlight w:val="none"/>
        </w:rPr>
        <w:t>。</w:t>
      </w:r>
      <w:r>
        <w:rPr>
          <w:color w:val="auto"/>
          <w:highlight w:val="none"/>
        </w:rPr>
        <w:tab/>
      </w:r>
      <w:bookmarkEnd w:id="6"/>
    </w:p>
    <w:p>
      <w:pPr>
        <w:spacing w:line="560" w:lineRule="exact"/>
        <w:ind w:firstLine="640"/>
        <w:jc w:val="center"/>
        <w:rPr>
          <w:rFonts w:hint="eastAsia" w:ascii="仿宋_GB2312" w:hAnsi="仿宋_GB2312" w:eastAsia="仿宋_GB2312" w:cs="仿宋_GB2312"/>
          <w:iCs/>
          <w:color w:val="auto"/>
          <w:sz w:val="32"/>
          <w:szCs w:val="32"/>
          <w:highlight w:val="none"/>
          <w:lang w:eastAsia="zh-CN"/>
        </w:rPr>
      </w:pPr>
      <w:r>
        <w:rPr>
          <w:rFonts w:hint="eastAsia" w:ascii="仿宋_GB2312" w:hAnsi="仿宋_GB2312" w:eastAsia="仿宋_GB2312" w:cs="仿宋_GB2312"/>
          <w:iCs/>
          <w:color w:val="auto"/>
          <w:sz w:val="32"/>
          <w:szCs w:val="32"/>
          <w:highlight w:val="none"/>
        </w:rPr>
        <w:t>东阳市域应急广播终端预计安装点位表</w:t>
      </w:r>
    </w:p>
    <w:tbl>
      <w:tblPr>
        <w:tblStyle w:val="46"/>
        <w:tblW w:w="9060" w:type="dxa"/>
        <w:jc w:val="center"/>
        <w:tblLayout w:type="fixed"/>
        <w:tblCellMar>
          <w:top w:w="0" w:type="dxa"/>
          <w:left w:w="108" w:type="dxa"/>
          <w:bottom w:w="0" w:type="dxa"/>
          <w:right w:w="108" w:type="dxa"/>
        </w:tblCellMar>
      </w:tblPr>
      <w:tblGrid>
        <w:gridCol w:w="1067"/>
        <w:gridCol w:w="6264"/>
        <w:gridCol w:w="1729"/>
      </w:tblGrid>
      <w:tr>
        <w:tblPrEx>
          <w:tblCellMar>
            <w:top w:w="0" w:type="dxa"/>
            <w:left w:w="108" w:type="dxa"/>
            <w:bottom w:w="0" w:type="dxa"/>
            <w:right w:w="108" w:type="dxa"/>
          </w:tblCellMar>
        </w:tblPrEx>
        <w:trPr>
          <w:trHeight w:val="420" w:hRule="atLeast"/>
          <w:jc w:val="center"/>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序号</w:t>
            </w:r>
          </w:p>
        </w:tc>
        <w:tc>
          <w:tcPr>
            <w:tcW w:w="6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区域</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jc w:val="both"/>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数量</w:t>
            </w:r>
          </w:p>
        </w:tc>
      </w:tr>
      <w:tr>
        <w:tblPrEx>
          <w:tblCellMar>
            <w:top w:w="0" w:type="dxa"/>
            <w:left w:w="108" w:type="dxa"/>
            <w:bottom w:w="0" w:type="dxa"/>
            <w:right w:w="108" w:type="dxa"/>
          </w:tblCellMar>
        </w:tblPrEx>
        <w:trPr>
          <w:trHeight w:val="420" w:hRule="atLeast"/>
          <w:jc w:val="center"/>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6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乡镇街道、村小区</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4134</w:t>
            </w:r>
          </w:p>
        </w:tc>
      </w:tr>
      <w:tr>
        <w:tblPrEx>
          <w:tblCellMar>
            <w:top w:w="0" w:type="dxa"/>
            <w:left w:w="108" w:type="dxa"/>
            <w:bottom w:w="0" w:type="dxa"/>
            <w:right w:w="108" w:type="dxa"/>
          </w:tblCellMar>
        </w:tblPrEx>
        <w:trPr>
          <w:trHeight w:val="420" w:hRule="atLeast"/>
          <w:jc w:val="center"/>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w:t>
            </w:r>
          </w:p>
        </w:tc>
        <w:tc>
          <w:tcPr>
            <w:tcW w:w="6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人防</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175</w:t>
            </w:r>
          </w:p>
        </w:tc>
      </w:tr>
      <w:tr>
        <w:tblPrEx>
          <w:tblCellMar>
            <w:top w:w="0" w:type="dxa"/>
            <w:left w:w="108" w:type="dxa"/>
            <w:bottom w:w="0" w:type="dxa"/>
            <w:right w:w="108" w:type="dxa"/>
          </w:tblCellMar>
        </w:tblPrEx>
        <w:trPr>
          <w:trHeight w:val="420" w:hRule="atLeast"/>
          <w:jc w:val="center"/>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6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隧道</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23</w:t>
            </w:r>
          </w:p>
        </w:tc>
      </w:tr>
      <w:tr>
        <w:tblPrEx>
          <w:tblCellMar>
            <w:top w:w="0" w:type="dxa"/>
            <w:left w:w="108" w:type="dxa"/>
            <w:bottom w:w="0" w:type="dxa"/>
            <w:right w:w="108" w:type="dxa"/>
          </w:tblCellMar>
        </w:tblPrEx>
        <w:trPr>
          <w:trHeight w:val="420" w:hRule="atLeast"/>
          <w:jc w:val="center"/>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w:t>
            </w:r>
          </w:p>
        </w:tc>
        <w:tc>
          <w:tcPr>
            <w:tcW w:w="6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农贸市场</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44</w:t>
            </w:r>
          </w:p>
        </w:tc>
      </w:tr>
      <w:tr>
        <w:tblPrEx>
          <w:tblCellMar>
            <w:top w:w="0" w:type="dxa"/>
            <w:left w:w="108" w:type="dxa"/>
            <w:bottom w:w="0" w:type="dxa"/>
            <w:right w:w="108" w:type="dxa"/>
          </w:tblCellMar>
        </w:tblPrEx>
        <w:trPr>
          <w:trHeight w:val="420" w:hRule="atLeast"/>
          <w:jc w:val="center"/>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6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学校（民办+公办）</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212</w:t>
            </w:r>
          </w:p>
        </w:tc>
      </w:tr>
      <w:tr>
        <w:tblPrEx>
          <w:tblCellMar>
            <w:top w:w="0" w:type="dxa"/>
            <w:left w:w="108" w:type="dxa"/>
            <w:bottom w:w="0" w:type="dxa"/>
            <w:right w:w="108" w:type="dxa"/>
          </w:tblCellMar>
        </w:tblPrEx>
        <w:trPr>
          <w:trHeight w:val="420" w:hRule="atLeast"/>
          <w:jc w:val="center"/>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c>
          <w:tcPr>
            <w:tcW w:w="6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福利院、养老院</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26</w:t>
            </w:r>
          </w:p>
        </w:tc>
      </w:tr>
      <w:tr>
        <w:tblPrEx>
          <w:tblCellMar>
            <w:top w:w="0" w:type="dxa"/>
            <w:left w:w="108" w:type="dxa"/>
            <w:bottom w:w="0" w:type="dxa"/>
            <w:right w:w="108" w:type="dxa"/>
          </w:tblCellMar>
        </w:tblPrEx>
        <w:trPr>
          <w:trHeight w:val="420" w:hRule="atLeast"/>
          <w:jc w:val="center"/>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w:t>
            </w:r>
          </w:p>
        </w:tc>
        <w:tc>
          <w:tcPr>
            <w:tcW w:w="6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2000平以上大型商场</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w:t>
            </w:r>
          </w:p>
        </w:tc>
      </w:tr>
      <w:tr>
        <w:tblPrEx>
          <w:tblCellMar>
            <w:top w:w="0" w:type="dxa"/>
            <w:left w:w="108" w:type="dxa"/>
            <w:bottom w:w="0" w:type="dxa"/>
            <w:right w:w="108" w:type="dxa"/>
          </w:tblCellMar>
        </w:tblPrEx>
        <w:trPr>
          <w:trHeight w:val="420" w:hRule="atLeast"/>
          <w:jc w:val="center"/>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c>
          <w:tcPr>
            <w:tcW w:w="6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自然灾害风险防范区</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169</w:t>
            </w:r>
          </w:p>
        </w:tc>
      </w:tr>
      <w:tr>
        <w:tblPrEx>
          <w:tblCellMar>
            <w:top w:w="0" w:type="dxa"/>
            <w:left w:w="108" w:type="dxa"/>
            <w:bottom w:w="0" w:type="dxa"/>
            <w:right w:w="108" w:type="dxa"/>
          </w:tblCellMar>
        </w:tblPrEx>
        <w:trPr>
          <w:trHeight w:val="635" w:hRule="atLeast"/>
          <w:jc w:val="center"/>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c>
          <w:tcPr>
            <w:tcW w:w="6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其他（含工业园区300、政府机构驻地18、公园45、景区18、国有林场5、自然保护地7）</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393</w:t>
            </w:r>
          </w:p>
        </w:tc>
      </w:tr>
      <w:tr>
        <w:tblPrEx>
          <w:tblCellMar>
            <w:top w:w="0" w:type="dxa"/>
            <w:left w:w="108" w:type="dxa"/>
            <w:bottom w:w="0" w:type="dxa"/>
            <w:right w:w="108" w:type="dxa"/>
          </w:tblCellMar>
        </w:tblPrEx>
        <w:trPr>
          <w:trHeight w:val="420" w:hRule="atLeast"/>
          <w:jc w:val="center"/>
        </w:trPr>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合计</w:t>
            </w:r>
          </w:p>
        </w:tc>
        <w:tc>
          <w:tcPr>
            <w:tcW w:w="6264"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442"/>
              <w:jc w:val="center"/>
              <w:rPr>
                <w:rFonts w:ascii="宋体" w:hAnsi="宋体" w:cs="宋体"/>
                <w:b/>
                <w:bCs/>
                <w:color w:val="auto"/>
                <w:sz w:val="22"/>
                <w:szCs w:val="22"/>
                <w:highlight w:val="none"/>
              </w:rPr>
            </w:pPr>
          </w:p>
        </w:tc>
        <w:tc>
          <w:tcPr>
            <w:tcW w:w="1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5200</w:t>
            </w:r>
          </w:p>
        </w:tc>
      </w:tr>
    </w:tbl>
    <w:p>
      <w:pPr>
        <w:ind w:firstLine="480"/>
        <w:rPr>
          <w:color w:val="auto"/>
          <w:highlight w:val="none"/>
        </w:rPr>
      </w:pPr>
    </w:p>
    <w:p>
      <w:pPr>
        <w:pStyle w:val="6"/>
        <w:rPr>
          <w:color w:val="auto"/>
          <w:highlight w:val="none"/>
        </w:rPr>
      </w:pPr>
      <w:r>
        <w:rPr>
          <w:rFonts w:hint="eastAsia"/>
          <w:color w:val="auto"/>
          <w:highlight w:val="none"/>
        </w:rPr>
        <w:t>产品参数</w:t>
      </w:r>
    </w:p>
    <w:p>
      <w:pPr>
        <w:pStyle w:val="3"/>
        <w:spacing w:line="360" w:lineRule="auto"/>
        <w:ind w:firstLine="344"/>
        <w:rPr>
          <w:color w:val="auto"/>
          <w:sz w:val="24"/>
          <w:szCs w:val="24"/>
          <w:highlight w:val="none"/>
        </w:rPr>
      </w:pPr>
      <w:r>
        <w:rPr>
          <w:rFonts w:hint="eastAsia"/>
          <w:color w:val="auto"/>
          <w:sz w:val="24"/>
          <w:szCs w:val="24"/>
          <w:highlight w:val="none"/>
        </w:rPr>
        <w:t>一：提供本次项目服务的投标人必须建设市级平台等内容，建设费用包含在服务费中，采购人不另行结算。具体要求如下：</w:t>
      </w:r>
    </w:p>
    <w:tbl>
      <w:tblPr>
        <w:tblStyle w:val="46"/>
        <w:tblW w:w="9169" w:type="dxa"/>
        <w:jc w:val="center"/>
        <w:tblLayout w:type="fixed"/>
        <w:tblCellMar>
          <w:top w:w="0" w:type="dxa"/>
          <w:left w:w="108" w:type="dxa"/>
          <w:bottom w:w="0" w:type="dxa"/>
          <w:right w:w="108" w:type="dxa"/>
        </w:tblCellMar>
      </w:tblPr>
      <w:tblGrid>
        <w:gridCol w:w="998"/>
        <w:gridCol w:w="1723"/>
        <w:gridCol w:w="4681"/>
        <w:gridCol w:w="921"/>
        <w:gridCol w:w="846"/>
      </w:tblGrid>
      <w:tr>
        <w:tblPrEx>
          <w:tblCellMar>
            <w:top w:w="0" w:type="dxa"/>
            <w:left w:w="108" w:type="dxa"/>
            <w:bottom w:w="0" w:type="dxa"/>
            <w:right w:w="108" w:type="dxa"/>
          </w:tblCellMar>
        </w:tblPrEx>
        <w:trPr>
          <w:trHeight w:val="409" w:hRule="atLeast"/>
          <w:jc w:val="center"/>
        </w:trPr>
        <w:tc>
          <w:tcPr>
            <w:tcW w:w="99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301"/>
              <w:jc w:val="center"/>
              <w:textAlignment w:val="center"/>
              <w:rPr>
                <w:rFonts w:ascii="宋体" w:hAnsi="宋体" w:cs="宋体"/>
                <w:b/>
                <w:bCs/>
                <w:color w:val="auto"/>
                <w:sz w:val="15"/>
                <w:szCs w:val="15"/>
                <w:highlight w:val="none"/>
              </w:rPr>
            </w:pPr>
            <w:r>
              <w:rPr>
                <w:rFonts w:hint="eastAsia" w:ascii="宋体" w:hAnsi="宋体" w:cs="宋体"/>
                <w:b/>
                <w:bCs/>
                <w:color w:val="auto"/>
                <w:kern w:val="0"/>
                <w:sz w:val="15"/>
                <w:szCs w:val="15"/>
                <w:highlight w:val="none"/>
                <w:lang w:bidi="ar"/>
              </w:rPr>
              <w:t>序号</w:t>
            </w:r>
          </w:p>
        </w:tc>
        <w:tc>
          <w:tcPr>
            <w:tcW w:w="172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301"/>
              <w:jc w:val="center"/>
              <w:textAlignment w:val="center"/>
              <w:rPr>
                <w:rFonts w:ascii="宋体" w:hAnsi="宋体" w:cs="宋体"/>
                <w:b/>
                <w:bCs/>
                <w:color w:val="auto"/>
                <w:sz w:val="15"/>
                <w:szCs w:val="15"/>
                <w:highlight w:val="none"/>
              </w:rPr>
            </w:pPr>
            <w:r>
              <w:rPr>
                <w:rFonts w:hint="eastAsia" w:ascii="宋体" w:hAnsi="宋体" w:cs="宋体"/>
                <w:b/>
                <w:bCs/>
                <w:color w:val="auto"/>
                <w:kern w:val="0"/>
                <w:sz w:val="15"/>
                <w:szCs w:val="15"/>
                <w:highlight w:val="none"/>
                <w:lang w:bidi="ar"/>
              </w:rPr>
              <w:t>产品名称</w:t>
            </w:r>
          </w:p>
        </w:tc>
        <w:tc>
          <w:tcPr>
            <w:tcW w:w="468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301"/>
              <w:jc w:val="center"/>
              <w:textAlignment w:val="center"/>
              <w:rPr>
                <w:rFonts w:ascii="宋体" w:hAnsi="宋体" w:cs="宋体"/>
                <w:b/>
                <w:bCs/>
                <w:color w:val="auto"/>
                <w:sz w:val="15"/>
                <w:szCs w:val="15"/>
                <w:highlight w:val="none"/>
              </w:rPr>
            </w:pPr>
            <w:r>
              <w:rPr>
                <w:rFonts w:hint="eastAsia" w:ascii="宋体" w:hAnsi="宋体" w:cs="宋体"/>
                <w:b/>
                <w:bCs/>
                <w:color w:val="auto"/>
                <w:kern w:val="0"/>
                <w:sz w:val="15"/>
                <w:szCs w:val="15"/>
                <w:highlight w:val="none"/>
                <w:lang w:bidi="ar"/>
              </w:rPr>
              <w:t>参数</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firstLineChars="0"/>
              <w:jc w:val="center"/>
              <w:textAlignment w:val="center"/>
              <w:rPr>
                <w:rFonts w:ascii="宋体" w:hAnsi="宋体" w:cs="宋体"/>
                <w:b/>
                <w:bCs/>
                <w:color w:val="auto"/>
                <w:sz w:val="15"/>
                <w:szCs w:val="15"/>
                <w:highlight w:val="none"/>
              </w:rPr>
            </w:pPr>
            <w:r>
              <w:rPr>
                <w:rFonts w:hint="eastAsia" w:ascii="宋体" w:hAnsi="宋体" w:cs="宋体"/>
                <w:b/>
                <w:bCs/>
                <w:color w:val="auto"/>
                <w:kern w:val="0"/>
                <w:sz w:val="15"/>
                <w:szCs w:val="15"/>
                <w:highlight w:val="none"/>
                <w:lang w:bidi="ar"/>
              </w:rPr>
              <w:t>数量</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firstLineChars="0"/>
              <w:jc w:val="center"/>
              <w:textAlignment w:val="center"/>
              <w:rPr>
                <w:rFonts w:ascii="宋体" w:hAnsi="宋体" w:cs="宋体"/>
                <w:b/>
                <w:bCs/>
                <w:color w:val="auto"/>
                <w:sz w:val="15"/>
                <w:szCs w:val="15"/>
                <w:highlight w:val="none"/>
              </w:rPr>
            </w:pPr>
            <w:r>
              <w:rPr>
                <w:rFonts w:hint="eastAsia" w:ascii="宋体" w:hAnsi="宋体" w:cs="宋体"/>
                <w:b/>
                <w:bCs/>
                <w:color w:val="auto"/>
                <w:kern w:val="0"/>
                <w:sz w:val="15"/>
                <w:szCs w:val="15"/>
                <w:highlight w:val="none"/>
                <w:lang w:bidi="ar"/>
              </w:rPr>
              <w:t>单位</w:t>
            </w:r>
          </w:p>
        </w:tc>
      </w:tr>
      <w:tr>
        <w:tblPrEx>
          <w:tblCellMar>
            <w:top w:w="0" w:type="dxa"/>
            <w:left w:w="108" w:type="dxa"/>
            <w:bottom w:w="0" w:type="dxa"/>
            <w:right w:w="108" w:type="dxa"/>
          </w:tblCellMar>
        </w:tblPrEx>
        <w:trPr>
          <w:trHeight w:val="409" w:hRule="atLeast"/>
          <w:jc w:val="center"/>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ind w:firstLine="301"/>
              <w:jc w:val="center"/>
              <w:rPr>
                <w:rFonts w:ascii="宋体" w:hAnsi="宋体" w:cs="宋体"/>
                <w:b/>
                <w:bCs/>
                <w:color w:val="auto"/>
                <w:sz w:val="15"/>
                <w:szCs w:val="15"/>
                <w:highlight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ind w:firstLine="301"/>
              <w:jc w:val="center"/>
              <w:rPr>
                <w:rFonts w:ascii="宋体" w:hAnsi="宋体" w:cs="宋体"/>
                <w:b/>
                <w:bCs/>
                <w:color w:val="auto"/>
                <w:sz w:val="15"/>
                <w:szCs w:val="15"/>
                <w:highlight w:val="none"/>
              </w:rPr>
            </w:pPr>
          </w:p>
        </w:tc>
        <w:tc>
          <w:tcPr>
            <w:tcW w:w="4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ind w:firstLine="301"/>
              <w:jc w:val="center"/>
              <w:rPr>
                <w:rFonts w:ascii="宋体" w:hAnsi="宋体" w:cs="宋体"/>
                <w:b/>
                <w:bCs/>
                <w:color w:val="auto"/>
                <w:sz w:val="15"/>
                <w:szCs w:val="15"/>
                <w:highlight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ind w:firstLine="301"/>
              <w:jc w:val="center"/>
              <w:rPr>
                <w:rFonts w:ascii="宋体" w:hAnsi="宋体" w:cs="宋体"/>
                <w:b/>
                <w:bCs/>
                <w:color w:val="auto"/>
                <w:sz w:val="15"/>
                <w:szCs w:val="15"/>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ind w:firstLine="301"/>
              <w:jc w:val="center"/>
              <w:rPr>
                <w:rFonts w:ascii="宋体" w:hAnsi="宋体" w:cs="宋体"/>
                <w:b/>
                <w:bCs/>
                <w:color w:val="auto"/>
                <w:sz w:val="15"/>
                <w:szCs w:val="15"/>
                <w:highlight w:val="none"/>
              </w:rPr>
            </w:pPr>
          </w:p>
        </w:tc>
      </w:tr>
      <w:tr>
        <w:tblPrEx>
          <w:tblCellMar>
            <w:top w:w="0" w:type="dxa"/>
            <w:left w:w="108" w:type="dxa"/>
            <w:bottom w:w="0" w:type="dxa"/>
            <w:right w:w="108" w:type="dxa"/>
          </w:tblCellMar>
        </w:tblPrEx>
        <w:trPr>
          <w:trHeight w:val="323" w:hRule="atLeast"/>
          <w:jc w:val="center"/>
        </w:trPr>
        <w:tc>
          <w:tcPr>
            <w:tcW w:w="832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1"/>
              <w:jc w:val="center"/>
              <w:textAlignment w:val="center"/>
              <w:rPr>
                <w:rFonts w:ascii="宋体" w:hAnsi="宋体" w:cs="宋体"/>
                <w:b/>
                <w:bCs/>
                <w:color w:val="auto"/>
                <w:sz w:val="15"/>
                <w:szCs w:val="15"/>
                <w:highlight w:val="none"/>
              </w:rPr>
            </w:pPr>
            <w:r>
              <w:rPr>
                <w:rFonts w:hint="eastAsia" w:ascii="宋体" w:hAnsi="宋体" w:cs="宋体"/>
                <w:b/>
                <w:bCs/>
                <w:color w:val="auto"/>
                <w:kern w:val="0"/>
                <w:sz w:val="15"/>
                <w:szCs w:val="15"/>
                <w:highlight w:val="none"/>
                <w:lang w:bidi="ar"/>
              </w:rPr>
              <w:t>一、市级播控平台功能</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301"/>
              <w:jc w:val="center"/>
              <w:rPr>
                <w:rFonts w:ascii="宋体" w:hAnsi="宋体" w:cs="宋体"/>
                <w:b/>
                <w:bCs/>
                <w:color w:val="auto"/>
                <w:sz w:val="15"/>
                <w:szCs w:val="15"/>
                <w:highlight w:val="none"/>
              </w:rPr>
            </w:pPr>
          </w:p>
        </w:tc>
      </w:tr>
      <w:tr>
        <w:tblPrEx>
          <w:tblCellMar>
            <w:top w:w="0" w:type="dxa"/>
            <w:left w:w="108" w:type="dxa"/>
            <w:bottom w:w="0" w:type="dxa"/>
            <w:right w:w="108" w:type="dxa"/>
          </w:tblCellMar>
        </w:tblPrEx>
        <w:trPr>
          <w:trHeight w:val="323" w:hRule="atLeast"/>
          <w:jc w:val="center"/>
        </w:trPr>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ascii="宋体" w:hAnsi="宋体" w:cs="宋体"/>
                <w:color w:val="auto"/>
                <w:kern w:val="0"/>
                <w:sz w:val="15"/>
                <w:szCs w:val="15"/>
                <w:highlight w:val="none"/>
                <w:lang w:bidi="ar"/>
              </w:rPr>
              <w:t>1</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应急广播</w:t>
            </w:r>
            <w:r>
              <w:rPr>
                <w:rStyle w:val="281"/>
                <w:color w:val="auto"/>
                <w:sz w:val="15"/>
                <w:szCs w:val="15"/>
                <w:highlight w:val="none"/>
                <w:lang w:bidi="ar"/>
              </w:rPr>
              <w:t>国标软件平台</w:t>
            </w:r>
          </w:p>
        </w:tc>
        <w:tc>
          <w:tcPr>
            <w:tcW w:w="4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both"/>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一、信息接入管理展示：</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实现接入信息详情展示，内容包括信息级别、文字描述、消息接入时间、消息开始播放时间、消息结束时间、消息发布机构、事件类型、事件级别、覆盖区域等；大屏幕左上角滚动播放接入信息内容，包括文字和音频；（★须提供清晰软件界面截图）</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（1）直观展示信息接入的流程包括：信息接入状态、信息审核情况、生产方案、方案审核、开始播放、播放结束；以上状态要通过流程图加颜色来区分信息处理到那一步；</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（2）信息执行情况展示，当点击一条信息后能够看到这条信息执行情况，包括：调用资源数量、覆盖区域、广播成功率；</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二、分发传输展示：</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（1）能够直观展示每条消息下发过程采用哪种传输方式；系统并发量：</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（2）对应急接收终端的实时播发数量需大于50000台；</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（3）传输方式分为：调频广播、数字电视（TVOS）、应急广播平台、视播联动、应急机动广播、中波广播、户外大屏等；</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三、广播任务次数统计展示：</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以动态图表的形式直观展示过去一周各地区每天信息播放次数，要与导航地图联动，实现随着区域变化显示所辖区域内的广播次数统计，图表要有动态巡检功能；（★须提供清晰软件界面截图）</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四、区域发送数据统计展示：</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以柱状图的形式展示所辖区域内每个地区总的信息发送统计，同时数据要跟矢量导航地图的下探返回联动，展现的数据能够根据联动内区域播放次数的改变实时变化；（★须提供清晰软件界面截图）</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五、资源数据展示：</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支持应急广播相关数据分组并列展示：（★须提供清晰软件界面截图）</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（1）采用数字的方式展现出平台的总数、终端总数、适配器总数，台站前端总数；</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（2）接入平台总数状态包括：在线数量、离线数量、在播数量；</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（3）终端总数状态包括：在线数量、离线数量、在播数量；</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（4）适配器总数状态包括：在线数量、离线数量、在播数量；</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（5）台站前端总数状态包括：在线数量、离线数量、在播数量；</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（6）数据的状态变化要实时变化，数据的刷新实现单组单数自动刷新，不能以刷新浏览器的方式实现，第一次登陆数据加载要在20秒以内实现动态数据平台数7个以上、终端总数20000个以上、适配器总数7个以上；</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（7）同时数据要跟矢量导航地图的下探返回联动，展现的数据能够根据联动内区域设备的上线，下线，增加，删除，播放状态的改变实时变化；</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六、GIS地图展示：</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通过GIS地图可以一目了然的显示所辖广播资源（注：应急广播平台、应急广播适配器、应急广播终端等）的状态，方便值班人员监看。功能要求：</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（1）区域树管理，根据区域树可以方便的选择区域，区域选择确认后在GIS地图上同步实时显示区域内平台、台站、前端、终端的离上线和在播状态；</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（2）广播资源在GIS地图必须具有聚合功能，按照区域就近原则聚合，广播资源聚合显示标识要以平台、台站适配器、大喇叭适配器、大喇叭终端设备区域内要以级别最高的标识显示呈现，同时显示数量；</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（3）GIS地图要具有无极缩放功能，地图在逐级放大缩小的过程中广播资源在地图上呈现聚合与分离；</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（4）GIS地图必须具有框选、圈选、多边形选、任意选择，选择区域后以弹框的方式调出内容制作系统，配合自动审核配置，实现紧急情况下的快速调度；</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（5）GIS地图上显示的广播资源要具有离线、在线、在播三种状态的显示要实时更新，不能以刷新整个GIS地图的方式，只能以单个广播资源为单位变化状态，且不能采用websocket轮询方案动态更新，能通过防火墙；</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（6）同时GIS地图区域要跟矢量导航地图的下探返回联动，展现的数据能够根据联动内区域的资源状况实时变化；</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7）GIS支持矢量地图导航，瓦片地图展示，导航矢量地图和瓦片地图需要按边界剪裁出边界内地图，不得有超过边界的地方展示出来，在瓦片地图上能够实时的展现出平台，适配器，喇叭等资源，瓦片地图支持放大缩小，通过鼠标滚轴操作，当地图缩小是能够把设备按区域聚合在一起，同时显示出聚合后数量，聚合要根据层级如果有平台就显示平台出来，没有平台有适配器就使显示适配器，既没有平台也没有适配器就显示大喇叭图标，放大到最大能够在瓦片地图上的坐标点上显示出设备，地图上的设备能够实时根据设备的状态来部更新，只更新设备图标，不能采用刷新网页的方式来更新。当在矢量地图支持挖掘下探，当在矢量地图上挖掘下探，瓦片地图也要随之变化下探，同时更新下一级的设备及状态到瓦片地图上，下级设备的上线，下线，增加，删除能够直观的在地图上展示出来。（★须提供软件界面截图）</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七、矢量导航地图展示:</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1）矢量地图要实现镇一级区域显示，具有下探返回功能，区域板块的颜色要根据接入资源情况而变化深浅（颜色深浅要根据所辖区域内资源接入情况动态变化，例如：所辖区域下有10个乡镇资源覆盖了8个的区域颜色要比所辖区域下有10乡镇资源覆盖4个的颜色要深），根据下级平台上报资源情况区域颜色实现实时动态变化；（★须提供软件界面截图）</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（2）矢量地图要具有无极缩放功能；</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八、信息级别统计展示:</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以饼状图的形式统计发送信息的级别，（★须提供软件界面截图）</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（1）共分为4个级：1级用红色表示；2级用黄色表示；3级用橙色表示；4级用蓝色表示；</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（2）各级别数据在饼状图中以百分比的方式展示；</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（3）数据要同时跟矢量导航地图的下探返回联动，展现的数据能够根据联动内区域设备的上线，下线，增加，删除，播放状态的改变实时变化。</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九、信息级别统计展示:</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以滚动图表的方式展示（★须提供软件界面截图）</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（1）图表格式显示故障序列号；故障资源名称；故障事由；故障时间；</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（2）同时离线资源要跟矢量导航地图的下探返回联动，展现联动内区域离线资源情况；</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十、终端实时在线率展示:</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终端资源实时状态（★须提供软件界面截图）</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（1）以迈速表的显示展现，按照终端资源实时状态以百分比的方式实时变化；</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（2）数据刷新方式：只能以单个广播资源为单位变化状态，且不能采用websocket轮询方案动态更新，能通过防火墙；</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（3）同时资源实时在线率要跟矢量导航地图的下探返回联动，展现联动内区域实时在线率；</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十一、村信息统计展示:</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以三层宝塔形式分颜色展示行政村总数和终端资源覆盖数、终端覆盖率；同时要跟矢量导航地图的下探返回联动，展现联动内区域资源情况；</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十二、行政村通响数统计展示:（★须提供软件界面截图）</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以柱状加曲线多维度展示行政总数、设备覆盖数与设备村通响数。</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（1）用酱紫曲线表示行政村总数，用数字显示，且会跳动；</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（2）用黄色柱状图表示行设备覆盖数，在柱状图的顶端显示对应的数据；</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（3）用蓝色柱状图表示设备通响数，在柱状图的顶端显示对应的数据；</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（4）同时要跟矢量导航地图的下探返回联动，展现联动内区域行政村通响数统计情况；</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十三、在线率排名展示:用动态图形展示在线率排名。（★须提供软件界面截图）</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（1）用多个动态漂浮球的方式显示排名情况；</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（2）每个动态漂浮求表示一个行政区，内容包含所辖资源总数、平均在线率；</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（3）随地图的联动要显示出下一级区域内设备的在线率前几名。</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第二部分：应急广播调度指挥模块</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一、制作播出子系统：</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实现预警信息快速处理，制作成相应的应急广播信息，将其传输到同级播出平台或下级平台。</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（1）文字转语音：采用科大讯飞（离线）文字转语音模块，节目制作：节目制作模块主要负责将采集的原始数据制作成相应的应急广播信息。包括内容采集、内容管理两个功能模块。</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（2）具备定时自动或手动播发的功能。</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二、应急接入子系统：</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实现预警信息快速接入功能，将其传输到同级播出平台或下级平台。</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（1）内容接入：内容接入模块主要负责接收各级应急部门发送的应急信息，以及根据调控平台下发的媒资制作任务，并对接入内容进行人工分析审核，审核过程中对制播任务进行驳回。</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（2）信息存储：信息存储模块主要负责制作完成的媒资内容和调度控制平台下发内容的存储。</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三、方案生成子系统：</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是整个调度控制平台核心的系统，负责应急广播指令的生成、下发。在成功接收到各应急业务发起部门的信息发布平台传来的应急广播发布需求后，方案生成模块将根据调度控制平台中的资源管理模块内的实时记录进行综合评估。</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1）审核机制管理：系统具备自主广播和自动广播两种方式，对于外部应急办等部门发来的应急信息通过发布前置系统或者应急广播平台上下级间，通过维度配置等相关配置，到达应急信息接入系统之后是自动播发还是人工干预播发的目的，可对事件级别进行配置。</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（2）方案模板管理：方案模板作为自主广播的辅助手段，可提前配置，方便后续使用。管理页面通过列表的形式直观展示模板信息，用户可快速进行各种增删改查操作。</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（3）任务队列管理：系统支持对任务的智能化队列处理，支持任务两级缓存队列处理，可对并发任务按优先级处理、按区域级别处理，支持任务按照开始时间排序以及结束时间过期的判断，任务销毁处理等。</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（4）应急预案生成：系统可根据信息级别设置应急预案，及时、快速响应。</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（5）下发优先管理：系统支持灵活的优先级配置策略，包括：支持对事件级别进行优先级配置。支持对信息类型进行优先级配置。支持对信息紧迫程度进行优先级配置。</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（6）区域分组管理：支持对行政区域进行分组的新增、修改、删除。支持行政区域树状结构展示及选取。支持对创建的分组进行查看显示所包含的区域信息。</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四、资源管理子系统：</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负责管理应急广播各级平台及广播台站资源，实现应急广播资源状况的定期同步采集，并记录在数据库进行统一管控。</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1）平台管理：负责管理上下级应急广播平台及大喇叭平台的关系，所有的上下级平台均通过此界面进行添加并执行注册、注销等操作，注册成功后方可正常使用。同时显示已注册平台的心跳状态，可修改平台属性信息。平台列表展示与当前平台有关系的所有平台的信息，可通过查询条件（名称、所属区域、接入类型、状态等）快速查找。显示顺序为已注册平台的名称、接入类型、接入单位、联系人联系电话、接入点IP、注册/注销、创建时间、操作。其中操作菜单包含编辑与删除，编辑可修改平台属性信息、注册与注销、接入点IP修改等，删除按钮可以删除一条注册或者注销的接入平台；可以根据接入类型查询平台数量，也可以根据关键词模糊查询注册平台数量等；</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2）平台列表：可通过平台名称进行模糊查询，可以根据所属区域查询区域内的平台数量，还可以通过状态查询在线或者离线的平台数量；显示顺序为：平台资源编码、平台名称、连接URL、联系人、联系电话、状态（包括在线与离线）、操作；操作包含编辑、详情与删除，编辑按钮点开后除了不能修改平台资源编码其他的都可以修改，详情可以查看平台的所有信息；</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3）适配器信息管理：用来管理调度控制平台的台站/前端资源，可执行增删改查的操作。以列表形式展示本级平台主动添加的台站/前端资源和下级平台上报的资源信息。通过添加及修改页面，可执行台站/前端资源的新增以及部分信息的修改工作。通过设置查询的过滤条件（名称、所属区域、状态等）快速高效查找。</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（4）终端列表：终端管理界面，展示当前调度控制平台内，所有下级平台上报的终端信息情况。通过设置查询条件，快速查找某一个或者多个终端。列表展示了每一个终端的信息情况。</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5）运维数据请求：该功能用来展示调度控制平台请求下级的增量以及全量数据。通过设置筛选条件，执行请求操作，可快速高效的获得数据。①手动运维数据请求：该功能是调度控制平台获取下级平台增量以及全量资源数据，通过设置筛选条件，执行请求操作，可快速高效的获得数据同步。每执行一次只能获取当次的实时数据；②自动运维数据请求：该功能是调度控制平台获取下级平台的增量以及全量资源数据；通过设置条件，按照间隔时间自动执行信息同步获取资源最新数据，直到任务取消，否则就会按照间隔时间加过滤条件一直下去。</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五、监管监测子系统：</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负责整个应急广播业务下发覆盖的效果呈现，包括任务监管、全网监测、广播资源拓扑及监测综合展示等。</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（1）任务监管：支持对任务进行列表查看。支持对任务进行详情展示，详情包括任务内容列表等。</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2）全网监测：以GIS地图为显示手段，搭配区域树和部分列表的形式，展示当前调度控制平台所属的全市各行政村的各种广播资源的分布情况、健康情况等信息。用户可以圆形、长方形、任意多边形等灵活勾选统计区域范围，显示资源类型等信息，进行切换展示。可查看实时故障及历史故障信息。①要有区域树管理，根据区域树可以方便的选择区域，区域选择确认后在GIS地图上同步实时显示区域内平台、台站、前端、终端的离上线和在播状态，结合告警系统实时显示故障设备信息；②广播资源在GIS地图必须具有聚合功能，按照区域就近原则聚合，广播资源聚合显示标识要以平台、台站适配器、大喇叭适配器、大喇叭终端设备区域内要以级别最高的标识显示呈现，同时显示数量；③GIS地图要具有无极缩放功能，地图在逐级放大缩小的过程中广播资源在地图上呈现聚合与分离；GIS地图必须具有框选、圈选、任意多边形选择，选择区域后以弹框的方式调出内容制作系统，配合自动审核配置，实现紧急情况下的快速调度；GIS地图上显示的广播资源要具有离线、在线、在播三种状态的显示要实时更新，不能以刷新整个GIS地图的方式，只能以单个广播资源为单位变化状态，且不能采用websocket方案动态更新，能通过防火墙；</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3）广播资源历史状态：可以按照条件查询广播资源历史状态，条件包括：所属平台、资源类型、时间、关键词（支持按照名称的模糊查询）；可以按照筛选条件导出数据，导出数据格式为CVS文件；可以按照筛选条件打印数据；列表显示顺序为：资源名称、所属区域、联系人、联系电话、资源类型、离线时间、上线时间、离线时长；</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4）广播资源拓扑：按照条件配置自动或手动的方式实现资源状态拓扑图，直观展示当前调度控制平台的组网信息；利用区域树实现所属区域下拓扑图展示资源实时状态监控，以聚合的方式显示资源的总数、离线数、在线数、在播数；帮助用户在第一时间发现故障信息，快速解决。上级平台可通过选择区域的方式，查看本级或者下级平台的组网图。</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5）监测综合展示：系统可采用多种呈现方式展示监测的综合情况。消息级别统计；消息类型统计；广播任务级别统计；广播任务统计；历史广播热力图展；消息通过驳回统计；支持多维度消息统计展示。支持多维度任务统计展示；支持设置页面定时自动刷新。</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六、分析报表子系统：</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此系统能直观对应急信息、应急广播任务、相关设备和终端的情况进行统计，支持设置查询条件（数据类型、字段等）cvs等文件格式的数据导出功能。</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（1）应急信息统计与应急信息类型统计：</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应急信息级别统计，按照时间和发布机构统计查询；</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按照查询检索后的数据以横向柱状图表的形式展现；</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信息级别分为四大类分别为：特别重大红色预警柱状图上要显示实际数据、重大橙色预警柱状图上显示实际数据、较大黄色预警柱状图上显示实际数据、一般蓝色预警柱状图显示实际数据；</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应急信息类型统计按照实际执行情况用多种颜色区分不同事件类型，以柱状图表的形式显示，柱状上面要有数据显示；</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信息与信息类型统计都支持下载图片SVG格式、下载图片PNG格式、下载表格CSV格式；</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（2）广播任务统计：</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以三维饼图、柱状图、曲线图等方式，多角度展示调度控制平台广播任务统计情况；</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以饼状图显示消息级别比例，能够按照时间和发布机构检索；</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以饼状图显示消息类型比例，能够按照时间和发布机构检索；</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以横向柱状图显示消息级别个数，能够按照时间和发布机构检索；</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以多维度曲线图显示动态消息级别个数，能够按照时间和发布机构检索；</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以上都支持下载图片SVG格式、下载图片PNG格式、下载表格CSV格式；</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（3）广播设备统计：</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采用三维饼图、柱状图、曲线图等相结合的方式，多角度展示调度控制平台各类型广播设备的统计情况。包括不同类型设备占比情况、不同区域不同类型设备个数、不同类型设备状态比例；</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以上都支持下载图片SVG格式、下载图片PNG格式、下载表格CSV格式；</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（4）广播终端统计：</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使用三维饼图、柱状图、曲线图等相结合，全方位展示调度控制平台所有终端的情况。包括不同类型终端比例、不同区域不同类型终端个数、不同类型终端状态比；</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支持下载图片SVG格式、下载图片PNG格式、下载表格CSV格式；</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（5）广播资源在线率统计：实时统计平台在线时长及资源设备在线时长。</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以上支持下载图片SVG格式、下载图片PNG格式、下载表格CSV格式；能直观对应急信息、（6）应急广播任务、相关设备和终端的情况进行统计，支持设置查询条件（数据类型、字段等）excel等文件格式的数据导出功能。</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七、支撑维护子系统：</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主要完成对应急广播平台的整体管理和支撑，包括用户管理、角色管理、权限管理、广播权限管理、操作日志管理、系统报警管理和平台综合管理等。</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（1）用户管理：①管理调度控制平台的用户，执行用户的增删改查操作支持超级管理员用户的密码修改、联系方式修改、邮箱修改；②支持以用户名称的模糊查询。</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（2）角色管理：可为平台设置不同权限的角色，将用户账户与角色绑定，实现平台操作审核的严格管控。</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（3）操作权限管理：给每个配置的角色设置操作权限，不具备操作权限的角色无法看到此操作相关的界面。</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（4）用户操作日志：①支持操作日志的列表展示。②支持按照按照用户、关键词、时间等信息查询操作日志信息。③支持列表中的某一条日志信息查看详情。④支持操作日志的下载。</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（5）平台综合管理：支持菜单管理，包括单个添加、结构改变、名称修改、URL地址修改等。</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八、系统告警管理子系统：</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（1）支持实时告警、历史告警、已屏蔽告警查看。</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（2）支持按条件（告警级别、告警类型、是否屏蔽、告警时间、告警内容等）查询告警信息并列表展示。</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（3）支持最新告警信息右上角醒目提示。</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（4）支持告警信息详情展示。</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（5）支持告警实时通知设置。</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（6）支持设置某类型、级别告警以邮件或短信方式或钉钉通知操作员。</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套</w:t>
            </w:r>
          </w:p>
        </w:tc>
      </w:tr>
      <w:tr>
        <w:tblPrEx>
          <w:tblCellMar>
            <w:top w:w="0" w:type="dxa"/>
            <w:left w:w="108" w:type="dxa"/>
            <w:bottom w:w="0" w:type="dxa"/>
            <w:right w:w="108" w:type="dxa"/>
          </w:tblCellMar>
        </w:tblPrEx>
        <w:trPr>
          <w:trHeight w:val="323" w:hRule="atLeast"/>
          <w:jc w:val="center"/>
        </w:trPr>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ascii="宋体" w:hAnsi="宋体" w:cs="宋体"/>
                <w:color w:val="auto"/>
                <w:kern w:val="0"/>
                <w:sz w:val="15"/>
                <w:szCs w:val="15"/>
                <w:highlight w:val="none"/>
                <w:lang w:bidi="ar"/>
              </w:rPr>
              <w:t>2</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视频平台对接模块</w:t>
            </w:r>
          </w:p>
        </w:tc>
        <w:tc>
          <w:tcPr>
            <w:tcW w:w="4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视频监控接入，可接入主流视频监控厂家的视频流，支持平台对接，摄像头对接，支持主流编码格式。</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套</w:t>
            </w:r>
          </w:p>
        </w:tc>
      </w:tr>
      <w:tr>
        <w:tblPrEx>
          <w:tblCellMar>
            <w:top w:w="0" w:type="dxa"/>
            <w:left w:w="108" w:type="dxa"/>
            <w:bottom w:w="0" w:type="dxa"/>
            <w:right w:w="108" w:type="dxa"/>
          </w:tblCellMar>
        </w:tblPrEx>
        <w:trPr>
          <w:trHeight w:val="323" w:hRule="atLeast"/>
          <w:jc w:val="center"/>
        </w:trPr>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ascii="宋体" w:hAnsi="宋体" w:cs="宋体"/>
                <w:color w:val="auto"/>
                <w:kern w:val="0"/>
                <w:sz w:val="15"/>
                <w:szCs w:val="15"/>
                <w:highlight w:val="none"/>
                <w:lang w:bidi="ar"/>
              </w:rPr>
              <w:t>3</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视播融合软件平台</w:t>
            </w:r>
          </w:p>
        </w:tc>
        <w:tc>
          <w:tcPr>
            <w:tcW w:w="4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融合广播应用，视频监控接入，可接入主流视频监控厂家的视频流，支持平台对接，摄像头对接，支持主流编码格式。在应急广播平台操控界面上进行视频和广播的融合播控。</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支持应急广播平台与视频监控系统的对接融合，实现应急广播体系的多功能智慧化的应用。</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（1）摄像头视频采集</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①　视频采集协议：支持摄像头的RTSP、RTMP、HLS流媒体协议；</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②　播流协议：支持HTTP-FLV播流协议；</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③　视频采集方式：采用协议转换方案，无需对视频格式进行重新转码；</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④　视频编码格式：支持H.264、H.265视频编码格式；</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⑤　音频编码格式：支持AAC、MP3等音频格式；</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⑥　视频分辨率：H264：支持360P、480P、576P、720P、1080P、2K、4K等； H265：支持360P、480P、576P、720P、1080P、2K、4K等；</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⑦　视频采集性能：单台服务器支持最高50路视频同时采集；</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⑧　视频分发性能：单台服务器支持最高50路视频直播分发；</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⑨　直播转发延时：小于1秒；</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（2）VR摄像头视频采集</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①　VR视频采集协议：支持VR摄像头的RTSP、RTMP流媒体协议；</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②　VR播流协议：支持HTTP-FLV播流协议；</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③　VR视频采集方式：采用协议转换方案，无需对视频格式进行重新转码；</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④　VR视频编码格式：支持H.264、H.265视频编码格式；</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⑤　音频编码格式：支持AAC、AC3、MP3等；</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⑥　VR视频采集分辨率：支持2K、4K；</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⑦　VR视频采集性能：单台服务器支持最高50路VR视频同时采集；</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⑧　VR视频分发性能：单台服务器支持最高50路VR视频直播分发；</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⑨　VR直播转发延时：小于1秒；</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（3）H5视频播放器</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①　视频播放方式: 基于浏览器环境的H5播放器进行播放，无需安装外部插件;</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②　视频解码方式: 支持基于浏览器环境H.264、H.265编码格式的硬件解码;</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③　视频分辨率: H264：支持360P、480P、576P、720P、1080P、2K、4K等;H265：支持360P、480P、576P、720P、1080P、2K、4K等;</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④　播放性能: 支持同时播放最高16路的H.264或者H.265视频;</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⑤　直播延时: 秒级延时，小于3秒;</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⑥　网络卡顿处理: 可设置自适应丢帧处理，避免卡顿;</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（4）H5-VR视频播放器</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①　VR视频播放方式: 基于浏览器环境的H5播放器进行播放，无需安装外部插件;</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②　VR视频解码方式: 支持基于浏览器环境H.264、H.265编码格式的硬件解码;</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③　VR视频分辨率: H264：2K、4K等;H265： 2K、4K等;</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④　VR视频渲染: 支持基于浏览器环境的WebGL球形渲染;</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⑤　VR视频播放视角: 支持任意角度的视角切换,支持视角角度大小设置;</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⑥　VR视角切换方式: 鼠标拖动改变视角;</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⑦　VR视频播放延时: 秒级延时，小于3秒;</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（5）视频直播安全</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①　IP白名单: 限制IP视频访问;</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②　3Referer防盗链: 检查Referer;</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③　URL鉴权: 支持对直播URL的业务鉴权;</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（6）摄像头视频GIS地图应用</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①　位置显示：支持根据摄像头安装位置的经纬度在GIS地图上显示摄像头绑定广播资源的数量与状态；</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②　摄像头播放音频：支持特定区域特定条件的自动语音播报，支持手动喊话；</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摄像头绑定广播资源：支持自动绑定广播资源与手动绑定广播资源，配置权限后能调动广播资源；</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套</w:t>
            </w:r>
          </w:p>
        </w:tc>
      </w:tr>
      <w:tr>
        <w:tblPrEx>
          <w:tblCellMar>
            <w:top w:w="0" w:type="dxa"/>
            <w:left w:w="108" w:type="dxa"/>
            <w:bottom w:w="0" w:type="dxa"/>
            <w:right w:w="108" w:type="dxa"/>
          </w:tblCellMar>
        </w:tblPrEx>
        <w:trPr>
          <w:trHeight w:val="323" w:hRule="atLeast"/>
          <w:jc w:val="center"/>
        </w:trPr>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5</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150" w:firstLineChars="10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4K投屏工作站</w:t>
            </w:r>
          </w:p>
        </w:tc>
        <w:tc>
          <w:tcPr>
            <w:tcW w:w="4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投屏专用工作站</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套</w:t>
            </w:r>
          </w:p>
        </w:tc>
      </w:tr>
      <w:tr>
        <w:tblPrEx>
          <w:tblCellMar>
            <w:top w:w="0" w:type="dxa"/>
            <w:left w:w="108" w:type="dxa"/>
            <w:bottom w:w="0" w:type="dxa"/>
            <w:right w:w="108" w:type="dxa"/>
          </w:tblCellMar>
        </w:tblPrEx>
        <w:trPr>
          <w:trHeight w:val="323" w:hRule="atLeast"/>
          <w:jc w:val="center"/>
        </w:trPr>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6</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调频无线覆盖设备</w:t>
            </w:r>
          </w:p>
        </w:tc>
        <w:tc>
          <w:tcPr>
            <w:tcW w:w="4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搭载无线调频模块，可在断网时采用无线调频播放。</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接收和调制部分均采用高稳定的频率合成锁相环控制器；载波频率PLL同步锁相，微电脑控制频率捷变；</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具有调频解调和调制功能；具有频率记忆存储功能；</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具有57kHz副载波调制功能，内置FSK调制器及编码器。</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自带高质量FM解调器和FM自动收转功能。</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副载波输出功能，57K副载波输出。</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频率范围：87-108MHz，频率合成，步进0.1MHz；可控输出。</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 xml:space="preserve">载频频率允许偏差：≤3KHz ； </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接收部分选择性：≥60dB</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载波输出电平：≥ 110dBuV；</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最大频偏：±75KHz；</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 xml:space="preserve">预加重：50μs； </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音频总谐波失真：≤1.5% ；</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信噪比：≥56dB；</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RDS频率为57KHz，DPSK调制，10%调制度；</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RDS输出幅度：≥500mV；输出接口为标准Q9头。</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寄生输出：≤-60dB；</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 xml:space="preserve">输出反射损耗：≥12 dB； </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射频输出阻抗：  75Ω；</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音频频率响应：±1.5dB；</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电源电压：220V±10%；</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工作条件：环境温度  -10℃ ~　50℃   24H连续工作；</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套</w:t>
            </w:r>
          </w:p>
        </w:tc>
      </w:tr>
      <w:tr>
        <w:tblPrEx>
          <w:tblCellMar>
            <w:top w:w="0" w:type="dxa"/>
            <w:left w:w="108" w:type="dxa"/>
            <w:bottom w:w="0" w:type="dxa"/>
            <w:right w:w="108" w:type="dxa"/>
          </w:tblCellMar>
        </w:tblPrEx>
        <w:trPr>
          <w:trHeight w:val="323" w:hRule="atLeast"/>
          <w:jc w:val="center"/>
        </w:trPr>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7</w:t>
            </w:r>
          </w:p>
        </w:tc>
        <w:tc>
          <w:tcPr>
            <w:tcW w:w="1723"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ind w:firstLine="0" w:firstLineChars="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上级</w:t>
            </w:r>
            <w:r>
              <w:rPr>
                <w:rStyle w:val="281"/>
                <w:color w:val="auto"/>
                <w:sz w:val="15"/>
                <w:szCs w:val="15"/>
                <w:highlight w:val="none"/>
                <w:lang w:bidi="ar"/>
              </w:rPr>
              <w:t>平台适配</w:t>
            </w:r>
            <w:r>
              <w:rPr>
                <w:rStyle w:val="281"/>
                <w:rFonts w:hint="eastAsia"/>
                <w:color w:val="auto"/>
                <w:sz w:val="15"/>
                <w:szCs w:val="15"/>
                <w:highlight w:val="none"/>
                <w:lang w:bidi="ar"/>
              </w:rPr>
              <w:t>服务</w:t>
            </w:r>
          </w:p>
        </w:tc>
        <w:tc>
          <w:tcPr>
            <w:tcW w:w="4681"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ind w:firstLine="300"/>
              <w:jc w:val="center"/>
              <w:textAlignment w:val="center"/>
              <w:rPr>
                <w:rFonts w:ascii="宋体" w:hAnsi="宋体" w:cs="宋体"/>
                <w:color w:val="auto"/>
                <w:sz w:val="15"/>
                <w:szCs w:val="15"/>
                <w:highlight w:val="none"/>
              </w:rPr>
            </w:pPr>
            <w:r>
              <w:rPr>
                <w:rStyle w:val="271"/>
                <w:rFonts w:hint="default"/>
                <w:color w:val="auto"/>
                <w:sz w:val="15"/>
                <w:szCs w:val="15"/>
                <w:highlight w:val="none"/>
                <w:lang w:bidi="ar"/>
              </w:rPr>
              <w:t>上级平台对接服务</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套</w:t>
            </w:r>
          </w:p>
        </w:tc>
      </w:tr>
      <w:tr>
        <w:tblPrEx>
          <w:tblCellMar>
            <w:top w:w="0" w:type="dxa"/>
            <w:left w:w="108" w:type="dxa"/>
            <w:bottom w:w="0" w:type="dxa"/>
            <w:right w:w="108" w:type="dxa"/>
          </w:tblCellMar>
        </w:tblPrEx>
        <w:trPr>
          <w:trHeight w:val="323" w:hRule="atLeast"/>
          <w:jc w:val="center"/>
        </w:trPr>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8</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平台软件对接服务</w:t>
            </w:r>
          </w:p>
        </w:tc>
        <w:tc>
          <w:tcPr>
            <w:tcW w:w="4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平台软件对接服务</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套</w:t>
            </w:r>
          </w:p>
        </w:tc>
      </w:tr>
      <w:tr>
        <w:tblPrEx>
          <w:tblCellMar>
            <w:top w:w="0" w:type="dxa"/>
            <w:left w:w="108" w:type="dxa"/>
            <w:bottom w:w="0" w:type="dxa"/>
            <w:right w:w="108" w:type="dxa"/>
          </w:tblCellMar>
        </w:tblPrEx>
        <w:trPr>
          <w:trHeight w:val="323" w:hRule="atLeast"/>
          <w:jc w:val="center"/>
        </w:trPr>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9</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交换机</w:t>
            </w:r>
          </w:p>
        </w:tc>
        <w:tc>
          <w:tcPr>
            <w:tcW w:w="4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 xml:space="preserve">交换容量：≥598Gbps/5.98Tbps； </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 xml:space="preserve">转发性能：≥ 222Mpps/396Mpps； </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 xml:space="preserve">固定端口：≥24GE(8SFP Combo)，4SFP Plus； </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 xml:space="preserve">电源：模块化双电源； </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 xml:space="preserve">风扇：模块化双风扇，前/后通风，风道可调； </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 xml:space="preserve">性能指标：MAC 地址表≥64K，路由表容量≥32K，ARP：32K； </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 xml:space="preserve">最大堆叠台数≥9 台； </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val="en-US" w:eastAsia="zh-CN" w:bidi="ar"/>
              </w:rPr>
              <w:t>网络</w:t>
            </w:r>
            <w:r>
              <w:rPr>
                <w:rFonts w:hint="eastAsia" w:ascii="宋体" w:hAnsi="宋体" w:cs="宋体"/>
                <w:color w:val="auto"/>
                <w:kern w:val="0"/>
                <w:sz w:val="15"/>
                <w:szCs w:val="15"/>
                <w:highlight w:val="none"/>
                <w:lang w:bidi="ar"/>
              </w:rPr>
              <w:t>聚合：支持最多 8 个 GE 口或 4 个 10 GE 端口聚合；可扩展支持 128 个聚合组 IRF2）；支持 LACP；两条线缆做聚合，其中一条线缆断开后，</w:t>
            </w:r>
            <w:r>
              <w:rPr>
                <w:rFonts w:hint="eastAsia" w:ascii="宋体" w:hAnsi="宋体" w:cs="宋体"/>
                <w:color w:val="auto"/>
                <w:kern w:val="0"/>
                <w:sz w:val="15"/>
                <w:szCs w:val="15"/>
                <w:highlight w:val="none"/>
                <w:lang w:val="en-US" w:eastAsia="zh-CN" w:bidi="ar"/>
              </w:rPr>
              <w:t>网络</w:t>
            </w:r>
            <w:r>
              <w:rPr>
                <w:rFonts w:hint="eastAsia" w:ascii="宋体" w:hAnsi="宋体" w:cs="宋体"/>
                <w:color w:val="auto"/>
                <w:kern w:val="0"/>
                <w:sz w:val="15"/>
                <w:szCs w:val="15"/>
                <w:highlight w:val="none"/>
                <w:lang w:bidi="ar"/>
              </w:rPr>
              <w:t xml:space="preserve">快速收敛，收敛时间＜50ms； </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路由协议支持 IPv4 静态路由、RIP V1/V2、OSPF、BGP；IPV4 路由条目数≥32K；支持 IPv6 静态路由、RIPng、OSPFv3、BGP4+；支持IPv4 和 IPv6 环境下的策略路由。</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台</w:t>
            </w:r>
          </w:p>
        </w:tc>
      </w:tr>
      <w:tr>
        <w:tblPrEx>
          <w:tblCellMar>
            <w:top w:w="0" w:type="dxa"/>
            <w:left w:w="108" w:type="dxa"/>
            <w:bottom w:w="0" w:type="dxa"/>
            <w:right w:w="108" w:type="dxa"/>
          </w:tblCellMar>
        </w:tblPrEx>
        <w:trPr>
          <w:trHeight w:val="323" w:hRule="atLeast"/>
          <w:jc w:val="center"/>
        </w:trPr>
        <w:tc>
          <w:tcPr>
            <w:tcW w:w="832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1"/>
              <w:textAlignment w:val="center"/>
              <w:rPr>
                <w:rFonts w:ascii="宋体" w:hAnsi="宋体" w:cs="宋体"/>
                <w:b/>
                <w:bCs/>
                <w:color w:val="auto"/>
                <w:sz w:val="15"/>
                <w:szCs w:val="15"/>
                <w:highlight w:val="none"/>
              </w:rPr>
            </w:pPr>
            <w:r>
              <w:rPr>
                <w:rFonts w:hint="eastAsia" w:ascii="宋体" w:hAnsi="宋体" w:cs="宋体"/>
                <w:b/>
                <w:bCs/>
                <w:color w:val="auto"/>
                <w:kern w:val="0"/>
                <w:sz w:val="15"/>
                <w:szCs w:val="15"/>
                <w:highlight w:val="none"/>
                <w:lang w:bidi="ar"/>
              </w:rPr>
              <w:t>1-2、市级播控室分控设备</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300"/>
              <w:jc w:val="center"/>
              <w:rPr>
                <w:rFonts w:ascii="宋体" w:hAnsi="宋体" w:cs="宋体"/>
                <w:color w:val="auto"/>
                <w:sz w:val="15"/>
                <w:szCs w:val="15"/>
                <w:highlight w:val="none"/>
              </w:rPr>
            </w:pPr>
          </w:p>
        </w:tc>
      </w:tr>
      <w:tr>
        <w:tblPrEx>
          <w:tblCellMar>
            <w:top w:w="0" w:type="dxa"/>
            <w:left w:w="108" w:type="dxa"/>
            <w:bottom w:w="0" w:type="dxa"/>
            <w:right w:w="108" w:type="dxa"/>
          </w:tblCellMar>
        </w:tblPrEx>
        <w:trPr>
          <w:trHeight w:val="323" w:hRule="atLeast"/>
          <w:jc w:val="center"/>
        </w:trPr>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1</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分控电脑</w:t>
            </w:r>
          </w:p>
        </w:tc>
        <w:tc>
          <w:tcPr>
            <w:tcW w:w="4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textAlignment w:val="center"/>
              <w:rPr>
                <w:rFonts w:ascii="宋体" w:hAnsi="宋体" w:cs="宋体"/>
                <w:color w:val="auto"/>
                <w:sz w:val="15"/>
                <w:szCs w:val="15"/>
                <w:highlight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台</w:t>
            </w:r>
          </w:p>
        </w:tc>
      </w:tr>
      <w:tr>
        <w:tblPrEx>
          <w:tblCellMar>
            <w:top w:w="0" w:type="dxa"/>
            <w:left w:w="108" w:type="dxa"/>
            <w:bottom w:w="0" w:type="dxa"/>
            <w:right w:w="108" w:type="dxa"/>
          </w:tblCellMar>
        </w:tblPrEx>
        <w:trPr>
          <w:trHeight w:val="323" w:hRule="atLeast"/>
          <w:jc w:val="center"/>
        </w:trPr>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2</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监听音箱</w:t>
            </w:r>
          </w:p>
        </w:tc>
        <w:tc>
          <w:tcPr>
            <w:tcW w:w="4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textAlignment w:val="center"/>
              <w:rPr>
                <w:rFonts w:ascii="宋体" w:hAnsi="宋体" w:cs="宋体"/>
                <w:color w:val="auto"/>
                <w:sz w:val="15"/>
                <w:szCs w:val="15"/>
                <w:highlight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只</w:t>
            </w:r>
          </w:p>
        </w:tc>
      </w:tr>
      <w:tr>
        <w:tblPrEx>
          <w:tblCellMar>
            <w:top w:w="0" w:type="dxa"/>
            <w:left w:w="108" w:type="dxa"/>
            <w:bottom w:w="0" w:type="dxa"/>
            <w:right w:w="108" w:type="dxa"/>
          </w:tblCellMar>
        </w:tblPrEx>
        <w:trPr>
          <w:trHeight w:val="323" w:hRule="atLeast"/>
          <w:jc w:val="center"/>
        </w:trPr>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3</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IP话筒</w:t>
            </w:r>
          </w:p>
        </w:tc>
        <w:tc>
          <w:tcPr>
            <w:tcW w:w="4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全市</w:t>
            </w:r>
            <w:r>
              <w:rPr>
                <w:rStyle w:val="281"/>
                <w:color w:val="auto"/>
                <w:sz w:val="15"/>
                <w:szCs w:val="15"/>
                <w:highlight w:val="none"/>
                <w:lang w:bidi="ar"/>
              </w:rPr>
              <w:t>应急广播播出用，需具有带密钥管理的安全认证播出功能，直播广播时需要验证密钥。</w:t>
            </w:r>
            <w:r>
              <w:rPr>
                <w:rStyle w:val="281"/>
                <w:color w:val="auto"/>
                <w:sz w:val="15"/>
                <w:szCs w:val="15"/>
                <w:highlight w:val="none"/>
                <w:lang w:bidi="ar"/>
              </w:rPr>
              <w:br w:type="textWrapping"/>
            </w:r>
            <w:r>
              <w:rPr>
                <w:rStyle w:val="281"/>
                <w:color w:val="auto"/>
                <w:sz w:val="15"/>
                <w:szCs w:val="15"/>
                <w:highlight w:val="none"/>
                <w:lang w:bidi="ar"/>
              </w:rPr>
              <w:t>远程全自动软件在线升级。</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2</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只</w:t>
            </w:r>
          </w:p>
        </w:tc>
      </w:tr>
      <w:tr>
        <w:tblPrEx>
          <w:tblCellMar>
            <w:top w:w="0" w:type="dxa"/>
            <w:left w:w="108" w:type="dxa"/>
            <w:bottom w:w="0" w:type="dxa"/>
            <w:right w:w="108" w:type="dxa"/>
          </w:tblCellMar>
        </w:tblPrEx>
        <w:trPr>
          <w:trHeight w:val="323" w:hRule="atLeast"/>
          <w:jc w:val="center"/>
        </w:trPr>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4</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IP分区播控器</w:t>
            </w:r>
          </w:p>
        </w:tc>
        <w:tc>
          <w:tcPr>
            <w:tcW w:w="4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应急广播分区播出用，需具有带密钥管理的安全认证播出功能，直播广播时需要验证密钥。</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台</w:t>
            </w:r>
          </w:p>
        </w:tc>
      </w:tr>
      <w:tr>
        <w:tblPrEx>
          <w:tblCellMar>
            <w:top w:w="0" w:type="dxa"/>
            <w:left w:w="108" w:type="dxa"/>
            <w:bottom w:w="0" w:type="dxa"/>
            <w:right w:w="108" w:type="dxa"/>
          </w:tblCellMar>
        </w:tblPrEx>
        <w:trPr>
          <w:trHeight w:val="323" w:hRule="atLeast"/>
          <w:jc w:val="center"/>
        </w:trPr>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5</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both"/>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IP播出控制器</w:t>
            </w:r>
          </w:p>
        </w:tc>
        <w:tc>
          <w:tcPr>
            <w:tcW w:w="4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对农广播</w:t>
            </w:r>
            <w:r>
              <w:rPr>
                <w:rStyle w:val="281"/>
                <w:color w:val="auto"/>
                <w:sz w:val="15"/>
                <w:szCs w:val="15"/>
                <w:highlight w:val="none"/>
                <w:lang w:bidi="ar"/>
              </w:rPr>
              <w:t>电台直播用。</w:t>
            </w:r>
            <w:r>
              <w:rPr>
                <w:rStyle w:val="281"/>
                <w:color w:val="auto"/>
                <w:sz w:val="15"/>
                <w:szCs w:val="15"/>
                <w:highlight w:val="none"/>
                <w:lang w:bidi="ar"/>
              </w:rPr>
              <w:br w:type="textWrapping"/>
            </w:r>
            <w:r>
              <w:rPr>
                <w:rStyle w:val="281"/>
                <w:color w:val="auto"/>
                <w:sz w:val="15"/>
                <w:szCs w:val="15"/>
                <w:highlight w:val="none"/>
                <w:lang w:bidi="ar"/>
              </w:rPr>
              <w:t>远程全自动软件在线升级。</w:t>
            </w:r>
            <w:r>
              <w:rPr>
                <w:rStyle w:val="281"/>
                <w:color w:val="auto"/>
                <w:sz w:val="15"/>
                <w:szCs w:val="15"/>
                <w:highlight w:val="none"/>
                <w:lang w:bidi="ar"/>
              </w:rPr>
              <w:br w:type="textWrapping"/>
            </w:r>
            <w:r>
              <w:rPr>
                <w:rStyle w:val="281"/>
                <w:color w:val="auto"/>
                <w:sz w:val="15"/>
                <w:szCs w:val="15"/>
                <w:highlight w:val="none"/>
                <w:lang w:bidi="ar"/>
              </w:rPr>
              <w:t>应急广播时，服务器端同步进行录音。</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台</w:t>
            </w:r>
          </w:p>
        </w:tc>
      </w:tr>
      <w:tr>
        <w:tblPrEx>
          <w:tblCellMar>
            <w:top w:w="0" w:type="dxa"/>
            <w:left w:w="108" w:type="dxa"/>
            <w:bottom w:w="0" w:type="dxa"/>
            <w:right w:w="108" w:type="dxa"/>
          </w:tblCellMar>
        </w:tblPrEx>
        <w:trPr>
          <w:trHeight w:val="323" w:hRule="atLeast"/>
          <w:jc w:val="center"/>
        </w:trPr>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6</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both"/>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12路调音台</w:t>
            </w:r>
          </w:p>
        </w:tc>
        <w:tc>
          <w:tcPr>
            <w:tcW w:w="4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textAlignment w:val="center"/>
              <w:rPr>
                <w:rFonts w:ascii="宋体" w:hAnsi="宋体" w:cs="宋体"/>
                <w:color w:val="auto"/>
                <w:sz w:val="15"/>
                <w:szCs w:val="15"/>
                <w:highlight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台</w:t>
            </w:r>
          </w:p>
        </w:tc>
      </w:tr>
      <w:tr>
        <w:tblPrEx>
          <w:tblCellMar>
            <w:top w:w="0" w:type="dxa"/>
            <w:left w:w="108" w:type="dxa"/>
            <w:bottom w:w="0" w:type="dxa"/>
            <w:right w:w="108" w:type="dxa"/>
          </w:tblCellMar>
        </w:tblPrEx>
        <w:trPr>
          <w:trHeight w:val="323" w:hRule="atLeast"/>
          <w:jc w:val="center"/>
        </w:trPr>
        <w:tc>
          <w:tcPr>
            <w:tcW w:w="832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1"/>
              <w:textAlignment w:val="center"/>
              <w:rPr>
                <w:rFonts w:ascii="宋体" w:hAnsi="宋体" w:cs="宋体"/>
                <w:b/>
                <w:bCs/>
                <w:color w:val="auto"/>
                <w:sz w:val="15"/>
                <w:szCs w:val="15"/>
                <w:highlight w:val="none"/>
              </w:rPr>
            </w:pPr>
            <w:r>
              <w:rPr>
                <w:rFonts w:hint="eastAsia" w:ascii="宋体" w:hAnsi="宋体" w:cs="宋体"/>
                <w:b/>
                <w:bCs/>
                <w:color w:val="auto"/>
                <w:kern w:val="0"/>
                <w:sz w:val="15"/>
                <w:szCs w:val="15"/>
                <w:highlight w:val="none"/>
                <w:lang w:bidi="ar"/>
              </w:rPr>
              <w:t>1-3、平台信息安全等级保护（二级）</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301"/>
              <w:jc w:val="center"/>
              <w:rPr>
                <w:rFonts w:ascii="宋体" w:hAnsi="宋体" w:cs="宋体"/>
                <w:b/>
                <w:bCs/>
                <w:color w:val="auto"/>
                <w:sz w:val="15"/>
                <w:szCs w:val="15"/>
                <w:highlight w:val="none"/>
              </w:rPr>
            </w:pPr>
          </w:p>
        </w:tc>
      </w:tr>
      <w:tr>
        <w:tblPrEx>
          <w:tblCellMar>
            <w:top w:w="0" w:type="dxa"/>
            <w:left w:w="108" w:type="dxa"/>
            <w:bottom w:w="0" w:type="dxa"/>
            <w:right w:w="108" w:type="dxa"/>
          </w:tblCellMar>
        </w:tblPrEx>
        <w:trPr>
          <w:trHeight w:val="323" w:hRule="atLeast"/>
          <w:jc w:val="center"/>
        </w:trPr>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1</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both"/>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防火墙</w:t>
            </w:r>
          </w:p>
        </w:tc>
        <w:tc>
          <w:tcPr>
            <w:tcW w:w="4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标准1U设备,单电源；标配4个10/100/1000M Base-TX；默认支持IPSec VPN和SSL VPN模块（10个并发用户）；最大整机吞吐量 3Gbps，应用层吞吐量 2GbpsSSL，提供 SSLVPN用户授权 30，VPNIPSec隧道数 10000，VPNAES加密吞吐量 100Mbps，每秒新建连接数 4W，最大并发连接数 100W。</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台</w:t>
            </w:r>
          </w:p>
        </w:tc>
      </w:tr>
      <w:tr>
        <w:tblPrEx>
          <w:tblCellMar>
            <w:top w:w="0" w:type="dxa"/>
            <w:left w:w="108" w:type="dxa"/>
            <w:bottom w:w="0" w:type="dxa"/>
            <w:right w:w="108" w:type="dxa"/>
          </w:tblCellMar>
        </w:tblPrEx>
        <w:trPr>
          <w:trHeight w:val="323" w:hRule="atLeast"/>
          <w:jc w:val="center"/>
        </w:trPr>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2</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both"/>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入侵防御</w:t>
            </w:r>
          </w:p>
        </w:tc>
        <w:tc>
          <w:tcPr>
            <w:tcW w:w="4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2U，机械硬盘1TB，6个千兆电口(含1个管理口，支持1组Bypass)，4个千兆光口插槽，1个CONSOLE口,冗余电源,2个扩展槽位,整机吞吐率：6Gbps，最大并发连接数：190万，IPS吞吐率：3Gbps，含：3年攻击检测与应用识别规则库升级许可</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套</w:t>
            </w:r>
          </w:p>
        </w:tc>
      </w:tr>
      <w:tr>
        <w:tblPrEx>
          <w:tblCellMar>
            <w:top w:w="0" w:type="dxa"/>
            <w:left w:w="108" w:type="dxa"/>
            <w:bottom w:w="0" w:type="dxa"/>
            <w:right w:w="108" w:type="dxa"/>
          </w:tblCellMar>
        </w:tblPrEx>
        <w:trPr>
          <w:trHeight w:val="323" w:hRule="atLeast"/>
          <w:jc w:val="center"/>
        </w:trPr>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3</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both"/>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日志审计</w:t>
            </w:r>
          </w:p>
        </w:tc>
        <w:tc>
          <w:tcPr>
            <w:tcW w:w="4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1U,6个千兆电口+2个千兆光口,冗余电源,2个扩展槽位,支持30日志源授权，综合采集处理均值1000EPS</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套</w:t>
            </w:r>
          </w:p>
        </w:tc>
      </w:tr>
      <w:tr>
        <w:tblPrEx>
          <w:tblCellMar>
            <w:top w:w="0" w:type="dxa"/>
            <w:left w:w="108" w:type="dxa"/>
            <w:bottom w:w="0" w:type="dxa"/>
            <w:right w:w="108" w:type="dxa"/>
          </w:tblCellMar>
        </w:tblPrEx>
        <w:trPr>
          <w:trHeight w:val="323" w:hRule="atLeast"/>
          <w:jc w:val="center"/>
        </w:trPr>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4</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both"/>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网络防病毒系统</w:t>
            </w:r>
          </w:p>
        </w:tc>
        <w:tc>
          <w:tcPr>
            <w:tcW w:w="4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textAlignment w:val="center"/>
              <w:rPr>
                <w:rFonts w:ascii="宋体" w:hAnsi="宋体" w:cs="宋体"/>
                <w:color w:val="auto"/>
                <w:sz w:val="15"/>
                <w:szCs w:val="15"/>
                <w:highlight w:val="none"/>
              </w:rPr>
            </w:pPr>
            <w:r>
              <w:rPr>
                <w:rFonts w:hint="eastAsia" w:ascii="宋体" w:hAnsi="宋体" w:cs="宋体"/>
                <w:color w:val="auto"/>
                <w:sz w:val="15"/>
                <w:szCs w:val="15"/>
                <w:highlight w:val="none"/>
              </w:rPr>
              <w:t>产品采用 B/S 架构，跨平台适配了 Windows 系统、主流 Linux 系统和国产系统。防病毒客户端软件能够深入检测分析病毒威胁行为与威胁特征，可有效发现并防御病毒。可通过浏览器 Web 端汇总终端病毒分布，可准确分析网内安全态势，提供内网安全风险预警,数据传输采用安全性高的 SSL 安全协议，利用数据加密、身份验证 和消息完整性验证机制，保证网络上数据传输的安全性.1个系统中心管控+10个服务器防护</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套</w:t>
            </w:r>
          </w:p>
        </w:tc>
      </w:tr>
      <w:tr>
        <w:tblPrEx>
          <w:tblCellMar>
            <w:top w:w="0" w:type="dxa"/>
            <w:left w:w="108" w:type="dxa"/>
            <w:bottom w:w="0" w:type="dxa"/>
            <w:right w:w="108" w:type="dxa"/>
          </w:tblCellMar>
        </w:tblPrEx>
        <w:trPr>
          <w:trHeight w:val="323" w:hRule="atLeast"/>
          <w:jc w:val="center"/>
        </w:trPr>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5</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二级等保检测</w:t>
            </w:r>
          </w:p>
        </w:tc>
        <w:tc>
          <w:tcPr>
            <w:tcW w:w="4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rPr>
              <w:t>要求测评机构为“浙等保[2014]1号”文件中所列的测评机构</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套</w:t>
            </w:r>
          </w:p>
        </w:tc>
      </w:tr>
      <w:tr>
        <w:tblPrEx>
          <w:tblCellMar>
            <w:top w:w="0" w:type="dxa"/>
            <w:left w:w="108" w:type="dxa"/>
            <w:bottom w:w="0" w:type="dxa"/>
            <w:right w:w="108" w:type="dxa"/>
          </w:tblCellMar>
        </w:tblPrEx>
        <w:trPr>
          <w:trHeight w:val="323" w:hRule="atLeast"/>
          <w:jc w:val="center"/>
        </w:trPr>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1"/>
              <w:jc w:val="center"/>
              <w:textAlignment w:val="center"/>
              <w:rPr>
                <w:rFonts w:ascii="宋体" w:hAnsi="宋体" w:cs="宋体"/>
                <w:b/>
                <w:bCs/>
                <w:color w:val="auto"/>
                <w:sz w:val="15"/>
                <w:szCs w:val="15"/>
                <w:highlight w:val="none"/>
              </w:rPr>
            </w:pPr>
          </w:p>
        </w:tc>
        <w:tc>
          <w:tcPr>
            <w:tcW w:w="81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1"/>
              <w:jc w:val="center"/>
              <w:textAlignment w:val="center"/>
              <w:rPr>
                <w:rFonts w:ascii="宋体" w:hAnsi="宋体" w:cs="宋体"/>
                <w:b/>
                <w:bCs/>
                <w:color w:val="auto"/>
                <w:sz w:val="15"/>
                <w:szCs w:val="15"/>
                <w:highlight w:val="none"/>
              </w:rPr>
            </w:pPr>
          </w:p>
        </w:tc>
      </w:tr>
      <w:tr>
        <w:tblPrEx>
          <w:tblCellMar>
            <w:top w:w="0" w:type="dxa"/>
            <w:left w:w="108" w:type="dxa"/>
            <w:bottom w:w="0" w:type="dxa"/>
            <w:right w:w="108" w:type="dxa"/>
          </w:tblCellMar>
        </w:tblPrEx>
        <w:trPr>
          <w:trHeight w:val="323" w:hRule="atLeast"/>
          <w:jc w:val="center"/>
        </w:trPr>
        <w:tc>
          <w:tcPr>
            <w:tcW w:w="832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1"/>
              <w:textAlignment w:val="center"/>
              <w:rPr>
                <w:rFonts w:ascii="宋体" w:hAnsi="宋体" w:cs="宋体"/>
                <w:b/>
                <w:bCs/>
                <w:color w:val="auto"/>
                <w:sz w:val="15"/>
                <w:szCs w:val="15"/>
                <w:highlight w:val="none"/>
              </w:rPr>
            </w:pPr>
            <w:r>
              <w:rPr>
                <w:rFonts w:hint="eastAsia" w:ascii="宋体" w:hAnsi="宋体" w:cs="宋体"/>
                <w:b/>
                <w:bCs/>
                <w:color w:val="auto"/>
                <w:kern w:val="0"/>
                <w:sz w:val="15"/>
                <w:szCs w:val="15"/>
                <w:highlight w:val="none"/>
                <w:lang w:bidi="ar"/>
              </w:rPr>
              <w:t>二、乡镇播控设备（6社区11个乡镇）</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301"/>
              <w:jc w:val="center"/>
              <w:rPr>
                <w:rFonts w:ascii="宋体" w:hAnsi="宋体" w:cs="宋体"/>
                <w:b/>
                <w:bCs/>
                <w:color w:val="auto"/>
                <w:sz w:val="15"/>
                <w:szCs w:val="15"/>
                <w:highlight w:val="none"/>
              </w:rPr>
            </w:pPr>
          </w:p>
        </w:tc>
      </w:tr>
      <w:tr>
        <w:tblPrEx>
          <w:tblCellMar>
            <w:top w:w="0" w:type="dxa"/>
            <w:left w:w="108" w:type="dxa"/>
            <w:bottom w:w="0" w:type="dxa"/>
            <w:right w:w="108" w:type="dxa"/>
          </w:tblCellMar>
        </w:tblPrEx>
        <w:trPr>
          <w:trHeight w:val="323" w:hRule="atLeast"/>
          <w:jc w:val="center"/>
        </w:trPr>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1</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监听音箱</w:t>
            </w:r>
          </w:p>
        </w:tc>
        <w:tc>
          <w:tcPr>
            <w:tcW w:w="4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用于监听本地正在播出的应急广播信号。</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18</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对</w:t>
            </w:r>
          </w:p>
        </w:tc>
      </w:tr>
      <w:tr>
        <w:tblPrEx>
          <w:tblCellMar>
            <w:top w:w="0" w:type="dxa"/>
            <w:left w:w="108" w:type="dxa"/>
            <w:bottom w:w="0" w:type="dxa"/>
            <w:right w:w="108" w:type="dxa"/>
          </w:tblCellMar>
        </w:tblPrEx>
        <w:trPr>
          <w:trHeight w:val="323" w:hRule="atLeast"/>
          <w:jc w:val="center"/>
        </w:trPr>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2</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IP接收控制器</w:t>
            </w:r>
          </w:p>
        </w:tc>
        <w:tc>
          <w:tcPr>
            <w:tcW w:w="4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带密钥管理的安全认证播出功能，直播广播时需要验证密钥。</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Web图形化页面远程操作和管理，自动管理所属IP广播终端，自动判断优先级别。</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18</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台</w:t>
            </w:r>
          </w:p>
        </w:tc>
      </w:tr>
      <w:tr>
        <w:tblPrEx>
          <w:tblCellMar>
            <w:top w:w="0" w:type="dxa"/>
            <w:left w:w="108" w:type="dxa"/>
            <w:bottom w:w="0" w:type="dxa"/>
            <w:right w:w="108" w:type="dxa"/>
          </w:tblCellMar>
        </w:tblPrEx>
        <w:trPr>
          <w:trHeight w:val="323" w:hRule="atLeast"/>
          <w:jc w:val="center"/>
        </w:trPr>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3</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IP话筒</w:t>
            </w:r>
          </w:p>
        </w:tc>
        <w:tc>
          <w:tcPr>
            <w:tcW w:w="4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乡镇</w:t>
            </w:r>
            <w:r>
              <w:rPr>
                <w:rStyle w:val="281"/>
                <w:color w:val="auto"/>
                <w:sz w:val="15"/>
                <w:szCs w:val="15"/>
                <w:highlight w:val="none"/>
                <w:lang w:bidi="ar"/>
              </w:rPr>
              <w:t>应急广播播出用，需具有带密钥管理的安全认证播出功能，直播广播时需要验证密钥。</w:t>
            </w:r>
            <w:r>
              <w:rPr>
                <w:rStyle w:val="281"/>
                <w:color w:val="auto"/>
                <w:sz w:val="15"/>
                <w:szCs w:val="15"/>
                <w:highlight w:val="none"/>
                <w:lang w:bidi="ar"/>
              </w:rPr>
              <w:br w:type="textWrapping"/>
            </w:r>
            <w:r>
              <w:rPr>
                <w:rStyle w:val="281"/>
                <w:color w:val="auto"/>
                <w:sz w:val="15"/>
                <w:szCs w:val="15"/>
                <w:highlight w:val="none"/>
                <w:lang w:bidi="ar"/>
              </w:rPr>
              <w:t>远程全自动软件在线升级。</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18</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只</w:t>
            </w:r>
          </w:p>
        </w:tc>
      </w:tr>
      <w:tr>
        <w:tblPrEx>
          <w:tblCellMar>
            <w:top w:w="0" w:type="dxa"/>
            <w:left w:w="108" w:type="dxa"/>
            <w:bottom w:w="0" w:type="dxa"/>
            <w:right w:w="108" w:type="dxa"/>
          </w:tblCellMar>
        </w:tblPrEx>
        <w:trPr>
          <w:trHeight w:val="323" w:hRule="atLeast"/>
          <w:jc w:val="center"/>
        </w:trPr>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300"/>
              <w:jc w:val="center"/>
              <w:rPr>
                <w:rFonts w:ascii="宋体" w:hAnsi="宋体" w:cs="宋体"/>
                <w:bCs/>
                <w:color w:val="auto"/>
                <w:sz w:val="15"/>
                <w:szCs w:val="15"/>
                <w:highlight w:val="none"/>
              </w:rPr>
            </w:pPr>
            <w:r>
              <w:rPr>
                <w:rFonts w:hint="eastAsia" w:ascii="宋体" w:hAnsi="宋体" w:cs="宋体"/>
                <w:bCs/>
                <w:color w:val="auto"/>
                <w:sz w:val="15"/>
                <w:szCs w:val="15"/>
                <w:highlight w:val="none"/>
              </w:rPr>
              <w:t>4</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0" w:firstLineChars="0"/>
              <w:rPr>
                <w:rFonts w:ascii="宋体" w:hAnsi="宋体" w:cs="宋体"/>
                <w:bCs/>
                <w:color w:val="auto"/>
                <w:sz w:val="15"/>
                <w:szCs w:val="15"/>
                <w:highlight w:val="none"/>
              </w:rPr>
            </w:pPr>
            <w:r>
              <w:rPr>
                <w:rFonts w:hint="eastAsia" w:ascii="宋体" w:hAnsi="宋体" w:cs="宋体"/>
                <w:bCs/>
                <w:color w:val="auto"/>
                <w:sz w:val="15"/>
                <w:szCs w:val="15"/>
                <w:highlight w:val="none"/>
              </w:rPr>
              <w:t>IP话筒</w:t>
            </w:r>
            <w:r>
              <w:rPr>
                <w:rFonts w:hint="eastAsia" w:ascii="宋体" w:hAnsi="宋体" w:cs="宋体"/>
                <w:bCs/>
                <w:color w:val="auto"/>
                <w:sz w:val="15"/>
                <w:szCs w:val="15"/>
                <w:highlight w:val="none"/>
              </w:rPr>
              <w:tab/>
            </w:r>
          </w:p>
        </w:tc>
        <w:tc>
          <w:tcPr>
            <w:tcW w:w="4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0" w:firstLineChars="0"/>
              <w:rPr>
                <w:rFonts w:ascii="宋体" w:hAnsi="宋体" w:cs="宋体"/>
                <w:bCs/>
                <w:color w:val="auto"/>
                <w:sz w:val="15"/>
                <w:szCs w:val="15"/>
                <w:highlight w:val="none"/>
              </w:rPr>
            </w:pPr>
            <w:r>
              <w:rPr>
                <w:rFonts w:hint="eastAsia" w:ascii="宋体" w:hAnsi="宋体" w:cs="宋体"/>
                <w:bCs/>
                <w:color w:val="auto"/>
                <w:sz w:val="15"/>
                <w:szCs w:val="15"/>
                <w:highlight w:val="none"/>
              </w:rPr>
              <w:t>村级应急广播播出用，需具有带密钥管理的安全认证播出功能，直播广播时需要验证密钥。</w:t>
            </w:r>
          </w:p>
          <w:p>
            <w:pPr>
              <w:ind w:firstLine="0" w:firstLineChars="0"/>
              <w:rPr>
                <w:rFonts w:ascii="宋体" w:hAnsi="宋体" w:cs="宋体"/>
                <w:bCs/>
                <w:color w:val="auto"/>
                <w:sz w:val="15"/>
                <w:szCs w:val="15"/>
                <w:highlight w:val="none"/>
              </w:rPr>
            </w:pPr>
            <w:r>
              <w:rPr>
                <w:rFonts w:hint="eastAsia" w:ascii="宋体" w:hAnsi="宋体" w:cs="宋体"/>
                <w:bCs/>
                <w:color w:val="auto"/>
                <w:sz w:val="15"/>
                <w:szCs w:val="15"/>
                <w:highlight w:val="none"/>
              </w:rPr>
              <w:tab/>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300"/>
              <w:rPr>
                <w:rFonts w:ascii="宋体" w:hAnsi="宋体" w:cs="宋体"/>
                <w:bCs/>
                <w:color w:val="auto"/>
                <w:sz w:val="15"/>
                <w:szCs w:val="15"/>
                <w:highlight w:val="none"/>
              </w:rPr>
            </w:pPr>
            <w:r>
              <w:rPr>
                <w:rFonts w:hint="eastAsia" w:ascii="宋体" w:hAnsi="宋体" w:cs="宋体"/>
                <w:bCs/>
                <w:color w:val="auto"/>
                <w:sz w:val="15"/>
                <w:szCs w:val="15"/>
                <w:highlight w:val="none"/>
              </w:rPr>
              <w:t>387</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300"/>
              <w:jc w:val="center"/>
              <w:rPr>
                <w:rFonts w:ascii="宋体" w:hAnsi="宋体" w:cs="宋体"/>
                <w:bCs/>
                <w:color w:val="auto"/>
                <w:sz w:val="15"/>
                <w:szCs w:val="15"/>
                <w:highlight w:val="none"/>
              </w:rPr>
            </w:pPr>
            <w:r>
              <w:rPr>
                <w:rFonts w:hint="eastAsia" w:ascii="宋体" w:hAnsi="宋体" w:cs="宋体"/>
                <w:bCs/>
                <w:color w:val="auto"/>
                <w:sz w:val="15"/>
                <w:szCs w:val="15"/>
                <w:highlight w:val="none"/>
              </w:rPr>
              <w:t>只</w:t>
            </w:r>
          </w:p>
        </w:tc>
      </w:tr>
    </w:tbl>
    <w:p>
      <w:pPr>
        <w:pStyle w:val="3"/>
        <w:spacing w:line="360" w:lineRule="auto"/>
        <w:ind w:firstLine="464"/>
        <w:rPr>
          <w:rFonts w:ascii="Times New Roman" w:hAnsi="Times New Roman"/>
          <w:color w:val="auto"/>
          <w:sz w:val="24"/>
          <w:szCs w:val="24"/>
          <w:highlight w:val="none"/>
        </w:rPr>
      </w:pPr>
    </w:p>
    <w:p>
      <w:pPr>
        <w:pStyle w:val="3"/>
        <w:spacing w:line="360" w:lineRule="auto"/>
        <w:ind w:firstLine="464"/>
        <w:rPr>
          <w:rFonts w:ascii="Times New Roman" w:hAnsi="Times New Roman"/>
          <w:color w:val="auto"/>
          <w:sz w:val="24"/>
          <w:szCs w:val="24"/>
          <w:highlight w:val="none"/>
        </w:rPr>
      </w:pPr>
      <w:r>
        <w:rPr>
          <w:rFonts w:hint="eastAsia" w:ascii="Times New Roman" w:hAnsi="Times New Roman"/>
          <w:color w:val="auto"/>
          <w:sz w:val="24"/>
          <w:szCs w:val="24"/>
          <w:highlight w:val="none"/>
        </w:rPr>
        <w:t>二：</w:t>
      </w:r>
      <w:r>
        <w:rPr>
          <w:rFonts w:hint="eastAsia"/>
          <w:color w:val="auto"/>
          <w:highlight w:val="none"/>
        </w:rPr>
        <w:t>提供本次项目服务的投标人所选择的应急广播音柱基本参数至少需符合：</w:t>
      </w:r>
    </w:p>
    <w:tbl>
      <w:tblPr>
        <w:tblStyle w:val="46"/>
        <w:tblW w:w="9167" w:type="dxa"/>
        <w:jc w:val="center"/>
        <w:tblLayout w:type="fixed"/>
        <w:tblCellMar>
          <w:top w:w="0" w:type="dxa"/>
          <w:left w:w="108" w:type="dxa"/>
          <w:bottom w:w="0" w:type="dxa"/>
          <w:right w:w="108" w:type="dxa"/>
        </w:tblCellMar>
      </w:tblPr>
      <w:tblGrid>
        <w:gridCol w:w="1676"/>
        <w:gridCol w:w="7491"/>
      </w:tblGrid>
      <w:tr>
        <w:tblPrEx>
          <w:tblCellMar>
            <w:top w:w="0" w:type="dxa"/>
            <w:left w:w="108" w:type="dxa"/>
            <w:bottom w:w="0" w:type="dxa"/>
            <w:right w:w="108" w:type="dxa"/>
          </w:tblCellMar>
        </w:tblPrEx>
        <w:trPr>
          <w:trHeight w:val="323"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00"/>
              <w:jc w:val="center"/>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应急广播音柱</w:t>
            </w:r>
          </w:p>
        </w:tc>
        <w:tc>
          <w:tcPr>
            <w:tcW w:w="7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textAlignment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用于接收和解调和解码IP广播平台播出的各种音频数据流和控制数据流，推动喇叭放音。</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Web图形化页面远程操作和管理，自动管理所属IP广播终端，自动判断优先级别。</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具备远程全自动软件在线升级。</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支持远程音量设置和远程开关机。</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应急广播时，终端音量自动调为最大。</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采用一体化全铝压铸箱体，防雨及散热性能优良。</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具有无数据信号自动待机功能。</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结构：一体化防雨外壳。</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材质：铝合金材料喷塑。</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网罩：铝合金材质。</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扬声器障板：铝合金材质。</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接收方式：有线IP+无线RDS</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传输协议：TCP/IP</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操作系统：嵌入式Linux操作系统</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音频打包格式：MP3</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RDS接收频率：87-108M</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音频传输延迟：≤1S</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音频传输码率：40-320kbps自适应</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额定输出功率：25W</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音频频率响应：≤±1 dB(20Hz—18KHz)</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音频总谐波失真：≤0.5%</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信噪比：≥75dB</w:t>
            </w:r>
            <w:r>
              <w:rPr>
                <w:rFonts w:hint="eastAsia" w:ascii="宋体" w:hAnsi="宋体" w:cs="宋体"/>
                <w:color w:val="auto"/>
                <w:kern w:val="0"/>
                <w:sz w:val="15"/>
                <w:szCs w:val="15"/>
                <w:highlight w:val="none"/>
                <w:lang w:bidi="ar"/>
              </w:rPr>
              <w:br w:type="textWrapping"/>
            </w:r>
            <w:r>
              <w:rPr>
                <w:rFonts w:hint="eastAsia" w:ascii="宋体" w:hAnsi="宋体" w:cs="宋体"/>
                <w:color w:val="auto"/>
                <w:kern w:val="0"/>
                <w:sz w:val="15"/>
                <w:szCs w:val="15"/>
                <w:highlight w:val="none"/>
                <w:lang w:bidi="ar"/>
              </w:rPr>
              <w:t>工作环境温度：-20℃～+70℃</w:t>
            </w:r>
          </w:p>
        </w:tc>
      </w:tr>
    </w:tbl>
    <w:p>
      <w:pPr>
        <w:ind w:firstLine="480"/>
        <w:rPr>
          <w:color w:val="auto"/>
          <w:highlight w:val="none"/>
        </w:rPr>
      </w:pPr>
      <w:r>
        <w:rPr>
          <w:color w:val="auto"/>
          <w:highlight w:val="none"/>
        </w:rPr>
        <w:br w:type="page"/>
      </w:r>
    </w:p>
    <w:p>
      <w:pPr>
        <w:pStyle w:val="6"/>
        <w:ind w:left="-240" w:leftChars="-100" w:firstLine="240" w:firstLineChars="100"/>
        <w:rPr>
          <w:color w:val="auto"/>
          <w:highlight w:val="none"/>
        </w:rPr>
      </w:pPr>
      <w:r>
        <w:rPr>
          <w:rFonts w:hint="eastAsia"/>
          <w:color w:val="auto"/>
          <w:highlight w:val="none"/>
        </w:rPr>
        <w:t>运维技术指标</w:t>
      </w:r>
    </w:p>
    <w:p>
      <w:pPr>
        <w:pStyle w:val="7"/>
        <w:ind w:left="243" w:hanging="3"/>
        <w:rPr>
          <w:color w:val="auto"/>
          <w:highlight w:val="none"/>
        </w:rPr>
      </w:pPr>
      <w:r>
        <w:rPr>
          <w:rFonts w:hint="eastAsia"/>
          <w:color w:val="auto"/>
          <w:highlight w:val="none"/>
        </w:rPr>
        <w:t>根据总体服务指标对项目进行考核和奖惩，奖惩情况如下表</w:t>
      </w:r>
    </w:p>
    <w:tbl>
      <w:tblPr>
        <w:tblStyle w:val="46"/>
        <w:tblW w:w="8348" w:type="dxa"/>
        <w:tblInd w:w="174" w:type="dxa"/>
        <w:tblLayout w:type="fixed"/>
        <w:tblCellMar>
          <w:top w:w="0" w:type="dxa"/>
          <w:left w:w="108" w:type="dxa"/>
          <w:bottom w:w="0" w:type="dxa"/>
          <w:right w:w="108" w:type="dxa"/>
        </w:tblCellMar>
      </w:tblPr>
      <w:tblGrid>
        <w:gridCol w:w="636"/>
        <w:gridCol w:w="2228"/>
        <w:gridCol w:w="2457"/>
        <w:gridCol w:w="1133"/>
        <w:gridCol w:w="1894"/>
      </w:tblGrid>
      <w:tr>
        <w:tblPrEx>
          <w:tblCellMar>
            <w:top w:w="0" w:type="dxa"/>
            <w:left w:w="108" w:type="dxa"/>
            <w:bottom w:w="0" w:type="dxa"/>
            <w:right w:w="108" w:type="dxa"/>
          </w:tblCellMar>
        </w:tblPrEx>
        <w:trPr>
          <w:trHeight w:val="1017" w:hRule="atLeast"/>
          <w:tblHeader/>
        </w:trPr>
        <w:tc>
          <w:tcPr>
            <w:tcW w:w="63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ind w:firstLine="0" w:firstLineChars="0"/>
              <w:jc w:val="center"/>
              <w:rPr>
                <w:rFonts w:ascii="宋体" w:hAnsi="宋体"/>
                <w:color w:val="auto"/>
                <w:szCs w:val="21"/>
                <w:highlight w:val="none"/>
              </w:rPr>
            </w:pPr>
            <w:r>
              <w:rPr>
                <w:rFonts w:hint="eastAsia" w:ascii="宋体" w:hAnsi="宋体"/>
                <w:color w:val="auto"/>
                <w:szCs w:val="21"/>
                <w:highlight w:val="none"/>
              </w:rPr>
              <w:t>序号</w:t>
            </w:r>
          </w:p>
        </w:tc>
        <w:tc>
          <w:tcPr>
            <w:tcW w:w="2228" w:type="dxa"/>
            <w:tcBorders>
              <w:top w:val="single" w:color="auto" w:sz="8" w:space="0"/>
              <w:left w:val="nil"/>
              <w:bottom w:val="single" w:color="auto" w:sz="8" w:space="0"/>
              <w:right w:val="single" w:color="auto" w:sz="8" w:space="0"/>
            </w:tcBorders>
            <w:vAlign w:val="center"/>
          </w:tcPr>
          <w:p>
            <w:pPr>
              <w:autoSpaceDE w:val="0"/>
              <w:autoSpaceDN w:val="0"/>
              <w:adjustRightInd w:val="0"/>
              <w:snapToGrid w:val="0"/>
              <w:ind w:firstLine="0" w:firstLineChars="0"/>
              <w:jc w:val="center"/>
              <w:rPr>
                <w:rFonts w:ascii="宋体" w:hAnsi="宋体"/>
                <w:color w:val="auto"/>
                <w:szCs w:val="21"/>
                <w:highlight w:val="none"/>
              </w:rPr>
            </w:pPr>
            <w:r>
              <w:rPr>
                <w:rFonts w:hint="eastAsia" w:ascii="宋体" w:hAnsi="宋体"/>
                <w:color w:val="auto"/>
                <w:szCs w:val="21"/>
                <w:highlight w:val="none"/>
              </w:rPr>
              <w:t>总体指标</w:t>
            </w:r>
          </w:p>
        </w:tc>
        <w:tc>
          <w:tcPr>
            <w:tcW w:w="2457" w:type="dxa"/>
            <w:tcBorders>
              <w:top w:val="single" w:color="auto" w:sz="8" w:space="0"/>
              <w:left w:val="nil"/>
              <w:bottom w:val="single" w:color="auto" w:sz="8" w:space="0"/>
              <w:right w:val="single" w:color="auto" w:sz="8" w:space="0"/>
            </w:tcBorders>
            <w:vAlign w:val="center"/>
          </w:tcPr>
          <w:p>
            <w:pPr>
              <w:autoSpaceDE w:val="0"/>
              <w:autoSpaceDN w:val="0"/>
              <w:adjustRightInd w:val="0"/>
              <w:snapToGrid w:val="0"/>
              <w:ind w:firstLine="0" w:firstLineChars="0"/>
              <w:jc w:val="center"/>
              <w:rPr>
                <w:rFonts w:ascii="宋体" w:hAnsi="宋体"/>
                <w:color w:val="auto"/>
                <w:szCs w:val="21"/>
                <w:highlight w:val="none"/>
              </w:rPr>
            </w:pPr>
            <w:r>
              <w:rPr>
                <w:rFonts w:hint="eastAsia" w:ascii="宋体" w:hAnsi="宋体"/>
                <w:color w:val="auto"/>
                <w:szCs w:val="21"/>
                <w:highlight w:val="none"/>
              </w:rPr>
              <w:t>款项支付比率</w:t>
            </w:r>
          </w:p>
        </w:tc>
        <w:tc>
          <w:tcPr>
            <w:tcW w:w="1133" w:type="dxa"/>
            <w:tcBorders>
              <w:top w:val="single" w:color="auto" w:sz="8" w:space="0"/>
              <w:left w:val="nil"/>
              <w:bottom w:val="single" w:color="auto" w:sz="8" w:space="0"/>
              <w:right w:val="single" w:color="auto" w:sz="8" w:space="0"/>
            </w:tcBorders>
            <w:vAlign w:val="center"/>
          </w:tcPr>
          <w:p>
            <w:pPr>
              <w:autoSpaceDE w:val="0"/>
              <w:autoSpaceDN w:val="0"/>
              <w:adjustRightInd w:val="0"/>
              <w:snapToGrid w:val="0"/>
              <w:ind w:firstLine="0" w:firstLineChars="0"/>
              <w:jc w:val="center"/>
              <w:rPr>
                <w:rFonts w:ascii="宋体" w:hAnsi="宋体"/>
                <w:color w:val="auto"/>
                <w:szCs w:val="21"/>
                <w:highlight w:val="none"/>
              </w:rPr>
            </w:pPr>
            <w:r>
              <w:rPr>
                <w:rFonts w:hint="eastAsia" w:ascii="宋体" w:hAnsi="宋体"/>
                <w:color w:val="auto"/>
                <w:szCs w:val="21"/>
                <w:highlight w:val="none"/>
              </w:rPr>
              <w:t>考核频率</w:t>
            </w:r>
          </w:p>
        </w:tc>
        <w:tc>
          <w:tcPr>
            <w:tcW w:w="1894" w:type="dxa"/>
            <w:tcBorders>
              <w:top w:val="single" w:color="auto" w:sz="8" w:space="0"/>
              <w:left w:val="nil"/>
              <w:bottom w:val="single" w:color="auto" w:sz="8" w:space="0"/>
              <w:right w:val="single" w:color="auto" w:sz="8" w:space="0"/>
            </w:tcBorders>
            <w:vAlign w:val="center"/>
          </w:tcPr>
          <w:p>
            <w:pPr>
              <w:autoSpaceDE w:val="0"/>
              <w:autoSpaceDN w:val="0"/>
              <w:adjustRightInd w:val="0"/>
              <w:snapToGrid w:val="0"/>
              <w:ind w:firstLine="480"/>
              <w:jc w:val="center"/>
              <w:rPr>
                <w:rFonts w:ascii="宋体" w:hAnsi="宋体"/>
                <w:color w:val="auto"/>
                <w:szCs w:val="21"/>
                <w:highlight w:val="none"/>
              </w:rPr>
            </w:pPr>
            <w:r>
              <w:rPr>
                <w:rFonts w:hint="eastAsia" w:ascii="宋体" w:hAnsi="宋体"/>
                <w:color w:val="auto"/>
                <w:szCs w:val="21"/>
                <w:highlight w:val="none"/>
              </w:rPr>
              <w:t>备注</w:t>
            </w:r>
          </w:p>
        </w:tc>
      </w:tr>
      <w:tr>
        <w:tblPrEx>
          <w:tblCellMar>
            <w:top w:w="0" w:type="dxa"/>
            <w:left w:w="108" w:type="dxa"/>
            <w:bottom w:w="0" w:type="dxa"/>
            <w:right w:w="108" w:type="dxa"/>
          </w:tblCellMar>
        </w:tblPrEx>
        <w:trPr>
          <w:trHeight w:val="840" w:hRule="atLeast"/>
        </w:trPr>
        <w:tc>
          <w:tcPr>
            <w:tcW w:w="636" w:type="dxa"/>
            <w:tcBorders>
              <w:top w:val="nil"/>
              <w:left w:val="single" w:color="auto" w:sz="8" w:space="0"/>
              <w:bottom w:val="single" w:color="auto" w:sz="8" w:space="0"/>
              <w:right w:val="single" w:color="auto" w:sz="8" w:space="0"/>
            </w:tcBorders>
            <w:vAlign w:val="center"/>
          </w:tcPr>
          <w:p>
            <w:pPr>
              <w:autoSpaceDE w:val="0"/>
              <w:autoSpaceDN w:val="0"/>
              <w:adjustRightInd w:val="0"/>
              <w:snapToGrid w:val="0"/>
              <w:ind w:firstLine="0" w:firstLineChars="0"/>
              <w:jc w:val="center"/>
              <w:rPr>
                <w:rFonts w:ascii="宋体" w:hAnsi="宋体"/>
                <w:color w:val="auto"/>
                <w:szCs w:val="21"/>
                <w:highlight w:val="none"/>
              </w:rPr>
            </w:pPr>
            <w:r>
              <w:rPr>
                <w:rFonts w:hint="eastAsia" w:ascii="宋体" w:hAnsi="宋体"/>
                <w:color w:val="auto"/>
                <w:szCs w:val="21"/>
                <w:highlight w:val="none"/>
              </w:rPr>
              <w:t>1</w:t>
            </w:r>
          </w:p>
        </w:tc>
        <w:tc>
          <w:tcPr>
            <w:tcW w:w="2228" w:type="dxa"/>
            <w:tcBorders>
              <w:top w:val="nil"/>
              <w:left w:val="nil"/>
              <w:bottom w:val="single" w:color="auto" w:sz="8" w:space="0"/>
              <w:right w:val="single" w:color="auto" w:sz="8" w:space="0"/>
            </w:tcBorders>
            <w:vAlign w:val="center"/>
          </w:tcPr>
          <w:p>
            <w:pPr>
              <w:autoSpaceDE w:val="0"/>
              <w:autoSpaceDN w:val="0"/>
              <w:adjustRightInd w:val="0"/>
              <w:snapToGrid w:val="0"/>
              <w:ind w:firstLine="480"/>
              <w:jc w:val="center"/>
              <w:rPr>
                <w:rFonts w:ascii="宋体" w:hAnsi="宋体"/>
                <w:color w:val="auto"/>
                <w:szCs w:val="21"/>
                <w:highlight w:val="none"/>
              </w:rPr>
            </w:pPr>
            <w:r>
              <w:rPr>
                <w:rFonts w:hint="eastAsia" w:ascii="宋体" w:hAnsi="宋体"/>
                <w:color w:val="auto"/>
                <w:szCs w:val="21"/>
                <w:highlight w:val="none"/>
              </w:rPr>
              <w:t>95%≤应急广播终端的在线率、完好率；</w:t>
            </w:r>
          </w:p>
        </w:tc>
        <w:tc>
          <w:tcPr>
            <w:tcW w:w="2457" w:type="dxa"/>
            <w:tcBorders>
              <w:top w:val="nil"/>
              <w:left w:val="nil"/>
              <w:bottom w:val="single" w:color="auto" w:sz="8" w:space="0"/>
              <w:right w:val="single" w:color="auto" w:sz="8" w:space="0"/>
            </w:tcBorders>
            <w:vAlign w:val="center"/>
          </w:tcPr>
          <w:p>
            <w:pPr>
              <w:autoSpaceDE w:val="0"/>
              <w:autoSpaceDN w:val="0"/>
              <w:adjustRightInd w:val="0"/>
              <w:snapToGrid w:val="0"/>
              <w:ind w:firstLine="480"/>
              <w:jc w:val="center"/>
              <w:rPr>
                <w:rFonts w:ascii="宋体" w:hAnsi="宋体"/>
                <w:color w:val="auto"/>
                <w:szCs w:val="21"/>
                <w:highlight w:val="none"/>
              </w:rPr>
            </w:pPr>
            <w:r>
              <w:rPr>
                <w:rFonts w:hint="eastAsia" w:ascii="宋体" w:hAnsi="宋体"/>
                <w:color w:val="auto"/>
                <w:szCs w:val="21"/>
                <w:highlight w:val="none"/>
              </w:rPr>
              <w:t>按</w:t>
            </w:r>
            <w:r>
              <w:rPr>
                <w:rFonts w:ascii="宋体" w:hAnsi="宋体"/>
                <w:color w:val="auto"/>
                <w:szCs w:val="21"/>
                <w:highlight w:val="none"/>
              </w:rPr>
              <w:t>其他配套费用</w:t>
            </w:r>
            <w:r>
              <w:rPr>
                <w:rFonts w:hint="eastAsia" w:ascii="宋体" w:hAnsi="宋体"/>
                <w:color w:val="auto"/>
                <w:szCs w:val="21"/>
                <w:highlight w:val="none"/>
              </w:rPr>
              <w:t>月项目款100%支付</w:t>
            </w:r>
          </w:p>
        </w:tc>
        <w:tc>
          <w:tcPr>
            <w:tcW w:w="1133" w:type="dxa"/>
            <w:tcBorders>
              <w:top w:val="nil"/>
              <w:left w:val="nil"/>
              <w:bottom w:val="single" w:color="auto" w:sz="8" w:space="0"/>
              <w:right w:val="single" w:color="auto" w:sz="8" w:space="0"/>
            </w:tcBorders>
            <w:vAlign w:val="center"/>
          </w:tcPr>
          <w:p>
            <w:pPr>
              <w:autoSpaceDE w:val="0"/>
              <w:autoSpaceDN w:val="0"/>
              <w:adjustRightInd w:val="0"/>
              <w:snapToGrid w:val="0"/>
              <w:ind w:firstLine="0" w:firstLineChars="0"/>
              <w:jc w:val="center"/>
              <w:rPr>
                <w:rFonts w:ascii="宋体" w:hAnsi="宋体"/>
                <w:color w:val="auto"/>
                <w:szCs w:val="21"/>
                <w:highlight w:val="none"/>
              </w:rPr>
            </w:pPr>
            <w:r>
              <w:rPr>
                <w:rFonts w:hint="eastAsia" w:ascii="宋体" w:hAnsi="宋体"/>
                <w:color w:val="auto"/>
                <w:szCs w:val="21"/>
                <w:highlight w:val="none"/>
              </w:rPr>
              <w:t>一月一次</w:t>
            </w:r>
          </w:p>
        </w:tc>
        <w:tc>
          <w:tcPr>
            <w:tcW w:w="1894" w:type="dxa"/>
            <w:tcBorders>
              <w:top w:val="nil"/>
              <w:left w:val="nil"/>
              <w:bottom w:val="single" w:color="auto" w:sz="8" w:space="0"/>
              <w:right w:val="single" w:color="auto" w:sz="8" w:space="0"/>
            </w:tcBorders>
            <w:vAlign w:val="center"/>
          </w:tcPr>
          <w:p>
            <w:pPr>
              <w:autoSpaceDE w:val="0"/>
              <w:autoSpaceDN w:val="0"/>
              <w:adjustRightInd w:val="0"/>
              <w:snapToGrid w:val="0"/>
              <w:ind w:firstLine="0" w:firstLineChars="0"/>
              <w:jc w:val="center"/>
              <w:rPr>
                <w:rFonts w:ascii="宋体" w:hAnsi="宋体"/>
                <w:color w:val="auto"/>
                <w:szCs w:val="21"/>
                <w:highlight w:val="none"/>
              </w:rPr>
            </w:pPr>
            <w:r>
              <w:rPr>
                <w:rFonts w:hint="eastAsia" w:ascii="宋体" w:hAnsi="宋体"/>
                <w:color w:val="auto"/>
                <w:szCs w:val="21"/>
                <w:highlight w:val="none"/>
              </w:rPr>
              <w:t>数据由系统获取并由抽检确认</w:t>
            </w:r>
          </w:p>
        </w:tc>
      </w:tr>
      <w:tr>
        <w:tblPrEx>
          <w:tblCellMar>
            <w:top w:w="0" w:type="dxa"/>
            <w:left w:w="108" w:type="dxa"/>
            <w:bottom w:w="0" w:type="dxa"/>
            <w:right w:w="108" w:type="dxa"/>
          </w:tblCellMar>
        </w:tblPrEx>
        <w:trPr>
          <w:trHeight w:val="840" w:hRule="atLeast"/>
        </w:trPr>
        <w:tc>
          <w:tcPr>
            <w:tcW w:w="636" w:type="dxa"/>
            <w:tcBorders>
              <w:top w:val="nil"/>
              <w:left w:val="single" w:color="auto" w:sz="8" w:space="0"/>
              <w:bottom w:val="single" w:color="auto" w:sz="8" w:space="0"/>
              <w:right w:val="single" w:color="auto" w:sz="8" w:space="0"/>
            </w:tcBorders>
            <w:vAlign w:val="center"/>
          </w:tcPr>
          <w:p>
            <w:pPr>
              <w:autoSpaceDE w:val="0"/>
              <w:autoSpaceDN w:val="0"/>
              <w:adjustRightInd w:val="0"/>
              <w:snapToGrid w:val="0"/>
              <w:ind w:firstLine="0" w:firstLineChars="0"/>
              <w:jc w:val="center"/>
              <w:rPr>
                <w:rFonts w:ascii="宋体" w:hAnsi="宋体"/>
                <w:color w:val="auto"/>
                <w:szCs w:val="21"/>
                <w:highlight w:val="none"/>
              </w:rPr>
            </w:pPr>
            <w:r>
              <w:rPr>
                <w:rFonts w:hint="eastAsia" w:ascii="宋体" w:hAnsi="宋体"/>
                <w:color w:val="auto"/>
                <w:szCs w:val="21"/>
                <w:highlight w:val="none"/>
              </w:rPr>
              <w:t>2</w:t>
            </w:r>
          </w:p>
        </w:tc>
        <w:tc>
          <w:tcPr>
            <w:tcW w:w="2228" w:type="dxa"/>
            <w:tcBorders>
              <w:top w:val="nil"/>
              <w:left w:val="nil"/>
              <w:bottom w:val="single" w:color="auto" w:sz="8" w:space="0"/>
              <w:right w:val="single" w:color="auto" w:sz="8" w:space="0"/>
            </w:tcBorders>
            <w:vAlign w:val="center"/>
          </w:tcPr>
          <w:p>
            <w:pPr>
              <w:autoSpaceDE w:val="0"/>
              <w:autoSpaceDN w:val="0"/>
              <w:adjustRightInd w:val="0"/>
              <w:snapToGrid w:val="0"/>
              <w:ind w:firstLine="480"/>
              <w:jc w:val="center"/>
              <w:rPr>
                <w:rFonts w:ascii="宋体" w:hAnsi="宋体"/>
                <w:color w:val="auto"/>
                <w:szCs w:val="21"/>
                <w:highlight w:val="none"/>
              </w:rPr>
            </w:pPr>
            <w:r>
              <w:rPr>
                <w:rFonts w:hint="eastAsia" w:ascii="宋体" w:hAnsi="宋体"/>
                <w:color w:val="auto"/>
                <w:szCs w:val="21"/>
                <w:highlight w:val="none"/>
              </w:rPr>
              <w:t>93%≤应急广播终端的在线率、完好率＜95%；</w:t>
            </w:r>
          </w:p>
        </w:tc>
        <w:tc>
          <w:tcPr>
            <w:tcW w:w="2457" w:type="dxa"/>
            <w:tcBorders>
              <w:top w:val="nil"/>
              <w:left w:val="nil"/>
              <w:bottom w:val="single" w:color="auto" w:sz="8" w:space="0"/>
              <w:right w:val="single" w:color="auto" w:sz="8" w:space="0"/>
            </w:tcBorders>
            <w:vAlign w:val="center"/>
          </w:tcPr>
          <w:p>
            <w:pPr>
              <w:autoSpaceDE w:val="0"/>
              <w:autoSpaceDN w:val="0"/>
              <w:adjustRightInd w:val="0"/>
              <w:snapToGrid w:val="0"/>
              <w:ind w:firstLine="480"/>
              <w:jc w:val="center"/>
              <w:rPr>
                <w:rFonts w:ascii="宋体" w:hAnsi="宋体"/>
                <w:color w:val="auto"/>
                <w:szCs w:val="21"/>
                <w:highlight w:val="none"/>
              </w:rPr>
            </w:pPr>
            <w:r>
              <w:rPr>
                <w:rFonts w:hint="eastAsia" w:ascii="宋体" w:hAnsi="宋体"/>
                <w:color w:val="auto"/>
                <w:szCs w:val="21"/>
                <w:highlight w:val="none"/>
              </w:rPr>
              <w:t>按</w:t>
            </w:r>
            <w:r>
              <w:rPr>
                <w:rFonts w:ascii="宋体" w:hAnsi="宋体"/>
                <w:color w:val="auto"/>
                <w:szCs w:val="21"/>
                <w:highlight w:val="none"/>
              </w:rPr>
              <w:t>其他配套费用</w:t>
            </w:r>
            <w:r>
              <w:rPr>
                <w:rFonts w:hint="eastAsia" w:ascii="宋体" w:hAnsi="宋体"/>
                <w:color w:val="auto"/>
                <w:szCs w:val="21"/>
                <w:highlight w:val="none"/>
              </w:rPr>
              <w:t>月项目款95%支付</w:t>
            </w:r>
          </w:p>
        </w:tc>
        <w:tc>
          <w:tcPr>
            <w:tcW w:w="1133" w:type="dxa"/>
            <w:tcBorders>
              <w:top w:val="nil"/>
              <w:left w:val="nil"/>
              <w:bottom w:val="single" w:color="auto" w:sz="8" w:space="0"/>
              <w:right w:val="single" w:color="auto" w:sz="8" w:space="0"/>
            </w:tcBorders>
            <w:vAlign w:val="center"/>
          </w:tcPr>
          <w:p>
            <w:pPr>
              <w:autoSpaceDE w:val="0"/>
              <w:autoSpaceDN w:val="0"/>
              <w:adjustRightInd w:val="0"/>
              <w:snapToGrid w:val="0"/>
              <w:ind w:firstLine="0" w:firstLineChars="0"/>
              <w:jc w:val="center"/>
              <w:rPr>
                <w:rFonts w:ascii="宋体" w:hAnsi="宋体"/>
                <w:color w:val="auto"/>
                <w:szCs w:val="21"/>
                <w:highlight w:val="none"/>
              </w:rPr>
            </w:pPr>
            <w:r>
              <w:rPr>
                <w:rFonts w:hint="eastAsia" w:ascii="宋体" w:hAnsi="宋体"/>
                <w:color w:val="auto"/>
                <w:szCs w:val="21"/>
                <w:highlight w:val="none"/>
              </w:rPr>
              <w:t>一月一次</w:t>
            </w:r>
          </w:p>
        </w:tc>
        <w:tc>
          <w:tcPr>
            <w:tcW w:w="1894" w:type="dxa"/>
            <w:tcBorders>
              <w:top w:val="nil"/>
              <w:left w:val="nil"/>
              <w:bottom w:val="single" w:color="auto" w:sz="8" w:space="0"/>
              <w:right w:val="single" w:color="auto" w:sz="8" w:space="0"/>
            </w:tcBorders>
            <w:vAlign w:val="center"/>
          </w:tcPr>
          <w:p>
            <w:pPr>
              <w:autoSpaceDE w:val="0"/>
              <w:autoSpaceDN w:val="0"/>
              <w:adjustRightInd w:val="0"/>
              <w:snapToGrid w:val="0"/>
              <w:ind w:firstLine="0" w:firstLineChars="0"/>
              <w:jc w:val="center"/>
              <w:rPr>
                <w:rFonts w:ascii="宋体" w:hAnsi="宋体"/>
                <w:color w:val="auto"/>
                <w:szCs w:val="21"/>
                <w:highlight w:val="none"/>
              </w:rPr>
            </w:pPr>
            <w:r>
              <w:rPr>
                <w:rFonts w:hint="eastAsia" w:ascii="宋体" w:hAnsi="宋体"/>
                <w:color w:val="auto"/>
                <w:szCs w:val="21"/>
                <w:highlight w:val="none"/>
              </w:rPr>
              <w:t>数据由系统获取并由抽检确认</w:t>
            </w:r>
          </w:p>
        </w:tc>
      </w:tr>
      <w:tr>
        <w:tblPrEx>
          <w:tblCellMar>
            <w:top w:w="0" w:type="dxa"/>
            <w:left w:w="108" w:type="dxa"/>
            <w:bottom w:w="0" w:type="dxa"/>
            <w:right w:w="108" w:type="dxa"/>
          </w:tblCellMar>
        </w:tblPrEx>
        <w:trPr>
          <w:trHeight w:val="840" w:hRule="atLeast"/>
        </w:trPr>
        <w:tc>
          <w:tcPr>
            <w:tcW w:w="636" w:type="dxa"/>
            <w:tcBorders>
              <w:top w:val="nil"/>
              <w:left w:val="single" w:color="auto" w:sz="8" w:space="0"/>
              <w:bottom w:val="single" w:color="auto" w:sz="8" w:space="0"/>
              <w:right w:val="single" w:color="auto" w:sz="8" w:space="0"/>
            </w:tcBorders>
            <w:vAlign w:val="center"/>
          </w:tcPr>
          <w:p>
            <w:pPr>
              <w:autoSpaceDE w:val="0"/>
              <w:autoSpaceDN w:val="0"/>
              <w:adjustRightInd w:val="0"/>
              <w:snapToGrid w:val="0"/>
              <w:ind w:firstLine="0" w:firstLineChars="0"/>
              <w:jc w:val="center"/>
              <w:rPr>
                <w:rFonts w:ascii="宋体" w:hAnsi="宋体"/>
                <w:color w:val="auto"/>
                <w:szCs w:val="21"/>
                <w:highlight w:val="none"/>
              </w:rPr>
            </w:pPr>
            <w:r>
              <w:rPr>
                <w:rFonts w:hint="eastAsia" w:ascii="宋体" w:hAnsi="宋体"/>
                <w:color w:val="auto"/>
                <w:szCs w:val="21"/>
                <w:highlight w:val="none"/>
              </w:rPr>
              <w:t>3</w:t>
            </w:r>
          </w:p>
        </w:tc>
        <w:tc>
          <w:tcPr>
            <w:tcW w:w="2228" w:type="dxa"/>
            <w:tcBorders>
              <w:top w:val="nil"/>
              <w:left w:val="nil"/>
              <w:bottom w:val="single" w:color="auto" w:sz="8" w:space="0"/>
              <w:right w:val="single" w:color="auto" w:sz="8" w:space="0"/>
            </w:tcBorders>
            <w:vAlign w:val="center"/>
          </w:tcPr>
          <w:p>
            <w:pPr>
              <w:autoSpaceDE w:val="0"/>
              <w:autoSpaceDN w:val="0"/>
              <w:adjustRightInd w:val="0"/>
              <w:snapToGrid w:val="0"/>
              <w:ind w:firstLine="480"/>
              <w:jc w:val="center"/>
              <w:rPr>
                <w:rFonts w:ascii="宋体" w:hAnsi="宋体"/>
                <w:color w:val="auto"/>
                <w:szCs w:val="21"/>
                <w:highlight w:val="none"/>
              </w:rPr>
            </w:pPr>
            <w:r>
              <w:rPr>
                <w:rFonts w:hint="eastAsia" w:ascii="宋体" w:hAnsi="宋体"/>
                <w:color w:val="auto"/>
                <w:szCs w:val="21"/>
                <w:highlight w:val="none"/>
              </w:rPr>
              <w:t>应急广播终端的在线率、完好率＜93%；</w:t>
            </w:r>
          </w:p>
        </w:tc>
        <w:tc>
          <w:tcPr>
            <w:tcW w:w="2457" w:type="dxa"/>
            <w:tcBorders>
              <w:top w:val="nil"/>
              <w:left w:val="nil"/>
              <w:bottom w:val="single" w:color="auto" w:sz="8" w:space="0"/>
              <w:right w:val="single" w:color="auto" w:sz="8" w:space="0"/>
            </w:tcBorders>
            <w:vAlign w:val="center"/>
          </w:tcPr>
          <w:p>
            <w:pPr>
              <w:autoSpaceDE w:val="0"/>
              <w:autoSpaceDN w:val="0"/>
              <w:adjustRightInd w:val="0"/>
              <w:snapToGrid w:val="0"/>
              <w:ind w:firstLine="480"/>
              <w:jc w:val="center"/>
              <w:rPr>
                <w:rFonts w:ascii="宋体" w:hAnsi="宋体"/>
                <w:color w:val="auto"/>
                <w:szCs w:val="21"/>
                <w:highlight w:val="none"/>
              </w:rPr>
            </w:pPr>
            <w:r>
              <w:rPr>
                <w:rFonts w:hint="eastAsia" w:ascii="宋体" w:hAnsi="宋体"/>
                <w:color w:val="auto"/>
                <w:szCs w:val="21"/>
                <w:highlight w:val="none"/>
              </w:rPr>
              <w:t>按</w:t>
            </w:r>
            <w:r>
              <w:rPr>
                <w:rFonts w:ascii="宋体" w:hAnsi="宋体"/>
                <w:color w:val="auto"/>
                <w:szCs w:val="21"/>
                <w:highlight w:val="none"/>
              </w:rPr>
              <w:t>其他配套费用</w:t>
            </w:r>
            <w:r>
              <w:rPr>
                <w:rFonts w:hint="eastAsia" w:ascii="宋体" w:hAnsi="宋体"/>
                <w:color w:val="auto"/>
                <w:szCs w:val="21"/>
                <w:highlight w:val="none"/>
              </w:rPr>
              <w:t>月项目款90%支付</w:t>
            </w:r>
          </w:p>
        </w:tc>
        <w:tc>
          <w:tcPr>
            <w:tcW w:w="1133" w:type="dxa"/>
            <w:tcBorders>
              <w:top w:val="nil"/>
              <w:left w:val="nil"/>
              <w:bottom w:val="single" w:color="auto" w:sz="8" w:space="0"/>
              <w:right w:val="single" w:color="auto" w:sz="8" w:space="0"/>
            </w:tcBorders>
            <w:vAlign w:val="center"/>
          </w:tcPr>
          <w:p>
            <w:pPr>
              <w:autoSpaceDE w:val="0"/>
              <w:autoSpaceDN w:val="0"/>
              <w:adjustRightInd w:val="0"/>
              <w:snapToGrid w:val="0"/>
              <w:ind w:firstLine="0" w:firstLineChars="0"/>
              <w:jc w:val="center"/>
              <w:rPr>
                <w:rFonts w:ascii="宋体" w:hAnsi="宋体"/>
                <w:color w:val="auto"/>
                <w:szCs w:val="21"/>
                <w:highlight w:val="none"/>
              </w:rPr>
            </w:pPr>
            <w:r>
              <w:rPr>
                <w:rFonts w:hint="eastAsia" w:ascii="宋体" w:hAnsi="宋体"/>
                <w:color w:val="auto"/>
                <w:szCs w:val="21"/>
                <w:highlight w:val="none"/>
              </w:rPr>
              <w:t>一月一次</w:t>
            </w:r>
          </w:p>
        </w:tc>
        <w:tc>
          <w:tcPr>
            <w:tcW w:w="1894" w:type="dxa"/>
            <w:tcBorders>
              <w:top w:val="nil"/>
              <w:left w:val="nil"/>
              <w:bottom w:val="single" w:color="auto" w:sz="8" w:space="0"/>
              <w:right w:val="single" w:color="auto" w:sz="8" w:space="0"/>
            </w:tcBorders>
            <w:vAlign w:val="center"/>
          </w:tcPr>
          <w:p>
            <w:pPr>
              <w:autoSpaceDE w:val="0"/>
              <w:autoSpaceDN w:val="0"/>
              <w:adjustRightInd w:val="0"/>
              <w:snapToGrid w:val="0"/>
              <w:ind w:firstLine="0" w:firstLineChars="0"/>
              <w:jc w:val="center"/>
              <w:rPr>
                <w:rFonts w:ascii="宋体" w:hAnsi="宋体"/>
                <w:color w:val="auto"/>
                <w:szCs w:val="21"/>
                <w:highlight w:val="none"/>
              </w:rPr>
            </w:pPr>
            <w:r>
              <w:rPr>
                <w:rFonts w:hint="eastAsia" w:ascii="宋体" w:hAnsi="宋体"/>
                <w:color w:val="auto"/>
                <w:szCs w:val="21"/>
                <w:highlight w:val="none"/>
              </w:rPr>
              <w:t>数据由系统获取并由抽检确认</w:t>
            </w:r>
          </w:p>
        </w:tc>
      </w:tr>
      <w:tr>
        <w:tblPrEx>
          <w:tblCellMar>
            <w:top w:w="0" w:type="dxa"/>
            <w:left w:w="108" w:type="dxa"/>
            <w:bottom w:w="0" w:type="dxa"/>
            <w:right w:w="108" w:type="dxa"/>
          </w:tblCellMar>
        </w:tblPrEx>
        <w:trPr>
          <w:trHeight w:val="1593" w:hRule="atLeast"/>
        </w:trPr>
        <w:tc>
          <w:tcPr>
            <w:tcW w:w="636" w:type="dxa"/>
            <w:tcBorders>
              <w:top w:val="nil"/>
              <w:left w:val="single" w:color="auto" w:sz="8" w:space="0"/>
              <w:bottom w:val="single" w:color="auto" w:sz="4" w:space="0"/>
              <w:right w:val="single" w:color="auto" w:sz="8" w:space="0"/>
            </w:tcBorders>
            <w:vAlign w:val="center"/>
          </w:tcPr>
          <w:p>
            <w:pPr>
              <w:autoSpaceDE w:val="0"/>
              <w:autoSpaceDN w:val="0"/>
              <w:adjustRightInd w:val="0"/>
              <w:snapToGrid w:val="0"/>
              <w:ind w:firstLine="0" w:firstLineChars="0"/>
              <w:jc w:val="center"/>
              <w:rPr>
                <w:rFonts w:ascii="宋体" w:hAnsi="宋体"/>
                <w:color w:val="auto"/>
                <w:szCs w:val="21"/>
                <w:highlight w:val="none"/>
              </w:rPr>
            </w:pPr>
            <w:r>
              <w:rPr>
                <w:rFonts w:hint="eastAsia" w:ascii="宋体" w:hAnsi="宋体"/>
                <w:color w:val="auto"/>
                <w:szCs w:val="21"/>
                <w:highlight w:val="none"/>
              </w:rPr>
              <w:t>4</w:t>
            </w:r>
          </w:p>
        </w:tc>
        <w:tc>
          <w:tcPr>
            <w:tcW w:w="2228" w:type="dxa"/>
            <w:tcBorders>
              <w:top w:val="nil"/>
              <w:left w:val="nil"/>
              <w:bottom w:val="single" w:color="auto" w:sz="4" w:space="0"/>
              <w:right w:val="single" w:color="auto" w:sz="8" w:space="0"/>
            </w:tcBorders>
            <w:vAlign w:val="center"/>
          </w:tcPr>
          <w:p>
            <w:pPr>
              <w:autoSpaceDE w:val="0"/>
              <w:autoSpaceDN w:val="0"/>
              <w:adjustRightInd w:val="0"/>
              <w:snapToGrid w:val="0"/>
              <w:ind w:firstLine="480"/>
              <w:jc w:val="center"/>
              <w:rPr>
                <w:rFonts w:ascii="宋体" w:hAnsi="宋体"/>
                <w:color w:val="auto"/>
                <w:szCs w:val="21"/>
                <w:highlight w:val="none"/>
              </w:rPr>
            </w:pPr>
            <w:r>
              <w:rPr>
                <w:rFonts w:hint="eastAsia" w:ascii="宋体" w:hAnsi="宋体"/>
                <w:color w:val="auto"/>
                <w:szCs w:val="21"/>
                <w:highlight w:val="none"/>
              </w:rPr>
              <w:t>因</w:t>
            </w:r>
            <w:r>
              <w:rPr>
                <w:rFonts w:hint="eastAsia" w:ascii="宋体" w:hAnsi="宋体"/>
                <w:color w:val="auto"/>
                <w:szCs w:val="21"/>
                <w:highlight w:val="none"/>
                <w:lang w:val="en-US" w:eastAsia="zh-CN"/>
              </w:rPr>
              <w:t>广播终端</w:t>
            </w:r>
            <w:r>
              <w:rPr>
                <w:rFonts w:hint="eastAsia" w:ascii="宋体" w:hAnsi="宋体"/>
                <w:color w:val="auto"/>
                <w:szCs w:val="21"/>
                <w:highlight w:val="none"/>
              </w:rPr>
              <w:t>故障被上级抽查到，考核不达标或造成重特大案事件工作贻误。</w:t>
            </w:r>
          </w:p>
        </w:tc>
        <w:tc>
          <w:tcPr>
            <w:tcW w:w="2457" w:type="dxa"/>
            <w:tcBorders>
              <w:top w:val="nil"/>
              <w:left w:val="nil"/>
              <w:bottom w:val="single" w:color="auto" w:sz="4" w:space="0"/>
              <w:right w:val="single" w:color="auto" w:sz="8" w:space="0"/>
            </w:tcBorders>
            <w:vAlign w:val="center"/>
          </w:tcPr>
          <w:p>
            <w:pPr>
              <w:autoSpaceDE w:val="0"/>
              <w:autoSpaceDN w:val="0"/>
              <w:adjustRightInd w:val="0"/>
              <w:snapToGrid w:val="0"/>
              <w:ind w:firstLine="480"/>
              <w:jc w:val="center"/>
              <w:rPr>
                <w:rFonts w:ascii="宋体" w:hAnsi="宋体"/>
                <w:color w:val="auto"/>
                <w:szCs w:val="21"/>
                <w:highlight w:val="none"/>
              </w:rPr>
            </w:pPr>
            <w:r>
              <w:rPr>
                <w:rFonts w:hint="eastAsia" w:ascii="宋体" w:hAnsi="宋体"/>
                <w:color w:val="auto"/>
                <w:szCs w:val="21"/>
                <w:highlight w:val="none"/>
              </w:rPr>
              <w:t>按</w:t>
            </w:r>
            <w:r>
              <w:rPr>
                <w:rFonts w:ascii="宋体" w:hAnsi="宋体"/>
                <w:color w:val="auto"/>
                <w:szCs w:val="21"/>
                <w:highlight w:val="none"/>
              </w:rPr>
              <w:t>其他配套费用</w:t>
            </w:r>
            <w:r>
              <w:rPr>
                <w:rFonts w:hint="eastAsia" w:ascii="宋体" w:hAnsi="宋体"/>
                <w:color w:val="auto"/>
                <w:szCs w:val="21"/>
                <w:highlight w:val="none"/>
              </w:rPr>
              <w:t>月项目款50%支付</w:t>
            </w:r>
          </w:p>
        </w:tc>
        <w:tc>
          <w:tcPr>
            <w:tcW w:w="1133" w:type="dxa"/>
            <w:tcBorders>
              <w:top w:val="nil"/>
              <w:left w:val="nil"/>
              <w:bottom w:val="single" w:color="auto" w:sz="4" w:space="0"/>
              <w:right w:val="single" w:color="auto" w:sz="8" w:space="0"/>
            </w:tcBorders>
            <w:vAlign w:val="center"/>
          </w:tcPr>
          <w:p>
            <w:pPr>
              <w:autoSpaceDE w:val="0"/>
              <w:autoSpaceDN w:val="0"/>
              <w:adjustRightInd w:val="0"/>
              <w:snapToGrid w:val="0"/>
              <w:ind w:firstLine="0" w:firstLineChars="0"/>
              <w:jc w:val="center"/>
              <w:rPr>
                <w:rFonts w:ascii="宋体" w:hAnsi="宋体"/>
                <w:color w:val="auto"/>
                <w:szCs w:val="21"/>
                <w:highlight w:val="none"/>
              </w:rPr>
            </w:pPr>
            <w:r>
              <w:rPr>
                <w:rFonts w:hint="eastAsia" w:ascii="宋体" w:hAnsi="宋体"/>
                <w:color w:val="auto"/>
                <w:szCs w:val="21"/>
                <w:highlight w:val="none"/>
              </w:rPr>
              <w:t>随机</w:t>
            </w:r>
          </w:p>
        </w:tc>
        <w:tc>
          <w:tcPr>
            <w:tcW w:w="1894" w:type="dxa"/>
            <w:tcBorders>
              <w:top w:val="nil"/>
              <w:left w:val="nil"/>
              <w:bottom w:val="single" w:color="auto" w:sz="4" w:space="0"/>
              <w:right w:val="single" w:color="auto" w:sz="8" w:space="0"/>
            </w:tcBorders>
            <w:vAlign w:val="center"/>
          </w:tcPr>
          <w:p>
            <w:pPr>
              <w:autoSpaceDE w:val="0"/>
              <w:autoSpaceDN w:val="0"/>
              <w:adjustRightInd w:val="0"/>
              <w:snapToGrid w:val="0"/>
              <w:ind w:firstLine="480"/>
              <w:jc w:val="center"/>
              <w:rPr>
                <w:rFonts w:ascii="宋体" w:hAnsi="宋体"/>
                <w:color w:val="auto"/>
                <w:szCs w:val="21"/>
                <w:highlight w:val="none"/>
              </w:rPr>
            </w:pP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82"/>
        <w:rPr>
          <w:color w:val="auto"/>
          <w:highlight w:val="none"/>
        </w:rPr>
      </w:pPr>
      <w:r>
        <w:rPr>
          <w:rFonts w:ascii="宋体" w:hAnsi="宋体" w:cs="Arial"/>
          <w:b/>
          <w:color w:val="auto"/>
          <w:kern w:val="0"/>
          <w:szCs w:val="21"/>
          <w:highlight w:val="none"/>
        </w:rPr>
        <w:t>备注</w:t>
      </w:r>
      <w:r>
        <w:rPr>
          <w:rFonts w:hint="eastAsia" w:ascii="宋体" w:hAnsi="宋体" w:cs="Arial"/>
          <w:b/>
          <w:color w:val="auto"/>
          <w:kern w:val="0"/>
          <w:szCs w:val="21"/>
          <w:highlight w:val="none"/>
        </w:rPr>
        <w:t>：</w:t>
      </w:r>
      <w:r>
        <w:rPr>
          <w:rFonts w:hint="eastAsia"/>
          <w:color w:val="auto"/>
          <w:highlight w:val="none"/>
        </w:rPr>
        <w:t>序号1、2、3总体指标数据来源：每月数据由系统获取3至5次，取平均值。</w:t>
      </w:r>
    </w:p>
    <w:p>
      <w:pPr>
        <w:pStyle w:val="7"/>
        <w:ind w:left="243" w:hanging="3"/>
        <w:rPr>
          <w:color w:val="auto"/>
          <w:highlight w:val="none"/>
        </w:rPr>
      </w:pPr>
      <w:r>
        <w:rPr>
          <w:rFonts w:hint="eastAsia"/>
          <w:color w:val="auto"/>
          <w:highlight w:val="none"/>
        </w:rPr>
        <w:t>在总体服务指标基础上，对具体的日常工作再附加进行考核和奖惩。具体如下</w:t>
      </w:r>
    </w:p>
    <w:p>
      <w:pPr>
        <w:pStyle w:val="25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firstLine="480"/>
        <w:rPr>
          <w:rFonts w:ascii="宋体" w:hAnsi="宋体" w:cs="Arial"/>
          <w:color w:val="auto"/>
          <w:kern w:val="0"/>
          <w:szCs w:val="21"/>
          <w:highlight w:val="none"/>
        </w:rPr>
      </w:pPr>
      <w:r>
        <w:rPr>
          <w:rFonts w:hint="eastAsia" w:ascii="宋体" w:hAnsi="宋体" w:cs="Arial"/>
          <w:color w:val="auto"/>
          <w:kern w:val="0"/>
          <w:szCs w:val="21"/>
          <w:highlight w:val="none"/>
        </w:rPr>
        <w:t>1、每月每个点位平台巡检不少于10次，其中每周不少于2 次，每周出具巡检报告,每少一次巡检报告扣200元。</w:t>
      </w:r>
    </w:p>
    <w:p>
      <w:pPr>
        <w:pStyle w:val="25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firstLine="480"/>
        <w:rPr>
          <w:rFonts w:ascii="宋体" w:hAnsi="宋体" w:cs="Arial"/>
          <w:color w:val="auto"/>
          <w:kern w:val="0"/>
          <w:szCs w:val="21"/>
          <w:highlight w:val="none"/>
        </w:rPr>
      </w:pPr>
      <w:r>
        <w:rPr>
          <w:rFonts w:hint="eastAsia" w:ascii="宋体" w:hAnsi="宋体" w:cs="Arial"/>
          <w:color w:val="auto"/>
          <w:kern w:val="0"/>
          <w:szCs w:val="21"/>
          <w:highlight w:val="none"/>
        </w:rPr>
        <w:t>2、对设备每季度进行全面检修和维护，每少一次扣2000元。</w:t>
      </w:r>
    </w:p>
    <w:p>
      <w:pPr>
        <w:pStyle w:val="25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firstLine="480"/>
        <w:rPr>
          <w:rFonts w:ascii="宋体" w:hAnsi="宋体" w:cs="Arial"/>
          <w:color w:val="auto"/>
          <w:kern w:val="0"/>
          <w:szCs w:val="21"/>
          <w:highlight w:val="none"/>
        </w:rPr>
      </w:pPr>
      <w:r>
        <w:rPr>
          <w:rFonts w:hint="eastAsia" w:ascii="宋体" w:hAnsi="宋体" w:cs="Arial"/>
          <w:color w:val="auto"/>
          <w:kern w:val="0"/>
          <w:szCs w:val="21"/>
          <w:highlight w:val="none"/>
        </w:rPr>
        <w:t>3、检查发现机箱损坏（不可抗拒因素除外）、不能锁住或者机箱内设备杂乱不清洁的，每个每月扣200元。</w:t>
      </w:r>
    </w:p>
    <w:p>
      <w:pPr>
        <w:pStyle w:val="25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firstLine="480"/>
        <w:rPr>
          <w:rFonts w:ascii="宋体" w:hAnsi="宋体" w:cs="Arial"/>
          <w:color w:val="auto"/>
          <w:kern w:val="0"/>
          <w:szCs w:val="21"/>
          <w:highlight w:val="none"/>
        </w:rPr>
      </w:pPr>
      <w:r>
        <w:rPr>
          <w:rFonts w:hint="eastAsia" w:ascii="宋体" w:hAnsi="宋体" w:cs="Arial"/>
          <w:color w:val="auto"/>
          <w:kern w:val="0"/>
          <w:szCs w:val="21"/>
          <w:highlight w:val="none"/>
        </w:rPr>
        <w:t>4、维护单位在接到故障报修后，须在城区半小时，其他乡镇2小时内做出响应，并修复故障点位，一般故障8小时，其他故障24小时。未达到一次扣200元。</w:t>
      </w:r>
    </w:p>
    <w:p>
      <w:pPr>
        <w:pStyle w:val="25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firstLine="480"/>
        <w:rPr>
          <w:rFonts w:ascii="宋体" w:hAnsi="宋体" w:cs="Arial"/>
          <w:color w:val="auto"/>
          <w:kern w:val="0"/>
          <w:szCs w:val="21"/>
          <w:highlight w:val="none"/>
        </w:rPr>
      </w:pPr>
      <w:r>
        <w:rPr>
          <w:rFonts w:hint="eastAsia" w:ascii="宋体" w:hAnsi="宋体" w:cs="Arial"/>
          <w:color w:val="auto"/>
          <w:kern w:val="0"/>
          <w:szCs w:val="21"/>
          <w:highlight w:val="none"/>
        </w:rPr>
        <w:t>5、维护单位在作业过程中，造成设备损坏、系统故障的，维护单位必须及时修复，产生的费用由维护单位承担。</w:t>
      </w:r>
    </w:p>
    <w:p>
      <w:pPr>
        <w:pStyle w:val="25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firstLine="480"/>
        <w:rPr>
          <w:rFonts w:ascii="宋体" w:hAnsi="宋体" w:cs="Arial"/>
          <w:color w:val="auto"/>
          <w:kern w:val="0"/>
          <w:szCs w:val="21"/>
          <w:highlight w:val="none"/>
        </w:rPr>
      </w:pPr>
      <w:r>
        <w:rPr>
          <w:rFonts w:hint="eastAsia" w:ascii="宋体" w:hAnsi="宋体" w:cs="Arial"/>
          <w:color w:val="auto"/>
          <w:kern w:val="0"/>
          <w:szCs w:val="21"/>
          <w:highlight w:val="none"/>
        </w:rPr>
        <w:t>6、每个季度进行现场巡检一次，包括设备的除尘、清理，扫净应急广播终端显露的尘土，确保机器正常运行。建立相应的巡检台账，若发现未操作，视情节轻重扣除，最多不超过3000元。</w:t>
      </w:r>
    </w:p>
    <w:p>
      <w:pPr>
        <w:pStyle w:val="25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firstLine="480"/>
        <w:rPr>
          <w:rFonts w:ascii="宋体" w:hAnsi="宋体" w:cs="Arial"/>
          <w:color w:val="auto"/>
          <w:kern w:val="0"/>
          <w:szCs w:val="21"/>
          <w:highlight w:val="none"/>
        </w:rPr>
      </w:pPr>
      <w:r>
        <w:rPr>
          <w:rFonts w:hint="eastAsia" w:ascii="宋体" w:hAnsi="宋体" w:cs="Arial"/>
          <w:color w:val="auto"/>
          <w:kern w:val="0"/>
          <w:szCs w:val="21"/>
          <w:highlight w:val="none"/>
        </w:rPr>
        <w:t>7、考核人有权会同有关部门决定考核次数，原则上每个月考核一次，考核记录统一存档，便于维护款同步列入维护单位履行合同记录和售后服务能力的评定。</w:t>
      </w:r>
    </w:p>
    <w:p>
      <w:pPr>
        <w:pStyle w:val="25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firstLine="480"/>
        <w:rPr>
          <w:rFonts w:ascii="宋体" w:hAnsi="宋体" w:cs="Arial"/>
          <w:color w:val="auto"/>
          <w:kern w:val="0"/>
          <w:szCs w:val="21"/>
          <w:highlight w:val="none"/>
        </w:rPr>
      </w:pPr>
      <w:r>
        <w:rPr>
          <w:rFonts w:hint="eastAsia" w:ascii="宋体" w:hAnsi="宋体" w:cs="Arial"/>
          <w:color w:val="auto"/>
          <w:kern w:val="0"/>
          <w:szCs w:val="21"/>
          <w:highlight w:val="none"/>
        </w:rPr>
        <w:t>8、运维过程中，经双方确认的由其它客观因素（如第三方施工、挖路、停电等）造成的故障，不在该管理办法考核范围内。</w:t>
      </w:r>
    </w:p>
    <w:p>
      <w:pPr>
        <w:ind w:firstLine="480"/>
        <w:rPr>
          <w:rFonts w:ascii="宋体" w:hAnsi="宋体" w:cs="Arial"/>
          <w:color w:val="auto"/>
          <w:kern w:val="0"/>
          <w:szCs w:val="21"/>
          <w:highlight w:val="none"/>
        </w:rPr>
      </w:pPr>
      <w:r>
        <w:rPr>
          <w:rFonts w:hint="eastAsia" w:ascii="宋体" w:hAnsi="宋体" w:cs="Arial"/>
          <w:color w:val="auto"/>
          <w:kern w:val="0"/>
          <w:szCs w:val="21"/>
          <w:highlight w:val="none"/>
        </w:rPr>
        <w:br w:type="page"/>
      </w:r>
    </w:p>
    <w:p>
      <w:pPr>
        <w:pStyle w:val="25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firstLine="480"/>
        <w:rPr>
          <w:rFonts w:ascii="宋体" w:hAnsi="宋体" w:cs="Arial"/>
          <w:color w:val="auto"/>
          <w:kern w:val="0"/>
          <w:szCs w:val="21"/>
          <w:highlight w:val="none"/>
        </w:rPr>
      </w:pPr>
    </w:p>
    <w:p>
      <w:pPr>
        <w:pStyle w:val="5"/>
        <w:numPr>
          <w:ilvl w:val="0"/>
          <w:numId w:val="0"/>
        </w:numPr>
        <w:rPr>
          <w:rStyle w:val="52"/>
          <w:rFonts w:hAnsi="宋体"/>
          <w:i w:val="0"/>
          <w:color w:val="auto"/>
          <w:szCs w:val="28"/>
          <w:highlight w:val="none"/>
        </w:rPr>
      </w:pPr>
      <w:r>
        <w:rPr>
          <w:rStyle w:val="52"/>
          <w:rFonts w:hint="eastAsia" w:hAnsi="宋体"/>
          <w:i w:val="0"/>
          <w:color w:val="auto"/>
          <w:szCs w:val="28"/>
          <w:highlight w:val="none"/>
        </w:rPr>
        <w:t>商务要求</w:t>
      </w:r>
    </w:p>
    <w:p>
      <w:pPr>
        <w:pStyle w:val="6"/>
        <w:ind w:left="643" w:hanging="643" w:hangingChars="268"/>
        <w:rPr>
          <w:color w:val="auto"/>
          <w:highlight w:val="none"/>
        </w:rPr>
      </w:pPr>
      <w:r>
        <w:rPr>
          <w:rFonts w:hint="eastAsia"/>
          <w:color w:val="auto"/>
          <w:highlight w:val="none"/>
        </w:rPr>
        <w:t>项目概述</w:t>
      </w:r>
    </w:p>
    <w:p>
      <w:pPr>
        <w:ind w:firstLine="240" w:firstLineChars="100"/>
        <w:rPr>
          <w:color w:val="auto"/>
          <w:highlight w:val="none"/>
        </w:rPr>
      </w:pPr>
      <w:r>
        <w:rPr>
          <w:rFonts w:hint="eastAsia" w:ascii="仿宋" w:hAnsi="仿宋" w:cs="仿宋"/>
          <w:color w:val="auto"/>
          <w:highlight w:val="none"/>
        </w:rPr>
        <w:t>项目名称：东阳市应急广播维保提升改造项目</w:t>
      </w:r>
    </w:p>
    <w:p>
      <w:pPr>
        <w:ind w:firstLine="240" w:firstLineChars="100"/>
        <w:rPr>
          <w:color w:val="auto"/>
          <w:highlight w:val="none"/>
        </w:rPr>
      </w:pPr>
      <w:bookmarkStart w:id="7" w:name="_Toc12174"/>
      <w:bookmarkStart w:id="8" w:name="_Toc30101"/>
      <w:r>
        <w:rPr>
          <w:rFonts w:hint="eastAsia"/>
          <w:color w:val="auto"/>
          <w:highlight w:val="none"/>
        </w:rPr>
        <w:t>方案编制依据</w:t>
      </w:r>
      <w:bookmarkEnd w:id="7"/>
      <w:bookmarkEnd w:id="8"/>
      <w:r>
        <w:rPr>
          <w:rFonts w:hint="eastAsia"/>
          <w:color w:val="auto"/>
          <w:highlight w:val="none"/>
        </w:rPr>
        <w:t>：主要依据的法律、法规、规章、规范性文件、相关规划与计划以及技术标准和规范，如下所示：</w:t>
      </w:r>
    </w:p>
    <w:p>
      <w:pPr>
        <w:pStyle w:val="7"/>
        <w:spacing w:line="415" w:lineRule="auto"/>
        <w:ind w:left="960"/>
        <w:rPr>
          <w:color w:val="auto"/>
          <w:highlight w:val="none"/>
          <w:u w:val="none"/>
        </w:rPr>
      </w:pPr>
      <w:bookmarkStart w:id="9" w:name="_Toc19221"/>
      <w:bookmarkStart w:id="10" w:name="_Toc22466"/>
      <w:r>
        <w:rPr>
          <w:rFonts w:hint="eastAsia"/>
          <w:color w:val="auto"/>
          <w:highlight w:val="none"/>
          <w:u w:val="none"/>
        </w:rPr>
        <w:t>政策法规</w:t>
      </w:r>
      <w:bookmarkEnd w:id="9"/>
      <w:bookmarkEnd w:id="10"/>
    </w:p>
    <w:p>
      <w:pPr>
        <w:ind w:firstLine="480"/>
        <w:rPr>
          <w:color w:val="auto"/>
          <w:highlight w:val="none"/>
        </w:rPr>
      </w:pPr>
      <w:r>
        <w:rPr>
          <w:rFonts w:hint="eastAsia"/>
          <w:color w:val="auto"/>
          <w:highlight w:val="none"/>
        </w:rPr>
        <w:t>《浙江省数字化改革总体方案》</w:t>
      </w:r>
    </w:p>
    <w:p>
      <w:pPr>
        <w:ind w:firstLine="480"/>
        <w:rPr>
          <w:color w:val="auto"/>
          <w:highlight w:val="none"/>
        </w:rPr>
      </w:pPr>
      <w:r>
        <w:rPr>
          <w:rFonts w:hint="eastAsia"/>
          <w:color w:val="auto"/>
          <w:highlight w:val="none"/>
        </w:rPr>
        <w:t>《中华人民共和国国民经济和社会发展第十四个五年规划纲要》</w:t>
      </w:r>
    </w:p>
    <w:p>
      <w:pPr>
        <w:ind w:firstLine="480"/>
        <w:rPr>
          <w:color w:val="auto"/>
          <w:highlight w:val="none"/>
        </w:rPr>
      </w:pPr>
      <w:r>
        <w:rPr>
          <w:rFonts w:hint="eastAsia"/>
          <w:color w:val="auto"/>
          <w:highlight w:val="none"/>
        </w:rPr>
        <w:t>《中华人民共和国突发事件应对法》</w:t>
      </w:r>
    </w:p>
    <w:p>
      <w:pPr>
        <w:ind w:firstLine="480"/>
        <w:rPr>
          <w:color w:val="auto"/>
          <w:highlight w:val="none"/>
        </w:rPr>
      </w:pPr>
      <w:r>
        <w:rPr>
          <w:rFonts w:hint="eastAsia"/>
          <w:color w:val="auto"/>
          <w:highlight w:val="none"/>
        </w:rPr>
        <w:t>《国家突发公共事件总体应急预案》</w:t>
      </w:r>
    </w:p>
    <w:p>
      <w:pPr>
        <w:ind w:firstLine="480"/>
        <w:rPr>
          <w:color w:val="auto"/>
          <w:highlight w:val="none"/>
        </w:rPr>
      </w:pPr>
      <w:r>
        <w:rPr>
          <w:rFonts w:hint="eastAsia"/>
          <w:color w:val="auto"/>
          <w:highlight w:val="none"/>
        </w:rPr>
        <w:t>《中华人民共和国国民经济和社会发展第十三个五年规划纲要》</w:t>
      </w:r>
    </w:p>
    <w:p>
      <w:pPr>
        <w:ind w:firstLine="480"/>
        <w:rPr>
          <w:color w:val="auto"/>
          <w:highlight w:val="none"/>
        </w:rPr>
      </w:pPr>
      <w:r>
        <w:rPr>
          <w:rFonts w:hint="eastAsia"/>
          <w:color w:val="auto"/>
          <w:highlight w:val="none"/>
        </w:rPr>
        <w:t>《国家基本公共服务指导标准（</w:t>
      </w:r>
      <w:r>
        <w:rPr>
          <w:color w:val="auto"/>
          <w:highlight w:val="none"/>
        </w:rPr>
        <w:t>2015-2020年）》</w:t>
      </w:r>
    </w:p>
    <w:p>
      <w:pPr>
        <w:ind w:firstLine="480"/>
        <w:rPr>
          <w:color w:val="auto"/>
          <w:highlight w:val="none"/>
        </w:rPr>
      </w:pPr>
      <w:r>
        <w:rPr>
          <w:rFonts w:hint="eastAsia"/>
          <w:color w:val="auto"/>
          <w:highlight w:val="none"/>
        </w:rPr>
        <w:t>《国务院办公厅关于加快推进广播电视村村通向户户通升级工作的通知》（国办发〔</w:t>
      </w:r>
      <w:r>
        <w:rPr>
          <w:color w:val="auto"/>
          <w:highlight w:val="none"/>
        </w:rPr>
        <w:t>2016〕20号）</w:t>
      </w:r>
    </w:p>
    <w:p>
      <w:pPr>
        <w:ind w:firstLine="480"/>
        <w:rPr>
          <w:color w:val="auto"/>
          <w:highlight w:val="none"/>
        </w:rPr>
      </w:pPr>
      <w:r>
        <w:rPr>
          <w:rFonts w:hint="eastAsia"/>
          <w:color w:val="auto"/>
          <w:highlight w:val="none"/>
        </w:rPr>
        <w:t>《国家突发事件应急体系建设“十三五”规划》</w:t>
      </w:r>
    </w:p>
    <w:p>
      <w:pPr>
        <w:ind w:firstLine="480"/>
        <w:rPr>
          <w:color w:val="auto"/>
          <w:highlight w:val="none"/>
        </w:rPr>
      </w:pPr>
      <w:r>
        <w:rPr>
          <w:rFonts w:hint="eastAsia"/>
          <w:color w:val="auto"/>
          <w:highlight w:val="none"/>
        </w:rPr>
        <w:t>《国家应急广播系统相关标准规范》</w:t>
      </w:r>
    </w:p>
    <w:p>
      <w:pPr>
        <w:ind w:firstLine="480"/>
        <w:rPr>
          <w:color w:val="auto"/>
          <w:highlight w:val="none"/>
        </w:rPr>
      </w:pPr>
      <w:r>
        <w:rPr>
          <w:rFonts w:hint="eastAsia"/>
          <w:color w:val="auto"/>
          <w:highlight w:val="none"/>
        </w:rPr>
        <w:t>《中国广播电台数字化网络化建设白皮书》</w:t>
      </w:r>
    </w:p>
    <w:p>
      <w:pPr>
        <w:ind w:firstLine="480"/>
        <w:rPr>
          <w:color w:val="auto"/>
          <w:highlight w:val="none"/>
        </w:rPr>
      </w:pPr>
      <w:r>
        <w:rPr>
          <w:rFonts w:hint="eastAsia"/>
          <w:color w:val="auto"/>
          <w:highlight w:val="none"/>
        </w:rPr>
        <w:t>《国家新闻出版广电总局《关于印发</w:t>
      </w:r>
      <w:r>
        <w:rPr>
          <w:color w:val="auto"/>
          <w:highlight w:val="none"/>
        </w:rPr>
        <w:t>&lt;全国应急广播体系建设总体规划&gt;的通知》（新广电发〔2017〕236号）</w:t>
      </w:r>
    </w:p>
    <w:p>
      <w:pPr>
        <w:ind w:firstLine="480"/>
        <w:rPr>
          <w:color w:val="auto"/>
          <w:highlight w:val="none"/>
        </w:rPr>
      </w:pPr>
      <w:r>
        <w:rPr>
          <w:rFonts w:hint="eastAsia"/>
          <w:color w:val="auto"/>
          <w:highlight w:val="none"/>
        </w:rPr>
        <w:t>《浙江省应急管理厅浙江省广播电视局关于进一步推进全</w:t>
      </w:r>
      <w:r>
        <w:rPr>
          <w:color w:val="auto"/>
          <w:highlight w:val="none"/>
        </w:rPr>
        <w:t>省</w:t>
      </w:r>
      <w:r>
        <w:rPr>
          <w:rFonts w:hint="eastAsia"/>
          <w:color w:val="auto"/>
          <w:highlight w:val="none"/>
        </w:rPr>
        <w:t>农村应</w:t>
      </w:r>
      <w:r>
        <w:rPr>
          <w:color w:val="auto"/>
          <w:highlight w:val="none"/>
        </w:rPr>
        <w:t>急广播体系建</w:t>
      </w:r>
      <w:r>
        <w:rPr>
          <w:rFonts w:hint="eastAsia"/>
          <w:color w:val="auto"/>
          <w:highlight w:val="none"/>
        </w:rPr>
        <w:t>设的通知</w:t>
      </w:r>
      <w:r>
        <w:rPr>
          <w:color w:val="auto"/>
          <w:highlight w:val="none"/>
        </w:rPr>
        <w:t>》</w:t>
      </w:r>
      <w:r>
        <w:rPr>
          <w:rFonts w:hint="eastAsia"/>
          <w:color w:val="auto"/>
          <w:highlight w:val="none"/>
        </w:rPr>
        <w:t>（浙应急指挥</w:t>
      </w:r>
      <w:r>
        <w:rPr>
          <w:color w:val="auto"/>
          <w:highlight w:val="none"/>
        </w:rPr>
        <w:t>〔2021〕18号</w:t>
      </w:r>
      <w:r>
        <w:rPr>
          <w:rFonts w:hint="eastAsia"/>
          <w:color w:val="auto"/>
          <w:highlight w:val="none"/>
        </w:rPr>
        <w:t>）</w:t>
      </w:r>
    </w:p>
    <w:p>
      <w:pPr>
        <w:ind w:firstLine="480"/>
        <w:rPr>
          <w:color w:val="auto"/>
          <w:highlight w:val="none"/>
        </w:rPr>
      </w:pPr>
      <w:r>
        <w:rPr>
          <w:color w:val="auto"/>
          <w:highlight w:val="none"/>
        </w:rPr>
        <w:t>《国家广播电视总局 国家乡村振兴局 公安部 财政部应急管理部 关于加快推动农村应急广播主动发布终端建设的通知》（广电发〔2022〕60号）</w:t>
      </w:r>
    </w:p>
    <w:p>
      <w:pPr>
        <w:ind w:firstLine="480"/>
        <w:rPr>
          <w:color w:val="auto"/>
          <w:highlight w:val="none"/>
        </w:rPr>
      </w:pPr>
      <w:bookmarkStart w:id="11" w:name="_Toc7106"/>
      <w:bookmarkStart w:id="12" w:name="_Toc17932"/>
      <w:r>
        <w:rPr>
          <w:rFonts w:hint="eastAsia"/>
          <w:color w:val="auto"/>
          <w:highlight w:val="none"/>
        </w:rPr>
        <w:t>浙江省人民政府办公厅《关于深化全省应急广播体系建设通知》（浙政办发〔2022〕76号）</w:t>
      </w:r>
    </w:p>
    <w:p>
      <w:pPr>
        <w:ind w:firstLine="480"/>
        <w:rPr>
          <w:color w:val="auto"/>
          <w:highlight w:val="none"/>
        </w:rPr>
      </w:pPr>
      <w:r>
        <w:rPr>
          <w:rFonts w:hint="eastAsia"/>
          <w:color w:val="auto"/>
          <w:highlight w:val="none"/>
        </w:rPr>
        <w:t>浙江省广播电视局关于征求《关于深化全省应急广播体系建设的通知（代拟稿）》意见的通知</w:t>
      </w:r>
    </w:p>
    <w:p>
      <w:pPr>
        <w:pStyle w:val="7"/>
        <w:ind w:left="979" w:leftChars="400" w:hanging="19" w:hangingChars="8"/>
        <w:rPr>
          <w:color w:val="auto"/>
          <w:highlight w:val="none"/>
          <w:u w:val="none"/>
        </w:rPr>
      </w:pPr>
      <w:r>
        <w:rPr>
          <w:rFonts w:hint="eastAsia"/>
          <w:color w:val="auto"/>
          <w:highlight w:val="none"/>
          <w:u w:val="none"/>
        </w:rPr>
        <w:t>技术规范</w:t>
      </w:r>
      <w:bookmarkEnd w:id="11"/>
      <w:bookmarkEnd w:id="12"/>
    </w:p>
    <w:p>
      <w:pPr>
        <w:ind w:firstLine="480"/>
        <w:rPr>
          <w:color w:val="auto"/>
          <w:highlight w:val="none"/>
        </w:rPr>
      </w:pPr>
      <w:r>
        <w:rPr>
          <w:color w:val="auto"/>
          <w:highlight w:val="none"/>
        </w:rPr>
        <w:t>GB／T15770—1995《广播数据系统(RDS)技术规范》</w:t>
      </w:r>
    </w:p>
    <w:p>
      <w:pPr>
        <w:ind w:firstLine="480"/>
        <w:rPr>
          <w:color w:val="auto"/>
          <w:highlight w:val="none"/>
        </w:rPr>
      </w:pPr>
      <w:r>
        <w:rPr>
          <w:color w:val="auto"/>
          <w:highlight w:val="none"/>
        </w:rPr>
        <w:t>GB／T4311—2000《米波调频广播技术规范》</w:t>
      </w:r>
    </w:p>
    <w:p>
      <w:pPr>
        <w:ind w:firstLine="480"/>
        <w:rPr>
          <w:color w:val="auto"/>
          <w:highlight w:val="none"/>
        </w:rPr>
      </w:pPr>
      <w:r>
        <w:rPr>
          <w:color w:val="auto"/>
          <w:highlight w:val="none"/>
        </w:rPr>
        <w:t>GY/T198-2003《有线数字电视广播QAM调制器技术要求和测量方法》</w:t>
      </w:r>
    </w:p>
    <w:p>
      <w:pPr>
        <w:ind w:firstLine="480"/>
        <w:rPr>
          <w:color w:val="auto"/>
          <w:highlight w:val="none"/>
        </w:rPr>
      </w:pPr>
      <w:r>
        <w:rPr>
          <w:color w:val="auto"/>
          <w:highlight w:val="none"/>
        </w:rPr>
        <w:t>GY/T170-2001《有线数字电视广播信道编码与调制规范》</w:t>
      </w:r>
    </w:p>
    <w:p>
      <w:pPr>
        <w:ind w:firstLine="480"/>
        <w:rPr>
          <w:color w:val="auto"/>
          <w:highlight w:val="none"/>
        </w:rPr>
      </w:pPr>
      <w:r>
        <w:rPr>
          <w:color w:val="auto"/>
          <w:highlight w:val="none"/>
        </w:rPr>
        <w:t>GY/Z174-2001《数字电视广播业务信息规范》</w:t>
      </w:r>
    </w:p>
    <w:p>
      <w:pPr>
        <w:ind w:firstLine="480"/>
        <w:rPr>
          <w:color w:val="auto"/>
          <w:highlight w:val="none"/>
        </w:rPr>
      </w:pPr>
      <w:r>
        <w:rPr>
          <w:color w:val="auto"/>
          <w:highlight w:val="none"/>
        </w:rPr>
        <w:t>GY/Z175-2001《数字电视广播条件接收系统规范》</w:t>
      </w:r>
    </w:p>
    <w:p>
      <w:pPr>
        <w:ind w:firstLine="480"/>
        <w:rPr>
          <w:color w:val="auto"/>
          <w:highlight w:val="none"/>
        </w:rPr>
      </w:pPr>
      <w:r>
        <w:rPr>
          <w:color w:val="auto"/>
          <w:highlight w:val="none"/>
        </w:rPr>
        <w:t>GY/T106-1999《有线电视广播系统技术规范》</w:t>
      </w:r>
    </w:p>
    <w:p>
      <w:pPr>
        <w:ind w:firstLine="480"/>
        <w:rPr>
          <w:color w:val="auto"/>
          <w:highlight w:val="none"/>
        </w:rPr>
      </w:pPr>
      <w:r>
        <w:rPr>
          <w:color w:val="auto"/>
          <w:highlight w:val="none"/>
        </w:rPr>
        <w:t>GDJ 079-2018《应急广播系统规范》</w:t>
      </w:r>
    </w:p>
    <w:p>
      <w:pPr>
        <w:ind w:firstLine="480"/>
        <w:rPr>
          <w:color w:val="auto"/>
          <w:highlight w:val="none"/>
        </w:rPr>
      </w:pPr>
      <w:r>
        <w:rPr>
          <w:color w:val="auto"/>
          <w:highlight w:val="none"/>
        </w:rPr>
        <w:t>GDJ 080-2018《应急广播资源分类及编码规范》</w:t>
      </w:r>
    </w:p>
    <w:p>
      <w:pPr>
        <w:ind w:firstLine="480"/>
        <w:rPr>
          <w:color w:val="auto"/>
          <w:highlight w:val="none"/>
        </w:rPr>
      </w:pPr>
      <w:r>
        <w:rPr>
          <w:color w:val="auto"/>
          <w:highlight w:val="none"/>
        </w:rPr>
        <w:t>GDJ 081-2018《应急广播安全保护技术规范 数字签名》</w:t>
      </w:r>
    </w:p>
    <w:p>
      <w:pPr>
        <w:ind w:firstLine="480"/>
        <w:rPr>
          <w:color w:val="auto"/>
          <w:highlight w:val="none"/>
        </w:rPr>
      </w:pPr>
      <w:r>
        <w:rPr>
          <w:color w:val="auto"/>
          <w:highlight w:val="none"/>
        </w:rPr>
        <w:t>GDJ 082-2018《应急广播消息格式规范》</w:t>
      </w:r>
    </w:p>
    <w:p>
      <w:pPr>
        <w:ind w:firstLine="480"/>
        <w:rPr>
          <w:color w:val="auto"/>
          <w:highlight w:val="none"/>
        </w:rPr>
      </w:pPr>
      <w:r>
        <w:rPr>
          <w:color w:val="auto"/>
          <w:highlight w:val="none"/>
        </w:rPr>
        <w:t>GDJ 083-2018《应急广播平台接口规范》</w:t>
      </w:r>
    </w:p>
    <w:p>
      <w:pPr>
        <w:ind w:firstLine="480"/>
        <w:rPr>
          <w:color w:val="auto"/>
          <w:highlight w:val="none"/>
        </w:rPr>
      </w:pPr>
      <w:r>
        <w:rPr>
          <w:color w:val="auto"/>
          <w:highlight w:val="none"/>
        </w:rPr>
        <w:t>GDJ 084-2018《中波调幅广播应急广播技术规范》</w:t>
      </w:r>
    </w:p>
    <w:p>
      <w:pPr>
        <w:ind w:firstLine="480"/>
        <w:rPr>
          <w:color w:val="auto"/>
          <w:highlight w:val="none"/>
        </w:rPr>
      </w:pPr>
      <w:r>
        <w:rPr>
          <w:color w:val="auto"/>
          <w:highlight w:val="none"/>
        </w:rPr>
        <w:t>GDJ 085-2018《模拟调频应急广播技术规范》</w:t>
      </w:r>
    </w:p>
    <w:p>
      <w:pPr>
        <w:ind w:firstLine="480"/>
        <w:rPr>
          <w:color w:val="auto"/>
          <w:highlight w:val="none"/>
        </w:rPr>
      </w:pPr>
      <w:r>
        <w:rPr>
          <w:color w:val="auto"/>
          <w:highlight w:val="none"/>
        </w:rPr>
        <w:t>GDJ 086-2018《有线数字电视应急广播技术规范》</w:t>
      </w:r>
    </w:p>
    <w:p>
      <w:pPr>
        <w:ind w:firstLine="480"/>
        <w:rPr>
          <w:color w:val="auto"/>
          <w:highlight w:val="none"/>
        </w:rPr>
      </w:pPr>
      <w:r>
        <w:rPr>
          <w:color w:val="auto"/>
          <w:highlight w:val="none"/>
        </w:rPr>
        <w:t>GDJ 087-2018《地面数字电视应急广播技术规范》</w:t>
      </w:r>
    </w:p>
    <w:p>
      <w:pPr>
        <w:ind w:firstLine="480"/>
        <w:rPr>
          <w:color w:val="auto"/>
          <w:highlight w:val="none"/>
        </w:rPr>
      </w:pPr>
      <w:r>
        <w:rPr>
          <w:color w:val="auto"/>
          <w:highlight w:val="none"/>
        </w:rPr>
        <w:t>GDJ 088-2018《</w:t>
      </w:r>
      <w:r>
        <w:rPr>
          <w:rFonts w:hint="eastAsia"/>
          <w:color w:val="auto"/>
          <w:highlight w:val="none"/>
        </w:rPr>
        <w:t>市</w:t>
      </w:r>
      <w:r>
        <w:rPr>
          <w:color w:val="auto"/>
          <w:highlight w:val="none"/>
        </w:rPr>
        <w:t xml:space="preserve">级应急广播系统技术规范》 </w:t>
      </w:r>
    </w:p>
    <w:p>
      <w:pPr>
        <w:ind w:firstLine="480"/>
        <w:rPr>
          <w:color w:val="auto"/>
          <w:highlight w:val="none"/>
        </w:rPr>
      </w:pPr>
      <w:r>
        <w:rPr>
          <w:color w:val="auto"/>
          <w:highlight w:val="none"/>
        </w:rPr>
        <w:t>GDJ 089-2018《应急广播大喇叭系统技术规范》</w:t>
      </w:r>
    </w:p>
    <w:p>
      <w:pPr>
        <w:ind w:firstLine="480"/>
        <w:rPr>
          <w:color w:val="auto"/>
          <w:highlight w:val="none"/>
        </w:rPr>
      </w:pPr>
      <w:r>
        <w:rPr>
          <w:color w:val="auto"/>
          <w:highlight w:val="none"/>
        </w:rPr>
        <w:t>GYT 5093-2020《应急广播平台工程建设技术标准》</w:t>
      </w:r>
    </w:p>
    <w:p>
      <w:pPr>
        <w:ind w:firstLine="480"/>
        <w:rPr>
          <w:color w:val="auto"/>
          <w:highlight w:val="none"/>
        </w:rPr>
      </w:pPr>
      <w:r>
        <w:rPr>
          <w:rFonts w:hint="eastAsia"/>
          <w:color w:val="auto"/>
          <w:highlight w:val="none"/>
        </w:rPr>
        <w:t>《应急广播系统建设技术白皮书（</w:t>
      </w:r>
      <w:r>
        <w:rPr>
          <w:color w:val="auto"/>
          <w:highlight w:val="none"/>
        </w:rPr>
        <w:t>2020版）》</w:t>
      </w:r>
    </w:p>
    <w:p>
      <w:pPr>
        <w:pStyle w:val="6"/>
        <w:rPr>
          <w:color w:val="auto"/>
          <w:highlight w:val="none"/>
        </w:rPr>
      </w:pPr>
      <w:r>
        <w:rPr>
          <w:rFonts w:hint="eastAsia"/>
          <w:color w:val="auto"/>
          <w:highlight w:val="none"/>
        </w:rPr>
        <w:t>项目投标报价要求</w:t>
      </w:r>
    </w:p>
    <w:p>
      <w:pPr>
        <w:snapToGrid w:val="0"/>
        <w:spacing w:line="400" w:lineRule="exact"/>
        <w:ind w:firstLine="480"/>
        <w:rPr>
          <w:rFonts w:ascii="宋体" w:hAnsi="宋体" w:cs="宋体"/>
          <w:color w:val="auto"/>
          <w:highlight w:val="none"/>
        </w:rPr>
      </w:pPr>
      <w:r>
        <w:rPr>
          <w:rFonts w:hint="eastAsia" w:ascii="宋体" w:hAnsi="宋体" w:cs="宋体"/>
          <w:color w:val="auto"/>
          <w:highlight w:val="none"/>
        </w:rPr>
        <w:t>（1）供货单位要包质量、包数量、包运输和包安装调试。</w:t>
      </w:r>
    </w:p>
    <w:p>
      <w:pPr>
        <w:snapToGrid w:val="0"/>
        <w:spacing w:line="400" w:lineRule="exact"/>
        <w:ind w:firstLine="480"/>
        <w:rPr>
          <w:rFonts w:ascii="宋体" w:hAnsi="宋体" w:cs="宋体"/>
          <w:color w:val="auto"/>
          <w:highlight w:val="none"/>
        </w:rPr>
      </w:pPr>
      <w:r>
        <w:rPr>
          <w:rFonts w:hint="eastAsia" w:ascii="宋体" w:hAnsi="宋体" w:cs="宋体"/>
          <w:color w:val="auto"/>
          <w:highlight w:val="none"/>
        </w:rPr>
        <w:t>（2）按招标项目的技术要求，投标人根据项目特点和企业条件确定投标报价，本招标项目要求投标方提供的货物及服务内容，除招标文件有特别规定外，都应包含在本报价范围内，须包括</w:t>
      </w:r>
      <w:r>
        <w:rPr>
          <w:rFonts w:hint="eastAsia" w:ascii="宋体" w:hAnsi="宋体" w:cs="宋体"/>
          <w:b/>
          <w:bCs/>
          <w:color w:val="auto"/>
          <w:highlight w:val="none"/>
        </w:rPr>
        <w:t>货物价款、所必须配备的附件、途中运输费、装卸费、安装调试费、税费、完成本项目的其它费用和政策性文件规定及合同包含的所有风险、责任等各项应有费用。</w:t>
      </w:r>
      <w:r>
        <w:rPr>
          <w:rFonts w:hint="eastAsia" w:ascii="宋体" w:hAnsi="宋体" w:cs="宋体"/>
          <w:color w:val="auto"/>
          <w:highlight w:val="none"/>
        </w:rPr>
        <w:t>如有漏项，视同已包含在其它项目中，合同总价和单价不作调整。</w:t>
      </w:r>
    </w:p>
    <w:p>
      <w:pPr>
        <w:snapToGrid w:val="0"/>
        <w:spacing w:line="400" w:lineRule="exact"/>
        <w:ind w:firstLine="480"/>
        <w:rPr>
          <w:rFonts w:ascii="宋体" w:hAnsi="宋体" w:cs="宋体"/>
          <w:color w:val="auto"/>
          <w:highlight w:val="none"/>
        </w:rPr>
      </w:pPr>
      <w:r>
        <w:rPr>
          <w:rFonts w:hint="eastAsia" w:ascii="宋体" w:hAnsi="宋体" w:cs="宋体"/>
          <w:color w:val="auto"/>
          <w:highlight w:val="none"/>
        </w:rPr>
        <w:t>（3）按国家规定由中标人缴纳的各种税收已包含在投标总价内，由中标人向税务机关缴纳。</w:t>
      </w:r>
    </w:p>
    <w:p>
      <w:pPr>
        <w:snapToGrid w:val="0"/>
        <w:spacing w:line="400" w:lineRule="exact"/>
        <w:ind w:firstLine="480"/>
        <w:rPr>
          <w:rFonts w:ascii="宋体" w:hAnsi="宋体" w:cs="宋体"/>
          <w:b/>
          <w:bCs/>
          <w:color w:val="auto"/>
          <w:highlight w:val="none"/>
        </w:rPr>
      </w:pPr>
      <w:r>
        <w:rPr>
          <w:rFonts w:hint="eastAsia" w:ascii="宋体" w:hAnsi="宋体" w:cs="宋体"/>
          <w:color w:val="auto"/>
          <w:highlight w:val="none"/>
        </w:rPr>
        <w:t>（4）投标人的投标报价不得超过最高限价,否则其投标无效。</w:t>
      </w:r>
    </w:p>
    <w:p>
      <w:pPr>
        <w:spacing w:line="400" w:lineRule="exact"/>
        <w:ind w:firstLine="482"/>
        <w:rPr>
          <w:rFonts w:ascii="宋体" w:hAnsi="宋体" w:cs="宋体"/>
          <w:b/>
          <w:bCs/>
          <w:color w:val="auto"/>
          <w:highlight w:val="none"/>
        </w:rPr>
      </w:pPr>
      <w:r>
        <w:rPr>
          <w:rFonts w:ascii="宋体" w:hAnsi="宋体" w:cs="宋体"/>
          <w:b/>
          <w:bCs/>
          <w:color w:val="auto"/>
          <w:highlight w:val="none"/>
        </w:rPr>
        <w:t>2</w:t>
      </w:r>
      <w:r>
        <w:rPr>
          <w:rFonts w:hint="eastAsia" w:ascii="宋体" w:hAnsi="宋体" w:cs="宋体"/>
          <w:b/>
          <w:bCs/>
          <w:color w:val="auto"/>
          <w:highlight w:val="none"/>
        </w:rPr>
        <w:t>、服务期</w:t>
      </w:r>
    </w:p>
    <w:p>
      <w:pPr>
        <w:snapToGrid w:val="0"/>
        <w:spacing w:line="400" w:lineRule="exact"/>
        <w:ind w:firstLine="482"/>
        <w:rPr>
          <w:rFonts w:ascii="宋体" w:hAnsi="宋体" w:cs="宋体"/>
          <w:color w:val="auto"/>
          <w:highlight w:val="none"/>
        </w:rPr>
      </w:pPr>
      <w:r>
        <w:rPr>
          <w:rFonts w:hint="eastAsia" w:ascii="宋体" w:hAnsi="宋体" w:cs="宋体"/>
          <w:b/>
          <w:bCs/>
          <w:color w:val="auto"/>
          <w:highlight w:val="none"/>
        </w:rPr>
        <w:t>服务期叁年，服务期限为自合同签订并验收合格之日起叁年</w:t>
      </w:r>
      <w:r>
        <w:rPr>
          <w:rFonts w:hint="eastAsia" w:ascii="宋体" w:hAnsi="宋体" w:cs="宋体"/>
          <w:color w:val="auto"/>
          <w:highlight w:val="none"/>
        </w:rPr>
        <w:t>。除非采购人另有要求，服务期内的服务均为免费上门服务。</w:t>
      </w:r>
    </w:p>
    <w:p>
      <w:pPr>
        <w:snapToGrid w:val="0"/>
        <w:spacing w:line="400" w:lineRule="exact"/>
        <w:ind w:firstLine="480"/>
        <w:rPr>
          <w:rFonts w:ascii="宋体" w:hAnsi="宋体" w:cs="宋体"/>
          <w:color w:val="auto"/>
          <w:highlight w:val="none"/>
        </w:rPr>
      </w:pPr>
      <w:r>
        <w:rPr>
          <w:rFonts w:hint="eastAsia" w:ascii="宋体" w:hAnsi="宋体" w:cs="宋体"/>
          <w:color w:val="auto"/>
          <w:highlight w:val="none"/>
        </w:rPr>
        <w:t>服务期内出现货物的质量问题，中标人应该在收到业主维修通知后6小时内安排维修，并应在2日内免费更换或修复。</w:t>
      </w:r>
    </w:p>
    <w:p>
      <w:pPr>
        <w:snapToGrid w:val="0"/>
        <w:spacing w:line="400" w:lineRule="exact"/>
        <w:ind w:firstLine="480"/>
        <w:rPr>
          <w:rFonts w:ascii="宋体" w:hAnsi="宋体" w:cs="宋体"/>
          <w:color w:val="auto"/>
          <w:highlight w:val="none"/>
        </w:rPr>
      </w:pPr>
      <w:r>
        <w:rPr>
          <w:rFonts w:hint="eastAsia" w:ascii="宋体" w:hAnsi="宋体" w:cs="宋体"/>
          <w:color w:val="auto"/>
          <w:highlight w:val="none"/>
        </w:rPr>
        <w:t>服务期内，与维修相关的所有费用由中标人负责。</w:t>
      </w:r>
    </w:p>
    <w:p>
      <w:pPr>
        <w:ind w:firstLine="482"/>
        <w:rPr>
          <w:rFonts w:ascii="宋体" w:hAnsi="宋体"/>
          <w:b/>
          <w:bCs/>
          <w:color w:val="auto"/>
          <w:highlight w:val="none"/>
        </w:rPr>
      </w:pPr>
      <w:r>
        <w:rPr>
          <w:rFonts w:ascii="宋体" w:hAnsi="宋体"/>
          <w:b/>
          <w:bCs/>
          <w:color w:val="auto"/>
          <w:highlight w:val="none"/>
        </w:rPr>
        <w:t>3</w:t>
      </w:r>
      <w:r>
        <w:rPr>
          <w:rFonts w:hint="eastAsia" w:ascii="宋体" w:hAnsi="宋体"/>
          <w:b/>
          <w:bCs/>
          <w:color w:val="auto"/>
          <w:highlight w:val="none"/>
        </w:rPr>
        <w:t>、技术培训</w:t>
      </w:r>
    </w:p>
    <w:p>
      <w:pPr>
        <w:ind w:firstLine="480"/>
        <w:rPr>
          <w:rFonts w:ascii="宋体" w:hAnsi="宋体"/>
          <w:color w:val="auto"/>
          <w:highlight w:val="none"/>
        </w:rPr>
      </w:pPr>
      <w:r>
        <w:rPr>
          <w:rFonts w:hint="eastAsia" w:ascii="宋体" w:hAnsi="宋体"/>
          <w:color w:val="auto"/>
          <w:highlight w:val="none"/>
        </w:rPr>
        <w:t>（1）</w:t>
      </w:r>
      <w:r>
        <w:rPr>
          <w:rFonts w:ascii="宋体" w:hAnsi="宋体"/>
          <w:color w:val="auto"/>
          <w:highlight w:val="none"/>
        </w:rPr>
        <w:t>供方须对需方的操作人员、技术人员进行免费培训。</w:t>
      </w:r>
    </w:p>
    <w:p>
      <w:pPr>
        <w:ind w:firstLine="480"/>
        <w:rPr>
          <w:rFonts w:ascii="宋体" w:hAnsi="宋体"/>
          <w:color w:val="auto"/>
          <w:highlight w:val="none"/>
        </w:rPr>
      </w:pPr>
      <w:r>
        <w:rPr>
          <w:rFonts w:hint="eastAsia" w:ascii="宋体" w:hAnsi="宋体"/>
          <w:color w:val="auto"/>
          <w:highlight w:val="none"/>
        </w:rPr>
        <w:t>（2）</w:t>
      </w:r>
      <w:r>
        <w:rPr>
          <w:rFonts w:ascii="宋体" w:hAnsi="宋体"/>
          <w:color w:val="auto"/>
          <w:highlight w:val="none"/>
        </w:rPr>
        <w:t>技术培训费用应包含在供货总价中。</w:t>
      </w:r>
    </w:p>
    <w:p>
      <w:pPr>
        <w:ind w:firstLine="480"/>
        <w:rPr>
          <w:rFonts w:ascii="宋体" w:hAnsi="宋体"/>
          <w:color w:val="auto"/>
          <w:highlight w:val="none"/>
        </w:rPr>
      </w:pPr>
      <w:r>
        <w:rPr>
          <w:rFonts w:hint="eastAsia" w:ascii="宋体" w:hAnsi="宋体"/>
          <w:color w:val="auto"/>
          <w:highlight w:val="none"/>
        </w:rPr>
        <w:t>（3）</w:t>
      </w:r>
      <w:r>
        <w:rPr>
          <w:rFonts w:ascii="宋体" w:hAnsi="宋体"/>
          <w:color w:val="auto"/>
          <w:highlight w:val="none"/>
        </w:rPr>
        <w:t>供方负责对需方进行技术培训，包括对需方进行详尽的工作原理、操作使用、一般维护、常见故障排除等一系列的专业培训,并提供系统操作、维修手册及各类设备的说明书。</w:t>
      </w:r>
    </w:p>
    <w:p>
      <w:pPr>
        <w:ind w:firstLine="482"/>
        <w:rPr>
          <w:rFonts w:ascii="宋体" w:hAnsi="宋体"/>
          <w:b/>
          <w:bCs/>
          <w:color w:val="auto"/>
          <w:highlight w:val="none"/>
        </w:rPr>
      </w:pPr>
      <w:r>
        <w:rPr>
          <w:rFonts w:ascii="宋体" w:hAnsi="宋体"/>
          <w:b/>
          <w:bCs/>
          <w:color w:val="auto"/>
          <w:highlight w:val="none"/>
        </w:rPr>
        <w:t>4</w:t>
      </w:r>
      <w:r>
        <w:rPr>
          <w:rFonts w:hint="eastAsia" w:ascii="宋体" w:hAnsi="宋体"/>
          <w:b/>
          <w:bCs/>
          <w:color w:val="auto"/>
          <w:highlight w:val="none"/>
        </w:rPr>
        <w:t>、付款方式</w:t>
      </w:r>
    </w:p>
    <w:p>
      <w:pPr>
        <w:ind w:firstLine="480"/>
        <w:rPr>
          <w:color w:val="auto"/>
          <w:highlight w:val="none"/>
        </w:rPr>
      </w:pPr>
      <w:r>
        <w:rPr>
          <w:rFonts w:hint="eastAsia"/>
          <w:color w:val="auto"/>
          <w:highlight w:val="none"/>
        </w:rPr>
        <w:t>采购人付款方式：合同签订后20个工作日内，支付合同总额的30%。项目验收后，每月经采购人考核确认后，根据考核结果按季度进行支付。</w:t>
      </w:r>
    </w:p>
    <w:p>
      <w:pPr>
        <w:ind w:firstLine="482"/>
        <w:rPr>
          <w:rFonts w:ascii="宋体" w:hAnsi="宋体"/>
          <w:b/>
          <w:bCs/>
          <w:color w:val="auto"/>
          <w:highlight w:val="none"/>
        </w:rPr>
      </w:pPr>
      <w:r>
        <w:rPr>
          <w:rFonts w:ascii="宋体" w:hAnsi="宋体"/>
          <w:b/>
          <w:bCs/>
          <w:color w:val="auto"/>
          <w:highlight w:val="none"/>
        </w:rPr>
        <w:t>5</w:t>
      </w:r>
      <w:r>
        <w:rPr>
          <w:rFonts w:hint="eastAsia" w:ascii="宋体" w:hAnsi="宋体"/>
          <w:b/>
          <w:bCs/>
          <w:color w:val="auto"/>
          <w:highlight w:val="none"/>
        </w:rPr>
        <w:t>、验收标准</w:t>
      </w:r>
    </w:p>
    <w:p>
      <w:pPr>
        <w:adjustRightInd w:val="0"/>
        <w:ind w:firstLine="480"/>
        <w:rPr>
          <w:rFonts w:ascii="宋体" w:hAnsi="宋体"/>
          <w:color w:val="auto"/>
          <w:highlight w:val="none"/>
        </w:rPr>
      </w:pPr>
      <w:r>
        <w:rPr>
          <w:rFonts w:hint="eastAsia" w:ascii="宋体" w:hAnsi="宋体"/>
          <w:color w:val="auto"/>
          <w:highlight w:val="none"/>
        </w:rPr>
        <w:t>根据中华人民共和国现行技术标准，按招标文件以及合同规定的验收评定标准等规范</w:t>
      </w:r>
      <w:r>
        <w:rPr>
          <w:rFonts w:hint="eastAsia" w:ascii="宋体" w:hAnsi="宋体"/>
          <w:b/>
          <w:color w:val="auto"/>
          <w:highlight w:val="none"/>
        </w:rPr>
        <w:t>由用户组织验收。</w:t>
      </w:r>
      <w:r>
        <w:rPr>
          <w:rFonts w:hint="eastAsia" w:ascii="宋体" w:hAnsi="宋体" w:cs="宋体"/>
          <w:color w:val="auto"/>
          <w:kern w:val="0"/>
          <w:highlight w:val="none"/>
        </w:rPr>
        <w:t>采购人组织对供应商履约的</w:t>
      </w:r>
      <w:r>
        <w:rPr>
          <w:rFonts w:hint="eastAsia" w:ascii="宋体" w:hAnsi="宋体" w:cs="宋体"/>
          <w:b/>
          <w:bCs/>
          <w:color w:val="auto"/>
          <w:kern w:val="0"/>
          <w:highlight w:val="none"/>
        </w:rPr>
        <w:t>验收时间安排在合同签订后60天内且建设总点位数达到2600个点并同步上传至东阳市级应急广播平台，后续建设点位由采购方确认按月进入服务期。</w:t>
      </w:r>
    </w:p>
    <w:p>
      <w:pPr>
        <w:adjustRightInd w:val="0"/>
        <w:ind w:firstLine="480"/>
        <w:rPr>
          <w:rFonts w:ascii="宋体" w:hAnsi="宋体"/>
          <w:color w:val="auto"/>
          <w:highlight w:val="none"/>
        </w:rPr>
      </w:pPr>
      <w:r>
        <w:rPr>
          <w:rFonts w:hint="eastAsia" w:ascii="宋体" w:hAnsi="宋体"/>
          <w:color w:val="auto"/>
          <w:highlight w:val="none"/>
        </w:rPr>
        <w:t>用户对采购项目验收合格后，双方共同签署验收合格证书，验收中发现软件或货物达不到验收标准或合同规定的性能指标，中标方必须免费更换，并且赔偿由此给用户造成的损失，直到验收合格为止。</w:t>
      </w: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5"/>
        <w:ind w:firstLine="482"/>
        <w:jc w:val="center"/>
        <w:rPr>
          <w:color w:val="auto"/>
          <w:highlight w:val="none"/>
        </w:rPr>
      </w:pPr>
      <w:r>
        <w:rPr>
          <w:rFonts w:hint="eastAsia"/>
          <w:color w:val="auto"/>
          <w:highlight w:val="none"/>
        </w:rPr>
        <w:t>投标人须知</w:t>
      </w:r>
    </w:p>
    <w:p>
      <w:pPr>
        <w:snapToGrid w:val="0"/>
        <w:ind w:firstLine="480"/>
        <w:jc w:val="center"/>
        <w:outlineLvl w:val="1"/>
        <w:rPr>
          <w:rFonts w:ascii="宋体" w:cs="宋体"/>
          <w:color w:val="auto"/>
          <w:highlight w:val="none"/>
        </w:rPr>
      </w:pPr>
      <w:r>
        <w:rPr>
          <w:rFonts w:hint="eastAsia" w:ascii="宋体" w:hAnsi="宋体" w:cs="宋体"/>
          <w:color w:val="auto"/>
          <w:highlight w:val="none"/>
        </w:rPr>
        <w:t>前附表</w:t>
      </w:r>
    </w:p>
    <w:tbl>
      <w:tblPr>
        <w:tblStyle w:val="46"/>
        <w:tblW w:w="87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6"/>
        <w:gridCol w:w="77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936"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cs="宋体"/>
                <w:color w:val="auto"/>
                <w:highlight w:val="none"/>
              </w:rPr>
            </w:pPr>
            <w:r>
              <w:rPr>
                <w:rFonts w:hint="eastAsia" w:ascii="宋体" w:hAnsi="宋体" w:cs="宋体"/>
                <w:color w:val="auto"/>
                <w:highlight w:val="none"/>
              </w:rPr>
              <w:t>序号</w:t>
            </w:r>
          </w:p>
        </w:tc>
        <w:tc>
          <w:tcPr>
            <w:tcW w:w="7798" w:type="dxa"/>
            <w:tcBorders>
              <w:top w:val="single" w:color="auto" w:sz="4" w:space="0"/>
              <w:left w:val="single" w:color="auto" w:sz="4" w:space="0"/>
              <w:bottom w:val="single" w:color="auto" w:sz="4" w:space="0"/>
            </w:tcBorders>
            <w:vAlign w:val="center"/>
          </w:tcPr>
          <w:p>
            <w:pPr>
              <w:snapToGrid w:val="0"/>
              <w:ind w:firstLine="480"/>
              <w:jc w:val="center"/>
              <w:rPr>
                <w:rFonts w:ascii="宋体" w:cs="宋体"/>
                <w:color w:val="auto"/>
                <w:highlight w:val="none"/>
              </w:rPr>
            </w:pPr>
            <w:r>
              <w:rPr>
                <w:rFonts w:hint="eastAsia" w:ascii="宋体" w:hAnsi="宋体" w:cs="宋体"/>
                <w:color w:val="auto"/>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36" w:type="dxa"/>
            <w:tcBorders>
              <w:top w:val="single" w:color="auto" w:sz="4" w:space="0"/>
              <w:bottom w:val="single" w:color="auto" w:sz="4" w:space="0"/>
              <w:right w:val="single" w:color="auto" w:sz="4" w:space="0"/>
            </w:tcBorders>
            <w:vAlign w:val="center"/>
          </w:tcPr>
          <w:p>
            <w:pPr>
              <w:snapToGrid w:val="0"/>
              <w:ind w:firstLine="480"/>
              <w:jc w:val="center"/>
              <w:rPr>
                <w:rFonts w:ascii="宋体" w:cs="宋体"/>
                <w:color w:val="auto"/>
                <w:highlight w:val="none"/>
              </w:rPr>
            </w:pPr>
            <w:r>
              <w:rPr>
                <w:rFonts w:ascii="宋体" w:hAnsi="宋体" w:cs="宋体"/>
                <w:color w:val="auto"/>
                <w:highlight w:val="none"/>
              </w:rPr>
              <w:t>1</w:t>
            </w:r>
          </w:p>
        </w:tc>
        <w:tc>
          <w:tcPr>
            <w:tcW w:w="7798" w:type="dxa"/>
            <w:tcBorders>
              <w:top w:val="single" w:color="auto" w:sz="4" w:space="0"/>
              <w:left w:val="single" w:color="auto" w:sz="4" w:space="0"/>
              <w:bottom w:val="single" w:color="auto" w:sz="4" w:space="0"/>
            </w:tcBorders>
            <w:vAlign w:val="center"/>
          </w:tcPr>
          <w:p>
            <w:pPr>
              <w:pStyle w:val="29"/>
              <w:snapToGrid w:val="0"/>
              <w:spacing w:before="120" w:after="120" w:line="240" w:lineRule="auto"/>
              <w:ind w:left="1190" w:hanging="1190" w:hangingChars="496"/>
              <w:rPr>
                <w:color w:val="auto"/>
                <w:highlight w:val="none"/>
              </w:rPr>
            </w:pPr>
            <w:r>
              <w:rPr>
                <w:rFonts w:hint="eastAsia"/>
                <w:color w:val="auto"/>
                <w:highlight w:val="none"/>
              </w:rPr>
              <w:t>项目</w:t>
            </w:r>
            <w:r>
              <w:rPr>
                <w:rFonts w:hint="eastAsia" w:hAnsi="宋体" w:cs="宋体"/>
                <w:color w:val="auto"/>
                <w:szCs w:val="24"/>
                <w:highlight w:val="none"/>
              </w:rPr>
              <w:t>名称：东阳市应急广播维保提升改造项目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936" w:type="dxa"/>
            <w:tcBorders>
              <w:top w:val="single" w:color="auto" w:sz="4" w:space="0"/>
              <w:bottom w:val="single" w:color="auto" w:sz="4" w:space="0"/>
              <w:right w:val="single" w:color="auto" w:sz="4" w:space="0"/>
            </w:tcBorders>
            <w:vAlign w:val="center"/>
          </w:tcPr>
          <w:p>
            <w:pPr>
              <w:snapToGrid w:val="0"/>
              <w:ind w:firstLine="480"/>
              <w:jc w:val="center"/>
              <w:rPr>
                <w:rFonts w:ascii="宋体" w:cs="宋体"/>
                <w:color w:val="auto"/>
                <w:highlight w:val="none"/>
              </w:rPr>
            </w:pPr>
            <w:r>
              <w:rPr>
                <w:rFonts w:ascii="宋体" w:hAnsi="宋体" w:cs="宋体"/>
                <w:color w:val="auto"/>
                <w:highlight w:val="none"/>
              </w:rPr>
              <w:t>2</w:t>
            </w:r>
          </w:p>
        </w:tc>
        <w:tc>
          <w:tcPr>
            <w:tcW w:w="7798" w:type="dxa"/>
            <w:tcBorders>
              <w:top w:val="single" w:color="auto" w:sz="4" w:space="0"/>
              <w:left w:val="single" w:color="auto" w:sz="4" w:space="0"/>
              <w:bottom w:val="single" w:color="auto" w:sz="4" w:space="0"/>
            </w:tcBorders>
            <w:vAlign w:val="center"/>
          </w:tcPr>
          <w:p>
            <w:pPr>
              <w:snapToGrid w:val="0"/>
              <w:ind w:firstLine="480"/>
              <w:outlineLvl w:val="2"/>
              <w:rPr>
                <w:rFonts w:ascii="宋体" w:cs="宋体"/>
                <w:b/>
                <w:color w:val="auto"/>
                <w:highlight w:val="none"/>
              </w:rPr>
            </w:pPr>
            <w:r>
              <w:rPr>
                <w:rFonts w:hint="eastAsia" w:ascii="宋体" w:hAnsi="宋体" w:cs="宋体"/>
                <w:color w:val="auto"/>
                <w:highlight w:val="none"/>
              </w:rPr>
              <w:t>投标报价及费用：</w:t>
            </w:r>
            <w:r>
              <w:rPr>
                <w:rFonts w:hint="eastAsia" w:ascii="宋体" w:hAnsi="宋体"/>
                <w:color w:val="auto"/>
                <w:highlight w:val="none"/>
              </w:rPr>
              <w:t>1、本项目投标应以人民币报价；2、不论投标结果如何，投标人均应自行承担所有与投标有关的全部费用；3、本项目中标服务费详见本章投标人须知</w:t>
            </w:r>
            <w:r>
              <w:rPr>
                <w:rFonts w:hint="eastAsia" w:ascii="宋体" w:hAnsi="宋体" w:cs="宋体"/>
                <w:color w:val="auto"/>
                <w:highlight w:val="none"/>
              </w:rPr>
              <w:t>总则第五条相关约定执行计取</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936" w:type="dxa"/>
            <w:tcBorders>
              <w:top w:val="single" w:color="auto" w:sz="4" w:space="0"/>
              <w:bottom w:val="single" w:color="auto" w:sz="4" w:space="0"/>
              <w:right w:val="single" w:color="auto" w:sz="4" w:space="0"/>
            </w:tcBorders>
            <w:vAlign w:val="center"/>
          </w:tcPr>
          <w:p>
            <w:pPr>
              <w:snapToGrid w:val="0"/>
              <w:ind w:firstLine="480"/>
              <w:jc w:val="center"/>
              <w:rPr>
                <w:rFonts w:ascii="宋体" w:hAnsi="宋体" w:cs="宋体"/>
                <w:color w:val="auto"/>
                <w:highlight w:val="none"/>
              </w:rPr>
            </w:pPr>
            <w:r>
              <w:rPr>
                <w:rFonts w:hint="eastAsia" w:ascii="宋体" w:hAnsi="宋体" w:cs="宋体"/>
                <w:color w:val="auto"/>
                <w:highlight w:val="none"/>
              </w:rPr>
              <w:t>3</w:t>
            </w:r>
          </w:p>
        </w:tc>
        <w:tc>
          <w:tcPr>
            <w:tcW w:w="7798" w:type="dxa"/>
            <w:tcBorders>
              <w:top w:val="single" w:color="auto" w:sz="4" w:space="0"/>
              <w:left w:val="single" w:color="auto" w:sz="4" w:space="0"/>
              <w:bottom w:val="single" w:color="auto" w:sz="4" w:space="0"/>
            </w:tcBorders>
            <w:vAlign w:val="center"/>
          </w:tcPr>
          <w:p>
            <w:pPr>
              <w:snapToGrid w:val="0"/>
              <w:spacing w:line="276" w:lineRule="auto"/>
              <w:ind w:firstLine="480"/>
              <w:rPr>
                <w:rFonts w:ascii="宋体" w:hAnsi="宋体" w:cs="宋体"/>
                <w:color w:val="auto"/>
                <w:highlight w:val="none"/>
              </w:rPr>
            </w:pPr>
            <w:r>
              <w:rPr>
                <w:rFonts w:hint="eastAsia" w:ascii="宋体" w:hAnsi="宋体" w:cs="宋体"/>
                <w:color w:val="auto"/>
                <w:highlight w:val="none"/>
              </w:rPr>
              <w:t>答疑与澄清：</w:t>
            </w:r>
            <w:r>
              <w:rPr>
                <w:rFonts w:hint="eastAsia" w:ascii="宋体" w:hAnsi="宋体"/>
                <w:color w:val="auto"/>
                <w:highlight w:val="none"/>
              </w:rPr>
              <w:t>投标人如认为招标文件表述不清晰、存在歧视性、排他性或者其他违法内容的，应当</w:t>
            </w:r>
            <w:r>
              <w:rPr>
                <w:rFonts w:hint="eastAsia" w:ascii="宋体" w:hAnsi="宋体"/>
                <w:color w:val="auto"/>
                <w:highlight w:val="none"/>
                <w:shd w:val="clear" w:color="auto" w:fill="FFFFFF"/>
              </w:rPr>
              <w:t>于</w:t>
            </w:r>
            <w:r>
              <w:rPr>
                <w:rFonts w:hint="eastAsia" w:ascii="宋体" w:hAnsi="宋体"/>
                <w:b/>
                <w:bCs/>
                <w:color w:val="auto"/>
                <w:highlight w:val="none"/>
                <w:u w:val="single"/>
                <w:shd w:val="clear" w:color="auto" w:fill="FFFFFF"/>
              </w:rPr>
              <w:t>质疑期限届满之日</w:t>
            </w:r>
            <w:r>
              <w:rPr>
                <w:rFonts w:hint="eastAsia" w:ascii="宋体" w:hAnsi="宋体"/>
                <w:color w:val="auto"/>
                <w:highlight w:val="none"/>
                <w:shd w:val="clear" w:color="auto" w:fill="FFFFFF"/>
              </w:rPr>
              <w:t>前，</w:t>
            </w:r>
            <w:r>
              <w:rPr>
                <w:rFonts w:hint="eastAsia" w:ascii="宋体" w:hAnsi="宋体"/>
                <w:color w:val="auto"/>
                <w:highlight w:val="none"/>
              </w:rPr>
              <w:t>以书面形式要求招标采购单位作出书面解释、澄清或者向招标采购单位提出书面质疑（</w:t>
            </w:r>
            <w:r>
              <w:rPr>
                <w:rFonts w:hint="eastAsia" w:ascii="宋体" w:hAnsi="宋体"/>
                <w:b/>
                <w:color w:val="auto"/>
                <w:highlight w:val="none"/>
              </w:rPr>
              <w:t>超过此规定时间的质疑函将不予受理）</w:t>
            </w:r>
            <w:r>
              <w:rPr>
                <w:rFonts w:hint="eastAsia" w:ascii="宋体" w:hAnsi="宋体"/>
                <w:color w:val="auto"/>
                <w:highlight w:val="none"/>
              </w:rPr>
              <w:t>；招标采购单位将于</w:t>
            </w:r>
            <w:r>
              <w:rPr>
                <w:rFonts w:hint="eastAsia" w:ascii="宋体" w:hAnsi="宋体"/>
                <w:b/>
                <w:bCs/>
                <w:color w:val="auto"/>
                <w:highlight w:val="none"/>
                <w:u w:val="single"/>
                <w:shd w:val="clear" w:color="auto" w:fill="FFFFFF"/>
              </w:rPr>
              <w:t>答疑期限届满之日</w:t>
            </w:r>
            <w:r>
              <w:rPr>
                <w:rFonts w:hint="eastAsia" w:ascii="宋体" w:hAnsi="宋体"/>
                <w:b/>
                <w:bCs/>
                <w:color w:val="auto"/>
                <w:highlight w:val="none"/>
                <w:shd w:val="clear" w:color="auto" w:fill="FFFFFF"/>
              </w:rPr>
              <w:t>前</w:t>
            </w:r>
            <w:r>
              <w:rPr>
                <w:rFonts w:hint="eastAsia" w:ascii="宋体" w:hAnsi="宋体"/>
                <w:color w:val="auto"/>
                <w:highlight w:val="none"/>
                <w:shd w:val="clear" w:color="auto" w:fill="FFFFFF"/>
              </w:rPr>
              <w:t>将答疑内容以传真或网上发布公告的形式通知所有已报名的投标人；答疑内容是招标</w:t>
            </w:r>
            <w:r>
              <w:rPr>
                <w:rFonts w:hint="eastAsia" w:ascii="宋体" w:hAnsi="宋体"/>
                <w:color w:val="auto"/>
                <w:highlight w:val="none"/>
              </w:rPr>
              <w:t>文件的组成部分；因其他紧急情况影响本项目正常招标活动的，招标采购单位将于投标截止日期</w:t>
            </w:r>
            <w:r>
              <w:rPr>
                <w:rFonts w:ascii="宋体" w:hAnsi="宋体"/>
                <w:color w:val="auto"/>
                <w:highlight w:val="none"/>
              </w:rPr>
              <w:t>5</w:t>
            </w:r>
            <w:r>
              <w:rPr>
                <w:rFonts w:hint="eastAsia" w:ascii="宋体" w:hAnsi="宋体"/>
                <w:color w:val="auto"/>
                <w:highlight w:val="none"/>
              </w:rPr>
              <w:t>天前书面通知所有已报名的投标人。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936" w:type="dxa"/>
            <w:tcBorders>
              <w:top w:val="single" w:color="auto" w:sz="4" w:space="0"/>
              <w:bottom w:val="single" w:color="auto" w:sz="4" w:space="0"/>
              <w:right w:val="single" w:color="auto" w:sz="4" w:space="0"/>
            </w:tcBorders>
            <w:vAlign w:val="center"/>
          </w:tcPr>
          <w:p>
            <w:pPr>
              <w:snapToGrid w:val="0"/>
              <w:ind w:firstLine="480"/>
              <w:jc w:val="center"/>
              <w:rPr>
                <w:rFonts w:ascii="宋体" w:cs="宋体"/>
                <w:color w:val="auto"/>
                <w:highlight w:val="none"/>
              </w:rPr>
            </w:pPr>
            <w:r>
              <w:rPr>
                <w:rFonts w:hint="eastAsia" w:ascii="宋体" w:hAnsi="宋体" w:cs="宋体"/>
                <w:color w:val="auto"/>
                <w:highlight w:val="none"/>
              </w:rPr>
              <w:t>4</w:t>
            </w:r>
          </w:p>
        </w:tc>
        <w:tc>
          <w:tcPr>
            <w:tcW w:w="7798" w:type="dxa"/>
            <w:tcBorders>
              <w:top w:val="single" w:color="auto" w:sz="4" w:space="0"/>
              <w:left w:val="single" w:color="auto" w:sz="4" w:space="0"/>
              <w:bottom w:val="single" w:color="auto" w:sz="4" w:space="0"/>
            </w:tcBorders>
            <w:vAlign w:val="center"/>
          </w:tcPr>
          <w:p>
            <w:pPr>
              <w:autoSpaceDE w:val="0"/>
              <w:autoSpaceDN w:val="0"/>
              <w:snapToGrid w:val="0"/>
              <w:ind w:firstLine="480"/>
              <w:textAlignment w:val="bottom"/>
              <w:rPr>
                <w:rFonts w:ascii="宋体" w:hAnsi="宋体" w:cs="宋体"/>
                <w:color w:val="auto"/>
                <w:highlight w:val="none"/>
              </w:rPr>
            </w:pPr>
            <w:r>
              <w:rPr>
                <w:rFonts w:hint="eastAsia" w:ascii="宋体" w:hAnsi="宋体" w:cs="宋体"/>
                <w:color w:val="auto"/>
                <w:highlight w:val="none"/>
              </w:rPr>
              <w:t>投标文件组成：▲1、本项目实行“网上投标、电子评标”，投标人应于投标截止时间前在“政采云”（电子交易平台）上传输、递交电子版投标文件（包括资格响应文件、商务技术响应文件和报价响应文件）；</w:t>
            </w:r>
          </w:p>
          <w:p>
            <w:pPr>
              <w:numPr>
                <w:ilvl w:val="0"/>
                <w:numId w:val="6"/>
              </w:numPr>
              <w:autoSpaceDE w:val="0"/>
              <w:autoSpaceDN w:val="0"/>
              <w:snapToGrid w:val="0"/>
              <w:ind w:firstLine="480"/>
              <w:textAlignment w:val="bottom"/>
              <w:rPr>
                <w:rFonts w:ascii="宋体" w:hAnsi="宋体" w:cs="宋体"/>
                <w:color w:val="auto"/>
                <w:highlight w:val="none"/>
              </w:rPr>
            </w:pPr>
            <w:r>
              <w:rPr>
                <w:rFonts w:hint="eastAsia" w:ascii="宋体" w:hAnsi="宋体" w:cs="宋体"/>
                <w:color w:val="auto"/>
                <w:highlight w:val="none"/>
              </w:rPr>
              <w:t>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浙江衢州公信工程管理有限公司邮箱：477628472@qq.com，逾期发送或发错后缀名的备份投标文件将被视为无效；</w:t>
            </w:r>
          </w:p>
          <w:p>
            <w:pPr>
              <w:autoSpaceDE w:val="0"/>
              <w:autoSpaceDN w:val="0"/>
              <w:snapToGrid w:val="0"/>
              <w:ind w:firstLine="480"/>
              <w:textAlignment w:val="bottom"/>
              <w:rPr>
                <w:rFonts w:ascii="宋体" w:hAnsi="宋体" w:cs="宋体"/>
                <w:color w:val="auto"/>
                <w:highlight w:val="none"/>
              </w:rPr>
            </w:pPr>
            <w:r>
              <w:rPr>
                <w:rFonts w:hint="eastAsia" w:ascii="宋体" w:hAnsi="宋体" w:cs="宋体"/>
                <w:color w:val="auto"/>
                <w:highlight w:val="none"/>
              </w:rPr>
              <w:t>3、投标人仅提交电子备份投标文件的，投标无效；</w:t>
            </w:r>
          </w:p>
          <w:p>
            <w:pPr>
              <w:autoSpaceDE w:val="0"/>
              <w:autoSpaceDN w:val="0"/>
              <w:snapToGrid w:val="0"/>
              <w:ind w:firstLine="480"/>
              <w:textAlignment w:val="bottom"/>
              <w:rPr>
                <w:rFonts w:ascii="宋体" w:hAnsi="宋体" w:cs="宋体"/>
                <w:color w:val="auto"/>
                <w:highlight w:val="none"/>
              </w:rPr>
            </w:pPr>
            <w:r>
              <w:rPr>
                <w:rFonts w:hint="eastAsia" w:ascii="宋体" w:hAnsi="宋体" w:cs="宋体"/>
                <w:color w:val="auto"/>
                <w:highlight w:val="none"/>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936" w:type="dxa"/>
            <w:tcBorders>
              <w:top w:val="single" w:color="auto" w:sz="4" w:space="0"/>
              <w:bottom w:val="single" w:color="auto" w:sz="4" w:space="0"/>
              <w:right w:val="single" w:color="auto" w:sz="4" w:space="0"/>
            </w:tcBorders>
            <w:vAlign w:val="center"/>
          </w:tcPr>
          <w:p>
            <w:pPr>
              <w:snapToGrid w:val="0"/>
              <w:ind w:firstLine="480"/>
              <w:jc w:val="center"/>
              <w:rPr>
                <w:rFonts w:ascii="宋体" w:cs="宋体"/>
                <w:color w:val="auto"/>
                <w:highlight w:val="none"/>
              </w:rPr>
            </w:pPr>
            <w:r>
              <w:rPr>
                <w:rFonts w:hint="eastAsia" w:ascii="宋体" w:hAnsi="宋体" w:cs="宋体"/>
                <w:color w:val="auto"/>
                <w:highlight w:val="none"/>
              </w:rPr>
              <w:t>5</w:t>
            </w:r>
          </w:p>
        </w:tc>
        <w:tc>
          <w:tcPr>
            <w:tcW w:w="7798" w:type="dxa"/>
            <w:tcBorders>
              <w:top w:val="single" w:color="auto" w:sz="4" w:space="0"/>
              <w:left w:val="single" w:color="auto" w:sz="4" w:space="0"/>
              <w:bottom w:val="single" w:color="auto" w:sz="4" w:space="0"/>
            </w:tcBorders>
            <w:vAlign w:val="center"/>
          </w:tcPr>
          <w:p>
            <w:pPr>
              <w:snapToGrid w:val="0"/>
              <w:ind w:firstLine="480"/>
              <w:rPr>
                <w:rFonts w:ascii="宋体" w:hAnsi="宋体" w:cs="宋体"/>
                <w:color w:val="auto"/>
                <w:highlight w:val="none"/>
              </w:rPr>
            </w:pPr>
            <w:r>
              <w:rPr>
                <w:rFonts w:hint="eastAsia" w:ascii="宋体" w:hAnsi="宋体" w:cs="宋体"/>
                <w:color w:val="auto"/>
                <w:highlight w:val="none"/>
              </w:rPr>
              <w:t>投标截止时间及地点：</w:t>
            </w:r>
          </w:p>
          <w:p>
            <w:pPr>
              <w:snapToGrid w:val="0"/>
              <w:ind w:firstLine="480"/>
              <w:rPr>
                <w:rFonts w:ascii="宋体" w:hAnsi="宋体" w:cs="宋体"/>
                <w:color w:val="auto"/>
                <w:highlight w:val="none"/>
              </w:rPr>
            </w:pPr>
            <w:r>
              <w:rPr>
                <w:rFonts w:hint="eastAsia" w:ascii="宋体" w:hAnsi="宋体" w:cs="宋体"/>
                <w:color w:val="auto"/>
                <w:highlight w:val="none"/>
              </w:rPr>
              <w:t>1、投标人应当在2023年</w:t>
            </w:r>
            <w:r>
              <w:rPr>
                <w:rFonts w:hint="eastAsia" w:ascii="宋体" w:hAnsi="宋体" w:cs="宋体"/>
                <w:color w:val="auto"/>
                <w:highlight w:val="none"/>
                <w:lang w:val="en-US" w:eastAsia="zh-CN"/>
              </w:rPr>
              <w:t>5</w:t>
            </w:r>
            <w:r>
              <w:rPr>
                <w:rFonts w:ascii="宋体" w:hAnsi="宋体" w:cs="宋体"/>
                <w:color w:val="auto"/>
                <w:highlight w:val="none"/>
              </w:rPr>
              <w:t>月</w:t>
            </w:r>
            <w:r>
              <w:rPr>
                <w:rFonts w:hint="eastAsia" w:ascii="宋体" w:hAnsi="宋体" w:cs="宋体"/>
                <w:color w:val="auto"/>
                <w:highlight w:val="none"/>
                <w:lang w:val="en-US" w:eastAsia="zh-CN"/>
              </w:rPr>
              <w:t>25</w:t>
            </w:r>
            <w:r>
              <w:rPr>
                <w:rFonts w:ascii="宋体" w:hAnsi="宋体" w:cs="宋体"/>
                <w:color w:val="auto"/>
                <w:highlight w:val="none"/>
              </w:rPr>
              <w:t>日</w:t>
            </w:r>
            <w:r>
              <w:rPr>
                <w:rFonts w:hint="eastAsia" w:ascii="宋体" w:hAnsi="宋体" w:cs="宋体"/>
                <w:color w:val="auto"/>
                <w:highlight w:val="none"/>
              </w:rPr>
              <w:t>14时00分前在“政采云”（电子交易平台）上自行上传加密的电子投标文件。投标截止时间后递交的电子投标文件，将被政采云平台拒收。</w:t>
            </w:r>
          </w:p>
          <w:p>
            <w:pPr>
              <w:snapToGrid w:val="0"/>
              <w:ind w:firstLine="480"/>
              <w:rPr>
                <w:rFonts w:ascii="宋体" w:hAnsi="宋体" w:cs="宋体"/>
                <w:color w:val="auto"/>
                <w:highlight w:val="none"/>
              </w:rPr>
            </w:pPr>
            <w:r>
              <w:rPr>
                <w:rFonts w:hint="eastAsia" w:ascii="宋体" w:hAnsi="宋体" w:cs="宋体"/>
                <w:color w:val="auto"/>
                <w:highlight w:val="none"/>
              </w:rPr>
              <w:t>2、电子备份投标文件的递交时间：投标人应当在2023年</w:t>
            </w:r>
            <w:r>
              <w:rPr>
                <w:rFonts w:hint="eastAsia" w:ascii="宋体" w:hAnsi="宋体" w:cs="宋体"/>
                <w:color w:val="auto"/>
                <w:highlight w:val="none"/>
                <w:lang w:val="en-US" w:eastAsia="zh-CN"/>
              </w:rPr>
              <w:t>5</w:t>
            </w:r>
            <w:r>
              <w:rPr>
                <w:rFonts w:ascii="宋体" w:hAnsi="宋体" w:cs="宋体"/>
                <w:color w:val="auto"/>
                <w:highlight w:val="none"/>
              </w:rPr>
              <w:t>月</w:t>
            </w:r>
            <w:r>
              <w:rPr>
                <w:rFonts w:hint="eastAsia" w:ascii="宋体" w:hAnsi="宋体" w:cs="宋体"/>
                <w:color w:val="auto"/>
                <w:highlight w:val="none"/>
                <w:lang w:val="en-US" w:eastAsia="zh-CN"/>
              </w:rPr>
              <w:t>25</w:t>
            </w:r>
            <w:r>
              <w:rPr>
                <w:rFonts w:ascii="宋体" w:hAnsi="宋体" w:cs="宋体"/>
                <w:color w:val="auto"/>
                <w:highlight w:val="none"/>
              </w:rPr>
              <w:t>日</w:t>
            </w:r>
            <w:r>
              <w:rPr>
                <w:rFonts w:hint="eastAsia" w:ascii="宋体" w:hAnsi="宋体" w:cs="宋体"/>
                <w:color w:val="auto"/>
                <w:highlight w:val="none"/>
              </w:rPr>
              <w:t>14时00分前，逾期未递交的视为自动放弃。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936" w:type="dxa"/>
            <w:tcBorders>
              <w:top w:val="single" w:color="auto" w:sz="4" w:space="0"/>
              <w:bottom w:val="single" w:color="auto" w:sz="4" w:space="0"/>
              <w:right w:val="single" w:color="auto" w:sz="4" w:space="0"/>
            </w:tcBorders>
            <w:vAlign w:val="center"/>
          </w:tcPr>
          <w:p>
            <w:pPr>
              <w:snapToGrid w:val="0"/>
              <w:ind w:firstLine="480"/>
              <w:jc w:val="center"/>
              <w:rPr>
                <w:rFonts w:ascii="宋体" w:cs="宋体"/>
                <w:color w:val="auto"/>
                <w:highlight w:val="none"/>
              </w:rPr>
            </w:pPr>
            <w:r>
              <w:rPr>
                <w:rFonts w:hint="eastAsia" w:ascii="宋体" w:hAnsi="宋体" w:cs="宋体"/>
                <w:color w:val="auto"/>
                <w:highlight w:val="none"/>
              </w:rPr>
              <w:t>6</w:t>
            </w:r>
          </w:p>
        </w:tc>
        <w:tc>
          <w:tcPr>
            <w:tcW w:w="7798" w:type="dxa"/>
            <w:tcBorders>
              <w:top w:val="single" w:color="auto" w:sz="4" w:space="0"/>
              <w:left w:val="single" w:color="auto" w:sz="4" w:space="0"/>
              <w:bottom w:val="single" w:color="auto" w:sz="4" w:space="0"/>
            </w:tcBorders>
            <w:vAlign w:val="center"/>
          </w:tcPr>
          <w:p>
            <w:pPr>
              <w:snapToGrid w:val="0"/>
              <w:ind w:firstLine="480"/>
              <w:rPr>
                <w:rFonts w:ascii="宋体" w:hAnsi="宋体" w:cs="宋体"/>
                <w:color w:val="auto"/>
                <w:highlight w:val="none"/>
              </w:rPr>
            </w:pPr>
            <w:r>
              <w:rPr>
                <w:rFonts w:hint="eastAsia" w:ascii="宋体" w:hAnsi="宋体" w:cs="宋体"/>
                <w:color w:val="auto"/>
                <w:highlight w:val="none"/>
              </w:rPr>
              <w:t>开标时间：2023年</w:t>
            </w:r>
            <w:r>
              <w:rPr>
                <w:rFonts w:hint="eastAsia" w:ascii="宋体" w:hAnsi="宋体" w:cs="宋体"/>
                <w:color w:val="auto"/>
                <w:highlight w:val="none"/>
                <w:lang w:val="en-US" w:eastAsia="zh-CN"/>
              </w:rPr>
              <w:t>5</w:t>
            </w:r>
            <w:r>
              <w:rPr>
                <w:rFonts w:ascii="宋体" w:hAnsi="宋体" w:cs="宋体"/>
                <w:color w:val="auto"/>
                <w:highlight w:val="none"/>
              </w:rPr>
              <w:t>月</w:t>
            </w:r>
            <w:r>
              <w:rPr>
                <w:rFonts w:hint="eastAsia" w:ascii="宋体" w:hAnsi="宋体" w:cs="宋体"/>
                <w:color w:val="auto"/>
                <w:highlight w:val="none"/>
                <w:lang w:val="en-US" w:eastAsia="zh-CN"/>
              </w:rPr>
              <w:t>25</w:t>
            </w:r>
            <w:r>
              <w:rPr>
                <w:rFonts w:ascii="宋体" w:hAnsi="宋体" w:cs="宋体"/>
                <w:color w:val="auto"/>
                <w:highlight w:val="none"/>
              </w:rPr>
              <w:t>日</w:t>
            </w:r>
            <w:r>
              <w:rPr>
                <w:rFonts w:hint="eastAsia" w:ascii="宋体" w:hAnsi="宋体" w:cs="宋体"/>
                <w:color w:val="auto"/>
                <w:highlight w:val="none"/>
              </w:rPr>
              <w:t>14时00分</w:t>
            </w:r>
          </w:p>
          <w:p>
            <w:pPr>
              <w:snapToGrid w:val="0"/>
              <w:ind w:firstLine="480"/>
              <w:rPr>
                <w:rFonts w:ascii="宋体" w:hAnsi="宋体" w:cs="宋体"/>
                <w:color w:val="auto"/>
                <w:highlight w:val="none"/>
              </w:rPr>
            </w:pPr>
            <w:r>
              <w:rPr>
                <w:rFonts w:hint="eastAsia" w:ascii="宋体" w:hAnsi="宋体" w:cs="宋体"/>
                <w:color w:val="auto"/>
                <w:highlight w:val="none"/>
              </w:rPr>
              <w:t>截止开标时间，政采云（电子交易平台）自动提取所有投标文件，投标人须在开标时间截止后45分钟内对上传政采云的投标文件进行解密，所有投标人在规定的解密时限内解密完成或解密时限到后，采购代理机构开启投标文件；投标人超过解密时限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936" w:type="dxa"/>
            <w:tcBorders>
              <w:top w:val="single" w:color="auto" w:sz="4" w:space="0"/>
              <w:bottom w:val="single" w:color="auto" w:sz="4" w:space="0"/>
              <w:right w:val="single" w:color="auto" w:sz="4" w:space="0"/>
            </w:tcBorders>
            <w:vAlign w:val="center"/>
          </w:tcPr>
          <w:p>
            <w:pPr>
              <w:snapToGrid w:val="0"/>
              <w:ind w:firstLine="480"/>
              <w:jc w:val="center"/>
              <w:rPr>
                <w:rFonts w:ascii="宋体" w:cs="宋体"/>
                <w:color w:val="auto"/>
                <w:highlight w:val="none"/>
              </w:rPr>
            </w:pPr>
            <w:r>
              <w:rPr>
                <w:rFonts w:hint="eastAsia" w:ascii="宋体" w:hAnsi="宋体" w:cs="宋体"/>
                <w:color w:val="auto"/>
                <w:highlight w:val="none"/>
              </w:rPr>
              <w:t>7</w:t>
            </w:r>
          </w:p>
        </w:tc>
        <w:tc>
          <w:tcPr>
            <w:tcW w:w="7798" w:type="dxa"/>
            <w:tcBorders>
              <w:top w:val="single" w:color="auto" w:sz="4" w:space="0"/>
              <w:left w:val="single" w:color="auto" w:sz="4" w:space="0"/>
              <w:bottom w:val="single" w:color="auto" w:sz="4" w:space="0"/>
            </w:tcBorders>
            <w:vAlign w:val="center"/>
          </w:tcPr>
          <w:p>
            <w:pPr>
              <w:snapToGrid w:val="0"/>
              <w:ind w:firstLine="480"/>
              <w:rPr>
                <w:rFonts w:ascii="宋体" w:hAnsi="宋体" w:cs="宋体"/>
                <w:color w:val="auto"/>
                <w:highlight w:val="none"/>
              </w:rPr>
            </w:pPr>
            <w:r>
              <w:rPr>
                <w:rFonts w:hint="eastAsia" w:ascii="宋体" w:hAnsi="宋体" w:cs="宋体"/>
                <w:color w:val="auto"/>
                <w:highlight w:val="none"/>
              </w:rPr>
              <w:t>评标办法：综合评分法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936" w:type="dxa"/>
            <w:tcBorders>
              <w:top w:val="single" w:color="auto" w:sz="4" w:space="0"/>
              <w:bottom w:val="single" w:color="auto" w:sz="4" w:space="0"/>
              <w:right w:val="single" w:color="auto" w:sz="4" w:space="0"/>
            </w:tcBorders>
            <w:vAlign w:val="center"/>
          </w:tcPr>
          <w:p>
            <w:pPr>
              <w:snapToGrid w:val="0"/>
              <w:ind w:firstLine="480"/>
              <w:jc w:val="center"/>
              <w:rPr>
                <w:rFonts w:ascii="宋体" w:cs="宋体"/>
                <w:color w:val="auto"/>
                <w:highlight w:val="none"/>
              </w:rPr>
            </w:pPr>
            <w:r>
              <w:rPr>
                <w:rFonts w:hint="eastAsia" w:ascii="宋体" w:hAnsi="宋体" w:cs="宋体"/>
                <w:color w:val="auto"/>
                <w:highlight w:val="none"/>
              </w:rPr>
              <w:t>8</w:t>
            </w:r>
          </w:p>
        </w:tc>
        <w:tc>
          <w:tcPr>
            <w:tcW w:w="7798" w:type="dxa"/>
            <w:tcBorders>
              <w:top w:val="single" w:color="auto" w:sz="4" w:space="0"/>
              <w:left w:val="single" w:color="auto" w:sz="4" w:space="0"/>
              <w:bottom w:val="single" w:color="auto" w:sz="4" w:space="0"/>
            </w:tcBorders>
            <w:vAlign w:val="center"/>
          </w:tcPr>
          <w:p>
            <w:pPr>
              <w:snapToGrid w:val="0"/>
              <w:ind w:firstLine="480"/>
              <w:rPr>
                <w:rFonts w:ascii="宋体" w:hAnsi="宋体" w:cs="宋体"/>
                <w:color w:val="auto"/>
                <w:highlight w:val="none"/>
              </w:rPr>
            </w:pPr>
            <w:r>
              <w:rPr>
                <w:rFonts w:hint="eastAsia" w:ascii="宋体" w:hAnsi="宋体" w:cs="宋体"/>
                <w:color w:val="auto"/>
                <w:highlight w:val="none"/>
              </w:rPr>
              <w:t>现场踏勘：投标人自行组织现场踏勘。现场踏勘所发生费用由投标方自行承担，踏勘期间发生人身或交通安全等大小事故，一切责任和经济补偿均由投标单位负责。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936" w:type="dxa"/>
            <w:tcBorders>
              <w:top w:val="single" w:color="auto" w:sz="4" w:space="0"/>
              <w:bottom w:val="single" w:color="auto" w:sz="4" w:space="0"/>
              <w:right w:val="single" w:color="auto" w:sz="4" w:space="0"/>
            </w:tcBorders>
            <w:vAlign w:val="center"/>
          </w:tcPr>
          <w:p>
            <w:pPr>
              <w:snapToGrid w:val="0"/>
              <w:ind w:firstLine="480"/>
              <w:jc w:val="center"/>
              <w:rPr>
                <w:rFonts w:ascii="宋体" w:cs="宋体"/>
                <w:color w:val="auto"/>
                <w:highlight w:val="none"/>
              </w:rPr>
            </w:pPr>
            <w:r>
              <w:rPr>
                <w:rFonts w:hint="eastAsia" w:ascii="宋体" w:hAnsi="宋体" w:cs="宋体"/>
                <w:color w:val="auto"/>
                <w:highlight w:val="none"/>
              </w:rPr>
              <w:t>9</w:t>
            </w:r>
          </w:p>
        </w:tc>
        <w:tc>
          <w:tcPr>
            <w:tcW w:w="7798" w:type="dxa"/>
            <w:tcBorders>
              <w:top w:val="single" w:color="auto" w:sz="4" w:space="0"/>
              <w:left w:val="single" w:color="auto" w:sz="4" w:space="0"/>
              <w:bottom w:val="single" w:color="auto" w:sz="4" w:space="0"/>
            </w:tcBorders>
            <w:vAlign w:val="center"/>
          </w:tcPr>
          <w:p>
            <w:pPr>
              <w:snapToGrid w:val="0"/>
              <w:ind w:firstLine="480"/>
              <w:rPr>
                <w:rFonts w:ascii="宋体" w:hAnsi="宋体" w:cs="宋体"/>
                <w:color w:val="auto"/>
                <w:highlight w:val="none"/>
              </w:rPr>
            </w:pPr>
            <w:r>
              <w:rPr>
                <w:rFonts w:hint="eastAsia" w:ascii="宋体" w:hAnsi="宋体" w:cs="宋体"/>
                <w:color w:val="auto"/>
                <w:highlight w:val="none"/>
              </w:rPr>
              <w:t>中标结果公告：评标结束后2天内，中标结果公告于浙江省政府采购网(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Style w:val="53"/>
                <w:rFonts w:hint="eastAsia" w:ascii="宋体" w:hAnsi="宋体" w:cs="宋体"/>
                <w:color w:val="auto"/>
                <w:highlight w:val="none"/>
              </w:rPr>
              <w:t>www.zjzfcg.gov.cn</w:t>
            </w:r>
            <w:r>
              <w:rPr>
                <w:rStyle w:val="53"/>
                <w:rFonts w:hint="eastAsia" w:ascii="宋体" w:hAnsi="宋体" w:cs="宋体"/>
                <w:color w:val="auto"/>
                <w:highlight w:val="none"/>
              </w:rPr>
              <w:fldChar w:fldCharType="end"/>
            </w:r>
            <w:r>
              <w:rPr>
                <w:rFonts w:hint="eastAsia" w:ascii="宋体" w:hAnsi="宋体" w:cs="宋体"/>
                <w:color w:val="auto"/>
                <w:highlight w:val="none"/>
              </w:rPr>
              <w:t>)、东阳市公共资源交易网(</w:t>
            </w:r>
            <w:r>
              <w:rPr>
                <w:color w:val="auto"/>
                <w:highlight w:val="none"/>
              </w:rPr>
              <w:fldChar w:fldCharType="begin"/>
            </w:r>
            <w:r>
              <w:rPr>
                <w:color w:val="auto"/>
                <w:highlight w:val="none"/>
              </w:rPr>
              <w:instrText xml:space="preserve"> HYPERLINK "http://www.dyztb.com" </w:instrText>
            </w:r>
            <w:r>
              <w:rPr>
                <w:color w:val="auto"/>
                <w:highlight w:val="none"/>
              </w:rPr>
              <w:fldChar w:fldCharType="separate"/>
            </w:r>
            <w:r>
              <w:rPr>
                <w:rStyle w:val="53"/>
                <w:rFonts w:hint="eastAsia" w:ascii="宋体" w:hAnsi="宋体" w:cs="宋体"/>
                <w:color w:val="auto"/>
                <w:highlight w:val="none"/>
              </w:rPr>
              <w:t>http://www.dongyang.gov.cn/ggzyjy/index.html</w:t>
            </w:r>
            <w:r>
              <w:rPr>
                <w:rStyle w:val="53"/>
                <w:rFonts w:hint="eastAsia" w:ascii="宋体" w:hAnsi="宋体" w:cs="宋体"/>
                <w:color w:val="auto"/>
                <w:highlight w:val="none"/>
              </w:rPr>
              <w:fldChar w:fldCharType="end"/>
            </w:r>
            <w:r>
              <w:rPr>
                <w:rFonts w:hint="eastAsia" w:ascii="宋体" w:hAnsi="宋体" w:cs="宋体"/>
                <w:color w:val="auto"/>
                <w:highlight w:val="none"/>
              </w:rPr>
              <w:t>)；公告1个工作日。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936" w:type="dxa"/>
            <w:tcBorders>
              <w:top w:val="single" w:color="auto" w:sz="4" w:space="0"/>
              <w:bottom w:val="single" w:color="auto" w:sz="4" w:space="0"/>
              <w:right w:val="single" w:color="auto" w:sz="4" w:space="0"/>
            </w:tcBorders>
            <w:vAlign w:val="center"/>
          </w:tcPr>
          <w:p>
            <w:pPr>
              <w:snapToGrid w:val="0"/>
              <w:ind w:firstLine="480"/>
              <w:jc w:val="center"/>
              <w:rPr>
                <w:rFonts w:ascii="宋体" w:cs="宋体"/>
                <w:color w:val="auto"/>
                <w:highlight w:val="none"/>
              </w:rPr>
            </w:pPr>
            <w:r>
              <w:rPr>
                <w:rFonts w:hint="eastAsia" w:ascii="宋体" w:hAnsi="宋体" w:cs="宋体"/>
                <w:color w:val="auto"/>
                <w:highlight w:val="none"/>
              </w:rPr>
              <w:t>10</w:t>
            </w:r>
          </w:p>
        </w:tc>
        <w:tc>
          <w:tcPr>
            <w:tcW w:w="7798" w:type="dxa"/>
            <w:tcBorders>
              <w:top w:val="single" w:color="auto" w:sz="4" w:space="0"/>
              <w:left w:val="single" w:color="auto" w:sz="4" w:space="0"/>
              <w:bottom w:val="single" w:color="auto" w:sz="4" w:space="0"/>
            </w:tcBorders>
            <w:vAlign w:val="center"/>
          </w:tcPr>
          <w:p>
            <w:pPr>
              <w:snapToGrid w:val="0"/>
              <w:ind w:firstLine="480"/>
              <w:rPr>
                <w:rFonts w:ascii="宋体" w:hAnsi="宋体" w:cs="宋体"/>
                <w:color w:val="auto"/>
                <w:highlight w:val="none"/>
              </w:rPr>
            </w:pPr>
            <w:r>
              <w:rPr>
                <w:rFonts w:hint="eastAsia" w:ascii="宋体" w:hAnsi="宋体" w:cs="宋体"/>
                <w:color w:val="auto"/>
                <w:highlight w:val="none"/>
              </w:rPr>
              <w:t>中标通知书：确定中标人后，中标人应在三个工作日内，向招标人领取《中标通知书》，否则按放弃中标资格处理。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936" w:type="dxa"/>
            <w:tcBorders>
              <w:top w:val="single" w:color="auto" w:sz="4" w:space="0"/>
              <w:bottom w:val="single" w:color="auto" w:sz="4" w:space="0"/>
              <w:right w:val="single" w:color="auto" w:sz="4" w:space="0"/>
            </w:tcBorders>
            <w:vAlign w:val="center"/>
          </w:tcPr>
          <w:p>
            <w:pPr>
              <w:snapToGrid w:val="0"/>
              <w:ind w:firstLine="480"/>
              <w:jc w:val="center"/>
              <w:rPr>
                <w:rFonts w:ascii="宋体" w:cs="宋体"/>
                <w:color w:val="auto"/>
                <w:highlight w:val="none"/>
              </w:rPr>
            </w:pPr>
            <w:r>
              <w:rPr>
                <w:rFonts w:hint="eastAsia" w:ascii="宋体" w:hAnsi="宋体" w:cs="宋体"/>
                <w:color w:val="auto"/>
                <w:highlight w:val="none"/>
              </w:rPr>
              <w:t>11</w:t>
            </w:r>
          </w:p>
        </w:tc>
        <w:tc>
          <w:tcPr>
            <w:tcW w:w="7798" w:type="dxa"/>
            <w:tcBorders>
              <w:top w:val="single" w:color="auto" w:sz="4" w:space="0"/>
              <w:left w:val="single" w:color="auto" w:sz="4" w:space="0"/>
              <w:bottom w:val="single" w:color="auto" w:sz="4" w:space="0"/>
            </w:tcBorders>
            <w:vAlign w:val="center"/>
          </w:tcPr>
          <w:p>
            <w:pPr>
              <w:snapToGrid w:val="0"/>
              <w:ind w:firstLine="480"/>
              <w:rPr>
                <w:rFonts w:ascii="宋体" w:hAnsi="宋体" w:cs="宋体"/>
                <w:color w:val="auto"/>
                <w:highlight w:val="none"/>
              </w:rPr>
            </w:pPr>
            <w:r>
              <w:rPr>
                <w:rFonts w:hint="eastAsia" w:ascii="宋体" w:hAnsi="宋体" w:cs="宋体"/>
                <w:color w:val="auto"/>
                <w:highlight w:val="none"/>
              </w:rPr>
              <w:t>履约保证金：本项目为购买服务形式进行采购，以上线考核符合甲方要求后进行支付，无需缴纳履约保证金。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936" w:type="dxa"/>
            <w:tcBorders>
              <w:top w:val="single" w:color="auto" w:sz="4" w:space="0"/>
              <w:bottom w:val="single" w:color="auto" w:sz="4" w:space="0"/>
              <w:right w:val="single" w:color="auto" w:sz="4" w:space="0"/>
            </w:tcBorders>
            <w:vAlign w:val="center"/>
          </w:tcPr>
          <w:p>
            <w:pPr>
              <w:snapToGrid w:val="0"/>
              <w:ind w:firstLine="480"/>
              <w:jc w:val="center"/>
              <w:rPr>
                <w:rFonts w:hint="eastAsia" w:ascii="宋体" w:hAnsi="宋体" w:eastAsia="宋体" w:cs="宋体"/>
                <w:color w:val="auto"/>
                <w:highlight w:val="none"/>
                <w:lang w:eastAsia="zh-CN"/>
              </w:rPr>
            </w:pPr>
            <w:r>
              <w:rPr>
                <w:rFonts w:hint="eastAsia" w:ascii="宋体" w:hAnsi="宋体" w:cs="宋体"/>
                <w:color w:val="auto"/>
                <w:highlight w:val="none"/>
              </w:rPr>
              <w:t>1</w:t>
            </w:r>
            <w:r>
              <w:rPr>
                <w:rFonts w:hint="eastAsia" w:ascii="宋体" w:hAnsi="宋体" w:cs="宋体"/>
                <w:color w:val="auto"/>
                <w:highlight w:val="none"/>
                <w:lang w:val="en-US" w:eastAsia="zh-CN"/>
              </w:rPr>
              <w:t>2</w:t>
            </w:r>
          </w:p>
        </w:tc>
        <w:tc>
          <w:tcPr>
            <w:tcW w:w="7798" w:type="dxa"/>
            <w:tcBorders>
              <w:top w:val="single" w:color="auto" w:sz="4" w:space="0"/>
              <w:left w:val="single" w:color="auto" w:sz="4" w:space="0"/>
              <w:bottom w:val="single" w:color="auto" w:sz="4" w:space="0"/>
            </w:tcBorders>
            <w:vAlign w:val="center"/>
          </w:tcPr>
          <w:p>
            <w:pPr>
              <w:snapToGrid w:val="0"/>
              <w:ind w:firstLine="240" w:firstLineChars="100"/>
              <w:rPr>
                <w:rFonts w:ascii="宋体" w:hAnsi="宋体" w:cs="宋体"/>
                <w:color w:val="auto"/>
                <w:highlight w:val="none"/>
              </w:rPr>
            </w:pPr>
            <w:r>
              <w:rPr>
                <w:rFonts w:hint="eastAsia" w:ascii="宋体" w:hAnsi="宋体" w:cs="宋体"/>
                <w:color w:val="auto"/>
                <w:highlight w:val="none"/>
              </w:rPr>
              <w:t>根据《关于在政府采购活动中查询及使用信用记录有关问题的通知》财库[2016]125号的规定：</w:t>
            </w:r>
          </w:p>
          <w:p>
            <w:pPr>
              <w:snapToGrid w:val="0"/>
              <w:ind w:left="120" w:leftChars="50" w:firstLine="480"/>
              <w:rPr>
                <w:rFonts w:ascii="宋体" w:hAnsi="宋体" w:cs="宋体"/>
                <w:color w:val="auto"/>
                <w:highlight w:val="none"/>
              </w:rPr>
            </w:pPr>
            <w:r>
              <w:rPr>
                <w:rFonts w:hint="eastAsia" w:ascii="宋体" w:hAnsi="宋体" w:cs="宋体"/>
                <w:color w:val="auto"/>
                <w:kern w:val="0"/>
                <w:highlight w:val="none"/>
              </w:rPr>
              <w:t>（</w:t>
            </w:r>
            <w:r>
              <w:rPr>
                <w:rFonts w:hint="eastAsia" w:ascii="宋体" w:hAnsi="宋体" w:cs="宋体"/>
                <w:color w:val="auto"/>
                <w:highlight w:val="none"/>
              </w:rPr>
              <w:t>1）招标人或采购代理机构将对本项目供应商的信用记录进行查询。查询渠道为信用中国网站（www.creditchina.gov.cn）、中国政府采购网（www.ccgp.gov.cn）；</w:t>
            </w:r>
          </w:p>
          <w:p>
            <w:pPr>
              <w:snapToGrid w:val="0"/>
              <w:ind w:firstLine="120" w:firstLineChars="50"/>
              <w:rPr>
                <w:rFonts w:ascii="宋体" w:hAnsi="宋体" w:cs="宋体"/>
                <w:color w:val="auto"/>
                <w:highlight w:val="none"/>
              </w:rPr>
            </w:pPr>
            <w:r>
              <w:rPr>
                <w:rFonts w:hint="eastAsia" w:ascii="宋体" w:hAnsi="宋体" w:cs="宋体"/>
                <w:color w:val="auto"/>
                <w:kern w:val="0"/>
                <w:highlight w:val="none"/>
              </w:rPr>
              <w:t>（</w:t>
            </w:r>
            <w:r>
              <w:rPr>
                <w:rFonts w:hint="eastAsia" w:ascii="宋体" w:hAnsi="宋体" w:cs="宋体"/>
                <w:color w:val="auto"/>
                <w:highlight w:val="none"/>
              </w:rPr>
              <w:t>2）截止时点：提交投标文件（响应文件）截止时间前3年内；</w:t>
            </w:r>
          </w:p>
          <w:p>
            <w:pPr>
              <w:snapToGrid w:val="0"/>
              <w:ind w:left="120" w:leftChars="50" w:firstLine="480"/>
              <w:rPr>
                <w:rFonts w:ascii="宋体" w:hAnsi="宋体" w:cs="宋体"/>
                <w:color w:val="auto"/>
                <w:highlight w:val="none"/>
              </w:rPr>
            </w:pPr>
            <w:r>
              <w:rPr>
                <w:rFonts w:hint="eastAsia" w:ascii="宋体" w:hAnsi="宋体" w:cs="宋体"/>
                <w:color w:val="auto"/>
                <w:kern w:val="0"/>
                <w:highlight w:val="none"/>
              </w:rPr>
              <w:t>（</w:t>
            </w:r>
            <w:r>
              <w:rPr>
                <w:rFonts w:hint="eastAsia" w:ascii="宋体" w:hAnsi="宋体" w:cs="宋体"/>
                <w:color w:val="auto"/>
                <w:highlight w:val="none"/>
              </w:rPr>
              <w:t>3）查询记录和证据的留存：信用信息查询记录和证据以网页截图等方式留存。</w:t>
            </w:r>
          </w:p>
          <w:p>
            <w:pPr>
              <w:snapToGrid w:val="0"/>
              <w:ind w:left="120" w:leftChars="50" w:firstLine="480"/>
              <w:rPr>
                <w:rFonts w:ascii="宋体" w:hAnsi="宋体" w:cs="宋体"/>
                <w:color w:val="auto"/>
                <w:highlight w:val="none"/>
              </w:rPr>
            </w:pPr>
            <w:r>
              <w:rPr>
                <w:rFonts w:hint="eastAsia" w:ascii="宋体" w:hAnsi="宋体" w:cs="宋体"/>
                <w:color w:val="auto"/>
                <w:kern w:val="0"/>
                <w:highlight w:val="none"/>
              </w:rPr>
              <w:t>（</w:t>
            </w:r>
            <w:r>
              <w:rPr>
                <w:rFonts w:hint="eastAsia" w:ascii="宋体" w:hAnsi="宋体" w:cs="宋体"/>
                <w:color w:val="auto"/>
                <w:highlight w:val="none"/>
              </w:rPr>
              <w:t>4）使用规则：被列入失信被执行人、重大税收违法案件当事人名单、政府采购严重违法失信行为记录名单及其它不符合《中华人民共和国政府采购法》第二十二条规定条件的，其投标将被拒绝。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936" w:type="dxa"/>
            <w:tcBorders>
              <w:top w:val="single" w:color="auto" w:sz="4" w:space="0"/>
              <w:bottom w:val="single" w:color="auto" w:sz="4" w:space="0"/>
              <w:right w:val="single" w:color="auto" w:sz="4" w:space="0"/>
            </w:tcBorders>
            <w:vAlign w:val="center"/>
          </w:tcPr>
          <w:p>
            <w:pPr>
              <w:snapToGrid w:val="0"/>
              <w:ind w:firstLine="480"/>
              <w:jc w:val="center"/>
              <w:rPr>
                <w:rFonts w:hint="eastAsia" w:ascii="宋体" w:hAnsi="宋体" w:eastAsia="宋体" w:cs="宋体"/>
                <w:color w:val="auto"/>
                <w:highlight w:val="none"/>
                <w:lang w:eastAsia="zh-CN"/>
              </w:rPr>
            </w:pPr>
            <w:r>
              <w:rPr>
                <w:rFonts w:hint="eastAsia" w:ascii="宋体" w:hAnsi="宋体" w:cs="宋体"/>
                <w:color w:val="auto"/>
                <w:highlight w:val="none"/>
              </w:rPr>
              <w:t>1</w:t>
            </w:r>
            <w:r>
              <w:rPr>
                <w:rFonts w:hint="eastAsia" w:ascii="宋体" w:hAnsi="宋体" w:cs="宋体"/>
                <w:color w:val="auto"/>
                <w:highlight w:val="none"/>
                <w:lang w:val="en-US" w:eastAsia="zh-CN"/>
              </w:rPr>
              <w:t>3</w:t>
            </w:r>
          </w:p>
        </w:tc>
        <w:tc>
          <w:tcPr>
            <w:tcW w:w="7798" w:type="dxa"/>
            <w:tcBorders>
              <w:top w:val="single" w:color="auto" w:sz="4" w:space="0"/>
              <w:left w:val="single" w:color="auto" w:sz="4" w:space="0"/>
              <w:bottom w:val="single" w:color="auto" w:sz="4" w:space="0"/>
            </w:tcBorders>
            <w:vAlign w:val="center"/>
          </w:tcPr>
          <w:p>
            <w:pPr>
              <w:widowControl/>
              <w:snapToGrid w:val="0"/>
              <w:ind w:firstLine="480"/>
              <w:rPr>
                <w:rFonts w:ascii="宋体" w:hAnsi="宋体" w:cs="宋体"/>
                <w:b/>
                <w:bCs/>
                <w:color w:val="auto"/>
                <w:highlight w:val="none"/>
              </w:rPr>
            </w:pPr>
            <w:r>
              <w:rPr>
                <w:rFonts w:hint="eastAsia" w:ascii="宋体" w:hAnsi="宋体" w:cs="宋体"/>
                <w:snapToGrid w:val="0"/>
                <w:color w:val="auto"/>
                <w:kern w:val="0"/>
                <w:highlight w:val="none"/>
              </w:rPr>
              <w:t>本项目对应的中小企业划分标准所属行业：</w:t>
            </w:r>
            <w:r>
              <w:rPr>
                <w:rFonts w:hint="eastAsia" w:ascii="宋体" w:hAnsi="宋体" w:cs="宋体"/>
                <w:color w:val="auto"/>
                <w:kern w:val="0"/>
                <w:highlight w:val="none"/>
              </w:rPr>
              <w:t>根据《关于印发中小企业划型标准规定的通知》（工信部联企业〔2011〕300号），本企业按所属行业为</w:t>
            </w:r>
            <w:r>
              <w:rPr>
                <w:rFonts w:hint="eastAsia" w:ascii="宋体" w:hAnsi="宋体"/>
                <w:color w:val="auto"/>
                <w:highlight w:val="none"/>
                <w:shd w:val="clear" w:color="auto" w:fill="FFFFFF"/>
              </w:rPr>
              <w:t>软件和信息技术服务业</w:t>
            </w:r>
            <w:r>
              <w:rPr>
                <w:rFonts w:hint="eastAsia" w:ascii="宋体" w:hAnsi="宋体" w:cs="宋体"/>
                <w:color w:val="auto"/>
                <w:kern w:val="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936" w:type="dxa"/>
            <w:tcBorders>
              <w:top w:val="single" w:color="auto" w:sz="4" w:space="0"/>
              <w:bottom w:val="single" w:color="auto" w:sz="4" w:space="0"/>
              <w:right w:val="single" w:color="auto" w:sz="4" w:space="0"/>
            </w:tcBorders>
            <w:vAlign w:val="center"/>
          </w:tcPr>
          <w:p>
            <w:pPr>
              <w:snapToGrid w:val="0"/>
              <w:ind w:firstLine="480"/>
              <w:jc w:val="center"/>
              <w:rPr>
                <w:rFonts w:hint="eastAsia" w:ascii="宋体" w:hAnsi="宋体" w:eastAsia="宋体" w:cs="宋体"/>
                <w:color w:val="auto"/>
                <w:highlight w:val="none"/>
                <w:lang w:eastAsia="zh-CN"/>
              </w:rPr>
            </w:pPr>
            <w:r>
              <w:rPr>
                <w:rFonts w:hint="eastAsia" w:ascii="宋体" w:hAnsi="宋体" w:cs="宋体"/>
                <w:color w:val="auto"/>
                <w:highlight w:val="none"/>
              </w:rPr>
              <w:t>1</w:t>
            </w:r>
            <w:r>
              <w:rPr>
                <w:rFonts w:hint="eastAsia" w:ascii="宋体" w:hAnsi="宋体" w:cs="宋体"/>
                <w:color w:val="auto"/>
                <w:highlight w:val="none"/>
                <w:lang w:val="en-US" w:eastAsia="zh-CN"/>
              </w:rPr>
              <w:t>4</w:t>
            </w:r>
          </w:p>
        </w:tc>
        <w:tc>
          <w:tcPr>
            <w:tcW w:w="7798" w:type="dxa"/>
            <w:tcBorders>
              <w:top w:val="single" w:color="auto" w:sz="4" w:space="0"/>
              <w:left w:val="single" w:color="auto" w:sz="4" w:space="0"/>
              <w:bottom w:val="single" w:color="auto" w:sz="4" w:space="0"/>
            </w:tcBorders>
            <w:vAlign w:val="center"/>
          </w:tcPr>
          <w:p>
            <w:pPr>
              <w:snapToGrid w:val="0"/>
              <w:ind w:firstLine="480"/>
              <w:rPr>
                <w:rFonts w:ascii="宋体" w:hAnsi="宋体"/>
                <w:color w:val="auto"/>
                <w:highlight w:val="none"/>
              </w:rPr>
            </w:pPr>
            <w:r>
              <w:rPr>
                <w:rFonts w:hint="eastAsia" w:ascii="宋体" w:hAnsi="宋体"/>
                <w:color w:val="auto"/>
                <w:highlight w:val="none"/>
              </w:rPr>
              <w:t>政采贷：（1）本采购项目，中标单位与采购单位签订的政府采购合同适用于政府采购贷款政策，简称“政采贷”，具体内容详见 附件《政府采购支持中小企业信用融资相关事项通知》。本项目中的预付款保函、履约保函也可通过政采云系统办理。</w:t>
            </w:r>
          </w:p>
          <w:p>
            <w:pPr>
              <w:snapToGrid w:val="0"/>
              <w:ind w:firstLine="480"/>
              <w:rPr>
                <w:rFonts w:ascii="宋体" w:hAnsi="宋体" w:cs="宋体"/>
                <w:color w:val="auto"/>
                <w:highlight w:val="none"/>
              </w:rPr>
            </w:pPr>
            <w:r>
              <w:rPr>
                <w:rFonts w:hint="eastAsia" w:ascii="宋体" w:hAnsi="宋体"/>
                <w:color w:val="auto"/>
                <w:highlight w:val="none"/>
              </w:rPr>
              <w:t>（2）为扩大政府采购金融服务面，除政采云网上金融服务合作银行外，东阳市范围内增加浙商银行金华分行东阳支行作为线下合作银行。   浙商银行金华东阳支行联系人：</w:t>
            </w:r>
            <w:r>
              <w:rPr>
                <w:rFonts w:hint="eastAsia" w:ascii="宋体" w:hAnsi="宋体" w:cs="宋体"/>
                <w:color w:val="auto"/>
                <w:highlight w:val="none"/>
              </w:rPr>
              <w:t>许燕</w:t>
            </w:r>
          </w:p>
          <w:p>
            <w:pPr>
              <w:ind w:firstLine="480"/>
              <w:rPr>
                <w:rFonts w:ascii="宋体" w:hAnsi="宋体" w:cs="宋体"/>
                <w:b/>
                <w:bCs/>
                <w:color w:val="auto"/>
                <w:highlight w:val="none"/>
              </w:rPr>
            </w:pPr>
            <w:r>
              <w:rPr>
                <w:rFonts w:hint="eastAsia" w:ascii="宋体" w:hAnsi="宋体" w:cs="宋体"/>
                <w:color w:val="auto"/>
                <w:highlight w:val="none"/>
              </w:rPr>
              <w:t>联系电话：13967983441    0579-86222992。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936" w:type="dxa"/>
            <w:tcBorders>
              <w:top w:val="single" w:color="auto" w:sz="4" w:space="0"/>
              <w:bottom w:val="single" w:color="auto" w:sz="4" w:space="0"/>
              <w:right w:val="single" w:color="auto" w:sz="4" w:space="0"/>
            </w:tcBorders>
            <w:vAlign w:val="center"/>
          </w:tcPr>
          <w:p>
            <w:pPr>
              <w:snapToGrid w:val="0"/>
              <w:ind w:firstLine="480"/>
              <w:jc w:val="center"/>
              <w:rPr>
                <w:rFonts w:hint="eastAsia" w:ascii="宋体" w:eastAsia="宋体" w:cs="宋体"/>
                <w:color w:val="auto"/>
                <w:highlight w:val="none"/>
                <w:lang w:eastAsia="zh-CN"/>
              </w:rPr>
            </w:pPr>
            <w:r>
              <w:rPr>
                <w:rFonts w:hint="eastAsia" w:ascii="宋体" w:hAnsi="宋体" w:cs="宋体"/>
                <w:color w:val="auto"/>
                <w:highlight w:val="none"/>
              </w:rPr>
              <w:t>1</w:t>
            </w:r>
            <w:r>
              <w:rPr>
                <w:rFonts w:hint="eastAsia" w:ascii="宋体" w:hAnsi="宋体" w:cs="宋体"/>
                <w:color w:val="auto"/>
                <w:highlight w:val="none"/>
                <w:lang w:val="en-US" w:eastAsia="zh-CN"/>
              </w:rPr>
              <w:t>5</w:t>
            </w:r>
          </w:p>
        </w:tc>
        <w:tc>
          <w:tcPr>
            <w:tcW w:w="7798" w:type="dxa"/>
            <w:tcBorders>
              <w:top w:val="single" w:color="auto" w:sz="4" w:space="0"/>
              <w:left w:val="single" w:color="auto" w:sz="4" w:space="0"/>
              <w:bottom w:val="single" w:color="auto" w:sz="4" w:space="0"/>
            </w:tcBorders>
            <w:vAlign w:val="center"/>
          </w:tcPr>
          <w:p>
            <w:pPr>
              <w:snapToGrid w:val="0"/>
              <w:ind w:firstLine="480"/>
              <w:rPr>
                <w:rFonts w:ascii="宋体" w:hAnsi="宋体" w:cs="宋体"/>
                <w:color w:val="auto"/>
                <w:highlight w:val="none"/>
              </w:rPr>
            </w:pPr>
            <w:r>
              <w:rPr>
                <w:rFonts w:hint="eastAsia" w:ascii="宋体" w:hAnsi="宋体" w:cs="宋体"/>
                <w:color w:val="auto"/>
                <w:highlight w:val="none"/>
              </w:rPr>
              <w:t>签订合同时间：中标通知书发出后20日内。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936" w:type="dxa"/>
            <w:tcBorders>
              <w:top w:val="single" w:color="auto" w:sz="4" w:space="0"/>
              <w:bottom w:val="single" w:color="auto" w:sz="4" w:space="0"/>
              <w:right w:val="single" w:color="auto" w:sz="4" w:space="0"/>
            </w:tcBorders>
            <w:vAlign w:val="center"/>
          </w:tcPr>
          <w:p>
            <w:pPr>
              <w:snapToGrid w:val="0"/>
              <w:ind w:firstLine="480"/>
              <w:jc w:val="center"/>
              <w:rPr>
                <w:rFonts w:hint="eastAsia" w:ascii="宋体" w:eastAsia="宋体" w:cs="宋体"/>
                <w:color w:val="auto"/>
                <w:highlight w:val="none"/>
                <w:lang w:eastAsia="zh-CN"/>
              </w:rPr>
            </w:pPr>
            <w:r>
              <w:rPr>
                <w:rFonts w:hint="eastAsia" w:ascii="宋体" w:hAnsi="宋体" w:cs="宋体"/>
                <w:color w:val="auto"/>
                <w:highlight w:val="none"/>
              </w:rPr>
              <w:t>1</w:t>
            </w:r>
            <w:r>
              <w:rPr>
                <w:rFonts w:hint="eastAsia" w:ascii="宋体" w:hAnsi="宋体" w:cs="宋体"/>
                <w:color w:val="auto"/>
                <w:highlight w:val="none"/>
                <w:lang w:val="en-US" w:eastAsia="zh-CN"/>
              </w:rPr>
              <w:t>6</w:t>
            </w:r>
          </w:p>
        </w:tc>
        <w:tc>
          <w:tcPr>
            <w:tcW w:w="7798" w:type="dxa"/>
            <w:tcBorders>
              <w:top w:val="single" w:color="auto" w:sz="4" w:space="0"/>
              <w:left w:val="single" w:color="auto" w:sz="4" w:space="0"/>
              <w:bottom w:val="single" w:color="auto" w:sz="4" w:space="0"/>
            </w:tcBorders>
            <w:vAlign w:val="center"/>
          </w:tcPr>
          <w:p>
            <w:pPr>
              <w:ind w:firstLine="480"/>
              <w:rPr>
                <w:rFonts w:ascii="宋体" w:hAnsi="宋体" w:cs="宋体"/>
                <w:color w:val="auto"/>
                <w:highlight w:val="none"/>
              </w:rPr>
            </w:pPr>
            <w:r>
              <w:rPr>
                <w:rFonts w:hint="eastAsia" w:ascii="宋体" w:hAnsi="宋体" w:cs="宋体"/>
                <w:color w:val="auto"/>
                <w:highlight w:val="none"/>
              </w:rPr>
              <w:t>付款方式：</w:t>
            </w:r>
            <w:r>
              <w:rPr>
                <w:rFonts w:hint="eastAsia"/>
                <w:color w:val="auto"/>
                <w:highlight w:val="none"/>
              </w:rPr>
              <w:t>采购人付款方式：合同签订后20个工作日内，支付合同总额的30%。项目验收后，每月经采购人考核确认后，根据考核结果按季度进行支付。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936" w:type="dxa"/>
            <w:tcBorders>
              <w:top w:val="single" w:color="auto" w:sz="4" w:space="0"/>
              <w:bottom w:val="single" w:color="auto" w:sz="4" w:space="0"/>
              <w:right w:val="single" w:color="auto" w:sz="4" w:space="0"/>
            </w:tcBorders>
            <w:vAlign w:val="center"/>
          </w:tcPr>
          <w:p>
            <w:pPr>
              <w:snapToGrid w:val="0"/>
              <w:ind w:firstLine="480"/>
              <w:jc w:val="center"/>
              <w:rPr>
                <w:rFonts w:hint="eastAsia" w:ascii="宋体" w:eastAsia="宋体" w:cs="宋体"/>
                <w:color w:val="auto"/>
                <w:highlight w:val="none"/>
                <w:lang w:eastAsia="zh-CN"/>
              </w:rPr>
            </w:pPr>
            <w:r>
              <w:rPr>
                <w:rFonts w:hint="eastAsia" w:ascii="宋体" w:hAnsi="宋体" w:cs="宋体"/>
                <w:color w:val="auto"/>
                <w:highlight w:val="none"/>
              </w:rPr>
              <w:t>1</w:t>
            </w:r>
            <w:r>
              <w:rPr>
                <w:rFonts w:hint="eastAsia" w:ascii="宋体" w:hAnsi="宋体" w:cs="宋体"/>
                <w:color w:val="auto"/>
                <w:highlight w:val="none"/>
                <w:lang w:val="en-US" w:eastAsia="zh-CN"/>
              </w:rPr>
              <w:t>7</w:t>
            </w:r>
          </w:p>
        </w:tc>
        <w:tc>
          <w:tcPr>
            <w:tcW w:w="7798" w:type="dxa"/>
            <w:tcBorders>
              <w:top w:val="single" w:color="auto" w:sz="4" w:space="0"/>
              <w:left w:val="single" w:color="auto" w:sz="4" w:space="0"/>
              <w:bottom w:val="single" w:color="auto" w:sz="4" w:space="0"/>
            </w:tcBorders>
            <w:vAlign w:val="center"/>
          </w:tcPr>
          <w:p>
            <w:pPr>
              <w:snapToGrid w:val="0"/>
              <w:ind w:firstLine="480"/>
              <w:rPr>
                <w:rFonts w:ascii="宋体" w:hAnsi="宋体" w:cs="宋体"/>
                <w:color w:val="auto"/>
                <w:highlight w:val="none"/>
              </w:rPr>
            </w:pPr>
            <w:r>
              <w:rPr>
                <w:rFonts w:hint="eastAsia" w:ascii="宋体" w:hAnsi="宋体" w:cs="宋体"/>
                <w:color w:val="auto"/>
                <w:highlight w:val="none"/>
              </w:rPr>
              <w:t>投标有效期：60天。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936" w:type="dxa"/>
            <w:tcBorders>
              <w:top w:val="single" w:color="auto" w:sz="4" w:space="0"/>
              <w:bottom w:val="single" w:color="auto" w:sz="4" w:space="0"/>
              <w:right w:val="single" w:color="auto" w:sz="4" w:space="0"/>
            </w:tcBorders>
            <w:vAlign w:val="center"/>
          </w:tcPr>
          <w:p>
            <w:pPr>
              <w:snapToGrid w:val="0"/>
              <w:ind w:firstLine="480"/>
              <w:jc w:val="center"/>
              <w:rPr>
                <w:rFonts w:hint="default" w:ascii="宋体" w:eastAsia="宋体" w:cs="宋体"/>
                <w:color w:val="auto"/>
                <w:highlight w:val="none"/>
                <w:lang w:val="en-US" w:eastAsia="zh-CN"/>
              </w:rPr>
            </w:pPr>
            <w:r>
              <w:rPr>
                <w:rFonts w:hint="eastAsia" w:ascii="宋体" w:hAnsi="宋体" w:cs="宋体"/>
                <w:color w:val="auto"/>
                <w:highlight w:val="none"/>
                <w:lang w:val="en-US" w:eastAsia="zh-CN"/>
              </w:rPr>
              <w:t>18</w:t>
            </w:r>
          </w:p>
        </w:tc>
        <w:tc>
          <w:tcPr>
            <w:tcW w:w="7798" w:type="dxa"/>
            <w:tcBorders>
              <w:top w:val="single" w:color="auto" w:sz="4" w:space="0"/>
              <w:left w:val="single" w:color="auto" w:sz="4" w:space="0"/>
              <w:bottom w:val="single" w:color="auto" w:sz="4" w:space="0"/>
            </w:tcBorders>
            <w:vAlign w:val="center"/>
          </w:tcPr>
          <w:p>
            <w:pPr>
              <w:snapToGrid w:val="0"/>
              <w:ind w:firstLine="480"/>
              <w:rPr>
                <w:rFonts w:ascii="宋体" w:hAnsi="宋体" w:cs="宋体"/>
                <w:color w:val="auto"/>
                <w:highlight w:val="none"/>
              </w:rPr>
            </w:pPr>
            <w:r>
              <w:rPr>
                <w:rFonts w:hint="eastAsia" w:ascii="宋体" w:hAnsi="宋体" w:cs="宋体"/>
                <w:color w:val="auto"/>
                <w:highlight w:val="none"/>
              </w:rPr>
              <w:t>解释：本招标文件的解释权归招标采购单位。招标人对投标人的落选不作任何解释。</w:t>
            </w:r>
          </w:p>
        </w:tc>
      </w:tr>
    </w:tbl>
    <w:p>
      <w:pPr>
        <w:pStyle w:val="3"/>
        <w:ind w:firstLine="0" w:firstLineChars="0"/>
        <w:rPr>
          <w:color w:val="auto"/>
          <w:highlight w:val="none"/>
        </w:rPr>
      </w:pPr>
    </w:p>
    <w:p>
      <w:pPr>
        <w:pStyle w:val="3"/>
        <w:ind w:firstLine="344"/>
        <w:rPr>
          <w:color w:val="auto"/>
          <w:highlight w:val="none"/>
        </w:rPr>
      </w:pPr>
    </w:p>
    <w:p>
      <w:pPr>
        <w:pStyle w:val="29"/>
        <w:snapToGrid w:val="0"/>
        <w:spacing w:beforeLines="0" w:afterLines="0" w:line="360" w:lineRule="auto"/>
        <w:ind w:firstLine="472" w:firstLineChars="196"/>
        <w:outlineLvl w:val="1"/>
        <w:rPr>
          <w:rFonts w:hAnsi="宋体" w:cs="宋体"/>
          <w:b/>
          <w:color w:val="auto"/>
          <w:highlight w:val="none"/>
        </w:rPr>
      </w:pPr>
      <w:r>
        <w:rPr>
          <w:rFonts w:hint="eastAsia" w:hAnsi="宋体" w:cs="宋体"/>
          <w:b/>
          <w:color w:val="auto"/>
          <w:highlight w:val="none"/>
        </w:rPr>
        <w:t>一、总则</w:t>
      </w:r>
    </w:p>
    <w:p>
      <w:pPr>
        <w:snapToGrid w:val="0"/>
        <w:ind w:firstLine="472" w:firstLineChars="196"/>
        <w:outlineLvl w:val="2"/>
        <w:rPr>
          <w:rFonts w:ascii="宋体" w:cs="宋体"/>
          <w:b/>
          <w:color w:val="auto"/>
          <w:highlight w:val="none"/>
        </w:rPr>
      </w:pPr>
      <w:r>
        <w:rPr>
          <w:rFonts w:hint="eastAsia" w:ascii="宋体" w:hAnsi="宋体" w:cs="宋体"/>
          <w:b/>
          <w:color w:val="auto"/>
          <w:highlight w:val="none"/>
        </w:rPr>
        <w:t>（一）适用范围</w:t>
      </w:r>
    </w:p>
    <w:p>
      <w:pPr>
        <w:snapToGrid w:val="0"/>
        <w:ind w:firstLine="480"/>
        <w:rPr>
          <w:rFonts w:ascii="宋体" w:cs="宋体"/>
          <w:color w:val="auto"/>
          <w:highlight w:val="none"/>
        </w:rPr>
      </w:pPr>
      <w:r>
        <w:rPr>
          <w:rFonts w:hint="eastAsia" w:ascii="宋体" w:hAnsi="宋体" w:cs="宋体"/>
          <w:color w:val="auto"/>
          <w:highlight w:val="none"/>
        </w:rPr>
        <w:t>本招标文件仅适用于</w:t>
      </w:r>
      <w:r>
        <w:rPr>
          <w:rFonts w:hint="eastAsia" w:ascii="宋体" w:hAnsi="宋体"/>
          <w:color w:val="auto"/>
          <w:highlight w:val="none"/>
          <w:u w:val="single"/>
        </w:rPr>
        <w:t>东阳市应急广播维保提升改造项目</w:t>
      </w:r>
      <w:r>
        <w:rPr>
          <w:rFonts w:hint="eastAsia" w:ascii="宋体" w:hAnsi="宋体" w:cs="宋体"/>
          <w:color w:val="auto"/>
          <w:highlight w:val="none"/>
        </w:rPr>
        <w:t>的招标采购。</w:t>
      </w:r>
    </w:p>
    <w:p>
      <w:pPr>
        <w:snapToGrid w:val="0"/>
        <w:ind w:firstLine="472" w:firstLineChars="196"/>
        <w:outlineLvl w:val="2"/>
        <w:rPr>
          <w:rFonts w:ascii="宋体" w:cs="宋体"/>
          <w:b/>
          <w:color w:val="auto"/>
          <w:highlight w:val="none"/>
        </w:rPr>
      </w:pPr>
      <w:r>
        <w:rPr>
          <w:rFonts w:hint="eastAsia" w:ascii="宋体" w:hAnsi="宋体" w:cs="宋体"/>
          <w:b/>
          <w:color w:val="auto"/>
          <w:highlight w:val="none"/>
        </w:rPr>
        <w:t>（二）定义</w:t>
      </w:r>
    </w:p>
    <w:p>
      <w:pPr>
        <w:ind w:firstLine="48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招标采购单位系指组织本次招标的</w:t>
      </w:r>
      <w:r>
        <w:rPr>
          <w:rFonts w:ascii="宋体" w:hAnsi="宋体"/>
          <w:bCs/>
          <w:color w:val="auto"/>
          <w:highlight w:val="none"/>
        </w:rPr>
        <w:t xml:space="preserve">东阳市文化和广电旅游体育局 </w:t>
      </w:r>
      <w:r>
        <w:rPr>
          <w:rFonts w:ascii="宋体" w:hAnsi="宋体" w:cs="宋体"/>
          <w:color w:val="auto"/>
          <w:highlight w:val="none"/>
        </w:rPr>
        <w:t>(</w:t>
      </w:r>
      <w:r>
        <w:rPr>
          <w:rFonts w:hint="eastAsia" w:ascii="宋体" w:hAnsi="宋体" w:cs="宋体"/>
          <w:color w:val="auto"/>
          <w:highlight w:val="none"/>
        </w:rPr>
        <w:t>采购人</w:t>
      </w:r>
      <w:r>
        <w:rPr>
          <w:rFonts w:ascii="宋体" w:hAnsi="宋体" w:cs="宋体"/>
          <w:color w:val="auto"/>
          <w:highlight w:val="none"/>
        </w:rPr>
        <w:t>)</w:t>
      </w:r>
      <w:r>
        <w:rPr>
          <w:rFonts w:hint="eastAsia" w:ascii="宋体" w:hAnsi="宋体" w:cs="宋体"/>
          <w:color w:val="auto"/>
          <w:highlight w:val="none"/>
        </w:rPr>
        <w:t>和浙江衢州公信工程管理有限公司（招标方）。</w:t>
      </w:r>
    </w:p>
    <w:p>
      <w:pPr>
        <w:snapToGrid w:val="0"/>
        <w:ind w:firstLine="48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“投标人”系指向招标方提交投标文件的单位。</w:t>
      </w:r>
    </w:p>
    <w:p>
      <w:pPr>
        <w:snapToGrid w:val="0"/>
        <w:ind w:firstLine="48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“产品”系指供方按招标文件规定，须向采购人提供的一切设备、保险、税金、备品备件、工具、手册及其它有关技术资料和材料。</w:t>
      </w:r>
    </w:p>
    <w:p>
      <w:pPr>
        <w:snapToGrid w:val="0"/>
        <w:ind w:firstLine="480"/>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“服务”系指招标文件规定投标人须承担的安装、调试、技术协助、校准、培训、技术指导以及其他类似的义务。</w:t>
      </w:r>
    </w:p>
    <w:p>
      <w:pPr>
        <w:snapToGrid w:val="0"/>
        <w:ind w:firstLine="480"/>
        <w:rPr>
          <w:rFonts w:ascii="宋体" w:cs="宋体"/>
          <w:color w:val="auto"/>
          <w:highlight w:val="none"/>
        </w:rPr>
      </w:pPr>
      <w:r>
        <w:rPr>
          <w:rFonts w:ascii="宋体" w:hAnsi="宋体" w:cs="宋体"/>
          <w:color w:val="auto"/>
          <w:highlight w:val="none"/>
        </w:rPr>
        <w:t>5.</w:t>
      </w:r>
      <w:r>
        <w:rPr>
          <w:rFonts w:hint="eastAsia" w:ascii="宋体" w:hAnsi="宋体" w:cs="宋体"/>
          <w:color w:val="auto"/>
          <w:highlight w:val="none"/>
        </w:rPr>
        <w:t>“项目”系指投标人按招标文件规定向采购人提供的产品和服务。</w:t>
      </w:r>
    </w:p>
    <w:p>
      <w:pPr>
        <w:snapToGrid w:val="0"/>
        <w:ind w:firstLine="480"/>
        <w:rPr>
          <w:rFonts w:ascii="宋体" w:cs="宋体"/>
          <w:color w:val="auto"/>
          <w:highlight w:val="none"/>
        </w:rPr>
      </w:pPr>
      <w:r>
        <w:rPr>
          <w:rFonts w:ascii="宋体" w:hAnsi="宋体" w:cs="宋体"/>
          <w:color w:val="auto"/>
          <w:highlight w:val="none"/>
        </w:rPr>
        <w:t>6.</w:t>
      </w:r>
      <w:r>
        <w:rPr>
          <w:rFonts w:hint="eastAsia" w:ascii="宋体" w:hAnsi="宋体" w:cs="宋体"/>
          <w:color w:val="auto"/>
          <w:highlight w:val="none"/>
        </w:rPr>
        <w:t>“书面形式”包括信函、传真、电报等。</w:t>
      </w:r>
    </w:p>
    <w:p>
      <w:pPr>
        <w:snapToGrid w:val="0"/>
        <w:ind w:firstLine="480"/>
        <w:rPr>
          <w:rFonts w:ascii="宋体" w:cs="宋体"/>
          <w:color w:val="auto"/>
          <w:highlight w:val="none"/>
        </w:rPr>
      </w:pPr>
      <w:r>
        <w:rPr>
          <w:rFonts w:ascii="宋体" w:hAnsi="宋体" w:cs="宋体"/>
          <w:color w:val="auto"/>
          <w:highlight w:val="none"/>
        </w:rPr>
        <w:t>7.</w:t>
      </w:r>
      <w:r>
        <w:rPr>
          <w:rFonts w:hint="eastAsia" w:ascii="宋体" w:hAnsi="宋体" w:cs="宋体"/>
          <w:color w:val="auto"/>
          <w:highlight w:val="none"/>
        </w:rPr>
        <w:t>“</w:t>
      </w:r>
      <w:r>
        <w:rPr>
          <w:rFonts w:hint="eastAsia" w:ascii="宋体" w:hAnsi="宋体"/>
          <w:color w:val="auto"/>
          <w:highlight w:val="none"/>
        </w:rPr>
        <w:t>▲</w:t>
      </w:r>
      <w:r>
        <w:rPr>
          <w:rFonts w:hint="eastAsia" w:ascii="宋体" w:hAnsi="宋体" w:cs="宋体"/>
          <w:color w:val="auto"/>
          <w:highlight w:val="none"/>
        </w:rPr>
        <w:t>”系指实质性要求条款，“</w:t>
      </w:r>
      <w:r>
        <w:rPr>
          <w:rFonts w:hint="eastAsia"/>
          <w:color w:val="auto"/>
          <w:highlight w:val="none"/>
        </w:rPr>
        <w:t>★</w:t>
      </w:r>
      <w:r>
        <w:rPr>
          <w:rFonts w:hint="eastAsia" w:ascii="宋体" w:hAnsi="宋体" w:cs="宋体"/>
          <w:color w:val="auto"/>
          <w:highlight w:val="none"/>
        </w:rPr>
        <w:t>”系指重要参数。</w:t>
      </w:r>
    </w:p>
    <w:p>
      <w:pPr>
        <w:snapToGrid w:val="0"/>
        <w:ind w:firstLine="472" w:firstLineChars="196"/>
        <w:outlineLvl w:val="2"/>
        <w:rPr>
          <w:rFonts w:ascii="宋体" w:cs="宋体"/>
          <w:b/>
          <w:color w:val="auto"/>
          <w:highlight w:val="none"/>
        </w:rPr>
      </w:pPr>
      <w:r>
        <w:rPr>
          <w:rFonts w:hint="eastAsia" w:ascii="宋体" w:hAnsi="宋体" w:cs="宋体"/>
          <w:b/>
          <w:color w:val="auto"/>
          <w:highlight w:val="none"/>
        </w:rPr>
        <w:t>（三）招标方式</w:t>
      </w:r>
    </w:p>
    <w:p>
      <w:pPr>
        <w:snapToGrid w:val="0"/>
        <w:ind w:firstLine="480"/>
        <w:rPr>
          <w:rFonts w:ascii="宋体" w:cs="宋体"/>
          <w:color w:val="auto"/>
          <w:highlight w:val="none"/>
        </w:rPr>
      </w:pPr>
      <w:r>
        <w:rPr>
          <w:rFonts w:hint="eastAsia" w:ascii="宋体" w:hAnsi="宋体" w:cs="宋体"/>
          <w:color w:val="auto"/>
          <w:highlight w:val="none"/>
        </w:rPr>
        <w:t>本次招标采用公开招标方式进行。</w:t>
      </w:r>
    </w:p>
    <w:p>
      <w:pPr>
        <w:snapToGrid w:val="0"/>
        <w:ind w:firstLine="472" w:firstLineChars="196"/>
        <w:outlineLvl w:val="2"/>
        <w:rPr>
          <w:rFonts w:ascii="宋体" w:cs="宋体"/>
          <w:b/>
          <w:color w:val="auto"/>
          <w:highlight w:val="none"/>
        </w:rPr>
      </w:pPr>
      <w:r>
        <w:rPr>
          <w:rFonts w:hint="eastAsia" w:ascii="宋体" w:hAnsi="宋体" w:cs="宋体"/>
          <w:b/>
          <w:color w:val="auto"/>
          <w:highlight w:val="none"/>
        </w:rPr>
        <w:t>（四）投标委托</w:t>
      </w:r>
    </w:p>
    <w:p>
      <w:pPr>
        <w:pStyle w:val="2"/>
        <w:snapToGrid w:val="0"/>
        <w:spacing w:line="360" w:lineRule="auto"/>
        <w:ind w:firstLine="464"/>
        <w:rPr>
          <w:rFonts w:hAnsi="宋体" w:cs="宋体"/>
          <w:color w:val="auto"/>
          <w:sz w:val="24"/>
          <w:szCs w:val="24"/>
          <w:highlight w:val="none"/>
        </w:rPr>
      </w:pPr>
      <w:r>
        <w:rPr>
          <w:rFonts w:hint="eastAsia" w:hAnsi="宋体" w:cs="宋体"/>
          <w:color w:val="auto"/>
          <w:sz w:val="24"/>
          <w:szCs w:val="24"/>
          <w:highlight w:val="none"/>
        </w:rPr>
        <w:t>投标人代表须携带有效身份证件等有效证明。如投标人代表不是法定代表人，须有法定代表人出具的授权委托书。</w:t>
      </w:r>
    </w:p>
    <w:p>
      <w:pPr>
        <w:snapToGrid w:val="0"/>
        <w:ind w:firstLine="472" w:firstLineChars="196"/>
        <w:outlineLvl w:val="2"/>
        <w:rPr>
          <w:rFonts w:ascii="宋体" w:cs="宋体"/>
          <w:b/>
          <w:color w:val="auto"/>
          <w:highlight w:val="none"/>
        </w:rPr>
      </w:pPr>
      <w:r>
        <w:rPr>
          <w:rFonts w:hint="eastAsia" w:ascii="宋体" w:hAnsi="宋体" w:cs="宋体"/>
          <w:b/>
          <w:color w:val="auto"/>
          <w:highlight w:val="none"/>
        </w:rPr>
        <w:t>（五）投标费用</w:t>
      </w:r>
    </w:p>
    <w:p>
      <w:pPr>
        <w:widowControl/>
        <w:ind w:firstLine="480"/>
        <w:rPr>
          <w:rFonts w:ascii="宋体" w:hAnsi="宋体" w:cs="宋体"/>
          <w:color w:val="auto"/>
          <w:kern w:val="0"/>
          <w:highlight w:val="none"/>
        </w:rPr>
      </w:pPr>
      <w:r>
        <w:rPr>
          <w:rFonts w:hint="eastAsia" w:ascii="宋体" w:hAnsi="宋体" w:cs="宋体"/>
          <w:color w:val="auto"/>
          <w:highlight w:val="none"/>
        </w:rPr>
        <w:t>不论投标结果如何，投标人均应自行承担所有与投标有关的全部费用（招标文件有相反规定除外）。</w:t>
      </w:r>
      <w:r>
        <w:rPr>
          <w:rFonts w:hint="eastAsia" w:ascii="宋体" w:hAnsi="宋体"/>
          <w:color w:val="auto"/>
          <w:highlight w:val="none"/>
        </w:rPr>
        <w:t>中标人须在领取中标通知书前向招标代理机构交纳中标服务费，中标服务费按以下标准计算收取。</w:t>
      </w:r>
    </w:p>
    <w:p>
      <w:pPr>
        <w:widowControl/>
        <w:ind w:firstLine="2650" w:firstLineChars="1100"/>
        <w:rPr>
          <w:rFonts w:ascii="宋体" w:hAnsi="宋体"/>
          <w:color w:val="auto"/>
          <w:kern w:val="0"/>
          <w:highlight w:val="none"/>
        </w:rPr>
      </w:pPr>
      <w:r>
        <w:rPr>
          <w:rFonts w:ascii="宋体" w:hAnsi="宋体"/>
          <w:b/>
          <w:bCs/>
          <w:color w:val="auto"/>
          <w:kern w:val="0"/>
          <w:highlight w:val="none"/>
        </w:rPr>
        <w:t>招标代理服务收费标准</w:t>
      </w:r>
    </w:p>
    <w:tbl>
      <w:tblPr>
        <w:tblStyle w:val="46"/>
        <w:tblW w:w="8549" w:type="dxa"/>
        <w:jc w:val="center"/>
        <w:tblLayout w:type="fixed"/>
        <w:tblCellMar>
          <w:top w:w="0" w:type="dxa"/>
          <w:left w:w="0" w:type="dxa"/>
          <w:bottom w:w="0" w:type="dxa"/>
          <w:right w:w="0" w:type="dxa"/>
        </w:tblCellMar>
      </w:tblPr>
      <w:tblGrid>
        <w:gridCol w:w="3559"/>
        <w:gridCol w:w="4990"/>
      </w:tblGrid>
      <w:tr>
        <w:tblPrEx>
          <w:tblCellMar>
            <w:top w:w="0" w:type="dxa"/>
            <w:left w:w="0" w:type="dxa"/>
            <w:bottom w:w="0" w:type="dxa"/>
            <w:right w:w="0" w:type="dxa"/>
          </w:tblCellMar>
        </w:tblPrEx>
        <w:trPr>
          <w:trHeight w:val="419" w:hRule="atLeast"/>
          <w:jc w:val="center"/>
        </w:trPr>
        <w:tc>
          <w:tcPr>
            <w:tcW w:w="3559" w:type="dxa"/>
            <w:tcBorders>
              <w:top w:val="single" w:color="auto" w:sz="6" w:space="0"/>
              <w:left w:val="single" w:color="auto" w:sz="6" w:space="0"/>
              <w:bottom w:val="single" w:color="auto" w:sz="6" w:space="0"/>
              <w:right w:val="single" w:color="auto" w:sz="6" w:space="0"/>
            </w:tcBorders>
            <w:vAlign w:val="center"/>
          </w:tcPr>
          <w:p>
            <w:pPr>
              <w:spacing w:line="300" w:lineRule="exact"/>
              <w:ind w:firstLine="482"/>
              <w:rPr>
                <w:rFonts w:ascii="宋体" w:hAnsi="宋体"/>
                <w:b/>
                <w:color w:val="auto"/>
                <w:highlight w:val="none"/>
              </w:rPr>
            </w:pPr>
            <w:r>
              <w:rPr>
                <w:rFonts w:hint="eastAsia" w:ascii="宋体" w:hAnsi="宋体"/>
                <w:b/>
                <w:color w:val="auto"/>
                <w:highlight w:val="none"/>
              </w:rPr>
              <w:t xml:space="preserve">      中标金额（万元）</w:t>
            </w:r>
          </w:p>
        </w:tc>
        <w:tc>
          <w:tcPr>
            <w:tcW w:w="4990" w:type="dxa"/>
            <w:tcBorders>
              <w:top w:val="single" w:color="auto" w:sz="6" w:space="0"/>
              <w:left w:val="single" w:color="auto" w:sz="6" w:space="0"/>
              <w:bottom w:val="single" w:color="auto" w:sz="6" w:space="0"/>
              <w:right w:val="single" w:color="auto" w:sz="6" w:space="0"/>
            </w:tcBorders>
            <w:vAlign w:val="center"/>
          </w:tcPr>
          <w:p>
            <w:pPr>
              <w:spacing w:line="300" w:lineRule="exact"/>
              <w:ind w:firstLine="482"/>
              <w:jc w:val="center"/>
              <w:rPr>
                <w:rFonts w:ascii="宋体" w:hAnsi="宋体"/>
                <w:b/>
                <w:color w:val="auto"/>
                <w:highlight w:val="none"/>
              </w:rPr>
            </w:pPr>
            <w:r>
              <w:rPr>
                <w:rFonts w:hint="eastAsia" w:ascii="宋体" w:hAnsi="宋体"/>
                <w:b/>
                <w:color w:val="auto"/>
                <w:highlight w:val="none"/>
              </w:rPr>
              <w:t>服务招标</w:t>
            </w:r>
          </w:p>
        </w:tc>
      </w:tr>
      <w:tr>
        <w:tblPrEx>
          <w:tblCellMar>
            <w:top w:w="0" w:type="dxa"/>
            <w:left w:w="0" w:type="dxa"/>
            <w:bottom w:w="0" w:type="dxa"/>
            <w:right w:w="0" w:type="dxa"/>
          </w:tblCellMar>
        </w:tblPrEx>
        <w:trPr>
          <w:trHeight w:val="411" w:hRule="atLeast"/>
          <w:jc w:val="center"/>
        </w:trPr>
        <w:tc>
          <w:tcPr>
            <w:tcW w:w="3559" w:type="dxa"/>
            <w:tcBorders>
              <w:top w:val="single" w:color="auto" w:sz="6" w:space="0"/>
              <w:left w:val="single" w:color="auto" w:sz="6" w:space="0"/>
              <w:bottom w:val="single" w:color="auto" w:sz="6" w:space="0"/>
              <w:right w:val="single" w:color="auto" w:sz="6" w:space="0"/>
            </w:tcBorders>
            <w:vAlign w:val="center"/>
          </w:tcPr>
          <w:p>
            <w:pPr>
              <w:spacing w:line="300" w:lineRule="exact"/>
              <w:ind w:firstLine="204" w:firstLineChars="85"/>
              <w:jc w:val="center"/>
              <w:rPr>
                <w:rFonts w:ascii="宋体" w:hAnsi="宋体"/>
                <w:color w:val="auto"/>
                <w:highlight w:val="none"/>
              </w:rPr>
            </w:pPr>
            <w:r>
              <w:rPr>
                <w:rFonts w:hint="eastAsia" w:ascii="宋体" w:hAnsi="宋体"/>
                <w:color w:val="auto"/>
                <w:highlight w:val="none"/>
              </w:rPr>
              <w:t>100以下</w:t>
            </w:r>
          </w:p>
        </w:tc>
        <w:tc>
          <w:tcPr>
            <w:tcW w:w="4990" w:type="dxa"/>
            <w:tcBorders>
              <w:top w:val="single" w:color="auto" w:sz="6" w:space="0"/>
              <w:left w:val="single" w:color="auto" w:sz="6" w:space="0"/>
              <w:bottom w:val="single" w:color="auto" w:sz="6" w:space="0"/>
              <w:right w:val="single" w:color="auto" w:sz="6" w:space="0"/>
            </w:tcBorders>
            <w:vAlign w:val="center"/>
          </w:tcPr>
          <w:p>
            <w:pPr>
              <w:spacing w:line="300" w:lineRule="exact"/>
              <w:ind w:firstLine="480"/>
              <w:jc w:val="center"/>
              <w:rPr>
                <w:rFonts w:ascii="宋体" w:hAnsi="宋体"/>
                <w:color w:val="auto"/>
                <w:highlight w:val="none"/>
              </w:rPr>
            </w:pPr>
            <w:r>
              <w:rPr>
                <w:rFonts w:hint="eastAsia" w:ascii="宋体" w:hAnsi="宋体"/>
                <w:color w:val="auto"/>
                <w:highlight w:val="none"/>
              </w:rPr>
              <w:t>1.5％</w:t>
            </w:r>
          </w:p>
        </w:tc>
      </w:tr>
      <w:tr>
        <w:tblPrEx>
          <w:tblCellMar>
            <w:top w:w="0" w:type="dxa"/>
            <w:left w:w="0" w:type="dxa"/>
            <w:bottom w:w="0" w:type="dxa"/>
            <w:right w:w="0" w:type="dxa"/>
          </w:tblCellMar>
        </w:tblPrEx>
        <w:trPr>
          <w:trHeight w:val="418" w:hRule="atLeast"/>
          <w:jc w:val="center"/>
        </w:trPr>
        <w:tc>
          <w:tcPr>
            <w:tcW w:w="3559" w:type="dxa"/>
            <w:tcBorders>
              <w:top w:val="single" w:color="auto" w:sz="6" w:space="0"/>
              <w:left w:val="single" w:color="auto" w:sz="6" w:space="0"/>
              <w:bottom w:val="single" w:color="auto" w:sz="6" w:space="0"/>
              <w:right w:val="single" w:color="auto" w:sz="6" w:space="0"/>
            </w:tcBorders>
            <w:vAlign w:val="center"/>
          </w:tcPr>
          <w:p>
            <w:pPr>
              <w:spacing w:line="300" w:lineRule="exact"/>
              <w:ind w:firstLine="204" w:firstLineChars="85"/>
              <w:jc w:val="center"/>
              <w:rPr>
                <w:rFonts w:ascii="宋体" w:hAnsi="宋体"/>
                <w:color w:val="auto"/>
                <w:highlight w:val="none"/>
              </w:rPr>
            </w:pPr>
            <w:r>
              <w:rPr>
                <w:rFonts w:hint="eastAsia" w:ascii="宋体" w:hAnsi="宋体"/>
                <w:color w:val="auto"/>
                <w:highlight w:val="none"/>
              </w:rPr>
              <w:t>100—500</w:t>
            </w:r>
          </w:p>
        </w:tc>
        <w:tc>
          <w:tcPr>
            <w:tcW w:w="4990" w:type="dxa"/>
            <w:tcBorders>
              <w:top w:val="single" w:color="auto" w:sz="6" w:space="0"/>
              <w:left w:val="single" w:color="auto" w:sz="6" w:space="0"/>
              <w:bottom w:val="single" w:color="auto" w:sz="6" w:space="0"/>
              <w:right w:val="single" w:color="auto" w:sz="6" w:space="0"/>
            </w:tcBorders>
            <w:vAlign w:val="center"/>
          </w:tcPr>
          <w:p>
            <w:pPr>
              <w:spacing w:line="300" w:lineRule="exact"/>
              <w:ind w:firstLine="480"/>
              <w:jc w:val="center"/>
              <w:rPr>
                <w:rFonts w:ascii="宋体" w:hAnsi="宋体"/>
                <w:color w:val="auto"/>
                <w:highlight w:val="none"/>
              </w:rPr>
            </w:pPr>
            <w:r>
              <w:rPr>
                <w:rFonts w:hint="eastAsia" w:ascii="宋体" w:hAnsi="宋体"/>
                <w:color w:val="auto"/>
                <w:highlight w:val="none"/>
              </w:rPr>
              <w:t>0.8％</w:t>
            </w:r>
          </w:p>
        </w:tc>
      </w:tr>
      <w:tr>
        <w:tblPrEx>
          <w:tblCellMar>
            <w:top w:w="0" w:type="dxa"/>
            <w:left w:w="0" w:type="dxa"/>
            <w:bottom w:w="0" w:type="dxa"/>
            <w:right w:w="0" w:type="dxa"/>
          </w:tblCellMar>
        </w:tblPrEx>
        <w:trPr>
          <w:trHeight w:val="418" w:hRule="atLeast"/>
          <w:jc w:val="center"/>
        </w:trPr>
        <w:tc>
          <w:tcPr>
            <w:tcW w:w="3559" w:type="dxa"/>
            <w:tcBorders>
              <w:top w:val="single" w:color="auto" w:sz="6" w:space="0"/>
              <w:left w:val="single" w:color="auto" w:sz="6" w:space="0"/>
              <w:bottom w:val="single" w:color="auto" w:sz="6" w:space="0"/>
              <w:right w:val="single" w:color="auto" w:sz="6" w:space="0"/>
            </w:tcBorders>
            <w:vAlign w:val="center"/>
          </w:tcPr>
          <w:p>
            <w:pPr>
              <w:spacing w:line="300" w:lineRule="exact"/>
              <w:ind w:firstLine="204" w:firstLineChars="85"/>
              <w:jc w:val="center"/>
              <w:rPr>
                <w:rFonts w:ascii="宋体" w:hAnsi="宋体"/>
                <w:color w:val="auto"/>
                <w:highlight w:val="none"/>
              </w:rPr>
            </w:pPr>
            <w:r>
              <w:rPr>
                <w:rFonts w:ascii="宋体" w:hAnsi="宋体"/>
                <w:color w:val="auto"/>
                <w:highlight w:val="none"/>
              </w:rPr>
              <w:t>500-1000</w:t>
            </w:r>
          </w:p>
        </w:tc>
        <w:tc>
          <w:tcPr>
            <w:tcW w:w="4990" w:type="dxa"/>
            <w:tcBorders>
              <w:top w:val="single" w:color="auto" w:sz="6" w:space="0"/>
              <w:left w:val="single" w:color="auto" w:sz="6" w:space="0"/>
              <w:bottom w:val="single" w:color="auto" w:sz="6" w:space="0"/>
              <w:right w:val="single" w:color="auto" w:sz="6" w:space="0"/>
            </w:tcBorders>
            <w:vAlign w:val="center"/>
          </w:tcPr>
          <w:p>
            <w:pPr>
              <w:spacing w:line="300" w:lineRule="exact"/>
              <w:ind w:firstLine="480"/>
              <w:jc w:val="center"/>
              <w:rPr>
                <w:rFonts w:ascii="宋体" w:hAnsi="宋体"/>
                <w:color w:val="auto"/>
                <w:highlight w:val="none"/>
              </w:rPr>
            </w:pPr>
            <w:r>
              <w:rPr>
                <w:rFonts w:hint="eastAsia" w:ascii="宋体" w:hAnsi="宋体"/>
                <w:color w:val="auto"/>
                <w:highlight w:val="none"/>
              </w:rPr>
              <w:t>0.45</w:t>
            </w:r>
            <w:r>
              <w:rPr>
                <w:rFonts w:ascii="宋体" w:hAnsi="宋体"/>
                <w:color w:val="auto"/>
                <w:highlight w:val="none"/>
              </w:rPr>
              <w:t>%</w:t>
            </w:r>
          </w:p>
        </w:tc>
      </w:tr>
      <w:tr>
        <w:tblPrEx>
          <w:tblCellMar>
            <w:top w:w="0" w:type="dxa"/>
            <w:left w:w="0" w:type="dxa"/>
            <w:bottom w:w="0" w:type="dxa"/>
            <w:right w:w="0" w:type="dxa"/>
          </w:tblCellMar>
        </w:tblPrEx>
        <w:trPr>
          <w:trHeight w:val="418" w:hRule="atLeast"/>
          <w:jc w:val="center"/>
        </w:trPr>
        <w:tc>
          <w:tcPr>
            <w:tcW w:w="3559" w:type="dxa"/>
            <w:tcBorders>
              <w:top w:val="single" w:color="auto" w:sz="6" w:space="0"/>
              <w:left w:val="single" w:color="auto" w:sz="6" w:space="0"/>
              <w:bottom w:val="single" w:color="auto" w:sz="6" w:space="0"/>
              <w:right w:val="single" w:color="auto" w:sz="6" w:space="0"/>
            </w:tcBorders>
            <w:vAlign w:val="center"/>
          </w:tcPr>
          <w:p>
            <w:pPr>
              <w:spacing w:line="300" w:lineRule="exact"/>
              <w:ind w:firstLine="204" w:firstLineChars="85"/>
              <w:jc w:val="center"/>
              <w:rPr>
                <w:rFonts w:ascii="宋体" w:hAnsi="宋体"/>
                <w:color w:val="auto"/>
                <w:highlight w:val="none"/>
              </w:rPr>
            </w:pPr>
            <w:r>
              <w:rPr>
                <w:rFonts w:ascii="宋体" w:hAnsi="宋体"/>
                <w:color w:val="auto"/>
                <w:highlight w:val="none"/>
              </w:rPr>
              <w:t>1000-1500</w:t>
            </w:r>
          </w:p>
        </w:tc>
        <w:tc>
          <w:tcPr>
            <w:tcW w:w="4990" w:type="dxa"/>
            <w:tcBorders>
              <w:top w:val="single" w:color="auto" w:sz="6" w:space="0"/>
              <w:left w:val="single" w:color="auto" w:sz="6" w:space="0"/>
              <w:bottom w:val="single" w:color="auto" w:sz="6" w:space="0"/>
              <w:right w:val="single" w:color="auto" w:sz="6" w:space="0"/>
            </w:tcBorders>
            <w:vAlign w:val="center"/>
          </w:tcPr>
          <w:p>
            <w:pPr>
              <w:spacing w:line="300" w:lineRule="exact"/>
              <w:ind w:firstLine="480"/>
              <w:jc w:val="center"/>
              <w:rPr>
                <w:rFonts w:ascii="宋体" w:hAnsi="宋体"/>
                <w:color w:val="auto"/>
                <w:highlight w:val="none"/>
              </w:rPr>
            </w:pPr>
            <w:r>
              <w:rPr>
                <w:rFonts w:hint="eastAsia" w:ascii="宋体" w:hAnsi="宋体"/>
                <w:color w:val="auto"/>
                <w:highlight w:val="none"/>
              </w:rPr>
              <w:t>0.25</w:t>
            </w:r>
            <w:r>
              <w:rPr>
                <w:rFonts w:ascii="宋体" w:hAnsi="宋体"/>
                <w:color w:val="auto"/>
                <w:highlight w:val="none"/>
              </w:rPr>
              <w:t>%</w:t>
            </w:r>
          </w:p>
        </w:tc>
      </w:tr>
    </w:tbl>
    <w:p>
      <w:pPr>
        <w:pStyle w:val="29"/>
        <w:snapToGrid w:val="0"/>
        <w:spacing w:beforeLines="0" w:afterLines="0" w:line="360" w:lineRule="auto"/>
        <w:ind w:firstLine="480"/>
        <w:rPr>
          <w:rFonts w:hAnsi="宋体" w:cs="宋体"/>
          <w:color w:val="auto"/>
          <w:highlight w:val="none"/>
        </w:rPr>
      </w:pPr>
    </w:p>
    <w:p>
      <w:pPr>
        <w:pStyle w:val="29"/>
        <w:snapToGrid w:val="0"/>
        <w:spacing w:beforeLines="0" w:afterLines="0" w:line="360" w:lineRule="auto"/>
        <w:ind w:firstLine="480"/>
        <w:rPr>
          <w:rFonts w:hAnsi="宋体" w:cs="宋体"/>
          <w:color w:val="auto"/>
          <w:highlight w:val="none"/>
        </w:rPr>
      </w:pPr>
      <w:r>
        <w:rPr>
          <w:rFonts w:hint="eastAsia" w:hAnsi="宋体" w:cs="宋体"/>
          <w:color w:val="auto"/>
          <w:highlight w:val="none"/>
        </w:rPr>
        <w:t>汇款帐户名称：浙江衢州公信工程管理有限公司东阳分公司</w:t>
      </w:r>
    </w:p>
    <w:p>
      <w:pPr>
        <w:pStyle w:val="29"/>
        <w:snapToGrid w:val="0"/>
        <w:spacing w:before="120" w:after="120" w:line="360" w:lineRule="auto"/>
        <w:ind w:firstLine="480"/>
        <w:rPr>
          <w:rFonts w:hAnsi="宋体" w:cs="宋体"/>
          <w:color w:val="auto"/>
          <w:highlight w:val="none"/>
        </w:rPr>
      </w:pPr>
      <w:r>
        <w:rPr>
          <w:rFonts w:hint="eastAsia" w:hAnsi="宋体" w:cs="宋体"/>
          <w:color w:val="auto"/>
          <w:highlight w:val="none"/>
        </w:rPr>
        <w:t>银行账号：1208040009200230330</w:t>
      </w:r>
    </w:p>
    <w:p>
      <w:pPr>
        <w:pStyle w:val="29"/>
        <w:snapToGrid w:val="0"/>
        <w:spacing w:before="120" w:after="120" w:line="360" w:lineRule="auto"/>
        <w:ind w:firstLine="480"/>
        <w:rPr>
          <w:rFonts w:hAnsi="宋体" w:cs="宋体"/>
          <w:color w:val="auto"/>
          <w:highlight w:val="none"/>
        </w:rPr>
      </w:pPr>
      <w:r>
        <w:rPr>
          <w:rFonts w:hint="eastAsia" w:hAnsi="宋体" w:cs="宋体"/>
          <w:color w:val="auto"/>
          <w:highlight w:val="none"/>
        </w:rPr>
        <w:t>开户银行：工商银行东阳支行</w:t>
      </w:r>
    </w:p>
    <w:p>
      <w:pPr>
        <w:snapToGrid w:val="0"/>
        <w:ind w:firstLine="482"/>
        <w:outlineLvl w:val="2"/>
        <w:rPr>
          <w:rFonts w:ascii="宋体" w:cs="宋体"/>
          <w:b/>
          <w:color w:val="auto"/>
          <w:highlight w:val="none"/>
        </w:rPr>
      </w:pPr>
      <w:r>
        <w:rPr>
          <w:rFonts w:hint="eastAsia" w:ascii="宋体" w:hAnsi="宋体" w:cs="宋体"/>
          <w:b/>
          <w:color w:val="auto"/>
          <w:highlight w:val="none"/>
        </w:rPr>
        <w:t>（六）联合体投标</w:t>
      </w:r>
    </w:p>
    <w:p>
      <w:pPr>
        <w:snapToGrid w:val="0"/>
        <w:ind w:firstLine="480"/>
        <w:rPr>
          <w:rFonts w:ascii="宋体" w:cs="宋体"/>
          <w:color w:val="auto"/>
          <w:highlight w:val="none"/>
        </w:rPr>
      </w:pPr>
      <w:r>
        <w:rPr>
          <w:rFonts w:hint="eastAsia" w:ascii="宋体" w:hAnsi="宋体" w:cs="宋体"/>
          <w:color w:val="auto"/>
          <w:highlight w:val="none"/>
        </w:rPr>
        <w:t>本项目接受联合体投标。</w:t>
      </w:r>
    </w:p>
    <w:p>
      <w:pPr>
        <w:snapToGrid w:val="0"/>
        <w:ind w:firstLine="472" w:firstLineChars="196"/>
        <w:rPr>
          <w:rFonts w:ascii="宋体" w:cs="宋体"/>
          <w:b/>
          <w:color w:val="auto"/>
          <w:highlight w:val="none"/>
        </w:rPr>
      </w:pPr>
      <w:r>
        <w:rPr>
          <w:rFonts w:hint="eastAsia" w:ascii="宋体" w:hAnsi="宋体" w:cs="宋体"/>
          <w:b/>
          <w:color w:val="auto"/>
          <w:highlight w:val="none"/>
        </w:rPr>
        <w:t>（七）转包与分包</w:t>
      </w:r>
    </w:p>
    <w:p>
      <w:pPr>
        <w:snapToGrid w:val="0"/>
        <w:ind w:firstLine="48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本项目不允许转包。</w:t>
      </w:r>
    </w:p>
    <w:p>
      <w:pPr>
        <w:snapToGrid w:val="0"/>
        <w:ind w:firstLine="48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本项目允许分包</w:t>
      </w:r>
      <w:r>
        <w:rPr>
          <w:rFonts w:hint="eastAsia" w:ascii="宋体" w:hAnsi="宋体" w:cs="Arial"/>
          <w:color w:val="auto"/>
          <w:highlight w:val="none"/>
        </w:rPr>
        <w:t>。</w:t>
      </w:r>
    </w:p>
    <w:p>
      <w:pPr>
        <w:snapToGrid w:val="0"/>
        <w:ind w:firstLine="472" w:firstLineChars="196"/>
        <w:outlineLvl w:val="2"/>
        <w:rPr>
          <w:rFonts w:ascii="宋体" w:cs="宋体"/>
          <w:b/>
          <w:color w:val="auto"/>
          <w:highlight w:val="none"/>
        </w:rPr>
      </w:pPr>
      <w:r>
        <w:rPr>
          <w:rFonts w:hint="eastAsia" w:ascii="宋体" w:hAnsi="宋体" w:cs="宋体"/>
          <w:b/>
          <w:color w:val="auto"/>
          <w:highlight w:val="none"/>
        </w:rPr>
        <w:t>（八）特别说明：</w:t>
      </w:r>
    </w:p>
    <w:p>
      <w:pPr>
        <w:widowControl/>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多家供应商参加同一政府采购项目竞争的，如其中两家或两家以上供应商的法定代表人为同一人或相互之间存在投资关系且达到控股的，同时提供的是同一品牌的产品的，应当按一家供应商认定。评审时，取其中通过资格审查后的报价最低一家为有效供应商；当报价相同时，则以技术标最优一家为有效供应商；均相同时，由评审小组集体决定。</w:t>
      </w:r>
    </w:p>
    <w:p>
      <w:pPr>
        <w:widowControl/>
        <w:ind w:firstLine="480"/>
        <w:rPr>
          <w:rFonts w:ascii="宋体"/>
          <w:color w:val="auto"/>
          <w:highlight w:val="none"/>
        </w:rPr>
      </w:pPr>
      <w:r>
        <w:rPr>
          <w:rFonts w:hint="eastAsia" w:ascii="宋体" w:hAnsi="宋体"/>
          <w:color w:val="auto"/>
          <w:highlight w:val="none"/>
        </w:rPr>
        <w:t>非单一产品采购项目中，作为关键核心部分的单一产品品牌、型号均相同且报价占项目总报价</w:t>
      </w:r>
      <w:r>
        <w:rPr>
          <w:rFonts w:ascii="宋体" w:hAnsi="宋体"/>
          <w:color w:val="auto"/>
          <w:highlight w:val="none"/>
        </w:rPr>
        <w:t>50%</w:t>
      </w:r>
      <w:r>
        <w:rPr>
          <w:rFonts w:hint="eastAsia" w:ascii="宋体" w:hAnsi="宋体"/>
          <w:color w:val="auto"/>
          <w:highlight w:val="none"/>
        </w:rPr>
        <w:t>以上（含本数，下同）的，视为提供的是同品牌的产品；多家供应商中，有一家供应商的报价达到</w:t>
      </w:r>
      <w:r>
        <w:rPr>
          <w:rFonts w:ascii="宋体" w:hAnsi="宋体"/>
          <w:color w:val="auto"/>
          <w:highlight w:val="none"/>
        </w:rPr>
        <w:t>50%</w:t>
      </w:r>
      <w:r>
        <w:rPr>
          <w:rFonts w:hint="eastAsia" w:ascii="宋体" w:hAnsi="宋体"/>
          <w:color w:val="auto"/>
          <w:highlight w:val="none"/>
        </w:rPr>
        <w:t>以上，提供同品牌同型号产品的供应商均按一家供应商认定。</w:t>
      </w:r>
    </w:p>
    <w:p>
      <w:pPr>
        <w:widowControl/>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）投标人投标所使用的资格、信誉、荣誉、业绩与企业认证必须为本法人所拥有。</w:t>
      </w:r>
    </w:p>
    <w:p>
      <w:pPr>
        <w:widowControl/>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）投标人投标所使用的采购项目实施人员必须为本法人员工（或必须为本法人或控股公司正式员工）。</w:t>
      </w:r>
    </w:p>
    <w:p>
      <w:pPr>
        <w:widowControl/>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投标人应仔细阅读招标文件的所有内容，按照招标文件的要求提交投标文件，并对所提供的全部资料的真实性承担法律责任。</w:t>
      </w:r>
    </w:p>
    <w:p>
      <w:pPr>
        <w:widowControl/>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投标人在投标活动中提供任何虚假材料</w:t>
      </w:r>
      <w:r>
        <w:rPr>
          <w:rFonts w:ascii="宋体"/>
          <w:color w:val="auto"/>
          <w:highlight w:val="none"/>
        </w:rPr>
        <w:t>,</w:t>
      </w:r>
      <w:r>
        <w:rPr>
          <w:rFonts w:hint="eastAsia" w:ascii="宋体" w:hAnsi="宋体"/>
          <w:color w:val="auto"/>
          <w:highlight w:val="none"/>
        </w:rPr>
        <w:t>其投标无效，并报监管部门查处。</w:t>
      </w:r>
    </w:p>
    <w:p>
      <w:pPr>
        <w:pStyle w:val="29"/>
        <w:snapToGrid w:val="0"/>
        <w:spacing w:beforeLines="0" w:afterLines="0" w:line="360" w:lineRule="auto"/>
        <w:ind w:firstLine="472" w:firstLineChars="196"/>
        <w:outlineLvl w:val="2"/>
        <w:rPr>
          <w:rFonts w:hAnsi="宋体"/>
          <w:b/>
          <w:bCs/>
          <w:color w:val="auto"/>
          <w:highlight w:val="none"/>
        </w:rPr>
      </w:pPr>
      <w:r>
        <w:rPr>
          <w:rFonts w:hint="eastAsia" w:hAnsi="宋体"/>
          <w:b/>
          <w:bCs/>
          <w:color w:val="auto"/>
          <w:highlight w:val="none"/>
        </w:rPr>
        <w:t>（九）质疑和投诉</w:t>
      </w:r>
    </w:p>
    <w:p>
      <w:pPr>
        <w:pStyle w:val="29"/>
        <w:snapToGrid w:val="0"/>
        <w:spacing w:beforeLines="0" w:afterLines="0" w:line="360" w:lineRule="auto"/>
        <w:ind w:firstLine="480"/>
        <w:rPr>
          <w:rFonts w:hAnsi="宋体"/>
          <w:bCs/>
          <w:color w:val="auto"/>
          <w:highlight w:val="none"/>
        </w:rPr>
      </w:pPr>
      <w:r>
        <w:rPr>
          <w:rFonts w:hAnsi="宋体"/>
          <w:bCs/>
          <w:color w:val="auto"/>
          <w:highlight w:val="none"/>
        </w:rPr>
        <w:t>1.</w:t>
      </w:r>
      <w:r>
        <w:rPr>
          <w:rFonts w:hint="eastAsia" w:hAnsi="宋体"/>
          <w:bCs/>
          <w:color w:val="auto"/>
          <w:highlight w:val="none"/>
        </w:rPr>
        <w:t>投标人认为招标文件、招标过程或中标结果使自己的合法权益受到损害的，应当在知道或者应知其权益受到损害之日起七个工作日内，以书面形式向采购人、招标方提出质疑。</w:t>
      </w:r>
      <w:r>
        <w:rPr>
          <w:rFonts w:hint="eastAsia" w:hAnsi="宋体"/>
          <w:color w:val="auto"/>
          <w:highlight w:val="none"/>
        </w:rPr>
        <w:t>投标人对招标采购单位的质疑答复不满意或者招标采购单位未在规定时间内作出答复的，可以在答复期满后十五个工作日内向同级采购监管部门投诉。</w:t>
      </w:r>
    </w:p>
    <w:p>
      <w:pPr>
        <w:pStyle w:val="29"/>
        <w:snapToGrid w:val="0"/>
        <w:spacing w:beforeLines="0" w:afterLines="0" w:line="360" w:lineRule="auto"/>
        <w:ind w:firstLine="480"/>
        <w:rPr>
          <w:rFonts w:hAnsi="宋体"/>
          <w:bCs/>
          <w:color w:val="auto"/>
          <w:highlight w:val="none"/>
        </w:rPr>
      </w:pPr>
      <w:r>
        <w:rPr>
          <w:rFonts w:hAnsi="宋体"/>
          <w:bCs/>
          <w:color w:val="auto"/>
          <w:highlight w:val="none"/>
        </w:rPr>
        <w:t>2.</w:t>
      </w:r>
      <w:r>
        <w:rPr>
          <w:rFonts w:hint="eastAsia" w:hAnsi="宋体"/>
          <w:bCs/>
          <w:color w:val="auto"/>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29"/>
        <w:snapToGrid w:val="0"/>
        <w:spacing w:before="120" w:after="120" w:line="360" w:lineRule="auto"/>
        <w:ind w:firstLine="472" w:firstLineChars="196"/>
        <w:outlineLvl w:val="1"/>
        <w:rPr>
          <w:rFonts w:hAnsi="宋体"/>
          <w:b/>
          <w:bCs/>
          <w:color w:val="auto"/>
          <w:highlight w:val="none"/>
        </w:rPr>
      </w:pPr>
      <w:r>
        <w:rPr>
          <w:rFonts w:hint="eastAsia" w:hAnsi="宋体"/>
          <w:b/>
          <w:bCs/>
          <w:color w:val="auto"/>
          <w:highlight w:val="none"/>
        </w:rPr>
        <w:t>（十）政府采购政策落实</w:t>
      </w:r>
    </w:p>
    <w:p>
      <w:pPr>
        <w:pStyle w:val="43"/>
        <w:adjustRightInd w:val="0"/>
        <w:snapToGrid w:val="0"/>
        <w:spacing w:beforeAutospacing="0" w:afterAutospacing="0"/>
        <w:ind w:firstLine="48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.采购项目需要落实的政府采购政策</w:t>
      </w:r>
    </w:p>
    <w:p>
      <w:pPr>
        <w:pStyle w:val="43"/>
        <w:adjustRightInd w:val="0"/>
        <w:snapToGrid w:val="0"/>
        <w:spacing w:beforeAutospacing="0" w:afterAutospacing="0"/>
        <w:ind w:firstLine="48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pPr>
        <w:pStyle w:val="43"/>
        <w:adjustRightInd w:val="0"/>
        <w:snapToGrid w:val="0"/>
        <w:spacing w:beforeAutospacing="0" w:afterAutospacing="0"/>
        <w:ind w:firstLine="48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.2 支持绿色发展</w:t>
      </w:r>
    </w:p>
    <w:p>
      <w:pPr>
        <w:pStyle w:val="43"/>
        <w:adjustRightInd w:val="0"/>
        <w:snapToGrid w:val="0"/>
        <w:spacing w:beforeAutospacing="0" w:afterAutospacing="0"/>
        <w:ind w:firstLine="48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pStyle w:val="43"/>
        <w:adjustRightInd w:val="0"/>
        <w:snapToGrid w:val="0"/>
        <w:spacing w:beforeAutospacing="0" w:afterAutospacing="0"/>
        <w:ind w:firstLine="48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43"/>
        <w:adjustRightInd w:val="0"/>
        <w:snapToGrid w:val="0"/>
        <w:spacing w:beforeAutospacing="0" w:afterAutospacing="0"/>
        <w:ind w:firstLine="48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.3支持中小企业发展</w:t>
      </w:r>
    </w:p>
    <w:p>
      <w:pPr>
        <w:pStyle w:val="43"/>
        <w:adjustRightInd w:val="0"/>
        <w:snapToGrid w:val="0"/>
        <w:spacing w:beforeAutospacing="0" w:afterAutospacing="0"/>
        <w:ind w:firstLine="48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43"/>
        <w:adjustRightInd w:val="0"/>
        <w:snapToGrid w:val="0"/>
        <w:spacing w:beforeAutospacing="0" w:afterAutospacing="0"/>
        <w:ind w:firstLine="480"/>
        <w:rPr>
          <w:rFonts w:cs="宋体"/>
          <w:color w:val="auto"/>
          <w:highlight w:val="none"/>
          <w:lang w:bidi="ar"/>
        </w:rPr>
      </w:pPr>
      <w:r>
        <w:rPr>
          <w:rFonts w:hint="eastAsia" w:cs="宋体"/>
          <w:color w:val="auto"/>
          <w:highlight w:val="none"/>
          <w:lang w:bidi="ar"/>
        </w:rPr>
        <w:t>符合中小企业划分标准的个体工商户，在政府采购活动中视同中小企业。</w:t>
      </w:r>
    </w:p>
    <w:p>
      <w:pPr>
        <w:pStyle w:val="43"/>
        <w:adjustRightInd w:val="0"/>
        <w:snapToGrid w:val="0"/>
        <w:spacing w:beforeAutospacing="0" w:afterAutospacing="0"/>
        <w:ind w:firstLine="48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.3.2在政府采购活动中，供应商提供的货物、工程或者服务符合下列情形的，享受中小企业扶持政策：</w:t>
      </w:r>
    </w:p>
    <w:p>
      <w:pPr>
        <w:pStyle w:val="43"/>
        <w:adjustRightInd w:val="0"/>
        <w:snapToGrid w:val="0"/>
        <w:spacing w:beforeAutospacing="0" w:afterAutospacing="0"/>
        <w:ind w:firstLine="48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.3.2.1在货物采购项目中，货物由中小企业制造，即货物由中小企业生产且使用该中小企业商号或者注册商标；</w:t>
      </w:r>
    </w:p>
    <w:p>
      <w:pPr>
        <w:pStyle w:val="43"/>
        <w:adjustRightInd w:val="0"/>
        <w:snapToGrid w:val="0"/>
        <w:spacing w:beforeAutospacing="0" w:afterAutospacing="0"/>
        <w:ind w:firstLine="48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.3.2.2在工程采购项目中，工程由中小企业承建，即工程施工单位为中小企业；</w:t>
      </w:r>
    </w:p>
    <w:p>
      <w:pPr>
        <w:pStyle w:val="43"/>
        <w:adjustRightInd w:val="0"/>
        <w:snapToGrid w:val="0"/>
        <w:spacing w:beforeAutospacing="0" w:afterAutospacing="0"/>
        <w:ind w:firstLine="48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.3.2.3在服务采购项目中，服务由中小企业承接，即提供服务的人员为中小企业依照《中华人民共和国劳动合同法》订立劳动合同的从业人员。</w:t>
      </w:r>
    </w:p>
    <w:p>
      <w:pPr>
        <w:pStyle w:val="43"/>
        <w:adjustRightInd w:val="0"/>
        <w:snapToGrid w:val="0"/>
        <w:spacing w:beforeAutospacing="0" w:afterAutospacing="0"/>
        <w:ind w:firstLine="480"/>
        <w:rPr>
          <w:rFonts w:cs="宋体"/>
          <w:color w:val="auto"/>
          <w:highlight w:val="none"/>
          <w:lang w:bidi="ar"/>
        </w:rPr>
      </w:pPr>
      <w:r>
        <w:rPr>
          <w:rFonts w:hint="eastAsia" w:cs="宋体"/>
          <w:color w:val="auto"/>
          <w:highlight w:val="none"/>
          <w:lang w:bidi="ar"/>
        </w:rPr>
        <w:t>在货物采购项目中，供应商提供的货物既有中小企业制造货物，也有大型企业制造货物的，不享受中小企业扶持政策。</w:t>
      </w:r>
    </w:p>
    <w:p>
      <w:pPr>
        <w:pStyle w:val="43"/>
        <w:adjustRightInd w:val="0"/>
        <w:snapToGrid w:val="0"/>
        <w:spacing w:beforeAutospacing="0" w:afterAutospacing="0"/>
        <w:ind w:firstLine="48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.3.4符合《关于促进残疾人就业政府采购政策的通知》（财库〔2017〕141号）规定的条件并提供《残疾人福利性单位声明函》的残疾人福利性单位视同小型、微型企业；</w:t>
      </w:r>
    </w:p>
    <w:p>
      <w:pPr>
        <w:pStyle w:val="43"/>
        <w:adjustRightInd w:val="0"/>
        <w:snapToGrid w:val="0"/>
        <w:spacing w:beforeAutospacing="0" w:afterAutospacing="0"/>
        <w:ind w:firstLine="48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43"/>
        <w:adjustRightInd w:val="0"/>
        <w:snapToGrid w:val="0"/>
        <w:spacing w:beforeAutospacing="0" w:afterAutospacing="0"/>
        <w:ind w:firstLine="48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pStyle w:val="43"/>
        <w:adjustRightInd w:val="0"/>
        <w:snapToGrid w:val="0"/>
        <w:spacing w:beforeAutospacing="0" w:afterAutospacing="0"/>
        <w:ind w:firstLine="48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.3.7中小企业享受扶持政策获得政府采购合同的，小微企业不得将合同分包给大中型企业，中型企业不得将合同分包给大型企业。</w:t>
      </w:r>
    </w:p>
    <w:p>
      <w:pPr>
        <w:pStyle w:val="43"/>
        <w:adjustRightInd w:val="0"/>
        <w:snapToGrid w:val="0"/>
        <w:spacing w:beforeAutospacing="0" w:afterAutospacing="0"/>
        <w:ind w:firstLine="48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.4支持创新发展</w:t>
      </w:r>
    </w:p>
    <w:p>
      <w:pPr>
        <w:pStyle w:val="43"/>
        <w:adjustRightInd w:val="0"/>
        <w:snapToGrid w:val="0"/>
        <w:spacing w:beforeAutospacing="0" w:afterAutospacing="0"/>
        <w:ind w:firstLine="48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.4.1 采购人优先采购被认定为首台套产品和“制造精品”的自主创新产品。</w:t>
      </w:r>
    </w:p>
    <w:p>
      <w:pPr>
        <w:pStyle w:val="43"/>
        <w:adjustRightInd w:val="0"/>
        <w:snapToGrid w:val="0"/>
        <w:spacing w:beforeAutospacing="0" w:afterAutospacing="0"/>
        <w:ind w:firstLine="48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pStyle w:val="43"/>
        <w:adjustRightInd w:val="0"/>
        <w:snapToGrid w:val="0"/>
        <w:spacing w:beforeAutospacing="0" w:afterAutospacing="0"/>
        <w:ind w:firstLine="480"/>
        <w:rPr>
          <w:b/>
          <w:bCs/>
          <w:color w:val="auto"/>
          <w:highlight w:val="none"/>
        </w:rPr>
      </w:pPr>
      <w:r>
        <w:rPr>
          <w:rFonts w:hint="eastAsia" w:cs="宋体"/>
          <w:color w:val="auto"/>
          <w:highlight w:val="none"/>
          <w:lang w:val="en" w:bidi="ar"/>
        </w:rPr>
        <w:t>1</w:t>
      </w:r>
      <w:r>
        <w:rPr>
          <w:rFonts w:hint="eastAsia" w:cs="宋体"/>
          <w:color w:val="auto"/>
          <w:highlight w:val="none"/>
          <w:lang w:bidi="ar"/>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ind w:firstLine="480"/>
        <w:rPr>
          <w:color w:val="auto"/>
          <w:highlight w:val="none"/>
        </w:rPr>
      </w:pPr>
    </w:p>
    <w:p>
      <w:pPr>
        <w:pStyle w:val="29"/>
        <w:snapToGrid w:val="0"/>
        <w:spacing w:beforeLines="0" w:afterLines="0" w:line="360" w:lineRule="auto"/>
        <w:ind w:firstLine="472" w:firstLineChars="196"/>
        <w:outlineLvl w:val="1"/>
        <w:rPr>
          <w:rFonts w:hAnsi="宋体"/>
          <w:b/>
          <w:color w:val="auto"/>
          <w:highlight w:val="none"/>
        </w:rPr>
      </w:pPr>
      <w:r>
        <w:rPr>
          <w:rFonts w:hint="eastAsia" w:hAnsi="宋体"/>
          <w:b/>
          <w:color w:val="auto"/>
          <w:highlight w:val="none"/>
        </w:rPr>
        <w:t>二、招标文件</w:t>
      </w:r>
    </w:p>
    <w:p>
      <w:pPr>
        <w:snapToGrid w:val="0"/>
        <w:ind w:firstLine="472" w:firstLineChars="196"/>
        <w:outlineLvl w:val="2"/>
        <w:rPr>
          <w:rFonts w:ascii="宋体"/>
          <w:b/>
          <w:color w:val="auto"/>
          <w:highlight w:val="none"/>
        </w:rPr>
      </w:pPr>
      <w:r>
        <w:rPr>
          <w:rFonts w:hint="eastAsia" w:ascii="宋体" w:hAnsi="宋体"/>
          <w:b/>
          <w:color w:val="auto"/>
          <w:highlight w:val="none"/>
        </w:rPr>
        <w:t>（一）招标文件的构成。本招标文件由以下部分组成：</w:t>
      </w:r>
    </w:p>
    <w:p>
      <w:pPr>
        <w:snapToGrid w:val="0"/>
        <w:ind w:firstLine="480"/>
        <w:rPr>
          <w:rFonts w:ascii="宋体"/>
          <w:color w:val="auto"/>
          <w:highlight w:val="none"/>
        </w:rPr>
      </w:pPr>
      <w:r>
        <w:rPr>
          <w:rFonts w:ascii="宋体" w:hAnsi="宋体"/>
          <w:color w:val="auto"/>
          <w:highlight w:val="none"/>
        </w:rPr>
        <w:t>1</w:t>
      </w:r>
      <w:r>
        <w:rPr>
          <w:rFonts w:ascii="宋体"/>
          <w:color w:val="auto"/>
          <w:highlight w:val="none"/>
        </w:rPr>
        <w:t>.</w:t>
      </w:r>
      <w:r>
        <w:rPr>
          <w:rFonts w:hint="eastAsia" w:ascii="宋体" w:hAnsi="宋体"/>
          <w:color w:val="auto"/>
          <w:highlight w:val="none"/>
        </w:rPr>
        <w:t>招标公告</w:t>
      </w:r>
    </w:p>
    <w:p>
      <w:pPr>
        <w:snapToGrid w:val="0"/>
        <w:ind w:firstLine="480"/>
        <w:rPr>
          <w:rFonts w:ascii="宋体"/>
          <w:color w:val="auto"/>
          <w:highlight w:val="none"/>
        </w:rPr>
      </w:pPr>
      <w:r>
        <w:rPr>
          <w:rFonts w:ascii="宋体" w:hAnsi="宋体"/>
          <w:color w:val="auto"/>
          <w:highlight w:val="none"/>
        </w:rPr>
        <w:t>2</w:t>
      </w:r>
      <w:r>
        <w:rPr>
          <w:rFonts w:ascii="宋体"/>
          <w:color w:val="auto"/>
          <w:highlight w:val="none"/>
        </w:rPr>
        <w:t>.</w:t>
      </w:r>
      <w:r>
        <w:rPr>
          <w:rFonts w:hint="eastAsia" w:ascii="宋体" w:hAnsi="宋体"/>
          <w:color w:val="auto"/>
          <w:highlight w:val="none"/>
        </w:rPr>
        <w:t>招标需求</w:t>
      </w:r>
    </w:p>
    <w:p>
      <w:pPr>
        <w:snapToGrid w:val="0"/>
        <w:ind w:firstLine="480"/>
        <w:rPr>
          <w:rFonts w:ascii="宋体"/>
          <w:color w:val="auto"/>
          <w:highlight w:val="none"/>
        </w:rPr>
      </w:pPr>
      <w:r>
        <w:rPr>
          <w:rFonts w:ascii="宋体" w:hAnsi="宋体"/>
          <w:color w:val="auto"/>
          <w:highlight w:val="none"/>
        </w:rPr>
        <w:t>3</w:t>
      </w:r>
      <w:r>
        <w:rPr>
          <w:rFonts w:ascii="宋体"/>
          <w:color w:val="auto"/>
          <w:highlight w:val="none"/>
        </w:rPr>
        <w:t>.</w:t>
      </w:r>
      <w:r>
        <w:rPr>
          <w:rFonts w:hint="eastAsia" w:ascii="宋体" w:hAnsi="宋体"/>
          <w:color w:val="auto"/>
          <w:highlight w:val="none"/>
        </w:rPr>
        <w:t>投标人须知</w:t>
      </w:r>
    </w:p>
    <w:p>
      <w:pPr>
        <w:snapToGrid w:val="0"/>
        <w:ind w:firstLine="480"/>
        <w:rPr>
          <w:rFonts w:ascii="宋体"/>
          <w:color w:val="auto"/>
          <w:highlight w:val="none"/>
        </w:rPr>
      </w:pPr>
      <w:r>
        <w:rPr>
          <w:rFonts w:ascii="宋体" w:hAnsi="宋体"/>
          <w:color w:val="auto"/>
          <w:highlight w:val="none"/>
        </w:rPr>
        <w:t>4</w:t>
      </w:r>
      <w:r>
        <w:rPr>
          <w:rFonts w:ascii="宋体"/>
          <w:color w:val="auto"/>
          <w:highlight w:val="none"/>
        </w:rPr>
        <w:t>.</w:t>
      </w:r>
      <w:r>
        <w:rPr>
          <w:rFonts w:hint="eastAsia" w:ascii="宋体" w:hAnsi="宋体"/>
          <w:color w:val="auto"/>
          <w:highlight w:val="none"/>
        </w:rPr>
        <w:t>评标办法及标准</w:t>
      </w:r>
    </w:p>
    <w:p>
      <w:pPr>
        <w:snapToGrid w:val="0"/>
        <w:ind w:firstLine="480"/>
        <w:rPr>
          <w:rFonts w:ascii="宋体"/>
          <w:color w:val="auto"/>
          <w:highlight w:val="none"/>
        </w:rPr>
      </w:pPr>
      <w:r>
        <w:rPr>
          <w:rFonts w:ascii="宋体" w:hAnsi="宋体"/>
          <w:color w:val="auto"/>
          <w:highlight w:val="none"/>
        </w:rPr>
        <w:t>5</w:t>
      </w:r>
      <w:r>
        <w:rPr>
          <w:rFonts w:ascii="宋体"/>
          <w:color w:val="auto"/>
          <w:highlight w:val="none"/>
        </w:rPr>
        <w:t>.</w:t>
      </w:r>
      <w:r>
        <w:rPr>
          <w:rFonts w:hint="eastAsia" w:ascii="宋体" w:hAnsi="宋体"/>
          <w:color w:val="auto"/>
          <w:highlight w:val="none"/>
        </w:rPr>
        <w:t>合同主要条款</w:t>
      </w:r>
    </w:p>
    <w:p>
      <w:pPr>
        <w:snapToGrid w:val="0"/>
        <w:ind w:firstLine="480"/>
        <w:rPr>
          <w:rFonts w:ascii="宋体"/>
          <w:color w:val="auto"/>
          <w:highlight w:val="none"/>
        </w:rPr>
      </w:pPr>
      <w:r>
        <w:rPr>
          <w:rFonts w:ascii="宋体" w:hAnsi="宋体"/>
          <w:color w:val="auto"/>
          <w:highlight w:val="none"/>
        </w:rPr>
        <w:t>6</w:t>
      </w:r>
      <w:r>
        <w:rPr>
          <w:rFonts w:ascii="宋体"/>
          <w:color w:val="auto"/>
          <w:highlight w:val="none"/>
        </w:rPr>
        <w:t>.</w:t>
      </w:r>
      <w:r>
        <w:rPr>
          <w:rFonts w:hint="eastAsia" w:ascii="宋体" w:hAnsi="宋体"/>
          <w:color w:val="auto"/>
          <w:highlight w:val="none"/>
        </w:rPr>
        <w:t>投标文件格式</w:t>
      </w:r>
    </w:p>
    <w:p>
      <w:pPr>
        <w:snapToGrid w:val="0"/>
        <w:ind w:firstLine="480"/>
        <w:rPr>
          <w:rFonts w:ascii="宋体"/>
          <w:color w:val="auto"/>
          <w:highlight w:val="none"/>
        </w:rPr>
      </w:pPr>
      <w:r>
        <w:rPr>
          <w:rFonts w:ascii="宋体" w:hAnsi="宋体"/>
          <w:color w:val="auto"/>
          <w:highlight w:val="none"/>
        </w:rPr>
        <w:t>7.</w:t>
      </w:r>
      <w:r>
        <w:rPr>
          <w:rFonts w:hint="eastAsia" w:ascii="宋体" w:hAnsi="宋体"/>
          <w:color w:val="auto"/>
          <w:highlight w:val="none"/>
        </w:rPr>
        <w:t>本项目招标文件的澄清、答复、修改、补充的内容</w:t>
      </w:r>
    </w:p>
    <w:p>
      <w:pPr>
        <w:snapToGrid w:val="0"/>
        <w:ind w:firstLine="472" w:firstLineChars="196"/>
        <w:outlineLvl w:val="2"/>
        <w:rPr>
          <w:rFonts w:ascii="宋体"/>
          <w:b/>
          <w:color w:val="auto"/>
          <w:highlight w:val="none"/>
        </w:rPr>
      </w:pPr>
      <w:r>
        <w:rPr>
          <w:rFonts w:hint="eastAsia" w:ascii="宋体" w:hAnsi="宋体"/>
          <w:b/>
          <w:color w:val="auto"/>
          <w:highlight w:val="none"/>
        </w:rPr>
        <w:t>（二）投标人的风险</w:t>
      </w:r>
    </w:p>
    <w:p>
      <w:pPr>
        <w:pStyle w:val="39"/>
        <w:rPr>
          <w:rFonts w:ascii="宋体" w:eastAsia="宋体"/>
          <w:color w:val="auto"/>
          <w:highlight w:val="none"/>
        </w:rPr>
      </w:pPr>
      <w:r>
        <w:rPr>
          <w:rFonts w:hint="eastAsia" w:ascii="宋体" w:eastAsia="宋体"/>
          <w:color w:val="auto"/>
          <w:highlight w:val="none"/>
        </w:rPr>
        <w:t>投标人没有按照招标文件要求提供全部资料，或者投标人没有对招标文件在各方面作出实质性响应是投标人的风险，并可能导致其投标被拒绝。</w:t>
      </w:r>
    </w:p>
    <w:p>
      <w:pPr>
        <w:pStyle w:val="15"/>
        <w:widowControl w:val="0"/>
        <w:tabs>
          <w:tab w:val="clear" w:pos="454"/>
        </w:tabs>
        <w:snapToGrid w:val="0"/>
        <w:spacing w:afterLines="0"/>
        <w:ind w:left="0" w:firstLine="472" w:firstLineChars="196"/>
        <w:outlineLvl w:val="2"/>
        <w:rPr>
          <w:rFonts w:ascii="宋体"/>
          <w:b/>
          <w:color w:val="auto"/>
          <w:szCs w:val="24"/>
          <w:highlight w:val="none"/>
        </w:rPr>
      </w:pPr>
      <w:r>
        <w:rPr>
          <w:rFonts w:hint="eastAsia" w:ascii="宋体" w:hAnsi="宋体"/>
          <w:b/>
          <w:color w:val="auto"/>
          <w:szCs w:val="24"/>
          <w:highlight w:val="none"/>
        </w:rPr>
        <w:t>（三）招标文件的澄清与修改</w:t>
      </w:r>
    </w:p>
    <w:p>
      <w:pPr>
        <w:pStyle w:val="29"/>
        <w:snapToGrid w:val="0"/>
        <w:spacing w:beforeLines="0" w:afterLines="0" w:line="360" w:lineRule="auto"/>
        <w:ind w:firstLine="480"/>
        <w:rPr>
          <w:rFonts w:hAnsi="宋体"/>
          <w:color w:val="auto"/>
          <w:highlight w:val="none"/>
        </w:rPr>
      </w:pPr>
      <w:r>
        <w:rPr>
          <w:rFonts w:hAnsi="宋体"/>
          <w:color w:val="auto"/>
          <w:highlight w:val="none"/>
        </w:rPr>
        <w:t>1.</w:t>
      </w:r>
      <w:r>
        <w:rPr>
          <w:rFonts w:hint="eastAsia" w:hAnsi="宋体"/>
          <w:color w:val="auto"/>
          <w:highlight w:val="none"/>
        </w:rPr>
        <w:t>投标人如认为招标文件表述不清晰、存在歧视性、排他性或者其他违法内容的，应当</w:t>
      </w:r>
      <w:r>
        <w:rPr>
          <w:rFonts w:hint="eastAsia" w:hAnsi="宋体"/>
          <w:color w:val="auto"/>
          <w:highlight w:val="none"/>
          <w:shd w:val="clear" w:color="auto" w:fill="FFFFFF"/>
        </w:rPr>
        <w:t>于</w:t>
      </w:r>
      <w:r>
        <w:rPr>
          <w:rFonts w:hint="eastAsia" w:hAnsi="宋体"/>
          <w:b/>
          <w:bCs/>
          <w:color w:val="auto"/>
          <w:highlight w:val="none"/>
          <w:u w:val="single"/>
          <w:shd w:val="clear" w:color="auto" w:fill="FFFFFF"/>
        </w:rPr>
        <w:t>质疑期限届满之日</w:t>
      </w:r>
      <w:r>
        <w:rPr>
          <w:rFonts w:hint="eastAsia" w:hAnsi="宋体"/>
          <w:color w:val="auto"/>
          <w:highlight w:val="none"/>
          <w:shd w:val="clear" w:color="auto" w:fill="FFFFFF"/>
        </w:rPr>
        <w:t>前，</w:t>
      </w:r>
      <w:r>
        <w:rPr>
          <w:rFonts w:hint="eastAsia" w:hAnsi="宋体"/>
          <w:color w:val="auto"/>
          <w:highlight w:val="none"/>
        </w:rPr>
        <w:t>以书面形式要求招标采购单位作出书面解释、澄清或者向招标采购单位提出书面质疑（</w:t>
      </w:r>
      <w:r>
        <w:rPr>
          <w:rFonts w:hint="eastAsia" w:hAnsi="宋体"/>
          <w:b/>
          <w:color w:val="auto"/>
          <w:highlight w:val="none"/>
        </w:rPr>
        <w:t>超过此规定时间的质疑函将不予受理）</w:t>
      </w:r>
      <w:r>
        <w:rPr>
          <w:rFonts w:hint="eastAsia" w:hAnsi="宋体"/>
          <w:color w:val="auto"/>
          <w:highlight w:val="none"/>
        </w:rPr>
        <w:t>；招标采购单位将于</w:t>
      </w:r>
      <w:r>
        <w:rPr>
          <w:rFonts w:hint="eastAsia" w:hAnsi="宋体"/>
          <w:b/>
          <w:bCs/>
          <w:color w:val="auto"/>
          <w:highlight w:val="none"/>
          <w:u w:val="single"/>
          <w:shd w:val="clear" w:color="auto" w:fill="FFFFFF"/>
        </w:rPr>
        <w:t>答疑期限届满之日</w:t>
      </w:r>
      <w:r>
        <w:rPr>
          <w:rFonts w:hint="eastAsia" w:hAnsi="宋体"/>
          <w:b/>
          <w:bCs/>
          <w:color w:val="auto"/>
          <w:highlight w:val="none"/>
          <w:shd w:val="clear" w:color="auto" w:fill="FFFFFF"/>
        </w:rPr>
        <w:t>前</w:t>
      </w:r>
      <w:r>
        <w:rPr>
          <w:rFonts w:hint="eastAsia" w:hAnsi="宋体"/>
          <w:color w:val="auto"/>
          <w:highlight w:val="none"/>
          <w:shd w:val="clear" w:color="auto" w:fill="FFFFFF"/>
        </w:rPr>
        <w:t>将答疑内容以传真或网上发布公告的形式通知所有已报名的投标人；答疑内容是招标</w:t>
      </w:r>
      <w:r>
        <w:rPr>
          <w:rFonts w:hint="eastAsia" w:hAnsi="宋体"/>
          <w:color w:val="auto"/>
          <w:highlight w:val="none"/>
        </w:rPr>
        <w:t>文件的组成部分；因其他紧急情况影响本项目正常招标活动的，招标采购单位将于投标截止日期</w:t>
      </w:r>
      <w:r>
        <w:rPr>
          <w:rFonts w:hAnsi="宋体"/>
          <w:color w:val="auto"/>
          <w:highlight w:val="none"/>
        </w:rPr>
        <w:t>5</w:t>
      </w:r>
      <w:r>
        <w:rPr>
          <w:rFonts w:hint="eastAsia" w:hAnsi="宋体"/>
          <w:color w:val="auto"/>
          <w:highlight w:val="none"/>
        </w:rPr>
        <w:t>天前书面通知所有已报名的投标人。</w:t>
      </w:r>
    </w:p>
    <w:p>
      <w:pPr>
        <w:pStyle w:val="29"/>
        <w:snapToGrid w:val="0"/>
        <w:spacing w:beforeLines="0" w:afterLines="0" w:line="360" w:lineRule="auto"/>
        <w:ind w:firstLine="480"/>
        <w:rPr>
          <w:rFonts w:hAnsi="宋体"/>
          <w:color w:val="auto"/>
          <w:highlight w:val="none"/>
        </w:rPr>
      </w:pPr>
      <w:r>
        <w:rPr>
          <w:rFonts w:hAnsi="宋体"/>
          <w:color w:val="auto"/>
          <w:highlight w:val="none"/>
        </w:rPr>
        <w:t>2.</w:t>
      </w:r>
      <w:r>
        <w:rPr>
          <w:rFonts w:hint="eastAsia" w:hAnsi="宋体"/>
          <w:color w:val="auto"/>
          <w:highlight w:val="none"/>
        </w:rPr>
        <w:t>招标方必须以书面形式答复投标人要求澄清的问题，并将不包含问题来源的答复书面通知所有购买招标文件的投标人，除书面答复以外的其他澄清方式及澄清内容均无效。</w:t>
      </w:r>
    </w:p>
    <w:p>
      <w:pPr>
        <w:pStyle w:val="29"/>
        <w:snapToGrid w:val="0"/>
        <w:spacing w:beforeLines="0" w:afterLines="0" w:line="360" w:lineRule="auto"/>
        <w:ind w:firstLine="480"/>
        <w:rPr>
          <w:rFonts w:hAnsi="宋体"/>
          <w:color w:val="auto"/>
          <w:highlight w:val="none"/>
        </w:rPr>
      </w:pPr>
      <w:r>
        <w:rPr>
          <w:rFonts w:hAnsi="宋体"/>
          <w:color w:val="auto"/>
          <w:highlight w:val="none"/>
        </w:rPr>
        <w:t>3.</w:t>
      </w:r>
      <w:r>
        <w:rPr>
          <w:rFonts w:hint="eastAsia" w:hAnsi="宋体"/>
          <w:color w:val="auto"/>
          <w:highlight w:val="none"/>
        </w:rPr>
        <w:t>招标文件澄清、答复、修改、补充的内容为招标文件的组成部分。当招标文件与招标文件的答复、澄清、修改、补充通知就同一内容的表述不一致时，以最后发出的书面文件为准。</w:t>
      </w:r>
    </w:p>
    <w:p>
      <w:pPr>
        <w:pStyle w:val="29"/>
        <w:snapToGrid w:val="0"/>
        <w:spacing w:beforeLines="0" w:afterLines="0" w:line="360" w:lineRule="auto"/>
        <w:ind w:firstLine="480"/>
        <w:outlineLvl w:val="1"/>
        <w:rPr>
          <w:b/>
          <w:color w:val="auto"/>
          <w:sz w:val="28"/>
          <w:szCs w:val="28"/>
          <w:highlight w:val="none"/>
        </w:rPr>
      </w:pPr>
      <w:r>
        <w:rPr>
          <w:rFonts w:hAnsi="宋体"/>
          <w:color w:val="auto"/>
          <w:highlight w:val="none"/>
        </w:rPr>
        <w:t>4.</w:t>
      </w:r>
      <w:r>
        <w:rPr>
          <w:rFonts w:hint="eastAsia" w:hAnsi="宋体"/>
          <w:color w:val="auto"/>
          <w:highlight w:val="none"/>
        </w:rPr>
        <w:t>招标文件的澄清、答复、修改或补充都应该通过本招标机构以法定形式发布，采购人非通过本机构，不得擅自澄清、答复、修改或补充招标文件。</w:t>
      </w:r>
    </w:p>
    <w:p>
      <w:pPr>
        <w:pStyle w:val="29"/>
        <w:snapToGrid w:val="0"/>
        <w:spacing w:beforeLines="0" w:afterLines="0" w:line="360" w:lineRule="auto"/>
        <w:ind w:firstLine="482"/>
        <w:rPr>
          <w:rFonts w:hAnsi="宋体"/>
          <w:b/>
          <w:color w:val="auto"/>
          <w:highlight w:val="none"/>
        </w:rPr>
      </w:pPr>
      <w:r>
        <w:rPr>
          <w:rFonts w:hint="eastAsia" w:hAnsi="宋体"/>
          <w:b/>
          <w:color w:val="auto"/>
          <w:highlight w:val="none"/>
        </w:rPr>
        <w:t>三、投标文件的编制</w:t>
      </w:r>
    </w:p>
    <w:p>
      <w:pPr>
        <w:snapToGrid w:val="0"/>
        <w:ind w:firstLine="472" w:firstLineChars="196"/>
        <w:outlineLvl w:val="0"/>
        <w:rPr>
          <w:rFonts w:ascii="宋体"/>
          <w:b/>
          <w:color w:val="auto"/>
          <w:highlight w:val="none"/>
        </w:rPr>
      </w:pPr>
      <w:r>
        <w:rPr>
          <w:rFonts w:hint="eastAsia" w:ascii="宋体" w:hAnsi="宋体"/>
          <w:b/>
          <w:color w:val="auto"/>
          <w:highlight w:val="none"/>
        </w:rPr>
        <w:t>（一）投标文件的组成</w:t>
      </w:r>
    </w:p>
    <w:p>
      <w:pPr>
        <w:ind w:firstLine="482"/>
        <w:rPr>
          <w:rFonts w:ascii="宋体"/>
          <w:b/>
          <w:color w:val="auto"/>
          <w:highlight w:val="none"/>
        </w:rPr>
      </w:pPr>
      <w:r>
        <w:rPr>
          <w:rFonts w:hint="eastAsia" w:ascii="宋体" w:hAnsi="宋体"/>
          <w:b/>
          <w:color w:val="auto"/>
          <w:highlight w:val="none"/>
        </w:rPr>
        <w:t>投标文件</w:t>
      </w:r>
      <w:r>
        <w:rPr>
          <w:rFonts w:hint="eastAsia" w:ascii="宋体" w:hAnsi="宋体"/>
          <w:color w:val="auto"/>
          <w:highlight w:val="none"/>
        </w:rPr>
        <w:t>（</w:t>
      </w:r>
      <w:r>
        <w:rPr>
          <w:rFonts w:hint="eastAsia" w:ascii="宋体" w:hAnsi="宋体"/>
          <w:b/>
          <w:color w:val="auto"/>
          <w:highlight w:val="none"/>
        </w:rPr>
        <w:t>包含电子投标文件和电子备份投标文件</w:t>
      </w:r>
      <w:r>
        <w:rPr>
          <w:rFonts w:hint="eastAsia" w:ascii="宋体" w:hAnsi="宋体"/>
          <w:color w:val="auto"/>
          <w:highlight w:val="none"/>
        </w:rPr>
        <w:t>）</w:t>
      </w:r>
      <w:r>
        <w:rPr>
          <w:rFonts w:hint="eastAsia" w:ascii="宋体" w:hAnsi="宋体"/>
          <w:b/>
          <w:color w:val="auto"/>
          <w:highlight w:val="none"/>
        </w:rPr>
        <w:t>由资格响应文件、商务技术响应文件、报价响应文件三部份组成。其中电子投标文件中所须加盖公章部分均采用CA签章。</w:t>
      </w:r>
    </w:p>
    <w:p>
      <w:pPr>
        <w:snapToGrid w:val="0"/>
        <w:ind w:firstLine="542" w:firstLineChars="225"/>
        <w:rPr>
          <w:rFonts w:ascii="宋体" w:cs="Arial"/>
          <w:b/>
          <w:bCs/>
          <w:color w:val="auto"/>
          <w:highlight w:val="none"/>
        </w:rPr>
      </w:pPr>
      <w:r>
        <w:rPr>
          <w:rFonts w:ascii="宋体" w:hAnsi="宋体" w:cs="Arial"/>
          <w:b/>
          <w:bCs/>
          <w:color w:val="auto"/>
          <w:highlight w:val="none"/>
        </w:rPr>
        <w:t>1</w:t>
      </w:r>
      <w:r>
        <w:rPr>
          <w:rFonts w:hint="eastAsia" w:ascii="宋体" w:hAnsi="宋体" w:cs="Arial"/>
          <w:b/>
          <w:bCs/>
          <w:color w:val="auto"/>
          <w:highlight w:val="none"/>
        </w:rPr>
        <w:t>、资格响应文件：</w:t>
      </w:r>
    </w:p>
    <w:p>
      <w:pPr>
        <w:snapToGrid w:val="0"/>
        <w:ind w:firstLine="470" w:firstLineChars="196"/>
        <w:rPr>
          <w:rFonts w:ascii="宋体" w:hAnsi="宋体"/>
          <w:color w:val="auto"/>
          <w:highlight w:val="none"/>
        </w:rPr>
      </w:pPr>
      <w:r>
        <w:rPr>
          <w:rFonts w:hint="eastAsia" w:ascii="宋体" w:hAnsi="宋体"/>
          <w:color w:val="auto"/>
          <w:highlight w:val="none"/>
        </w:rPr>
        <w:t>（1）营业执照复印件；</w:t>
      </w:r>
    </w:p>
    <w:p>
      <w:pPr>
        <w:snapToGrid w:val="0"/>
        <w:ind w:firstLine="470" w:firstLineChars="196"/>
        <w:rPr>
          <w:rFonts w:ascii="宋体" w:hAnsi="宋体"/>
          <w:color w:val="auto"/>
          <w:highlight w:val="none"/>
        </w:rPr>
      </w:pPr>
      <w:r>
        <w:rPr>
          <w:rFonts w:hint="eastAsia" w:ascii="宋体" w:hAnsi="宋体"/>
          <w:color w:val="auto"/>
          <w:highlight w:val="none"/>
        </w:rPr>
        <w:t>（2）投标人具有良好的商业信誉和健全的财务会计制度声明函（格式见附件2）及上一年度的财务报告；</w:t>
      </w:r>
    </w:p>
    <w:p>
      <w:pPr>
        <w:snapToGrid w:val="0"/>
        <w:ind w:firstLine="480"/>
        <w:rPr>
          <w:rFonts w:ascii="宋体" w:hAnsi="宋体"/>
          <w:color w:val="auto"/>
          <w:highlight w:val="none"/>
        </w:rPr>
      </w:pPr>
      <w:r>
        <w:rPr>
          <w:rFonts w:hint="eastAsia" w:ascii="宋体" w:hAnsi="宋体"/>
          <w:color w:val="auto"/>
          <w:highlight w:val="none"/>
        </w:rPr>
        <w:t>（3）具有履行合同所必需的的设备和专业技术能力的承诺函；（格式格式见附件3）</w:t>
      </w:r>
    </w:p>
    <w:p>
      <w:pPr>
        <w:snapToGrid w:val="0"/>
        <w:ind w:firstLine="470" w:firstLineChars="196"/>
        <w:rPr>
          <w:rFonts w:ascii="宋体" w:hAnsi="宋体"/>
          <w:color w:val="auto"/>
          <w:highlight w:val="none"/>
        </w:rPr>
      </w:pPr>
      <w:r>
        <w:rPr>
          <w:rFonts w:hint="eastAsia" w:ascii="宋体" w:hAnsi="宋体"/>
          <w:color w:val="auto"/>
          <w:highlight w:val="none"/>
        </w:rPr>
        <w:t>（4）投标单位情况表</w:t>
      </w:r>
      <w:r>
        <w:rPr>
          <w:rFonts w:ascii="宋体" w:hAnsi="宋体"/>
          <w:color w:val="auto"/>
          <w:highlight w:val="none"/>
        </w:rPr>
        <w:t>(格式见附件</w:t>
      </w:r>
      <w:r>
        <w:rPr>
          <w:rFonts w:hint="eastAsia" w:ascii="宋体" w:hAnsi="宋体"/>
          <w:color w:val="auto"/>
          <w:highlight w:val="none"/>
        </w:rPr>
        <w:t>6</w:t>
      </w:r>
      <w:r>
        <w:rPr>
          <w:rFonts w:ascii="宋体" w:hAnsi="宋体"/>
          <w:color w:val="auto"/>
          <w:highlight w:val="none"/>
        </w:rPr>
        <w:t>)</w:t>
      </w:r>
    </w:p>
    <w:p>
      <w:pPr>
        <w:snapToGrid w:val="0"/>
        <w:ind w:firstLine="470" w:firstLineChars="196"/>
        <w:rPr>
          <w:rFonts w:ascii="宋体" w:hAnsi="宋体"/>
          <w:color w:val="auto"/>
          <w:highlight w:val="none"/>
        </w:rPr>
      </w:pPr>
      <w:r>
        <w:rPr>
          <w:rFonts w:hint="eastAsia" w:ascii="宋体" w:hAnsi="宋体"/>
          <w:color w:val="auto"/>
          <w:highlight w:val="none"/>
        </w:rPr>
        <w:t>（5）最近一个季度依法缴纳税收和社保费的证明[税费凭证复印件，或者依法缴纳税费或依法免缴税费的证明（复印件，原件备查并一年内有效，格式自拟）]，须附社保参保人员花名册</w:t>
      </w:r>
    </w:p>
    <w:p>
      <w:pPr>
        <w:snapToGrid w:val="0"/>
        <w:ind w:firstLine="470" w:firstLineChars="196"/>
        <w:rPr>
          <w:rFonts w:ascii="宋体" w:hAnsi="宋体"/>
          <w:color w:val="auto"/>
          <w:highlight w:val="none"/>
        </w:rPr>
      </w:pPr>
      <w:r>
        <w:rPr>
          <w:rFonts w:hint="eastAsia" w:ascii="宋体" w:hAnsi="宋体"/>
          <w:color w:val="auto"/>
          <w:highlight w:val="none"/>
        </w:rPr>
        <w:t>（6）投标声明书</w:t>
      </w:r>
      <w:r>
        <w:rPr>
          <w:rFonts w:ascii="宋体" w:hAnsi="宋体"/>
          <w:color w:val="auto"/>
          <w:highlight w:val="none"/>
        </w:rPr>
        <w:t>(格式见附件</w:t>
      </w:r>
      <w:r>
        <w:rPr>
          <w:rFonts w:hint="eastAsia" w:ascii="宋体" w:hAnsi="宋体"/>
          <w:color w:val="auto"/>
          <w:highlight w:val="none"/>
        </w:rPr>
        <w:t>4</w:t>
      </w:r>
      <w:r>
        <w:rPr>
          <w:rFonts w:ascii="宋体" w:hAnsi="宋体"/>
          <w:color w:val="auto"/>
          <w:highlight w:val="none"/>
        </w:rPr>
        <w:t>)</w:t>
      </w:r>
    </w:p>
    <w:p>
      <w:pPr>
        <w:snapToGrid w:val="0"/>
        <w:ind w:firstLine="470" w:firstLineChars="196"/>
        <w:rPr>
          <w:rFonts w:ascii="宋体" w:hAnsi="宋体"/>
          <w:color w:val="auto"/>
          <w:highlight w:val="none"/>
        </w:rPr>
      </w:pPr>
      <w:r>
        <w:rPr>
          <w:rFonts w:hint="eastAsia" w:ascii="宋体" w:hAnsi="宋体"/>
          <w:color w:val="auto"/>
          <w:highlight w:val="none"/>
        </w:rPr>
        <w:t>（7）截至公告发布日止，相关主体在“信用中国”网站(www.creditchina.gov.cn)及中国政府采购网(www.ccgp.gov.cn)是否有失信行为的查询结果截图。</w:t>
      </w:r>
    </w:p>
    <w:p>
      <w:pPr>
        <w:snapToGrid w:val="0"/>
        <w:ind w:firstLine="470" w:firstLineChars="196"/>
        <w:rPr>
          <w:rFonts w:ascii="宋体" w:hAnsi="宋体"/>
          <w:color w:val="auto"/>
          <w:highlight w:val="none"/>
        </w:rPr>
      </w:pPr>
      <w:r>
        <w:rPr>
          <w:rFonts w:hint="eastAsia" w:ascii="宋体" w:hAnsi="宋体"/>
          <w:color w:val="auto"/>
          <w:highlight w:val="none"/>
        </w:rPr>
        <w:t>（8）</w:t>
      </w:r>
      <w:r>
        <w:rPr>
          <w:rFonts w:ascii="宋体" w:hAnsi="宋体"/>
          <w:color w:val="auto"/>
          <w:highlight w:val="none"/>
        </w:rPr>
        <w:t>法定代表人授权委托书(格式见附件</w:t>
      </w:r>
      <w:r>
        <w:rPr>
          <w:rFonts w:hint="eastAsia" w:ascii="宋体" w:hAnsi="宋体"/>
          <w:color w:val="auto"/>
          <w:highlight w:val="none"/>
        </w:rPr>
        <w:t>5</w:t>
      </w:r>
      <w:r>
        <w:rPr>
          <w:rFonts w:ascii="宋体" w:hAnsi="宋体"/>
          <w:color w:val="auto"/>
          <w:highlight w:val="none"/>
        </w:rPr>
        <w:t>)</w:t>
      </w:r>
    </w:p>
    <w:p>
      <w:pPr>
        <w:snapToGrid w:val="0"/>
        <w:ind w:firstLine="470" w:firstLineChars="196"/>
        <w:rPr>
          <w:rFonts w:ascii="宋体" w:hAnsi="宋体"/>
          <w:color w:val="auto"/>
          <w:highlight w:val="none"/>
        </w:rPr>
      </w:pPr>
      <w:r>
        <w:rPr>
          <w:rFonts w:hint="eastAsia" w:ascii="宋体" w:hAnsi="宋体"/>
          <w:color w:val="auto"/>
          <w:highlight w:val="none"/>
        </w:rPr>
        <w:t>（9）法定代表人身份证复印件或被授权人身份证复印件。</w:t>
      </w:r>
    </w:p>
    <w:p>
      <w:pPr>
        <w:snapToGrid w:val="0"/>
        <w:ind w:firstLine="470" w:firstLineChars="196"/>
        <w:rPr>
          <w:rFonts w:ascii="宋体" w:hAnsi="宋体"/>
          <w:color w:val="auto"/>
          <w:highlight w:val="none"/>
        </w:rPr>
      </w:pPr>
      <w:r>
        <w:rPr>
          <w:rFonts w:hint="eastAsia" w:ascii="宋体" w:hAnsi="宋体"/>
          <w:color w:val="auto"/>
          <w:highlight w:val="none"/>
        </w:rPr>
        <w:t>（10）招标公告里要求的特定资质:提供中小企业声明函或联合体协议或分包意向协议（格式见附件）。</w:t>
      </w:r>
    </w:p>
    <w:p>
      <w:pPr>
        <w:snapToGrid w:val="0"/>
        <w:ind w:firstLine="480"/>
        <w:rPr>
          <w:rFonts w:ascii="宋体" w:hAnsi="宋体"/>
          <w:color w:val="auto"/>
          <w:highlight w:val="none"/>
        </w:rPr>
      </w:pPr>
      <w:r>
        <w:rPr>
          <w:rFonts w:hint="eastAsia" w:ascii="宋体" w:hAnsi="宋体"/>
          <w:color w:val="auto"/>
          <w:highlight w:val="none"/>
        </w:rPr>
        <w:t>（11）</w:t>
      </w:r>
      <w:r>
        <w:rPr>
          <w:rFonts w:ascii="宋体" w:hAnsi="宋体"/>
          <w:color w:val="auto"/>
          <w:highlight w:val="none"/>
        </w:rPr>
        <w:t>投标</w:t>
      </w:r>
      <w:r>
        <w:rPr>
          <w:rFonts w:hint="eastAsia" w:ascii="宋体" w:hAnsi="宋体"/>
          <w:color w:val="auto"/>
          <w:highlight w:val="none"/>
        </w:rPr>
        <w:t>人</w:t>
      </w:r>
      <w:r>
        <w:rPr>
          <w:rFonts w:ascii="宋体" w:hAnsi="宋体"/>
          <w:color w:val="auto"/>
          <w:highlight w:val="none"/>
        </w:rPr>
        <w:t>认为有必要提供的其它文件</w:t>
      </w:r>
      <w:r>
        <w:rPr>
          <w:rFonts w:hint="eastAsia" w:ascii="宋体" w:hAnsi="宋体"/>
          <w:color w:val="auto"/>
          <w:highlight w:val="none"/>
        </w:rPr>
        <w:t>。</w:t>
      </w:r>
    </w:p>
    <w:p>
      <w:pPr>
        <w:snapToGrid w:val="0"/>
        <w:ind w:firstLine="472" w:firstLineChars="196"/>
        <w:rPr>
          <w:rFonts w:ascii="宋体"/>
          <w:b/>
          <w:color w:val="auto"/>
          <w:highlight w:val="none"/>
        </w:rPr>
      </w:pPr>
      <w:r>
        <w:rPr>
          <w:rFonts w:ascii="宋体" w:hAnsi="宋体"/>
          <w:b/>
          <w:color w:val="auto"/>
          <w:highlight w:val="none"/>
        </w:rPr>
        <w:t>2</w:t>
      </w:r>
      <w:r>
        <w:rPr>
          <w:rFonts w:hint="eastAsia" w:ascii="宋体" w:hAnsi="宋体"/>
          <w:b/>
          <w:color w:val="auto"/>
          <w:highlight w:val="none"/>
        </w:rPr>
        <w:t>、商务技术响应文件：</w:t>
      </w:r>
    </w:p>
    <w:p>
      <w:pPr>
        <w:snapToGrid w:val="0"/>
        <w:ind w:firstLine="470" w:firstLineChars="196"/>
        <w:rPr>
          <w:rFonts w:ascii="宋体" w:hAnsi="宋体"/>
          <w:color w:val="auto"/>
          <w:highlight w:val="none"/>
        </w:rPr>
      </w:pPr>
      <w:r>
        <w:rPr>
          <w:rFonts w:hint="eastAsia" w:ascii="宋体" w:hAnsi="宋体"/>
          <w:color w:val="auto"/>
          <w:highlight w:val="none"/>
        </w:rPr>
        <w:t>（1）评分响应表（格式见附件7）</w:t>
      </w:r>
    </w:p>
    <w:p>
      <w:pPr>
        <w:snapToGrid w:val="0"/>
        <w:ind w:firstLine="470" w:firstLineChars="196"/>
        <w:rPr>
          <w:rFonts w:ascii="宋体" w:hAnsi="宋体"/>
          <w:color w:val="auto"/>
          <w:highlight w:val="none"/>
        </w:rPr>
      </w:pPr>
      <w:r>
        <w:rPr>
          <w:rFonts w:hint="eastAsia" w:ascii="宋体" w:hAnsi="宋体"/>
          <w:color w:val="auto"/>
          <w:highlight w:val="none"/>
        </w:rPr>
        <w:t>（2）</w:t>
      </w:r>
      <w:r>
        <w:rPr>
          <w:rFonts w:ascii="宋体" w:hAnsi="宋体"/>
          <w:color w:val="auto"/>
          <w:highlight w:val="none"/>
        </w:rPr>
        <w:t>货物主要技术指标</w:t>
      </w:r>
      <w:r>
        <w:rPr>
          <w:rFonts w:hint="eastAsia" w:ascii="宋体" w:hAnsi="宋体"/>
          <w:color w:val="auto"/>
          <w:highlight w:val="none"/>
        </w:rPr>
        <w:t>、功能及配置</w:t>
      </w:r>
      <w:r>
        <w:rPr>
          <w:rFonts w:ascii="宋体" w:hAnsi="宋体"/>
          <w:color w:val="auto"/>
          <w:highlight w:val="none"/>
        </w:rPr>
        <w:t>的详细说明</w:t>
      </w:r>
      <w:r>
        <w:rPr>
          <w:rFonts w:hint="eastAsia" w:ascii="宋体" w:hAnsi="宋体"/>
          <w:color w:val="auto"/>
          <w:highlight w:val="none"/>
        </w:rPr>
        <w:t>。</w:t>
      </w:r>
      <w:r>
        <w:rPr>
          <w:rFonts w:hint="eastAsia" w:ascii="宋体" w:hAnsi="宋体" w:cs="Arial"/>
          <w:color w:val="auto"/>
          <w:highlight w:val="none"/>
        </w:rPr>
        <w:t>（格式见附件8）</w:t>
      </w:r>
    </w:p>
    <w:p>
      <w:pPr>
        <w:snapToGrid w:val="0"/>
        <w:ind w:firstLine="480"/>
        <w:rPr>
          <w:rFonts w:ascii="宋体" w:hAnsi="宋体"/>
          <w:color w:val="auto"/>
          <w:highlight w:val="none"/>
        </w:rPr>
      </w:pPr>
      <w:r>
        <w:rPr>
          <w:rFonts w:hint="eastAsia" w:ascii="宋体" w:hAnsi="宋体"/>
          <w:color w:val="auto"/>
          <w:highlight w:val="none"/>
        </w:rPr>
        <w:t>（3）投标货物</w:t>
      </w:r>
      <w:r>
        <w:rPr>
          <w:rFonts w:hint="eastAsia" w:ascii="宋体" w:hAnsi="宋体"/>
          <w:b/>
          <w:color w:val="auto"/>
          <w:highlight w:val="none"/>
        </w:rPr>
        <w:t>主要设备的宣传彩页或官方网站打印的主要参数表。</w:t>
      </w:r>
    </w:p>
    <w:p>
      <w:pPr>
        <w:snapToGrid w:val="0"/>
        <w:ind w:firstLine="480"/>
        <w:rPr>
          <w:rFonts w:ascii="宋体" w:hAnsi="宋体"/>
          <w:color w:val="auto"/>
          <w:highlight w:val="none"/>
        </w:rPr>
      </w:pPr>
      <w:r>
        <w:rPr>
          <w:rFonts w:hint="eastAsia" w:ascii="宋体" w:hAnsi="宋体"/>
          <w:color w:val="auto"/>
          <w:highlight w:val="none"/>
        </w:rPr>
        <w:t>（4</w:t>
      </w:r>
      <w:r>
        <w:rPr>
          <w:rFonts w:ascii="宋体" w:hAnsi="宋体"/>
          <w:color w:val="auto"/>
          <w:highlight w:val="none"/>
        </w:rPr>
        <w:t>）</w:t>
      </w:r>
      <w:r>
        <w:rPr>
          <w:rFonts w:hint="eastAsia" w:ascii="宋体" w:hAnsi="宋体"/>
          <w:color w:val="auto"/>
          <w:highlight w:val="none"/>
        </w:rPr>
        <w:t>技术偏离表：投标方必须针对招标文件要求的技术参数逐个做出实质性响应（格式见附件9）</w:t>
      </w:r>
      <w:r>
        <w:rPr>
          <w:rFonts w:ascii="宋体" w:hAnsi="宋体"/>
          <w:color w:val="auto"/>
          <w:highlight w:val="none"/>
        </w:rPr>
        <w:t>。</w:t>
      </w:r>
    </w:p>
    <w:p>
      <w:pPr>
        <w:snapToGrid w:val="0"/>
        <w:ind w:firstLine="480"/>
        <w:rPr>
          <w:rFonts w:ascii="宋体" w:hAnsi="宋体"/>
          <w:color w:val="auto"/>
          <w:highlight w:val="none"/>
        </w:rPr>
      </w:pPr>
      <w:r>
        <w:rPr>
          <w:rFonts w:hint="eastAsia" w:ascii="宋体" w:hAnsi="宋体"/>
          <w:color w:val="auto"/>
          <w:highlight w:val="none"/>
        </w:rPr>
        <w:t>（5）</w:t>
      </w:r>
      <w:r>
        <w:rPr>
          <w:rFonts w:hint="eastAsia" w:ascii="宋体" w:hAnsi="宋体" w:cs="Arial"/>
          <w:color w:val="auto"/>
          <w:highlight w:val="none"/>
        </w:rPr>
        <w:t>投标产品服务计划表（格式见附件10）</w:t>
      </w:r>
    </w:p>
    <w:p>
      <w:pPr>
        <w:snapToGrid w:val="0"/>
        <w:ind w:firstLine="470" w:firstLineChars="196"/>
        <w:rPr>
          <w:rFonts w:ascii="宋体" w:hAnsi="宋体"/>
          <w:color w:val="auto"/>
          <w:highlight w:val="none"/>
        </w:rPr>
      </w:pPr>
      <w:r>
        <w:rPr>
          <w:rFonts w:hint="eastAsia" w:ascii="宋体" w:hAnsi="宋体"/>
          <w:color w:val="auto"/>
          <w:highlight w:val="none"/>
        </w:rPr>
        <w:t>（6）</w:t>
      </w:r>
      <w:r>
        <w:rPr>
          <w:rFonts w:ascii="宋体" w:hAnsi="宋体"/>
          <w:color w:val="auto"/>
          <w:highlight w:val="none"/>
        </w:rPr>
        <w:t>技术服务、技术培训、售后服务的内容和措施</w:t>
      </w:r>
      <w:r>
        <w:rPr>
          <w:rFonts w:hint="eastAsia" w:ascii="宋体" w:hAnsi="宋体"/>
          <w:color w:val="auto"/>
          <w:highlight w:val="none"/>
        </w:rPr>
        <w:t>。</w:t>
      </w:r>
    </w:p>
    <w:p>
      <w:pPr>
        <w:snapToGrid w:val="0"/>
        <w:ind w:firstLine="480"/>
        <w:rPr>
          <w:rFonts w:ascii="宋体" w:hAnsi="宋体"/>
          <w:color w:val="auto"/>
          <w:highlight w:val="none"/>
        </w:rPr>
      </w:pPr>
      <w:r>
        <w:rPr>
          <w:rFonts w:hint="eastAsia" w:ascii="宋体" w:hAnsi="宋体"/>
          <w:color w:val="auto"/>
          <w:highlight w:val="none"/>
        </w:rPr>
        <w:t>（7）政府采购供应商诚信承诺书（格式见附件11）</w:t>
      </w:r>
    </w:p>
    <w:p>
      <w:pPr>
        <w:snapToGrid w:val="0"/>
        <w:ind w:firstLine="480"/>
        <w:rPr>
          <w:rFonts w:ascii="宋体" w:hAnsi="宋体"/>
          <w:color w:val="auto"/>
          <w:highlight w:val="none"/>
        </w:rPr>
      </w:pPr>
      <w:r>
        <w:rPr>
          <w:rFonts w:hint="eastAsia" w:ascii="宋体" w:hAnsi="宋体"/>
          <w:color w:val="auto"/>
          <w:highlight w:val="none"/>
        </w:rPr>
        <w:t>（8）</w:t>
      </w:r>
      <w:r>
        <w:rPr>
          <w:rFonts w:ascii="宋体" w:hAnsi="宋体"/>
          <w:color w:val="auto"/>
          <w:highlight w:val="none"/>
        </w:rPr>
        <w:t>投标人需要说明的其他文件和说明。</w:t>
      </w:r>
    </w:p>
    <w:p>
      <w:pPr>
        <w:snapToGrid w:val="0"/>
        <w:ind w:firstLine="472" w:firstLineChars="196"/>
        <w:rPr>
          <w:rFonts w:ascii="宋体"/>
          <w:b/>
          <w:color w:val="auto"/>
          <w:highlight w:val="none"/>
        </w:rPr>
      </w:pPr>
      <w:r>
        <w:rPr>
          <w:rFonts w:hint="eastAsia" w:ascii="宋体" w:hAnsi="宋体"/>
          <w:b/>
          <w:color w:val="auto"/>
          <w:highlight w:val="none"/>
        </w:rPr>
        <w:t>3、报价响应文件</w:t>
      </w:r>
    </w:p>
    <w:p>
      <w:pPr>
        <w:snapToGrid w:val="0"/>
        <w:ind w:firstLine="480"/>
        <w:rPr>
          <w:rFonts w:ascii="宋体" w:hAnsi="宋体"/>
          <w:color w:val="auto"/>
          <w:highlight w:val="none"/>
        </w:rPr>
      </w:pPr>
      <w:r>
        <w:rPr>
          <w:rFonts w:hint="eastAsia" w:ascii="宋体" w:hAnsi="宋体"/>
          <w:color w:val="auto"/>
          <w:highlight w:val="none"/>
        </w:rPr>
        <w:t>（1）投标函（格式见附件12）</w:t>
      </w:r>
    </w:p>
    <w:p>
      <w:pPr>
        <w:snapToGrid w:val="0"/>
        <w:ind w:firstLine="480"/>
        <w:rPr>
          <w:rFonts w:ascii="宋体" w:hAnsi="宋体"/>
          <w:color w:val="auto"/>
          <w:highlight w:val="none"/>
        </w:rPr>
      </w:pPr>
      <w:r>
        <w:rPr>
          <w:rFonts w:hint="eastAsia" w:ascii="宋体" w:hAnsi="宋体"/>
          <w:color w:val="auto"/>
          <w:highlight w:val="none"/>
        </w:rPr>
        <w:t>（2）开标一览表（格式见附件13）</w:t>
      </w:r>
    </w:p>
    <w:p>
      <w:pPr>
        <w:snapToGrid w:val="0"/>
        <w:ind w:firstLine="480"/>
        <w:rPr>
          <w:rFonts w:ascii="宋体" w:hAnsi="宋体"/>
          <w:color w:val="auto"/>
          <w:highlight w:val="none"/>
        </w:rPr>
      </w:pPr>
      <w:r>
        <w:rPr>
          <w:rFonts w:hint="eastAsia" w:ascii="宋体" w:hAnsi="宋体"/>
          <w:color w:val="auto"/>
          <w:highlight w:val="none"/>
        </w:rPr>
        <w:t>（3）提供中小企业声明函或联合体协议或分包意向协议（格式见附件）</w:t>
      </w:r>
    </w:p>
    <w:p>
      <w:pPr>
        <w:snapToGrid w:val="0"/>
        <w:ind w:firstLine="480"/>
        <w:rPr>
          <w:rFonts w:ascii="宋体" w:hAnsi="宋体"/>
          <w:color w:val="auto"/>
          <w:highlight w:val="none"/>
        </w:rPr>
      </w:pPr>
      <w:r>
        <w:rPr>
          <w:rFonts w:hint="eastAsia" w:ascii="宋体" w:hAnsi="宋体"/>
          <w:color w:val="auto"/>
          <w:highlight w:val="none"/>
        </w:rPr>
        <w:t>（4）投标人针对报价需要说明的其他文件和说明（不含报价）。</w:t>
      </w:r>
    </w:p>
    <w:p>
      <w:pPr>
        <w:snapToGrid w:val="0"/>
        <w:ind w:firstLine="472" w:firstLineChars="196"/>
        <w:outlineLvl w:val="0"/>
        <w:rPr>
          <w:rFonts w:ascii="宋体"/>
          <w:b/>
          <w:color w:val="auto"/>
          <w:highlight w:val="none"/>
        </w:rPr>
      </w:pPr>
      <w:r>
        <w:rPr>
          <w:rFonts w:hint="eastAsia" w:ascii="宋体" w:hAnsi="宋体"/>
          <w:b/>
          <w:color w:val="auto"/>
          <w:highlight w:val="none"/>
        </w:rPr>
        <w:t>（二）投标文件的语言及计量</w:t>
      </w:r>
    </w:p>
    <w:p>
      <w:pPr>
        <w:snapToGrid w:val="0"/>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投标文件以及投标方与招标方就有关投标事宜的所有来往函电，均应以中文汉语书写。除签名、盖章、专用名称等特殊情形外，以中文汉语以外的文字表述的投标文件视同未提供。</w:t>
      </w:r>
    </w:p>
    <w:p>
      <w:pPr>
        <w:snapToGrid w:val="0"/>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投标计量单位，应采用中华人民共和国法定计量单位（货币单位：人民币元），否则视同未响应。</w:t>
      </w:r>
    </w:p>
    <w:p>
      <w:pPr>
        <w:pStyle w:val="29"/>
        <w:snapToGrid w:val="0"/>
        <w:spacing w:beforeLines="0" w:afterLines="0" w:line="360" w:lineRule="auto"/>
        <w:ind w:firstLine="482"/>
        <w:rPr>
          <w:rFonts w:hAnsi="宋体"/>
          <w:b/>
          <w:color w:val="auto"/>
          <w:highlight w:val="none"/>
        </w:rPr>
      </w:pPr>
      <w:r>
        <w:rPr>
          <w:rFonts w:hint="eastAsia" w:hAnsi="宋体"/>
          <w:b/>
          <w:color w:val="auto"/>
          <w:highlight w:val="none"/>
        </w:rPr>
        <w:t>（三）投标报价</w:t>
      </w:r>
    </w:p>
    <w:p>
      <w:pPr>
        <w:pStyle w:val="29"/>
        <w:snapToGrid w:val="0"/>
        <w:spacing w:beforeLines="0" w:afterLines="0" w:line="360" w:lineRule="auto"/>
        <w:ind w:firstLine="480"/>
        <w:rPr>
          <w:rFonts w:hAnsi="宋体" w:cs="宋体"/>
          <w:color w:val="auto"/>
          <w:highlight w:val="none"/>
        </w:rPr>
      </w:pPr>
      <w:r>
        <w:rPr>
          <w:rFonts w:hint="eastAsia" w:hAnsi="宋体"/>
          <w:color w:val="auto"/>
          <w:highlight w:val="none"/>
        </w:rPr>
        <w:t>▲</w:t>
      </w:r>
      <w:r>
        <w:rPr>
          <w:rFonts w:hAnsi="宋体" w:cs="宋体"/>
          <w:color w:val="auto"/>
          <w:highlight w:val="none"/>
        </w:rPr>
        <w:t>1.</w:t>
      </w:r>
      <w:r>
        <w:rPr>
          <w:rFonts w:hint="eastAsia" w:hAnsi="宋体" w:cs="宋体"/>
          <w:color w:val="auto"/>
          <w:highlight w:val="none"/>
        </w:rPr>
        <w:t>投标报价应按招标文件中招标需求的要求，按照相关附表格式填写。</w:t>
      </w:r>
    </w:p>
    <w:p>
      <w:pPr>
        <w:pStyle w:val="29"/>
        <w:snapToGrid w:val="0"/>
        <w:spacing w:beforeLines="0" w:afterLines="0" w:line="360" w:lineRule="auto"/>
        <w:ind w:firstLine="480"/>
        <w:rPr>
          <w:rFonts w:hAnsi="宋体" w:cs="宋体"/>
          <w:color w:val="auto"/>
          <w:highlight w:val="none"/>
        </w:rPr>
      </w:pPr>
      <w:r>
        <w:rPr>
          <w:rFonts w:hint="eastAsia" w:hAnsi="宋体"/>
          <w:color w:val="auto"/>
          <w:highlight w:val="none"/>
        </w:rPr>
        <w:t>▲</w:t>
      </w:r>
      <w:r>
        <w:rPr>
          <w:rFonts w:hAnsi="宋体" w:cs="宋体"/>
          <w:color w:val="auto"/>
          <w:highlight w:val="none"/>
        </w:rPr>
        <w:t>2.</w:t>
      </w:r>
      <w:r>
        <w:rPr>
          <w:rFonts w:hint="eastAsia" w:hAnsi="宋体" w:cs="宋体"/>
          <w:color w:val="auto"/>
          <w:highlight w:val="none"/>
        </w:rPr>
        <w:t>投标报价是履行合同的最终价格，应包括完成本项目所需的人工、设备、材料、差旅费及其他等一切费用开支及税金。</w:t>
      </w:r>
    </w:p>
    <w:p>
      <w:pPr>
        <w:tabs>
          <w:tab w:val="left" w:pos="525"/>
        </w:tabs>
        <w:snapToGrid w:val="0"/>
        <w:ind w:firstLine="480"/>
        <w:rPr>
          <w:rFonts w:ascii="宋体"/>
          <w:color w:val="auto"/>
          <w:highlight w:val="none"/>
        </w:rPr>
      </w:pPr>
      <w:r>
        <w:rPr>
          <w:rFonts w:hint="eastAsia" w:ascii="宋体" w:hAnsi="宋体"/>
          <w:color w:val="auto"/>
          <w:highlight w:val="none"/>
        </w:rPr>
        <w:t>▲</w:t>
      </w:r>
      <w:r>
        <w:rPr>
          <w:rFonts w:ascii="宋体" w:hAnsi="宋体" w:cs="宋体"/>
          <w:color w:val="auto"/>
          <w:highlight w:val="none"/>
        </w:rPr>
        <w:t>3.</w:t>
      </w:r>
      <w:r>
        <w:rPr>
          <w:rFonts w:hint="eastAsia" w:ascii="宋体" w:hAnsi="宋体" w:cs="宋体"/>
          <w:color w:val="auto"/>
          <w:highlight w:val="none"/>
        </w:rPr>
        <w:t>投标文件只允许有一个报价，有选择的或有条件的报价将不予接受。</w:t>
      </w:r>
      <w:r>
        <w:rPr>
          <w:rFonts w:hint="eastAsia" w:ascii="宋体" w:hAnsi="宋体"/>
          <w:color w:val="auto"/>
          <w:highlight w:val="none"/>
        </w:rPr>
        <w:t>唱标价格为报价响应文件正本中</w:t>
      </w:r>
      <w:r>
        <w:rPr>
          <w:rFonts w:hint="eastAsia" w:hAnsi="宋体"/>
          <w:color w:val="auto"/>
          <w:highlight w:val="none"/>
        </w:rPr>
        <w:t>开标一览表</w:t>
      </w:r>
      <w:r>
        <w:rPr>
          <w:rFonts w:hint="eastAsia" w:ascii="宋体" w:hAnsi="宋体"/>
          <w:color w:val="auto"/>
          <w:highlight w:val="none"/>
        </w:rPr>
        <w:t>的报价。</w:t>
      </w:r>
    </w:p>
    <w:p>
      <w:pPr>
        <w:tabs>
          <w:tab w:val="left" w:pos="525"/>
        </w:tabs>
        <w:snapToGrid w:val="0"/>
        <w:ind w:firstLine="480"/>
        <w:rPr>
          <w:rFonts w:ascii="宋体" w:cs="宋体"/>
          <w:color w:val="auto"/>
          <w:highlight w:val="none"/>
        </w:rPr>
      </w:pPr>
      <w:r>
        <w:rPr>
          <w:rFonts w:hint="eastAsia" w:ascii="宋体" w:hAnsi="宋体"/>
          <w:color w:val="auto"/>
          <w:highlight w:val="none"/>
        </w:rPr>
        <w:t>▲</w:t>
      </w:r>
      <w:r>
        <w:rPr>
          <w:rFonts w:ascii="宋体" w:hAnsi="宋体" w:cs="宋体"/>
          <w:color w:val="auto"/>
          <w:highlight w:val="none"/>
        </w:rPr>
        <w:t>4.</w:t>
      </w:r>
      <w:r>
        <w:rPr>
          <w:rFonts w:hint="eastAsia" w:ascii="宋体" w:hAnsi="宋体" w:cs="宋体"/>
          <w:color w:val="auto"/>
          <w:highlight w:val="none"/>
        </w:rPr>
        <w:t>投标人的报价超出限价将做废标处理。</w:t>
      </w:r>
    </w:p>
    <w:p>
      <w:pPr>
        <w:pStyle w:val="15"/>
        <w:widowControl w:val="0"/>
        <w:tabs>
          <w:tab w:val="clear" w:pos="454"/>
        </w:tabs>
        <w:snapToGrid w:val="0"/>
        <w:spacing w:afterLines="0"/>
        <w:ind w:left="0" w:firstLine="472" w:firstLineChars="196"/>
        <w:rPr>
          <w:rFonts w:ascii="宋体"/>
          <w:b/>
          <w:color w:val="auto"/>
          <w:szCs w:val="24"/>
          <w:highlight w:val="none"/>
        </w:rPr>
      </w:pPr>
      <w:r>
        <w:rPr>
          <w:rFonts w:hint="eastAsia" w:ascii="宋体" w:hAnsi="宋体"/>
          <w:b/>
          <w:color w:val="auto"/>
          <w:szCs w:val="24"/>
          <w:highlight w:val="none"/>
        </w:rPr>
        <w:t>（四）投标文件的有效期</w:t>
      </w:r>
    </w:p>
    <w:p>
      <w:pPr>
        <w:pStyle w:val="15"/>
        <w:widowControl w:val="0"/>
        <w:tabs>
          <w:tab w:val="clear" w:pos="454"/>
        </w:tabs>
        <w:snapToGrid w:val="0"/>
        <w:spacing w:afterLines="0"/>
        <w:ind w:left="0" w:firstLine="480"/>
        <w:rPr>
          <w:rFonts w:ascii="宋体"/>
          <w:color w:val="auto"/>
          <w:szCs w:val="24"/>
          <w:highlight w:val="none"/>
        </w:rPr>
      </w:pPr>
      <w:r>
        <w:rPr>
          <w:rFonts w:hint="eastAsia" w:ascii="宋体" w:hAnsi="宋体"/>
          <w:color w:val="auto"/>
          <w:highlight w:val="none"/>
        </w:rPr>
        <w:t>▲</w:t>
      </w:r>
      <w:r>
        <w:rPr>
          <w:rFonts w:ascii="宋体" w:hAnsi="宋体"/>
          <w:color w:val="auto"/>
          <w:szCs w:val="24"/>
          <w:highlight w:val="none"/>
        </w:rPr>
        <w:t>1</w:t>
      </w:r>
      <w:r>
        <w:rPr>
          <w:rFonts w:ascii="宋体"/>
          <w:color w:val="auto"/>
          <w:szCs w:val="24"/>
          <w:highlight w:val="none"/>
        </w:rPr>
        <w:t>.</w:t>
      </w:r>
      <w:r>
        <w:rPr>
          <w:rFonts w:hint="eastAsia" w:ascii="宋体" w:hAnsi="宋体"/>
          <w:color w:val="auto"/>
          <w:szCs w:val="24"/>
          <w:highlight w:val="none"/>
        </w:rPr>
        <w:t>自投标截止日起</w:t>
      </w:r>
      <w:r>
        <w:rPr>
          <w:rFonts w:ascii="宋体" w:hAnsi="宋体"/>
          <w:color w:val="auto"/>
          <w:szCs w:val="24"/>
          <w:highlight w:val="none"/>
          <w:u w:val="single"/>
        </w:rPr>
        <w:t>60</w:t>
      </w:r>
      <w:r>
        <w:rPr>
          <w:rFonts w:hint="eastAsia" w:ascii="宋体" w:hAnsi="宋体"/>
          <w:color w:val="auto"/>
          <w:szCs w:val="24"/>
          <w:highlight w:val="none"/>
        </w:rPr>
        <w:t>天投标文件应保持有效。有效期不足的投标文件将被拒绝。</w:t>
      </w:r>
    </w:p>
    <w:p>
      <w:pPr>
        <w:pStyle w:val="15"/>
        <w:widowControl w:val="0"/>
        <w:tabs>
          <w:tab w:val="clear" w:pos="454"/>
        </w:tabs>
        <w:snapToGrid w:val="0"/>
        <w:spacing w:afterLines="0"/>
        <w:ind w:left="0" w:firstLine="480"/>
        <w:rPr>
          <w:rFonts w:ascii="宋体"/>
          <w:color w:val="auto"/>
          <w:szCs w:val="24"/>
          <w:highlight w:val="none"/>
        </w:rPr>
      </w:pPr>
      <w:r>
        <w:rPr>
          <w:rFonts w:ascii="宋体" w:hAnsi="宋体"/>
          <w:color w:val="auto"/>
          <w:szCs w:val="24"/>
          <w:highlight w:val="none"/>
        </w:rPr>
        <w:t>2</w:t>
      </w:r>
      <w:r>
        <w:rPr>
          <w:rFonts w:ascii="宋体"/>
          <w:color w:val="auto"/>
          <w:szCs w:val="24"/>
          <w:highlight w:val="none"/>
        </w:rPr>
        <w:t>.</w:t>
      </w:r>
      <w:r>
        <w:rPr>
          <w:rFonts w:hint="eastAsia" w:ascii="宋体" w:hAnsi="宋体"/>
          <w:color w:val="auto"/>
          <w:szCs w:val="24"/>
          <w:highlight w:val="none"/>
        </w:rPr>
        <w:t>在特殊情况下，招标人可与投标人协商延长投标书的有效期，这种要求和答复均以书面形式进行。</w:t>
      </w:r>
    </w:p>
    <w:p>
      <w:pPr>
        <w:snapToGrid w:val="0"/>
        <w:ind w:firstLine="480"/>
        <w:outlineLvl w:val="0"/>
        <w:rPr>
          <w:rFonts w:ascii="宋体"/>
          <w:b/>
          <w:color w:val="auto"/>
          <w:highlight w:val="none"/>
        </w:rPr>
      </w:pPr>
      <w:r>
        <w:rPr>
          <w:rFonts w:ascii="宋体" w:hAnsi="宋体"/>
          <w:color w:val="auto"/>
          <w:highlight w:val="none"/>
        </w:rPr>
        <w:t>3</w:t>
      </w:r>
      <w:r>
        <w:rPr>
          <w:rFonts w:ascii="宋体"/>
          <w:color w:val="auto"/>
          <w:highlight w:val="none"/>
        </w:rPr>
        <w:t>.</w:t>
      </w:r>
      <w:r>
        <w:rPr>
          <w:rFonts w:hint="eastAsia" w:ascii="宋体" w:hAnsi="宋体"/>
          <w:color w:val="auto"/>
          <w:highlight w:val="none"/>
        </w:rPr>
        <w:t>中标人的投标文件自开标之日起至合同履行完毕止均应保持有效。</w:t>
      </w:r>
    </w:p>
    <w:p>
      <w:pPr>
        <w:snapToGrid w:val="0"/>
        <w:ind w:firstLine="472" w:firstLineChars="196"/>
        <w:outlineLvl w:val="0"/>
        <w:rPr>
          <w:rFonts w:ascii="宋体"/>
          <w:b/>
          <w:color w:val="auto"/>
          <w:highlight w:val="none"/>
        </w:rPr>
      </w:pPr>
      <w:r>
        <w:rPr>
          <w:rFonts w:hint="eastAsia" w:ascii="宋体" w:hAnsi="宋体"/>
          <w:b/>
          <w:color w:val="auto"/>
          <w:highlight w:val="none"/>
        </w:rPr>
        <w:t>（五）投标文件的签署和份数</w:t>
      </w:r>
    </w:p>
    <w:p>
      <w:pPr>
        <w:snapToGrid w:val="0"/>
        <w:ind w:firstLine="480"/>
        <w:rPr>
          <w:rFonts w:ascii="宋体"/>
          <w:color w:val="auto"/>
          <w:highlight w:val="none"/>
        </w:rPr>
      </w:pPr>
      <w:r>
        <w:rPr>
          <w:rFonts w:ascii="宋体" w:hAnsi="宋体"/>
          <w:color w:val="auto"/>
          <w:highlight w:val="none"/>
        </w:rPr>
        <w:t>1</w:t>
      </w:r>
      <w:r>
        <w:rPr>
          <w:rFonts w:ascii="宋体"/>
          <w:color w:val="auto"/>
          <w:highlight w:val="none"/>
        </w:rPr>
        <w:t>.</w:t>
      </w:r>
      <w:r>
        <w:rPr>
          <w:rFonts w:hint="eastAsia" w:ascii="宋体" w:hAnsi="宋体"/>
          <w:color w:val="auto"/>
          <w:highlight w:val="none"/>
        </w:rPr>
        <w:t>投标人应按本招标文件规定的格式和顺序编制、装订投标文件并标注页码，投标文件内容不完整、编排混乱导致投标文件被误读、漏读或者查找不到相关内容的，是投标人的责任。</w:t>
      </w:r>
    </w:p>
    <w:p>
      <w:pPr>
        <w:snapToGrid w:val="0"/>
        <w:ind w:firstLine="480"/>
        <w:rPr>
          <w:rFonts w:ascii="宋体"/>
          <w:color w:val="auto"/>
          <w:highlight w:val="none"/>
        </w:rPr>
      </w:pPr>
      <w:r>
        <w:rPr>
          <w:rFonts w:hint="eastAsia" w:ascii="宋体" w:hAnsi="宋体"/>
          <w:color w:val="auto"/>
          <w:highlight w:val="none"/>
        </w:rPr>
        <w:t>2</w:t>
      </w:r>
      <w:r>
        <w:rPr>
          <w:rFonts w:ascii="宋体" w:hAnsi="宋体"/>
          <w:color w:val="auto"/>
          <w:highlight w:val="none"/>
        </w:rPr>
        <w:t>.</w:t>
      </w:r>
      <w:r>
        <w:rPr>
          <w:rFonts w:hint="eastAsia" w:ascii="宋体" w:hAnsi="宋体"/>
          <w:color w:val="auto"/>
          <w:highlight w:val="none"/>
        </w:rPr>
        <w:t>招标文件对签字、盖章有特别要求的地方，投标文件无论正本或副本（副本可以是正本的复印件）必须由投标人法定代表人或法定代表人的授权委托人签署并加盖单位公章，投标人应写全称。</w:t>
      </w:r>
    </w:p>
    <w:p>
      <w:pPr>
        <w:snapToGrid w:val="0"/>
        <w:ind w:firstLine="480"/>
        <w:rPr>
          <w:rFonts w:ascii="宋体"/>
          <w:color w:val="auto"/>
          <w:highlight w:val="none"/>
        </w:rPr>
      </w:pPr>
      <w:r>
        <w:rPr>
          <w:rFonts w:hint="eastAsia" w:ascii="宋体" w:hAnsi="宋体"/>
          <w:color w:val="auto"/>
          <w:highlight w:val="none"/>
        </w:rPr>
        <w:t>3</w:t>
      </w:r>
      <w:r>
        <w:rPr>
          <w:rFonts w:ascii="宋体" w:hAnsi="宋体"/>
          <w:color w:val="auto"/>
          <w:highlight w:val="none"/>
        </w:rPr>
        <w:t>.</w:t>
      </w:r>
      <w:r>
        <w:rPr>
          <w:rFonts w:hint="eastAsia" w:ascii="宋体" w:hAnsi="宋体"/>
          <w:color w:val="auto"/>
          <w:highlight w:val="none"/>
        </w:rPr>
        <w:t>投标文件不得涂改，若有修改错漏处，须加盖单位公章或者法定代表人或授权委托人签字或盖章。投标文件因字迹潦草或表达不清所引起的后果由投标人负责。</w:t>
      </w:r>
    </w:p>
    <w:p>
      <w:pPr>
        <w:snapToGrid w:val="0"/>
        <w:ind w:firstLine="354" w:firstLineChars="147"/>
        <w:rPr>
          <w:rFonts w:ascii="宋体"/>
          <w:b/>
          <w:color w:val="auto"/>
          <w:highlight w:val="none"/>
        </w:rPr>
      </w:pPr>
      <w:r>
        <w:rPr>
          <w:rFonts w:hint="eastAsia" w:ascii="宋体" w:hAnsi="宋体"/>
          <w:b/>
          <w:color w:val="auto"/>
          <w:highlight w:val="none"/>
        </w:rPr>
        <w:t>（六）投标文件的上传、递交、修改和撤回</w:t>
      </w:r>
    </w:p>
    <w:p>
      <w:pPr>
        <w:ind w:firstLine="480"/>
        <w:rPr>
          <w:rFonts w:ascii="宋体" w:hAnsi="宋体"/>
          <w:color w:val="auto"/>
          <w:highlight w:val="none"/>
        </w:rPr>
      </w:pPr>
      <w:r>
        <w:rPr>
          <w:rFonts w:hint="eastAsia" w:ascii="宋体" w:hAnsi="宋体"/>
          <w:color w:val="auto"/>
          <w:highlight w:val="none"/>
        </w:rPr>
        <w:t>1.投标人应当在投标截止时间前在“政采云”（电子交易平台）上自行上传加密的电子投标文件。</w:t>
      </w:r>
    </w:p>
    <w:p>
      <w:pPr>
        <w:ind w:firstLine="480"/>
        <w:rPr>
          <w:rFonts w:ascii="宋体" w:hAnsi="宋体"/>
          <w:color w:val="auto"/>
          <w:highlight w:val="none"/>
        </w:rPr>
      </w:pPr>
      <w:r>
        <w:rPr>
          <w:rFonts w:hint="eastAsia" w:ascii="宋体" w:hAnsi="宋体"/>
          <w:color w:val="auto"/>
          <w:highlight w:val="none"/>
        </w:rPr>
        <w:t>2.未按规定上传的投标文件将被拒绝，由此造成投标文件解密失败或被误投的风险由投标人承担。</w:t>
      </w:r>
    </w:p>
    <w:p>
      <w:pPr>
        <w:ind w:firstLine="480"/>
        <w:rPr>
          <w:rFonts w:ascii="宋体" w:hAnsi="宋体"/>
          <w:color w:val="auto"/>
          <w:highlight w:val="none"/>
        </w:rPr>
      </w:pPr>
      <w:r>
        <w:rPr>
          <w:rFonts w:hint="eastAsia" w:ascii="宋体" w:hAnsi="宋体"/>
          <w:color w:val="auto"/>
          <w:highlight w:val="none"/>
        </w:rPr>
        <w:t>3.投标人未在“政采云”（电子交易平台）上自行上传加密的电子投标文件，仅提交电子备份投标文件的，投标无效。</w:t>
      </w:r>
    </w:p>
    <w:p>
      <w:pPr>
        <w:ind w:firstLine="480"/>
        <w:rPr>
          <w:rFonts w:ascii="宋体" w:hAnsi="宋体"/>
          <w:color w:val="auto"/>
          <w:highlight w:val="none"/>
        </w:rPr>
      </w:pPr>
      <w:r>
        <w:rPr>
          <w:rFonts w:hint="eastAsia" w:ascii="宋体" w:hAnsi="宋体"/>
          <w:color w:val="auto"/>
          <w:highlight w:val="non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pPr>
        <w:ind w:firstLine="480"/>
        <w:rPr>
          <w:rFonts w:ascii="宋体" w:hAnsi="宋体"/>
          <w:color w:val="auto"/>
          <w:highlight w:val="none"/>
        </w:rPr>
      </w:pPr>
      <w:r>
        <w:rPr>
          <w:rFonts w:hint="eastAsia" w:ascii="宋体" w:hAnsi="宋体"/>
          <w:color w:val="auto"/>
          <w:highlight w:val="none"/>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pPr>
        <w:ind w:firstLine="480"/>
        <w:rPr>
          <w:rFonts w:ascii="宋体" w:hAnsi="宋体"/>
          <w:color w:val="auto"/>
          <w:highlight w:val="none"/>
        </w:rPr>
      </w:pPr>
      <w:r>
        <w:rPr>
          <w:rFonts w:hint="eastAsia" w:ascii="宋体" w:hAnsi="宋体"/>
          <w:color w:val="auto"/>
          <w:highlight w:val="none"/>
        </w:rPr>
        <w:t>5.截止开标时间，政采云（电子交易平台）自动提取所有投标文件，投标人须在开标时间截止后45分钟内对上传政采云的投标文件进行解密，所有投标人在规定的解密时限内解密完成或解密时限到后，采购代理机构开启投标文件；投标人超过解密时限的，系统默认自动放弃。</w:t>
      </w:r>
    </w:p>
    <w:p>
      <w:pPr>
        <w:ind w:firstLine="480"/>
        <w:rPr>
          <w:rFonts w:ascii="宋体" w:hAnsi="宋体"/>
          <w:color w:val="auto"/>
          <w:highlight w:val="none"/>
        </w:rPr>
      </w:pPr>
      <w:r>
        <w:rPr>
          <w:rFonts w:hint="eastAsia" w:ascii="宋体" w:hAnsi="宋体"/>
          <w:color w:val="auto"/>
          <w:highlight w:val="none"/>
        </w:rPr>
        <w:t>6.电子投标文件无法解密或解密失败时，投标人提供了电子备份投标文件的，以电子备份投标文件作为评审依据，否则视为投标文件撤回。投标文件已按时解密的，电子备份投标文件自动失效。</w:t>
      </w:r>
    </w:p>
    <w:p>
      <w:pPr>
        <w:snapToGrid w:val="0"/>
        <w:ind w:firstLine="472" w:firstLineChars="196"/>
        <w:outlineLvl w:val="2"/>
        <w:rPr>
          <w:rFonts w:ascii="宋体"/>
          <w:b/>
          <w:color w:val="auto"/>
          <w:highlight w:val="none"/>
        </w:rPr>
      </w:pPr>
      <w:r>
        <w:rPr>
          <w:rFonts w:hint="eastAsia" w:ascii="宋体" w:hAnsi="宋体"/>
          <w:b/>
          <w:color w:val="auto"/>
          <w:highlight w:val="none"/>
        </w:rPr>
        <w:t>（七）投标无效的情形</w:t>
      </w:r>
    </w:p>
    <w:p>
      <w:pPr>
        <w:snapToGrid w:val="0"/>
        <w:ind w:firstLine="480"/>
        <w:rPr>
          <w:rFonts w:ascii="宋体"/>
          <w:color w:val="auto"/>
          <w:highlight w:val="none"/>
        </w:rPr>
      </w:pPr>
      <w:r>
        <w:rPr>
          <w:rFonts w:hint="eastAsia" w:ascii="宋体" w:hAnsi="宋体"/>
          <w:color w:val="auto"/>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带▲的条款不得更正），应当允许其在评标结束之前进行修改或者补正，修改或者补正投标文件必须以书面形式进行。投标人修改、补正投标文件后，不影响评标委员会对其投标文件所作的评价和评分结果。</w:t>
      </w:r>
    </w:p>
    <w:p>
      <w:pPr>
        <w:snapToGrid w:val="0"/>
        <w:ind w:firstLine="472" w:firstLineChars="196"/>
        <w:rPr>
          <w:rFonts w:ascii="宋体"/>
          <w:b/>
          <w:bCs/>
          <w:color w:val="auto"/>
          <w:highlight w:val="none"/>
        </w:rPr>
      </w:pPr>
      <w:r>
        <w:rPr>
          <w:rFonts w:ascii="宋体" w:hAnsi="宋体"/>
          <w:b/>
          <w:bCs/>
          <w:color w:val="auto"/>
          <w:highlight w:val="none"/>
        </w:rPr>
        <w:t>1</w:t>
      </w:r>
      <w:r>
        <w:rPr>
          <w:rFonts w:ascii="宋体"/>
          <w:b/>
          <w:bCs/>
          <w:color w:val="auto"/>
          <w:highlight w:val="none"/>
        </w:rPr>
        <w:t>.</w:t>
      </w:r>
      <w:r>
        <w:rPr>
          <w:rFonts w:hint="eastAsia" w:ascii="宋体" w:hAnsi="宋体"/>
          <w:b/>
          <w:bCs/>
          <w:color w:val="auto"/>
          <w:highlight w:val="none"/>
        </w:rPr>
        <w:t>在符合性审查和商务评审时，如发现下列情形之一的，投标文件将被视为无效：</w:t>
      </w:r>
    </w:p>
    <w:p>
      <w:pPr>
        <w:ind w:firstLine="480"/>
        <w:rPr>
          <w:rFonts w:ascii="宋体" w:hAnsi="宋体" w:cs="宋体"/>
          <w:color w:val="auto"/>
          <w:highlight w:val="none"/>
        </w:rPr>
      </w:pPr>
      <w:r>
        <w:rPr>
          <w:rFonts w:hint="eastAsia" w:ascii="宋体" w:hAnsi="宋体" w:cs="宋体"/>
          <w:color w:val="auto"/>
          <w:highlight w:val="none"/>
        </w:rPr>
        <w:t>（1）投标人仅提交电子备份投标文件的。</w:t>
      </w:r>
    </w:p>
    <w:p>
      <w:pPr>
        <w:ind w:firstLine="480"/>
        <w:rPr>
          <w:rFonts w:ascii="宋体" w:hAnsi="宋体" w:cs="宋体"/>
          <w:color w:val="auto"/>
          <w:highlight w:val="none"/>
        </w:rPr>
      </w:pPr>
      <w:r>
        <w:rPr>
          <w:rFonts w:hint="eastAsia" w:ascii="宋体" w:hAnsi="宋体" w:cs="宋体"/>
          <w:color w:val="auto"/>
          <w:highlight w:val="none"/>
        </w:rPr>
        <w:t>（2）在开评标时出现电子投标文件无法解密或解密失败等情况，投标人未提供电子备份投标文件，无法对投标人继续进行评审的。</w:t>
      </w:r>
    </w:p>
    <w:p>
      <w:pPr>
        <w:snapToGrid w:val="0"/>
        <w:ind w:firstLine="470" w:firstLineChars="196"/>
        <w:rPr>
          <w:rFonts w:ascii="宋体" w:hAnsi="宋体" w:cs="宋体"/>
          <w:color w:val="auto"/>
          <w:highlight w:val="none"/>
        </w:rPr>
      </w:pPr>
      <w:r>
        <w:rPr>
          <w:rFonts w:hint="eastAsia" w:ascii="宋体" w:hAnsi="宋体" w:cs="宋体"/>
          <w:color w:val="auto"/>
          <w:highlight w:val="none"/>
        </w:rPr>
        <w:t>（3）投标人未在规定的时间内对电子询标函进行澄清回复、拒绝澄清回复或澄清回复的内容改变了投标文件的实质性内容的。</w:t>
      </w:r>
    </w:p>
    <w:p>
      <w:pPr>
        <w:snapToGrid w:val="0"/>
        <w:ind w:firstLine="470" w:firstLineChars="196"/>
        <w:rPr>
          <w:rFonts w:ascii="宋体"/>
          <w:color w:val="auto"/>
          <w:highlight w:val="none"/>
        </w:rPr>
      </w:pPr>
      <w:r>
        <w:rPr>
          <w:rFonts w:hint="eastAsia" w:ascii="宋体" w:hAnsi="宋体"/>
          <w:color w:val="auto"/>
          <w:highlight w:val="none"/>
        </w:rPr>
        <w:t>（4）资信及商务标内有商务报价出现的；</w:t>
      </w:r>
    </w:p>
    <w:p>
      <w:pPr>
        <w:snapToGrid w:val="0"/>
        <w:ind w:firstLine="470" w:firstLineChars="196"/>
        <w:rPr>
          <w:rFonts w:ascii="宋体"/>
          <w:color w:val="auto"/>
          <w:highlight w:val="none"/>
        </w:rPr>
      </w:pPr>
      <w:r>
        <w:rPr>
          <w:rFonts w:hint="eastAsia" w:ascii="宋体" w:hAnsi="宋体"/>
          <w:color w:val="auto"/>
          <w:highlight w:val="none"/>
        </w:rPr>
        <w:t>（5）资格证明文件不全的，或者不符合招标文件标明的资格要求的；</w:t>
      </w:r>
    </w:p>
    <w:p>
      <w:pPr>
        <w:snapToGrid w:val="0"/>
        <w:ind w:firstLine="470" w:firstLineChars="196"/>
        <w:rPr>
          <w:rFonts w:ascii="宋体"/>
          <w:color w:val="auto"/>
          <w:highlight w:val="none"/>
        </w:rPr>
      </w:pPr>
      <w:r>
        <w:rPr>
          <w:rFonts w:hint="eastAsia" w:ascii="宋体" w:hAnsi="宋体"/>
          <w:color w:val="auto"/>
          <w:highlight w:val="none"/>
        </w:rPr>
        <w:t>（6）本招标文件明确规定投标文件需要投标人签字、盖章的地方，投标人没有按招标文件的规定进行签字、盖章的</w:t>
      </w:r>
      <w:r>
        <w:rPr>
          <w:rFonts w:ascii="宋体"/>
          <w:color w:val="auto"/>
          <w:highlight w:val="none"/>
        </w:rPr>
        <w:t>,</w:t>
      </w:r>
      <w:r>
        <w:rPr>
          <w:rFonts w:hint="eastAsia" w:ascii="宋体" w:hAnsi="宋体"/>
          <w:color w:val="auto"/>
          <w:highlight w:val="none"/>
        </w:rPr>
        <w:t>或未提供法定代表人授权委托书、投标声明书或者填写项目不齐全的，或则授权委托书无效的；</w:t>
      </w:r>
    </w:p>
    <w:p>
      <w:pPr>
        <w:pStyle w:val="2"/>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（7）投标文件的实质性内容未使用中文表述、意思表述不明确、前后矛盾或者使用计量单位不符合招标文件要求的（经评标委员会认定并允许其当场更正的笔误除外）；</w:t>
      </w:r>
    </w:p>
    <w:p>
      <w:pPr>
        <w:pStyle w:val="2"/>
        <w:snapToGrid w:val="0"/>
        <w:spacing w:line="360" w:lineRule="auto"/>
        <w:ind w:firstLine="454" w:firstLineChars="196"/>
        <w:rPr>
          <w:rFonts w:hAnsi="宋体"/>
          <w:snapToGrid w:val="0"/>
          <w:color w:val="auto"/>
          <w:sz w:val="24"/>
          <w:szCs w:val="24"/>
          <w:highlight w:val="none"/>
        </w:rPr>
      </w:pPr>
      <w:r>
        <w:rPr>
          <w:rFonts w:hint="eastAsia" w:hAnsi="宋体"/>
          <w:color w:val="auto"/>
          <w:sz w:val="24"/>
          <w:szCs w:val="24"/>
          <w:highlight w:val="none"/>
        </w:rPr>
        <w:t>（8</w:t>
      </w:r>
      <w:r>
        <w:rPr>
          <w:rFonts w:hint="eastAsia" w:hAnsi="宋体"/>
          <w:snapToGrid w:val="0"/>
          <w:color w:val="auto"/>
          <w:sz w:val="24"/>
          <w:szCs w:val="24"/>
          <w:highlight w:val="none"/>
        </w:rPr>
        <w:t>）投标有效期等商务条款不能满足招标文件要求的；</w:t>
      </w:r>
    </w:p>
    <w:p>
      <w:pPr>
        <w:pStyle w:val="2"/>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（9）未实质性响应招标文件中标有“▲”条款要求的；</w:t>
      </w:r>
    </w:p>
    <w:p>
      <w:pPr>
        <w:pStyle w:val="2"/>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（10）投标文件有招标方不能接受的附加条件的。</w:t>
      </w:r>
    </w:p>
    <w:p>
      <w:pPr>
        <w:pStyle w:val="2"/>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（11）电子投标文件未按规定要求提供电子签章的。</w:t>
      </w:r>
    </w:p>
    <w:p>
      <w:pPr>
        <w:pStyle w:val="2"/>
        <w:snapToGrid w:val="0"/>
        <w:spacing w:line="360" w:lineRule="auto"/>
        <w:ind w:firstLine="457" w:firstLineChars="196"/>
        <w:rPr>
          <w:rFonts w:hAnsi="宋体"/>
          <w:b/>
          <w:bCs/>
          <w:color w:val="auto"/>
          <w:sz w:val="24"/>
          <w:szCs w:val="24"/>
          <w:highlight w:val="none"/>
        </w:rPr>
      </w:pPr>
      <w:r>
        <w:rPr>
          <w:rFonts w:hAnsi="宋体"/>
          <w:b/>
          <w:bCs/>
          <w:color w:val="auto"/>
          <w:sz w:val="24"/>
          <w:szCs w:val="24"/>
          <w:highlight w:val="none"/>
        </w:rPr>
        <w:t>2.</w:t>
      </w:r>
      <w:r>
        <w:rPr>
          <w:rFonts w:hint="eastAsia" w:hAnsi="宋体"/>
          <w:b/>
          <w:bCs/>
          <w:color w:val="auto"/>
          <w:sz w:val="24"/>
          <w:szCs w:val="24"/>
          <w:highlight w:val="none"/>
        </w:rPr>
        <w:t>在技术评审时，如发现下列情形之一的，投标文件将被视为无效：</w:t>
      </w:r>
    </w:p>
    <w:p>
      <w:pPr>
        <w:snapToGrid w:val="0"/>
        <w:ind w:firstLine="480"/>
        <w:rPr>
          <w:rFonts w:ascii="宋体" w:hAnsi="宋体" w:cs="Arial"/>
          <w:color w:val="auto"/>
          <w:highlight w:val="none"/>
        </w:rPr>
      </w:pPr>
      <w:r>
        <w:rPr>
          <w:rFonts w:hint="eastAsia" w:ascii="宋体" w:hAnsi="宋体" w:cs="Arial"/>
          <w:color w:val="auto"/>
          <w:highlight w:val="none"/>
        </w:rPr>
        <w:t>（1）投标人未在规定的时间内对电子询标函进行澄清回复</w:t>
      </w:r>
      <w:r>
        <w:rPr>
          <w:rFonts w:hint="eastAsia" w:ascii="宋体" w:hAnsi="宋体"/>
          <w:color w:val="auto"/>
          <w:highlight w:val="none"/>
        </w:rPr>
        <w:t>、</w:t>
      </w:r>
      <w:r>
        <w:rPr>
          <w:rFonts w:hint="eastAsia" w:ascii="宋体" w:hAnsi="宋体" w:cs="Arial"/>
          <w:color w:val="auto"/>
          <w:highlight w:val="none"/>
        </w:rPr>
        <w:t>拒绝澄清回复或澄清回复的内容改变了投标文件的实质性内容的。</w:t>
      </w:r>
    </w:p>
    <w:p>
      <w:pPr>
        <w:snapToGrid w:val="0"/>
        <w:ind w:firstLine="470" w:firstLineChars="196"/>
        <w:rPr>
          <w:rFonts w:ascii="宋体"/>
          <w:color w:val="auto"/>
          <w:highlight w:val="none"/>
        </w:rPr>
      </w:pPr>
      <w:r>
        <w:rPr>
          <w:rFonts w:hint="eastAsia" w:ascii="宋体" w:hAnsi="宋体"/>
          <w:color w:val="auto"/>
          <w:highlight w:val="none"/>
        </w:rPr>
        <w:t>（2）技术标内有商务报价出现的；</w:t>
      </w:r>
    </w:p>
    <w:p>
      <w:pPr>
        <w:pStyle w:val="2"/>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（3）未提供技术服务方案的；</w:t>
      </w:r>
    </w:p>
    <w:p>
      <w:pPr>
        <w:pStyle w:val="18"/>
        <w:ind w:firstLine="480"/>
        <w:rPr>
          <w:rFonts w:hAnsi="宋体"/>
          <w:color w:val="auto"/>
          <w:szCs w:val="24"/>
          <w:highlight w:val="none"/>
        </w:rPr>
      </w:pPr>
      <w:r>
        <w:rPr>
          <w:rFonts w:hint="eastAsia" w:hAnsi="宋体"/>
          <w:color w:val="auto"/>
          <w:szCs w:val="24"/>
          <w:highlight w:val="none"/>
        </w:rPr>
        <w:t>（4）与其他参加本次投标供应商的投标文件（技术文件）的文字表述内容相同连续</w:t>
      </w:r>
      <w:r>
        <w:rPr>
          <w:rFonts w:hAnsi="宋体"/>
          <w:color w:val="auto"/>
          <w:szCs w:val="24"/>
          <w:highlight w:val="none"/>
        </w:rPr>
        <w:t>20</w:t>
      </w:r>
      <w:r>
        <w:rPr>
          <w:rFonts w:hint="eastAsia" w:hAnsi="宋体"/>
          <w:color w:val="auto"/>
          <w:szCs w:val="24"/>
          <w:highlight w:val="none"/>
        </w:rPr>
        <w:t>行以上的。</w:t>
      </w:r>
    </w:p>
    <w:p>
      <w:pPr>
        <w:pStyle w:val="18"/>
        <w:ind w:firstLine="480"/>
        <w:rPr>
          <w:rFonts w:ascii="宋体" w:hAnsi="宋体" w:cs="宋体"/>
          <w:color w:val="auto"/>
          <w:szCs w:val="24"/>
          <w:highlight w:val="none"/>
        </w:rPr>
      </w:pPr>
      <w:r>
        <w:rPr>
          <w:rFonts w:hint="eastAsia" w:ascii="宋体" w:hAnsi="宋体" w:cs="宋体"/>
          <w:color w:val="auto"/>
          <w:szCs w:val="24"/>
          <w:highlight w:val="none"/>
        </w:rPr>
        <w:t>（5）电子投标文件未按规定要求提供电子签章的。</w:t>
      </w:r>
    </w:p>
    <w:p>
      <w:pPr>
        <w:pStyle w:val="2"/>
        <w:snapToGrid w:val="0"/>
        <w:spacing w:line="360" w:lineRule="auto"/>
        <w:ind w:firstLine="457" w:firstLineChars="196"/>
        <w:rPr>
          <w:rFonts w:hAnsi="宋体"/>
          <w:b/>
          <w:bCs/>
          <w:color w:val="auto"/>
          <w:sz w:val="24"/>
          <w:szCs w:val="24"/>
          <w:highlight w:val="none"/>
        </w:rPr>
      </w:pPr>
      <w:r>
        <w:rPr>
          <w:rFonts w:hAnsi="宋体"/>
          <w:b/>
          <w:bCs/>
          <w:color w:val="auto"/>
          <w:sz w:val="24"/>
          <w:szCs w:val="24"/>
          <w:highlight w:val="none"/>
        </w:rPr>
        <w:t>3.</w:t>
      </w:r>
      <w:r>
        <w:rPr>
          <w:rFonts w:hint="eastAsia" w:hAnsi="宋体"/>
          <w:b/>
          <w:bCs/>
          <w:color w:val="auto"/>
          <w:sz w:val="24"/>
          <w:szCs w:val="24"/>
          <w:highlight w:val="none"/>
        </w:rPr>
        <w:t>在报价评审时，如发现下列情形之一的，投标文件将被视为无效：</w:t>
      </w:r>
    </w:p>
    <w:p>
      <w:pPr>
        <w:pStyle w:val="2"/>
        <w:snapToGrid w:val="0"/>
        <w:spacing w:line="360" w:lineRule="auto"/>
        <w:ind w:firstLine="464"/>
        <w:rPr>
          <w:rFonts w:hAnsi="宋体" w:cs="Arial"/>
          <w:color w:val="auto"/>
          <w:sz w:val="24"/>
          <w:highlight w:val="none"/>
        </w:rPr>
      </w:pPr>
      <w:r>
        <w:rPr>
          <w:rFonts w:hint="eastAsia" w:hAnsi="宋体" w:cs="Arial"/>
          <w:color w:val="auto"/>
          <w:sz w:val="24"/>
          <w:highlight w:val="none"/>
        </w:rPr>
        <w:t>（1）投标人未在规定的时间内对电子询标函进行澄清回复</w:t>
      </w:r>
      <w:r>
        <w:rPr>
          <w:rFonts w:hint="eastAsia" w:hAnsi="宋体"/>
          <w:color w:val="auto"/>
          <w:sz w:val="24"/>
          <w:highlight w:val="none"/>
        </w:rPr>
        <w:t>、</w:t>
      </w:r>
      <w:r>
        <w:rPr>
          <w:rFonts w:hint="eastAsia" w:hAnsi="宋体" w:cs="Arial"/>
          <w:color w:val="auto"/>
          <w:sz w:val="24"/>
          <w:highlight w:val="none"/>
        </w:rPr>
        <w:t>拒绝澄清回复或者澄清回复的内容改变了投标文件的实质性内容的。</w:t>
      </w:r>
    </w:p>
    <w:p>
      <w:pPr>
        <w:pStyle w:val="2"/>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（2）未按照招标文件标明的格式报价的；</w:t>
      </w:r>
    </w:p>
    <w:p>
      <w:pPr>
        <w:pStyle w:val="2"/>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（3）报价</w:t>
      </w:r>
      <w:r>
        <w:rPr>
          <w:rFonts w:hint="eastAsia" w:hAnsi="宋体"/>
          <w:color w:val="auto"/>
          <w:sz w:val="24"/>
          <w:highlight w:val="none"/>
        </w:rPr>
        <w:t>超出限价的</w:t>
      </w:r>
      <w:r>
        <w:rPr>
          <w:rFonts w:hint="eastAsia" w:hAnsi="宋体"/>
          <w:color w:val="auto"/>
          <w:sz w:val="24"/>
          <w:szCs w:val="24"/>
          <w:highlight w:val="none"/>
        </w:rPr>
        <w:t>；</w:t>
      </w:r>
    </w:p>
    <w:p>
      <w:pPr>
        <w:pStyle w:val="2"/>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（4）投标报价具有选择性的；</w:t>
      </w:r>
    </w:p>
    <w:p>
      <w:pPr>
        <w:pStyle w:val="18"/>
        <w:ind w:firstLine="482"/>
        <w:rPr>
          <w:rFonts w:ascii="宋体" w:hAnsi="宋体" w:cs="宋体"/>
          <w:b/>
          <w:color w:val="auto"/>
          <w:szCs w:val="24"/>
          <w:highlight w:val="none"/>
        </w:rPr>
      </w:pPr>
      <w:r>
        <w:rPr>
          <w:rFonts w:hint="eastAsia" w:ascii="宋体" w:hAnsi="宋体" w:cs="宋体"/>
          <w:b/>
          <w:color w:val="auto"/>
          <w:szCs w:val="24"/>
          <w:highlight w:val="none"/>
        </w:rPr>
        <w:t>（5）报价评审过程中，评标委员会发现投标人的报价明显低于其他投标报价，使得其投标报价可能低于其成本的，将要求该投标人当场作出书面说明并提供相关证明材料，投标人不能合理说明或不能提供证明材料，评标委员会可以认定投标人以低于成本价竞标，其投标应作废标处理。</w:t>
      </w:r>
    </w:p>
    <w:p>
      <w:pPr>
        <w:pStyle w:val="18"/>
        <w:ind w:firstLine="482"/>
        <w:rPr>
          <w:rFonts w:ascii="宋体" w:hAnsi="宋体" w:cs="宋体"/>
          <w:b/>
          <w:color w:val="auto"/>
          <w:szCs w:val="24"/>
          <w:highlight w:val="none"/>
        </w:rPr>
      </w:pPr>
      <w:r>
        <w:rPr>
          <w:rFonts w:hint="eastAsia" w:ascii="宋体" w:hAnsi="宋体" w:cs="宋体"/>
          <w:b/>
          <w:bCs/>
          <w:color w:val="auto"/>
          <w:szCs w:val="24"/>
          <w:highlight w:val="none"/>
        </w:rPr>
        <w:t>（6）电子投标文件未按规定要求提供电子签章的。</w:t>
      </w:r>
    </w:p>
    <w:p>
      <w:pPr>
        <w:pStyle w:val="2"/>
        <w:snapToGrid w:val="0"/>
        <w:spacing w:line="360" w:lineRule="auto"/>
        <w:ind w:firstLine="454" w:firstLineChars="196"/>
        <w:rPr>
          <w:rFonts w:hAnsi="宋体"/>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资格响应文件未提供或提供不完整可在评标过程中补充后，不作无效标处理。被拒绝的投标文件为无效。</w:t>
      </w:r>
    </w:p>
    <w:p>
      <w:pPr>
        <w:pStyle w:val="2"/>
        <w:snapToGrid w:val="0"/>
        <w:spacing w:line="360" w:lineRule="auto"/>
        <w:ind w:firstLine="535" w:firstLineChars="196"/>
        <w:outlineLvl w:val="1"/>
        <w:rPr>
          <w:rFonts w:hAnsi="宋体"/>
          <w:b/>
          <w:snapToGrid w:val="0"/>
          <w:color w:val="auto"/>
          <w:sz w:val="28"/>
          <w:szCs w:val="28"/>
          <w:highlight w:val="none"/>
        </w:rPr>
      </w:pPr>
      <w:r>
        <w:rPr>
          <w:rFonts w:hint="eastAsia" w:hAnsi="宋体"/>
          <w:b/>
          <w:color w:val="auto"/>
          <w:sz w:val="28"/>
          <w:szCs w:val="28"/>
          <w:highlight w:val="none"/>
        </w:rPr>
        <w:t>四、开标</w:t>
      </w:r>
    </w:p>
    <w:p>
      <w:pPr>
        <w:pStyle w:val="29"/>
        <w:snapToGrid w:val="0"/>
        <w:spacing w:beforeLines="0" w:afterLines="0" w:line="360" w:lineRule="auto"/>
        <w:ind w:firstLine="472" w:firstLineChars="196"/>
        <w:rPr>
          <w:rFonts w:hAnsi="宋体"/>
          <w:b/>
          <w:color w:val="auto"/>
          <w:highlight w:val="none"/>
        </w:rPr>
      </w:pPr>
      <w:r>
        <w:rPr>
          <w:rFonts w:hint="eastAsia" w:hAnsi="宋体"/>
          <w:b/>
          <w:color w:val="auto"/>
          <w:highlight w:val="none"/>
        </w:rPr>
        <w:t>（一）开标准备</w:t>
      </w:r>
    </w:p>
    <w:p>
      <w:pPr>
        <w:ind w:firstLine="480"/>
        <w:rPr>
          <w:rFonts w:ascii="宋体" w:hAnsi="宋体"/>
          <w:bCs/>
          <w:color w:val="auto"/>
          <w:highlight w:val="none"/>
        </w:rPr>
      </w:pPr>
      <w:r>
        <w:rPr>
          <w:rFonts w:hint="eastAsia" w:ascii="宋体" w:hAnsi="宋体"/>
          <w:bCs/>
          <w:color w:val="auto"/>
          <w:highlight w:val="none"/>
        </w:rPr>
        <w:t>采购代理机构将在规定的时间和地点进行电子开标，投标人的法定代表人或其委托代理人【委托代理人应当是投标人的在职正式职工（以投标人本单位缴纳社保花名册为准）】应做好投标准备，准时在线参加电子开标会议，随时关注开标进度。</w:t>
      </w:r>
    </w:p>
    <w:p>
      <w:pPr>
        <w:pStyle w:val="29"/>
        <w:snapToGrid w:val="0"/>
        <w:spacing w:beforeLines="0" w:afterLines="0" w:line="360" w:lineRule="auto"/>
        <w:ind w:firstLine="472" w:firstLineChars="196"/>
        <w:rPr>
          <w:rFonts w:hAnsi="宋体"/>
          <w:b/>
          <w:bCs/>
          <w:color w:val="auto"/>
          <w:highlight w:val="none"/>
        </w:rPr>
      </w:pPr>
      <w:r>
        <w:rPr>
          <w:rFonts w:hint="eastAsia" w:hAnsi="宋体"/>
          <w:b/>
          <w:bCs/>
          <w:color w:val="auto"/>
          <w:highlight w:val="none"/>
        </w:rPr>
        <w:t>（二）开标程序：</w:t>
      </w:r>
    </w:p>
    <w:p>
      <w:pPr>
        <w:pStyle w:val="29"/>
        <w:snapToGrid w:val="0"/>
        <w:spacing w:beforeLines="0" w:afterLines="0" w:line="360" w:lineRule="auto"/>
        <w:ind w:firstLine="480"/>
        <w:rPr>
          <w:rFonts w:hAnsi="宋体"/>
          <w:color w:val="auto"/>
          <w:highlight w:val="none"/>
        </w:rPr>
      </w:pPr>
      <w:r>
        <w:rPr>
          <w:rFonts w:hAnsi="宋体"/>
          <w:color w:val="auto"/>
          <w:highlight w:val="none"/>
        </w:rPr>
        <w:t>1.</w:t>
      </w:r>
      <w:r>
        <w:rPr>
          <w:rFonts w:hint="eastAsia" w:hAnsi="宋体"/>
          <w:color w:val="auto"/>
          <w:highlight w:val="none"/>
        </w:rPr>
        <w:t>开标会由招标方主持，主持人宣布开标会议开始；</w:t>
      </w:r>
    </w:p>
    <w:p>
      <w:pPr>
        <w:pStyle w:val="29"/>
        <w:snapToGrid w:val="0"/>
        <w:spacing w:beforeLines="0" w:afterLines="0" w:line="360" w:lineRule="auto"/>
        <w:ind w:firstLine="480"/>
        <w:rPr>
          <w:rFonts w:hAnsi="宋体"/>
          <w:color w:val="auto"/>
          <w:highlight w:val="none"/>
        </w:rPr>
      </w:pPr>
      <w:r>
        <w:rPr>
          <w:rFonts w:hAnsi="宋体"/>
          <w:color w:val="auto"/>
          <w:highlight w:val="none"/>
        </w:rPr>
        <w:t>2.</w:t>
      </w:r>
      <w:r>
        <w:rPr>
          <w:rFonts w:hint="eastAsia" w:hAnsi="宋体"/>
          <w:color w:val="auto"/>
          <w:highlight w:val="none"/>
        </w:rPr>
        <w:t>主持人介绍参加开标会的人员名单；</w:t>
      </w:r>
    </w:p>
    <w:p>
      <w:pPr>
        <w:pStyle w:val="29"/>
        <w:snapToGrid w:val="0"/>
        <w:spacing w:beforeLines="0" w:afterLines="0" w:line="360" w:lineRule="auto"/>
        <w:ind w:firstLine="480"/>
        <w:rPr>
          <w:rFonts w:hAnsi="宋体"/>
          <w:color w:val="auto"/>
          <w:highlight w:val="none"/>
        </w:rPr>
      </w:pPr>
      <w:r>
        <w:rPr>
          <w:rFonts w:hAnsi="宋体"/>
          <w:color w:val="auto"/>
          <w:highlight w:val="none"/>
        </w:rPr>
        <w:t>3.</w:t>
      </w:r>
      <w:r>
        <w:rPr>
          <w:rFonts w:hint="eastAsia" w:hAnsi="宋体"/>
          <w:color w:val="auto"/>
          <w:highlight w:val="none"/>
        </w:rPr>
        <w:t>主持人宣布评标期间的有关事项；</w:t>
      </w:r>
    </w:p>
    <w:p>
      <w:pPr>
        <w:pStyle w:val="29"/>
        <w:snapToGrid w:val="0"/>
        <w:spacing w:beforeLines="0" w:afterLines="0" w:line="360" w:lineRule="auto"/>
        <w:ind w:firstLine="480"/>
        <w:rPr>
          <w:rFonts w:hAnsi="宋体"/>
          <w:color w:val="auto"/>
          <w:highlight w:val="none"/>
        </w:rPr>
      </w:pPr>
      <w:r>
        <w:rPr>
          <w:rFonts w:hint="eastAsia" w:hAnsi="宋体"/>
          <w:color w:val="auto"/>
          <w:highlight w:val="none"/>
        </w:rPr>
        <w:t>告知应当回避的情形</w:t>
      </w:r>
      <w:r>
        <w:rPr>
          <w:rFonts w:hAnsi="宋体"/>
          <w:color w:val="auto"/>
          <w:highlight w:val="none"/>
        </w:rPr>
        <w:t>,</w:t>
      </w:r>
      <w:r>
        <w:rPr>
          <w:rFonts w:hint="eastAsia" w:hAnsi="宋体"/>
          <w:color w:val="auto"/>
          <w:highlight w:val="none"/>
        </w:rPr>
        <w:t>提请有关人员回避，检查投标人代表的到会情况；</w:t>
      </w:r>
    </w:p>
    <w:p>
      <w:pPr>
        <w:ind w:firstLine="480"/>
        <w:rPr>
          <w:rFonts w:ascii="宋体" w:hAnsi="宋体"/>
          <w:color w:val="auto"/>
          <w:highlight w:val="none"/>
        </w:rPr>
      </w:pPr>
      <w:r>
        <w:rPr>
          <w:rFonts w:hint="eastAsia" w:ascii="宋体" w:hAnsi="宋体"/>
          <w:color w:val="auto"/>
          <w:highlight w:val="none"/>
        </w:rPr>
        <w:t>4.开标及评审程序</w:t>
      </w:r>
    </w:p>
    <w:p>
      <w:pPr>
        <w:ind w:firstLine="480"/>
        <w:rPr>
          <w:rFonts w:ascii="宋体" w:hAnsi="宋体"/>
          <w:color w:val="auto"/>
          <w:highlight w:val="none"/>
        </w:rPr>
      </w:pPr>
      <w:r>
        <w:rPr>
          <w:rFonts w:hint="eastAsia" w:ascii="宋体" w:hAnsi="宋体"/>
          <w:color w:val="auto"/>
          <w:highlight w:val="none"/>
        </w:rPr>
        <w:t>4.1在开标时间截止后45分钟内由各投标人自行对投标文件进行解密；</w:t>
      </w:r>
    </w:p>
    <w:p>
      <w:pPr>
        <w:ind w:firstLine="480"/>
        <w:rPr>
          <w:rFonts w:ascii="宋体" w:hAnsi="宋体"/>
          <w:color w:val="auto"/>
          <w:highlight w:val="none"/>
        </w:rPr>
      </w:pPr>
      <w:r>
        <w:rPr>
          <w:rFonts w:hint="eastAsia" w:ascii="宋体" w:hAnsi="宋体"/>
          <w:color w:val="auto"/>
          <w:highlight w:val="none"/>
        </w:rPr>
        <w:t>4.2由采购人或代理机构进行资格审查，通过资格审查的投标人进入商务技术响应文件进行评审；</w:t>
      </w:r>
    </w:p>
    <w:p>
      <w:pPr>
        <w:ind w:firstLine="480"/>
        <w:rPr>
          <w:rFonts w:ascii="宋体" w:hAnsi="宋体"/>
          <w:color w:val="auto"/>
          <w:highlight w:val="none"/>
        </w:rPr>
      </w:pPr>
      <w:r>
        <w:rPr>
          <w:rFonts w:hint="eastAsia" w:ascii="宋体" w:hAnsi="宋体"/>
          <w:color w:val="auto"/>
          <w:highlight w:val="none"/>
        </w:rPr>
        <w:t>4.3系统对各投标人的商务技术进行汇总；</w:t>
      </w:r>
    </w:p>
    <w:p>
      <w:pPr>
        <w:ind w:firstLine="480"/>
        <w:rPr>
          <w:rFonts w:ascii="宋体" w:hAnsi="宋体"/>
          <w:color w:val="auto"/>
          <w:highlight w:val="none"/>
        </w:rPr>
      </w:pPr>
      <w:r>
        <w:rPr>
          <w:rFonts w:hint="eastAsia" w:ascii="宋体" w:hAnsi="宋体"/>
          <w:color w:val="auto"/>
          <w:highlight w:val="none"/>
        </w:rPr>
        <w:t>4.4在系统上公开报价开标情况；</w:t>
      </w:r>
    </w:p>
    <w:p>
      <w:pPr>
        <w:ind w:firstLine="480"/>
        <w:rPr>
          <w:rFonts w:ascii="宋体" w:hAnsi="宋体"/>
          <w:color w:val="auto"/>
          <w:highlight w:val="none"/>
        </w:rPr>
      </w:pPr>
      <w:r>
        <w:rPr>
          <w:rFonts w:hint="eastAsia" w:ascii="宋体" w:hAnsi="宋体"/>
          <w:color w:val="auto"/>
          <w:highlight w:val="none"/>
        </w:rPr>
        <w:t>4.5评标委员会对报价情况进行评审；</w:t>
      </w:r>
    </w:p>
    <w:p>
      <w:pPr>
        <w:ind w:firstLine="480"/>
        <w:rPr>
          <w:rFonts w:ascii="宋体" w:hAnsi="宋体"/>
          <w:color w:val="auto"/>
          <w:highlight w:val="none"/>
        </w:rPr>
      </w:pPr>
      <w:r>
        <w:rPr>
          <w:rFonts w:hint="eastAsia" w:ascii="宋体" w:hAnsi="宋体"/>
          <w:color w:val="auto"/>
          <w:highlight w:val="none"/>
        </w:rPr>
        <w:t>4.6在系统上公布评审结果。</w:t>
      </w:r>
    </w:p>
    <w:p>
      <w:pPr>
        <w:ind w:firstLine="482"/>
        <w:rPr>
          <w:rFonts w:ascii="宋体" w:hAnsi="宋体"/>
          <w:b/>
          <w:color w:val="auto"/>
          <w:highlight w:val="none"/>
        </w:rPr>
      </w:pPr>
      <w:r>
        <w:rPr>
          <w:rFonts w:hint="eastAsia" w:ascii="宋体" w:hAnsi="宋体"/>
          <w:b/>
          <w:color w:val="auto"/>
          <w:highlight w:val="none"/>
        </w:rPr>
        <w:t>特别说明：政采云公司如对电子化开标及评审程序有调整的，按调整后的程序操作。</w:t>
      </w:r>
    </w:p>
    <w:p>
      <w:pPr>
        <w:ind w:firstLine="480"/>
        <w:rPr>
          <w:rFonts w:ascii="宋体" w:hAnsi="宋体"/>
          <w:color w:val="auto"/>
          <w:highlight w:val="none"/>
        </w:rPr>
      </w:pPr>
      <w:r>
        <w:rPr>
          <w:rFonts w:hint="eastAsia" w:ascii="宋体" w:hAnsi="宋体"/>
          <w:color w:val="auto"/>
          <w:highlight w:val="none"/>
        </w:rPr>
        <w:t>5.本项目采用政采云电子招投标开标及评审程序，开评标时出现电子投标文件无法解密或解密失败等情况时，采购代理机构可上传投标人的电子备份投标文件继续评审。</w:t>
      </w:r>
    </w:p>
    <w:p>
      <w:pPr>
        <w:pStyle w:val="29"/>
        <w:snapToGrid w:val="0"/>
        <w:spacing w:beforeLines="0" w:afterLines="0" w:line="360" w:lineRule="auto"/>
        <w:ind w:left="922" w:leftChars="267" w:hanging="281" w:hangingChars="100"/>
        <w:outlineLvl w:val="1"/>
        <w:rPr>
          <w:rFonts w:hAnsi="宋体"/>
          <w:b/>
          <w:color w:val="auto"/>
          <w:sz w:val="28"/>
          <w:szCs w:val="28"/>
          <w:highlight w:val="none"/>
        </w:rPr>
      </w:pPr>
      <w:r>
        <w:rPr>
          <w:rFonts w:hint="eastAsia" w:hAnsi="宋体"/>
          <w:b/>
          <w:color w:val="auto"/>
          <w:sz w:val="28"/>
          <w:szCs w:val="28"/>
          <w:highlight w:val="none"/>
        </w:rPr>
        <w:t>五、评标</w:t>
      </w:r>
    </w:p>
    <w:p>
      <w:pPr>
        <w:pStyle w:val="29"/>
        <w:snapToGrid w:val="0"/>
        <w:spacing w:beforeLines="0" w:afterLines="0" w:line="360" w:lineRule="auto"/>
        <w:ind w:left="788" w:leftChars="228" w:hanging="241" w:hangingChars="100"/>
        <w:rPr>
          <w:rFonts w:hAnsi="宋体"/>
          <w:b/>
          <w:color w:val="auto"/>
          <w:highlight w:val="none"/>
        </w:rPr>
      </w:pPr>
      <w:r>
        <w:rPr>
          <w:rFonts w:hint="eastAsia" w:hAnsi="宋体"/>
          <w:b/>
          <w:color w:val="auto"/>
          <w:highlight w:val="none"/>
        </w:rPr>
        <w:t>（一）组建评标委员会</w:t>
      </w:r>
    </w:p>
    <w:p>
      <w:pPr>
        <w:pStyle w:val="29"/>
        <w:snapToGrid w:val="0"/>
        <w:spacing w:beforeLines="0" w:afterLines="0" w:line="360" w:lineRule="auto"/>
        <w:ind w:firstLine="480"/>
        <w:rPr>
          <w:rFonts w:hAnsi="宋体"/>
          <w:color w:val="auto"/>
          <w:highlight w:val="none"/>
        </w:rPr>
      </w:pPr>
      <w:r>
        <w:rPr>
          <w:rFonts w:hint="eastAsia" w:hAnsi="宋体"/>
          <w:color w:val="auto"/>
          <w:highlight w:val="none"/>
        </w:rPr>
        <w:t>本项目评标委员会由政府采购评审专家</w:t>
      </w:r>
      <w:r>
        <w:rPr>
          <w:rFonts w:hint="eastAsia" w:hAnsi="宋体"/>
          <w:color w:val="auto"/>
          <w:highlight w:val="none"/>
          <w:u w:val="single"/>
        </w:rPr>
        <w:t>6</w:t>
      </w:r>
      <w:r>
        <w:rPr>
          <w:rFonts w:hint="eastAsia" w:hAnsi="宋体"/>
          <w:color w:val="auto"/>
          <w:highlight w:val="none"/>
        </w:rPr>
        <w:t>人和采购人代表</w:t>
      </w:r>
      <w:r>
        <w:rPr>
          <w:rFonts w:hAnsi="宋体"/>
          <w:color w:val="auto"/>
          <w:highlight w:val="none"/>
          <w:u w:val="single"/>
        </w:rPr>
        <w:t>1</w:t>
      </w:r>
      <w:r>
        <w:rPr>
          <w:rFonts w:hint="eastAsia" w:hAnsi="宋体"/>
          <w:color w:val="auto"/>
          <w:highlight w:val="none"/>
        </w:rPr>
        <w:t>人</w:t>
      </w:r>
      <w:r>
        <w:rPr>
          <w:rFonts w:hAnsi="宋体"/>
          <w:color w:val="auto"/>
          <w:highlight w:val="none"/>
        </w:rPr>
        <w:t>,</w:t>
      </w:r>
      <w:r>
        <w:rPr>
          <w:rFonts w:hint="eastAsia" w:hAnsi="宋体"/>
          <w:color w:val="auto"/>
          <w:highlight w:val="none"/>
        </w:rPr>
        <w:t>共</w:t>
      </w:r>
      <w:r>
        <w:rPr>
          <w:rFonts w:hint="eastAsia" w:hAnsi="宋体"/>
          <w:color w:val="auto"/>
          <w:highlight w:val="none"/>
          <w:u w:val="single"/>
        </w:rPr>
        <w:t>7</w:t>
      </w:r>
      <w:r>
        <w:rPr>
          <w:rFonts w:hint="eastAsia" w:hAnsi="宋体"/>
          <w:color w:val="auto"/>
          <w:highlight w:val="none"/>
        </w:rPr>
        <w:t>人组成。</w:t>
      </w:r>
    </w:p>
    <w:p>
      <w:pPr>
        <w:pStyle w:val="29"/>
        <w:snapToGrid w:val="0"/>
        <w:spacing w:beforeLines="0" w:afterLines="0" w:line="360" w:lineRule="auto"/>
        <w:ind w:left="788" w:leftChars="228" w:hanging="241" w:hangingChars="100"/>
        <w:rPr>
          <w:rFonts w:hAnsi="宋体"/>
          <w:b/>
          <w:color w:val="auto"/>
          <w:highlight w:val="none"/>
        </w:rPr>
      </w:pPr>
      <w:r>
        <w:rPr>
          <w:rFonts w:hint="eastAsia" w:hAnsi="宋体"/>
          <w:b/>
          <w:color w:val="auto"/>
          <w:highlight w:val="none"/>
        </w:rPr>
        <w:t>（二）评标的方式</w:t>
      </w:r>
    </w:p>
    <w:p>
      <w:pPr>
        <w:pStyle w:val="29"/>
        <w:snapToGrid w:val="0"/>
        <w:spacing w:beforeLines="0" w:afterLines="0" w:line="360" w:lineRule="auto"/>
        <w:ind w:left="787" w:leftChars="228" w:hanging="240" w:hangingChars="100"/>
        <w:rPr>
          <w:rFonts w:hAnsi="宋体"/>
          <w:color w:val="auto"/>
          <w:highlight w:val="none"/>
        </w:rPr>
      </w:pPr>
      <w:r>
        <w:rPr>
          <w:rFonts w:hint="eastAsia" w:hAnsi="宋体"/>
          <w:color w:val="auto"/>
          <w:highlight w:val="none"/>
        </w:rPr>
        <w:t>本项目采用不公开方式评标，评标的依据为招标文件和投标文件。</w:t>
      </w:r>
    </w:p>
    <w:p>
      <w:pPr>
        <w:pStyle w:val="29"/>
        <w:snapToGrid w:val="0"/>
        <w:spacing w:beforeLines="0" w:afterLines="0" w:line="360" w:lineRule="auto"/>
        <w:ind w:left="788" w:leftChars="228" w:hanging="241" w:hangingChars="100"/>
        <w:rPr>
          <w:rFonts w:hAnsi="宋体"/>
          <w:b/>
          <w:color w:val="auto"/>
          <w:highlight w:val="none"/>
        </w:rPr>
      </w:pPr>
      <w:r>
        <w:rPr>
          <w:rFonts w:hint="eastAsia" w:hAnsi="宋体"/>
          <w:b/>
          <w:color w:val="auto"/>
          <w:highlight w:val="none"/>
        </w:rPr>
        <w:t>（三）</w:t>
      </w:r>
      <w:r>
        <w:rPr>
          <w:rFonts w:hint="eastAsia" w:hAnsi="宋体"/>
          <w:b/>
          <w:bCs/>
          <w:color w:val="auto"/>
          <w:highlight w:val="none"/>
        </w:rPr>
        <w:t>评标程序</w:t>
      </w:r>
    </w:p>
    <w:p>
      <w:pPr>
        <w:snapToGrid w:val="0"/>
        <w:ind w:firstLine="472" w:firstLineChars="196"/>
        <w:rPr>
          <w:rFonts w:ascii="宋体"/>
          <w:b/>
          <w:bCs/>
          <w:color w:val="auto"/>
          <w:highlight w:val="none"/>
        </w:rPr>
      </w:pPr>
      <w:r>
        <w:rPr>
          <w:rFonts w:ascii="宋体" w:hAnsi="宋体"/>
          <w:b/>
          <w:bCs/>
          <w:color w:val="auto"/>
          <w:highlight w:val="none"/>
        </w:rPr>
        <w:t>1</w:t>
      </w:r>
      <w:r>
        <w:rPr>
          <w:rFonts w:ascii="宋体"/>
          <w:b/>
          <w:bCs/>
          <w:color w:val="auto"/>
          <w:highlight w:val="none"/>
        </w:rPr>
        <w:t>.</w:t>
      </w:r>
      <w:r>
        <w:rPr>
          <w:rFonts w:hint="eastAsia" w:ascii="宋体" w:hAnsi="宋体"/>
          <w:b/>
          <w:bCs/>
          <w:color w:val="auto"/>
          <w:highlight w:val="none"/>
        </w:rPr>
        <w:t>形式审查</w:t>
      </w:r>
    </w:p>
    <w:p>
      <w:pPr>
        <w:snapToGrid w:val="0"/>
        <w:ind w:firstLine="480"/>
        <w:rPr>
          <w:rFonts w:ascii="宋体"/>
          <w:b/>
          <w:color w:val="auto"/>
          <w:highlight w:val="none"/>
        </w:rPr>
      </w:pPr>
      <w:r>
        <w:rPr>
          <w:rFonts w:hint="eastAsia" w:ascii="宋体" w:hAnsi="宋体"/>
          <w:color w:val="auto"/>
          <w:highlight w:val="none"/>
        </w:rPr>
        <w:t>招标方工作人员对投标人的资格和投标文件的完整性、合法性等进行审查。</w:t>
      </w:r>
    </w:p>
    <w:p>
      <w:pPr>
        <w:snapToGrid w:val="0"/>
        <w:ind w:firstLine="472" w:firstLineChars="196"/>
        <w:rPr>
          <w:rFonts w:ascii="宋体"/>
          <w:b/>
          <w:bCs/>
          <w:color w:val="auto"/>
          <w:highlight w:val="none"/>
        </w:rPr>
      </w:pPr>
      <w:r>
        <w:rPr>
          <w:rFonts w:ascii="宋体" w:hAnsi="宋体"/>
          <w:b/>
          <w:bCs/>
          <w:color w:val="auto"/>
          <w:highlight w:val="none"/>
        </w:rPr>
        <w:t>2</w:t>
      </w:r>
      <w:r>
        <w:rPr>
          <w:rFonts w:ascii="宋体"/>
          <w:b/>
          <w:bCs/>
          <w:color w:val="auto"/>
          <w:highlight w:val="none"/>
        </w:rPr>
        <w:t>.</w:t>
      </w:r>
      <w:r>
        <w:rPr>
          <w:rFonts w:hint="eastAsia" w:ascii="宋体" w:hAnsi="宋体"/>
          <w:b/>
          <w:bCs/>
          <w:color w:val="auto"/>
          <w:highlight w:val="none"/>
        </w:rPr>
        <w:t>实质审查与比较</w:t>
      </w:r>
    </w:p>
    <w:p>
      <w:pPr>
        <w:snapToGrid w:val="0"/>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）评标委员会审查投标文件的实质性内容是否符合招标文件实质性要求。</w:t>
      </w:r>
    </w:p>
    <w:p>
      <w:pPr>
        <w:snapToGrid w:val="0"/>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）评标委员会将根据投标人的投标文件进行审查、核对</w:t>
      </w:r>
      <w:r>
        <w:rPr>
          <w:rFonts w:ascii="宋体"/>
          <w:color w:val="auto"/>
          <w:highlight w:val="none"/>
        </w:rPr>
        <w:t>,</w:t>
      </w:r>
      <w:r>
        <w:rPr>
          <w:rFonts w:hint="eastAsia" w:ascii="宋体" w:hAnsi="宋体"/>
          <w:color w:val="auto"/>
          <w:highlight w:val="none"/>
        </w:rPr>
        <w:t>如有疑问</w:t>
      </w:r>
      <w:r>
        <w:rPr>
          <w:rFonts w:ascii="宋体"/>
          <w:color w:val="auto"/>
          <w:highlight w:val="none"/>
        </w:rPr>
        <w:t>,</w:t>
      </w:r>
      <w:r>
        <w:rPr>
          <w:rFonts w:hint="eastAsia" w:ascii="宋体" w:hAnsi="宋体"/>
          <w:color w:val="auto"/>
          <w:highlight w:val="none"/>
        </w:rPr>
        <w:t>将对投标人进行询标</w:t>
      </w:r>
      <w:r>
        <w:rPr>
          <w:rFonts w:ascii="宋体"/>
          <w:color w:val="auto"/>
          <w:highlight w:val="none"/>
        </w:rPr>
        <w:t>,</w:t>
      </w:r>
      <w:r>
        <w:rPr>
          <w:rFonts w:hint="eastAsia" w:ascii="宋体" w:hAnsi="宋体"/>
          <w:color w:val="auto"/>
          <w:highlight w:val="none"/>
        </w:rPr>
        <w:t>投标人要向评标委员会澄清有关问题</w:t>
      </w:r>
      <w:r>
        <w:rPr>
          <w:rFonts w:ascii="宋体"/>
          <w:color w:val="auto"/>
          <w:highlight w:val="none"/>
        </w:rPr>
        <w:t>,</w:t>
      </w:r>
      <w:r>
        <w:rPr>
          <w:rFonts w:hint="eastAsia" w:ascii="宋体" w:hAnsi="宋体"/>
          <w:color w:val="auto"/>
          <w:highlight w:val="none"/>
        </w:rPr>
        <w:t>并最终以书面形式进行答复。</w:t>
      </w:r>
    </w:p>
    <w:p>
      <w:pPr>
        <w:snapToGrid w:val="0"/>
        <w:ind w:firstLine="480"/>
        <w:rPr>
          <w:rFonts w:ascii="宋体"/>
          <w:color w:val="auto"/>
          <w:highlight w:val="none"/>
        </w:rPr>
      </w:pPr>
      <w:r>
        <w:rPr>
          <w:rFonts w:hint="eastAsia" w:ascii="宋体" w:hAnsi="宋体"/>
          <w:color w:val="auto"/>
          <w:highlight w:val="none"/>
        </w:rPr>
        <w:t>投标人代表未到场或者拒绝澄清或者澄清的内容改变了投标文件的实质性内容的，评标委员会有权对该投标文件作出不利于投标人的评判。</w:t>
      </w:r>
    </w:p>
    <w:p>
      <w:pPr>
        <w:snapToGrid w:val="0"/>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）技术、商务、资信及其他分按照评标委员会成员的独立评分结果的算术平均分计算，由指定专人进行计算复核。</w:t>
      </w:r>
    </w:p>
    <w:p>
      <w:pPr>
        <w:snapToGrid w:val="0"/>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）招标方工作人员协助评标委员会审核投标报价有无计算错误，并根据本项目的评分标准计算各投标人的报价得分。</w:t>
      </w:r>
    </w:p>
    <w:p>
      <w:pPr>
        <w:snapToGrid w:val="0"/>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）评标委员会完成评标后</w:t>
      </w:r>
      <w:r>
        <w:rPr>
          <w:rFonts w:ascii="宋体"/>
          <w:color w:val="auto"/>
          <w:highlight w:val="none"/>
        </w:rPr>
        <w:t>,</w:t>
      </w:r>
      <w:r>
        <w:rPr>
          <w:rFonts w:hint="eastAsia" w:ascii="宋体" w:hAnsi="宋体"/>
          <w:color w:val="auto"/>
          <w:highlight w:val="none"/>
        </w:rPr>
        <w:t>招标方工作人员对各部分得分汇总</w:t>
      </w:r>
      <w:r>
        <w:rPr>
          <w:rFonts w:ascii="宋体"/>
          <w:color w:val="auto"/>
          <w:highlight w:val="none"/>
        </w:rPr>
        <w:t>,</w:t>
      </w:r>
      <w:r>
        <w:rPr>
          <w:rFonts w:hint="eastAsia" w:ascii="宋体" w:hAnsi="宋体"/>
          <w:color w:val="auto"/>
          <w:highlight w:val="none"/>
        </w:rPr>
        <w:t>计算出本项目最终得分。评标委员会按评标原则推荐中标候选人并起草评标报告。</w:t>
      </w:r>
    </w:p>
    <w:p>
      <w:pPr>
        <w:snapToGrid w:val="0"/>
        <w:ind w:firstLine="482"/>
        <w:rPr>
          <w:rFonts w:ascii="宋体"/>
          <w:b/>
          <w:color w:val="auto"/>
          <w:highlight w:val="none"/>
        </w:rPr>
      </w:pPr>
      <w:r>
        <w:rPr>
          <w:rFonts w:hint="eastAsia" w:ascii="宋体" w:hAnsi="宋体"/>
          <w:b/>
          <w:color w:val="auto"/>
          <w:highlight w:val="none"/>
        </w:rPr>
        <w:t>（四）澄清问题的形式</w:t>
      </w:r>
    </w:p>
    <w:p>
      <w:pPr>
        <w:snapToGrid w:val="0"/>
        <w:ind w:firstLine="480"/>
        <w:rPr>
          <w:rFonts w:ascii="宋体"/>
          <w:color w:val="auto"/>
          <w:highlight w:val="none"/>
        </w:rPr>
      </w:pPr>
      <w:r>
        <w:rPr>
          <w:rFonts w:hint="eastAsia" w:ascii="宋体" w:hAnsi="宋体"/>
          <w:color w:val="auto"/>
          <w:highlight w:val="none"/>
        </w:rPr>
        <w:t>对投标文件中含义不明确、同类问题表述不一致或者有明显文字和计算错误的内容，评标委员会可要求投标人作出必要的澄清、说明或者纠正。投标人的澄清、说明（需盖CA电子签章或实体公章），并不得超出投标文件的范围或者改变投标文件的实质性内容。</w:t>
      </w:r>
    </w:p>
    <w:p>
      <w:pPr>
        <w:pStyle w:val="29"/>
        <w:snapToGrid w:val="0"/>
        <w:spacing w:beforeLines="0" w:afterLines="0" w:line="360" w:lineRule="auto"/>
        <w:ind w:left="788" w:leftChars="228" w:hanging="241" w:hangingChars="100"/>
        <w:rPr>
          <w:rFonts w:hAnsi="宋体"/>
          <w:b/>
          <w:color w:val="auto"/>
          <w:highlight w:val="none"/>
        </w:rPr>
      </w:pPr>
      <w:r>
        <w:rPr>
          <w:rFonts w:hint="eastAsia" w:hAnsi="宋体"/>
          <w:b/>
          <w:color w:val="auto"/>
          <w:highlight w:val="none"/>
        </w:rPr>
        <w:t>（五）错误修正</w:t>
      </w:r>
    </w:p>
    <w:p>
      <w:pPr>
        <w:pStyle w:val="29"/>
        <w:snapToGrid w:val="0"/>
        <w:spacing w:beforeLines="0" w:afterLines="0" w:line="360" w:lineRule="auto"/>
        <w:ind w:left="787" w:leftChars="228" w:hanging="240" w:hangingChars="100"/>
        <w:rPr>
          <w:rFonts w:hAnsi="宋体"/>
          <w:color w:val="auto"/>
          <w:highlight w:val="none"/>
        </w:rPr>
      </w:pPr>
      <w:r>
        <w:rPr>
          <w:rFonts w:hint="eastAsia" w:hAnsi="宋体"/>
          <w:color w:val="auto"/>
          <w:highlight w:val="none"/>
        </w:rPr>
        <w:t>投标文件如果出现计算或表达上的错误，修正错误的原则如下：</w:t>
      </w:r>
    </w:p>
    <w:p>
      <w:pPr>
        <w:pStyle w:val="29"/>
        <w:snapToGrid w:val="0"/>
        <w:spacing w:beforeLines="0" w:afterLines="0" w:line="360" w:lineRule="auto"/>
        <w:ind w:firstLine="480"/>
        <w:rPr>
          <w:rFonts w:hAnsi="宋体"/>
          <w:color w:val="auto"/>
          <w:highlight w:val="none"/>
        </w:rPr>
      </w:pPr>
      <w:r>
        <w:rPr>
          <w:rFonts w:hAnsi="宋体"/>
          <w:color w:val="auto"/>
          <w:highlight w:val="none"/>
        </w:rPr>
        <w:t>1.</w:t>
      </w:r>
      <w:r>
        <w:rPr>
          <w:rFonts w:hint="eastAsia" w:hAnsi="宋体"/>
          <w:color w:val="auto"/>
          <w:highlight w:val="none"/>
        </w:rPr>
        <w:t>投标文件的大写金额和小写金额不一致的，以大写金额为准；</w:t>
      </w:r>
    </w:p>
    <w:p>
      <w:pPr>
        <w:pStyle w:val="29"/>
        <w:snapToGrid w:val="0"/>
        <w:spacing w:beforeLines="0" w:afterLines="0" w:line="360" w:lineRule="auto"/>
        <w:ind w:firstLine="480"/>
        <w:rPr>
          <w:rFonts w:hAnsi="宋体"/>
          <w:color w:val="auto"/>
          <w:highlight w:val="none"/>
        </w:rPr>
      </w:pPr>
      <w:r>
        <w:rPr>
          <w:rFonts w:hAnsi="宋体"/>
          <w:color w:val="auto"/>
          <w:highlight w:val="none"/>
        </w:rPr>
        <w:t>2.</w:t>
      </w:r>
      <w:r>
        <w:rPr>
          <w:rFonts w:hint="eastAsia" w:hAnsi="宋体"/>
          <w:color w:val="auto"/>
          <w:highlight w:val="none"/>
        </w:rPr>
        <w:t>总价金额与按单价汇总金额不一致的，以单价金额计算结果为准；</w:t>
      </w:r>
    </w:p>
    <w:p>
      <w:pPr>
        <w:pStyle w:val="29"/>
        <w:snapToGrid w:val="0"/>
        <w:spacing w:beforeLines="0" w:afterLines="0" w:line="360" w:lineRule="auto"/>
        <w:ind w:firstLine="480"/>
        <w:rPr>
          <w:rFonts w:hAnsi="宋体"/>
          <w:color w:val="auto"/>
          <w:highlight w:val="none"/>
        </w:rPr>
      </w:pPr>
      <w:r>
        <w:rPr>
          <w:rFonts w:hAnsi="宋体"/>
          <w:color w:val="auto"/>
          <w:highlight w:val="none"/>
        </w:rPr>
        <w:t>3.</w:t>
      </w:r>
      <w:r>
        <w:rPr>
          <w:rFonts w:hint="eastAsia" w:hAnsi="宋体"/>
          <w:color w:val="auto"/>
          <w:highlight w:val="none"/>
        </w:rPr>
        <w:t>对不同文字文本投标文件的解释发生异议的，以中文文本为准。</w:t>
      </w:r>
    </w:p>
    <w:p>
      <w:pPr>
        <w:pStyle w:val="29"/>
        <w:snapToGrid w:val="0"/>
        <w:spacing w:beforeLines="0" w:afterLines="0" w:line="360" w:lineRule="auto"/>
        <w:ind w:firstLine="482"/>
        <w:rPr>
          <w:rFonts w:hAnsi="宋体"/>
          <w:b/>
          <w:bCs/>
          <w:color w:val="auto"/>
          <w:highlight w:val="none"/>
        </w:rPr>
      </w:pPr>
      <w:r>
        <w:rPr>
          <w:rFonts w:hint="eastAsia" w:hAnsi="宋体"/>
          <w:b/>
          <w:bCs/>
          <w:color w:val="auto"/>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29"/>
        <w:tabs>
          <w:tab w:val="left" w:pos="630"/>
        </w:tabs>
        <w:snapToGrid w:val="0"/>
        <w:spacing w:beforeLines="0" w:afterLines="0" w:line="360" w:lineRule="auto"/>
        <w:ind w:firstLine="472" w:firstLineChars="196"/>
        <w:rPr>
          <w:rFonts w:hAnsi="宋体"/>
          <w:b/>
          <w:color w:val="auto"/>
          <w:highlight w:val="none"/>
        </w:rPr>
      </w:pPr>
      <w:r>
        <w:rPr>
          <w:rFonts w:hint="eastAsia" w:hAnsi="宋体"/>
          <w:b/>
          <w:color w:val="auto"/>
          <w:highlight w:val="none"/>
        </w:rPr>
        <w:t>（六）评标原则、办法及依据</w:t>
      </w:r>
    </w:p>
    <w:p>
      <w:pPr>
        <w:pStyle w:val="29"/>
        <w:snapToGrid w:val="0"/>
        <w:spacing w:beforeLines="0" w:afterLines="0" w:line="360" w:lineRule="auto"/>
        <w:ind w:firstLine="480"/>
        <w:rPr>
          <w:rFonts w:hAnsi="宋体"/>
          <w:color w:val="auto"/>
          <w:highlight w:val="none"/>
        </w:rPr>
      </w:pPr>
      <w:r>
        <w:rPr>
          <w:rFonts w:hAnsi="宋体"/>
          <w:color w:val="auto"/>
          <w:highlight w:val="none"/>
        </w:rPr>
        <w:t>1.</w:t>
      </w:r>
      <w:r>
        <w:rPr>
          <w:rFonts w:hint="eastAsia" w:hAnsi="宋体"/>
          <w:color w:val="auto"/>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9"/>
        <w:snapToGrid w:val="0"/>
        <w:spacing w:beforeLines="0" w:afterLines="0" w:line="360" w:lineRule="auto"/>
        <w:ind w:firstLine="480"/>
        <w:rPr>
          <w:rFonts w:hAnsi="宋体"/>
          <w:color w:val="auto"/>
          <w:highlight w:val="none"/>
        </w:rPr>
      </w:pPr>
      <w:r>
        <w:rPr>
          <w:rFonts w:hAnsi="宋体"/>
          <w:color w:val="auto"/>
          <w:highlight w:val="none"/>
        </w:rPr>
        <w:t>2.</w:t>
      </w:r>
      <w:r>
        <w:rPr>
          <w:rFonts w:hint="eastAsia" w:hAnsi="宋体"/>
          <w:color w:val="auto"/>
          <w:highlight w:val="none"/>
        </w:rPr>
        <w:t>评标办法。本项目评标办法是</w:t>
      </w:r>
      <w:r>
        <w:rPr>
          <w:rFonts w:hint="eastAsia" w:hAnsi="宋体"/>
          <w:color w:val="auto"/>
          <w:highlight w:val="none"/>
          <w:u w:val="single"/>
        </w:rPr>
        <w:t>综合评分法</w:t>
      </w:r>
      <w:r>
        <w:rPr>
          <w:rFonts w:hint="eastAsia" w:hAnsi="宋体"/>
          <w:color w:val="auto"/>
          <w:highlight w:val="none"/>
        </w:rPr>
        <w:t>，具体评标内容及评分标准等详见《第四章：评标办法及评分标准》。</w:t>
      </w:r>
    </w:p>
    <w:p>
      <w:pPr>
        <w:pStyle w:val="29"/>
        <w:snapToGrid w:val="0"/>
        <w:spacing w:beforeLines="0" w:afterLines="0" w:line="360" w:lineRule="auto"/>
        <w:ind w:firstLine="480"/>
        <w:rPr>
          <w:rFonts w:hAnsi="宋体"/>
          <w:color w:val="auto"/>
          <w:highlight w:val="none"/>
        </w:rPr>
      </w:pPr>
      <w:r>
        <w:rPr>
          <w:rFonts w:hAnsi="宋体"/>
          <w:color w:val="auto"/>
          <w:highlight w:val="none"/>
        </w:rPr>
        <w:t>3</w:t>
      </w:r>
      <w:r>
        <w:rPr>
          <w:rFonts w:hint="eastAsia" w:hAnsi="宋体"/>
          <w:color w:val="auto"/>
          <w:highlight w:val="none"/>
        </w:rPr>
        <w:t>.评标依据：评标委员会决定投标的响应性只根据投标文件的内容，而不寻求外部的证据。</w:t>
      </w:r>
    </w:p>
    <w:p>
      <w:pPr>
        <w:pStyle w:val="29"/>
        <w:snapToGrid w:val="0"/>
        <w:spacing w:beforeLines="0" w:afterLines="0" w:line="360" w:lineRule="auto"/>
        <w:ind w:firstLine="472" w:firstLineChars="196"/>
        <w:rPr>
          <w:rFonts w:hAnsi="宋体"/>
          <w:b/>
          <w:color w:val="auto"/>
          <w:highlight w:val="none"/>
        </w:rPr>
      </w:pPr>
      <w:r>
        <w:rPr>
          <w:rFonts w:hint="eastAsia" w:hAnsi="宋体"/>
          <w:b/>
          <w:color w:val="auto"/>
          <w:highlight w:val="none"/>
        </w:rPr>
        <w:t>（七）评标过程的监控</w:t>
      </w:r>
    </w:p>
    <w:p>
      <w:pPr>
        <w:pStyle w:val="29"/>
        <w:snapToGrid w:val="0"/>
        <w:spacing w:beforeLines="0" w:afterLines="0" w:line="360" w:lineRule="auto"/>
        <w:ind w:firstLine="480"/>
        <w:rPr>
          <w:rFonts w:hAnsi="宋体"/>
          <w:color w:val="auto"/>
          <w:highlight w:val="none"/>
        </w:rPr>
      </w:pPr>
      <w:r>
        <w:rPr>
          <w:rFonts w:hint="eastAsia" w:hAnsi="宋体"/>
          <w:color w:val="auto"/>
          <w:highlight w:val="none"/>
        </w:rPr>
        <w:t>本项目评标过程实行全程录音、录像监控，投标人在评标过程中所进行的试图影响评标结果的不公正活动，可能导致其投标被拒绝。</w:t>
      </w:r>
    </w:p>
    <w:p>
      <w:pPr>
        <w:pStyle w:val="43"/>
        <w:adjustRightInd w:val="0"/>
        <w:snapToGrid w:val="0"/>
        <w:spacing w:beforeAutospacing="0" w:afterAutospacing="0"/>
        <w:ind w:firstLine="482"/>
        <w:rPr>
          <w:b/>
          <w:color w:val="auto"/>
          <w:kern w:val="2"/>
          <w:highlight w:val="none"/>
        </w:rPr>
      </w:pPr>
      <w:r>
        <w:rPr>
          <w:rFonts w:hint="eastAsia"/>
          <w:b/>
          <w:color w:val="auto"/>
          <w:kern w:val="2"/>
          <w:highlight w:val="none"/>
        </w:rPr>
        <w:t>（八）评审纪律和要求</w:t>
      </w:r>
    </w:p>
    <w:p>
      <w:pPr>
        <w:pStyle w:val="29"/>
        <w:snapToGrid w:val="0"/>
        <w:spacing w:beforeLines="0" w:afterLines="0" w:line="360" w:lineRule="auto"/>
        <w:ind w:firstLine="480"/>
        <w:rPr>
          <w:rFonts w:hAnsi="宋体"/>
          <w:color w:val="auto"/>
          <w:highlight w:val="none"/>
        </w:rPr>
      </w:pPr>
      <w:r>
        <w:rPr>
          <w:rFonts w:hint="eastAsia" w:hAnsi="宋体"/>
          <w:color w:val="auto"/>
          <w:highlight w:val="none"/>
        </w:rPr>
        <w:t>1.评审专家必须公平、公正评审，遵纪守法，客观、廉洁地履行职责。</w:t>
      </w:r>
    </w:p>
    <w:p>
      <w:pPr>
        <w:pStyle w:val="29"/>
        <w:snapToGrid w:val="0"/>
        <w:spacing w:beforeLines="0" w:afterLines="0" w:line="360" w:lineRule="auto"/>
        <w:ind w:firstLine="480"/>
        <w:rPr>
          <w:rFonts w:hAnsi="宋体"/>
          <w:color w:val="auto"/>
          <w:highlight w:val="none"/>
        </w:rPr>
      </w:pPr>
      <w:r>
        <w:rPr>
          <w:rFonts w:hint="eastAsia" w:hAnsi="宋体"/>
          <w:color w:val="auto"/>
          <w:highlight w:val="none"/>
        </w:rPr>
        <w:t>2.评审专家在评审开始前，应关闭并上交随身携带的各种通信工具。</w:t>
      </w:r>
    </w:p>
    <w:p>
      <w:pPr>
        <w:pStyle w:val="29"/>
        <w:snapToGrid w:val="0"/>
        <w:spacing w:beforeLines="0" w:afterLines="0" w:line="360" w:lineRule="auto"/>
        <w:ind w:firstLine="480"/>
        <w:rPr>
          <w:rFonts w:hAnsi="宋体"/>
          <w:color w:val="auto"/>
          <w:highlight w:val="none"/>
        </w:rPr>
      </w:pPr>
      <w:r>
        <w:rPr>
          <w:rFonts w:hint="eastAsia" w:hAnsi="宋体"/>
          <w:color w:val="auto"/>
          <w:highlight w:val="none"/>
        </w:rPr>
        <w:t>3.评审专家在评审过程中，未经许可不得中途离开评审现场，不得迟到早退。</w:t>
      </w:r>
    </w:p>
    <w:p>
      <w:pPr>
        <w:pStyle w:val="29"/>
        <w:snapToGrid w:val="0"/>
        <w:spacing w:beforeLines="0" w:afterLines="0" w:line="360" w:lineRule="auto"/>
        <w:ind w:firstLine="480"/>
        <w:rPr>
          <w:rFonts w:hAnsi="宋体"/>
          <w:color w:val="auto"/>
          <w:highlight w:val="none"/>
        </w:rPr>
      </w:pPr>
      <w:r>
        <w:rPr>
          <w:rFonts w:hint="eastAsia" w:hAnsi="宋体"/>
          <w:color w:val="auto"/>
          <w:highlight w:val="none"/>
        </w:rPr>
        <w:t>4.评审专家和工作人员不得透露评审过程中的讨论情况和评审结果。</w:t>
      </w:r>
    </w:p>
    <w:p>
      <w:pPr>
        <w:pStyle w:val="29"/>
        <w:snapToGrid w:val="0"/>
        <w:spacing w:beforeLines="0" w:afterLines="0" w:line="360" w:lineRule="auto"/>
        <w:ind w:firstLine="480"/>
        <w:rPr>
          <w:rFonts w:hAnsi="宋体"/>
          <w:color w:val="auto"/>
          <w:highlight w:val="none"/>
        </w:rPr>
      </w:pPr>
      <w:r>
        <w:rPr>
          <w:rFonts w:hint="eastAsia" w:hAnsi="宋体"/>
          <w:color w:val="auto"/>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pStyle w:val="29"/>
        <w:snapToGrid w:val="0"/>
        <w:spacing w:beforeLines="0" w:afterLines="0" w:line="360" w:lineRule="auto"/>
        <w:ind w:firstLine="480"/>
        <w:rPr>
          <w:rFonts w:hAnsi="宋体"/>
          <w:color w:val="auto"/>
          <w:highlight w:val="none"/>
        </w:rPr>
      </w:pPr>
      <w:r>
        <w:rPr>
          <w:rFonts w:hint="eastAsia" w:hAnsi="宋体"/>
          <w:color w:val="auto"/>
          <w:highlight w:val="none"/>
        </w:rPr>
        <w:t>6.采购人、采购代理机构不得向评审委员会的评审专家作倾向性、误导性的解释或者说明。</w:t>
      </w:r>
    </w:p>
    <w:p>
      <w:pPr>
        <w:pStyle w:val="29"/>
        <w:snapToGrid w:val="0"/>
        <w:spacing w:beforeLines="0" w:afterLines="0" w:line="360" w:lineRule="auto"/>
        <w:ind w:firstLine="480"/>
        <w:rPr>
          <w:rFonts w:hAnsi="宋体"/>
          <w:color w:val="auto"/>
          <w:highlight w:val="none"/>
        </w:rPr>
      </w:pPr>
      <w:r>
        <w:rPr>
          <w:rFonts w:hint="eastAsia" w:hAnsi="宋体"/>
          <w:color w:val="auto"/>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pStyle w:val="29"/>
        <w:snapToGrid w:val="0"/>
        <w:spacing w:beforeLines="0" w:afterLines="0" w:line="360" w:lineRule="auto"/>
        <w:ind w:firstLine="480"/>
        <w:rPr>
          <w:rFonts w:hAnsi="宋体"/>
          <w:color w:val="auto"/>
          <w:highlight w:val="none"/>
        </w:rPr>
      </w:pPr>
      <w:r>
        <w:rPr>
          <w:rFonts w:hint="eastAsia" w:hAnsi="宋体"/>
          <w:color w:val="auto"/>
          <w:highlight w:val="none"/>
        </w:rPr>
        <w:t>8.评审专家在评审过程中不得将自己的观点强加给其他评审专家，评审专家应自主发表见解，对评审意见承担个人责任。</w:t>
      </w:r>
    </w:p>
    <w:p>
      <w:pPr>
        <w:pStyle w:val="29"/>
        <w:snapToGrid w:val="0"/>
        <w:spacing w:beforeLines="0" w:afterLines="0" w:line="360" w:lineRule="auto"/>
        <w:ind w:firstLine="480"/>
        <w:rPr>
          <w:rFonts w:hAnsi="宋体"/>
          <w:color w:val="auto"/>
          <w:highlight w:val="none"/>
        </w:rPr>
      </w:pPr>
      <w:r>
        <w:rPr>
          <w:rFonts w:hint="eastAsia" w:hAnsi="宋体"/>
          <w:color w:val="auto"/>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pStyle w:val="29"/>
        <w:snapToGrid w:val="0"/>
        <w:spacing w:beforeLines="0" w:afterLines="0" w:line="360" w:lineRule="auto"/>
        <w:ind w:firstLine="480"/>
        <w:rPr>
          <w:rFonts w:hAnsi="宋体"/>
          <w:color w:val="auto"/>
          <w:highlight w:val="none"/>
        </w:rPr>
      </w:pPr>
      <w:r>
        <w:rPr>
          <w:rFonts w:hint="eastAsia" w:hAnsi="宋体"/>
          <w:color w:val="auto"/>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pPr>
        <w:pStyle w:val="29"/>
        <w:snapToGrid w:val="0"/>
        <w:spacing w:beforeLines="0" w:afterLines="0" w:line="360" w:lineRule="auto"/>
        <w:ind w:firstLine="480"/>
        <w:rPr>
          <w:rFonts w:hAnsi="宋体"/>
          <w:color w:val="auto"/>
          <w:highlight w:val="none"/>
        </w:rPr>
      </w:pPr>
      <w:r>
        <w:rPr>
          <w:rFonts w:hint="eastAsia" w:hAnsi="宋体"/>
          <w:color w:val="auto"/>
          <w:highlight w:val="none"/>
        </w:rPr>
        <w:t>11.评审专家应当遵守评审工作纪律，不得泄露评审文件、评审情况和评审中获悉的商业秘密。</w:t>
      </w:r>
    </w:p>
    <w:p>
      <w:pPr>
        <w:pStyle w:val="29"/>
        <w:snapToGrid w:val="0"/>
        <w:spacing w:beforeLines="0" w:afterLines="0" w:line="360" w:lineRule="auto"/>
        <w:ind w:firstLine="480"/>
        <w:rPr>
          <w:rFonts w:hAnsi="宋体"/>
          <w:color w:val="auto"/>
          <w:highlight w:val="none"/>
        </w:rPr>
      </w:pPr>
      <w:r>
        <w:rPr>
          <w:rFonts w:hint="eastAsia" w:hAnsi="宋体"/>
          <w:color w:val="auto"/>
          <w:highlight w:val="none"/>
        </w:rPr>
        <w:t>评审委员会在评审过程中发现投标人有行贿、提供虚假材料或者串通等违法行为的，应当及时向财政部门报告。</w:t>
      </w:r>
    </w:p>
    <w:p>
      <w:pPr>
        <w:pStyle w:val="29"/>
        <w:snapToGrid w:val="0"/>
        <w:spacing w:beforeLines="0" w:afterLines="0" w:line="360" w:lineRule="auto"/>
        <w:ind w:firstLine="480"/>
        <w:rPr>
          <w:rFonts w:hAnsi="宋体"/>
          <w:color w:val="auto"/>
          <w:highlight w:val="none"/>
        </w:rPr>
      </w:pPr>
      <w:r>
        <w:rPr>
          <w:rFonts w:hint="eastAsia" w:hAnsi="宋体"/>
          <w:color w:val="auto"/>
          <w:highlight w:val="none"/>
        </w:rPr>
        <w:t>12.招标文件内容违反国家有关强制性规定的，评审委员会应当停止评审并向采购代理机构说明情况。</w:t>
      </w:r>
    </w:p>
    <w:p>
      <w:pPr>
        <w:pStyle w:val="29"/>
        <w:snapToGrid w:val="0"/>
        <w:spacing w:beforeLines="0" w:afterLines="0" w:line="360" w:lineRule="auto"/>
        <w:ind w:firstLine="480"/>
        <w:rPr>
          <w:rFonts w:hAnsi="宋体"/>
          <w:color w:val="auto"/>
          <w:highlight w:val="none"/>
        </w:rPr>
      </w:pPr>
      <w:r>
        <w:rPr>
          <w:rFonts w:hint="eastAsia" w:hAnsi="宋体"/>
          <w:color w:val="auto"/>
          <w:highlight w:val="none"/>
        </w:rPr>
        <w:t>13.评审专家应当配合采购代理机构答复投标人提出的质疑。</w:t>
      </w:r>
    </w:p>
    <w:p>
      <w:pPr>
        <w:pStyle w:val="29"/>
        <w:snapToGrid w:val="0"/>
        <w:spacing w:beforeLines="0" w:afterLines="0" w:line="360" w:lineRule="auto"/>
        <w:ind w:firstLine="480"/>
        <w:rPr>
          <w:rFonts w:hAnsi="宋体"/>
          <w:color w:val="auto"/>
          <w:highlight w:val="none"/>
        </w:rPr>
      </w:pPr>
      <w:r>
        <w:rPr>
          <w:rFonts w:hint="eastAsia" w:hAnsi="宋体"/>
          <w:color w:val="auto"/>
          <w:highlight w:val="none"/>
        </w:rPr>
        <w:t>14.评审专家应当配合财政部门的投诉处理工作。</w:t>
      </w:r>
    </w:p>
    <w:p>
      <w:pPr>
        <w:pStyle w:val="29"/>
        <w:snapToGrid w:val="0"/>
        <w:spacing w:beforeLines="0" w:afterLines="0" w:line="360" w:lineRule="auto"/>
        <w:ind w:firstLine="480"/>
        <w:rPr>
          <w:rFonts w:hAnsi="宋体"/>
          <w:color w:val="auto"/>
          <w:highlight w:val="none"/>
        </w:rPr>
      </w:pPr>
      <w:r>
        <w:rPr>
          <w:rFonts w:hint="eastAsia" w:hAnsi="宋体"/>
          <w:color w:val="auto"/>
          <w:highlight w:val="none"/>
        </w:rPr>
        <w:t>15.评审专家有如下行为之一的，责令改正，给予警告，可以并处一千元以下的罚款：</w:t>
      </w:r>
    </w:p>
    <w:p>
      <w:pPr>
        <w:pStyle w:val="29"/>
        <w:snapToGrid w:val="0"/>
        <w:spacing w:beforeLines="0" w:afterLines="0" w:line="360" w:lineRule="auto"/>
        <w:ind w:firstLine="480"/>
        <w:rPr>
          <w:rFonts w:hAnsi="宋体"/>
          <w:color w:val="auto"/>
          <w:highlight w:val="none"/>
        </w:rPr>
      </w:pPr>
      <w:r>
        <w:rPr>
          <w:rFonts w:hint="eastAsia" w:hAnsi="宋体"/>
          <w:color w:val="auto"/>
          <w:highlight w:val="none"/>
        </w:rPr>
        <w:t>①明知应当回避而未主动回避的；</w:t>
      </w:r>
    </w:p>
    <w:p>
      <w:pPr>
        <w:pStyle w:val="29"/>
        <w:snapToGrid w:val="0"/>
        <w:spacing w:beforeLines="0" w:afterLines="0" w:line="360" w:lineRule="auto"/>
        <w:ind w:firstLine="480"/>
        <w:rPr>
          <w:rFonts w:hAnsi="宋体"/>
          <w:color w:val="auto"/>
          <w:highlight w:val="none"/>
        </w:rPr>
      </w:pPr>
      <w:r>
        <w:rPr>
          <w:rFonts w:hint="eastAsia" w:hAnsi="宋体"/>
          <w:color w:val="auto"/>
          <w:highlight w:val="none"/>
        </w:rPr>
        <w:t>②在得知自己为评审专家身份后至评审结束前时段内私下接触投标人的；</w:t>
      </w:r>
    </w:p>
    <w:p>
      <w:pPr>
        <w:pStyle w:val="29"/>
        <w:snapToGrid w:val="0"/>
        <w:spacing w:beforeLines="0" w:afterLines="0" w:line="360" w:lineRule="auto"/>
        <w:ind w:firstLine="480"/>
        <w:rPr>
          <w:rFonts w:hAnsi="宋体"/>
          <w:color w:val="auto"/>
          <w:highlight w:val="none"/>
        </w:rPr>
      </w:pPr>
      <w:r>
        <w:rPr>
          <w:rFonts w:hint="eastAsia" w:hAnsi="宋体"/>
          <w:color w:val="auto"/>
          <w:highlight w:val="none"/>
        </w:rPr>
        <w:t>③在评审过程中擅离职守，影响评审程序正常进行的；</w:t>
      </w:r>
    </w:p>
    <w:p>
      <w:pPr>
        <w:pStyle w:val="29"/>
        <w:snapToGrid w:val="0"/>
        <w:spacing w:beforeLines="0" w:afterLines="0" w:line="360" w:lineRule="auto"/>
        <w:ind w:firstLine="480"/>
        <w:rPr>
          <w:rFonts w:hAnsi="宋体"/>
          <w:color w:val="auto"/>
          <w:highlight w:val="none"/>
        </w:rPr>
      </w:pPr>
      <w:r>
        <w:rPr>
          <w:rFonts w:hint="eastAsia" w:hAnsi="宋体"/>
          <w:color w:val="auto"/>
          <w:highlight w:val="none"/>
        </w:rPr>
        <w:t>④在评审过程有明显不合理或者不正当倾向性的；</w:t>
      </w:r>
    </w:p>
    <w:p>
      <w:pPr>
        <w:pStyle w:val="29"/>
        <w:snapToGrid w:val="0"/>
        <w:spacing w:beforeLines="0" w:afterLines="0" w:line="360" w:lineRule="auto"/>
        <w:ind w:firstLine="480"/>
        <w:rPr>
          <w:rFonts w:hAnsi="宋体"/>
          <w:color w:val="auto"/>
          <w:highlight w:val="none"/>
        </w:rPr>
      </w:pPr>
      <w:r>
        <w:rPr>
          <w:rFonts w:hint="eastAsia" w:hAnsi="宋体"/>
          <w:color w:val="auto"/>
          <w:highlight w:val="none"/>
        </w:rPr>
        <w:t>⑤未按招标文件规定的评审方法和标准进行评审的。</w:t>
      </w:r>
    </w:p>
    <w:p>
      <w:pPr>
        <w:pStyle w:val="29"/>
        <w:snapToGrid w:val="0"/>
        <w:spacing w:beforeLines="0" w:afterLines="0" w:line="360" w:lineRule="auto"/>
        <w:ind w:firstLine="480"/>
        <w:rPr>
          <w:rFonts w:hAnsi="宋体"/>
          <w:color w:val="auto"/>
          <w:highlight w:val="none"/>
        </w:rPr>
      </w:pPr>
      <w:r>
        <w:rPr>
          <w:rFonts w:hint="eastAsia" w:hAnsi="宋体"/>
          <w:color w:val="auto"/>
          <w:highlight w:val="none"/>
        </w:rPr>
        <w:t>⑥上述①至⑤行为影响中标结果的，中标结果无效。</w:t>
      </w:r>
    </w:p>
    <w:p>
      <w:pPr>
        <w:pStyle w:val="29"/>
        <w:snapToGrid w:val="0"/>
        <w:spacing w:beforeLines="0" w:afterLines="0" w:line="360" w:lineRule="auto"/>
        <w:ind w:firstLine="480"/>
        <w:rPr>
          <w:rFonts w:hAnsi="宋体"/>
          <w:color w:val="auto"/>
          <w:highlight w:val="none"/>
        </w:rPr>
      </w:pPr>
      <w:r>
        <w:rPr>
          <w:rFonts w:hint="eastAsia" w:hAnsi="宋体"/>
          <w:color w:val="auto"/>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pStyle w:val="29"/>
        <w:snapToGrid w:val="0"/>
        <w:spacing w:beforeLines="0" w:afterLines="0" w:line="360" w:lineRule="auto"/>
        <w:ind w:firstLine="480"/>
        <w:rPr>
          <w:rFonts w:hAnsi="宋体"/>
          <w:color w:val="auto"/>
          <w:highlight w:val="none"/>
        </w:rPr>
      </w:pPr>
      <w:r>
        <w:rPr>
          <w:rFonts w:hint="eastAsia" w:hAnsi="宋体"/>
          <w:color w:val="auto"/>
          <w:highlight w:val="none"/>
        </w:rPr>
        <w:t>政府采购评审专家与投标人存在利害关系未回避的，处2万元以上5万元以下的罚款，禁止其参加政府采购评审活动。</w:t>
      </w:r>
    </w:p>
    <w:p>
      <w:pPr>
        <w:pStyle w:val="29"/>
        <w:snapToGrid w:val="0"/>
        <w:spacing w:beforeLines="0" w:afterLines="0" w:line="360" w:lineRule="auto"/>
        <w:ind w:firstLine="480"/>
        <w:rPr>
          <w:rFonts w:hAnsi="宋体"/>
          <w:color w:val="auto"/>
          <w:highlight w:val="none"/>
        </w:rPr>
      </w:pPr>
      <w:r>
        <w:rPr>
          <w:rFonts w:hint="eastAsia" w:hAnsi="宋体"/>
          <w:color w:val="auto"/>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pPr>
        <w:pStyle w:val="29"/>
        <w:snapToGrid w:val="0"/>
        <w:spacing w:beforeLines="0" w:afterLines="0" w:line="360" w:lineRule="auto"/>
        <w:ind w:firstLine="480"/>
        <w:rPr>
          <w:color w:val="auto"/>
          <w:highlight w:val="none"/>
        </w:rPr>
      </w:pPr>
      <w:r>
        <w:rPr>
          <w:rFonts w:hint="eastAsia" w:hAnsi="宋体"/>
          <w:color w:val="auto"/>
          <w:highlight w:val="none"/>
        </w:rPr>
        <w:t>政府采购评审专家有上述违法行为的，其评审意见无效，不得获取评审费；有违法所得的，没收违法所得；给他人造成损失的，依法承担民事责任。</w:t>
      </w:r>
    </w:p>
    <w:p>
      <w:pPr>
        <w:ind w:firstLine="480"/>
        <w:rPr>
          <w:color w:val="auto"/>
          <w:highlight w:val="none"/>
        </w:rPr>
      </w:pPr>
    </w:p>
    <w:p>
      <w:pPr>
        <w:ind w:firstLine="482"/>
        <w:rPr>
          <w:rFonts w:ascii="宋体" w:hAnsi="宋体"/>
          <w:b/>
          <w:color w:val="auto"/>
          <w:highlight w:val="none"/>
        </w:rPr>
      </w:pPr>
      <w:r>
        <w:rPr>
          <w:rFonts w:hint="eastAsia" w:ascii="宋体" w:hAnsi="宋体"/>
          <w:b/>
          <w:color w:val="auto"/>
          <w:highlight w:val="none"/>
        </w:rPr>
        <w:t>（九）其他</w:t>
      </w:r>
    </w:p>
    <w:p>
      <w:pPr>
        <w:ind w:firstLine="470" w:firstLineChars="196"/>
        <w:rPr>
          <w:rFonts w:ascii="宋体" w:hAnsi="宋体"/>
          <w:color w:val="auto"/>
          <w:highlight w:val="none"/>
        </w:rPr>
      </w:pPr>
      <w:r>
        <w:rPr>
          <w:rFonts w:hint="eastAsia" w:ascii="宋体" w:hAnsi="宋体"/>
          <w:color w:val="auto"/>
          <w:highlight w:val="none"/>
        </w:rPr>
        <w:t>采购过程中出现以下情形，导致电子交易平台无法正常运行，或者无法保证电子交易的公平、公正和安全时，采购组织机构可中止电子交易活动：</w:t>
      </w:r>
    </w:p>
    <w:p>
      <w:pPr>
        <w:ind w:firstLine="480"/>
        <w:rPr>
          <w:rFonts w:ascii="宋体" w:hAnsi="宋体"/>
          <w:color w:val="auto"/>
          <w:highlight w:val="none"/>
        </w:rPr>
      </w:pPr>
      <w:r>
        <w:rPr>
          <w:rFonts w:hint="eastAsia" w:ascii="宋体" w:hAnsi="宋体"/>
          <w:color w:val="auto"/>
          <w:highlight w:val="none"/>
        </w:rPr>
        <w:t>1、电子交易平台发生故障而无法登录访问的；</w:t>
      </w:r>
    </w:p>
    <w:p>
      <w:pPr>
        <w:ind w:firstLine="480"/>
        <w:rPr>
          <w:rFonts w:ascii="宋体" w:hAnsi="宋体"/>
          <w:color w:val="auto"/>
          <w:highlight w:val="none"/>
        </w:rPr>
      </w:pPr>
      <w:r>
        <w:rPr>
          <w:rFonts w:hint="eastAsia" w:ascii="宋体" w:hAnsi="宋体"/>
          <w:color w:val="auto"/>
          <w:highlight w:val="none"/>
        </w:rPr>
        <w:t>2、电子交易平台应用或数据库出现错误，不能进行正常操作的；</w:t>
      </w:r>
    </w:p>
    <w:p>
      <w:pPr>
        <w:ind w:firstLine="480"/>
        <w:rPr>
          <w:rFonts w:ascii="宋体" w:hAnsi="宋体"/>
          <w:color w:val="auto"/>
          <w:highlight w:val="none"/>
        </w:rPr>
      </w:pPr>
      <w:r>
        <w:rPr>
          <w:rFonts w:hint="eastAsia" w:ascii="宋体" w:hAnsi="宋体"/>
          <w:color w:val="auto"/>
          <w:highlight w:val="none"/>
        </w:rPr>
        <w:t>3、电子交易平台发现严重安全漏洞，有潜在泄密危险的；</w:t>
      </w:r>
    </w:p>
    <w:p>
      <w:pPr>
        <w:ind w:firstLine="480"/>
        <w:rPr>
          <w:rFonts w:ascii="宋体" w:hAnsi="宋体"/>
          <w:color w:val="auto"/>
          <w:highlight w:val="none"/>
        </w:rPr>
      </w:pPr>
      <w:r>
        <w:rPr>
          <w:rFonts w:hint="eastAsia" w:ascii="宋体" w:hAnsi="宋体"/>
          <w:color w:val="auto"/>
          <w:highlight w:val="none"/>
        </w:rPr>
        <w:t>4、病毒发作导致不能进行正常操作的；</w:t>
      </w:r>
    </w:p>
    <w:p>
      <w:pPr>
        <w:ind w:firstLine="480"/>
        <w:rPr>
          <w:rFonts w:ascii="宋体" w:hAnsi="宋体"/>
          <w:color w:val="auto"/>
          <w:highlight w:val="none"/>
        </w:rPr>
      </w:pPr>
      <w:r>
        <w:rPr>
          <w:rFonts w:hint="eastAsia" w:ascii="宋体" w:hAnsi="宋体"/>
          <w:color w:val="auto"/>
          <w:highlight w:val="none"/>
        </w:rPr>
        <w:t>5、其他无法保证电子交易的公平、公正和安全的情况。</w:t>
      </w:r>
    </w:p>
    <w:p>
      <w:pPr>
        <w:ind w:firstLine="470" w:firstLineChars="196"/>
        <w:rPr>
          <w:rFonts w:hAnsi="宋体"/>
          <w:color w:val="auto"/>
          <w:highlight w:val="none"/>
        </w:rPr>
      </w:pPr>
      <w:r>
        <w:rPr>
          <w:rFonts w:hint="eastAsia" w:ascii="宋体" w:hAnsi="宋体"/>
          <w:color w:val="auto"/>
          <w:highlight w:val="none"/>
        </w:rPr>
        <w:t>出现前款规定情形，不影响采购公平、公正性的，采购组织机构可以待上述情形消除后继续组织电子交易活动；影响或可能影响采购公平、公正性的，应当重新采购。</w:t>
      </w:r>
    </w:p>
    <w:p>
      <w:pPr>
        <w:pStyle w:val="29"/>
        <w:snapToGrid w:val="0"/>
        <w:spacing w:beforeLines="0" w:afterLines="0" w:line="360" w:lineRule="auto"/>
        <w:ind w:firstLine="551" w:firstLineChars="196"/>
        <w:outlineLvl w:val="1"/>
        <w:rPr>
          <w:rFonts w:hAnsi="宋体"/>
          <w:b/>
          <w:color w:val="auto"/>
          <w:sz w:val="28"/>
          <w:szCs w:val="28"/>
          <w:highlight w:val="none"/>
        </w:rPr>
      </w:pPr>
      <w:r>
        <w:rPr>
          <w:rFonts w:hint="eastAsia" w:hAnsi="宋体"/>
          <w:b/>
          <w:color w:val="auto"/>
          <w:sz w:val="28"/>
          <w:szCs w:val="28"/>
          <w:highlight w:val="none"/>
        </w:rPr>
        <w:t>六、定标</w:t>
      </w:r>
    </w:p>
    <w:p>
      <w:pPr>
        <w:pStyle w:val="29"/>
        <w:snapToGrid w:val="0"/>
        <w:spacing w:beforeLines="0" w:afterLines="0" w:line="360" w:lineRule="auto"/>
        <w:ind w:firstLine="472" w:firstLineChars="196"/>
        <w:rPr>
          <w:rFonts w:hAnsi="宋体"/>
          <w:b/>
          <w:bCs/>
          <w:color w:val="auto"/>
          <w:highlight w:val="none"/>
        </w:rPr>
      </w:pPr>
      <w:r>
        <w:rPr>
          <w:rFonts w:hint="eastAsia" w:hAnsi="宋体"/>
          <w:b/>
          <w:bCs/>
          <w:color w:val="auto"/>
          <w:highlight w:val="none"/>
        </w:rPr>
        <w:t>（一）确定中标人。本项目由采购人授权评标委员会确定中标人。</w:t>
      </w:r>
    </w:p>
    <w:p>
      <w:pPr>
        <w:snapToGrid w:val="0"/>
        <w:ind w:firstLine="480"/>
        <w:rPr>
          <w:rFonts w:ascii="宋体"/>
          <w:color w:val="auto"/>
          <w:highlight w:val="none"/>
        </w:rPr>
      </w:pPr>
      <w:r>
        <w:rPr>
          <w:rFonts w:ascii="宋体" w:hAnsi="宋体"/>
          <w:color w:val="auto"/>
          <w:highlight w:val="none"/>
        </w:rPr>
        <w:t>1</w:t>
      </w:r>
      <w:r>
        <w:rPr>
          <w:rFonts w:hint="eastAsia" w:ascii="宋体" w:hAnsi="宋体"/>
          <w:color w:val="auto"/>
          <w:highlight w:val="none"/>
        </w:rPr>
        <w:t>．出现下列情形之一的，采购单位或评标委员会可以直接确定排名第二的候选供应商为中标成交供应商。</w:t>
      </w:r>
    </w:p>
    <w:p>
      <w:pPr>
        <w:snapToGrid w:val="0"/>
        <w:ind w:firstLine="480"/>
        <w:rPr>
          <w:rFonts w:ascii="宋体"/>
          <w:b/>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）排名第一的候选供应商，因自身原因放弃中标成交或因不可抗力不能履行合同的；</w:t>
      </w:r>
    </w:p>
    <w:p>
      <w:pPr>
        <w:snapToGrid w:val="0"/>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）经质疑，采购组织机构审查确认因排名第一的候选供应商在本次采购活动中存在违法违规行为或其他原因使质疑成立的。</w:t>
      </w:r>
    </w:p>
    <w:p>
      <w:pPr>
        <w:snapToGrid w:val="0"/>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招标方在评标结束后</w:t>
      </w:r>
      <w:r>
        <w:rPr>
          <w:rFonts w:ascii="宋体" w:hAnsi="宋体"/>
          <w:color w:val="auto"/>
          <w:highlight w:val="none"/>
        </w:rPr>
        <w:t>2</w:t>
      </w:r>
      <w:r>
        <w:rPr>
          <w:rFonts w:hint="eastAsia" w:ascii="宋体" w:hAnsi="宋体"/>
          <w:color w:val="auto"/>
          <w:highlight w:val="none"/>
        </w:rPr>
        <w:t>个工作日内将评标报告交采购人确认，并在采购人确认中标人之日起2个工作日内，在发布招标公告的网站上对中标结果进行公告。</w:t>
      </w:r>
    </w:p>
    <w:p>
      <w:pPr>
        <w:snapToGrid w:val="0"/>
        <w:ind w:firstLine="480"/>
        <w:rPr>
          <w:rFonts w:ascii="宋体"/>
          <w:color w:val="auto"/>
          <w:highlight w:val="none"/>
        </w:rPr>
      </w:pPr>
      <w:r>
        <w:rPr>
          <w:rFonts w:ascii="宋体" w:hAnsi="宋体"/>
          <w:color w:val="auto"/>
          <w:highlight w:val="none"/>
        </w:rPr>
        <w:t>3.</w:t>
      </w:r>
      <w:r>
        <w:rPr>
          <w:rFonts w:hint="eastAsia" w:ascii="宋体" w:hAnsi="宋体"/>
          <w:color w:val="auto"/>
          <w:highlight w:val="none"/>
        </w:rPr>
        <w:t>投标人对评标结果无异议的，采购人应在收到评标报告后</w:t>
      </w:r>
      <w:r>
        <w:rPr>
          <w:rFonts w:ascii="宋体" w:hAnsi="宋体"/>
          <w:color w:val="auto"/>
          <w:highlight w:val="none"/>
        </w:rPr>
        <w:t>5</w:t>
      </w:r>
      <w:r>
        <w:rPr>
          <w:rFonts w:hint="eastAsia" w:ascii="宋体" w:hAnsi="宋体"/>
          <w:color w:val="auto"/>
          <w:highlight w:val="none"/>
        </w:rPr>
        <w:t>个工作日内对评标结果进行确认。如有投标人对评标结果提出质疑的，采购人可在质疑处理完毕后确定中标人。</w:t>
      </w:r>
    </w:p>
    <w:p>
      <w:pPr>
        <w:snapToGrid w:val="0"/>
        <w:ind w:firstLine="480"/>
        <w:rPr>
          <w:rFonts w:ascii="宋体"/>
          <w:color w:val="auto"/>
          <w:highlight w:val="none"/>
        </w:rPr>
      </w:pPr>
      <w:r>
        <w:rPr>
          <w:rFonts w:ascii="宋体" w:hAnsi="宋体"/>
          <w:color w:val="auto"/>
          <w:highlight w:val="none"/>
        </w:rPr>
        <w:t>4.</w:t>
      </w:r>
      <w:r>
        <w:rPr>
          <w:rFonts w:hint="eastAsia" w:ascii="宋体" w:hAnsi="宋体"/>
          <w:color w:val="auto"/>
          <w:highlight w:val="none"/>
        </w:rPr>
        <w:t>采购人或评委会依法确定中标人后</w:t>
      </w:r>
      <w:r>
        <w:rPr>
          <w:rFonts w:ascii="宋体" w:hAnsi="宋体"/>
          <w:color w:val="auto"/>
          <w:highlight w:val="none"/>
        </w:rPr>
        <w:t>2</w:t>
      </w:r>
      <w:r>
        <w:rPr>
          <w:rFonts w:hint="eastAsia" w:ascii="宋体" w:hAnsi="宋体"/>
          <w:color w:val="auto"/>
          <w:highlight w:val="none"/>
        </w:rPr>
        <w:t>个工作日内，招标方以书面形式发出《中标通知书》</w:t>
      </w:r>
      <w:r>
        <w:rPr>
          <w:rFonts w:ascii="宋体"/>
          <w:color w:val="auto"/>
          <w:highlight w:val="none"/>
        </w:rPr>
        <w:t>,</w:t>
      </w:r>
      <w:r>
        <w:rPr>
          <w:rFonts w:hint="eastAsia" w:ascii="宋体" w:hAnsi="宋体"/>
          <w:color w:val="auto"/>
          <w:highlight w:val="none"/>
        </w:rPr>
        <w:t>并同时在相关网站上发布中标公告。</w:t>
      </w:r>
    </w:p>
    <w:p>
      <w:pPr>
        <w:pStyle w:val="29"/>
        <w:snapToGrid w:val="0"/>
        <w:spacing w:beforeLines="0" w:afterLines="0" w:line="360" w:lineRule="auto"/>
        <w:ind w:firstLine="551" w:firstLineChars="196"/>
        <w:outlineLvl w:val="1"/>
        <w:rPr>
          <w:rFonts w:hAnsi="宋体"/>
          <w:b/>
          <w:color w:val="auto"/>
          <w:sz w:val="28"/>
          <w:szCs w:val="28"/>
          <w:highlight w:val="none"/>
        </w:rPr>
      </w:pPr>
      <w:r>
        <w:rPr>
          <w:rFonts w:hint="eastAsia" w:hAnsi="宋体"/>
          <w:b/>
          <w:color w:val="auto"/>
          <w:sz w:val="28"/>
          <w:szCs w:val="28"/>
          <w:highlight w:val="none"/>
        </w:rPr>
        <w:t>七、合同授予</w:t>
      </w:r>
    </w:p>
    <w:p>
      <w:pPr>
        <w:snapToGrid w:val="0"/>
        <w:ind w:firstLine="472" w:firstLineChars="196"/>
        <w:rPr>
          <w:rFonts w:ascii="宋体" w:hAnsi="宋体"/>
          <w:b/>
          <w:bCs/>
          <w:color w:val="auto"/>
          <w:szCs w:val="20"/>
          <w:highlight w:val="none"/>
        </w:rPr>
      </w:pPr>
      <w:r>
        <w:rPr>
          <w:rFonts w:hint="eastAsia" w:ascii="宋体" w:hAnsi="宋体"/>
          <w:b/>
          <w:bCs/>
          <w:color w:val="auto"/>
          <w:highlight w:val="none"/>
        </w:rPr>
        <w:t>1</w:t>
      </w:r>
      <w:r>
        <w:rPr>
          <w:rFonts w:hint="eastAsia" w:ascii="宋体" w:hAnsi="宋体" w:cs="宋体"/>
          <w:b/>
          <w:color w:val="auto"/>
          <w:highlight w:val="none"/>
        </w:rPr>
        <w:t xml:space="preserve">. </w:t>
      </w:r>
      <w:r>
        <w:rPr>
          <w:rFonts w:hint="eastAsia" w:ascii="宋体" w:hAnsi="宋体"/>
          <w:b/>
          <w:bCs/>
          <w:color w:val="auto"/>
          <w:highlight w:val="none"/>
        </w:rPr>
        <w:t>签订合同</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1.1除不可抗力等特殊情况外，采购人原则上应当在中标通知书发出之日起</w:t>
      </w:r>
      <w:r>
        <w:rPr>
          <w:rFonts w:hint="eastAsia" w:ascii="宋体" w:hAnsi="宋体" w:cs="宋体"/>
          <w:b/>
          <w:bCs/>
          <w:color w:val="auto"/>
          <w:highlight w:val="none"/>
        </w:rPr>
        <w:t>20日</w:t>
      </w:r>
      <w:r>
        <w:rPr>
          <w:rFonts w:hint="eastAsia" w:ascii="宋体" w:hAnsi="宋体" w:cs="宋体"/>
          <w:color w:val="auto"/>
          <w:highlight w:val="none"/>
        </w:rPr>
        <w:t>内，与成交人按照采购文件确定的事项签订政府采购合同，并在签订之日起2个工作日内将政府采购合同在浙江政府采购网上公告。</w:t>
      </w:r>
    </w:p>
    <w:p>
      <w:pPr>
        <w:pStyle w:val="207"/>
        <w:adjustRightInd w:val="0"/>
        <w:snapToGrid w:val="0"/>
        <w:spacing w:before="120" w:after="120"/>
        <w:rPr>
          <w:rFonts w:ascii="宋体" w:hAnsi="宋体" w:cs="宋体"/>
          <w:color w:val="auto"/>
          <w:kern w:val="0"/>
          <w:szCs w:val="24"/>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zh-CN"/>
        </w:rPr>
        <w:t>.2成交人按规定的日期、时间、地点，由法定代表人或其授权代表与采购人代表签订合同。如成交人为联合体的，由联合体成员各方法定代表人或其授权代表与采购人代表签订合同。</w:t>
      </w:r>
    </w:p>
    <w:p>
      <w:pPr>
        <w:pStyle w:val="207"/>
        <w:adjustRightInd w:val="0"/>
        <w:snapToGrid w:val="0"/>
        <w:spacing w:before="120" w:after="120"/>
        <w:rPr>
          <w:rFonts w:ascii="宋体" w:hAnsi="宋体" w:cs="宋体"/>
          <w:color w:val="auto"/>
          <w:szCs w:val="24"/>
          <w:highlight w:val="none"/>
        </w:rPr>
      </w:pPr>
      <w:r>
        <w:rPr>
          <w:rFonts w:hint="eastAsia" w:ascii="宋体" w:hAnsi="宋体" w:cs="宋体"/>
          <w:color w:val="auto"/>
          <w:szCs w:val="24"/>
          <w:highlight w:val="none"/>
        </w:rPr>
        <w:t>1.3如签订合同并生效后，供应商无故拒绝或延期，除按照合同条款处理外，列入不良行为记录一次，并给予通报。</w:t>
      </w:r>
    </w:p>
    <w:p>
      <w:pPr>
        <w:pStyle w:val="207"/>
        <w:adjustRightInd w:val="0"/>
        <w:snapToGrid w:val="0"/>
        <w:spacing w:before="120" w:after="120"/>
        <w:rPr>
          <w:rFonts w:ascii="宋体" w:hAnsi="宋体" w:cs="宋体"/>
          <w:color w:val="auto"/>
          <w:szCs w:val="24"/>
          <w:highlight w:val="none"/>
        </w:rPr>
      </w:pPr>
      <w:r>
        <w:rPr>
          <w:rFonts w:hint="eastAsia" w:ascii="宋体" w:hAnsi="宋体" w:cs="宋体"/>
          <w:color w:val="auto"/>
          <w:szCs w:val="24"/>
          <w:highlight w:val="none"/>
        </w:rPr>
        <w:t>1.4成交人拒绝与采购人签订合同的，采购人可以按照评审报告推荐的中标或者成交候选人名单排序，确定下一候选人为成交人，也可以重新开展政府采购活动。</w:t>
      </w:r>
    </w:p>
    <w:p>
      <w:pPr>
        <w:pStyle w:val="207"/>
        <w:adjustRightInd w:val="0"/>
        <w:snapToGrid w:val="0"/>
        <w:spacing w:before="120" w:after="120"/>
        <w:rPr>
          <w:rFonts w:ascii="宋体" w:hAnsi="宋体" w:cs="宋体"/>
          <w:color w:val="auto"/>
          <w:szCs w:val="24"/>
          <w:highlight w:val="none"/>
        </w:rPr>
      </w:pPr>
      <w:r>
        <w:rPr>
          <w:rFonts w:hint="eastAsia" w:ascii="宋体" w:hAnsi="宋体" w:cs="宋体"/>
          <w:color w:val="auto"/>
          <w:szCs w:val="24"/>
          <w:highlight w:val="none"/>
        </w:rPr>
        <w:t>1.5采购合同由采购人与成交人根据采购文件、磋商响应文件等内容通过政府采购电子交易平台在线签订，自动备案。</w:t>
      </w:r>
    </w:p>
    <w:p>
      <w:pPr>
        <w:pStyle w:val="207"/>
        <w:adjustRightInd w:val="0"/>
        <w:snapToGrid w:val="0"/>
        <w:spacing w:before="120" w:after="120"/>
        <w:ind w:firstLine="482"/>
        <w:rPr>
          <w:rFonts w:cs="宋体"/>
          <w:b/>
          <w:bCs/>
          <w:color w:val="auto"/>
          <w:highlight w:val="none"/>
        </w:rPr>
      </w:pPr>
      <w:r>
        <w:rPr>
          <w:rFonts w:hint="eastAsia" w:ascii="宋体" w:hAnsi="宋体" w:cs="宋体"/>
          <w:b/>
          <w:bCs/>
          <w:color w:val="auto"/>
          <w:szCs w:val="24"/>
          <w:highlight w:val="none"/>
        </w:rPr>
        <w:t>1.6政府采购货物和服务项目不得收取质量保证金。政府采购工程以及与工程建设有关的货物、服务，采用招标方式采购的，按国家和省有关规定执行。</w:t>
      </w:r>
    </w:p>
    <w:p>
      <w:pPr>
        <w:pStyle w:val="43"/>
        <w:adjustRightInd w:val="0"/>
        <w:snapToGrid w:val="0"/>
        <w:spacing w:beforeAutospacing="0" w:afterAutospacing="0"/>
        <w:ind w:left="419" w:firstLine="562"/>
        <w:rPr>
          <w:rFonts w:cs="宋体"/>
          <w:b/>
          <w:bCs/>
          <w:color w:val="auto"/>
          <w:sz w:val="28"/>
          <w:szCs w:val="28"/>
          <w:highlight w:val="none"/>
          <w:lang w:bidi="ar"/>
        </w:rPr>
      </w:pPr>
      <w:bookmarkStart w:id="13" w:name="_Toc97649962"/>
      <w:r>
        <w:rPr>
          <w:rFonts w:hint="eastAsia" w:cs="宋体"/>
          <w:b/>
          <w:bCs/>
          <w:color w:val="auto"/>
          <w:sz w:val="28"/>
          <w:szCs w:val="28"/>
          <w:highlight w:val="none"/>
          <w:lang w:bidi="ar"/>
        </w:rPr>
        <w:t>八、验收</w:t>
      </w:r>
      <w:bookmarkEnd w:id="13"/>
    </w:p>
    <w:p>
      <w:pPr>
        <w:tabs>
          <w:tab w:val="left" w:pos="0"/>
        </w:tabs>
        <w:snapToGrid w:val="0"/>
        <w:ind w:firstLine="480"/>
        <w:rPr>
          <w:rFonts w:ascii="宋体" w:hAnsi="宋体" w:cs="宋体"/>
          <w:color w:val="auto"/>
          <w:kern w:val="0"/>
          <w:highlight w:val="none"/>
        </w:rPr>
      </w:pPr>
      <w:r>
        <w:rPr>
          <w:rFonts w:hint="eastAsia" w:ascii="宋体" w:hAnsi="宋体" w:cs="宋体"/>
          <w:color w:val="auto"/>
          <w:kern w:val="0"/>
          <w:highlight w:val="none"/>
        </w:rPr>
        <w:t>1.采购人组织对供应商履约的</w:t>
      </w:r>
      <w:r>
        <w:rPr>
          <w:rFonts w:hint="eastAsia" w:ascii="宋体" w:hAnsi="宋体" w:cs="宋体"/>
          <w:b/>
          <w:bCs/>
          <w:color w:val="auto"/>
          <w:kern w:val="0"/>
          <w:highlight w:val="none"/>
        </w:rPr>
        <w:t>验收时间安排在合同签订后60天内且建设总点位数达到2600个点并同步上传至东阳市级应急广播平台，后续建设点位由采购方确认按月进入服务期</w:t>
      </w:r>
      <w:r>
        <w:rPr>
          <w:rFonts w:hint="eastAsia" w:ascii="宋体" w:hAnsi="宋体" w:cs="宋体"/>
          <w:color w:val="auto"/>
          <w:kern w:val="0"/>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ind w:firstLine="480"/>
        <w:rPr>
          <w:rFonts w:ascii="宋体" w:hAnsi="宋体" w:cs="宋体"/>
          <w:color w:val="auto"/>
          <w:kern w:val="0"/>
          <w:highlight w:val="none"/>
        </w:rPr>
      </w:pPr>
      <w:r>
        <w:rPr>
          <w:rFonts w:hint="eastAsia" w:ascii="宋体" w:hAnsi="宋体" w:cs="宋体"/>
          <w:color w:val="auto"/>
          <w:kern w:val="0"/>
          <w:highlight w:val="none"/>
        </w:rPr>
        <w:t>2.采购人可以邀请参加本项目的其他供应商或者第三方机构参与验收。参与验收的供应商或者第三方机构的意见作为验收书的参考资料一并存档。</w:t>
      </w:r>
    </w:p>
    <w:p>
      <w:pPr>
        <w:adjustRightInd w:val="0"/>
        <w:snapToGrid w:val="0"/>
        <w:ind w:firstLine="480"/>
        <w:rPr>
          <w:rFonts w:ascii="宋体" w:hAnsi="宋体" w:cs="宋体"/>
          <w:color w:val="auto"/>
          <w:kern w:val="0"/>
          <w:highlight w:val="none"/>
        </w:rPr>
      </w:pPr>
      <w:r>
        <w:rPr>
          <w:rFonts w:hint="eastAsia" w:ascii="宋体" w:hAnsi="宋体" w:cs="宋体"/>
          <w:color w:val="auto"/>
          <w:kern w:val="0"/>
          <w:highlight w:val="none"/>
        </w:rPr>
        <w:t>3.严格按照采购合同开展履约验收。采购人成立验收小组，按照采购合同的约定对服务提供方的设备选型等进行验收。验收时，按照采购合同的约定对每一项技术、服务、安全标准的履约情况进行确认。验收结束后，应当出具验收书，列明各项标准的验收情况及项目总体评价，由验收双方共同签署。履约验收的各项资料应当存档备查。</w:t>
      </w:r>
    </w:p>
    <w:p>
      <w:pPr>
        <w:adjustRightInd w:val="0"/>
        <w:snapToGrid w:val="0"/>
        <w:ind w:firstLine="480"/>
        <w:rPr>
          <w:rFonts w:ascii="宋体" w:hAnsi="宋体" w:cs="宋体"/>
          <w:b/>
          <w:bCs/>
          <w:color w:val="auto"/>
          <w:kern w:val="0"/>
          <w:highlight w:val="none"/>
        </w:rPr>
      </w:pPr>
      <w:r>
        <w:rPr>
          <w:rFonts w:hint="eastAsia" w:ascii="宋体" w:hAnsi="宋体" w:cs="宋体"/>
          <w:color w:val="auto"/>
          <w:kern w:val="0"/>
          <w:highlight w:val="none"/>
        </w:rPr>
        <w:t>4.</w:t>
      </w:r>
      <w:r>
        <w:rPr>
          <w:rFonts w:hint="eastAsia" w:ascii="宋体" w:hAnsi="宋体" w:cs="宋体"/>
          <w:color w:val="auto"/>
          <w:highlight w:val="none"/>
        </w:rPr>
        <w:t>采购人原则上应当在</w:t>
      </w:r>
      <w:r>
        <w:rPr>
          <w:rFonts w:hint="eastAsia" w:ascii="宋体" w:hAnsi="宋体" w:cs="宋体"/>
          <w:b/>
          <w:bCs/>
          <w:color w:val="auto"/>
          <w:highlight w:val="none"/>
        </w:rPr>
        <w:t>履约验收之日起2个工作日内</w:t>
      </w:r>
      <w:r>
        <w:rPr>
          <w:rFonts w:hint="eastAsia" w:ascii="宋体" w:hAnsi="宋体" w:cs="宋体"/>
          <w:color w:val="auto"/>
          <w:highlight w:val="none"/>
        </w:rPr>
        <w:t>，将</w:t>
      </w:r>
      <w:r>
        <w:rPr>
          <w:rFonts w:hint="eastAsia" w:ascii="宋体" w:hAnsi="宋体" w:cs="宋体"/>
          <w:b/>
          <w:bCs/>
          <w:color w:val="auto"/>
          <w:highlight w:val="none"/>
        </w:rPr>
        <w:t>履约验收结果在浙江政府采购网上公告。</w:t>
      </w:r>
    </w:p>
    <w:p>
      <w:pPr>
        <w:adjustRightInd w:val="0"/>
        <w:snapToGrid w:val="0"/>
        <w:ind w:firstLine="480"/>
        <w:rPr>
          <w:rFonts w:ascii="宋体" w:hAnsi="宋体" w:cs="宋体"/>
          <w:color w:val="auto"/>
          <w:kern w:val="0"/>
          <w:highlight w:val="none"/>
        </w:rPr>
      </w:pPr>
      <w:r>
        <w:rPr>
          <w:rFonts w:hint="eastAsia" w:ascii="宋体" w:hAnsi="宋体" w:cs="宋体"/>
          <w:color w:val="auto"/>
          <w:kern w:val="0"/>
          <w:highlight w:val="none"/>
        </w:rPr>
        <w:t>5.验收合格的项目，采购人将根据采购合同的约定及时向供应商支付服务费用。</w:t>
      </w:r>
    </w:p>
    <w:p>
      <w:pPr>
        <w:tabs>
          <w:tab w:val="left" w:pos="0"/>
        </w:tabs>
        <w:snapToGrid w:val="0"/>
        <w:ind w:firstLine="480"/>
        <w:rPr>
          <w:rFonts w:ascii="宋体" w:hAnsi="宋体" w:cs="宋体"/>
          <w:color w:val="auto"/>
          <w:highlight w:val="none"/>
        </w:rPr>
      </w:pPr>
      <w:r>
        <w:rPr>
          <w:rFonts w:hint="eastAsia" w:ascii="宋体" w:hAnsi="宋体" w:cs="宋体"/>
          <w:color w:val="auto"/>
          <w:kern w:val="0"/>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3"/>
        <w:ind w:firstLine="0" w:firstLineChars="0"/>
        <w:rPr>
          <w:rFonts w:ascii="黑体" w:hAnsi="黑体" w:eastAsia="黑体" w:cs="宋体"/>
          <w:b/>
          <w:bCs/>
          <w:color w:val="auto"/>
          <w:sz w:val="32"/>
          <w:szCs w:val="32"/>
          <w:highlight w:val="none"/>
        </w:rPr>
      </w:pPr>
    </w:p>
    <w:p>
      <w:pPr>
        <w:pStyle w:val="3"/>
        <w:ind w:firstLine="627"/>
        <w:rPr>
          <w:rFonts w:ascii="黑体" w:hAnsi="黑体" w:eastAsia="黑体" w:cs="宋体"/>
          <w:b/>
          <w:bCs/>
          <w:color w:val="auto"/>
          <w:sz w:val="32"/>
          <w:szCs w:val="32"/>
          <w:highlight w:val="none"/>
        </w:rPr>
      </w:pPr>
    </w:p>
    <w:p>
      <w:pPr>
        <w:pStyle w:val="3"/>
        <w:ind w:firstLine="627"/>
        <w:rPr>
          <w:rFonts w:ascii="黑体" w:hAnsi="黑体" w:eastAsia="黑体" w:cs="宋体"/>
          <w:b/>
          <w:bCs/>
          <w:color w:val="auto"/>
          <w:sz w:val="32"/>
          <w:szCs w:val="32"/>
          <w:highlight w:val="none"/>
        </w:rPr>
      </w:pPr>
    </w:p>
    <w:p>
      <w:pPr>
        <w:pStyle w:val="3"/>
        <w:ind w:firstLine="627"/>
        <w:rPr>
          <w:rFonts w:ascii="黑体" w:hAnsi="黑体" w:eastAsia="黑体" w:cs="宋体"/>
          <w:b/>
          <w:bCs/>
          <w:color w:val="auto"/>
          <w:sz w:val="32"/>
          <w:szCs w:val="32"/>
          <w:highlight w:val="none"/>
        </w:rPr>
      </w:pPr>
    </w:p>
    <w:p>
      <w:pPr>
        <w:pStyle w:val="3"/>
        <w:ind w:firstLine="627"/>
        <w:rPr>
          <w:rFonts w:ascii="黑体" w:hAnsi="黑体" w:eastAsia="黑体" w:cs="宋体"/>
          <w:b/>
          <w:bCs/>
          <w:color w:val="auto"/>
          <w:sz w:val="32"/>
          <w:szCs w:val="32"/>
          <w:highlight w:val="none"/>
        </w:rPr>
      </w:pPr>
    </w:p>
    <w:p>
      <w:pPr>
        <w:pStyle w:val="3"/>
        <w:ind w:firstLine="627"/>
        <w:rPr>
          <w:rFonts w:ascii="黑体" w:hAnsi="黑体" w:eastAsia="黑体" w:cs="宋体"/>
          <w:b/>
          <w:bCs/>
          <w:color w:val="auto"/>
          <w:sz w:val="32"/>
          <w:szCs w:val="32"/>
          <w:highlight w:val="none"/>
        </w:rPr>
      </w:pPr>
    </w:p>
    <w:p>
      <w:pPr>
        <w:pStyle w:val="3"/>
        <w:ind w:firstLine="627"/>
        <w:rPr>
          <w:rFonts w:ascii="黑体" w:hAnsi="黑体" w:eastAsia="黑体" w:cs="宋体"/>
          <w:b/>
          <w:bCs/>
          <w:color w:val="auto"/>
          <w:sz w:val="32"/>
          <w:szCs w:val="32"/>
          <w:highlight w:val="none"/>
        </w:rPr>
      </w:pPr>
    </w:p>
    <w:p>
      <w:pPr>
        <w:pStyle w:val="3"/>
        <w:ind w:firstLine="627"/>
        <w:rPr>
          <w:rFonts w:ascii="黑体" w:hAnsi="黑体" w:eastAsia="黑体" w:cs="宋体"/>
          <w:b/>
          <w:bCs/>
          <w:color w:val="auto"/>
          <w:sz w:val="32"/>
          <w:szCs w:val="32"/>
          <w:highlight w:val="none"/>
        </w:rPr>
      </w:pPr>
    </w:p>
    <w:p>
      <w:pPr>
        <w:pStyle w:val="3"/>
        <w:ind w:firstLine="627"/>
        <w:rPr>
          <w:rFonts w:ascii="黑体" w:hAnsi="黑体" w:eastAsia="黑体" w:cs="宋体"/>
          <w:b/>
          <w:bCs/>
          <w:color w:val="auto"/>
          <w:sz w:val="32"/>
          <w:szCs w:val="32"/>
          <w:highlight w:val="none"/>
        </w:rPr>
      </w:pPr>
    </w:p>
    <w:p>
      <w:pPr>
        <w:pStyle w:val="3"/>
        <w:ind w:firstLine="627"/>
        <w:rPr>
          <w:rFonts w:ascii="黑体" w:hAnsi="黑体" w:eastAsia="黑体" w:cs="宋体"/>
          <w:b/>
          <w:bCs/>
          <w:color w:val="auto"/>
          <w:sz w:val="32"/>
          <w:szCs w:val="32"/>
          <w:highlight w:val="none"/>
        </w:rPr>
      </w:pPr>
    </w:p>
    <w:p>
      <w:pPr>
        <w:ind w:firstLine="643"/>
        <w:rPr>
          <w:rFonts w:ascii="黑体" w:hAnsi="黑体" w:eastAsia="黑体" w:cs="宋体"/>
          <w:b/>
          <w:bCs/>
          <w:color w:val="auto"/>
          <w:sz w:val="32"/>
          <w:szCs w:val="32"/>
          <w:highlight w:val="none"/>
        </w:rPr>
      </w:pPr>
      <w:r>
        <w:rPr>
          <w:rFonts w:ascii="黑体" w:hAnsi="黑体" w:eastAsia="黑体" w:cs="宋体"/>
          <w:b/>
          <w:bCs/>
          <w:color w:val="auto"/>
          <w:sz w:val="32"/>
          <w:szCs w:val="32"/>
          <w:highlight w:val="none"/>
        </w:rPr>
        <w:br w:type="page"/>
      </w:r>
    </w:p>
    <w:p>
      <w:pPr>
        <w:pStyle w:val="5"/>
        <w:ind w:firstLine="482"/>
        <w:jc w:val="center"/>
        <w:rPr>
          <w:color w:val="auto"/>
          <w:highlight w:val="none"/>
        </w:rPr>
      </w:pPr>
      <w:r>
        <w:rPr>
          <w:rFonts w:hint="eastAsia"/>
          <w:color w:val="auto"/>
          <w:highlight w:val="none"/>
        </w:rPr>
        <w:t>评标办法及评分标准</w:t>
      </w:r>
    </w:p>
    <w:p>
      <w:pPr>
        <w:spacing w:before="120" w:beforeLines="50" w:after="120" w:afterLines="50"/>
        <w:ind w:firstLine="480"/>
        <w:rPr>
          <w:rFonts w:ascii="宋体" w:hAnsi="宋体"/>
          <w:color w:val="auto"/>
          <w:highlight w:val="none"/>
        </w:rPr>
      </w:pPr>
      <w:r>
        <w:rPr>
          <w:rFonts w:hint="eastAsia" w:ascii="宋体" w:hAnsi="宋体"/>
          <w:color w:val="auto"/>
          <w:highlight w:val="none"/>
        </w:rPr>
        <w:t>为公正、公平、科学地选择中标人，根据《中华人民共和国政府采购法》等有关法律法规的规定，并结合本项目的实际，制定本办法。</w:t>
      </w:r>
    </w:p>
    <w:p>
      <w:pPr>
        <w:spacing w:before="120" w:beforeLines="50"/>
        <w:ind w:firstLine="480"/>
        <w:rPr>
          <w:rFonts w:ascii="宋体" w:hAnsi="宋体"/>
          <w:color w:val="auto"/>
          <w:highlight w:val="none"/>
        </w:rPr>
      </w:pPr>
      <w:r>
        <w:rPr>
          <w:rFonts w:hint="eastAsia" w:ascii="宋体" w:hAnsi="宋体"/>
          <w:color w:val="auto"/>
          <w:highlight w:val="none"/>
        </w:rPr>
        <w:t>本办法适用于</w:t>
      </w:r>
      <w:r>
        <w:rPr>
          <w:rFonts w:hint="eastAsia" w:ascii="宋体" w:hAnsi="宋体"/>
          <w:b/>
          <w:color w:val="auto"/>
          <w:highlight w:val="none"/>
        </w:rPr>
        <w:t>东阳市应急广播升级改造项目</w:t>
      </w:r>
      <w:r>
        <w:rPr>
          <w:rFonts w:hint="eastAsia" w:ascii="宋体" w:hAnsi="宋体"/>
          <w:color w:val="auto"/>
          <w:highlight w:val="none"/>
        </w:rPr>
        <w:t>的评标。</w:t>
      </w:r>
    </w:p>
    <w:p>
      <w:pPr>
        <w:spacing w:before="120" w:beforeLines="50" w:after="120" w:afterLines="50"/>
        <w:ind w:firstLine="551" w:firstLineChars="196"/>
        <w:rPr>
          <w:rFonts w:ascii="宋体" w:hAnsi="宋体"/>
          <w:b/>
          <w:color w:val="auto"/>
          <w:sz w:val="28"/>
          <w:szCs w:val="28"/>
          <w:highlight w:val="none"/>
        </w:rPr>
      </w:pPr>
      <w:r>
        <w:rPr>
          <w:rFonts w:hint="eastAsia" w:ascii="宋体" w:hAnsi="宋体"/>
          <w:b/>
          <w:color w:val="auto"/>
          <w:sz w:val="28"/>
          <w:szCs w:val="28"/>
          <w:highlight w:val="none"/>
        </w:rPr>
        <w:t>一、总则</w:t>
      </w:r>
    </w:p>
    <w:p>
      <w:pPr>
        <w:spacing w:before="120" w:beforeLines="50" w:after="120" w:afterLines="50"/>
        <w:ind w:firstLine="480"/>
        <w:rPr>
          <w:rFonts w:ascii="宋体" w:hAnsi="宋体"/>
          <w:color w:val="auto"/>
          <w:highlight w:val="none"/>
        </w:rPr>
      </w:pPr>
      <w:r>
        <w:rPr>
          <w:rFonts w:hint="eastAsia" w:ascii="宋体" w:hAnsi="宋体"/>
          <w:color w:val="auto"/>
          <w:highlight w:val="none"/>
        </w:rPr>
        <w:t>1、本次评标采用综合评分法，总分为100分（价格分、技术、商务、资信及其他分的分值详见各个标的评标内容）。合格投标人的评标得分为各项目汇总得分，中标候选资格按评标综合得分由高到低顺序排列，得分相同的，按投标报价由低到高顺序排列；得分且投标报价相同的，依次按技术，商务、资信及其他分得分由高到低顺序排列。排名第一的投标人为中标候选人,排名第二的投标人为候补中标候选人……其他投标人中标候选资格依此类推。</w:t>
      </w:r>
      <w:r>
        <w:rPr>
          <w:rFonts w:hint="eastAsia" w:ascii="宋体" w:hAnsi="宋体"/>
          <w:bCs/>
          <w:color w:val="auto"/>
          <w:highlight w:val="none"/>
        </w:rPr>
        <w:t>评分过程中采用四舍五入法，并保留小数2位。</w:t>
      </w:r>
    </w:p>
    <w:p>
      <w:pPr>
        <w:spacing w:before="120" w:beforeLines="50" w:after="120" w:afterLines="50"/>
        <w:ind w:firstLine="480"/>
        <w:rPr>
          <w:rFonts w:ascii="宋体" w:hAnsi="宋体"/>
          <w:color w:val="auto"/>
          <w:highlight w:val="none"/>
        </w:rPr>
      </w:pPr>
      <w:r>
        <w:rPr>
          <w:rFonts w:hint="eastAsia" w:ascii="宋体" w:hAnsi="宋体"/>
          <w:color w:val="auto"/>
          <w:highlight w:val="none"/>
        </w:rPr>
        <w:t>投标人评标</w:t>
      </w:r>
      <w:r>
        <w:rPr>
          <w:rFonts w:hint="eastAsia" w:ascii="宋体" w:hAnsi="宋体"/>
          <w:bCs/>
          <w:color w:val="auto"/>
          <w:highlight w:val="none"/>
        </w:rPr>
        <w:t>综合得分=价格分+(技术分+商务分+资信及其他分)</w:t>
      </w:r>
    </w:p>
    <w:p>
      <w:pPr>
        <w:spacing w:before="120" w:beforeLines="50" w:after="120" w:afterLines="50"/>
        <w:ind w:firstLine="562"/>
        <w:rPr>
          <w:rFonts w:ascii="宋体" w:hAnsi="宋体"/>
          <w:b/>
          <w:color w:val="auto"/>
          <w:sz w:val="28"/>
          <w:szCs w:val="28"/>
          <w:highlight w:val="none"/>
        </w:rPr>
      </w:pPr>
      <w:r>
        <w:rPr>
          <w:rFonts w:hint="eastAsia" w:ascii="宋体" w:hAnsi="宋体"/>
          <w:b/>
          <w:color w:val="auto"/>
          <w:sz w:val="28"/>
          <w:szCs w:val="28"/>
          <w:highlight w:val="none"/>
        </w:rPr>
        <w:t>二、评标内容及标准</w:t>
      </w:r>
    </w:p>
    <w:p>
      <w:pPr>
        <w:spacing w:before="120" w:beforeLines="50" w:after="120" w:afterLines="50"/>
        <w:ind w:firstLine="472" w:firstLineChars="196"/>
        <w:rPr>
          <w:rFonts w:ascii="宋体" w:hAnsi="宋体"/>
          <w:b/>
          <w:bCs/>
          <w:color w:val="auto"/>
          <w:highlight w:val="none"/>
        </w:rPr>
      </w:pPr>
      <w:r>
        <w:rPr>
          <w:rFonts w:ascii="宋体" w:hAnsi="宋体"/>
          <w:b/>
          <w:bCs/>
          <w:color w:val="auto"/>
          <w:highlight w:val="none"/>
        </w:rPr>
        <w:t>（</w:t>
      </w:r>
      <w:r>
        <w:rPr>
          <w:rFonts w:hint="eastAsia" w:ascii="宋体" w:hAnsi="宋体"/>
          <w:b/>
          <w:bCs/>
          <w:color w:val="auto"/>
          <w:highlight w:val="none"/>
        </w:rPr>
        <w:t>一</w:t>
      </w:r>
      <w:r>
        <w:rPr>
          <w:rFonts w:ascii="宋体" w:hAnsi="宋体"/>
          <w:b/>
          <w:bCs/>
          <w:color w:val="auto"/>
          <w:highlight w:val="none"/>
        </w:rPr>
        <w:t>）</w:t>
      </w:r>
      <w:r>
        <w:rPr>
          <w:rFonts w:hint="eastAsia" w:ascii="宋体" w:hAnsi="宋体"/>
          <w:b/>
          <w:bCs/>
          <w:color w:val="auto"/>
          <w:highlight w:val="none"/>
        </w:rPr>
        <w:t>价格分(30分）</w:t>
      </w:r>
    </w:p>
    <w:p>
      <w:pPr>
        <w:pStyle w:val="2"/>
        <w:spacing w:before="120" w:beforeLines="50" w:after="120" w:afterLines="50" w:line="400" w:lineRule="exact"/>
        <w:ind w:firstLine="464"/>
        <w:rPr>
          <w:rFonts w:hAnsi="宋体"/>
          <w:bCs/>
          <w:color w:val="auto"/>
          <w:sz w:val="24"/>
          <w:highlight w:val="none"/>
        </w:rPr>
      </w:pPr>
      <w:r>
        <w:rPr>
          <w:rFonts w:hint="eastAsia" w:hAnsi="宋体"/>
          <w:bCs/>
          <w:color w:val="auto"/>
          <w:sz w:val="24"/>
          <w:highlight w:val="none"/>
        </w:rPr>
        <w:t>1、价格分采用低价优先法计算，取所有进入报价评审的投标人中投标价格最低的投标报价为评标基准价，其他投标人的价格分按照下列公式计算：</w:t>
      </w:r>
    </w:p>
    <w:p>
      <w:pPr>
        <w:spacing w:before="120" w:beforeLines="50" w:after="120" w:afterLines="50"/>
        <w:ind w:firstLine="470" w:firstLineChars="196"/>
        <w:rPr>
          <w:rFonts w:ascii="宋体" w:hAnsi="宋体"/>
          <w:bCs/>
          <w:color w:val="auto"/>
          <w:spacing w:val="-4"/>
          <w:szCs w:val="20"/>
          <w:highlight w:val="none"/>
        </w:rPr>
      </w:pPr>
      <w:r>
        <w:rPr>
          <w:rFonts w:hint="eastAsia" w:hAnsi="宋体"/>
          <w:bCs/>
          <w:color w:val="auto"/>
          <w:highlight w:val="none"/>
        </w:rPr>
        <w:t>价格分=（评标基准价/投标报价</w:t>
      </w:r>
      <w:r>
        <w:rPr>
          <w:rFonts w:hint="eastAsia" w:ascii="宋体" w:hAnsi="宋体"/>
          <w:bCs/>
          <w:color w:val="auto"/>
          <w:spacing w:val="-4"/>
          <w:szCs w:val="20"/>
          <w:highlight w:val="none"/>
        </w:rPr>
        <w:t>）×30分</w:t>
      </w:r>
    </w:p>
    <w:p>
      <w:pPr>
        <w:tabs>
          <w:tab w:val="left" w:pos="982"/>
        </w:tabs>
        <w:snapToGrid w:val="0"/>
        <w:ind w:left="-2" w:leftChars="-1" w:firstLine="512" w:firstLineChars="220"/>
        <w:rPr>
          <w:rFonts w:ascii="宋体" w:hAnsi="宋体"/>
          <w:b/>
          <w:color w:val="auto"/>
          <w:spacing w:val="-4"/>
          <w:highlight w:val="none"/>
        </w:rPr>
      </w:pPr>
      <w:r>
        <w:rPr>
          <w:rFonts w:hint="eastAsia" w:ascii="宋体" w:hAnsi="宋体"/>
          <w:b/>
          <w:color w:val="auto"/>
          <w:spacing w:val="-4"/>
          <w:highlight w:val="none"/>
        </w:rPr>
        <w:t>2、依据《关于印发&lt;政府采购促进中小企业发展管理办法&gt;的通知》(财库〔2021〕46号)、《财政部、司法部关于政府采购支持监狱企业发展有关问题的通知》（财库〔2014〕68号）文件及《财政部、民政部、中国残疾人联合会关于促进残疾人就业政府采购政策的通知》（财库〔2017〕 141号）的规定，对小型和微型企业、监狱企业、残疾人福利性单位生产的产品价格给予6%～10%的扣除，用扣除后的价格参与评审。本项目的扣除比例为10%。小型和微型企业是指投标文件中提供了中小企业声明函且符合《关于印发&lt;政府采购促进中小企业发展管理办法&gt;的通知》(财库〔2021〕46号)规定的要求并符合《工业和信息化部、国家统计局、国家发展和改革委员会、财政部关于印发中小企业划型标准规定的通知》（工信部联企业〔2011〕300号）规定的小、微企业的划型标准规定。残疾人福利性单位是指投标文件中提供了残疾人福利性单位声明函且符合《财政部、民政部、中国残疾人联合会关于促进残疾人就业政府采购政策的通知》（财库〔2017〕 141号）规定的企业。监狱企业是指投标文件中提供了由省级以上监狱管理局、戒毒管理局（含新疆生产建设兵团）出具的属于监狱企业的证明文件的企业。</w:t>
      </w:r>
    </w:p>
    <w:p>
      <w:pPr>
        <w:pStyle w:val="43"/>
        <w:spacing w:before="72" w:beforeLines="30" w:beforeAutospacing="0" w:after="72" w:afterLines="30" w:afterAutospacing="0" w:line="320" w:lineRule="exact"/>
        <w:ind w:firstLine="466"/>
        <w:rPr>
          <w:b/>
          <w:color w:val="auto"/>
          <w:highlight w:val="none"/>
        </w:rPr>
      </w:pPr>
      <w:r>
        <w:rPr>
          <w:rFonts w:hint="eastAsia"/>
          <w:b/>
          <w:color w:val="auto"/>
          <w:spacing w:val="-4"/>
          <w:kern w:val="2"/>
          <w:highlight w:val="none"/>
        </w:rPr>
        <w:t>小微企业（监狱企业、福利企业）的评审价格=小微企业（监狱企业、福利企业）的投标报价 － 小型、微型企业承接的（监狱企业、福利企业）服务</w:t>
      </w:r>
      <w:r>
        <w:rPr>
          <w:rFonts w:hint="eastAsia"/>
          <w:b/>
          <w:color w:val="auto"/>
          <w:spacing w:val="-4"/>
          <w:kern w:val="2"/>
          <w:highlight w:val="none"/>
          <w:lang w:val="en-GB"/>
        </w:rPr>
        <w:t>金额合计</w:t>
      </w:r>
      <w:r>
        <w:rPr>
          <w:rFonts w:hint="eastAsia"/>
          <w:b/>
          <w:color w:val="auto"/>
          <w:spacing w:val="-4"/>
          <w:kern w:val="2"/>
          <w:highlight w:val="none"/>
        </w:rPr>
        <w:t>×10%</w:t>
      </w:r>
    </w:p>
    <w:p>
      <w:pPr>
        <w:pStyle w:val="2"/>
        <w:spacing w:before="120" w:beforeLines="50" w:after="120" w:afterLines="50" w:line="320" w:lineRule="exact"/>
        <w:ind w:firstLine="466"/>
        <w:rPr>
          <w:rFonts w:hAnsi="宋体"/>
          <w:b/>
          <w:color w:val="auto"/>
          <w:sz w:val="24"/>
          <w:szCs w:val="24"/>
          <w:highlight w:val="none"/>
        </w:rPr>
      </w:pPr>
      <w:r>
        <w:rPr>
          <w:rFonts w:hint="eastAsia" w:hAnsi="宋体"/>
          <w:b/>
          <w:color w:val="auto"/>
          <w:sz w:val="24"/>
          <w:szCs w:val="24"/>
          <w:highlight w:val="none"/>
        </w:rPr>
        <w:t>对于联合协议或者分包意向协议约定小微企业的合同份额占到合同总金额30%以上的，对联合体或者大中型企业的报价按优惠幅度6%给予扣除，用扣除后的价格参加评审。</w:t>
      </w:r>
    </w:p>
    <w:p>
      <w:pPr>
        <w:pStyle w:val="43"/>
        <w:spacing w:before="72" w:beforeLines="30" w:beforeAutospacing="0" w:after="72" w:afterLines="30" w:afterAutospacing="0" w:line="320" w:lineRule="exact"/>
        <w:ind w:firstLine="466"/>
        <w:rPr>
          <w:bCs/>
          <w:color w:val="auto"/>
          <w:highlight w:val="none"/>
        </w:rPr>
      </w:pPr>
      <w:r>
        <w:rPr>
          <w:rFonts w:hint="eastAsia"/>
          <w:b/>
          <w:color w:val="auto"/>
          <w:spacing w:val="-4"/>
          <w:kern w:val="2"/>
          <w:highlight w:val="none"/>
        </w:rPr>
        <w:t xml:space="preserve"> 符合上述要的联合体评审价格或有分包的大中型企业评审价格=联合体投标报价或有分包的大中型企业投标报价*（1-6%）</w:t>
      </w:r>
    </w:p>
    <w:p>
      <w:pPr>
        <w:pStyle w:val="2"/>
        <w:spacing w:line="360" w:lineRule="auto"/>
        <w:ind w:firstLine="466"/>
        <w:rPr>
          <w:rFonts w:hAnsi="宋体"/>
          <w:b/>
          <w:color w:val="auto"/>
          <w:sz w:val="24"/>
          <w:szCs w:val="24"/>
          <w:highlight w:val="none"/>
        </w:rPr>
      </w:pPr>
      <w:r>
        <w:rPr>
          <w:rFonts w:hint="eastAsia" w:hAnsi="宋体"/>
          <w:b/>
          <w:color w:val="auto"/>
          <w:sz w:val="24"/>
          <w:szCs w:val="24"/>
          <w:highlight w:val="none"/>
        </w:rPr>
        <w:t>（二）技术分、商务分、资信及其他分，共70分。</w:t>
      </w:r>
    </w:p>
    <w:p>
      <w:pPr>
        <w:pStyle w:val="2"/>
        <w:spacing w:before="120" w:beforeLines="50" w:after="120" w:afterLines="50" w:line="320" w:lineRule="exact"/>
        <w:ind w:firstLine="466"/>
        <w:rPr>
          <w:rFonts w:hAnsi="宋体"/>
          <w:b/>
          <w:color w:val="auto"/>
          <w:sz w:val="24"/>
          <w:szCs w:val="24"/>
          <w:highlight w:val="none"/>
        </w:rPr>
      </w:pPr>
      <w:r>
        <w:rPr>
          <w:rFonts w:hint="eastAsia" w:hAnsi="宋体"/>
          <w:b/>
          <w:color w:val="auto"/>
          <w:sz w:val="24"/>
          <w:szCs w:val="24"/>
          <w:highlight w:val="none"/>
        </w:rPr>
        <w:t>所有投标人均开启报价文件并唱标，符合第三章（八）特别说明1.规定的情况时，多个供应商按一个供应商计算，具体入围供应商选择按“第三章（八）特别说明”规定处理。评审过程中有效投标人不足3名时，本标项予以废标，择期将重新组织招标。</w:t>
      </w:r>
    </w:p>
    <w:p>
      <w:pPr>
        <w:spacing w:line="400" w:lineRule="exact"/>
        <w:ind w:firstLine="472" w:firstLineChars="196"/>
        <w:rPr>
          <w:rFonts w:ascii="宋体" w:hAnsi="宋体"/>
          <w:b/>
          <w:bCs/>
          <w:color w:val="auto"/>
          <w:highlight w:val="none"/>
        </w:rPr>
      </w:pPr>
      <w:r>
        <w:rPr>
          <w:rFonts w:hint="eastAsia" w:ascii="宋体" w:hAnsi="宋体"/>
          <w:b/>
          <w:bCs/>
          <w:color w:val="auto"/>
          <w:highlight w:val="none"/>
        </w:rPr>
        <w:t>（三）技术、商务、资信及其他分的计算</w:t>
      </w:r>
    </w:p>
    <w:p>
      <w:pPr>
        <w:spacing w:before="120" w:beforeLines="50" w:after="120" w:afterLines="50" w:line="276" w:lineRule="auto"/>
        <w:ind w:firstLine="480"/>
        <w:rPr>
          <w:rFonts w:ascii="宋体" w:hAnsi="宋体"/>
          <w:color w:val="auto"/>
          <w:highlight w:val="none"/>
        </w:rPr>
      </w:pPr>
      <w:r>
        <w:rPr>
          <w:rFonts w:hint="eastAsia" w:ascii="宋体" w:hAnsi="宋体"/>
          <w:color w:val="auto"/>
          <w:highlight w:val="none"/>
        </w:rPr>
        <w:t>技术、商务及其它、资信分按照评标委员会成员的独立评分结果的算术平均分计算，计算公式为：</w:t>
      </w:r>
    </w:p>
    <w:p>
      <w:pPr>
        <w:spacing w:before="120" w:beforeLines="50" w:after="120" w:afterLines="50" w:line="276" w:lineRule="auto"/>
        <w:ind w:firstLine="480"/>
        <w:rPr>
          <w:rFonts w:ascii="宋体" w:hAnsi="宋体"/>
          <w:b/>
          <w:color w:val="auto"/>
          <w:highlight w:val="none"/>
        </w:rPr>
      </w:pPr>
      <w:r>
        <w:rPr>
          <w:rFonts w:hint="eastAsia" w:ascii="宋体" w:hAnsi="宋体"/>
          <w:color w:val="auto"/>
          <w:highlight w:val="none"/>
        </w:rPr>
        <w:t>技术、商务及其它、资信分=评标委员会所有成员评分合计数/评标委员会组成人员数</w:t>
      </w:r>
      <w:r>
        <w:rPr>
          <w:rFonts w:hint="eastAsia" w:ascii="宋体" w:hAnsi="宋体"/>
          <w:b/>
          <w:color w:val="auto"/>
          <w:highlight w:val="none"/>
        </w:rPr>
        <w:t>评分表格式（技术、商务、资信及其他分，共70分）</w:t>
      </w:r>
    </w:p>
    <w:tbl>
      <w:tblPr>
        <w:tblStyle w:val="46"/>
        <w:tblpPr w:leftFromText="180" w:rightFromText="180" w:vertAnchor="text" w:horzAnchor="page" w:tblpXSpec="center" w:tblpY="439"/>
        <w:tblOverlap w:val="never"/>
        <w:tblW w:w="887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08"/>
        <w:gridCol w:w="1138"/>
        <w:gridCol w:w="5859"/>
        <w:gridCol w:w="10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0" w:hRule="atLeast"/>
          <w:jc w:val="center"/>
        </w:trPr>
        <w:tc>
          <w:tcPr>
            <w:tcW w:w="808" w:type="dxa"/>
            <w:tcBorders>
              <w:tl2br w:val="nil"/>
              <w:tr2bl w:val="nil"/>
            </w:tcBorders>
            <w:vAlign w:val="center"/>
          </w:tcPr>
          <w:p>
            <w:pPr>
              <w:ind w:firstLine="0" w:firstLineChars="0"/>
              <w:jc w:val="center"/>
              <w:rPr>
                <w:rFonts w:ascii="宋体" w:hAnsi="宋体" w:cs="宋体"/>
                <w:b/>
                <w:bCs/>
                <w:color w:val="auto"/>
                <w:highlight w:val="none"/>
              </w:rPr>
            </w:pPr>
            <w:r>
              <w:rPr>
                <w:rFonts w:hint="eastAsia" w:ascii="宋体" w:hAnsi="宋体" w:cs="宋体"/>
                <w:b/>
                <w:bCs/>
                <w:color w:val="auto"/>
                <w:highlight w:val="none"/>
              </w:rPr>
              <w:t>序号</w:t>
            </w:r>
          </w:p>
        </w:tc>
        <w:tc>
          <w:tcPr>
            <w:tcW w:w="1138" w:type="dxa"/>
            <w:tcBorders>
              <w:tl2br w:val="nil"/>
              <w:tr2bl w:val="nil"/>
            </w:tcBorders>
            <w:vAlign w:val="center"/>
          </w:tcPr>
          <w:p>
            <w:pPr>
              <w:ind w:firstLine="0" w:firstLineChars="0"/>
              <w:jc w:val="center"/>
              <w:rPr>
                <w:rFonts w:ascii="宋体" w:hAnsi="宋体" w:cs="宋体"/>
                <w:b/>
                <w:bCs/>
                <w:color w:val="auto"/>
                <w:highlight w:val="none"/>
              </w:rPr>
            </w:pPr>
            <w:r>
              <w:rPr>
                <w:rFonts w:hint="eastAsia" w:ascii="宋体" w:hAnsi="宋体" w:cs="宋体"/>
                <w:b/>
                <w:bCs/>
                <w:color w:val="auto"/>
                <w:highlight w:val="none"/>
              </w:rPr>
              <w:t>内容</w:t>
            </w:r>
          </w:p>
        </w:tc>
        <w:tc>
          <w:tcPr>
            <w:tcW w:w="5859" w:type="dxa"/>
            <w:tcBorders>
              <w:tl2br w:val="nil"/>
              <w:tr2bl w:val="nil"/>
            </w:tcBorders>
            <w:vAlign w:val="center"/>
          </w:tcPr>
          <w:p>
            <w:pPr>
              <w:ind w:firstLine="482"/>
              <w:jc w:val="center"/>
              <w:rPr>
                <w:rFonts w:ascii="宋体" w:hAnsi="宋体" w:cs="宋体"/>
                <w:b/>
                <w:bCs/>
                <w:color w:val="auto"/>
                <w:highlight w:val="none"/>
              </w:rPr>
            </w:pPr>
            <w:r>
              <w:rPr>
                <w:rFonts w:hint="eastAsia" w:ascii="宋体" w:hAnsi="宋体" w:cs="宋体"/>
                <w:b/>
                <w:bCs/>
                <w:color w:val="auto"/>
                <w:highlight w:val="none"/>
              </w:rPr>
              <w:t>评分标准</w:t>
            </w:r>
          </w:p>
        </w:tc>
        <w:tc>
          <w:tcPr>
            <w:tcW w:w="1069" w:type="dxa"/>
            <w:tcBorders>
              <w:tl2br w:val="nil"/>
              <w:tr2bl w:val="nil"/>
            </w:tcBorders>
            <w:vAlign w:val="center"/>
          </w:tcPr>
          <w:p>
            <w:pPr>
              <w:ind w:firstLine="0" w:firstLineChars="0"/>
              <w:rPr>
                <w:rFonts w:ascii="宋体" w:hAnsi="宋体" w:cs="宋体"/>
                <w:b/>
                <w:bCs/>
                <w:color w:val="auto"/>
                <w:highlight w:val="none"/>
              </w:rPr>
            </w:pPr>
            <w:r>
              <w:rPr>
                <w:rFonts w:hint="eastAsia" w:ascii="宋体" w:hAnsi="宋体" w:cs="宋体"/>
                <w:b/>
                <w:bCs/>
                <w:color w:val="auto"/>
                <w:highlight w:val="none"/>
              </w:rPr>
              <w:t>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0" w:hRule="atLeast"/>
          <w:jc w:val="center"/>
        </w:trPr>
        <w:tc>
          <w:tcPr>
            <w:tcW w:w="808" w:type="dxa"/>
            <w:tcBorders>
              <w:tl2br w:val="nil"/>
              <w:tr2bl w:val="nil"/>
            </w:tcBorders>
            <w:vAlign w:val="center"/>
          </w:tcPr>
          <w:p>
            <w:pPr>
              <w:ind w:firstLine="0" w:firstLineChars="0"/>
              <w:jc w:val="center"/>
              <w:rPr>
                <w:rFonts w:ascii="宋体" w:hAnsi="宋体" w:cs="宋体"/>
                <w:b/>
                <w:bCs/>
                <w:color w:val="auto"/>
                <w:highlight w:val="none"/>
              </w:rPr>
            </w:pPr>
            <w:r>
              <w:rPr>
                <w:rFonts w:hint="eastAsia" w:ascii="宋体" w:hAnsi="宋体" w:cs="宋体"/>
                <w:b/>
                <w:bCs/>
                <w:color w:val="auto"/>
                <w:highlight w:val="none"/>
              </w:rPr>
              <w:t>一</w:t>
            </w:r>
          </w:p>
        </w:tc>
        <w:tc>
          <w:tcPr>
            <w:tcW w:w="6997" w:type="dxa"/>
            <w:gridSpan w:val="2"/>
            <w:tcBorders>
              <w:tl2br w:val="nil"/>
              <w:tr2bl w:val="nil"/>
            </w:tcBorders>
            <w:vAlign w:val="center"/>
          </w:tcPr>
          <w:p>
            <w:pPr>
              <w:ind w:firstLine="482"/>
              <w:jc w:val="center"/>
              <w:rPr>
                <w:rFonts w:ascii="宋体" w:hAnsi="宋体" w:cs="宋体"/>
                <w:b/>
                <w:bCs/>
                <w:color w:val="auto"/>
                <w:highlight w:val="none"/>
              </w:rPr>
            </w:pPr>
            <w:r>
              <w:rPr>
                <w:rFonts w:hint="eastAsia" w:ascii="宋体" w:hAnsi="宋体" w:cs="宋体"/>
                <w:b/>
                <w:bCs/>
                <w:color w:val="auto"/>
                <w:highlight w:val="none"/>
              </w:rPr>
              <w:t>资信及其他分</w:t>
            </w:r>
          </w:p>
        </w:tc>
        <w:tc>
          <w:tcPr>
            <w:tcW w:w="1069" w:type="dxa"/>
            <w:tcBorders>
              <w:tl2br w:val="nil"/>
              <w:tr2bl w:val="nil"/>
            </w:tcBorders>
            <w:vAlign w:val="center"/>
          </w:tcPr>
          <w:p>
            <w:pPr>
              <w:ind w:firstLine="0" w:firstLineChars="0"/>
              <w:rPr>
                <w:rFonts w:ascii="宋体" w:hAnsi="宋体" w:cs="宋体"/>
                <w:b/>
                <w:bCs/>
                <w:color w:val="auto"/>
                <w:highlight w:val="none"/>
              </w:rPr>
            </w:pPr>
            <w:r>
              <w:rPr>
                <w:rFonts w:hint="eastAsia" w:ascii="宋体" w:hAnsi="宋体" w:cs="宋体"/>
                <w:b/>
                <w:bCs/>
                <w:color w:val="auto"/>
                <w:highlight w:val="none"/>
                <w:lang w:val="en-US" w:eastAsia="zh-CN"/>
              </w:rPr>
              <w:t>8</w:t>
            </w:r>
            <w:r>
              <w:rPr>
                <w:rFonts w:hint="eastAsia" w:ascii="宋体" w:hAnsi="宋体" w:cs="宋体"/>
                <w:b/>
                <w:bCs/>
                <w:color w:val="auto"/>
                <w:highlight w:val="none"/>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82" w:hRule="atLeast"/>
          <w:jc w:val="center"/>
        </w:trPr>
        <w:tc>
          <w:tcPr>
            <w:tcW w:w="808" w:type="dxa"/>
            <w:tcBorders>
              <w:tl2br w:val="nil"/>
              <w:tr2bl w:val="nil"/>
            </w:tcBorders>
            <w:vAlign w:val="center"/>
          </w:tcPr>
          <w:p>
            <w:pPr>
              <w:widowControl/>
              <w:ind w:firstLine="0" w:firstLineChars="0"/>
              <w:jc w:val="center"/>
              <w:textAlignment w:val="center"/>
              <w:rPr>
                <w:rFonts w:ascii="宋体" w:hAnsi="宋体" w:cs="宋体"/>
                <w:color w:val="auto"/>
                <w:kern w:val="0"/>
                <w:highlight w:val="none"/>
              </w:rPr>
            </w:pPr>
            <w:r>
              <w:rPr>
                <w:rFonts w:hint="eastAsia" w:ascii="宋体" w:hAnsi="宋体" w:cs="宋体"/>
                <w:color w:val="auto"/>
                <w:kern w:val="0"/>
                <w:highlight w:val="none"/>
              </w:rPr>
              <w:t>1</w:t>
            </w:r>
          </w:p>
        </w:tc>
        <w:tc>
          <w:tcPr>
            <w:tcW w:w="1138" w:type="dxa"/>
            <w:tcBorders>
              <w:tl2br w:val="nil"/>
              <w:tr2bl w:val="nil"/>
            </w:tcBorders>
            <w:vAlign w:val="center"/>
          </w:tcPr>
          <w:p>
            <w:pPr>
              <w:widowControl/>
              <w:ind w:firstLine="0" w:firstLineChars="0"/>
              <w:jc w:val="both"/>
              <w:textAlignment w:val="center"/>
              <w:rPr>
                <w:rFonts w:ascii="宋体" w:hAnsi="宋体" w:cs="宋体"/>
                <w:color w:val="auto"/>
                <w:highlight w:val="none"/>
              </w:rPr>
            </w:pPr>
            <w:r>
              <w:rPr>
                <w:rFonts w:hint="eastAsia" w:ascii="宋体" w:hAnsi="宋体" w:cs="宋体"/>
                <w:color w:val="auto"/>
                <w:kern w:val="0"/>
                <w:highlight w:val="none"/>
              </w:rPr>
              <w:t>投标人综合评价</w:t>
            </w:r>
          </w:p>
        </w:tc>
        <w:tc>
          <w:tcPr>
            <w:tcW w:w="5859" w:type="dxa"/>
            <w:tcBorders>
              <w:tl2br w:val="nil"/>
              <w:tr2bl w:val="nil"/>
            </w:tcBorders>
            <w:vAlign w:val="center"/>
          </w:tcPr>
          <w:p>
            <w:pPr>
              <w:widowControl/>
              <w:ind w:firstLine="0" w:firstLineChars="0"/>
              <w:textAlignment w:val="center"/>
              <w:rPr>
                <w:rFonts w:ascii="宋体" w:hAnsi="宋体" w:cs="宋体"/>
                <w:color w:val="auto"/>
                <w:kern w:val="0"/>
                <w:highlight w:val="none"/>
              </w:rPr>
            </w:pPr>
            <w:r>
              <w:rPr>
                <w:rFonts w:hint="eastAsia" w:ascii="宋体" w:hAnsi="宋体" w:cs="宋体"/>
                <w:color w:val="auto"/>
                <w:kern w:val="0"/>
                <w:highlight w:val="none"/>
              </w:rPr>
              <w:t>根据投标人资源整合能力、资信情况、信誉情况等方面进行比较。</w:t>
            </w:r>
          </w:p>
          <w:p>
            <w:pPr>
              <w:widowControl/>
              <w:ind w:firstLine="0" w:firstLineChars="0"/>
              <w:textAlignment w:val="center"/>
              <w:rPr>
                <w:rFonts w:ascii="宋体" w:hAnsi="宋体" w:cs="宋体"/>
                <w:color w:val="auto"/>
                <w:highlight w:val="none"/>
              </w:rPr>
            </w:pPr>
            <w:r>
              <w:rPr>
                <w:rFonts w:hint="eastAsia" w:ascii="宋体" w:hAnsi="宋体" w:cs="宋体"/>
                <w:color w:val="auto"/>
                <w:kern w:val="0"/>
                <w:highlight w:val="none"/>
              </w:rPr>
              <w:t>1.投标人具有省级以上安全技术防范行业资信等级二级及以上证书得1分；</w:t>
            </w:r>
          </w:p>
          <w:p>
            <w:pPr>
              <w:widowControl/>
              <w:ind w:firstLine="0" w:firstLineChars="0"/>
              <w:textAlignment w:val="center"/>
              <w:rPr>
                <w:rFonts w:ascii="宋体" w:hAnsi="宋体" w:cs="宋体"/>
                <w:color w:val="auto"/>
                <w:highlight w:val="none"/>
              </w:rPr>
            </w:pPr>
            <w:r>
              <w:rPr>
                <w:rFonts w:hint="eastAsia" w:ascii="宋体" w:hAnsi="宋体" w:cs="宋体"/>
                <w:color w:val="auto"/>
                <w:kern w:val="0"/>
                <w:highlight w:val="none"/>
              </w:rPr>
              <w:t>2.投标人具有</w:t>
            </w:r>
            <w:bookmarkStart w:id="14" w:name="_Hlk79426011"/>
            <w:r>
              <w:rPr>
                <w:rFonts w:hint="eastAsia" w:ascii="宋体" w:hAnsi="宋体" w:cs="宋体"/>
                <w:color w:val="auto"/>
                <w:kern w:val="0"/>
                <w:highlight w:val="none"/>
              </w:rPr>
              <w:t>电子与智能化工程专业承包资质二级</w:t>
            </w:r>
            <w:bookmarkEnd w:id="14"/>
            <w:r>
              <w:rPr>
                <w:rFonts w:hint="eastAsia" w:ascii="宋体" w:hAnsi="宋体" w:cs="宋体"/>
                <w:color w:val="auto"/>
                <w:kern w:val="0"/>
                <w:highlight w:val="none"/>
              </w:rPr>
              <w:t>及以上，并且能提供</w:t>
            </w:r>
            <w:bookmarkStart w:id="15" w:name="_Hlk79426110"/>
            <w:r>
              <w:rPr>
                <w:rFonts w:hint="eastAsia" w:ascii="宋体" w:hAnsi="宋体" w:cs="宋体"/>
                <w:color w:val="auto"/>
                <w:kern w:val="0"/>
                <w:highlight w:val="none"/>
              </w:rPr>
              <w:t>安全生产许可证</w:t>
            </w:r>
            <w:bookmarkEnd w:id="15"/>
            <w:r>
              <w:rPr>
                <w:rFonts w:hint="eastAsia" w:ascii="宋体" w:hAnsi="宋体" w:cs="宋体"/>
                <w:color w:val="auto"/>
                <w:kern w:val="0"/>
                <w:highlight w:val="none"/>
              </w:rPr>
              <w:t>的得</w:t>
            </w:r>
            <w:r>
              <w:rPr>
                <w:rFonts w:hint="eastAsia" w:ascii="宋体" w:hAnsi="宋体" w:cs="宋体"/>
                <w:color w:val="auto"/>
                <w:kern w:val="0"/>
                <w:highlight w:val="none"/>
                <w:lang w:val="en-US" w:eastAsia="zh-CN"/>
              </w:rPr>
              <w:t>1</w:t>
            </w:r>
            <w:r>
              <w:rPr>
                <w:rFonts w:hint="eastAsia" w:ascii="宋体" w:hAnsi="宋体" w:cs="宋体"/>
                <w:color w:val="auto"/>
                <w:kern w:val="0"/>
                <w:highlight w:val="none"/>
              </w:rPr>
              <w:t>分；</w:t>
            </w:r>
          </w:p>
          <w:p>
            <w:pPr>
              <w:widowControl/>
              <w:ind w:firstLine="0" w:firstLineChars="0"/>
              <w:textAlignment w:val="center"/>
              <w:rPr>
                <w:rFonts w:ascii="宋体" w:hAnsi="宋体" w:cs="宋体"/>
                <w:color w:val="auto"/>
                <w:highlight w:val="none"/>
              </w:rPr>
            </w:pPr>
            <w:r>
              <w:rPr>
                <w:rFonts w:hint="eastAsia" w:ascii="宋体" w:hAnsi="宋体" w:cs="宋体"/>
                <w:color w:val="auto"/>
                <w:kern w:val="0"/>
                <w:highlight w:val="none"/>
              </w:rPr>
              <w:t>3.投标人具有GB/T19001认证、TL9000、ISO27001、信息技术服务标准符合性证书ITSS，每项得</w:t>
            </w:r>
            <w:r>
              <w:rPr>
                <w:rFonts w:hint="eastAsia" w:ascii="宋体" w:hAnsi="宋体" w:cs="宋体"/>
                <w:color w:val="auto"/>
                <w:kern w:val="0"/>
                <w:highlight w:val="none"/>
                <w:lang w:val="en-US" w:eastAsia="zh-CN"/>
              </w:rPr>
              <w:t>0.5</w:t>
            </w:r>
            <w:r>
              <w:rPr>
                <w:rFonts w:hint="eastAsia" w:ascii="宋体" w:hAnsi="宋体" w:cs="宋体"/>
                <w:color w:val="auto"/>
                <w:kern w:val="0"/>
                <w:highlight w:val="none"/>
              </w:rPr>
              <w:t>分，最高得</w:t>
            </w:r>
            <w:r>
              <w:rPr>
                <w:rFonts w:hint="eastAsia" w:ascii="宋体" w:hAnsi="宋体" w:cs="宋体"/>
                <w:color w:val="auto"/>
                <w:kern w:val="0"/>
                <w:highlight w:val="none"/>
                <w:lang w:val="en-US" w:eastAsia="zh-CN"/>
              </w:rPr>
              <w:t>2</w:t>
            </w:r>
            <w:r>
              <w:rPr>
                <w:rFonts w:hint="eastAsia" w:ascii="宋体" w:hAnsi="宋体" w:cs="宋体"/>
                <w:color w:val="auto"/>
                <w:kern w:val="0"/>
                <w:highlight w:val="none"/>
              </w:rPr>
              <w:t>分；（以上证书均需提供复印件并加盖公章，原件备查）</w:t>
            </w:r>
          </w:p>
        </w:tc>
        <w:tc>
          <w:tcPr>
            <w:tcW w:w="1069" w:type="dxa"/>
            <w:tcBorders>
              <w:tl2br w:val="nil"/>
              <w:tr2bl w:val="nil"/>
            </w:tcBorders>
            <w:vAlign w:val="center"/>
          </w:tcPr>
          <w:p>
            <w:pPr>
              <w:widowControl/>
              <w:ind w:firstLine="0" w:firstLineChars="0"/>
              <w:jc w:val="center"/>
              <w:textAlignment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808" w:type="dxa"/>
            <w:tcBorders>
              <w:tl2br w:val="nil"/>
              <w:tr2bl w:val="nil"/>
            </w:tcBorders>
            <w:vAlign w:val="center"/>
          </w:tcPr>
          <w:p>
            <w:pPr>
              <w:widowControl/>
              <w:ind w:firstLine="0" w:firstLineChars="0"/>
              <w:jc w:val="center"/>
              <w:textAlignment w:val="center"/>
              <w:rPr>
                <w:rFonts w:ascii="宋体" w:hAnsi="宋体" w:cs="宋体"/>
                <w:color w:val="auto"/>
                <w:kern w:val="0"/>
                <w:highlight w:val="none"/>
              </w:rPr>
            </w:pPr>
            <w:r>
              <w:rPr>
                <w:rFonts w:hint="eastAsia" w:ascii="宋体" w:hAnsi="宋体" w:cs="宋体"/>
                <w:color w:val="auto"/>
                <w:kern w:val="0"/>
                <w:highlight w:val="none"/>
              </w:rPr>
              <w:t>2</w:t>
            </w:r>
          </w:p>
        </w:tc>
        <w:tc>
          <w:tcPr>
            <w:tcW w:w="1138" w:type="dxa"/>
            <w:tcBorders>
              <w:tl2br w:val="nil"/>
              <w:tr2bl w:val="nil"/>
            </w:tcBorders>
            <w:vAlign w:val="center"/>
          </w:tcPr>
          <w:p>
            <w:pPr>
              <w:widowControl/>
              <w:ind w:firstLine="0" w:firstLineChars="0"/>
              <w:jc w:val="center"/>
              <w:textAlignment w:val="center"/>
              <w:rPr>
                <w:rFonts w:ascii="宋体" w:hAnsi="宋体" w:cs="宋体"/>
                <w:color w:val="auto"/>
                <w:highlight w:val="none"/>
              </w:rPr>
            </w:pPr>
            <w:r>
              <w:rPr>
                <w:rFonts w:hint="eastAsia" w:ascii="宋体" w:hAnsi="宋体" w:cs="宋体"/>
                <w:color w:val="auto"/>
                <w:kern w:val="0"/>
                <w:highlight w:val="none"/>
              </w:rPr>
              <w:t>案例</w:t>
            </w:r>
          </w:p>
        </w:tc>
        <w:tc>
          <w:tcPr>
            <w:tcW w:w="5859" w:type="dxa"/>
            <w:tcBorders>
              <w:tl2br w:val="nil"/>
              <w:tr2bl w:val="nil"/>
            </w:tcBorders>
            <w:vAlign w:val="center"/>
          </w:tcPr>
          <w:p>
            <w:pPr>
              <w:spacing w:line="276"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1.投标单位近三年具有应急广播类项目案例：每个得0.5分，最高1分，提供合同证明材料。</w:t>
            </w:r>
          </w:p>
          <w:p>
            <w:pPr>
              <w:widowControl/>
              <w:ind w:firstLine="0" w:firstLineChars="0"/>
              <w:textAlignment w:val="center"/>
              <w:rPr>
                <w:rFonts w:ascii="宋体" w:hAnsi="宋体" w:cs="宋体"/>
                <w:color w:val="auto"/>
                <w:highlight w:val="none"/>
              </w:rPr>
            </w:pPr>
            <w:r>
              <w:rPr>
                <w:rFonts w:hint="eastAsia" w:ascii="宋体" w:hAnsi="宋体" w:cs="宋体"/>
                <w:color w:val="auto"/>
                <w:szCs w:val="21"/>
                <w:highlight w:val="none"/>
              </w:rPr>
              <w:t>2.投标单位具备与浙江省应急广播平台对接成功案例的得1分。（提供合同复印件或中标通知书等证明文件，原件备查）</w:t>
            </w:r>
          </w:p>
        </w:tc>
        <w:tc>
          <w:tcPr>
            <w:tcW w:w="1069" w:type="dxa"/>
            <w:tcBorders>
              <w:tl2br w:val="nil"/>
              <w:tr2bl w:val="nil"/>
            </w:tcBorders>
            <w:vAlign w:val="center"/>
          </w:tcPr>
          <w:p>
            <w:pPr>
              <w:widowControl/>
              <w:ind w:firstLine="0" w:firstLineChars="0"/>
              <w:jc w:val="center"/>
              <w:textAlignment w:val="center"/>
              <w:rPr>
                <w:rFonts w:ascii="宋体" w:hAnsi="宋体" w:cs="宋体"/>
                <w:color w:val="auto"/>
                <w:highlight w:val="none"/>
              </w:rPr>
            </w:pPr>
            <w:r>
              <w:rPr>
                <w:rFonts w:hint="eastAsia" w:ascii="宋体" w:hAnsi="宋体" w:cs="宋体"/>
                <w:color w:val="auto"/>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1" w:hRule="atLeast"/>
          <w:jc w:val="center"/>
        </w:trPr>
        <w:tc>
          <w:tcPr>
            <w:tcW w:w="808" w:type="dxa"/>
            <w:tcBorders>
              <w:tl2br w:val="nil"/>
              <w:tr2bl w:val="nil"/>
            </w:tcBorders>
            <w:vAlign w:val="center"/>
          </w:tcPr>
          <w:p>
            <w:pPr>
              <w:widowControl/>
              <w:ind w:firstLine="0" w:firstLineChars="0"/>
              <w:jc w:val="center"/>
              <w:textAlignment w:val="center"/>
              <w:rPr>
                <w:rFonts w:ascii="宋体" w:hAnsi="宋体" w:cs="宋体"/>
                <w:color w:val="auto"/>
                <w:kern w:val="0"/>
                <w:highlight w:val="none"/>
              </w:rPr>
            </w:pPr>
            <w:r>
              <w:rPr>
                <w:rFonts w:hint="eastAsia" w:ascii="宋体" w:hAnsi="宋体" w:cs="宋体"/>
                <w:color w:val="auto"/>
                <w:kern w:val="0"/>
                <w:highlight w:val="none"/>
              </w:rPr>
              <w:t>3</w:t>
            </w:r>
          </w:p>
        </w:tc>
        <w:tc>
          <w:tcPr>
            <w:tcW w:w="1138" w:type="dxa"/>
            <w:tcBorders>
              <w:tl2br w:val="nil"/>
              <w:tr2bl w:val="nil"/>
            </w:tcBorders>
            <w:vAlign w:val="center"/>
          </w:tcPr>
          <w:p>
            <w:pPr>
              <w:widowControl/>
              <w:ind w:firstLine="0" w:firstLineChars="0"/>
              <w:jc w:val="both"/>
              <w:textAlignment w:val="center"/>
              <w:rPr>
                <w:rFonts w:ascii="宋体" w:hAnsi="宋体" w:cs="宋体"/>
                <w:color w:val="auto"/>
                <w:kern w:val="0"/>
                <w:highlight w:val="none"/>
              </w:rPr>
            </w:pPr>
            <w:r>
              <w:rPr>
                <w:rFonts w:hint="eastAsia" w:ascii="宋体" w:hAnsi="宋体" w:cs="宋体"/>
                <w:color w:val="auto"/>
                <w:szCs w:val="21"/>
                <w:highlight w:val="none"/>
              </w:rPr>
              <w:t>产品供应商资质认证</w:t>
            </w:r>
          </w:p>
        </w:tc>
        <w:tc>
          <w:tcPr>
            <w:tcW w:w="5859" w:type="dxa"/>
            <w:tcBorders>
              <w:tl2br w:val="nil"/>
              <w:tr2bl w:val="nil"/>
            </w:tcBorders>
            <w:vAlign w:val="center"/>
          </w:tcPr>
          <w:p>
            <w:pPr>
              <w:widowControl/>
              <w:ind w:firstLine="0" w:firstLineChars="0"/>
              <w:textAlignment w:val="center"/>
              <w:rPr>
                <w:color w:val="auto"/>
                <w:highlight w:val="none"/>
              </w:rPr>
            </w:pPr>
            <w:r>
              <w:rPr>
                <w:rFonts w:hint="eastAsia"/>
                <w:color w:val="auto"/>
                <w:highlight w:val="none"/>
              </w:rPr>
              <w:t>1.产品供应商具备质量管理体系认证、环境管理体系认证、职业健康管理认证（认证范围包括应急广播相关设备的设计、开发及生产），完全符合的得1分，否则不得分。</w:t>
            </w:r>
          </w:p>
          <w:p>
            <w:pPr>
              <w:pStyle w:val="18"/>
              <w:ind w:firstLine="0" w:firstLineChars="0"/>
              <w:rPr>
                <w:color w:val="auto"/>
                <w:highlight w:val="none"/>
              </w:rPr>
            </w:pPr>
            <w:r>
              <w:rPr>
                <w:rFonts w:hint="eastAsia"/>
                <w:color w:val="auto"/>
                <w:highlight w:val="none"/>
              </w:rPr>
              <w:t>2.产品供应商具备信息安全管理体系认证得</w:t>
            </w:r>
            <w:r>
              <w:rPr>
                <w:rFonts w:hint="eastAsia"/>
                <w:color w:val="auto"/>
                <w:highlight w:val="none"/>
                <w:lang w:val="en-US" w:eastAsia="zh-CN"/>
              </w:rPr>
              <w:t>0.5</w:t>
            </w:r>
            <w:r>
              <w:rPr>
                <w:rFonts w:hint="eastAsia"/>
                <w:color w:val="auto"/>
                <w:highlight w:val="none"/>
              </w:rPr>
              <w:t>分。</w:t>
            </w:r>
          </w:p>
          <w:p>
            <w:pPr>
              <w:ind w:firstLine="0" w:firstLineChars="0"/>
              <w:rPr>
                <w:color w:val="auto"/>
                <w:highlight w:val="none"/>
              </w:rPr>
            </w:pPr>
            <w:r>
              <w:rPr>
                <w:rFonts w:hint="eastAsia"/>
                <w:color w:val="auto"/>
                <w:highlight w:val="none"/>
              </w:rPr>
              <w:t>3.产品供应商具备国家3C强制性认证得</w:t>
            </w:r>
            <w:r>
              <w:rPr>
                <w:rFonts w:hint="eastAsia"/>
                <w:color w:val="auto"/>
                <w:highlight w:val="none"/>
                <w:lang w:val="en-US" w:eastAsia="zh-CN"/>
              </w:rPr>
              <w:t>0.5</w:t>
            </w:r>
            <w:r>
              <w:rPr>
                <w:rFonts w:hint="eastAsia"/>
                <w:color w:val="auto"/>
                <w:highlight w:val="none"/>
              </w:rPr>
              <w:t>分。（以上证书提供复印件并加盖公章，原件备查）</w:t>
            </w:r>
          </w:p>
        </w:tc>
        <w:tc>
          <w:tcPr>
            <w:tcW w:w="1069" w:type="dxa"/>
            <w:tcBorders>
              <w:tl2br w:val="nil"/>
              <w:tr2bl w:val="nil"/>
            </w:tcBorders>
            <w:vAlign w:val="center"/>
          </w:tcPr>
          <w:p>
            <w:pPr>
              <w:widowControl/>
              <w:ind w:firstLine="0" w:firstLineChars="0"/>
              <w:jc w:val="center"/>
              <w:textAlignment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6" w:hRule="atLeast"/>
          <w:jc w:val="center"/>
        </w:trPr>
        <w:tc>
          <w:tcPr>
            <w:tcW w:w="808" w:type="dxa"/>
            <w:tcBorders>
              <w:tl2br w:val="nil"/>
              <w:tr2bl w:val="nil"/>
            </w:tcBorders>
            <w:vAlign w:val="center"/>
          </w:tcPr>
          <w:p>
            <w:pPr>
              <w:ind w:firstLine="0" w:firstLineChars="0"/>
              <w:jc w:val="center"/>
              <w:rPr>
                <w:rFonts w:ascii="宋体" w:hAnsi="宋体" w:cs="宋体"/>
                <w:b/>
                <w:bCs/>
                <w:color w:val="auto"/>
                <w:highlight w:val="none"/>
              </w:rPr>
            </w:pPr>
            <w:r>
              <w:rPr>
                <w:rFonts w:hint="eastAsia" w:ascii="宋体" w:hAnsi="宋体" w:cs="宋体"/>
                <w:b/>
                <w:bCs/>
                <w:color w:val="auto"/>
                <w:highlight w:val="none"/>
              </w:rPr>
              <w:t>二</w:t>
            </w:r>
          </w:p>
        </w:tc>
        <w:tc>
          <w:tcPr>
            <w:tcW w:w="6997" w:type="dxa"/>
            <w:gridSpan w:val="2"/>
            <w:tcBorders>
              <w:tl2br w:val="nil"/>
              <w:tr2bl w:val="nil"/>
            </w:tcBorders>
            <w:vAlign w:val="center"/>
          </w:tcPr>
          <w:p>
            <w:pPr>
              <w:widowControl/>
              <w:ind w:firstLine="482"/>
              <w:jc w:val="center"/>
              <w:textAlignment w:val="center"/>
              <w:rPr>
                <w:rFonts w:ascii="宋体" w:hAnsi="宋体" w:cs="宋体"/>
                <w:color w:val="auto"/>
                <w:kern w:val="0"/>
                <w:highlight w:val="none"/>
              </w:rPr>
            </w:pPr>
            <w:r>
              <w:rPr>
                <w:rFonts w:hint="eastAsia" w:ascii="宋体" w:hAnsi="宋体" w:cs="宋体"/>
                <w:b/>
                <w:bCs/>
                <w:color w:val="auto"/>
                <w:highlight w:val="none"/>
              </w:rPr>
              <w:t>技术分</w:t>
            </w:r>
          </w:p>
        </w:tc>
        <w:tc>
          <w:tcPr>
            <w:tcW w:w="1069" w:type="dxa"/>
            <w:tcBorders>
              <w:tl2br w:val="nil"/>
              <w:tr2bl w:val="nil"/>
            </w:tcBorders>
            <w:vAlign w:val="center"/>
          </w:tcPr>
          <w:p>
            <w:pPr>
              <w:widowControl/>
              <w:ind w:firstLine="0" w:firstLineChars="0"/>
              <w:jc w:val="center"/>
              <w:textAlignment w:val="center"/>
              <w:rPr>
                <w:rFonts w:ascii="宋体" w:hAnsi="宋体" w:cs="宋体"/>
                <w:color w:val="auto"/>
                <w:highlight w:val="none"/>
              </w:rPr>
            </w:pPr>
            <w:r>
              <w:rPr>
                <w:rFonts w:hint="eastAsia" w:ascii="宋体" w:hAnsi="宋体" w:cs="宋体"/>
                <w:color w:val="auto"/>
                <w:highlight w:val="none"/>
                <w:lang w:val="en-US" w:eastAsia="zh-CN"/>
              </w:rPr>
              <w:t>57</w:t>
            </w:r>
            <w:r>
              <w:rPr>
                <w:rFonts w:hint="eastAsia" w:ascii="宋体" w:hAnsi="宋体" w:cs="宋体"/>
                <w:color w:val="auto"/>
                <w:highlight w:val="none"/>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59" w:hRule="atLeast"/>
          <w:jc w:val="center"/>
        </w:trPr>
        <w:tc>
          <w:tcPr>
            <w:tcW w:w="808" w:type="dxa"/>
            <w:tcBorders>
              <w:tl2br w:val="nil"/>
              <w:tr2bl w:val="nil"/>
            </w:tcBorders>
            <w:noWrap/>
            <w:vAlign w:val="center"/>
          </w:tcPr>
          <w:p>
            <w:pPr>
              <w:widowControl/>
              <w:ind w:firstLine="0" w:firstLineChars="0"/>
              <w:jc w:val="center"/>
              <w:textAlignment w:val="center"/>
              <w:rPr>
                <w:rFonts w:ascii="宋体" w:hAnsi="宋体" w:cs="宋体"/>
                <w:color w:val="auto"/>
                <w:kern w:val="0"/>
                <w:highlight w:val="none"/>
              </w:rPr>
            </w:pPr>
            <w:r>
              <w:rPr>
                <w:rFonts w:hint="eastAsia" w:ascii="宋体" w:hAnsi="宋体" w:cs="宋体"/>
                <w:color w:val="auto"/>
                <w:kern w:val="0"/>
                <w:highlight w:val="none"/>
              </w:rPr>
              <w:t>4</w:t>
            </w:r>
          </w:p>
        </w:tc>
        <w:tc>
          <w:tcPr>
            <w:tcW w:w="1138" w:type="dxa"/>
            <w:tcBorders>
              <w:tl2br w:val="nil"/>
              <w:tr2bl w:val="nil"/>
            </w:tcBorders>
            <w:noWrap/>
            <w:vAlign w:val="center"/>
          </w:tcPr>
          <w:p>
            <w:pPr>
              <w:widowControl/>
              <w:ind w:firstLine="0" w:firstLineChars="0"/>
              <w:jc w:val="both"/>
              <w:textAlignment w:val="center"/>
              <w:rPr>
                <w:rFonts w:ascii="宋体" w:hAnsi="宋体" w:cs="宋体"/>
                <w:color w:val="auto"/>
                <w:highlight w:val="none"/>
              </w:rPr>
            </w:pPr>
            <w:r>
              <w:rPr>
                <w:rFonts w:hint="eastAsia" w:ascii="宋体" w:hAnsi="宋体" w:cs="宋体"/>
                <w:color w:val="auto"/>
                <w:kern w:val="0"/>
                <w:highlight w:val="none"/>
              </w:rPr>
              <w:t>设备选型的符合性、先进性</w:t>
            </w:r>
          </w:p>
        </w:tc>
        <w:tc>
          <w:tcPr>
            <w:tcW w:w="5859" w:type="dxa"/>
            <w:tcBorders>
              <w:tl2br w:val="nil"/>
              <w:tr2bl w:val="nil"/>
            </w:tcBorders>
            <w:vAlign w:val="center"/>
          </w:tcPr>
          <w:p>
            <w:pPr>
              <w:widowControl/>
              <w:ind w:firstLine="0" w:firstLineChars="0"/>
              <w:textAlignment w:val="center"/>
              <w:rPr>
                <w:rFonts w:ascii="宋体" w:hAnsi="宋体" w:cs="宋体"/>
                <w:color w:val="auto"/>
                <w:kern w:val="0"/>
                <w:highlight w:val="none"/>
              </w:rPr>
            </w:pPr>
            <w:r>
              <w:rPr>
                <w:rFonts w:hint="eastAsia" w:ascii="宋体" w:hAnsi="宋体" w:cs="宋体"/>
                <w:color w:val="auto"/>
                <w:kern w:val="0"/>
                <w:highlight w:val="none"/>
              </w:rPr>
              <w:t>根据投标产品的基本功能、技术指标与需求的吻合程度，所有指标均满足招标要求得</w:t>
            </w:r>
            <w:r>
              <w:rPr>
                <w:rFonts w:hint="eastAsia" w:ascii="宋体" w:hAnsi="宋体" w:cs="宋体"/>
                <w:color w:val="auto"/>
                <w:kern w:val="0"/>
                <w:highlight w:val="none"/>
                <w:lang w:val="en-US" w:eastAsia="zh-CN"/>
              </w:rPr>
              <w:t>28</w:t>
            </w:r>
            <w:r>
              <w:rPr>
                <w:rFonts w:hint="eastAsia" w:ascii="宋体" w:hAnsi="宋体" w:cs="宋体"/>
                <w:color w:val="auto"/>
                <w:kern w:val="0"/>
                <w:highlight w:val="none"/>
              </w:rPr>
              <w:t>分；</w:t>
            </w:r>
          </w:p>
          <w:p>
            <w:pPr>
              <w:widowControl/>
              <w:ind w:firstLine="0" w:firstLineChars="0"/>
              <w:textAlignment w:val="center"/>
              <w:rPr>
                <w:rFonts w:ascii="宋体" w:hAnsi="宋体" w:cs="宋体"/>
                <w:color w:val="auto"/>
                <w:kern w:val="0"/>
                <w:highlight w:val="none"/>
              </w:rPr>
            </w:pPr>
            <w:r>
              <w:rPr>
                <w:rFonts w:hint="eastAsia" w:ascii="宋体" w:hAnsi="宋体" w:cs="宋体"/>
                <w:color w:val="auto"/>
                <w:kern w:val="0"/>
                <w:highlight w:val="none"/>
              </w:rPr>
              <w:t>技术指标低于招标需求（负偏离）的，每项扣1分；重要参数（即标“</w:t>
            </w:r>
            <w:r>
              <w:rPr>
                <w:rFonts w:hint="eastAsia"/>
                <w:color w:val="auto"/>
                <w:highlight w:val="none"/>
              </w:rPr>
              <w:t>★</w:t>
            </w:r>
            <w:r>
              <w:rPr>
                <w:rFonts w:hint="eastAsia" w:ascii="宋体" w:hAnsi="宋体" w:cs="宋体"/>
                <w:color w:val="auto"/>
                <w:kern w:val="0"/>
                <w:highlight w:val="none"/>
              </w:rPr>
              <w:t>”</w:t>
            </w:r>
            <w:r>
              <w:rPr>
                <w:rFonts w:hint="eastAsia"/>
                <w:color w:val="auto"/>
                <w:highlight w:val="none"/>
              </w:rPr>
              <w:t>的参数</w:t>
            </w:r>
            <w:r>
              <w:rPr>
                <w:rFonts w:hint="eastAsia" w:ascii="宋体" w:hAnsi="宋体" w:cs="宋体"/>
                <w:color w:val="auto"/>
                <w:kern w:val="0"/>
                <w:highlight w:val="none"/>
              </w:rPr>
              <w:t>）负偏离，每项扣2分，扣完为止（负偏离由评委根据项目需求进行认定）；</w:t>
            </w:r>
          </w:p>
          <w:p>
            <w:pPr>
              <w:widowControl/>
              <w:ind w:firstLine="0" w:firstLineChars="0"/>
              <w:textAlignment w:val="center"/>
              <w:rPr>
                <w:rFonts w:ascii="宋体" w:hAnsi="宋体" w:cs="宋体"/>
                <w:color w:val="auto"/>
                <w:highlight w:val="none"/>
              </w:rPr>
            </w:pPr>
            <w:r>
              <w:rPr>
                <w:rFonts w:hint="eastAsia" w:ascii="宋体" w:hAnsi="宋体" w:cs="宋体"/>
                <w:color w:val="auto"/>
                <w:kern w:val="0"/>
                <w:highlight w:val="none"/>
              </w:rPr>
              <w:t>普通产品技术指标高于招标需求（正偏离）的，每项加0.5分，重要参数（即标“</w:t>
            </w:r>
            <w:r>
              <w:rPr>
                <w:rFonts w:hint="eastAsia"/>
                <w:color w:val="auto"/>
                <w:highlight w:val="none"/>
              </w:rPr>
              <w:t>★</w:t>
            </w:r>
            <w:r>
              <w:rPr>
                <w:rFonts w:hint="eastAsia" w:ascii="宋体" w:hAnsi="宋体" w:cs="宋体"/>
                <w:color w:val="auto"/>
                <w:kern w:val="0"/>
                <w:highlight w:val="none"/>
              </w:rPr>
              <w:t>”</w:t>
            </w:r>
            <w:r>
              <w:rPr>
                <w:rFonts w:hint="eastAsia"/>
                <w:color w:val="auto"/>
                <w:highlight w:val="none"/>
              </w:rPr>
              <w:t>的参数</w:t>
            </w:r>
            <w:r>
              <w:rPr>
                <w:rFonts w:hint="eastAsia" w:ascii="宋体" w:hAnsi="宋体" w:cs="宋体"/>
                <w:color w:val="auto"/>
                <w:kern w:val="0"/>
                <w:highlight w:val="none"/>
              </w:rPr>
              <w:t>）正偏离加1分，同类设备多项正偏离最多加2分。本项最多加2分（是否属于正偏离由评委根据项目需求进行认定）。</w:t>
            </w:r>
          </w:p>
        </w:tc>
        <w:tc>
          <w:tcPr>
            <w:tcW w:w="1069" w:type="dxa"/>
            <w:tcBorders>
              <w:tl2br w:val="nil"/>
              <w:tr2bl w:val="nil"/>
            </w:tcBorders>
            <w:vAlign w:val="center"/>
          </w:tcPr>
          <w:p>
            <w:pPr>
              <w:widowControl/>
              <w:ind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51" w:hRule="atLeast"/>
          <w:jc w:val="center"/>
        </w:trPr>
        <w:tc>
          <w:tcPr>
            <w:tcW w:w="808" w:type="dxa"/>
            <w:tcBorders>
              <w:tl2br w:val="nil"/>
              <w:tr2bl w:val="nil"/>
            </w:tcBorders>
            <w:vAlign w:val="center"/>
          </w:tcPr>
          <w:p>
            <w:pPr>
              <w:widowControl/>
              <w:ind w:firstLine="0" w:firstLineChars="0"/>
              <w:jc w:val="center"/>
              <w:textAlignment w:val="center"/>
              <w:rPr>
                <w:rFonts w:ascii="宋体" w:hAnsi="宋体" w:cs="宋体"/>
                <w:color w:val="auto"/>
                <w:kern w:val="0"/>
                <w:highlight w:val="none"/>
              </w:rPr>
            </w:pPr>
            <w:r>
              <w:rPr>
                <w:rFonts w:hint="eastAsia" w:ascii="宋体" w:hAnsi="宋体" w:cs="宋体"/>
                <w:color w:val="auto"/>
                <w:kern w:val="0"/>
                <w:highlight w:val="none"/>
              </w:rPr>
              <w:t>5</w:t>
            </w:r>
          </w:p>
        </w:tc>
        <w:tc>
          <w:tcPr>
            <w:tcW w:w="1138" w:type="dxa"/>
            <w:tcBorders>
              <w:tl2br w:val="nil"/>
              <w:tr2bl w:val="nil"/>
            </w:tcBorders>
            <w:vAlign w:val="center"/>
          </w:tcPr>
          <w:p>
            <w:pPr>
              <w:widowControl/>
              <w:ind w:firstLine="0" w:firstLineChars="0"/>
              <w:jc w:val="both"/>
              <w:textAlignment w:val="center"/>
              <w:rPr>
                <w:rFonts w:ascii="宋体" w:hAnsi="宋体" w:cs="宋体"/>
                <w:color w:val="auto"/>
                <w:highlight w:val="none"/>
              </w:rPr>
            </w:pPr>
            <w:r>
              <w:rPr>
                <w:rFonts w:hint="eastAsia" w:ascii="宋体" w:hAnsi="宋体" w:cs="宋体"/>
                <w:color w:val="auto"/>
                <w:szCs w:val="21"/>
                <w:highlight w:val="none"/>
              </w:rPr>
              <w:t>技术服务方案</w:t>
            </w:r>
          </w:p>
        </w:tc>
        <w:tc>
          <w:tcPr>
            <w:tcW w:w="5859" w:type="dxa"/>
            <w:tcBorders>
              <w:tl2br w:val="nil"/>
              <w:tr2bl w:val="nil"/>
            </w:tcBorders>
            <w:vAlign w:val="center"/>
          </w:tcPr>
          <w:p>
            <w:pPr>
              <w:widowControl/>
              <w:ind w:firstLine="0" w:firstLineChars="0"/>
              <w:textAlignment w:val="center"/>
              <w:rPr>
                <w:color w:val="auto"/>
                <w:highlight w:val="none"/>
              </w:rPr>
            </w:pPr>
            <w:r>
              <w:rPr>
                <w:rFonts w:hint="eastAsia"/>
                <w:color w:val="auto"/>
                <w:highlight w:val="none"/>
              </w:rPr>
              <w:t>1.根据投标人提供的产品技术方案的合理性.先进性.标准性进行打分，技术方案全面.合理.贴合项目需求的得</w:t>
            </w:r>
            <w:r>
              <w:rPr>
                <w:rFonts w:hint="eastAsia"/>
                <w:color w:val="auto"/>
                <w:highlight w:val="none"/>
                <w:lang w:val="en-US" w:eastAsia="zh-CN"/>
              </w:rPr>
              <w:t>3-4</w:t>
            </w:r>
            <w:r>
              <w:rPr>
                <w:rFonts w:hint="eastAsia"/>
                <w:color w:val="auto"/>
                <w:highlight w:val="none"/>
              </w:rPr>
              <w:t>分；技术方案基本全面.基本贴合项目需求的得</w:t>
            </w:r>
            <w:r>
              <w:rPr>
                <w:rFonts w:hint="eastAsia"/>
                <w:color w:val="auto"/>
                <w:highlight w:val="none"/>
                <w:lang w:val="en-US" w:eastAsia="zh-CN"/>
              </w:rPr>
              <w:t>2-3</w:t>
            </w:r>
            <w:r>
              <w:rPr>
                <w:rFonts w:hint="eastAsia"/>
                <w:color w:val="auto"/>
                <w:highlight w:val="none"/>
              </w:rPr>
              <w:t>分；技术方案合理性较差的得1-</w:t>
            </w:r>
            <w:r>
              <w:rPr>
                <w:rFonts w:hint="eastAsia"/>
                <w:color w:val="auto"/>
                <w:highlight w:val="none"/>
                <w:lang w:val="en-US" w:eastAsia="zh-CN"/>
              </w:rPr>
              <w:t>2</w:t>
            </w:r>
            <w:r>
              <w:rPr>
                <w:rFonts w:hint="eastAsia"/>
                <w:color w:val="auto"/>
                <w:highlight w:val="none"/>
              </w:rPr>
              <w:t>分</w:t>
            </w:r>
            <w:r>
              <w:rPr>
                <w:rFonts w:hint="eastAsia"/>
                <w:color w:val="auto"/>
                <w:highlight w:val="none"/>
                <w:lang w:val="en-US" w:eastAsia="zh-CN"/>
              </w:rPr>
              <w:t>,</w:t>
            </w:r>
            <w:r>
              <w:rPr>
                <w:rFonts w:hint="eastAsia" w:ascii="宋体" w:hAnsi="宋体" w:cs="宋体"/>
                <w:color w:val="auto"/>
                <w:highlight w:val="none"/>
              </w:rPr>
              <w:t>未提供的不得分</w:t>
            </w:r>
            <w:r>
              <w:rPr>
                <w:rFonts w:hint="eastAsia"/>
                <w:color w:val="auto"/>
                <w:highlight w:val="none"/>
              </w:rPr>
              <w:t>。</w:t>
            </w:r>
          </w:p>
          <w:p>
            <w:pPr>
              <w:pStyle w:val="18"/>
              <w:ind w:firstLine="0" w:firstLineChars="0"/>
              <w:rPr>
                <w:color w:val="auto"/>
                <w:highlight w:val="none"/>
              </w:rPr>
            </w:pPr>
            <w:r>
              <w:rPr>
                <w:rFonts w:hint="eastAsia"/>
                <w:color w:val="auto"/>
                <w:highlight w:val="none"/>
              </w:rPr>
              <w:t>2.方案中有</w:t>
            </w:r>
            <w:r>
              <w:rPr>
                <w:rFonts w:hint="eastAsia"/>
                <w:color w:val="auto"/>
                <w:szCs w:val="24"/>
                <w:highlight w:val="none"/>
              </w:rPr>
              <w:t>明确点位清单和信息勘查图纸的得</w:t>
            </w:r>
            <w:r>
              <w:rPr>
                <w:rFonts w:hint="eastAsia" w:cs="Times New Roman"/>
                <w:color w:val="auto"/>
                <w:kern w:val="2"/>
                <w:sz w:val="24"/>
                <w:szCs w:val="24"/>
                <w:highlight w:val="none"/>
                <w:lang w:val="en-US" w:eastAsia="zh-CN" w:bidi="ar-SA"/>
              </w:rPr>
              <w:t>2</w:t>
            </w:r>
            <w:r>
              <w:rPr>
                <w:rFonts w:hint="eastAsia"/>
                <w:color w:val="auto"/>
                <w:szCs w:val="24"/>
                <w:highlight w:val="none"/>
              </w:rPr>
              <w:t>分；点位清单和信息勘查图纸不够完善的得</w:t>
            </w:r>
            <w:r>
              <w:rPr>
                <w:rFonts w:hint="eastAsia"/>
                <w:color w:val="auto"/>
                <w:szCs w:val="24"/>
                <w:highlight w:val="none"/>
                <w:lang w:val="en-US" w:eastAsia="zh-CN"/>
              </w:rPr>
              <w:t>1</w:t>
            </w:r>
            <w:r>
              <w:rPr>
                <w:rFonts w:hint="eastAsia"/>
                <w:color w:val="auto"/>
                <w:szCs w:val="24"/>
                <w:highlight w:val="none"/>
              </w:rPr>
              <w:t>分；未有明确点位清单的不得分。</w:t>
            </w:r>
          </w:p>
        </w:tc>
        <w:tc>
          <w:tcPr>
            <w:tcW w:w="1069" w:type="dxa"/>
            <w:tcBorders>
              <w:tl2br w:val="nil"/>
              <w:tr2bl w:val="nil"/>
            </w:tcBorders>
            <w:vAlign w:val="center"/>
          </w:tcPr>
          <w:p>
            <w:pPr>
              <w:widowControl/>
              <w:ind w:firstLine="0" w:firstLineChars="0"/>
              <w:jc w:val="center"/>
              <w:textAlignment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1" w:hRule="atLeast"/>
          <w:jc w:val="center"/>
        </w:trPr>
        <w:tc>
          <w:tcPr>
            <w:tcW w:w="808" w:type="dxa"/>
            <w:tcBorders>
              <w:tl2br w:val="nil"/>
              <w:tr2bl w:val="nil"/>
            </w:tcBorders>
            <w:vAlign w:val="center"/>
          </w:tcPr>
          <w:p>
            <w:pPr>
              <w:widowControl/>
              <w:ind w:firstLine="0" w:firstLineChars="0"/>
              <w:jc w:val="center"/>
              <w:textAlignment w:val="center"/>
              <w:rPr>
                <w:rFonts w:ascii="宋体" w:hAnsi="宋体" w:cs="宋体"/>
                <w:color w:val="auto"/>
                <w:kern w:val="0"/>
                <w:highlight w:val="none"/>
              </w:rPr>
            </w:pPr>
            <w:r>
              <w:rPr>
                <w:rFonts w:hint="eastAsia" w:ascii="宋体" w:hAnsi="宋体" w:cs="宋体"/>
                <w:color w:val="auto"/>
                <w:kern w:val="0"/>
                <w:highlight w:val="none"/>
              </w:rPr>
              <w:t>6</w:t>
            </w:r>
          </w:p>
        </w:tc>
        <w:tc>
          <w:tcPr>
            <w:tcW w:w="1138" w:type="dxa"/>
            <w:tcBorders>
              <w:tl2br w:val="nil"/>
              <w:tr2bl w:val="nil"/>
            </w:tcBorders>
            <w:vAlign w:val="center"/>
          </w:tcPr>
          <w:p>
            <w:pPr>
              <w:widowControl/>
              <w:ind w:firstLine="0" w:firstLineChars="0"/>
              <w:jc w:val="both"/>
              <w:textAlignment w:val="center"/>
              <w:rPr>
                <w:rFonts w:ascii="宋体" w:hAnsi="宋体" w:cs="宋体"/>
                <w:color w:val="auto"/>
                <w:szCs w:val="21"/>
                <w:highlight w:val="none"/>
              </w:rPr>
            </w:pPr>
            <w:r>
              <w:rPr>
                <w:rFonts w:hint="eastAsia" w:ascii="宋体" w:hAnsi="宋体" w:cs="宋体"/>
                <w:color w:val="auto"/>
                <w:szCs w:val="21"/>
                <w:highlight w:val="none"/>
              </w:rPr>
              <w:t>平台对接方案</w:t>
            </w:r>
          </w:p>
        </w:tc>
        <w:tc>
          <w:tcPr>
            <w:tcW w:w="5859" w:type="dxa"/>
            <w:tcBorders>
              <w:tl2br w:val="nil"/>
              <w:tr2bl w:val="nil"/>
            </w:tcBorders>
            <w:vAlign w:val="center"/>
          </w:tcPr>
          <w:p>
            <w:pPr>
              <w:widowControl/>
              <w:ind w:firstLine="0" w:firstLineChars="0"/>
              <w:textAlignment w:val="center"/>
              <w:rPr>
                <w:rFonts w:ascii="宋体" w:hAnsi="宋体" w:cs="宋体"/>
                <w:color w:val="auto"/>
                <w:highlight w:val="none"/>
              </w:rPr>
            </w:pPr>
            <w:r>
              <w:rPr>
                <w:rFonts w:hint="eastAsia" w:ascii="宋体" w:hAnsi="宋体" w:cs="宋体"/>
                <w:color w:val="auto"/>
                <w:highlight w:val="none"/>
              </w:rPr>
              <w:t>1.根据投标供应商与浙江省应急广播管理平台的对接能力、对接方案进行评分，完全满足采购要求的得</w:t>
            </w:r>
            <w:r>
              <w:rPr>
                <w:rFonts w:hint="eastAsia" w:ascii="宋体" w:hAnsi="宋体" w:cs="宋体"/>
                <w:color w:val="auto"/>
                <w:highlight w:val="none"/>
                <w:lang w:val="en-US" w:eastAsia="zh-CN"/>
              </w:rPr>
              <w:t>3-4</w:t>
            </w:r>
            <w:r>
              <w:rPr>
                <w:rFonts w:hint="eastAsia" w:ascii="宋体" w:hAnsi="宋体" w:cs="宋体"/>
                <w:color w:val="auto"/>
                <w:highlight w:val="none"/>
              </w:rPr>
              <w:t>分，满足的得</w:t>
            </w:r>
            <w:r>
              <w:rPr>
                <w:rFonts w:hint="eastAsia" w:ascii="宋体" w:hAnsi="宋体" w:cs="宋体"/>
                <w:color w:val="auto"/>
                <w:highlight w:val="none"/>
                <w:lang w:val="en-US" w:eastAsia="zh-CN"/>
              </w:rPr>
              <w:t>2</w:t>
            </w:r>
            <w:r>
              <w:rPr>
                <w:rFonts w:hint="eastAsia" w:ascii="宋体" w:hAnsi="宋体" w:cs="宋体"/>
                <w:color w:val="auto"/>
                <w:highlight w:val="none"/>
              </w:rPr>
              <w:t>-</w:t>
            </w:r>
            <w:r>
              <w:rPr>
                <w:rFonts w:hint="eastAsia" w:ascii="宋体" w:hAnsi="宋体" w:cs="宋体"/>
                <w:color w:val="auto"/>
                <w:highlight w:val="none"/>
                <w:lang w:val="en-US" w:eastAsia="zh-CN"/>
              </w:rPr>
              <w:t>3</w:t>
            </w:r>
            <w:r>
              <w:rPr>
                <w:rFonts w:hint="eastAsia" w:ascii="宋体" w:hAnsi="宋体" w:cs="宋体"/>
                <w:color w:val="auto"/>
                <w:highlight w:val="none"/>
              </w:rPr>
              <w:t>分，基本满足得</w:t>
            </w:r>
            <w:r>
              <w:rPr>
                <w:rFonts w:hint="eastAsia" w:ascii="宋体" w:hAnsi="宋体" w:cs="宋体"/>
                <w:color w:val="auto"/>
                <w:highlight w:val="none"/>
                <w:lang w:val="en-US" w:eastAsia="zh-CN"/>
              </w:rPr>
              <w:t>1-2</w:t>
            </w:r>
            <w:r>
              <w:rPr>
                <w:rFonts w:hint="eastAsia" w:ascii="宋体" w:hAnsi="宋体" w:cs="宋体"/>
                <w:color w:val="auto"/>
                <w:highlight w:val="none"/>
              </w:rPr>
              <w:t>分，未提供的不得分。（方案中需提供能与浙江省应急广播管理平台对接证明材料）</w:t>
            </w:r>
          </w:p>
          <w:p>
            <w:pPr>
              <w:widowControl/>
              <w:ind w:firstLine="0" w:firstLineChars="0"/>
              <w:textAlignment w:val="center"/>
              <w:rPr>
                <w:rFonts w:ascii="宋体" w:hAnsi="宋体" w:cs="宋体"/>
                <w:color w:val="auto"/>
                <w:szCs w:val="21"/>
                <w:highlight w:val="none"/>
              </w:rPr>
            </w:pPr>
            <w:r>
              <w:rPr>
                <w:rFonts w:hint="eastAsia" w:ascii="宋体" w:hAnsi="宋体" w:cs="宋体"/>
                <w:color w:val="auto"/>
                <w:highlight w:val="none"/>
              </w:rPr>
              <w:t>2.根据投标供应商与金华市应急广播管理平台的对接能力、对接方案进行评分，完全满足采购要求的得</w:t>
            </w:r>
            <w:r>
              <w:rPr>
                <w:rFonts w:hint="eastAsia" w:ascii="宋体" w:hAnsi="宋体" w:cs="宋体"/>
                <w:color w:val="auto"/>
                <w:highlight w:val="none"/>
                <w:lang w:val="en-US" w:eastAsia="zh-CN"/>
              </w:rPr>
              <w:t>2</w:t>
            </w:r>
            <w:r>
              <w:rPr>
                <w:rFonts w:hint="eastAsia" w:ascii="宋体" w:hAnsi="宋体" w:cs="宋体"/>
                <w:color w:val="auto"/>
                <w:highlight w:val="none"/>
              </w:rPr>
              <w:t>分，满足的得1-2分，基本满足得0-1分，未提供的不得分。（方案中需提供能与金华市应急广播管理平台对接证明材料）</w:t>
            </w:r>
          </w:p>
        </w:tc>
        <w:tc>
          <w:tcPr>
            <w:tcW w:w="1069" w:type="dxa"/>
            <w:tcBorders>
              <w:tl2br w:val="nil"/>
              <w:tr2bl w:val="nil"/>
            </w:tcBorders>
            <w:vAlign w:val="center"/>
          </w:tcPr>
          <w:p>
            <w:pPr>
              <w:widowControl/>
              <w:ind w:firstLine="0" w:firstLineChars="0"/>
              <w:jc w:val="center"/>
              <w:textAlignment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25" w:hRule="atLeast"/>
          <w:jc w:val="center"/>
        </w:trPr>
        <w:tc>
          <w:tcPr>
            <w:tcW w:w="808" w:type="dxa"/>
            <w:tcBorders>
              <w:tl2br w:val="nil"/>
              <w:tr2bl w:val="nil"/>
            </w:tcBorders>
            <w:vAlign w:val="center"/>
          </w:tcPr>
          <w:p>
            <w:pPr>
              <w:widowControl/>
              <w:ind w:firstLine="0" w:firstLineChars="0"/>
              <w:jc w:val="center"/>
              <w:textAlignment w:val="center"/>
              <w:rPr>
                <w:rFonts w:ascii="宋体" w:hAnsi="宋体" w:cs="宋体"/>
                <w:color w:val="auto"/>
                <w:kern w:val="0"/>
                <w:highlight w:val="none"/>
              </w:rPr>
            </w:pPr>
            <w:r>
              <w:rPr>
                <w:rFonts w:hint="eastAsia" w:ascii="宋体" w:hAnsi="宋体" w:cs="宋体"/>
                <w:color w:val="auto"/>
                <w:kern w:val="0"/>
                <w:highlight w:val="none"/>
              </w:rPr>
              <w:t>7</w:t>
            </w:r>
          </w:p>
        </w:tc>
        <w:tc>
          <w:tcPr>
            <w:tcW w:w="1138" w:type="dxa"/>
            <w:tcBorders>
              <w:tl2br w:val="nil"/>
              <w:tr2bl w:val="nil"/>
            </w:tcBorders>
            <w:vAlign w:val="center"/>
          </w:tcPr>
          <w:p>
            <w:pPr>
              <w:widowControl/>
              <w:ind w:firstLine="0" w:firstLineChars="0"/>
              <w:jc w:val="both"/>
              <w:textAlignment w:val="center"/>
              <w:rPr>
                <w:rFonts w:ascii="宋体" w:hAnsi="宋体" w:cs="宋体"/>
                <w:color w:val="auto"/>
                <w:szCs w:val="21"/>
                <w:highlight w:val="none"/>
              </w:rPr>
            </w:pPr>
            <w:r>
              <w:rPr>
                <w:rFonts w:hint="eastAsia" w:ascii="宋体" w:hAnsi="宋体" w:cs="宋体"/>
                <w:color w:val="auto"/>
                <w:szCs w:val="21"/>
                <w:highlight w:val="none"/>
              </w:rPr>
              <w:t>与调频广播系统兼容对接方案</w:t>
            </w:r>
          </w:p>
        </w:tc>
        <w:tc>
          <w:tcPr>
            <w:tcW w:w="5859" w:type="dxa"/>
            <w:tcBorders>
              <w:tl2br w:val="nil"/>
              <w:tr2bl w:val="nil"/>
            </w:tcBorders>
            <w:vAlign w:val="center"/>
          </w:tcPr>
          <w:p>
            <w:pPr>
              <w:widowControl/>
              <w:ind w:firstLine="0" w:firstLineChars="0"/>
              <w:textAlignment w:val="center"/>
              <w:rPr>
                <w:color w:val="auto"/>
                <w:highlight w:val="none"/>
              </w:rPr>
            </w:pPr>
            <w:r>
              <w:rPr>
                <w:rFonts w:hint="eastAsia"/>
                <w:color w:val="auto"/>
                <w:highlight w:val="none"/>
              </w:rPr>
              <w:t>1.实现与东阳FM94.2对农调频广播对接，实现应急广播按区域正常播出一天三次的调频广播节目。完全满足得2分，不满足的不得分。</w:t>
            </w:r>
          </w:p>
          <w:p>
            <w:pPr>
              <w:widowControl/>
              <w:ind w:firstLine="0" w:firstLineChars="0"/>
              <w:textAlignment w:val="center"/>
              <w:rPr>
                <w:color w:val="auto"/>
                <w:highlight w:val="none"/>
              </w:rPr>
            </w:pPr>
            <w:r>
              <w:rPr>
                <w:rFonts w:hint="eastAsia"/>
                <w:color w:val="auto"/>
                <w:highlight w:val="none"/>
              </w:rPr>
              <w:t>2.完成各乡镇站各级广播室的对接，实现原有调频广播终端与应急广播系统同步插播。完全满足得2分，不满足不得分。</w:t>
            </w:r>
          </w:p>
        </w:tc>
        <w:tc>
          <w:tcPr>
            <w:tcW w:w="1069" w:type="dxa"/>
            <w:tcBorders>
              <w:tl2br w:val="nil"/>
              <w:tr2bl w:val="nil"/>
            </w:tcBorders>
            <w:vAlign w:val="center"/>
          </w:tcPr>
          <w:p>
            <w:pPr>
              <w:widowControl/>
              <w:ind w:firstLine="0" w:firstLineChars="0"/>
              <w:jc w:val="center"/>
              <w:textAlignment w:val="center"/>
              <w:rPr>
                <w:rFonts w:ascii="宋体" w:hAnsi="宋体" w:cs="宋体"/>
                <w:color w:val="auto"/>
                <w:highlight w:val="none"/>
              </w:rPr>
            </w:pPr>
            <w:r>
              <w:rPr>
                <w:rFonts w:hint="eastAsia" w:ascii="宋体" w:hAnsi="宋体" w:cs="宋体"/>
                <w:color w:val="auto"/>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20" w:hRule="atLeast"/>
          <w:jc w:val="center"/>
        </w:trPr>
        <w:tc>
          <w:tcPr>
            <w:tcW w:w="808" w:type="dxa"/>
            <w:vMerge w:val="restart"/>
            <w:tcBorders>
              <w:tl2br w:val="nil"/>
              <w:tr2bl w:val="nil"/>
            </w:tcBorders>
            <w:vAlign w:val="center"/>
          </w:tcPr>
          <w:p>
            <w:pPr>
              <w:widowControl/>
              <w:ind w:firstLine="0" w:firstLineChars="0"/>
              <w:jc w:val="center"/>
              <w:textAlignment w:val="center"/>
              <w:rPr>
                <w:rFonts w:ascii="宋体" w:hAnsi="宋体" w:cs="宋体"/>
                <w:color w:val="auto"/>
                <w:kern w:val="0"/>
                <w:highlight w:val="none"/>
              </w:rPr>
            </w:pPr>
            <w:r>
              <w:rPr>
                <w:rFonts w:hint="eastAsia" w:ascii="宋体" w:hAnsi="宋体" w:cs="宋体"/>
                <w:color w:val="auto"/>
                <w:kern w:val="0"/>
                <w:highlight w:val="none"/>
              </w:rPr>
              <w:t>8</w:t>
            </w:r>
          </w:p>
        </w:tc>
        <w:tc>
          <w:tcPr>
            <w:tcW w:w="1138" w:type="dxa"/>
            <w:vMerge w:val="restart"/>
            <w:tcBorders>
              <w:tl2br w:val="nil"/>
              <w:tr2bl w:val="nil"/>
            </w:tcBorders>
            <w:vAlign w:val="center"/>
          </w:tcPr>
          <w:p>
            <w:pPr>
              <w:widowControl/>
              <w:ind w:firstLine="0" w:firstLineChars="0"/>
              <w:jc w:val="both"/>
              <w:textAlignment w:val="center"/>
              <w:rPr>
                <w:rFonts w:ascii="宋体" w:hAnsi="宋体" w:cs="宋体"/>
                <w:color w:val="auto"/>
                <w:highlight w:val="none"/>
              </w:rPr>
            </w:pPr>
            <w:r>
              <w:rPr>
                <w:rFonts w:hint="eastAsia" w:ascii="宋体" w:hAnsi="宋体" w:cs="宋体"/>
                <w:color w:val="auto"/>
                <w:kern w:val="0"/>
                <w:highlight w:val="none"/>
              </w:rPr>
              <w:t>拟派服务团队情况</w:t>
            </w:r>
          </w:p>
        </w:tc>
        <w:tc>
          <w:tcPr>
            <w:tcW w:w="5859" w:type="dxa"/>
            <w:tcBorders>
              <w:tl2br w:val="nil"/>
              <w:tr2bl w:val="nil"/>
            </w:tcBorders>
            <w:vAlign w:val="center"/>
          </w:tcPr>
          <w:p>
            <w:pPr>
              <w:widowControl/>
              <w:ind w:firstLine="0" w:firstLineChars="0"/>
              <w:textAlignment w:val="center"/>
              <w:rPr>
                <w:rFonts w:ascii="宋体" w:hAnsi="宋体" w:cs="宋体"/>
                <w:color w:val="auto"/>
                <w:highlight w:val="none"/>
              </w:rPr>
            </w:pPr>
            <w:r>
              <w:rPr>
                <w:rFonts w:hint="eastAsia" w:ascii="宋体" w:hAnsi="宋体" w:cs="宋体"/>
                <w:color w:val="auto"/>
                <w:highlight w:val="none"/>
              </w:rPr>
              <w:t>项目负责人：拟派项目经理具有信息系统项目管理师、系统规划与管理师和广播电视相关中级及以上工程师的。每具备1个证书得1分，此项最多得3分。</w:t>
            </w:r>
          </w:p>
        </w:tc>
        <w:tc>
          <w:tcPr>
            <w:tcW w:w="1069" w:type="dxa"/>
            <w:tcBorders>
              <w:tl2br w:val="nil"/>
              <w:tr2bl w:val="nil"/>
            </w:tcBorders>
            <w:vAlign w:val="center"/>
          </w:tcPr>
          <w:p>
            <w:pPr>
              <w:widowControl/>
              <w:ind w:firstLine="0" w:firstLineChars="0"/>
              <w:jc w:val="center"/>
              <w:textAlignment w:val="center"/>
              <w:rPr>
                <w:rFonts w:ascii="宋体" w:hAnsi="宋体" w:cs="宋体"/>
                <w:color w:val="auto"/>
                <w:highlight w:val="none"/>
              </w:rPr>
            </w:pPr>
            <w:r>
              <w:rPr>
                <w:rFonts w:hint="eastAsia" w:ascii="宋体" w:hAnsi="宋体" w:cs="宋体"/>
                <w:color w:val="auto"/>
                <w:highlight w:val="none"/>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20" w:hRule="atLeast"/>
          <w:jc w:val="center"/>
        </w:trPr>
        <w:tc>
          <w:tcPr>
            <w:tcW w:w="808" w:type="dxa"/>
            <w:vMerge w:val="continue"/>
            <w:tcBorders>
              <w:tl2br w:val="nil"/>
              <w:tr2bl w:val="nil"/>
            </w:tcBorders>
            <w:vAlign w:val="center"/>
          </w:tcPr>
          <w:p>
            <w:pPr>
              <w:widowControl/>
              <w:ind w:firstLine="480"/>
              <w:jc w:val="center"/>
              <w:textAlignment w:val="center"/>
              <w:rPr>
                <w:rFonts w:ascii="宋体" w:hAnsi="宋体" w:cs="宋体"/>
                <w:color w:val="auto"/>
                <w:kern w:val="0"/>
                <w:highlight w:val="none"/>
              </w:rPr>
            </w:pPr>
          </w:p>
        </w:tc>
        <w:tc>
          <w:tcPr>
            <w:tcW w:w="1138" w:type="dxa"/>
            <w:vMerge w:val="continue"/>
            <w:tcBorders>
              <w:tl2br w:val="nil"/>
              <w:tr2bl w:val="nil"/>
            </w:tcBorders>
            <w:vAlign w:val="center"/>
          </w:tcPr>
          <w:p>
            <w:pPr>
              <w:widowControl/>
              <w:ind w:firstLine="480"/>
              <w:jc w:val="center"/>
              <w:textAlignment w:val="center"/>
              <w:rPr>
                <w:rFonts w:ascii="宋体" w:hAnsi="宋体" w:cs="宋体"/>
                <w:color w:val="auto"/>
                <w:kern w:val="0"/>
                <w:highlight w:val="none"/>
              </w:rPr>
            </w:pPr>
          </w:p>
        </w:tc>
        <w:tc>
          <w:tcPr>
            <w:tcW w:w="5859" w:type="dxa"/>
            <w:tcBorders>
              <w:tl2br w:val="nil"/>
              <w:tr2bl w:val="nil"/>
            </w:tcBorders>
            <w:vAlign w:val="center"/>
          </w:tcPr>
          <w:p>
            <w:pPr>
              <w:widowControl/>
              <w:ind w:firstLine="0" w:firstLineChars="0"/>
              <w:textAlignment w:val="center"/>
              <w:rPr>
                <w:rFonts w:ascii="宋体" w:hAnsi="宋体" w:cs="宋体"/>
                <w:color w:val="auto"/>
                <w:highlight w:val="none"/>
              </w:rPr>
            </w:pPr>
            <w:r>
              <w:rPr>
                <w:rFonts w:hint="eastAsia" w:ascii="宋体" w:hAnsi="宋体" w:cs="宋体"/>
                <w:color w:val="auto"/>
                <w:highlight w:val="none"/>
              </w:rPr>
              <w:t>项目技术负责人：拟派技术负责人需具有副高及以上职称，具有广电工程高级工程师得1分，正高级工程师得2分。</w:t>
            </w:r>
          </w:p>
        </w:tc>
        <w:tc>
          <w:tcPr>
            <w:tcW w:w="1069" w:type="dxa"/>
            <w:tcBorders>
              <w:tl2br w:val="nil"/>
              <w:tr2bl w:val="nil"/>
            </w:tcBorders>
            <w:vAlign w:val="center"/>
          </w:tcPr>
          <w:p>
            <w:pPr>
              <w:widowControl/>
              <w:ind w:firstLine="0" w:firstLineChars="0"/>
              <w:jc w:val="center"/>
              <w:textAlignment w:val="center"/>
              <w:rPr>
                <w:rFonts w:ascii="宋体" w:hAnsi="宋体" w:cs="宋体"/>
                <w:color w:val="auto"/>
                <w:highlight w:val="none"/>
              </w:rPr>
            </w:pPr>
            <w:r>
              <w:rPr>
                <w:rFonts w:hint="eastAsia" w:ascii="宋体" w:hAnsi="宋体" w:cs="宋体"/>
                <w:color w:val="auto"/>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20" w:hRule="atLeast"/>
          <w:jc w:val="center"/>
        </w:trPr>
        <w:tc>
          <w:tcPr>
            <w:tcW w:w="808" w:type="dxa"/>
            <w:vMerge w:val="continue"/>
            <w:tcBorders>
              <w:tl2br w:val="nil"/>
              <w:tr2bl w:val="nil"/>
            </w:tcBorders>
            <w:vAlign w:val="center"/>
          </w:tcPr>
          <w:p>
            <w:pPr>
              <w:widowControl/>
              <w:ind w:firstLine="480"/>
              <w:jc w:val="center"/>
              <w:textAlignment w:val="center"/>
              <w:rPr>
                <w:rFonts w:ascii="宋体" w:hAnsi="宋体" w:cs="宋体"/>
                <w:color w:val="auto"/>
                <w:kern w:val="0"/>
                <w:highlight w:val="none"/>
              </w:rPr>
            </w:pPr>
          </w:p>
        </w:tc>
        <w:tc>
          <w:tcPr>
            <w:tcW w:w="1138" w:type="dxa"/>
            <w:vMerge w:val="continue"/>
            <w:tcBorders>
              <w:tl2br w:val="nil"/>
              <w:tr2bl w:val="nil"/>
            </w:tcBorders>
            <w:vAlign w:val="center"/>
          </w:tcPr>
          <w:p>
            <w:pPr>
              <w:widowControl/>
              <w:ind w:firstLine="480"/>
              <w:jc w:val="center"/>
              <w:textAlignment w:val="center"/>
              <w:rPr>
                <w:rFonts w:ascii="宋体" w:hAnsi="宋体" w:cs="宋体"/>
                <w:color w:val="auto"/>
                <w:kern w:val="0"/>
                <w:highlight w:val="none"/>
              </w:rPr>
            </w:pPr>
          </w:p>
        </w:tc>
        <w:tc>
          <w:tcPr>
            <w:tcW w:w="5859" w:type="dxa"/>
            <w:tcBorders>
              <w:tl2br w:val="nil"/>
              <w:tr2bl w:val="nil"/>
            </w:tcBorders>
            <w:vAlign w:val="center"/>
          </w:tcPr>
          <w:p>
            <w:pPr>
              <w:widowControl/>
              <w:ind w:firstLine="0" w:firstLineChars="0"/>
              <w:textAlignment w:val="center"/>
              <w:rPr>
                <w:rFonts w:ascii="宋体" w:hAnsi="宋体" w:cs="宋体"/>
                <w:color w:val="auto"/>
                <w:highlight w:val="none"/>
              </w:rPr>
            </w:pPr>
            <w:r>
              <w:rPr>
                <w:rFonts w:hint="eastAsia" w:ascii="宋体" w:hAnsi="宋体" w:cs="宋体"/>
                <w:color w:val="auto"/>
                <w:highlight w:val="none"/>
              </w:rPr>
              <w:t>项目实施负责人：拟派实施负责人具有信息技术高级工程师、网络工程师、系统集成项目管理工程师和广播电视相关中级及以上工程师的，每具备1个证书得0.5分，此项最多得2分。</w:t>
            </w:r>
          </w:p>
        </w:tc>
        <w:tc>
          <w:tcPr>
            <w:tcW w:w="1069" w:type="dxa"/>
            <w:tcBorders>
              <w:tl2br w:val="nil"/>
              <w:tr2bl w:val="nil"/>
            </w:tcBorders>
            <w:vAlign w:val="center"/>
          </w:tcPr>
          <w:p>
            <w:pPr>
              <w:widowControl/>
              <w:ind w:firstLine="0" w:firstLineChars="0"/>
              <w:jc w:val="center"/>
              <w:textAlignment w:val="center"/>
              <w:rPr>
                <w:rFonts w:ascii="宋体" w:hAnsi="宋体" w:cs="宋体"/>
                <w:color w:val="auto"/>
                <w:highlight w:val="none"/>
              </w:rPr>
            </w:pPr>
            <w:r>
              <w:rPr>
                <w:rFonts w:hint="eastAsia" w:ascii="宋体" w:hAnsi="宋体" w:cs="宋体"/>
                <w:color w:val="auto"/>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3" w:hRule="atLeast"/>
          <w:jc w:val="center"/>
        </w:trPr>
        <w:tc>
          <w:tcPr>
            <w:tcW w:w="808" w:type="dxa"/>
            <w:vMerge w:val="continue"/>
            <w:tcBorders>
              <w:tl2br w:val="nil"/>
              <w:tr2bl w:val="nil"/>
            </w:tcBorders>
            <w:vAlign w:val="center"/>
          </w:tcPr>
          <w:p>
            <w:pPr>
              <w:widowControl/>
              <w:ind w:firstLine="480"/>
              <w:jc w:val="center"/>
              <w:textAlignment w:val="center"/>
              <w:rPr>
                <w:rFonts w:ascii="宋体" w:hAnsi="宋体" w:cs="宋体"/>
                <w:color w:val="auto"/>
                <w:kern w:val="0"/>
                <w:highlight w:val="none"/>
              </w:rPr>
            </w:pPr>
          </w:p>
        </w:tc>
        <w:tc>
          <w:tcPr>
            <w:tcW w:w="1138" w:type="dxa"/>
            <w:vMerge w:val="continue"/>
            <w:tcBorders>
              <w:tl2br w:val="nil"/>
              <w:tr2bl w:val="nil"/>
            </w:tcBorders>
            <w:vAlign w:val="center"/>
          </w:tcPr>
          <w:p>
            <w:pPr>
              <w:widowControl/>
              <w:ind w:firstLine="480"/>
              <w:jc w:val="center"/>
              <w:textAlignment w:val="center"/>
              <w:rPr>
                <w:rFonts w:ascii="宋体" w:hAnsi="宋体" w:cs="宋体"/>
                <w:color w:val="auto"/>
                <w:kern w:val="0"/>
                <w:highlight w:val="none"/>
              </w:rPr>
            </w:pPr>
          </w:p>
        </w:tc>
        <w:tc>
          <w:tcPr>
            <w:tcW w:w="5859" w:type="dxa"/>
            <w:tcBorders>
              <w:bottom w:val="single" w:color="auto" w:sz="4" w:space="0"/>
              <w:tl2br w:val="nil"/>
              <w:tr2bl w:val="nil"/>
            </w:tcBorders>
            <w:vAlign w:val="center"/>
          </w:tcPr>
          <w:p>
            <w:pPr>
              <w:widowControl/>
              <w:ind w:firstLine="0" w:firstLineChars="0"/>
              <w:textAlignment w:val="center"/>
              <w:rPr>
                <w:rFonts w:ascii="宋体" w:hAnsi="宋体" w:cs="宋体"/>
                <w:color w:val="auto"/>
                <w:highlight w:val="none"/>
              </w:rPr>
            </w:pPr>
            <w:r>
              <w:rPr>
                <w:rFonts w:hint="eastAsia" w:ascii="宋体" w:hAnsi="宋体" w:cs="宋体"/>
                <w:color w:val="auto"/>
                <w:highlight w:val="none"/>
              </w:rPr>
              <w:t>团队其他人员（项目负责人、项目技术负责人及项目实施负责人3人除外）：</w:t>
            </w:r>
          </w:p>
          <w:p>
            <w:pPr>
              <w:widowControl/>
              <w:ind w:firstLine="0" w:firstLineChars="0"/>
              <w:textAlignment w:val="center"/>
              <w:rPr>
                <w:rFonts w:ascii="宋体" w:hAnsi="宋体" w:cs="宋体"/>
                <w:color w:val="auto"/>
                <w:highlight w:val="none"/>
              </w:rPr>
            </w:pPr>
            <w:r>
              <w:rPr>
                <w:rFonts w:hint="eastAsia" w:ascii="宋体" w:hAnsi="宋体" w:cs="宋体"/>
                <w:color w:val="auto"/>
                <w:highlight w:val="none"/>
              </w:rPr>
              <w:t>①具有网络规划设计师、网络工程师、软件设计师、数据系统工程师资格证书的，每具备一种证书得0.5分，最高得2分；</w:t>
            </w:r>
            <w:bookmarkStart w:id="20" w:name="_GoBack"/>
            <w:bookmarkEnd w:id="20"/>
          </w:p>
          <w:p>
            <w:pPr>
              <w:widowControl/>
              <w:ind w:firstLine="0" w:firstLineChars="0"/>
              <w:textAlignment w:val="center"/>
              <w:rPr>
                <w:rFonts w:ascii="宋体" w:hAnsi="宋体" w:cs="宋体"/>
                <w:color w:val="auto"/>
                <w:highlight w:val="none"/>
              </w:rPr>
            </w:pPr>
            <w:r>
              <w:rPr>
                <w:rFonts w:hint="eastAsia" w:ascii="宋体" w:hAnsi="宋体" w:cs="宋体"/>
                <w:color w:val="auto"/>
                <w:highlight w:val="none"/>
              </w:rPr>
              <w:t>②具有广播电视相关中级及以上工程师的，每具备一种证书得0.5分，最高得1分；</w:t>
            </w:r>
          </w:p>
          <w:p>
            <w:pPr>
              <w:widowControl/>
              <w:ind w:firstLine="0" w:firstLineChars="0"/>
              <w:textAlignment w:val="center"/>
              <w:rPr>
                <w:rFonts w:ascii="宋体" w:hAnsi="宋体" w:cs="宋体"/>
                <w:color w:val="auto"/>
                <w:highlight w:val="none"/>
              </w:rPr>
            </w:pPr>
            <w:r>
              <w:rPr>
                <w:rFonts w:hint="eastAsia" w:ascii="宋体" w:hAnsi="宋体" w:cs="宋体"/>
                <w:color w:val="auto"/>
                <w:highlight w:val="none"/>
              </w:rPr>
              <w:t>③具有注册信息安全工程师资格证书（CISP）的，每个人得</w:t>
            </w:r>
            <w:r>
              <w:rPr>
                <w:rFonts w:hint="eastAsia" w:ascii="宋体" w:hAnsi="宋体" w:cs="宋体"/>
                <w:color w:val="auto"/>
                <w:highlight w:val="none"/>
                <w:lang w:val="en-US" w:eastAsia="zh-CN"/>
              </w:rPr>
              <w:t>0.5</w:t>
            </w:r>
            <w:r>
              <w:rPr>
                <w:rFonts w:hint="eastAsia" w:ascii="宋体" w:hAnsi="宋体" w:cs="宋体"/>
                <w:color w:val="auto"/>
                <w:highlight w:val="none"/>
              </w:rPr>
              <w:t>分，最高得</w:t>
            </w:r>
            <w:r>
              <w:rPr>
                <w:rFonts w:hint="eastAsia" w:ascii="宋体" w:hAnsi="宋体" w:cs="宋体"/>
                <w:color w:val="auto"/>
                <w:highlight w:val="none"/>
                <w:lang w:val="en-US" w:eastAsia="zh-CN"/>
              </w:rPr>
              <w:t>1</w:t>
            </w:r>
            <w:r>
              <w:rPr>
                <w:rFonts w:hint="eastAsia" w:ascii="宋体" w:hAnsi="宋体" w:cs="宋体"/>
                <w:color w:val="auto"/>
                <w:highlight w:val="none"/>
              </w:rPr>
              <w:t>分；</w:t>
            </w:r>
          </w:p>
        </w:tc>
        <w:tc>
          <w:tcPr>
            <w:tcW w:w="1069" w:type="dxa"/>
            <w:vMerge w:val="restart"/>
            <w:tcBorders>
              <w:tl2br w:val="nil"/>
              <w:tr2bl w:val="nil"/>
            </w:tcBorders>
            <w:vAlign w:val="center"/>
          </w:tcPr>
          <w:p>
            <w:pPr>
              <w:widowControl/>
              <w:ind w:firstLine="0" w:firstLineChars="0"/>
              <w:jc w:val="center"/>
              <w:textAlignment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53" w:hRule="atLeast"/>
          <w:jc w:val="center"/>
        </w:trPr>
        <w:tc>
          <w:tcPr>
            <w:tcW w:w="808" w:type="dxa"/>
            <w:vMerge w:val="continue"/>
            <w:tcBorders>
              <w:tl2br w:val="nil"/>
              <w:tr2bl w:val="nil"/>
            </w:tcBorders>
            <w:vAlign w:val="center"/>
          </w:tcPr>
          <w:p>
            <w:pPr>
              <w:widowControl/>
              <w:ind w:firstLine="480"/>
              <w:jc w:val="center"/>
              <w:textAlignment w:val="center"/>
              <w:rPr>
                <w:rFonts w:ascii="宋体" w:hAnsi="宋体" w:cs="宋体"/>
                <w:color w:val="auto"/>
                <w:kern w:val="0"/>
                <w:highlight w:val="none"/>
              </w:rPr>
            </w:pPr>
          </w:p>
        </w:tc>
        <w:tc>
          <w:tcPr>
            <w:tcW w:w="1138" w:type="dxa"/>
            <w:vMerge w:val="continue"/>
            <w:tcBorders>
              <w:tl2br w:val="nil"/>
              <w:tr2bl w:val="nil"/>
            </w:tcBorders>
            <w:vAlign w:val="center"/>
          </w:tcPr>
          <w:p>
            <w:pPr>
              <w:widowControl/>
              <w:ind w:firstLine="480"/>
              <w:jc w:val="center"/>
              <w:textAlignment w:val="center"/>
              <w:rPr>
                <w:rFonts w:ascii="宋体" w:hAnsi="宋体" w:cs="宋体"/>
                <w:color w:val="auto"/>
                <w:kern w:val="0"/>
                <w:highlight w:val="none"/>
              </w:rPr>
            </w:pPr>
          </w:p>
        </w:tc>
        <w:tc>
          <w:tcPr>
            <w:tcW w:w="5859" w:type="dxa"/>
            <w:tcBorders>
              <w:top w:val="single" w:color="auto" w:sz="4" w:space="0"/>
              <w:tl2br w:val="nil"/>
              <w:tr2bl w:val="nil"/>
            </w:tcBorders>
            <w:vAlign w:val="center"/>
          </w:tcPr>
          <w:p>
            <w:pPr>
              <w:widowControl/>
              <w:ind w:firstLine="0" w:firstLineChars="0"/>
              <w:textAlignment w:val="center"/>
              <w:rPr>
                <w:rFonts w:hint="eastAsia" w:ascii="宋体" w:hAnsi="宋体" w:cs="宋体"/>
                <w:color w:val="auto"/>
                <w:highlight w:val="none"/>
              </w:rPr>
            </w:pPr>
            <w:r>
              <w:rPr>
                <w:rFonts w:hint="eastAsia" w:ascii="宋体" w:hAnsi="宋体" w:cs="宋体"/>
                <w:b/>
                <w:bCs/>
                <w:color w:val="auto"/>
                <w:highlight w:val="none"/>
              </w:rPr>
              <w:t>备注：投标时需提供上述</w:t>
            </w:r>
            <w:r>
              <w:rPr>
                <w:rFonts w:hint="eastAsia" w:ascii="宋体" w:hAnsi="宋体" w:cs="宋体"/>
                <w:b/>
                <w:bCs/>
                <w:color w:val="auto"/>
                <w:highlight w:val="none"/>
                <w:lang w:eastAsia="zh-CN"/>
              </w:rPr>
              <w:t>服务团队所有</w:t>
            </w:r>
            <w:r>
              <w:rPr>
                <w:rFonts w:hint="eastAsia" w:ascii="宋体" w:hAnsi="宋体" w:cs="宋体"/>
                <w:b/>
                <w:bCs/>
                <w:color w:val="auto"/>
                <w:highlight w:val="none"/>
              </w:rPr>
              <w:t>人员证书扫描件并加盖投标人电子签名或公章，同一人只计分一次，拟派项目实施团队人员应当是投标人现在职人员，提供近3个月内任意一个月的社保证明材料</w:t>
            </w:r>
            <w:r>
              <w:rPr>
                <w:rFonts w:hint="eastAsia" w:ascii="宋体" w:hAnsi="宋体" w:cs="宋体"/>
                <w:b/>
                <w:bCs/>
                <w:color w:val="auto"/>
                <w:kern w:val="0"/>
                <w:highlight w:val="none"/>
              </w:rPr>
              <w:t>或承诺中标后提供社保清单</w:t>
            </w:r>
            <w:r>
              <w:rPr>
                <w:rFonts w:hint="eastAsia" w:ascii="宋体" w:hAnsi="宋体" w:cs="宋体"/>
                <w:b/>
                <w:bCs/>
                <w:color w:val="auto"/>
                <w:highlight w:val="none"/>
              </w:rPr>
              <w:t>，如虚假承诺将以失信单位上报财政部门，否则不得分。</w:t>
            </w:r>
          </w:p>
        </w:tc>
        <w:tc>
          <w:tcPr>
            <w:tcW w:w="1069" w:type="dxa"/>
            <w:vMerge w:val="continue"/>
            <w:tcBorders>
              <w:tl2br w:val="nil"/>
              <w:tr2bl w:val="nil"/>
            </w:tcBorders>
            <w:vAlign w:val="center"/>
          </w:tcPr>
          <w:p>
            <w:pPr>
              <w:widowControl/>
              <w:ind w:firstLine="0" w:firstLineChars="0"/>
              <w:jc w:val="center"/>
              <w:textAlignment w:val="center"/>
              <w:rPr>
                <w:rFonts w:hint="eastAsia" w:ascii="宋体" w:hAnsi="宋体" w:cs="宋体"/>
                <w:color w:val="auto"/>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0" w:hRule="atLeast"/>
          <w:jc w:val="center"/>
        </w:trPr>
        <w:tc>
          <w:tcPr>
            <w:tcW w:w="808" w:type="dxa"/>
            <w:tcBorders>
              <w:tl2br w:val="nil"/>
              <w:tr2bl w:val="nil"/>
            </w:tcBorders>
            <w:vAlign w:val="center"/>
          </w:tcPr>
          <w:p>
            <w:pPr>
              <w:ind w:firstLine="0" w:firstLineChars="0"/>
              <w:jc w:val="center"/>
              <w:rPr>
                <w:rFonts w:ascii="宋体" w:hAnsi="宋体" w:cs="宋体"/>
                <w:b/>
                <w:bCs/>
                <w:color w:val="auto"/>
                <w:highlight w:val="none"/>
              </w:rPr>
            </w:pPr>
            <w:r>
              <w:rPr>
                <w:rFonts w:hint="eastAsia" w:ascii="宋体" w:hAnsi="宋体" w:cs="宋体"/>
                <w:b/>
                <w:bCs/>
                <w:color w:val="auto"/>
                <w:highlight w:val="none"/>
              </w:rPr>
              <w:t>三</w:t>
            </w:r>
          </w:p>
        </w:tc>
        <w:tc>
          <w:tcPr>
            <w:tcW w:w="6997" w:type="dxa"/>
            <w:gridSpan w:val="2"/>
            <w:tcBorders>
              <w:tl2br w:val="nil"/>
              <w:tr2bl w:val="nil"/>
            </w:tcBorders>
            <w:vAlign w:val="center"/>
          </w:tcPr>
          <w:p>
            <w:pPr>
              <w:widowControl/>
              <w:ind w:firstLine="482"/>
              <w:jc w:val="center"/>
              <w:textAlignment w:val="center"/>
              <w:rPr>
                <w:rFonts w:ascii="宋体" w:hAnsi="宋体" w:cs="宋体"/>
                <w:color w:val="auto"/>
                <w:kern w:val="0"/>
                <w:highlight w:val="none"/>
              </w:rPr>
            </w:pPr>
            <w:r>
              <w:rPr>
                <w:rFonts w:hint="eastAsia" w:ascii="宋体" w:hAnsi="宋体" w:cs="宋体"/>
                <w:b/>
                <w:bCs/>
                <w:color w:val="auto"/>
                <w:highlight w:val="none"/>
              </w:rPr>
              <w:t>商务分</w:t>
            </w:r>
          </w:p>
        </w:tc>
        <w:tc>
          <w:tcPr>
            <w:tcW w:w="1069" w:type="dxa"/>
            <w:tcBorders>
              <w:tl2br w:val="nil"/>
              <w:tr2bl w:val="nil"/>
            </w:tcBorders>
            <w:vAlign w:val="center"/>
          </w:tcPr>
          <w:p>
            <w:pPr>
              <w:widowControl/>
              <w:ind w:firstLine="0" w:firstLineChars="0"/>
              <w:jc w:val="center"/>
              <w:textAlignment w:val="center"/>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80" w:hRule="atLeast"/>
          <w:jc w:val="center"/>
        </w:trPr>
        <w:tc>
          <w:tcPr>
            <w:tcW w:w="808" w:type="dxa"/>
            <w:vMerge w:val="restart"/>
            <w:tcBorders>
              <w:tl2br w:val="nil"/>
              <w:tr2bl w:val="nil"/>
            </w:tcBorders>
            <w:vAlign w:val="center"/>
          </w:tcPr>
          <w:p>
            <w:pPr>
              <w:widowControl/>
              <w:ind w:firstLine="0" w:firstLineChars="0"/>
              <w:jc w:val="center"/>
              <w:textAlignment w:val="center"/>
              <w:rPr>
                <w:rFonts w:ascii="宋体" w:hAnsi="宋体" w:cs="宋体"/>
                <w:color w:val="auto"/>
                <w:kern w:val="0"/>
                <w:highlight w:val="none"/>
              </w:rPr>
            </w:pPr>
            <w:r>
              <w:rPr>
                <w:rFonts w:hint="eastAsia" w:ascii="宋体" w:hAnsi="宋体" w:cs="宋体"/>
                <w:color w:val="auto"/>
                <w:kern w:val="0"/>
                <w:highlight w:val="none"/>
              </w:rPr>
              <w:t>9</w:t>
            </w:r>
          </w:p>
        </w:tc>
        <w:tc>
          <w:tcPr>
            <w:tcW w:w="1138" w:type="dxa"/>
            <w:vMerge w:val="restart"/>
            <w:tcBorders>
              <w:tl2br w:val="nil"/>
              <w:tr2bl w:val="nil"/>
            </w:tcBorders>
            <w:vAlign w:val="center"/>
          </w:tcPr>
          <w:p>
            <w:pPr>
              <w:widowControl/>
              <w:ind w:firstLine="0" w:firstLineChars="0"/>
              <w:jc w:val="both"/>
              <w:textAlignment w:val="center"/>
              <w:rPr>
                <w:rFonts w:ascii="宋体" w:hAnsi="宋体" w:cs="宋体"/>
                <w:color w:val="auto"/>
                <w:highlight w:val="none"/>
              </w:rPr>
            </w:pPr>
            <w:r>
              <w:rPr>
                <w:rFonts w:hint="eastAsia" w:ascii="宋体" w:hAnsi="宋体" w:cs="宋体"/>
                <w:color w:val="auto"/>
                <w:kern w:val="0"/>
                <w:highlight w:val="none"/>
              </w:rPr>
              <w:t>维护能力</w:t>
            </w:r>
          </w:p>
        </w:tc>
        <w:tc>
          <w:tcPr>
            <w:tcW w:w="5859" w:type="dxa"/>
            <w:tcBorders>
              <w:tl2br w:val="nil"/>
              <w:tr2bl w:val="nil"/>
            </w:tcBorders>
            <w:vAlign w:val="center"/>
          </w:tcPr>
          <w:p>
            <w:pPr>
              <w:widowControl/>
              <w:ind w:firstLine="0" w:firstLineChars="0"/>
              <w:textAlignment w:val="center"/>
              <w:rPr>
                <w:rFonts w:ascii="宋体" w:hAnsi="宋体" w:cs="宋体"/>
                <w:color w:val="auto"/>
                <w:kern w:val="0"/>
                <w:highlight w:val="none"/>
              </w:rPr>
            </w:pPr>
            <w:r>
              <w:rPr>
                <w:rFonts w:hint="eastAsia" w:ascii="宋体" w:hAnsi="宋体" w:cs="宋体"/>
                <w:color w:val="auto"/>
                <w:kern w:val="0"/>
                <w:highlight w:val="none"/>
              </w:rPr>
              <w:t>根据维护方案等相关情况，投标人在项目落地周边设有长期固定的售后服务网点数量（0-2分）综合打分（需提供东阳市18个镇乡街道政府相关证明材料）；</w:t>
            </w:r>
          </w:p>
          <w:p>
            <w:pPr>
              <w:widowControl/>
              <w:ind w:firstLine="0" w:firstLineChars="0"/>
              <w:textAlignment w:val="center"/>
              <w:rPr>
                <w:rFonts w:ascii="宋体" w:hAnsi="宋体" w:cs="宋体"/>
                <w:color w:val="auto"/>
                <w:kern w:val="0"/>
                <w:highlight w:val="none"/>
              </w:rPr>
            </w:pPr>
            <w:r>
              <w:rPr>
                <w:rFonts w:hint="eastAsia" w:ascii="宋体" w:hAnsi="宋体" w:cs="宋体"/>
                <w:color w:val="auto"/>
                <w:kern w:val="0"/>
                <w:highlight w:val="none"/>
              </w:rPr>
              <w:t>常设售后服务人员团队情况（0-</w:t>
            </w:r>
            <w:r>
              <w:rPr>
                <w:rFonts w:hint="eastAsia" w:ascii="宋体" w:hAnsi="宋体" w:cs="宋体"/>
                <w:color w:val="auto"/>
                <w:kern w:val="0"/>
                <w:highlight w:val="none"/>
                <w:lang w:val="en-US" w:eastAsia="zh-CN"/>
              </w:rPr>
              <w:t>1</w:t>
            </w:r>
            <w:r>
              <w:rPr>
                <w:rFonts w:hint="eastAsia" w:ascii="宋体" w:hAnsi="宋体" w:cs="宋体"/>
                <w:color w:val="auto"/>
                <w:kern w:val="0"/>
                <w:highlight w:val="none"/>
              </w:rPr>
              <w:t>分）进行综合打分（维护人员近三个月的社保证明或承诺中标后提供社保清单</w:t>
            </w:r>
            <w:r>
              <w:rPr>
                <w:rFonts w:hint="eastAsia" w:ascii="宋体" w:hAnsi="宋体" w:cs="宋体"/>
                <w:color w:val="auto"/>
                <w:highlight w:val="none"/>
              </w:rPr>
              <w:t>，如虚假承诺将以失信单位上报财政部门</w:t>
            </w:r>
            <w:r>
              <w:rPr>
                <w:rFonts w:hint="eastAsia" w:ascii="宋体" w:hAnsi="宋体" w:cs="宋体"/>
                <w:color w:val="auto"/>
                <w:kern w:val="0"/>
                <w:highlight w:val="none"/>
              </w:rPr>
              <w:t>）。</w:t>
            </w:r>
          </w:p>
          <w:p>
            <w:pPr>
              <w:widowControl/>
              <w:ind w:firstLine="0" w:firstLineChars="0"/>
              <w:textAlignment w:val="center"/>
              <w:rPr>
                <w:rFonts w:ascii="宋体" w:hAnsi="宋体" w:cs="宋体"/>
                <w:color w:val="auto"/>
                <w:kern w:val="0"/>
                <w:highlight w:val="none"/>
              </w:rPr>
            </w:pPr>
            <w:r>
              <w:rPr>
                <w:rFonts w:hint="eastAsia" w:ascii="宋体" w:hAnsi="宋体" w:cs="宋体"/>
                <w:color w:val="auto"/>
                <w:kern w:val="0"/>
                <w:highlight w:val="none"/>
              </w:rPr>
              <w:t>注：如没有服务网点、服务人员、运营团队的，承诺在中标后建立的，根据拟建立的服务网点数（0-2分）、运营团队情况（0-</w:t>
            </w:r>
            <w:r>
              <w:rPr>
                <w:rFonts w:hint="eastAsia" w:ascii="宋体" w:hAnsi="宋体" w:cs="宋体"/>
                <w:color w:val="auto"/>
                <w:kern w:val="0"/>
                <w:highlight w:val="none"/>
                <w:lang w:val="en-US" w:eastAsia="zh-CN"/>
              </w:rPr>
              <w:t>1</w:t>
            </w:r>
            <w:r>
              <w:rPr>
                <w:rFonts w:hint="eastAsia" w:ascii="宋体" w:hAnsi="宋体" w:cs="宋体"/>
                <w:color w:val="auto"/>
                <w:kern w:val="0"/>
                <w:highlight w:val="none"/>
              </w:rPr>
              <w:t>分）等综合打分。</w:t>
            </w:r>
          </w:p>
        </w:tc>
        <w:tc>
          <w:tcPr>
            <w:tcW w:w="1069" w:type="dxa"/>
            <w:tcBorders>
              <w:tl2br w:val="nil"/>
              <w:tr2bl w:val="nil"/>
            </w:tcBorders>
            <w:vAlign w:val="center"/>
          </w:tcPr>
          <w:p>
            <w:pPr>
              <w:widowControl/>
              <w:ind w:firstLine="0" w:firstLineChars="0"/>
              <w:jc w:val="center"/>
              <w:textAlignment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0" w:hRule="atLeast"/>
          <w:jc w:val="center"/>
        </w:trPr>
        <w:tc>
          <w:tcPr>
            <w:tcW w:w="808" w:type="dxa"/>
            <w:vMerge w:val="continue"/>
            <w:tcBorders>
              <w:tl2br w:val="nil"/>
              <w:tr2bl w:val="nil"/>
            </w:tcBorders>
            <w:vAlign w:val="center"/>
          </w:tcPr>
          <w:p>
            <w:pPr>
              <w:ind w:firstLine="480"/>
              <w:jc w:val="center"/>
              <w:rPr>
                <w:rFonts w:ascii="宋体" w:hAnsi="宋体" w:cs="宋体"/>
                <w:color w:val="auto"/>
                <w:highlight w:val="none"/>
              </w:rPr>
            </w:pPr>
          </w:p>
        </w:tc>
        <w:tc>
          <w:tcPr>
            <w:tcW w:w="1138" w:type="dxa"/>
            <w:vMerge w:val="continue"/>
            <w:tcBorders>
              <w:tl2br w:val="nil"/>
              <w:tr2bl w:val="nil"/>
            </w:tcBorders>
            <w:vAlign w:val="center"/>
          </w:tcPr>
          <w:p>
            <w:pPr>
              <w:ind w:firstLine="480"/>
              <w:jc w:val="center"/>
              <w:rPr>
                <w:rFonts w:ascii="宋体" w:hAnsi="宋体" w:cs="宋体"/>
                <w:color w:val="auto"/>
                <w:highlight w:val="none"/>
              </w:rPr>
            </w:pPr>
          </w:p>
        </w:tc>
        <w:tc>
          <w:tcPr>
            <w:tcW w:w="5859" w:type="dxa"/>
            <w:tcBorders>
              <w:tl2br w:val="nil"/>
              <w:tr2bl w:val="nil"/>
            </w:tcBorders>
            <w:vAlign w:val="center"/>
          </w:tcPr>
          <w:p>
            <w:pPr>
              <w:widowControl/>
              <w:ind w:firstLine="0" w:firstLineChars="0"/>
              <w:textAlignment w:val="center"/>
              <w:rPr>
                <w:rFonts w:ascii="宋体" w:hAnsi="宋体" w:cs="宋体"/>
                <w:color w:val="auto"/>
                <w:kern w:val="0"/>
                <w:highlight w:val="none"/>
              </w:rPr>
            </w:pPr>
            <w:r>
              <w:rPr>
                <w:rFonts w:hint="eastAsia" w:ascii="宋体" w:hAnsi="宋体" w:cs="宋体"/>
                <w:color w:val="auto"/>
                <w:kern w:val="0"/>
                <w:highlight w:val="none"/>
              </w:rPr>
              <w:t>项目维护的配件、附件、备品备件的准备、用于项目维护的专业车辆、专业设备以及其它有关资料和材料的完整性、合理性和可操作性等情况，由专家综合打分0-</w:t>
            </w:r>
            <w:r>
              <w:rPr>
                <w:rFonts w:hint="eastAsia" w:ascii="宋体" w:hAnsi="宋体" w:cs="宋体"/>
                <w:color w:val="auto"/>
                <w:kern w:val="0"/>
                <w:highlight w:val="none"/>
                <w:lang w:val="en-US" w:eastAsia="zh-CN"/>
              </w:rPr>
              <w:t>1</w:t>
            </w:r>
            <w:r>
              <w:rPr>
                <w:rFonts w:hint="eastAsia" w:ascii="宋体" w:hAnsi="宋体" w:cs="宋体"/>
                <w:color w:val="auto"/>
                <w:kern w:val="0"/>
                <w:highlight w:val="none"/>
              </w:rPr>
              <w:t>分。</w:t>
            </w:r>
          </w:p>
        </w:tc>
        <w:tc>
          <w:tcPr>
            <w:tcW w:w="1069" w:type="dxa"/>
            <w:tcBorders>
              <w:tl2br w:val="nil"/>
              <w:tr2bl w:val="nil"/>
            </w:tcBorders>
            <w:vAlign w:val="center"/>
          </w:tcPr>
          <w:p>
            <w:pPr>
              <w:widowControl/>
              <w:ind w:firstLine="0" w:firstLineChars="0"/>
              <w:jc w:val="center"/>
              <w:textAlignment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0" w:hRule="atLeast"/>
          <w:jc w:val="center"/>
        </w:trPr>
        <w:tc>
          <w:tcPr>
            <w:tcW w:w="808" w:type="dxa"/>
            <w:tcBorders>
              <w:tl2br w:val="nil"/>
              <w:tr2bl w:val="nil"/>
            </w:tcBorders>
            <w:vAlign w:val="center"/>
          </w:tcPr>
          <w:p>
            <w:pPr>
              <w:widowControl/>
              <w:ind w:firstLine="0" w:firstLineChars="0"/>
              <w:jc w:val="center"/>
              <w:textAlignment w:val="center"/>
              <w:rPr>
                <w:rFonts w:ascii="宋体" w:hAnsi="宋体" w:cs="宋体"/>
                <w:color w:val="auto"/>
                <w:kern w:val="0"/>
                <w:highlight w:val="none"/>
              </w:rPr>
            </w:pPr>
            <w:r>
              <w:rPr>
                <w:rFonts w:hint="eastAsia" w:ascii="宋体" w:hAnsi="宋体" w:cs="宋体"/>
                <w:color w:val="auto"/>
                <w:kern w:val="0"/>
                <w:highlight w:val="none"/>
              </w:rPr>
              <w:t>10</w:t>
            </w:r>
          </w:p>
        </w:tc>
        <w:tc>
          <w:tcPr>
            <w:tcW w:w="1138" w:type="dxa"/>
            <w:tcBorders>
              <w:tl2br w:val="nil"/>
              <w:tr2bl w:val="nil"/>
            </w:tcBorders>
            <w:vAlign w:val="center"/>
          </w:tcPr>
          <w:p>
            <w:pPr>
              <w:widowControl/>
              <w:ind w:firstLine="0" w:firstLineChars="0"/>
              <w:jc w:val="both"/>
              <w:textAlignment w:val="center"/>
              <w:rPr>
                <w:rFonts w:ascii="宋体" w:hAnsi="宋体" w:cs="宋体"/>
                <w:color w:val="auto"/>
                <w:highlight w:val="none"/>
              </w:rPr>
            </w:pPr>
            <w:r>
              <w:rPr>
                <w:rFonts w:hint="eastAsia" w:ascii="宋体" w:hAnsi="宋体" w:cs="宋体"/>
                <w:color w:val="auto"/>
                <w:kern w:val="0"/>
                <w:highlight w:val="none"/>
              </w:rPr>
              <w:t>合理化建议</w:t>
            </w:r>
          </w:p>
        </w:tc>
        <w:tc>
          <w:tcPr>
            <w:tcW w:w="5859" w:type="dxa"/>
            <w:tcBorders>
              <w:tl2br w:val="nil"/>
              <w:tr2bl w:val="nil"/>
            </w:tcBorders>
            <w:vAlign w:val="center"/>
          </w:tcPr>
          <w:p>
            <w:pPr>
              <w:widowControl/>
              <w:ind w:firstLine="0" w:firstLineChars="0"/>
              <w:textAlignment w:val="center"/>
              <w:rPr>
                <w:rFonts w:ascii="宋体" w:hAnsi="宋体" w:cs="宋体"/>
                <w:color w:val="auto"/>
                <w:highlight w:val="none"/>
              </w:rPr>
            </w:pPr>
            <w:r>
              <w:rPr>
                <w:rFonts w:hint="eastAsia" w:ascii="宋体" w:hAnsi="宋体" w:cs="宋体"/>
                <w:color w:val="auto"/>
                <w:kern w:val="0"/>
                <w:highlight w:val="none"/>
              </w:rPr>
              <w:t>根据投标人对本项目提出的合理化（包括在建设期和运维期）建议，以及提出的优惠条件和承诺情况和可实现程度酌情打分0-</w:t>
            </w:r>
            <w:r>
              <w:rPr>
                <w:rFonts w:hint="eastAsia" w:ascii="宋体" w:hAnsi="宋体" w:cs="宋体"/>
                <w:color w:val="auto"/>
                <w:kern w:val="0"/>
                <w:highlight w:val="none"/>
                <w:lang w:val="en-US" w:eastAsia="zh-CN"/>
              </w:rPr>
              <w:t>1</w:t>
            </w:r>
            <w:r>
              <w:rPr>
                <w:rFonts w:hint="eastAsia" w:ascii="宋体" w:hAnsi="宋体" w:cs="宋体"/>
                <w:color w:val="auto"/>
                <w:kern w:val="0"/>
                <w:highlight w:val="none"/>
              </w:rPr>
              <w:t>分。</w:t>
            </w:r>
          </w:p>
        </w:tc>
        <w:tc>
          <w:tcPr>
            <w:tcW w:w="1069" w:type="dxa"/>
            <w:tcBorders>
              <w:tl2br w:val="nil"/>
              <w:tr2bl w:val="nil"/>
            </w:tcBorders>
            <w:vAlign w:val="center"/>
          </w:tcPr>
          <w:p>
            <w:pPr>
              <w:widowControl/>
              <w:ind w:firstLine="0" w:firstLineChars="0"/>
              <w:jc w:val="center"/>
              <w:textAlignment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1</w:t>
            </w:r>
          </w:p>
        </w:tc>
      </w:tr>
    </w:tbl>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rPr>
          <w:rFonts w:ascii="黑体" w:hAnsi="黑体" w:eastAsia="黑体" w:cs="宋体"/>
          <w:b/>
          <w:bCs/>
          <w:color w:val="auto"/>
          <w:sz w:val="32"/>
          <w:szCs w:val="32"/>
          <w:highlight w:val="none"/>
        </w:rPr>
      </w:pPr>
    </w:p>
    <w:p>
      <w:pPr>
        <w:pStyle w:val="3"/>
        <w:ind w:firstLine="0" w:firstLineChars="0"/>
        <w:jc w:val="center"/>
        <w:rPr>
          <w:rFonts w:ascii="黑体" w:hAnsi="黑体" w:eastAsia="黑体" w:cs="宋体"/>
          <w:b/>
          <w:bCs/>
          <w:color w:val="auto"/>
          <w:sz w:val="32"/>
          <w:szCs w:val="32"/>
          <w:highlight w:val="none"/>
        </w:rPr>
      </w:pPr>
    </w:p>
    <w:p>
      <w:pPr>
        <w:pStyle w:val="5"/>
        <w:ind w:firstLine="482"/>
        <w:jc w:val="center"/>
        <w:rPr>
          <w:color w:val="auto"/>
          <w:highlight w:val="none"/>
        </w:rPr>
      </w:pPr>
      <w:bookmarkStart w:id="16" w:name="_Toc414870805"/>
      <w:r>
        <w:rPr>
          <w:rFonts w:hint="eastAsia"/>
          <w:color w:val="auto"/>
          <w:highlight w:val="none"/>
        </w:rPr>
        <w:t>东阳市政府采购合同主要条款</w:t>
      </w:r>
      <w:bookmarkEnd w:id="16"/>
    </w:p>
    <w:p>
      <w:pPr>
        <w:snapToGrid w:val="0"/>
        <w:spacing w:before="120" w:beforeLines="50" w:after="120" w:afterLines="50"/>
        <w:ind w:firstLine="602"/>
        <w:jc w:val="center"/>
        <w:outlineLvl w:val="0"/>
        <w:rPr>
          <w:rFonts w:ascii="宋体"/>
          <w:b/>
          <w:color w:val="auto"/>
          <w:sz w:val="30"/>
          <w:highlight w:val="none"/>
        </w:rPr>
      </w:pPr>
      <w:bookmarkStart w:id="17" w:name="_Toc414870806"/>
      <w:r>
        <w:rPr>
          <w:rFonts w:hint="eastAsia" w:ascii="宋体"/>
          <w:b/>
          <w:color w:val="auto"/>
          <w:sz w:val="30"/>
          <w:highlight w:val="none"/>
        </w:rPr>
        <w:t>采购合同（样本）</w:t>
      </w:r>
      <w:bookmarkEnd w:id="17"/>
    </w:p>
    <w:p>
      <w:pPr>
        <w:pStyle w:val="29"/>
        <w:snapToGrid w:val="0"/>
        <w:spacing w:before="120" w:after="120" w:line="336" w:lineRule="auto"/>
        <w:ind w:firstLine="480"/>
        <w:rPr>
          <w:rFonts w:hAnsi="宋体"/>
          <w:color w:val="auto"/>
          <w:highlight w:val="none"/>
        </w:rPr>
      </w:pPr>
      <w:r>
        <w:rPr>
          <w:rFonts w:hAnsi="宋体"/>
          <w:color w:val="auto"/>
          <w:highlight w:val="none"/>
        </w:rPr>
        <w:t>项目名称：</w:t>
      </w:r>
      <w:r>
        <w:rPr>
          <w:rFonts w:hint="eastAsia" w:hAnsi="宋体"/>
          <w:color w:val="auto"/>
          <w:highlight w:val="none"/>
        </w:rPr>
        <w:t xml:space="preserve">                    </w:t>
      </w:r>
      <w:r>
        <w:rPr>
          <w:rFonts w:hAnsi="宋体"/>
          <w:color w:val="auto"/>
          <w:highlight w:val="none"/>
        </w:rPr>
        <w:t>项目编号：</w:t>
      </w:r>
      <w:r>
        <w:rPr>
          <w:rFonts w:hint="eastAsia" w:hAnsi="宋体"/>
          <w:color w:val="auto"/>
          <w:highlight w:val="none"/>
        </w:rPr>
        <w:t xml:space="preserve">                     合同号：</w:t>
      </w:r>
    </w:p>
    <w:p>
      <w:pPr>
        <w:pStyle w:val="29"/>
        <w:snapToGrid w:val="0"/>
        <w:spacing w:before="120" w:after="120" w:line="336" w:lineRule="auto"/>
        <w:ind w:firstLine="480"/>
        <w:rPr>
          <w:rFonts w:hAnsi="宋体"/>
          <w:color w:val="auto"/>
          <w:highlight w:val="none"/>
        </w:rPr>
      </w:pPr>
      <w:r>
        <w:rPr>
          <w:rFonts w:hAnsi="宋体"/>
          <w:color w:val="auto"/>
          <w:highlight w:val="none"/>
        </w:rPr>
        <w:t>甲方（买方）</w:t>
      </w:r>
      <w:r>
        <w:rPr>
          <w:rFonts w:hint="eastAsia" w:hAnsi="宋体"/>
          <w:color w:val="auto"/>
          <w:highlight w:val="none"/>
        </w:rPr>
        <w:t>：</w:t>
      </w:r>
    </w:p>
    <w:p>
      <w:pPr>
        <w:pStyle w:val="29"/>
        <w:snapToGrid w:val="0"/>
        <w:spacing w:before="120" w:after="120" w:line="336" w:lineRule="auto"/>
        <w:ind w:firstLine="480"/>
        <w:rPr>
          <w:rFonts w:hAnsi="宋体"/>
          <w:color w:val="auto"/>
          <w:highlight w:val="none"/>
        </w:rPr>
      </w:pPr>
      <w:r>
        <w:rPr>
          <w:rFonts w:hAnsi="宋体"/>
          <w:color w:val="auto"/>
          <w:highlight w:val="none"/>
        </w:rPr>
        <w:t>乙方（卖方）</w:t>
      </w:r>
      <w:r>
        <w:rPr>
          <w:rFonts w:hint="eastAsia" w:hAnsi="宋体"/>
          <w:color w:val="auto"/>
          <w:highlight w:val="none"/>
        </w:rPr>
        <w:t>：</w:t>
      </w:r>
    </w:p>
    <w:p>
      <w:pPr>
        <w:pStyle w:val="29"/>
        <w:snapToGrid w:val="0"/>
        <w:spacing w:beforeLines="0" w:afterLines="0" w:line="336" w:lineRule="auto"/>
        <w:ind w:firstLine="480"/>
        <w:rPr>
          <w:rFonts w:hAnsi="宋体"/>
          <w:b/>
          <w:color w:val="auto"/>
          <w:highlight w:val="none"/>
        </w:rPr>
      </w:pPr>
      <w:r>
        <w:rPr>
          <w:rFonts w:hAnsi="宋体"/>
          <w:color w:val="auto"/>
          <w:highlight w:val="none"/>
        </w:rPr>
        <w:t>甲、乙双方根据</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日浙江衢州公信工程管理有限公司</w:t>
      </w:r>
      <w:r>
        <w:rPr>
          <w:rFonts w:hAnsi="宋体"/>
          <w:color w:val="auto"/>
          <w:highlight w:val="none"/>
        </w:rPr>
        <w:t>关于</w:t>
      </w:r>
      <w:r>
        <w:rPr>
          <w:rFonts w:hint="eastAsia" w:hAnsi="宋体"/>
          <w:color w:val="auto"/>
          <w:highlight w:val="none"/>
        </w:rPr>
        <w:t>东阳市应急广播维保提升改造项目</w:t>
      </w:r>
      <w:r>
        <w:rPr>
          <w:rFonts w:hAnsi="宋体"/>
          <w:color w:val="auto"/>
          <w:highlight w:val="none"/>
        </w:rPr>
        <w:t>公开招标</w:t>
      </w:r>
      <w:r>
        <w:rPr>
          <w:rFonts w:hint="eastAsia" w:hAnsi="宋体"/>
          <w:color w:val="auto"/>
          <w:highlight w:val="none"/>
        </w:rPr>
        <w:t>的</w:t>
      </w:r>
      <w:r>
        <w:rPr>
          <w:rFonts w:hAnsi="宋体"/>
          <w:color w:val="auto"/>
          <w:highlight w:val="none"/>
        </w:rPr>
        <w:t>结果，签署本合同。</w:t>
      </w:r>
    </w:p>
    <w:p>
      <w:pPr>
        <w:pStyle w:val="29"/>
        <w:snapToGrid w:val="0"/>
        <w:spacing w:beforeLines="0" w:afterLines="0" w:line="336" w:lineRule="auto"/>
        <w:ind w:firstLine="482"/>
        <w:rPr>
          <w:rFonts w:hAnsi="宋体"/>
          <w:b/>
          <w:color w:val="auto"/>
          <w:highlight w:val="none"/>
        </w:rPr>
      </w:pPr>
      <w:r>
        <w:rPr>
          <w:rFonts w:hAnsi="宋体"/>
          <w:b/>
          <w:color w:val="auto"/>
          <w:highlight w:val="none"/>
        </w:rPr>
        <w:t>一、货物内容</w:t>
      </w:r>
    </w:p>
    <w:p>
      <w:pPr>
        <w:pStyle w:val="29"/>
        <w:snapToGrid w:val="0"/>
        <w:spacing w:beforeLines="0" w:afterLines="0" w:line="336" w:lineRule="auto"/>
        <w:ind w:firstLine="480"/>
        <w:rPr>
          <w:rFonts w:hAnsi="宋体"/>
          <w:color w:val="auto"/>
          <w:highlight w:val="none"/>
        </w:rPr>
      </w:pPr>
      <w:r>
        <w:rPr>
          <w:rFonts w:hAnsi="宋体"/>
          <w:color w:val="auto"/>
          <w:highlight w:val="none"/>
        </w:rPr>
        <w:t>1.</w:t>
      </w:r>
      <w:r>
        <w:rPr>
          <w:rFonts w:hint="eastAsia" w:hAnsi="宋体"/>
          <w:color w:val="auto"/>
          <w:highlight w:val="none"/>
        </w:rPr>
        <w:t xml:space="preserve"> 服务内容</w:t>
      </w:r>
      <w:r>
        <w:rPr>
          <w:rFonts w:hAnsi="宋体"/>
          <w:color w:val="auto"/>
          <w:highlight w:val="none"/>
        </w:rPr>
        <w:t>：</w:t>
      </w:r>
    </w:p>
    <w:p>
      <w:pPr>
        <w:pStyle w:val="29"/>
        <w:snapToGrid w:val="0"/>
        <w:spacing w:beforeLines="0" w:afterLines="0" w:line="336" w:lineRule="auto"/>
        <w:ind w:firstLine="480"/>
        <w:rPr>
          <w:rFonts w:hAnsi="宋体"/>
          <w:color w:val="auto"/>
          <w:highlight w:val="none"/>
        </w:rPr>
      </w:pPr>
      <w:r>
        <w:rPr>
          <w:rFonts w:hint="eastAsia" w:hAnsi="宋体"/>
          <w:color w:val="auto"/>
          <w:highlight w:val="none"/>
        </w:rPr>
        <w:t>2</w:t>
      </w:r>
      <w:r>
        <w:rPr>
          <w:rFonts w:hAnsi="宋体"/>
          <w:color w:val="auto"/>
          <w:highlight w:val="none"/>
        </w:rPr>
        <w:t>. 数量</w:t>
      </w:r>
      <w:r>
        <w:rPr>
          <w:rFonts w:hint="eastAsia" w:hAnsi="宋体"/>
          <w:color w:val="auto"/>
          <w:highlight w:val="none"/>
        </w:rPr>
        <w:t>：</w:t>
      </w:r>
    </w:p>
    <w:p>
      <w:pPr>
        <w:pStyle w:val="29"/>
        <w:snapToGrid w:val="0"/>
        <w:spacing w:beforeLines="0" w:afterLines="0" w:line="336" w:lineRule="auto"/>
        <w:ind w:firstLine="480"/>
        <w:rPr>
          <w:rFonts w:hAnsi="宋体"/>
          <w:color w:val="auto"/>
          <w:highlight w:val="none"/>
        </w:rPr>
      </w:pPr>
      <w:r>
        <w:rPr>
          <w:rFonts w:hint="eastAsia" w:hAnsi="宋体"/>
          <w:color w:val="auto"/>
          <w:highlight w:val="none"/>
        </w:rPr>
        <w:t>3</w:t>
      </w:r>
      <w:r>
        <w:rPr>
          <w:rFonts w:hAnsi="宋体"/>
          <w:color w:val="auto"/>
          <w:highlight w:val="none"/>
        </w:rPr>
        <w:t>.</w:t>
      </w:r>
      <w:r>
        <w:rPr>
          <w:rFonts w:hint="eastAsia" w:hAnsi="宋体"/>
          <w:color w:val="auto"/>
          <w:highlight w:val="none"/>
        </w:rPr>
        <w:t xml:space="preserve"> 单价：</w:t>
      </w:r>
    </w:p>
    <w:p>
      <w:pPr>
        <w:pStyle w:val="29"/>
        <w:snapToGrid w:val="0"/>
        <w:spacing w:beforeLines="0" w:afterLines="0" w:line="336" w:lineRule="auto"/>
        <w:ind w:firstLine="480"/>
        <w:rPr>
          <w:rFonts w:hAnsi="宋体"/>
          <w:color w:val="auto"/>
          <w:highlight w:val="none"/>
        </w:rPr>
      </w:pPr>
      <w:r>
        <w:rPr>
          <w:rFonts w:hAnsi="宋体"/>
          <w:color w:val="auto"/>
          <w:highlight w:val="none"/>
        </w:rPr>
        <w:t>4</w:t>
      </w:r>
      <w:r>
        <w:rPr>
          <w:rFonts w:hint="eastAsia" w:hAnsi="宋体"/>
          <w:color w:val="auto"/>
          <w:highlight w:val="none"/>
        </w:rPr>
        <w:t>. 总价</w:t>
      </w:r>
      <w:r>
        <w:rPr>
          <w:rFonts w:hAnsi="宋体"/>
          <w:color w:val="auto"/>
          <w:highlight w:val="none"/>
        </w:rPr>
        <w:t>：</w:t>
      </w:r>
    </w:p>
    <w:p>
      <w:pPr>
        <w:pStyle w:val="29"/>
        <w:snapToGrid w:val="0"/>
        <w:spacing w:beforeLines="0" w:afterLines="0" w:line="336" w:lineRule="auto"/>
        <w:ind w:firstLine="480"/>
        <w:rPr>
          <w:rFonts w:hAnsi="宋体"/>
          <w:color w:val="auto"/>
          <w:highlight w:val="none"/>
        </w:rPr>
      </w:pPr>
      <w:r>
        <w:rPr>
          <w:rFonts w:hint="eastAsia" w:hAnsi="宋体"/>
          <w:color w:val="auto"/>
          <w:highlight w:val="none"/>
        </w:rPr>
        <w:t>5. 服务年限：</w:t>
      </w:r>
    </w:p>
    <w:p>
      <w:pPr>
        <w:pStyle w:val="29"/>
        <w:snapToGrid w:val="0"/>
        <w:spacing w:beforeLines="0" w:afterLines="0" w:line="336" w:lineRule="auto"/>
        <w:ind w:firstLine="482"/>
        <w:rPr>
          <w:rFonts w:hAnsi="宋体"/>
          <w:b/>
          <w:color w:val="auto"/>
          <w:highlight w:val="none"/>
        </w:rPr>
      </w:pPr>
      <w:r>
        <w:rPr>
          <w:rFonts w:hAnsi="宋体"/>
          <w:b/>
          <w:color w:val="auto"/>
          <w:highlight w:val="none"/>
        </w:rPr>
        <w:t>二、合同金额</w:t>
      </w:r>
    </w:p>
    <w:p>
      <w:pPr>
        <w:pStyle w:val="29"/>
        <w:snapToGrid w:val="0"/>
        <w:spacing w:beforeLines="0" w:afterLines="0" w:line="336" w:lineRule="auto"/>
        <w:ind w:firstLine="480"/>
        <w:rPr>
          <w:rFonts w:hAnsi="宋体"/>
          <w:color w:val="auto"/>
          <w:highlight w:val="none"/>
        </w:rPr>
      </w:pPr>
      <w:r>
        <w:rPr>
          <w:rFonts w:hAnsi="宋体"/>
          <w:color w:val="auto"/>
          <w:highlight w:val="none"/>
        </w:rPr>
        <w:t>本合同金额为（大写）：____________________元（￥_________元）人民币</w:t>
      </w:r>
      <w:r>
        <w:rPr>
          <w:rFonts w:hint="eastAsia" w:hAnsi="宋体"/>
          <w:color w:val="auto"/>
          <w:highlight w:val="none"/>
        </w:rPr>
        <w:t>，单点建设服务费金额为（大写）</w:t>
      </w:r>
      <w:r>
        <w:rPr>
          <w:rFonts w:hint="eastAsia" w:hAnsi="宋体"/>
          <w:color w:val="auto"/>
          <w:highlight w:val="none"/>
          <w:u w:val="single"/>
        </w:rPr>
        <w:t xml:space="preserve">：      </w:t>
      </w:r>
      <w:r>
        <w:rPr>
          <w:rFonts w:hint="eastAsia" w:hAnsi="宋体"/>
          <w:color w:val="auto"/>
          <w:highlight w:val="none"/>
        </w:rPr>
        <w:t>元</w:t>
      </w:r>
      <w:r>
        <w:rPr>
          <w:rFonts w:hAnsi="宋体"/>
          <w:color w:val="auto"/>
          <w:highlight w:val="none"/>
        </w:rPr>
        <w:t>（￥_________元）。</w:t>
      </w:r>
    </w:p>
    <w:p>
      <w:pPr>
        <w:pStyle w:val="29"/>
        <w:snapToGrid w:val="0"/>
        <w:spacing w:beforeLines="0" w:afterLines="0" w:line="336" w:lineRule="auto"/>
        <w:ind w:firstLine="482"/>
        <w:rPr>
          <w:rFonts w:hAnsi="宋体"/>
          <w:b/>
          <w:color w:val="auto"/>
          <w:highlight w:val="none"/>
        </w:rPr>
      </w:pPr>
      <w:r>
        <w:rPr>
          <w:rFonts w:hint="eastAsia" w:hAnsi="宋体"/>
          <w:b/>
          <w:color w:val="auto"/>
          <w:highlight w:val="none"/>
        </w:rPr>
        <w:t>三</w:t>
      </w:r>
      <w:r>
        <w:rPr>
          <w:rFonts w:hAnsi="宋体"/>
          <w:b/>
          <w:color w:val="auto"/>
          <w:highlight w:val="none"/>
        </w:rPr>
        <w:t>、技术资料</w:t>
      </w:r>
    </w:p>
    <w:p>
      <w:pPr>
        <w:pStyle w:val="29"/>
        <w:snapToGrid w:val="0"/>
        <w:spacing w:beforeLines="0" w:afterLines="0" w:line="336" w:lineRule="auto"/>
        <w:ind w:firstLine="480"/>
        <w:rPr>
          <w:rFonts w:hAnsi="宋体"/>
          <w:color w:val="auto"/>
          <w:highlight w:val="none"/>
        </w:rPr>
      </w:pPr>
      <w:r>
        <w:rPr>
          <w:rFonts w:hAnsi="宋体"/>
          <w:color w:val="auto"/>
          <w:highlight w:val="none"/>
        </w:rPr>
        <w:t>1</w:t>
      </w:r>
      <w:r>
        <w:rPr>
          <w:rFonts w:hint="eastAsia" w:hAnsi="宋体"/>
          <w:color w:val="auto"/>
          <w:highlight w:val="none"/>
        </w:rPr>
        <w:t>.</w:t>
      </w:r>
      <w:r>
        <w:rPr>
          <w:rFonts w:hAnsi="宋体"/>
          <w:color w:val="auto"/>
          <w:highlight w:val="none"/>
        </w:rPr>
        <w:t>乙方应按招标文件规定的时间向甲方提供使用货物的有关技术资料。</w:t>
      </w:r>
    </w:p>
    <w:p>
      <w:pPr>
        <w:pStyle w:val="29"/>
        <w:snapToGrid w:val="0"/>
        <w:spacing w:beforeLines="0" w:afterLines="0" w:line="336" w:lineRule="auto"/>
        <w:ind w:firstLine="480"/>
        <w:rPr>
          <w:rFonts w:hAnsi="宋体"/>
          <w:color w:val="auto"/>
          <w:highlight w:val="none"/>
        </w:rPr>
      </w:pPr>
      <w:r>
        <w:rPr>
          <w:rFonts w:hAnsi="宋体"/>
          <w:color w:val="auto"/>
          <w:highlight w:val="none"/>
        </w:rPr>
        <w:t>2</w:t>
      </w:r>
      <w:r>
        <w:rPr>
          <w:rFonts w:hint="eastAsia" w:hAnsi="宋体"/>
          <w:color w:val="auto"/>
          <w:highlight w:val="none"/>
        </w:rPr>
        <w:t>.</w:t>
      </w:r>
      <w:r>
        <w:rPr>
          <w:rFonts w:hAnsi="宋体"/>
          <w:color w:val="auto"/>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9"/>
        <w:snapToGrid w:val="0"/>
        <w:spacing w:beforeLines="0" w:afterLines="0" w:line="336" w:lineRule="auto"/>
        <w:ind w:firstLine="482"/>
        <w:rPr>
          <w:rFonts w:hAnsi="宋体"/>
          <w:b/>
          <w:color w:val="auto"/>
          <w:highlight w:val="none"/>
        </w:rPr>
      </w:pPr>
      <w:r>
        <w:rPr>
          <w:rFonts w:hint="eastAsia" w:hAnsi="宋体"/>
          <w:b/>
          <w:color w:val="auto"/>
          <w:highlight w:val="none"/>
        </w:rPr>
        <w:t>四</w:t>
      </w:r>
      <w:r>
        <w:rPr>
          <w:rFonts w:hAnsi="宋体"/>
          <w:b/>
          <w:color w:val="auto"/>
          <w:highlight w:val="none"/>
        </w:rPr>
        <w:t>、知识产权</w:t>
      </w:r>
    </w:p>
    <w:p>
      <w:pPr>
        <w:pStyle w:val="29"/>
        <w:snapToGrid w:val="0"/>
        <w:spacing w:beforeLines="0" w:afterLines="0" w:line="336" w:lineRule="auto"/>
        <w:ind w:firstLine="480"/>
        <w:rPr>
          <w:rFonts w:hAnsi="宋体"/>
          <w:bCs/>
          <w:color w:val="auto"/>
          <w:highlight w:val="none"/>
        </w:rPr>
      </w:pPr>
      <w:r>
        <w:rPr>
          <w:rFonts w:hAnsi="宋体"/>
          <w:color w:val="auto"/>
          <w:highlight w:val="none"/>
        </w:rPr>
        <w:t>乙方应保证所提供的货物或其任何一部分均不会侵犯任何第三方的知识产权</w:t>
      </w:r>
      <w:r>
        <w:rPr>
          <w:rFonts w:hAnsi="宋体"/>
          <w:bCs/>
          <w:color w:val="auto"/>
          <w:highlight w:val="none"/>
        </w:rPr>
        <w:t>。</w:t>
      </w:r>
    </w:p>
    <w:p>
      <w:pPr>
        <w:pStyle w:val="29"/>
        <w:snapToGrid w:val="0"/>
        <w:spacing w:beforeLines="0" w:afterLines="0" w:line="336" w:lineRule="auto"/>
        <w:ind w:firstLine="482"/>
        <w:rPr>
          <w:rFonts w:hAnsi="宋体"/>
          <w:color w:val="auto"/>
          <w:highlight w:val="none"/>
          <w:u w:val="single"/>
        </w:rPr>
      </w:pPr>
      <w:r>
        <w:rPr>
          <w:rFonts w:hint="eastAsia" w:hAnsi="宋体"/>
          <w:b/>
          <w:color w:val="auto"/>
          <w:highlight w:val="none"/>
        </w:rPr>
        <w:t>五</w:t>
      </w:r>
      <w:r>
        <w:rPr>
          <w:rFonts w:hAnsi="宋体"/>
          <w:b/>
          <w:color w:val="auto"/>
          <w:highlight w:val="none"/>
        </w:rPr>
        <w:t>、产权担保</w:t>
      </w:r>
    </w:p>
    <w:p>
      <w:pPr>
        <w:spacing w:line="500" w:lineRule="exact"/>
        <w:ind w:firstLine="480"/>
        <w:rPr>
          <w:rFonts w:ascii="宋体" w:hAnsi="宋体"/>
          <w:color w:val="auto"/>
          <w:highlight w:val="none"/>
        </w:rPr>
      </w:pPr>
      <w:r>
        <w:rPr>
          <w:rFonts w:hint="eastAsia" w:ascii="宋体" w:hAnsi="宋体"/>
          <w:color w:val="auto"/>
          <w:highlight w:val="none"/>
        </w:rPr>
        <w:t>本次项目采用政府购买服务的方式，乙方提供的服务所需要的软硬件设备所有权属于乙方所有，乙方保证无任何抵押、查封等产权瑕疵，否则甲方有权中止合同并追究乙方相应的责任。</w:t>
      </w:r>
    </w:p>
    <w:p>
      <w:pPr>
        <w:pStyle w:val="29"/>
        <w:snapToGrid w:val="0"/>
        <w:spacing w:beforeLines="0" w:afterLines="0" w:line="336" w:lineRule="auto"/>
        <w:ind w:firstLine="482"/>
        <w:rPr>
          <w:rFonts w:hAnsi="宋体"/>
          <w:b/>
          <w:color w:val="auto"/>
          <w:highlight w:val="none"/>
        </w:rPr>
      </w:pPr>
      <w:r>
        <w:rPr>
          <w:rFonts w:hint="eastAsia" w:hAnsi="宋体"/>
          <w:b/>
          <w:color w:val="auto"/>
          <w:highlight w:val="none"/>
        </w:rPr>
        <w:t>六、转包或分包</w:t>
      </w:r>
    </w:p>
    <w:p>
      <w:pPr>
        <w:snapToGrid w:val="0"/>
        <w:ind w:firstLine="480"/>
        <w:rPr>
          <w:rFonts w:ascii="宋体" w:hAnsi="宋体"/>
          <w:color w:val="auto"/>
          <w:highlight w:val="none"/>
        </w:rPr>
      </w:pPr>
      <w:r>
        <w:rPr>
          <w:rFonts w:ascii="宋体" w:hAnsi="宋体"/>
          <w:color w:val="auto"/>
          <w:highlight w:val="none"/>
        </w:rPr>
        <w:t>1</w:t>
      </w:r>
      <w:r>
        <w:rPr>
          <w:rFonts w:hint="eastAsia" w:ascii="宋体" w:hAnsi="宋体"/>
          <w:color w:val="auto"/>
          <w:highlight w:val="none"/>
        </w:rPr>
        <w:t>.本合同范围的货物，应由</w:t>
      </w:r>
      <w:r>
        <w:rPr>
          <w:rFonts w:ascii="宋体" w:hAnsi="宋体"/>
          <w:color w:val="auto"/>
          <w:highlight w:val="none"/>
        </w:rPr>
        <w:t>乙</w:t>
      </w:r>
      <w:r>
        <w:rPr>
          <w:rFonts w:hint="eastAsia" w:ascii="宋体" w:hAnsi="宋体"/>
          <w:color w:val="auto"/>
          <w:highlight w:val="none"/>
        </w:rPr>
        <w:t>方直接供应，不得转让他人供应。</w:t>
      </w:r>
    </w:p>
    <w:p>
      <w:pPr>
        <w:snapToGrid w:val="0"/>
        <w:ind w:firstLine="480"/>
        <w:rPr>
          <w:rFonts w:ascii="宋体" w:hAnsi="宋体"/>
          <w:color w:val="auto"/>
          <w:highlight w:val="none"/>
        </w:rPr>
      </w:pPr>
      <w:r>
        <w:rPr>
          <w:rFonts w:hint="eastAsia" w:ascii="宋体" w:hAnsi="宋体"/>
          <w:color w:val="auto"/>
          <w:highlight w:val="none"/>
        </w:rPr>
        <w:t>2.如有转让和未经</w:t>
      </w:r>
      <w:r>
        <w:rPr>
          <w:rFonts w:ascii="宋体" w:hAnsi="宋体"/>
          <w:color w:val="auto"/>
          <w:highlight w:val="none"/>
        </w:rPr>
        <w:t>甲</w:t>
      </w:r>
      <w:r>
        <w:rPr>
          <w:rFonts w:hint="eastAsia" w:ascii="宋体" w:hAnsi="宋体"/>
          <w:color w:val="auto"/>
          <w:highlight w:val="none"/>
        </w:rPr>
        <w:t>方同意的分包行为，</w:t>
      </w:r>
      <w:r>
        <w:rPr>
          <w:rFonts w:ascii="宋体" w:hAnsi="宋体"/>
          <w:color w:val="auto"/>
          <w:highlight w:val="none"/>
        </w:rPr>
        <w:t>甲</w:t>
      </w:r>
      <w:r>
        <w:rPr>
          <w:rFonts w:hint="eastAsia" w:ascii="宋体" w:hAnsi="宋体"/>
          <w:color w:val="auto"/>
          <w:highlight w:val="none"/>
        </w:rPr>
        <w:t>方有权解除合同，追究乙方的违约责任。</w:t>
      </w:r>
    </w:p>
    <w:p>
      <w:pPr>
        <w:pStyle w:val="29"/>
        <w:snapToGrid w:val="0"/>
        <w:spacing w:beforeLines="0" w:afterLines="0" w:line="360" w:lineRule="auto"/>
        <w:ind w:firstLine="482"/>
        <w:rPr>
          <w:rFonts w:hAnsi="宋体"/>
          <w:color w:val="auto"/>
          <w:highlight w:val="none"/>
        </w:rPr>
      </w:pPr>
      <w:r>
        <w:rPr>
          <w:rFonts w:hint="eastAsia" w:hAnsi="宋体"/>
          <w:b/>
          <w:color w:val="auto"/>
          <w:highlight w:val="none"/>
        </w:rPr>
        <w:t>七</w:t>
      </w:r>
      <w:r>
        <w:rPr>
          <w:rFonts w:hAnsi="宋体"/>
          <w:b/>
          <w:color w:val="auto"/>
          <w:highlight w:val="none"/>
        </w:rPr>
        <w:t>、</w:t>
      </w:r>
      <w:r>
        <w:rPr>
          <w:rFonts w:hint="eastAsia" w:hAnsi="宋体"/>
          <w:b/>
          <w:color w:val="auto"/>
          <w:highlight w:val="none"/>
        </w:rPr>
        <w:t>服务期</w:t>
      </w:r>
    </w:p>
    <w:p>
      <w:pPr>
        <w:pStyle w:val="29"/>
        <w:snapToGrid w:val="0"/>
        <w:spacing w:beforeLines="0" w:afterLines="0" w:line="360" w:lineRule="auto"/>
        <w:ind w:firstLine="480"/>
        <w:rPr>
          <w:rFonts w:hAnsi="宋体"/>
          <w:color w:val="auto"/>
          <w:highlight w:val="none"/>
        </w:rPr>
      </w:pPr>
      <w:r>
        <w:rPr>
          <w:rFonts w:hint="eastAsia" w:hAnsi="宋体"/>
          <w:color w:val="auto"/>
          <w:highlight w:val="none"/>
        </w:rPr>
        <w:t>服务期</w:t>
      </w:r>
      <w:r>
        <w:rPr>
          <w:rFonts w:hint="eastAsia" w:hAnsi="宋体"/>
          <w:color w:val="auto"/>
          <w:highlight w:val="none"/>
          <w:u w:val="single"/>
        </w:rPr>
        <w:t xml:space="preserve">          </w:t>
      </w:r>
      <w:r>
        <w:rPr>
          <w:rFonts w:hAnsi="宋体"/>
          <w:color w:val="auto"/>
          <w:highlight w:val="none"/>
        </w:rPr>
        <w:t>年。（自验收合格之日起计）</w:t>
      </w:r>
    </w:p>
    <w:p>
      <w:pPr>
        <w:pStyle w:val="29"/>
        <w:snapToGrid w:val="0"/>
        <w:spacing w:beforeLines="0" w:afterLines="0" w:line="360" w:lineRule="auto"/>
        <w:ind w:firstLine="482"/>
        <w:rPr>
          <w:rFonts w:hAnsi="宋体"/>
          <w:b/>
          <w:color w:val="auto"/>
          <w:highlight w:val="none"/>
        </w:rPr>
      </w:pPr>
      <w:r>
        <w:rPr>
          <w:rFonts w:hint="eastAsia" w:hAnsi="宋体"/>
          <w:b/>
          <w:color w:val="auto"/>
          <w:highlight w:val="none"/>
        </w:rPr>
        <w:t>八</w:t>
      </w:r>
      <w:r>
        <w:rPr>
          <w:rFonts w:hAnsi="宋体"/>
          <w:b/>
          <w:color w:val="auto"/>
          <w:highlight w:val="none"/>
        </w:rPr>
        <w:t>、交货期、交货地点</w:t>
      </w:r>
    </w:p>
    <w:p>
      <w:pPr>
        <w:pStyle w:val="29"/>
        <w:snapToGrid w:val="0"/>
        <w:spacing w:beforeLines="0" w:afterLines="0" w:line="360" w:lineRule="auto"/>
        <w:ind w:firstLine="480"/>
        <w:rPr>
          <w:rFonts w:hAnsi="宋体"/>
          <w:bCs/>
          <w:color w:val="auto"/>
          <w:highlight w:val="none"/>
        </w:rPr>
      </w:pPr>
      <w:r>
        <w:rPr>
          <w:rFonts w:hAnsi="宋体"/>
          <w:bCs/>
          <w:color w:val="auto"/>
          <w:highlight w:val="none"/>
        </w:rPr>
        <w:t>1</w:t>
      </w:r>
      <w:r>
        <w:rPr>
          <w:rFonts w:hint="eastAsia" w:hAnsi="宋体"/>
          <w:bCs/>
          <w:color w:val="auto"/>
          <w:highlight w:val="none"/>
        </w:rPr>
        <w:t>.交货期</w:t>
      </w:r>
      <w:r>
        <w:rPr>
          <w:rFonts w:hAnsi="宋体"/>
          <w:bCs/>
          <w:color w:val="auto"/>
          <w:highlight w:val="none"/>
        </w:rPr>
        <w:t>：</w:t>
      </w:r>
      <w:r>
        <w:rPr>
          <w:rFonts w:hint="eastAsia" w:hAnsi="宋体"/>
          <w:bCs/>
          <w:color w:val="auto"/>
          <w:highlight w:val="none"/>
        </w:rPr>
        <w:t xml:space="preserve">                                    </w:t>
      </w:r>
      <w:r>
        <w:rPr>
          <w:rFonts w:hAnsi="宋体"/>
          <w:bCs/>
          <w:color w:val="auto"/>
          <w:highlight w:val="none"/>
        </w:rPr>
        <w:t>2</w:t>
      </w:r>
      <w:r>
        <w:rPr>
          <w:rFonts w:hint="eastAsia" w:hAnsi="宋体"/>
          <w:bCs/>
          <w:color w:val="auto"/>
          <w:highlight w:val="none"/>
        </w:rPr>
        <w:t>.</w:t>
      </w:r>
      <w:r>
        <w:rPr>
          <w:rFonts w:hAnsi="宋体"/>
          <w:bCs/>
          <w:color w:val="auto"/>
          <w:highlight w:val="none"/>
        </w:rPr>
        <w:t>交货地点：</w:t>
      </w:r>
    </w:p>
    <w:p>
      <w:pPr>
        <w:pStyle w:val="29"/>
        <w:snapToGrid w:val="0"/>
        <w:spacing w:beforeLines="0" w:afterLines="0" w:line="360" w:lineRule="auto"/>
        <w:ind w:firstLine="482"/>
        <w:rPr>
          <w:rFonts w:hAnsi="宋体"/>
          <w:b/>
          <w:color w:val="auto"/>
          <w:highlight w:val="none"/>
        </w:rPr>
      </w:pPr>
      <w:r>
        <w:rPr>
          <w:rFonts w:hint="eastAsia" w:hAnsi="宋体"/>
          <w:b/>
          <w:color w:val="auto"/>
          <w:highlight w:val="none"/>
        </w:rPr>
        <w:t>九、货款支付</w:t>
      </w:r>
    </w:p>
    <w:p>
      <w:pPr>
        <w:ind w:firstLine="480"/>
        <w:rPr>
          <w:rFonts w:hAnsi="宋体"/>
          <w:bCs/>
          <w:color w:val="auto"/>
          <w:highlight w:val="none"/>
        </w:rPr>
      </w:pPr>
      <w:r>
        <w:rPr>
          <w:rFonts w:hint="eastAsia" w:hAnsi="宋体"/>
          <w:bCs/>
          <w:color w:val="auto"/>
          <w:highlight w:val="none"/>
        </w:rPr>
        <w:t>1.付款方式：</w:t>
      </w:r>
      <w:r>
        <w:rPr>
          <w:rFonts w:hint="eastAsia"/>
          <w:color w:val="auto"/>
          <w:highlight w:val="none"/>
        </w:rPr>
        <w:t>采购人付款方式：合同签订后20个工作日内，支付合同总额的30%。项目验收后，每月经采购人考核确认后，根据考核结果按季度进行支付。</w:t>
      </w:r>
    </w:p>
    <w:p>
      <w:pPr>
        <w:snapToGrid w:val="0"/>
        <w:ind w:firstLine="482"/>
        <w:rPr>
          <w:rFonts w:ascii="宋体" w:hAnsi="宋体"/>
          <w:b/>
          <w:color w:val="auto"/>
          <w:szCs w:val="20"/>
          <w:highlight w:val="none"/>
        </w:rPr>
      </w:pPr>
      <w:r>
        <w:rPr>
          <w:rFonts w:hint="eastAsia" w:ascii="宋体" w:hAnsi="宋体"/>
          <w:b/>
          <w:color w:val="auto"/>
          <w:highlight w:val="none"/>
        </w:rPr>
        <w:t>十、税费</w:t>
      </w:r>
    </w:p>
    <w:p>
      <w:pPr>
        <w:snapToGrid w:val="0"/>
        <w:ind w:firstLine="480"/>
        <w:rPr>
          <w:rFonts w:ascii="宋体" w:hAnsi="宋体"/>
          <w:color w:val="auto"/>
          <w:szCs w:val="20"/>
          <w:highlight w:val="none"/>
        </w:rPr>
      </w:pPr>
      <w:r>
        <w:rPr>
          <w:rFonts w:hint="eastAsia" w:ascii="宋体" w:hAnsi="宋体"/>
          <w:color w:val="auto"/>
          <w:highlight w:val="none"/>
        </w:rPr>
        <w:t>本合同执行中相关的一切税费均由</w:t>
      </w:r>
      <w:r>
        <w:rPr>
          <w:rFonts w:hAnsi="宋体"/>
          <w:color w:val="auto"/>
          <w:highlight w:val="none"/>
        </w:rPr>
        <w:t>乙</w:t>
      </w:r>
      <w:r>
        <w:rPr>
          <w:rFonts w:hint="eastAsia" w:ascii="宋体" w:hAnsi="宋体"/>
          <w:color w:val="auto"/>
          <w:highlight w:val="none"/>
        </w:rPr>
        <w:t>方负担。</w:t>
      </w:r>
    </w:p>
    <w:p>
      <w:pPr>
        <w:pStyle w:val="29"/>
        <w:snapToGrid w:val="0"/>
        <w:spacing w:beforeLines="0" w:afterLines="0" w:line="240" w:lineRule="auto"/>
        <w:ind w:firstLine="482"/>
        <w:rPr>
          <w:rFonts w:hAnsi="宋体"/>
          <w:color w:val="auto"/>
          <w:highlight w:val="none"/>
        </w:rPr>
      </w:pPr>
      <w:r>
        <w:rPr>
          <w:rFonts w:hAnsi="宋体"/>
          <w:b/>
          <w:color w:val="auto"/>
          <w:highlight w:val="none"/>
        </w:rPr>
        <w:t>十</w:t>
      </w:r>
      <w:r>
        <w:rPr>
          <w:rFonts w:hint="eastAsia" w:hAnsi="宋体"/>
          <w:b/>
          <w:color w:val="auto"/>
          <w:highlight w:val="none"/>
        </w:rPr>
        <w:t>一</w:t>
      </w:r>
      <w:r>
        <w:rPr>
          <w:rFonts w:hAnsi="宋体"/>
          <w:b/>
          <w:color w:val="auto"/>
          <w:highlight w:val="none"/>
        </w:rPr>
        <w:t>、质量保证及售后服务</w:t>
      </w:r>
    </w:p>
    <w:p>
      <w:pPr>
        <w:pStyle w:val="29"/>
        <w:snapToGrid w:val="0"/>
        <w:spacing w:beforeLines="0" w:afterLines="0" w:line="360" w:lineRule="auto"/>
        <w:ind w:firstLine="480"/>
        <w:rPr>
          <w:rFonts w:hAnsi="宋体"/>
          <w:color w:val="auto"/>
          <w:highlight w:val="none"/>
        </w:rPr>
      </w:pPr>
      <w:r>
        <w:rPr>
          <w:rFonts w:hAnsi="宋体"/>
          <w:color w:val="auto"/>
          <w:highlight w:val="none"/>
        </w:rPr>
        <w:t>1</w:t>
      </w:r>
      <w:r>
        <w:rPr>
          <w:rFonts w:hint="eastAsia" w:hAnsi="宋体"/>
          <w:color w:val="auto"/>
          <w:highlight w:val="none"/>
        </w:rPr>
        <w:t>.</w:t>
      </w:r>
      <w:r>
        <w:rPr>
          <w:rFonts w:hAnsi="宋体"/>
          <w:color w:val="auto"/>
          <w:highlight w:val="none"/>
        </w:rPr>
        <w:t>乙方应按招标文件规定的货物性能、技术要求、质量标准向甲方提供未经使用的全新产品。</w:t>
      </w:r>
    </w:p>
    <w:p>
      <w:pPr>
        <w:pStyle w:val="29"/>
        <w:snapToGrid w:val="0"/>
        <w:spacing w:beforeLines="0" w:afterLines="0" w:line="360" w:lineRule="auto"/>
        <w:ind w:firstLine="480"/>
        <w:rPr>
          <w:rFonts w:hAnsi="宋体"/>
          <w:color w:val="auto"/>
          <w:highlight w:val="none"/>
        </w:rPr>
      </w:pPr>
      <w:r>
        <w:rPr>
          <w:rFonts w:hAnsi="宋体"/>
          <w:color w:val="auto"/>
          <w:highlight w:val="none"/>
        </w:rPr>
        <w:t>2</w:t>
      </w:r>
      <w:r>
        <w:rPr>
          <w:rFonts w:hint="eastAsia" w:hAnsi="宋体"/>
          <w:color w:val="auto"/>
          <w:highlight w:val="none"/>
        </w:rPr>
        <w:t>.</w:t>
      </w:r>
      <w:r>
        <w:rPr>
          <w:rFonts w:hAnsi="宋体"/>
          <w:color w:val="auto"/>
          <w:highlight w:val="none"/>
        </w:rPr>
        <w:t>乙方提供的货物在</w:t>
      </w:r>
      <w:r>
        <w:rPr>
          <w:rFonts w:hint="eastAsia" w:hAnsi="宋体"/>
          <w:color w:val="auto"/>
          <w:highlight w:val="none"/>
        </w:rPr>
        <w:t>服务期</w:t>
      </w:r>
      <w:r>
        <w:rPr>
          <w:rFonts w:hAnsi="宋体"/>
          <w:color w:val="auto"/>
          <w:highlight w:val="none"/>
        </w:rPr>
        <w:t>内因货物本身的质量问题发生故障，乙方应负责免费更换。对达不到技术要求者，根据实际情况，经双方协商，可按以下办法处理：</w:t>
      </w:r>
    </w:p>
    <w:p>
      <w:pPr>
        <w:pStyle w:val="29"/>
        <w:snapToGrid w:val="0"/>
        <w:spacing w:beforeLines="0" w:afterLines="0" w:line="360" w:lineRule="auto"/>
        <w:ind w:firstLine="480"/>
        <w:rPr>
          <w:rFonts w:hAnsi="宋体"/>
          <w:color w:val="auto"/>
          <w:highlight w:val="none"/>
        </w:rPr>
      </w:pPr>
      <w:r>
        <w:rPr>
          <w:rFonts w:hAnsi="宋体"/>
          <w:color w:val="auto"/>
          <w:highlight w:val="none"/>
        </w:rPr>
        <w:t>⑴更换：由乙方承担所发生的全部费用。</w:t>
      </w:r>
    </w:p>
    <w:p>
      <w:pPr>
        <w:pStyle w:val="29"/>
        <w:snapToGrid w:val="0"/>
        <w:spacing w:beforeLines="0" w:afterLines="0" w:line="360" w:lineRule="auto"/>
        <w:ind w:firstLine="480"/>
        <w:rPr>
          <w:rFonts w:hAnsi="宋体"/>
          <w:color w:val="auto"/>
          <w:highlight w:val="none"/>
        </w:rPr>
      </w:pPr>
      <w:r>
        <w:rPr>
          <w:rFonts w:hAnsi="宋体"/>
          <w:color w:val="auto"/>
          <w:highlight w:val="none"/>
        </w:rPr>
        <w:t>⑵贬值处理：由甲乙双方合议定价。</w:t>
      </w:r>
    </w:p>
    <w:p>
      <w:pPr>
        <w:pStyle w:val="29"/>
        <w:snapToGrid w:val="0"/>
        <w:spacing w:beforeLines="0" w:afterLines="0" w:line="360" w:lineRule="auto"/>
        <w:ind w:firstLine="480"/>
        <w:rPr>
          <w:rFonts w:hAnsi="宋体"/>
          <w:color w:val="auto"/>
          <w:highlight w:val="none"/>
        </w:rPr>
      </w:pPr>
      <w:r>
        <w:rPr>
          <w:rFonts w:hAnsi="宋体"/>
          <w:color w:val="auto"/>
          <w:highlight w:val="none"/>
        </w:rPr>
        <w:t>⑶退货处理：乙方应退还甲方支付的合同款，同时应承担该货物的直接费用（运输、保险、检验、货款利息及银行手续费等）。</w:t>
      </w:r>
    </w:p>
    <w:p>
      <w:pPr>
        <w:pStyle w:val="29"/>
        <w:snapToGrid w:val="0"/>
        <w:spacing w:beforeLines="0" w:afterLines="0" w:line="360" w:lineRule="auto"/>
        <w:ind w:firstLine="480"/>
        <w:rPr>
          <w:rFonts w:hAnsi="宋体"/>
          <w:color w:val="auto"/>
          <w:highlight w:val="none"/>
        </w:rPr>
      </w:pPr>
      <w:r>
        <w:rPr>
          <w:rFonts w:hAnsi="宋体"/>
          <w:color w:val="auto"/>
          <w:highlight w:val="none"/>
        </w:rPr>
        <w:t>3</w:t>
      </w:r>
      <w:r>
        <w:rPr>
          <w:rFonts w:hint="eastAsia" w:hAnsi="宋体"/>
          <w:color w:val="auto"/>
          <w:highlight w:val="none"/>
        </w:rPr>
        <w:t>.</w:t>
      </w:r>
      <w:r>
        <w:rPr>
          <w:rFonts w:hAnsi="宋体"/>
          <w:color w:val="auto"/>
          <w:highlight w:val="none"/>
        </w:rPr>
        <w:t>如在使用过程中发生质量问题，乙方在接到甲方通知后在小时内到达甲方现场。</w:t>
      </w:r>
    </w:p>
    <w:p>
      <w:pPr>
        <w:pStyle w:val="29"/>
        <w:snapToGrid w:val="0"/>
        <w:spacing w:beforeLines="0" w:afterLines="0" w:line="360" w:lineRule="auto"/>
        <w:ind w:firstLine="480"/>
        <w:rPr>
          <w:rFonts w:hAnsi="宋体"/>
          <w:color w:val="auto"/>
          <w:highlight w:val="none"/>
        </w:rPr>
      </w:pPr>
      <w:r>
        <w:rPr>
          <w:rFonts w:hAnsi="宋体"/>
          <w:color w:val="auto"/>
          <w:highlight w:val="none"/>
        </w:rPr>
        <w:t>4</w:t>
      </w:r>
      <w:r>
        <w:rPr>
          <w:rFonts w:hint="eastAsia" w:hAnsi="宋体"/>
          <w:color w:val="auto"/>
          <w:highlight w:val="none"/>
        </w:rPr>
        <w:t>.</w:t>
      </w:r>
      <w:r>
        <w:rPr>
          <w:rFonts w:hAnsi="宋体"/>
          <w:color w:val="auto"/>
          <w:highlight w:val="none"/>
        </w:rPr>
        <w:t>在</w:t>
      </w:r>
      <w:r>
        <w:rPr>
          <w:rFonts w:hint="eastAsia" w:hAnsi="宋体"/>
          <w:color w:val="auto"/>
          <w:highlight w:val="none"/>
        </w:rPr>
        <w:t>服务期</w:t>
      </w:r>
      <w:r>
        <w:rPr>
          <w:rFonts w:hAnsi="宋体"/>
          <w:color w:val="auto"/>
          <w:highlight w:val="none"/>
        </w:rPr>
        <w:t>内，乙方应对货物出现的质量及安全问题负责处理解决并承担一切费用。</w:t>
      </w:r>
    </w:p>
    <w:p>
      <w:pPr>
        <w:pStyle w:val="29"/>
        <w:snapToGrid w:val="0"/>
        <w:spacing w:beforeLines="0" w:afterLines="0" w:line="360" w:lineRule="auto"/>
        <w:ind w:firstLine="480"/>
        <w:rPr>
          <w:rFonts w:hAnsi="宋体"/>
          <w:color w:val="auto"/>
          <w:highlight w:val="none"/>
        </w:rPr>
      </w:pPr>
      <w:r>
        <w:rPr>
          <w:rFonts w:hAnsi="宋体"/>
          <w:color w:val="auto"/>
          <w:highlight w:val="none"/>
        </w:rPr>
        <w:t>5</w:t>
      </w:r>
      <w:r>
        <w:rPr>
          <w:rFonts w:hint="eastAsia" w:hAnsi="宋体"/>
          <w:color w:val="auto"/>
          <w:highlight w:val="none"/>
        </w:rPr>
        <w:t>.</w:t>
      </w:r>
      <w:r>
        <w:rPr>
          <w:rFonts w:hAnsi="宋体"/>
          <w:color w:val="auto"/>
          <w:highlight w:val="none"/>
        </w:rPr>
        <w:t>上述的货物免费保修期</w:t>
      </w:r>
      <w:r>
        <w:rPr>
          <w:rFonts w:hint="eastAsia" w:hAnsi="宋体"/>
          <w:color w:val="auto"/>
          <w:highlight w:val="none"/>
        </w:rPr>
        <w:t>内</w:t>
      </w:r>
      <w:r>
        <w:rPr>
          <w:rFonts w:hAnsi="宋体"/>
          <w:color w:val="auto"/>
          <w:highlight w:val="none"/>
        </w:rPr>
        <w:t>，因人为因素出现的故障不在免费保修范围内。超过保修期的机器设备，终生维修，维修时只收部件成本费。</w:t>
      </w:r>
    </w:p>
    <w:p>
      <w:pPr>
        <w:pStyle w:val="29"/>
        <w:snapToGrid w:val="0"/>
        <w:spacing w:beforeLines="0" w:afterLines="0" w:line="360" w:lineRule="auto"/>
        <w:ind w:firstLine="482"/>
        <w:rPr>
          <w:rFonts w:hAnsi="宋体"/>
          <w:b/>
          <w:color w:val="auto"/>
          <w:highlight w:val="none"/>
        </w:rPr>
      </w:pPr>
      <w:r>
        <w:rPr>
          <w:rFonts w:hAnsi="宋体"/>
          <w:b/>
          <w:color w:val="auto"/>
          <w:highlight w:val="none"/>
        </w:rPr>
        <w:t>十</w:t>
      </w:r>
      <w:r>
        <w:rPr>
          <w:rFonts w:hint="eastAsia" w:hAnsi="宋体"/>
          <w:b/>
          <w:color w:val="auto"/>
          <w:highlight w:val="none"/>
        </w:rPr>
        <w:t>二</w:t>
      </w:r>
      <w:r>
        <w:rPr>
          <w:rFonts w:hAnsi="宋体"/>
          <w:b/>
          <w:color w:val="auto"/>
          <w:highlight w:val="none"/>
        </w:rPr>
        <w:t>、调试和验收</w:t>
      </w:r>
    </w:p>
    <w:p>
      <w:pPr>
        <w:pStyle w:val="29"/>
        <w:snapToGrid w:val="0"/>
        <w:spacing w:beforeLines="0" w:afterLines="0" w:line="360" w:lineRule="auto"/>
        <w:ind w:firstLine="480"/>
        <w:rPr>
          <w:rFonts w:hAnsi="宋体"/>
          <w:color w:val="auto"/>
          <w:highlight w:val="none"/>
        </w:rPr>
      </w:pPr>
      <w:r>
        <w:rPr>
          <w:rFonts w:hint="eastAsia" w:hAnsi="宋体"/>
          <w:color w:val="auto"/>
          <w:szCs w:val="21"/>
          <w:highlight w:val="none"/>
        </w:rPr>
        <w:t>项目验收：在</w:t>
      </w:r>
      <w:r>
        <w:rPr>
          <w:rFonts w:hint="eastAsia" w:hAnsi="宋体" w:cs="宋体"/>
          <w:color w:val="auto"/>
          <w:kern w:val="0"/>
          <w:highlight w:val="none"/>
        </w:rPr>
        <w:t>合同签订后60天内且建设总点位数达到2600个点并同步上传至东阳市级应急广播平台，后续建设点位由采购方确认按月进入服务期。</w:t>
      </w:r>
      <w:r>
        <w:rPr>
          <w:rFonts w:hint="eastAsia" w:hAnsi="宋体"/>
          <w:color w:val="auto"/>
          <w:szCs w:val="21"/>
          <w:highlight w:val="none"/>
        </w:rPr>
        <w:t>甲方按照招标文件要求，自行组织验收,交易中心或市采购办抽验，</w:t>
      </w:r>
      <w:r>
        <w:rPr>
          <w:rFonts w:hAnsi="宋体"/>
          <w:color w:val="auto"/>
          <w:highlight w:val="none"/>
        </w:rPr>
        <w:t>验收时乙方必须在现场。</w:t>
      </w:r>
    </w:p>
    <w:p>
      <w:pPr>
        <w:pStyle w:val="29"/>
        <w:snapToGrid w:val="0"/>
        <w:spacing w:beforeLines="0" w:afterLines="0" w:line="240" w:lineRule="auto"/>
        <w:ind w:firstLine="482"/>
        <w:rPr>
          <w:rFonts w:hAnsi="宋体"/>
          <w:b/>
          <w:color w:val="auto"/>
          <w:highlight w:val="none"/>
        </w:rPr>
      </w:pPr>
      <w:r>
        <w:rPr>
          <w:rFonts w:hAnsi="宋体"/>
          <w:b/>
          <w:color w:val="auto"/>
          <w:highlight w:val="none"/>
        </w:rPr>
        <w:t>十</w:t>
      </w:r>
      <w:r>
        <w:rPr>
          <w:rFonts w:hint="eastAsia" w:hAnsi="宋体"/>
          <w:b/>
          <w:color w:val="auto"/>
          <w:highlight w:val="none"/>
        </w:rPr>
        <w:t>三</w:t>
      </w:r>
      <w:r>
        <w:rPr>
          <w:rFonts w:hAnsi="宋体"/>
          <w:b/>
          <w:color w:val="auto"/>
          <w:highlight w:val="none"/>
        </w:rPr>
        <w:t>、货物包装、发运及运输</w:t>
      </w:r>
    </w:p>
    <w:p>
      <w:pPr>
        <w:pStyle w:val="29"/>
        <w:snapToGrid w:val="0"/>
        <w:spacing w:beforeLines="0" w:afterLines="0" w:line="360" w:lineRule="auto"/>
        <w:ind w:firstLine="480"/>
        <w:rPr>
          <w:rFonts w:hAnsi="宋体"/>
          <w:color w:val="auto"/>
          <w:highlight w:val="none"/>
        </w:rPr>
      </w:pPr>
      <w:r>
        <w:rPr>
          <w:rFonts w:hAnsi="宋体"/>
          <w:color w:val="auto"/>
          <w:highlight w:val="none"/>
        </w:rPr>
        <w:t>1</w:t>
      </w:r>
      <w:r>
        <w:rPr>
          <w:rFonts w:hint="eastAsia" w:hAnsi="宋体"/>
          <w:color w:val="auto"/>
          <w:highlight w:val="none"/>
        </w:rPr>
        <w:t>.</w:t>
      </w:r>
      <w:r>
        <w:rPr>
          <w:rFonts w:hAnsi="宋体"/>
          <w:color w:val="auto"/>
          <w:highlight w:val="none"/>
        </w:rPr>
        <w:t>乙方应在货物发运前对其进行满足运输距离、防潮、防震、防锈和防破损装卸等要求包装，以保证货物安全运达甲方指定地点。</w:t>
      </w:r>
    </w:p>
    <w:p>
      <w:pPr>
        <w:pStyle w:val="29"/>
        <w:snapToGrid w:val="0"/>
        <w:spacing w:beforeLines="0" w:afterLines="0" w:line="360" w:lineRule="auto"/>
        <w:ind w:firstLine="480"/>
        <w:rPr>
          <w:rFonts w:hAnsi="宋体"/>
          <w:color w:val="auto"/>
          <w:highlight w:val="none"/>
        </w:rPr>
      </w:pPr>
      <w:r>
        <w:rPr>
          <w:rFonts w:hAnsi="宋体"/>
          <w:color w:val="auto"/>
          <w:highlight w:val="none"/>
        </w:rPr>
        <w:t>2</w:t>
      </w:r>
      <w:r>
        <w:rPr>
          <w:rFonts w:hint="eastAsia" w:hAnsi="宋体"/>
          <w:color w:val="auto"/>
          <w:highlight w:val="none"/>
        </w:rPr>
        <w:t>.</w:t>
      </w:r>
      <w:r>
        <w:rPr>
          <w:rFonts w:hAnsi="宋体"/>
          <w:color w:val="auto"/>
          <w:highlight w:val="none"/>
        </w:rPr>
        <w:t>使用说明书、质量检验证明书、随配附件和工具以及清单一并附于货物内。</w:t>
      </w:r>
    </w:p>
    <w:p>
      <w:pPr>
        <w:pStyle w:val="29"/>
        <w:snapToGrid w:val="0"/>
        <w:spacing w:beforeLines="0" w:afterLines="0" w:line="360" w:lineRule="auto"/>
        <w:ind w:firstLine="480"/>
        <w:rPr>
          <w:rFonts w:hAnsi="宋体"/>
          <w:color w:val="auto"/>
          <w:highlight w:val="none"/>
        </w:rPr>
      </w:pPr>
      <w:r>
        <w:rPr>
          <w:rFonts w:hAnsi="宋体"/>
          <w:color w:val="auto"/>
          <w:highlight w:val="none"/>
        </w:rPr>
        <w:t>3</w:t>
      </w:r>
      <w:r>
        <w:rPr>
          <w:rFonts w:hint="eastAsia" w:hAnsi="宋体"/>
          <w:color w:val="auto"/>
          <w:highlight w:val="none"/>
        </w:rPr>
        <w:t>.</w:t>
      </w:r>
      <w:r>
        <w:rPr>
          <w:rFonts w:hAnsi="宋体"/>
          <w:color w:val="auto"/>
          <w:highlight w:val="none"/>
        </w:rPr>
        <w:t>乙方在货物发运手续办理完毕后24小时内或货到甲方48小时前通知甲方，以准备接货。</w:t>
      </w:r>
    </w:p>
    <w:p>
      <w:pPr>
        <w:pStyle w:val="29"/>
        <w:snapToGrid w:val="0"/>
        <w:spacing w:beforeLines="0" w:afterLines="0" w:line="360" w:lineRule="auto"/>
        <w:ind w:firstLine="480"/>
        <w:rPr>
          <w:rFonts w:hAnsi="宋体"/>
          <w:color w:val="auto"/>
          <w:highlight w:val="none"/>
        </w:rPr>
      </w:pPr>
      <w:r>
        <w:rPr>
          <w:rFonts w:hAnsi="宋体"/>
          <w:color w:val="auto"/>
          <w:highlight w:val="none"/>
        </w:rPr>
        <w:t>4</w:t>
      </w:r>
      <w:r>
        <w:rPr>
          <w:rFonts w:hint="eastAsia" w:hAnsi="宋体"/>
          <w:color w:val="auto"/>
          <w:highlight w:val="none"/>
        </w:rPr>
        <w:t>.</w:t>
      </w:r>
      <w:r>
        <w:rPr>
          <w:rFonts w:hAnsi="宋体"/>
          <w:color w:val="auto"/>
          <w:highlight w:val="none"/>
        </w:rPr>
        <w:t>货物在交付甲方前发生的风险均由乙方负责。</w:t>
      </w:r>
    </w:p>
    <w:p>
      <w:pPr>
        <w:pStyle w:val="29"/>
        <w:snapToGrid w:val="0"/>
        <w:spacing w:beforeLines="0" w:afterLines="0" w:line="360" w:lineRule="auto"/>
        <w:ind w:firstLine="480"/>
        <w:rPr>
          <w:rFonts w:hAnsi="宋体"/>
          <w:color w:val="auto"/>
          <w:highlight w:val="none"/>
        </w:rPr>
      </w:pPr>
      <w:r>
        <w:rPr>
          <w:rFonts w:hAnsi="宋体"/>
          <w:color w:val="auto"/>
          <w:highlight w:val="none"/>
        </w:rPr>
        <w:t>5</w:t>
      </w:r>
      <w:r>
        <w:rPr>
          <w:rFonts w:hint="eastAsia" w:hAnsi="宋体"/>
          <w:color w:val="auto"/>
          <w:highlight w:val="none"/>
        </w:rPr>
        <w:t>.</w:t>
      </w:r>
      <w:r>
        <w:rPr>
          <w:rFonts w:hAnsi="宋体"/>
          <w:color w:val="auto"/>
          <w:highlight w:val="none"/>
        </w:rPr>
        <w:t>货物在规定的交付期限内由乙方送达甲方指定的地点视为交付，乙方同时需通知甲方货物已送达。</w:t>
      </w:r>
    </w:p>
    <w:p>
      <w:pPr>
        <w:pStyle w:val="29"/>
        <w:snapToGrid w:val="0"/>
        <w:spacing w:beforeLines="0" w:afterLines="0" w:line="240" w:lineRule="auto"/>
        <w:ind w:firstLine="482"/>
        <w:rPr>
          <w:rFonts w:hAnsi="宋体"/>
          <w:b/>
          <w:color w:val="auto"/>
          <w:highlight w:val="none"/>
        </w:rPr>
      </w:pPr>
      <w:r>
        <w:rPr>
          <w:rFonts w:hAnsi="宋体"/>
          <w:b/>
          <w:color w:val="auto"/>
          <w:highlight w:val="none"/>
        </w:rPr>
        <w:t>十</w:t>
      </w:r>
      <w:r>
        <w:rPr>
          <w:rFonts w:hint="eastAsia" w:hAnsi="宋体"/>
          <w:b/>
          <w:color w:val="auto"/>
          <w:highlight w:val="none"/>
        </w:rPr>
        <w:t>四</w:t>
      </w:r>
      <w:r>
        <w:rPr>
          <w:rFonts w:hAnsi="宋体"/>
          <w:b/>
          <w:color w:val="auto"/>
          <w:highlight w:val="none"/>
        </w:rPr>
        <w:t>、违约责任</w:t>
      </w:r>
    </w:p>
    <w:p>
      <w:pPr>
        <w:pStyle w:val="29"/>
        <w:snapToGrid w:val="0"/>
        <w:spacing w:beforeLines="0" w:afterLines="0" w:line="360" w:lineRule="auto"/>
        <w:ind w:firstLine="480"/>
        <w:rPr>
          <w:rFonts w:hAnsi="宋体"/>
          <w:color w:val="auto"/>
          <w:highlight w:val="none"/>
        </w:rPr>
      </w:pPr>
      <w:r>
        <w:rPr>
          <w:rFonts w:hAnsi="宋体"/>
          <w:color w:val="auto"/>
          <w:highlight w:val="none"/>
        </w:rPr>
        <w:t>1</w:t>
      </w:r>
      <w:r>
        <w:rPr>
          <w:rFonts w:hint="eastAsia" w:hAnsi="宋体"/>
          <w:color w:val="auto"/>
          <w:highlight w:val="none"/>
        </w:rPr>
        <w:t>.</w:t>
      </w:r>
      <w:r>
        <w:rPr>
          <w:rFonts w:hAnsi="宋体"/>
          <w:color w:val="auto"/>
          <w:highlight w:val="none"/>
        </w:rPr>
        <w:t>甲方无正当理由拒收货物的，甲方向乙方偿付拒收货款总值的百分之五违约金。</w:t>
      </w:r>
    </w:p>
    <w:p>
      <w:pPr>
        <w:pStyle w:val="29"/>
        <w:snapToGrid w:val="0"/>
        <w:spacing w:beforeLines="0" w:afterLines="0" w:line="360" w:lineRule="auto"/>
        <w:ind w:firstLine="480"/>
        <w:rPr>
          <w:rFonts w:hAnsi="宋体"/>
          <w:color w:val="auto"/>
          <w:highlight w:val="none"/>
        </w:rPr>
      </w:pPr>
      <w:r>
        <w:rPr>
          <w:rFonts w:hAnsi="宋体"/>
          <w:color w:val="auto"/>
          <w:highlight w:val="none"/>
        </w:rPr>
        <w:t>2</w:t>
      </w:r>
      <w:r>
        <w:rPr>
          <w:rFonts w:hint="eastAsia" w:hAnsi="宋体"/>
          <w:color w:val="auto"/>
          <w:highlight w:val="none"/>
        </w:rPr>
        <w:t>.</w:t>
      </w:r>
      <w:r>
        <w:rPr>
          <w:rFonts w:hAnsi="宋体"/>
          <w:color w:val="auto"/>
          <w:highlight w:val="none"/>
        </w:rPr>
        <w:t>甲方无故逾期验收和办理货款支付手续的,甲方应按逾期付款总额每日万分之五向乙方支付违约金。</w:t>
      </w:r>
    </w:p>
    <w:p>
      <w:pPr>
        <w:pStyle w:val="29"/>
        <w:snapToGrid w:val="0"/>
        <w:spacing w:beforeLines="0" w:afterLines="0" w:line="360" w:lineRule="auto"/>
        <w:ind w:firstLine="480"/>
        <w:rPr>
          <w:rFonts w:hAnsi="宋体"/>
          <w:color w:val="auto"/>
          <w:highlight w:val="none"/>
        </w:rPr>
      </w:pPr>
      <w:r>
        <w:rPr>
          <w:rFonts w:hAnsi="宋体"/>
          <w:color w:val="auto"/>
          <w:highlight w:val="none"/>
        </w:rPr>
        <w:t>3</w:t>
      </w:r>
      <w:r>
        <w:rPr>
          <w:rFonts w:hint="eastAsia" w:hAnsi="宋体"/>
          <w:color w:val="auto"/>
          <w:highlight w:val="none"/>
        </w:rPr>
        <w:t>.</w:t>
      </w:r>
      <w:r>
        <w:rPr>
          <w:rFonts w:hAnsi="宋体"/>
          <w:color w:val="auto"/>
          <w:highlight w:val="none"/>
        </w:rPr>
        <w:t>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pStyle w:val="29"/>
        <w:snapToGrid w:val="0"/>
        <w:spacing w:beforeLines="0" w:afterLines="0" w:line="360" w:lineRule="auto"/>
        <w:ind w:firstLine="480"/>
        <w:rPr>
          <w:rFonts w:hAnsi="宋体"/>
          <w:color w:val="auto"/>
          <w:highlight w:val="none"/>
        </w:rPr>
      </w:pPr>
      <w:r>
        <w:rPr>
          <w:rFonts w:hAnsi="宋体"/>
          <w:color w:val="auto"/>
          <w:highlight w:val="none"/>
        </w:rPr>
        <w:t>4</w:t>
      </w:r>
      <w:r>
        <w:rPr>
          <w:rFonts w:hint="eastAsia" w:hAnsi="宋体"/>
          <w:color w:val="auto"/>
          <w:highlight w:val="none"/>
        </w:rPr>
        <w:t>.</w:t>
      </w:r>
      <w:r>
        <w:rPr>
          <w:rFonts w:hAnsi="宋体"/>
          <w:color w:val="auto"/>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9"/>
        <w:snapToGrid w:val="0"/>
        <w:spacing w:beforeLines="0" w:afterLines="0" w:line="240" w:lineRule="auto"/>
        <w:ind w:firstLine="482"/>
        <w:rPr>
          <w:rFonts w:hAnsi="宋体"/>
          <w:b/>
          <w:color w:val="auto"/>
          <w:highlight w:val="none"/>
        </w:rPr>
      </w:pPr>
      <w:r>
        <w:rPr>
          <w:rFonts w:hAnsi="宋体"/>
          <w:b/>
          <w:color w:val="auto"/>
          <w:highlight w:val="none"/>
        </w:rPr>
        <w:t>十</w:t>
      </w:r>
      <w:r>
        <w:rPr>
          <w:rFonts w:hint="eastAsia" w:hAnsi="宋体"/>
          <w:b/>
          <w:color w:val="auto"/>
          <w:highlight w:val="none"/>
        </w:rPr>
        <w:t>五</w:t>
      </w:r>
      <w:r>
        <w:rPr>
          <w:rFonts w:hAnsi="宋体"/>
          <w:b/>
          <w:color w:val="auto"/>
          <w:highlight w:val="none"/>
        </w:rPr>
        <w:t>、不可抗力事件处理</w:t>
      </w:r>
    </w:p>
    <w:p>
      <w:pPr>
        <w:pStyle w:val="29"/>
        <w:snapToGrid w:val="0"/>
        <w:spacing w:beforeLines="0" w:afterLines="0" w:line="360" w:lineRule="auto"/>
        <w:ind w:firstLine="480"/>
        <w:rPr>
          <w:rFonts w:hAnsi="宋体"/>
          <w:color w:val="auto"/>
          <w:highlight w:val="none"/>
        </w:rPr>
      </w:pPr>
      <w:r>
        <w:rPr>
          <w:rFonts w:hAnsi="宋体"/>
          <w:color w:val="auto"/>
          <w:highlight w:val="none"/>
        </w:rPr>
        <w:t>1</w:t>
      </w:r>
      <w:r>
        <w:rPr>
          <w:rFonts w:hint="eastAsia" w:hAnsi="宋体"/>
          <w:color w:val="auto"/>
          <w:highlight w:val="none"/>
        </w:rPr>
        <w:t>.</w:t>
      </w:r>
      <w:r>
        <w:rPr>
          <w:rFonts w:hAnsi="宋体"/>
          <w:color w:val="auto"/>
          <w:highlight w:val="none"/>
        </w:rPr>
        <w:t>在合同有效期内，任何一方因不可抗力事件导致不能履行合同，则合同履行期可延长，其延长期与不可抗力影响期相同。</w:t>
      </w:r>
    </w:p>
    <w:p>
      <w:pPr>
        <w:pStyle w:val="29"/>
        <w:snapToGrid w:val="0"/>
        <w:spacing w:beforeLines="0" w:afterLines="0" w:line="360" w:lineRule="auto"/>
        <w:ind w:firstLine="480"/>
        <w:rPr>
          <w:rFonts w:hAnsi="宋体"/>
          <w:color w:val="auto"/>
          <w:highlight w:val="none"/>
        </w:rPr>
      </w:pPr>
      <w:r>
        <w:rPr>
          <w:rFonts w:hAnsi="宋体"/>
          <w:color w:val="auto"/>
          <w:highlight w:val="none"/>
        </w:rPr>
        <w:t>2</w:t>
      </w:r>
      <w:r>
        <w:rPr>
          <w:rFonts w:hint="eastAsia" w:hAnsi="宋体"/>
          <w:color w:val="auto"/>
          <w:highlight w:val="none"/>
        </w:rPr>
        <w:t>.</w:t>
      </w:r>
      <w:r>
        <w:rPr>
          <w:rFonts w:hAnsi="宋体"/>
          <w:color w:val="auto"/>
          <w:highlight w:val="none"/>
        </w:rPr>
        <w:t>不可抗力事件发生后，应立即通知对方，并寄送有关权威机构出具的证明。</w:t>
      </w:r>
    </w:p>
    <w:p>
      <w:pPr>
        <w:pStyle w:val="29"/>
        <w:snapToGrid w:val="0"/>
        <w:spacing w:beforeLines="0" w:afterLines="0" w:line="360" w:lineRule="auto"/>
        <w:ind w:firstLine="480"/>
        <w:rPr>
          <w:rFonts w:hAnsi="宋体"/>
          <w:color w:val="auto"/>
          <w:highlight w:val="none"/>
        </w:rPr>
      </w:pPr>
      <w:r>
        <w:rPr>
          <w:rFonts w:hAnsi="宋体"/>
          <w:color w:val="auto"/>
          <w:highlight w:val="none"/>
        </w:rPr>
        <w:t>3</w:t>
      </w:r>
      <w:r>
        <w:rPr>
          <w:rFonts w:hint="eastAsia" w:hAnsi="宋体"/>
          <w:color w:val="auto"/>
          <w:highlight w:val="none"/>
        </w:rPr>
        <w:t>.</w:t>
      </w:r>
      <w:r>
        <w:rPr>
          <w:rFonts w:hAnsi="宋体"/>
          <w:color w:val="auto"/>
          <w:highlight w:val="none"/>
        </w:rPr>
        <w:t>不可抗力事件延续120天以上，双方应通过友好协商，确定是否继续履行合同。</w:t>
      </w:r>
    </w:p>
    <w:p>
      <w:pPr>
        <w:pStyle w:val="29"/>
        <w:snapToGrid w:val="0"/>
        <w:spacing w:beforeLines="0" w:afterLines="0" w:line="240" w:lineRule="auto"/>
        <w:ind w:firstLine="482"/>
        <w:rPr>
          <w:rFonts w:hAnsi="宋体"/>
          <w:b/>
          <w:color w:val="auto"/>
          <w:highlight w:val="none"/>
        </w:rPr>
      </w:pPr>
      <w:r>
        <w:rPr>
          <w:rFonts w:hAnsi="宋体"/>
          <w:b/>
          <w:color w:val="auto"/>
          <w:highlight w:val="none"/>
        </w:rPr>
        <w:t>十</w:t>
      </w:r>
      <w:r>
        <w:rPr>
          <w:rFonts w:hint="eastAsia" w:hAnsi="宋体"/>
          <w:b/>
          <w:color w:val="auto"/>
          <w:highlight w:val="none"/>
        </w:rPr>
        <w:t>六</w:t>
      </w:r>
      <w:r>
        <w:rPr>
          <w:rFonts w:hAnsi="宋体"/>
          <w:b/>
          <w:color w:val="auto"/>
          <w:highlight w:val="none"/>
        </w:rPr>
        <w:t>、诉讼</w:t>
      </w:r>
    </w:p>
    <w:p>
      <w:pPr>
        <w:pStyle w:val="29"/>
        <w:snapToGrid w:val="0"/>
        <w:spacing w:beforeLines="0" w:afterLines="0" w:line="360" w:lineRule="auto"/>
        <w:ind w:firstLine="480"/>
        <w:rPr>
          <w:rFonts w:hAnsi="宋体"/>
          <w:color w:val="auto"/>
          <w:highlight w:val="none"/>
        </w:rPr>
      </w:pPr>
      <w:r>
        <w:rPr>
          <w:rFonts w:hAnsi="宋体"/>
          <w:color w:val="auto"/>
          <w:highlight w:val="none"/>
        </w:rPr>
        <w:t>双方在执行合同中所发生的一切争议，应通过协商解决。如协商不成，可向</w:t>
      </w:r>
      <w:r>
        <w:rPr>
          <w:rFonts w:hint="eastAsia" w:hAnsi="宋体"/>
          <w:color w:val="auto"/>
          <w:highlight w:val="none"/>
        </w:rPr>
        <w:t>甲方所在</w:t>
      </w:r>
      <w:r>
        <w:rPr>
          <w:rFonts w:hAnsi="宋体"/>
          <w:color w:val="auto"/>
          <w:highlight w:val="none"/>
        </w:rPr>
        <w:t>地法院起诉。</w:t>
      </w:r>
    </w:p>
    <w:p>
      <w:pPr>
        <w:pStyle w:val="29"/>
        <w:snapToGrid w:val="0"/>
        <w:spacing w:beforeLines="0" w:afterLines="0" w:line="240" w:lineRule="auto"/>
        <w:ind w:firstLine="482"/>
        <w:rPr>
          <w:rFonts w:hAnsi="宋体"/>
          <w:b/>
          <w:color w:val="auto"/>
          <w:highlight w:val="none"/>
        </w:rPr>
      </w:pPr>
      <w:r>
        <w:rPr>
          <w:rFonts w:hAnsi="宋体"/>
          <w:b/>
          <w:color w:val="auto"/>
          <w:highlight w:val="none"/>
        </w:rPr>
        <w:t>十</w:t>
      </w:r>
      <w:r>
        <w:rPr>
          <w:rFonts w:hint="eastAsia" w:hAnsi="宋体"/>
          <w:b/>
          <w:color w:val="auto"/>
          <w:highlight w:val="none"/>
        </w:rPr>
        <w:t>七</w:t>
      </w:r>
      <w:r>
        <w:rPr>
          <w:rFonts w:hAnsi="宋体"/>
          <w:b/>
          <w:color w:val="auto"/>
          <w:highlight w:val="none"/>
        </w:rPr>
        <w:t>、合同生效及其它</w:t>
      </w:r>
    </w:p>
    <w:p>
      <w:pPr>
        <w:pStyle w:val="29"/>
        <w:snapToGrid w:val="0"/>
        <w:spacing w:beforeLines="0" w:afterLines="0" w:line="360" w:lineRule="auto"/>
        <w:ind w:firstLine="480"/>
        <w:rPr>
          <w:rFonts w:hAnsi="宋体"/>
          <w:color w:val="auto"/>
          <w:highlight w:val="none"/>
        </w:rPr>
      </w:pPr>
      <w:r>
        <w:rPr>
          <w:rFonts w:hAnsi="宋体"/>
          <w:color w:val="auto"/>
          <w:highlight w:val="none"/>
        </w:rPr>
        <w:t>1</w:t>
      </w:r>
      <w:r>
        <w:rPr>
          <w:rFonts w:hint="eastAsia" w:hAnsi="宋体"/>
          <w:color w:val="auto"/>
          <w:highlight w:val="none"/>
        </w:rPr>
        <w:t>.</w:t>
      </w:r>
      <w:r>
        <w:rPr>
          <w:rFonts w:hAnsi="宋体"/>
          <w:color w:val="auto"/>
          <w:highlight w:val="none"/>
        </w:rPr>
        <w:t>合同经</w:t>
      </w:r>
      <w:r>
        <w:rPr>
          <w:rFonts w:hint="eastAsia" w:hAnsi="宋体"/>
          <w:color w:val="auto"/>
          <w:highlight w:val="none"/>
        </w:rPr>
        <w:t>双方</w:t>
      </w:r>
      <w:r>
        <w:rPr>
          <w:rFonts w:hAnsi="宋体"/>
          <w:color w:val="auto"/>
          <w:highlight w:val="none"/>
        </w:rPr>
        <w:t>法定代表人或授权代表签字并加盖单位公章后</w:t>
      </w:r>
      <w:r>
        <w:rPr>
          <w:rFonts w:hint="eastAsia" w:hAnsi="宋体"/>
          <w:color w:val="auto"/>
          <w:highlight w:val="none"/>
        </w:rPr>
        <w:t>，送招标代理公司鉴证、东阳市财政局采购办备案后</w:t>
      </w:r>
      <w:r>
        <w:rPr>
          <w:rFonts w:hAnsi="宋体"/>
          <w:color w:val="auto"/>
          <w:highlight w:val="none"/>
        </w:rPr>
        <w:t>生效。</w:t>
      </w:r>
    </w:p>
    <w:p>
      <w:pPr>
        <w:pStyle w:val="29"/>
        <w:snapToGrid w:val="0"/>
        <w:spacing w:beforeLines="0" w:afterLines="0" w:line="360" w:lineRule="auto"/>
        <w:ind w:firstLine="480"/>
        <w:rPr>
          <w:rFonts w:hAnsi="宋体"/>
          <w:color w:val="auto"/>
          <w:highlight w:val="none"/>
        </w:rPr>
      </w:pPr>
      <w:r>
        <w:rPr>
          <w:rFonts w:hAnsi="宋体"/>
          <w:color w:val="auto"/>
          <w:highlight w:val="none"/>
        </w:rPr>
        <w:t>2</w:t>
      </w:r>
      <w:r>
        <w:rPr>
          <w:rFonts w:hint="eastAsia" w:hAnsi="宋体"/>
          <w:color w:val="auto"/>
          <w:highlight w:val="none"/>
        </w:rPr>
        <w:t>.</w:t>
      </w:r>
      <w:r>
        <w:rPr>
          <w:rFonts w:hAnsi="宋体"/>
          <w:color w:val="auto"/>
          <w:highlight w:val="none"/>
        </w:rPr>
        <w:t>合同执行中涉及采购资金和采购内容修改或补充的，须经财政部门审批，并签书面补充协议报政府采购监督管理部门备案，方可作为主合同不可分割的一部分。</w:t>
      </w:r>
    </w:p>
    <w:p>
      <w:pPr>
        <w:pStyle w:val="29"/>
        <w:snapToGrid w:val="0"/>
        <w:spacing w:beforeLines="0" w:afterLines="0" w:line="360" w:lineRule="auto"/>
        <w:ind w:firstLine="480"/>
        <w:rPr>
          <w:rFonts w:hAnsi="宋体"/>
          <w:color w:val="auto"/>
          <w:highlight w:val="none"/>
        </w:rPr>
      </w:pPr>
      <w:r>
        <w:rPr>
          <w:rFonts w:hAnsi="宋体"/>
          <w:color w:val="auto"/>
          <w:highlight w:val="none"/>
        </w:rPr>
        <w:t>3</w:t>
      </w:r>
      <w:r>
        <w:rPr>
          <w:rFonts w:hint="eastAsia" w:hAnsi="宋体"/>
          <w:color w:val="auto"/>
          <w:highlight w:val="none"/>
        </w:rPr>
        <w:t>.</w:t>
      </w:r>
      <w:r>
        <w:rPr>
          <w:rFonts w:hAnsi="宋体"/>
          <w:color w:val="auto"/>
          <w:highlight w:val="none"/>
        </w:rPr>
        <w:t>本合同未尽事宜，遵照《民法</w:t>
      </w:r>
      <w:r>
        <w:rPr>
          <w:rFonts w:hint="eastAsia" w:hAnsi="宋体"/>
          <w:color w:val="auto"/>
          <w:highlight w:val="none"/>
        </w:rPr>
        <w:t>典</w:t>
      </w:r>
      <w:r>
        <w:rPr>
          <w:rFonts w:hAnsi="宋体"/>
          <w:color w:val="auto"/>
          <w:highlight w:val="none"/>
        </w:rPr>
        <w:t>》有关条文执行。</w:t>
      </w:r>
    </w:p>
    <w:p>
      <w:pPr>
        <w:pStyle w:val="29"/>
        <w:snapToGrid w:val="0"/>
        <w:spacing w:beforeLines="0" w:afterLines="0" w:line="360" w:lineRule="auto"/>
        <w:ind w:firstLine="480"/>
        <w:rPr>
          <w:rFonts w:hAnsi="宋体"/>
          <w:color w:val="auto"/>
          <w:highlight w:val="none"/>
        </w:rPr>
      </w:pPr>
      <w:r>
        <w:rPr>
          <w:rFonts w:hAnsi="宋体"/>
          <w:color w:val="auto"/>
          <w:highlight w:val="none"/>
        </w:rPr>
        <w:t>4</w:t>
      </w:r>
      <w:r>
        <w:rPr>
          <w:rFonts w:hint="eastAsia" w:hAnsi="宋体"/>
          <w:color w:val="auto"/>
          <w:highlight w:val="none"/>
        </w:rPr>
        <w:t>.</w:t>
      </w:r>
      <w:r>
        <w:rPr>
          <w:rFonts w:hAnsi="宋体"/>
          <w:color w:val="auto"/>
          <w:highlight w:val="none"/>
        </w:rPr>
        <w:t>本合同正本一式</w:t>
      </w:r>
      <w:r>
        <w:rPr>
          <w:rFonts w:hint="eastAsia" w:hAnsi="宋体"/>
          <w:color w:val="auto"/>
          <w:highlight w:val="none"/>
        </w:rPr>
        <w:t>五</w:t>
      </w:r>
      <w:r>
        <w:rPr>
          <w:rFonts w:hAnsi="宋体"/>
          <w:color w:val="auto"/>
          <w:highlight w:val="none"/>
        </w:rPr>
        <w:t>份，甲</w:t>
      </w:r>
      <w:r>
        <w:rPr>
          <w:rFonts w:hint="eastAsia" w:hAnsi="宋体"/>
          <w:color w:val="auto"/>
          <w:highlight w:val="none"/>
        </w:rPr>
        <w:t>方两份，</w:t>
      </w:r>
      <w:r>
        <w:rPr>
          <w:rFonts w:hAnsi="宋体"/>
          <w:color w:val="auto"/>
          <w:highlight w:val="none"/>
        </w:rPr>
        <w:t>乙方</w:t>
      </w:r>
      <w:r>
        <w:rPr>
          <w:rFonts w:hint="eastAsia" w:hAnsi="宋体"/>
          <w:color w:val="auto"/>
          <w:highlight w:val="none"/>
        </w:rPr>
        <w:t>、浙江衢州公信工程管理有限公司、东阳市财政局采购办</w:t>
      </w:r>
      <w:r>
        <w:rPr>
          <w:rFonts w:hAnsi="宋体"/>
          <w:color w:val="auto"/>
          <w:highlight w:val="none"/>
        </w:rPr>
        <w:t>各执一份</w:t>
      </w:r>
      <w:r>
        <w:rPr>
          <w:rFonts w:hint="eastAsia" w:hAnsi="宋体"/>
          <w:color w:val="auto"/>
          <w:highlight w:val="none"/>
        </w:rPr>
        <w:t>，</w:t>
      </w:r>
      <w:r>
        <w:rPr>
          <w:rFonts w:hAnsi="宋体"/>
          <w:color w:val="auto"/>
          <w:highlight w:val="none"/>
        </w:rPr>
        <w:t>具有同等法律效力。</w:t>
      </w:r>
    </w:p>
    <w:p>
      <w:pPr>
        <w:pStyle w:val="29"/>
        <w:snapToGrid w:val="0"/>
        <w:spacing w:beforeLines="0" w:afterLines="0" w:line="240" w:lineRule="auto"/>
        <w:ind w:firstLine="480"/>
        <w:rPr>
          <w:color w:val="auto"/>
          <w:highlight w:val="none"/>
        </w:rPr>
      </w:pPr>
      <w:r>
        <w:rPr>
          <w:rFonts w:hint="eastAsia"/>
          <w:color w:val="auto"/>
          <w:highlight w:val="none"/>
        </w:rPr>
        <w:t>5、声明：本合同样本仅供参考，甲乙双方可就招标文件的非实质性条款进行修改，但不能修改项目的工期、单价、付款方式、品牌型号、服务期等实质性条款，甲乙双方对合同的真实性负责，鉴证方只负责见证项目招标的真实性。</w:t>
      </w:r>
    </w:p>
    <w:p>
      <w:pPr>
        <w:snapToGrid w:val="0"/>
        <w:ind w:firstLine="482"/>
        <w:rPr>
          <w:rFonts w:ascii="宋体" w:hAnsi="宋体"/>
          <w:color w:val="auto"/>
          <w:highlight w:val="none"/>
        </w:rPr>
      </w:pPr>
      <w:r>
        <w:rPr>
          <w:rFonts w:hint="eastAsia" w:ascii="宋体" w:hAnsi="宋体"/>
          <w:b/>
          <w:color w:val="auto"/>
          <w:highlight w:val="none"/>
        </w:rPr>
        <w:t>甲方（公章）：        乙方（公章）：</w:t>
      </w:r>
    </w:p>
    <w:p>
      <w:pPr>
        <w:snapToGrid w:val="0"/>
        <w:ind w:firstLine="480"/>
        <w:rPr>
          <w:rFonts w:ascii="宋体" w:hAnsi="宋体"/>
          <w:color w:val="auto"/>
          <w:highlight w:val="none"/>
        </w:rPr>
      </w:pPr>
      <w:r>
        <w:rPr>
          <w:rFonts w:hint="eastAsia" w:ascii="宋体" w:hAnsi="宋体"/>
          <w:color w:val="auto"/>
          <w:highlight w:val="none"/>
        </w:rPr>
        <w:t>法定代表人或受委托人               法定代表人或受委托人</w:t>
      </w:r>
    </w:p>
    <w:p>
      <w:pPr>
        <w:tabs>
          <w:tab w:val="left" w:pos="6899"/>
        </w:tabs>
        <w:snapToGrid w:val="0"/>
        <w:ind w:firstLine="480"/>
        <w:rPr>
          <w:rFonts w:ascii="宋体" w:hAnsi="宋体"/>
          <w:color w:val="auto"/>
          <w:highlight w:val="none"/>
        </w:rPr>
      </w:pPr>
      <w:r>
        <w:rPr>
          <w:rFonts w:hint="eastAsia" w:ascii="宋体" w:hAnsi="宋体"/>
          <w:color w:val="auto"/>
          <w:highlight w:val="none"/>
        </w:rPr>
        <w:t>（签字）                            （签字）</w:t>
      </w:r>
      <w:r>
        <w:rPr>
          <w:rFonts w:ascii="宋体" w:hAnsi="宋体"/>
          <w:color w:val="auto"/>
          <w:highlight w:val="none"/>
        </w:rPr>
        <w:tab/>
      </w:r>
    </w:p>
    <w:p>
      <w:pPr>
        <w:snapToGrid w:val="0"/>
        <w:ind w:firstLine="480"/>
        <w:rPr>
          <w:rFonts w:ascii="宋体" w:hAnsi="宋体"/>
          <w:color w:val="auto"/>
          <w:highlight w:val="none"/>
        </w:rPr>
      </w:pPr>
      <w:r>
        <w:rPr>
          <w:rFonts w:hint="eastAsia" w:ascii="宋体" w:hAnsi="宋体"/>
          <w:color w:val="auto"/>
          <w:highlight w:val="none"/>
        </w:rPr>
        <w:t>地址：                             地址：</w:t>
      </w:r>
    </w:p>
    <w:p>
      <w:pPr>
        <w:snapToGrid w:val="0"/>
        <w:ind w:firstLine="480"/>
        <w:rPr>
          <w:rFonts w:ascii="宋体" w:hAnsi="宋体"/>
          <w:color w:val="auto"/>
          <w:highlight w:val="none"/>
        </w:rPr>
      </w:pPr>
      <w:r>
        <w:rPr>
          <w:rFonts w:hint="eastAsia" w:ascii="宋体" w:hAnsi="宋体"/>
          <w:color w:val="auto"/>
          <w:highlight w:val="none"/>
        </w:rPr>
        <w:t>邮编：                             邮编：</w:t>
      </w:r>
    </w:p>
    <w:p>
      <w:pPr>
        <w:snapToGrid w:val="0"/>
        <w:ind w:firstLine="480"/>
        <w:rPr>
          <w:rFonts w:ascii="宋体" w:hAnsi="宋体"/>
          <w:color w:val="auto"/>
          <w:highlight w:val="none"/>
        </w:rPr>
      </w:pPr>
      <w:r>
        <w:rPr>
          <w:rFonts w:hint="eastAsia" w:ascii="宋体" w:hAnsi="宋体"/>
          <w:color w:val="auto"/>
          <w:highlight w:val="none"/>
        </w:rPr>
        <w:t>电话：                             电话：</w:t>
      </w:r>
    </w:p>
    <w:p>
      <w:pPr>
        <w:snapToGrid w:val="0"/>
        <w:ind w:firstLine="480"/>
        <w:rPr>
          <w:rFonts w:ascii="宋体" w:hAnsi="宋体"/>
          <w:color w:val="auto"/>
          <w:highlight w:val="none"/>
        </w:rPr>
      </w:pPr>
      <w:r>
        <w:rPr>
          <w:rFonts w:hint="eastAsia" w:ascii="宋体" w:hAnsi="宋体"/>
          <w:color w:val="auto"/>
          <w:highlight w:val="none"/>
        </w:rPr>
        <w:t>传真：                             传真：</w:t>
      </w:r>
    </w:p>
    <w:p>
      <w:pPr>
        <w:snapToGrid w:val="0"/>
        <w:ind w:firstLine="480"/>
        <w:rPr>
          <w:rFonts w:ascii="宋体" w:hAnsi="宋体"/>
          <w:b/>
          <w:bCs/>
          <w:color w:val="auto"/>
          <w:szCs w:val="21"/>
          <w:highlight w:val="none"/>
        </w:rPr>
      </w:pPr>
      <w:r>
        <w:rPr>
          <w:rFonts w:hint="eastAsia" w:ascii="宋体" w:hAnsi="宋体"/>
          <w:color w:val="auto"/>
          <w:highlight w:val="none"/>
        </w:rPr>
        <w:t>户名：                             户名：</w:t>
      </w:r>
    </w:p>
    <w:p>
      <w:pPr>
        <w:snapToGrid w:val="0"/>
        <w:ind w:firstLine="480"/>
        <w:rPr>
          <w:rFonts w:ascii="宋体" w:hAnsi="宋体"/>
          <w:color w:val="auto"/>
          <w:highlight w:val="none"/>
        </w:rPr>
      </w:pPr>
      <w:r>
        <w:rPr>
          <w:rFonts w:hint="eastAsia" w:ascii="宋体" w:hAnsi="宋体"/>
          <w:color w:val="auto"/>
          <w:highlight w:val="none"/>
        </w:rPr>
        <w:t>开户银行：                         开户银行：</w:t>
      </w:r>
    </w:p>
    <w:p>
      <w:pPr>
        <w:snapToGrid w:val="0"/>
        <w:ind w:firstLine="480"/>
        <w:rPr>
          <w:color w:val="auto"/>
          <w:szCs w:val="20"/>
          <w:highlight w:val="none"/>
        </w:rPr>
      </w:pPr>
      <w:r>
        <w:rPr>
          <w:rFonts w:hint="eastAsia" w:ascii="宋体" w:hAnsi="宋体"/>
          <w:color w:val="auto"/>
          <w:highlight w:val="none"/>
        </w:rPr>
        <w:t>帐号：                             帐号：</w:t>
      </w:r>
    </w:p>
    <w:p>
      <w:pPr>
        <w:pStyle w:val="16"/>
        <w:ind w:firstLine="482"/>
        <w:rPr>
          <w:rFonts w:ascii="宋体" w:hAnsi="宋体"/>
          <w:color w:val="auto"/>
          <w:highlight w:val="none"/>
        </w:rPr>
      </w:pPr>
      <w:r>
        <w:rPr>
          <w:b/>
          <w:color w:val="auto"/>
          <w:highlight w:val="none"/>
        </w:rPr>
        <w:t>鉴证方（公章）：</w:t>
      </w:r>
      <w:r>
        <w:rPr>
          <w:rFonts w:hint="eastAsia" w:ascii="宋体" w:hAnsi="宋体"/>
          <w:color w:val="auto"/>
          <w:highlight w:val="none"/>
        </w:rPr>
        <w:t xml:space="preserve"> </w:t>
      </w:r>
    </w:p>
    <w:p>
      <w:pPr>
        <w:snapToGrid w:val="0"/>
        <w:spacing w:line="276" w:lineRule="auto"/>
        <w:ind w:firstLine="480"/>
        <w:rPr>
          <w:rFonts w:ascii="宋体" w:hAnsi="宋体"/>
          <w:color w:val="auto"/>
          <w:highlight w:val="none"/>
        </w:rPr>
      </w:pPr>
      <w:r>
        <w:rPr>
          <w:rFonts w:hint="eastAsia" w:ascii="宋体" w:hAnsi="宋体"/>
          <w:color w:val="auto"/>
          <w:highlight w:val="none"/>
        </w:rPr>
        <w:t xml:space="preserve">  签约地点：                            签约时间</w:t>
      </w:r>
    </w:p>
    <w:p>
      <w:pPr>
        <w:snapToGrid w:val="0"/>
        <w:spacing w:line="276" w:lineRule="auto"/>
        <w:ind w:firstLine="480"/>
        <w:rPr>
          <w:rFonts w:ascii="宋体" w:hAnsi="宋体"/>
          <w:color w:val="auto"/>
          <w:highlight w:val="none"/>
        </w:rPr>
      </w:pPr>
    </w:p>
    <w:p>
      <w:pPr>
        <w:snapToGrid w:val="0"/>
        <w:spacing w:line="276" w:lineRule="auto"/>
        <w:ind w:firstLine="480"/>
        <w:rPr>
          <w:rFonts w:ascii="宋体" w:hAnsi="宋体"/>
          <w:color w:val="auto"/>
          <w:highlight w:val="none"/>
        </w:rPr>
      </w:pPr>
    </w:p>
    <w:p>
      <w:pPr>
        <w:pStyle w:val="2"/>
        <w:rPr>
          <w:rFonts w:ascii="宋体" w:hAnsi="宋体"/>
          <w:color w:val="auto"/>
          <w:highlight w:val="none"/>
        </w:rPr>
      </w:pPr>
    </w:p>
    <w:p>
      <w:pPr>
        <w:pStyle w:val="3"/>
        <w:rPr>
          <w:color w:val="auto"/>
          <w:highlight w:val="none"/>
        </w:rPr>
      </w:pPr>
    </w:p>
    <w:p>
      <w:pPr>
        <w:snapToGrid w:val="0"/>
        <w:spacing w:line="276" w:lineRule="auto"/>
        <w:ind w:firstLine="480"/>
        <w:rPr>
          <w:rFonts w:ascii="宋体" w:hAnsi="宋体"/>
          <w:color w:val="auto"/>
          <w:highlight w:val="none"/>
        </w:rPr>
      </w:pPr>
    </w:p>
    <w:p>
      <w:pPr>
        <w:pStyle w:val="2"/>
        <w:ind w:firstLine="344"/>
        <w:rPr>
          <w:color w:val="auto"/>
          <w:highlight w:val="none"/>
        </w:rPr>
      </w:pPr>
    </w:p>
    <w:p>
      <w:pPr>
        <w:ind w:firstLine="640"/>
        <w:jc w:val="center"/>
        <w:rPr>
          <w:color w:val="auto"/>
          <w:highlight w:val="none"/>
        </w:rPr>
      </w:pPr>
      <w:r>
        <w:rPr>
          <w:rFonts w:hint="eastAsia" w:ascii="黑体" w:hAnsi="宋体" w:eastAsia="黑体"/>
          <w:color w:val="auto"/>
          <w:sz w:val="32"/>
          <w:szCs w:val="32"/>
          <w:highlight w:val="none"/>
        </w:rPr>
        <w:t>第六章　投标文件格式</w:t>
      </w:r>
    </w:p>
    <w:p>
      <w:pPr>
        <w:snapToGrid w:val="0"/>
        <w:spacing w:before="50" w:after="50"/>
        <w:ind w:firstLine="640"/>
        <w:outlineLvl w:val="1"/>
        <w:rPr>
          <w:rFonts w:ascii="宋体" w:hAnsi="宋体"/>
          <w:color w:val="auto"/>
          <w:sz w:val="32"/>
          <w:szCs w:val="20"/>
          <w:highlight w:val="none"/>
        </w:rPr>
      </w:pPr>
      <w:r>
        <w:rPr>
          <w:rFonts w:hint="eastAsia" w:ascii="宋体" w:hAnsi="宋体"/>
          <w:color w:val="auto"/>
          <w:sz w:val="32"/>
          <w:szCs w:val="20"/>
          <w:highlight w:val="none"/>
        </w:rPr>
        <w:t>附件1：</w:t>
      </w:r>
    </w:p>
    <w:p>
      <w:pPr>
        <w:snapToGrid w:val="0"/>
        <w:spacing w:before="120" w:beforeLines="50" w:after="50"/>
        <w:ind w:firstLine="482"/>
        <w:rPr>
          <w:rFonts w:ascii="宋体" w:hAnsi="宋体"/>
          <w:b/>
          <w:color w:val="auto"/>
          <w:szCs w:val="20"/>
          <w:highlight w:val="none"/>
        </w:rPr>
      </w:pPr>
      <w:r>
        <w:rPr>
          <w:rFonts w:ascii="宋体" w:hAnsi="宋体"/>
          <w:b/>
          <w:color w:val="auto"/>
          <w:highlight w:val="none"/>
        </w:rPr>
        <w:t>1</w:t>
      </w:r>
      <w:r>
        <w:rPr>
          <w:rFonts w:hint="eastAsia" w:ascii="宋体" w:hAnsi="宋体"/>
          <w:b/>
          <w:color w:val="auto"/>
          <w:highlight w:val="none"/>
        </w:rPr>
        <w:t>.所有投标文件的外包装封面格式：</w:t>
      </w:r>
    </w:p>
    <w:p>
      <w:pPr>
        <w:snapToGrid w:val="0"/>
        <w:spacing w:before="120" w:beforeLines="50" w:after="50"/>
        <w:ind w:firstLine="480"/>
        <w:jc w:val="center"/>
        <w:rPr>
          <w:rFonts w:ascii="宋体" w:hAnsi="宋体"/>
          <w:bCs/>
          <w:color w:val="auto"/>
          <w:szCs w:val="20"/>
          <w:highlight w:val="none"/>
        </w:rPr>
      </w:pPr>
      <w:r>
        <w:rPr>
          <w:rFonts w:hint="eastAsia" w:ascii="宋体" w:hAnsi="宋体"/>
          <w:bCs/>
          <w:color w:val="auto"/>
          <w:highlight w:val="none"/>
        </w:rPr>
        <w:t>投标文件</w:t>
      </w:r>
    </w:p>
    <w:p>
      <w:pPr>
        <w:snapToGrid w:val="0"/>
        <w:spacing w:before="120" w:beforeLines="50" w:after="50"/>
        <w:ind w:left="2419" w:leftChars="508" w:hanging="1200" w:hangingChars="500"/>
        <w:rPr>
          <w:rFonts w:ascii="宋体" w:hAnsi="宋体"/>
          <w:bCs/>
          <w:color w:val="auto"/>
          <w:highlight w:val="none"/>
        </w:rPr>
      </w:pPr>
      <w:r>
        <w:rPr>
          <w:rFonts w:hint="eastAsia" w:ascii="宋体" w:hAnsi="宋体"/>
          <w:bCs/>
          <w:color w:val="auto"/>
          <w:highlight w:val="none"/>
        </w:rPr>
        <w:t>项目名称：</w:t>
      </w:r>
    </w:p>
    <w:p>
      <w:pPr>
        <w:snapToGrid w:val="0"/>
        <w:spacing w:before="120" w:beforeLines="50" w:after="50"/>
        <w:ind w:firstLine="1068" w:firstLineChars="445"/>
        <w:rPr>
          <w:rFonts w:ascii="宋体" w:hAnsi="宋体"/>
          <w:bCs/>
          <w:color w:val="auto"/>
          <w:highlight w:val="none"/>
        </w:rPr>
      </w:pPr>
      <w:r>
        <w:rPr>
          <w:rFonts w:hint="eastAsia" w:ascii="宋体" w:hAnsi="宋体"/>
          <w:bCs/>
          <w:color w:val="auto"/>
          <w:highlight w:val="none"/>
        </w:rPr>
        <w:t>项目编号：</w:t>
      </w:r>
      <w:r>
        <w:rPr>
          <w:rFonts w:ascii="宋体" w:hAnsi="宋体"/>
          <w:bCs/>
          <w:color w:val="auto"/>
          <w:highlight w:val="none"/>
        </w:rPr>
        <w:t>ZJQZGX2023-010</w:t>
      </w:r>
    </w:p>
    <w:p>
      <w:pPr>
        <w:snapToGrid w:val="0"/>
        <w:spacing w:before="120" w:beforeLines="50" w:after="50"/>
        <w:ind w:firstLine="1068" w:firstLineChars="445"/>
        <w:rPr>
          <w:rFonts w:ascii="宋体" w:hAnsi="宋体"/>
          <w:bCs/>
          <w:color w:val="auto"/>
          <w:highlight w:val="none"/>
        </w:rPr>
      </w:pPr>
      <w:r>
        <w:rPr>
          <w:rFonts w:hint="eastAsia" w:ascii="宋体" w:hAnsi="宋体"/>
          <w:bCs/>
          <w:color w:val="auto"/>
          <w:highlight w:val="none"/>
        </w:rPr>
        <w:t>标项：</w:t>
      </w:r>
    </w:p>
    <w:p>
      <w:pPr>
        <w:snapToGrid w:val="0"/>
        <w:spacing w:before="120" w:beforeLines="50" w:after="50"/>
        <w:ind w:firstLine="1068" w:firstLineChars="445"/>
        <w:rPr>
          <w:rFonts w:ascii="宋体" w:hAnsi="宋体"/>
          <w:bCs/>
          <w:color w:val="auto"/>
          <w:highlight w:val="none"/>
        </w:rPr>
      </w:pPr>
      <w:r>
        <w:rPr>
          <w:rFonts w:hint="eastAsia" w:ascii="宋体" w:hAnsi="宋体"/>
          <w:bCs/>
          <w:color w:val="auto"/>
          <w:highlight w:val="none"/>
        </w:rPr>
        <w:t>投标文件名称：</w:t>
      </w:r>
      <w:r>
        <w:rPr>
          <w:rFonts w:hint="eastAsia" w:ascii="宋体" w:hAnsi="宋体"/>
          <w:b/>
          <w:bCs/>
          <w:color w:val="auto"/>
          <w:highlight w:val="none"/>
        </w:rPr>
        <w:t>资格响应文件、报价响应文件、商务技术响应文件</w:t>
      </w:r>
    </w:p>
    <w:p>
      <w:pPr>
        <w:snapToGrid w:val="0"/>
        <w:spacing w:before="120" w:beforeLines="50" w:after="50"/>
        <w:ind w:firstLine="1068" w:firstLineChars="445"/>
        <w:rPr>
          <w:rFonts w:ascii="宋体" w:hAnsi="宋体"/>
          <w:bCs/>
          <w:color w:val="auto"/>
          <w:highlight w:val="none"/>
        </w:rPr>
      </w:pPr>
      <w:r>
        <w:rPr>
          <w:rFonts w:hint="eastAsia" w:ascii="宋体" w:hAnsi="宋体"/>
          <w:bCs/>
          <w:color w:val="auto"/>
          <w:highlight w:val="none"/>
        </w:rPr>
        <w:t>投标人名称：</w:t>
      </w:r>
    </w:p>
    <w:p>
      <w:pPr>
        <w:snapToGrid w:val="0"/>
        <w:spacing w:before="120" w:beforeLines="50" w:after="50"/>
        <w:ind w:firstLine="1068" w:firstLineChars="445"/>
        <w:rPr>
          <w:rFonts w:ascii="宋体" w:hAnsi="宋体"/>
          <w:bCs/>
          <w:color w:val="auto"/>
          <w:highlight w:val="none"/>
        </w:rPr>
      </w:pPr>
      <w:r>
        <w:rPr>
          <w:rFonts w:hint="eastAsia" w:ascii="宋体" w:hAnsi="宋体"/>
          <w:bCs/>
          <w:color w:val="auto"/>
          <w:highlight w:val="none"/>
        </w:rPr>
        <w:t>投标人地址：</w:t>
      </w:r>
    </w:p>
    <w:p>
      <w:pPr>
        <w:snapToGrid w:val="0"/>
        <w:spacing w:before="120" w:beforeLines="50" w:after="50"/>
        <w:ind w:firstLine="1068" w:firstLineChars="445"/>
        <w:rPr>
          <w:rFonts w:ascii="宋体" w:hAnsi="宋体"/>
          <w:bCs/>
          <w:color w:val="auto"/>
          <w:highlight w:val="none"/>
        </w:rPr>
      </w:pPr>
      <w:r>
        <w:rPr>
          <w:rFonts w:hint="eastAsia" w:ascii="宋体" w:hAnsi="宋体"/>
          <w:bCs/>
          <w:color w:val="auto"/>
          <w:highlight w:val="none"/>
        </w:rPr>
        <w:t>在年月日时分之前不得启封</w:t>
      </w:r>
    </w:p>
    <w:p>
      <w:pPr>
        <w:snapToGrid w:val="0"/>
        <w:spacing w:before="120" w:beforeLines="50" w:after="50"/>
        <w:ind w:firstLine="4080" w:firstLineChars="1700"/>
        <w:rPr>
          <w:rFonts w:ascii="宋体" w:hAnsi="宋体"/>
          <w:bCs/>
          <w:color w:val="auto"/>
          <w:szCs w:val="20"/>
          <w:highlight w:val="none"/>
        </w:rPr>
      </w:pPr>
    </w:p>
    <w:p>
      <w:pPr>
        <w:snapToGrid w:val="0"/>
        <w:spacing w:before="120" w:beforeLines="50" w:after="50"/>
        <w:ind w:firstLine="480"/>
        <w:jc w:val="center"/>
        <w:rPr>
          <w:rFonts w:ascii="宋体" w:hAnsi="宋体"/>
          <w:bCs/>
          <w:color w:val="auto"/>
          <w:szCs w:val="20"/>
          <w:highlight w:val="none"/>
        </w:rPr>
      </w:pPr>
      <w:r>
        <w:rPr>
          <w:rFonts w:hint="eastAsia" w:ascii="宋体" w:hAnsi="宋体"/>
          <w:bCs/>
          <w:color w:val="auto"/>
          <w:highlight w:val="none"/>
        </w:rPr>
        <w:t xml:space="preserve">                    年  月   日</w:t>
      </w:r>
    </w:p>
    <w:p>
      <w:pPr>
        <w:snapToGrid w:val="0"/>
        <w:spacing w:before="120" w:beforeLines="50" w:after="50"/>
        <w:ind w:firstLine="482"/>
        <w:rPr>
          <w:rFonts w:ascii="宋体" w:hAnsi="宋体"/>
          <w:b/>
          <w:color w:val="auto"/>
          <w:szCs w:val="20"/>
          <w:highlight w:val="none"/>
        </w:rPr>
      </w:pPr>
      <w:r>
        <w:rPr>
          <w:rFonts w:hint="eastAsia" w:ascii="宋体" w:hAnsi="宋体"/>
          <w:b/>
          <w:color w:val="auto"/>
          <w:highlight w:val="none"/>
        </w:rPr>
        <w:t>2.所有投标文件封面格式：</w:t>
      </w:r>
    </w:p>
    <w:p>
      <w:pPr>
        <w:snapToGrid w:val="0"/>
        <w:spacing w:before="120" w:beforeLines="50" w:after="50"/>
        <w:ind w:firstLine="482"/>
        <w:rPr>
          <w:rFonts w:ascii="宋体" w:hAnsi="宋体"/>
          <w:b/>
          <w:bCs/>
          <w:color w:val="auto"/>
          <w:sz w:val="32"/>
          <w:szCs w:val="20"/>
          <w:highlight w:val="none"/>
        </w:rPr>
      </w:pPr>
      <w:r>
        <w:rPr>
          <w:rFonts w:hint="eastAsia" w:ascii="宋体" w:hAnsi="宋体"/>
          <w:b/>
          <w:bCs/>
          <w:color w:val="auto"/>
          <w:highlight w:val="none"/>
        </w:rPr>
        <w:t>正本</w:t>
      </w:r>
      <w:r>
        <w:rPr>
          <w:rFonts w:ascii="宋体" w:hAnsi="宋体"/>
          <w:b/>
          <w:bCs/>
          <w:color w:val="auto"/>
          <w:highlight w:val="none"/>
        </w:rPr>
        <w:t>/</w:t>
      </w:r>
      <w:r>
        <w:rPr>
          <w:rFonts w:hint="eastAsia" w:ascii="宋体" w:hAnsi="宋体"/>
          <w:b/>
          <w:bCs/>
          <w:color w:val="auto"/>
          <w:highlight w:val="none"/>
        </w:rPr>
        <w:t>或副本</w:t>
      </w:r>
    </w:p>
    <w:p>
      <w:pPr>
        <w:snapToGrid w:val="0"/>
        <w:spacing w:before="120" w:beforeLines="50" w:after="50"/>
        <w:ind w:firstLine="480"/>
        <w:jc w:val="center"/>
        <w:rPr>
          <w:rFonts w:ascii="宋体" w:hAnsi="宋体"/>
          <w:bCs/>
          <w:color w:val="auto"/>
          <w:szCs w:val="20"/>
          <w:highlight w:val="none"/>
        </w:rPr>
      </w:pPr>
    </w:p>
    <w:p>
      <w:pPr>
        <w:snapToGrid w:val="0"/>
        <w:spacing w:before="120" w:beforeLines="50" w:after="50"/>
        <w:ind w:firstLine="482"/>
        <w:jc w:val="center"/>
        <w:rPr>
          <w:rFonts w:ascii="宋体" w:hAnsi="宋体"/>
          <w:bCs/>
          <w:color w:val="auto"/>
          <w:szCs w:val="20"/>
          <w:highlight w:val="none"/>
        </w:rPr>
      </w:pPr>
      <w:r>
        <w:rPr>
          <w:rFonts w:hint="eastAsia" w:ascii="宋体" w:hAnsi="宋体"/>
          <w:b/>
          <w:bCs/>
          <w:color w:val="auto"/>
          <w:highlight w:val="none"/>
        </w:rPr>
        <w:t>资格响应文件、报价响应文件、商务技术响应文件</w:t>
      </w:r>
    </w:p>
    <w:p>
      <w:pPr>
        <w:snapToGrid w:val="0"/>
        <w:spacing w:before="120" w:beforeLines="50" w:after="50"/>
        <w:ind w:left="2419" w:leftChars="508" w:hanging="1200" w:hangingChars="500"/>
        <w:rPr>
          <w:rFonts w:ascii="宋体" w:hAnsi="宋体"/>
          <w:bCs/>
          <w:color w:val="auto"/>
          <w:highlight w:val="none"/>
        </w:rPr>
      </w:pPr>
      <w:r>
        <w:rPr>
          <w:rFonts w:hint="eastAsia" w:ascii="宋体" w:hAnsi="宋体"/>
          <w:bCs/>
          <w:color w:val="auto"/>
          <w:highlight w:val="none"/>
        </w:rPr>
        <w:t>项目名称：</w:t>
      </w:r>
    </w:p>
    <w:p>
      <w:pPr>
        <w:snapToGrid w:val="0"/>
        <w:spacing w:before="120" w:beforeLines="50" w:after="50"/>
        <w:ind w:firstLine="1068" w:firstLineChars="445"/>
        <w:rPr>
          <w:rFonts w:ascii="宋体" w:hAnsi="宋体"/>
          <w:bCs/>
          <w:color w:val="auto"/>
          <w:highlight w:val="none"/>
        </w:rPr>
      </w:pPr>
      <w:r>
        <w:rPr>
          <w:rFonts w:hint="eastAsia" w:ascii="宋体" w:hAnsi="宋体"/>
          <w:bCs/>
          <w:color w:val="auto"/>
          <w:highlight w:val="none"/>
        </w:rPr>
        <w:t>项目编号：</w:t>
      </w:r>
      <w:r>
        <w:rPr>
          <w:rFonts w:ascii="宋体" w:hAnsi="宋体"/>
          <w:bCs/>
          <w:color w:val="auto"/>
          <w:highlight w:val="none"/>
        </w:rPr>
        <w:t>ZJQZGX2023-010</w:t>
      </w:r>
    </w:p>
    <w:p>
      <w:pPr>
        <w:snapToGrid w:val="0"/>
        <w:spacing w:before="120" w:beforeLines="50" w:after="50"/>
        <w:ind w:firstLine="1068" w:firstLineChars="445"/>
        <w:rPr>
          <w:rFonts w:ascii="宋体" w:hAnsi="宋体"/>
          <w:bCs/>
          <w:color w:val="auto"/>
          <w:highlight w:val="none"/>
        </w:rPr>
      </w:pPr>
      <w:r>
        <w:rPr>
          <w:rFonts w:hint="eastAsia" w:ascii="宋体" w:hAnsi="宋体"/>
          <w:bCs/>
          <w:color w:val="auto"/>
          <w:highlight w:val="none"/>
        </w:rPr>
        <w:t>标项：</w:t>
      </w:r>
    </w:p>
    <w:p>
      <w:pPr>
        <w:snapToGrid w:val="0"/>
        <w:spacing w:before="120" w:beforeLines="50" w:after="50"/>
        <w:ind w:firstLine="1068" w:firstLineChars="445"/>
        <w:rPr>
          <w:rFonts w:ascii="宋体" w:hAnsi="宋体"/>
          <w:bCs/>
          <w:color w:val="auto"/>
          <w:highlight w:val="none"/>
        </w:rPr>
      </w:pPr>
      <w:r>
        <w:rPr>
          <w:rFonts w:hint="eastAsia" w:ascii="宋体" w:hAnsi="宋体"/>
          <w:bCs/>
          <w:color w:val="auto"/>
          <w:highlight w:val="none"/>
        </w:rPr>
        <w:t>投标人名称：</w:t>
      </w:r>
    </w:p>
    <w:p>
      <w:pPr>
        <w:snapToGrid w:val="0"/>
        <w:spacing w:before="120" w:beforeLines="50" w:after="50"/>
        <w:ind w:firstLine="1068" w:firstLineChars="445"/>
        <w:rPr>
          <w:rFonts w:ascii="宋体" w:hAnsi="宋体"/>
          <w:bCs/>
          <w:color w:val="auto"/>
          <w:highlight w:val="none"/>
        </w:rPr>
      </w:pPr>
      <w:r>
        <w:rPr>
          <w:rFonts w:hint="eastAsia" w:ascii="宋体" w:hAnsi="宋体"/>
          <w:bCs/>
          <w:color w:val="auto"/>
          <w:highlight w:val="none"/>
        </w:rPr>
        <w:t>投标人地址：</w:t>
      </w:r>
    </w:p>
    <w:p>
      <w:pPr>
        <w:snapToGrid w:val="0"/>
        <w:spacing w:before="120" w:beforeLines="50" w:after="50"/>
        <w:ind w:firstLine="480"/>
        <w:jc w:val="center"/>
        <w:rPr>
          <w:rFonts w:ascii="宋体" w:hAnsi="宋体"/>
          <w:color w:val="auto"/>
          <w:highlight w:val="none"/>
        </w:rPr>
      </w:pPr>
      <w:r>
        <w:rPr>
          <w:rFonts w:hint="eastAsia" w:ascii="宋体" w:hAnsi="宋体"/>
          <w:color w:val="auto"/>
          <w:highlight w:val="none"/>
        </w:rPr>
        <w:t xml:space="preserve">                          年  月   日</w:t>
      </w:r>
    </w:p>
    <w:p>
      <w:pPr>
        <w:pStyle w:val="6"/>
        <w:numPr>
          <w:ilvl w:val="0"/>
          <w:numId w:val="0"/>
        </w:numPr>
        <w:rPr>
          <w:rFonts w:ascii="宋体" w:hAnsi="宋体"/>
          <w:color w:val="auto"/>
          <w:highlight w:val="none"/>
        </w:rPr>
      </w:pPr>
      <w:r>
        <w:rPr>
          <w:rFonts w:hint="eastAsia" w:ascii="宋体" w:hAnsi="宋体"/>
          <w:color w:val="auto"/>
          <w:highlight w:val="none"/>
        </w:rPr>
        <w:t>附件2：投标人具有良好的商业信誉和健全的财务会计制度声明函</w:t>
      </w:r>
    </w:p>
    <w:p>
      <w:pPr>
        <w:pStyle w:val="6"/>
        <w:numPr>
          <w:ilvl w:val="0"/>
          <w:numId w:val="0"/>
        </w:numPr>
        <w:jc w:val="center"/>
        <w:rPr>
          <w:rFonts w:ascii="宋体" w:hAnsi="宋体"/>
          <w:color w:val="auto"/>
          <w:sz w:val="30"/>
          <w:szCs w:val="30"/>
          <w:highlight w:val="none"/>
        </w:rPr>
      </w:pPr>
      <w:r>
        <w:rPr>
          <w:rFonts w:hint="eastAsia" w:ascii="宋体" w:hAnsi="宋体"/>
          <w:color w:val="auto"/>
          <w:sz w:val="30"/>
          <w:szCs w:val="30"/>
          <w:highlight w:val="none"/>
        </w:rPr>
        <w:t>投标人具有良好的商业信誉和健全的财务会计制度声明函</w:t>
      </w:r>
    </w:p>
    <w:p>
      <w:pPr>
        <w:snapToGrid w:val="0"/>
        <w:ind w:firstLine="480"/>
        <w:rPr>
          <w:rFonts w:ascii="宋体" w:hAnsi="宋体"/>
          <w:color w:val="auto"/>
          <w:highlight w:val="none"/>
        </w:rPr>
      </w:pPr>
      <w:r>
        <w:rPr>
          <w:rFonts w:hint="eastAsia" w:ascii="宋体" w:hAnsi="宋体"/>
          <w:color w:val="auto"/>
          <w:highlight w:val="none"/>
        </w:rPr>
        <w:t>致：采购人</w:t>
      </w:r>
    </w:p>
    <w:p>
      <w:pPr>
        <w:pStyle w:val="6"/>
        <w:numPr>
          <w:ilvl w:val="0"/>
          <w:numId w:val="0"/>
        </w:numPr>
        <w:rPr>
          <w:rFonts w:ascii="宋体" w:hAnsi="宋体"/>
          <w:bCs w:val="0"/>
          <w:color w:val="auto"/>
          <w:szCs w:val="24"/>
          <w:highlight w:val="none"/>
        </w:rPr>
      </w:pPr>
      <w:r>
        <w:rPr>
          <w:rFonts w:hint="eastAsia" w:ascii="宋体" w:hAnsi="宋体"/>
          <w:bCs w:val="0"/>
          <w:color w:val="auto"/>
          <w:szCs w:val="24"/>
          <w:highlight w:val="none"/>
        </w:rPr>
        <w:t>本公司（单位）在参加采购编号为</w:t>
      </w:r>
      <w:r>
        <w:rPr>
          <w:rFonts w:hint="eastAsia" w:ascii="宋体" w:hAnsi="宋体"/>
          <w:bCs w:val="0"/>
          <w:color w:val="auto"/>
          <w:szCs w:val="24"/>
          <w:highlight w:val="none"/>
          <w:u w:val="single"/>
        </w:rPr>
        <w:t xml:space="preserve">            </w:t>
      </w:r>
      <w:r>
        <w:rPr>
          <w:rFonts w:hint="eastAsia" w:ascii="宋体" w:hAnsi="宋体"/>
          <w:bCs w:val="0"/>
          <w:color w:val="auto"/>
          <w:szCs w:val="24"/>
          <w:highlight w:val="none"/>
        </w:rPr>
        <w:t>，项目名称为</w:t>
      </w:r>
      <w:r>
        <w:rPr>
          <w:rFonts w:hint="eastAsia" w:ascii="宋体" w:hAnsi="宋体"/>
          <w:bCs w:val="0"/>
          <w:color w:val="auto"/>
          <w:szCs w:val="24"/>
          <w:highlight w:val="none"/>
          <w:u w:val="single"/>
        </w:rPr>
        <w:t xml:space="preserve">         </w:t>
      </w:r>
      <w:r>
        <w:rPr>
          <w:rFonts w:hint="eastAsia" w:ascii="宋体" w:hAnsi="宋体"/>
          <w:bCs w:val="0"/>
          <w:color w:val="auto"/>
          <w:szCs w:val="24"/>
          <w:highlight w:val="none"/>
        </w:rPr>
        <w:t>的政府采购活动前，在生产经营活动中始终做到遵纪守法，诚实守信，并具有良好的履约业绩，严格执行现行的财务会计管理制度，财务管理制度健全，账务清晰，能够按规定真实、全面地反映企业的生产经营活动。</w:t>
      </w:r>
    </w:p>
    <w:p>
      <w:pPr>
        <w:pStyle w:val="6"/>
        <w:numPr>
          <w:ilvl w:val="0"/>
          <w:numId w:val="0"/>
        </w:numPr>
        <w:rPr>
          <w:rFonts w:ascii="宋体" w:hAnsi="宋体"/>
          <w:bCs w:val="0"/>
          <w:color w:val="auto"/>
          <w:szCs w:val="24"/>
          <w:highlight w:val="none"/>
        </w:rPr>
      </w:pPr>
      <w:r>
        <w:rPr>
          <w:rFonts w:hint="eastAsia" w:ascii="宋体" w:hAnsi="宋体"/>
          <w:bCs w:val="0"/>
          <w:color w:val="auto"/>
          <w:szCs w:val="24"/>
          <w:highlight w:val="none"/>
        </w:rPr>
        <w:t>特此声明。</w:t>
      </w:r>
    </w:p>
    <w:p>
      <w:pPr>
        <w:snapToGrid w:val="0"/>
        <w:ind w:firstLine="480"/>
        <w:rPr>
          <w:rFonts w:ascii="宋体" w:hAnsi="宋体"/>
          <w:color w:val="auto"/>
          <w:highlight w:val="none"/>
          <w:u w:val="single"/>
        </w:rPr>
      </w:pPr>
      <w:r>
        <w:rPr>
          <w:rFonts w:hint="eastAsia" w:ascii="宋体" w:hAnsi="宋体"/>
          <w:color w:val="auto"/>
          <w:highlight w:val="none"/>
        </w:rPr>
        <w:t>投标人公章：</w:t>
      </w:r>
      <w:r>
        <w:rPr>
          <w:rFonts w:hint="eastAsia" w:ascii="宋体" w:hAnsi="宋体"/>
          <w:color w:val="auto"/>
          <w:highlight w:val="none"/>
          <w:u w:val="single"/>
        </w:rPr>
        <w:t xml:space="preserve">            </w:t>
      </w:r>
    </w:p>
    <w:p>
      <w:pPr>
        <w:snapToGrid w:val="0"/>
        <w:ind w:firstLine="480"/>
        <w:rPr>
          <w:rFonts w:ascii="宋体" w:hAnsi="宋体"/>
          <w:b/>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r>
        <w:rPr>
          <w:rFonts w:ascii="宋体" w:hAnsi="宋体"/>
          <w:color w:val="auto"/>
          <w:highlight w:val="none"/>
        </w:rPr>
        <w:br w:type="page"/>
      </w:r>
      <w:r>
        <w:rPr>
          <w:rFonts w:hint="eastAsia" w:ascii="宋体" w:hAnsi="宋体"/>
          <w:b/>
          <w:color w:val="auto"/>
          <w:highlight w:val="none"/>
        </w:rPr>
        <w:t>附件3：具有履行合同所必需的的设备和专业技术能力的承诺函</w:t>
      </w:r>
    </w:p>
    <w:p>
      <w:pPr>
        <w:pStyle w:val="6"/>
        <w:numPr>
          <w:ilvl w:val="0"/>
          <w:numId w:val="0"/>
        </w:numPr>
        <w:jc w:val="center"/>
        <w:rPr>
          <w:rFonts w:ascii="宋体" w:hAnsi="宋体"/>
          <w:color w:val="auto"/>
          <w:sz w:val="30"/>
          <w:szCs w:val="30"/>
          <w:highlight w:val="none"/>
        </w:rPr>
      </w:pPr>
      <w:r>
        <w:rPr>
          <w:rFonts w:hint="eastAsia" w:ascii="宋体" w:hAnsi="宋体"/>
          <w:color w:val="auto"/>
          <w:sz w:val="30"/>
          <w:szCs w:val="30"/>
          <w:highlight w:val="none"/>
        </w:rPr>
        <w:t>具有履行合同所必需的的设备和专业技术能力的承诺函</w:t>
      </w:r>
    </w:p>
    <w:p>
      <w:pPr>
        <w:snapToGrid w:val="0"/>
        <w:ind w:firstLine="720" w:firstLineChars="300"/>
        <w:rPr>
          <w:rFonts w:ascii="宋体" w:hAnsi="宋体"/>
          <w:color w:val="auto"/>
          <w:highlight w:val="none"/>
        </w:rPr>
      </w:pPr>
      <w:r>
        <w:rPr>
          <w:rFonts w:ascii="宋体" w:hAnsi="宋体"/>
          <w:color w:val="auto"/>
          <w:highlight w:val="none"/>
        </w:rPr>
        <w:t>我</w:t>
      </w:r>
      <w:r>
        <w:rPr>
          <w:rFonts w:hint="eastAsia" w:ascii="宋体" w:hAnsi="宋体"/>
          <w:color w:val="auto"/>
          <w:highlight w:val="none"/>
        </w:rPr>
        <w:t>公司（单位）具备履行合同所需的设备和专业技术能力，具体情况介绍如下：</w:t>
      </w:r>
    </w:p>
    <w:p>
      <w:pPr>
        <w:pStyle w:val="6"/>
        <w:numPr>
          <w:ilvl w:val="0"/>
          <w:numId w:val="0"/>
        </w:numPr>
        <w:rPr>
          <w:rFonts w:ascii="宋体" w:hAnsi="宋体"/>
          <w:color w:val="auto"/>
          <w:highlight w:val="none"/>
        </w:rPr>
      </w:pPr>
      <w:r>
        <w:rPr>
          <w:rFonts w:hint="eastAsia" w:ascii="宋体" w:hAnsi="宋体"/>
          <w:color w:val="auto"/>
          <w:highlight w:val="none"/>
        </w:rPr>
        <w:t>（内容包括：主要设备、专业技术人员、公司资质等）</w:t>
      </w:r>
    </w:p>
    <w:p>
      <w:pPr>
        <w:ind w:firstLine="480"/>
        <w:rPr>
          <w:color w:val="auto"/>
          <w:highlight w:val="none"/>
        </w:rPr>
      </w:pPr>
      <w:r>
        <w:rPr>
          <w:rFonts w:hint="eastAsia"/>
          <w:color w:val="auto"/>
          <w:highlight w:val="none"/>
        </w:rPr>
        <w:t>……</w:t>
      </w:r>
    </w:p>
    <w:p>
      <w:pPr>
        <w:snapToGrid w:val="0"/>
        <w:ind w:firstLine="720" w:firstLineChars="300"/>
        <w:rPr>
          <w:rFonts w:ascii="宋体" w:hAnsi="宋体"/>
          <w:color w:val="auto"/>
          <w:highlight w:val="none"/>
        </w:rPr>
      </w:pPr>
      <w:r>
        <w:rPr>
          <w:rFonts w:hint="eastAsia" w:ascii="宋体" w:hAnsi="宋体"/>
          <w:color w:val="auto"/>
          <w:highlight w:val="none"/>
        </w:rPr>
        <w:t>特此承诺。</w:t>
      </w:r>
    </w:p>
    <w:p>
      <w:pPr>
        <w:snapToGrid w:val="0"/>
        <w:ind w:firstLine="5520" w:firstLineChars="2300"/>
        <w:rPr>
          <w:rFonts w:ascii="宋体" w:hAnsi="宋体"/>
          <w:color w:val="auto"/>
          <w:highlight w:val="none"/>
          <w:u w:val="single"/>
        </w:rPr>
      </w:pPr>
      <w:r>
        <w:rPr>
          <w:rFonts w:hint="eastAsia" w:ascii="宋体" w:hAnsi="宋体"/>
          <w:color w:val="auto"/>
          <w:highlight w:val="none"/>
        </w:rPr>
        <w:t>投标人公章：</w:t>
      </w:r>
      <w:r>
        <w:rPr>
          <w:rFonts w:hint="eastAsia" w:ascii="宋体" w:hAnsi="宋体"/>
          <w:color w:val="auto"/>
          <w:highlight w:val="none"/>
          <w:u w:val="single"/>
        </w:rPr>
        <w:t xml:space="preserve">            </w:t>
      </w:r>
    </w:p>
    <w:p>
      <w:pPr>
        <w:snapToGrid w:val="0"/>
        <w:ind w:firstLine="4080" w:firstLineChars="1700"/>
        <w:rPr>
          <w:rFonts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 xml:space="preserve">日   </w:t>
      </w:r>
    </w:p>
    <w:p>
      <w:pPr>
        <w:snapToGrid w:val="0"/>
        <w:ind w:firstLine="5520" w:firstLineChars="2300"/>
        <w:rPr>
          <w:rFonts w:ascii="宋体" w:hAnsi="宋体"/>
          <w:color w:val="auto"/>
          <w:highlight w:val="none"/>
        </w:rPr>
      </w:pPr>
    </w:p>
    <w:p>
      <w:pPr>
        <w:snapToGrid w:val="0"/>
        <w:ind w:firstLine="5520" w:firstLineChars="2300"/>
        <w:rPr>
          <w:rFonts w:ascii="宋体" w:hAnsi="宋体"/>
          <w:color w:val="auto"/>
          <w:highlight w:val="none"/>
        </w:rPr>
      </w:pPr>
      <w:r>
        <w:rPr>
          <w:rFonts w:hint="eastAsia" w:ascii="宋体" w:hAnsi="宋体"/>
          <w:color w:val="auto"/>
          <w:highlight w:val="none"/>
        </w:rPr>
        <w:t xml:space="preserve">                                        </w:t>
      </w:r>
    </w:p>
    <w:p>
      <w:pPr>
        <w:pStyle w:val="6"/>
        <w:numPr>
          <w:ilvl w:val="0"/>
          <w:numId w:val="0"/>
        </w:numPr>
        <w:rPr>
          <w:rFonts w:ascii="宋体" w:hAnsi="宋体"/>
          <w:color w:val="auto"/>
          <w:highlight w:val="none"/>
        </w:rPr>
      </w:pPr>
    </w:p>
    <w:p>
      <w:pPr>
        <w:pStyle w:val="6"/>
        <w:numPr>
          <w:ilvl w:val="0"/>
          <w:numId w:val="0"/>
        </w:numPr>
        <w:rPr>
          <w:color w:val="auto"/>
          <w:highlight w:val="none"/>
        </w:rPr>
      </w:pPr>
      <w:r>
        <w:rPr>
          <w:rFonts w:hint="eastAsia" w:ascii="宋体" w:hAnsi="宋体"/>
          <w:color w:val="auto"/>
          <w:highlight w:val="none"/>
        </w:rPr>
        <w:t xml:space="preserve">  </w:t>
      </w:r>
      <w:r>
        <w:rPr>
          <w:rFonts w:hint="eastAsia"/>
          <w:color w:val="auto"/>
          <w:highlight w:val="none"/>
        </w:rPr>
        <w:t xml:space="preserve"> </w:t>
      </w:r>
    </w:p>
    <w:p>
      <w:pPr>
        <w:pStyle w:val="6"/>
        <w:numPr>
          <w:ilvl w:val="0"/>
          <w:numId w:val="0"/>
        </w:numPr>
        <w:rPr>
          <w:rFonts w:ascii="宋体" w:hAnsi="宋体"/>
          <w:color w:val="auto"/>
          <w:highlight w:val="none"/>
        </w:rPr>
      </w:pPr>
    </w:p>
    <w:p>
      <w:pPr>
        <w:ind w:firstLine="482"/>
        <w:rPr>
          <w:rFonts w:ascii="宋体" w:hAnsi="宋体"/>
          <w:b/>
          <w:color w:val="auto"/>
          <w:highlight w:val="none"/>
        </w:rPr>
      </w:pPr>
    </w:p>
    <w:p>
      <w:pPr>
        <w:pStyle w:val="6"/>
        <w:numPr>
          <w:ilvl w:val="0"/>
          <w:numId w:val="0"/>
        </w:numPr>
        <w:rPr>
          <w:rFonts w:ascii="宋体" w:hAnsi="宋体"/>
          <w:color w:val="auto"/>
          <w:highlight w:val="none"/>
        </w:rPr>
      </w:pPr>
    </w:p>
    <w:p>
      <w:pPr>
        <w:ind w:firstLine="482"/>
        <w:rPr>
          <w:rFonts w:ascii="宋体" w:hAnsi="宋体"/>
          <w:b/>
          <w:color w:val="auto"/>
          <w:highlight w:val="none"/>
        </w:rPr>
      </w:pPr>
    </w:p>
    <w:p>
      <w:pPr>
        <w:pStyle w:val="6"/>
        <w:numPr>
          <w:ilvl w:val="0"/>
          <w:numId w:val="0"/>
        </w:numPr>
        <w:rPr>
          <w:rFonts w:ascii="宋体" w:hAnsi="宋体"/>
          <w:color w:val="auto"/>
          <w:highlight w:val="none"/>
        </w:rPr>
      </w:pPr>
    </w:p>
    <w:p>
      <w:pPr>
        <w:ind w:firstLine="482"/>
        <w:rPr>
          <w:rFonts w:ascii="宋体" w:hAnsi="宋体"/>
          <w:b/>
          <w:color w:val="auto"/>
          <w:highlight w:val="none"/>
        </w:rPr>
      </w:pPr>
    </w:p>
    <w:p>
      <w:pPr>
        <w:pStyle w:val="16"/>
        <w:ind w:firstLine="482"/>
        <w:rPr>
          <w:rFonts w:ascii="宋体" w:hAnsi="宋体"/>
          <w:b/>
          <w:color w:val="auto"/>
          <w:highlight w:val="none"/>
        </w:rPr>
      </w:pPr>
    </w:p>
    <w:p>
      <w:pPr>
        <w:pStyle w:val="40"/>
        <w:ind w:left="480" w:firstLine="482"/>
        <w:rPr>
          <w:rFonts w:ascii="宋体" w:hAnsi="宋体"/>
          <w:b/>
          <w:color w:val="auto"/>
          <w:highlight w:val="none"/>
        </w:rPr>
      </w:pPr>
    </w:p>
    <w:p>
      <w:pPr>
        <w:ind w:firstLine="482"/>
        <w:rPr>
          <w:rFonts w:ascii="宋体" w:hAnsi="宋体"/>
          <w:b/>
          <w:color w:val="auto"/>
          <w:highlight w:val="none"/>
        </w:rPr>
      </w:pPr>
    </w:p>
    <w:p>
      <w:pPr>
        <w:pStyle w:val="16"/>
        <w:ind w:firstLine="482"/>
        <w:rPr>
          <w:rFonts w:ascii="宋体" w:hAnsi="宋体"/>
          <w:b/>
          <w:color w:val="auto"/>
          <w:highlight w:val="none"/>
        </w:rPr>
      </w:pPr>
    </w:p>
    <w:p>
      <w:pPr>
        <w:pStyle w:val="40"/>
        <w:ind w:left="480" w:firstLine="482"/>
        <w:rPr>
          <w:rFonts w:ascii="宋体" w:hAnsi="宋体"/>
          <w:b/>
          <w:color w:val="auto"/>
          <w:highlight w:val="none"/>
        </w:rPr>
      </w:pPr>
    </w:p>
    <w:p>
      <w:pPr>
        <w:ind w:firstLine="482"/>
        <w:rPr>
          <w:rFonts w:ascii="宋体" w:hAnsi="宋体"/>
          <w:b/>
          <w:color w:val="auto"/>
          <w:highlight w:val="none"/>
        </w:rPr>
      </w:pPr>
    </w:p>
    <w:p>
      <w:pPr>
        <w:pStyle w:val="16"/>
        <w:ind w:firstLine="482"/>
        <w:rPr>
          <w:rFonts w:ascii="宋体" w:hAnsi="宋体"/>
          <w:b/>
          <w:color w:val="auto"/>
          <w:highlight w:val="none"/>
        </w:rPr>
      </w:pPr>
    </w:p>
    <w:p>
      <w:pPr>
        <w:pStyle w:val="40"/>
        <w:ind w:left="480" w:firstLine="480"/>
        <w:rPr>
          <w:color w:val="auto"/>
          <w:highlight w:val="none"/>
        </w:rPr>
      </w:pPr>
    </w:p>
    <w:p>
      <w:pPr>
        <w:pStyle w:val="3"/>
        <w:ind w:firstLine="344"/>
        <w:rPr>
          <w:color w:val="auto"/>
          <w:highlight w:val="none"/>
        </w:rPr>
      </w:pPr>
    </w:p>
    <w:p>
      <w:pPr>
        <w:ind w:firstLine="480"/>
        <w:rPr>
          <w:color w:val="auto"/>
          <w:highlight w:val="none"/>
        </w:rPr>
      </w:pPr>
    </w:p>
    <w:p>
      <w:pPr>
        <w:pStyle w:val="6"/>
        <w:numPr>
          <w:ilvl w:val="0"/>
          <w:numId w:val="0"/>
        </w:numPr>
        <w:rPr>
          <w:rFonts w:ascii="宋体" w:hAnsi="宋体"/>
          <w:bCs w:val="0"/>
          <w:color w:val="auto"/>
          <w:szCs w:val="24"/>
          <w:highlight w:val="none"/>
        </w:rPr>
      </w:pPr>
      <w:r>
        <w:rPr>
          <w:rFonts w:hint="eastAsia" w:ascii="宋体" w:hAnsi="宋体"/>
          <w:bCs w:val="0"/>
          <w:color w:val="auto"/>
          <w:szCs w:val="24"/>
          <w:highlight w:val="none"/>
        </w:rPr>
        <w:t>附件4：投标声明书格式：</w:t>
      </w:r>
    </w:p>
    <w:p>
      <w:pPr>
        <w:snapToGrid w:val="0"/>
        <w:spacing w:before="120" w:beforeLines="50" w:after="50"/>
        <w:ind w:firstLine="600"/>
        <w:jc w:val="center"/>
        <w:rPr>
          <w:rFonts w:ascii="宋体" w:hAnsi="宋体"/>
          <w:color w:val="auto"/>
          <w:szCs w:val="20"/>
          <w:highlight w:val="none"/>
        </w:rPr>
      </w:pPr>
      <w:r>
        <w:rPr>
          <w:rFonts w:hint="eastAsia" w:ascii="宋体" w:hAnsi="宋体"/>
          <w:color w:val="auto"/>
          <w:sz w:val="30"/>
          <w:highlight w:val="none"/>
        </w:rPr>
        <w:t>投标声明书</w:t>
      </w:r>
    </w:p>
    <w:p>
      <w:pPr>
        <w:snapToGrid w:val="0"/>
        <w:spacing w:before="120" w:beforeLines="50" w:after="50"/>
        <w:ind w:firstLine="480"/>
        <w:rPr>
          <w:rFonts w:ascii="宋体" w:hAnsi="宋体"/>
          <w:color w:val="auto"/>
          <w:szCs w:val="20"/>
          <w:highlight w:val="none"/>
        </w:rPr>
      </w:pPr>
      <w:r>
        <w:rPr>
          <w:rFonts w:hint="eastAsia" w:ascii="宋体" w:hAnsi="宋体"/>
          <w:color w:val="auto"/>
          <w:highlight w:val="none"/>
        </w:rPr>
        <w:t>致：</w:t>
      </w:r>
      <w:r>
        <w:rPr>
          <w:rFonts w:ascii="宋体" w:hAnsi="宋体"/>
          <w:color w:val="auto"/>
          <w:highlight w:val="none"/>
        </w:rPr>
        <w:t>______</w:t>
      </w:r>
      <w:r>
        <w:rPr>
          <w:rFonts w:ascii="宋体" w:hAnsi="宋体"/>
          <w:color w:val="auto"/>
          <w:highlight w:val="none"/>
          <w:u w:val="single"/>
        </w:rPr>
        <w:t>__</w:t>
      </w:r>
      <w:r>
        <w:rPr>
          <w:rFonts w:ascii="宋体" w:hAnsi="宋体"/>
          <w:color w:val="auto"/>
          <w:highlight w:val="none"/>
        </w:rPr>
        <w:t>_</w:t>
      </w:r>
      <w:r>
        <w:rPr>
          <w:rFonts w:hint="eastAsia" w:ascii="宋体" w:hAnsi="宋体"/>
          <w:color w:val="auto"/>
          <w:highlight w:val="none"/>
        </w:rPr>
        <w:t>（招标采购单位名称）：</w:t>
      </w:r>
    </w:p>
    <w:p>
      <w:pPr>
        <w:snapToGrid w:val="0"/>
        <w:spacing w:before="120" w:beforeLines="50" w:after="50"/>
        <w:ind w:firstLine="720" w:firstLineChars="300"/>
        <w:rPr>
          <w:rFonts w:ascii="宋体" w:hAnsi="宋体"/>
          <w:color w:val="auto"/>
          <w:szCs w:val="20"/>
          <w:highlight w:val="none"/>
        </w:rPr>
      </w:pPr>
      <w:r>
        <w:rPr>
          <w:rFonts w:ascii="宋体" w:hAnsi="宋体"/>
          <w:color w:val="auto"/>
          <w:highlight w:val="none"/>
        </w:rPr>
        <w:t>______</w:t>
      </w:r>
      <w:r>
        <w:rPr>
          <w:rFonts w:ascii="宋体" w:hAnsi="宋体"/>
          <w:color w:val="auto"/>
          <w:highlight w:val="none"/>
          <w:u w:val="single"/>
        </w:rPr>
        <w:t>__</w:t>
      </w:r>
      <w:r>
        <w:rPr>
          <w:rFonts w:ascii="宋体" w:hAnsi="宋体"/>
          <w:color w:val="auto"/>
          <w:highlight w:val="none"/>
        </w:rPr>
        <w:t>_</w:t>
      </w:r>
      <w:r>
        <w:rPr>
          <w:rFonts w:hint="eastAsia" w:ascii="宋体" w:hAnsi="宋体"/>
          <w:color w:val="auto"/>
          <w:highlight w:val="none"/>
        </w:rPr>
        <w:t>（投标人名称）系中华人民共和国合法企业，经营地址。</w:t>
      </w:r>
    </w:p>
    <w:p>
      <w:pPr>
        <w:snapToGrid w:val="0"/>
        <w:spacing w:before="120" w:beforeLines="50" w:after="50"/>
        <w:ind w:firstLine="480"/>
        <w:rPr>
          <w:rFonts w:ascii="宋体" w:hAnsi="宋体"/>
          <w:color w:val="auto"/>
          <w:szCs w:val="20"/>
          <w:highlight w:val="none"/>
        </w:rPr>
      </w:pPr>
      <w:r>
        <w:rPr>
          <w:rFonts w:hint="eastAsia" w:ascii="宋体" w:hAnsi="宋体"/>
          <w:color w:val="auto"/>
          <w:highlight w:val="none"/>
        </w:rPr>
        <w:t>我</w:t>
      </w:r>
      <w:r>
        <w:rPr>
          <w:rFonts w:ascii="宋体" w:hAnsi="宋体"/>
          <w:color w:val="auto"/>
          <w:highlight w:val="none"/>
        </w:rPr>
        <w:t>___</w:t>
      </w:r>
      <w:r>
        <w:rPr>
          <w:rFonts w:ascii="宋体" w:hAnsi="宋体"/>
          <w:color w:val="auto"/>
          <w:highlight w:val="none"/>
          <w:u w:val="single"/>
        </w:rPr>
        <w:t>_</w:t>
      </w:r>
      <w:r>
        <w:rPr>
          <w:rFonts w:ascii="宋体" w:hAnsi="宋体"/>
          <w:color w:val="auto"/>
          <w:highlight w:val="none"/>
        </w:rPr>
        <w:t>_</w:t>
      </w:r>
      <w:r>
        <w:rPr>
          <w:rFonts w:hint="eastAsia" w:ascii="宋体" w:hAnsi="宋体"/>
          <w:color w:val="auto"/>
          <w:highlight w:val="none"/>
        </w:rPr>
        <w:t>（姓名）系</w:t>
      </w:r>
      <w:r>
        <w:rPr>
          <w:rFonts w:ascii="宋体" w:hAnsi="宋体"/>
          <w:color w:val="auto"/>
          <w:highlight w:val="none"/>
        </w:rPr>
        <w:t>______</w:t>
      </w:r>
      <w:r>
        <w:rPr>
          <w:rFonts w:ascii="宋体" w:hAnsi="宋体"/>
          <w:color w:val="auto"/>
          <w:highlight w:val="none"/>
          <w:u w:val="single"/>
        </w:rPr>
        <w:t>__</w:t>
      </w:r>
      <w:r>
        <w:rPr>
          <w:rFonts w:ascii="宋体" w:hAnsi="宋体"/>
          <w:color w:val="auto"/>
          <w:highlight w:val="none"/>
        </w:rPr>
        <w:t>_</w:t>
      </w:r>
      <w:r>
        <w:rPr>
          <w:rFonts w:hint="eastAsia" w:ascii="宋体" w:hAnsi="宋体"/>
          <w:color w:val="auto"/>
          <w:highlight w:val="none"/>
        </w:rPr>
        <w:t>（投标人名称）的法定代表人，我方愿意参加贵方组织的</w:t>
      </w:r>
      <w:r>
        <w:rPr>
          <w:rFonts w:ascii="宋体" w:hAnsi="宋体"/>
          <w:color w:val="auto"/>
          <w:highlight w:val="none"/>
        </w:rPr>
        <w:t>_____</w:t>
      </w:r>
      <w:r>
        <w:rPr>
          <w:rFonts w:ascii="宋体" w:hAnsi="宋体"/>
          <w:color w:val="auto"/>
          <w:highlight w:val="none"/>
          <w:u w:val="single"/>
        </w:rPr>
        <w:t>___</w:t>
      </w:r>
      <w:r>
        <w:rPr>
          <w:rFonts w:ascii="宋体" w:hAnsi="宋体"/>
          <w:color w:val="auto"/>
          <w:highlight w:val="none"/>
        </w:rPr>
        <w:t>_</w:t>
      </w:r>
      <w:r>
        <w:rPr>
          <w:rFonts w:hint="eastAsia" w:ascii="宋体" w:hAnsi="宋体"/>
          <w:color w:val="auto"/>
          <w:highlight w:val="none"/>
        </w:rPr>
        <w:t>项目的投标，为便于贵方公正、择优地确定中标人及其投标产品和服务，我方就本次投标有关事项郑重声明如下：</w:t>
      </w:r>
    </w:p>
    <w:p>
      <w:pPr>
        <w:snapToGrid w:val="0"/>
        <w:ind w:firstLine="480"/>
        <w:rPr>
          <w:rFonts w:ascii="宋体" w:hAnsi="宋体"/>
          <w:color w:val="auto"/>
          <w:szCs w:val="20"/>
          <w:highlight w:val="none"/>
        </w:rPr>
      </w:pPr>
      <w:r>
        <w:rPr>
          <w:rFonts w:ascii="宋体" w:hAnsi="宋体"/>
          <w:color w:val="auto"/>
          <w:highlight w:val="none"/>
        </w:rPr>
        <w:t>1</w:t>
      </w:r>
      <w:r>
        <w:rPr>
          <w:rFonts w:hint="eastAsia" w:ascii="宋体" w:hAnsi="宋体"/>
          <w:color w:val="auto"/>
          <w:highlight w:val="none"/>
        </w:rPr>
        <w:t>.</w:t>
      </w:r>
      <w:r>
        <w:rPr>
          <w:rFonts w:ascii="宋体" w:hAnsi="宋体"/>
          <w:color w:val="auto"/>
          <w:highlight w:val="none"/>
        </w:rPr>
        <w:t>我方向贵方提交的所有投标文件、资料都是准确的和真实的</w:t>
      </w:r>
      <w:r>
        <w:rPr>
          <w:rFonts w:hint="eastAsia" w:ascii="宋体" w:hAnsi="宋体"/>
          <w:color w:val="auto"/>
          <w:highlight w:val="none"/>
        </w:rPr>
        <w:t>。</w:t>
      </w:r>
    </w:p>
    <w:p>
      <w:pPr>
        <w:snapToGrid w:val="0"/>
        <w:spacing w:before="120" w:beforeLines="50"/>
        <w:ind w:firstLine="480"/>
        <w:rPr>
          <w:rFonts w:ascii="宋体" w:hAnsi="宋体"/>
          <w:color w:val="auto"/>
          <w:highlight w:val="none"/>
        </w:rPr>
      </w:pPr>
      <w:r>
        <w:rPr>
          <w:rFonts w:ascii="宋体" w:hAnsi="宋体"/>
          <w:color w:val="auto"/>
          <w:highlight w:val="none"/>
        </w:rPr>
        <w:t>2</w:t>
      </w:r>
      <w:r>
        <w:rPr>
          <w:rFonts w:hint="eastAsia" w:ascii="宋体" w:hAnsi="宋体"/>
          <w:color w:val="auto"/>
          <w:highlight w:val="none"/>
        </w:rPr>
        <w:t>.</w:t>
      </w:r>
      <w:r>
        <w:rPr>
          <w:rFonts w:ascii="宋体" w:hAnsi="宋体"/>
          <w:color w:val="auto"/>
          <w:highlight w:val="none"/>
        </w:rPr>
        <w:t>我方不是采购人的附属机构</w:t>
      </w:r>
    </w:p>
    <w:p>
      <w:pPr>
        <w:snapToGrid w:val="0"/>
        <w:spacing w:before="120" w:beforeLines="50"/>
        <w:ind w:firstLine="480"/>
        <w:rPr>
          <w:rFonts w:ascii="宋体" w:hAnsi="宋体"/>
          <w:color w:val="auto"/>
          <w:szCs w:val="20"/>
          <w:highlight w:val="none"/>
        </w:rPr>
      </w:pPr>
      <w:r>
        <w:rPr>
          <w:rFonts w:ascii="宋体" w:hAnsi="宋体"/>
          <w:color w:val="auto"/>
          <w:highlight w:val="none"/>
        </w:rPr>
        <w:t>在获知本项目采购信息后，与采购人聘请的为此项目提供咨询服务的公司及其附属机构没有任何联系。</w:t>
      </w:r>
    </w:p>
    <w:p>
      <w:pPr>
        <w:snapToGrid w:val="0"/>
        <w:spacing w:before="120" w:beforeLines="50"/>
        <w:ind w:firstLine="480"/>
        <w:rPr>
          <w:rFonts w:ascii="宋体" w:hAnsi="宋体"/>
          <w:color w:val="auto"/>
          <w:highlight w:val="none"/>
        </w:rPr>
      </w:pPr>
      <w:r>
        <w:rPr>
          <w:rFonts w:ascii="宋体" w:hAnsi="宋体"/>
          <w:color w:val="auto"/>
          <w:highlight w:val="none"/>
        </w:rPr>
        <w:t>3</w:t>
      </w:r>
      <w:r>
        <w:rPr>
          <w:rFonts w:hint="eastAsia" w:ascii="宋体" w:hAnsi="宋体"/>
          <w:color w:val="auto"/>
          <w:highlight w:val="none"/>
        </w:rPr>
        <w:t>.</w:t>
      </w:r>
      <w:r>
        <w:rPr>
          <w:rFonts w:ascii="宋体" w:hAnsi="宋体"/>
          <w:color w:val="auto"/>
          <w:highlight w:val="none"/>
        </w:rPr>
        <w:t>我方此次向贵方提供的产品名称为：</w:t>
      </w:r>
    </w:p>
    <w:p>
      <w:pPr>
        <w:snapToGrid w:val="0"/>
        <w:spacing w:before="120" w:beforeLines="50"/>
        <w:ind w:firstLine="480"/>
        <w:rPr>
          <w:rFonts w:ascii="宋体" w:hAnsi="宋体"/>
          <w:color w:val="auto"/>
          <w:highlight w:val="none"/>
        </w:rPr>
      </w:pPr>
      <w:r>
        <w:rPr>
          <w:rFonts w:hint="eastAsia" w:ascii="宋体" w:hAnsi="宋体"/>
          <w:color w:val="auto"/>
          <w:highlight w:val="none"/>
        </w:rPr>
        <w:t>规格型号：</w:t>
      </w:r>
    </w:p>
    <w:p>
      <w:pPr>
        <w:snapToGrid w:val="0"/>
        <w:spacing w:before="120" w:beforeLines="50"/>
        <w:ind w:firstLine="480"/>
        <w:rPr>
          <w:rFonts w:ascii="宋体" w:hAnsi="宋体"/>
          <w:color w:val="auto"/>
          <w:szCs w:val="20"/>
          <w:highlight w:val="none"/>
        </w:rPr>
      </w:pPr>
      <w:r>
        <w:rPr>
          <w:rFonts w:hint="eastAsia" w:ascii="宋体" w:hAnsi="宋体"/>
          <w:color w:val="auto"/>
          <w:highlight w:val="none"/>
        </w:rPr>
        <w:t>该型号产品我方有现货可供，并已于年月生产完工或向</w:t>
      </w:r>
      <w:r>
        <w:rPr>
          <w:rFonts w:hint="eastAsia" w:ascii="宋体" w:hAnsi="宋体"/>
          <w:color w:val="auto"/>
          <w:highlight w:val="none"/>
          <w:u w:val="single"/>
        </w:rPr>
        <w:t>　　</w:t>
      </w:r>
      <w:r>
        <w:rPr>
          <w:rFonts w:hint="eastAsia" w:ascii="宋体" w:hAnsi="宋体"/>
          <w:color w:val="auto"/>
          <w:highlight w:val="none"/>
        </w:rPr>
        <w:t>（制造商名称）购进［</w:t>
      </w:r>
      <w:r>
        <w:rPr>
          <w:rFonts w:hint="eastAsia" w:ascii="宋体" w:hAnsi="宋体"/>
          <w:b/>
          <w:bCs/>
          <w:color w:val="auto"/>
          <w:highlight w:val="none"/>
        </w:rPr>
        <w:t>或</w:t>
      </w:r>
      <w:r>
        <w:rPr>
          <w:rFonts w:hint="eastAsia" w:ascii="宋体" w:hAnsi="宋体"/>
          <w:color w:val="auto"/>
          <w:highlight w:val="none"/>
        </w:rPr>
        <w:t>需在中标后向订购］。</w:t>
      </w:r>
    </w:p>
    <w:p>
      <w:pPr>
        <w:snapToGrid w:val="0"/>
        <w:spacing w:before="120" w:beforeLines="50"/>
        <w:ind w:firstLine="480"/>
        <w:rPr>
          <w:rFonts w:ascii="宋体" w:hAnsi="宋体"/>
          <w:color w:val="auto"/>
          <w:szCs w:val="20"/>
          <w:highlight w:val="none"/>
        </w:rPr>
      </w:pPr>
      <w:r>
        <w:rPr>
          <w:rFonts w:ascii="宋体" w:hAnsi="宋体"/>
          <w:color w:val="auto"/>
          <w:highlight w:val="none"/>
        </w:rPr>
        <w:t>4</w:t>
      </w:r>
      <w:r>
        <w:rPr>
          <w:rFonts w:hint="eastAsia" w:ascii="宋体" w:hAnsi="宋体"/>
          <w:color w:val="auto"/>
          <w:highlight w:val="none"/>
        </w:rPr>
        <w:t>.</w:t>
      </w:r>
      <w:r>
        <w:rPr>
          <w:rFonts w:ascii="宋体" w:hAnsi="宋体"/>
          <w:color w:val="auto"/>
          <w:highlight w:val="none"/>
        </w:rPr>
        <w:t>我方诚意提请贵方关注：</w:t>
      </w:r>
      <w:r>
        <w:rPr>
          <w:rFonts w:hint="eastAsia" w:ascii="宋体" w:hAnsi="宋体"/>
          <w:color w:val="auto"/>
          <w:highlight w:val="none"/>
        </w:rPr>
        <w:t>近期</w:t>
      </w:r>
      <w:r>
        <w:rPr>
          <w:rFonts w:ascii="宋体" w:hAnsi="宋体"/>
          <w:color w:val="auto"/>
          <w:highlight w:val="none"/>
        </w:rPr>
        <w:t>有关该型号产品的</w:t>
      </w:r>
      <w:r>
        <w:rPr>
          <w:rFonts w:hint="eastAsia" w:ascii="宋体" w:hAnsi="宋体"/>
          <w:color w:val="auto"/>
          <w:highlight w:val="none"/>
        </w:rPr>
        <w:t>生产、供货、售后服务以及性能等方面的重大决策和事项有：</w:t>
      </w:r>
    </w:p>
    <w:p>
      <w:pPr>
        <w:snapToGrid w:val="0"/>
        <w:spacing w:before="120" w:beforeLines="50"/>
        <w:ind w:firstLine="480"/>
        <w:rPr>
          <w:rFonts w:ascii="宋体" w:hAnsi="宋体"/>
          <w:color w:val="auto"/>
          <w:szCs w:val="20"/>
          <w:highlight w:val="none"/>
          <w:u w:val="single"/>
        </w:rPr>
      </w:pPr>
      <w:r>
        <w:rPr>
          <w:rFonts w:hint="eastAsia" w:ascii="宋体" w:hAnsi="宋体"/>
          <w:color w:val="auto"/>
          <w:highlight w:val="none"/>
          <w:u w:val="single"/>
        </w:rPr>
        <w:t>　　　　　　　　　　　　　　　　　　　　　　　　　　　</w:t>
      </w:r>
    </w:p>
    <w:p>
      <w:pPr>
        <w:pStyle w:val="2"/>
        <w:snapToGrid w:val="0"/>
        <w:spacing w:line="360" w:lineRule="auto"/>
        <w:ind w:firstLine="464"/>
        <w:rPr>
          <w:rFonts w:hAnsi="宋体"/>
          <w:color w:val="auto"/>
          <w:sz w:val="24"/>
          <w:highlight w:val="none"/>
        </w:rPr>
      </w:pPr>
      <w:r>
        <w:rPr>
          <w:rFonts w:hAnsi="宋体"/>
          <w:color w:val="auto"/>
          <w:sz w:val="24"/>
          <w:highlight w:val="none"/>
        </w:rPr>
        <w:t>5</w:t>
      </w:r>
      <w:r>
        <w:rPr>
          <w:rFonts w:hint="eastAsia" w:hAnsi="宋体"/>
          <w:color w:val="auto"/>
          <w:sz w:val="24"/>
          <w:highlight w:val="none"/>
        </w:rPr>
        <w:t>.我方及由本人担任法定代表人的其他机构</w:t>
      </w:r>
      <w:r>
        <w:rPr>
          <w:rFonts w:hAnsi="宋体"/>
          <w:color w:val="auto"/>
          <w:sz w:val="24"/>
          <w:highlight w:val="none"/>
        </w:rPr>
        <w:t>最近三年内被</w:t>
      </w:r>
      <w:r>
        <w:rPr>
          <w:rFonts w:hint="eastAsia" w:hAnsi="宋体"/>
          <w:color w:val="auto"/>
          <w:sz w:val="24"/>
          <w:highlight w:val="none"/>
        </w:rPr>
        <w:t>通报、被处罚的</w:t>
      </w:r>
      <w:r>
        <w:rPr>
          <w:rFonts w:hAnsi="宋体"/>
          <w:color w:val="auto"/>
          <w:sz w:val="24"/>
          <w:highlight w:val="none"/>
        </w:rPr>
        <w:t>违法行为</w:t>
      </w:r>
      <w:r>
        <w:rPr>
          <w:rFonts w:hint="eastAsia" w:hAnsi="宋体"/>
          <w:color w:val="auto"/>
          <w:sz w:val="24"/>
          <w:highlight w:val="none"/>
        </w:rPr>
        <w:t>或者可认定为不良行为的</w:t>
      </w:r>
      <w:r>
        <w:rPr>
          <w:rFonts w:hAnsi="宋体"/>
          <w:color w:val="auto"/>
          <w:sz w:val="24"/>
          <w:highlight w:val="none"/>
        </w:rPr>
        <w:t>有：</w:t>
      </w:r>
    </w:p>
    <w:p>
      <w:pPr>
        <w:snapToGrid w:val="0"/>
        <w:spacing w:before="120" w:beforeLines="50"/>
        <w:ind w:firstLine="480"/>
        <w:rPr>
          <w:rFonts w:ascii="宋体" w:hAnsi="宋体"/>
          <w:color w:val="auto"/>
          <w:szCs w:val="20"/>
          <w:highlight w:val="none"/>
          <w:u w:val="single"/>
        </w:rPr>
      </w:pPr>
      <w:r>
        <w:rPr>
          <w:rFonts w:hint="eastAsia" w:ascii="宋体" w:hAnsi="宋体"/>
          <w:color w:val="auto"/>
          <w:highlight w:val="none"/>
          <w:u w:val="single"/>
        </w:rPr>
        <w:t>　　　　　　　　　　　　　　　　　　　　　　　　　　　</w:t>
      </w:r>
    </w:p>
    <w:p>
      <w:pPr>
        <w:snapToGrid w:val="0"/>
        <w:ind w:firstLine="464"/>
        <w:rPr>
          <w:rFonts w:ascii="宋体" w:hAnsi="宋体"/>
          <w:color w:val="auto"/>
          <w:spacing w:val="-4"/>
          <w:szCs w:val="20"/>
          <w:highlight w:val="none"/>
        </w:rPr>
      </w:pPr>
      <w:r>
        <w:rPr>
          <w:rFonts w:hint="eastAsia" w:ascii="宋体" w:hAnsi="宋体"/>
          <w:color w:val="auto"/>
          <w:spacing w:val="-4"/>
          <w:szCs w:val="20"/>
          <w:highlight w:val="none"/>
        </w:rPr>
        <w:t>6.以上事项如有虚假或隐瞒，我方愿意承担一切后果，并不再寻求任何旨在减轻或免除法律责任的辩解。</w:t>
      </w:r>
    </w:p>
    <w:p>
      <w:pPr>
        <w:snapToGrid w:val="0"/>
        <w:spacing w:before="120" w:beforeLines="50" w:after="50"/>
        <w:ind w:firstLine="360" w:firstLineChars="150"/>
        <w:rPr>
          <w:rFonts w:ascii="宋体" w:hAnsi="宋体"/>
          <w:color w:val="auto"/>
          <w:highlight w:val="none"/>
        </w:rPr>
      </w:pPr>
      <w:r>
        <w:rPr>
          <w:rFonts w:hint="eastAsia" w:ascii="宋体" w:hAnsi="宋体"/>
          <w:color w:val="auto"/>
          <w:highlight w:val="none"/>
        </w:rPr>
        <w:t>投标人公章：</w:t>
      </w:r>
    </w:p>
    <w:p>
      <w:pPr>
        <w:snapToGrid w:val="0"/>
        <w:spacing w:before="120" w:beforeLines="50" w:after="50"/>
        <w:ind w:firstLine="6240" w:firstLineChars="2600"/>
        <w:rPr>
          <w:rFonts w:ascii="宋体" w:hAnsi="宋体"/>
          <w:color w:val="auto"/>
          <w:szCs w:val="20"/>
          <w:highlight w:val="none"/>
        </w:rPr>
      </w:pPr>
      <w:r>
        <w:rPr>
          <w:color w:val="auto"/>
          <w:highlight w:val="none"/>
        </w:rPr>
        <w:t>年</w:t>
      </w:r>
      <w:r>
        <w:rPr>
          <w:rFonts w:hint="eastAsia"/>
          <w:color w:val="auto"/>
          <w:highlight w:val="none"/>
        </w:rPr>
        <w:t xml:space="preserve">   </w:t>
      </w:r>
      <w:r>
        <w:rPr>
          <w:color w:val="auto"/>
          <w:highlight w:val="none"/>
        </w:rPr>
        <w:t>月</w:t>
      </w:r>
      <w:r>
        <w:rPr>
          <w:rFonts w:hint="eastAsia"/>
          <w:color w:val="auto"/>
          <w:highlight w:val="none"/>
        </w:rPr>
        <w:t xml:space="preserve">   </w:t>
      </w:r>
      <w:r>
        <w:rPr>
          <w:color w:val="auto"/>
          <w:highlight w:val="none"/>
        </w:rPr>
        <w:t>日</w:t>
      </w:r>
      <w:r>
        <w:rPr>
          <w:rFonts w:ascii="宋体" w:hAnsi="宋体"/>
          <w:color w:val="auto"/>
          <w:highlight w:val="none"/>
        </w:rPr>
        <w:br w:type="page"/>
      </w:r>
      <w:r>
        <w:rPr>
          <w:rFonts w:hint="eastAsia" w:ascii="宋体" w:hAnsi="宋体"/>
          <w:b/>
          <w:color w:val="auto"/>
          <w:highlight w:val="none"/>
        </w:rPr>
        <w:t>附件5：法定代表人授权委托书格式：</w:t>
      </w:r>
    </w:p>
    <w:p>
      <w:pPr>
        <w:snapToGrid w:val="0"/>
        <w:spacing w:before="120" w:beforeLines="50" w:after="50"/>
        <w:ind w:firstLine="600"/>
        <w:jc w:val="center"/>
        <w:rPr>
          <w:rFonts w:ascii="宋体" w:hAnsi="宋体"/>
          <w:color w:val="auto"/>
          <w:sz w:val="30"/>
          <w:szCs w:val="20"/>
          <w:highlight w:val="none"/>
        </w:rPr>
      </w:pPr>
    </w:p>
    <w:p>
      <w:pPr>
        <w:snapToGrid w:val="0"/>
        <w:spacing w:before="120" w:beforeLines="50" w:after="50"/>
        <w:ind w:firstLine="482"/>
        <w:jc w:val="center"/>
        <w:rPr>
          <w:rFonts w:ascii="宋体" w:hAnsi="宋体"/>
          <w:b/>
          <w:color w:val="auto"/>
          <w:szCs w:val="20"/>
          <w:highlight w:val="none"/>
        </w:rPr>
      </w:pPr>
      <w:r>
        <w:rPr>
          <w:rFonts w:hint="eastAsia" w:ascii="宋体" w:hAnsi="宋体"/>
          <w:b/>
          <w:color w:val="auto"/>
          <w:highlight w:val="none"/>
        </w:rPr>
        <w:t>法定代表人授权委托书</w:t>
      </w:r>
    </w:p>
    <w:p>
      <w:pPr>
        <w:snapToGrid w:val="0"/>
        <w:spacing w:before="120" w:beforeLines="50" w:after="50"/>
        <w:ind w:firstLine="480"/>
        <w:rPr>
          <w:rFonts w:ascii="宋体" w:hAnsi="宋体"/>
          <w:bCs/>
          <w:color w:val="auto"/>
          <w:highlight w:val="none"/>
        </w:rPr>
      </w:pPr>
    </w:p>
    <w:p>
      <w:pPr>
        <w:snapToGrid w:val="0"/>
        <w:spacing w:before="120" w:beforeLines="50" w:after="50"/>
        <w:ind w:firstLine="480"/>
        <w:rPr>
          <w:rFonts w:ascii="宋体" w:hAnsi="宋体"/>
          <w:b/>
          <w:bCs/>
          <w:color w:val="auto"/>
          <w:szCs w:val="20"/>
          <w:highlight w:val="none"/>
        </w:rPr>
      </w:pPr>
      <w:r>
        <w:rPr>
          <w:rFonts w:hint="eastAsia" w:ascii="宋体" w:hAnsi="宋体"/>
          <w:bCs/>
          <w:color w:val="auto"/>
          <w:highlight w:val="none"/>
        </w:rPr>
        <w:t>致：</w:t>
      </w:r>
      <w:r>
        <w:rPr>
          <w:rFonts w:ascii="宋体" w:hAnsi="宋体"/>
          <w:color w:val="auto"/>
          <w:highlight w:val="none"/>
        </w:rPr>
        <w:t>______</w:t>
      </w:r>
      <w:r>
        <w:rPr>
          <w:rFonts w:ascii="宋体" w:hAnsi="宋体"/>
          <w:color w:val="auto"/>
          <w:highlight w:val="none"/>
          <w:u w:val="single"/>
        </w:rPr>
        <w:t>__</w:t>
      </w:r>
      <w:r>
        <w:rPr>
          <w:rFonts w:ascii="宋体" w:hAnsi="宋体"/>
          <w:color w:val="auto"/>
          <w:highlight w:val="none"/>
        </w:rPr>
        <w:t>_</w:t>
      </w:r>
      <w:r>
        <w:rPr>
          <w:rFonts w:hint="eastAsia" w:ascii="宋体" w:hAnsi="宋体"/>
          <w:color w:val="auto"/>
          <w:highlight w:val="none"/>
        </w:rPr>
        <w:t>（招标采购单位名称）：</w:t>
      </w:r>
    </w:p>
    <w:p>
      <w:pPr>
        <w:snapToGrid w:val="0"/>
        <w:spacing w:before="120" w:beforeLines="50" w:after="50"/>
        <w:ind w:firstLine="720" w:firstLineChars="300"/>
        <w:rPr>
          <w:rFonts w:ascii="宋体" w:hAnsi="宋体"/>
          <w:color w:val="auto"/>
          <w:highlight w:val="none"/>
        </w:rPr>
      </w:pPr>
      <w:r>
        <w:rPr>
          <w:rFonts w:hint="eastAsia" w:ascii="宋体" w:hAnsi="宋体"/>
          <w:color w:val="auto"/>
          <w:highlight w:val="none"/>
        </w:rPr>
        <w:t>我</w:t>
      </w:r>
      <w:r>
        <w:rPr>
          <w:rFonts w:ascii="宋体" w:hAnsi="宋体"/>
          <w:color w:val="auto"/>
          <w:highlight w:val="none"/>
        </w:rPr>
        <w:t>______</w:t>
      </w:r>
      <w:r>
        <w:rPr>
          <w:rFonts w:ascii="宋体" w:hAnsi="宋体"/>
          <w:color w:val="auto"/>
          <w:highlight w:val="none"/>
          <w:u w:val="single"/>
        </w:rPr>
        <w:t>__</w:t>
      </w:r>
      <w:r>
        <w:rPr>
          <w:rFonts w:ascii="宋体" w:hAnsi="宋体"/>
          <w:color w:val="auto"/>
          <w:highlight w:val="none"/>
        </w:rPr>
        <w:t>_</w:t>
      </w:r>
      <w:r>
        <w:rPr>
          <w:rFonts w:hint="eastAsia" w:ascii="宋体" w:hAnsi="宋体"/>
          <w:color w:val="auto"/>
          <w:highlight w:val="none"/>
        </w:rPr>
        <w:t>（姓名）系</w:t>
      </w:r>
      <w:r>
        <w:rPr>
          <w:rFonts w:ascii="宋体" w:hAnsi="宋体"/>
          <w:color w:val="auto"/>
          <w:highlight w:val="none"/>
        </w:rPr>
        <w:t>______</w:t>
      </w:r>
      <w:r>
        <w:rPr>
          <w:rFonts w:ascii="宋体" w:hAnsi="宋体"/>
          <w:color w:val="auto"/>
          <w:highlight w:val="none"/>
          <w:u w:val="single"/>
        </w:rPr>
        <w:t>__</w:t>
      </w:r>
      <w:r>
        <w:rPr>
          <w:rFonts w:ascii="宋体" w:hAnsi="宋体"/>
          <w:color w:val="auto"/>
          <w:highlight w:val="none"/>
        </w:rPr>
        <w:t>_</w:t>
      </w:r>
      <w:r>
        <w:rPr>
          <w:rFonts w:hint="eastAsia" w:ascii="宋体" w:hAnsi="宋体"/>
          <w:color w:val="auto"/>
          <w:highlight w:val="none"/>
        </w:rPr>
        <w:t>（投标人名称）的法定代表人，现授权委托本单位在职职工（姓名）以我方的名义参加</w:t>
      </w:r>
      <w:r>
        <w:rPr>
          <w:rFonts w:hint="eastAsia"/>
          <w:b/>
          <w:color w:val="auto"/>
          <w:highlight w:val="none"/>
          <w:u w:val="single"/>
        </w:rPr>
        <w:t xml:space="preserve">                 项目</w:t>
      </w:r>
      <w:r>
        <w:rPr>
          <w:rFonts w:hint="eastAsia" w:ascii="宋体" w:hAnsi="宋体"/>
          <w:color w:val="auto"/>
          <w:highlight w:val="none"/>
        </w:rPr>
        <w:t>的投标活动，并代表我方全权办理针对上述项目的投标、开标、评标、签约等具体事务和签署相关文件。</w:t>
      </w:r>
    </w:p>
    <w:p>
      <w:pPr>
        <w:snapToGrid w:val="0"/>
        <w:spacing w:before="120" w:beforeLines="50" w:after="50"/>
        <w:ind w:firstLine="480"/>
        <w:rPr>
          <w:rFonts w:ascii="宋体" w:hAnsi="宋体"/>
          <w:color w:val="auto"/>
          <w:highlight w:val="none"/>
        </w:rPr>
      </w:pPr>
      <w:r>
        <w:rPr>
          <w:rFonts w:hint="eastAsia" w:ascii="宋体" w:hAnsi="宋体"/>
          <w:color w:val="auto"/>
          <w:highlight w:val="none"/>
        </w:rPr>
        <w:t>我方对被授权人的签名事项负全部责任。</w:t>
      </w:r>
    </w:p>
    <w:p>
      <w:pPr>
        <w:snapToGrid w:val="0"/>
        <w:spacing w:before="120" w:beforeLines="50" w:after="50"/>
        <w:ind w:firstLine="480"/>
        <w:rPr>
          <w:rFonts w:ascii="宋体" w:hAnsi="宋体"/>
          <w:color w:val="auto"/>
          <w:szCs w:val="20"/>
          <w:highlight w:val="none"/>
        </w:rPr>
      </w:pPr>
      <w:r>
        <w:rPr>
          <w:rFonts w:hint="eastAsia" w:ascii="宋体" w:hAnsi="宋体"/>
          <w:color w:val="auto"/>
          <w:highlight w:val="none"/>
          <w:u w:val="single"/>
        </w:rPr>
        <w:t>在撤销授权的书面通知以前，本授权书一直有效。</w:t>
      </w:r>
      <w:r>
        <w:rPr>
          <w:rFonts w:hint="eastAsia" w:ascii="宋体" w:hAnsi="宋体"/>
          <w:color w:val="auto"/>
          <w:highlight w:val="none"/>
        </w:rPr>
        <w:t>被授权人在授权书有效期内签署的所有文件不因授权的撤销而失效。</w:t>
      </w:r>
    </w:p>
    <w:p>
      <w:pPr>
        <w:snapToGrid w:val="0"/>
        <w:spacing w:before="120" w:beforeLines="50" w:after="50"/>
        <w:ind w:firstLine="480"/>
        <w:rPr>
          <w:rFonts w:ascii="宋体" w:hAnsi="宋体"/>
          <w:color w:val="auto"/>
          <w:szCs w:val="20"/>
          <w:highlight w:val="none"/>
        </w:rPr>
      </w:pPr>
      <w:r>
        <w:rPr>
          <w:rFonts w:hint="eastAsia" w:ascii="宋体" w:hAnsi="宋体"/>
          <w:color w:val="auto"/>
          <w:highlight w:val="none"/>
        </w:rPr>
        <w:t>被授权人无转委托权，特此委托。</w:t>
      </w:r>
    </w:p>
    <w:p>
      <w:pPr>
        <w:snapToGrid w:val="0"/>
        <w:spacing w:before="120" w:beforeLines="50" w:after="50"/>
        <w:ind w:firstLine="480"/>
        <w:rPr>
          <w:rFonts w:ascii="宋体" w:hAnsi="宋体"/>
          <w:color w:val="auto"/>
          <w:szCs w:val="20"/>
          <w:highlight w:val="none"/>
        </w:rPr>
      </w:pPr>
    </w:p>
    <w:p>
      <w:pPr>
        <w:snapToGrid w:val="0"/>
        <w:spacing w:before="120" w:beforeLines="50" w:after="50"/>
        <w:ind w:firstLine="480"/>
        <w:rPr>
          <w:rFonts w:ascii="宋体" w:hAnsi="宋体"/>
          <w:color w:val="auto"/>
          <w:szCs w:val="20"/>
          <w:highlight w:val="none"/>
          <w:u w:val="single"/>
        </w:rPr>
      </w:pPr>
      <w:r>
        <w:rPr>
          <w:rFonts w:hint="eastAsia" w:ascii="宋体" w:hAnsi="宋体"/>
          <w:color w:val="auto"/>
          <w:highlight w:val="none"/>
        </w:rPr>
        <w:t>被授权人签名：                                   法定代表人签名：</w:t>
      </w:r>
    </w:p>
    <w:p>
      <w:pPr>
        <w:snapToGrid w:val="0"/>
        <w:spacing w:before="120" w:beforeLines="50" w:after="50"/>
        <w:ind w:firstLine="480"/>
        <w:rPr>
          <w:rFonts w:ascii="宋体" w:hAnsi="宋体"/>
          <w:color w:val="auto"/>
          <w:szCs w:val="20"/>
          <w:highlight w:val="none"/>
        </w:rPr>
      </w:pPr>
      <w:r>
        <w:rPr>
          <w:rFonts w:hint="eastAsia" w:ascii="宋体" w:hAnsi="宋体"/>
          <w:color w:val="auto"/>
          <w:highlight w:val="none"/>
        </w:rPr>
        <w:t>职务：                                           职务：</w:t>
      </w:r>
    </w:p>
    <w:p>
      <w:pPr>
        <w:snapToGrid w:val="0"/>
        <w:spacing w:before="120" w:beforeLines="50" w:after="50"/>
        <w:ind w:firstLine="480"/>
        <w:rPr>
          <w:rFonts w:ascii="宋体" w:hAnsi="宋体"/>
          <w:color w:val="auto"/>
          <w:highlight w:val="none"/>
        </w:rPr>
      </w:pPr>
      <w:r>
        <w:rPr>
          <w:rFonts w:hint="eastAsia" w:ascii="宋体" w:hAnsi="宋体"/>
          <w:color w:val="auto"/>
          <w:highlight w:val="none"/>
        </w:rPr>
        <w:t>被授权人身份证复印件：</w:t>
      </w:r>
    </w:p>
    <w:p>
      <w:pPr>
        <w:snapToGrid w:val="0"/>
        <w:spacing w:before="120" w:beforeLines="50" w:after="50"/>
        <w:ind w:firstLine="480"/>
        <w:rPr>
          <w:rFonts w:ascii="宋体" w:hAnsi="宋体"/>
          <w:color w:val="auto"/>
          <w:highlight w:val="none"/>
        </w:rPr>
      </w:pPr>
    </w:p>
    <w:p>
      <w:pPr>
        <w:snapToGrid w:val="0"/>
        <w:spacing w:before="120" w:beforeLines="50" w:after="50"/>
        <w:ind w:firstLine="480"/>
        <w:rPr>
          <w:rFonts w:ascii="宋体" w:hAnsi="宋体"/>
          <w:color w:val="auto"/>
          <w:highlight w:val="none"/>
        </w:rPr>
      </w:pPr>
    </w:p>
    <w:p>
      <w:pPr>
        <w:snapToGrid w:val="0"/>
        <w:spacing w:before="120" w:beforeLines="50" w:after="50"/>
        <w:ind w:firstLine="480"/>
        <w:rPr>
          <w:rFonts w:ascii="宋体" w:hAnsi="宋体"/>
          <w:color w:val="auto"/>
          <w:highlight w:val="none"/>
        </w:rPr>
      </w:pPr>
    </w:p>
    <w:p>
      <w:pPr>
        <w:snapToGrid w:val="0"/>
        <w:spacing w:before="120" w:beforeLines="50" w:after="50"/>
        <w:ind w:firstLine="480"/>
        <w:rPr>
          <w:rFonts w:ascii="宋体" w:hAnsi="宋体"/>
          <w:color w:val="auto"/>
          <w:szCs w:val="20"/>
          <w:highlight w:val="none"/>
        </w:rPr>
      </w:pPr>
    </w:p>
    <w:p>
      <w:pPr>
        <w:snapToGrid w:val="0"/>
        <w:spacing w:before="120" w:beforeLines="50" w:after="50"/>
        <w:ind w:firstLine="480"/>
        <w:rPr>
          <w:rFonts w:ascii="宋体" w:hAnsi="宋体"/>
          <w:color w:val="auto"/>
          <w:szCs w:val="20"/>
          <w:highlight w:val="none"/>
        </w:rPr>
      </w:pPr>
      <w:r>
        <w:rPr>
          <w:rFonts w:hint="eastAsia" w:ascii="宋体" w:hAnsi="宋体"/>
          <w:color w:val="auto"/>
          <w:highlight w:val="none"/>
        </w:rPr>
        <w:t>投标人公章：</w:t>
      </w:r>
    </w:p>
    <w:p>
      <w:pPr>
        <w:snapToGrid w:val="0"/>
        <w:spacing w:before="120" w:beforeLines="50" w:after="50"/>
        <w:ind w:firstLine="480"/>
        <w:jc w:val="center"/>
        <w:rPr>
          <w:rFonts w:ascii="宋体" w:hAnsi="宋体"/>
          <w:color w:val="auto"/>
          <w:highlight w:val="none"/>
        </w:rPr>
      </w:pPr>
      <w:r>
        <w:rPr>
          <w:rFonts w:hint="eastAsia" w:ascii="宋体" w:hAnsi="宋体"/>
          <w:color w:val="auto"/>
          <w:highlight w:val="none"/>
        </w:rPr>
        <w:t xml:space="preserve">                                年   月     日</w:t>
      </w:r>
    </w:p>
    <w:p>
      <w:pPr>
        <w:snapToGrid w:val="0"/>
        <w:spacing w:before="120" w:beforeLines="50" w:after="50"/>
        <w:ind w:firstLine="0" w:firstLineChars="0"/>
        <w:rPr>
          <w:rFonts w:ascii="宋体" w:hAnsi="宋体"/>
          <w:color w:val="auto"/>
          <w:highlight w:val="none"/>
        </w:rPr>
      </w:pPr>
    </w:p>
    <w:p>
      <w:pPr>
        <w:snapToGrid w:val="0"/>
        <w:spacing w:before="50" w:after="120" w:afterLines="50"/>
        <w:ind w:firstLine="482"/>
        <w:rPr>
          <w:rFonts w:ascii="宋体" w:hAnsi="宋体"/>
          <w:b/>
          <w:color w:val="auto"/>
          <w:highlight w:val="none"/>
        </w:rPr>
      </w:pPr>
      <w:r>
        <w:rPr>
          <w:rFonts w:hint="eastAsia" w:ascii="宋体" w:hAnsi="宋体"/>
          <w:b/>
          <w:color w:val="auto"/>
          <w:highlight w:val="none"/>
        </w:rPr>
        <w:t>附件6：投标单位情况表：</w:t>
      </w:r>
    </w:p>
    <w:p>
      <w:pPr>
        <w:snapToGrid w:val="0"/>
        <w:spacing w:before="120" w:beforeLines="50" w:after="50"/>
        <w:ind w:firstLine="482"/>
        <w:jc w:val="center"/>
        <w:rPr>
          <w:rFonts w:ascii="宋体" w:hAnsi="宋体"/>
          <w:b/>
          <w:color w:val="auto"/>
          <w:highlight w:val="none"/>
        </w:rPr>
      </w:pPr>
      <w:r>
        <w:rPr>
          <w:rFonts w:hint="eastAsia" w:ascii="宋体" w:hAnsi="宋体"/>
          <w:b/>
          <w:color w:val="auto"/>
          <w:highlight w:val="none"/>
        </w:rPr>
        <w:t>投标单位情况表</w:t>
      </w:r>
    </w:p>
    <w:p>
      <w:pPr>
        <w:pStyle w:val="29"/>
        <w:spacing w:before="120" w:after="120" w:line="360" w:lineRule="auto"/>
        <w:ind w:firstLine="480"/>
        <w:rPr>
          <w:rFonts w:ascii="Times New Roman" w:hAnsi="Times New Roman"/>
          <w:color w:val="auto"/>
          <w:highlight w:val="none"/>
        </w:rPr>
      </w:pPr>
      <w:r>
        <w:rPr>
          <w:rFonts w:hint="eastAsia" w:ascii="Times New Roman" w:hAnsi="Times New Roman"/>
          <w:color w:val="auto"/>
          <w:highlight w:val="none"/>
        </w:rPr>
        <w:t>投标单位：填表日期：</w:t>
      </w:r>
    </w:p>
    <w:tbl>
      <w:tblPr>
        <w:tblStyle w:val="46"/>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60"/>
        <w:gridCol w:w="2887"/>
        <w:gridCol w:w="1222"/>
        <w:gridCol w:w="166"/>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04" w:type="dxa"/>
            <w:gridSpan w:val="2"/>
            <w:vAlign w:val="center"/>
          </w:tcPr>
          <w:p>
            <w:pPr>
              <w:ind w:firstLine="480"/>
              <w:rPr>
                <w:color w:val="auto"/>
                <w:highlight w:val="none"/>
              </w:rPr>
            </w:pPr>
            <w:r>
              <w:rPr>
                <w:rFonts w:hint="eastAsia"/>
                <w:color w:val="auto"/>
                <w:highlight w:val="none"/>
              </w:rPr>
              <w:t>单位名称</w:t>
            </w:r>
          </w:p>
        </w:tc>
        <w:tc>
          <w:tcPr>
            <w:tcW w:w="2887" w:type="dxa"/>
            <w:vAlign w:val="center"/>
          </w:tcPr>
          <w:p>
            <w:pPr>
              <w:ind w:firstLine="480"/>
              <w:rPr>
                <w:color w:val="auto"/>
                <w:highlight w:val="none"/>
              </w:rPr>
            </w:pPr>
          </w:p>
        </w:tc>
        <w:tc>
          <w:tcPr>
            <w:tcW w:w="1388" w:type="dxa"/>
            <w:gridSpan w:val="2"/>
            <w:vAlign w:val="center"/>
          </w:tcPr>
          <w:p>
            <w:pPr>
              <w:ind w:firstLine="480"/>
              <w:rPr>
                <w:color w:val="auto"/>
                <w:highlight w:val="none"/>
              </w:rPr>
            </w:pPr>
            <w:r>
              <w:rPr>
                <w:rFonts w:hint="eastAsia"/>
                <w:color w:val="auto"/>
                <w:highlight w:val="none"/>
              </w:rPr>
              <w:t>电话</w:t>
            </w:r>
          </w:p>
        </w:tc>
        <w:tc>
          <w:tcPr>
            <w:tcW w:w="2534" w:type="dxa"/>
            <w:vAlign w:val="center"/>
          </w:tcPr>
          <w:p>
            <w:pPr>
              <w:ind w:firstLine="48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104" w:type="dxa"/>
            <w:gridSpan w:val="2"/>
            <w:vAlign w:val="center"/>
          </w:tcPr>
          <w:p>
            <w:pPr>
              <w:ind w:firstLine="480"/>
              <w:rPr>
                <w:color w:val="auto"/>
                <w:highlight w:val="none"/>
              </w:rPr>
            </w:pPr>
            <w:r>
              <w:rPr>
                <w:rFonts w:hint="eastAsia"/>
                <w:color w:val="auto"/>
                <w:highlight w:val="none"/>
              </w:rPr>
              <w:t>地址</w:t>
            </w:r>
          </w:p>
        </w:tc>
        <w:tc>
          <w:tcPr>
            <w:tcW w:w="2887" w:type="dxa"/>
            <w:vAlign w:val="center"/>
          </w:tcPr>
          <w:p>
            <w:pPr>
              <w:ind w:firstLine="480"/>
              <w:rPr>
                <w:color w:val="auto"/>
                <w:highlight w:val="none"/>
              </w:rPr>
            </w:pPr>
          </w:p>
        </w:tc>
        <w:tc>
          <w:tcPr>
            <w:tcW w:w="1388" w:type="dxa"/>
            <w:gridSpan w:val="2"/>
            <w:vAlign w:val="center"/>
          </w:tcPr>
          <w:p>
            <w:pPr>
              <w:ind w:firstLine="480"/>
              <w:rPr>
                <w:color w:val="auto"/>
                <w:highlight w:val="none"/>
              </w:rPr>
            </w:pPr>
            <w:r>
              <w:rPr>
                <w:rFonts w:hint="eastAsia"/>
                <w:color w:val="auto"/>
                <w:highlight w:val="none"/>
              </w:rPr>
              <w:t>传真</w:t>
            </w:r>
          </w:p>
        </w:tc>
        <w:tc>
          <w:tcPr>
            <w:tcW w:w="2534" w:type="dxa"/>
            <w:vAlign w:val="center"/>
          </w:tcPr>
          <w:p>
            <w:pPr>
              <w:ind w:firstLine="48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04" w:type="dxa"/>
            <w:gridSpan w:val="2"/>
            <w:vAlign w:val="center"/>
          </w:tcPr>
          <w:p>
            <w:pPr>
              <w:ind w:firstLine="480"/>
              <w:rPr>
                <w:color w:val="auto"/>
                <w:highlight w:val="none"/>
              </w:rPr>
            </w:pPr>
            <w:r>
              <w:rPr>
                <w:rFonts w:hint="eastAsia"/>
                <w:color w:val="auto"/>
                <w:highlight w:val="none"/>
              </w:rPr>
              <w:t>主管部门</w:t>
            </w:r>
          </w:p>
        </w:tc>
        <w:tc>
          <w:tcPr>
            <w:tcW w:w="2887" w:type="dxa"/>
            <w:vAlign w:val="center"/>
          </w:tcPr>
          <w:p>
            <w:pPr>
              <w:ind w:firstLine="480"/>
              <w:rPr>
                <w:color w:val="auto"/>
                <w:highlight w:val="none"/>
              </w:rPr>
            </w:pPr>
          </w:p>
        </w:tc>
        <w:tc>
          <w:tcPr>
            <w:tcW w:w="1388" w:type="dxa"/>
            <w:gridSpan w:val="2"/>
            <w:vAlign w:val="center"/>
          </w:tcPr>
          <w:p>
            <w:pPr>
              <w:ind w:firstLine="480"/>
              <w:rPr>
                <w:color w:val="auto"/>
                <w:highlight w:val="none"/>
              </w:rPr>
            </w:pPr>
            <w:r>
              <w:rPr>
                <w:rFonts w:hint="eastAsia"/>
                <w:color w:val="auto"/>
                <w:highlight w:val="none"/>
              </w:rPr>
              <w:t>企业性质</w:t>
            </w:r>
          </w:p>
        </w:tc>
        <w:tc>
          <w:tcPr>
            <w:tcW w:w="2534" w:type="dxa"/>
            <w:vAlign w:val="center"/>
          </w:tcPr>
          <w:p>
            <w:pPr>
              <w:ind w:firstLine="48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04" w:type="dxa"/>
            <w:gridSpan w:val="2"/>
            <w:vAlign w:val="center"/>
          </w:tcPr>
          <w:p>
            <w:pPr>
              <w:ind w:firstLine="480"/>
              <w:rPr>
                <w:color w:val="auto"/>
                <w:highlight w:val="none"/>
              </w:rPr>
            </w:pPr>
            <w:r>
              <w:rPr>
                <w:rFonts w:hint="eastAsia"/>
                <w:color w:val="auto"/>
                <w:highlight w:val="none"/>
              </w:rPr>
              <w:t>企业法人</w:t>
            </w:r>
          </w:p>
        </w:tc>
        <w:tc>
          <w:tcPr>
            <w:tcW w:w="2887" w:type="dxa"/>
            <w:vAlign w:val="center"/>
          </w:tcPr>
          <w:p>
            <w:pPr>
              <w:ind w:firstLine="480"/>
              <w:rPr>
                <w:color w:val="auto"/>
                <w:highlight w:val="none"/>
              </w:rPr>
            </w:pPr>
          </w:p>
        </w:tc>
        <w:tc>
          <w:tcPr>
            <w:tcW w:w="1388" w:type="dxa"/>
            <w:gridSpan w:val="2"/>
            <w:vAlign w:val="center"/>
          </w:tcPr>
          <w:p>
            <w:pPr>
              <w:ind w:firstLine="480"/>
              <w:rPr>
                <w:color w:val="auto"/>
                <w:highlight w:val="none"/>
              </w:rPr>
            </w:pPr>
            <w:r>
              <w:rPr>
                <w:rFonts w:hint="eastAsia"/>
                <w:color w:val="auto"/>
                <w:highlight w:val="none"/>
              </w:rPr>
              <w:t>资质等级</w:t>
            </w:r>
          </w:p>
        </w:tc>
        <w:tc>
          <w:tcPr>
            <w:tcW w:w="2534" w:type="dxa"/>
            <w:vAlign w:val="center"/>
          </w:tcPr>
          <w:p>
            <w:pPr>
              <w:ind w:firstLine="48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04" w:type="dxa"/>
            <w:gridSpan w:val="2"/>
            <w:vAlign w:val="center"/>
          </w:tcPr>
          <w:p>
            <w:pPr>
              <w:ind w:firstLine="480"/>
              <w:rPr>
                <w:color w:val="auto"/>
                <w:highlight w:val="none"/>
              </w:rPr>
            </w:pPr>
            <w:r>
              <w:rPr>
                <w:rFonts w:hint="eastAsia"/>
                <w:color w:val="auto"/>
                <w:highlight w:val="none"/>
              </w:rPr>
              <w:t>授权代表</w:t>
            </w:r>
          </w:p>
        </w:tc>
        <w:tc>
          <w:tcPr>
            <w:tcW w:w="2887" w:type="dxa"/>
            <w:vAlign w:val="center"/>
          </w:tcPr>
          <w:p>
            <w:pPr>
              <w:ind w:firstLine="480"/>
              <w:rPr>
                <w:color w:val="auto"/>
                <w:highlight w:val="none"/>
              </w:rPr>
            </w:pPr>
          </w:p>
        </w:tc>
        <w:tc>
          <w:tcPr>
            <w:tcW w:w="1388" w:type="dxa"/>
            <w:gridSpan w:val="2"/>
            <w:vAlign w:val="center"/>
          </w:tcPr>
          <w:p>
            <w:pPr>
              <w:ind w:firstLine="480"/>
              <w:rPr>
                <w:color w:val="auto"/>
                <w:highlight w:val="none"/>
              </w:rPr>
            </w:pPr>
            <w:r>
              <w:rPr>
                <w:rFonts w:hint="eastAsia"/>
                <w:color w:val="auto"/>
                <w:highlight w:val="none"/>
              </w:rPr>
              <w:t>职务</w:t>
            </w:r>
          </w:p>
        </w:tc>
        <w:tc>
          <w:tcPr>
            <w:tcW w:w="2534" w:type="dxa"/>
            <w:vAlign w:val="center"/>
          </w:tcPr>
          <w:p>
            <w:pPr>
              <w:ind w:firstLine="48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844" w:type="dxa"/>
            <w:vMerge w:val="restart"/>
            <w:vAlign w:val="center"/>
          </w:tcPr>
          <w:p>
            <w:pPr>
              <w:ind w:firstLine="0" w:firstLineChars="0"/>
              <w:rPr>
                <w:color w:val="auto"/>
                <w:highlight w:val="none"/>
              </w:rPr>
            </w:pPr>
            <w:r>
              <w:rPr>
                <w:rFonts w:hint="eastAsia"/>
                <w:color w:val="auto"/>
                <w:highlight w:val="none"/>
              </w:rPr>
              <w:t>单位概况</w:t>
            </w: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tc>
        <w:tc>
          <w:tcPr>
            <w:tcW w:w="1260" w:type="dxa"/>
            <w:vMerge w:val="restart"/>
            <w:vAlign w:val="center"/>
          </w:tcPr>
          <w:p>
            <w:pPr>
              <w:ind w:firstLine="480"/>
              <w:rPr>
                <w:color w:val="auto"/>
                <w:highlight w:val="none"/>
              </w:rPr>
            </w:pPr>
            <w:r>
              <w:rPr>
                <w:rFonts w:hint="eastAsia"/>
                <w:color w:val="auto"/>
                <w:highlight w:val="none"/>
              </w:rPr>
              <w:t>职工总数</w:t>
            </w:r>
          </w:p>
        </w:tc>
        <w:tc>
          <w:tcPr>
            <w:tcW w:w="2887" w:type="dxa"/>
            <w:vAlign w:val="center"/>
          </w:tcPr>
          <w:p>
            <w:pPr>
              <w:ind w:firstLine="480"/>
              <w:rPr>
                <w:color w:val="auto"/>
                <w:highlight w:val="none"/>
              </w:rPr>
            </w:pPr>
            <w:r>
              <w:rPr>
                <w:rFonts w:hint="eastAsia"/>
                <w:color w:val="auto"/>
                <w:highlight w:val="none"/>
              </w:rPr>
              <w:t>员工（包括技术工人、高级技师、工程师）：   人</w:t>
            </w:r>
          </w:p>
        </w:tc>
        <w:tc>
          <w:tcPr>
            <w:tcW w:w="3922" w:type="dxa"/>
            <w:gridSpan w:val="3"/>
            <w:vAlign w:val="center"/>
          </w:tcPr>
          <w:p>
            <w:pPr>
              <w:ind w:firstLine="480"/>
              <w:rPr>
                <w:color w:val="auto"/>
                <w:highlight w:val="none"/>
              </w:rPr>
            </w:pPr>
            <w:r>
              <w:rPr>
                <w:rFonts w:hint="eastAsia"/>
                <w:color w:val="auto"/>
                <w:highlight w:val="none"/>
              </w:rPr>
              <w:t>技术工人：人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4" w:type="dxa"/>
            <w:vMerge w:val="continue"/>
            <w:vAlign w:val="center"/>
          </w:tcPr>
          <w:p>
            <w:pPr>
              <w:ind w:firstLine="480"/>
              <w:rPr>
                <w:color w:val="auto"/>
                <w:highlight w:val="none"/>
              </w:rPr>
            </w:pPr>
          </w:p>
        </w:tc>
        <w:tc>
          <w:tcPr>
            <w:tcW w:w="1260" w:type="dxa"/>
            <w:vMerge w:val="continue"/>
            <w:vAlign w:val="center"/>
          </w:tcPr>
          <w:p>
            <w:pPr>
              <w:ind w:firstLine="480"/>
              <w:rPr>
                <w:color w:val="auto"/>
                <w:highlight w:val="none"/>
              </w:rPr>
            </w:pPr>
          </w:p>
        </w:tc>
        <w:tc>
          <w:tcPr>
            <w:tcW w:w="2887" w:type="dxa"/>
            <w:vAlign w:val="center"/>
          </w:tcPr>
          <w:p>
            <w:pPr>
              <w:ind w:firstLine="480"/>
              <w:rPr>
                <w:color w:val="auto"/>
                <w:highlight w:val="none"/>
              </w:rPr>
            </w:pPr>
            <w:r>
              <w:rPr>
                <w:rFonts w:hint="eastAsia"/>
                <w:color w:val="auto"/>
                <w:highlight w:val="none"/>
              </w:rPr>
              <w:t>高级技师：人</w:t>
            </w:r>
          </w:p>
        </w:tc>
        <w:tc>
          <w:tcPr>
            <w:tcW w:w="3922" w:type="dxa"/>
            <w:gridSpan w:val="3"/>
            <w:vAlign w:val="center"/>
          </w:tcPr>
          <w:p>
            <w:pPr>
              <w:ind w:firstLine="480"/>
              <w:rPr>
                <w:color w:val="auto"/>
                <w:highlight w:val="none"/>
              </w:rPr>
            </w:pPr>
            <w:r>
              <w:rPr>
                <w:rFonts w:hint="eastAsia"/>
                <w:color w:val="auto"/>
                <w:highlight w:val="none"/>
              </w:rPr>
              <w:t>工程师：人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4" w:type="dxa"/>
            <w:vMerge w:val="continue"/>
            <w:vAlign w:val="center"/>
          </w:tcPr>
          <w:p>
            <w:pPr>
              <w:ind w:firstLine="480"/>
              <w:rPr>
                <w:color w:val="auto"/>
                <w:highlight w:val="none"/>
              </w:rPr>
            </w:pPr>
          </w:p>
        </w:tc>
        <w:tc>
          <w:tcPr>
            <w:tcW w:w="1260" w:type="dxa"/>
            <w:vAlign w:val="center"/>
          </w:tcPr>
          <w:p>
            <w:pPr>
              <w:ind w:firstLine="480"/>
              <w:rPr>
                <w:color w:val="auto"/>
                <w:highlight w:val="none"/>
              </w:rPr>
            </w:pPr>
            <w:r>
              <w:rPr>
                <w:rFonts w:hint="eastAsia"/>
                <w:color w:val="auto"/>
                <w:highlight w:val="none"/>
              </w:rPr>
              <w:t>流动资金</w:t>
            </w:r>
          </w:p>
        </w:tc>
        <w:tc>
          <w:tcPr>
            <w:tcW w:w="2887" w:type="dxa"/>
            <w:vAlign w:val="center"/>
          </w:tcPr>
          <w:p>
            <w:pPr>
              <w:ind w:firstLine="480"/>
              <w:rPr>
                <w:color w:val="auto"/>
                <w:highlight w:val="none"/>
              </w:rPr>
            </w:pPr>
          </w:p>
        </w:tc>
        <w:tc>
          <w:tcPr>
            <w:tcW w:w="1222" w:type="dxa"/>
            <w:vAlign w:val="center"/>
          </w:tcPr>
          <w:p>
            <w:pPr>
              <w:ind w:firstLine="480"/>
              <w:rPr>
                <w:color w:val="auto"/>
                <w:highlight w:val="none"/>
              </w:rPr>
            </w:pPr>
            <w:r>
              <w:rPr>
                <w:rFonts w:hint="eastAsia"/>
                <w:color w:val="auto"/>
                <w:highlight w:val="none"/>
              </w:rPr>
              <w:t>营业面积</w:t>
            </w:r>
          </w:p>
        </w:tc>
        <w:tc>
          <w:tcPr>
            <w:tcW w:w="2700" w:type="dxa"/>
            <w:gridSpan w:val="2"/>
            <w:vAlign w:val="center"/>
          </w:tcPr>
          <w:p>
            <w:pPr>
              <w:ind w:firstLine="48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exact"/>
          <w:jc w:val="center"/>
        </w:trPr>
        <w:tc>
          <w:tcPr>
            <w:tcW w:w="844" w:type="dxa"/>
            <w:vMerge w:val="continue"/>
            <w:vAlign w:val="center"/>
          </w:tcPr>
          <w:p>
            <w:pPr>
              <w:ind w:firstLine="480"/>
              <w:rPr>
                <w:color w:val="auto"/>
                <w:highlight w:val="none"/>
              </w:rPr>
            </w:pPr>
          </w:p>
        </w:tc>
        <w:tc>
          <w:tcPr>
            <w:tcW w:w="1260" w:type="dxa"/>
            <w:vAlign w:val="center"/>
          </w:tcPr>
          <w:p>
            <w:pPr>
              <w:ind w:firstLine="480"/>
              <w:rPr>
                <w:color w:val="auto"/>
                <w:highlight w:val="none"/>
              </w:rPr>
            </w:pPr>
            <w:r>
              <w:rPr>
                <w:rFonts w:hint="eastAsia"/>
                <w:color w:val="auto"/>
                <w:highlight w:val="none"/>
              </w:rPr>
              <w:t>固定资金</w:t>
            </w:r>
          </w:p>
        </w:tc>
        <w:tc>
          <w:tcPr>
            <w:tcW w:w="2887" w:type="dxa"/>
            <w:vAlign w:val="center"/>
          </w:tcPr>
          <w:p>
            <w:pPr>
              <w:ind w:firstLine="480"/>
              <w:rPr>
                <w:color w:val="auto"/>
                <w:highlight w:val="none"/>
              </w:rPr>
            </w:pPr>
          </w:p>
        </w:tc>
        <w:tc>
          <w:tcPr>
            <w:tcW w:w="1222" w:type="dxa"/>
            <w:vAlign w:val="center"/>
          </w:tcPr>
          <w:p>
            <w:pPr>
              <w:ind w:firstLine="480"/>
              <w:rPr>
                <w:color w:val="auto"/>
                <w:highlight w:val="none"/>
              </w:rPr>
            </w:pPr>
            <w:r>
              <w:rPr>
                <w:rFonts w:hint="eastAsia"/>
                <w:color w:val="auto"/>
                <w:highlight w:val="none"/>
              </w:rPr>
              <w:t>维修网点</w:t>
            </w:r>
          </w:p>
        </w:tc>
        <w:tc>
          <w:tcPr>
            <w:tcW w:w="2700" w:type="dxa"/>
            <w:gridSpan w:val="2"/>
            <w:vAlign w:val="center"/>
          </w:tcPr>
          <w:p>
            <w:pPr>
              <w:ind w:firstLine="48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44" w:type="dxa"/>
            <w:vAlign w:val="center"/>
          </w:tcPr>
          <w:p>
            <w:pPr>
              <w:ind w:firstLine="480"/>
              <w:rPr>
                <w:color w:val="auto"/>
                <w:highlight w:val="none"/>
              </w:rPr>
            </w:pPr>
            <w:r>
              <w:rPr>
                <w:rFonts w:hint="eastAsia"/>
                <w:color w:val="auto"/>
                <w:highlight w:val="none"/>
              </w:rPr>
              <w:t>单位简历</w:t>
            </w:r>
          </w:p>
        </w:tc>
        <w:tc>
          <w:tcPr>
            <w:tcW w:w="8069" w:type="dxa"/>
            <w:gridSpan w:val="5"/>
          </w:tcPr>
          <w:p>
            <w:pPr>
              <w:ind w:firstLine="48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44" w:type="dxa"/>
            <w:vAlign w:val="center"/>
          </w:tcPr>
          <w:p>
            <w:pPr>
              <w:ind w:firstLine="480"/>
              <w:rPr>
                <w:color w:val="auto"/>
                <w:highlight w:val="none"/>
              </w:rPr>
            </w:pPr>
            <w:r>
              <w:rPr>
                <w:rFonts w:hint="eastAsia"/>
                <w:color w:val="auto"/>
                <w:highlight w:val="none"/>
              </w:rPr>
              <w:t>优势及特长</w:t>
            </w:r>
          </w:p>
        </w:tc>
        <w:tc>
          <w:tcPr>
            <w:tcW w:w="8069" w:type="dxa"/>
            <w:gridSpan w:val="5"/>
          </w:tcPr>
          <w:p>
            <w:pPr>
              <w:ind w:firstLine="480"/>
              <w:rPr>
                <w:color w:val="auto"/>
                <w:highlight w:val="none"/>
              </w:rPr>
            </w:pPr>
          </w:p>
        </w:tc>
      </w:tr>
    </w:tbl>
    <w:p>
      <w:pPr>
        <w:snapToGrid w:val="0"/>
        <w:spacing w:before="50" w:after="120" w:afterLines="50"/>
        <w:ind w:firstLine="482"/>
        <w:rPr>
          <w:rFonts w:ascii="宋体" w:hAnsi="宋体"/>
          <w:b/>
          <w:color w:val="auto"/>
          <w:highlight w:val="none"/>
        </w:rPr>
      </w:pPr>
    </w:p>
    <w:p>
      <w:pPr>
        <w:snapToGrid w:val="0"/>
        <w:spacing w:before="50" w:after="120" w:afterLines="50"/>
        <w:ind w:firstLine="482"/>
        <w:rPr>
          <w:rFonts w:ascii="宋体" w:hAnsi="宋体"/>
          <w:b/>
          <w:color w:val="auto"/>
          <w:highlight w:val="none"/>
        </w:rPr>
      </w:pPr>
    </w:p>
    <w:p>
      <w:pPr>
        <w:snapToGrid w:val="0"/>
        <w:spacing w:before="50" w:after="120" w:afterLines="50"/>
        <w:ind w:firstLine="482"/>
        <w:rPr>
          <w:rFonts w:ascii="宋体" w:hAnsi="宋体"/>
          <w:b/>
          <w:color w:val="auto"/>
          <w:highlight w:val="none"/>
        </w:rPr>
      </w:pPr>
      <w:r>
        <w:rPr>
          <w:rFonts w:hint="eastAsia" w:ascii="宋体" w:hAnsi="宋体"/>
          <w:b/>
          <w:color w:val="auto"/>
          <w:highlight w:val="none"/>
        </w:rPr>
        <w:t>附件7：评分响应表格式：</w:t>
      </w:r>
    </w:p>
    <w:p>
      <w:pPr>
        <w:snapToGrid w:val="0"/>
        <w:spacing w:before="120" w:beforeLines="50" w:after="50"/>
        <w:ind w:firstLine="482"/>
        <w:rPr>
          <w:rFonts w:ascii="宋体" w:hAnsi="宋体"/>
          <w:b/>
          <w:color w:val="auto"/>
          <w:highlight w:val="none"/>
        </w:rPr>
      </w:pPr>
    </w:p>
    <w:p>
      <w:pPr>
        <w:snapToGrid w:val="0"/>
        <w:spacing w:before="50" w:after="50"/>
        <w:ind w:firstLine="723"/>
        <w:jc w:val="center"/>
        <w:rPr>
          <w:rFonts w:ascii="宋体" w:hAnsi="宋体"/>
          <w:b/>
          <w:color w:val="auto"/>
          <w:sz w:val="36"/>
          <w:szCs w:val="36"/>
          <w:highlight w:val="none"/>
        </w:rPr>
      </w:pPr>
      <w:r>
        <w:rPr>
          <w:rFonts w:hint="eastAsia" w:ascii="宋体" w:hAnsi="宋体"/>
          <w:b/>
          <w:color w:val="auto"/>
          <w:sz w:val="36"/>
          <w:szCs w:val="36"/>
          <w:highlight w:val="none"/>
        </w:rPr>
        <w:t>评分响应表</w:t>
      </w:r>
    </w:p>
    <w:p>
      <w:pPr>
        <w:snapToGrid w:val="0"/>
        <w:spacing w:before="50" w:after="50"/>
        <w:ind w:firstLine="482"/>
        <w:rPr>
          <w:rFonts w:ascii="宋体" w:hAnsi="宋体"/>
          <w:b/>
          <w:color w:val="auto"/>
          <w:highlight w:val="none"/>
          <w:u w:val="single"/>
        </w:rPr>
      </w:pPr>
      <w:r>
        <w:rPr>
          <w:rFonts w:hint="eastAsia" w:ascii="宋体" w:hAnsi="宋体"/>
          <w:b/>
          <w:color w:val="auto"/>
          <w:highlight w:val="none"/>
        </w:rPr>
        <w:t>投标单位名称：</w:t>
      </w:r>
    </w:p>
    <w:tbl>
      <w:tblPr>
        <w:tblStyle w:val="46"/>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1276"/>
        <w:gridCol w:w="1276"/>
        <w:gridCol w:w="1076"/>
        <w:gridCol w:w="859"/>
        <w:gridCol w:w="1042"/>
        <w:gridCol w:w="1134"/>
        <w:gridCol w:w="24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auto"/>
                <w:highlight w:val="none"/>
              </w:rPr>
            </w:pPr>
            <w:r>
              <w:rPr>
                <w:rFonts w:hint="eastAsia"/>
                <w:color w:val="auto"/>
                <w:highlight w:val="none"/>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auto"/>
                <w:highlight w:val="none"/>
              </w:rPr>
            </w:pPr>
            <w:r>
              <w:rPr>
                <w:rFonts w:hint="eastAsia"/>
                <w:color w:val="auto"/>
                <w:highlight w:val="none"/>
              </w:rPr>
              <w:t>评审内容</w:t>
            </w:r>
          </w:p>
        </w:tc>
        <w:tc>
          <w:tcPr>
            <w:tcW w:w="1276"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auto"/>
                <w:highlight w:val="none"/>
              </w:rPr>
            </w:pPr>
            <w:r>
              <w:rPr>
                <w:rFonts w:hint="eastAsia"/>
                <w:color w:val="auto"/>
                <w:highlight w:val="none"/>
              </w:rPr>
              <w:t>评分标准</w:t>
            </w:r>
          </w:p>
        </w:tc>
        <w:tc>
          <w:tcPr>
            <w:tcW w:w="1076"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auto"/>
                <w:highlight w:val="none"/>
              </w:rPr>
            </w:pPr>
            <w:r>
              <w:rPr>
                <w:rFonts w:hint="eastAsia"/>
                <w:color w:val="auto"/>
                <w:highlight w:val="none"/>
              </w:rPr>
              <w:t>评分标准分值</w:t>
            </w:r>
          </w:p>
        </w:tc>
        <w:tc>
          <w:tcPr>
            <w:tcW w:w="859"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auto"/>
                <w:highlight w:val="none"/>
              </w:rPr>
            </w:pPr>
            <w:r>
              <w:rPr>
                <w:rFonts w:hint="eastAsia"/>
                <w:color w:val="auto"/>
                <w:highlight w:val="none"/>
              </w:rPr>
              <w:t>自评得分</w:t>
            </w:r>
          </w:p>
        </w:tc>
        <w:tc>
          <w:tcPr>
            <w:tcW w:w="1042"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auto"/>
                <w:highlight w:val="none"/>
              </w:rPr>
            </w:pPr>
            <w:r>
              <w:rPr>
                <w:rFonts w:hint="eastAsia"/>
                <w:color w:val="auto"/>
                <w:highlight w:val="none"/>
              </w:rPr>
              <w:t>其中肯定能得分分值</w:t>
            </w:r>
          </w:p>
        </w:tc>
        <w:tc>
          <w:tcPr>
            <w:tcW w:w="1134"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auto"/>
                <w:highlight w:val="none"/>
              </w:rPr>
            </w:pPr>
            <w:r>
              <w:rPr>
                <w:rFonts w:hint="eastAsia"/>
                <w:color w:val="auto"/>
                <w:highlight w:val="none"/>
              </w:rPr>
              <w:t>可能可以得分分值</w:t>
            </w:r>
          </w:p>
        </w:tc>
        <w:tc>
          <w:tcPr>
            <w:tcW w:w="2404"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r>
              <w:rPr>
                <w:rFonts w:hint="eastAsia"/>
                <w:color w:val="auto"/>
                <w:highlight w:val="none"/>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auto"/>
                <w:highlight w:val="none"/>
              </w:rPr>
            </w:pPr>
            <w:r>
              <w:rPr>
                <w:rFonts w:hint="eastAsia"/>
                <w:color w:val="auto"/>
                <w:highlight w:val="none"/>
              </w:rPr>
              <w:t>一</w:t>
            </w:r>
          </w:p>
        </w:tc>
        <w:tc>
          <w:tcPr>
            <w:tcW w:w="1276"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auto"/>
                <w:highlight w:val="none"/>
              </w:rPr>
            </w:pPr>
            <w:r>
              <w:rPr>
                <w:rFonts w:hint="eastAsia"/>
                <w:color w:val="auto"/>
                <w:highlight w:val="none"/>
              </w:rPr>
              <w:t>技术分</w:t>
            </w:r>
          </w:p>
        </w:tc>
        <w:tc>
          <w:tcPr>
            <w:tcW w:w="1276"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r>
              <w:rPr>
                <w:rFonts w:hint="eastAsia"/>
                <w:color w:val="auto"/>
                <w:highlight w:val="none"/>
              </w:rPr>
              <w:t>如类似业绩、参数偏离等</w:t>
            </w:r>
          </w:p>
        </w:tc>
        <w:tc>
          <w:tcPr>
            <w:tcW w:w="2404"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auto"/>
                <w:highlight w:val="none"/>
              </w:rPr>
            </w:pPr>
            <w:r>
              <w:rPr>
                <w:rFonts w:hint="eastAsia"/>
                <w:color w:val="auto"/>
                <w:highlight w:val="none"/>
              </w:rPr>
              <w:t>1</w:t>
            </w:r>
          </w:p>
        </w:tc>
        <w:tc>
          <w:tcPr>
            <w:tcW w:w="1276"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1276" w:type="dxa"/>
            <w:tcBorders>
              <w:top w:val="single" w:color="auto" w:sz="4" w:space="0"/>
              <w:left w:val="single" w:color="auto" w:sz="4" w:space="0"/>
              <w:right w:val="single" w:color="auto" w:sz="4" w:space="0"/>
            </w:tcBorders>
            <w:vAlign w:val="center"/>
          </w:tcPr>
          <w:p>
            <w:pPr>
              <w:ind w:firstLine="480"/>
              <w:rPr>
                <w:color w:val="auto"/>
                <w:highlight w:val="none"/>
              </w:rPr>
            </w:pPr>
          </w:p>
        </w:tc>
        <w:tc>
          <w:tcPr>
            <w:tcW w:w="1076" w:type="dxa"/>
            <w:tcBorders>
              <w:top w:val="single" w:color="auto" w:sz="4" w:space="0"/>
              <w:left w:val="single" w:color="auto" w:sz="4" w:space="0"/>
              <w:right w:val="single" w:color="auto" w:sz="4" w:space="0"/>
            </w:tcBorders>
            <w:vAlign w:val="center"/>
          </w:tcPr>
          <w:p>
            <w:pPr>
              <w:ind w:firstLine="480"/>
              <w:rPr>
                <w:color w:val="auto"/>
                <w:highlight w:val="none"/>
              </w:rPr>
            </w:pPr>
          </w:p>
        </w:tc>
        <w:tc>
          <w:tcPr>
            <w:tcW w:w="859" w:type="dxa"/>
            <w:tcBorders>
              <w:top w:val="single" w:color="auto" w:sz="4" w:space="0"/>
              <w:left w:val="single" w:color="auto" w:sz="4" w:space="0"/>
              <w:right w:val="single" w:color="auto" w:sz="4" w:space="0"/>
            </w:tcBorders>
            <w:vAlign w:val="center"/>
          </w:tcPr>
          <w:p>
            <w:pPr>
              <w:ind w:firstLine="480"/>
              <w:rPr>
                <w:color w:val="auto"/>
                <w:highlight w:val="none"/>
              </w:rPr>
            </w:pPr>
          </w:p>
        </w:tc>
        <w:tc>
          <w:tcPr>
            <w:tcW w:w="1042" w:type="dxa"/>
            <w:tcBorders>
              <w:top w:val="single" w:color="auto" w:sz="4" w:space="0"/>
              <w:left w:val="single" w:color="auto" w:sz="4" w:space="0"/>
              <w:right w:val="single" w:color="auto" w:sz="4" w:space="0"/>
            </w:tcBorders>
            <w:vAlign w:val="center"/>
          </w:tcPr>
          <w:p>
            <w:pPr>
              <w:ind w:firstLine="480"/>
              <w:rPr>
                <w:color w:val="auto"/>
                <w:highlight w:val="none"/>
              </w:rPr>
            </w:pPr>
          </w:p>
        </w:tc>
        <w:tc>
          <w:tcPr>
            <w:tcW w:w="1134" w:type="dxa"/>
            <w:tcBorders>
              <w:top w:val="single" w:color="auto" w:sz="4" w:space="0"/>
              <w:left w:val="single" w:color="auto" w:sz="4" w:space="0"/>
              <w:right w:val="single" w:color="auto" w:sz="4" w:space="0"/>
            </w:tcBorders>
            <w:vAlign w:val="center"/>
          </w:tcPr>
          <w:p>
            <w:pPr>
              <w:ind w:firstLine="480"/>
              <w:rPr>
                <w:color w:val="auto"/>
                <w:highlight w:val="none"/>
              </w:rPr>
            </w:pPr>
          </w:p>
        </w:tc>
        <w:tc>
          <w:tcPr>
            <w:tcW w:w="2404" w:type="dxa"/>
            <w:tcBorders>
              <w:top w:val="single" w:color="auto" w:sz="4" w:space="0"/>
              <w:left w:val="single" w:color="auto" w:sz="4" w:space="0"/>
              <w:right w:val="single" w:color="auto" w:sz="4" w:space="0"/>
            </w:tcBorders>
            <w:vAlign w:val="center"/>
          </w:tcPr>
          <w:p>
            <w:pPr>
              <w:ind w:firstLine="0" w:firstLineChars="0"/>
              <w:rPr>
                <w:color w:val="auto"/>
                <w:highlight w:val="none"/>
              </w:rPr>
            </w:pPr>
            <w:r>
              <w:rPr>
                <w:rFonts w:hint="eastAsia"/>
                <w:color w:val="auto"/>
                <w:highlight w:val="none"/>
              </w:rPr>
              <w:t>详见商务技术响应文件第几页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auto"/>
                <w:highlight w:val="none"/>
              </w:rPr>
            </w:pPr>
            <w:r>
              <w:rPr>
                <w:rFonts w:hint="eastAsia"/>
                <w:color w:val="auto"/>
                <w:highlight w:val="none"/>
              </w:rPr>
              <w:t>2</w:t>
            </w:r>
          </w:p>
        </w:tc>
        <w:tc>
          <w:tcPr>
            <w:tcW w:w="1276"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1276" w:type="dxa"/>
            <w:tcBorders>
              <w:top w:val="single" w:color="auto" w:sz="4" w:space="0"/>
              <w:left w:val="single" w:color="auto" w:sz="4" w:space="0"/>
              <w:right w:val="single" w:color="auto" w:sz="4" w:space="0"/>
            </w:tcBorders>
            <w:vAlign w:val="center"/>
          </w:tcPr>
          <w:p>
            <w:pPr>
              <w:ind w:firstLine="480"/>
              <w:rPr>
                <w:color w:val="auto"/>
                <w:highlight w:val="none"/>
              </w:rPr>
            </w:pPr>
          </w:p>
        </w:tc>
        <w:tc>
          <w:tcPr>
            <w:tcW w:w="1076" w:type="dxa"/>
            <w:tcBorders>
              <w:top w:val="single" w:color="auto" w:sz="4" w:space="0"/>
              <w:left w:val="single" w:color="auto" w:sz="4" w:space="0"/>
              <w:right w:val="single" w:color="auto" w:sz="4" w:space="0"/>
            </w:tcBorders>
            <w:vAlign w:val="center"/>
          </w:tcPr>
          <w:p>
            <w:pPr>
              <w:ind w:firstLine="480"/>
              <w:rPr>
                <w:color w:val="auto"/>
                <w:highlight w:val="none"/>
              </w:rPr>
            </w:pPr>
          </w:p>
        </w:tc>
        <w:tc>
          <w:tcPr>
            <w:tcW w:w="859" w:type="dxa"/>
            <w:tcBorders>
              <w:top w:val="single" w:color="auto" w:sz="4" w:space="0"/>
              <w:left w:val="single" w:color="auto" w:sz="4" w:space="0"/>
              <w:right w:val="single" w:color="auto" w:sz="4" w:space="0"/>
            </w:tcBorders>
            <w:vAlign w:val="center"/>
          </w:tcPr>
          <w:p>
            <w:pPr>
              <w:ind w:firstLine="480"/>
              <w:rPr>
                <w:color w:val="auto"/>
                <w:highlight w:val="none"/>
              </w:rPr>
            </w:pPr>
          </w:p>
        </w:tc>
        <w:tc>
          <w:tcPr>
            <w:tcW w:w="1042" w:type="dxa"/>
            <w:tcBorders>
              <w:top w:val="single" w:color="auto" w:sz="4" w:space="0"/>
              <w:left w:val="single" w:color="auto" w:sz="4" w:space="0"/>
              <w:right w:val="single" w:color="auto" w:sz="4" w:space="0"/>
            </w:tcBorders>
            <w:vAlign w:val="center"/>
          </w:tcPr>
          <w:p>
            <w:pPr>
              <w:ind w:firstLine="480"/>
              <w:rPr>
                <w:color w:val="auto"/>
                <w:highlight w:val="none"/>
              </w:rPr>
            </w:pPr>
          </w:p>
        </w:tc>
        <w:tc>
          <w:tcPr>
            <w:tcW w:w="1134" w:type="dxa"/>
            <w:tcBorders>
              <w:top w:val="single" w:color="auto" w:sz="4" w:space="0"/>
              <w:left w:val="single" w:color="auto" w:sz="4" w:space="0"/>
              <w:right w:val="single" w:color="auto" w:sz="4" w:space="0"/>
            </w:tcBorders>
            <w:vAlign w:val="center"/>
          </w:tcPr>
          <w:p>
            <w:pPr>
              <w:ind w:firstLine="480"/>
              <w:rPr>
                <w:color w:val="auto"/>
                <w:highlight w:val="none"/>
              </w:rPr>
            </w:pPr>
          </w:p>
        </w:tc>
        <w:tc>
          <w:tcPr>
            <w:tcW w:w="2404" w:type="dxa"/>
            <w:tcBorders>
              <w:top w:val="single" w:color="auto" w:sz="4" w:space="0"/>
              <w:left w:val="single" w:color="auto" w:sz="4" w:space="0"/>
              <w:right w:val="single" w:color="auto" w:sz="4" w:space="0"/>
            </w:tcBorders>
            <w:vAlign w:val="center"/>
          </w:tcPr>
          <w:p>
            <w:pPr>
              <w:ind w:firstLine="480"/>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auto"/>
                <w:highlight w:val="none"/>
              </w:rPr>
            </w:pPr>
            <w:r>
              <w:rPr>
                <w:rFonts w:hint="eastAsia"/>
                <w:color w:val="auto"/>
                <w:highlight w:val="none"/>
              </w:rPr>
              <w:t>二</w:t>
            </w:r>
          </w:p>
        </w:tc>
        <w:tc>
          <w:tcPr>
            <w:tcW w:w="1276"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auto"/>
                <w:highlight w:val="none"/>
              </w:rPr>
            </w:pPr>
            <w:r>
              <w:rPr>
                <w:rFonts w:hint="eastAsia"/>
                <w:color w:val="auto"/>
                <w:highlight w:val="none"/>
              </w:rPr>
              <w:t>商务分</w:t>
            </w:r>
          </w:p>
        </w:tc>
        <w:tc>
          <w:tcPr>
            <w:tcW w:w="1276"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auto"/>
                <w:highlight w:val="none"/>
              </w:rPr>
            </w:pPr>
            <w:r>
              <w:rPr>
                <w:rFonts w:hint="eastAsia"/>
                <w:color w:val="auto"/>
                <w:highlight w:val="none"/>
              </w:rPr>
              <w:t>详见商务技术响应文件第几页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62" w:type="dxa"/>
            <w:tcBorders>
              <w:left w:val="single" w:color="auto" w:sz="4" w:space="0"/>
              <w:bottom w:val="single" w:color="auto" w:sz="4" w:space="0"/>
              <w:right w:val="single" w:color="auto" w:sz="4" w:space="0"/>
            </w:tcBorders>
            <w:vAlign w:val="center"/>
          </w:tcPr>
          <w:p>
            <w:pPr>
              <w:ind w:firstLine="0" w:firstLineChars="0"/>
              <w:rPr>
                <w:color w:val="auto"/>
                <w:highlight w:val="none"/>
              </w:rPr>
            </w:pPr>
            <w:r>
              <w:rPr>
                <w:rFonts w:hint="eastAsia"/>
                <w:color w:val="auto"/>
                <w:highlight w:val="none"/>
              </w:rPr>
              <w:t>三</w:t>
            </w:r>
          </w:p>
        </w:tc>
        <w:tc>
          <w:tcPr>
            <w:tcW w:w="1276" w:type="dxa"/>
            <w:tcBorders>
              <w:left w:val="single" w:color="auto" w:sz="4" w:space="0"/>
              <w:bottom w:val="single" w:color="auto" w:sz="4" w:space="0"/>
              <w:right w:val="single" w:color="auto" w:sz="4" w:space="0"/>
            </w:tcBorders>
            <w:vAlign w:val="center"/>
          </w:tcPr>
          <w:p>
            <w:pPr>
              <w:ind w:firstLine="0" w:firstLineChars="0"/>
              <w:rPr>
                <w:color w:val="auto"/>
                <w:highlight w:val="none"/>
              </w:rPr>
            </w:pPr>
            <w:r>
              <w:rPr>
                <w:rFonts w:hint="eastAsia"/>
                <w:color w:val="auto"/>
                <w:highlight w:val="none"/>
              </w:rPr>
              <w:t>资信及其他分</w:t>
            </w:r>
          </w:p>
        </w:tc>
        <w:tc>
          <w:tcPr>
            <w:tcW w:w="1276"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left w:val="single" w:color="auto" w:sz="4" w:space="0"/>
              <w:bottom w:val="single" w:color="auto" w:sz="4" w:space="0"/>
              <w:right w:val="single" w:color="auto" w:sz="4" w:space="0"/>
            </w:tcBorders>
            <w:vAlign w:val="center"/>
          </w:tcPr>
          <w:p>
            <w:pPr>
              <w:ind w:firstLine="480"/>
              <w:rPr>
                <w:color w:val="auto"/>
                <w:highlight w:val="none"/>
              </w:rPr>
            </w:pPr>
          </w:p>
        </w:tc>
        <w:tc>
          <w:tcPr>
            <w:tcW w:w="1276" w:type="dxa"/>
            <w:tcBorders>
              <w:left w:val="single" w:color="auto" w:sz="4" w:space="0"/>
              <w:bottom w:val="single" w:color="auto" w:sz="4" w:space="0"/>
              <w:right w:val="single" w:color="auto" w:sz="4" w:space="0"/>
            </w:tcBorders>
            <w:vAlign w:val="center"/>
          </w:tcPr>
          <w:p>
            <w:pPr>
              <w:ind w:firstLine="480"/>
              <w:rPr>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auto"/>
                <w:highlight w:val="none"/>
              </w:rPr>
            </w:pPr>
            <w:r>
              <w:rPr>
                <w:rFonts w:hint="eastAsia"/>
                <w:color w:val="auto"/>
                <w:highlight w:val="none"/>
              </w:rPr>
              <w:t>详见商务技术响应文件第几页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pPr>
              <w:ind w:firstLine="480"/>
              <w:rPr>
                <w:color w:val="auto"/>
                <w:highlight w:val="none"/>
              </w:rPr>
            </w:pPr>
            <w:r>
              <w:rPr>
                <w:rFonts w:hint="eastAsia"/>
                <w:color w:val="auto"/>
                <w:highlight w:val="none"/>
              </w:rPr>
              <w:t>……</w:t>
            </w:r>
          </w:p>
        </w:tc>
      </w:tr>
    </w:tbl>
    <w:p>
      <w:pPr>
        <w:snapToGrid w:val="0"/>
        <w:spacing w:before="50" w:after="50"/>
        <w:ind w:firstLine="0" w:firstLineChars="0"/>
        <w:rPr>
          <w:color w:val="auto"/>
          <w:highlight w:val="none"/>
        </w:rPr>
      </w:pPr>
      <w:r>
        <w:rPr>
          <w:rFonts w:hint="eastAsia" w:ascii="宋体" w:hAnsi="宋体"/>
          <w:color w:val="auto"/>
          <w:highlight w:val="none"/>
        </w:rPr>
        <w:t>注：投标单位根据所投标项的评分表内容，按此格式提供评分响应表置于商务技术响应文件第1页。</w:t>
      </w:r>
    </w:p>
    <w:p>
      <w:pPr>
        <w:pStyle w:val="3"/>
        <w:ind w:firstLine="344"/>
        <w:rPr>
          <w:color w:val="auto"/>
          <w:highlight w:val="none"/>
        </w:rPr>
      </w:pPr>
    </w:p>
    <w:p>
      <w:pPr>
        <w:snapToGrid w:val="0"/>
        <w:spacing w:before="50" w:after="120" w:afterLines="50"/>
        <w:ind w:firstLine="482"/>
        <w:rPr>
          <w:rFonts w:ascii="宋体" w:hAnsi="宋体"/>
          <w:b/>
          <w:color w:val="auto"/>
          <w:szCs w:val="20"/>
          <w:highlight w:val="none"/>
        </w:rPr>
      </w:pPr>
      <w:r>
        <w:rPr>
          <w:rFonts w:hint="eastAsia" w:ascii="宋体" w:hAnsi="宋体"/>
          <w:b/>
          <w:color w:val="auto"/>
          <w:highlight w:val="none"/>
        </w:rPr>
        <w:t>附件8：货物具体配置表：</w:t>
      </w:r>
    </w:p>
    <w:p>
      <w:pPr>
        <w:snapToGrid w:val="0"/>
        <w:spacing w:before="120" w:beforeLines="50" w:after="50"/>
        <w:ind w:firstLine="482"/>
        <w:jc w:val="center"/>
        <w:rPr>
          <w:rFonts w:ascii="宋体" w:hAnsi="宋体"/>
          <w:b/>
          <w:color w:val="auto"/>
          <w:highlight w:val="none"/>
        </w:rPr>
      </w:pPr>
      <w:r>
        <w:rPr>
          <w:rFonts w:ascii="宋体" w:hAnsi="宋体"/>
          <w:b/>
          <w:color w:val="auto"/>
          <w:highlight w:val="none"/>
        </w:rPr>
        <w:t>货物</w:t>
      </w:r>
      <w:r>
        <w:rPr>
          <w:rFonts w:hint="eastAsia" w:ascii="宋体" w:hAnsi="宋体"/>
          <w:b/>
          <w:color w:val="auto"/>
          <w:highlight w:val="none"/>
        </w:rPr>
        <w:t>具体配置表</w:t>
      </w:r>
    </w:p>
    <w:p>
      <w:pPr>
        <w:pStyle w:val="29"/>
        <w:spacing w:before="120" w:after="120" w:line="360" w:lineRule="auto"/>
        <w:ind w:right="904" w:firstLine="480"/>
        <w:rPr>
          <w:rFonts w:ascii="Times New Roman" w:hAnsi="Times New Roman"/>
          <w:color w:val="auto"/>
          <w:highlight w:val="none"/>
        </w:rPr>
      </w:pPr>
      <w:r>
        <w:rPr>
          <w:rFonts w:hint="eastAsia" w:ascii="Times New Roman" w:hAnsi="Times New Roman"/>
          <w:color w:val="auto"/>
          <w:highlight w:val="none"/>
        </w:rPr>
        <w:t>项目名称：</w:t>
      </w:r>
      <w:r>
        <w:rPr>
          <w:rFonts w:ascii="Times New Roman" w:hAnsi="Times New Roman"/>
          <w:color w:val="auto"/>
          <w:highlight w:val="none"/>
        </w:rPr>
        <w:t>招标编号：</w:t>
      </w:r>
    </w:p>
    <w:tbl>
      <w:tblPr>
        <w:tblStyle w:val="46"/>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596"/>
        <w:gridCol w:w="596"/>
        <w:gridCol w:w="1260"/>
        <w:gridCol w:w="1260"/>
        <w:gridCol w:w="3348"/>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921" w:hRule="exact"/>
          <w:jc w:val="center"/>
        </w:trPr>
        <w:tc>
          <w:tcPr>
            <w:tcW w:w="596" w:type="dxa"/>
            <w:tcBorders>
              <w:bottom w:val="nil"/>
            </w:tcBorders>
            <w:vAlign w:val="center"/>
          </w:tcPr>
          <w:p>
            <w:pPr>
              <w:ind w:firstLine="0" w:firstLineChars="0"/>
              <w:jc w:val="both"/>
              <w:rPr>
                <w:rFonts w:ascii="宋体" w:hAnsi="宋体"/>
                <w:color w:val="auto"/>
                <w:highlight w:val="none"/>
              </w:rPr>
            </w:pPr>
            <w:r>
              <w:rPr>
                <w:rFonts w:hint="eastAsia" w:ascii="宋体" w:hAnsi="宋体"/>
                <w:color w:val="auto"/>
                <w:highlight w:val="none"/>
              </w:rPr>
              <w:t>品牌型号</w:t>
            </w:r>
          </w:p>
        </w:tc>
        <w:tc>
          <w:tcPr>
            <w:tcW w:w="596" w:type="dxa"/>
            <w:tcBorders>
              <w:bottom w:val="nil"/>
            </w:tcBorders>
            <w:vAlign w:val="center"/>
          </w:tcPr>
          <w:p>
            <w:pPr>
              <w:ind w:firstLine="0" w:firstLineChars="0"/>
              <w:jc w:val="both"/>
              <w:rPr>
                <w:rFonts w:ascii="宋体" w:hAnsi="宋体"/>
                <w:color w:val="auto"/>
                <w:highlight w:val="none"/>
              </w:rPr>
            </w:pPr>
            <w:r>
              <w:rPr>
                <w:rFonts w:hint="eastAsia" w:ascii="宋体" w:hAnsi="宋体"/>
                <w:color w:val="auto"/>
                <w:highlight w:val="none"/>
              </w:rPr>
              <w:t>序号</w:t>
            </w:r>
          </w:p>
        </w:tc>
        <w:tc>
          <w:tcPr>
            <w:tcW w:w="1260" w:type="dxa"/>
            <w:tcBorders>
              <w:bottom w:val="nil"/>
            </w:tcBorders>
            <w:vAlign w:val="center"/>
          </w:tcPr>
          <w:p>
            <w:pPr>
              <w:ind w:firstLine="0" w:firstLineChars="0"/>
              <w:jc w:val="both"/>
              <w:rPr>
                <w:rFonts w:ascii="宋体" w:hAnsi="宋体"/>
                <w:color w:val="auto"/>
                <w:highlight w:val="none"/>
              </w:rPr>
            </w:pPr>
            <w:r>
              <w:rPr>
                <w:rFonts w:hint="eastAsia" w:ascii="宋体" w:hAnsi="宋体"/>
                <w:color w:val="auto"/>
                <w:highlight w:val="none"/>
              </w:rPr>
              <w:t>配件名称型号</w:t>
            </w:r>
          </w:p>
        </w:tc>
        <w:tc>
          <w:tcPr>
            <w:tcW w:w="1260" w:type="dxa"/>
            <w:vAlign w:val="center"/>
          </w:tcPr>
          <w:p>
            <w:pPr>
              <w:ind w:firstLine="0" w:firstLineChars="0"/>
              <w:jc w:val="both"/>
              <w:rPr>
                <w:rFonts w:ascii="宋体" w:hAnsi="宋体"/>
                <w:color w:val="auto"/>
                <w:highlight w:val="none"/>
              </w:rPr>
            </w:pPr>
            <w:r>
              <w:rPr>
                <w:rFonts w:hint="eastAsia" w:ascii="宋体" w:hAnsi="宋体"/>
                <w:color w:val="auto"/>
                <w:highlight w:val="none"/>
              </w:rPr>
              <w:t>配件品牌</w:t>
            </w:r>
          </w:p>
        </w:tc>
        <w:tc>
          <w:tcPr>
            <w:tcW w:w="3348" w:type="dxa"/>
            <w:vAlign w:val="center"/>
          </w:tcPr>
          <w:p>
            <w:pPr>
              <w:ind w:right="54" w:firstLine="0" w:firstLineChars="0"/>
              <w:jc w:val="both"/>
              <w:rPr>
                <w:rFonts w:ascii="宋体" w:hAnsi="宋体"/>
                <w:color w:val="auto"/>
                <w:highlight w:val="none"/>
              </w:rPr>
            </w:pPr>
            <w:r>
              <w:rPr>
                <w:rFonts w:hint="eastAsia" w:ascii="宋体" w:hAnsi="宋体"/>
                <w:color w:val="auto"/>
                <w:highlight w:val="none"/>
              </w:rPr>
              <w:t>技术指标、功能及配置描述</w:t>
            </w:r>
          </w:p>
        </w:tc>
        <w:tc>
          <w:tcPr>
            <w:tcW w:w="1080" w:type="dxa"/>
            <w:vAlign w:val="center"/>
          </w:tcPr>
          <w:p>
            <w:pPr>
              <w:ind w:right="54" w:firstLine="0" w:firstLineChars="0"/>
              <w:jc w:val="both"/>
              <w:rPr>
                <w:rFonts w:ascii="宋体" w:hAnsi="宋体"/>
                <w:color w:val="auto"/>
                <w:highlight w:val="none"/>
              </w:rPr>
            </w:pPr>
            <w:r>
              <w:rPr>
                <w:rFonts w:hint="eastAsia" w:ascii="宋体" w:hAnsi="宋体"/>
                <w:color w:val="auto"/>
                <w:highlight w:val="none"/>
              </w:rPr>
              <w:t>产地</w:t>
            </w:r>
          </w:p>
        </w:tc>
        <w:tc>
          <w:tcPr>
            <w:tcW w:w="1080" w:type="dxa"/>
            <w:vAlign w:val="center"/>
          </w:tcPr>
          <w:p>
            <w:pPr>
              <w:ind w:right="54" w:firstLine="0" w:firstLineChars="0"/>
              <w:jc w:val="both"/>
              <w:rPr>
                <w:rFonts w:ascii="宋体" w:hAnsi="宋体"/>
                <w:color w:val="auto"/>
                <w:highlight w:val="none"/>
              </w:rPr>
            </w:pPr>
            <w:r>
              <w:rPr>
                <w:rFonts w:hint="eastAsia" w:ascii="宋体" w:hAnsi="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restart"/>
            <w:vAlign w:val="center"/>
          </w:tcPr>
          <w:p>
            <w:pPr>
              <w:ind w:firstLine="480"/>
              <w:jc w:val="center"/>
              <w:rPr>
                <w:rFonts w:ascii="宋体" w:hAnsi="宋体"/>
                <w:color w:val="auto"/>
                <w:highlight w:val="none"/>
              </w:rPr>
            </w:pPr>
          </w:p>
        </w:tc>
        <w:tc>
          <w:tcPr>
            <w:tcW w:w="596" w:type="dxa"/>
            <w:vAlign w:val="center"/>
          </w:tcPr>
          <w:p>
            <w:pPr>
              <w:ind w:firstLine="480"/>
              <w:jc w:val="center"/>
              <w:rPr>
                <w:rFonts w:ascii="宋体" w:hAnsi="宋体"/>
                <w:color w:val="auto"/>
                <w:highlight w:val="none"/>
              </w:rPr>
            </w:pPr>
          </w:p>
        </w:tc>
        <w:tc>
          <w:tcPr>
            <w:tcW w:w="1260" w:type="dxa"/>
            <w:vAlign w:val="center"/>
          </w:tcPr>
          <w:p>
            <w:pPr>
              <w:ind w:firstLine="480"/>
              <w:jc w:val="center"/>
              <w:rPr>
                <w:rFonts w:ascii="宋体" w:hAnsi="宋体"/>
                <w:color w:val="auto"/>
                <w:highlight w:val="none"/>
              </w:rPr>
            </w:pPr>
          </w:p>
        </w:tc>
        <w:tc>
          <w:tcPr>
            <w:tcW w:w="1260" w:type="dxa"/>
            <w:vAlign w:val="center"/>
          </w:tcPr>
          <w:p>
            <w:pPr>
              <w:ind w:firstLine="480"/>
              <w:jc w:val="center"/>
              <w:rPr>
                <w:rFonts w:ascii="宋体" w:hAnsi="宋体"/>
                <w:color w:val="auto"/>
                <w:highlight w:val="none"/>
              </w:rPr>
            </w:pPr>
          </w:p>
        </w:tc>
        <w:tc>
          <w:tcPr>
            <w:tcW w:w="3348" w:type="dxa"/>
            <w:vAlign w:val="center"/>
          </w:tcPr>
          <w:p>
            <w:pPr>
              <w:ind w:right="54" w:firstLine="480"/>
              <w:jc w:val="center"/>
              <w:rPr>
                <w:rFonts w:ascii="宋体" w:hAnsi="宋体"/>
                <w:color w:val="auto"/>
                <w:highlight w:val="none"/>
              </w:rPr>
            </w:pPr>
          </w:p>
        </w:tc>
        <w:tc>
          <w:tcPr>
            <w:tcW w:w="1080" w:type="dxa"/>
            <w:vAlign w:val="center"/>
          </w:tcPr>
          <w:p>
            <w:pPr>
              <w:ind w:right="54" w:firstLine="480"/>
              <w:jc w:val="center"/>
              <w:rPr>
                <w:rFonts w:ascii="宋体" w:hAnsi="宋体"/>
                <w:color w:val="auto"/>
                <w:highlight w:val="none"/>
              </w:rPr>
            </w:pPr>
          </w:p>
        </w:tc>
        <w:tc>
          <w:tcPr>
            <w:tcW w:w="1080" w:type="dxa"/>
            <w:vAlign w:val="center"/>
          </w:tcPr>
          <w:p>
            <w:pPr>
              <w:ind w:right="54" w:firstLine="48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ind w:firstLine="480"/>
              <w:jc w:val="center"/>
              <w:rPr>
                <w:rFonts w:ascii="宋体" w:hAnsi="宋体"/>
                <w:color w:val="auto"/>
                <w:highlight w:val="none"/>
              </w:rPr>
            </w:pPr>
          </w:p>
        </w:tc>
        <w:tc>
          <w:tcPr>
            <w:tcW w:w="596" w:type="dxa"/>
            <w:vAlign w:val="center"/>
          </w:tcPr>
          <w:p>
            <w:pPr>
              <w:ind w:firstLine="480"/>
              <w:jc w:val="center"/>
              <w:rPr>
                <w:rFonts w:ascii="宋体" w:hAnsi="宋体"/>
                <w:color w:val="auto"/>
                <w:highlight w:val="none"/>
              </w:rPr>
            </w:pPr>
          </w:p>
        </w:tc>
        <w:tc>
          <w:tcPr>
            <w:tcW w:w="1260" w:type="dxa"/>
            <w:vAlign w:val="center"/>
          </w:tcPr>
          <w:p>
            <w:pPr>
              <w:ind w:firstLine="480"/>
              <w:jc w:val="center"/>
              <w:rPr>
                <w:rFonts w:ascii="宋体" w:hAnsi="宋体"/>
                <w:color w:val="auto"/>
                <w:highlight w:val="none"/>
              </w:rPr>
            </w:pPr>
          </w:p>
        </w:tc>
        <w:tc>
          <w:tcPr>
            <w:tcW w:w="1260" w:type="dxa"/>
            <w:vAlign w:val="center"/>
          </w:tcPr>
          <w:p>
            <w:pPr>
              <w:ind w:firstLine="480"/>
              <w:jc w:val="center"/>
              <w:rPr>
                <w:rFonts w:ascii="宋体" w:hAnsi="宋体"/>
                <w:color w:val="auto"/>
                <w:highlight w:val="none"/>
              </w:rPr>
            </w:pPr>
          </w:p>
        </w:tc>
        <w:tc>
          <w:tcPr>
            <w:tcW w:w="3348" w:type="dxa"/>
            <w:vAlign w:val="center"/>
          </w:tcPr>
          <w:p>
            <w:pPr>
              <w:ind w:right="54" w:firstLine="480"/>
              <w:jc w:val="center"/>
              <w:rPr>
                <w:rFonts w:ascii="宋体" w:hAnsi="宋体"/>
                <w:color w:val="auto"/>
                <w:highlight w:val="none"/>
              </w:rPr>
            </w:pPr>
          </w:p>
        </w:tc>
        <w:tc>
          <w:tcPr>
            <w:tcW w:w="1080" w:type="dxa"/>
            <w:vAlign w:val="center"/>
          </w:tcPr>
          <w:p>
            <w:pPr>
              <w:ind w:right="54" w:firstLine="480"/>
              <w:jc w:val="center"/>
              <w:rPr>
                <w:rFonts w:ascii="宋体" w:hAnsi="宋体"/>
                <w:color w:val="auto"/>
                <w:highlight w:val="none"/>
              </w:rPr>
            </w:pPr>
          </w:p>
        </w:tc>
        <w:tc>
          <w:tcPr>
            <w:tcW w:w="1080" w:type="dxa"/>
            <w:vAlign w:val="center"/>
          </w:tcPr>
          <w:p>
            <w:pPr>
              <w:ind w:right="54" w:firstLine="48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ind w:firstLine="480"/>
              <w:jc w:val="center"/>
              <w:rPr>
                <w:rFonts w:ascii="宋体" w:hAnsi="宋体"/>
                <w:color w:val="auto"/>
                <w:highlight w:val="none"/>
              </w:rPr>
            </w:pPr>
          </w:p>
        </w:tc>
        <w:tc>
          <w:tcPr>
            <w:tcW w:w="596" w:type="dxa"/>
            <w:vAlign w:val="center"/>
          </w:tcPr>
          <w:p>
            <w:pPr>
              <w:ind w:firstLine="480"/>
              <w:jc w:val="center"/>
              <w:rPr>
                <w:rFonts w:ascii="宋体" w:hAnsi="宋体"/>
                <w:color w:val="auto"/>
                <w:highlight w:val="none"/>
              </w:rPr>
            </w:pPr>
          </w:p>
        </w:tc>
        <w:tc>
          <w:tcPr>
            <w:tcW w:w="1260" w:type="dxa"/>
            <w:vAlign w:val="center"/>
          </w:tcPr>
          <w:p>
            <w:pPr>
              <w:ind w:firstLine="480"/>
              <w:jc w:val="center"/>
              <w:rPr>
                <w:rFonts w:ascii="宋体" w:hAnsi="宋体"/>
                <w:color w:val="auto"/>
                <w:highlight w:val="none"/>
              </w:rPr>
            </w:pPr>
          </w:p>
        </w:tc>
        <w:tc>
          <w:tcPr>
            <w:tcW w:w="1260" w:type="dxa"/>
            <w:vAlign w:val="center"/>
          </w:tcPr>
          <w:p>
            <w:pPr>
              <w:ind w:firstLine="480"/>
              <w:jc w:val="center"/>
              <w:rPr>
                <w:rFonts w:ascii="宋体" w:hAnsi="宋体"/>
                <w:color w:val="auto"/>
                <w:highlight w:val="none"/>
              </w:rPr>
            </w:pPr>
          </w:p>
        </w:tc>
        <w:tc>
          <w:tcPr>
            <w:tcW w:w="3348" w:type="dxa"/>
            <w:vAlign w:val="center"/>
          </w:tcPr>
          <w:p>
            <w:pPr>
              <w:ind w:right="54" w:firstLine="480"/>
              <w:jc w:val="center"/>
              <w:rPr>
                <w:rFonts w:ascii="宋体" w:hAnsi="宋体"/>
                <w:color w:val="auto"/>
                <w:highlight w:val="none"/>
              </w:rPr>
            </w:pPr>
          </w:p>
        </w:tc>
        <w:tc>
          <w:tcPr>
            <w:tcW w:w="1080" w:type="dxa"/>
            <w:vAlign w:val="center"/>
          </w:tcPr>
          <w:p>
            <w:pPr>
              <w:ind w:right="54" w:firstLine="480"/>
              <w:jc w:val="center"/>
              <w:rPr>
                <w:rFonts w:ascii="宋体" w:hAnsi="宋体"/>
                <w:color w:val="auto"/>
                <w:highlight w:val="none"/>
              </w:rPr>
            </w:pPr>
          </w:p>
        </w:tc>
        <w:tc>
          <w:tcPr>
            <w:tcW w:w="1080" w:type="dxa"/>
            <w:vAlign w:val="center"/>
          </w:tcPr>
          <w:p>
            <w:pPr>
              <w:ind w:right="54" w:firstLine="48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ind w:firstLine="480"/>
              <w:jc w:val="center"/>
              <w:rPr>
                <w:rFonts w:ascii="宋体" w:hAnsi="宋体"/>
                <w:color w:val="auto"/>
                <w:highlight w:val="none"/>
              </w:rPr>
            </w:pPr>
          </w:p>
        </w:tc>
        <w:tc>
          <w:tcPr>
            <w:tcW w:w="596" w:type="dxa"/>
            <w:vAlign w:val="center"/>
          </w:tcPr>
          <w:p>
            <w:pPr>
              <w:ind w:firstLine="480"/>
              <w:jc w:val="center"/>
              <w:rPr>
                <w:rFonts w:ascii="宋体" w:hAnsi="宋体"/>
                <w:color w:val="auto"/>
                <w:highlight w:val="none"/>
              </w:rPr>
            </w:pPr>
          </w:p>
        </w:tc>
        <w:tc>
          <w:tcPr>
            <w:tcW w:w="1260" w:type="dxa"/>
            <w:vAlign w:val="center"/>
          </w:tcPr>
          <w:p>
            <w:pPr>
              <w:ind w:firstLine="480"/>
              <w:jc w:val="center"/>
              <w:rPr>
                <w:rFonts w:ascii="宋体" w:hAnsi="宋体"/>
                <w:color w:val="auto"/>
                <w:highlight w:val="none"/>
              </w:rPr>
            </w:pPr>
          </w:p>
        </w:tc>
        <w:tc>
          <w:tcPr>
            <w:tcW w:w="1260" w:type="dxa"/>
            <w:vAlign w:val="center"/>
          </w:tcPr>
          <w:p>
            <w:pPr>
              <w:ind w:firstLine="480"/>
              <w:jc w:val="center"/>
              <w:rPr>
                <w:rFonts w:ascii="宋体" w:hAnsi="宋体"/>
                <w:color w:val="auto"/>
                <w:highlight w:val="none"/>
              </w:rPr>
            </w:pPr>
          </w:p>
        </w:tc>
        <w:tc>
          <w:tcPr>
            <w:tcW w:w="3348" w:type="dxa"/>
            <w:vAlign w:val="center"/>
          </w:tcPr>
          <w:p>
            <w:pPr>
              <w:ind w:right="54" w:firstLine="480"/>
              <w:jc w:val="center"/>
              <w:rPr>
                <w:rFonts w:ascii="宋体" w:hAnsi="宋体"/>
                <w:color w:val="auto"/>
                <w:highlight w:val="none"/>
              </w:rPr>
            </w:pPr>
          </w:p>
        </w:tc>
        <w:tc>
          <w:tcPr>
            <w:tcW w:w="1080" w:type="dxa"/>
            <w:vAlign w:val="center"/>
          </w:tcPr>
          <w:p>
            <w:pPr>
              <w:ind w:right="54" w:firstLine="480"/>
              <w:jc w:val="center"/>
              <w:rPr>
                <w:rFonts w:ascii="宋体" w:hAnsi="宋体"/>
                <w:color w:val="auto"/>
                <w:highlight w:val="none"/>
              </w:rPr>
            </w:pPr>
          </w:p>
        </w:tc>
        <w:tc>
          <w:tcPr>
            <w:tcW w:w="1080" w:type="dxa"/>
            <w:vAlign w:val="center"/>
          </w:tcPr>
          <w:p>
            <w:pPr>
              <w:ind w:right="54" w:firstLine="48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ind w:firstLine="480"/>
              <w:jc w:val="center"/>
              <w:rPr>
                <w:rFonts w:ascii="宋体" w:hAnsi="宋体"/>
                <w:color w:val="auto"/>
                <w:highlight w:val="none"/>
              </w:rPr>
            </w:pPr>
          </w:p>
        </w:tc>
        <w:tc>
          <w:tcPr>
            <w:tcW w:w="596" w:type="dxa"/>
            <w:vAlign w:val="center"/>
          </w:tcPr>
          <w:p>
            <w:pPr>
              <w:ind w:firstLine="480"/>
              <w:jc w:val="center"/>
              <w:rPr>
                <w:rFonts w:ascii="宋体" w:hAnsi="宋体"/>
                <w:color w:val="auto"/>
                <w:highlight w:val="none"/>
              </w:rPr>
            </w:pPr>
          </w:p>
        </w:tc>
        <w:tc>
          <w:tcPr>
            <w:tcW w:w="1260" w:type="dxa"/>
            <w:vAlign w:val="center"/>
          </w:tcPr>
          <w:p>
            <w:pPr>
              <w:ind w:firstLine="480"/>
              <w:jc w:val="center"/>
              <w:rPr>
                <w:rFonts w:ascii="宋体" w:hAnsi="宋体"/>
                <w:color w:val="auto"/>
                <w:highlight w:val="none"/>
              </w:rPr>
            </w:pPr>
          </w:p>
        </w:tc>
        <w:tc>
          <w:tcPr>
            <w:tcW w:w="1260" w:type="dxa"/>
            <w:vAlign w:val="center"/>
          </w:tcPr>
          <w:p>
            <w:pPr>
              <w:ind w:firstLine="480"/>
              <w:jc w:val="center"/>
              <w:rPr>
                <w:rFonts w:ascii="宋体" w:hAnsi="宋体"/>
                <w:color w:val="auto"/>
                <w:highlight w:val="none"/>
              </w:rPr>
            </w:pPr>
          </w:p>
        </w:tc>
        <w:tc>
          <w:tcPr>
            <w:tcW w:w="3348" w:type="dxa"/>
            <w:vAlign w:val="center"/>
          </w:tcPr>
          <w:p>
            <w:pPr>
              <w:ind w:right="54" w:firstLine="480"/>
              <w:jc w:val="center"/>
              <w:rPr>
                <w:rFonts w:ascii="宋体" w:hAnsi="宋体"/>
                <w:color w:val="auto"/>
                <w:highlight w:val="none"/>
              </w:rPr>
            </w:pPr>
          </w:p>
        </w:tc>
        <w:tc>
          <w:tcPr>
            <w:tcW w:w="1080" w:type="dxa"/>
            <w:vAlign w:val="center"/>
          </w:tcPr>
          <w:p>
            <w:pPr>
              <w:ind w:right="54" w:firstLine="480"/>
              <w:jc w:val="center"/>
              <w:rPr>
                <w:rFonts w:ascii="宋体" w:hAnsi="宋体"/>
                <w:color w:val="auto"/>
                <w:highlight w:val="none"/>
              </w:rPr>
            </w:pPr>
          </w:p>
        </w:tc>
        <w:tc>
          <w:tcPr>
            <w:tcW w:w="1080" w:type="dxa"/>
            <w:vAlign w:val="center"/>
          </w:tcPr>
          <w:p>
            <w:pPr>
              <w:ind w:right="54" w:firstLine="48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ind w:firstLine="480"/>
              <w:jc w:val="center"/>
              <w:rPr>
                <w:rFonts w:ascii="宋体" w:hAnsi="宋体"/>
                <w:color w:val="auto"/>
                <w:highlight w:val="none"/>
              </w:rPr>
            </w:pPr>
          </w:p>
        </w:tc>
        <w:tc>
          <w:tcPr>
            <w:tcW w:w="596" w:type="dxa"/>
            <w:vAlign w:val="center"/>
          </w:tcPr>
          <w:p>
            <w:pPr>
              <w:ind w:firstLine="480"/>
              <w:jc w:val="center"/>
              <w:rPr>
                <w:rFonts w:ascii="宋体" w:hAnsi="宋体"/>
                <w:color w:val="auto"/>
                <w:highlight w:val="none"/>
              </w:rPr>
            </w:pPr>
          </w:p>
        </w:tc>
        <w:tc>
          <w:tcPr>
            <w:tcW w:w="1260" w:type="dxa"/>
            <w:vAlign w:val="center"/>
          </w:tcPr>
          <w:p>
            <w:pPr>
              <w:ind w:firstLine="480"/>
              <w:jc w:val="center"/>
              <w:rPr>
                <w:rFonts w:ascii="宋体" w:hAnsi="宋体"/>
                <w:color w:val="auto"/>
                <w:highlight w:val="none"/>
              </w:rPr>
            </w:pPr>
          </w:p>
        </w:tc>
        <w:tc>
          <w:tcPr>
            <w:tcW w:w="1260" w:type="dxa"/>
            <w:vAlign w:val="center"/>
          </w:tcPr>
          <w:p>
            <w:pPr>
              <w:ind w:firstLine="480"/>
              <w:jc w:val="center"/>
              <w:rPr>
                <w:rFonts w:ascii="宋体" w:hAnsi="宋体"/>
                <w:color w:val="auto"/>
                <w:highlight w:val="none"/>
              </w:rPr>
            </w:pPr>
          </w:p>
        </w:tc>
        <w:tc>
          <w:tcPr>
            <w:tcW w:w="3348" w:type="dxa"/>
            <w:vAlign w:val="center"/>
          </w:tcPr>
          <w:p>
            <w:pPr>
              <w:ind w:right="54" w:firstLine="480"/>
              <w:jc w:val="center"/>
              <w:rPr>
                <w:rFonts w:ascii="宋体" w:hAnsi="宋体"/>
                <w:color w:val="auto"/>
                <w:highlight w:val="none"/>
              </w:rPr>
            </w:pPr>
          </w:p>
        </w:tc>
        <w:tc>
          <w:tcPr>
            <w:tcW w:w="1080" w:type="dxa"/>
            <w:vAlign w:val="center"/>
          </w:tcPr>
          <w:p>
            <w:pPr>
              <w:ind w:right="54" w:firstLine="480"/>
              <w:jc w:val="center"/>
              <w:rPr>
                <w:rFonts w:ascii="宋体" w:hAnsi="宋体"/>
                <w:color w:val="auto"/>
                <w:highlight w:val="none"/>
              </w:rPr>
            </w:pPr>
          </w:p>
        </w:tc>
        <w:tc>
          <w:tcPr>
            <w:tcW w:w="1080" w:type="dxa"/>
            <w:vAlign w:val="center"/>
          </w:tcPr>
          <w:p>
            <w:pPr>
              <w:ind w:right="54" w:firstLine="48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ind w:firstLine="480"/>
              <w:jc w:val="center"/>
              <w:rPr>
                <w:rFonts w:ascii="宋体" w:hAnsi="宋体"/>
                <w:color w:val="auto"/>
                <w:highlight w:val="none"/>
              </w:rPr>
            </w:pPr>
          </w:p>
        </w:tc>
        <w:tc>
          <w:tcPr>
            <w:tcW w:w="596" w:type="dxa"/>
            <w:vAlign w:val="center"/>
          </w:tcPr>
          <w:p>
            <w:pPr>
              <w:ind w:firstLine="480"/>
              <w:jc w:val="center"/>
              <w:rPr>
                <w:rFonts w:ascii="宋体" w:hAnsi="宋体"/>
                <w:color w:val="auto"/>
                <w:highlight w:val="none"/>
              </w:rPr>
            </w:pPr>
          </w:p>
        </w:tc>
        <w:tc>
          <w:tcPr>
            <w:tcW w:w="1260" w:type="dxa"/>
            <w:vAlign w:val="center"/>
          </w:tcPr>
          <w:p>
            <w:pPr>
              <w:ind w:firstLine="480"/>
              <w:jc w:val="center"/>
              <w:rPr>
                <w:rFonts w:ascii="宋体" w:hAnsi="宋体"/>
                <w:color w:val="auto"/>
                <w:highlight w:val="none"/>
              </w:rPr>
            </w:pPr>
          </w:p>
        </w:tc>
        <w:tc>
          <w:tcPr>
            <w:tcW w:w="1260" w:type="dxa"/>
            <w:vAlign w:val="center"/>
          </w:tcPr>
          <w:p>
            <w:pPr>
              <w:ind w:firstLine="480"/>
              <w:jc w:val="center"/>
              <w:rPr>
                <w:rFonts w:ascii="宋体" w:hAnsi="宋体"/>
                <w:color w:val="auto"/>
                <w:highlight w:val="none"/>
              </w:rPr>
            </w:pPr>
          </w:p>
        </w:tc>
        <w:tc>
          <w:tcPr>
            <w:tcW w:w="3348" w:type="dxa"/>
            <w:vAlign w:val="center"/>
          </w:tcPr>
          <w:p>
            <w:pPr>
              <w:ind w:right="54" w:firstLine="480"/>
              <w:jc w:val="center"/>
              <w:rPr>
                <w:rFonts w:ascii="宋体" w:hAnsi="宋体"/>
                <w:color w:val="auto"/>
                <w:highlight w:val="none"/>
              </w:rPr>
            </w:pPr>
          </w:p>
        </w:tc>
        <w:tc>
          <w:tcPr>
            <w:tcW w:w="1080" w:type="dxa"/>
            <w:vAlign w:val="center"/>
          </w:tcPr>
          <w:p>
            <w:pPr>
              <w:ind w:right="54" w:firstLine="480"/>
              <w:jc w:val="center"/>
              <w:rPr>
                <w:rFonts w:ascii="宋体" w:hAnsi="宋体"/>
                <w:color w:val="auto"/>
                <w:highlight w:val="none"/>
              </w:rPr>
            </w:pPr>
          </w:p>
        </w:tc>
        <w:tc>
          <w:tcPr>
            <w:tcW w:w="1080" w:type="dxa"/>
            <w:vAlign w:val="center"/>
          </w:tcPr>
          <w:p>
            <w:pPr>
              <w:ind w:right="54" w:firstLine="48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ind w:firstLine="480"/>
              <w:jc w:val="center"/>
              <w:rPr>
                <w:rFonts w:ascii="宋体" w:hAnsi="宋体"/>
                <w:color w:val="auto"/>
                <w:highlight w:val="none"/>
              </w:rPr>
            </w:pPr>
          </w:p>
        </w:tc>
        <w:tc>
          <w:tcPr>
            <w:tcW w:w="596" w:type="dxa"/>
            <w:vAlign w:val="center"/>
          </w:tcPr>
          <w:p>
            <w:pPr>
              <w:ind w:firstLine="480"/>
              <w:jc w:val="center"/>
              <w:rPr>
                <w:rFonts w:ascii="宋体" w:hAnsi="宋体"/>
                <w:color w:val="auto"/>
                <w:highlight w:val="none"/>
              </w:rPr>
            </w:pPr>
          </w:p>
        </w:tc>
        <w:tc>
          <w:tcPr>
            <w:tcW w:w="1260" w:type="dxa"/>
            <w:vAlign w:val="center"/>
          </w:tcPr>
          <w:p>
            <w:pPr>
              <w:ind w:firstLine="480"/>
              <w:jc w:val="center"/>
              <w:rPr>
                <w:rFonts w:ascii="宋体" w:hAnsi="宋体"/>
                <w:color w:val="auto"/>
                <w:highlight w:val="none"/>
              </w:rPr>
            </w:pPr>
          </w:p>
        </w:tc>
        <w:tc>
          <w:tcPr>
            <w:tcW w:w="1260" w:type="dxa"/>
            <w:vAlign w:val="center"/>
          </w:tcPr>
          <w:p>
            <w:pPr>
              <w:ind w:firstLine="480"/>
              <w:jc w:val="center"/>
              <w:rPr>
                <w:rFonts w:ascii="宋体" w:hAnsi="宋体"/>
                <w:color w:val="auto"/>
                <w:highlight w:val="none"/>
              </w:rPr>
            </w:pPr>
          </w:p>
        </w:tc>
        <w:tc>
          <w:tcPr>
            <w:tcW w:w="3348" w:type="dxa"/>
            <w:vAlign w:val="center"/>
          </w:tcPr>
          <w:p>
            <w:pPr>
              <w:ind w:right="54" w:firstLine="480"/>
              <w:jc w:val="center"/>
              <w:rPr>
                <w:rFonts w:ascii="宋体" w:hAnsi="宋体"/>
                <w:color w:val="auto"/>
                <w:highlight w:val="none"/>
              </w:rPr>
            </w:pPr>
          </w:p>
        </w:tc>
        <w:tc>
          <w:tcPr>
            <w:tcW w:w="1080" w:type="dxa"/>
            <w:vAlign w:val="center"/>
          </w:tcPr>
          <w:p>
            <w:pPr>
              <w:ind w:right="54" w:firstLine="480"/>
              <w:jc w:val="center"/>
              <w:rPr>
                <w:rFonts w:ascii="宋体" w:hAnsi="宋体"/>
                <w:color w:val="auto"/>
                <w:highlight w:val="none"/>
              </w:rPr>
            </w:pPr>
          </w:p>
        </w:tc>
        <w:tc>
          <w:tcPr>
            <w:tcW w:w="1080" w:type="dxa"/>
            <w:vAlign w:val="center"/>
          </w:tcPr>
          <w:p>
            <w:pPr>
              <w:ind w:right="54" w:firstLine="48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ind w:firstLine="480"/>
              <w:jc w:val="center"/>
              <w:rPr>
                <w:rFonts w:ascii="宋体" w:hAnsi="宋体"/>
                <w:color w:val="auto"/>
                <w:highlight w:val="none"/>
              </w:rPr>
            </w:pPr>
          </w:p>
        </w:tc>
        <w:tc>
          <w:tcPr>
            <w:tcW w:w="596" w:type="dxa"/>
            <w:vAlign w:val="center"/>
          </w:tcPr>
          <w:p>
            <w:pPr>
              <w:ind w:firstLine="480"/>
              <w:jc w:val="center"/>
              <w:rPr>
                <w:rFonts w:ascii="宋体" w:hAnsi="宋体"/>
                <w:color w:val="auto"/>
                <w:highlight w:val="none"/>
              </w:rPr>
            </w:pPr>
          </w:p>
        </w:tc>
        <w:tc>
          <w:tcPr>
            <w:tcW w:w="1260" w:type="dxa"/>
            <w:vAlign w:val="center"/>
          </w:tcPr>
          <w:p>
            <w:pPr>
              <w:ind w:firstLine="480"/>
              <w:jc w:val="center"/>
              <w:rPr>
                <w:rFonts w:ascii="宋体" w:hAnsi="宋体"/>
                <w:color w:val="auto"/>
                <w:highlight w:val="none"/>
              </w:rPr>
            </w:pPr>
          </w:p>
        </w:tc>
        <w:tc>
          <w:tcPr>
            <w:tcW w:w="1260" w:type="dxa"/>
            <w:vAlign w:val="center"/>
          </w:tcPr>
          <w:p>
            <w:pPr>
              <w:ind w:firstLine="480"/>
              <w:jc w:val="center"/>
              <w:rPr>
                <w:rFonts w:ascii="宋体" w:hAnsi="宋体"/>
                <w:color w:val="auto"/>
                <w:highlight w:val="none"/>
              </w:rPr>
            </w:pPr>
          </w:p>
        </w:tc>
        <w:tc>
          <w:tcPr>
            <w:tcW w:w="3348" w:type="dxa"/>
            <w:vAlign w:val="center"/>
          </w:tcPr>
          <w:p>
            <w:pPr>
              <w:ind w:right="54" w:firstLine="480"/>
              <w:jc w:val="center"/>
              <w:rPr>
                <w:rFonts w:ascii="宋体" w:hAnsi="宋体"/>
                <w:color w:val="auto"/>
                <w:highlight w:val="none"/>
              </w:rPr>
            </w:pPr>
          </w:p>
        </w:tc>
        <w:tc>
          <w:tcPr>
            <w:tcW w:w="1080" w:type="dxa"/>
            <w:vAlign w:val="center"/>
          </w:tcPr>
          <w:p>
            <w:pPr>
              <w:ind w:right="54" w:firstLine="480"/>
              <w:jc w:val="center"/>
              <w:rPr>
                <w:rFonts w:ascii="宋体" w:hAnsi="宋体"/>
                <w:color w:val="auto"/>
                <w:highlight w:val="none"/>
              </w:rPr>
            </w:pPr>
          </w:p>
        </w:tc>
        <w:tc>
          <w:tcPr>
            <w:tcW w:w="1080" w:type="dxa"/>
            <w:vAlign w:val="center"/>
          </w:tcPr>
          <w:p>
            <w:pPr>
              <w:ind w:right="54" w:firstLine="480"/>
              <w:jc w:val="center"/>
              <w:rPr>
                <w:rFonts w:ascii="宋体" w:hAnsi="宋体"/>
                <w:color w:val="auto"/>
                <w:highlight w:val="none"/>
              </w:rPr>
            </w:pPr>
          </w:p>
        </w:tc>
      </w:tr>
    </w:tbl>
    <w:p>
      <w:pPr>
        <w:pStyle w:val="29"/>
        <w:tabs>
          <w:tab w:val="left" w:pos="4312"/>
        </w:tabs>
        <w:spacing w:before="120" w:after="120" w:line="360" w:lineRule="auto"/>
        <w:ind w:firstLine="480"/>
        <w:rPr>
          <w:rFonts w:ascii="Times New Roman" w:hAnsi="Times New Roman"/>
          <w:color w:val="auto"/>
          <w:highlight w:val="none"/>
        </w:rPr>
      </w:pPr>
    </w:p>
    <w:p>
      <w:pPr>
        <w:pStyle w:val="29"/>
        <w:tabs>
          <w:tab w:val="left" w:pos="4312"/>
        </w:tabs>
        <w:spacing w:before="120" w:after="120" w:line="360" w:lineRule="auto"/>
        <w:ind w:firstLine="480"/>
        <w:rPr>
          <w:rFonts w:ascii="Times New Roman" w:hAnsi="Times New Roman"/>
          <w:color w:val="auto"/>
          <w:highlight w:val="none"/>
        </w:rPr>
      </w:pPr>
      <w:r>
        <w:rPr>
          <w:rFonts w:hint="eastAsia" w:ascii="Times New Roman" w:hAnsi="Times New Roman"/>
          <w:color w:val="auto"/>
          <w:highlight w:val="none"/>
        </w:rPr>
        <w:t>投标单位（公章）：</w:t>
      </w:r>
    </w:p>
    <w:p>
      <w:pPr>
        <w:pStyle w:val="29"/>
        <w:tabs>
          <w:tab w:val="left" w:pos="4312"/>
        </w:tabs>
        <w:spacing w:before="120" w:after="120" w:line="360" w:lineRule="auto"/>
        <w:ind w:firstLine="360" w:firstLineChars="150"/>
        <w:rPr>
          <w:rFonts w:ascii="Times New Roman" w:hAnsi="Times New Roman"/>
          <w:color w:val="auto"/>
          <w:highlight w:val="none"/>
        </w:rPr>
      </w:pPr>
      <w:r>
        <w:rPr>
          <w:rFonts w:hint="eastAsia" w:ascii="Times New Roman" w:hAnsi="Times New Roman"/>
          <w:color w:val="auto"/>
          <w:highlight w:val="none"/>
        </w:rPr>
        <w:t>日期：</w:t>
      </w: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r>
        <w:rPr>
          <w:rFonts w:hint="eastAsia"/>
          <w:color w:val="auto"/>
          <w:highlight w:val="none"/>
        </w:rPr>
        <w:t>注：此表在不改变投标内容的情况下可自行制作</w:t>
      </w:r>
    </w:p>
    <w:p>
      <w:pPr>
        <w:ind w:firstLine="480"/>
        <w:rPr>
          <w:color w:val="auto"/>
          <w:highlight w:val="none"/>
        </w:rPr>
      </w:pPr>
    </w:p>
    <w:p>
      <w:pPr>
        <w:snapToGrid w:val="0"/>
        <w:spacing w:before="50" w:after="120" w:afterLines="50"/>
        <w:ind w:firstLine="482"/>
        <w:rPr>
          <w:rFonts w:ascii="宋体" w:hAnsi="宋体"/>
          <w:b/>
          <w:color w:val="auto"/>
          <w:highlight w:val="none"/>
        </w:rPr>
      </w:pPr>
    </w:p>
    <w:p>
      <w:pPr>
        <w:snapToGrid w:val="0"/>
        <w:spacing w:before="50" w:after="120" w:afterLines="50"/>
        <w:ind w:firstLine="0" w:firstLineChars="0"/>
        <w:rPr>
          <w:rFonts w:ascii="宋体" w:hAnsi="宋体"/>
          <w:b/>
          <w:color w:val="auto"/>
          <w:highlight w:val="none"/>
        </w:rPr>
      </w:pPr>
    </w:p>
    <w:p>
      <w:pPr>
        <w:snapToGrid w:val="0"/>
        <w:spacing w:before="50" w:after="120" w:afterLines="50"/>
        <w:ind w:firstLine="482"/>
        <w:rPr>
          <w:rFonts w:ascii="宋体" w:hAnsi="宋体"/>
          <w:b/>
          <w:color w:val="auto"/>
          <w:highlight w:val="none"/>
        </w:rPr>
      </w:pPr>
      <w:r>
        <w:rPr>
          <w:rFonts w:hint="eastAsia" w:ascii="宋体" w:hAnsi="宋体"/>
          <w:b/>
          <w:color w:val="auto"/>
          <w:highlight w:val="none"/>
        </w:rPr>
        <w:t>附件9：技术偏离表格式：</w:t>
      </w:r>
    </w:p>
    <w:p>
      <w:pPr>
        <w:snapToGrid w:val="0"/>
        <w:spacing w:before="50" w:after="120" w:afterLines="50"/>
        <w:ind w:firstLine="643"/>
        <w:jc w:val="center"/>
        <w:rPr>
          <w:rFonts w:ascii="宋体" w:hAnsi="宋体"/>
          <w:b/>
          <w:color w:val="auto"/>
          <w:szCs w:val="20"/>
          <w:highlight w:val="none"/>
        </w:rPr>
      </w:pPr>
      <w:r>
        <w:rPr>
          <w:rFonts w:hint="eastAsia" w:ascii="宋体" w:hAnsi="宋体"/>
          <w:b/>
          <w:color w:val="auto"/>
          <w:sz w:val="32"/>
          <w:szCs w:val="32"/>
          <w:highlight w:val="none"/>
        </w:rPr>
        <w:t>技术偏离表</w:t>
      </w:r>
    </w:p>
    <w:tbl>
      <w:tblPr>
        <w:tblStyle w:val="46"/>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vAlign w:val="center"/>
          </w:tcPr>
          <w:p>
            <w:pPr>
              <w:ind w:firstLine="0" w:firstLineChars="0"/>
              <w:rPr>
                <w:rFonts w:ascii="宋体" w:hAnsi="宋体"/>
                <w:color w:val="auto"/>
                <w:highlight w:val="none"/>
              </w:rPr>
            </w:pPr>
            <w:r>
              <w:rPr>
                <w:rFonts w:ascii="宋体" w:hAnsi="宋体"/>
                <w:color w:val="auto"/>
                <w:highlight w:val="none"/>
              </w:rPr>
              <w:t>序号</w:t>
            </w:r>
          </w:p>
        </w:tc>
        <w:tc>
          <w:tcPr>
            <w:tcW w:w="1855" w:type="dxa"/>
            <w:tcBorders>
              <w:bottom w:val="single" w:color="auto" w:sz="4" w:space="0"/>
            </w:tcBorders>
            <w:vAlign w:val="center"/>
          </w:tcPr>
          <w:p>
            <w:pPr>
              <w:ind w:firstLine="480"/>
              <w:rPr>
                <w:rFonts w:ascii="宋体" w:hAnsi="宋体"/>
                <w:color w:val="auto"/>
                <w:highlight w:val="none"/>
              </w:rPr>
            </w:pPr>
            <w:r>
              <w:rPr>
                <w:rFonts w:ascii="宋体" w:hAnsi="宋体"/>
                <w:color w:val="auto"/>
                <w:highlight w:val="none"/>
              </w:rPr>
              <w:t>内容</w:t>
            </w:r>
          </w:p>
        </w:tc>
        <w:tc>
          <w:tcPr>
            <w:tcW w:w="1957" w:type="dxa"/>
            <w:tcBorders>
              <w:bottom w:val="single" w:color="auto" w:sz="4" w:space="0"/>
            </w:tcBorders>
            <w:vAlign w:val="center"/>
          </w:tcPr>
          <w:p>
            <w:pPr>
              <w:ind w:firstLine="480"/>
              <w:rPr>
                <w:rFonts w:ascii="宋体" w:hAnsi="宋体"/>
                <w:color w:val="auto"/>
                <w:highlight w:val="none"/>
              </w:rPr>
            </w:pPr>
            <w:r>
              <w:rPr>
                <w:rFonts w:ascii="宋体" w:hAnsi="宋体"/>
                <w:color w:val="auto"/>
                <w:highlight w:val="none"/>
              </w:rPr>
              <w:t>招标文件</w:t>
            </w:r>
          </w:p>
          <w:p>
            <w:pPr>
              <w:ind w:firstLine="480"/>
              <w:rPr>
                <w:rFonts w:ascii="宋体" w:hAnsi="宋体"/>
                <w:color w:val="auto"/>
                <w:highlight w:val="none"/>
              </w:rPr>
            </w:pPr>
            <w:r>
              <w:rPr>
                <w:rFonts w:ascii="宋体" w:hAnsi="宋体"/>
                <w:color w:val="auto"/>
                <w:highlight w:val="none"/>
              </w:rPr>
              <w:t>规范要求</w:t>
            </w:r>
          </w:p>
        </w:tc>
        <w:tc>
          <w:tcPr>
            <w:tcW w:w="1620" w:type="dxa"/>
            <w:tcBorders>
              <w:bottom w:val="single" w:color="auto" w:sz="4" w:space="0"/>
            </w:tcBorders>
            <w:vAlign w:val="center"/>
          </w:tcPr>
          <w:p>
            <w:pPr>
              <w:ind w:firstLine="480"/>
              <w:rPr>
                <w:rFonts w:ascii="宋体" w:hAnsi="宋体"/>
                <w:color w:val="auto"/>
                <w:highlight w:val="none"/>
              </w:rPr>
            </w:pPr>
            <w:r>
              <w:rPr>
                <w:rFonts w:ascii="宋体" w:hAnsi="宋体"/>
                <w:color w:val="auto"/>
                <w:highlight w:val="none"/>
              </w:rPr>
              <w:t>投标文件对应规范</w:t>
            </w:r>
          </w:p>
        </w:tc>
        <w:tc>
          <w:tcPr>
            <w:tcW w:w="2328" w:type="dxa"/>
            <w:tcBorders>
              <w:bottom w:val="single" w:color="auto" w:sz="4" w:space="0"/>
            </w:tcBorders>
            <w:vAlign w:val="center"/>
          </w:tcPr>
          <w:p>
            <w:pPr>
              <w:ind w:firstLine="480"/>
              <w:rPr>
                <w:rFonts w:ascii="宋体" w:hAnsi="宋体"/>
                <w:color w:val="auto"/>
                <w:highlight w:val="none"/>
              </w:rPr>
            </w:pPr>
            <w:r>
              <w:rPr>
                <w:rFonts w:hint="eastAsia" w:ascii="宋体" w:hAnsi="宋体"/>
                <w:color w:val="auto"/>
                <w:highlight w:val="none"/>
              </w:rPr>
              <w:t>偏离情况</w:t>
            </w:r>
          </w:p>
          <w:p>
            <w:pPr>
              <w:ind w:firstLine="480"/>
              <w:rPr>
                <w:rFonts w:ascii="宋体" w:hAnsi="宋体"/>
                <w:color w:val="auto"/>
                <w:highlight w:val="none"/>
              </w:rPr>
            </w:pPr>
            <w:r>
              <w:rPr>
                <w:rFonts w:hint="eastAsia" w:ascii="宋体" w:hAnsi="宋体"/>
                <w:color w:val="auto"/>
                <w:highlight w:val="none"/>
              </w:rPr>
              <w:t>（注明正偏离、负偏离或无偏离）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878" w:type="dxa"/>
          </w:tcPr>
          <w:p>
            <w:pPr>
              <w:ind w:firstLine="480"/>
              <w:jc w:val="center"/>
              <w:rPr>
                <w:rFonts w:ascii="宋体" w:hAnsi="宋体"/>
                <w:color w:val="auto"/>
                <w:highlight w:val="none"/>
              </w:rPr>
            </w:pPr>
          </w:p>
        </w:tc>
        <w:tc>
          <w:tcPr>
            <w:tcW w:w="1855" w:type="dxa"/>
          </w:tcPr>
          <w:p>
            <w:pPr>
              <w:ind w:firstLine="480"/>
              <w:rPr>
                <w:rFonts w:ascii="宋体" w:hAnsi="宋体"/>
                <w:color w:val="auto"/>
                <w:highlight w:val="none"/>
              </w:rPr>
            </w:pPr>
          </w:p>
        </w:tc>
        <w:tc>
          <w:tcPr>
            <w:tcW w:w="1957" w:type="dxa"/>
          </w:tcPr>
          <w:p>
            <w:pPr>
              <w:ind w:firstLine="480"/>
              <w:rPr>
                <w:rFonts w:ascii="宋体" w:hAnsi="宋体"/>
                <w:color w:val="auto"/>
                <w:highlight w:val="none"/>
              </w:rPr>
            </w:pPr>
          </w:p>
        </w:tc>
        <w:tc>
          <w:tcPr>
            <w:tcW w:w="1620" w:type="dxa"/>
          </w:tcPr>
          <w:p>
            <w:pPr>
              <w:ind w:firstLine="480"/>
              <w:rPr>
                <w:rFonts w:ascii="宋体" w:hAnsi="宋体"/>
                <w:color w:val="auto"/>
                <w:highlight w:val="none"/>
              </w:rPr>
            </w:pPr>
          </w:p>
        </w:tc>
        <w:tc>
          <w:tcPr>
            <w:tcW w:w="2328" w:type="dxa"/>
          </w:tcPr>
          <w:p>
            <w:pPr>
              <w:ind w:firstLine="48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78" w:type="dxa"/>
          </w:tcPr>
          <w:p>
            <w:pPr>
              <w:ind w:firstLine="480"/>
              <w:rPr>
                <w:rFonts w:ascii="宋体" w:hAnsi="宋体"/>
                <w:color w:val="auto"/>
                <w:highlight w:val="none"/>
              </w:rPr>
            </w:pPr>
          </w:p>
        </w:tc>
        <w:tc>
          <w:tcPr>
            <w:tcW w:w="1855" w:type="dxa"/>
          </w:tcPr>
          <w:p>
            <w:pPr>
              <w:ind w:firstLine="480"/>
              <w:rPr>
                <w:rFonts w:ascii="宋体" w:hAnsi="宋体"/>
                <w:color w:val="auto"/>
                <w:highlight w:val="none"/>
              </w:rPr>
            </w:pPr>
          </w:p>
        </w:tc>
        <w:tc>
          <w:tcPr>
            <w:tcW w:w="1957" w:type="dxa"/>
          </w:tcPr>
          <w:p>
            <w:pPr>
              <w:ind w:firstLine="480"/>
              <w:rPr>
                <w:rFonts w:ascii="宋体" w:hAnsi="宋体"/>
                <w:color w:val="auto"/>
                <w:highlight w:val="none"/>
              </w:rPr>
            </w:pPr>
          </w:p>
        </w:tc>
        <w:tc>
          <w:tcPr>
            <w:tcW w:w="1620" w:type="dxa"/>
          </w:tcPr>
          <w:p>
            <w:pPr>
              <w:ind w:firstLine="480"/>
              <w:rPr>
                <w:rFonts w:ascii="宋体" w:hAnsi="宋体"/>
                <w:color w:val="auto"/>
                <w:highlight w:val="none"/>
              </w:rPr>
            </w:pPr>
          </w:p>
        </w:tc>
        <w:tc>
          <w:tcPr>
            <w:tcW w:w="2328" w:type="dxa"/>
          </w:tcPr>
          <w:p>
            <w:pPr>
              <w:ind w:firstLine="48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878" w:type="dxa"/>
          </w:tcPr>
          <w:p>
            <w:pPr>
              <w:ind w:firstLine="480"/>
              <w:rPr>
                <w:rFonts w:ascii="宋体" w:hAnsi="宋体"/>
                <w:color w:val="auto"/>
                <w:highlight w:val="none"/>
              </w:rPr>
            </w:pPr>
          </w:p>
        </w:tc>
        <w:tc>
          <w:tcPr>
            <w:tcW w:w="1855" w:type="dxa"/>
          </w:tcPr>
          <w:p>
            <w:pPr>
              <w:ind w:firstLine="480"/>
              <w:rPr>
                <w:rFonts w:ascii="宋体" w:hAnsi="宋体"/>
                <w:color w:val="auto"/>
                <w:highlight w:val="none"/>
              </w:rPr>
            </w:pPr>
          </w:p>
        </w:tc>
        <w:tc>
          <w:tcPr>
            <w:tcW w:w="1957" w:type="dxa"/>
          </w:tcPr>
          <w:p>
            <w:pPr>
              <w:ind w:firstLine="480"/>
              <w:rPr>
                <w:rFonts w:ascii="宋体" w:hAnsi="宋体"/>
                <w:color w:val="auto"/>
                <w:highlight w:val="none"/>
              </w:rPr>
            </w:pPr>
          </w:p>
        </w:tc>
        <w:tc>
          <w:tcPr>
            <w:tcW w:w="1620" w:type="dxa"/>
          </w:tcPr>
          <w:p>
            <w:pPr>
              <w:ind w:firstLine="480"/>
              <w:rPr>
                <w:rFonts w:ascii="宋体" w:hAnsi="宋体"/>
                <w:color w:val="auto"/>
                <w:highlight w:val="none"/>
              </w:rPr>
            </w:pPr>
          </w:p>
        </w:tc>
        <w:tc>
          <w:tcPr>
            <w:tcW w:w="2328" w:type="dxa"/>
          </w:tcPr>
          <w:p>
            <w:pPr>
              <w:ind w:firstLine="48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878" w:type="dxa"/>
          </w:tcPr>
          <w:p>
            <w:pPr>
              <w:ind w:firstLine="480"/>
              <w:rPr>
                <w:rFonts w:ascii="宋体" w:hAnsi="宋体"/>
                <w:color w:val="auto"/>
                <w:highlight w:val="none"/>
              </w:rPr>
            </w:pPr>
          </w:p>
        </w:tc>
        <w:tc>
          <w:tcPr>
            <w:tcW w:w="1855" w:type="dxa"/>
          </w:tcPr>
          <w:p>
            <w:pPr>
              <w:ind w:firstLine="480"/>
              <w:rPr>
                <w:rFonts w:ascii="宋体" w:hAnsi="宋体"/>
                <w:color w:val="auto"/>
                <w:highlight w:val="none"/>
              </w:rPr>
            </w:pPr>
          </w:p>
        </w:tc>
        <w:tc>
          <w:tcPr>
            <w:tcW w:w="1957" w:type="dxa"/>
          </w:tcPr>
          <w:p>
            <w:pPr>
              <w:ind w:firstLine="480"/>
              <w:rPr>
                <w:rFonts w:ascii="宋体" w:hAnsi="宋体"/>
                <w:color w:val="auto"/>
                <w:highlight w:val="none"/>
              </w:rPr>
            </w:pPr>
          </w:p>
        </w:tc>
        <w:tc>
          <w:tcPr>
            <w:tcW w:w="1620" w:type="dxa"/>
          </w:tcPr>
          <w:p>
            <w:pPr>
              <w:ind w:firstLine="480"/>
              <w:rPr>
                <w:rFonts w:ascii="宋体" w:hAnsi="宋体"/>
                <w:color w:val="auto"/>
                <w:highlight w:val="none"/>
              </w:rPr>
            </w:pPr>
          </w:p>
        </w:tc>
        <w:tc>
          <w:tcPr>
            <w:tcW w:w="2328" w:type="dxa"/>
          </w:tcPr>
          <w:p>
            <w:pPr>
              <w:ind w:firstLine="48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78" w:type="dxa"/>
          </w:tcPr>
          <w:p>
            <w:pPr>
              <w:ind w:firstLine="480"/>
              <w:rPr>
                <w:rFonts w:ascii="宋体" w:hAnsi="宋体"/>
                <w:color w:val="auto"/>
                <w:highlight w:val="none"/>
              </w:rPr>
            </w:pPr>
          </w:p>
        </w:tc>
        <w:tc>
          <w:tcPr>
            <w:tcW w:w="1855" w:type="dxa"/>
          </w:tcPr>
          <w:p>
            <w:pPr>
              <w:ind w:firstLine="480"/>
              <w:rPr>
                <w:rFonts w:ascii="宋体" w:hAnsi="宋体"/>
                <w:color w:val="auto"/>
                <w:highlight w:val="none"/>
              </w:rPr>
            </w:pPr>
          </w:p>
        </w:tc>
        <w:tc>
          <w:tcPr>
            <w:tcW w:w="1957" w:type="dxa"/>
          </w:tcPr>
          <w:p>
            <w:pPr>
              <w:ind w:firstLine="480"/>
              <w:rPr>
                <w:rFonts w:ascii="宋体" w:hAnsi="宋体"/>
                <w:color w:val="auto"/>
                <w:highlight w:val="none"/>
              </w:rPr>
            </w:pPr>
          </w:p>
        </w:tc>
        <w:tc>
          <w:tcPr>
            <w:tcW w:w="1620" w:type="dxa"/>
          </w:tcPr>
          <w:p>
            <w:pPr>
              <w:ind w:firstLine="480"/>
              <w:rPr>
                <w:rFonts w:ascii="宋体" w:hAnsi="宋体"/>
                <w:color w:val="auto"/>
                <w:highlight w:val="none"/>
              </w:rPr>
            </w:pPr>
          </w:p>
        </w:tc>
        <w:tc>
          <w:tcPr>
            <w:tcW w:w="2328" w:type="dxa"/>
          </w:tcPr>
          <w:p>
            <w:pPr>
              <w:ind w:firstLine="48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78" w:type="dxa"/>
          </w:tcPr>
          <w:p>
            <w:pPr>
              <w:ind w:firstLine="480"/>
              <w:rPr>
                <w:rFonts w:ascii="宋体" w:hAnsi="宋体"/>
                <w:color w:val="auto"/>
                <w:highlight w:val="none"/>
              </w:rPr>
            </w:pPr>
          </w:p>
        </w:tc>
        <w:tc>
          <w:tcPr>
            <w:tcW w:w="1855" w:type="dxa"/>
          </w:tcPr>
          <w:p>
            <w:pPr>
              <w:ind w:firstLine="480"/>
              <w:rPr>
                <w:rFonts w:ascii="宋体" w:hAnsi="宋体"/>
                <w:color w:val="auto"/>
                <w:highlight w:val="none"/>
              </w:rPr>
            </w:pPr>
          </w:p>
        </w:tc>
        <w:tc>
          <w:tcPr>
            <w:tcW w:w="1957" w:type="dxa"/>
          </w:tcPr>
          <w:p>
            <w:pPr>
              <w:ind w:firstLine="480"/>
              <w:rPr>
                <w:rFonts w:ascii="宋体" w:hAnsi="宋体"/>
                <w:color w:val="auto"/>
                <w:highlight w:val="none"/>
              </w:rPr>
            </w:pPr>
          </w:p>
        </w:tc>
        <w:tc>
          <w:tcPr>
            <w:tcW w:w="1620" w:type="dxa"/>
          </w:tcPr>
          <w:p>
            <w:pPr>
              <w:ind w:firstLine="480"/>
              <w:rPr>
                <w:rFonts w:ascii="宋体" w:hAnsi="宋体"/>
                <w:color w:val="auto"/>
                <w:highlight w:val="none"/>
              </w:rPr>
            </w:pPr>
          </w:p>
        </w:tc>
        <w:tc>
          <w:tcPr>
            <w:tcW w:w="2328" w:type="dxa"/>
          </w:tcPr>
          <w:p>
            <w:pPr>
              <w:ind w:firstLine="48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78" w:type="dxa"/>
          </w:tcPr>
          <w:p>
            <w:pPr>
              <w:ind w:firstLine="480"/>
              <w:rPr>
                <w:rFonts w:ascii="宋体" w:hAnsi="宋体"/>
                <w:color w:val="auto"/>
                <w:highlight w:val="none"/>
              </w:rPr>
            </w:pPr>
          </w:p>
        </w:tc>
        <w:tc>
          <w:tcPr>
            <w:tcW w:w="1855" w:type="dxa"/>
          </w:tcPr>
          <w:p>
            <w:pPr>
              <w:ind w:firstLine="480"/>
              <w:rPr>
                <w:rFonts w:ascii="宋体" w:hAnsi="宋体"/>
                <w:color w:val="auto"/>
                <w:highlight w:val="none"/>
              </w:rPr>
            </w:pPr>
          </w:p>
        </w:tc>
        <w:tc>
          <w:tcPr>
            <w:tcW w:w="1957" w:type="dxa"/>
          </w:tcPr>
          <w:p>
            <w:pPr>
              <w:ind w:firstLine="480"/>
              <w:rPr>
                <w:rFonts w:ascii="宋体" w:hAnsi="宋体"/>
                <w:color w:val="auto"/>
                <w:highlight w:val="none"/>
              </w:rPr>
            </w:pPr>
          </w:p>
        </w:tc>
        <w:tc>
          <w:tcPr>
            <w:tcW w:w="1620" w:type="dxa"/>
          </w:tcPr>
          <w:p>
            <w:pPr>
              <w:ind w:firstLine="480"/>
              <w:rPr>
                <w:rFonts w:ascii="宋体" w:hAnsi="宋体"/>
                <w:color w:val="auto"/>
                <w:highlight w:val="none"/>
              </w:rPr>
            </w:pPr>
          </w:p>
        </w:tc>
        <w:tc>
          <w:tcPr>
            <w:tcW w:w="2328" w:type="dxa"/>
          </w:tcPr>
          <w:p>
            <w:pPr>
              <w:ind w:firstLine="48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878" w:type="dxa"/>
          </w:tcPr>
          <w:p>
            <w:pPr>
              <w:ind w:firstLine="480"/>
              <w:rPr>
                <w:rFonts w:ascii="宋体" w:hAnsi="宋体"/>
                <w:color w:val="auto"/>
                <w:highlight w:val="none"/>
              </w:rPr>
            </w:pPr>
          </w:p>
        </w:tc>
        <w:tc>
          <w:tcPr>
            <w:tcW w:w="1855" w:type="dxa"/>
          </w:tcPr>
          <w:p>
            <w:pPr>
              <w:ind w:firstLine="480"/>
              <w:rPr>
                <w:rFonts w:ascii="宋体" w:hAnsi="宋体"/>
                <w:color w:val="auto"/>
                <w:highlight w:val="none"/>
              </w:rPr>
            </w:pPr>
          </w:p>
        </w:tc>
        <w:tc>
          <w:tcPr>
            <w:tcW w:w="1957" w:type="dxa"/>
          </w:tcPr>
          <w:p>
            <w:pPr>
              <w:ind w:firstLine="480"/>
              <w:rPr>
                <w:rFonts w:ascii="宋体" w:hAnsi="宋体"/>
                <w:color w:val="auto"/>
                <w:highlight w:val="none"/>
              </w:rPr>
            </w:pPr>
          </w:p>
        </w:tc>
        <w:tc>
          <w:tcPr>
            <w:tcW w:w="1620" w:type="dxa"/>
          </w:tcPr>
          <w:p>
            <w:pPr>
              <w:ind w:firstLine="480"/>
              <w:rPr>
                <w:rFonts w:ascii="宋体" w:hAnsi="宋体"/>
                <w:color w:val="auto"/>
                <w:highlight w:val="none"/>
              </w:rPr>
            </w:pPr>
          </w:p>
        </w:tc>
        <w:tc>
          <w:tcPr>
            <w:tcW w:w="2328" w:type="dxa"/>
          </w:tcPr>
          <w:p>
            <w:pPr>
              <w:ind w:firstLine="48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78" w:type="dxa"/>
          </w:tcPr>
          <w:p>
            <w:pPr>
              <w:ind w:firstLine="480"/>
              <w:rPr>
                <w:rFonts w:ascii="宋体" w:hAnsi="宋体"/>
                <w:color w:val="auto"/>
                <w:highlight w:val="none"/>
              </w:rPr>
            </w:pPr>
          </w:p>
        </w:tc>
        <w:tc>
          <w:tcPr>
            <w:tcW w:w="1855" w:type="dxa"/>
          </w:tcPr>
          <w:p>
            <w:pPr>
              <w:ind w:firstLine="480"/>
              <w:rPr>
                <w:rFonts w:ascii="宋体" w:hAnsi="宋体"/>
                <w:color w:val="auto"/>
                <w:highlight w:val="none"/>
              </w:rPr>
            </w:pPr>
          </w:p>
        </w:tc>
        <w:tc>
          <w:tcPr>
            <w:tcW w:w="1957" w:type="dxa"/>
          </w:tcPr>
          <w:p>
            <w:pPr>
              <w:ind w:firstLine="480"/>
              <w:rPr>
                <w:rFonts w:ascii="宋体" w:hAnsi="宋体"/>
                <w:color w:val="auto"/>
                <w:highlight w:val="none"/>
              </w:rPr>
            </w:pPr>
          </w:p>
        </w:tc>
        <w:tc>
          <w:tcPr>
            <w:tcW w:w="1620" w:type="dxa"/>
          </w:tcPr>
          <w:p>
            <w:pPr>
              <w:ind w:firstLine="480"/>
              <w:rPr>
                <w:rFonts w:ascii="宋体" w:hAnsi="宋体"/>
                <w:color w:val="auto"/>
                <w:highlight w:val="none"/>
              </w:rPr>
            </w:pPr>
          </w:p>
        </w:tc>
        <w:tc>
          <w:tcPr>
            <w:tcW w:w="2328" w:type="dxa"/>
          </w:tcPr>
          <w:p>
            <w:pPr>
              <w:ind w:firstLine="48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78" w:type="dxa"/>
          </w:tcPr>
          <w:p>
            <w:pPr>
              <w:ind w:firstLine="480"/>
              <w:rPr>
                <w:rFonts w:ascii="宋体" w:hAnsi="宋体"/>
                <w:color w:val="auto"/>
                <w:highlight w:val="none"/>
              </w:rPr>
            </w:pPr>
          </w:p>
        </w:tc>
        <w:tc>
          <w:tcPr>
            <w:tcW w:w="1855" w:type="dxa"/>
          </w:tcPr>
          <w:p>
            <w:pPr>
              <w:ind w:firstLine="480"/>
              <w:rPr>
                <w:rFonts w:ascii="宋体" w:hAnsi="宋体"/>
                <w:color w:val="auto"/>
                <w:highlight w:val="none"/>
              </w:rPr>
            </w:pPr>
          </w:p>
        </w:tc>
        <w:tc>
          <w:tcPr>
            <w:tcW w:w="1957" w:type="dxa"/>
          </w:tcPr>
          <w:p>
            <w:pPr>
              <w:ind w:firstLine="480"/>
              <w:rPr>
                <w:rFonts w:ascii="宋体" w:hAnsi="宋体"/>
                <w:color w:val="auto"/>
                <w:highlight w:val="none"/>
              </w:rPr>
            </w:pPr>
          </w:p>
        </w:tc>
        <w:tc>
          <w:tcPr>
            <w:tcW w:w="1620" w:type="dxa"/>
          </w:tcPr>
          <w:p>
            <w:pPr>
              <w:ind w:firstLine="480"/>
              <w:rPr>
                <w:rFonts w:ascii="宋体" w:hAnsi="宋体"/>
                <w:color w:val="auto"/>
                <w:highlight w:val="none"/>
              </w:rPr>
            </w:pPr>
          </w:p>
        </w:tc>
        <w:tc>
          <w:tcPr>
            <w:tcW w:w="2328" w:type="dxa"/>
          </w:tcPr>
          <w:p>
            <w:pPr>
              <w:ind w:firstLine="480"/>
              <w:rPr>
                <w:rFonts w:ascii="宋体" w:hAnsi="宋体"/>
                <w:color w:val="auto"/>
                <w:highlight w:val="none"/>
              </w:rPr>
            </w:pPr>
          </w:p>
        </w:tc>
      </w:tr>
    </w:tbl>
    <w:p>
      <w:pPr>
        <w:pStyle w:val="24"/>
        <w:ind w:firstLine="320"/>
        <w:rPr>
          <w:color w:val="auto"/>
          <w:highlight w:val="none"/>
        </w:rPr>
      </w:pPr>
      <w:r>
        <w:rPr>
          <w:color w:val="auto"/>
          <w:highlight w:val="none"/>
        </w:rPr>
        <w:t>注：投标人应根据投标设备的性能指标、对照招标文件要求在“偏离情况”栏注明“正偏离”、“负偏离”或“无偏离”。</w:t>
      </w:r>
    </w:p>
    <w:p>
      <w:pPr>
        <w:snapToGrid w:val="0"/>
        <w:spacing w:before="50" w:after="50"/>
        <w:ind w:firstLine="560"/>
        <w:rPr>
          <w:rFonts w:ascii="宋体" w:hAnsi="宋体"/>
          <w:color w:val="auto"/>
          <w:spacing w:val="20"/>
          <w:highlight w:val="none"/>
        </w:rPr>
      </w:pPr>
    </w:p>
    <w:p>
      <w:pPr>
        <w:snapToGrid w:val="0"/>
        <w:spacing w:before="50" w:after="50"/>
        <w:ind w:firstLine="560"/>
        <w:rPr>
          <w:rFonts w:ascii="宋体" w:hAnsi="宋体"/>
          <w:color w:val="auto"/>
          <w:spacing w:val="20"/>
          <w:highlight w:val="none"/>
        </w:rPr>
      </w:pPr>
      <w:r>
        <w:rPr>
          <w:rFonts w:hint="eastAsia" w:ascii="宋体" w:hAnsi="宋体"/>
          <w:color w:val="auto"/>
          <w:spacing w:val="20"/>
          <w:highlight w:val="none"/>
        </w:rPr>
        <w:t>投标人盖章：</w:t>
      </w:r>
    </w:p>
    <w:p>
      <w:pPr>
        <w:snapToGrid w:val="0"/>
        <w:spacing w:before="50" w:after="50"/>
        <w:ind w:firstLine="560"/>
        <w:rPr>
          <w:rFonts w:ascii="宋体" w:hAnsi="宋体"/>
          <w:color w:val="auto"/>
          <w:szCs w:val="20"/>
          <w:highlight w:val="none"/>
        </w:rPr>
      </w:pPr>
      <w:r>
        <w:rPr>
          <w:rFonts w:hint="eastAsia" w:ascii="宋体" w:hAnsi="宋体"/>
          <w:color w:val="auto"/>
          <w:spacing w:val="20"/>
          <w:highlight w:val="none"/>
        </w:rPr>
        <w:t>日期：</w:t>
      </w:r>
    </w:p>
    <w:p>
      <w:pPr>
        <w:snapToGrid w:val="0"/>
        <w:spacing w:before="50" w:after="120" w:afterLines="50"/>
        <w:ind w:firstLine="480"/>
        <w:rPr>
          <w:rFonts w:ascii="宋体" w:hAnsi="宋体"/>
          <w:color w:val="auto"/>
          <w:szCs w:val="20"/>
          <w:highlight w:val="none"/>
        </w:rPr>
      </w:pPr>
    </w:p>
    <w:p>
      <w:pPr>
        <w:snapToGrid w:val="0"/>
        <w:spacing w:before="50" w:after="120" w:afterLines="50"/>
        <w:ind w:firstLine="480"/>
        <w:rPr>
          <w:rFonts w:ascii="宋体" w:hAnsi="宋体"/>
          <w:color w:val="auto"/>
          <w:highlight w:val="none"/>
        </w:rPr>
      </w:pPr>
    </w:p>
    <w:p>
      <w:pPr>
        <w:ind w:firstLine="480"/>
        <w:rPr>
          <w:color w:val="auto"/>
          <w:highlight w:val="none"/>
        </w:rPr>
      </w:pPr>
    </w:p>
    <w:p>
      <w:pPr>
        <w:ind w:firstLine="480"/>
        <w:rPr>
          <w:color w:val="auto"/>
          <w:highlight w:val="none"/>
        </w:rPr>
      </w:pPr>
    </w:p>
    <w:p>
      <w:pPr>
        <w:snapToGrid w:val="0"/>
        <w:spacing w:before="50" w:after="120" w:afterLines="50"/>
        <w:ind w:firstLine="482"/>
        <w:rPr>
          <w:rFonts w:ascii="宋体" w:hAnsi="宋体"/>
          <w:b/>
          <w:color w:val="auto"/>
          <w:highlight w:val="none"/>
        </w:rPr>
      </w:pPr>
    </w:p>
    <w:p>
      <w:pPr>
        <w:snapToGrid w:val="0"/>
        <w:spacing w:before="50" w:after="120" w:afterLines="50"/>
        <w:ind w:firstLine="482"/>
        <w:rPr>
          <w:rFonts w:ascii="宋体" w:hAnsi="宋体"/>
          <w:b/>
          <w:color w:val="auto"/>
          <w:highlight w:val="none"/>
        </w:rPr>
      </w:pPr>
      <w:r>
        <w:rPr>
          <w:rFonts w:hint="eastAsia" w:ascii="宋体" w:hAnsi="宋体"/>
          <w:b/>
          <w:color w:val="auto"/>
          <w:highlight w:val="none"/>
        </w:rPr>
        <w:t>附件10：投标产品服务计划表：</w:t>
      </w:r>
    </w:p>
    <w:p>
      <w:pPr>
        <w:snapToGrid w:val="0"/>
        <w:spacing w:before="120" w:beforeLines="50" w:after="50"/>
        <w:ind w:firstLine="482"/>
        <w:jc w:val="center"/>
        <w:rPr>
          <w:rFonts w:ascii="宋体" w:hAnsi="宋体"/>
          <w:b/>
          <w:color w:val="auto"/>
          <w:highlight w:val="none"/>
        </w:rPr>
      </w:pPr>
      <w:r>
        <w:rPr>
          <w:rFonts w:hint="eastAsia" w:ascii="宋体" w:hAnsi="宋体"/>
          <w:b/>
          <w:color w:val="auto"/>
          <w:highlight w:val="none"/>
        </w:rPr>
        <w:t>投标产品服务计划表</w:t>
      </w:r>
    </w:p>
    <w:p>
      <w:pPr>
        <w:snapToGrid w:val="0"/>
        <w:spacing w:before="120" w:beforeLines="50" w:after="50"/>
        <w:ind w:firstLine="482"/>
        <w:jc w:val="center"/>
        <w:rPr>
          <w:rFonts w:ascii="宋体" w:hAnsi="宋体"/>
          <w:b/>
          <w:color w:val="auto"/>
          <w:highlight w:val="none"/>
        </w:rPr>
      </w:pPr>
    </w:p>
    <w:tbl>
      <w:tblPr>
        <w:tblStyle w:val="4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500"/>
        <w:gridCol w:w="2064"/>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pPr>
              <w:pStyle w:val="29"/>
              <w:spacing w:before="120" w:after="120" w:line="360" w:lineRule="auto"/>
              <w:ind w:firstLine="480"/>
              <w:jc w:val="center"/>
              <w:rPr>
                <w:rFonts w:hAnsi="宋体"/>
                <w:color w:val="auto"/>
                <w:highlight w:val="none"/>
              </w:rPr>
            </w:pPr>
            <w:r>
              <w:rPr>
                <w:rFonts w:hint="eastAsia" w:hAnsi="宋体"/>
                <w:color w:val="auto"/>
                <w:highlight w:val="none"/>
              </w:rPr>
              <w:t>序号</w:t>
            </w:r>
          </w:p>
        </w:tc>
        <w:tc>
          <w:tcPr>
            <w:tcW w:w="4500" w:type="dxa"/>
            <w:vAlign w:val="center"/>
          </w:tcPr>
          <w:p>
            <w:pPr>
              <w:pStyle w:val="29"/>
              <w:spacing w:before="120" w:after="120" w:line="360" w:lineRule="auto"/>
              <w:ind w:firstLine="480"/>
              <w:jc w:val="center"/>
              <w:rPr>
                <w:rFonts w:hAnsi="宋体"/>
                <w:color w:val="auto"/>
                <w:highlight w:val="none"/>
              </w:rPr>
            </w:pPr>
            <w:r>
              <w:rPr>
                <w:rFonts w:hint="eastAsia" w:hAnsi="宋体"/>
                <w:color w:val="auto"/>
                <w:highlight w:val="none"/>
              </w:rPr>
              <w:t>质量保障措施及服务内容</w:t>
            </w:r>
          </w:p>
        </w:tc>
        <w:tc>
          <w:tcPr>
            <w:tcW w:w="2064" w:type="dxa"/>
            <w:vAlign w:val="center"/>
          </w:tcPr>
          <w:p>
            <w:pPr>
              <w:pStyle w:val="29"/>
              <w:spacing w:before="120" w:after="120" w:line="360" w:lineRule="auto"/>
              <w:ind w:firstLine="480"/>
              <w:jc w:val="center"/>
              <w:rPr>
                <w:rFonts w:hAnsi="宋体"/>
                <w:color w:val="auto"/>
                <w:highlight w:val="none"/>
              </w:rPr>
            </w:pPr>
            <w:r>
              <w:rPr>
                <w:rFonts w:hint="eastAsia" w:hAnsi="宋体"/>
                <w:color w:val="auto"/>
                <w:highlight w:val="none"/>
              </w:rPr>
              <w:t>承诺</w:t>
            </w:r>
          </w:p>
        </w:tc>
        <w:tc>
          <w:tcPr>
            <w:tcW w:w="1896" w:type="dxa"/>
            <w:vAlign w:val="center"/>
          </w:tcPr>
          <w:p>
            <w:pPr>
              <w:pStyle w:val="29"/>
              <w:spacing w:before="120" w:after="120" w:line="360" w:lineRule="auto"/>
              <w:ind w:firstLine="480"/>
              <w:jc w:val="center"/>
              <w:rPr>
                <w:rFonts w:hAnsi="宋体"/>
                <w:color w:val="auto"/>
                <w:highlight w:val="none"/>
              </w:rPr>
            </w:pPr>
            <w:r>
              <w:rPr>
                <w:rFonts w:hint="eastAsia" w:hAnsi="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pPr>
              <w:pStyle w:val="29"/>
              <w:spacing w:before="120" w:after="120" w:line="360" w:lineRule="auto"/>
              <w:ind w:firstLine="480"/>
              <w:jc w:val="center"/>
              <w:rPr>
                <w:rFonts w:hAnsi="宋体"/>
                <w:color w:val="auto"/>
                <w:highlight w:val="none"/>
              </w:rPr>
            </w:pPr>
            <w:r>
              <w:rPr>
                <w:rFonts w:hint="eastAsia" w:hAnsi="宋体"/>
                <w:color w:val="auto"/>
                <w:highlight w:val="none"/>
              </w:rPr>
              <w:t>1</w:t>
            </w:r>
          </w:p>
        </w:tc>
        <w:tc>
          <w:tcPr>
            <w:tcW w:w="4500" w:type="dxa"/>
            <w:vAlign w:val="center"/>
          </w:tcPr>
          <w:p>
            <w:pPr>
              <w:pStyle w:val="29"/>
              <w:spacing w:before="120" w:after="120" w:line="360" w:lineRule="auto"/>
              <w:ind w:firstLine="480"/>
              <w:rPr>
                <w:rFonts w:hAnsi="宋体"/>
                <w:color w:val="auto"/>
                <w:highlight w:val="none"/>
              </w:rPr>
            </w:pPr>
            <w:r>
              <w:rPr>
                <w:rFonts w:hint="eastAsia" w:hAnsi="宋体"/>
                <w:color w:val="auto"/>
                <w:highlight w:val="none"/>
              </w:rPr>
              <w:t>投标产品</w:t>
            </w:r>
          </w:p>
        </w:tc>
        <w:tc>
          <w:tcPr>
            <w:tcW w:w="2064" w:type="dxa"/>
          </w:tcPr>
          <w:p>
            <w:pPr>
              <w:pStyle w:val="29"/>
              <w:spacing w:before="120" w:after="120" w:line="360" w:lineRule="auto"/>
              <w:ind w:firstLine="480"/>
              <w:rPr>
                <w:rFonts w:hAnsi="宋体"/>
                <w:color w:val="auto"/>
                <w:highlight w:val="none"/>
              </w:rPr>
            </w:pPr>
          </w:p>
        </w:tc>
        <w:tc>
          <w:tcPr>
            <w:tcW w:w="1896" w:type="dxa"/>
          </w:tcPr>
          <w:p>
            <w:pPr>
              <w:pStyle w:val="29"/>
              <w:spacing w:before="120" w:after="120" w:line="360" w:lineRule="auto"/>
              <w:ind w:firstLine="480"/>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pPr>
              <w:pStyle w:val="29"/>
              <w:spacing w:before="120" w:after="120" w:line="360" w:lineRule="auto"/>
              <w:ind w:firstLine="480"/>
              <w:jc w:val="center"/>
              <w:rPr>
                <w:rFonts w:hAnsi="宋体"/>
                <w:color w:val="auto"/>
                <w:highlight w:val="none"/>
              </w:rPr>
            </w:pPr>
            <w:r>
              <w:rPr>
                <w:rFonts w:hint="eastAsia" w:hAnsi="宋体"/>
                <w:color w:val="auto"/>
                <w:highlight w:val="none"/>
              </w:rPr>
              <w:t>2</w:t>
            </w:r>
          </w:p>
        </w:tc>
        <w:tc>
          <w:tcPr>
            <w:tcW w:w="4500" w:type="dxa"/>
            <w:vAlign w:val="center"/>
          </w:tcPr>
          <w:p>
            <w:pPr>
              <w:pStyle w:val="29"/>
              <w:spacing w:before="120" w:after="120" w:line="360" w:lineRule="auto"/>
              <w:ind w:firstLine="480"/>
              <w:rPr>
                <w:rFonts w:hAnsi="宋体"/>
                <w:color w:val="auto"/>
                <w:highlight w:val="none"/>
              </w:rPr>
            </w:pPr>
            <w:r>
              <w:rPr>
                <w:rFonts w:hint="eastAsia" w:hAnsi="宋体"/>
                <w:color w:val="auto"/>
                <w:highlight w:val="none"/>
              </w:rPr>
              <w:t>有关技术人员现场免费提供安装、调试服务</w:t>
            </w:r>
          </w:p>
        </w:tc>
        <w:tc>
          <w:tcPr>
            <w:tcW w:w="2064" w:type="dxa"/>
          </w:tcPr>
          <w:p>
            <w:pPr>
              <w:pStyle w:val="29"/>
              <w:spacing w:before="120" w:after="120" w:line="360" w:lineRule="auto"/>
              <w:ind w:firstLine="480"/>
              <w:rPr>
                <w:rFonts w:hAnsi="宋体"/>
                <w:color w:val="auto"/>
                <w:highlight w:val="none"/>
              </w:rPr>
            </w:pPr>
          </w:p>
        </w:tc>
        <w:tc>
          <w:tcPr>
            <w:tcW w:w="1896" w:type="dxa"/>
          </w:tcPr>
          <w:p>
            <w:pPr>
              <w:pStyle w:val="29"/>
              <w:spacing w:before="120" w:after="120" w:line="360" w:lineRule="auto"/>
              <w:ind w:firstLine="480"/>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pPr>
              <w:pStyle w:val="29"/>
              <w:spacing w:before="120" w:after="120" w:line="360" w:lineRule="auto"/>
              <w:ind w:firstLine="480"/>
              <w:jc w:val="center"/>
              <w:rPr>
                <w:rFonts w:hAnsi="宋体"/>
                <w:color w:val="auto"/>
                <w:highlight w:val="none"/>
              </w:rPr>
            </w:pPr>
            <w:r>
              <w:rPr>
                <w:rFonts w:hint="eastAsia" w:hAnsi="宋体"/>
                <w:color w:val="auto"/>
                <w:highlight w:val="none"/>
              </w:rPr>
              <w:t>3</w:t>
            </w:r>
          </w:p>
        </w:tc>
        <w:tc>
          <w:tcPr>
            <w:tcW w:w="4500" w:type="dxa"/>
            <w:vAlign w:val="center"/>
          </w:tcPr>
          <w:p>
            <w:pPr>
              <w:pStyle w:val="29"/>
              <w:spacing w:before="120" w:after="120" w:line="360" w:lineRule="auto"/>
              <w:ind w:firstLine="480"/>
              <w:rPr>
                <w:rFonts w:hAnsi="宋体"/>
                <w:color w:val="auto"/>
                <w:highlight w:val="none"/>
              </w:rPr>
            </w:pPr>
            <w:r>
              <w:rPr>
                <w:rFonts w:hint="eastAsia" w:hAnsi="宋体"/>
                <w:color w:val="auto"/>
                <w:highlight w:val="none"/>
              </w:rPr>
              <w:t>免费上门服务期限</w:t>
            </w:r>
          </w:p>
        </w:tc>
        <w:tc>
          <w:tcPr>
            <w:tcW w:w="2064" w:type="dxa"/>
          </w:tcPr>
          <w:p>
            <w:pPr>
              <w:pStyle w:val="29"/>
              <w:spacing w:before="120" w:after="120" w:line="360" w:lineRule="auto"/>
              <w:ind w:firstLine="480"/>
              <w:rPr>
                <w:rFonts w:hAnsi="宋体"/>
                <w:color w:val="auto"/>
                <w:highlight w:val="none"/>
              </w:rPr>
            </w:pPr>
          </w:p>
        </w:tc>
        <w:tc>
          <w:tcPr>
            <w:tcW w:w="1896" w:type="dxa"/>
          </w:tcPr>
          <w:p>
            <w:pPr>
              <w:pStyle w:val="29"/>
              <w:spacing w:before="120" w:after="120" w:line="360" w:lineRule="auto"/>
              <w:ind w:firstLine="480"/>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pPr>
              <w:pStyle w:val="29"/>
              <w:spacing w:before="120" w:after="120" w:line="360" w:lineRule="auto"/>
              <w:ind w:firstLine="480"/>
              <w:jc w:val="center"/>
              <w:rPr>
                <w:rFonts w:hAnsi="宋体"/>
                <w:color w:val="auto"/>
                <w:highlight w:val="none"/>
              </w:rPr>
            </w:pPr>
            <w:r>
              <w:rPr>
                <w:rFonts w:hint="eastAsia" w:hAnsi="宋体"/>
                <w:color w:val="auto"/>
                <w:highlight w:val="none"/>
              </w:rPr>
              <w:t>4</w:t>
            </w:r>
          </w:p>
        </w:tc>
        <w:tc>
          <w:tcPr>
            <w:tcW w:w="4500" w:type="dxa"/>
            <w:vAlign w:val="center"/>
          </w:tcPr>
          <w:p>
            <w:pPr>
              <w:pStyle w:val="29"/>
              <w:spacing w:before="120" w:after="120" w:line="360" w:lineRule="auto"/>
              <w:ind w:firstLine="480"/>
              <w:rPr>
                <w:rFonts w:hAnsi="宋体"/>
                <w:color w:val="auto"/>
                <w:highlight w:val="none"/>
              </w:rPr>
            </w:pPr>
            <w:r>
              <w:rPr>
                <w:rFonts w:hint="eastAsia" w:hAnsi="宋体"/>
                <w:color w:val="auto"/>
                <w:highlight w:val="none"/>
              </w:rPr>
              <w:t>服务期内产品故障服务响应时限</w:t>
            </w:r>
          </w:p>
        </w:tc>
        <w:tc>
          <w:tcPr>
            <w:tcW w:w="2064" w:type="dxa"/>
          </w:tcPr>
          <w:p>
            <w:pPr>
              <w:pStyle w:val="29"/>
              <w:spacing w:before="120" w:after="120" w:line="360" w:lineRule="auto"/>
              <w:ind w:firstLine="480"/>
              <w:rPr>
                <w:rFonts w:hAnsi="宋体"/>
                <w:color w:val="auto"/>
                <w:highlight w:val="none"/>
              </w:rPr>
            </w:pPr>
          </w:p>
        </w:tc>
        <w:tc>
          <w:tcPr>
            <w:tcW w:w="1896" w:type="dxa"/>
          </w:tcPr>
          <w:p>
            <w:pPr>
              <w:pStyle w:val="29"/>
              <w:spacing w:before="120" w:after="120" w:line="360" w:lineRule="auto"/>
              <w:ind w:firstLine="480"/>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pPr>
              <w:pStyle w:val="29"/>
              <w:spacing w:before="120" w:after="120" w:line="360" w:lineRule="auto"/>
              <w:ind w:firstLine="480"/>
              <w:jc w:val="center"/>
              <w:rPr>
                <w:rFonts w:hAnsi="宋体"/>
                <w:color w:val="auto"/>
                <w:highlight w:val="none"/>
              </w:rPr>
            </w:pPr>
            <w:r>
              <w:rPr>
                <w:rFonts w:hint="eastAsia" w:hAnsi="宋体"/>
                <w:color w:val="auto"/>
                <w:highlight w:val="none"/>
              </w:rPr>
              <w:t>5</w:t>
            </w:r>
          </w:p>
        </w:tc>
        <w:tc>
          <w:tcPr>
            <w:tcW w:w="4500" w:type="dxa"/>
            <w:vAlign w:val="center"/>
          </w:tcPr>
          <w:p>
            <w:pPr>
              <w:pStyle w:val="29"/>
              <w:spacing w:before="120" w:after="120" w:line="360" w:lineRule="auto"/>
              <w:ind w:firstLine="480"/>
              <w:rPr>
                <w:rFonts w:hAnsi="宋体"/>
                <w:color w:val="auto"/>
                <w:highlight w:val="none"/>
              </w:rPr>
            </w:pPr>
            <w:r>
              <w:rPr>
                <w:rFonts w:hint="eastAsia" w:hAnsi="宋体"/>
                <w:color w:val="auto"/>
                <w:highlight w:val="none"/>
              </w:rPr>
              <w:t>服务时间响应</w:t>
            </w:r>
          </w:p>
        </w:tc>
        <w:tc>
          <w:tcPr>
            <w:tcW w:w="2064" w:type="dxa"/>
          </w:tcPr>
          <w:p>
            <w:pPr>
              <w:pStyle w:val="29"/>
              <w:spacing w:before="120" w:after="120" w:line="360" w:lineRule="auto"/>
              <w:ind w:firstLine="480"/>
              <w:rPr>
                <w:rFonts w:hAnsi="宋体"/>
                <w:color w:val="auto"/>
                <w:highlight w:val="none"/>
              </w:rPr>
            </w:pPr>
          </w:p>
        </w:tc>
        <w:tc>
          <w:tcPr>
            <w:tcW w:w="1896" w:type="dxa"/>
          </w:tcPr>
          <w:p>
            <w:pPr>
              <w:pStyle w:val="29"/>
              <w:spacing w:before="120" w:after="120" w:line="360" w:lineRule="auto"/>
              <w:ind w:firstLine="480"/>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pPr>
              <w:pStyle w:val="29"/>
              <w:spacing w:before="120" w:after="120" w:line="360" w:lineRule="auto"/>
              <w:ind w:firstLine="480"/>
              <w:jc w:val="center"/>
              <w:rPr>
                <w:rFonts w:hAnsi="宋体"/>
                <w:color w:val="auto"/>
                <w:highlight w:val="none"/>
              </w:rPr>
            </w:pPr>
            <w:r>
              <w:rPr>
                <w:rFonts w:hint="eastAsia" w:hAnsi="宋体"/>
                <w:color w:val="auto"/>
                <w:highlight w:val="none"/>
              </w:rPr>
              <w:t>6</w:t>
            </w:r>
          </w:p>
        </w:tc>
        <w:tc>
          <w:tcPr>
            <w:tcW w:w="4500" w:type="dxa"/>
            <w:vAlign w:val="center"/>
          </w:tcPr>
          <w:p>
            <w:pPr>
              <w:pStyle w:val="29"/>
              <w:spacing w:before="120" w:after="120" w:line="360" w:lineRule="auto"/>
              <w:ind w:firstLine="480"/>
              <w:rPr>
                <w:rFonts w:hAnsi="宋体"/>
                <w:color w:val="auto"/>
                <w:highlight w:val="none"/>
              </w:rPr>
            </w:pPr>
            <w:r>
              <w:rPr>
                <w:rFonts w:hint="eastAsia" w:hAnsi="宋体"/>
                <w:color w:val="auto"/>
                <w:highlight w:val="none"/>
              </w:rPr>
              <w:t>服务期满的保修服务费用</w:t>
            </w:r>
          </w:p>
        </w:tc>
        <w:tc>
          <w:tcPr>
            <w:tcW w:w="2064" w:type="dxa"/>
          </w:tcPr>
          <w:p>
            <w:pPr>
              <w:pStyle w:val="29"/>
              <w:spacing w:before="120" w:after="120" w:line="360" w:lineRule="auto"/>
              <w:ind w:firstLine="480"/>
              <w:rPr>
                <w:rFonts w:hAnsi="宋体"/>
                <w:color w:val="auto"/>
                <w:highlight w:val="none"/>
              </w:rPr>
            </w:pPr>
          </w:p>
        </w:tc>
        <w:tc>
          <w:tcPr>
            <w:tcW w:w="1896" w:type="dxa"/>
          </w:tcPr>
          <w:p>
            <w:pPr>
              <w:pStyle w:val="29"/>
              <w:spacing w:before="120" w:after="120" w:line="360" w:lineRule="auto"/>
              <w:ind w:firstLine="480"/>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pPr>
              <w:pStyle w:val="29"/>
              <w:spacing w:before="120" w:after="120" w:line="360" w:lineRule="auto"/>
              <w:ind w:firstLine="480"/>
              <w:jc w:val="center"/>
              <w:rPr>
                <w:rFonts w:hAnsi="宋体"/>
                <w:color w:val="auto"/>
                <w:highlight w:val="none"/>
              </w:rPr>
            </w:pPr>
            <w:r>
              <w:rPr>
                <w:rFonts w:hint="eastAsia" w:hAnsi="宋体"/>
                <w:color w:val="auto"/>
                <w:highlight w:val="none"/>
              </w:rPr>
              <w:t>7</w:t>
            </w:r>
          </w:p>
        </w:tc>
        <w:tc>
          <w:tcPr>
            <w:tcW w:w="4500" w:type="dxa"/>
            <w:vAlign w:val="center"/>
          </w:tcPr>
          <w:p>
            <w:pPr>
              <w:pStyle w:val="29"/>
              <w:spacing w:before="120" w:after="120" w:line="360" w:lineRule="auto"/>
              <w:ind w:firstLine="480"/>
              <w:rPr>
                <w:rFonts w:hAnsi="宋体"/>
                <w:color w:val="auto"/>
                <w:highlight w:val="none"/>
              </w:rPr>
            </w:pPr>
            <w:r>
              <w:rPr>
                <w:rFonts w:hint="eastAsia" w:hAnsi="宋体"/>
                <w:color w:val="auto"/>
                <w:highlight w:val="none"/>
              </w:rPr>
              <w:t>交货时间</w:t>
            </w:r>
          </w:p>
        </w:tc>
        <w:tc>
          <w:tcPr>
            <w:tcW w:w="2064" w:type="dxa"/>
          </w:tcPr>
          <w:p>
            <w:pPr>
              <w:pStyle w:val="29"/>
              <w:spacing w:before="120" w:after="120" w:line="360" w:lineRule="auto"/>
              <w:ind w:firstLine="480"/>
              <w:rPr>
                <w:rFonts w:hAnsi="宋体"/>
                <w:color w:val="auto"/>
                <w:highlight w:val="none"/>
              </w:rPr>
            </w:pPr>
          </w:p>
        </w:tc>
        <w:tc>
          <w:tcPr>
            <w:tcW w:w="1896" w:type="dxa"/>
          </w:tcPr>
          <w:p>
            <w:pPr>
              <w:pStyle w:val="29"/>
              <w:spacing w:before="120" w:after="120" w:line="360" w:lineRule="auto"/>
              <w:ind w:firstLine="480"/>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pPr>
              <w:pStyle w:val="29"/>
              <w:spacing w:before="120" w:after="120" w:line="360" w:lineRule="auto"/>
              <w:ind w:firstLine="480"/>
              <w:jc w:val="center"/>
              <w:rPr>
                <w:rFonts w:hAnsi="宋体"/>
                <w:color w:val="auto"/>
                <w:highlight w:val="none"/>
              </w:rPr>
            </w:pPr>
            <w:r>
              <w:rPr>
                <w:rFonts w:hint="eastAsia" w:hAnsi="宋体"/>
                <w:color w:val="auto"/>
                <w:highlight w:val="none"/>
              </w:rPr>
              <w:t>8</w:t>
            </w:r>
          </w:p>
        </w:tc>
        <w:tc>
          <w:tcPr>
            <w:tcW w:w="4500" w:type="dxa"/>
            <w:vAlign w:val="center"/>
          </w:tcPr>
          <w:p>
            <w:pPr>
              <w:pStyle w:val="29"/>
              <w:spacing w:before="120" w:after="120" w:line="360" w:lineRule="auto"/>
              <w:ind w:firstLine="480"/>
              <w:rPr>
                <w:rFonts w:hAnsi="宋体"/>
                <w:color w:val="auto"/>
                <w:highlight w:val="none"/>
              </w:rPr>
            </w:pPr>
          </w:p>
        </w:tc>
        <w:tc>
          <w:tcPr>
            <w:tcW w:w="2064" w:type="dxa"/>
          </w:tcPr>
          <w:p>
            <w:pPr>
              <w:pStyle w:val="29"/>
              <w:spacing w:before="120" w:after="120" w:line="360" w:lineRule="auto"/>
              <w:ind w:firstLine="480"/>
              <w:rPr>
                <w:rFonts w:hAnsi="宋体"/>
                <w:color w:val="auto"/>
                <w:highlight w:val="none"/>
              </w:rPr>
            </w:pPr>
          </w:p>
        </w:tc>
        <w:tc>
          <w:tcPr>
            <w:tcW w:w="1896" w:type="dxa"/>
          </w:tcPr>
          <w:p>
            <w:pPr>
              <w:pStyle w:val="29"/>
              <w:spacing w:before="120" w:after="120" w:line="360" w:lineRule="auto"/>
              <w:ind w:firstLine="480"/>
              <w:rPr>
                <w:rFonts w:hAnsi="宋体"/>
                <w:color w:val="auto"/>
                <w:highlight w:val="none"/>
              </w:rPr>
            </w:pPr>
          </w:p>
        </w:tc>
      </w:tr>
    </w:tbl>
    <w:p>
      <w:pPr>
        <w:pStyle w:val="29"/>
        <w:spacing w:before="120" w:after="120" w:line="360" w:lineRule="auto"/>
        <w:ind w:firstLine="720" w:firstLineChars="300"/>
        <w:rPr>
          <w:rFonts w:ascii="Times New Roman" w:hAnsi="Times New Roman"/>
          <w:color w:val="auto"/>
          <w:highlight w:val="none"/>
        </w:rPr>
      </w:pPr>
    </w:p>
    <w:p>
      <w:pPr>
        <w:pStyle w:val="29"/>
        <w:spacing w:before="120" w:after="120" w:line="360" w:lineRule="auto"/>
        <w:ind w:firstLine="720" w:firstLineChars="300"/>
        <w:rPr>
          <w:rFonts w:ascii="Times New Roman" w:hAnsi="Times New Roman"/>
          <w:color w:val="auto"/>
          <w:highlight w:val="none"/>
        </w:rPr>
      </w:pPr>
    </w:p>
    <w:p>
      <w:pPr>
        <w:pStyle w:val="29"/>
        <w:spacing w:before="120" w:after="120" w:line="360" w:lineRule="auto"/>
        <w:ind w:firstLine="3960" w:firstLineChars="1650"/>
        <w:rPr>
          <w:rFonts w:ascii="Times New Roman" w:hAnsi="Times New Roman"/>
          <w:color w:val="auto"/>
          <w:highlight w:val="none"/>
        </w:rPr>
      </w:pPr>
      <w:r>
        <w:rPr>
          <w:rFonts w:hint="eastAsia" w:ascii="Times New Roman" w:hAnsi="Times New Roman"/>
          <w:color w:val="auto"/>
          <w:highlight w:val="none"/>
        </w:rPr>
        <w:t>投标方（公章）：</w:t>
      </w:r>
    </w:p>
    <w:p>
      <w:pPr>
        <w:pStyle w:val="29"/>
        <w:spacing w:before="120" w:after="120" w:line="360" w:lineRule="auto"/>
        <w:ind w:firstLine="4680" w:firstLineChars="1950"/>
        <w:rPr>
          <w:rFonts w:ascii="Times New Roman" w:hAnsi="Times New Roman"/>
          <w:color w:val="auto"/>
          <w:highlight w:val="none"/>
        </w:rPr>
      </w:pPr>
      <w:r>
        <w:rPr>
          <w:rFonts w:hint="eastAsia" w:ascii="Times New Roman" w:hAnsi="Times New Roman"/>
          <w:color w:val="auto"/>
          <w:highlight w:val="none"/>
        </w:rPr>
        <w:t>日期：</w:t>
      </w:r>
    </w:p>
    <w:p>
      <w:pPr>
        <w:widowControl/>
        <w:spacing w:before="100" w:beforeAutospacing="1" w:after="190"/>
        <w:ind w:firstLine="480"/>
        <w:rPr>
          <w:rFonts w:ascii="宋体" w:hAnsi="宋体"/>
          <w:color w:val="auto"/>
          <w:highlight w:val="none"/>
        </w:rPr>
      </w:pPr>
      <w:r>
        <w:rPr>
          <w:rFonts w:ascii="宋体" w:hAnsi="宋体"/>
          <w:color w:val="auto"/>
          <w:highlight w:val="none"/>
        </w:rPr>
        <w:br w:type="page"/>
      </w:r>
      <w:r>
        <w:rPr>
          <w:rFonts w:hint="eastAsia" w:ascii="宋体" w:hAnsi="宋体"/>
          <w:color w:val="auto"/>
          <w:highlight w:val="none"/>
        </w:rPr>
        <w:t xml:space="preserve"> </w:t>
      </w:r>
      <w:r>
        <w:rPr>
          <w:rFonts w:hint="eastAsia" w:ascii="宋体" w:hAnsi="宋体"/>
          <w:b/>
          <w:color w:val="auto"/>
          <w:highlight w:val="none"/>
        </w:rPr>
        <w:t xml:space="preserve">附件11：政府采购供应商诚信承诺书 </w:t>
      </w:r>
      <w:r>
        <w:rPr>
          <w:rFonts w:hint="eastAsia" w:ascii="宋体" w:hAnsi="宋体"/>
          <w:color w:val="auto"/>
          <w:highlight w:val="none"/>
        </w:rPr>
        <w:t xml:space="preserve">                </w:t>
      </w:r>
    </w:p>
    <w:p>
      <w:pPr>
        <w:widowControl/>
        <w:spacing w:before="100" w:beforeAutospacing="1" w:after="190"/>
        <w:ind w:firstLine="602"/>
        <w:jc w:val="center"/>
        <w:rPr>
          <w:rFonts w:ascii="Arial" w:hAnsi="Arial" w:cs="Arial"/>
          <w:color w:val="auto"/>
          <w:kern w:val="0"/>
          <w:sz w:val="30"/>
          <w:szCs w:val="30"/>
          <w:highlight w:val="none"/>
        </w:rPr>
      </w:pPr>
      <w:r>
        <w:rPr>
          <w:rFonts w:ascii="Arial" w:hAnsi="Arial" w:cs="Arial"/>
          <w:b/>
          <w:bCs/>
          <w:color w:val="auto"/>
          <w:kern w:val="0"/>
          <w:sz w:val="30"/>
          <w:szCs w:val="30"/>
          <w:highlight w:val="none"/>
        </w:rPr>
        <w:t>政府采购供应商诚信承诺书</w:t>
      </w:r>
    </w:p>
    <w:p>
      <w:pPr>
        <w:widowControl/>
        <w:spacing w:before="100" w:beforeAutospacing="1" w:after="190"/>
        <w:ind w:firstLine="482"/>
        <w:rPr>
          <w:rFonts w:ascii="Arial" w:hAnsi="Arial" w:cs="Arial"/>
          <w:b/>
          <w:color w:val="auto"/>
          <w:kern w:val="0"/>
          <w:highlight w:val="none"/>
        </w:rPr>
      </w:pPr>
      <w:r>
        <w:rPr>
          <w:rFonts w:hint="eastAsia" w:ascii="Arial" w:hAnsi="Arial" w:cs="Arial"/>
          <w:b/>
          <w:color w:val="auto"/>
          <w:kern w:val="0"/>
          <w:highlight w:val="none"/>
        </w:rPr>
        <w:t>浙江衢州公信工程管理有限公司</w:t>
      </w:r>
      <w:r>
        <w:rPr>
          <w:rFonts w:ascii="Arial" w:hAnsi="Arial" w:cs="Arial"/>
          <w:b/>
          <w:color w:val="auto"/>
          <w:kern w:val="0"/>
          <w:highlight w:val="none"/>
        </w:rPr>
        <w:t>：</w:t>
      </w:r>
    </w:p>
    <w:p>
      <w:pPr>
        <w:ind w:firstLine="480"/>
        <w:rPr>
          <w:color w:val="auto"/>
          <w:highlight w:val="none"/>
        </w:rPr>
      </w:pPr>
      <w:r>
        <w:rPr>
          <w:color w:val="auto"/>
          <w:kern w:val="0"/>
          <w:highlight w:val="none"/>
        </w:rPr>
        <w:t>我公司自愿参与贵司组织的</w:t>
      </w:r>
      <w:r>
        <w:rPr>
          <w:rFonts w:hint="eastAsia"/>
          <w:color w:val="auto"/>
          <w:kern w:val="0"/>
          <w:highlight w:val="none"/>
          <w:u w:val="single"/>
        </w:rPr>
        <w:t xml:space="preserve">    </w:t>
      </w:r>
      <w:r>
        <w:rPr>
          <w:b/>
          <w:color w:val="auto"/>
          <w:kern w:val="0"/>
          <w:highlight w:val="none"/>
          <w:u w:val="single"/>
        </w:rPr>
        <w:t>项目</w:t>
      </w:r>
      <w:r>
        <w:rPr>
          <w:rFonts w:hint="eastAsia"/>
          <w:b/>
          <w:color w:val="auto"/>
          <w:kern w:val="0"/>
          <w:highlight w:val="none"/>
          <w:u w:val="single"/>
        </w:rPr>
        <w:t>（招标编号  ）</w:t>
      </w:r>
      <w:r>
        <w:rPr>
          <w:color w:val="auto"/>
          <w:kern w:val="0"/>
          <w:highlight w:val="none"/>
        </w:rPr>
        <w:t>采购活动，严格遵守《中华人民共和国</w:t>
      </w:r>
      <w:r>
        <w:rPr>
          <w:color w:val="auto"/>
          <w:highlight w:val="none"/>
        </w:rPr>
        <w:t>政府采购法》等相关法律法规的规定，坚守公平竞争，并无条件地遵守本次采购活动各项规定。我们郑重承诺：如果在本次招标活动中有以下情形的，愿接受政府采购监管等部门给予相关处罚并承担法律责任。</w:t>
      </w:r>
    </w:p>
    <w:p>
      <w:pPr>
        <w:spacing w:line="288" w:lineRule="auto"/>
        <w:ind w:firstLine="480"/>
        <w:rPr>
          <w:color w:val="auto"/>
          <w:highlight w:val="none"/>
        </w:rPr>
      </w:pPr>
      <w:r>
        <w:rPr>
          <w:color w:val="auto"/>
          <w:highlight w:val="none"/>
        </w:rPr>
        <w:t>（一）提供虚假材料谋取中标的；</w:t>
      </w:r>
    </w:p>
    <w:p>
      <w:pPr>
        <w:spacing w:line="288" w:lineRule="auto"/>
        <w:ind w:firstLine="480"/>
        <w:rPr>
          <w:color w:val="auto"/>
          <w:highlight w:val="none"/>
        </w:rPr>
      </w:pPr>
      <w:r>
        <w:rPr>
          <w:color w:val="auto"/>
          <w:highlight w:val="none"/>
        </w:rPr>
        <w:t>（二）采取不正当手段诋毁、排挤其他供应商的；</w:t>
      </w:r>
    </w:p>
    <w:p>
      <w:pPr>
        <w:spacing w:line="288" w:lineRule="auto"/>
        <w:ind w:firstLine="480"/>
        <w:rPr>
          <w:color w:val="auto"/>
          <w:highlight w:val="none"/>
        </w:rPr>
      </w:pPr>
      <w:r>
        <w:rPr>
          <w:color w:val="auto"/>
          <w:highlight w:val="none"/>
        </w:rPr>
        <w:t>（三）与招标采购单位、其他投标人恶意串通的；</w:t>
      </w:r>
    </w:p>
    <w:p>
      <w:pPr>
        <w:spacing w:line="288" w:lineRule="auto"/>
        <w:ind w:firstLine="480"/>
        <w:rPr>
          <w:color w:val="auto"/>
          <w:highlight w:val="none"/>
        </w:rPr>
      </w:pPr>
      <w:r>
        <w:rPr>
          <w:color w:val="auto"/>
          <w:highlight w:val="none"/>
        </w:rPr>
        <w:t>（四）向招标采购单位行贿或提供其他不正当利益的；</w:t>
      </w:r>
    </w:p>
    <w:p>
      <w:pPr>
        <w:spacing w:line="288" w:lineRule="auto"/>
        <w:ind w:firstLine="480"/>
        <w:rPr>
          <w:color w:val="auto"/>
          <w:highlight w:val="none"/>
        </w:rPr>
      </w:pPr>
      <w:r>
        <w:rPr>
          <w:color w:val="auto"/>
          <w:highlight w:val="none"/>
        </w:rPr>
        <w:t>（五）在招标过程中与招标采购单位进行协商谈判、不按照招标文件和投标文件订立合同，或者与采购人另立背离合同实质性内容协议的；</w:t>
      </w:r>
    </w:p>
    <w:p>
      <w:pPr>
        <w:spacing w:line="288" w:lineRule="auto"/>
        <w:ind w:firstLine="600" w:firstLineChars="250"/>
        <w:rPr>
          <w:color w:val="auto"/>
          <w:highlight w:val="none"/>
        </w:rPr>
      </w:pPr>
      <w:r>
        <w:rPr>
          <w:color w:val="auto"/>
          <w:highlight w:val="none"/>
        </w:rPr>
        <w:t>（</w:t>
      </w:r>
      <w:r>
        <w:rPr>
          <w:rFonts w:hint="eastAsia"/>
          <w:color w:val="auto"/>
          <w:highlight w:val="none"/>
        </w:rPr>
        <w:t>六</w:t>
      </w:r>
      <w:r>
        <w:rPr>
          <w:color w:val="auto"/>
          <w:highlight w:val="none"/>
        </w:rPr>
        <w:t>）中标后无正当理由，在规定时间内不与采购单位签订合同的；</w:t>
      </w:r>
    </w:p>
    <w:p>
      <w:pPr>
        <w:spacing w:line="288" w:lineRule="auto"/>
        <w:ind w:firstLine="600" w:firstLineChars="250"/>
        <w:rPr>
          <w:color w:val="auto"/>
          <w:highlight w:val="none"/>
        </w:rPr>
      </w:pPr>
      <w:r>
        <w:rPr>
          <w:color w:val="auto"/>
          <w:highlight w:val="none"/>
        </w:rPr>
        <w:t>（</w:t>
      </w:r>
      <w:r>
        <w:rPr>
          <w:rFonts w:hint="eastAsia"/>
          <w:color w:val="auto"/>
          <w:highlight w:val="none"/>
        </w:rPr>
        <w:t>七</w:t>
      </w:r>
      <w:r>
        <w:rPr>
          <w:color w:val="auto"/>
          <w:highlight w:val="none"/>
        </w:rPr>
        <w:t>）将中标项目转让给他人或非法分包他人的；</w:t>
      </w:r>
    </w:p>
    <w:p>
      <w:pPr>
        <w:spacing w:line="288" w:lineRule="auto"/>
        <w:ind w:firstLine="600" w:firstLineChars="250"/>
        <w:rPr>
          <w:color w:val="auto"/>
          <w:highlight w:val="none"/>
        </w:rPr>
      </w:pPr>
      <w:r>
        <w:rPr>
          <w:color w:val="auto"/>
          <w:highlight w:val="none"/>
        </w:rPr>
        <w:t>（</w:t>
      </w:r>
      <w:r>
        <w:rPr>
          <w:rFonts w:hint="eastAsia"/>
          <w:color w:val="auto"/>
          <w:highlight w:val="none"/>
        </w:rPr>
        <w:t>八</w:t>
      </w:r>
      <w:r>
        <w:rPr>
          <w:color w:val="auto"/>
          <w:highlight w:val="none"/>
        </w:rPr>
        <w:t>）无正当理由，拒绝履行合同义务的；</w:t>
      </w:r>
    </w:p>
    <w:p>
      <w:pPr>
        <w:spacing w:line="288" w:lineRule="auto"/>
        <w:ind w:firstLine="600" w:firstLineChars="250"/>
        <w:rPr>
          <w:color w:val="auto"/>
          <w:highlight w:val="none"/>
        </w:rPr>
      </w:pPr>
      <w:r>
        <w:rPr>
          <w:color w:val="auto"/>
          <w:highlight w:val="none"/>
        </w:rPr>
        <w:t>（</w:t>
      </w:r>
      <w:r>
        <w:rPr>
          <w:rFonts w:hint="eastAsia"/>
          <w:color w:val="auto"/>
          <w:highlight w:val="none"/>
        </w:rPr>
        <w:t>九</w:t>
      </w:r>
      <w:r>
        <w:rPr>
          <w:color w:val="auto"/>
          <w:highlight w:val="none"/>
        </w:rPr>
        <w:t>）无正当理由放弃中标（成交）项目的；</w:t>
      </w:r>
    </w:p>
    <w:p>
      <w:pPr>
        <w:spacing w:line="288" w:lineRule="auto"/>
        <w:ind w:firstLine="600" w:firstLineChars="250"/>
        <w:rPr>
          <w:color w:val="auto"/>
          <w:highlight w:val="none"/>
        </w:rPr>
      </w:pPr>
      <w:r>
        <w:rPr>
          <w:color w:val="auto"/>
          <w:highlight w:val="none"/>
        </w:rPr>
        <w:t>（十）擅自或与采购人串通或接受采购人要求，在履约合同中通过减少货物数量，更换品牌、降低配置、技术要求、质量和服务标准等，却仍按原合同进行虚假验收或终止政府采购合同的；</w:t>
      </w:r>
    </w:p>
    <w:p>
      <w:pPr>
        <w:spacing w:line="288" w:lineRule="auto"/>
        <w:ind w:firstLine="480"/>
        <w:rPr>
          <w:color w:val="auto"/>
          <w:highlight w:val="none"/>
        </w:rPr>
      </w:pPr>
      <w:r>
        <w:rPr>
          <w:color w:val="auto"/>
          <w:highlight w:val="none"/>
        </w:rPr>
        <w:t>（十</w:t>
      </w:r>
      <w:r>
        <w:rPr>
          <w:rFonts w:hint="eastAsia"/>
          <w:color w:val="auto"/>
          <w:highlight w:val="none"/>
        </w:rPr>
        <w:t>一</w:t>
      </w:r>
      <w:r>
        <w:rPr>
          <w:color w:val="auto"/>
          <w:highlight w:val="none"/>
        </w:rPr>
        <w:t>）与采购人串通，对尚未履约完毕的采购项目出具虚假验收报告的；</w:t>
      </w:r>
    </w:p>
    <w:p>
      <w:pPr>
        <w:spacing w:line="288" w:lineRule="auto"/>
        <w:ind w:firstLine="480"/>
        <w:rPr>
          <w:color w:val="auto"/>
          <w:highlight w:val="none"/>
        </w:rPr>
      </w:pPr>
      <w:r>
        <w:rPr>
          <w:color w:val="auto"/>
          <w:highlight w:val="none"/>
        </w:rPr>
        <w:t>（十</w:t>
      </w:r>
      <w:r>
        <w:rPr>
          <w:rFonts w:hint="eastAsia"/>
          <w:color w:val="auto"/>
          <w:highlight w:val="none"/>
        </w:rPr>
        <w:t>二</w:t>
      </w:r>
      <w:r>
        <w:rPr>
          <w:color w:val="auto"/>
          <w:highlight w:val="none"/>
        </w:rPr>
        <w:t>）无不可抗力因素，拒绝提供售后服务、售后服务态度恶劣、故意提高维修配件价格（高于市场平均价）的；</w:t>
      </w:r>
    </w:p>
    <w:p>
      <w:pPr>
        <w:spacing w:line="288" w:lineRule="auto"/>
        <w:ind w:firstLine="480"/>
        <w:rPr>
          <w:color w:val="auto"/>
          <w:highlight w:val="none"/>
        </w:rPr>
      </w:pPr>
      <w:r>
        <w:rPr>
          <w:color w:val="auto"/>
          <w:highlight w:val="none"/>
        </w:rPr>
        <w:t>（十</w:t>
      </w:r>
      <w:r>
        <w:rPr>
          <w:rFonts w:hint="eastAsia"/>
          <w:color w:val="auto"/>
          <w:highlight w:val="none"/>
        </w:rPr>
        <w:t>三</w:t>
      </w:r>
      <w:r>
        <w:rPr>
          <w:color w:val="auto"/>
          <w:highlight w:val="none"/>
        </w:rPr>
        <w:t>）开标后对招标文件的相关内容再进行质疑的；</w:t>
      </w:r>
    </w:p>
    <w:p>
      <w:pPr>
        <w:spacing w:line="288" w:lineRule="auto"/>
        <w:ind w:firstLine="480"/>
        <w:rPr>
          <w:color w:val="auto"/>
          <w:highlight w:val="none"/>
        </w:rPr>
      </w:pPr>
      <w:r>
        <w:rPr>
          <w:color w:val="auto"/>
          <w:highlight w:val="none"/>
        </w:rPr>
        <w:t>（十</w:t>
      </w:r>
      <w:r>
        <w:rPr>
          <w:rFonts w:hint="eastAsia"/>
          <w:color w:val="auto"/>
          <w:highlight w:val="none"/>
        </w:rPr>
        <w:t>四</w:t>
      </w:r>
      <w:r>
        <w:rPr>
          <w:color w:val="auto"/>
          <w:highlight w:val="none"/>
        </w:rPr>
        <w:t>）恶意投诉的行为：投诉经查无实据的、捏造事实或者提供虚假投诉材料的；</w:t>
      </w:r>
    </w:p>
    <w:p>
      <w:pPr>
        <w:spacing w:line="288" w:lineRule="auto"/>
        <w:ind w:firstLine="480"/>
        <w:rPr>
          <w:color w:val="auto"/>
          <w:highlight w:val="none"/>
        </w:rPr>
      </w:pPr>
      <w:r>
        <w:rPr>
          <w:color w:val="auto"/>
          <w:highlight w:val="none"/>
        </w:rPr>
        <w:t>（十</w:t>
      </w:r>
      <w:r>
        <w:rPr>
          <w:rFonts w:hint="eastAsia"/>
          <w:color w:val="auto"/>
          <w:highlight w:val="none"/>
        </w:rPr>
        <w:t>五</w:t>
      </w:r>
      <w:r>
        <w:rPr>
          <w:color w:val="auto"/>
          <w:highlight w:val="none"/>
        </w:rPr>
        <w:t>）拒绝有关部门监督检查或者提供虚假情况的；</w:t>
      </w:r>
    </w:p>
    <w:p>
      <w:pPr>
        <w:spacing w:line="288" w:lineRule="auto"/>
        <w:ind w:firstLine="480"/>
        <w:rPr>
          <w:color w:val="auto"/>
          <w:highlight w:val="none"/>
        </w:rPr>
      </w:pPr>
      <w:r>
        <w:rPr>
          <w:color w:val="auto"/>
          <w:highlight w:val="none"/>
        </w:rPr>
        <w:t>（十</w:t>
      </w:r>
      <w:r>
        <w:rPr>
          <w:rFonts w:hint="eastAsia"/>
          <w:color w:val="auto"/>
          <w:highlight w:val="none"/>
        </w:rPr>
        <w:t>六</w:t>
      </w:r>
      <w:r>
        <w:rPr>
          <w:color w:val="auto"/>
          <w:highlight w:val="none"/>
        </w:rPr>
        <w:t>）财政、监察部门认定的其他不诚信行为。</w:t>
      </w:r>
    </w:p>
    <w:p>
      <w:pPr>
        <w:spacing w:line="288" w:lineRule="auto"/>
        <w:ind w:firstLine="480"/>
        <w:rPr>
          <w:color w:val="auto"/>
          <w:highlight w:val="none"/>
        </w:rPr>
      </w:pPr>
      <w:r>
        <w:rPr>
          <w:rFonts w:hint="eastAsia"/>
          <w:color w:val="auto"/>
          <w:highlight w:val="none"/>
        </w:rPr>
        <w:t>（十七）招标文件规定的其他不诚信行为。</w:t>
      </w:r>
    </w:p>
    <w:p>
      <w:pPr>
        <w:spacing w:line="288" w:lineRule="auto"/>
        <w:ind w:firstLine="5760" w:firstLineChars="2400"/>
        <w:rPr>
          <w:color w:val="auto"/>
          <w:highlight w:val="none"/>
        </w:rPr>
      </w:pPr>
      <w:r>
        <w:rPr>
          <w:color w:val="auto"/>
          <w:highlight w:val="none"/>
        </w:rPr>
        <w:t>公司名称</w:t>
      </w:r>
      <w:r>
        <w:rPr>
          <w:rFonts w:hint="eastAsia"/>
          <w:color w:val="auto"/>
          <w:highlight w:val="none"/>
        </w:rPr>
        <w:t>：</w:t>
      </w:r>
      <w:r>
        <w:rPr>
          <w:color w:val="auto"/>
          <w:highlight w:val="none"/>
        </w:rPr>
        <w:t>（盖章）</w:t>
      </w:r>
    </w:p>
    <w:p>
      <w:pPr>
        <w:spacing w:line="288" w:lineRule="auto"/>
        <w:ind w:firstLine="5760" w:firstLineChars="2400"/>
        <w:rPr>
          <w:rFonts w:ascii="宋体" w:hAnsi="宋体"/>
          <w:b/>
          <w:color w:val="auto"/>
          <w:highlight w:val="none"/>
        </w:rPr>
      </w:pPr>
      <w:r>
        <w:rPr>
          <w:color w:val="auto"/>
          <w:highlight w:val="none"/>
        </w:rPr>
        <w:t>年 月 日</w:t>
      </w:r>
    </w:p>
    <w:p>
      <w:pPr>
        <w:pStyle w:val="3"/>
        <w:ind w:firstLine="0" w:firstLineChars="0"/>
        <w:rPr>
          <w:color w:val="auto"/>
          <w:highlight w:val="none"/>
        </w:rPr>
      </w:pPr>
    </w:p>
    <w:p>
      <w:pPr>
        <w:snapToGrid w:val="0"/>
        <w:spacing w:before="50" w:after="120" w:afterLines="50"/>
        <w:ind w:firstLine="482"/>
        <w:rPr>
          <w:rFonts w:ascii="宋体" w:hAnsi="宋体"/>
          <w:b/>
          <w:color w:val="auto"/>
          <w:highlight w:val="none"/>
        </w:rPr>
      </w:pPr>
      <w:r>
        <w:rPr>
          <w:rFonts w:hint="eastAsia" w:ascii="宋体" w:hAnsi="宋体"/>
          <w:b/>
          <w:color w:val="auto"/>
          <w:highlight w:val="none"/>
        </w:rPr>
        <w:t>附件12：投标函格式：</w:t>
      </w:r>
    </w:p>
    <w:p>
      <w:pPr>
        <w:snapToGrid w:val="0"/>
        <w:spacing w:before="120" w:beforeLines="50" w:after="50"/>
        <w:ind w:firstLine="482"/>
        <w:jc w:val="center"/>
        <w:rPr>
          <w:rFonts w:ascii="宋体" w:hAnsi="宋体"/>
          <w:b/>
          <w:color w:val="auto"/>
          <w:szCs w:val="20"/>
          <w:highlight w:val="none"/>
        </w:rPr>
      </w:pPr>
      <w:r>
        <w:rPr>
          <w:rFonts w:hint="eastAsia" w:ascii="宋体" w:hAnsi="宋体"/>
          <w:b/>
          <w:color w:val="auto"/>
          <w:highlight w:val="none"/>
        </w:rPr>
        <w:t>投标函</w:t>
      </w:r>
    </w:p>
    <w:p>
      <w:pPr>
        <w:snapToGrid w:val="0"/>
        <w:ind w:firstLine="480"/>
        <w:rPr>
          <w:rFonts w:ascii="宋体" w:hAnsi="宋体"/>
          <w:color w:val="auto"/>
          <w:szCs w:val="20"/>
          <w:highlight w:val="none"/>
        </w:rPr>
      </w:pPr>
      <w:r>
        <w:rPr>
          <w:rFonts w:hint="eastAsia" w:ascii="宋体" w:hAnsi="宋体"/>
          <w:color w:val="auto"/>
          <w:highlight w:val="none"/>
        </w:rPr>
        <w:t>致：</w:t>
      </w:r>
      <w:r>
        <w:rPr>
          <w:rFonts w:ascii="宋体" w:hAnsi="宋体"/>
          <w:color w:val="auto"/>
          <w:highlight w:val="none"/>
        </w:rPr>
        <w:t>______</w:t>
      </w:r>
      <w:r>
        <w:rPr>
          <w:rFonts w:ascii="宋体" w:hAnsi="宋体"/>
          <w:color w:val="auto"/>
          <w:highlight w:val="none"/>
          <w:u w:val="single"/>
        </w:rPr>
        <w:t>__</w:t>
      </w:r>
      <w:r>
        <w:rPr>
          <w:rFonts w:ascii="宋体" w:hAnsi="宋体"/>
          <w:color w:val="auto"/>
          <w:highlight w:val="none"/>
        </w:rPr>
        <w:t>_</w:t>
      </w:r>
      <w:r>
        <w:rPr>
          <w:rFonts w:hint="eastAsia" w:ascii="宋体" w:hAnsi="宋体"/>
          <w:color w:val="auto"/>
          <w:highlight w:val="none"/>
        </w:rPr>
        <w:t>（招标采购单位名称）：</w:t>
      </w:r>
    </w:p>
    <w:p>
      <w:pPr>
        <w:snapToGrid w:val="0"/>
        <w:ind w:firstLine="480"/>
        <w:rPr>
          <w:rFonts w:ascii="宋体" w:hAnsi="宋体"/>
          <w:color w:val="auto"/>
          <w:szCs w:val="20"/>
          <w:highlight w:val="none"/>
        </w:rPr>
      </w:pPr>
      <w:r>
        <w:rPr>
          <w:rFonts w:hint="eastAsia" w:ascii="宋体" w:hAnsi="宋体"/>
          <w:color w:val="auto"/>
          <w:highlight w:val="none"/>
        </w:rPr>
        <w:t>根据贵方为项目的招标公告</w:t>
      </w:r>
      <w:r>
        <w:rPr>
          <w:rFonts w:ascii="宋体" w:hAnsi="宋体"/>
          <w:color w:val="auto"/>
          <w:highlight w:val="none"/>
        </w:rPr>
        <w:t>/</w:t>
      </w:r>
      <w:r>
        <w:rPr>
          <w:rFonts w:hint="eastAsia" w:ascii="宋体" w:hAnsi="宋体"/>
          <w:color w:val="auto"/>
          <w:highlight w:val="none"/>
        </w:rPr>
        <w:t>投标邀请书</w:t>
      </w:r>
    </w:p>
    <w:p>
      <w:pPr>
        <w:snapToGrid w:val="0"/>
        <w:ind w:firstLine="480"/>
        <w:rPr>
          <w:rFonts w:ascii="宋体" w:hAnsi="宋体"/>
          <w:color w:val="auto"/>
          <w:szCs w:val="20"/>
          <w:highlight w:val="none"/>
        </w:rPr>
      </w:pPr>
      <w:r>
        <w:rPr>
          <w:rFonts w:hint="eastAsia" w:ascii="宋体" w:hAnsi="宋体"/>
          <w:color w:val="auto"/>
          <w:highlight w:val="none"/>
        </w:rPr>
        <w:t>（项目编号：</w:t>
      </w:r>
      <w:r>
        <w:rPr>
          <w:rFonts w:ascii="宋体" w:hAnsi="宋体"/>
          <w:color w:val="auto"/>
          <w:highlight w:val="none"/>
        </w:rPr>
        <w:t>____</w:t>
      </w:r>
      <w:r>
        <w:rPr>
          <w:rFonts w:ascii="宋体" w:hAnsi="宋体"/>
          <w:color w:val="auto"/>
          <w:highlight w:val="none"/>
          <w:u w:val="single"/>
        </w:rPr>
        <w:t>__</w:t>
      </w:r>
      <w:r>
        <w:rPr>
          <w:rFonts w:ascii="宋体" w:hAnsi="宋体"/>
          <w:color w:val="auto"/>
          <w:highlight w:val="none"/>
        </w:rPr>
        <w:t>_</w:t>
      </w:r>
      <w:r>
        <w:rPr>
          <w:rFonts w:hint="eastAsia" w:ascii="宋体" w:hAnsi="宋体"/>
          <w:color w:val="auto"/>
          <w:highlight w:val="none"/>
        </w:rPr>
        <w:t>），签字代表</w:t>
      </w:r>
      <w:r>
        <w:rPr>
          <w:rFonts w:ascii="宋体" w:hAnsi="宋体"/>
          <w:color w:val="auto"/>
          <w:highlight w:val="none"/>
        </w:rPr>
        <w:t>______</w:t>
      </w:r>
      <w:r>
        <w:rPr>
          <w:rFonts w:ascii="宋体" w:hAnsi="宋体"/>
          <w:color w:val="auto"/>
          <w:highlight w:val="none"/>
          <w:u w:val="single"/>
        </w:rPr>
        <w:t>_</w:t>
      </w:r>
      <w:r>
        <w:rPr>
          <w:rFonts w:hint="eastAsia" w:ascii="宋体" w:hAnsi="宋体"/>
          <w:color w:val="auto"/>
          <w:highlight w:val="none"/>
        </w:rPr>
        <w:t>（全名）经正式授权并代表投标人</w:t>
      </w:r>
      <w:r>
        <w:rPr>
          <w:rFonts w:ascii="宋体" w:hAnsi="宋体"/>
          <w:color w:val="auto"/>
          <w:highlight w:val="none"/>
        </w:rPr>
        <w:t>_____</w:t>
      </w:r>
      <w:r>
        <w:rPr>
          <w:rFonts w:ascii="宋体" w:hAnsi="宋体"/>
          <w:color w:val="auto"/>
          <w:highlight w:val="none"/>
          <w:u w:val="single"/>
        </w:rPr>
        <w:t>____</w:t>
      </w:r>
      <w:r>
        <w:rPr>
          <w:rFonts w:hint="eastAsia" w:ascii="宋体" w:hAnsi="宋体"/>
          <w:color w:val="auto"/>
          <w:highlight w:val="none"/>
        </w:rPr>
        <w:t>（投标人名称）提交电子投标文件一份，中标后提供资格响应文件、报价要求响应文件、商务技术响应文件正本各一份，副本各两份。</w:t>
      </w:r>
    </w:p>
    <w:p>
      <w:pPr>
        <w:snapToGrid w:val="0"/>
        <w:ind w:firstLine="480"/>
        <w:rPr>
          <w:rFonts w:ascii="宋体" w:hAnsi="宋体"/>
          <w:color w:val="auto"/>
          <w:szCs w:val="20"/>
          <w:highlight w:val="none"/>
        </w:rPr>
      </w:pPr>
      <w:r>
        <w:rPr>
          <w:rFonts w:hint="eastAsia" w:ascii="宋体" w:hAnsi="宋体"/>
          <w:color w:val="auto"/>
          <w:highlight w:val="none"/>
        </w:rPr>
        <w:t>据此函，签字代表宣布同意如下：</w:t>
      </w:r>
    </w:p>
    <w:p>
      <w:pPr>
        <w:snapToGrid w:val="0"/>
        <w:ind w:firstLine="480"/>
        <w:rPr>
          <w:rFonts w:ascii="宋体" w:hAnsi="宋体"/>
          <w:color w:val="auto"/>
          <w:szCs w:val="20"/>
          <w:highlight w:val="none"/>
        </w:rPr>
      </w:pPr>
      <w:r>
        <w:rPr>
          <w:rFonts w:ascii="宋体" w:hAnsi="宋体"/>
          <w:color w:val="auto"/>
          <w:highlight w:val="none"/>
        </w:rPr>
        <w:t>1</w:t>
      </w:r>
      <w:r>
        <w:rPr>
          <w:rFonts w:hint="eastAsia" w:ascii="宋体" w:hAnsi="宋体"/>
          <w:color w:val="auto"/>
          <w:highlight w:val="none"/>
        </w:rPr>
        <w:t>.投标人已详细审查全部“招标文件”，包括修改文件（如有的话）以及全部参考资料和有关附件，已经了解我方对于招标文件、采购过程、采购结果有依法进行询问、质疑、投诉的权利及相关渠道和要求。</w:t>
      </w:r>
    </w:p>
    <w:p>
      <w:pPr>
        <w:snapToGrid w:val="0"/>
        <w:ind w:firstLine="480"/>
        <w:rPr>
          <w:rFonts w:ascii="宋体" w:hAnsi="宋体"/>
          <w:color w:val="auto"/>
          <w:szCs w:val="20"/>
          <w:highlight w:val="none"/>
        </w:rPr>
      </w:pPr>
      <w:r>
        <w:rPr>
          <w:rFonts w:ascii="宋体" w:hAnsi="宋体"/>
          <w:color w:val="auto"/>
          <w:highlight w:val="none"/>
        </w:rPr>
        <w:t>2</w:t>
      </w:r>
      <w:r>
        <w:rPr>
          <w:rFonts w:hint="eastAsia" w:ascii="宋体" w:hAnsi="宋体"/>
          <w:color w:val="auto"/>
          <w:highlight w:val="none"/>
        </w:rPr>
        <w:t>.投标人在投标之前已经与贵方进行了充分的沟通，完全理解并接受招标文件的各项规定和要求，对招标文件的合理性、合法性不再有异议。</w:t>
      </w:r>
    </w:p>
    <w:p>
      <w:pPr>
        <w:snapToGrid w:val="0"/>
        <w:ind w:firstLine="480"/>
        <w:rPr>
          <w:rFonts w:ascii="宋体" w:hAnsi="宋体"/>
          <w:color w:val="auto"/>
          <w:szCs w:val="20"/>
          <w:highlight w:val="none"/>
        </w:rPr>
      </w:pPr>
      <w:r>
        <w:rPr>
          <w:rFonts w:ascii="宋体" w:hAnsi="宋体"/>
          <w:color w:val="auto"/>
          <w:highlight w:val="none"/>
        </w:rPr>
        <w:t>3</w:t>
      </w:r>
      <w:r>
        <w:rPr>
          <w:rFonts w:hint="eastAsia" w:ascii="宋体" w:hAnsi="宋体"/>
          <w:color w:val="auto"/>
          <w:highlight w:val="none"/>
        </w:rPr>
        <w:t>.本投标有效期自开标日起</w:t>
      </w:r>
      <w:r>
        <w:rPr>
          <w:rFonts w:ascii="宋体" w:hAnsi="宋体"/>
          <w:color w:val="auto"/>
          <w:highlight w:val="none"/>
        </w:rPr>
        <w:t>______</w:t>
      </w:r>
      <w:r>
        <w:rPr>
          <w:rFonts w:hint="eastAsia" w:ascii="宋体" w:hAnsi="宋体"/>
          <w:color w:val="auto"/>
          <w:highlight w:val="none"/>
        </w:rPr>
        <w:t>天。</w:t>
      </w:r>
    </w:p>
    <w:p>
      <w:pPr>
        <w:snapToGrid w:val="0"/>
        <w:ind w:firstLine="480"/>
        <w:rPr>
          <w:rFonts w:ascii="宋体" w:hAnsi="宋体"/>
          <w:color w:val="auto"/>
          <w:szCs w:val="20"/>
          <w:highlight w:val="none"/>
        </w:rPr>
      </w:pPr>
      <w:r>
        <w:rPr>
          <w:rFonts w:ascii="宋体" w:hAnsi="宋体"/>
          <w:color w:val="auto"/>
          <w:highlight w:val="none"/>
        </w:rPr>
        <w:t>4</w:t>
      </w:r>
      <w:r>
        <w:rPr>
          <w:rFonts w:hint="eastAsia" w:ascii="宋体" w:hAnsi="宋体"/>
          <w:color w:val="auto"/>
          <w:highlight w:val="none"/>
        </w:rPr>
        <w:t>.如中标，本投标文件至本项目合同履行完毕止均保持有效，本投标人将按“招标文件”及政府采购法律、法规的规定履行合同责任和义务。</w:t>
      </w:r>
    </w:p>
    <w:p>
      <w:pPr>
        <w:snapToGrid w:val="0"/>
        <w:ind w:firstLine="480"/>
        <w:rPr>
          <w:rFonts w:ascii="宋体" w:hAnsi="宋体"/>
          <w:color w:val="auto"/>
          <w:szCs w:val="20"/>
          <w:highlight w:val="none"/>
        </w:rPr>
      </w:pPr>
      <w:r>
        <w:rPr>
          <w:rFonts w:ascii="宋体" w:hAnsi="宋体"/>
          <w:color w:val="auto"/>
          <w:highlight w:val="none"/>
        </w:rPr>
        <w:t>5</w:t>
      </w:r>
      <w:r>
        <w:rPr>
          <w:rFonts w:hint="eastAsia" w:ascii="宋体" w:hAnsi="宋体"/>
          <w:color w:val="auto"/>
          <w:highlight w:val="none"/>
        </w:rPr>
        <w:t>.投标人同意按照贵方要求提供与投标有关的一切数据或资料。</w:t>
      </w:r>
    </w:p>
    <w:p>
      <w:pPr>
        <w:snapToGrid w:val="0"/>
        <w:ind w:firstLine="480"/>
        <w:rPr>
          <w:rFonts w:ascii="宋体" w:hAnsi="宋体"/>
          <w:color w:val="auto"/>
          <w:szCs w:val="20"/>
          <w:highlight w:val="none"/>
        </w:rPr>
      </w:pPr>
      <w:r>
        <w:rPr>
          <w:rFonts w:ascii="宋体" w:hAnsi="宋体"/>
          <w:color w:val="auto"/>
          <w:highlight w:val="none"/>
        </w:rPr>
        <w:t>6</w:t>
      </w:r>
      <w:r>
        <w:rPr>
          <w:rFonts w:hint="eastAsia" w:ascii="宋体" w:hAnsi="宋体"/>
          <w:color w:val="auto"/>
          <w:highlight w:val="none"/>
        </w:rPr>
        <w:t>.与本投标有关的一切正式往来信函请寄：</w:t>
      </w:r>
    </w:p>
    <w:p>
      <w:pPr>
        <w:snapToGrid w:val="0"/>
        <w:ind w:firstLine="480"/>
        <w:rPr>
          <w:rFonts w:ascii="宋体" w:hAnsi="宋体"/>
          <w:color w:val="auto"/>
          <w:szCs w:val="20"/>
          <w:highlight w:val="none"/>
        </w:rPr>
      </w:pPr>
      <w:r>
        <w:rPr>
          <w:rFonts w:hint="eastAsia" w:ascii="宋体" w:hAnsi="宋体"/>
          <w:color w:val="auto"/>
          <w:highlight w:val="none"/>
        </w:rPr>
        <w:t>地址：</w:t>
      </w:r>
      <w:r>
        <w:rPr>
          <w:rFonts w:ascii="宋体" w:hAnsi="宋体"/>
          <w:color w:val="auto"/>
          <w:highlight w:val="none"/>
        </w:rPr>
        <w:t>__________</w:t>
      </w:r>
      <w:r>
        <w:rPr>
          <w:rFonts w:ascii="宋体" w:hAnsi="宋体"/>
          <w:color w:val="auto"/>
          <w:highlight w:val="none"/>
          <w:u w:val="single"/>
        </w:rPr>
        <w:t>_</w:t>
      </w:r>
      <w:r>
        <w:rPr>
          <w:rFonts w:ascii="宋体" w:hAnsi="宋体"/>
          <w:color w:val="auto"/>
          <w:highlight w:val="none"/>
        </w:rPr>
        <w:t>____</w:t>
      </w:r>
      <w:r>
        <w:rPr>
          <w:rFonts w:hint="eastAsia" w:ascii="宋体" w:hAnsi="宋体"/>
          <w:color w:val="auto"/>
          <w:highlight w:val="none"/>
        </w:rPr>
        <w:t>邮编：</w:t>
      </w:r>
      <w:r>
        <w:rPr>
          <w:rFonts w:ascii="宋体" w:hAnsi="宋体"/>
          <w:color w:val="auto"/>
          <w:highlight w:val="none"/>
        </w:rPr>
        <w:t>__________</w:t>
      </w:r>
      <w:r>
        <w:rPr>
          <w:rFonts w:hint="eastAsia" w:ascii="宋体" w:hAnsi="宋体"/>
          <w:color w:val="auto"/>
          <w:highlight w:val="none"/>
        </w:rPr>
        <w:t>电话：</w:t>
      </w:r>
      <w:r>
        <w:rPr>
          <w:rFonts w:ascii="宋体" w:hAnsi="宋体"/>
          <w:color w:val="auto"/>
          <w:highlight w:val="none"/>
        </w:rPr>
        <w:t>______________</w:t>
      </w:r>
    </w:p>
    <w:p>
      <w:pPr>
        <w:snapToGrid w:val="0"/>
        <w:ind w:firstLine="480"/>
        <w:rPr>
          <w:rFonts w:ascii="宋体" w:hAnsi="宋体"/>
          <w:color w:val="auto"/>
          <w:szCs w:val="20"/>
          <w:highlight w:val="none"/>
        </w:rPr>
      </w:pPr>
      <w:r>
        <w:rPr>
          <w:rFonts w:hint="eastAsia" w:ascii="宋体" w:hAnsi="宋体"/>
          <w:color w:val="auto"/>
          <w:highlight w:val="none"/>
        </w:rPr>
        <w:t>传真：</w:t>
      </w:r>
      <w:r>
        <w:rPr>
          <w:rFonts w:ascii="宋体" w:hAnsi="宋体"/>
          <w:color w:val="auto"/>
          <w:highlight w:val="none"/>
        </w:rPr>
        <w:t>______________</w:t>
      </w:r>
      <w:r>
        <w:rPr>
          <w:rFonts w:hint="eastAsia" w:ascii="宋体" w:hAnsi="宋体"/>
          <w:color w:val="auto"/>
          <w:highlight w:val="none"/>
        </w:rPr>
        <w:t>投标人代表姓名</w:t>
      </w:r>
      <w:r>
        <w:rPr>
          <w:rFonts w:ascii="宋体" w:hAnsi="宋体"/>
          <w:color w:val="auto"/>
          <w:highlight w:val="none"/>
        </w:rPr>
        <w:t>___________</w:t>
      </w:r>
      <w:r>
        <w:rPr>
          <w:rFonts w:hint="eastAsia" w:ascii="宋体" w:hAnsi="宋体"/>
          <w:color w:val="auto"/>
          <w:highlight w:val="none"/>
        </w:rPr>
        <w:t>职务：</w:t>
      </w:r>
      <w:r>
        <w:rPr>
          <w:rFonts w:ascii="宋体" w:hAnsi="宋体"/>
          <w:color w:val="auto"/>
          <w:highlight w:val="none"/>
        </w:rPr>
        <w:t>_____________</w:t>
      </w:r>
    </w:p>
    <w:p>
      <w:pPr>
        <w:snapToGrid w:val="0"/>
        <w:ind w:firstLine="480"/>
        <w:rPr>
          <w:rFonts w:ascii="宋体" w:hAnsi="宋体"/>
          <w:color w:val="auto"/>
          <w:szCs w:val="20"/>
          <w:highlight w:val="none"/>
        </w:rPr>
      </w:pPr>
      <w:r>
        <w:rPr>
          <w:rFonts w:hint="eastAsia" w:ascii="宋体" w:hAnsi="宋体"/>
          <w:color w:val="auto"/>
          <w:highlight w:val="none"/>
        </w:rPr>
        <w:t>投标人名称</w:t>
      </w:r>
      <w:r>
        <w:rPr>
          <w:rFonts w:ascii="宋体" w:hAnsi="宋体"/>
          <w:color w:val="auto"/>
          <w:highlight w:val="none"/>
        </w:rPr>
        <w:t>(</w:t>
      </w:r>
      <w:r>
        <w:rPr>
          <w:rFonts w:hint="eastAsia" w:ascii="宋体" w:hAnsi="宋体"/>
          <w:color w:val="auto"/>
          <w:highlight w:val="none"/>
        </w:rPr>
        <w:t>公章</w:t>
      </w:r>
      <w:r>
        <w:rPr>
          <w:rFonts w:ascii="宋体" w:hAnsi="宋体"/>
          <w:color w:val="auto"/>
          <w:highlight w:val="none"/>
        </w:rPr>
        <w:t>):___________________</w:t>
      </w:r>
    </w:p>
    <w:p>
      <w:pPr>
        <w:snapToGrid w:val="0"/>
        <w:ind w:firstLine="480"/>
        <w:rPr>
          <w:rFonts w:ascii="宋体" w:hAnsi="宋体"/>
          <w:color w:val="auto"/>
          <w:highlight w:val="none"/>
        </w:rPr>
      </w:pPr>
      <w:r>
        <w:rPr>
          <w:rFonts w:hint="eastAsia" w:ascii="宋体" w:hAnsi="宋体"/>
          <w:color w:val="auto"/>
          <w:highlight w:val="none"/>
        </w:rPr>
        <w:t>授权代表签字</w:t>
      </w:r>
      <w:r>
        <w:rPr>
          <w:rFonts w:ascii="宋体" w:hAnsi="宋体"/>
          <w:color w:val="auto"/>
          <w:highlight w:val="none"/>
        </w:rPr>
        <w:t>:___________</w:t>
      </w:r>
    </w:p>
    <w:p>
      <w:pPr>
        <w:snapToGrid w:val="0"/>
        <w:ind w:firstLine="480"/>
        <w:rPr>
          <w:rFonts w:ascii="宋体" w:hAnsi="宋体"/>
          <w:color w:val="auto"/>
          <w:sz w:val="30"/>
          <w:szCs w:val="20"/>
          <w:highlight w:val="none"/>
        </w:rPr>
      </w:pPr>
      <w:r>
        <w:rPr>
          <w:rFonts w:hint="eastAsia" w:ascii="宋体" w:hAnsi="宋体"/>
          <w:color w:val="auto"/>
          <w:highlight w:val="none"/>
        </w:rPr>
        <w:t>日期</w:t>
      </w:r>
      <w:r>
        <w:rPr>
          <w:rFonts w:ascii="宋体" w:hAnsi="宋体"/>
          <w:color w:val="auto"/>
          <w:highlight w:val="none"/>
        </w:rPr>
        <w:t>:_____</w:t>
      </w:r>
      <w:r>
        <w:rPr>
          <w:rFonts w:hint="eastAsia" w:ascii="宋体" w:hAnsi="宋体"/>
          <w:color w:val="auto"/>
          <w:highlight w:val="none"/>
        </w:rPr>
        <w:t>年</w:t>
      </w:r>
      <w:r>
        <w:rPr>
          <w:rFonts w:ascii="宋体" w:hAnsi="宋体"/>
          <w:color w:val="auto"/>
          <w:highlight w:val="none"/>
        </w:rPr>
        <w:t>___</w:t>
      </w:r>
      <w:r>
        <w:rPr>
          <w:rFonts w:hint="eastAsia" w:ascii="宋体" w:hAnsi="宋体"/>
          <w:color w:val="auto"/>
          <w:highlight w:val="none"/>
        </w:rPr>
        <w:t>月</w:t>
      </w:r>
      <w:r>
        <w:rPr>
          <w:rFonts w:ascii="宋体" w:hAnsi="宋体"/>
          <w:color w:val="auto"/>
          <w:highlight w:val="none"/>
        </w:rPr>
        <w:t>___</w:t>
      </w:r>
      <w:r>
        <w:rPr>
          <w:rFonts w:hint="eastAsia" w:ascii="宋体" w:hAnsi="宋体"/>
          <w:color w:val="auto"/>
          <w:highlight w:val="none"/>
        </w:rPr>
        <w:t>日</w:t>
      </w:r>
    </w:p>
    <w:p>
      <w:pPr>
        <w:snapToGrid w:val="0"/>
        <w:spacing w:before="50" w:after="50"/>
        <w:ind w:left="-24" w:leftChars="-72" w:right="-934" w:rightChars="-389" w:hanging="149" w:hangingChars="62"/>
        <w:rPr>
          <w:rFonts w:ascii="宋体" w:hAnsi="宋体"/>
          <w:b/>
          <w:color w:val="auto"/>
          <w:highlight w:val="none"/>
        </w:rPr>
      </w:pPr>
    </w:p>
    <w:p>
      <w:pPr>
        <w:snapToGrid w:val="0"/>
        <w:spacing w:before="50" w:after="50"/>
        <w:ind w:left="-24" w:leftChars="-72" w:right="-934" w:rightChars="-389" w:hanging="149" w:hangingChars="62"/>
        <w:rPr>
          <w:rFonts w:ascii="宋体" w:hAnsi="宋体"/>
          <w:b/>
          <w:color w:val="auto"/>
          <w:highlight w:val="none"/>
        </w:rPr>
      </w:pPr>
    </w:p>
    <w:p>
      <w:pPr>
        <w:snapToGrid w:val="0"/>
        <w:spacing w:before="50" w:after="50"/>
        <w:ind w:right="-934" w:rightChars="-389" w:firstLine="0" w:firstLineChars="0"/>
        <w:rPr>
          <w:rFonts w:ascii="宋体" w:hAnsi="宋体"/>
          <w:b/>
          <w:color w:val="auto"/>
          <w:highlight w:val="none"/>
        </w:rPr>
      </w:pPr>
    </w:p>
    <w:p>
      <w:pPr>
        <w:snapToGrid w:val="0"/>
        <w:spacing w:before="50" w:after="50"/>
        <w:ind w:left="-24" w:leftChars="-72" w:right="-934" w:rightChars="-389" w:hanging="149" w:hangingChars="62"/>
        <w:rPr>
          <w:rFonts w:ascii="宋体" w:hAnsi="宋体"/>
          <w:b/>
          <w:color w:val="auto"/>
          <w:highlight w:val="none"/>
        </w:rPr>
      </w:pPr>
    </w:p>
    <w:p>
      <w:pPr>
        <w:snapToGrid w:val="0"/>
        <w:spacing w:before="50" w:after="50"/>
        <w:ind w:left="-24" w:leftChars="-72" w:right="-934" w:rightChars="-389" w:hanging="149" w:hangingChars="62"/>
        <w:rPr>
          <w:rFonts w:ascii="宋体" w:hAnsi="宋体"/>
          <w:b/>
          <w:color w:val="auto"/>
          <w:highlight w:val="none"/>
        </w:rPr>
      </w:pPr>
    </w:p>
    <w:p>
      <w:pPr>
        <w:snapToGrid w:val="0"/>
        <w:spacing w:before="50" w:after="50"/>
        <w:ind w:left="-24" w:leftChars="-72" w:right="-934" w:rightChars="-389" w:hanging="149" w:hangingChars="62"/>
        <w:rPr>
          <w:rFonts w:ascii="宋体" w:hAnsi="宋体"/>
          <w:color w:val="auto"/>
          <w:highlight w:val="none"/>
        </w:rPr>
      </w:pPr>
      <w:r>
        <w:rPr>
          <w:rFonts w:hint="eastAsia" w:ascii="宋体" w:hAnsi="宋体"/>
          <w:b/>
          <w:color w:val="auto"/>
          <w:highlight w:val="none"/>
        </w:rPr>
        <w:t>附件13：开标一览表</w:t>
      </w:r>
    </w:p>
    <w:p>
      <w:pPr>
        <w:snapToGrid w:val="0"/>
        <w:spacing w:before="50" w:after="50"/>
        <w:ind w:firstLine="602"/>
        <w:jc w:val="center"/>
        <w:rPr>
          <w:rFonts w:ascii="宋体" w:hAnsi="宋体"/>
          <w:b/>
          <w:color w:val="auto"/>
          <w:sz w:val="30"/>
          <w:szCs w:val="20"/>
          <w:highlight w:val="none"/>
        </w:rPr>
      </w:pPr>
      <w:r>
        <w:rPr>
          <w:rFonts w:hint="eastAsia" w:ascii="宋体" w:hAnsi="宋体"/>
          <w:b/>
          <w:color w:val="auto"/>
          <w:sz w:val="30"/>
          <w:highlight w:val="none"/>
        </w:rPr>
        <w:t>开标一览表</w:t>
      </w:r>
    </w:p>
    <w:p>
      <w:pPr>
        <w:snapToGrid w:val="0"/>
        <w:spacing w:before="50" w:after="50"/>
        <w:ind w:firstLine="0" w:firstLineChars="0"/>
        <w:rPr>
          <w:rFonts w:ascii="宋体" w:hAnsi="宋体"/>
          <w:color w:val="auto"/>
          <w:highlight w:val="none"/>
        </w:rPr>
      </w:pPr>
      <w:r>
        <w:rPr>
          <w:rFonts w:hint="eastAsia" w:ascii="宋体" w:hAnsi="宋体"/>
          <w:color w:val="auto"/>
          <w:highlight w:val="none"/>
        </w:rPr>
        <w:t>项目名称：</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 xml:space="preserve"> 单位：元       </w:t>
      </w:r>
    </w:p>
    <w:p>
      <w:pPr>
        <w:snapToGrid w:val="0"/>
        <w:spacing w:before="50" w:after="50"/>
        <w:ind w:firstLine="0" w:firstLineChars="0"/>
        <w:rPr>
          <w:rFonts w:ascii="宋体" w:hAnsi="宋体"/>
          <w:color w:val="auto"/>
          <w:szCs w:val="20"/>
          <w:highlight w:val="none"/>
          <w:u w:val="single"/>
        </w:rPr>
      </w:pPr>
      <w:r>
        <w:rPr>
          <w:rFonts w:hint="eastAsia" w:ascii="宋体" w:hAnsi="宋体"/>
          <w:color w:val="auto"/>
          <w:highlight w:val="none"/>
        </w:rPr>
        <w:t>招标编号：</w:t>
      </w:r>
      <w:r>
        <w:rPr>
          <w:rFonts w:hint="eastAsia" w:ascii="宋体" w:hAnsi="宋体"/>
          <w:color w:val="auto"/>
          <w:highlight w:val="none"/>
          <w:u w:val="single"/>
        </w:rPr>
        <w:t xml:space="preserve">                     </w:t>
      </w:r>
    </w:p>
    <w:tbl>
      <w:tblPr>
        <w:tblStyle w:val="46"/>
        <w:tblW w:w="94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0"/>
        <w:gridCol w:w="2431"/>
        <w:gridCol w:w="1015"/>
        <w:gridCol w:w="1440"/>
        <w:gridCol w:w="1079"/>
        <w:gridCol w:w="1288"/>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50" w:line="240" w:lineRule="auto"/>
              <w:ind w:firstLine="0" w:firstLineChars="0"/>
              <w:jc w:val="center"/>
              <w:rPr>
                <w:rFonts w:ascii="宋体" w:hAnsi="宋体"/>
                <w:b/>
                <w:color w:val="auto"/>
                <w:szCs w:val="30"/>
                <w:highlight w:val="none"/>
              </w:rPr>
            </w:pPr>
            <w:bookmarkStart w:id="18" w:name="OLE_LINK14"/>
            <w:bookmarkStart w:id="19" w:name="OLE_LINK13"/>
            <w:r>
              <w:rPr>
                <w:rFonts w:hint="eastAsia" w:ascii="宋体" w:hAnsi="宋体"/>
                <w:bCs/>
                <w:color w:val="auto"/>
                <w:szCs w:val="30"/>
                <w:highlight w:val="none"/>
              </w:rPr>
              <w:t>序号</w:t>
            </w:r>
          </w:p>
        </w:tc>
        <w:tc>
          <w:tcPr>
            <w:tcW w:w="24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b/>
                <w:color w:val="auto"/>
                <w:szCs w:val="30"/>
                <w:highlight w:val="none"/>
              </w:rPr>
            </w:pPr>
            <w:r>
              <w:rPr>
                <w:rFonts w:hint="eastAsia" w:ascii="宋体" w:hAnsi="宋体"/>
                <w:b/>
                <w:color w:val="auto"/>
                <w:szCs w:val="30"/>
                <w:highlight w:val="none"/>
              </w:rPr>
              <w:t>服务名称</w:t>
            </w:r>
          </w:p>
        </w:tc>
        <w:tc>
          <w:tcPr>
            <w:tcW w:w="10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b/>
                <w:color w:val="auto"/>
                <w:szCs w:val="30"/>
                <w:highlight w:val="none"/>
              </w:rPr>
            </w:pPr>
            <w:r>
              <w:rPr>
                <w:rFonts w:hint="eastAsia" w:ascii="宋体" w:hAnsi="宋体"/>
                <w:b/>
                <w:color w:val="auto"/>
                <w:szCs w:val="30"/>
                <w:highlight w:val="none"/>
              </w:rPr>
              <w:t>产地</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b/>
                <w:color w:val="auto"/>
                <w:szCs w:val="30"/>
                <w:highlight w:val="none"/>
              </w:rPr>
            </w:pPr>
            <w:r>
              <w:rPr>
                <w:rFonts w:hint="eastAsia" w:ascii="宋体" w:hAnsi="宋体"/>
                <w:b/>
                <w:color w:val="auto"/>
                <w:szCs w:val="30"/>
                <w:highlight w:val="none"/>
              </w:rPr>
              <w:t>品牌及厂家</w:t>
            </w:r>
          </w:p>
        </w:tc>
        <w:tc>
          <w:tcPr>
            <w:tcW w:w="10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b/>
                <w:color w:val="auto"/>
                <w:szCs w:val="30"/>
                <w:highlight w:val="none"/>
              </w:rPr>
            </w:pPr>
            <w:r>
              <w:rPr>
                <w:rFonts w:hint="eastAsia" w:ascii="宋体" w:hAnsi="宋体"/>
                <w:b/>
                <w:color w:val="auto"/>
                <w:szCs w:val="30"/>
                <w:highlight w:val="none"/>
              </w:rPr>
              <w:t>规格</w:t>
            </w:r>
          </w:p>
          <w:p>
            <w:pPr>
              <w:adjustRightInd w:val="0"/>
              <w:snapToGrid w:val="0"/>
              <w:spacing w:line="240" w:lineRule="auto"/>
              <w:ind w:firstLine="0" w:firstLineChars="0"/>
              <w:jc w:val="center"/>
              <w:rPr>
                <w:rFonts w:ascii="宋体" w:hAnsi="宋体"/>
                <w:b/>
                <w:color w:val="auto"/>
                <w:szCs w:val="30"/>
                <w:highlight w:val="none"/>
              </w:rPr>
            </w:pPr>
            <w:r>
              <w:rPr>
                <w:rFonts w:hint="eastAsia" w:ascii="宋体" w:hAnsi="宋体"/>
                <w:b/>
                <w:color w:val="auto"/>
                <w:szCs w:val="30"/>
                <w:highlight w:val="none"/>
              </w:rPr>
              <w:t>型号</w:t>
            </w:r>
          </w:p>
        </w:tc>
        <w:tc>
          <w:tcPr>
            <w:tcW w:w="1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b/>
                <w:color w:val="auto"/>
                <w:szCs w:val="30"/>
                <w:highlight w:val="none"/>
              </w:rPr>
            </w:pPr>
            <w:r>
              <w:rPr>
                <w:rFonts w:hint="eastAsia" w:ascii="宋体" w:hAnsi="宋体"/>
                <w:b/>
                <w:bCs/>
                <w:color w:val="auto"/>
                <w:highlight w:val="none"/>
              </w:rPr>
              <w:t>单点服务费单价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b/>
                <w:color w:val="auto"/>
                <w:szCs w:val="30"/>
                <w:highlight w:val="none"/>
              </w:rPr>
            </w:pPr>
            <w:r>
              <w:rPr>
                <w:rFonts w:hint="eastAsia" w:ascii="宋体" w:hAnsi="宋体"/>
                <w:b/>
                <w:color w:val="auto"/>
                <w:szCs w:val="30"/>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50" w:line="240" w:lineRule="auto"/>
              <w:ind w:firstLine="0" w:firstLineChars="0"/>
              <w:jc w:val="center"/>
              <w:rPr>
                <w:rFonts w:ascii="宋体" w:hAnsi="宋体"/>
                <w:b/>
                <w:color w:val="auto"/>
                <w:szCs w:val="30"/>
                <w:highlight w:val="none"/>
              </w:rPr>
            </w:pPr>
            <w:r>
              <w:rPr>
                <w:rFonts w:hint="eastAsia" w:ascii="宋体" w:hAnsi="宋体"/>
                <w:b/>
                <w:color w:val="auto"/>
                <w:szCs w:val="30"/>
                <w:highlight w:val="none"/>
              </w:rPr>
              <w:t>1</w:t>
            </w:r>
          </w:p>
        </w:tc>
        <w:tc>
          <w:tcPr>
            <w:tcW w:w="24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b/>
                <w:color w:val="auto"/>
                <w:szCs w:val="30"/>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b/>
                <w:color w:val="auto"/>
                <w:szCs w:val="30"/>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b/>
                <w:color w:val="auto"/>
                <w:szCs w:val="30"/>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b/>
                <w:color w:val="auto"/>
                <w:szCs w:val="30"/>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b/>
                <w:color w:val="auto"/>
                <w:szCs w:val="30"/>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b/>
                <w:color w:val="auto"/>
                <w:szCs w:val="30"/>
                <w:highlight w:val="none"/>
              </w:rPr>
            </w:pPr>
            <w:r>
              <w:rPr>
                <w:rFonts w:hint="eastAsia" w:ascii="宋体" w:hAnsi="宋体"/>
                <w:b/>
                <w:color w:val="auto"/>
                <w:szCs w:val="30"/>
                <w:highlight w:val="none"/>
              </w:rPr>
              <w:t>三年所有点位总计费用报价不超过137</w:t>
            </w:r>
            <w:r>
              <w:rPr>
                <w:rFonts w:hint="eastAsia" w:ascii="宋体" w:hAnsi="宋体"/>
                <w:b/>
                <w:color w:val="auto"/>
                <w:szCs w:val="30"/>
                <w:highlight w:val="none"/>
                <w:lang w:val="en-US" w:eastAsia="zh-CN"/>
              </w:rPr>
              <w:t>5.998</w:t>
            </w:r>
            <w:r>
              <w:rPr>
                <w:rFonts w:hint="eastAsia" w:ascii="宋体" w:hAnsi="宋体"/>
                <w:b/>
                <w:color w:val="auto"/>
                <w:szCs w:val="30"/>
                <w:highlight w:val="none"/>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9492"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ind w:firstLine="482"/>
              <w:rPr>
                <w:rFonts w:ascii="宋体" w:hAnsi="宋体"/>
                <w:color w:val="auto"/>
                <w:highlight w:val="none"/>
              </w:rPr>
            </w:pPr>
            <w:r>
              <w:rPr>
                <w:rFonts w:hint="eastAsia" w:ascii="宋体" w:hAnsi="宋体"/>
                <w:b/>
                <w:bCs/>
                <w:color w:val="auto"/>
                <w:highlight w:val="none"/>
              </w:rPr>
              <w:t>单点服务费投标单价大写：</w:t>
            </w:r>
            <w:r>
              <w:rPr>
                <w:rFonts w:hint="eastAsia" w:ascii="宋体" w:hAnsi="宋体"/>
                <w:b/>
                <w:bCs/>
                <w:color w:val="auto"/>
                <w:highlight w:val="none"/>
                <w:u w:val="single"/>
              </w:rPr>
              <w:t xml:space="preserve">           </w:t>
            </w:r>
            <w:r>
              <w:rPr>
                <w:rFonts w:hint="eastAsia" w:ascii="宋体" w:hAnsi="宋体"/>
                <w:b/>
                <w:bCs/>
                <w:color w:val="auto"/>
                <w:highlight w:val="none"/>
              </w:rPr>
              <w:t xml:space="preserve">            小写</w:t>
            </w:r>
            <w:r>
              <w:rPr>
                <w:rFonts w:hint="eastAsia" w:ascii="宋体" w:hAnsi="宋体"/>
                <w:b/>
                <w:bCs/>
                <w:color w:val="auto"/>
                <w:highlight w:val="none"/>
                <w:shd w:val="clear" w:color="auto" w:fill="FFFFFF"/>
              </w:rPr>
              <w:t>¥</w:t>
            </w:r>
            <w:r>
              <w:rPr>
                <w:rFonts w:hint="eastAsia" w:ascii="宋体" w:hAnsi="宋体"/>
                <w:b/>
                <w:bCs/>
                <w:color w:val="auto"/>
                <w:highlight w:val="none"/>
              </w:rPr>
              <w:t>：</w:t>
            </w:r>
            <w:r>
              <w:rPr>
                <w:rFonts w:hint="eastAsia" w:ascii="宋体" w:hAnsi="宋体"/>
                <w:b/>
                <w:bCs/>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9492"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ind w:firstLine="482"/>
              <w:rPr>
                <w:rFonts w:ascii="宋体" w:hAnsi="宋体"/>
                <w:color w:val="auto"/>
                <w:highlight w:val="none"/>
              </w:rPr>
            </w:pPr>
            <w:r>
              <w:rPr>
                <w:rFonts w:hint="eastAsia" w:ascii="宋体" w:hAnsi="宋体"/>
                <w:b/>
                <w:bCs/>
                <w:color w:val="auto"/>
                <w:highlight w:val="none"/>
              </w:rPr>
              <w:t>三年服务费总计大写：</w:t>
            </w:r>
            <w:r>
              <w:rPr>
                <w:rFonts w:hint="eastAsia" w:ascii="宋体" w:hAnsi="宋体"/>
                <w:b/>
                <w:bCs/>
                <w:color w:val="auto"/>
                <w:highlight w:val="none"/>
                <w:u w:val="single"/>
              </w:rPr>
              <w:t xml:space="preserve">           </w:t>
            </w:r>
            <w:r>
              <w:rPr>
                <w:rFonts w:hint="eastAsia" w:ascii="宋体" w:hAnsi="宋体"/>
                <w:b/>
                <w:bCs/>
                <w:color w:val="auto"/>
                <w:highlight w:val="none"/>
              </w:rPr>
              <w:t xml:space="preserve">                小写</w:t>
            </w:r>
            <w:r>
              <w:rPr>
                <w:rFonts w:hint="eastAsia" w:ascii="宋体" w:hAnsi="宋体"/>
                <w:b/>
                <w:bCs/>
                <w:color w:val="auto"/>
                <w:highlight w:val="none"/>
                <w:shd w:val="clear" w:color="auto" w:fill="FFFFFF"/>
              </w:rPr>
              <w:t>¥</w:t>
            </w:r>
            <w:r>
              <w:rPr>
                <w:rFonts w:hint="eastAsia" w:ascii="宋体" w:hAnsi="宋体"/>
                <w:b/>
                <w:bCs/>
                <w:color w:val="auto"/>
                <w:highlight w:val="none"/>
              </w:rPr>
              <w:t>：</w:t>
            </w:r>
            <w:r>
              <w:rPr>
                <w:rFonts w:hint="eastAsia" w:ascii="宋体" w:hAnsi="宋体"/>
                <w:b/>
                <w:bCs/>
                <w:color w:val="auto"/>
                <w:highlight w:val="none"/>
                <w:u w:val="single"/>
              </w:rPr>
              <w:t xml:space="preserve">          </w:t>
            </w:r>
            <w:r>
              <w:rPr>
                <w:rFonts w:hint="eastAsia" w:ascii="宋体" w:hAnsi="宋体"/>
                <w:color w:val="auto"/>
                <w:highlight w:val="none"/>
              </w:rPr>
              <w:t xml:space="preserve">               </w:t>
            </w:r>
          </w:p>
        </w:tc>
      </w:tr>
    </w:tbl>
    <w:p>
      <w:pPr>
        <w:snapToGrid w:val="0"/>
        <w:spacing w:before="50" w:after="50"/>
        <w:ind w:firstLine="480"/>
        <w:rPr>
          <w:rFonts w:ascii="宋体" w:hAnsi="宋体"/>
          <w:color w:val="auto"/>
          <w:szCs w:val="20"/>
          <w:highlight w:val="none"/>
        </w:rPr>
      </w:pPr>
      <w:r>
        <w:rPr>
          <w:rFonts w:hint="eastAsia" w:ascii="宋体" w:hAnsi="宋体"/>
          <w:color w:val="auto"/>
          <w:highlight w:val="none"/>
        </w:rPr>
        <w:t>注</w:t>
      </w:r>
      <w:r>
        <w:rPr>
          <w:rFonts w:ascii="宋体" w:hAnsi="宋体"/>
          <w:color w:val="auto"/>
          <w:highlight w:val="none"/>
        </w:rPr>
        <w:t>:1</w:t>
      </w:r>
      <w:r>
        <w:rPr>
          <w:rFonts w:hint="eastAsia" w:ascii="宋体" w:hAnsi="宋体"/>
          <w:color w:val="auto"/>
          <w:highlight w:val="none"/>
        </w:rPr>
        <w:t>、</w:t>
      </w:r>
      <w:r>
        <w:rPr>
          <w:rFonts w:hint="eastAsia"/>
          <w:b/>
          <w:bCs/>
          <w:color w:val="auto"/>
          <w:highlight w:val="none"/>
        </w:rPr>
        <w:t>每点服务费用不超过</w:t>
      </w:r>
      <w:r>
        <w:rPr>
          <w:rFonts w:hint="eastAsia"/>
          <w:b/>
          <w:bCs/>
          <w:color w:val="auto"/>
          <w:highlight w:val="none"/>
          <w:lang w:eastAsia="zh-CN"/>
        </w:rPr>
        <w:t>882.05</w:t>
      </w:r>
      <w:r>
        <w:rPr>
          <w:rFonts w:hint="eastAsia"/>
          <w:b/>
          <w:bCs/>
          <w:color w:val="auto"/>
          <w:highlight w:val="none"/>
        </w:rPr>
        <w:t>元每年，开标一览表填写每点的服务费用单价。</w:t>
      </w:r>
      <w:r>
        <w:rPr>
          <w:rFonts w:hint="eastAsia" w:ascii="宋体" w:hAnsi="宋体"/>
          <w:color w:val="auto"/>
          <w:highlight w:val="none"/>
        </w:rPr>
        <w:t>报价一经涂改，应在涂改处加盖单位公章或者由法定代表人或授权委托人签字或盖章，否则其投标作无效标处理。</w:t>
      </w:r>
    </w:p>
    <w:p>
      <w:pPr>
        <w:snapToGrid w:val="0"/>
        <w:spacing w:before="50" w:after="50"/>
        <w:ind w:firstLine="480"/>
        <w:rPr>
          <w:rFonts w:ascii="宋体" w:hAnsi="宋体"/>
          <w:color w:val="auto"/>
          <w:highlight w:val="none"/>
        </w:rPr>
      </w:pPr>
      <w:r>
        <w:rPr>
          <w:rFonts w:hint="eastAsia" w:ascii="宋体" w:hAnsi="宋体"/>
          <w:color w:val="auto"/>
          <w:highlight w:val="none"/>
        </w:rPr>
        <w:t>2、投标费用包括项目实施所需的人工费、服务费、运输费、安装调试费、购买及制作标书费、税费及其他一切费用。</w:t>
      </w:r>
    </w:p>
    <w:p>
      <w:pPr>
        <w:snapToGrid w:val="0"/>
        <w:spacing w:before="50" w:after="50" w:line="240" w:lineRule="auto"/>
        <w:ind w:left="65" w:leftChars="27" w:right="-934" w:rightChars="-389" w:firstLine="328" w:firstLineChars="137"/>
        <w:rPr>
          <w:rFonts w:ascii="宋体" w:hAnsi="宋体"/>
          <w:color w:val="auto"/>
          <w:highlight w:val="none"/>
        </w:rPr>
      </w:pPr>
      <w:r>
        <w:rPr>
          <w:rFonts w:hint="eastAsia" w:ascii="宋体" w:hAnsi="宋体"/>
          <w:color w:val="auto"/>
          <w:highlight w:val="none"/>
        </w:rPr>
        <w:t>3、本表格式不允许修改，否则作无效标处理。</w:t>
      </w:r>
    </w:p>
    <w:p>
      <w:pPr>
        <w:snapToGrid w:val="0"/>
        <w:spacing w:before="50" w:after="50" w:line="240" w:lineRule="auto"/>
        <w:ind w:left="65" w:leftChars="27" w:right="-934" w:rightChars="-389" w:firstLine="4401" w:firstLineChars="1834"/>
        <w:rPr>
          <w:rFonts w:ascii="宋体" w:hAnsi="宋体"/>
          <w:color w:val="auto"/>
          <w:szCs w:val="20"/>
          <w:highlight w:val="none"/>
        </w:rPr>
      </w:pPr>
      <w:r>
        <w:rPr>
          <w:rFonts w:hint="eastAsia" w:ascii="宋体" w:hAnsi="宋体"/>
          <w:color w:val="auto"/>
          <w:highlight w:val="none"/>
        </w:rPr>
        <w:t>法定代表人或授权代表（签字并盖章）：</w:t>
      </w:r>
      <w:r>
        <w:rPr>
          <w:rFonts w:ascii="宋体" w:hAnsi="宋体"/>
          <w:color w:val="auto"/>
          <w:highlight w:val="none"/>
        </w:rPr>
        <w:t xml:space="preserve"> </w:t>
      </w:r>
    </w:p>
    <w:p>
      <w:pPr>
        <w:snapToGrid w:val="0"/>
        <w:spacing w:before="50" w:after="50" w:line="240" w:lineRule="auto"/>
        <w:ind w:left="65" w:leftChars="27" w:right="-934" w:rightChars="-389" w:firstLine="4401" w:firstLineChars="1834"/>
        <w:rPr>
          <w:rFonts w:ascii="宋体" w:hAnsi="宋体"/>
          <w:color w:val="auto"/>
          <w:highlight w:val="none"/>
        </w:rPr>
      </w:pPr>
      <w:r>
        <w:rPr>
          <w:rFonts w:hint="eastAsia" w:ascii="宋体" w:hAnsi="宋体"/>
          <w:color w:val="auto"/>
          <w:highlight w:val="none"/>
        </w:rPr>
        <w:t>投标人名称（盖章）：</w:t>
      </w:r>
      <w:r>
        <w:rPr>
          <w:rFonts w:ascii="宋体" w:hAnsi="宋体"/>
          <w:color w:val="auto"/>
          <w:highlight w:val="none"/>
        </w:rPr>
        <w:t xml:space="preserve"> </w:t>
      </w:r>
    </w:p>
    <w:p>
      <w:pPr>
        <w:ind w:firstLine="480"/>
        <w:rPr>
          <w:color w:val="auto"/>
          <w:highlight w:val="none"/>
        </w:rPr>
        <w:sectPr>
          <w:headerReference r:id="rId17" w:type="first"/>
          <w:footerReference r:id="rId19" w:type="first"/>
          <w:headerReference r:id="rId16" w:type="default"/>
          <w:footerReference r:id="rId18" w:type="even"/>
          <w:pgSz w:w="11906" w:h="16838"/>
          <w:pgMar w:top="1440" w:right="1588" w:bottom="1474" w:left="1800" w:header="851" w:footer="992" w:gutter="0"/>
          <w:cols w:space="720" w:num="1"/>
          <w:docGrid w:linePitch="312" w:charSpace="0"/>
        </w:sectPr>
      </w:pPr>
      <w:r>
        <w:rPr>
          <w:rFonts w:hint="eastAsia" w:ascii="宋体" w:hAnsi="宋体"/>
          <w:color w:val="auto"/>
          <w:highlight w:val="none"/>
        </w:rPr>
        <w:t>日期：</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p>
    <w:bookmarkEnd w:id="18"/>
    <w:bookmarkEnd w:id="19"/>
    <w:p>
      <w:pPr>
        <w:snapToGrid w:val="0"/>
        <w:spacing w:before="50" w:after="50"/>
        <w:ind w:right="-934" w:rightChars="-389" w:firstLine="0" w:firstLineChars="0"/>
        <w:rPr>
          <w:rFonts w:ascii="宋体" w:hAnsi="宋体"/>
          <w:b/>
          <w:color w:val="auto"/>
          <w:highlight w:val="none"/>
        </w:rPr>
      </w:pPr>
      <w:r>
        <w:rPr>
          <w:rFonts w:hint="eastAsia" w:ascii="宋体" w:hAnsi="宋体"/>
          <w:b/>
          <w:color w:val="auto"/>
          <w:highlight w:val="none"/>
        </w:rPr>
        <w:t>附件14：项目验收单及附件格式：</w:t>
      </w:r>
      <w:r>
        <w:rPr>
          <w:rFonts w:ascii="宋体" w:hAnsi="宋体"/>
          <w:b/>
          <w:color w:val="auto"/>
          <w:highlight w:val="none"/>
        </w:rPr>
        <w:t xml:space="preserve"> </w:t>
      </w:r>
    </w:p>
    <w:p>
      <w:pPr>
        <w:jc w:val="center"/>
        <w:rPr>
          <w:rFonts w:hAnsi="宋体"/>
          <w:b/>
          <w:color w:val="auto"/>
          <w:sz w:val="44"/>
          <w:szCs w:val="44"/>
          <w:highlight w:val="none"/>
        </w:rPr>
      </w:pPr>
      <w:r>
        <w:rPr>
          <w:rFonts w:hint="eastAsia" w:hAnsi="宋体"/>
          <w:b/>
          <w:color w:val="auto"/>
          <w:sz w:val="44"/>
          <w:szCs w:val="44"/>
          <w:highlight w:val="none"/>
        </w:rPr>
        <w:t>东阳市政府采购初验报告</w:t>
      </w:r>
    </w:p>
    <w:tbl>
      <w:tblPr>
        <w:tblStyle w:val="46"/>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821"/>
        <w:gridCol w:w="1973"/>
        <w:gridCol w:w="433"/>
        <w:gridCol w:w="1275"/>
        <w:gridCol w:w="1203"/>
        <w:gridCol w:w="1207"/>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650" w:type="dxa"/>
            <w:gridSpan w:val="2"/>
            <w:tcBorders>
              <w:top w:val="single" w:color="auto" w:sz="6" w:space="0"/>
              <w:left w:val="single" w:color="auto" w:sz="6" w:space="0"/>
              <w:right w:val="single" w:color="auto" w:sz="6" w:space="0"/>
            </w:tcBorders>
            <w:vAlign w:val="center"/>
          </w:tcPr>
          <w:p>
            <w:pPr>
              <w:ind w:firstLine="0" w:firstLineChars="0"/>
              <w:rPr>
                <w:b/>
                <w:color w:val="auto"/>
                <w:szCs w:val="21"/>
                <w:highlight w:val="none"/>
              </w:rPr>
            </w:pPr>
            <w:r>
              <w:rPr>
                <w:rFonts w:hint="eastAsia" w:hAnsi="宋体"/>
                <w:b/>
                <w:color w:val="auto"/>
                <w:szCs w:val="21"/>
                <w:highlight w:val="none"/>
              </w:rPr>
              <w:t>采购</w:t>
            </w:r>
            <w:r>
              <w:rPr>
                <w:rFonts w:hAnsi="宋体"/>
                <w:b/>
                <w:color w:val="auto"/>
                <w:szCs w:val="21"/>
                <w:highlight w:val="none"/>
              </w:rPr>
              <w:t>项目名称</w:t>
            </w:r>
          </w:p>
        </w:tc>
        <w:tc>
          <w:tcPr>
            <w:tcW w:w="2406" w:type="dxa"/>
            <w:gridSpan w:val="2"/>
            <w:tcBorders>
              <w:top w:val="single" w:color="auto" w:sz="6" w:space="0"/>
              <w:left w:val="single" w:color="auto" w:sz="6" w:space="0"/>
              <w:right w:val="single" w:color="auto" w:sz="6" w:space="0"/>
            </w:tcBorders>
            <w:vAlign w:val="center"/>
          </w:tcPr>
          <w:p>
            <w:pPr>
              <w:ind w:firstLine="360"/>
              <w:jc w:val="center"/>
              <w:rPr>
                <w:color w:val="auto"/>
                <w:sz w:val="18"/>
                <w:szCs w:val="18"/>
                <w:highlight w:val="none"/>
              </w:rPr>
            </w:pPr>
          </w:p>
        </w:tc>
        <w:tc>
          <w:tcPr>
            <w:tcW w:w="2478" w:type="dxa"/>
            <w:gridSpan w:val="2"/>
            <w:tcBorders>
              <w:top w:val="single" w:color="auto" w:sz="6" w:space="0"/>
              <w:left w:val="single" w:color="auto" w:sz="6" w:space="0"/>
              <w:right w:val="single" w:color="auto" w:sz="4" w:space="0"/>
            </w:tcBorders>
            <w:vAlign w:val="center"/>
          </w:tcPr>
          <w:p>
            <w:pPr>
              <w:ind w:firstLine="482"/>
              <w:jc w:val="center"/>
              <w:rPr>
                <w:b/>
                <w:color w:val="auto"/>
                <w:szCs w:val="21"/>
                <w:highlight w:val="none"/>
              </w:rPr>
            </w:pPr>
            <w:r>
              <w:rPr>
                <w:rFonts w:hint="eastAsia"/>
                <w:b/>
                <w:color w:val="auto"/>
                <w:szCs w:val="21"/>
                <w:highlight w:val="none"/>
              </w:rPr>
              <w:t>采购项目编号</w:t>
            </w:r>
          </w:p>
        </w:tc>
        <w:tc>
          <w:tcPr>
            <w:tcW w:w="2440" w:type="dxa"/>
            <w:gridSpan w:val="2"/>
            <w:tcBorders>
              <w:top w:val="single" w:color="auto" w:sz="6" w:space="0"/>
              <w:left w:val="single" w:color="auto" w:sz="4" w:space="0"/>
              <w:right w:val="single" w:color="auto" w:sz="6" w:space="0"/>
            </w:tcBorders>
            <w:vAlign w:val="center"/>
          </w:tcPr>
          <w:p>
            <w:pPr>
              <w:ind w:firstLine="48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vAlign w:val="center"/>
          </w:tcPr>
          <w:p>
            <w:pPr>
              <w:ind w:firstLine="0" w:firstLineChars="0"/>
              <w:jc w:val="both"/>
              <w:rPr>
                <w:b/>
                <w:color w:val="auto"/>
                <w:szCs w:val="21"/>
                <w:highlight w:val="none"/>
              </w:rPr>
            </w:pPr>
            <w:r>
              <w:rPr>
                <w:rFonts w:hint="eastAsia" w:hAnsi="宋体"/>
                <w:b/>
                <w:color w:val="auto"/>
                <w:szCs w:val="21"/>
                <w:highlight w:val="none"/>
              </w:rPr>
              <w:t>开标时间</w:t>
            </w:r>
          </w:p>
        </w:tc>
        <w:tc>
          <w:tcPr>
            <w:tcW w:w="2406" w:type="dxa"/>
            <w:gridSpan w:val="2"/>
            <w:tcBorders>
              <w:top w:val="single" w:color="auto" w:sz="6" w:space="0"/>
              <w:left w:val="single" w:color="auto" w:sz="6" w:space="0"/>
              <w:right w:val="single" w:color="auto" w:sz="6" w:space="0"/>
            </w:tcBorders>
            <w:vAlign w:val="center"/>
          </w:tcPr>
          <w:p>
            <w:pPr>
              <w:ind w:firstLine="480"/>
              <w:jc w:val="center"/>
              <w:rPr>
                <w:color w:val="auto"/>
                <w:szCs w:val="21"/>
                <w:highlight w:val="none"/>
              </w:rPr>
            </w:pPr>
          </w:p>
        </w:tc>
        <w:tc>
          <w:tcPr>
            <w:tcW w:w="2478" w:type="dxa"/>
            <w:gridSpan w:val="2"/>
            <w:tcBorders>
              <w:top w:val="dotted" w:color="auto" w:sz="4" w:space="0"/>
              <w:left w:val="single" w:color="auto" w:sz="6" w:space="0"/>
              <w:right w:val="single" w:color="auto" w:sz="6" w:space="0"/>
            </w:tcBorders>
            <w:vAlign w:val="center"/>
          </w:tcPr>
          <w:p>
            <w:pPr>
              <w:ind w:firstLine="482"/>
              <w:jc w:val="center"/>
              <w:rPr>
                <w:b/>
                <w:color w:val="auto"/>
                <w:szCs w:val="21"/>
                <w:highlight w:val="none"/>
              </w:rPr>
            </w:pPr>
            <w:r>
              <w:rPr>
                <w:rFonts w:hint="eastAsia"/>
                <w:b/>
                <w:color w:val="auto"/>
                <w:szCs w:val="21"/>
                <w:highlight w:val="none"/>
              </w:rPr>
              <w:t>验收时间</w:t>
            </w:r>
          </w:p>
        </w:tc>
        <w:tc>
          <w:tcPr>
            <w:tcW w:w="2440" w:type="dxa"/>
            <w:gridSpan w:val="2"/>
            <w:tcBorders>
              <w:top w:val="dotted" w:color="auto" w:sz="4" w:space="0"/>
              <w:left w:val="single" w:color="auto" w:sz="6" w:space="0"/>
              <w:right w:val="single" w:color="auto" w:sz="6" w:space="0"/>
            </w:tcBorders>
            <w:vAlign w:val="center"/>
          </w:tcPr>
          <w:p>
            <w:pPr>
              <w:ind w:firstLine="120" w:firstLineChars="5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vAlign w:val="center"/>
          </w:tcPr>
          <w:p>
            <w:pPr>
              <w:ind w:firstLine="0" w:firstLineChars="0"/>
              <w:jc w:val="both"/>
              <w:rPr>
                <w:rFonts w:hAnsi="宋体"/>
                <w:b/>
                <w:color w:val="auto"/>
                <w:szCs w:val="21"/>
                <w:highlight w:val="none"/>
              </w:rPr>
            </w:pPr>
            <w:r>
              <w:rPr>
                <w:rFonts w:hint="eastAsia" w:hAnsi="宋体"/>
                <w:b/>
                <w:color w:val="auto"/>
                <w:szCs w:val="21"/>
                <w:highlight w:val="none"/>
              </w:rPr>
              <w:t>采购人名称</w:t>
            </w:r>
          </w:p>
        </w:tc>
        <w:tc>
          <w:tcPr>
            <w:tcW w:w="2406" w:type="dxa"/>
            <w:gridSpan w:val="2"/>
            <w:tcBorders>
              <w:top w:val="single" w:color="auto" w:sz="6" w:space="0"/>
              <w:left w:val="single" w:color="auto" w:sz="6" w:space="0"/>
              <w:right w:val="single" w:color="auto" w:sz="4" w:space="0"/>
            </w:tcBorders>
            <w:vAlign w:val="center"/>
          </w:tcPr>
          <w:p>
            <w:pPr>
              <w:ind w:firstLine="480"/>
              <w:jc w:val="center"/>
              <w:rPr>
                <w:color w:val="auto"/>
                <w:szCs w:val="21"/>
                <w:highlight w:val="none"/>
              </w:rPr>
            </w:pPr>
          </w:p>
        </w:tc>
        <w:tc>
          <w:tcPr>
            <w:tcW w:w="1275" w:type="dxa"/>
            <w:tcBorders>
              <w:top w:val="single" w:color="auto" w:sz="6" w:space="0"/>
              <w:left w:val="single" w:color="auto" w:sz="4" w:space="0"/>
              <w:right w:val="single" w:color="auto" w:sz="4" w:space="0"/>
            </w:tcBorders>
            <w:vAlign w:val="center"/>
          </w:tcPr>
          <w:p>
            <w:pPr>
              <w:ind w:firstLine="120" w:firstLineChars="50"/>
              <w:rPr>
                <w:b/>
                <w:color w:val="auto"/>
                <w:szCs w:val="21"/>
                <w:highlight w:val="none"/>
              </w:rPr>
            </w:pPr>
            <w:r>
              <w:rPr>
                <w:rFonts w:hint="eastAsia"/>
                <w:b/>
                <w:color w:val="auto"/>
                <w:szCs w:val="21"/>
                <w:highlight w:val="none"/>
              </w:rPr>
              <w:t>联系人</w:t>
            </w:r>
          </w:p>
        </w:tc>
        <w:tc>
          <w:tcPr>
            <w:tcW w:w="1203" w:type="dxa"/>
            <w:tcBorders>
              <w:top w:val="single" w:color="auto" w:sz="6" w:space="0"/>
              <w:left w:val="single" w:color="auto" w:sz="4" w:space="0"/>
              <w:right w:val="single" w:color="auto" w:sz="4" w:space="0"/>
            </w:tcBorders>
            <w:vAlign w:val="center"/>
          </w:tcPr>
          <w:p>
            <w:pPr>
              <w:ind w:firstLine="120" w:firstLineChars="50"/>
              <w:rPr>
                <w:color w:val="auto"/>
                <w:szCs w:val="21"/>
                <w:highlight w:val="none"/>
              </w:rPr>
            </w:pPr>
          </w:p>
        </w:tc>
        <w:tc>
          <w:tcPr>
            <w:tcW w:w="1207" w:type="dxa"/>
            <w:tcBorders>
              <w:top w:val="single" w:color="auto" w:sz="6" w:space="0"/>
              <w:left w:val="single" w:color="auto" w:sz="4" w:space="0"/>
              <w:right w:val="single" w:color="auto" w:sz="4" w:space="0"/>
            </w:tcBorders>
            <w:vAlign w:val="center"/>
          </w:tcPr>
          <w:p>
            <w:pPr>
              <w:ind w:firstLine="120" w:firstLineChars="50"/>
              <w:rPr>
                <w:b/>
                <w:color w:val="auto"/>
                <w:szCs w:val="21"/>
                <w:highlight w:val="none"/>
              </w:rPr>
            </w:pPr>
            <w:r>
              <w:rPr>
                <w:rFonts w:hint="eastAsia"/>
                <w:b/>
                <w:color w:val="auto"/>
                <w:szCs w:val="21"/>
                <w:highlight w:val="none"/>
              </w:rPr>
              <w:t>电话</w:t>
            </w:r>
          </w:p>
        </w:tc>
        <w:tc>
          <w:tcPr>
            <w:tcW w:w="1233" w:type="dxa"/>
            <w:tcBorders>
              <w:top w:val="single" w:color="auto" w:sz="6" w:space="0"/>
              <w:left w:val="single" w:color="auto" w:sz="4" w:space="0"/>
              <w:right w:val="single" w:color="auto" w:sz="6" w:space="0"/>
            </w:tcBorders>
            <w:vAlign w:val="center"/>
          </w:tcPr>
          <w:p>
            <w:pPr>
              <w:ind w:firstLine="120" w:firstLineChars="5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vAlign w:val="center"/>
          </w:tcPr>
          <w:p>
            <w:pPr>
              <w:ind w:firstLine="0" w:firstLineChars="0"/>
              <w:jc w:val="both"/>
              <w:rPr>
                <w:rFonts w:hAnsi="宋体"/>
                <w:b/>
                <w:color w:val="auto"/>
                <w:szCs w:val="21"/>
                <w:highlight w:val="none"/>
              </w:rPr>
            </w:pPr>
            <w:r>
              <w:rPr>
                <w:rFonts w:hint="eastAsia" w:hAnsi="宋体"/>
                <w:b/>
                <w:color w:val="auto"/>
                <w:szCs w:val="21"/>
                <w:highlight w:val="none"/>
              </w:rPr>
              <w:t>供应商名称</w:t>
            </w:r>
          </w:p>
        </w:tc>
        <w:tc>
          <w:tcPr>
            <w:tcW w:w="2406" w:type="dxa"/>
            <w:gridSpan w:val="2"/>
            <w:tcBorders>
              <w:top w:val="single" w:color="auto" w:sz="6" w:space="0"/>
              <w:left w:val="single" w:color="auto" w:sz="6" w:space="0"/>
              <w:right w:val="single" w:color="auto" w:sz="4" w:space="0"/>
            </w:tcBorders>
            <w:vAlign w:val="center"/>
          </w:tcPr>
          <w:p>
            <w:pPr>
              <w:ind w:firstLine="480"/>
              <w:jc w:val="center"/>
              <w:rPr>
                <w:color w:val="auto"/>
                <w:szCs w:val="21"/>
                <w:highlight w:val="none"/>
              </w:rPr>
            </w:pPr>
          </w:p>
        </w:tc>
        <w:tc>
          <w:tcPr>
            <w:tcW w:w="1275" w:type="dxa"/>
            <w:tcBorders>
              <w:top w:val="single" w:color="auto" w:sz="6" w:space="0"/>
              <w:left w:val="single" w:color="auto" w:sz="4" w:space="0"/>
              <w:right w:val="single" w:color="auto" w:sz="4" w:space="0"/>
            </w:tcBorders>
            <w:vAlign w:val="center"/>
          </w:tcPr>
          <w:p>
            <w:pPr>
              <w:ind w:firstLine="120" w:firstLineChars="50"/>
              <w:rPr>
                <w:b/>
                <w:color w:val="auto"/>
                <w:szCs w:val="21"/>
                <w:highlight w:val="none"/>
              </w:rPr>
            </w:pPr>
            <w:r>
              <w:rPr>
                <w:rFonts w:hint="eastAsia"/>
                <w:b/>
                <w:color w:val="auto"/>
                <w:szCs w:val="21"/>
                <w:highlight w:val="none"/>
              </w:rPr>
              <w:t>联系人</w:t>
            </w:r>
          </w:p>
        </w:tc>
        <w:tc>
          <w:tcPr>
            <w:tcW w:w="1203" w:type="dxa"/>
            <w:tcBorders>
              <w:top w:val="single" w:color="auto" w:sz="6" w:space="0"/>
              <w:left w:val="single" w:color="auto" w:sz="4" w:space="0"/>
              <w:right w:val="single" w:color="auto" w:sz="4" w:space="0"/>
            </w:tcBorders>
            <w:vAlign w:val="center"/>
          </w:tcPr>
          <w:p>
            <w:pPr>
              <w:ind w:firstLine="120" w:firstLineChars="50"/>
              <w:rPr>
                <w:color w:val="auto"/>
                <w:szCs w:val="21"/>
                <w:highlight w:val="none"/>
              </w:rPr>
            </w:pPr>
          </w:p>
        </w:tc>
        <w:tc>
          <w:tcPr>
            <w:tcW w:w="1207" w:type="dxa"/>
            <w:tcBorders>
              <w:top w:val="single" w:color="auto" w:sz="6" w:space="0"/>
              <w:left w:val="single" w:color="auto" w:sz="4" w:space="0"/>
              <w:right w:val="single" w:color="auto" w:sz="4" w:space="0"/>
            </w:tcBorders>
            <w:vAlign w:val="center"/>
          </w:tcPr>
          <w:p>
            <w:pPr>
              <w:ind w:firstLine="120" w:firstLineChars="50"/>
              <w:rPr>
                <w:b/>
                <w:color w:val="auto"/>
                <w:szCs w:val="21"/>
                <w:highlight w:val="none"/>
              </w:rPr>
            </w:pPr>
            <w:r>
              <w:rPr>
                <w:rFonts w:hint="eastAsia"/>
                <w:b/>
                <w:color w:val="auto"/>
                <w:szCs w:val="21"/>
                <w:highlight w:val="none"/>
              </w:rPr>
              <w:t>电话</w:t>
            </w:r>
          </w:p>
        </w:tc>
        <w:tc>
          <w:tcPr>
            <w:tcW w:w="1233" w:type="dxa"/>
            <w:tcBorders>
              <w:top w:val="single" w:color="auto" w:sz="6" w:space="0"/>
              <w:left w:val="single" w:color="auto" w:sz="4" w:space="0"/>
              <w:right w:val="single" w:color="auto" w:sz="6" w:space="0"/>
            </w:tcBorders>
            <w:vAlign w:val="center"/>
          </w:tcPr>
          <w:p>
            <w:pPr>
              <w:ind w:firstLine="120" w:firstLineChars="5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left w:val="single" w:color="auto" w:sz="6" w:space="0"/>
              <w:right w:val="single" w:color="auto" w:sz="6" w:space="0"/>
            </w:tcBorders>
            <w:vAlign w:val="center"/>
          </w:tcPr>
          <w:p>
            <w:pPr>
              <w:ind w:firstLine="0" w:firstLineChars="0"/>
              <w:jc w:val="both"/>
              <w:rPr>
                <w:rFonts w:hAnsi="宋体"/>
                <w:b/>
                <w:color w:val="auto"/>
                <w:szCs w:val="21"/>
                <w:highlight w:val="none"/>
              </w:rPr>
            </w:pPr>
            <w:r>
              <w:rPr>
                <w:rFonts w:hint="eastAsia" w:hAnsi="宋体"/>
                <w:b/>
                <w:color w:val="auto"/>
                <w:szCs w:val="21"/>
                <w:highlight w:val="none"/>
              </w:rPr>
              <w:t>采购内容</w:t>
            </w:r>
          </w:p>
        </w:tc>
        <w:tc>
          <w:tcPr>
            <w:tcW w:w="2406" w:type="dxa"/>
            <w:gridSpan w:val="2"/>
            <w:tcBorders>
              <w:top w:val="single" w:color="auto" w:sz="6" w:space="0"/>
              <w:left w:val="single" w:color="auto" w:sz="6" w:space="0"/>
              <w:right w:val="single" w:color="auto" w:sz="4" w:space="0"/>
            </w:tcBorders>
            <w:vAlign w:val="center"/>
          </w:tcPr>
          <w:p>
            <w:pPr>
              <w:ind w:firstLine="480"/>
              <w:jc w:val="center"/>
              <w:rPr>
                <w:color w:val="auto"/>
                <w:szCs w:val="21"/>
                <w:highlight w:val="none"/>
              </w:rPr>
            </w:pPr>
          </w:p>
        </w:tc>
        <w:tc>
          <w:tcPr>
            <w:tcW w:w="1275" w:type="dxa"/>
            <w:tcBorders>
              <w:top w:val="single" w:color="auto" w:sz="6" w:space="0"/>
              <w:left w:val="single" w:color="auto" w:sz="4" w:space="0"/>
              <w:right w:val="single" w:color="auto" w:sz="6" w:space="0"/>
            </w:tcBorders>
            <w:vAlign w:val="center"/>
          </w:tcPr>
          <w:p>
            <w:pPr>
              <w:ind w:firstLine="0" w:firstLineChars="0"/>
              <w:rPr>
                <w:b/>
                <w:color w:val="auto"/>
                <w:szCs w:val="21"/>
                <w:highlight w:val="none"/>
              </w:rPr>
            </w:pPr>
            <w:r>
              <w:rPr>
                <w:rFonts w:hint="eastAsia"/>
                <w:b/>
                <w:color w:val="auto"/>
                <w:szCs w:val="21"/>
                <w:highlight w:val="none"/>
              </w:rPr>
              <w:t>金 额</w:t>
            </w:r>
          </w:p>
        </w:tc>
        <w:tc>
          <w:tcPr>
            <w:tcW w:w="1203" w:type="dxa"/>
            <w:tcBorders>
              <w:top w:val="single" w:color="auto" w:sz="6" w:space="0"/>
              <w:left w:val="single" w:color="auto" w:sz="4" w:space="0"/>
              <w:right w:val="single" w:color="auto" w:sz="6" w:space="0"/>
            </w:tcBorders>
            <w:vAlign w:val="center"/>
          </w:tcPr>
          <w:p>
            <w:pPr>
              <w:ind w:firstLine="120" w:firstLineChars="50"/>
              <w:rPr>
                <w:color w:val="auto"/>
                <w:szCs w:val="21"/>
                <w:highlight w:val="none"/>
              </w:rPr>
            </w:pPr>
          </w:p>
        </w:tc>
        <w:tc>
          <w:tcPr>
            <w:tcW w:w="1207" w:type="dxa"/>
            <w:tcBorders>
              <w:top w:val="single" w:color="auto" w:sz="6" w:space="0"/>
              <w:left w:val="single" w:color="auto" w:sz="4" w:space="0"/>
              <w:right w:val="single" w:color="auto" w:sz="6" w:space="0"/>
            </w:tcBorders>
            <w:vAlign w:val="center"/>
          </w:tcPr>
          <w:p>
            <w:pPr>
              <w:ind w:firstLine="0" w:firstLineChars="0"/>
              <w:rPr>
                <w:b/>
                <w:color w:val="auto"/>
                <w:szCs w:val="21"/>
                <w:highlight w:val="none"/>
              </w:rPr>
            </w:pPr>
            <w:r>
              <w:rPr>
                <w:rFonts w:hint="eastAsia"/>
                <w:b/>
                <w:color w:val="auto"/>
                <w:szCs w:val="21"/>
                <w:highlight w:val="none"/>
              </w:rPr>
              <w:t>验收方式</w:t>
            </w:r>
          </w:p>
        </w:tc>
        <w:tc>
          <w:tcPr>
            <w:tcW w:w="1233" w:type="dxa"/>
            <w:tcBorders>
              <w:top w:val="single" w:color="auto" w:sz="6" w:space="0"/>
              <w:left w:val="single" w:color="auto" w:sz="4" w:space="0"/>
              <w:right w:val="single" w:color="auto" w:sz="6" w:space="0"/>
            </w:tcBorders>
            <w:vAlign w:val="center"/>
          </w:tcPr>
          <w:p>
            <w:pPr>
              <w:ind w:firstLine="120" w:firstLineChars="50"/>
              <w:rPr>
                <w:color w:val="auto"/>
                <w:szCs w:val="21"/>
                <w:highlight w:val="none"/>
              </w:rPr>
            </w:pPr>
            <w:r>
              <w:rPr>
                <w:rFonts w:hint="eastAsia"/>
                <w:color w:val="auto"/>
                <w:szCs w:val="21"/>
                <w:highlight w:val="none"/>
              </w:rPr>
              <w:t>全验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29" w:type="dxa"/>
            <w:vMerge w:val="restart"/>
            <w:tcBorders>
              <w:top w:val="single" w:color="auto" w:sz="6" w:space="0"/>
              <w:left w:val="single" w:color="auto" w:sz="6" w:space="0"/>
              <w:right w:val="single" w:color="auto" w:sz="4" w:space="0"/>
            </w:tcBorders>
            <w:vAlign w:val="center"/>
          </w:tcPr>
          <w:p>
            <w:pPr>
              <w:ind w:firstLine="0" w:firstLineChars="0"/>
              <w:jc w:val="both"/>
              <w:rPr>
                <w:b/>
                <w:color w:val="auto"/>
                <w:szCs w:val="21"/>
                <w:highlight w:val="none"/>
              </w:rPr>
            </w:pPr>
            <w:r>
              <w:rPr>
                <w:rFonts w:hAnsi="宋体"/>
                <w:b/>
                <w:color w:val="auto"/>
                <w:szCs w:val="21"/>
                <w:highlight w:val="none"/>
              </w:rPr>
              <w:t>对照</w:t>
            </w:r>
            <w:r>
              <w:rPr>
                <w:rFonts w:hint="eastAsia" w:hAnsi="宋体"/>
                <w:b/>
                <w:color w:val="auto"/>
                <w:szCs w:val="21"/>
                <w:highlight w:val="none"/>
              </w:rPr>
              <w:t>投标文件</w:t>
            </w:r>
            <w:r>
              <w:rPr>
                <w:rFonts w:hAnsi="宋体"/>
                <w:b/>
                <w:color w:val="auto"/>
                <w:szCs w:val="21"/>
                <w:highlight w:val="none"/>
              </w:rPr>
              <w:t>合同</w:t>
            </w:r>
            <w:r>
              <w:rPr>
                <w:rFonts w:hint="eastAsia" w:hAnsi="宋体"/>
                <w:b/>
                <w:color w:val="auto"/>
                <w:szCs w:val="21"/>
                <w:highlight w:val="none"/>
              </w:rPr>
              <w:t>等验收情况</w:t>
            </w:r>
          </w:p>
        </w:tc>
        <w:tc>
          <w:tcPr>
            <w:tcW w:w="2794" w:type="dxa"/>
            <w:gridSpan w:val="2"/>
            <w:tcBorders>
              <w:top w:val="single" w:color="auto" w:sz="6" w:space="0"/>
              <w:left w:val="single" w:color="auto" w:sz="4" w:space="0"/>
              <w:bottom w:val="dotted" w:color="auto" w:sz="4" w:space="0"/>
              <w:right w:val="dotted" w:color="auto" w:sz="4" w:space="0"/>
            </w:tcBorders>
            <w:vAlign w:val="center"/>
          </w:tcPr>
          <w:p>
            <w:pPr>
              <w:ind w:firstLine="480"/>
              <w:jc w:val="center"/>
              <w:rPr>
                <w:color w:val="auto"/>
                <w:szCs w:val="21"/>
                <w:highlight w:val="none"/>
              </w:rPr>
            </w:pPr>
            <w:r>
              <w:rPr>
                <w:rFonts w:hAnsi="宋体"/>
                <w:color w:val="auto"/>
                <w:szCs w:val="21"/>
                <w:highlight w:val="none"/>
              </w:rPr>
              <w:t>交货数量</w:t>
            </w:r>
          </w:p>
        </w:tc>
        <w:tc>
          <w:tcPr>
            <w:tcW w:w="5351" w:type="dxa"/>
            <w:gridSpan w:val="5"/>
            <w:tcBorders>
              <w:top w:val="single" w:color="auto" w:sz="6" w:space="0"/>
              <w:left w:val="dotted" w:color="auto" w:sz="4" w:space="0"/>
              <w:bottom w:val="dotted" w:color="auto" w:sz="4" w:space="0"/>
              <w:right w:val="single" w:color="auto" w:sz="6" w:space="0"/>
            </w:tcBorders>
            <w:vAlign w:val="center"/>
          </w:tcPr>
          <w:p>
            <w:pPr>
              <w:ind w:firstLine="48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829" w:type="dxa"/>
            <w:vMerge w:val="continue"/>
            <w:tcBorders>
              <w:left w:val="single" w:color="auto" w:sz="6" w:space="0"/>
              <w:right w:val="single" w:color="auto" w:sz="4" w:space="0"/>
            </w:tcBorders>
            <w:vAlign w:val="center"/>
          </w:tcPr>
          <w:p>
            <w:pPr>
              <w:ind w:firstLine="480"/>
              <w:jc w:val="center"/>
              <w:rPr>
                <w:color w:val="auto"/>
                <w:szCs w:val="21"/>
                <w:highlight w:val="none"/>
              </w:rPr>
            </w:pPr>
          </w:p>
        </w:tc>
        <w:tc>
          <w:tcPr>
            <w:tcW w:w="2794" w:type="dxa"/>
            <w:gridSpan w:val="2"/>
            <w:tcBorders>
              <w:top w:val="dotted" w:color="auto" w:sz="4" w:space="0"/>
              <w:left w:val="single" w:color="auto" w:sz="4" w:space="0"/>
              <w:bottom w:val="dotted" w:color="auto" w:sz="4" w:space="0"/>
              <w:right w:val="dotted" w:color="auto" w:sz="4" w:space="0"/>
            </w:tcBorders>
            <w:vAlign w:val="center"/>
          </w:tcPr>
          <w:p>
            <w:pPr>
              <w:spacing w:line="240" w:lineRule="auto"/>
              <w:ind w:firstLine="0" w:firstLineChars="0"/>
              <w:jc w:val="both"/>
              <w:rPr>
                <w:color w:val="auto"/>
                <w:szCs w:val="21"/>
                <w:highlight w:val="none"/>
              </w:rPr>
            </w:pPr>
            <w:r>
              <w:rPr>
                <w:rFonts w:hint="eastAsia" w:hAnsi="宋体"/>
                <w:color w:val="auto"/>
                <w:szCs w:val="21"/>
                <w:highlight w:val="none"/>
              </w:rPr>
              <w:t>产品设备的</w:t>
            </w:r>
            <w:r>
              <w:rPr>
                <w:rFonts w:hAnsi="宋体"/>
                <w:color w:val="auto"/>
                <w:szCs w:val="21"/>
                <w:highlight w:val="none"/>
              </w:rPr>
              <w:t>技术参数、型号规格、和产地</w:t>
            </w:r>
          </w:p>
        </w:tc>
        <w:tc>
          <w:tcPr>
            <w:tcW w:w="5351" w:type="dxa"/>
            <w:gridSpan w:val="5"/>
            <w:tcBorders>
              <w:top w:val="dotted" w:color="auto" w:sz="4" w:space="0"/>
              <w:left w:val="dotted" w:color="auto" w:sz="4" w:space="0"/>
              <w:bottom w:val="dotted" w:color="auto" w:sz="4" w:space="0"/>
              <w:right w:val="single" w:color="auto" w:sz="6" w:space="0"/>
            </w:tcBorders>
            <w:vAlign w:val="center"/>
          </w:tcPr>
          <w:p>
            <w:pPr>
              <w:ind w:firstLine="48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829" w:type="dxa"/>
            <w:vMerge w:val="continue"/>
            <w:tcBorders>
              <w:left w:val="single" w:color="auto" w:sz="6" w:space="0"/>
              <w:right w:val="single" w:color="auto" w:sz="4" w:space="0"/>
            </w:tcBorders>
            <w:vAlign w:val="center"/>
          </w:tcPr>
          <w:p>
            <w:pPr>
              <w:ind w:firstLine="480"/>
              <w:jc w:val="center"/>
              <w:rPr>
                <w:color w:val="auto"/>
                <w:szCs w:val="21"/>
                <w:highlight w:val="none"/>
              </w:rPr>
            </w:pPr>
          </w:p>
        </w:tc>
        <w:tc>
          <w:tcPr>
            <w:tcW w:w="2794" w:type="dxa"/>
            <w:gridSpan w:val="2"/>
            <w:tcBorders>
              <w:top w:val="dotted" w:color="auto" w:sz="4" w:space="0"/>
              <w:left w:val="single" w:color="auto" w:sz="4" w:space="0"/>
              <w:bottom w:val="dotted" w:color="auto" w:sz="4" w:space="0"/>
              <w:right w:val="dotted" w:color="auto" w:sz="4" w:space="0"/>
            </w:tcBorders>
            <w:vAlign w:val="center"/>
          </w:tcPr>
          <w:p>
            <w:pPr>
              <w:spacing w:line="240" w:lineRule="auto"/>
              <w:ind w:firstLine="0" w:firstLineChars="0"/>
              <w:jc w:val="both"/>
              <w:rPr>
                <w:color w:val="auto"/>
                <w:szCs w:val="21"/>
                <w:highlight w:val="none"/>
              </w:rPr>
            </w:pPr>
            <w:r>
              <w:rPr>
                <w:rFonts w:hAnsi="宋体"/>
                <w:color w:val="auto"/>
                <w:szCs w:val="21"/>
                <w:highlight w:val="none"/>
              </w:rPr>
              <w:t>实现的功能、指标、效果或约定的验收标准</w:t>
            </w:r>
          </w:p>
        </w:tc>
        <w:tc>
          <w:tcPr>
            <w:tcW w:w="5351" w:type="dxa"/>
            <w:gridSpan w:val="5"/>
            <w:tcBorders>
              <w:top w:val="dotted" w:color="auto" w:sz="4" w:space="0"/>
              <w:left w:val="dotted" w:color="auto" w:sz="4" w:space="0"/>
              <w:bottom w:val="dotted" w:color="auto" w:sz="4" w:space="0"/>
              <w:right w:val="single" w:color="auto" w:sz="4" w:space="0"/>
            </w:tcBorders>
            <w:vAlign w:val="center"/>
          </w:tcPr>
          <w:p>
            <w:pPr>
              <w:ind w:firstLine="48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829" w:type="dxa"/>
            <w:vMerge w:val="continue"/>
            <w:tcBorders>
              <w:left w:val="single" w:color="auto" w:sz="6" w:space="0"/>
              <w:right w:val="single" w:color="auto" w:sz="4" w:space="0"/>
            </w:tcBorders>
            <w:vAlign w:val="center"/>
          </w:tcPr>
          <w:p>
            <w:pPr>
              <w:ind w:firstLine="480"/>
              <w:jc w:val="center"/>
              <w:rPr>
                <w:color w:val="auto"/>
                <w:szCs w:val="21"/>
                <w:highlight w:val="none"/>
              </w:rPr>
            </w:pPr>
          </w:p>
        </w:tc>
        <w:tc>
          <w:tcPr>
            <w:tcW w:w="2794" w:type="dxa"/>
            <w:gridSpan w:val="2"/>
            <w:tcBorders>
              <w:top w:val="dotted" w:color="auto" w:sz="4" w:space="0"/>
              <w:left w:val="single" w:color="auto" w:sz="4" w:space="0"/>
              <w:bottom w:val="dotted" w:color="auto" w:sz="4" w:space="0"/>
              <w:right w:val="dotted" w:color="auto" w:sz="4" w:space="0"/>
            </w:tcBorders>
            <w:vAlign w:val="center"/>
          </w:tcPr>
          <w:p>
            <w:pPr>
              <w:spacing w:line="240" w:lineRule="auto"/>
              <w:ind w:firstLine="0" w:firstLineChars="0"/>
              <w:jc w:val="both"/>
              <w:rPr>
                <w:color w:val="auto"/>
                <w:szCs w:val="21"/>
                <w:highlight w:val="none"/>
              </w:rPr>
            </w:pPr>
            <w:r>
              <w:rPr>
                <w:rFonts w:hAnsi="宋体"/>
                <w:color w:val="auto"/>
                <w:szCs w:val="21"/>
                <w:highlight w:val="none"/>
              </w:rPr>
              <w:t>技术培训与使用须知指引</w:t>
            </w:r>
          </w:p>
        </w:tc>
        <w:tc>
          <w:tcPr>
            <w:tcW w:w="5351" w:type="dxa"/>
            <w:gridSpan w:val="5"/>
            <w:tcBorders>
              <w:top w:val="dotted" w:color="auto" w:sz="4" w:space="0"/>
              <w:left w:val="dotted" w:color="auto" w:sz="4" w:space="0"/>
              <w:bottom w:val="dotted" w:color="auto" w:sz="4" w:space="0"/>
              <w:right w:val="single" w:color="auto" w:sz="4" w:space="0"/>
            </w:tcBorders>
            <w:vAlign w:val="center"/>
          </w:tcPr>
          <w:p>
            <w:pPr>
              <w:ind w:firstLine="48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29" w:type="dxa"/>
            <w:vMerge w:val="continue"/>
            <w:tcBorders>
              <w:left w:val="single" w:color="auto" w:sz="6" w:space="0"/>
              <w:right w:val="single" w:color="auto" w:sz="4" w:space="0"/>
            </w:tcBorders>
            <w:vAlign w:val="center"/>
          </w:tcPr>
          <w:p>
            <w:pPr>
              <w:ind w:firstLine="480"/>
              <w:jc w:val="center"/>
              <w:rPr>
                <w:color w:val="auto"/>
                <w:szCs w:val="21"/>
                <w:highlight w:val="none"/>
              </w:rPr>
            </w:pPr>
          </w:p>
        </w:tc>
        <w:tc>
          <w:tcPr>
            <w:tcW w:w="2794" w:type="dxa"/>
            <w:gridSpan w:val="2"/>
            <w:tcBorders>
              <w:top w:val="dotted" w:color="auto" w:sz="4" w:space="0"/>
              <w:left w:val="single" w:color="auto" w:sz="4" w:space="0"/>
              <w:bottom w:val="single" w:color="auto" w:sz="6" w:space="0"/>
              <w:right w:val="dotted" w:color="auto" w:sz="4" w:space="0"/>
            </w:tcBorders>
            <w:vAlign w:val="center"/>
          </w:tcPr>
          <w:p>
            <w:pPr>
              <w:spacing w:line="240" w:lineRule="auto"/>
              <w:ind w:firstLine="0" w:firstLineChars="0"/>
              <w:jc w:val="both"/>
              <w:rPr>
                <w:rFonts w:hAnsi="宋体"/>
                <w:color w:val="auto"/>
                <w:szCs w:val="21"/>
                <w:highlight w:val="none"/>
              </w:rPr>
            </w:pPr>
            <w:r>
              <w:rPr>
                <w:rFonts w:hAnsi="宋体"/>
                <w:color w:val="auto"/>
                <w:szCs w:val="21"/>
                <w:highlight w:val="none"/>
              </w:rPr>
              <w:t>技术资料、售后服务资料等</w:t>
            </w:r>
            <w:r>
              <w:rPr>
                <w:rFonts w:hint="eastAsia" w:hAnsi="宋体"/>
                <w:color w:val="auto"/>
                <w:szCs w:val="21"/>
                <w:highlight w:val="none"/>
              </w:rPr>
              <w:t>档案清点</w:t>
            </w:r>
            <w:r>
              <w:rPr>
                <w:rFonts w:hAnsi="宋体"/>
                <w:color w:val="auto"/>
                <w:szCs w:val="21"/>
                <w:highlight w:val="none"/>
              </w:rPr>
              <w:t>移交</w:t>
            </w:r>
          </w:p>
        </w:tc>
        <w:tc>
          <w:tcPr>
            <w:tcW w:w="5351" w:type="dxa"/>
            <w:gridSpan w:val="5"/>
            <w:tcBorders>
              <w:top w:val="dotted" w:color="auto" w:sz="4" w:space="0"/>
              <w:left w:val="dotted" w:color="auto" w:sz="4" w:space="0"/>
              <w:bottom w:val="single" w:color="auto" w:sz="6" w:space="0"/>
              <w:right w:val="single" w:color="auto" w:sz="4" w:space="0"/>
            </w:tcBorders>
            <w:vAlign w:val="center"/>
          </w:tcPr>
          <w:p>
            <w:pPr>
              <w:ind w:firstLine="48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9" w:hRule="atLeast"/>
          <w:jc w:val="center"/>
        </w:trPr>
        <w:tc>
          <w:tcPr>
            <w:tcW w:w="8974" w:type="dxa"/>
            <w:gridSpan w:val="8"/>
            <w:tcBorders>
              <w:left w:val="single" w:color="auto" w:sz="6" w:space="0"/>
              <w:bottom w:val="single" w:color="auto" w:sz="6" w:space="0"/>
              <w:right w:val="single" w:color="auto" w:sz="4" w:space="0"/>
            </w:tcBorders>
          </w:tcPr>
          <w:p>
            <w:pPr>
              <w:spacing w:line="480" w:lineRule="auto"/>
              <w:ind w:firstLine="482"/>
              <w:rPr>
                <w:color w:val="auto"/>
                <w:szCs w:val="21"/>
                <w:highlight w:val="none"/>
              </w:rPr>
            </w:pPr>
            <w:r>
              <w:rPr>
                <w:rFonts w:hAnsi="宋体"/>
                <w:b/>
                <w:color w:val="auto"/>
                <w:szCs w:val="21"/>
                <w:highlight w:val="none"/>
              </w:rPr>
              <w:t>对项目</w:t>
            </w:r>
            <w:r>
              <w:rPr>
                <w:rFonts w:hint="eastAsia" w:hAnsi="宋体"/>
                <w:b/>
                <w:color w:val="auto"/>
                <w:szCs w:val="21"/>
                <w:highlight w:val="none"/>
              </w:rPr>
              <w:t>整体</w:t>
            </w:r>
            <w:r>
              <w:rPr>
                <w:rFonts w:hAnsi="宋体"/>
                <w:b/>
                <w:color w:val="auto"/>
                <w:szCs w:val="21"/>
                <w:highlight w:val="none"/>
              </w:rPr>
              <w:t>实施质量、</w:t>
            </w:r>
            <w:r>
              <w:rPr>
                <w:rFonts w:hint="eastAsia" w:hAnsi="宋体"/>
                <w:b/>
                <w:color w:val="auto"/>
                <w:szCs w:val="21"/>
                <w:highlight w:val="none"/>
              </w:rPr>
              <w:t>售后</w:t>
            </w:r>
            <w:r>
              <w:rPr>
                <w:rFonts w:hAnsi="宋体"/>
                <w:b/>
                <w:color w:val="auto"/>
                <w:szCs w:val="21"/>
                <w:highlight w:val="none"/>
              </w:rPr>
              <w:t>服务等综合验收</w:t>
            </w:r>
            <w:r>
              <w:rPr>
                <w:rFonts w:hint="eastAsia" w:hAnsi="宋体"/>
                <w:b/>
                <w:color w:val="auto"/>
                <w:szCs w:val="21"/>
                <w:highlight w:val="none"/>
              </w:rPr>
              <w:t>结果</w:t>
            </w:r>
            <w:r>
              <w:rPr>
                <w:rFonts w:hAnsi="宋体"/>
                <w:b/>
                <w:color w:val="auto"/>
                <w:szCs w:val="21"/>
                <w:highlight w:val="none"/>
              </w:rPr>
              <w:t>：</w:t>
            </w:r>
          </w:p>
          <w:p>
            <w:pPr>
              <w:spacing w:line="480" w:lineRule="auto"/>
              <w:ind w:firstLine="482"/>
              <w:rPr>
                <w:b/>
                <w:color w:val="auto"/>
                <w:szCs w:val="21"/>
                <w:highlight w:val="none"/>
              </w:rPr>
            </w:pPr>
            <w:r>
              <w:rPr>
                <w:rFonts w:hint="eastAsia"/>
                <w:b/>
                <w:color w:val="auto"/>
                <w:szCs w:val="21"/>
                <w:highlight w:val="none"/>
              </w:rPr>
              <w:t>整改事项：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jc w:val="center"/>
        </w:trPr>
        <w:tc>
          <w:tcPr>
            <w:tcW w:w="8974" w:type="dxa"/>
            <w:gridSpan w:val="8"/>
            <w:tcBorders>
              <w:top w:val="single" w:color="auto" w:sz="6" w:space="0"/>
              <w:left w:val="single" w:color="auto" w:sz="6" w:space="0"/>
              <w:right w:val="single" w:color="auto" w:sz="6" w:space="0"/>
            </w:tcBorders>
          </w:tcPr>
          <w:p>
            <w:pPr>
              <w:ind w:firstLine="482"/>
              <w:rPr>
                <w:b/>
                <w:color w:val="auto"/>
                <w:szCs w:val="21"/>
                <w:highlight w:val="none"/>
              </w:rPr>
            </w:pPr>
            <w:r>
              <w:rPr>
                <w:rFonts w:hint="eastAsia" w:hAnsi="宋体"/>
                <w:b/>
                <w:color w:val="auto"/>
                <w:szCs w:val="21"/>
                <w:highlight w:val="none"/>
              </w:rPr>
              <w:t>验收人员签名</w:t>
            </w:r>
            <w:r>
              <w:rPr>
                <w:rFonts w:hAnsi="宋体"/>
                <w:b/>
                <w:color w:val="auto"/>
                <w:szCs w:val="21"/>
                <w:highlight w:val="none"/>
              </w:rPr>
              <w:t>：</w:t>
            </w:r>
          </w:p>
          <w:p>
            <w:pPr>
              <w:ind w:firstLine="482"/>
              <w:rPr>
                <w:b/>
                <w:color w:val="auto"/>
                <w:szCs w:val="21"/>
                <w:highlight w:val="none"/>
              </w:rPr>
            </w:pPr>
          </w:p>
          <w:p>
            <w:pPr>
              <w:ind w:firstLine="482"/>
              <w:rPr>
                <w:b/>
                <w:color w:val="auto"/>
                <w:szCs w:val="21"/>
                <w:highlight w:val="none"/>
              </w:rPr>
            </w:pPr>
            <w:r>
              <w:rPr>
                <w:rFonts w:hint="eastAsia"/>
                <w:b/>
                <w:color w:val="auto"/>
                <w:szCs w:val="21"/>
                <w:highlight w:val="none"/>
              </w:rPr>
              <w:t xml:space="preserve">                                            单位（盖章）：</w:t>
            </w:r>
          </w:p>
          <w:p>
            <w:pPr>
              <w:ind w:firstLine="482"/>
              <w:rPr>
                <w:b/>
                <w:color w:val="auto"/>
                <w:szCs w:val="21"/>
                <w:highlight w:val="none"/>
              </w:rPr>
            </w:pPr>
            <w:r>
              <w:rPr>
                <w:rFonts w:hint="eastAsia"/>
                <w:b/>
                <w:color w:val="auto"/>
                <w:szCs w:val="21"/>
                <w:highlight w:val="none"/>
              </w:rPr>
              <w:t xml:space="preserve">                                              法人或委托人签名：</w:t>
            </w:r>
          </w:p>
          <w:p>
            <w:pPr>
              <w:ind w:firstLine="5587" w:firstLineChars="2319"/>
              <w:rPr>
                <w:b/>
                <w:color w:val="auto"/>
                <w:szCs w:val="21"/>
                <w:highlight w:val="none"/>
              </w:rPr>
            </w:pPr>
            <w:r>
              <w:rPr>
                <w:rFonts w:hint="eastAsia"/>
                <w:b/>
                <w:color w:val="auto"/>
                <w:szCs w:val="21"/>
                <w:highlight w:val="none"/>
              </w:rPr>
              <w:t>验收日期：</w:t>
            </w:r>
          </w:p>
        </w:tc>
      </w:tr>
    </w:tbl>
    <w:p>
      <w:pPr>
        <w:spacing w:line="240" w:lineRule="auto"/>
        <w:ind w:firstLine="0" w:firstLineChars="0"/>
        <w:rPr>
          <w:rFonts w:hAnsi="宋体"/>
          <w:color w:val="auto"/>
          <w:highlight w:val="none"/>
        </w:rPr>
      </w:pPr>
      <w:r>
        <w:rPr>
          <w:rFonts w:hint="eastAsia" w:hAnsi="宋体"/>
          <w:color w:val="auto"/>
          <w:highlight w:val="none"/>
        </w:rPr>
        <w:t>1、验收执行标准：采购文件、投标文件、合同、双方确认的一切补充文件。</w:t>
      </w:r>
    </w:p>
    <w:p>
      <w:pPr>
        <w:spacing w:line="240" w:lineRule="auto"/>
        <w:ind w:left="360" w:hanging="360" w:hangingChars="150"/>
        <w:rPr>
          <w:rFonts w:hAnsi="宋体"/>
          <w:color w:val="auto"/>
          <w:highlight w:val="none"/>
        </w:rPr>
        <w:sectPr>
          <w:headerReference r:id="rId21" w:type="first"/>
          <w:footerReference r:id="rId24" w:type="first"/>
          <w:headerReference r:id="rId20" w:type="default"/>
          <w:footerReference r:id="rId22" w:type="default"/>
          <w:footerReference r:id="rId23" w:type="even"/>
          <w:pgSz w:w="11906" w:h="16838"/>
          <w:pgMar w:top="1440" w:right="1588" w:bottom="1588" w:left="1800" w:header="851" w:footer="992" w:gutter="0"/>
          <w:cols w:space="720" w:num="1"/>
          <w:docGrid w:linePitch="312" w:charSpace="0"/>
        </w:sectPr>
      </w:pPr>
      <w:r>
        <w:rPr>
          <w:rFonts w:hint="eastAsia" w:hAnsi="宋体"/>
          <w:color w:val="auto"/>
          <w:highlight w:val="none"/>
        </w:rPr>
        <w:t>2、150万以上项目初验合格后，将本报告送公共资源交易中心，由中心组织相关部门对项目进行抽查。 3、此表后应附验收货物清单。 4、以上空白处如不够填写，可另附纸张。</w:t>
      </w:r>
    </w:p>
    <w:tbl>
      <w:tblPr>
        <w:tblStyle w:val="46"/>
        <w:tblpPr w:leftFromText="180" w:rightFromText="180" w:horzAnchor="margin" w:tblpY="936"/>
        <w:tblW w:w="13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9"/>
        <w:gridCol w:w="5746"/>
        <w:gridCol w:w="3780"/>
        <w:gridCol w:w="720"/>
        <w:gridCol w:w="720"/>
        <w:gridCol w:w="71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1" w:hRule="exact"/>
        </w:trPr>
        <w:tc>
          <w:tcPr>
            <w:tcW w:w="919" w:type="dxa"/>
            <w:vAlign w:val="center"/>
          </w:tcPr>
          <w:p>
            <w:pPr>
              <w:pStyle w:val="29"/>
              <w:snapToGrid w:val="0"/>
              <w:spacing w:before="120" w:after="120"/>
              <w:ind w:left="-108" w:firstLine="480"/>
              <w:jc w:val="center"/>
              <w:rPr>
                <w:rFonts w:hAnsi="宋体"/>
                <w:color w:val="auto"/>
                <w:highlight w:val="none"/>
              </w:rPr>
            </w:pPr>
            <w:r>
              <w:rPr>
                <w:rFonts w:hint="eastAsia" w:hAnsi="宋体"/>
                <w:color w:val="auto"/>
                <w:highlight w:val="none"/>
              </w:rPr>
              <w:t>序号</w:t>
            </w:r>
          </w:p>
        </w:tc>
        <w:tc>
          <w:tcPr>
            <w:tcW w:w="5746" w:type="dxa"/>
          </w:tcPr>
          <w:p>
            <w:pPr>
              <w:pStyle w:val="29"/>
              <w:snapToGrid w:val="0"/>
              <w:spacing w:before="120" w:after="120"/>
              <w:ind w:left="-108" w:firstLine="480"/>
              <w:jc w:val="center"/>
              <w:rPr>
                <w:rFonts w:hAnsi="宋体"/>
                <w:color w:val="auto"/>
                <w:highlight w:val="none"/>
              </w:rPr>
            </w:pPr>
            <w:r>
              <w:rPr>
                <w:rFonts w:hint="eastAsia" w:hAnsi="宋体"/>
                <w:color w:val="auto"/>
                <w:highlight w:val="none"/>
              </w:rPr>
              <w:t>货物名称</w:t>
            </w:r>
          </w:p>
        </w:tc>
        <w:tc>
          <w:tcPr>
            <w:tcW w:w="3780" w:type="dxa"/>
            <w:vAlign w:val="center"/>
          </w:tcPr>
          <w:p>
            <w:pPr>
              <w:pStyle w:val="29"/>
              <w:snapToGrid w:val="0"/>
              <w:spacing w:before="120" w:after="120"/>
              <w:ind w:left="-108" w:firstLine="480"/>
              <w:jc w:val="center"/>
              <w:rPr>
                <w:rFonts w:hAnsi="宋体"/>
                <w:color w:val="auto"/>
                <w:highlight w:val="none"/>
              </w:rPr>
            </w:pPr>
            <w:r>
              <w:rPr>
                <w:rFonts w:hint="eastAsia" w:hAnsi="宋体"/>
                <w:color w:val="auto"/>
                <w:highlight w:val="none"/>
              </w:rPr>
              <w:t>品牌型号</w:t>
            </w:r>
          </w:p>
        </w:tc>
        <w:tc>
          <w:tcPr>
            <w:tcW w:w="720" w:type="dxa"/>
            <w:vAlign w:val="center"/>
          </w:tcPr>
          <w:p>
            <w:pPr>
              <w:pStyle w:val="29"/>
              <w:snapToGrid w:val="0"/>
              <w:spacing w:before="120" w:after="120"/>
              <w:ind w:firstLine="480"/>
              <w:jc w:val="center"/>
              <w:rPr>
                <w:rFonts w:hAnsi="宋体"/>
                <w:color w:val="auto"/>
                <w:highlight w:val="none"/>
              </w:rPr>
            </w:pPr>
            <w:r>
              <w:rPr>
                <w:rFonts w:hint="eastAsia" w:hAnsi="宋体"/>
                <w:color w:val="auto"/>
                <w:highlight w:val="none"/>
              </w:rPr>
              <w:t>符合  与否</w:t>
            </w:r>
          </w:p>
        </w:tc>
        <w:tc>
          <w:tcPr>
            <w:tcW w:w="720" w:type="dxa"/>
            <w:vAlign w:val="center"/>
          </w:tcPr>
          <w:p>
            <w:pPr>
              <w:pStyle w:val="29"/>
              <w:snapToGrid w:val="0"/>
              <w:spacing w:before="120" w:after="120"/>
              <w:ind w:firstLine="480"/>
              <w:jc w:val="center"/>
              <w:rPr>
                <w:rFonts w:hAnsi="宋体"/>
                <w:color w:val="auto"/>
                <w:highlight w:val="none"/>
              </w:rPr>
            </w:pPr>
            <w:r>
              <w:rPr>
                <w:rFonts w:hint="eastAsia" w:hAnsi="宋体"/>
                <w:color w:val="auto"/>
                <w:highlight w:val="none"/>
              </w:rPr>
              <w:t>数量</w:t>
            </w:r>
          </w:p>
        </w:tc>
        <w:tc>
          <w:tcPr>
            <w:tcW w:w="718" w:type="dxa"/>
            <w:vAlign w:val="center"/>
          </w:tcPr>
          <w:p>
            <w:pPr>
              <w:pStyle w:val="29"/>
              <w:snapToGrid w:val="0"/>
              <w:spacing w:before="120" w:after="120"/>
              <w:ind w:left="-108" w:firstLine="480"/>
              <w:jc w:val="center"/>
              <w:rPr>
                <w:rFonts w:hAnsi="宋体"/>
                <w:color w:val="auto"/>
                <w:highlight w:val="none"/>
              </w:rPr>
            </w:pPr>
            <w:r>
              <w:rPr>
                <w:rFonts w:hint="eastAsia" w:hAnsi="宋体"/>
                <w:color w:val="auto"/>
                <w:highlight w:val="none"/>
              </w:rPr>
              <w:t>符合   与否</w:t>
            </w:r>
          </w:p>
        </w:tc>
        <w:tc>
          <w:tcPr>
            <w:tcW w:w="1262" w:type="dxa"/>
            <w:vAlign w:val="center"/>
          </w:tcPr>
          <w:p>
            <w:pPr>
              <w:pStyle w:val="29"/>
              <w:snapToGrid w:val="0"/>
              <w:spacing w:before="120" w:after="120"/>
              <w:ind w:firstLine="480"/>
              <w:jc w:val="center"/>
              <w:rPr>
                <w:rFonts w:hAnsi="宋体"/>
                <w:color w:val="auto"/>
                <w:highlight w:val="none"/>
              </w:rPr>
            </w:pPr>
            <w:r>
              <w:rPr>
                <w:rFonts w:hint="eastAsia" w:hAnsi="宋体"/>
                <w:color w:val="auto"/>
                <w:highlight w:val="none"/>
              </w:rPr>
              <w:t>验收人员 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pPr>
              <w:pStyle w:val="29"/>
              <w:snapToGrid w:val="0"/>
              <w:spacing w:before="120" w:after="120"/>
              <w:ind w:left="-108" w:firstLine="480"/>
              <w:jc w:val="center"/>
              <w:rPr>
                <w:rFonts w:hAnsi="宋体"/>
                <w:color w:val="auto"/>
                <w:highlight w:val="none"/>
              </w:rPr>
            </w:pPr>
            <w:r>
              <w:rPr>
                <w:rFonts w:hint="eastAsia" w:hAnsi="宋体"/>
                <w:color w:val="auto"/>
                <w:highlight w:val="none"/>
              </w:rPr>
              <w:t>1</w:t>
            </w:r>
          </w:p>
        </w:tc>
        <w:tc>
          <w:tcPr>
            <w:tcW w:w="5746" w:type="dxa"/>
          </w:tcPr>
          <w:p>
            <w:pPr>
              <w:pStyle w:val="29"/>
              <w:snapToGrid w:val="0"/>
              <w:spacing w:before="120" w:after="120"/>
              <w:ind w:left="-108" w:firstLine="480"/>
              <w:jc w:val="center"/>
              <w:rPr>
                <w:rFonts w:hAnsi="宋体"/>
                <w:color w:val="auto"/>
                <w:highlight w:val="none"/>
              </w:rPr>
            </w:pPr>
          </w:p>
        </w:tc>
        <w:tc>
          <w:tcPr>
            <w:tcW w:w="3780" w:type="dxa"/>
            <w:vAlign w:val="center"/>
          </w:tcPr>
          <w:p>
            <w:pPr>
              <w:pStyle w:val="29"/>
              <w:snapToGrid w:val="0"/>
              <w:spacing w:before="120" w:after="120"/>
              <w:ind w:left="-108" w:firstLine="480"/>
              <w:jc w:val="center"/>
              <w:rPr>
                <w:rFonts w:hAnsi="宋体"/>
                <w:color w:val="auto"/>
                <w:highlight w:val="none"/>
              </w:rPr>
            </w:pPr>
          </w:p>
        </w:tc>
        <w:tc>
          <w:tcPr>
            <w:tcW w:w="720" w:type="dxa"/>
            <w:vAlign w:val="center"/>
          </w:tcPr>
          <w:p>
            <w:pPr>
              <w:pStyle w:val="29"/>
              <w:snapToGrid w:val="0"/>
              <w:spacing w:before="120" w:after="120"/>
              <w:ind w:left="-108" w:firstLine="480"/>
              <w:jc w:val="center"/>
              <w:rPr>
                <w:rFonts w:hAnsi="宋体"/>
                <w:color w:val="auto"/>
                <w:highlight w:val="none"/>
              </w:rPr>
            </w:pPr>
          </w:p>
        </w:tc>
        <w:tc>
          <w:tcPr>
            <w:tcW w:w="720" w:type="dxa"/>
            <w:vAlign w:val="center"/>
          </w:tcPr>
          <w:p>
            <w:pPr>
              <w:pStyle w:val="29"/>
              <w:snapToGrid w:val="0"/>
              <w:spacing w:before="120" w:after="120"/>
              <w:ind w:left="-108" w:firstLine="480"/>
              <w:jc w:val="center"/>
              <w:rPr>
                <w:rFonts w:hAnsi="宋体"/>
                <w:color w:val="auto"/>
                <w:highlight w:val="none"/>
              </w:rPr>
            </w:pPr>
          </w:p>
        </w:tc>
        <w:tc>
          <w:tcPr>
            <w:tcW w:w="718" w:type="dxa"/>
            <w:vAlign w:val="center"/>
          </w:tcPr>
          <w:p>
            <w:pPr>
              <w:pStyle w:val="29"/>
              <w:snapToGrid w:val="0"/>
              <w:spacing w:before="120" w:after="120"/>
              <w:ind w:left="-108" w:firstLine="480"/>
              <w:jc w:val="center"/>
              <w:rPr>
                <w:rFonts w:hAnsi="宋体"/>
                <w:color w:val="auto"/>
                <w:highlight w:val="none"/>
              </w:rPr>
            </w:pPr>
          </w:p>
        </w:tc>
        <w:tc>
          <w:tcPr>
            <w:tcW w:w="1262" w:type="dxa"/>
            <w:vAlign w:val="center"/>
          </w:tcPr>
          <w:p>
            <w:pPr>
              <w:pStyle w:val="29"/>
              <w:snapToGrid w:val="0"/>
              <w:spacing w:before="120" w:after="120"/>
              <w:ind w:left="-108" w:firstLine="480"/>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pPr>
              <w:pStyle w:val="29"/>
              <w:snapToGrid w:val="0"/>
              <w:spacing w:before="120" w:after="120"/>
              <w:ind w:left="-108" w:firstLine="480"/>
              <w:jc w:val="center"/>
              <w:rPr>
                <w:rFonts w:hAnsi="宋体"/>
                <w:color w:val="auto"/>
                <w:highlight w:val="none"/>
              </w:rPr>
            </w:pPr>
            <w:r>
              <w:rPr>
                <w:rFonts w:hint="eastAsia" w:hAnsi="宋体"/>
                <w:color w:val="auto"/>
                <w:highlight w:val="none"/>
              </w:rPr>
              <w:t>2</w:t>
            </w:r>
          </w:p>
        </w:tc>
        <w:tc>
          <w:tcPr>
            <w:tcW w:w="5746" w:type="dxa"/>
          </w:tcPr>
          <w:p>
            <w:pPr>
              <w:pStyle w:val="29"/>
              <w:snapToGrid w:val="0"/>
              <w:spacing w:before="120" w:after="120"/>
              <w:ind w:left="-108" w:firstLine="480"/>
              <w:jc w:val="center"/>
              <w:rPr>
                <w:rFonts w:hAnsi="宋体"/>
                <w:color w:val="auto"/>
                <w:highlight w:val="none"/>
              </w:rPr>
            </w:pPr>
          </w:p>
        </w:tc>
        <w:tc>
          <w:tcPr>
            <w:tcW w:w="3780" w:type="dxa"/>
            <w:vAlign w:val="center"/>
          </w:tcPr>
          <w:p>
            <w:pPr>
              <w:pStyle w:val="29"/>
              <w:snapToGrid w:val="0"/>
              <w:spacing w:before="120" w:after="120"/>
              <w:ind w:left="-108" w:firstLine="480"/>
              <w:jc w:val="center"/>
              <w:rPr>
                <w:rFonts w:hAnsi="宋体"/>
                <w:color w:val="auto"/>
                <w:highlight w:val="none"/>
              </w:rPr>
            </w:pPr>
          </w:p>
        </w:tc>
        <w:tc>
          <w:tcPr>
            <w:tcW w:w="720" w:type="dxa"/>
            <w:vAlign w:val="center"/>
          </w:tcPr>
          <w:p>
            <w:pPr>
              <w:pStyle w:val="29"/>
              <w:snapToGrid w:val="0"/>
              <w:spacing w:before="120" w:after="120"/>
              <w:ind w:left="-108" w:firstLine="480"/>
              <w:jc w:val="center"/>
              <w:rPr>
                <w:rFonts w:hAnsi="宋体"/>
                <w:color w:val="auto"/>
                <w:highlight w:val="none"/>
              </w:rPr>
            </w:pPr>
          </w:p>
        </w:tc>
        <w:tc>
          <w:tcPr>
            <w:tcW w:w="720" w:type="dxa"/>
            <w:vAlign w:val="center"/>
          </w:tcPr>
          <w:p>
            <w:pPr>
              <w:pStyle w:val="29"/>
              <w:snapToGrid w:val="0"/>
              <w:spacing w:before="120" w:after="120"/>
              <w:ind w:left="-108" w:firstLine="480"/>
              <w:jc w:val="center"/>
              <w:rPr>
                <w:rFonts w:hAnsi="宋体"/>
                <w:color w:val="auto"/>
                <w:highlight w:val="none"/>
              </w:rPr>
            </w:pPr>
          </w:p>
        </w:tc>
        <w:tc>
          <w:tcPr>
            <w:tcW w:w="718" w:type="dxa"/>
            <w:vAlign w:val="center"/>
          </w:tcPr>
          <w:p>
            <w:pPr>
              <w:pStyle w:val="29"/>
              <w:snapToGrid w:val="0"/>
              <w:spacing w:before="120" w:after="120"/>
              <w:ind w:left="-108" w:firstLine="480"/>
              <w:jc w:val="center"/>
              <w:rPr>
                <w:rFonts w:hAnsi="宋体"/>
                <w:color w:val="auto"/>
                <w:highlight w:val="none"/>
              </w:rPr>
            </w:pPr>
          </w:p>
        </w:tc>
        <w:tc>
          <w:tcPr>
            <w:tcW w:w="1262" w:type="dxa"/>
            <w:vAlign w:val="center"/>
          </w:tcPr>
          <w:p>
            <w:pPr>
              <w:pStyle w:val="29"/>
              <w:snapToGrid w:val="0"/>
              <w:spacing w:before="120" w:after="120"/>
              <w:ind w:left="-108" w:firstLine="480"/>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pPr>
              <w:pStyle w:val="29"/>
              <w:snapToGrid w:val="0"/>
              <w:spacing w:before="120" w:after="120"/>
              <w:ind w:left="-108" w:firstLine="480"/>
              <w:jc w:val="center"/>
              <w:rPr>
                <w:rFonts w:hAnsi="宋体"/>
                <w:color w:val="auto"/>
                <w:highlight w:val="none"/>
              </w:rPr>
            </w:pPr>
            <w:r>
              <w:rPr>
                <w:rFonts w:hint="eastAsia" w:hAnsi="宋体"/>
                <w:color w:val="auto"/>
                <w:highlight w:val="none"/>
              </w:rPr>
              <w:t>3</w:t>
            </w:r>
          </w:p>
        </w:tc>
        <w:tc>
          <w:tcPr>
            <w:tcW w:w="5746" w:type="dxa"/>
          </w:tcPr>
          <w:p>
            <w:pPr>
              <w:pStyle w:val="29"/>
              <w:snapToGrid w:val="0"/>
              <w:spacing w:before="120" w:after="120"/>
              <w:ind w:left="-108" w:firstLine="480"/>
              <w:jc w:val="center"/>
              <w:rPr>
                <w:rFonts w:hAnsi="宋体"/>
                <w:color w:val="auto"/>
                <w:highlight w:val="none"/>
              </w:rPr>
            </w:pPr>
          </w:p>
        </w:tc>
        <w:tc>
          <w:tcPr>
            <w:tcW w:w="3780" w:type="dxa"/>
            <w:vAlign w:val="center"/>
          </w:tcPr>
          <w:p>
            <w:pPr>
              <w:pStyle w:val="29"/>
              <w:snapToGrid w:val="0"/>
              <w:spacing w:before="120" w:after="120"/>
              <w:ind w:left="-108" w:firstLine="480"/>
              <w:jc w:val="center"/>
              <w:rPr>
                <w:rFonts w:hAnsi="宋体"/>
                <w:color w:val="auto"/>
                <w:highlight w:val="none"/>
              </w:rPr>
            </w:pPr>
          </w:p>
        </w:tc>
        <w:tc>
          <w:tcPr>
            <w:tcW w:w="720" w:type="dxa"/>
            <w:vAlign w:val="center"/>
          </w:tcPr>
          <w:p>
            <w:pPr>
              <w:pStyle w:val="29"/>
              <w:snapToGrid w:val="0"/>
              <w:spacing w:before="120" w:after="120"/>
              <w:ind w:left="-108" w:firstLine="480"/>
              <w:jc w:val="center"/>
              <w:rPr>
                <w:rFonts w:hAnsi="宋体"/>
                <w:color w:val="auto"/>
                <w:highlight w:val="none"/>
              </w:rPr>
            </w:pPr>
          </w:p>
        </w:tc>
        <w:tc>
          <w:tcPr>
            <w:tcW w:w="720" w:type="dxa"/>
            <w:vAlign w:val="center"/>
          </w:tcPr>
          <w:p>
            <w:pPr>
              <w:pStyle w:val="29"/>
              <w:snapToGrid w:val="0"/>
              <w:spacing w:before="120" w:after="120"/>
              <w:ind w:left="-108" w:firstLine="480"/>
              <w:jc w:val="center"/>
              <w:rPr>
                <w:rFonts w:hAnsi="宋体"/>
                <w:color w:val="auto"/>
                <w:highlight w:val="none"/>
              </w:rPr>
            </w:pPr>
          </w:p>
        </w:tc>
        <w:tc>
          <w:tcPr>
            <w:tcW w:w="718" w:type="dxa"/>
            <w:vAlign w:val="center"/>
          </w:tcPr>
          <w:p>
            <w:pPr>
              <w:pStyle w:val="29"/>
              <w:snapToGrid w:val="0"/>
              <w:spacing w:before="120" w:after="120"/>
              <w:ind w:left="-108" w:firstLine="480"/>
              <w:jc w:val="center"/>
              <w:rPr>
                <w:rFonts w:hAnsi="宋体"/>
                <w:color w:val="auto"/>
                <w:highlight w:val="none"/>
              </w:rPr>
            </w:pPr>
          </w:p>
        </w:tc>
        <w:tc>
          <w:tcPr>
            <w:tcW w:w="1262" w:type="dxa"/>
            <w:vAlign w:val="center"/>
          </w:tcPr>
          <w:p>
            <w:pPr>
              <w:pStyle w:val="29"/>
              <w:snapToGrid w:val="0"/>
              <w:spacing w:before="120" w:after="120"/>
              <w:ind w:left="-108" w:firstLine="480"/>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pPr>
              <w:pStyle w:val="29"/>
              <w:snapToGrid w:val="0"/>
              <w:spacing w:before="120" w:after="120"/>
              <w:ind w:left="-108" w:firstLine="480"/>
              <w:jc w:val="center"/>
              <w:rPr>
                <w:rFonts w:hAnsi="宋体"/>
                <w:color w:val="auto"/>
                <w:highlight w:val="none"/>
              </w:rPr>
            </w:pPr>
            <w:r>
              <w:rPr>
                <w:rFonts w:hint="eastAsia" w:hAnsi="宋体"/>
                <w:color w:val="auto"/>
                <w:highlight w:val="none"/>
              </w:rPr>
              <w:t>4</w:t>
            </w:r>
          </w:p>
        </w:tc>
        <w:tc>
          <w:tcPr>
            <w:tcW w:w="5746" w:type="dxa"/>
          </w:tcPr>
          <w:p>
            <w:pPr>
              <w:pStyle w:val="29"/>
              <w:snapToGrid w:val="0"/>
              <w:spacing w:before="120" w:after="120"/>
              <w:ind w:left="-108" w:firstLine="480"/>
              <w:jc w:val="center"/>
              <w:rPr>
                <w:rFonts w:hAnsi="宋体"/>
                <w:color w:val="auto"/>
                <w:highlight w:val="none"/>
              </w:rPr>
            </w:pPr>
          </w:p>
        </w:tc>
        <w:tc>
          <w:tcPr>
            <w:tcW w:w="3780" w:type="dxa"/>
            <w:vAlign w:val="center"/>
          </w:tcPr>
          <w:p>
            <w:pPr>
              <w:pStyle w:val="29"/>
              <w:snapToGrid w:val="0"/>
              <w:spacing w:before="120" w:after="120"/>
              <w:ind w:left="-108" w:firstLine="480"/>
              <w:jc w:val="center"/>
              <w:rPr>
                <w:rFonts w:hAnsi="宋体"/>
                <w:color w:val="auto"/>
                <w:highlight w:val="none"/>
              </w:rPr>
            </w:pPr>
          </w:p>
        </w:tc>
        <w:tc>
          <w:tcPr>
            <w:tcW w:w="720" w:type="dxa"/>
            <w:vAlign w:val="center"/>
          </w:tcPr>
          <w:p>
            <w:pPr>
              <w:pStyle w:val="29"/>
              <w:snapToGrid w:val="0"/>
              <w:spacing w:before="120" w:after="120"/>
              <w:ind w:left="-108" w:firstLine="480"/>
              <w:jc w:val="center"/>
              <w:rPr>
                <w:rFonts w:hAnsi="宋体"/>
                <w:color w:val="auto"/>
                <w:highlight w:val="none"/>
              </w:rPr>
            </w:pPr>
          </w:p>
        </w:tc>
        <w:tc>
          <w:tcPr>
            <w:tcW w:w="720" w:type="dxa"/>
            <w:vAlign w:val="center"/>
          </w:tcPr>
          <w:p>
            <w:pPr>
              <w:pStyle w:val="29"/>
              <w:snapToGrid w:val="0"/>
              <w:spacing w:before="120" w:after="120"/>
              <w:ind w:left="-108" w:firstLine="480"/>
              <w:jc w:val="center"/>
              <w:rPr>
                <w:rFonts w:hAnsi="宋体"/>
                <w:color w:val="auto"/>
                <w:highlight w:val="none"/>
              </w:rPr>
            </w:pPr>
          </w:p>
        </w:tc>
        <w:tc>
          <w:tcPr>
            <w:tcW w:w="718" w:type="dxa"/>
            <w:vAlign w:val="center"/>
          </w:tcPr>
          <w:p>
            <w:pPr>
              <w:pStyle w:val="29"/>
              <w:snapToGrid w:val="0"/>
              <w:spacing w:before="120" w:after="120"/>
              <w:ind w:left="-108" w:firstLine="480"/>
              <w:jc w:val="center"/>
              <w:rPr>
                <w:rFonts w:hAnsi="宋体"/>
                <w:color w:val="auto"/>
                <w:highlight w:val="none"/>
              </w:rPr>
            </w:pPr>
          </w:p>
        </w:tc>
        <w:tc>
          <w:tcPr>
            <w:tcW w:w="1262" w:type="dxa"/>
            <w:vAlign w:val="center"/>
          </w:tcPr>
          <w:p>
            <w:pPr>
              <w:pStyle w:val="29"/>
              <w:snapToGrid w:val="0"/>
              <w:spacing w:before="120" w:after="120"/>
              <w:ind w:left="-108" w:firstLine="480"/>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pPr>
              <w:pStyle w:val="29"/>
              <w:snapToGrid w:val="0"/>
              <w:spacing w:before="120" w:after="120"/>
              <w:ind w:left="-108" w:firstLine="480"/>
              <w:jc w:val="center"/>
              <w:rPr>
                <w:rFonts w:hAnsi="宋体"/>
                <w:color w:val="auto"/>
                <w:highlight w:val="none"/>
              </w:rPr>
            </w:pPr>
            <w:r>
              <w:rPr>
                <w:rFonts w:hint="eastAsia" w:hAnsi="宋体"/>
                <w:color w:val="auto"/>
                <w:highlight w:val="none"/>
              </w:rPr>
              <w:t>5</w:t>
            </w:r>
          </w:p>
        </w:tc>
        <w:tc>
          <w:tcPr>
            <w:tcW w:w="5746" w:type="dxa"/>
          </w:tcPr>
          <w:p>
            <w:pPr>
              <w:pStyle w:val="29"/>
              <w:snapToGrid w:val="0"/>
              <w:spacing w:before="120" w:after="120"/>
              <w:ind w:left="-108" w:firstLine="480"/>
              <w:jc w:val="center"/>
              <w:rPr>
                <w:rFonts w:hAnsi="宋体"/>
                <w:color w:val="auto"/>
                <w:highlight w:val="none"/>
              </w:rPr>
            </w:pPr>
          </w:p>
        </w:tc>
        <w:tc>
          <w:tcPr>
            <w:tcW w:w="3780" w:type="dxa"/>
            <w:vAlign w:val="center"/>
          </w:tcPr>
          <w:p>
            <w:pPr>
              <w:pStyle w:val="29"/>
              <w:snapToGrid w:val="0"/>
              <w:spacing w:before="120" w:after="120"/>
              <w:ind w:left="-108" w:firstLine="480"/>
              <w:jc w:val="center"/>
              <w:rPr>
                <w:rFonts w:hAnsi="宋体"/>
                <w:color w:val="auto"/>
                <w:highlight w:val="none"/>
              </w:rPr>
            </w:pPr>
          </w:p>
        </w:tc>
        <w:tc>
          <w:tcPr>
            <w:tcW w:w="720" w:type="dxa"/>
            <w:vAlign w:val="center"/>
          </w:tcPr>
          <w:p>
            <w:pPr>
              <w:pStyle w:val="29"/>
              <w:snapToGrid w:val="0"/>
              <w:spacing w:before="120" w:after="120"/>
              <w:ind w:left="-108" w:firstLine="480"/>
              <w:jc w:val="center"/>
              <w:rPr>
                <w:rFonts w:hAnsi="宋体"/>
                <w:color w:val="auto"/>
                <w:highlight w:val="none"/>
              </w:rPr>
            </w:pPr>
          </w:p>
        </w:tc>
        <w:tc>
          <w:tcPr>
            <w:tcW w:w="720" w:type="dxa"/>
            <w:vAlign w:val="center"/>
          </w:tcPr>
          <w:p>
            <w:pPr>
              <w:pStyle w:val="29"/>
              <w:snapToGrid w:val="0"/>
              <w:spacing w:before="120" w:after="120"/>
              <w:ind w:left="-108" w:firstLine="480"/>
              <w:jc w:val="center"/>
              <w:rPr>
                <w:rFonts w:hAnsi="宋体"/>
                <w:color w:val="auto"/>
                <w:highlight w:val="none"/>
              </w:rPr>
            </w:pPr>
          </w:p>
        </w:tc>
        <w:tc>
          <w:tcPr>
            <w:tcW w:w="718" w:type="dxa"/>
            <w:vAlign w:val="center"/>
          </w:tcPr>
          <w:p>
            <w:pPr>
              <w:pStyle w:val="29"/>
              <w:snapToGrid w:val="0"/>
              <w:spacing w:before="120" w:after="120"/>
              <w:ind w:left="-108" w:firstLine="480"/>
              <w:jc w:val="center"/>
              <w:rPr>
                <w:rFonts w:hAnsi="宋体"/>
                <w:color w:val="auto"/>
                <w:highlight w:val="none"/>
              </w:rPr>
            </w:pPr>
          </w:p>
        </w:tc>
        <w:tc>
          <w:tcPr>
            <w:tcW w:w="1262" w:type="dxa"/>
            <w:vAlign w:val="center"/>
          </w:tcPr>
          <w:p>
            <w:pPr>
              <w:pStyle w:val="29"/>
              <w:snapToGrid w:val="0"/>
              <w:spacing w:before="120" w:after="120"/>
              <w:ind w:left="-108" w:firstLine="480"/>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pPr>
              <w:pStyle w:val="29"/>
              <w:snapToGrid w:val="0"/>
              <w:spacing w:before="120" w:after="120"/>
              <w:ind w:left="-108" w:firstLine="480"/>
              <w:jc w:val="center"/>
              <w:rPr>
                <w:rFonts w:hAnsi="宋体"/>
                <w:color w:val="auto"/>
                <w:highlight w:val="none"/>
              </w:rPr>
            </w:pPr>
            <w:r>
              <w:rPr>
                <w:rFonts w:hint="eastAsia" w:hAnsi="宋体"/>
                <w:color w:val="auto"/>
                <w:highlight w:val="none"/>
              </w:rPr>
              <w:t>6</w:t>
            </w:r>
          </w:p>
        </w:tc>
        <w:tc>
          <w:tcPr>
            <w:tcW w:w="5746" w:type="dxa"/>
          </w:tcPr>
          <w:p>
            <w:pPr>
              <w:pStyle w:val="29"/>
              <w:snapToGrid w:val="0"/>
              <w:spacing w:before="120" w:after="120"/>
              <w:ind w:left="-108" w:firstLine="480"/>
              <w:jc w:val="center"/>
              <w:rPr>
                <w:rFonts w:hAnsi="宋体"/>
                <w:color w:val="auto"/>
                <w:highlight w:val="none"/>
              </w:rPr>
            </w:pPr>
          </w:p>
        </w:tc>
        <w:tc>
          <w:tcPr>
            <w:tcW w:w="3780" w:type="dxa"/>
            <w:vAlign w:val="center"/>
          </w:tcPr>
          <w:p>
            <w:pPr>
              <w:pStyle w:val="29"/>
              <w:snapToGrid w:val="0"/>
              <w:spacing w:before="120" w:after="120"/>
              <w:ind w:left="-108" w:firstLine="480"/>
              <w:jc w:val="center"/>
              <w:rPr>
                <w:rFonts w:hAnsi="宋体"/>
                <w:color w:val="auto"/>
                <w:highlight w:val="none"/>
              </w:rPr>
            </w:pPr>
          </w:p>
        </w:tc>
        <w:tc>
          <w:tcPr>
            <w:tcW w:w="720" w:type="dxa"/>
            <w:vAlign w:val="center"/>
          </w:tcPr>
          <w:p>
            <w:pPr>
              <w:pStyle w:val="29"/>
              <w:snapToGrid w:val="0"/>
              <w:spacing w:before="120" w:after="120"/>
              <w:ind w:left="-108" w:firstLine="480"/>
              <w:jc w:val="center"/>
              <w:rPr>
                <w:rFonts w:hAnsi="宋体"/>
                <w:color w:val="auto"/>
                <w:highlight w:val="none"/>
              </w:rPr>
            </w:pPr>
          </w:p>
        </w:tc>
        <w:tc>
          <w:tcPr>
            <w:tcW w:w="720" w:type="dxa"/>
            <w:vAlign w:val="center"/>
          </w:tcPr>
          <w:p>
            <w:pPr>
              <w:pStyle w:val="29"/>
              <w:snapToGrid w:val="0"/>
              <w:spacing w:before="120" w:after="120"/>
              <w:ind w:left="-108" w:firstLine="480"/>
              <w:jc w:val="center"/>
              <w:rPr>
                <w:rFonts w:hAnsi="宋体"/>
                <w:color w:val="auto"/>
                <w:highlight w:val="none"/>
              </w:rPr>
            </w:pPr>
          </w:p>
        </w:tc>
        <w:tc>
          <w:tcPr>
            <w:tcW w:w="718" w:type="dxa"/>
            <w:vAlign w:val="center"/>
          </w:tcPr>
          <w:p>
            <w:pPr>
              <w:pStyle w:val="29"/>
              <w:snapToGrid w:val="0"/>
              <w:spacing w:before="120" w:after="120"/>
              <w:ind w:left="-108" w:firstLine="480"/>
              <w:jc w:val="center"/>
              <w:rPr>
                <w:rFonts w:hAnsi="宋体"/>
                <w:color w:val="auto"/>
                <w:highlight w:val="none"/>
              </w:rPr>
            </w:pPr>
          </w:p>
        </w:tc>
        <w:tc>
          <w:tcPr>
            <w:tcW w:w="1262" w:type="dxa"/>
            <w:vAlign w:val="center"/>
          </w:tcPr>
          <w:p>
            <w:pPr>
              <w:pStyle w:val="29"/>
              <w:snapToGrid w:val="0"/>
              <w:spacing w:before="120" w:after="120"/>
              <w:ind w:left="-108" w:firstLine="480"/>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pPr>
              <w:pStyle w:val="29"/>
              <w:snapToGrid w:val="0"/>
              <w:spacing w:before="120" w:after="120"/>
              <w:ind w:left="-108" w:firstLine="480"/>
              <w:jc w:val="center"/>
              <w:rPr>
                <w:rFonts w:hAnsi="宋体"/>
                <w:color w:val="auto"/>
                <w:highlight w:val="none"/>
              </w:rPr>
            </w:pPr>
            <w:r>
              <w:rPr>
                <w:rFonts w:hint="eastAsia" w:hAnsi="宋体"/>
                <w:color w:val="auto"/>
                <w:highlight w:val="none"/>
              </w:rPr>
              <w:t>7</w:t>
            </w:r>
          </w:p>
        </w:tc>
        <w:tc>
          <w:tcPr>
            <w:tcW w:w="5746" w:type="dxa"/>
          </w:tcPr>
          <w:p>
            <w:pPr>
              <w:pStyle w:val="29"/>
              <w:snapToGrid w:val="0"/>
              <w:spacing w:before="120" w:after="120"/>
              <w:ind w:left="-108" w:firstLine="480"/>
              <w:jc w:val="center"/>
              <w:rPr>
                <w:rFonts w:hAnsi="宋体"/>
                <w:color w:val="auto"/>
                <w:highlight w:val="none"/>
              </w:rPr>
            </w:pPr>
          </w:p>
        </w:tc>
        <w:tc>
          <w:tcPr>
            <w:tcW w:w="3780" w:type="dxa"/>
            <w:vAlign w:val="center"/>
          </w:tcPr>
          <w:p>
            <w:pPr>
              <w:pStyle w:val="29"/>
              <w:snapToGrid w:val="0"/>
              <w:spacing w:before="120" w:after="120"/>
              <w:ind w:left="-108" w:firstLine="480"/>
              <w:jc w:val="center"/>
              <w:rPr>
                <w:rFonts w:hAnsi="宋体"/>
                <w:color w:val="auto"/>
                <w:highlight w:val="none"/>
              </w:rPr>
            </w:pPr>
          </w:p>
        </w:tc>
        <w:tc>
          <w:tcPr>
            <w:tcW w:w="720" w:type="dxa"/>
            <w:vAlign w:val="center"/>
          </w:tcPr>
          <w:p>
            <w:pPr>
              <w:pStyle w:val="29"/>
              <w:snapToGrid w:val="0"/>
              <w:spacing w:before="120" w:after="120"/>
              <w:ind w:left="-108" w:firstLine="480"/>
              <w:jc w:val="center"/>
              <w:rPr>
                <w:rFonts w:hAnsi="宋体"/>
                <w:color w:val="auto"/>
                <w:highlight w:val="none"/>
              </w:rPr>
            </w:pPr>
          </w:p>
        </w:tc>
        <w:tc>
          <w:tcPr>
            <w:tcW w:w="720" w:type="dxa"/>
            <w:vAlign w:val="center"/>
          </w:tcPr>
          <w:p>
            <w:pPr>
              <w:pStyle w:val="29"/>
              <w:snapToGrid w:val="0"/>
              <w:spacing w:before="120" w:after="120"/>
              <w:ind w:left="-108" w:firstLine="480"/>
              <w:jc w:val="center"/>
              <w:rPr>
                <w:rFonts w:hAnsi="宋体"/>
                <w:color w:val="auto"/>
                <w:highlight w:val="none"/>
              </w:rPr>
            </w:pPr>
          </w:p>
        </w:tc>
        <w:tc>
          <w:tcPr>
            <w:tcW w:w="718" w:type="dxa"/>
            <w:vAlign w:val="center"/>
          </w:tcPr>
          <w:p>
            <w:pPr>
              <w:pStyle w:val="29"/>
              <w:snapToGrid w:val="0"/>
              <w:spacing w:before="120" w:after="120"/>
              <w:ind w:left="-108" w:firstLine="480"/>
              <w:jc w:val="center"/>
              <w:rPr>
                <w:rFonts w:hAnsi="宋体"/>
                <w:color w:val="auto"/>
                <w:highlight w:val="none"/>
              </w:rPr>
            </w:pPr>
          </w:p>
        </w:tc>
        <w:tc>
          <w:tcPr>
            <w:tcW w:w="1262" w:type="dxa"/>
            <w:vAlign w:val="center"/>
          </w:tcPr>
          <w:p>
            <w:pPr>
              <w:pStyle w:val="29"/>
              <w:snapToGrid w:val="0"/>
              <w:spacing w:before="120" w:after="120"/>
              <w:ind w:left="-108" w:firstLine="480"/>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3865" w:type="dxa"/>
            <w:gridSpan w:val="7"/>
            <w:vAlign w:val="center"/>
          </w:tcPr>
          <w:p>
            <w:pPr>
              <w:pStyle w:val="29"/>
              <w:snapToGrid w:val="0"/>
              <w:spacing w:before="120" w:after="120"/>
              <w:ind w:left="-122" w:leftChars="-51" w:firstLine="240" w:firstLineChars="100"/>
              <w:rPr>
                <w:rFonts w:hAnsi="宋体"/>
                <w:color w:val="auto"/>
                <w:highlight w:val="none"/>
              </w:rPr>
            </w:pPr>
            <w:r>
              <w:rPr>
                <w:rFonts w:hint="eastAsia" w:hAnsi="宋体"/>
                <w:color w:val="auto"/>
                <w:highlight w:val="none"/>
              </w:rPr>
              <w:t>备注：</w:t>
            </w:r>
          </w:p>
        </w:tc>
      </w:tr>
    </w:tbl>
    <w:p>
      <w:pPr>
        <w:ind w:firstLine="602"/>
        <w:jc w:val="center"/>
        <w:rPr>
          <w:b/>
          <w:color w:val="auto"/>
          <w:sz w:val="30"/>
          <w:szCs w:val="30"/>
          <w:highlight w:val="none"/>
        </w:rPr>
        <w:sectPr>
          <w:pgSz w:w="16838" w:h="11906" w:orient="landscape"/>
          <w:pgMar w:top="1440" w:right="1588" w:bottom="1588" w:left="1440" w:header="851" w:footer="992" w:gutter="0"/>
          <w:cols w:space="720" w:num="1"/>
          <w:docGrid w:linePitch="312" w:charSpace="0"/>
        </w:sectPr>
      </w:pPr>
      <w:r>
        <w:rPr>
          <w:rFonts w:hint="eastAsia"/>
          <w:b/>
          <w:color w:val="auto"/>
          <w:sz w:val="30"/>
          <w:szCs w:val="30"/>
          <w:highlight w:val="none"/>
        </w:rPr>
        <w:t>附件15：验收货物清单</w:t>
      </w:r>
    </w:p>
    <w:p>
      <w:pPr>
        <w:snapToGrid w:val="0"/>
        <w:spacing w:before="50" w:after="50"/>
        <w:ind w:right="-934" w:rightChars="-389" w:firstLine="0" w:firstLineChars="0"/>
        <w:rPr>
          <w:rFonts w:ascii="宋体" w:hAnsi="宋体" w:cs="宋体"/>
          <w:b/>
          <w:color w:val="auto"/>
          <w:highlight w:val="none"/>
        </w:rPr>
      </w:pPr>
      <w:r>
        <w:rPr>
          <w:rFonts w:hint="eastAsia" w:ascii="宋体" w:hAnsi="宋体" w:cs="宋体"/>
          <w:b/>
          <w:color w:val="auto"/>
          <w:highlight w:val="none"/>
        </w:rPr>
        <w:t>附件16：质疑函范本</w:t>
      </w:r>
    </w:p>
    <w:p>
      <w:pPr>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质疑函范本</w:t>
      </w:r>
    </w:p>
    <w:p>
      <w:pPr>
        <w:adjustRightInd w:val="0"/>
        <w:snapToGrid w:val="0"/>
        <w:spacing w:before="312" w:beforeLines="100"/>
        <w:ind w:firstLine="640"/>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一、质疑供应商基本信息</w:t>
      </w:r>
    </w:p>
    <w:p>
      <w:pPr>
        <w:adjustRightInd w:val="0"/>
        <w:snapToGrid w:val="0"/>
        <w:ind w:firstLine="640"/>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质疑供应商：</w:t>
      </w:r>
      <w:r>
        <w:rPr>
          <w:rFonts w:hint="eastAsia" w:ascii="仿宋" w:hAnsi="仿宋" w:eastAsia="仿宋" w:cs="仿宋"/>
          <w:color w:val="auto"/>
          <w:sz w:val="32"/>
          <w:szCs w:val="32"/>
          <w:highlight w:val="none"/>
          <w:u w:val="dotted"/>
        </w:rPr>
        <w:t xml:space="preserve">                                        </w:t>
      </w:r>
    </w:p>
    <w:p>
      <w:pPr>
        <w:adjustRightInd w:val="0"/>
        <w:snapToGrid w:val="0"/>
        <w:ind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地址：</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p>
    <w:p>
      <w:pPr>
        <w:adjustRightInd w:val="0"/>
        <w:snapToGrid w:val="0"/>
        <w:ind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联系人：</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p>
    <w:p>
      <w:pPr>
        <w:adjustRightInd w:val="0"/>
        <w:snapToGrid w:val="0"/>
        <w:ind w:firstLine="640"/>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授权代表：</w:t>
      </w:r>
      <w:r>
        <w:rPr>
          <w:rFonts w:hint="eastAsia" w:ascii="仿宋" w:hAnsi="仿宋" w:eastAsia="仿宋" w:cs="仿宋"/>
          <w:color w:val="auto"/>
          <w:sz w:val="32"/>
          <w:szCs w:val="32"/>
          <w:highlight w:val="none"/>
          <w:u w:val="dotted"/>
        </w:rPr>
        <w:t xml:space="preserve">                                          </w:t>
      </w:r>
    </w:p>
    <w:p>
      <w:pPr>
        <w:adjustRightInd w:val="0"/>
        <w:snapToGrid w:val="0"/>
        <w:ind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r>
        <w:rPr>
          <w:rFonts w:ascii="仿宋" w:hAnsi="仿宋" w:eastAsia="仿宋" w:cs="仿宋"/>
          <w:color w:val="auto"/>
          <w:sz w:val="32"/>
          <w:szCs w:val="32"/>
          <w:highlight w:val="none"/>
        </w:rPr>
        <w:t xml:space="preserve"> </w:t>
      </w:r>
    </w:p>
    <w:p>
      <w:pPr>
        <w:adjustRightInd w:val="0"/>
        <w:snapToGrid w:val="0"/>
        <w:ind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地址：</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p>
    <w:p>
      <w:pPr>
        <w:adjustRightInd w:val="0"/>
        <w:snapToGrid w:val="0"/>
        <w:ind w:firstLine="640"/>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二、质疑项目基本情况</w:t>
      </w:r>
    </w:p>
    <w:p>
      <w:pPr>
        <w:adjustRightInd w:val="0"/>
        <w:snapToGrid w:val="0"/>
        <w:ind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质疑项目的名称：</w:t>
      </w:r>
      <w:r>
        <w:rPr>
          <w:rFonts w:hint="eastAsia" w:ascii="仿宋" w:hAnsi="仿宋" w:eastAsia="仿宋" w:cs="仿宋"/>
          <w:color w:val="auto"/>
          <w:sz w:val="32"/>
          <w:szCs w:val="32"/>
          <w:highlight w:val="none"/>
          <w:u w:val="dotted"/>
        </w:rPr>
        <w:t xml:space="preserve">                                      </w:t>
      </w:r>
    </w:p>
    <w:p>
      <w:pPr>
        <w:adjustRightInd w:val="0"/>
        <w:snapToGrid w:val="0"/>
        <w:ind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质疑项目的编号：</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包号：</w:t>
      </w:r>
      <w:r>
        <w:rPr>
          <w:rFonts w:hint="eastAsia" w:ascii="仿宋" w:hAnsi="仿宋" w:eastAsia="仿宋" w:cs="仿宋"/>
          <w:color w:val="auto"/>
          <w:sz w:val="32"/>
          <w:szCs w:val="32"/>
          <w:highlight w:val="none"/>
          <w:u w:val="dotted"/>
        </w:rPr>
        <w:t xml:space="preserve">                 </w:t>
      </w:r>
    </w:p>
    <w:p>
      <w:pPr>
        <w:adjustRightInd w:val="0"/>
        <w:snapToGrid w:val="0"/>
        <w:ind w:firstLine="640"/>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采购人名称：</w:t>
      </w:r>
      <w:r>
        <w:rPr>
          <w:rFonts w:hint="eastAsia" w:ascii="仿宋" w:hAnsi="仿宋" w:eastAsia="仿宋" w:cs="仿宋"/>
          <w:color w:val="auto"/>
          <w:sz w:val="32"/>
          <w:szCs w:val="32"/>
          <w:highlight w:val="none"/>
          <w:u w:val="dotted"/>
        </w:rPr>
        <w:t xml:space="preserve">                                         </w:t>
      </w:r>
    </w:p>
    <w:p>
      <w:pPr>
        <w:adjustRightInd w:val="0"/>
        <w:snapToGrid w:val="0"/>
        <w:ind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采购文件获取日期：</w:t>
      </w:r>
      <w:r>
        <w:rPr>
          <w:rFonts w:hint="eastAsia" w:ascii="仿宋" w:hAnsi="仿宋" w:eastAsia="仿宋" w:cs="仿宋"/>
          <w:color w:val="auto"/>
          <w:sz w:val="32"/>
          <w:szCs w:val="32"/>
          <w:highlight w:val="none"/>
          <w:u w:val="dotted"/>
        </w:rPr>
        <w:t xml:space="preserve">                                           </w:t>
      </w:r>
    </w:p>
    <w:p>
      <w:pPr>
        <w:adjustRightInd w:val="0"/>
        <w:snapToGrid w:val="0"/>
        <w:ind w:firstLine="640"/>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三、质疑事项具体内容</w:t>
      </w:r>
    </w:p>
    <w:p>
      <w:pPr>
        <w:adjustRightInd w:val="0"/>
        <w:snapToGrid w:val="0"/>
        <w:ind w:firstLine="640"/>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质疑事项1：</w:t>
      </w:r>
      <w:r>
        <w:rPr>
          <w:rFonts w:hint="eastAsia" w:ascii="仿宋" w:hAnsi="仿宋" w:eastAsia="仿宋" w:cs="仿宋"/>
          <w:color w:val="auto"/>
          <w:sz w:val="32"/>
          <w:szCs w:val="32"/>
          <w:highlight w:val="none"/>
          <w:u w:val="dotted"/>
        </w:rPr>
        <w:t xml:space="preserve">                                         </w:t>
      </w:r>
    </w:p>
    <w:p>
      <w:pPr>
        <w:adjustRightInd w:val="0"/>
        <w:snapToGrid w:val="0"/>
        <w:ind w:firstLine="640"/>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事实依据：</w:t>
      </w:r>
      <w:r>
        <w:rPr>
          <w:rFonts w:hint="eastAsia" w:ascii="仿宋" w:hAnsi="仿宋" w:eastAsia="仿宋" w:cs="仿宋"/>
          <w:color w:val="auto"/>
          <w:sz w:val="32"/>
          <w:szCs w:val="32"/>
          <w:highlight w:val="none"/>
          <w:u w:val="dotted"/>
        </w:rPr>
        <w:t xml:space="preserve">                                          </w:t>
      </w:r>
    </w:p>
    <w:p>
      <w:pPr>
        <w:adjustRightInd w:val="0"/>
        <w:snapToGrid w:val="0"/>
        <w:ind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u w:val="dotted"/>
        </w:rPr>
        <w:t xml:space="preserve">                                                       </w:t>
      </w:r>
    </w:p>
    <w:p>
      <w:pPr>
        <w:adjustRightInd w:val="0"/>
        <w:snapToGrid w:val="0"/>
        <w:ind w:firstLine="640"/>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法律依据：</w:t>
      </w:r>
      <w:r>
        <w:rPr>
          <w:rFonts w:hint="eastAsia" w:ascii="仿宋" w:hAnsi="仿宋" w:eastAsia="仿宋" w:cs="仿宋"/>
          <w:color w:val="auto"/>
          <w:sz w:val="32"/>
          <w:szCs w:val="32"/>
          <w:highlight w:val="none"/>
          <w:u w:val="dotted"/>
        </w:rPr>
        <w:t xml:space="preserve">                                          </w:t>
      </w:r>
    </w:p>
    <w:p>
      <w:pPr>
        <w:adjustRightInd w:val="0"/>
        <w:snapToGrid w:val="0"/>
        <w:ind w:firstLine="640"/>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u w:val="dotted"/>
        </w:rPr>
        <w:t xml:space="preserve">                                                     </w:t>
      </w:r>
    </w:p>
    <w:p>
      <w:pPr>
        <w:adjustRightInd w:val="0"/>
        <w:snapToGrid w:val="0"/>
        <w:ind w:firstLine="640"/>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质疑事项2</w:t>
      </w:r>
    </w:p>
    <w:p>
      <w:pPr>
        <w:adjustRightInd w:val="0"/>
        <w:snapToGrid w:val="0"/>
        <w:ind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p>
      <w:pPr>
        <w:adjustRightInd w:val="0"/>
        <w:snapToGrid w:val="0"/>
        <w:ind w:firstLine="640"/>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四、与质疑事项相关的质疑请求</w:t>
      </w:r>
    </w:p>
    <w:p>
      <w:pPr>
        <w:adjustRightInd w:val="0"/>
        <w:snapToGrid w:val="0"/>
        <w:ind w:firstLine="640"/>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请求：</w:t>
      </w:r>
      <w:r>
        <w:rPr>
          <w:rFonts w:hint="eastAsia" w:ascii="仿宋" w:hAnsi="仿宋" w:eastAsia="仿宋" w:cs="仿宋"/>
          <w:color w:val="auto"/>
          <w:sz w:val="32"/>
          <w:szCs w:val="32"/>
          <w:highlight w:val="none"/>
          <w:u w:val="dotted"/>
        </w:rPr>
        <w:t xml:space="preserve">                                               </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签字(签章)：                   公章：                      </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日期：    </w:t>
      </w:r>
    </w:p>
    <w:p>
      <w:pPr>
        <w:adjustRightInd w:val="0"/>
        <w:snapToGrid w:val="0"/>
        <w:ind w:firstLine="640"/>
        <w:rPr>
          <w:rFonts w:ascii="仿宋" w:hAnsi="仿宋" w:eastAsia="仿宋" w:cs="仿宋"/>
          <w:color w:val="auto"/>
          <w:sz w:val="32"/>
          <w:szCs w:val="32"/>
          <w:highlight w:val="none"/>
        </w:rPr>
      </w:pPr>
    </w:p>
    <w:p>
      <w:pPr>
        <w:adjustRightInd w:val="0"/>
        <w:snapToGrid w:val="0"/>
        <w:ind w:firstLine="640"/>
        <w:rPr>
          <w:rFonts w:ascii="仿宋" w:hAnsi="仿宋" w:eastAsia="仿宋" w:cs="仿宋"/>
          <w:color w:val="auto"/>
          <w:sz w:val="32"/>
          <w:szCs w:val="32"/>
          <w:highlight w:val="none"/>
        </w:rPr>
      </w:pPr>
    </w:p>
    <w:p>
      <w:pPr>
        <w:ind w:firstLine="643"/>
        <w:jc w:val="center"/>
        <w:rPr>
          <w:rFonts w:ascii="仿宋" w:hAnsi="仿宋" w:eastAsia="仿宋" w:cs="仿宋"/>
          <w:b/>
          <w:bCs/>
          <w:color w:val="auto"/>
          <w:sz w:val="32"/>
          <w:szCs w:val="32"/>
          <w:highlight w:val="none"/>
        </w:rPr>
      </w:pPr>
    </w:p>
    <w:p>
      <w:pPr>
        <w:ind w:firstLine="643"/>
        <w:rPr>
          <w:rFonts w:ascii="黑体" w:hAnsi="黑体" w:eastAsia="黑体"/>
          <w:b/>
          <w:color w:val="auto"/>
          <w:sz w:val="32"/>
          <w:szCs w:val="32"/>
          <w:highlight w:val="none"/>
        </w:rPr>
      </w:pPr>
    </w:p>
    <w:p>
      <w:pPr>
        <w:ind w:firstLine="643"/>
        <w:rPr>
          <w:rFonts w:ascii="黑体" w:hAnsi="黑体" w:eastAsia="黑体"/>
          <w:b/>
          <w:color w:val="auto"/>
          <w:sz w:val="32"/>
          <w:szCs w:val="32"/>
          <w:highlight w:val="none"/>
        </w:rPr>
      </w:pPr>
    </w:p>
    <w:p>
      <w:pPr>
        <w:ind w:firstLine="643"/>
        <w:rPr>
          <w:rFonts w:ascii="黑体" w:hAnsi="黑体" w:eastAsia="黑体"/>
          <w:b/>
          <w:color w:val="auto"/>
          <w:sz w:val="32"/>
          <w:szCs w:val="32"/>
          <w:highlight w:val="none"/>
        </w:rPr>
      </w:pPr>
      <w:r>
        <w:rPr>
          <w:rFonts w:hint="eastAsia" w:ascii="黑体" w:hAnsi="黑体" w:eastAsia="黑体"/>
          <w:b/>
          <w:color w:val="auto"/>
          <w:sz w:val="32"/>
          <w:szCs w:val="32"/>
          <w:highlight w:val="none"/>
        </w:rPr>
        <w:t>质疑函制作说明：</w:t>
      </w:r>
    </w:p>
    <w:p>
      <w:pPr>
        <w:widowControl/>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1.供应商提出质疑时，应提交质疑函和必要的证明材料。</w:t>
      </w:r>
    </w:p>
    <w:p>
      <w:pPr>
        <w:widowControl/>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2.质疑供应商若委托代理人进行质疑的，质疑函应按要求列明“授权代表”的有关内容，并在附件中提交由质疑</w:t>
      </w:r>
      <w:r>
        <w:rPr>
          <w:rFonts w:hint="eastAsia" w:ascii="仿宋_GB2312" w:hAnsi="宋体" w:eastAsia="仿宋_GB2312" w:cs="宋体"/>
          <w:color w:val="auto"/>
          <w:kern w:val="0"/>
          <w:sz w:val="32"/>
          <w:szCs w:val="32"/>
          <w:highlight w:val="none"/>
        </w:rPr>
        <w:t>供应商签署的授权委托书。授权委托书应载明代理人的姓名或者名称、代理事项、具体权限、期限和相关事项。</w:t>
      </w:r>
    </w:p>
    <w:p>
      <w:pPr>
        <w:widowControl/>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3.质疑供应商若对项目的某一分包进行质疑，质疑函中应列明具体分包号。</w:t>
      </w:r>
    </w:p>
    <w:p>
      <w:pPr>
        <w:widowControl/>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4.质疑函的质疑事项应具体、明确，并有必要的事实依据和法律依据。</w:t>
      </w:r>
    </w:p>
    <w:p>
      <w:pPr>
        <w:widowControl/>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5.质疑函的质疑请求应与质疑事项相关。</w:t>
      </w:r>
    </w:p>
    <w:p>
      <w:pPr>
        <w:widowControl/>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pPr>
        <w:widowControl/>
        <w:ind w:firstLine="600"/>
        <w:rPr>
          <w:rFonts w:ascii="仿宋_GB2312" w:eastAsia="仿宋_GB2312"/>
          <w:color w:val="auto"/>
          <w:sz w:val="30"/>
          <w:szCs w:val="30"/>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pStyle w:val="3"/>
        <w:ind w:firstLine="344"/>
        <w:rPr>
          <w:color w:val="auto"/>
          <w:highlight w:val="none"/>
        </w:rPr>
      </w:pPr>
    </w:p>
    <w:p>
      <w:pPr>
        <w:snapToGrid w:val="0"/>
        <w:spacing w:before="50" w:after="50"/>
        <w:ind w:right="-934" w:rightChars="-389" w:firstLine="482"/>
        <w:rPr>
          <w:rFonts w:ascii="宋体" w:hAnsi="宋体" w:cs="宋体"/>
          <w:b/>
          <w:color w:val="auto"/>
          <w:highlight w:val="none"/>
        </w:rPr>
      </w:pPr>
      <w:r>
        <w:rPr>
          <w:rFonts w:hint="eastAsia" w:ascii="宋体" w:hAnsi="宋体" w:cs="宋体"/>
          <w:b/>
          <w:color w:val="auto"/>
          <w:highlight w:val="none"/>
        </w:rPr>
        <w:t>附件17：投诉书范本</w:t>
      </w:r>
    </w:p>
    <w:p>
      <w:pPr>
        <w:jc w:val="center"/>
        <w:rPr>
          <w:rFonts w:ascii="宋体" w:hAnsi="宋体"/>
          <w:b/>
          <w:color w:val="auto"/>
          <w:sz w:val="44"/>
          <w:szCs w:val="44"/>
          <w:highlight w:val="none"/>
        </w:rPr>
      </w:pPr>
      <w:r>
        <w:rPr>
          <w:rFonts w:hint="eastAsia" w:ascii="宋体" w:hAnsi="宋体"/>
          <w:b/>
          <w:color w:val="auto"/>
          <w:sz w:val="44"/>
          <w:szCs w:val="44"/>
          <w:highlight w:val="none"/>
        </w:rPr>
        <w:t>投诉书范本</w:t>
      </w:r>
    </w:p>
    <w:p>
      <w:pPr>
        <w:ind w:firstLine="640"/>
        <w:rPr>
          <w:rFonts w:ascii="黑体" w:hAnsi="黑体" w:eastAsia="黑体"/>
          <w:color w:val="auto"/>
          <w:sz w:val="32"/>
          <w:szCs w:val="32"/>
          <w:highlight w:val="none"/>
        </w:rPr>
      </w:pPr>
      <w:r>
        <w:rPr>
          <w:rFonts w:hint="eastAsia" w:ascii="黑体" w:hAnsi="黑体" w:eastAsia="黑体"/>
          <w:color w:val="auto"/>
          <w:sz w:val="32"/>
          <w:szCs w:val="32"/>
          <w:highlight w:val="none"/>
        </w:rPr>
        <w:t>一、投诉相关主体基本情况</w:t>
      </w:r>
    </w:p>
    <w:p>
      <w:pPr>
        <w:ind w:firstLine="640"/>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投诉人：</w:t>
      </w:r>
      <w:r>
        <w:rPr>
          <w:rFonts w:hint="eastAsia" w:ascii="仿宋_GB2312" w:eastAsia="仿宋_GB2312"/>
          <w:color w:val="auto"/>
          <w:sz w:val="32"/>
          <w:szCs w:val="32"/>
          <w:highlight w:val="none"/>
          <w:u w:val="dotted"/>
        </w:rPr>
        <w:t xml:space="preserve">                                               </w:t>
      </w:r>
    </w:p>
    <w:p>
      <w:pPr>
        <w:ind w:firstLine="640"/>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pPr>
        <w:tabs>
          <w:tab w:val="left" w:pos="6510"/>
        </w:tabs>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法定代表人/主要负责人：</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 xml:space="preserve">  </w:t>
      </w:r>
    </w:p>
    <w:p>
      <w:pPr>
        <w:tabs>
          <w:tab w:val="left" w:pos="6510"/>
        </w:tabs>
        <w:ind w:firstLine="640"/>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p>
    <w:p>
      <w:pPr>
        <w:ind w:firstLine="640"/>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授权代表：</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p>
    <w:p>
      <w:pPr>
        <w:ind w:firstLine="640"/>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u w:val="dotted"/>
        </w:rPr>
        <w:t xml:space="preserve">                   </w:t>
      </w:r>
    </w:p>
    <w:p>
      <w:pPr>
        <w:ind w:firstLine="640"/>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被投诉人1：</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pPr>
        <w:ind w:firstLine="640"/>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pPr>
        <w:ind w:firstLine="640"/>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联系人：</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pPr>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被投诉人2</w:t>
      </w:r>
    </w:p>
    <w:p>
      <w:pPr>
        <w:ind w:firstLine="640"/>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w:t>
      </w:r>
    </w:p>
    <w:p>
      <w:pPr>
        <w:ind w:firstLine="640"/>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相关供应商：</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pPr>
        <w:ind w:firstLine="640"/>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pPr>
        <w:ind w:firstLine="640"/>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联系人：</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pPr>
        <w:ind w:firstLine="640"/>
        <w:rPr>
          <w:rFonts w:ascii="黑体" w:hAnsi="黑体" w:eastAsia="黑体"/>
          <w:color w:val="auto"/>
          <w:sz w:val="32"/>
          <w:szCs w:val="32"/>
          <w:highlight w:val="none"/>
        </w:rPr>
      </w:pPr>
      <w:r>
        <w:rPr>
          <w:rFonts w:hint="eastAsia" w:ascii="黑体" w:hAnsi="黑体" w:eastAsia="黑体"/>
          <w:color w:val="auto"/>
          <w:sz w:val="32"/>
          <w:szCs w:val="32"/>
          <w:highlight w:val="none"/>
        </w:rPr>
        <w:t>二、投诉项目基本情况</w:t>
      </w:r>
    </w:p>
    <w:p>
      <w:pPr>
        <w:ind w:firstLine="640"/>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采购项目名称：</w:t>
      </w:r>
      <w:r>
        <w:rPr>
          <w:rFonts w:hint="eastAsia" w:ascii="仿宋_GB2312" w:eastAsia="仿宋_GB2312"/>
          <w:color w:val="auto"/>
          <w:sz w:val="32"/>
          <w:szCs w:val="32"/>
          <w:highlight w:val="none"/>
          <w:u w:val="dotted"/>
        </w:rPr>
        <w:t xml:space="preserve">                                        </w:t>
      </w:r>
    </w:p>
    <w:p>
      <w:pPr>
        <w:ind w:firstLine="640"/>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采购项目编号：</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包号：</w:t>
      </w:r>
      <w:r>
        <w:rPr>
          <w:rFonts w:hint="eastAsia" w:ascii="仿宋_GB2312" w:eastAsia="仿宋_GB2312"/>
          <w:color w:val="auto"/>
          <w:sz w:val="32"/>
          <w:szCs w:val="32"/>
          <w:highlight w:val="none"/>
          <w:u w:val="dotted"/>
        </w:rPr>
        <w:t xml:space="preserve">              </w:t>
      </w:r>
    </w:p>
    <w:p>
      <w:pPr>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采购人名称：</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pPr>
        <w:ind w:firstLine="640"/>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代理机构名称：</w:t>
      </w:r>
      <w:r>
        <w:rPr>
          <w:rFonts w:hint="eastAsia" w:ascii="仿宋_GB2312" w:eastAsia="仿宋_GB2312"/>
          <w:color w:val="auto"/>
          <w:sz w:val="32"/>
          <w:szCs w:val="32"/>
          <w:highlight w:val="none"/>
          <w:u w:val="dotted"/>
        </w:rPr>
        <w:t xml:space="preserve">                                         </w:t>
      </w:r>
    </w:p>
    <w:p>
      <w:pPr>
        <w:ind w:firstLine="640"/>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采购文件公告:</w:t>
      </w:r>
      <w:r>
        <w:rPr>
          <w:rFonts w:hint="eastAsia" w:ascii="仿宋_GB2312" w:eastAsia="仿宋_GB2312"/>
          <w:color w:val="auto"/>
          <w:sz w:val="32"/>
          <w:szCs w:val="32"/>
          <w:highlight w:val="none"/>
          <w:u w:val="dotted"/>
        </w:rPr>
        <w:t xml:space="preserve">是/否 </w:t>
      </w:r>
      <w:r>
        <w:rPr>
          <w:rFonts w:hint="eastAsia" w:ascii="仿宋_GB2312" w:eastAsia="仿宋_GB2312"/>
          <w:color w:val="auto"/>
          <w:sz w:val="32"/>
          <w:szCs w:val="32"/>
          <w:highlight w:val="none"/>
        </w:rPr>
        <w:t>公告期限：</w:t>
      </w:r>
      <w:r>
        <w:rPr>
          <w:rFonts w:hint="eastAsia" w:ascii="仿宋_GB2312" w:eastAsia="仿宋_GB2312"/>
          <w:color w:val="auto"/>
          <w:sz w:val="32"/>
          <w:szCs w:val="32"/>
          <w:highlight w:val="none"/>
          <w:u w:val="dotted"/>
        </w:rPr>
        <w:t xml:space="preserve">                                 </w:t>
      </w:r>
    </w:p>
    <w:p>
      <w:pPr>
        <w:ind w:firstLine="640"/>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采购结果公告:</w:t>
      </w:r>
      <w:r>
        <w:rPr>
          <w:rFonts w:hint="eastAsia" w:ascii="仿宋_GB2312" w:eastAsia="仿宋_GB2312"/>
          <w:color w:val="auto"/>
          <w:sz w:val="32"/>
          <w:szCs w:val="32"/>
          <w:highlight w:val="none"/>
          <w:u w:val="dotted"/>
        </w:rPr>
        <w:t xml:space="preserve">是/否 </w:t>
      </w:r>
      <w:r>
        <w:rPr>
          <w:rFonts w:hint="eastAsia" w:ascii="仿宋_GB2312" w:eastAsia="仿宋_GB2312"/>
          <w:color w:val="auto"/>
          <w:sz w:val="32"/>
          <w:szCs w:val="32"/>
          <w:highlight w:val="none"/>
        </w:rPr>
        <w:t>公告期限：</w:t>
      </w:r>
      <w:r>
        <w:rPr>
          <w:rFonts w:hint="eastAsia" w:ascii="仿宋_GB2312" w:eastAsia="仿宋_GB2312"/>
          <w:color w:val="auto"/>
          <w:sz w:val="32"/>
          <w:szCs w:val="32"/>
          <w:highlight w:val="none"/>
          <w:u w:val="dotted"/>
        </w:rPr>
        <w:t xml:space="preserve">                        </w:t>
      </w:r>
    </w:p>
    <w:p>
      <w:pPr>
        <w:ind w:firstLine="640"/>
        <w:rPr>
          <w:rFonts w:ascii="黑体" w:hAnsi="黑体" w:eastAsia="黑体"/>
          <w:color w:val="auto"/>
          <w:sz w:val="32"/>
          <w:szCs w:val="32"/>
          <w:highlight w:val="none"/>
        </w:rPr>
      </w:pPr>
      <w:r>
        <w:rPr>
          <w:rFonts w:hint="eastAsia" w:ascii="黑体" w:hAnsi="黑体" w:eastAsia="黑体"/>
          <w:color w:val="auto"/>
          <w:sz w:val="32"/>
          <w:szCs w:val="32"/>
          <w:highlight w:val="none"/>
        </w:rPr>
        <w:t>三、质疑基本情况</w:t>
      </w:r>
    </w:p>
    <w:p>
      <w:pPr>
        <w:ind w:firstLine="640"/>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投诉人于</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日,向</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提出质疑，质疑事项为：</w:t>
      </w:r>
      <w:r>
        <w:rPr>
          <w:rFonts w:hint="eastAsia" w:ascii="仿宋_GB2312" w:eastAsia="仿宋_GB2312"/>
          <w:color w:val="auto"/>
          <w:sz w:val="32"/>
          <w:szCs w:val="32"/>
          <w:highlight w:val="none"/>
          <w:u w:val="dotted"/>
        </w:rPr>
        <w:t xml:space="preserve">                                </w:t>
      </w:r>
    </w:p>
    <w:p>
      <w:pPr>
        <w:ind w:firstLine="640"/>
        <w:rPr>
          <w:rFonts w:ascii="仿宋_GB2312" w:eastAsia="仿宋_GB2312"/>
          <w:color w:val="auto"/>
          <w:sz w:val="32"/>
          <w:szCs w:val="32"/>
          <w:highlight w:val="none"/>
          <w:u w:val="dotted"/>
        </w:rPr>
      </w:pP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 xml:space="preserve">  </w:t>
      </w:r>
    </w:p>
    <w:p>
      <w:pPr>
        <w:ind w:firstLine="480" w:firstLineChars="150"/>
        <w:rPr>
          <w:rFonts w:ascii="仿宋_GB2312" w:eastAsia="仿宋_GB2312"/>
          <w:color w:val="auto"/>
          <w:sz w:val="32"/>
          <w:szCs w:val="32"/>
          <w:highlight w:val="none"/>
        </w:rPr>
      </w:pPr>
      <w:r>
        <w:rPr>
          <w:rFonts w:hint="eastAsia" w:ascii="仿宋_GB2312" w:eastAsia="仿宋_GB2312"/>
          <w:color w:val="auto"/>
          <w:sz w:val="32"/>
          <w:szCs w:val="32"/>
          <w:highlight w:val="none"/>
          <w:u w:val="dotted"/>
        </w:rPr>
        <w:t>采购人/代理机构</w:t>
      </w:r>
      <w:r>
        <w:rPr>
          <w:rFonts w:hint="eastAsia" w:ascii="仿宋_GB2312" w:eastAsia="仿宋_GB2312"/>
          <w:color w:val="auto"/>
          <w:sz w:val="32"/>
          <w:szCs w:val="32"/>
          <w:highlight w:val="none"/>
        </w:rPr>
        <w:t>于</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日,就质疑事项作出了答复/没有在法定期限内作出答复。</w:t>
      </w:r>
    </w:p>
    <w:p>
      <w:pPr>
        <w:ind w:firstLine="640"/>
        <w:rPr>
          <w:rFonts w:ascii="黑体" w:hAnsi="黑体" w:eastAsia="黑体"/>
          <w:color w:val="auto"/>
          <w:sz w:val="32"/>
          <w:szCs w:val="32"/>
          <w:highlight w:val="none"/>
        </w:rPr>
      </w:pPr>
      <w:r>
        <w:rPr>
          <w:rFonts w:hint="eastAsia" w:ascii="黑体" w:hAnsi="黑体" w:eastAsia="黑体"/>
          <w:color w:val="auto"/>
          <w:sz w:val="32"/>
          <w:szCs w:val="32"/>
          <w:highlight w:val="none"/>
        </w:rPr>
        <w:t>四、投诉事项具体内容</w:t>
      </w:r>
    </w:p>
    <w:p>
      <w:pPr>
        <w:ind w:firstLine="640"/>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投诉事项 1：</w:t>
      </w:r>
      <w:r>
        <w:rPr>
          <w:rFonts w:hint="eastAsia" w:ascii="仿宋_GB2312" w:eastAsia="仿宋_GB2312"/>
          <w:color w:val="auto"/>
          <w:sz w:val="32"/>
          <w:szCs w:val="32"/>
          <w:highlight w:val="none"/>
          <w:u w:val="dotted"/>
        </w:rPr>
        <w:t xml:space="preserve">                                       </w:t>
      </w:r>
    </w:p>
    <w:p>
      <w:pPr>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事实依据：</w:t>
      </w:r>
      <w:r>
        <w:rPr>
          <w:rFonts w:hint="eastAsia" w:ascii="仿宋_GB2312" w:eastAsia="仿宋_GB2312"/>
          <w:color w:val="auto"/>
          <w:sz w:val="32"/>
          <w:szCs w:val="32"/>
          <w:highlight w:val="none"/>
          <w:u w:val="dotted"/>
        </w:rPr>
        <w:t xml:space="preserve">                                         </w:t>
      </w:r>
    </w:p>
    <w:p>
      <w:pPr>
        <w:ind w:firstLine="640"/>
        <w:rPr>
          <w:rFonts w:ascii="仿宋_GB2312" w:eastAsia="仿宋_GB2312"/>
          <w:color w:val="auto"/>
          <w:sz w:val="32"/>
          <w:szCs w:val="32"/>
          <w:highlight w:val="none"/>
          <w:u w:val="dotted"/>
        </w:rPr>
      </w:pPr>
      <w:r>
        <w:rPr>
          <w:rFonts w:hint="eastAsia" w:ascii="仿宋_GB2312" w:eastAsia="仿宋_GB2312"/>
          <w:color w:val="auto"/>
          <w:sz w:val="32"/>
          <w:szCs w:val="32"/>
          <w:highlight w:val="none"/>
          <w:u w:val="dotted"/>
        </w:rPr>
        <w:t xml:space="preserve">                                                      </w:t>
      </w:r>
    </w:p>
    <w:p>
      <w:pPr>
        <w:ind w:firstLine="640"/>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法律依据：</w:t>
      </w:r>
      <w:r>
        <w:rPr>
          <w:rFonts w:hint="eastAsia" w:ascii="仿宋_GB2312" w:eastAsia="仿宋_GB2312"/>
          <w:color w:val="auto"/>
          <w:sz w:val="32"/>
          <w:szCs w:val="32"/>
          <w:highlight w:val="none"/>
          <w:u w:val="dotted"/>
        </w:rPr>
        <w:t xml:space="preserve">                                          </w:t>
      </w:r>
    </w:p>
    <w:p>
      <w:pPr>
        <w:ind w:firstLine="640"/>
        <w:rPr>
          <w:rFonts w:ascii="仿宋_GB2312" w:eastAsia="仿宋_GB2312"/>
          <w:color w:val="auto"/>
          <w:sz w:val="32"/>
          <w:szCs w:val="32"/>
          <w:highlight w:val="none"/>
          <w:u w:val="dotted"/>
        </w:rPr>
      </w:pPr>
      <w:r>
        <w:rPr>
          <w:rFonts w:hint="eastAsia" w:ascii="仿宋_GB2312" w:eastAsia="仿宋_GB2312"/>
          <w:color w:val="auto"/>
          <w:sz w:val="32"/>
          <w:szCs w:val="32"/>
          <w:highlight w:val="none"/>
          <w:u w:val="dotted"/>
        </w:rPr>
        <w:t xml:space="preserve">                                                      </w:t>
      </w:r>
    </w:p>
    <w:p>
      <w:pPr>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投诉事项2</w:t>
      </w:r>
    </w:p>
    <w:p>
      <w:pPr>
        <w:ind w:firstLine="640"/>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w:t>
      </w:r>
    </w:p>
    <w:p>
      <w:pPr>
        <w:ind w:firstLine="640"/>
        <w:rPr>
          <w:rFonts w:ascii="黑体" w:hAnsi="黑体" w:eastAsia="黑体"/>
          <w:color w:val="auto"/>
          <w:sz w:val="32"/>
          <w:szCs w:val="32"/>
          <w:highlight w:val="none"/>
        </w:rPr>
      </w:pPr>
      <w:r>
        <w:rPr>
          <w:rFonts w:hint="eastAsia" w:ascii="黑体" w:hAnsi="黑体" w:eastAsia="黑体"/>
          <w:color w:val="auto"/>
          <w:sz w:val="32"/>
          <w:szCs w:val="32"/>
          <w:highlight w:val="none"/>
        </w:rPr>
        <w:t>五、与投诉事项相关的投诉请求</w:t>
      </w:r>
    </w:p>
    <w:p>
      <w:pPr>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请求：</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 xml:space="preserve"> </w:t>
      </w:r>
    </w:p>
    <w:p>
      <w:pPr>
        <w:ind w:firstLine="640"/>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 xml:space="preserve">                                                                                                    </w:t>
      </w:r>
    </w:p>
    <w:p>
      <w:pPr>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签字(签章)：                   公章：                      </w:t>
      </w:r>
    </w:p>
    <w:p>
      <w:pPr>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日期：    </w:t>
      </w:r>
    </w:p>
    <w:p>
      <w:pPr>
        <w:ind w:firstLine="643"/>
        <w:rPr>
          <w:rFonts w:ascii="黑体" w:hAnsi="黑体" w:eastAsia="黑体"/>
          <w:b/>
          <w:color w:val="auto"/>
          <w:sz w:val="32"/>
          <w:szCs w:val="32"/>
          <w:highlight w:val="none"/>
        </w:rPr>
      </w:pPr>
    </w:p>
    <w:p>
      <w:pPr>
        <w:ind w:firstLine="643"/>
        <w:rPr>
          <w:rFonts w:ascii="黑体" w:hAnsi="黑体" w:eastAsia="黑体"/>
          <w:b/>
          <w:color w:val="auto"/>
          <w:sz w:val="32"/>
          <w:szCs w:val="32"/>
          <w:highlight w:val="none"/>
        </w:rPr>
      </w:pPr>
      <w:r>
        <w:rPr>
          <w:rFonts w:hint="eastAsia" w:ascii="黑体" w:hAnsi="黑体" w:eastAsia="黑体"/>
          <w:b/>
          <w:color w:val="auto"/>
          <w:sz w:val="32"/>
          <w:szCs w:val="32"/>
          <w:highlight w:val="none"/>
        </w:rPr>
        <w:t>投诉书制作说明：</w:t>
      </w:r>
    </w:p>
    <w:p>
      <w:pPr>
        <w:widowControl/>
        <w:ind w:firstLine="640"/>
        <w:rPr>
          <w:rFonts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rPr>
        <w:t>1.投诉人提起投诉时，应当提交投诉书和必要的证明材料，并按照被投诉人和与投诉事项有关的供应商数量提供投诉书副本。</w:t>
      </w:r>
    </w:p>
    <w:p>
      <w:pPr>
        <w:widowControl/>
        <w:ind w:firstLine="640"/>
        <w:rPr>
          <w:rFonts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rPr>
        <w:t>2.投诉人若委托代理人进行投诉的，投诉书应按照要求列明“授权代表”的有关内容，并在附件中提交由</w:t>
      </w:r>
      <w:r>
        <w:rPr>
          <w:rFonts w:hint="eastAsia" w:ascii="仿宋_GB2312" w:hAnsi="宋体" w:eastAsia="仿宋_GB2312" w:cs="宋体"/>
          <w:color w:val="auto"/>
          <w:kern w:val="0"/>
          <w:sz w:val="32"/>
          <w:szCs w:val="32"/>
          <w:highlight w:val="none"/>
        </w:rPr>
        <w:t>投诉人签署的授权委托书。授权委托书应当载明代理人的姓名或者名称、代理事项、具体权限、期限和相关事项。</w:t>
      </w:r>
    </w:p>
    <w:p>
      <w:pPr>
        <w:widowControl/>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3.投诉人若对项目的某一分包进行投诉，投诉书应列明具体分包号。</w:t>
      </w:r>
    </w:p>
    <w:p>
      <w:pPr>
        <w:widowControl/>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4.投诉书应简要列明质疑事项，质疑函、质疑答复等作为附件材料提供。</w:t>
      </w:r>
    </w:p>
    <w:p>
      <w:pPr>
        <w:widowControl/>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5.投诉书的投诉事项应具体、明确，并有必要的事实依据和法律依据。</w:t>
      </w:r>
    </w:p>
    <w:p>
      <w:pPr>
        <w:widowControl/>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6.投诉书的投诉请求应与投诉事项相关。</w:t>
      </w:r>
    </w:p>
    <w:p>
      <w:pPr>
        <w:widowControl/>
        <w:ind w:firstLine="640"/>
        <w:rPr>
          <w:rFonts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rPr>
        <w:t>7.投诉人为自然人的，投诉书应当由本人签字；投诉人为法人或者其他组织的，投诉书应当由法定代表人、主要负责人，或者其授权代表签字或者盖章，并加盖公章。</w:t>
      </w:r>
      <w:r>
        <w:rPr>
          <w:rFonts w:hint="eastAsia" w:ascii="仿宋_GB2312" w:eastAsia="仿宋_GB2312"/>
          <w:color w:val="auto"/>
          <w:sz w:val="30"/>
          <w:szCs w:val="30"/>
          <w:highlight w:val="none"/>
        </w:rPr>
        <w:t xml:space="preserve"> </w:t>
      </w:r>
      <w:r>
        <w:rPr>
          <w:rFonts w:hint="eastAsia" w:ascii="仿宋_GB2312" w:eastAsia="仿宋_GB2312"/>
          <w:b/>
          <w:color w:val="auto"/>
          <w:sz w:val="30"/>
          <w:szCs w:val="30"/>
          <w:highlight w:val="none"/>
        </w:rPr>
        <w:t xml:space="preserve"> </w:t>
      </w:r>
    </w:p>
    <w:p>
      <w:pPr>
        <w:snapToGrid w:val="0"/>
        <w:spacing w:before="50" w:after="156" w:afterLines="50"/>
        <w:ind w:firstLine="4560" w:firstLineChars="1900"/>
        <w:rPr>
          <w:rFonts w:ascii="宋体"/>
          <w:color w:val="auto"/>
          <w:highlight w:val="none"/>
        </w:rPr>
      </w:pPr>
    </w:p>
    <w:p>
      <w:pPr>
        <w:pStyle w:val="3"/>
        <w:ind w:firstLine="464"/>
        <w:rPr>
          <w:color w:val="auto"/>
          <w:sz w:val="24"/>
          <w:highlight w:val="none"/>
        </w:rPr>
      </w:pPr>
    </w:p>
    <w:p>
      <w:pPr>
        <w:pStyle w:val="3"/>
        <w:ind w:firstLine="464"/>
        <w:rPr>
          <w:color w:val="auto"/>
          <w:sz w:val="24"/>
          <w:highlight w:val="none"/>
        </w:rPr>
      </w:pPr>
    </w:p>
    <w:p>
      <w:pPr>
        <w:pStyle w:val="3"/>
        <w:ind w:firstLine="464"/>
        <w:rPr>
          <w:color w:val="auto"/>
          <w:sz w:val="24"/>
          <w:highlight w:val="none"/>
        </w:rPr>
      </w:pPr>
    </w:p>
    <w:p>
      <w:pPr>
        <w:pStyle w:val="3"/>
        <w:ind w:firstLine="464"/>
        <w:rPr>
          <w:color w:val="auto"/>
          <w:sz w:val="24"/>
          <w:highlight w:val="none"/>
        </w:rPr>
      </w:pPr>
    </w:p>
    <w:p>
      <w:pPr>
        <w:pStyle w:val="3"/>
        <w:ind w:firstLine="464"/>
        <w:rPr>
          <w:color w:val="auto"/>
          <w:sz w:val="24"/>
          <w:highlight w:val="none"/>
        </w:rPr>
      </w:pPr>
    </w:p>
    <w:p>
      <w:pPr>
        <w:pStyle w:val="3"/>
        <w:ind w:firstLine="464"/>
        <w:rPr>
          <w:color w:val="auto"/>
          <w:sz w:val="24"/>
          <w:highlight w:val="none"/>
        </w:rPr>
      </w:pPr>
    </w:p>
    <w:p>
      <w:pPr>
        <w:pStyle w:val="3"/>
        <w:ind w:firstLine="464"/>
        <w:rPr>
          <w:color w:val="auto"/>
          <w:sz w:val="24"/>
          <w:highlight w:val="none"/>
        </w:rPr>
      </w:pPr>
    </w:p>
    <w:p>
      <w:pPr>
        <w:snapToGrid w:val="0"/>
        <w:ind w:left="0" w:leftChars="0" w:firstLine="0" w:firstLineChars="0"/>
        <w:rPr>
          <w:rFonts w:hint="eastAsia" w:ascii="宋体" w:hAnsi="宋体"/>
          <w:color w:val="auto"/>
          <w:kern w:val="0"/>
          <w:highlight w:val="none"/>
        </w:rPr>
      </w:pPr>
    </w:p>
    <w:p>
      <w:pPr>
        <w:snapToGrid w:val="0"/>
        <w:ind w:left="0" w:leftChars="0" w:firstLine="0" w:firstLineChars="0"/>
        <w:rPr>
          <w:rFonts w:ascii="宋体" w:hAnsi="宋体"/>
          <w:color w:val="auto"/>
          <w:kern w:val="0"/>
          <w:highlight w:val="none"/>
        </w:rPr>
      </w:pPr>
      <w:r>
        <w:rPr>
          <w:rFonts w:hint="eastAsia" w:ascii="宋体" w:hAnsi="宋体"/>
          <w:color w:val="auto"/>
          <w:kern w:val="0"/>
          <w:highlight w:val="none"/>
        </w:rPr>
        <w:t>附件18：</w:t>
      </w:r>
      <w:r>
        <w:rPr>
          <w:rFonts w:ascii="宋体" w:hAnsi="宋体"/>
          <w:color w:val="auto"/>
          <w:kern w:val="0"/>
          <w:highlight w:val="none"/>
        </w:rPr>
        <w:t>联合投标协议</w:t>
      </w:r>
      <w:r>
        <w:rPr>
          <w:rFonts w:hint="eastAsia" w:ascii="宋体" w:hAnsi="宋体"/>
          <w:color w:val="auto"/>
          <w:kern w:val="0"/>
          <w:highlight w:val="none"/>
        </w:rPr>
        <w:t>、分包意向协议</w:t>
      </w:r>
    </w:p>
    <w:p>
      <w:pPr>
        <w:snapToGrid w:val="0"/>
        <w:spacing w:line="460" w:lineRule="atLeast"/>
        <w:ind w:firstLine="538"/>
        <w:jc w:val="center"/>
        <w:rPr>
          <w:rFonts w:ascii="宋体" w:hAnsi="宋体"/>
          <w:b/>
          <w:bCs/>
          <w:color w:val="auto"/>
          <w:spacing w:val="14"/>
          <w:kern w:val="24"/>
          <w:highlight w:val="none"/>
        </w:rPr>
      </w:pPr>
      <w:r>
        <w:rPr>
          <w:rFonts w:ascii="宋体" w:hAnsi="宋体"/>
          <w:b/>
          <w:bCs/>
          <w:color w:val="auto"/>
          <w:spacing w:val="14"/>
          <w:kern w:val="24"/>
          <w:highlight w:val="none"/>
        </w:rPr>
        <w:t>联合投标协议书</w:t>
      </w:r>
    </w:p>
    <w:p>
      <w:pPr>
        <w:snapToGrid w:val="0"/>
        <w:spacing w:line="460" w:lineRule="atLeast"/>
        <w:ind w:firstLine="536"/>
        <w:rPr>
          <w:rFonts w:ascii="宋体" w:hAnsi="宋体"/>
          <w:color w:val="auto"/>
          <w:spacing w:val="14"/>
          <w:kern w:val="24"/>
          <w:highlight w:val="none"/>
        </w:rPr>
      </w:pPr>
      <w:r>
        <w:rPr>
          <w:rFonts w:ascii="宋体" w:hAnsi="宋体"/>
          <w:color w:val="auto"/>
          <w:spacing w:val="14"/>
          <w:kern w:val="24"/>
          <w:highlight w:val="none"/>
        </w:rPr>
        <w:t>甲方：</w:t>
      </w:r>
    </w:p>
    <w:p>
      <w:pPr>
        <w:snapToGrid w:val="0"/>
        <w:spacing w:line="460" w:lineRule="atLeast"/>
        <w:ind w:firstLine="536"/>
        <w:rPr>
          <w:rFonts w:ascii="宋体" w:hAnsi="宋体"/>
          <w:color w:val="auto"/>
          <w:spacing w:val="14"/>
          <w:kern w:val="24"/>
          <w:highlight w:val="none"/>
        </w:rPr>
      </w:pPr>
      <w:r>
        <w:rPr>
          <w:rFonts w:ascii="宋体" w:hAnsi="宋体"/>
          <w:color w:val="auto"/>
          <w:spacing w:val="14"/>
          <w:kern w:val="24"/>
          <w:highlight w:val="none"/>
        </w:rPr>
        <w:t>乙方：</w:t>
      </w:r>
    </w:p>
    <w:p>
      <w:pPr>
        <w:snapToGrid w:val="0"/>
        <w:spacing w:line="460" w:lineRule="atLeast"/>
        <w:ind w:firstLine="536"/>
        <w:rPr>
          <w:rFonts w:ascii="宋体" w:hAnsi="宋体"/>
          <w:color w:val="auto"/>
          <w:spacing w:val="14"/>
          <w:kern w:val="24"/>
          <w:highlight w:val="none"/>
        </w:rPr>
      </w:pPr>
      <w:r>
        <w:rPr>
          <w:rFonts w:ascii="宋体" w:hAnsi="宋体"/>
          <w:color w:val="auto"/>
          <w:spacing w:val="14"/>
          <w:kern w:val="24"/>
          <w:highlight w:val="none"/>
        </w:rPr>
        <w:t>（如果有的话，可按甲、乙、丙、丁…序列增加）</w:t>
      </w:r>
    </w:p>
    <w:p>
      <w:pPr>
        <w:snapToGrid w:val="0"/>
        <w:spacing w:line="460" w:lineRule="atLeast"/>
        <w:ind w:firstLine="536"/>
        <w:rPr>
          <w:rFonts w:ascii="宋体" w:hAnsi="宋体"/>
          <w:color w:val="auto"/>
          <w:spacing w:val="14"/>
          <w:kern w:val="24"/>
          <w:highlight w:val="none"/>
        </w:rPr>
      </w:pPr>
      <w:r>
        <w:rPr>
          <w:rFonts w:ascii="宋体" w:hAnsi="宋体"/>
          <w:color w:val="auto"/>
          <w:spacing w:val="14"/>
          <w:kern w:val="24"/>
          <w:highlight w:val="none"/>
        </w:rPr>
        <w:t xml:space="preserve">各方经协商，就响应 </w:t>
      </w:r>
      <w:r>
        <w:rPr>
          <w:rFonts w:ascii="宋体" w:hAnsi="宋体"/>
          <w:color w:val="auto"/>
          <w:spacing w:val="14"/>
          <w:kern w:val="24"/>
          <w:highlight w:val="none"/>
          <w:u w:val="single"/>
        </w:rPr>
        <w:t xml:space="preserve">                </w:t>
      </w:r>
      <w:r>
        <w:rPr>
          <w:rFonts w:ascii="宋体" w:hAnsi="宋体"/>
          <w:color w:val="auto"/>
          <w:spacing w:val="14"/>
          <w:kern w:val="24"/>
          <w:highlight w:val="none"/>
        </w:rPr>
        <w:t>组织实施的编号为</w:t>
      </w:r>
      <w:r>
        <w:rPr>
          <w:rFonts w:ascii="宋体" w:hAnsi="宋体"/>
          <w:color w:val="auto"/>
          <w:spacing w:val="14"/>
          <w:kern w:val="24"/>
          <w:highlight w:val="none"/>
          <w:u w:val="single"/>
        </w:rPr>
        <w:t xml:space="preserve">           </w:t>
      </w:r>
      <w:r>
        <w:rPr>
          <w:rFonts w:ascii="宋体" w:hAnsi="宋体"/>
          <w:color w:val="auto"/>
          <w:spacing w:val="14"/>
          <w:kern w:val="24"/>
          <w:highlight w:val="none"/>
        </w:rPr>
        <w:t>号的招标活动联合进行投标之事宜，达成如下协议：</w:t>
      </w:r>
    </w:p>
    <w:p>
      <w:pPr>
        <w:snapToGrid w:val="0"/>
        <w:spacing w:line="460" w:lineRule="atLeast"/>
        <w:ind w:firstLine="536"/>
        <w:rPr>
          <w:rFonts w:ascii="宋体" w:hAnsi="宋体"/>
          <w:color w:val="auto"/>
          <w:spacing w:val="14"/>
          <w:kern w:val="24"/>
          <w:highlight w:val="none"/>
        </w:rPr>
      </w:pPr>
      <w:r>
        <w:rPr>
          <w:rFonts w:ascii="宋体" w:hAnsi="宋体"/>
          <w:color w:val="auto"/>
          <w:spacing w:val="14"/>
          <w:kern w:val="24"/>
          <w:highlight w:val="none"/>
        </w:rPr>
        <w:t xml:space="preserve">一、各方一致决定，以 </w:t>
      </w:r>
      <w:r>
        <w:rPr>
          <w:rFonts w:ascii="宋体" w:hAnsi="宋体"/>
          <w:color w:val="auto"/>
          <w:spacing w:val="14"/>
          <w:kern w:val="24"/>
          <w:highlight w:val="none"/>
          <w:u w:val="single"/>
        </w:rPr>
        <w:t xml:space="preserve">                           </w:t>
      </w:r>
      <w:r>
        <w:rPr>
          <w:rFonts w:ascii="宋体" w:hAnsi="宋体"/>
          <w:color w:val="auto"/>
          <w:spacing w:val="14"/>
          <w:kern w:val="24"/>
          <w:highlight w:val="none"/>
        </w:rPr>
        <w:t xml:space="preserve"> 为主办人进行投标，并按照招标文件的规定分别提交资格文件。</w:t>
      </w:r>
    </w:p>
    <w:p>
      <w:pPr>
        <w:snapToGrid w:val="0"/>
        <w:spacing w:line="460" w:lineRule="atLeast"/>
        <w:ind w:firstLine="536"/>
        <w:rPr>
          <w:rFonts w:ascii="宋体" w:hAnsi="宋体"/>
          <w:color w:val="auto"/>
          <w:spacing w:val="14"/>
          <w:kern w:val="24"/>
          <w:highlight w:val="none"/>
        </w:rPr>
      </w:pPr>
      <w:r>
        <w:rPr>
          <w:rFonts w:ascii="宋体" w:hAnsi="宋体"/>
          <w:color w:val="auto"/>
          <w:spacing w:val="14"/>
          <w:kern w:val="24"/>
          <w:highlight w:val="none"/>
        </w:rPr>
        <w:t>二、在本次投标过程中，主办人的</w:t>
      </w:r>
      <w:r>
        <w:rPr>
          <w:rFonts w:ascii="宋体" w:hAnsi="宋体"/>
          <w:color w:val="auto"/>
          <w:spacing w:val="14"/>
          <w:kern w:val="24"/>
          <w:highlight w:val="none"/>
          <w:u w:val="single"/>
        </w:rPr>
        <w:t>法定代表人或授权代理人</w:t>
      </w:r>
      <w:r>
        <w:rPr>
          <w:rFonts w:ascii="宋体" w:hAnsi="宋体"/>
          <w:color w:val="auto"/>
          <w:spacing w:val="14"/>
          <w:kern w:val="24"/>
          <w:highlight w:val="none"/>
        </w:rPr>
        <w:t>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snapToGrid w:val="0"/>
        <w:spacing w:line="460" w:lineRule="atLeast"/>
        <w:ind w:firstLine="536"/>
        <w:rPr>
          <w:rFonts w:ascii="宋体" w:hAnsi="宋体"/>
          <w:color w:val="auto"/>
          <w:spacing w:val="14"/>
          <w:kern w:val="24"/>
          <w:highlight w:val="none"/>
        </w:rPr>
      </w:pPr>
      <w:r>
        <w:rPr>
          <w:rFonts w:ascii="宋体" w:hAnsi="宋体"/>
          <w:color w:val="auto"/>
          <w:spacing w:val="14"/>
          <w:kern w:val="24"/>
          <w:highlight w:val="none"/>
        </w:rPr>
        <w:t>三、联合投标其余各方保证对主办人为响应本次招标而提供的产品和服务提供全部质量保证及售后服务支持。</w:t>
      </w:r>
    </w:p>
    <w:p>
      <w:pPr>
        <w:snapToGrid w:val="0"/>
        <w:spacing w:line="460" w:lineRule="atLeast"/>
        <w:ind w:firstLine="536"/>
        <w:rPr>
          <w:rFonts w:ascii="宋体" w:hAnsi="宋体"/>
          <w:color w:val="auto"/>
          <w:spacing w:val="14"/>
          <w:highlight w:val="none"/>
        </w:rPr>
      </w:pPr>
      <w:r>
        <w:rPr>
          <w:rFonts w:ascii="宋体" w:hAnsi="宋体"/>
          <w:color w:val="auto"/>
          <w:spacing w:val="14"/>
          <w:kern w:val="24"/>
          <w:highlight w:val="none"/>
        </w:rPr>
        <w:t>四、本次联合投标中，甲方承担的工作和义务为:</w:t>
      </w:r>
    </w:p>
    <w:p>
      <w:pPr>
        <w:snapToGrid w:val="0"/>
        <w:spacing w:line="460" w:lineRule="atLeast"/>
        <w:ind w:firstLine="536"/>
        <w:rPr>
          <w:rFonts w:ascii="宋体" w:hAnsi="宋体"/>
          <w:color w:val="auto"/>
          <w:spacing w:val="14"/>
          <w:highlight w:val="none"/>
        </w:rPr>
      </w:pPr>
      <w:r>
        <w:rPr>
          <w:rFonts w:ascii="宋体" w:hAnsi="宋体"/>
          <w:color w:val="auto"/>
          <w:spacing w:val="14"/>
          <w:kern w:val="24"/>
          <w:highlight w:val="none"/>
        </w:rPr>
        <w:t xml:space="preserve">   乙方承担的工作和义务为：</w:t>
      </w:r>
    </w:p>
    <w:p>
      <w:pPr>
        <w:snapToGrid w:val="0"/>
        <w:spacing w:line="460" w:lineRule="atLeast"/>
        <w:ind w:firstLine="536"/>
        <w:rPr>
          <w:rFonts w:ascii="宋体" w:hAnsi="宋体"/>
          <w:color w:val="auto"/>
          <w:spacing w:val="14"/>
          <w:kern w:val="24"/>
          <w:highlight w:val="none"/>
        </w:rPr>
      </w:pPr>
      <w:r>
        <w:rPr>
          <w:rFonts w:hint="eastAsia" w:ascii="宋体" w:hAnsi="宋体"/>
          <w:color w:val="auto"/>
          <w:spacing w:val="14"/>
          <w:kern w:val="24"/>
          <w:highlight w:val="none"/>
          <w:u w:val="single"/>
        </w:rPr>
        <w:t xml:space="preserve">    </w:t>
      </w:r>
      <w:r>
        <w:rPr>
          <w:rFonts w:hint="eastAsia" w:ascii="宋体" w:hAnsi="宋体"/>
          <w:color w:val="auto"/>
          <w:spacing w:val="14"/>
          <w:kern w:val="24"/>
          <w:highlight w:val="none"/>
        </w:rPr>
        <w:t>方为</w:t>
      </w:r>
      <w:r>
        <w:rPr>
          <w:rFonts w:hint="eastAsia" w:ascii="宋体" w:hAnsi="宋体"/>
          <w:color w:val="auto"/>
          <w:spacing w:val="14"/>
          <w:kern w:val="24"/>
          <w:highlight w:val="none"/>
          <w:u w:val="single"/>
        </w:rPr>
        <w:t xml:space="preserve">     </w:t>
      </w:r>
      <w:r>
        <w:rPr>
          <w:rFonts w:hint="eastAsia" w:ascii="宋体" w:hAnsi="宋体"/>
          <w:color w:val="auto"/>
          <w:spacing w:val="14"/>
          <w:kern w:val="24"/>
          <w:highlight w:val="none"/>
        </w:rPr>
        <w:t>企业（此处填中型、小型、微型）；预计承当的合同金额为</w:t>
      </w:r>
      <w:r>
        <w:rPr>
          <w:rFonts w:hint="eastAsia" w:ascii="宋体" w:hAnsi="宋体"/>
          <w:color w:val="auto"/>
          <w:spacing w:val="14"/>
          <w:kern w:val="24"/>
          <w:highlight w:val="none"/>
          <w:u w:val="single"/>
        </w:rPr>
        <w:t xml:space="preserve">   </w:t>
      </w:r>
      <w:r>
        <w:rPr>
          <w:rFonts w:hint="eastAsia" w:ascii="宋体" w:hAnsi="宋体"/>
          <w:color w:val="auto"/>
          <w:spacing w:val="14"/>
          <w:kern w:val="24"/>
          <w:highlight w:val="none"/>
        </w:rPr>
        <w:t>%。</w:t>
      </w:r>
    </w:p>
    <w:p>
      <w:pPr>
        <w:snapToGrid w:val="0"/>
        <w:spacing w:line="460" w:lineRule="atLeast"/>
        <w:ind w:firstLine="536"/>
        <w:rPr>
          <w:rFonts w:ascii="宋体" w:hAnsi="宋体"/>
          <w:color w:val="auto"/>
          <w:spacing w:val="14"/>
          <w:kern w:val="24"/>
          <w:highlight w:val="none"/>
        </w:rPr>
      </w:pPr>
      <w:r>
        <w:rPr>
          <w:rFonts w:ascii="宋体" w:hAnsi="宋体"/>
          <w:color w:val="auto"/>
          <w:spacing w:val="14"/>
          <w:kern w:val="24"/>
          <w:highlight w:val="none"/>
        </w:rPr>
        <w:t>五、有关本次联合投标的其他事宜：</w:t>
      </w:r>
    </w:p>
    <w:p>
      <w:pPr>
        <w:snapToGrid w:val="0"/>
        <w:spacing w:line="460" w:lineRule="atLeast"/>
        <w:ind w:firstLine="536"/>
        <w:rPr>
          <w:rFonts w:ascii="宋体" w:hAnsi="宋体"/>
          <w:color w:val="auto"/>
          <w:spacing w:val="14"/>
          <w:kern w:val="24"/>
          <w:highlight w:val="none"/>
        </w:rPr>
      </w:pPr>
      <w:r>
        <w:rPr>
          <w:rFonts w:ascii="宋体" w:hAnsi="宋体"/>
          <w:color w:val="auto"/>
          <w:spacing w:val="14"/>
          <w:kern w:val="24"/>
          <w:highlight w:val="none"/>
        </w:rPr>
        <w:t>六、本协议提交招标方后，联合投标各方不得以任何形式对上述实质内容进行修改或撤销。</w:t>
      </w:r>
    </w:p>
    <w:p>
      <w:pPr>
        <w:snapToGrid w:val="0"/>
        <w:spacing w:line="460" w:lineRule="atLeast"/>
        <w:ind w:firstLine="536"/>
        <w:rPr>
          <w:rFonts w:ascii="宋体" w:hAnsi="宋体"/>
          <w:color w:val="auto"/>
          <w:spacing w:val="14"/>
          <w:kern w:val="24"/>
          <w:highlight w:val="none"/>
        </w:rPr>
      </w:pPr>
      <w:r>
        <w:rPr>
          <w:rFonts w:ascii="宋体" w:hAnsi="宋体"/>
          <w:color w:val="auto"/>
          <w:spacing w:val="14"/>
          <w:kern w:val="24"/>
          <w:highlight w:val="none"/>
        </w:rPr>
        <w:t>七、本协议一式肆份，签约各方各持一份，交政府采购管理部门及招标机构各一份。</w:t>
      </w:r>
    </w:p>
    <w:tbl>
      <w:tblPr>
        <w:tblStyle w:val="4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4260"/>
        <w:gridCol w:w="4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95" w:hRule="atLeast"/>
        </w:trPr>
        <w:tc>
          <w:tcPr>
            <w:tcW w:w="4260" w:type="dxa"/>
            <w:tcBorders>
              <w:top w:val="nil"/>
              <w:left w:val="nil"/>
              <w:bottom w:val="nil"/>
              <w:right w:val="nil"/>
            </w:tcBorders>
            <w:vAlign w:val="center"/>
          </w:tcPr>
          <w:p>
            <w:pPr>
              <w:snapToGrid w:val="0"/>
              <w:spacing w:line="460" w:lineRule="atLeast"/>
              <w:ind w:firstLine="536"/>
              <w:rPr>
                <w:rFonts w:ascii="宋体" w:hAnsi="宋体"/>
                <w:color w:val="auto"/>
                <w:spacing w:val="14"/>
                <w:kern w:val="24"/>
                <w:highlight w:val="none"/>
              </w:rPr>
            </w:pPr>
            <w:r>
              <w:rPr>
                <w:rFonts w:ascii="宋体" w:hAnsi="宋体"/>
                <w:color w:val="auto"/>
                <w:spacing w:val="14"/>
                <w:kern w:val="24"/>
                <w:highlight w:val="none"/>
              </w:rPr>
              <w:t>甲方单位：          （公章）</w:t>
            </w:r>
          </w:p>
          <w:p>
            <w:pPr>
              <w:snapToGrid w:val="0"/>
              <w:spacing w:line="460" w:lineRule="atLeast"/>
              <w:ind w:firstLine="536"/>
              <w:rPr>
                <w:rFonts w:ascii="宋体" w:hAnsi="宋体"/>
                <w:color w:val="auto"/>
                <w:spacing w:val="14"/>
                <w:kern w:val="24"/>
                <w:highlight w:val="none"/>
              </w:rPr>
            </w:pPr>
            <w:r>
              <w:rPr>
                <w:rFonts w:ascii="宋体" w:hAnsi="宋体"/>
                <w:color w:val="auto"/>
                <w:spacing w:val="14"/>
                <w:kern w:val="24"/>
                <w:highlight w:val="none"/>
              </w:rPr>
              <w:t>法定代表人：（签章）</w:t>
            </w:r>
          </w:p>
          <w:p>
            <w:pPr>
              <w:snapToGrid w:val="0"/>
              <w:spacing w:line="460" w:lineRule="atLeast"/>
              <w:ind w:firstLine="536"/>
              <w:rPr>
                <w:rFonts w:ascii="宋体" w:hAnsi="宋体"/>
                <w:color w:val="auto"/>
                <w:spacing w:val="14"/>
                <w:kern w:val="24"/>
                <w:highlight w:val="none"/>
              </w:rPr>
            </w:pPr>
            <w:r>
              <w:rPr>
                <w:rFonts w:ascii="宋体" w:hAnsi="宋体"/>
                <w:color w:val="auto"/>
                <w:spacing w:val="14"/>
                <w:kern w:val="24"/>
                <w:highlight w:val="none"/>
              </w:rPr>
              <w:t>日期：    年   月   日</w:t>
            </w:r>
          </w:p>
        </w:tc>
        <w:tc>
          <w:tcPr>
            <w:tcW w:w="4260" w:type="dxa"/>
            <w:tcBorders>
              <w:top w:val="nil"/>
              <w:left w:val="nil"/>
              <w:bottom w:val="nil"/>
              <w:right w:val="nil"/>
            </w:tcBorders>
            <w:vAlign w:val="center"/>
          </w:tcPr>
          <w:p>
            <w:pPr>
              <w:snapToGrid w:val="0"/>
              <w:spacing w:line="460" w:lineRule="atLeast"/>
              <w:ind w:firstLine="536"/>
              <w:rPr>
                <w:rFonts w:ascii="宋体" w:hAnsi="宋体"/>
                <w:color w:val="auto"/>
                <w:spacing w:val="14"/>
                <w:kern w:val="24"/>
                <w:highlight w:val="none"/>
              </w:rPr>
            </w:pPr>
            <w:r>
              <w:rPr>
                <w:rFonts w:ascii="宋体" w:hAnsi="宋体"/>
                <w:color w:val="auto"/>
                <w:spacing w:val="14"/>
                <w:kern w:val="24"/>
                <w:highlight w:val="none"/>
              </w:rPr>
              <w:t>乙方单位：           （公章）</w:t>
            </w:r>
          </w:p>
          <w:p>
            <w:pPr>
              <w:snapToGrid w:val="0"/>
              <w:spacing w:line="460" w:lineRule="atLeast"/>
              <w:ind w:firstLine="536"/>
              <w:rPr>
                <w:rFonts w:ascii="宋体" w:hAnsi="宋体"/>
                <w:color w:val="auto"/>
                <w:spacing w:val="14"/>
                <w:kern w:val="24"/>
                <w:highlight w:val="none"/>
              </w:rPr>
            </w:pPr>
            <w:r>
              <w:rPr>
                <w:rFonts w:ascii="宋体" w:hAnsi="宋体"/>
                <w:color w:val="auto"/>
                <w:spacing w:val="14"/>
                <w:kern w:val="24"/>
                <w:highlight w:val="none"/>
              </w:rPr>
              <w:t>法定代表人：（签章）</w:t>
            </w:r>
          </w:p>
          <w:p>
            <w:pPr>
              <w:snapToGrid w:val="0"/>
              <w:spacing w:line="460" w:lineRule="atLeast"/>
              <w:ind w:firstLine="536"/>
              <w:rPr>
                <w:rFonts w:ascii="宋体" w:hAnsi="宋体"/>
                <w:color w:val="auto"/>
                <w:spacing w:val="14"/>
                <w:kern w:val="24"/>
                <w:highlight w:val="none"/>
              </w:rPr>
            </w:pPr>
            <w:r>
              <w:rPr>
                <w:rFonts w:ascii="宋体" w:hAnsi="宋体"/>
                <w:color w:val="auto"/>
                <w:spacing w:val="14"/>
                <w:kern w:val="24"/>
                <w:highlight w:val="none"/>
              </w:rPr>
              <w:t>日期：   年   月   日</w:t>
            </w:r>
          </w:p>
        </w:tc>
      </w:tr>
    </w:tbl>
    <w:p>
      <w:pPr>
        <w:snapToGrid w:val="0"/>
        <w:spacing w:line="460" w:lineRule="atLeast"/>
        <w:ind w:firstLine="538"/>
        <w:jc w:val="center"/>
        <w:rPr>
          <w:rFonts w:ascii="宋体" w:hAnsi="宋体"/>
          <w:b/>
          <w:bCs/>
          <w:color w:val="auto"/>
          <w:spacing w:val="14"/>
          <w:kern w:val="24"/>
          <w:highlight w:val="none"/>
        </w:rPr>
      </w:pPr>
      <w:r>
        <w:rPr>
          <w:rFonts w:hint="eastAsia" w:ascii="宋体" w:hAnsi="宋体"/>
          <w:b/>
          <w:bCs/>
          <w:color w:val="auto"/>
          <w:spacing w:val="14"/>
          <w:kern w:val="24"/>
          <w:highlight w:val="none"/>
        </w:rPr>
        <w:t>分包意向协议</w:t>
      </w:r>
    </w:p>
    <w:p>
      <w:pPr>
        <w:widowControl/>
        <w:ind w:firstLine="120" w:firstLineChars="50"/>
        <w:rPr>
          <w:rFonts w:ascii="仿宋_GB2312" w:eastAsia="仿宋_GB2312" w:cs="仿宋_GB2312"/>
          <w:color w:val="auto"/>
          <w:highlight w:val="none"/>
        </w:rPr>
      </w:pPr>
      <w:r>
        <w:rPr>
          <w:rFonts w:hint="eastAsia" w:ascii="仿宋_GB2312" w:eastAsia="仿宋_GB2312" w:cs="仿宋_GB2312"/>
          <w:color w:val="auto"/>
          <w:highlight w:val="none"/>
        </w:rPr>
        <w:t>（</w:t>
      </w:r>
      <w:r>
        <w:rPr>
          <w:rFonts w:hint="eastAsia" w:ascii="仿宋_GB2312" w:eastAsia="仿宋_GB2312" w:cs="仿宋_GB2312"/>
          <w:b/>
          <w:color w:val="auto"/>
          <w:highlight w:val="none"/>
        </w:rPr>
        <w:t>中标后以分包方式履行合同的，提供分包意向协议；</w:t>
      </w:r>
      <w:r>
        <w:rPr>
          <w:rFonts w:hint="eastAsia" w:ascii="仿宋_GB2312" w:eastAsia="仿宋_GB2312" w:cs="仿宋_GB2312"/>
          <w:color w:val="auto"/>
          <w:highlight w:val="none"/>
        </w:rPr>
        <w:t>）</w:t>
      </w:r>
    </w:p>
    <w:p>
      <w:pPr>
        <w:snapToGrid w:val="0"/>
        <w:ind w:firstLine="480"/>
        <w:rPr>
          <w:rFonts w:ascii="仿宋_GB2312" w:eastAsia="仿宋_GB2312" w:cs="仿宋_GB2312"/>
          <w:color w:val="auto"/>
          <w:kern w:val="0"/>
          <w:highlight w:val="none"/>
          <w:lang w:val="zh-CN"/>
        </w:rPr>
      </w:pPr>
      <w:r>
        <w:rPr>
          <w:rFonts w:hint="eastAsia" w:ascii="仿宋_GB2312" w:eastAsia="仿宋_GB2312" w:cs="仿宋_GB2312"/>
          <w:color w:val="auto"/>
          <w:kern w:val="0"/>
          <w:highlight w:val="none"/>
          <w:u w:val="single"/>
        </w:rPr>
        <w:t>（投标人名称）</w:t>
      </w:r>
      <w:r>
        <w:rPr>
          <w:rFonts w:hint="eastAsia" w:ascii="仿宋_GB2312" w:eastAsia="仿宋_GB2312" w:cs="仿宋_GB2312"/>
          <w:color w:val="auto"/>
          <w:kern w:val="0"/>
          <w:highlight w:val="none"/>
          <w:lang w:val="zh-CN"/>
        </w:rPr>
        <w:t>若成为</w:t>
      </w:r>
      <w:r>
        <w:rPr>
          <w:rFonts w:hint="eastAsia" w:ascii="仿宋_GB2312" w:eastAsia="仿宋_GB2312" w:cs="仿宋_GB2312"/>
          <w:color w:val="auto"/>
          <w:highlight w:val="none"/>
        </w:rPr>
        <w:t>（项目名称）【招标编号：</w:t>
      </w:r>
      <w:r>
        <w:rPr>
          <w:rFonts w:hint="eastAsia" w:ascii="仿宋_GB2312" w:eastAsia="仿宋_GB2312"/>
          <w:color w:val="auto"/>
          <w:highlight w:val="none"/>
        </w:rPr>
        <w:t>（采购编号）</w:t>
      </w:r>
      <w:r>
        <w:rPr>
          <w:rFonts w:hint="eastAsia" w:ascii="仿宋_GB2312" w:eastAsia="仿宋_GB2312" w:cs="仿宋_GB2312"/>
          <w:color w:val="auto"/>
          <w:highlight w:val="none"/>
        </w:rPr>
        <w:t>】</w:t>
      </w:r>
      <w:r>
        <w:rPr>
          <w:rFonts w:hint="eastAsia" w:ascii="仿宋_GB2312" w:eastAsia="仿宋_GB2312" w:cs="仿宋_GB2312"/>
          <w:color w:val="auto"/>
          <w:kern w:val="0"/>
          <w:highlight w:val="none"/>
          <w:lang w:val="zh-CN"/>
        </w:rPr>
        <w:t>的中标供应商，将依法采取分包方式履行合同。</w:t>
      </w:r>
      <w:r>
        <w:rPr>
          <w:rFonts w:hint="eastAsia" w:ascii="仿宋_GB2312" w:eastAsia="仿宋_GB2312" w:cs="仿宋_GB2312"/>
          <w:color w:val="auto"/>
          <w:kern w:val="0"/>
          <w:highlight w:val="none"/>
          <w:u w:val="single"/>
        </w:rPr>
        <w:t>（投标人名称）</w:t>
      </w:r>
      <w:r>
        <w:rPr>
          <w:rFonts w:hint="eastAsia" w:ascii="仿宋_GB2312" w:eastAsia="仿宋_GB2312" w:cs="仿宋_GB2312"/>
          <w:color w:val="auto"/>
          <w:kern w:val="0"/>
          <w:highlight w:val="none"/>
        </w:rPr>
        <w:t>与</w:t>
      </w:r>
      <w:r>
        <w:rPr>
          <w:rFonts w:hint="eastAsia" w:ascii="仿宋_GB2312" w:eastAsia="仿宋_GB2312" w:cs="仿宋_GB2312"/>
          <w:color w:val="auto"/>
          <w:kern w:val="0"/>
          <w:highlight w:val="none"/>
          <w:u w:val="single"/>
        </w:rPr>
        <w:t>（所有分包供应商名称）</w:t>
      </w:r>
      <w:r>
        <w:rPr>
          <w:rFonts w:hint="eastAsia" w:ascii="仿宋_GB2312" w:eastAsia="仿宋_GB2312" w:cs="仿宋_GB2312"/>
          <w:color w:val="auto"/>
          <w:kern w:val="0"/>
          <w:highlight w:val="none"/>
        </w:rPr>
        <w:t>达成分包意向协议</w:t>
      </w:r>
      <w:r>
        <w:rPr>
          <w:rFonts w:hint="eastAsia" w:ascii="仿宋_GB2312" w:eastAsia="仿宋_GB2312" w:cs="仿宋_GB2312"/>
          <w:color w:val="auto"/>
          <w:kern w:val="0"/>
          <w:highlight w:val="none"/>
          <w:lang w:val="zh-CN"/>
        </w:rPr>
        <w:t xml:space="preserve">。 </w:t>
      </w:r>
    </w:p>
    <w:p>
      <w:pPr>
        <w:snapToGrid w:val="0"/>
        <w:ind w:firstLine="480"/>
        <w:rPr>
          <w:rFonts w:ascii="仿宋_GB2312" w:eastAsia="仿宋_GB2312" w:cs="仿宋_GB2312"/>
          <w:color w:val="auto"/>
          <w:kern w:val="0"/>
          <w:highlight w:val="none"/>
          <w:lang w:val="zh-CN"/>
        </w:rPr>
      </w:pPr>
      <w:r>
        <w:rPr>
          <w:rFonts w:hint="eastAsia" w:ascii="仿宋_GB2312" w:eastAsia="仿宋_GB2312" w:cs="仿宋_GB2312"/>
          <w:color w:val="auto"/>
          <w:kern w:val="0"/>
          <w:highlight w:val="none"/>
          <w:lang w:val="zh-CN"/>
        </w:rPr>
        <w:t>一、分包标的及数量</w:t>
      </w:r>
    </w:p>
    <w:p>
      <w:pPr>
        <w:snapToGrid w:val="0"/>
        <w:ind w:left="881" w:leftChars="342" w:hanging="60" w:hangingChars="25"/>
        <w:rPr>
          <w:rFonts w:ascii="仿宋_GB2312" w:eastAsia="仿宋_GB2312" w:cs="仿宋_GB2312"/>
          <w:color w:val="auto"/>
          <w:kern w:val="0"/>
          <w:highlight w:val="none"/>
          <w:lang w:val="zh-CN"/>
        </w:rPr>
      </w:pPr>
      <w:r>
        <w:rPr>
          <w:rFonts w:hint="eastAsia" w:ascii="仿宋_GB2312" w:eastAsia="仿宋_GB2312" w:cs="仿宋_GB2312"/>
          <w:color w:val="auto"/>
          <w:kern w:val="0"/>
          <w:highlight w:val="none"/>
          <w:u w:val="single"/>
        </w:rPr>
        <w:t>（投标人名称）</w:t>
      </w:r>
      <w:r>
        <w:rPr>
          <w:rFonts w:hint="eastAsia" w:ascii="仿宋_GB2312" w:eastAsia="仿宋_GB2312" w:cs="仿宋_GB2312"/>
          <w:color w:val="auto"/>
          <w:kern w:val="0"/>
          <w:highlight w:val="none"/>
          <w:lang w:val="zh-CN"/>
        </w:rPr>
        <w:t>将</w:t>
      </w:r>
      <w:r>
        <w:rPr>
          <w:rFonts w:hint="eastAsia" w:ascii="仿宋_GB2312" w:eastAsia="仿宋_GB2312"/>
          <w:color w:val="auto"/>
          <w:highlight w:val="none"/>
          <w:u w:val="single"/>
        </w:rPr>
        <w:t xml:space="preserve">   XX工作内容   </w:t>
      </w:r>
      <w:r>
        <w:rPr>
          <w:rFonts w:hint="eastAsia" w:ascii="仿宋_GB2312" w:eastAsia="仿宋_GB2312" w:cs="Arial"/>
          <w:color w:val="auto"/>
          <w:highlight w:val="none"/>
        </w:rPr>
        <w:t>分包给</w:t>
      </w:r>
      <w:r>
        <w:rPr>
          <w:rFonts w:hint="eastAsia" w:ascii="仿宋_GB2312" w:eastAsia="仿宋_GB2312" w:cs="仿宋_GB2312"/>
          <w:color w:val="auto"/>
          <w:kern w:val="0"/>
          <w:highlight w:val="none"/>
          <w:u w:val="single"/>
        </w:rPr>
        <w:t>（某分包供应商名称1）</w:t>
      </w:r>
      <w:r>
        <w:rPr>
          <w:rFonts w:hint="eastAsia" w:ascii="仿宋_GB2312" w:eastAsia="仿宋_GB2312" w:cs="仿宋_GB2312"/>
          <w:color w:val="auto"/>
          <w:kern w:val="0"/>
          <w:highlight w:val="none"/>
          <w:lang w:val="zh-CN"/>
        </w:rPr>
        <w:t>，该企业为</w:t>
      </w:r>
      <w:r>
        <w:rPr>
          <w:rFonts w:hint="eastAsia" w:ascii="仿宋_GB2312" w:eastAsia="仿宋_GB2312" w:cs="仿宋_GB2312"/>
          <w:color w:val="auto"/>
          <w:kern w:val="0"/>
          <w:highlight w:val="none"/>
          <w:u w:val="single"/>
        </w:rPr>
        <w:t xml:space="preserve">      </w:t>
      </w:r>
      <w:r>
        <w:rPr>
          <w:rFonts w:hint="eastAsia" w:ascii="仿宋_GB2312" w:eastAsia="仿宋_GB2312" w:cs="仿宋_GB2312"/>
          <w:color w:val="auto"/>
          <w:spacing w:val="14"/>
          <w:kern w:val="24"/>
          <w:highlight w:val="none"/>
          <w:u w:val="single"/>
        </w:rPr>
        <w:t xml:space="preserve"> </w:t>
      </w:r>
      <w:r>
        <w:rPr>
          <w:rFonts w:hint="eastAsia" w:ascii="仿宋_GB2312" w:eastAsia="仿宋_GB2312" w:cs="仿宋_GB2312"/>
          <w:color w:val="auto"/>
          <w:spacing w:val="14"/>
          <w:kern w:val="24"/>
          <w:highlight w:val="none"/>
        </w:rPr>
        <w:t>企业（此处填中型、小型、微型）</w:t>
      </w:r>
      <w:r>
        <w:rPr>
          <w:rFonts w:hint="eastAsia" w:ascii="仿宋_GB2312" w:eastAsia="仿宋_GB2312" w:cs="仿宋_GB2312"/>
          <w:color w:val="auto"/>
          <w:kern w:val="0"/>
          <w:highlight w:val="none"/>
        </w:rPr>
        <w:t>，</w:t>
      </w:r>
      <w:r>
        <w:rPr>
          <w:rFonts w:hint="eastAsia" w:ascii="仿宋_GB2312" w:eastAsia="仿宋_GB2312" w:cs="仿宋_GB2312"/>
          <w:color w:val="auto"/>
          <w:kern w:val="0"/>
          <w:highlight w:val="none"/>
          <w:u w:val="single"/>
        </w:rPr>
        <w:t>（某分包供应商名称1），</w:t>
      </w:r>
      <w:r>
        <w:rPr>
          <w:rFonts w:hint="eastAsia" w:ascii="仿宋_GB2312" w:eastAsia="仿宋_GB2312" w:cs="仿宋_GB2312"/>
          <w:color w:val="auto"/>
          <w:kern w:val="0"/>
          <w:highlight w:val="none"/>
          <w:lang w:val="zh-CN"/>
        </w:rPr>
        <w:t>具备承</w:t>
      </w:r>
      <w:r>
        <w:rPr>
          <w:rFonts w:hint="eastAsia" w:ascii="仿宋_GB2312" w:eastAsia="仿宋_GB2312" w:cs="仿宋_GB2312"/>
          <w:color w:val="auto"/>
          <w:kern w:val="0"/>
          <w:highlight w:val="none"/>
        </w:rPr>
        <w:t>担</w:t>
      </w:r>
      <w:r>
        <w:rPr>
          <w:rFonts w:hint="eastAsia" w:ascii="仿宋_GB2312" w:eastAsia="仿宋_GB2312" w:cs="仿宋_GB2312"/>
          <w:color w:val="auto"/>
          <w:kern w:val="0"/>
          <w:highlight w:val="none"/>
          <w:u w:val="single"/>
          <w:lang w:val="zh-CN"/>
        </w:rPr>
        <w:t>XX工作内容</w:t>
      </w:r>
      <w:r>
        <w:rPr>
          <w:rFonts w:hint="eastAsia" w:ascii="仿宋_GB2312" w:eastAsia="仿宋_GB2312" w:cs="仿宋_GB2312"/>
          <w:color w:val="auto"/>
          <w:kern w:val="0"/>
          <w:highlight w:val="none"/>
          <w:lang w:val="zh-CN"/>
        </w:rPr>
        <w:t>相应资质条件且不得再次分包；</w:t>
      </w:r>
    </w:p>
    <w:p>
      <w:pPr>
        <w:pStyle w:val="6"/>
        <w:tabs>
          <w:tab w:val="left" w:pos="432"/>
        </w:tabs>
        <w:ind w:left="758" w:leftChars="316" w:firstLine="228" w:firstLineChars="95"/>
        <w:rPr>
          <w:rFonts w:cs="仿宋_GB2312"/>
          <w:color w:val="auto"/>
          <w:szCs w:val="24"/>
          <w:highlight w:val="none"/>
        </w:rPr>
      </w:pPr>
      <w:r>
        <w:rPr>
          <w:rFonts w:hint="eastAsia" w:cs="仿宋_GB2312"/>
          <w:color w:val="auto"/>
          <w:szCs w:val="24"/>
          <w:highlight w:val="none"/>
        </w:rPr>
        <w:t>……</w:t>
      </w:r>
    </w:p>
    <w:p>
      <w:pPr>
        <w:snapToGrid w:val="0"/>
        <w:ind w:left="881" w:leftChars="342" w:hanging="60" w:hangingChars="25"/>
        <w:rPr>
          <w:rFonts w:ascii="仿宋_GB2312" w:eastAsia="仿宋_GB2312" w:cs="仿宋_GB2312"/>
          <w:color w:val="auto"/>
          <w:kern w:val="0"/>
          <w:highlight w:val="none"/>
          <w:lang w:val="zh-CN"/>
        </w:rPr>
      </w:pPr>
      <w:r>
        <w:rPr>
          <w:rFonts w:hint="eastAsia" w:ascii="仿宋_GB2312" w:eastAsia="仿宋_GB2312" w:cs="仿宋_GB2312"/>
          <w:color w:val="auto"/>
          <w:kern w:val="0"/>
          <w:highlight w:val="none"/>
          <w:u w:val="single"/>
        </w:rPr>
        <w:t>（投标人名称）</w:t>
      </w:r>
      <w:r>
        <w:rPr>
          <w:rFonts w:hint="eastAsia" w:ascii="仿宋_GB2312" w:eastAsia="仿宋_GB2312" w:cs="仿宋_GB2312"/>
          <w:color w:val="auto"/>
          <w:kern w:val="0"/>
          <w:highlight w:val="none"/>
          <w:lang w:val="zh-CN"/>
        </w:rPr>
        <w:t>将</w:t>
      </w:r>
      <w:r>
        <w:rPr>
          <w:rFonts w:hint="eastAsia" w:ascii="仿宋_GB2312" w:eastAsia="仿宋_GB2312"/>
          <w:color w:val="auto"/>
          <w:highlight w:val="none"/>
          <w:u w:val="single"/>
        </w:rPr>
        <w:t xml:space="preserve">   XX工作内容   </w:t>
      </w:r>
      <w:r>
        <w:rPr>
          <w:rFonts w:hint="eastAsia" w:ascii="仿宋_GB2312" w:eastAsia="仿宋_GB2312" w:cs="Arial"/>
          <w:color w:val="auto"/>
          <w:highlight w:val="none"/>
        </w:rPr>
        <w:t>分包给</w:t>
      </w:r>
      <w:r>
        <w:rPr>
          <w:rFonts w:hint="eastAsia" w:ascii="仿宋_GB2312" w:eastAsia="仿宋_GB2312" w:cs="仿宋_GB2312"/>
          <w:color w:val="auto"/>
          <w:kern w:val="0"/>
          <w:highlight w:val="none"/>
          <w:u w:val="single"/>
        </w:rPr>
        <w:t>（某分包供应商名称2）</w:t>
      </w:r>
      <w:r>
        <w:rPr>
          <w:rFonts w:hint="eastAsia" w:ascii="仿宋_GB2312" w:eastAsia="仿宋_GB2312" w:cs="仿宋_GB2312"/>
          <w:color w:val="auto"/>
          <w:kern w:val="0"/>
          <w:highlight w:val="none"/>
          <w:lang w:val="zh-CN"/>
        </w:rPr>
        <w:t>，该企业为</w:t>
      </w:r>
      <w:r>
        <w:rPr>
          <w:rFonts w:hint="eastAsia" w:ascii="仿宋_GB2312" w:eastAsia="仿宋_GB2312" w:cs="仿宋_GB2312"/>
          <w:color w:val="auto"/>
          <w:kern w:val="0"/>
          <w:highlight w:val="none"/>
          <w:u w:val="single"/>
        </w:rPr>
        <w:t xml:space="preserve">      </w:t>
      </w:r>
      <w:r>
        <w:rPr>
          <w:rFonts w:hint="eastAsia" w:ascii="仿宋_GB2312" w:eastAsia="仿宋_GB2312" w:cs="仿宋_GB2312"/>
          <w:color w:val="auto"/>
          <w:spacing w:val="14"/>
          <w:kern w:val="24"/>
          <w:highlight w:val="none"/>
          <w:u w:val="single"/>
        </w:rPr>
        <w:t xml:space="preserve"> </w:t>
      </w:r>
      <w:r>
        <w:rPr>
          <w:rFonts w:hint="eastAsia" w:ascii="仿宋_GB2312" w:eastAsia="仿宋_GB2312" w:cs="仿宋_GB2312"/>
          <w:color w:val="auto"/>
          <w:spacing w:val="14"/>
          <w:kern w:val="24"/>
          <w:highlight w:val="none"/>
        </w:rPr>
        <w:t>企业（此处填中型、小型、微型）</w:t>
      </w:r>
      <w:r>
        <w:rPr>
          <w:rFonts w:hint="eastAsia" w:ascii="仿宋_GB2312" w:eastAsia="仿宋_GB2312" w:cs="仿宋_GB2312"/>
          <w:color w:val="auto"/>
          <w:kern w:val="0"/>
          <w:highlight w:val="none"/>
        </w:rPr>
        <w:t>，</w:t>
      </w:r>
      <w:r>
        <w:rPr>
          <w:rFonts w:hint="eastAsia" w:ascii="仿宋_GB2312" w:eastAsia="仿宋_GB2312" w:cs="仿宋_GB2312"/>
          <w:color w:val="auto"/>
          <w:kern w:val="0"/>
          <w:highlight w:val="none"/>
          <w:u w:val="single"/>
        </w:rPr>
        <w:t>（某分包供应商名称2），</w:t>
      </w:r>
      <w:r>
        <w:rPr>
          <w:rFonts w:hint="eastAsia" w:ascii="仿宋_GB2312" w:eastAsia="仿宋_GB2312" w:cs="仿宋_GB2312"/>
          <w:color w:val="auto"/>
          <w:kern w:val="0"/>
          <w:highlight w:val="none"/>
          <w:lang w:val="zh-CN"/>
        </w:rPr>
        <w:t>具备承</w:t>
      </w:r>
      <w:r>
        <w:rPr>
          <w:rFonts w:hint="eastAsia" w:ascii="仿宋_GB2312" w:eastAsia="仿宋_GB2312" w:cs="仿宋_GB2312"/>
          <w:color w:val="auto"/>
          <w:kern w:val="0"/>
          <w:highlight w:val="none"/>
        </w:rPr>
        <w:t>担</w:t>
      </w:r>
      <w:r>
        <w:rPr>
          <w:rFonts w:hint="eastAsia" w:ascii="仿宋_GB2312" w:eastAsia="仿宋_GB2312" w:cs="仿宋_GB2312"/>
          <w:color w:val="auto"/>
          <w:kern w:val="0"/>
          <w:highlight w:val="none"/>
          <w:u w:val="single"/>
          <w:lang w:val="zh-CN"/>
        </w:rPr>
        <w:t>XX工作内容</w:t>
      </w:r>
      <w:r>
        <w:rPr>
          <w:rFonts w:hint="eastAsia" w:ascii="仿宋_GB2312" w:eastAsia="仿宋_GB2312" w:cs="仿宋_GB2312"/>
          <w:color w:val="auto"/>
          <w:kern w:val="0"/>
          <w:highlight w:val="none"/>
          <w:lang w:val="zh-CN"/>
        </w:rPr>
        <w:t>相应资质条件且不得再次分包；</w:t>
      </w:r>
    </w:p>
    <w:p>
      <w:pPr>
        <w:pStyle w:val="6"/>
        <w:tabs>
          <w:tab w:val="left" w:pos="432"/>
        </w:tabs>
        <w:ind w:left="758" w:leftChars="316" w:firstLine="228" w:firstLineChars="95"/>
        <w:rPr>
          <w:color w:val="auto"/>
          <w:highlight w:val="none"/>
        </w:rPr>
      </w:pPr>
      <w:r>
        <w:rPr>
          <w:rFonts w:hint="eastAsia" w:cs="仿宋_GB2312"/>
          <w:color w:val="auto"/>
          <w:szCs w:val="24"/>
          <w:highlight w:val="none"/>
        </w:rPr>
        <w:t>……</w:t>
      </w:r>
    </w:p>
    <w:p>
      <w:pPr>
        <w:snapToGrid w:val="0"/>
        <w:ind w:firstLine="480"/>
        <w:rPr>
          <w:rFonts w:ascii="仿宋_GB2312" w:eastAsia="仿宋_GB2312" w:cs="仿宋_GB2312"/>
          <w:color w:val="auto"/>
          <w:kern w:val="0"/>
          <w:highlight w:val="none"/>
          <w:lang w:val="zh-CN"/>
        </w:rPr>
      </w:pPr>
      <w:r>
        <w:rPr>
          <w:rFonts w:hint="eastAsia" w:ascii="仿宋_GB2312" w:eastAsia="仿宋_GB2312" w:cs="仿宋_GB2312"/>
          <w:color w:val="auto"/>
          <w:kern w:val="0"/>
          <w:highlight w:val="none"/>
          <w:lang w:val="zh-CN"/>
        </w:rPr>
        <w:t>二、分包工作履行期限、地点、方式</w:t>
      </w:r>
    </w:p>
    <w:p>
      <w:pPr>
        <w:snapToGrid w:val="0"/>
        <w:ind w:firstLine="480"/>
        <w:rPr>
          <w:rFonts w:ascii="仿宋_GB2312" w:eastAsia="仿宋_GB2312"/>
          <w:color w:val="auto"/>
          <w:highlight w:val="none"/>
          <w:u w:val="single"/>
        </w:rPr>
      </w:pPr>
      <w:r>
        <w:rPr>
          <w:rFonts w:hint="eastAsia" w:ascii="仿宋_GB2312" w:eastAsia="仿宋_GB2312"/>
          <w:color w:val="auto"/>
          <w:highlight w:val="none"/>
          <w:u w:val="single"/>
        </w:rPr>
        <w:t xml:space="preserve">                                                                                  </w:t>
      </w:r>
    </w:p>
    <w:p>
      <w:pPr>
        <w:snapToGrid w:val="0"/>
        <w:ind w:firstLine="480"/>
        <w:rPr>
          <w:rFonts w:ascii="仿宋_GB2312" w:eastAsia="仿宋_GB2312" w:cs="仿宋_GB2312"/>
          <w:color w:val="auto"/>
          <w:kern w:val="0"/>
          <w:highlight w:val="none"/>
          <w:lang w:val="zh-CN"/>
        </w:rPr>
      </w:pPr>
      <w:r>
        <w:rPr>
          <w:rFonts w:hint="eastAsia" w:ascii="仿宋_GB2312" w:eastAsia="仿宋_GB2312" w:cs="仿宋_GB2312"/>
          <w:color w:val="auto"/>
          <w:kern w:val="0"/>
          <w:highlight w:val="none"/>
          <w:lang w:val="zh-CN"/>
        </w:rPr>
        <w:t>三、质量</w:t>
      </w:r>
    </w:p>
    <w:p>
      <w:pPr>
        <w:snapToGrid w:val="0"/>
        <w:ind w:firstLine="480"/>
        <w:rPr>
          <w:rFonts w:ascii="仿宋_GB2312" w:eastAsia="仿宋_GB2312" w:cs="仿宋_GB2312"/>
          <w:color w:val="auto"/>
          <w:kern w:val="0"/>
          <w:highlight w:val="none"/>
          <w:lang w:val="zh-CN"/>
        </w:rPr>
      </w:pPr>
      <w:r>
        <w:rPr>
          <w:rFonts w:hint="eastAsia" w:ascii="仿宋_GB2312" w:eastAsia="仿宋_GB2312"/>
          <w:color w:val="auto"/>
          <w:highlight w:val="none"/>
          <w:u w:val="single"/>
        </w:rPr>
        <w:t xml:space="preserve">                                                                                       </w:t>
      </w:r>
    </w:p>
    <w:p>
      <w:pPr>
        <w:snapToGrid w:val="0"/>
        <w:ind w:firstLine="480"/>
        <w:rPr>
          <w:rFonts w:ascii="仿宋_GB2312" w:eastAsia="仿宋_GB2312" w:cs="仿宋_GB2312"/>
          <w:color w:val="auto"/>
          <w:kern w:val="0"/>
          <w:highlight w:val="none"/>
          <w:lang w:val="zh-CN"/>
        </w:rPr>
      </w:pPr>
      <w:r>
        <w:rPr>
          <w:rFonts w:hint="eastAsia" w:ascii="仿宋_GB2312" w:eastAsia="仿宋_GB2312" w:cs="仿宋_GB2312"/>
          <w:color w:val="auto"/>
          <w:kern w:val="0"/>
          <w:highlight w:val="none"/>
          <w:lang w:val="zh-CN"/>
        </w:rPr>
        <w:t>四、价款或者报酬</w:t>
      </w:r>
    </w:p>
    <w:p>
      <w:pPr>
        <w:snapToGrid w:val="0"/>
        <w:ind w:left="655" w:leftChars="273" w:firstLine="480"/>
        <w:rPr>
          <w:rFonts w:ascii="仿宋_GB2312" w:eastAsia="仿宋_GB2312" w:cs="仿宋_GB2312"/>
          <w:color w:val="auto"/>
          <w:kern w:val="0"/>
          <w:highlight w:val="none"/>
          <w:lang w:val="zh-CN"/>
        </w:rPr>
      </w:pPr>
      <w:r>
        <w:rPr>
          <w:rFonts w:hint="eastAsia" w:ascii="仿宋_GB2312" w:eastAsia="仿宋_GB2312"/>
          <w:color w:val="auto"/>
          <w:highlight w:val="none"/>
          <w:u w:val="single"/>
        </w:rPr>
        <w:t xml:space="preserve">                                                                                     </w:t>
      </w:r>
    </w:p>
    <w:p>
      <w:pPr>
        <w:snapToGrid w:val="0"/>
        <w:ind w:left="655" w:leftChars="273" w:firstLine="480"/>
        <w:rPr>
          <w:rFonts w:ascii="仿宋_GB2312" w:eastAsia="仿宋_GB2312" w:cs="仿宋_GB2312"/>
          <w:color w:val="auto"/>
          <w:kern w:val="0"/>
          <w:highlight w:val="none"/>
          <w:lang w:val="zh-CN"/>
        </w:rPr>
      </w:pPr>
      <w:r>
        <w:rPr>
          <w:rFonts w:hint="eastAsia" w:ascii="仿宋_GB2312" w:eastAsia="仿宋_GB2312" w:cs="仿宋_GB2312"/>
          <w:color w:val="auto"/>
          <w:kern w:val="0"/>
          <w:highlight w:val="none"/>
          <w:lang w:val="zh-CN"/>
        </w:rPr>
        <w:t>五、违约责任</w:t>
      </w:r>
    </w:p>
    <w:p>
      <w:pPr>
        <w:snapToGrid w:val="0"/>
        <w:ind w:firstLine="480"/>
        <w:rPr>
          <w:rFonts w:ascii="仿宋_GB2312" w:eastAsia="仿宋_GB2312" w:cs="仿宋_GB2312"/>
          <w:color w:val="auto"/>
          <w:kern w:val="0"/>
          <w:highlight w:val="none"/>
          <w:lang w:val="zh-CN"/>
        </w:rPr>
      </w:pPr>
      <w:r>
        <w:rPr>
          <w:rFonts w:hint="eastAsia" w:ascii="仿宋_GB2312" w:eastAsia="仿宋_GB2312"/>
          <w:color w:val="auto"/>
          <w:highlight w:val="none"/>
          <w:u w:val="single"/>
        </w:rPr>
        <w:t xml:space="preserve">                                                                                     </w:t>
      </w:r>
    </w:p>
    <w:p>
      <w:pPr>
        <w:snapToGrid w:val="0"/>
        <w:ind w:firstLine="480"/>
        <w:rPr>
          <w:rFonts w:ascii="仿宋_GB2312" w:eastAsia="仿宋_GB2312" w:cs="仿宋_GB2312"/>
          <w:color w:val="auto"/>
          <w:kern w:val="0"/>
          <w:highlight w:val="none"/>
          <w:lang w:val="zh-CN"/>
        </w:rPr>
      </w:pPr>
      <w:r>
        <w:rPr>
          <w:rFonts w:hint="eastAsia" w:ascii="仿宋_GB2312" w:eastAsia="仿宋_GB2312" w:cs="仿宋_GB2312"/>
          <w:color w:val="auto"/>
          <w:kern w:val="0"/>
          <w:highlight w:val="none"/>
          <w:lang w:val="zh-CN"/>
        </w:rPr>
        <w:t>六、争议解决的办法</w:t>
      </w:r>
    </w:p>
    <w:p>
      <w:pPr>
        <w:snapToGrid w:val="0"/>
        <w:ind w:firstLine="480"/>
        <w:rPr>
          <w:rFonts w:ascii="仿宋_GB2312" w:eastAsia="仿宋_GB2312" w:cs="仿宋_GB2312"/>
          <w:color w:val="auto"/>
          <w:kern w:val="0"/>
          <w:highlight w:val="none"/>
          <w:lang w:val="zh-CN"/>
        </w:rPr>
      </w:pPr>
      <w:r>
        <w:rPr>
          <w:rFonts w:hint="eastAsia" w:ascii="仿宋_GB2312" w:eastAsia="仿宋_GB2312"/>
          <w:color w:val="auto"/>
          <w:highlight w:val="none"/>
          <w:u w:val="single"/>
        </w:rPr>
        <w:t xml:space="preserve">                                                                                  </w:t>
      </w:r>
    </w:p>
    <w:p>
      <w:pPr>
        <w:snapToGrid w:val="0"/>
        <w:ind w:firstLine="480"/>
        <w:rPr>
          <w:rFonts w:ascii="仿宋_GB2312" w:eastAsia="仿宋_GB2312" w:cs="仿宋_GB2312"/>
          <w:color w:val="auto"/>
          <w:kern w:val="0"/>
          <w:highlight w:val="none"/>
          <w:lang w:val="zh-CN"/>
        </w:rPr>
      </w:pPr>
      <w:r>
        <w:rPr>
          <w:rFonts w:hint="eastAsia" w:ascii="仿宋_GB2312" w:eastAsia="仿宋_GB2312" w:cs="仿宋_GB2312"/>
          <w:color w:val="auto"/>
          <w:kern w:val="0"/>
          <w:highlight w:val="none"/>
          <w:lang w:val="zh-CN"/>
        </w:rPr>
        <w:t>七、其他</w:t>
      </w:r>
    </w:p>
    <w:p>
      <w:pPr>
        <w:snapToGrid w:val="0"/>
        <w:ind w:left="5861" w:leftChars="342" w:hanging="5040" w:hangingChars="2100"/>
        <w:rPr>
          <w:rFonts w:ascii="仿宋_GB2312" w:eastAsia="仿宋_GB2312" w:cs="仿宋_GB2312"/>
          <w:color w:val="auto"/>
          <w:kern w:val="0"/>
          <w:highlight w:val="none"/>
          <w:lang w:val="zh-CN"/>
        </w:rPr>
      </w:pPr>
      <w:r>
        <w:rPr>
          <w:rFonts w:hint="eastAsia" w:ascii="仿宋_GB2312" w:eastAsia="仿宋_GB2312"/>
          <w:color w:val="auto"/>
          <w:highlight w:val="none"/>
        </w:rPr>
        <w:t>分包合同1合同金额（小微企业提供的服务合计金额）达到</w:t>
      </w:r>
      <w:r>
        <w:rPr>
          <w:rFonts w:hint="eastAsia" w:ascii="仿宋_GB2312" w:eastAsia="仿宋_GB2312"/>
          <w:color w:val="auto"/>
          <w:highlight w:val="none"/>
          <w:u w:val="single"/>
        </w:rPr>
        <w:t xml:space="preserve">  </w:t>
      </w:r>
      <w:r>
        <w:rPr>
          <w:rFonts w:hint="eastAsia" w:ascii="仿宋_GB2312" w:eastAsia="仿宋_GB2312"/>
          <w:color w:val="auto"/>
          <w:highlight w:val="none"/>
        </w:rPr>
        <w:t>%</w:t>
      </w:r>
      <w:r>
        <w:rPr>
          <w:rFonts w:hint="eastAsia" w:ascii="仿宋_GB2312" w:eastAsia="仿宋_GB2312" w:cs="仿宋_GB2312"/>
          <w:color w:val="auto"/>
          <w:kern w:val="0"/>
          <w:highlight w:val="none"/>
          <w:lang w:val="zh-CN"/>
        </w:rPr>
        <w:t xml:space="preserve"> 。     </w:t>
      </w:r>
    </w:p>
    <w:p>
      <w:pPr>
        <w:snapToGrid w:val="0"/>
        <w:ind w:left="5861" w:leftChars="342" w:hanging="5040" w:hangingChars="2100"/>
        <w:rPr>
          <w:rFonts w:ascii="仿宋_GB2312" w:eastAsia="仿宋_GB2312" w:cs="仿宋_GB2312"/>
          <w:color w:val="auto"/>
          <w:kern w:val="0"/>
          <w:highlight w:val="none"/>
          <w:lang w:val="zh-CN"/>
        </w:rPr>
      </w:pPr>
      <w:r>
        <w:rPr>
          <w:rFonts w:hint="eastAsia" w:ascii="仿宋_GB2312" w:eastAsia="仿宋_GB2312"/>
          <w:color w:val="auto"/>
          <w:highlight w:val="none"/>
        </w:rPr>
        <w:t>分包合同2合同金额（小微企业提供的服务合计金额）达到</w:t>
      </w:r>
      <w:r>
        <w:rPr>
          <w:rFonts w:hint="eastAsia" w:ascii="仿宋_GB2312" w:eastAsia="仿宋_GB2312"/>
          <w:color w:val="auto"/>
          <w:highlight w:val="none"/>
          <w:u w:val="single"/>
        </w:rPr>
        <w:t xml:space="preserve">  </w:t>
      </w:r>
      <w:r>
        <w:rPr>
          <w:rFonts w:hint="eastAsia" w:ascii="仿宋_GB2312" w:eastAsia="仿宋_GB2312"/>
          <w:color w:val="auto"/>
          <w:highlight w:val="none"/>
        </w:rPr>
        <w:t>%</w:t>
      </w:r>
      <w:r>
        <w:rPr>
          <w:rFonts w:hint="eastAsia" w:ascii="仿宋_GB2312" w:eastAsia="仿宋_GB2312" w:cs="仿宋_GB2312"/>
          <w:color w:val="auto"/>
          <w:kern w:val="0"/>
          <w:highlight w:val="none"/>
          <w:lang w:val="zh-CN"/>
        </w:rPr>
        <w:t xml:space="preserve"> 。                                        </w:t>
      </w:r>
    </w:p>
    <w:p>
      <w:pPr>
        <w:snapToGrid w:val="0"/>
        <w:ind w:left="6533" w:leftChars="2622" w:hanging="240" w:hangingChars="100"/>
        <w:rPr>
          <w:rFonts w:ascii="仿宋_GB2312" w:eastAsia="仿宋_GB2312" w:cs="仿宋_GB2312"/>
          <w:color w:val="auto"/>
          <w:kern w:val="0"/>
          <w:highlight w:val="none"/>
          <w:lang w:val="zh-CN"/>
        </w:rPr>
      </w:pPr>
      <w:r>
        <w:rPr>
          <w:rFonts w:hint="eastAsia" w:ascii="仿宋_GB2312" w:eastAsia="仿宋_GB2312" w:cs="仿宋_GB2312"/>
          <w:color w:val="auto"/>
          <w:kern w:val="0"/>
          <w:highlight w:val="none"/>
          <w:lang w:val="zh-CN"/>
        </w:rPr>
        <w:t xml:space="preserve"> 投标人名称：</w:t>
      </w:r>
    </w:p>
    <w:p>
      <w:pPr>
        <w:snapToGrid w:val="0"/>
        <w:ind w:firstLine="5640" w:firstLineChars="2350"/>
        <w:rPr>
          <w:rFonts w:ascii="仿宋_GB2312" w:eastAsia="仿宋_GB2312" w:cs="仿宋_GB2312"/>
          <w:color w:val="auto"/>
          <w:kern w:val="0"/>
          <w:highlight w:val="none"/>
          <w:lang w:val="zh-CN"/>
        </w:rPr>
      </w:pPr>
      <w:r>
        <w:rPr>
          <w:rFonts w:hint="eastAsia" w:ascii="仿宋_GB2312" w:eastAsia="仿宋_GB2312" w:cs="仿宋_GB2312"/>
          <w:color w:val="auto"/>
          <w:kern w:val="0"/>
          <w:highlight w:val="none"/>
          <w:lang w:val="zh-CN"/>
        </w:rPr>
        <w:t>分包供应商名称：</w:t>
      </w:r>
    </w:p>
    <w:p>
      <w:pPr>
        <w:ind w:firstLine="480"/>
        <w:jc w:val="center"/>
        <w:rPr>
          <w:rFonts w:ascii="仿宋_GB2312" w:eastAsia="仿宋_GB2312" w:cs="仿宋_GB2312"/>
          <w:color w:val="auto"/>
          <w:kern w:val="0"/>
          <w:highlight w:val="none"/>
          <w:lang w:val="zh-CN"/>
        </w:rPr>
      </w:pPr>
      <w:r>
        <w:rPr>
          <w:rFonts w:hint="eastAsia" w:ascii="仿宋_GB2312" w:eastAsia="仿宋_GB2312" w:cs="仿宋_GB2312"/>
          <w:color w:val="auto"/>
          <w:kern w:val="0"/>
          <w:highlight w:val="none"/>
          <w:lang w:val="zh-CN"/>
        </w:rPr>
        <w:t xml:space="preserve">                                        日期：  年  月   日</w:t>
      </w:r>
    </w:p>
    <w:p>
      <w:pPr>
        <w:snapToGrid w:val="0"/>
        <w:spacing w:before="156" w:beforeLines="50" w:after="50"/>
        <w:ind w:firstLine="0" w:firstLineChars="0"/>
        <w:rPr>
          <w:rFonts w:ascii="宋体" w:hAnsi="宋体"/>
          <w:b/>
          <w:color w:val="auto"/>
          <w:highlight w:val="none"/>
        </w:rPr>
      </w:pPr>
      <w:r>
        <w:rPr>
          <w:rFonts w:hint="eastAsia" w:ascii="宋体" w:hAnsi="宋体"/>
          <w:b/>
          <w:color w:val="auto"/>
          <w:highlight w:val="none"/>
        </w:rPr>
        <w:t>附件</w:t>
      </w:r>
      <w:r>
        <w:rPr>
          <w:rFonts w:ascii="宋体" w:hAnsi="宋体"/>
          <w:b/>
          <w:color w:val="auto"/>
          <w:highlight w:val="none"/>
        </w:rPr>
        <w:t>19</w:t>
      </w:r>
      <w:r>
        <w:rPr>
          <w:rFonts w:hint="eastAsia" w:ascii="宋体" w:hAnsi="宋体"/>
          <w:b/>
          <w:color w:val="auto"/>
          <w:highlight w:val="none"/>
        </w:rPr>
        <w:t>：中小企业声明函：</w:t>
      </w:r>
    </w:p>
    <w:p>
      <w:pPr>
        <w:tabs>
          <w:tab w:val="left" w:pos="420"/>
        </w:tabs>
        <w:ind w:firstLine="482"/>
        <w:jc w:val="center"/>
        <w:rPr>
          <w:rFonts w:ascii="宋体" w:hAnsi="宋体" w:cs="Arial"/>
          <w:b/>
          <w:bCs/>
          <w:color w:val="auto"/>
          <w:kern w:val="0"/>
          <w:highlight w:val="none"/>
        </w:rPr>
      </w:pPr>
      <w:r>
        <w:rPr>
          <w:rFonts w:hint="eastAsia" w:ascii="宋体" w:hAnsi="宋体" w:cs="Arial"/>
          <w:b/>
          <w:bCs/>
          <w:color w:val="auto"/>
          <w:kern w:val="0"/>
          <w:highlight w:val="none"/>
        </w:rPr>
        <w:t>中小企业声明函（服务）</w:t>
      </w:r>
    </w:p>
    <w:p>
      <w:pPr>
        <w:ind w:firstLine="480"/>
        <w:rPr>
          <w:color w:val="auto"/>
          <w:highlight w:val="none"/>
        </w:rPr>
      </w:pPr>
    </w:p>
    <w:p>
      <w:pPr>
        <w:tabs>
          <w:tab w:val="left" w:pos="420"/>
        </w:tabs>
        <w:ind w:firstLine="480"/>
        <w:rPr>
          <w:rFonts w:ascii="宋体" w:hAnsi="宋体" w:cs="Arial"/>
          <w:bCs/>
          <w:color w:val="auto"/>
          <w:kern w:val="0"/>
          <w:highlight w:val="none"/>
        </w:rPr>
      </w:pPr>
      <w:r>
        <w:rPr>
          <w:rFonts w:hint="eastAsia" w:ascii="宋体" w:hAnsi="宋体" w:cs="Arial"/>
          <w:bCs/>
          <w:color w:val="auto"/>
          <w:kern w:val="0"/>
          <w:highlight w:val="none"/>
        </w:rPr>
        <w:t>本公司郑重声明，根据《政府采购促进中小企业发展管理办法》（财库﹝2020﹞46 号）的规定，本公司参加__________________（单位名称） 的__________________（项目名称） 采购活动，服务全部由符合政策要求的中小企业承接。相关企业（含联合体中的中小企业、签订分包意向协议的中小企业）的具体情况如下：</w:t>
      </w:r>
    </w:p>
    <w:p>
      <w:pPr>
        <w:tabs>
          <w:tab w:val="left" w:pos="420"/>
        </w:tabs>
        <w:ind w:firstLine="480"/>
        <w:rPr>
          <w:rFonts w:ascii="宋体" w:hAnsi="宋体" w:cs="Arial"/>
          <w:bCs/>
          <w:color w:val="auto"/>
          <w:kern w:val="0"/>
          <w:highlight w:val="none"/>
        </w:rPr>
      </w:pPr>
      <w:r>
        <w:rPr>
          <w:rFonts w:hint="eastAsia" w:ascii="宋体" w:hAnsi="宋体" w:cs="Arial"/>
          <w:bCs/>
          <w:color w:val="auto"/>
          <w:kern w:val="0"/>
          <w:highlight w:val="none"/>
          <w:u w:val="single"/>
        </w:rPr>
        <w:t xml:space="preserve">              </w:t>
      </w:r>
      <w:r>
        <w:rPr>
          <w:rFonts w:hint="eastAsia" w:ascii="宋体" w:hAnsi="宋体" w:cs="Arial"/>
          <w:bCs/>
          <w:color w:val="auto"/>
          <w:kern w:val="0"/>
          <w:highlight w:val="none"/>
        </w:rPr>
        <w:t>（标的名称），属于</w:t>
      </w:r>
      <w:r>
        <w:rPr>
          <w:rFonts w:hint="eastAsia" w:ascii="宋体" w:hAnsi="宋体" w:cs="Arial"/>
          <w:bCs/>
          <w:color w:val="auto"/>
          <w:kern w:val="0"/>
          <w:highlight w:val="none"/>
          <w:u w:val="single"/>
        </w:rPr>
        <w:t xml:space="preserve">              </w:t>
      </w:r>
      <w:r>
        <w:rPr>
          <w:rFonts w:hint="eastAsia" w:ascii="宋体" w:hAnsi="宋体" w:cs="Arial"/>
          <w:bCs/>
          <w:color w:val="auto"/>
          <w:kern w:val="0"/>
          <w:highlight w:val="none"/>
        </w:rPr>
        <w:t xml:space="preserve">（采购文件中明确的所属行业）行业；承接企业为 </w:t>
      </w:r>
      <w:r>
        <w:rPr>
          <w:rFonts w:hint="eastAsia" w:ascii="宋体" w:hAnsi="宋体" w:cs="Arial"/>
          <w:bCs/>
          <w:color w:val="auto"/>
          <w:kern w:val="0"/>
          <w:highlight w:val="none"/>
          <w:u w:val="single"/>
        </w:rPr>
        <w:t xml:space="preserve">                 </w:t>
      </w:r>
      <w:r>
        <w:rPr>
          <w:rFonts w:hint="eastAsia" w:ascii="宋体" w:hAnsi="宋体" w:cs="Arial"/>
          <w:bCs/>
          <w:color w:val="auto"/>
          <w:kern w:val="0"/>
          <w:highlight w:val="none"/>
        </w:rPr>
        <w:t>（企业名称），从业人员_____人，营业收入为_____万元，资产总额为_____万元，属于</w:t>
      </w:r>
      <w:r>
        <w:rPr>
          <w:rFonts w:hint="eastAsia" w:ascii="宋体" w:hAnsi="宋体" w:cs="Arial"/>
          <w:bCs/>
          <w:color w:val="auto"/>
          <w:kern w:val="0"/>
          <w:highlight w:val="none"/>
          <w:u w:val="single"/>
        </w:rPr>
        <w:t xml:space="preserve">             </w:t>
      </w:r>
      <w:r>
        <w:rPr>
          <w:rFonts w:hint="eastAsia" w:ascii="宋体" w:hAnsi="宋体" w:cs="Arial"/>
          <w:bCs/>
          <w:color w:val="auto"/>
          <w:kern w:val="0"/>
          <w:highlight w:val="none"/>
        </w:rPr>
        <w:t>（中型企业、小型企业、微型企业）；</w:t>
      </w:r>
    </w:p>
    <w:p>
      <w:pPr>
        <w:tabs>
          <w:tab w:val="left" w:pos="420"/>
        </w:tabs>
        <w:ind w:firstLine="480"/>
        <w:rPr>
          <w:rFonts w:ascii="宋体" w:hAnsi="宋体" w:cs="Arial"/>
          <w:bCs/>
          <w:color w:val="auto"/>
          <w:kern w:val="0"/>
          <w:highlight w:val="none"/>
        </w:rPr>
      </w:pPr>
      <w:r>
        <w:rPr>
          <w:rFonts w:hint="eastAsia" w:ascii="宋体" w:hAnsi="宋体" w:cs="Arial"/>
          <w:bCs/>
          <w:color w:val="auto"/>
          <w:kern w:val="0"/>
          <w:highlight w:val="none"/>
        </w:rPr>
        <w:t>本企业对上述声明内容的真实性负责。如有虚假，将依法承担相应责任。</w:t>
      </w:r>
    </w:p>
    <w:p>
      <w:pPr>
        <w:tabs>
          <w:tab w:val="left" w:pos="420"/>
        </w:tabs>
        <w:ind w:firstLine="480"/>
        <w:rPr>
          <w:rFonts w:ascii="宋体" w:hAnsi="宋体" w:cs="Arial"/>
          <w:bCs/>
          <w:color w:val="auto"/>
          <w:kern w:val="0"/>
          <w:highlight w:val="none"/>
        </w:rPr>
      </w:pPr>
    </w:p>
    <w:p>
      <w:pPr>
        <w:tabs>
          <w:tab w:val="left" w:pos="420"/>
        </w:tabs>
        <w:ind w:firstLine="480"/>
        <w:jc w:val="right"/>
        <w:rPr>
          <w:rFonts w:ascii="宋体" w:hAnsi="宋体" w:cs="Arial"/>
          <w:bCs/>
          <w:color w:val="auto"/>
          <w:kern w:val="0"/>
          <w:highlight w:val="none"/>
        </w:rPr>
      </w:pPr>
      <w:r>
        <w:rPr>
          <w:rFonts w:hint="eastAsia" w:ascii="宋体" w:hAnsi="宋体" w:cs="Arial"/>
          <w:bCs/>
          <w:color w:val="auto"/>
          <w:kern w:val="0"/>
          <w:highlight w:val="none"/>
        </w:rPr>
        <w:t>企业名称（盖章）：</w:t>
      </w:r>
    </w:p>
    <w:p>
      <w:pPr>
        <w:tabs>
          <w:tab w:val="left" w:pos="420"/>
        </w:tabs>
        <w:spacing w:before="100" w:beforeAutospacing="1" w:after="100" w:afterAutospacing="1"/>
        <w:ind w:firstLine="480"/>
        <w:jc w:val="center"/>
        <w:rPr>
          <w:rFonts w:ascii="宋体" w:hAnsi="宋体" w:cs="Arial"/>
          <w:bCs/>
          <w:color w:val="auto"/>
          <w:kern w:val="0"/>
          <w:highlight w:val="none"/>
        </w:rPr>
      </w:pPr>
      <w:r>
        <w:rPr>
          <w:rFonts w:hint="eastAsia" w:ascii="宋体" w:hAnsi="宋体" w:cs="Arial"/>
          <w:bCs/>
          <w:color w:val="auto"/>
          <w:kern w:val="0"/>
          <w:highlight w:val="none"/>
        </w:rPr>
        <w:t xml:space="preserve">                                                   日 期：</w:t>
      </w:r>
    </w:p>
    <w:p>
      <w:pPr>
        <w:tabs>
          <w:tab w:val="left" w:pos="420"/>
        </w:tabs>
        <w:spacing w:before="100" w:beforeAutospacing="1" w:after="100" w:afterAutospacing="1"/>
        <w:ind w:firstLine="482"/>
        <w:rPr>
          <w:rFonts w:ascii="宋体" w:hAnsi="宋体" w:cs="Arial"/>
          <w:b/>
          <w:bCs/>
          <w:color w:val="auto"/>
          <w:kern w:val="0"/>
          <w:highlight w:val="none"/>
        </w:rPr>
      </w:pPr>
      <w:r>
        <w:rPr>
          <w:rFonts w:hint="eastAsia" w:ascii="宋体" w:hAnsi="宋体" w:cs="Arial"/>
          <w:b/>
          <w:bCs/>
          <w:color w:val="auto"/>
          <w:kern w:val="0"/>
          <w:highlight w:val="none"/>
        </w:rPr>
        <w:t>注：</w:t>
      </w:r>
    </w:p>
    <w:p>
      <w:pPr>
        <w:tabs>
          <w:tab w:val="left" w:pos="420"/>
        </w:tabs>
        <w:spacing w:before="100" w:beforeAutospacing="1" w:after="100" w:afterAutospacing="1"/>
        <w:ind w:firstLine="482"/>
        <w:rPr>
          <w:rFonts w:ascii="宋体" w:hAnsi="宋体"/>
          <w:b/>
          <w:color w:val="auto"/>
          <w:szCs w:val="21"/>
          <w:highlight w:val="none"/>
        </w:rPr>
      </w:pPr>
      <w:r>
        <w:rPr>
          <w:rFonts w:hint="eastAsia" w:ascii="宋体" w:hAnsi="宋体" w:cs="Arial"/>
          <w:b/>
          <w:bCs/>
          <w:color w:val="auto"/>
          <w:kern w:val="0"/>
          <w:highlight w:val="none"/>
        </w:rPr>
        <w:t>1、</w:t>
      </w:r>
      <w:r>
        <w:rPr>
          <w:rFonts w:hint="eastAsia" w:ascii="宋体" w:hAnsi="宋体"/>
          <w:b/>
          <w:color w:val="auto"/>
          <w:szCs w:val="21"/>
          <w:highlight w:val="none"/>
        </w:rPr>
        <w:t>如承接单位为小微企业，则需提供中小企业声明函。</w:t>
      </w:r>
    </w:p>
    <w:p>
      <w:pPr>
        <w:tabs>
          <w:tab w:val="left" w:pos="420"/>
        </w:tabs>
        <w:spacing w:before="100" w:beforeAutospacing="1" w:after="100" w:afterAutospacing="1"/>
        <w:ind w:firstLine="482"/>
        <w:rPr>
          <w:rFonts w:ascii="宋体" w:hAnsi="宋体"/>
          <w:b/>
          <w:color w:val="auto"/>
          <w:szCs w:val="21"/>
          <w:highlight w:val="none"/>
        </w:rPr>
      </w:pPr>
      <w:r>
        <w:rPr>
          <w:rFonts w:hint="eastAsia" w:ascii="宋体" w:hAnsi="宋体"/>
          <w:b/>
          <w:color w:val="auto"/>
          <w:szCs w:val="21"/>
          <w:highlight w:val="none"/>
        </w:rPr>
        <w:t>2、如中标人声明为小微企业，本声明函将随中标结果同时公告，接受社会监督。</w:t>
      </w:r>
    </w:p>
    <w:p>
      <w:pPr>
        <w:spacing w:line="600" w:lineRule="auto"/>
        <w:ind w:firstLine="480"/>
        <w:rPr>
          <w:rFonts w:ascii="宋体"/>
          <w:color w:val="auto"/>
          <w:highlight w:val="none"/>
        </w:rPr>
      </w:pPr>
    </w:p>
    <w:p>
      <w:pPr>
        <w:tabs>
          <w:tab w:val="left" w:pos="420"/>
        </w:tabs>
        <w:spacing w:before="100" w:beforeAutospacing="1" w:after="100" w:afterAutospacing="1"/>
        <w:ind w:firstLine="480"/>
        <w:rPr>
          <w:rFonts w:ascii="仿宋_GB2312" w:hAnsi="仿宋" w:eastAsia="仿宋_GB2312" w:cs="仿宋_GB2312"/>
          <w:color w:val="auto"/>
          <w:kern w:val="0"/>
          <w:highlight w:val="none"/>
          <w:lang w:val="zh-CN"/>
        </w:rPr>
      </w:pPr>
    </w:p>
    <w:sectPr>
      <w:headerReference r:id="rId25" w:type="default"/>
      <w:footerReference r:id="rId26" w:type="default"/>
      <w:footerReference r:id="rId27" w:type="even"/>
      <w:pgSz w:w="11906" w:h="16838"/>
      <w:pgMar w:top="1440" w:right="1797" w:bottom="1440" w:left="1797" w:header="284"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
    <w:altName w:val="Times New Roman"/>
    <w:panose1 w:val="00000000000000000000"/>
    <w:charset w:val="00"/>
    <w:family w:val="roman"/>
    <w:pitch w:val="default"/>
    <w:sig w:usb0="00000000" w:usb1="00000000" w:usb2="00000000" w:usb3="00000000" w:csb0="00000001" w:csb1="00000000"/>
  </w:font>
  <w:font w:name="Arial Narrow">
    <w:panose1 w:val="020B0506020202030204"/>
    <w:charset w:val="00"/>
    <w:family w:val="swiss"/>
    <w:pitch w:val="default"/>
    <w:sig w:usb0="00000287" w:usb1="000000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创艺简标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ind w:firstLine="360"/>
      <w:rPr>
        <w:rStyle w:val="50"/>
      </w:rPr>
    </w:pPr>
    <w:r>
      <w:rPr>
        <w:rStyle w:val="50"/>
      </w:rPr>
      <w:fldChar w:fldCharType="begin"/>
    </w:r>
    <w:r>
      <w:rPr>
        <w:rStyle w:val="50"/>
      </w:rPr>
      <w:instrText xml:space="preserve">PAGE  </w:instrText>
    </w:r>
    <w:r>
      <w:rPr>
        <w:rStyle w:val="50"/>
      </w:rPr>
      <w:fldChar w:fldCharType="end"/>
    </w:r>
  </w:p>
  <w:p>
    <w:pPr>
      <w:pStyle w:val="34"/>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left="780" w:firstLine="360"/>
      <w:jc w:val="center"/>
    </w:pPr>
    <w:r>
      <w:fldChar w:fldCharType="begin"/>
    </w:r>
    <w:r>
      <w:instrText xml:space="preserve">PAGE   \* MERGEFORMAT</w:instrText>
    </w:r>
    <w:r>
      <w:fldChar w:fldCharType="separate"/>
    </w:r>
    <w:r>
      <w:rPr>
        <w:lang w:val="zh-CN"/>
      </w:rPr>
      <w:t>68</w:t>
    </w:r>
    <w:r>
      <w:fldChar w:fldCharType="end"/>
    </w:r>
  </w:p>
  <w:p>
    <w:pPr>
      <w:pStyle w:val="34"/>
      <w:ind w:right="823" w:rightChars="343" w:firstLine="180" w:firstLineChars="10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outside" w:y="1"/>
      <w:ind w:firstLine="360"/>
      <w:rPr>
        <w:rStyle w:val="50"/>
      </w:rPr>
    </w:pPr>
    <w:r>
      <w:fldChar w:fldCharType="begin"/>
    </w:r>
    <w:r>
      <w:rPr>
        <w:rStyle w:val="50"/>
      </w:rPr>
      <w:instrText xml:space="preserve">PAGE  </w:instrText>
    </w:r>
    <w:r>
      <w:fldChar w:fldCharType="separate"/>
    </w:r>
    <w:r>
      <w:rPr>
        <w:rStyle w:val="50"/>
      </w:rPr>
      <w:t>32</w:t>
    </w:r>
    <w:r>
      <w:fldChar w:fldCharType="end"/>
    </w:r>
  </w:p>
  <w:p>
    <w:pPr>
      <w:pStyle w:val="34"/>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outside" w:y="1"/>
      <w:ind w:firstLine="560"/>
      <w:rPr>
        <w:rStyle w:val="50"/>
        <w:rFonts w:ascii="宋体" w:hAnsi="宋体" w:eastAsia="宋体"/>
        <w:sz w:val="28"/>
        <w:szCs w:val="28"/>
      </w:rPr>
    </w:pPr>
    <w:r>
      <w:rPr>
        <w:rStyle w:val="50"/>
        <w:rFonts w:hint="eastAsia" w:ascii="宋体" w:hAnsi="宋体" w:eastAsia="宋体"/>
        <w:sz w:val="28"/>
        <w:szCs w:val="28"/>
      </w:rPr>
      <w:t xml:space="preserve">— </w:t>
    </w:r>
    <w:r>
      <w:rPr>
        <w:rFonts w:ascii="宋体" w:hAnsi="宋体" w:eastAsia="宋体"/>
        <w:sz w:val="28"/>
        <w:szCs w:val="28"/>
      </w:rPr>
      <w:fldChar w:fldCharType="begin"/>
    </w:r>
    <w:r>
      <w:rPr>
        <w:rStyle w:val="50"/>
        <w:rFonts w:ascii="宋体" w:hAnsi="宋体" w:eastAsia="宋体"/>
        <w:sz w:val="28"/>
        <w:szCs w:val="28"/>
      </w:rPr>
      <w:instrText xml:space="preserve">PAGE  </w:instrText>
    </w:r>
    <w:r>
      <w:rPr>
        <w:rFonts w:ascii="宋体" w:hAnsi="宋体" w:eastAsia="宋体"/>
        <w:sz w:val="28"/>
        <w:szCs w:val="28"/>
      </w:rPr>
      <w:fldChar w:fldCharType="separate"/>
    </w:r>
    <w:r>
      <w:rPr>
        <w:rStyle w:val="50"/>
        <w:rFonts w:ascii="宋体" w:hAnsi="宋体" w:eastAsia="宋体"/>
        <w:sz w:val="28"/>
        <w:szCs w:val="28"/>
      </w:rPr>
      <w:t>39</w:t>
    </w:r>
    <w:r>
      <w:rPr>
        <w:rFonts w:ascii="宋体" w:hAnsi="宋体" w:eastAsia="宋体"/>
        <w:sz w:val="28"/>
        <w:szCs w:val="28"/>
      </w:rPr>
      <w:fldChar w:fldCharType="end"/>
    </w:r>
    <w:r>
      <w:rPr>
        <w:rStyle w:val="50"/>
        <w:rFonts w:hint="eastAsia" w:ascii="宋体" w:hAnsi="宋体" w:eastAsia="宋体"/>
        <w:sz w:val="28"/>
        <w:szCs w:val="28"/>
      </w:rPr>
      <w:t xml:space="preserve"> —</w:t>
    </w:r>
  </w:p>
  <w:p>
    <w:pPr>
      <w:pStyle w:val="34"/>
      <w:ind w:right="720" w:firstLine="180" w:firstLineChars="100"/>
      <w:jc w:val="both"/>
    </w:pPr>
    <w:r>
      <w:rPr>
        <w:rFonts w:hint="eastAsia"/>
      </w:rPr>
      <w:t xml:space="preserve">                                                           东阳市公共资源交易中心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ind w:firstLine="360"/>
                          </w:pPr>
                        </w:p>
                      </w:txbxContent>
                    </wps:txbx>
                    <wps:bodyPr wrap="none" lIns="0" tIns="0" rIns="0" bIns="0">
                      <a:spAutoFit/>
                    </wps:bodyPr>
                  </wps:wsp>
                </a:graphicData>
              </a:graphic>
            </wp:anchor>
          </w:drawing>
        </mc:Choice>
        <mc:Fallback>
          <w:pict>
            <v:shape id="文本框 9"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Uv6TBcEBAACNAwAADgAAAAAAAAABACAAAAAeAQAAZHJzL2Uyb0RvYy54bWxQSwUG&#10;AAAAAAYABgBZAQAAUQUAAAAA&#10;">
              <v:fill on="f" focussize="0,0"/>
              <v:stroke on="f"/>
              <v:imagedata o:title=""/>
              <o:lock v:ext="edit" aspectratio="f"/>
              <v:textbox inset="0mm,0mm,0mm,0mm" style="mso-fit-shape-to-text:t;">
                <w:txbxContent>
                  <w:p>
                    <w:pPr>
                      <w:pStyle w:val="34"/>
                      <w:ind w:firstLine="360"/>
                    </w:pP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right" w:y="1"/>
      <w:ind w:firstLine="360"/>
      <w:rPr>
        <w:rStyle w:val="50"/>
      </w:rPr>
    </w:pPr>
    <w:r>
      <w:rPr>
        <w:rStyle w:val="50"/>
      </w:rPr>
      <w:fldChar w:fldCharType="begin"/>
    </w:r>
    <w:r>
      <w:rPr>
        <w:rStyle w:val="50"/>
      </w:rPr>
      <w:instrText xml:space="preserve">PAGE  </w:instrText>
    </w:r>
    <w:r>
      <w:rPr>
        <w:rStyle w:val="50"/>
      </w:rPr>
      <w:fldChar w:fldCharType="end"/>
    </w:r>
  </w:p>
  <w:p>
    <w:pPr>
      <w:pStyle w:val="3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ind w:firstLine="360"/>
                          </w:pPr>
                          <w:r>
                            <w:fldChar w:fldCharType="begin"/>
                          </w:r>
                          <w:r>
                            <w:instrText xml:space="preserve"> PAGE  \* MERGEFORMAT </w:instrText>
                          </w:r>
                          <w:r>
                            <w:fldChar w:fldCharType="separate"/>
                          </w:r>
                          <w:r>
                            <w:t>22</w:t>
                          </w:r>
                          <w:r>
                            <w:fldChar w:fldCharType="end"/>
                          </w:r>
                        </w:p>
                      </w:txbxContent>
                    </wps:txbx>
                    <wps:bodyPr wrap="none" lIns="0" tIns="0" rIns="0" bIns="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y5LMIBAACO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5&#10;zPr0AWpMuw+YmIZ3fsCtmf2Azkx7UNHmLxIiGEd1z1d15ZCIyI/Wq/W6wpDA2HxBfPbwPERI76W3&#10;JBsNjTi+oio/fYQ0ps4puZrzd9qYMkLj/nEgZvaw3PvYY7bSsB8mQnvfnpFPj5NvqMNFp8R8cChs&#10;XpLZiLOxn4xcA8LtMWHh0k9GHaGmYjimwmhaqbwHj+8l6+E32v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Ep8uSzCAQAAjgMAAA4AAAAAAAAAAQAgAAAAHgEAAGRycy9lMm9Eb2MueG1sUEsF&#10;BgAAAAAGAAYAWQEAAFIFAAAAAA==&#10;">
              <v:fill on="f" focussize="0,0"/>
              <v:stroke on="f"/>
              <v:imagedata o:title=""/>
              <o:lock v:ext="edit" aspectratio="f"/>
              <v:textbox inset="0mm,0mm,0mm,0mm" style="mso-fit-shape-to-text:t;">
                <w:txbxContent>
                  <w:p>
                    <w:pPr>
                      <w:pStyle w:val="34"/>
                      <w:ind w:firstLine="36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left="980" w:firstLine="360"/>
      <w:jc w:val="right"/>
    </w:pPr>
    <w:r>
      <w:fldChar w:fldCharType="begin"/>
    </w:r>
    <w:r>
      <w:instrText xml:space="preserve">PAGE   \* MERGEFORMAT</w:instrText>
    </w:r>
    <w:r>
      <w:fldChar w:fldCharType="separate"/>
    </w:r>
    <w:r>
      <w:rPr>
        <w:lang w:val="zh-CN"/>
      </w:rPr>
      <w:t>67</w:t>
    </w:r>
    <w:r>
      <w:fldChar w:fldCharType="end"/>
    </w:r>
  </w:p>
  <w:p>
    <w:pPr>
      <w:pStyle w:val="3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outside" w:y="1"/>
      <w:ind w:firstLine="360"/>
      <w:rPr>
        <w:rStyle w:val="50"/>
      </w:rPr>
    </w:pPr>
    <w:r>
      <w:rPr>
        <w:rStyle w:val="50"/>
      </w:rPr>
      <w:fldChar w:fldCharType="begin"/>
    </w:r>
    <w:r>
      <w:rPr>
        <w:rStyle w:val="50"/>
      </w:rPr>
      <w:instrText xml:space="preserve">PAGE  </w:instrText>
    </w:r>
    <w:r>
      <w:rPr>
        <w:rStyle w:val="50"/>
      </w:rPr>
      <w:fldChar w:fldCharType="separate"/>
    </w:r>
    <w:r>
      <w:rPr>
        <w:rStyle w:val="50"/>
      </w:rPr>
      <w:t>32</w:t>
    </w:r>
    <w:r>
      <w:rPr>
        <w:rStyle w:val="50"/>
      </w:rPr>
      <w:fldChar w:fldCharType="end"/>
    </w:r>
  </w:p>
  <w:p>
    <w:pPr>
      <w:pStyle w:val="34"/>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outside" w:y="1"/>
      <w:ind w:firstLine="560"/>
      <w:rPr>
        <w:rStyle w:val="50"/>
        <w:rFonts w:ascii="宋体" w:hAnsi="宋体" w:eastAsia="宋体"/>
        <w:sz w:val="28"/>
        <w:szCs w:val="28"/>
      </w:rPr>
    </w:pPr>
  </w:p>
  <w:p>
    <w:pPr>
      <w:pStyle w:val="34"/>
      <w:ind w:right="720" w:firstLine="180" w:firstLineChars="100"/>
      <w:jc w:val="both"/>
    </w:pPr>
    <w:r>
      <w:t xml:space="preserve">                                                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jc w:val="center"/>
    </w:pPr>
    <w:r>
      <w:fldChar w:fldCharType="begin"/>
    </w:r>
    <w:r>
      <w:instrText xml:space="preserve"> PAGE   \* MERGEFORMAT </w:instrText>
    </w:r>
    <w:r>
      <w:fldChar w:fldCharType="separate"/>
    </w:r>
    <w:r>
      <w:rPr>
        <w:lang w:val="zh-CN"/>
      </w:rPr>
      <w:t>5</w:t>
    </w:r>
    <w:r>
      <w:rPr>
        <w:lang w:val="zh-CN"/>
      </w:rPr>
      <w:fldChar w:fldCharType="end"/>
    </w:r>
  </w:p>
  <w:p>
    <w:pPr>
      <w:pStyle w:val="34"/>
      <w:ind w:firstLine="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outside" w:y="1"/>
      <w:ind w:firstLine="360"/>
      <w:rPr>
        <w:rStyle w:val="50"/>
      </w:rPr>
    </w:pPr>
    <w:r>
      <w:fldChar w:fldCharType="begin"/>
    </w:r>
    <w:r>
      <w:rPr>
        <w:rStyle w:val="50"/>
      </w:rPr>
      <w:instrText xml:space="preserve">PAGE  </w:instrText>
    </w:r>
    <w:r>
      <w:fldChar w:fldCharType="separate"/>
    </w:r>
    <w:r>
      <w:rPr>
        <w:rStyle w:val="50"/>
      </w:rPr>
      <w:t>32</w:t>
    </w:r>
    <w:r>
      <w:fldChar w:fldCharType="end"/>
    </w:r>
  </w:p>
  <w:p>
    <w:pPr>
      <w:pStyle w:val="34"/>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outside" w:y="1"/>
      <w:ind w:firstLine="560"/>
      <w:rPr>
        <w:rStyle w:val="50"/>
        <w:rFonts w:ascii="宋体" w:hAnsi="宋体"/>
        <w:sz w:val="28"/>
        <w:szCs w:val="28"/>
      </w:rPr>
    </w:pPr>
    <w:r>
      <w:rPr>
        <w:rStyle w:val="50"/>
        <w:rFonts w:hint="eastAsia" w:ascii="宋体" w:hAnsi="宋体"/>
        <w:sz w:val="28"/>
        <w:szCs w:val="28"/>
      </w:rPr>
      <w:t xml:space="preserve">— </w:t>
    </w:r>
    <w:r>
      <w:rPr>
        <w:rFonts w:ascii="宋体" w:hAnsi="宋体" w:eastAsia="宋体"/>
        <w:sz w:val="28"/>
        <w:szCs w:val="28"/>
      </w:rPr>
      <w:fldChar w:fldCharType="begin"/>
    </w:r>
    <w:r>
      <w:rPr>
        <w:rStyle w:val="50"/>
        <w:rFonts w:ascii="宋体" w:hAnsi="宋体"/>
        <w:sz w:val="28"/>
        <w:szCs w:val="28"/>
      </w:rPr>
      <w:instrText xml:space="preserve">PAGE  </w:instrText>
    </w:r>
    <w:r>
      <w:rPr>
        <w:rFonts w:ascii="宋体" w:hAnsi="宋体" w:eastAsia="宋体"/>
        <w:sz w:val="28"/>
        <w:szCs w:val="28"/>
      </w:rPr>
      <w:fldChar w:fldCharType="separate"/>
    </w:r>
    <w:r>
      <w:rPr>
        <w:rStyle w:val="50"/>
        <w:rFonts w:ascii="宋体" w:hAnsi="宋体"/>
        <w:sz w:val="28"/>
        <w:szCs w:val="28"/>
      </w:rPr>
      <w:t>39</w:t>
    </w:r>
    <w:r>
      <w:rPr>
        <w:rFonts w:ascii="宋体" w:hAnsi="宋体" w:eastAsia="宋体"/>
        <w:sz w:val="28"/>
        <w:szCs w:val="28"/>
      </w:rPr>
      <w:fldChar w:fldCharType="end"/>
    </w:r>
    <w:r>
      <w:rPr>
        <w:rStyle w:val="50"/>
        <w:rFonts w:hint="eastAsia" w:ascii="宋体" w:hAnsi="宋体"/>
        <w:sz w:val="28"/>
        <w:szCs w:val="28"/>
      </w:rPr>
      <w:t xml:space="preserve"> —</w:t>
    </w:r>
  </w:p>
  <w:p>
    <w:pPr>
      <w:pStyle w:val="34"/>
      <w:ind w:right="720" w:firstLine="180" w:firstLineChars="100"/>
      <w:jc w:val="both"/>
    </w:pPr>
    <w:r>
      <w:rPr>
        <w:rFonts w:hint="eastAsia"/>
      </w:rPr>
      <w:t xml:space="preserve">                                                           金华市公共资源交易中心东阳分中心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0" w:firstLineChars="0"/>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ind w:firstLine="360"/>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480"/>
      <w:rPr>
        <w:rFonts w:hAnsi="宋体"/>
        <w:sz w:val="24"/>
        <w:szCs w:val="24"/>
      </w:rPr>
    </w:pPr>
    <w:r>
      <w:rPr>
        <w:rFonts w:hint="eastAsia" w:hAnsi="宋体"/>
        <w:sz w:val="24"/>
        <w:szCs w:val="24"/>
      </w:rPr>
      <w:t>东阳市应急广播维保提升改造项目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ind w:firstLine="360"/>
      <w:jc w:val="both"/>
      <w:rPr>
        <w:u w:val="single"/>
      </w:rPr>
    </w:pPr>
    <w:r>
      <w:rPr>
        <w:rFonts w:hint="eastAsia"/>
        <w:u w:val="single"/>
      </w:rPr>
      <w:t xml:space="preserve">东阳市应急广播维保提升改造项目                                             </w:t>
    </w:r>
  </w:p>
  <w:p>
    <w:pPr>
      <w:ind w:firstLine="48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480"/>
    </w:pPr>
    <w:r>
      <w:rPr>
        <w:rFonts w:hint="eastAsia" w:hAnsi="宋体"/>
        <w:sz w:val="24"/>
        <w:szCs w:val="24"/>
      </w:rPr>
      <w:t>东阳市应急广播维保提升改造项目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ind w:firstLine="360"/>
      <w:jc w:val="both"/>
      <w:rPr>
        <w:u w:val="single"/>
      </w:rPr>
    </w:pPr>
    <w:r>
      <w:rPr>
        <w:rFonts w:hint="eastAsia"/>
        <w:u w:val="single"/>
      </w:rPr>
      <w:t xml:space="preserve">东阳市应急广播维保提升改造项目                                             </w:t>
    </w:r>
  </w:p>
  <w:p>
    <w:pPr>
      <w:ind w:firstLine="48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spacing w:after="120"/>
      <w:ind w:firstLine="360"/>
    </w:pPr>
  </w:p>
  <w:p>
    <w:pPr>
      <w:pStyle w:val="35"/>
      <w:tabs>
        <w:tab w:val="left" w:pos="3075"/>
        <w:tab w:val="left" w:pos="6780"/>
        <w:tab w:val="clear" w:pos="4153"/>
        <w:tab w:val="clear" w:pos="8306"/>
      </w:tabs>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969B0"/>
    <w:multiLevelType w:val="singleLevel"/>
    <w:tmpl w:val="900969B0"/>
    <w:lvl w:ilvl="0" w:tentative="0">
      <w:start w:val="1"/>
      <w:numFmt w:val="decimal"/>
      <w:lvlText w:val="%1."/>
      <w:lvlJc w:val="left"/>
      <w:pPr>
        <w:tabs>
          <w:tab w:val="left" w:pos="312"/>
        </w:tabs>
      </w:pPr>
    </w:lvl>
  </w:abstractNum>
  <w:abstractNum w:abstractNumId="1">
    <w:nsid w:val="3B9AEF67"/>
    <w:multiLevelType w:val="singleLevel"/>
    <w:tmpl w:val="3B9AEF67"/>
    <w:lvl w:ilvl="0" w:tentative="0">
      <w:start w:val="2"/>
      <w:numFmt w:val="decimal"/>
      <w:suff w:val="nothing"/>
      <w:lvlText w:val="%1、"/>
      <w:lvlJc w:val="left"/>
    </w:lvl>
  </w:abstractNum>
  <w:abstractNum w:abstractNumId="2">
    <w:nsid w:val="482E2A1A"/>
    <w:multiLevelType w:val="singleLevel"/>
    <w:tmpl w:val="482E2A1A"/>
    <w:lvl w:ilvl="0" w:tentative="0">
      <w:start w:val="6"/>
      <w:numFmt w:val="chineseCounting"/>
      <w:suff w:val="nothing"/>
      <w:lvlText w:val="%1、"/>
      <w:lvlJc w:val="left"/>
      <w:rPr>
        <w:rFonts w:hint="eastAsia" w:cs="Times New Roman"/>
      </w:rPr>
    </w:lvl>
  </w:abstractNum>
  <w:abstractNum w:abstractNumId="3">
    <w:nsid w:val="55AA1096"/>
    <w:multiLevelType w:val="multilevel"/>
    <w:tmpl w:val="55AA1096"/>
    <w:lvl w:ilvl="0" w:tentative="0">
      <w:start w:val="1"/>
      <w:numFmt w:val="chineseCountingThousand"/>
      <w:pStyle w:val="5"/>
      <w:lvlText w:val="第%1章"/>
      <w:lvlJc w:val="left"/>
      <w:pPr>
        <w:ind w:left="557"/>
      </w:pPr>
      <w:rPr>
        <w:rFonts w:hint="eastAsia"/>
      </w:rPr>
    </w:lvl>
    <w:lvl w:ilvl="1" w:tentative="0">
      <w:start w:val="1"/>
      <w:numFmt w:val="decimal"/>
      <w:pStyle w:val="6"/>
      <w:isLgl/>
      <w:lvlText w:val="%1.%2"/>
      <w:lvlJc w:val="left"/>
      <w:pPr>
        <w:ind w:left="0"/>
      </w:pPr>
      <w:rPr>
        <w:rFonts w:hint="eastAsia"/>
      </w:rPr>
    </w:lvl>
    <w:lvl w:ilvl="2" w:tentative="0">
      <w:start w:val="1"/>
      <w:numFmt w:val="decimal"/>
      <w:pStyle w:val="7"/>
      <w:isLgl/>
      <w:lvlText w:val="%1.%2.%3"/>
      <w:lvlJc w:val="left"/>
      <w:pPr>
        <w:ind w:left="5103"/>
      </w:pPr>
      <w:rPr>
        <w:rFonts w:hint="eastAsia"/>
      </w:rPr>
    </w:lvl>
    <w:lvl w:ilvl="3" w:tentative="0">
      <w:start w:val="1"/>
      <w:numFmt w:val="decimal"/>
      <w:pStyle w:val="8"/>
      <w:isLgl/>
      <w:suff w:val="nothing"/>
      <w:lvlText w:val="%1.%2.%3.%4"/>
      <w:lvlJc w:val="left"/>
      <w:rPr>
        <w:rFonts w:hint="eastAsia"/>
      </w:rPr>
    </w:lvl>
    <w:lvl w:ilvl="4" w:tentative="0">
      <w:start w:val="1"/>
      <w:numFmt w:val="decimal"/>
      <w:pStyle w:val="9"/>
      <w:isLgl/>
      <w:suff w:val="nothing"/>
      <w:lvlText w:val="%1.%2.%3.%4.%5"/>
      <w:lvlJc w:val="left"/>
      <w:pPr>
        <w:ind w:left="3545"/>
      </w:pPr>
      <w:rPr>
        <w:rFonts w:hint="eastAsia"/>
      </w:rPr>
    </w:lvl>
    <w:lvl w:ilvl="5" w:tentative="0">
      <w:start w:val="1"/>
      <w:numFmt w:val="decimal"/>
      <w:pStyle w:val="10"/>
      <w:isLgl/>
      <w:lvlText w:val="%1.%2.%3.%4.%5.%6"/>
      <w:lvlJc w:val="left"/>
      <w:rPr>
        <w:rFonts w:hint="eastAsia"/>
      </w:rPr>
    </w:lvl>
    <w:lvl w:ilvl="6" w:tentative="0">
      <w:start w:val="1"/>
      <w:numFmt w:val="decimal"/>
      <w:pStyle w:val="11"/>
      <w:isLgl/>
      <w:lvlText w:val="%1.%2.%3.%4.%5.%6.%7"/>
      <w:lvlJc w:val="left"/>
      <w:rPr>
        <w:rFonts w:hint="eastAsia"/>
      </w:rPr>
    </w:lvl>
    <w:lvl w:ilvl="7" w:tentative="0">
      <w:start w:val="1"/>
      <w:numFmt w:val="decimal"/>
      <w:pStyle w:val="12"/>
      <w:isLgl/>
      <w:lvlText w:val="%1.%2.%3.%4.%5.%6.%7.%8"/>
      <w:lvlJc w:val="left"/>
      <w:rPr>
        <w:rFonts w:hint="eastAsia"/>
      </w:rPr>
    </w:lvl>
    <w:lvl w:ilvl="8" w:tentative="0">
      <w:start w:val="1"/>
      <w:numFmt w:val="decimal"/>
      <w:pStyle w:val="13"/>
      <w:isLgl/>
      <w:lvlText w:val="%1.%2.%3.%4.%5.%6.%7.%8.%9"/>
      <w:lvlJc w:val="left"/>
      <w:rPr>
        <w:rFonts w:hint="eastAsia"/>
      </w:rPr>
    </w:lvl>
  </w:abstractNum>
  <w:abstractNum w:abstractNumId="4">
    <w:nsid w:val="762A79E0"/>
    <w:multiLevelType w:val="multilevel"/>
    <w:tmpl w:val="762A79E0"/>
    <w:lvl w:ilvl="0" w:tentative="0">
      <w:start w:val="1"/>
      <w:numFmt w:val="chineseCountingThousand"/>
      <w:pStyle w:val="261"/>
      <w:suff w:val="space"/>
      <w:lvlText w:val="第%1章"/>
      <w:lvlJc w:val="left"/>
      <w:pPr>
        <w:ind w:left="0" w:firstLine="0"/>
      </w:pPr>
      <w:rPr>
        <w:rFonts w:hint="eastAsia"/>
      </w:rPr>
    </w:lvl>
    <w:lvl w:ilvl="1" w:tentative="0">
      <w:start w:val="1"/>
      <w:numFmt w:val="decimal"/>
      <w:pStyle w:val="263"/>
      <w:isLgl/>
      <w:suff w:val="space"/>
      <w:lvlText w:val="%1.%2."/>
      <w:lvlJc w:val="left"/>
      <w:pPr>
        <w:ind w:left="0" w:firstLine="0"/>
      </w:pPr>
      <w:rPr>
        <w:rFonts w:hint="eastAsia"/>
      </w:rPr>
    </w:lvl>
    <w:lvl w:ilvl="2" w:tentative="0">
      <w:start w:val="1"/>
      <w:numFmt w:val="decimal"/>
      <w:pStyle w:val="265"/>
      <w:isLgl/>
      <w:lvlText w:val="%1.%2.%3."/>
      <w:lvlJc w:val="left"/>
      <w:rPr>
        <w:rFonts w:hint="eastAsia" w:ascii="Times New Roman" w:hAnsi="Times New Roman" w:cs="Times New Roman"/>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tentative="0">
      <w:start w:val="1"/>
      <w:numFmt w:val="decimal"/>
      <w:pStyle w:val="266"/>
      <w:isLg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763060DB"/>
    <w:multiLevelType w:val="multilevel"/>
    <w:tmpl w:val="763060DB"/>
    <w:lvl w:ilvl="0" w:tentative="0">
      <w:start w:val="1"/>
      <w:numFmt w:val="japaneseCounting"/>
      <w:pStyle w:val="303"/>
      <w:lvlText w:val="第%1章"/>
      <w:lvlJc w:val="left"/>
      <w:pPr>
        <w:tabs>
          <w:tab w:val="left" w:pos="1455"/>
        </w:tabs>
        <w:ind w:left="1455" w:hanging="1275"/>
      </w:pPr>
      <w:rPr>
        <w:rFonts w:hint="eastAsia" w:cs="Times New Roman"/>
      </w:rPr>
    </w:lvl>
    <w:lvl w:ilvl="1" w:tentative="0">
      <w:start w:val="1"/>
      <w:numFmt w:val="japaneseCounting"/>
      <w:lvlText w:val="%2、"/>
      <w:lvlJc w:val="left"/>
      <w:pPr>
        <w:tabs>
          <w:tab w:val="left" w:pos="1320"/>
        </w:tabs>
        <w:ind w:left="1320" w:hanging="720"/>
      </w:pPr>
      <w:rPr>
        <w:rFonts w:hint="eastAsia" w:cs="Times New Roman"/>
      </w:rPr>
    </w:lvl>
    <w:lvl w:ilvl="2" w:tentative="0">
      <w:start w:val="1"/>
      <w:numFmt w:val="lowerRoman"/>
      <w:lvlText w:val="%3."/>
      <w:lvlJc w:val="right"/>
      <w:pPr>
        <w:tabs>
          <w:tab w:val="left" w:pos="1440"/>
        </w:tabs>
        <w:ind w:left="1440" w:hanging="420"/>
      </w:pPr>
      <w:rPr>
        <w:rFonts w:cs="Times New Roman"/>
      </w:rPr>
    </w:lvl>
    <w:lvl w:ilvl="3" w:tentative="0">
      <w:start w:val="1"/>
      <w:numFmt w:val="decimal"/>
      <w:lvlText w:val="%4."/>
      <w:lvlJc w:val="left"/>
      <w:pPr>
        <w:tabs>
          <w:tab w:val="left" w:pos="1860"/>
        </w:tabs>
        <w:ind w:left="1860" w:hanging="420"/>
      </w:pPr>
      <w:rPr>
        <w:rFonts w:cs="Times New Roman"/>
      </w:rPr>
    </w:lvl>
    <w:lvl w:ilvl="4" w:tentative="0">
      <w:start w:val="1"/>
      <w:numFmt w:val="lowerLetter"/>
      <w:lvlText w:val="%5)"/>
      <w:lvlJc w:val="left"/>
      <w:pPr>
        <w:tabs>
          <w:tab w:val="left" w:pos="2280"/>
        </w:tabs>
        <w:ind w:left="2280" w:hanging="420"/>
      </w:pPr>
      <w:rPr>
        <w:rFonts w:cs="Times New Roman"/>
      </w:rPr>
    </w:lvl>
    <w:lvl w:ilvl="5" w:tentative="0">
      <w:start w:val="1"/>
      <w:numFmt w:val="lowerRoman"/>
      <w:lvlText w:val="%6."/>
      <w:lvlJc w:val="right"/>
      <w:pPr>
        <w:tabs>
          <w:tab w:val="left" w:pos="2700"/>
        </w:tabs>
        <w:ind w:left="2700" w:hanging="420"/>
      </w:pPr>
      <w:rPr>
        <w:rFonts w:cs="Times New Roman"/>
      </w:rPr>
    </w:lvl>
    <w:lvl w:ilvl="6" w:tentative="0">
      <w:start w:val="1"/>
      <w:numFmt w:val="decimal"/>
      <w:lvlText w:val="%7."/>
      <w:lvlJc w:val="left"/>
      <w:pPr>
        <w:tabs>
          <w:tab w:val="left" w:pos="3120"/>
        </w:tabs>
        <w:ind w:left="3120" w:hanging="420"/>
      </w:pPr>
      <w:rPr>
        <w:rFonts w:cs="Times New Roman"/>
      </w:rPr>
    </w:lvl>
    <w:lvl w:ilvl="7" w:tentative="0">
      <w:start w:val="1"/>
      <w:numFmt w:val="lowerLetter"/>
      <w:lvlText w:val="%8)"/>
      <w:lvlJc w:val="left"/>
      <w:pPr>
        <w:tabs>
          <w:tab w:val="left" w:pos="3540"/>
        </w:tabs>
        <w:ind w:left="3540" w:hanging="420"/>
      </w:pPr>
      <w:rPr>
        <w:rFonts w:cs="Times New Roman"/>
      </w:rPr>
    </w:lvl>
    <w:lvl w:ilvl="8" w:tentative="0">
      <w:start w:val="1"/>
      <w:numFmt w:val="lowerRoman"/>
      <w:lvlText w:val="%9."/>
      <w:lvlJc w:val="right"/>
      <w:pPr>
        <w:tabs>
          <w:tab w:val="left" w:pos="3960"/>
        </w:tabs>
        <w:ind w:left="3960" w:hanging="420"/>
      </w:pPr>
      <w:rPr>
        <w:rFonts w:cs="Times New Roman"/>
      </w:rPr>
    </w:lvl>
  </w:abstractNum>
  <w:num w:numId="1">
    <w:abstractNumId w:val="3"/>
  </w:num>
  <w:num w:numId="2">
    <w:abstractNumId w:val="4"/>
  </w:num>
  <w:num w:numId="3">
    <w:abstractNumId w:val="5"/>
    <w:lvlOverride w:ilvl="0">
      <w:startOverride w:val="1"/>
    </w:lvlOverride>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0ZmU1NGNlMmFkODM1ZjY1ZGMzNTFmY2UwNzIzZDEifQ=="/>
  </w:docVars>
  <w:rsids>
    <w:rsidRoot w:val="007706A5"/>
    <w:rsid w:val="000000D1"/>
    <w:rsid w:val="000002A2"/>
    <w:rsid w:val="00000340"/>
    <w:rsid w:val="000006C3"/>
    <w:rsid w:val="00000D4F"/>
    <w:rsid w:val="00000DCA"/>
    <w:rsid w:val="0000135A"/>
    <w:rsid w:val="000018F0"/>
    <w:rsid w:val="0000191A"/>
    <w:rsid w:val="00001AEE"/>
    <w:rsid w:val="00001C58"/>
    <w:rsid w:val="00001E53"/>
    <w:rsid w:val="000020C7"/>
    <w:rsid w:val="0000210D"/>
    <w:rsid w:val="0000211C"/>
    <w:rsid w:val="00002191"/>
    <w:rsid w:val="000022B1"/>
    <w:rsid w:val="000025F1"/>
    <w:rsid w:val="0000277E"/>
    <w:rsid w:val="00002B8F"/>
    <w:rsid w:val="00002BBE"/>
    <w:rsid w:val="00003094"/>
    <w:rsid w:val="000034C3"/>
    <w:rsid w:val="00004B38"/>
    <w:rsid w:val="00004CC2"/>
    <w:rsid w:val="00004FF1"/>
    <w:rsid w:val="000056BA"/>
    <w:rsid w:val="000059AB"/>
    <w:rsid w:val="000059C9"/>
    <w:rsid w:val="000060A9"/>
    <w:rsid w:val="00006A51"/>
    <w:rsid w:val="00006AE1"/>
    <w:rsid w:val="000071E6"/>
    <w:rsid w:val="00007291"/>
    <w:rsid w:val="000077A5"/>
    <w:rsid w:val="00007A56"/>
    <w:rsid w:val="00010555"/>
    <w:rsid w:val="00010DAC"/>
    <w:rsid w:val="00010E41"/>
    <w:rsid w:val="00011286"/>
    <w:rsid w:val="000115EC"/>
    <w:rsid w:val="0001172B"/>
    <w:rsid w:val="0001266B"/>
    <w:rsid w:val="00012B66"/>
    <w:rsid w:val="00013496"/>
    <w:rsid w:val="00013AA1"/>
    <w:rsid w:val="00013AB2"/>
    <w:rsid w:val="00013D8D"/>
    <w:rsid w:val="00013E3C"/>
    <w:rsid w:val="00013EC1"/>
    <w:rsid w:val="000147F2"/>
    <w:rsid w:val="00016060"/>
    <w:rsid w:val="0001611A"/>
    <w:rsid w:val="00016430"/>
    <w:rsid w:val="0001652B"/>
    <w:rsid w:val="00016759"/>
    <w:rsid w:val="00016FC5"/>
    <w:rsid w:val="00017153"/>
    <w:rsid w:val="000172BC"/>
    <w:rsid w:val="0001770D"/>
    <w:rsid w:val="00017B58"/>
    <w:rsid w:val="00020546"/>
    <w:rsid w:val="00020694"/>
    <w:rsid w:val="000209DD"/>
    <w:rsid w:val="000209DF"/>
    <w:rsid w:val="00020C08"/>
    <w:rsid w:val="00020FDC"/>
    <w:rsid w:val="00021008"/>
    <w:rsid w:val="000214FC"/>
    <w:rsid w:val="0002173B"/>
    <w:rsid w:val="00021D0C"/>
    <w:rsid w:val="0002231B"/>
    <w:rsid w:val="00022470"/>
    <w:rsid w:val="00022478"/>
    <w:rsid w:val="0002272E"/>
    <w:rsid w:val="00022E02"/>
    <w:rsid w:val="00023147"/>
    <w:rsid w:val="00023774"/>
    <w:rsid w:val="000239A1"/>
    <w:rsid w:val="00023DC7"/>
    <w:rsid w:val="00023DF1"/>
    <w:rsid w:val="00023E04"/>
    <w:rsid w:val="00024FA5"/>
    <w:rsid w:val="000258E6"/>
    <w:rsid w:val="0002611F"/>
    <w:rsid w:val="0002628D"/>
    <w:rsid w:val="00026BC1"/>
    <w:rsid w:val="00026F23"/>
    <w:rsid w:val="00026F9E"/>
    <w:rsid w:val="00027140"/>
    <w:rsid w:val="00027465"/>
    <w:rsid w:val="00027623"/>
    <w:rsid w:val="000277B1"/>
    <w:rsid w:val="00027E31"/>
    <w:rsid w:val="00030010"/>
    <w:rsid w:val="00030029"/>
    <w:rsid w:val="0003004A"/>
    <w:rsid w:val="00030527"/>
    <w:rsid w:val="00031018"/>
    <w:rsid w:val="00031164"/>
    <w:rsid w:val="0003188C"/>
    <w:rsid w:val="0003194B"/>
    <w:rsid w:val="00031987"/>
    <w:rsid w:val="00031997"/>
    <w:rsid w:val="000319DA"/>
    <w:rsid w:val="00031C2E"/>
    <w:rsid w:val="0003219E"/>
    <w:rsid w:val="00032B05"/>
    <w:rsid w:val="00032B28"/>
    <w:rsid w:val="000339F7"/>
    <w:rsid w:val="00033B46"/>
    <w:rsid w:val="00033CA6"/>
    <w:rsid w:val="00034021"/>
    <w:rsid w:val="00034EA7"/>
    <w:rsid w:val="00035005"/>
    <w:rsid w:val="000352EC"/>
    <w:rsid w:val="0003568B"/>
    <w:rsid w:val="0003613C"/>
    <w:rsid w:val="00036568"/>
    <w:rsid w:val="000366E3"/>
    <w:rsid w:val="00037345"/>
    <w:rsid w:val="000377F6"/>
    <w:rsid w:val="0003788B"/>
    <w:rsid w:val="000379B8"/>
    <w:rsid w:val="00037F12"/>
    <w:rsid w:val="00040139"/>
    <w:rsid w:val="000401F4"/>
    <w:rsid w:val="00040A37"/>
    <w:rsid w:val="00041488"/>
    <w:rsid w:val="00041B03"/>
    <w:rsid w:val="00041BFA"/>
    <w:rsid w:val="00041F08"/>
    <w:rsid w:val="00042172"/>
    <w:rsid w:val="000422F1"/>
    <w:rsid w:val="00042506"/>
    <w:rsid w:val="0004252B"/>
    <w:rsid w:val="000428D7"/>
    <w:rsid w:val="00042FD0"/>
    <w:rsid w:val="00043C84"/>
    <w:rsid w:val="00044A91"/>
    <w:rsid w:val="00044BF9"/>
    <w:rsid w:val="00044F2F"/>
    <w:rsid w:val="00045AFA"/>
    <w:rsid w:val="00046007"/>
    <w:rsid w:val="00046DFA"/>
    <w:rsid w:val="000470B3"/>
    <w:rsid w:val="000471B0"/>
    <w:rsid w:val="00047702"/>
    <w:rsid w:val="0005032D"/>
    <w:rsid w:val="000504A5"/>
    <w:rsid w:val="00050722"/>
    <w:rsid w:val="0005082A"/>
    <w:rsid w:val="000512D9"/>
    <w:rsid w:val="00051646"/>
    <w:rsid w:val="00051BCC"/>
    <w:rsid w:val="00051D69"/>
    <w:rsid w:val="00051F67"/>
    <w:rsid w:val="0005217D"/>
    <w:rsid w:val="00052223"/>
    <w:rsid w:val="000522D9"/>
    <w:rsid w:val="00052444"/>
    <w:rsid w:val="000529BF"/>
    <w:rsid w:val="00052FE3"/>
    <w:rsid w:val="000537E7"/>
    <w:rsid w:val="00053CBC"/>
    <w:rsid w:val="00054070"/>
    <w:rsid w:val="0005431E"/>
    <w:rsid w:val="00054EC2"/>
    <w:rsid w:val="00054F75"/>
    <w:rsid w:val="0005501E"/>
    <w:rsid w:val="0005526B"/>
    <w:rsid w:val="000556E1"/>
    <w:rsid w:val="00055770"/>
    <w:rsid w:val="00055D0A"/>
    <w:rsid w:val="0005678F"/>
    <w:rsid w:val="00056DB9"/>
    <w:rsid w:val="00056E9A"/>
    <w:rsid w:val="00056F29"/>
    <w:rsid w:val="00056FA5"/>
    <w:rsid w:val="000579F2"/>
    <w:rsid w:val="00057BDA"/>
    <w:rsid w:val="00057C66"/>
    <w:rsid w:val="00060357"/>
    <w:rsid w:val="0006094A"/>
    <w:rsid w:val="00060A26"/>
    <w:rsid w:val="0006137D"/>
    <w:rsid w:val="000614D3"/>
    <w:rsid w:val="00061705"/>
    <w:rsid w:val="00061DDD"/>
    <w:rsid w:val="000621A8"/>
    <w:rsid w:val="00063B88"/>
    <w:rsid w:val="00063DA9"/>
    <w:rsid w:val="00064897"/>
    <w:rsid w:val="00064B0B"/>
    <w:rsid w:val="0006534E"/>
    <w:rsid w:val="000656B7"/>
    <w:rsid w:val="0006585F"/>
    <w:rsid w:val="00065932"/>
    <w:rsid w:val="00065ADF"/>
    <w:rsid w:val="00065BDA"/>
    <w:rsid w:val="000669FB"/>
    <w:rsid w:val="00067099"/>
    <w:rsid w:val="00067212"/>
    <w:rsid w:val="00067333"/>
    <w:rsid w:val="0006776B"/>
    <w:rsid w:val="00067F5F"/>
    <w:rsid w:val="00070199"/>
    <w:rsid w:val="00070801"/>
    <w:rsid w:val="0007096D"/>
    <w:rsid w:val="00070B65"/>
    <w:rsid w:val="00071901"/>
    <w:rsid w:val="00071A99"/>
    <w:rsid w:val="00071F17"/>
    <w:rsid w:val="00072BA1"/>
    <w:rsid w:val="00072D2C"/>
    <w:rsid w:val="00072D2E"/>
    <w:rsid w:val="00073031"/>
    <w:rsid w:val="00073BC5"/>
    <w:rsid w:val="00074094"/>
    <w:rsid w:val="000743ED"/>
    <w:rsid w:val="000744EA"/>
    <w:rsid w:val="00074586"/>
    <w:rsid w:val="00074682"/>
    <w:rsid w:val="00074B32"/>
    <w:rsid w:val="00075DD1"/>
    <w:rsid w:val="00075F06"/>
    <w:rsid w:val="00076B4A"/>
    <w:rsid w:val="00077966"/>
    <w:rsid w:val="00077DFF"/>
    <w:rsid w:val="00077E69"/>
    <w:rsid w:val="00080056"/>
    <w:rsid w:val="000800BF"/>
    <w:rsid w:val="000802AD"/>
    <w:rsid w:val="00080567"/>
    <w:rsid w:val="00081768"/>
    <w:rsid w:val="0008229D"/>
    <w:rsid w:val="000829AA"/>
    <w:rsid w:val="000829AE"/>
    <w:rsid w:val="00082D59"/>
    <w:rsid w:val="000834A4"/>
    <w:rsid w:val="0008365F"/>
    <w:rsid w:val="000838F4"/>
    <w:rsid w:val="0008392A"/>
    <w:rsid w:val="00083A59"/>
    <w:rsid w:val="00084863"/>
    <w:rsid w:val="000849AC"/>
    <w:rsid w:val="000849AF"/>
    <w:rsid w:val="00084EA2"/>
    <w:rsid w:val="000857BE"/>
    <w:rsid w:val="000860C3"/>
    <w:rsid w:val="000862D7"/>
    <w:rsid w:val="00086BF9"/>
    <w:rsid w:val="00086DF1"/>
    <w:rsid w:val="00086E50"/>
    <w:rsid w:val="00086FE5"/>
    <w:rsid w:val="0008719C"/>
    <w:rsid w:val="000871BC"/>
    <w:rsid w:val="00087D00"/>
    <w:rsid w:val="0009033F"/>
    <w:rsid w:val="00090353"/>
    <w:rsid w:val="00090906"/>
    <w:rsid w:val="00090939"/>
    <w:rsid w:val="00090EB3"/>
    <w:rsid w:val="00091CF0"/>
    <w:rsid w:val="000927D1"/>
    <w:rsid w:val="00092858"/>
    <w:rsid w:val="000929C0"/>
    <w:rsid w:val="00092CBE"/>
    <w:rsid w:val="00092DAD"/>
    <w:rsid w:val="00092E33"/>
    <w:rsid w:val="00093561"/>
    <w:rsid w:val="0009361E"/>
    <w:rsid w:val="0009467F"/>
    <w:rsid w:val="0009491B"/>
    <w:rsid w:val="00094BF1"/>
    <w:rsid w:val="00094E44"/>
    <w:rsid w:val="00094ED7"/>
    <w:rsid w:val="00095285"/>
    <w:rsid w:val="000956CF"/>
    <w:rsid w:val="00095EEF"/>
    <w:rsid w:val="0009627B"/>
    <w:rsid w:val="000963A0"/>
    <w:rsid w:val="00096A58"/>
    <w:rsid w:val="00097712"/>
    <w:rsid w:val="00097914"/>
    <w:rsid w:val="000979B7"/>
    <w:rsid w:val="00097CC2"/>
    <w:rsid w:val="00097E48"/>
    <w:rsid w:val="000A01B3"/>
    <w:rsid w:val="000A062B"/>
    <w:rsid w:val="000A0F96"/>
    <w:rsid w:val="000A11CC"/>
    <w:rsid w:val="000A13D3"/>
    <w:rsid w:val="000A1537"/>
    <w:rsid w:val="000A17F0"/>
    <w:rsid w:val="000A1EF1"/>
    <w:rsid w:val="000A1EF5"/>
    <w:rsid w:val="000A2196"/>
    <w:rsid w:val="000A22C1"/>
    <w:rsid w:val="000A2595"/>
    <w:rsid w:val="000A282E"/>
    <w:rsid w:val="000A374D"/>
    <w:rsid w:val="000A3B2C"/>
    <w:rsid w:val="000A458D"/>
    <w:rsid w:val="000A48F4"/>
    <w:rsid w:val="000A4E54"/>
    <w:rsid w:val="000A53E7"/>
    <w:rsid w:val="000A555B"/>
    <w:rsid w:val="000A5803"/>
    <w:rsid w:val="000A5D1A"/>
    <w:rsid w:val="000A5EC7"/>
    <w:rsid w:val="000A5ED4"/>
    <w:rsid w:val="000A62F2"/>
    <w:rsid w:val="000A6B19"/>
    <w:rsid w:val="000A7109"/>
    <w:rsid w:val="000A71AC"/>
    <w:rsid w:val="000A7272"/>
    <w:rsid w:val="000A7D5B"/>
    <w:rsid w:val="000B02A5"/>
    <w:rsid w:val="000B0514"/>
    <w:rsid w:val="000B0692"/>
    <w:rsid w:val="000B0F89"/>
    <w:rsid w:val="000B1454"/>
    <w:rsid w:val="000B1AD5"/>
    <w:rsid w:val="000B2314"/>
    <w:rsid w:val="000B289B"/>
    <w:rsid w:val="000B296D"/>
    <w:rsid w:val="000B298B"/>
    <w:rsid w:val="000B2B6D"/>
    <w:rsid w:val="000B34F0"/>
    <w:rsid w:val="000B350F"/>
    <w:rsid w:val="000B3668"/>
    <w:rsid w:val="000B3E38"/>
    <w:rsid w:val="000B41DE"/>
    <w:rsid w:val="000B4283"/>
    <w:rsid w:val="000B45A1"/>
    <w:rsid w:val="000B4807"/>
    <w:rsid w:val="000B4F21"/>
    <w:rsid w:val="000B5599"/>
    <w:rsid w:val="000B5D4A"/>
    <w:rsid w:val="000B6150"/>
    <w:rsid w:val="000B6D06"/>
    <w:rsid w:val="000B6F53"/>
    <w:rsid w:val="000B729C"/>
    <w:rsid w:val="000B73D4"/>
    <w:rsid w:val="000B7915"/>
    <w:rsid w:val="000C00F8"/>
    <w:rsid w:val="000C023C"/>
    <w:rsid w:val="000C03B9"/>
    <w:rsid w:val="000C058A"/>
    <w:rsid w:val="000C0651"/>
    <w:rsid w:val="000C0B43"/>
    <w:rsid w:val="000C116D"/>
    <w:rsid w:val="000C12AF"/>
    <w:rsid w:val="000C14AB"/>
    <w:rsid w:val="000C2151"/>
    <w:rsid w:val="000C264D"/>
    <w:rsid w:val="000C2DA5"/>
    <w:rsid w:val="000C2F06"/>
    <w:rsid w:val="000C2FBE"/>
    <w:rsid w:val="000C31AB"/>
    <w:rsid w:val="000C3624"/>
    <w:rsid w:val="000C36B9"/>
    <w:rsid w:val="000C3D07"/>
    <w:rsid w:val="000C3FFB"/>
    <w:rsid w:val="000C410C"/>
    <w:rsid w:val="000C4147"/>
    <w:rsid w:val="000C427E"/>
    <w:rsid w:val="000C49E2"/>
    <w:rsid w:val="000C4C0B"/>
    <w:rsid w:val="000C5BA4"/>
    <w:rsid w:val="000C6028"/>
    <w:rsid w:val="000C61CB"/>
    <w:rsid w:val="000C66BE"/>
    <w:rsid w:val="000C6DCD"/>
    <w:rsid w:val="000C7237"/>
    <w:rsid w:val="000C72E2"/>
    <w:rsid w:val="000C7B74"/>
    <w:rsid w:val="000D022F"/>
    <w:rsid w:val="000D07D1"/>
    <w:rsid w:val="000D134D"/>
    <w:rsid w:val="000D13F5"/>
    <w:rsid w:val="000D18A3"/>
    <w:rsid w:val="000D2726"/>
    <w:rsid w:val="000D2790"/>
    <w:rsid w:val="000D2907"/>
    <w:rsid w:val="000D311D"/>
    <w:rsid w:val="000D4867"/>
    <w:rsid w:val="000D4A39"/>
    <w:rsid w:val="000D4CF1"/>
    <w:rsid w:val="000D50BC"/>
    <w:rsid w:val="000D5631"/>
    <w:rsid w:val="000D5C55"/>
    <w:rsid w:val="000D5D1D"/>
    <w:rsid w:val="000D5F10"/>
    <w:rsid w:val="000D64F7"/>
    <w:rsid w:val="000D6AE5"/>
    <w:rsid w:val="000D6EB9"/>
    <w:rsid w:val="000D6F4F"/>
    <w:rsid w:val="000D7988"/>
    <w:rsid w:val="000D7DF4"/>
    <w:rsid w:val="000E080F"/>
    <w:rsid w:val="000E10BD"/>
    <w:rsid w:val="000E13A3"/>
    <w:rsid w:val="000E1919"/>
    <w:rsid w:val="000E19A7"/>
    <w:rsid w:val="000E1BB5"/>
    <w:rsid w:val="000E1CBB"/>
    <w:rsid w:val="000E2319"/>
    <w:rsid w:val="000E28F6"/>
    <w:rsid w:val="000E2A9C"/>
    <w:rsid w:val="000E2F07"/>
    <w:rsid w:val="000E32FB"/>
    <w:rsid w:val="000E3467"/>
    <w:rsid w:val="000E38A6"/>
    <w:rsid w:val="000E3A69"/>
    <w:rsid w:val="000E3E1F"/>
    <w:rsid w:val="000E3EBB"/>
    <w:rsid w:val="000E3EF9"/>
    <w:rsid w:val="000E43EA"/>
    <w:rsid w:val="000E4640"/>
    <w:rsid w:val="000E5664"/>
    <w:rsid w:val="000E5F83"/>
    <w:rsid w:val="000E5FB0"/>
    <w:rsid w:val="000E6B0D"/>
    <w:rsid w:val="000E6C65"/>
    <w:rsid w:val="000E7413"/>
    <w:rsid w:val="000E79B4"/>
    <w:rsid w:val="000E7AEE"/>
    <w:rsid w:val="000E7F9B"/>
    <w:rsid w:val="000F0BBD"/>
    <w:rsid w:val="000F0E24"/>
    <w:rsid w:val="000F1085"/>
    <w:rsid w:val="000F1C74"/>
    <w:rsid w:val="000F1D40"/>
    <w:rsid w:val="000F1D96"/>
    <w:rsid w:val="000F2830"/>
    <w:rsid w:val="000F2CFE"/>
    <w:rsid w:val="000F337D"/>
    <w:rsid w:val="000F3F3F"/>
    <w:rsid w:val="000F4916"/>
    <w:rsid w:val="000F526E"/>
    <w:rsid w:val="000F5571"/>
    <w:rsid w:val="000F5E48"/>
    <w:rsid w:val="000F5F06"/>
    <w:rsid w:val="000F65B7"/>
    <w:rsid w:val="000F65F9"/>
    <w:rsid w:val="000F661C"/>
    <w:rsid w:val="000F728D"/>
    <w:rsid w:val="000F7306"/>
    <w:rsid w:val="000F73D1"/>
    <w:rsid w:val="000F7A54"/>
    <w:rsid w:val="000F7CBC"/>
    <w:rsid w:val="00101A17"/>
    <w:rsid w:val="00101ADC"/>
    <w:rsid w:val="00101DD0"/>
    <w:rsid w:val="00101E0D"/>
    <w:rsid w:val="00102505"/>
    <w:rsid w:val="001025AB"/>
    <w:rsid w:val="001028D9"/>
    <w:rsid w:val="0010336D"/>
    <w:rsid w:val="001034FE"/>
    <w:rsid w:val="00103B2E"/>
    <w:rsid w:val="00103B4E"/>
    <w:rsid w:val="00103EFE"/>
    <w:rsid w:val="001042F9"/>
    <w:rsid w:val="00104A86"/>
    <w:rsid w:val="00104D94"/>
    <w:rsid w:val="00105129"/>
    <w:rsid w:val="00105267"/>
    <w:rsid w:val="0010605E"/>
    <w:rsid w:val="00106316"/>
    <w:rsid w:val="00106C62"/>
    <w:rsid w:val="00110C02"/>
    <w:rsid w:val="00110DDE"/>
    <w:rsid w:val="001110FB"/>
    <w:rsid w:val="00111632"/>
    <w:rsid w:val="00111663"/>
    <w:rsid w:val="0011179A"/>
    <w:rsid w:val="001122F7"/>
    <w:rsid w:val="00112331"/>
    <w:rsid w:val="00112610"/>
    <w:rsid w:val="00112A92"/>
    <w:rsid w:val="0011302E"/>
    <w:rsid w:val="00113256"/>
    <w:rsid w:val="00113257"/>
    <w:rsid w:val="001133A4"/>
    <w:rsid w:val="00113454"/>
    <w:rsid w:val="00113DAD"/>
    <w:rsid w:val="00114218"/>
    <w:rsid w:val="00114324"/>
    <w:rsid w:val="00114EE8"/>
    <w:rsid w:val="001153D2"/>
    <w:rsid w:val="00115675"/>
    <w:rsid w:val="00115684"/>
    <w:rsid w:val="001157F1"/>
    <w:rsid w:val="00115A2C"/>
    <w:rsid w:val="001165E5"/>
    <w:rsid w:val="00116A16"/>
    <w:rsid w:val="00117415"/>
    <w:rsid w:val="001174B5"/>
    <w:rsid w:val="00117A1E"/>
    <w:rsid w:val="0012006F"/>
    <w:rsid w:val="0012087B"/>
    <w:rsid w:val="0012113F"/>
    <w:rsid w:val="001213E2"/>
    <w:rsid w:val="0012145E"/>
    <w:rsid w:val="0012191D"/>
    <w:rsid w:val="00122889"/>
    <w:rsid w:val="00122934"/>
    <w:rsid w:val="0012341D"/>
    <w:rsid w:val="00123770"/>
    <w:rsid w:val="00123FE5"/>
    <w:rsid w:val="0012436B"/>
    <w:rsid w:val="00124652"/>
    <w:rsid w:val="001249BA"/>
    <w:rsid w:val="00124E0A"/>
    <w:rsid w:val="001252B5"/>
    <w:rsid w:val="00125932"/>
    <w:rsid w:val="00125D29"/>
    <w:rsid w:val="00126231"/>
    <w:rsid w:val="00126DE1"/>
    <w:rsid w:val="00126FCB"/>
    <w:rsid w:val="00127230"/>
    <w:rsid w:val="00127449"/>
    <w:rsid w:val="00127B05"/>
    <w:rsid w:val="00127DC2"/>
    <w:rsid w:val="00130534"/>
    <w:rsid w:val="00130B16"/>
    <w:rsid w:val="00130ED0"/>
    <w:rsid w:val="001310CD"/>
    <w:rsid w:val="00131901"/>
    <w:rsid w:val="00131A38"/>
    <w:rsid w:val="00131BCA"/>
    <w:rsid w:val="00132695"/>
    <w:rsid w:val="001327F8"/>
    <w:rsid w:val="001328AC"/>
    <w:rsid w:val="001333CA"/>
    <w:rsid w:val="001335B7"/>
    <w:rsid w:val="00133652"/>
    <w:rsid w:val="00133C59"/>
    <w:rsid w:val="001346C0"/>
    <w:rsid w:val="001349D3"/>
    <w:rsid w:val="00134F5D"/>
    <w:rsid w:val="00134F8A"/>
    <w:rsid w:val="001356E9"/>
    <w:rsid w:val="00135A0B"/>
    <w:rsid w:val="00135C76"/>
    <w:rsid w:val="00135CC8"/>
    <w:rsid w:val="00135F78"/>
    <w:rsid w:val="00135FC4"/>
    <w:rsid w:val="00136219"/>
    <w:rsid w:val="00136873"/>
    <w:rsid w:val="00136BC7"/>
    <w:rsid w:val="00137279"/>
    <w:rsid w:val="00137434"/>
    <w:rsid w:val="00137581"/>
    <w:rsid w:val="0013769A"/>
    <w:rsid w:val="0013788C"/>
    <w:rsid w:val="00137CD2"/>
    <w:rsid w:val="001405B3"/>
    <w:rsid w:val="001409FE"/>
    <w:rsid w:val="00140F8E"/>
    <w:rsid w:val="0014154B"/>
    <w:rsid w:val="001415D3"/>
    <w:rsid w:val="001418EA"/>
    <w:rsid w:val="00141D98"/>
    <w:rsid w:val="00142477"/>
    <w:rsid w:val="001426FA"/>
    <w:rsid w:val="001436A3"/>
    <w:rsid w:val="001436B8"/>
    <w:rsid w:val="00143B64"/>
    <w:rsid w:val="00143C11"/>
    <w:rsid w:val="00143FC3"/>
    <w:rsid w:val="001444C0"/>
    <w:rsid w:val="00144812"/>
    <w:rsid w:val="00144E73"/>
    <w:rsid w:val="001457E6"/>
    <w:rsid w:val="00145937"/>
    <w:rsid w:val="00146370"/>
    <w:rsid w:val="0014659B"/>
    <w:rsid w:val="00146E75"/>
    <w:rsid w:val="0014772C"/>
    <w:rsid w:val="00147BAD"/>
    <w:rsid w:val="00147BB4"/>
    <w:rsid w:val="00150086"/>
    <w:rsid w:val="001500F8"/>
    <w:rsid w:val="00150124"/>
    <w:rsid w:val="0015031F"/>
    <w:rsid w:val="00150728"/>
    <w:rsid w:val="00150835"/>
    <w:rsid w:val="00150EBE"/>
    <w:rsid w:val="00150F33"/>
    <w:rsid w:val="00151519"/>
    <w:rsid w:val="00151564"/>
    <w:rsid w:val="0015185A"/>
    <w:rsid w:val="00151B14"/>
    <w:rsid w:val="0015246F"/>
    <w:rsid w:val="00152D50"/>
    <w:rsid w:val="00152EAB"/>
    <w:rsid w:val="001534AF"/>
    <w:rsid w:val="001536C6"/>
    <w:rsid w:val="00153CF2"/>
    <w:rsid w:val="001548A6"/>
    <w:rsid w:val="00154A9B"/>
    <w:rsid w:val="00155062"/>
    <w:rsid w:val="00155067"/>
    <w:rsid w:val="001556C6"/>
    <w:rsid w:val="001558D7"/>
    <w:rsid w:val="00155995"/>
    <w:rsid w:val="00155A78"/>
    <w:rsid w:val="00155DA2"/>
    <w:rsid w:val="00155E9F"/>
    <w:rsid w:val="00156279"/>
    <w:rsid w:val="00157EA4"/>
    <w:rsid w:val="00160139"/>
    <w:rsid w:val="00160615"/>
    <w:rsid w:val="001607BB"/>
    <w:rsid w:val="001608F6"/>
    <w:rsid w:val="00160A35"/>
    <w:rsid w:val="00160C7C"/>
    <w:rsid w:val="00161F43"/>
    <w:rsid w:val="001625A1"/>
    <w:rsid w:val="001626E2"/>
    <w:rsid w:val="00162977"/>
    <w:rsid w:val="00162BC7"/>
    <w:rsid w:val="00162CC6"/>
    <w:rsid w:val="00162D09"/>
    <w:rsid w:val="00163D4C"/>
    <w:rsid w:val="00164022"/>
    <w:rsid w:val="00165379"/>
    <w:rsid w:val="00166065"/>
    <w:rsid w:val="00166616"/>
    <w:rsid w:val="00166A27"/>
    <w:rsid w:val="00166ECA"/>
    <w:rsid w:val="00166F0D"/>
    <w:rsid w:val="00167159"/>
    <w:rsid w:val="001676C8"/>
    <w:rsid w:val="00167780"/>
    <w:rsid w:val="0017036E"/>
    <w:rsid w:val="00170712"/>
    <w:rsid w:val="00170926"/>
    <w:rsid w:val="00170A76"/>
    <w:rsid w:val="0017115A"/>
    <w:rsid w:val="001719FF"/>
    <w:rsid w:val="00171A9B"/>
    <w:rsid w:val="00171D95"/>
    <w:rsid w:val="001726EC"/>
    <w:rsid w:val="00172A1E"/>
    <w:rsid w:val="00172EA3"/>
    <w:rsid w:val="001732D9"/>
    <w:rsid w:val="00173C45"/>
    <w:rsid w:val="00173CC1"/>
    <w:rsid w:val="00173F6A"/>
    <w:rsid w:val="00174832"/>
    <w:rsid w:val="00174BB3"/>
    <w:rsid w:val="00174DC9"/>
    <w:rsid w:val="001752F1"/>
    <w:rsid w:val="001759DE"/>
    <w:rsid w:val="001761FE"/>
    <w:rsid w:val="0017679C"/>
    <w:rsid w:val="00176916"/>
    <w:rsid w:val="00176970"/>
    <w:rsid w:val="00177E06"/>
    <w:rsid w:val="0018010F"/>
    <w:rsid w:val="00180226"/>
    <w:rsid w:val="001804BC"/>
    <w:rsid w:val="001806FF"/>
    <w:rsid w:val="001809AD"/>
    <w:rsid w:val="00181066"/>
    <w:rsid w:val="00181308"/>
    <w:rsid w:val="00181A3D"/>
    <w:rsid w:val="00181B0B"/>
    <w:rsid w:val="00181F16"/>
    <w:rsid w:val="0018264C"/>
    <w:rsid w:val="00182760"/>
    <w:rsid w:val="00182B9B"/>
    <w:rsid w:val="00183074"/>
    <w:rsid w:val="0018498C"/>
    <w:rsid w:val="00184C14"/>
    <w:rsid w:val="00184D4D"/>
    <w:rsid w:val="001857AE"/>
    <w:rsid w:val="0018581A"/>
    <w:rsid w:val="00186170"/>
    <w:rsid w:val="001864FB"/>
    <w:rsid w:val="00186CB8"/>
    <w:rsid w:val="001871E5"/>
    <w:rsid w:val="00187E5D"/>
    <w:rsid w:val="001904E6"/>
    <w:rsid w:val="001906B2"/>
    <w:rsid w:val="00190B0C"/>
    <w:rsid w:val="00190C05"/>
    <w:rsid w:val="00190CD0"/>
    <w:rsid w:val="00190FC5"/>
    <w:rsid w:val="0019156B"/>
    <w:rsid w:val="0019161B"/>
    <w:rsid w:val="00191832"/>
    <w:rsid w:val="001918A0"/>
    <w:rsid w:val="00191946"/>
    <w:rsid w:val="00191B21"/>
    <w:rsid w:val="00191EA2"/>
    <w:rsid w:val="001920FF"/>
    <w:rsid w:val="00192367"/>
    <w:rsid w:val="00192711"/>
    <w:rsid w:val="00193292"/>
    <w:rsid w:val="00193906"/>
    <w:rsid w:val="001945BC"/>
    <w:rsid w:val="00194ADD"/>
    <w:rsid w:val="001959C8"/>
    <w:rsid w:val="00195DFA"/>
    <w:rsid w:val="00196246"/>
    <w:rsid w:val="001966F5"/>
    <w:rsid w:val="00196C84"/>
    <w:rsid w:val="00196E85"/>
    <w:rsid w:val="00196EC4"/>
    <w:rsid w:val="00197367"/>
    <w:rsid w:val="00197565"/>
    <w:rsid w:val="001976AB"/>
    <w:rsid w:val="001A000B"/>
    <w:rsid w:val="001A07B0"/>
    <w:rsid w:val="001A0E37"/>
    <w:rsid w:val="001A11F8"/>
    <w:rsid w:val="001A135D"/>
    <w:rsid w:val="001A1C07"/>
    <w:rsid w:val="001A1DCF"/>
    <w:rsid w:val="001A2321"/>
    <w:rsid w:val="001A23A2"/>
    <w:rsid w:val="001A2761"/>
    <w:rsid w:val="001A2943"/>
    <w:rsid w:val="001A29FC"/>
    <w:rsid w:val="001A2AF5"/>
    <w:rsid w:val="001A36A1"/>
    <w:rsid w:val="001A39FB"/>
    <w:rsid w:val="001A3FB5"/>
    <w:rsid w:val="001A4080"/>
    <w:rsid w:val="001A4245"/>
    <w:rsid w:val="001A508B"/>
    <w:rsid w:val="001A550B"/>
    <w:rsid w:val="001A55EC"/>
    <w:rsid w:val="001A57B6"/>
    <w:rsid w:val="001A5D7E"/>
    <w:rsid w:val="001A6490"/>
    <w:rsid w:val="001A6889"/>
    <w:rsid w:val="001A6A12"/>
    <w:rsid w:val="001A71F0"/>
    <w:rsid w:val="001A7444"/>
    <w:rsid w:val="001A76C0"/>
    <w:rsid w:val="001A7B16"/>
    <w:rsid w:val="001B00A4"/>
    <w:rsid w:val="001B06B2"/>
    <w:rsid w:val="001B083D"/>
    <w:rsid w:val="001B09AF"/>
    <w:rsid w:val="001B0F6D"/>
    <w:rsid w:val="001B13E1"/>
    <w:rsid w:val="001B20FE"/>
    <w:rsid w:val="001B22E5"/>
    <w:rsid w:val="001B2AE0"/>
    <w:rsid w:val="001B2D6D"/>
    <w:rsid w:val="001B398E"/>
    <w:rsid w:val="001B3C7D"/>
    <w:rsid w:val="001B3F56"/>
    <w:rsid w:val="001B403C"/>
    <w:rsid w:val="001B4171"/>
    <w:rsid w:val="001B462E"/>
    <w:rsid w:val="001B4735"/>
    <w:rsid w:val="001B4A93"/>
    <w:rsid w:val="001B4D6F"/>
    <w:rsid w:val="001B510D"/>
    <w:rsid w:val="001B51BA"/>
    <w:rsid w:val="001B5F3E"/>
    <w:rsid w:val="001B64B4"/>
    <w:rsid w:val="001B6980"/>
    <w:rsid w:val="001B6D8D"/>
    <w:rsid w:val="001B6F81"/>
    <w:rsid w:val="001B72F5"/>
    <w:rsid w:val="001B75B0"/>
    <w:rsid w:val="001B779A"/>
    <w:rsid w:val="001B7A03"/>
    <w:rsid w:val="001B7A14"/>
    <w:rsid w:val="001B7BB7"/>
    <w:rsid w:val="001B7CD2"/>
    <w:rsid w:val="001B7EE7"/>
    <w:rsid w:val="001C03C4"/>
    <w:rsid w:val="001C040C"/>
    <w:rsid w:val="001C0600"/>
    <w:rsid w:val="001C0613"/>
    <w:rsid w:val="001C09AA"/>
    <w:rsid w:val="001C0CDB"/>
    <w:rsid w:val="001C0EAD"/>
    <w:rsid w:val="001C1F50"/>
    <w:rsid w:val="001C22D4"/>
    <w:rsid w:val="001C3D05"/>
    <w:rsid w:val="001C3E4D"/>
    <w:rsid w:val="001C3F0A"/>
    <w:rsid w:val="001C407F"/>
    <w:rsid w:val="001C41C4"/>
    <w:rsid w:val="001C41E9"/>
    <w:rsid w:val="001C4C22"/>
    <w:rsid w:val="001C4CB8"/>
    <w:rsid w:val="001C5125"/>
    <w:rsid w:val="001C51E2"/>
    <w:rsid w:val="001C5E29"/>
    <w:rsid w:val="001C6F52"/>
    <w:rsid w:val="001C79AA"/>
    <w:rsid w:val="001C7ED7"/>
    <w:rsid w:val="001D01C9"/>
    <w:rsid w:val="001D0484"/>
    <w:rsid w:val="001D0544"/>
    <w:rsid w:val="001D06C4"/>
    <w:rsid w:val="001D0CD9"/>
    <w:rsid w:val="001D0E45"/>
    <w:rsid w:val="001D0ED7"/>
    <w:rsid w:val="001D127A"/>
    <w:rsid w:val="001D1825"/>
    <w:rsid w:val="001D19C9"/>
    <w:rsid w:val="001D3C05"/>
    <w:rsid w:val="001D3D73"/>
    <w:rsid w:val="001D3E71"/>
    <w:rsid w:val="001D4224"/>
    <w:rsid w:val="001D4372"/>
    <w:rsid w:val="001D4619"/>
    <w:rsid w:val="001D4715"/>
    <w:rsid w:val="001D490A"/>
    <w:rsid w:val="001D4A52"/>
    <w:rsid w:val="001D4EBD"/>
    <w:rsid w:val="001D4FB6"/>
    <w:rsid w:val="001D51A9"/>
    <w:rsid w:val="001D592E"/>
    <w:rsid w:val="001D5954"/>
    <w:rsid w:val="001D5D7F"/>
    <w:rsid w:val="001D5D89"/>
    <w:rsid w:val="001D5FE2"/>
    <w:rsid w:val="001D60CA"/>
    <w:rsid w:val="001D7238"/>
    <w:rsid w:val="001D740F"/>
    <w:rsid w:val="001D7885"/>
    <w:rsid w:val="001E013B"/>
    <w:rsid w:val="001E0149"/>
    <w:rsid w:val="001E020D"/>
    <w:rsid w:val="001E0614"/>
    <w:rsid w:val="001E0849"/>
    <w:rsid w:val="001E08DE"/>
    <w:rsid w:val="001E0B32"/>
    <w:rsid w:val="001E0F23"/>
    <w:rsid w:val="001E0F6D"/>
    <w:rsid w:val="001E1089"/>
    <w:rsid w:val="001E117F"/>
    <w:rsid w:val="001E1203"/>
    <w:rsid w:val="001E1616"/>
    <w:rsid w:val="001E17BC"/>
    <w:rsid w:val="001E2C26"/>
    <w:rsid w:val="001E2DF8"/>
    <w:rsid w:val="001E42D0"/>
    <w:rsid w:val="001E434A"/>
    <w:rsid w:val="001E4688"/>
    <w:rsid w:val="001E49C2"/>
    <w:rsid w:val="001E4AE3"/>
    <w:rsid w:val="001E4BB1"/>
    <w:rsid w:val="001E4C09"/>
    <w:rsid w:val="001E4D9E"/>
    <w:rsid w:val="001E4EBD"/>
    <w:rsid w:val="001E5281"/>
    <w:rsid w:val="001E538F"/>
    <w:rsid w:val="001E5EC2"/>
    <w:rsid w:val="001E602F"/>
    <w:rsid w:val="001E68B8"/>
    <w:rsid w:val="001E6A37"/>
    <w:rsid w:val="001E6B2D"/>
    <w:rsid w:val="001E6CC0"/>
    <w:rsid w:val="001E6E6B"/>
    <w:rsid w:val="001E7932"/>
    <w:rsid w:val="001F0E08"/>
    <w:rsid w:val="001F1721"/>
    <w:rsid w:val="001F1AFC"/>
    <w:rsid w:val="001F1B90"/>
    <w:rsid w:val="001F2D97"/>
    <w:rsid w:val="001F2FF8"/>
    <w:rsid w:val="001F374E"/>
    <w:rsid w:val="001F3A4D"/>
    <w:rsid w:val="001F3B57"/>
    <w:rsid w:val="001F3D63"/>
    <w:rsid w:val="001F3DEB"/>
    <w:rsid w:val="001F3F28"/>
    <w:rsid w:val="001F487D"/>
    <w:rsid w:val="001F4A9F"/>
    <w:rsid w:val="001F4C7C"/>
    <w:rsid w:val="001F4F5B"/>
    <w:rsid w:val="001F5035"/>
    <w:rsid w:val="001F555E"/>
    <w:rsid w:val="001F556B"/>
    <w:rsid w:val="001F5D1A"/>
    <w:rsid w:val="001F5D57"/>
    <w:rsid w:val="001F6D5B"/>
    <w:rsid w:val="001F7290"/>
    <w:rsid w:val="001F7BF7"/>
    <w:rsid w:val="002003E5"/>
    <w:rsid w:val="002004CE"/>
    <w:rsid w:val="00200E2A"/>
    <w:rsid w:val="0020167C"/>
    <w:rsid w:val="002017A7"/>
    <w:rsid w:val="00201DFD"/>
    <w:rsid w:val="00202DF9"/>
    <w:rsid w:val="002034AC"/>
    <w:rsid w:val="00203D02"/>
    <w:rsid w:val="002040C6"/>
    <w:rsid w:val="002043DC"/>
    <w:rsid w:val="00204C4A"/>
    <w:rsid w:val="0020500F"/>
    <w:rsid w:val="00205741"/>
    <w:rsid w:val="002057A6"/>
    <w:rsid w:val="00205840"/>
    <w:rsid w:val="0020584C"/>
    <w:rsid w:val="0020597D"/>
    <w:rsid w:val="002062A2"/>
    <w:rsid w:val="00206724"/>
    <w:rsid w:val="00206BC5"/>
    <w:rsid w:val="00207476"/>
    <w:rsid w:val="002076B9"/>
    <w:rsid w:val="00207753"/>
    <w:rsid w:val="002103A6"/>
    <w:rsid w:val="00210F5A"/>
    <w:rsid w:val="002110DF"/>
    <w:rsid w:val="00211242"/>
    <w:rsid w:val="002114DA"/>
    <w:rsid w:val="0021183D"/>
    <w:rsid w:val="002126D7"/>
    <w:rsid w:val="002126EC"/>
    <w:rsid w:val="002127D7"/>
    <w:rsid w:val="002131A0"/>
    <w:rsid w:val="0021337F"/>
    <w:rsid w:val="00213697"/>
    <w:rsid w:val="00213B47"/>
    <w:rsid w:val="0021402D"/>
    <w:rsid w:val="002146E8"/>
    <w:rsid w:val="002149C4"/>
    <w:rsid w:val="00215052"/>
    <w:rsid w:val="002151DA"/>
    <w:rsid w:val="002155B3"/>
    <w:rsid w:val="0021587D"/>
    <w:rsid w:val="00215A10"/>
    <w:rsid w:val="0021630C"/>
    <w:rsid w:val="002163F2"/>
    <w:rsid w:val="00216D65"/>
    <w:rsid w:val="00217380"/>
    <w:rsid w:val="00217933"/>
    <w:rsid w:val="00217E03"/>
    <w:rsid w:val="00220732"/>
    <w:rsid w:val="00220AA4"/>
    <w:rsid w:val="00221237"/>
    <w:rsid w:val="00221F48"/>
    <w:rsid w:val="0022223C"/>
    <w:rsid w:val="002226B9"/>
    <w:rsid w:val="00222835"/>
    <w:rsid w:val="002228C3"/>
    <w:rsid w:val="0022296F"/>
    <w:rsid w:val="002230A4"/>
    <w:rsid w:val="0022375B"/>
    <w:rsid w:val="00223A96"/>
    <w:rsid w:val="00223D04"/>
    <w:rsid w:val="00223DA3"/>
    <w:rsid w:val="00224745"/>
    <w:rsid w:val="002247D3"/>
    <w:rsid w:val="00224DD2"/>
    <w:rsid w:val="00224E07"/>
    <w:rsid w:val="0022532A"/>
    <w:rsid w:val="00225519"/>
    <w:rsid w:val="00225690"/>
    <w:rsid w:val="00225BFC"/>
    <w:rsid w:val="002261DD"/>
    <w:rsid w:val="002264E1"/>
    <w:rsid w:val="00226B24"/>
    <w:rsid w:val="00226CB7"/>
    <w:rsid w:val="00227776"/>
    <w:rsid w:val="002278BB"/>
    <w:rsid w:val="00227930"/>
    <w:rsid w:val="00227B55"/>
    <w:rsid w:val="00227D64"/>
    <w:rsid w:val="00230C10"/>
    <w:rsid w:val="00230D8E"/>
    <w:rsid w:val="00231AF1"/>
    <w:rsid w:val="00232036"/>
    <w:rsid w:val="00232100"/>
    <w:rsid w:val="0023221E"/>
    <w:rsid w:val="002322D4"/>
    <w:rsid w:val="0023251E"/>
    <w:rsid w:val="00232A90"/>
    <w:rsid w:val="00232ADD"/>
    <w:rsid w:val="002331EE"/>
    <w:rsid w:val="002332D6"/>
    <w:rsid w:val="00233D10"/>
    <w:rsid w:val="00234571"/>
    <w:rsid w:val="002347B5"/>
    <w:rsid w:val="00234E97"/>
    <w:rsid w:val="00235344"/>
    <w:rsid w:val="00235DEE"/>
    <w:rsid w:val="00235F78"/>
    <w:rsid w:val="00235F7A"/>
    <w:rsid w:val="0023647C"/>
    <w:rsid w:val="00236605"/>
    <w:rsid w:val="002367B1"/>
    <w:rsid w:val="002369BE"/>
    <w:rsid w:val="00237951"/>
    <w:rsid w:val="00237BA5"/>
    <w:rsid w:val="00237BEC"/>
    <w:rsid w:val="00237C53"/>
    <w:rsid w:val="00237C59"/>
    <w:rsid w:val="002403FB"/>
    <w:rsid w:val="00240DB2"/>
    <w:rsid w:val="00240ED2"/>
    <w:rsid w:val="00241000"/>
    <w:rsid w:val="002412FF"/>
    <w:rsid w:val="0024147A"/>
    <w:rsid w:val="002416AB"/>
    <w:rsid w:val="00241A4C"/>
    <w:rsid w:val="00241C29"/>
    <w:rsid w:val="002420FD"/>
    <w:rsid w:val="00242343"/>
    <w:rsid w:val="002428A1"/>
    <w:rsid w:val="00242F3E"/>
    <w:rsid w:val="002434C1"/>
    <w:rsid w:val="00243BD4"/>
    <w:rsid w:val="00244CBD"/>
    <w:rsid w:val="0024500E"/>
    <w:rsid w:val="00245628"/>
    <w:rsid w:val="00245F1F"/>
    <w:rsid w:val="002475DE"/>
    <w:rsid w:val="002476AD"/>
    <w:rsid w:val="0024780E"/>
    <w:rsid w:val="002506F7"/>
    <w:rsid w:val="002511AF"/>
    <w:rsid w:val="0025123A"/>
    <w:rsid w:val="0025238E"/>
    <w:rsid w:val="002523B4"/>
    <w:rsid w:val="00252803"/>
    <w:rsid w:val="00252E90"/>
    <w:rsid w:val="00253ABE"/>
    <w:rsid w:val="00253B9B"/>
    <w:rsid w:val="0025403E"/>
    <w:rsid w:val="002547FD"/>
    <w:rsid w:val="00254A78"/>
    <w:rsid w:val="00254AA3"/>
    <w:rsid w:val="00254F95"/>
    <w:rsid w:val="002552CD"/>
    <w:rsid w:val="0025582B"/>
    <w:rsid w:val="00255A1E"/>
    <w:rsid w:val="00255D59"/>
    <w:rsid w:val="00255D7E"/>
    <w:rsid w:val="00255EA4"/>
    <w:rsid w:val="0025609D"/>
    <w:rsid w:val="00256275"/>
    <w:rsid w:val="002567D3"/>
    <w:rsid w:val="002570DF"/>
    <w:rsid w:val="002577FA"/>
    <w:rsid w:val="00257B12"/>
    <w:rsid w:val="00257BD0"/>
    <w:rsid w:val="00260660"/>
    <w:rsid w:val="00260AFD"/>
    <w:rsid w:val="00261207"/>
    <w:rsid w:val="00261362"/>
    <w:rsid w:val="00261722"/>
    <w:rsid w:val="00261901"/>
    <w:rsid w:val="00261906"/>
    <w:rsid w:val="00261DF5"/>
    <w:rsid w:val="00262226"/>
    <w:rsid w:val="00262616"/>
    <w:rsid w:val="00262851"/>
    <w:rsid w:val="00262DAD"/>
    <w:rsid w:val="002639A4"/>
    <w:rsid w:val="00263FA1"/>
    <w:rsid w:val="0026426C"/>
    <w:rsid w:val="0026473A"/>
    <w:rsid w:val="002647E6"/>
    <w:rsid w:val="002649BE"/>
    <w:rsid w:val="002652B4"/>
    <w:rsid w:val="002655BA"/>
    <w:rsid w:val="00265804"/>
    <w:rsid w:val="00265C3E"/>
    <w:rsid w:val="00265F82"/>
    <w:rsid w:val="002661BB"/>
    <w:rsid w:val="00266537"/>
    <w:rsid w:val="00266976"/>
    <w:rsid w:val="00266AE7"/>
    <w:rsid w:val="00266C32"/>
    <w:rsid w:val="00267E87"/>
    <w:rsid w:val="002702BA"/>
    <w:rsid w:val="0027034C"/>
    <w:rsid w:val="0027177E"/>
    <w:rsid w:val="00271B2A"/>
    <w:rsid w:val="00271F12"/>
    <w:rsid w:val="00271F59"/>
    <w:rsid w:val="00272020"/>
    <w:rsid w:val="0027203C"/>
    <w:rsid w:val="002724E8"/>
    <w:rsid w:val="0027257B"/>
    <w:rsid w:val="00273214"/>
    <w:rsid w:val="002735D1"/>
    <w:rsid w:val="00273BB6"/>
    <w:rsid w:val="00273CD3"/>
    <w:rsid w:val="00273CE4"/>
    <w:rsid w:val="00274453"/>
    <w:rsid w:val="00274DCF"/>
    <w:rsid w:val="00274E09"/>
    <w:rsid w:val="00274EC1"/>
    <w:rsid w:val="00274F5D"/>
    <w:rsid w:val="002752B3"/>
    <w:rsid w:val="00275548"/>
    <w:rsid w:val="0027573F"/>
    <w:rsid w:val="00275C20"/>
    <w:rsid w:val="00275D0C"/>
    <w:rsid w:val="00275EB3"/>
    <w:rsid w:val="00276824"/>
    <w:rsid w:val="00276F64"/>
    <w:rsid w:val="00276FAD"/>
    <w:rsid w:val="00277064"/>
    <w:rsid w:val="00277217"/>
    <w:rsid w:val="00277456"/>
    <w:rsid w:val="00277486"/>
    <w:rsid w:val="00277626"/>
    <w:rsid w:val="00277EDF"/>
    <w:rsid w:val="0028025E"/>
    <w:rsid w:val="00281185"/>
    <w:rsid w:val="00281B48"/>
    <w:rsid w:val="0028277E"/>
    <w:rsid w:val="00282CC5"/>
    <w:rsid w:val="00282E84"/>
    <w:rsid w:val="00283137"/>
    <w:rsid w:val="002837FF"/>
    <w:rsid w:val="00283FCF"/>
    <w:rsid w:val="00284000"/>
    <w:rsid w:val="0028426E"/>
    <w:rsid w:val="002842C8"/>
    <w:rsid w:val="002842F8"/>
    <w:rsid w:val="00284860"/>
    <w:rsid w:val="002850D0"/>
    <w:rsid w:val="002852C6"/>
    <w:rsid w:val="002853AE"/>
    <w:rsid w:val="0028557E"/>
    <w:rsid w:val="0028593A"/>
    <w:rsid w:val="00285BD9"/>
    <w:rsid w:val="00285CEA"/>
    <w:rsid w:val="00285D04"/>
    <w:rsid w:val="002864FD"/>
    <w:rsid w:val="0028694F"/>
    <w:rsid w:val="00286A64"/>
    <w:rsid w:val="00286B97"/>
    <w:rsid w:val="00286E5E"/>
    <w:rsid w:val="00287999"/>
    <w:rsid w:val="00287E13"/>
    <w:rsid w:val="00287EF6"/>
    <w:rsid w:val="00287F44"/>
    <w:rsid w:val="00290124"/>
    <w:rsid w:val="0029022B"/>
    <w:rsid w:val="00290297"/>
    <w:rsid w:val="0029032E"/>
    <w:rsid w:val="00290707"/>
    <w:rsid w:val="0029097E"/>
    <w:rsid w:val="00291220"/>
    <w:rsid w:val="00291500"/>
    <w:rsid w:val="00291654"/>
    <w:rsid w:val="00291B70"/>
    <w:rsid w:val="00291FCD"/>
    <w:rsid w:val="0029217D"/>
    <w:rsid w:val="0029233C"/>
    <w:rsid w:val="00292B4A"/>
    <w:rsid w:val="00292B74"/>
    <w:rsid w:val="00293067"/>
    <w:rsid w:val="0029311D"/>
    <w:rsid w:val="0029318C"/>
    <w:rsid w:val="0029362A"/>
    <w:rsid w:val="00293D60"/>
    <w:rsid w:val="002947F1"/>
    <w:rsid w:val="00294D09"/>
    <w:rsid w:val="00294FDA"/>
    <w:rsid w:val="002960DF"/>
    <w:rsid w:val="002964E0"/>
    <w:rsid w:val="00296B32"/>
    <w:rsid w:val="0029769C"/>
    <w:rsid w:val="002A04B5"/>
    <w:rsid w:val="002A0B6A"/>
    <w:rsid w:val="002A0DD0"/>
    <w:rsid w:val="002A154B"/>
    <w:rsid w:val="002A15B7"/>
    <w:rsid w:val="002A1D18"/>
    <w:rsid w:val="002A1FD2"/>
    <w:rsid w:val="002A24F8"/>
    <w:rsid w:val="002A272A"/>
    <w:rsid w:val="002A2963"/>
    <w:rsid w:val="002A2E25"/>
    <w:rsid w:val="002A31A1"/>
    <w:rsid w:val="002A34A5"/>
    <w:rsid w:val="002A3527"/>
    <w:rsid w:val="002A38E3"/>
    <w:rsid w:val="002A3BDC"/>
    <w:rsid w:val="002A4707"/>
    <w:rsid w:val="002A470A"/>
    <w:rsid w:val="002A4B99"/>
    <w:rsid w:val="002A54FE"/>
    <w:rsid w:val="002A55DB"/>
    <w:rsid w:val="002A56B7"/>
    <w:rsid w:val="002A58EF"/>
    <w:rsid w:val="002A5A44"/>
    <w:rsid w:val="002A65E8"/>
    <w:rsid w:val="002A6BFE"/>
    <w:rsid w:val="002A6E8E"/>
    <w:rsid w:val="002A74D9"/>
    <w:rsid w:val="002A7683"/>
    <w:rsid w:val="002A7B81"/>
    <w:rsid w:val="002B0686"/>
    <w:rsid w:val="002B0D1A"/>
    <w:rsid w:val="002B1058"/>
    <w:rsid w:val="002B1369"/>
    <w:rsid w:val="002B1414"/>
    <w:rsid w:val="002B1526"/>
    <w:rsid w:val="002B1686"/>
    <w:rsid w:val="002B1821"/>
    <w:rsid w:val="002B19B8"/>
    <w:rsid w:val="002B1AFD"/>
    <w:rsid w:val="002B26D4"/>
    <w:rsid w:val="002B2BF7"/>
    <w:rsid w:val="002B307C"/>
    <w:rsid w:val="002B3167"/>
    <w:rsid w:val="002B36F6"/>
    <w:rsid w:val="002B3FFC"/>
    <w:rsid w:val="002B4404"/>
    <w:rsid w:val="002B4CFC"/>
    <w:rsid w:val="002B4F49"/>
    <w:rsid w:val="002B5AE7"/>
    <w:rsid w:val="002B5B0B"/>
    <w:rsid w:val="002B5F80"/>
    <w:rsid w:val="002B6313"/>
    <w:rsid w:val="002B6DBD"/>
    <w:rsid w:val="002B6DE3"/>
    <w:rsid w:val="002B7088"/>
    <w:rsid w:val="002B720E"/>
    <w:rsid w:val="002B7739"/>
    <w:rsid w:val="002C05B1"/>
    <w:rsid w:val="002C0720"/>
    <w:rsid w:val="002C1B43"/>
    <w:rsid w:val="002C1CE4"/>
    <w:rsid w:val="002C2134"/>
    <w:rsid w:val="002C279F"/>
    <w:rsid w:val="002C2DDC"/>
    <w:rsid w:val="002C3478"/>
    <w:rsid w:val="002C39FA"/>
    <w:rsid w:val="002C3D9A"/>
    <w:rsid w:val="002C3E30"/>
    <w:rsid w:val="002C3F95"/>
    <w:rsid w:val="002C42DB"/>
    <w:rsid w:val="002C43D0"/>
    <w:rsid w:val="002C471D"/>
    <w:rsid w:val="002C47CC"/>
    <w:rsid w:val="002C49C6"/>
    <w:rsid w:val="002C4DCE"/>
    <w:rsid w:val="002C50BE"/>
    <w:rsid w:val="002C55B5"/>
    <w:rsid w:val="002C5A7A"/>
    <w:rsid w:val="002C60C7"/>
    <w:rsid w:val="002C661C"/>
    <w:rsid w:val="002C68AC"/>
    <w:rsid w:val="002C6B12"/>
    <w:rsid w:val="002C7367"/>
    <w:rsid w:val="002C7D35"/>
    <w:rsid w:val="002D02A5"/>
    <w:rsid w:val="002D0DFA"/>
    <w:rsid w:val="002D1010"/>
    <w:rsid w:val="002D112B"/>
    <w:rsid w:val="002D1456"/>
    <w:rsid w:val="002D16A9"/>
    <w:rsid w:val="002D2003"/>
    <w:rsid w:val="002D2281"/>
    <w:rsid w:val="002D300A"/>
    <w:rsid w:val="002D34B5"/>
    <w:rsid w:val="002D4334"/>
    <w:rsid w:val="002D4E73"/>
    <w:rsid w:val="002D53EB"/>
    <w:rsid w:val="002D55A1"/>
    <w:rsid w:val="002D5FF2"/>
    <w:rsid w:val="002D6442"/>
    <w:rsid w:val="002D6B7E"/>
    <w:rsid w:val="002D6CA7"/>
    <w:rsid w:val="002D6EC1"/>
    <w:rsid w:val="002D7363"/>
    <w:rsid w:val="002D736C"/>
    <w:rsid w:val="002D7684"/>
    <w:rsid w:val="002D7B01"/>
    <w:rsid w:val="002D7B02"/>
    <w:rsid w:val="002D7DAE"/>
    <w:rsid w:val="002E02D3"/>
    <w:rsid w:val="002E071B"/>
    <w:rsid w:val="002E07A6"/>
    <w:rsid w:val="002E09F4"/>
    <w:rsid w:val="002E0A79"/>
    <w:rsid w:val="002E0EFC"/>
    <w:rsid w:val="002E11BA"/>
    <w:rsid w:val="002E19A5"/>
    <w:rsid w:val="002E1CA8"/>
    <w:rsid w:val="002E1CAA"/>
    <w:rsid w:val="002E1FFE"/>
    <w:rsid w:val="002E2052"/>
    <w:rsid w:val="002E211B"/>
    <w:rsid w:val="002E274C"/>
    <w:rsid w:val="002E2892"/>
    <w:rsid w:val="002E2A79"/>
    <w:rsid w:val="002E2B3E"/>
    <w:rsid w:val="002E2C05"/>
    <w:rsid w:val="002E35D6"/>
    <w:rsid w:val="002E393A"/>
    <w:rsid w:val="002E3A60"/>
    <w:rsid w:val="002E4B87"/>
    <w:rsid w:val="002E4C68"/>
    <w:rsid w:val="002E5239"/>
    <w:rsid w:val="002E58D1"/>
    <w:rsid w:val="002E5C86"/>
    <w:rsid w:val="002E606A"/>
    <w:rsid w:val="002E6663"/>
    <w:rsid w:val="002E6848"/>
    <w:rsid w:val="002E7241"/>
    <w:rsid w:val="002E7EC9"/>
    <w:rsid w:val="002F01F1"/>
    <w:rsid w:val="002F0678"/>
    <w:rsid w:val="002F0935"/>
    <w:rsid w:val="002F0C62"/>
    <w:rsid w:val="002F10D7"/>
    <w:rsid w:val="002F1CA5"/>
    <w:rsid w:val="002F1DFD"/>
    <w:rsid w:val="002F251C"/>
    <w:rsid w:val="002F2621"/>
    <w:rsid w:val="002F2B0C"/>
    <w:rsid w:val="002F2D0D"/>
    <w:rsid w:val="002F3716"/>
    <w:rsid w:val="002F388F"/>
    <w:rsid w:val="002F3B74"/>
    <w:rsid w:val="002F3E8F"/>
    <w:rsid w:val="002F46BC"/>
    <w:rsid w:val="002F487F"/>
    <w:rsid w:val="002F4906"/>
    <w:rsid w:val="002F4961"/>
    <w:rsid w:val="002F4A9A"/>
    <w:rsid w:val="002F4D1F"/>
    <w:rsid w:val="002F5135"/>
    <w:rsid w:val="002F5396"/>
    <w:rsid w:val="002F58D6"/>
    <w:rsid w:val="002F5B31"/>
    <w:rsid w:val="002F5B7F"/>
    <w:rsid w:val="002F6000"/>
    <w:rsid w:val="002F60FC"/>
    <w:rsid w:val="002F61DA"/>
    <w:rsid w:val="002F688C"/>
    <w:rsid w:val="002F6BB2"/>
    <w:rsid w:val="002F6E74"/>
    <w:rsid w:val="002F722B"/>
    <w:rsid w:val="002F7418"/>
    <w:rsid w:val="00300230"/>
    <w:rsid w:val="003003A7"/>
    <w:rsid w:val="0030075B"/>
    <w:rsid w:val="00300B2D"/>
    <w:rsid w:val="00300C44"/>
    <w:rsid w:val="00300D1C"/>
    <w:rsid w:val="003014DD"/>
    <w:rsid w:val="0030179D"/>
    <w:rsid w:val="00301F8B"/>
    <w:rsid w:val="003022C1"/>
    <w:rsid w:val="00302A1D"/>
    <w:rsid w:val="00303846"/>
    <w:rsid w:val="00303FCB"/>
    <w:rsid w:val="003041CB"/>
    <w:rsid w:val="003041D6"/>
    <w:rsid w:val="0030493C"/>
    <w:rsid w:val="0030495C"/>
    <w:rsid w:val="00304C52"/>
    <w:rsid w:val="00304F98"/>
    <w:rsid w:val="003051A9"/>
    <w:rsid w:val="00305461"/>
    <w:rsid w:val="003059D1"/>
    <w:rsid w:val="00305BE6"/>
    <w:rsid w:val="00305FD7"/>
    <w:rsid w:val="00306093"/>
    <w:rsid w:val="0030656F"/>
    <w:rsid w:val="003069D6"/>
    <w:rsid w:val="00306CB8"/>
    <w:rsid w:val="00307C93"/>
    <w:rsid w:val="00307F45"/>
    <w:rsid w:val="00310152"/>
    <w:rsid w:val="003103BA"/>
    <w:rsid w:val="00310449"/>
    <w:rsid w:val="003104B9"/>
    <w:rsid w:val="00310928"/>
    <w:rsid w:val="00311075"/>
    <w:rsid w:val="00311CB8"/>
    <w:rsid w:val="00311DCE"/>
    <w:rsid w:val="003122A2"/>
    <w:rsid w:val="00312345"/>
    <w:rsid w:val="003124AC"/>
    <w:rsid w:val="00312B56"/>
    <w:rsid w:val="003136A4"/>
    <w:rsid w:val="00314EA9"/>
    <w:rsid w:val="0031558C"/>
    <w:rsid w:val="00315755"/>
    <w:rsid w:val="00315D8E"/>
    <w:rsid w:val="00315DCF"/>
    <w:rsid w:val="003169C4"/>
    <w:rsid w:val="00316B20"/>
    <w:rsid w:val="00316FC0"/>
    <w:rsid w:val="00317248"/>
    <w:rsid w:val="003175FA"/>
    <w:rsid w:val="00317960"/>
    <w:rsid w:val="003179C6"/>
    <w:rsid w:val="00320008"/>
    <w:rsid w:val="00320145"/>
    <w:rsid w:val="00320683"/>
    <w:rsid w:val="00320A09"/>
    <w:rsid w:val="00320B50"/>
    <w:rsid w:val="00320F34"/>
    <w:rsid w:val="0032108A"/>
    <w:rsid w:val="0032148C"/>
    <w:rsid w:val="003214E7"/>
    <w:rsid w:val="00321B99"/>
    <w:rsid w:val="00321FA5"/>
    <w:rsid w:val="003223F8"/>
    <w:rsid w:val="00322490"/>
    <w:rsid w:val="003226AF"/>
    <w:rsid w:val="00322A9E"/>
    <w:rsid w:val="00322E6B"/>
    <w:rsid w:val="00323C65"/>
    <w:rsid w:val="0032427A"/>
    <w:rsid w:val="0032471B"/>
    <w:rsid w:val="00324EA4"/>
    <w:rsid w:val="0032616A"/>
    <w:rsid w:val="003269FF"/>
    <w:rsid w:val="0032741D"/>
    <w:rsid w:val="0032791F"/>
    <w:rsid w:val="00327A1D"/>
    <w:rsid w:val="00327A74"/>
    <w:rsid w:val="00327AC0"/>
    <w:rsid w:val="0033026F"/>
    <w:rsid w:val="0033038E"/>
    <w:rsid w:val="0033098C"/>
    <w:rsid w:val="00330A97"/>
    <w:rsid w:val="00331CB7"/>
    <w:rsid w:val="00331E70"/>
    <w:rsid w:val="00332910"/>
    <w:rsid w:val="00332A5D"/>
    <w:rsid w:val="00332EE0"/>
    <w:rsid w:val="003330A3"/>
    <w:rsid w:val="003332F1"/>
    <w:rsid w:val="003336B5"/>
    <w:rsid w:val="0033413E"/>
    <w:rsid w:val="00334218"/>
    <w:rsid w:val="003342BA"/>
    <w:rsid w:val="003348AC"/>
    <w:rsid w:val="003349BE"/>
    <w:rsid w:val="00334A34"/>
    <w:rsid w:val="00334C00"/>
    <w:rsid w:val="00334C49"/>
    <w:rsid w:val="00334CB4"/>
    <w:rsid w:val="00335007"/>
    <w:rsid w:val="0033518A"/>
    <w:rsid w:val="0033588A"/>
    <w:rsid w:val="00336079"/>
    <w:rsid w:val="00336529"/>
    <w:rsid w:val="0033707D"/>
    <w:rsid w:val="00337AA3"/>
    <w:rsid w:val="00337F2F"/>
    <w:rsid w:val="0034084B"/>
    <w:rsid w:val="00340A5A"/>
    <w:rsid w:val="003411B2"/>
    <w:rsid w:val="00341394"/>
    <w:rsid w:val="003419DE"/>
    <w:rsid w:val="00341A9C"/>
    <w:rsid w:val="0034206D"/>
    <w:rsid w:val="00342824"/>
    <w:rsid w:val="003429CE"/>
    <w:rsid w:val="00342C45"/>
    <w:rsid w:val="00342D57"/>
    <w:rsid w:val="0034367C"/>
    <w:rsid w:val="00343702"/>
    <w:rsid w:val="00343A5F"/>
    <w:rsid w:val="00343B49"/>
    <w:rsid w:val="003445D1"/>
    <w:rsid w:val="0034465E"/>
    <w:rsid w:val="00344A66"/>
    <w:rsid w:val="00344E3F"/>
    <w:rsid w:val="00344F3B"/>
    <w:rsid w:val="003450F1"/>
    <w:rsid w:val="003451B2"/>
    <w:rsid w:val="00345E5D"/>
    <w:rsid w:val="00346068"/>
    <w:rsid w:val="00346589"/>
    <w:rsid w:val="00347898"/>
    <w:rsid w:val="00347D75"/>
    <w:rsid w:val="0035030A"/>
    <w:rsid w:val="00350351"/>
    <w:rsid w:val="003506F0"/>
    <w:rsid w:val="003507D5"/>
    <w:rsid w:val="00350BBC"/>
    <w:rsid w:val="00350C07"/>
    <w:rsid w:val="00351055"/>
    <w:rsid w:val="00351E01"/>
    <w:rsid w:val="00351FCE"/>
    <w:rsid w:val="003520F7"/>
    <w:rsid w:val="00352111"/>
    <w:rsid w:val="00352268"/>
    <w:rsid w:val="00352879"/>
    <w:rsid w:val="00352AAB"/>
    <w:rsid w:val="00352F92"/>
    <w:rsid w:val="00353E36"/>
    <w:rsid w:val="003540CC"/>
    <w:rsid w:val="003547A8"/>
    <w:rsid w:val="00355277"/>
    <w:rsid w:val="003552BA"/>
    <w:rsid w:val="00355460"/>
    <w:rsid w:val="00356128"/>
    <w:rsid w:val="00356C7B"/>
    <w:rsid w:val="00356E0D"/>
    <w:rsid w:val="00356F4E"/>
    <w:rsid w:val="00357081"/>
    <w:rsid w:val="0035712E"/>
    <w:rsid w:val="003571F9"/>
    <w:rsid w:val="00357C89"/>
    <w:rsid w:val="0036054A"/>
    <w:rsid w:val="00360752"/>
    <w:rsid w:val="00360B4B"/>
    <w:rsid w:val="00360E12"/>
    <w:rsid w:val="00361480"/>
    <w:rsid w:val="0036186C"/>
    <w:rsid w:val="00361CD6"/>
    <w:rsid w:val="0036261B"/>
    <w:rsid w:val="00362916"/>
    <w:rsid w:val="00362A49"/>
    <w:rsid w:val="00362C35"/>
    <w:rsid w:val="00362C7D"/>
    <w:rsid w:val="00362EAA"/>
    <w:rsid w:val="003636B1"/>
    <w:rsid w:val="003638EA"/>
    <w:rsid w:val="003639DB"/>
    <w:rsid w:val="00363ECD"/>
    <w:rsid w:val="00364692"/>
    <w:rsid w:val="003646D4"/>
    <w:rsid w:val="003652EE"/>
    <w:rsid w:val="00365487"/>
    <w:rsid w:val="00365799"/>
    <w:rsid w:val="00365B67"/>
    <w:rsid w:val="00366688"/>
    <w:rsid w:val="003666F7"/>
    <w:rsid w:val="003667D9"/>
    <w:rsid w:val="00366980"/>
    <w:rsid w:val="00366F04"/>
    <w:rsid w:val="003672CF"/>
    <w:rsid w:val="00367B1A"/>
    <w:rsid w:val="00367BCB"/>
    <w:rsid w:val="0037063F"/>
    <w:rsid w:val="00370648"/>
    <w:rsid w:val="003708A5"/>
    <w:rsid w:val="00370C6E"/>
    <w:rsid w:val="00371888"/>
    <w:rsid w:val="00371B70"/>
    <w:rsid w:val="00371D3E"/>
    <w:rsid w:val="003720BE"/>
    <w:rsid w:val="00372576"/>
    <w:rsid w:val="0037260C"/>
    <w:rsid w:val="003726D6"/>
    <w:rsid w:val="00372928"/>
    <w:rsid w:val="00372C90"/>
    <w:rsid w:val="003730A0"/>
    <w:rsid w:val="0037314E"/>
    <w:rsid w:val="00374165"/>
    <w:rsid w:val="003741FB"/>
    <w:rsid w:val="0037494D"/>
    <w:rsid w:val="00374EA8"/>
    <w:rsid w:val="00375B9E"/>
    <w:rsid w:val="00375C17"/>
    <w:rsid w:val="00375E6B"/>
    <w:rsid w:val="003763E5"/>
    <w:rsid w:val="003767C7"/>
    <w:rsid w:val="00377052"/>
    <w:rsid w:val="003774D2"/>
    <w:rsid w:val="003777B7"/>
    <w:rsid w:val="00377A75"/>
    <w:rsid w:val="00377BCF"/>
    <w:rsid w:val="00377CC6"/>
    <w:rsid w:val="00377D93"/>
    <w:rsid w:val="0038005A"/>
    <w:rsid w:val="00380081"/>
    <w:rsid w:val="003805E3"/>
    <w:rsid w:val="00380CD9"/>
    <w:rsid w:val="003814C2"/>
    <w:rsid w:val="00381DF6"/>
    <w:rsid w:val="003821DE"/>
    <w:rsid w:val="00382203"/>
    <w:rsid w:val="0038333E"/>
    <w:rsid w:val="00383720"/>
    <w:rsid w:val="003840F8"/>
    <w:rsid w:val="00384121"/>
    <w:rsid w:val="00384D88"/>
    <w:rsid w:val="0038555C"/>
    <w:rsid w:val="0038568B"/>
    <w:rsid w:val="003859D4"/>
    <w:rsid w:val="00385C88"/>
    <w:rsid w:val="003862BB"/>
    <w:rsid w:val="00386365"/>
    <w:rsid w:val="00386684"/>
    <w:rsid w:val="00386910"/>
    <w:rsid w:val="0038702E"/>
    <w:rsid w:val="003872CF"/>
    <w:rsid w:val="00387347"/>
    <w:rsid w:val="0038759C"/>
    <w:rsid w:val="00390050"/>
    <w:rsid w:val="003902D2"/>
    <w:rsid w:val="00390703"/>
    <w:rsid w:val="003912D6"/>
    <w:rsid w:val="00391AF7"/>
    <w:rsid w:val="00391D04"/>
    <w:rsid w:val="00391D60"/>
    <w:rsid w:val="00392244"/>
    <w:rsid w:val="00392F36"/>
    <w:rsid w:val="0039307E"/>
    <w:rsid w:val="00394A98"/>
    <w:rsid w:val="00394AD2"/>
    <w:rsid w:val="00395342"/>
    <w:rsid w:val="003954DF"/>
    <w:rsid w:val="0039551E"/>
    <w:rsid w:val="0039562B"/>
    <w:rsid w:val="00395B04"/>
    <w:rsid w:val="00395DF3"/>
    <w:rsid w:val="00395E22"/>
    <w:rsid w:val="0039638F"/>
    <w:rsid w:val="00396F2B"/>
    <w:rsid w:val="00397786"/>
    <w:rsid w:val="00397A8F"/>
    <w:rsid w:val="003A0456"/>
    <w:rsid w:val="003A0689"/>
    <w:rsid w:val="003A0D5B"/>
    <w:rsid w:val="003A1E7E"/>
    <w:rsid w:val="003A24A1"/>
    <w:rsid w:val="003A3191"/>
    <w:rsid w:val="003A3318"/>
    <w:rsid w:val="003A3CAE"/>
    <w:rsid w:val="003A46C8"/>
    <w:rsid w:val="003A4868"/>
    <w:rsid w:val="003A4BDF"/>
    <w:rsid w:val="003A50BA"/>
    <w:rsid w:val="003A52A3"/>
    <w:rsid w:val="003A5345"/>
    <w:rsid w:val="003A5370"/>
    <w:rsid w:val="003A53E2"/>
    <w:rsid w:val="003A540E"/>
    <w:rsid w:val="003A5FE9"/>
    <w:rsid w:val="003A64B1"/>
    <w:rsid w:val="003A659D"/>
    <w:rsid w:val="003A66DC"/>
    <w:rsid w:val="003A6FDA"/>
    <w:rsid w:val="003A720E"/>
    <w:rsid w:val="003A72A8"/>
    <w:rsid w:val="003A7461"/>
    <w:rsid w:val="003A75EC"/>
    <w:rsid w:val="003A774F"/>
    <w:rsid w:val="003B09B8"/>
    <w:rsid w:val="003B0A35"/>
    <w:rsid w:val="003B0E82"/>
    <w:rsid w:val="003B12D2"/>
    <w:rsid w:val="003B12DB"/>
    <w:rsid w:val="003B1414"/>
    <w:rsid w:val="003B160B"/>
    <w:rsid w:val="003B175A"/>
    <w:rsid w:val="003B1875"/>
    <w:rsid w:val="003B249B"/>
    <w:rsid w:val="003B2AF8"/>
    <w:rsid w:val="003B2E6B"/>
    <w:rsid w:val="003B3094"/>
    <w:rsid w:val="003B3FE8"/>
    <w:rsid w:val="003B411B"/>
    <w:rsid w:val="003B41F0"/>
    <w:rsid w:val="003B4380"/>
    <w:rsid w:val="003B45D1"/>
    <w:rsid w:val="003B4722"/>
    <w:rsid w:val="003B4BF8"/>
    <w:rsid w:val="003B4C49"/>
    <w:rsid w:val="003B4D6E"/>
    <w:rsid w:val="003B4FBD"/>
    <w:rsid w:val="003B58E0"/>
    <w:rsid w:val="003B659D"/>
    <w:rsid w:val="003B68D7"/>
    <w:rsid w:val="003B6BEC"/>
    <w:rsid w:val="003B6E58"/>
    <w:rsid w:val="003B6E7C"/>
    <w:rsid w:val="003B6ECD"/>
    <w:rsid w:val="003B7533"/>
    <w:rsid w:val="003B75E5"/>
    <w:rsid w:val="003B7958"/>
    <w:rsid w:val="003B7976"/>
    <w:rsid w:val="003B797C"/>
    <w:rsid w:val="003B7F61"/>
    <w:rsid w:val="003C0942"/>
    <w:rsid w:val="003C12E0"/>
    <w:rsid w:val="003C1344"/>
    <w:rsid w:val="003C16A6"/>
    <w:rsid w:val="003C16B5"/>
    <w:rsid w:val="003C1E78"/>
    <w:rsid w:val="003C1F38"/>
    <w:rsid w:val="003C20D9"/>
    <w:rsid w:val="003C284C"/>
    <w:rsid w:val="003C2A02"/>
    <w:rsid w:val="003C2C6A"/>
    <w:rsid w:val="003C3611"/>
    <w:rsid w:val="003C3A8E"/>
    <w:rsid w:val="003C3B7F"/>
    <w:rsid w:val="003C3EDC"/>
    <w:rsid w:val="003C42AA"/>
    <w:rsid w:val="003C470C"/>
    <w:rsid w:val="003C484A"/>
    <w:rsid w:val="003C5242"/>
    <w:rsid w:val="003C60D6"/>
    <w:rsid w:val="003C612F"/>
    <w:rsid w:val="003C63EB"/>
    <w:rsid w:val="003C6795"/>
    <w:rsid w:val="003C6E21"/>
    <w:rsid w:val="003C7219"/>
    <w:rsid w:val="003C72D8"/>
    <w:rsid w:val="003C7D6D"/>
    <w:rsid w:val="003D01B4"/>
    <w:rsid w:val="003D06F1"/>
    <w:rsid w:val="003D0735"/>
    <w:rsid w:val="003D0DDE"/>
    <w:rsid w:val="003D12B8"/>
    <w:rsid w:val="003D1498"/>
    <w:rsid w:val="003D15BC"/>
    <w:rsid w:val="003D1AFF"/>
    <w:rsid w:val="003D242C"/>
    <w:rsid w:val="003D2A7A"/>
    <w:rsid w:val="003D2B64"/>
    <w:rsid w:val="003D30AC"/>
    <w:rsid w:val="003D32C1"/>
    <w:rsid w:val="003D3528"/>
    <w:rsid w:val="003D360A"/>
    <w:rsid w:val="003D3805"/>
    <w:rsid w:val="003D3C00"/>
    <w:rsid w:val="003D41AD"/>
    <w:rsid w:val="003D4495"/>
    <w:rsid w:val="003D4549"/>
    <w:rsid w:val="003D4A84"/>
    <w:rsid w:val="003D4B3A"/>
    <w:rsid w:val="003D4B6A"/>
    <w:rsid w:val="003D515A"/>
    <w:rsid w:val="003D51A8"/>
    <w:rsid w:val="003D5506"/>
    <w:rsid w:val="003D5AA4"/>
    <w:rsid w:val="003D5B61"/>
    <w:rsid w:val="003D5EC0"/>
    <w:rsid w:val="003D619A"/>
    <w:rsid w:val="003D6552"/>
    <w:rsid w:val="003D66D2"/>
    <w:rsid w:val="003D7606"/>
    <w:rsid w:val="003D7625"/>
    <w:rsid w:val="003D793B"/>
    <w:rsid w:val="003E024B"/>
    <w:rsid w:val="003E0406"/>
    <w:rsid w:val="003E0B5B"/>
    <w:rsid w:val="003E0C25"/>
    <w:rsid w:val="003E0C79"/>
    <w:rsid w:val="003E0ECD"/>
    <w:rsid w:val="003E101A"/>
    <w:rsid w:val="003E18BA"/>
    <w:rsid w:val="003E2285"/>
    <w:rsid w:val="003E260D"/>
    <w:rsid w:val="003E2782"/>
    <w:rsid w:val="003E2EA7"/>
    <w:rsid w:val="003E3027"/>
    <w:rsid w:val="003E3D33"/>
    <w:rsid w:val="003E3DBC"/>
    <w:rsid w:val="003E4283"/>
    <w:rsid w:val="003E50D7"/>
    <w:rsid w:val="003E5434"/>
    <w:rsid w:val="003E5CD9"/>
    <w:rsid w:val="003E5E58"/>
    <w:rsid w:val="003E615B"/>
    <w:rsid w:val="003E659F"/>
    <w:rsid w:val="003E669D"/>
    <w:rsid w:val="003E6C30"/>
    <w:rsid w:val="003E7ABC"/>
    <w:rsid w:val="003E7B3F"/>
    <w:rsid w:val="003F0091"/>
    <w:rsid w:val="003F009D"/>
    <w:rsid w:val="003F02EE"/>
    <w:rsid w:val="003F0CE1"/>
    <w:rsid w:val="003F1035"/>
    <w:rsid w:val="003F12C5"/>
    <w:rsid w:val="003F1359"/>
    <w:rsid w:val="003F1E39"/>
    <w:rsid w:val="003F2060"/>
    <w:rsid w:val="003F262C"/>
    <w:rsid w:val="003F277F"/>
    <w:rsid w:val="003F2783"/>
    <w:rsid w:val="003F2DC1"/>
    <w:rsid w:val="003F3169"/>
    <w:rsid w:val="003F321F"/>
    <w:rsid w:val="003F3505"/>
    <w:rsid w:val="003F3C73"/>
    <w:rsid w:val="003F4897"/>
    <w:rsid w:val="003F5483"/>
    <w:rsid w:val="003F569F"/>
    <w:rsid w:val="003F5801"/>
    <w:rsid w:val="003F5D48"/>
    <w:rsid w:val="003F5DAA"/>
    <w:rsid w:val="003F5E01"/>
    <w:rsid w:val="003F5F7B"/>
    <w:rsid w:val="003F6358"/>
    <w:rsid w:val="003F6518"/>
    <w:rsid w:val="003F6636"/>
    <w:rsid w:val="003F6A4A"/>
    <w:rsid w:val="003F6F48"/>
    <w:rsid w:val="003F718E"/>
    <w:rsid w:val="003F73EA"/>
    <w:rsid w:val="003F7448"/>
    <w:rsid w:val="003F77A4"/>
    <w:rsid w:val="003F794E"/>
    <w:rsid w:val="003F7CD0"/>
    <w:rsid w:val="003F7D1A"/>
    <w:rsid w:val="0040007C"/>
    <w:rsid w:val="004004A9"/>
    <w:rsid w:val="0040053F"/>
    <w:rsid w:val="0040058B"/>
    <w:rsid w:val="00400600"/>
    <w:rsid w:val="004007CD"/>
    <w:rsid w:val="00400B72"/>
    <w:rsid w:val="00400E88"/>
    <w:rsid w:val="0040119A"/>
    <w:rsid w:val="004012E6"/>
    <w:rsid w:val="004017CF"/>
    <w:rsid w:val="00401D12"/>
    <w:rsid w:val="00401D97"/>
    <w:rsid w:val="00402C56"/>
    <w:rsid w:val="00403024"/>
    <w:rsid w:val="0040364D"/>
    <w:rsid w:val="00403CE3"/>
    <w:rsid w:val="00403E59"/>
    <w:rsid w:val="0040403A"/>
    <w:rsid w:val="00404609"/>
    <w:rsid w:val="004046D8"/>
    <w:rsid w:val="0040492F"/>
    <w:rsid w:val="00404F1D"/>
    <w:rsid w:val="00405181"/>
    <w:rsid w:val="00405A5F"/>
    <w:rsid w:val="00405C0A"/>
    <w:rsid w:val="00405E74"/>
    <w:rsid w:val="00407959"/>
    <w:rsid w:val="004104C3"/>
    <w:rsid w:val="00410A98"/>
    <w:rsid w:val="00410F5E"/>
    <w:rsid w:val="00411908"/>
    <w:rsid w:val="004121BD"/>
    <w:rsid w:val="0041222F"/>
    <w:rsid w:val="00412380"/>
    <w:rsid w:val="00412719"/>
    <w:rsid w:val="00412C98"/>
    <w:rsid w:val="00412DBB"/>
    <w:rsid w:val="0041320D"/>
    <w:rsid w:val="00413665"/>
    <w:rsid w:val="0041376B"/>
    <w:rsid w:val="004137EF"/>
    <w:rsid w:val="00413827"/>
    <w:rsid w:val="00413EB1"/>
    <w:rsid w:val="004145B6"/>
    <w:rsid w:val="00414670"/>
    <w:rsid w:val="004158F9"/>
    <w:rsid w:val="004159EA"/>
    <w:rsid w:val="00416485"/>
    <w:rsid w:val="00416727"/>
    <w:rsid w:val="00416D3F"/>
    <w:rsid w:val="004172A4"/>
    <w:rsid w:val="004175D6"/>
    <w:rsid w:val="00417B88"/>
    <w:rsid w:val="00417DD8"/>
    <w:rsid w:val="004208D9"/>
    <w:rsid w:val="00420CD9"/>
    <w:rsid w:val="00421518"/>
    <w:rsid w:val="00421E7C"/>
    <w:rsid w:val="00422ABD"/>
    <w:rsid w:val="00422B4E"/>
    <w:rsid w:val="00422FF6"/>
    <w:rsid w:val="004231FD"/>
    <w:rsid w:val="00423486"/>
    <w:rsid w:val="00423668"/>
    <w:rsid w:val="00424227"/>
    <w:rsid w:val="00424C53"/>
    <w:rsid w:val="00425814"/>
    <w:rsid w:val="00425BE8"/>
    <w:rsid w:val="00425C5F"/>
    <w:rsid w:val="00426286"/>
    <w:rsid w:val="00426F6A"/>
    <w:rsid w:val="00427A24"/>
    <w:rsid w:val="00427F6B"/>
    <w:rsid w:val="0043073D"/>
    <w:rsid w:val="0043119B"/>
    <w:rsid w:val="0043139F"/>
    <w:rsid w:val="004313D1"/>
    <w:rsid w:val="004318EB"/>
    <w:rsid w:val="00431C4A"/>
    <w:rsid w:val="00431C71"/>
    <w:rsid w:val="00431CDB"/>
    <w:rsid w:val="00432DFF"/>
    <w:rsid w:val="004331C3"/>
    <w:rsid w:val="00433229"/>
    <w:rsid w:val="0043323A"/>
    <w:rsid w:val="0043348B"/>
    <w:rsid w:val="00433572"/>
    <w:rsid w:val="004335B1"/>
    <w:rsid w:val="004337AF"/>
    <w:rsid w:val="004337CC"/>
    <w:rsid w:val="004338D4"/>
    <w:rsid w:val="00435F85"/>
    <w:rsid w:val="0043622B"/>
    <w:rsid w:val="00436BBC"/>
    <w:rsid w:val="00436E0B"/>
    <w:rsid w:val="0043714B"/>
    <w:rsid w:val="00437176"/>
    <w:rsid w:val="004374E9"/>
    <w:rsid w:val="004401DF"/>
    <w:rsid w:val="00440E9B"/>
    <w:rsid w:val="004418B6"/>
    <w:rsid w:val="00441E87"/>
    <w:rsid w:val="00442624"/>
    <w:rsid w:val="004427F7"/>
    <w:rsid w:val="004428EF"/>
    <w:rsid w:val="00442A58"/>
    <w:rsid w:val="00443751"/>
    <w:rsid w:val="00443D0B"/>
    <w:rsid w:val="00443D9B"/>
    <w:rsid w:val="00444039"/>
    <w:rsid w:val="004444FB"/>
    <w:rsid w:val="004448CC"/>
    <w:rsid w:val="00444E84"/>
    <w:rsid w:val="00444FDF"/>
    <w:rsid w:val="00445136"/>
    <w:rsid w:val="00445717"/>
    <w:rsid w:val="00445C6A"/>
    <w:rsid w:val="00447247"/>
    <w:rsid w:val="004507FD"/>
    <w:rsid w:val="00450E57"/>
    <w:rsid w:val="00450F16"/>
    <w:rsid w:val="00451267"/>
    <w:rsid w:val="00451B39"/>
    <w:rsid w:val="00451B94"/>
    <w:rsid w:val="00452D8C"/>
    <w:rsid w:val="00452E64"/>
    <w:rsid w:val="00452F2D"/>
    <w:rsid w:val="004533F7"/>
    <w:rsid w:val="00453CA2"/>
    <w:rsid w:val="004542FA"/>
    <w:rsid w:val="00454B0C"/>
    <w:rsid w:val="00454E5C"/>
    <w:rsid w:val="00455A44"/>
    <w:rsid w:val="00456409"/>
    <w:rsid w:val="00456FC8"/>
    <w:rsid w:val="004571EC"/>
    <w:rsid w:val="00457261"/>
    <w:rsid w:val="00457B4C"/>
    <w:rsid w:val="00457E0E"/>
    <w:rsid w:val="00457E74"/>
    <w:rsid w:val="0046041E"/>
    <w:rsid w:val="00460AA0"/>
    <w:rsid w:val="00460EC2"/>
    <w:rsid w:val="00460F27"/>
    <w:rsid w:val="004610C4"/>
    <w:rsid w:val="004616C2"/>
    <w:rsid w:val="00461C34"/>
    <w:rsid w:val="00461CCF"/>
    <w:rsid w:val="00461DA4"/>
    <w:rsid w:val="00461E9B"/>
    <w:rsid w:val="004628BF"/>
    <w:rsid w:val="004629A9"/>
    <w:rsid w:val="00462A67"/>
    <w:rsid w:val="004633DA"/>
    <w:rsid w:val="004635E3"/>
    <w:rsid w:val="00463E78"/>
    <w:rsid w:val="00463E7F"/>
    <w:rsid w:val="00464220"/>
    <w:rsid w:val="004643A5"/>
    <w:rsid w:val="00464576"/>
    <w:rsid w:val="0046483D"/>
    <w:rsid w:val="00464CD5"/>
    <w:rsid w:val="00465676"/>
    <w:rsid w:val="00465D99"/>
    <w:rsid w:val="00465E0A"/>
    <w:rsid w:val="00465EAB"/>
    <w:rsid w:val="00465F8B"/>
    <w:rsid w:val="00466031"/>
    <w:rsid w:val="004661ED"/>
    <w:rsid w:val="00466DB6"/>
    <w:rsid w:val="00466ED0"/>
    <w:rsid w:val="00467420"/>
    <w:rsid w:val="00467766"/>
    <w:rsid w:val="0047067C"/>
    <w:rsid w:val="00470AC0"/>
    <w:rsid w:val="00470CA0"/>
    <w:rsid w:val="00471073"/>
    <w:rsid w:val="0047209E"/>
    <w:rsid w:val="0047248C"/>
    <w:rsid w:val="0047253B"/>
    <w:rsid w:val="0047254F"/>
    <w:rsid w:val="00472690"/>
    <w:rsid w:val="00472A2E"/>
    <w:rsid w:val="00472C21"/>
    <w:rsid w:val="00472D72"/>
    <w:rsid w:val="00473B88"/>
    <w:rsid w:val="00473CDA"/>
    <w:rsid w:val="0047483B"/>
    <w:rsid w:val="00474BBA"/>
    <w:rsid w:val="00474C8F"/>
    <w:rsid w:val="00474FDA"/>
    <w:rsid w:val="00475118"/>
    <w:rsid w:val="004751F8"/>
    <w:rsid w:val="004752C3"/>
    <w:rsid w:val="00475531"/>
    <w:rsid w:val="00475CDC"/>
    <w:rsid w:val="00475D82"/>
    <w:rsid w:val="00475F1D"/>
    <w:rsid w:val="004760F3"/>
    <w:rsid w:val="0047619E"/>
    <w:rsid w:val="00476B39"/>
    <w:rsid w:val="00476BEC"/>
    <w:rsid w:val="00476D30"/>
    <w:rsid w:val="00477078"/>
    <w:rsid w:val="004771B8"/>
    <w:rsid w:val="00481BB3"/>
    <w:rsid w:val="00481E7E"/>
    <w:rsid w:val="004822AF"/>
    <w:rsid w:val="0048273B"/>
    <w:rsid w:val="00482799"/>
    <w:rsid w:val="0048295B"/>
    <w:rsid w:val="00482B2F"/>
    <w:rsid w:val="00482DA4"/>
    <w:rsid w:val="00482E18"/>
    <w:rsid w:val="0048338D"/>
    <w:rsid w:val="00483A66"/>
    <w:rsid w:val="00483DEA"/>
    <w:rsid w:val="00484776"/>
    <w:rsid w:val="00484BA6"/>
    <w:rsid w:val="00484CD5"/>
    <w:rsid w:val="00484F43"/>
    <w:rsid w:val="00485344"/>
    <w:rsid w:val="0048552C"/>
    <w:rsid w:val="004860AC"/>
    <w:rsid w:val="00486477"/>
    <w:rsid w:val="00486CDE"/>
    <w:rsid w:val="00487553"/>
    <w:rsid w:val="004875FC"/>
    <w:rsid w:val="00487644"/>
    <w:rsid w:val="00487D26"/>
    <w:rsid w:val="00487D34"/>
    <w:rsid w:val="00490C9B"/>
    <w:rsid w:val="00490D45"/>
    <w:rsid w:val="00490FDA"/>
    <w:rsid w:val="00491018"/>
    <w:rsid w:val="0049104A"/>
    <w:rsid w:val="00491580"/>
    <w:rsid w:val="00491B85"/>
    <w:rsid w:val="00492177"/>
    <w:rsid w:val="0049220A"/>
    <w:rsid w:val="0049221D"/>
    <w:rsid w:val="00492418"/>
    <w:rsid w:val="00492A5B"/>
    <w:rsid w:val="00492D83"/>
    <w:rsid w:val="00493EA2"/>
    <w:rsid w:val="004949D4"/>
    <w:rsid w:val="004950BB"/>
    <w:rsid w:val="00495248"/>
    <w:rsid w:val="00495373"/>
    <w:rsid w:val="0049560E"/>
    <w:rsid w:val="004956F1"/>
    <w:rsid w:val="00496B26"/>
    <w:rsid w:val="00497A8F"/>
    <w:rsid w:val="004A004B"/>
    <w:rsid w:val="004A0326"/>
    <w:rsid w:val="004A05D8"/>
    <w:rsid w:val="004A0699"/>
    <w:rsid w:val="004A0F7E"/>
    <w:rsid w:val="004A1792"/>
    <w:rsid w:val="004A1942"/>
    <w:rsid w:val="004A197A"/>
    <w:rsid w:val="004A268B"/>
    <w:rsid w:val="004A28DE"/>
    <w:rsid w:val="004A2CB7"/>
    <w:rsid w:val="004A3F42"/>
    <w:rsid w:val="004A4476"/>
    <w:rsid w:val="004A5105"/>
    <w:rsid w:val="004A513B"/>
    <w:rsid w:val="004A52CA"/>
    <w:rsid w:val="004A5517"/>
    <w:rsid w:val="004A5E16"/>
    <w:rsid w:val="004A5FF9"/>
    <w:rsid w:val="004A6054"/>
    <w:rsid w:val="004A6193"/>
    <w:rsid w:val="004A642F"/>
    <w:rsid w:val="004A64AA"/>
    <w:rsid w:val="004A68D0"/>
    <w:rsid w:val="004A6B9D"/>
    <w:rsid w:val="004A75BE"/>
    <w:rsid w:val="004A7631"/>
    <w:rsid w:val="004A7BE4"/>
    <w:rsid w:val="004A7D57"/>
    <w:rsid w:val="004B0150"/>
    <w:rsid w:val="004B01BD"/>
    <w:rsid w:val="004B026F"/>
    <w:rsid w:val="004B043D"/>
    <w:rsid w:val="004B0509"/>
    <w:rsid w:val="004B0775"/>
    <w:rsid w:val="004B0DFA"/>
    <w:rsid w:val="004B0FC7"/>
    <w:rsid w:val="004B139B"/>
    <w:rsid w:val="004B1575"/>
    <w:rsid w:val="004B215E"/>
    <w:rsid w:val="004B21F9"/>
    <w:rsid w:val="004B282E"/>
    <w:rsid w:val="004B2B0A"/>
    <w:rsid w:val="004B2B15"/>
    <w:rsid w:val="004B2B77"/>
    <w:rsid w:val="004B2BEA"/>
    <w:rsid w:val="004B32B0"/>
    <w:rsid w:val="004B439C"/>
    <w:rsid w:val="004B4459"/>
    <w:rsid w:val="004B4898"/>
    <w:rsid w:val="004B6406"/>
    <w:rsid w:val="004B682B"/>
    <w:rsid w:val="004B69E0"/>
    <w:rsid w:val="004B7093"/>
    <w:rsid w:val="004B775F"/>
    <w:rsid w:val="004B7774"/>
    <w:rsid w:val="004B78BD"/>
    <w:rsid w:val="004B79DA"/>
    <w:rsid w:val="004C0155"/>
    <w:rsid w:val="004C034C"/>
    <w:rsid w:val="004C04DD"/>
    <w:rsid w:val="004C072A"/>
    <w:rsid w:val="004C1639"/>
    <w:rsid w:val="004C1977"/>
    <w:rsid w:val="004C19AF"/>
    <w:rsid w:val="004C1B6D"/>
    <w:rsid w:val="004C1B7E"/>
    <w:rsid w:val="004C23F8"/>
    <w:rsid w:val="004C2769"/>
    <w:rsid w:val="004C2FD6"/>
    <w:rsid w:val="004C3CA8"/>
    <w:rsid w:val="004C3D5E"/>
    <w:rsid w:val="004C3E43"/>
    <w:rsid w:val="004C3F45"/>
    <w:rsid w:val="004C3FE5"/>
    <w:rsid w:val="004C4B44"/>
    <w:rsid w:val="004C4B83"/>
    <w:rsid w:val="004C4C8C"/>
    <w:rsid w:val="004C5564"/>
    <w:rsid w:val="004C578B"/>
    <w:rsid w:val="004C57FD"/>
    <w:rsid w:val="004C5964"/>
    <w:rsid w:val="004C6279"/>
    <w:rsid w:val="004C658D"/>
    <w:rsid w:val="004C6772"/>
    <w:rsid w:val="004C6D48"/>
    <w:rsid w:val="004C7A22"/>
    <w:rsid w:val="004C7A44"/>
    <w:rsid w:val="004D03E7"/>
    <w:rsid w:val="004D0A18"/>
    <w:rsid w:val="004D0C12"/>
    <w:rsid w:val="004D0E1B"/>
    <w:rsid w:val="004D0E43"/>
    <w:rsid w:val="004D149F"/>
    <w:rsid w:val="004D14D8"/>
    <w:rsid w:val="004D19C2"/>
    <w:rsid w:val="004D228F"/>
    <w:rsid w:val="004D3A10"/>
    <w:rsid w:val="004D3E5E"/>
    <w:rsid w:val="004D3EEF"/>
    <w:rsid w:val="004D3F1D"/>
    <w:rsid w:val="004D3FA0"/>
    <w:rsid w:val="004D4A1D"/>
    <w:rsid w:val="004D4C54"/>
    <w:rsid w:val="004D4DFB"/>
    <w:rsid w:val="004D4E06"/>
    <w:rsid w:val="004D54EB"/>
    <w:rsid w:val="004D5540"/>
    <w:rsid w:val="004D5713"/>
    <w:rsid w:val="004D5ECC"/>
    <w:rsid w:val="004D69A4"/>
    <w:rsid w:val="004D6C64"/>
    <w:rsid w:val="004D708E"/>
    <w:rsid w:val="004D72BE"/>
    <w:rsid w:val="004D78F2"/>
    <w:rsid w:val="004D7DD1"/>
    <w:rsid w:val="004D7EE8"/>
    <w:rsid w:val="004E0738"/>
    <w:rsid w:val="004E090A"/>
    <w:rsid w:val="004E14F1"/>
    <w:rsid w:val="004E174E"/>
    <w:rsid w:val="004E1D47"/>
    <w:rsid w:val="004E1D4A"/>
    <w:rsid w:val="004E254D"/>
    <w:rsid w:val="004E2852"/>
    <w:rsid w:val="004E40FE"/>
    <w:rsid w:val="004E4451"/>
    <w:rsid w:val="004E4913"/>
    <w:rsid w:val="004E4A2F"/>
    <w:rsid w:val="004E5C33"/>
    <w:rsid w:val="004E6BEE"/>
    <w:rsid w:val="004E6E7D"/>
    <w:rsid w:val="004E6EAC"/>
    <w:rsid w:val="004E76C4"/>
    <w:rsid w:val="004E77D7"/>
    <w:rsid w:val="004E7A1F"/>
    <w:rsid w:val="004F0230"/>
    <w:rsid w:val="004F0670"/>
    <w:rsid w:val="004F074D"/>
    <w:rsid w:val="004F1003"/>
    <w:rsid w:val="004F11FE"/>
    <w:rsid w:val="004F1243"/>
    <w:rsid w:val="004F1523"/>
    <w:rsid w:val="004F17F1"/>
    <w:rsid w:val="004F2414"/>
    <w:rsid w:val="004F2C36"/>
    <w:rsid w:val="004F2D1B"/>
    <w:rsid w:val="004F2E17"/>
    <w:rsid w:val="004F2EC2"/>
    <w:rsid w:val="004F339C"/>
    <w:rsid w:val="004F36A2"/>
    <w:rsid w:val="004F3D0E"/>
    <w:rsid w:val="004F3F74"/>
    <w:rsid w:val="004F4211"/>
    <w:rsid w:val="004F43C0"/>
    <w:rsid w:val="004F4474"/>
    <w:rsid w:val="004F4B2E"/>
    <w:rsid w:val="004F4E1F"/>
    <w:rsid w:val="004F5566"/>
    <w:rsid w:val="004F5793"/>
    <w:rsid w:val="004F57A9"/>
    <w:rsid w:val="004F58A1"/>
    <w:rsid w:val="004F5A8D"/>
    <w:rsid w:val="004F602C"/>
    <w:rsid w:val="004F707F"/>
    <w:rsid w:val="004F7223"/>
    <w:rsid w:val="004F7468"/>
    <w:rsid w:val="004F75F3"/>
    <w:rsid w:val="00500B92"/>
    <w:rsid w:val="005011E3"/>
    <w:rsid w:val="005012A4"/>
    <w:rsid w:val="00501837"/>
    <w:rsid w:val="00501886"/>
    <w:rsid w:val="00501EF6"/>
    <w:rsid w:val="00502998"/>
    <w:rsid w:val="005029D4"/>
    <w:rsid w:val="00502E9D"/>
    <w:rsid w:val="00503843"/>
    <w:rsid w:val="005038D7"/>
    <w:rsid w:val="0050446C"/>
    <w:rsid w:val="0050496A"/>
    <w:rsid w:val="00504BF5"/>
    <w:rsid w:val="00504C3F"/>
    <w:rsid w:val="00505109"/>
    <w:rsid w:val="00505707"/>
    <w:rsid w:val="00505714"/>
    <w:rsid w:val="00505AE5"/>
    <w:rsid w:val="00505CEF"/>
    <w:rsid w:val="00506996"/>
    <w:rsid w:val="00506CE6"/>
    <w:rsid w:val="00506DB4"/>
    <w:rsid w:val="00506F24"/>
    <w:rsid w:val="00507C8F"/>
    <w:rsid w:val="0051070B"/>
    <w:rsid w:val="00510A0A"/>
    <w:rsid w:val="00510A12"/>
    <w:rsid w:val="00510B88"/>
    <w:rsid w:val="00510E19"/>
    <w:rsid w:val="00511525"/>
    <w:rsid w:val="0051160F"/>
    <w:rsid w:val="00511652"/>
    <w:rsid w:val="005116FA"/>
    <w:rsid w:val="00511B07"/>
    <w:rsid w:val="00511D31"/>
    <w:rsid w:val="00511E5D"/>
    <w:rsid w:val="00511FD1"/>
    <w:rsid w:val="0051239F"/>
    <w:rsid w:val="00512821"/>
    <w:rsid w:val="00512D89"/>
    <w:rsid w:val="0051334D"/>
    <w:rsid w:val="00514031"/>
    <w:rsid w:val="005142BB"/>
    <w:rsid w:val="005145D1"/>
    <w:rsid w:val="00514659"/>
    <w:rsid w:val="00514722"/>
    <w:rsid w:val="00515052"/>
    <w:rsid w:val="00516643"/>
    <w:rsid w:val="00516791"/>
    <w:rsid w:val="005167F2"/>
    <w:rsid w:val="0051685B"/>
    <w:rsid w:val="00516BA3"/>
    <w:rsid w:val="00516DFB"/>
    <w:rsid w:val="005170F6"/>
    <w:rsid w:val="005170FA"/>
    <w:rsid w:val="00517545"/>
    <w:rsid w:val="005178FB"/>
    <w:rsid w:val="00517E25"/>
    <w:rsid w:val="00517F72"/>
    <w:rsid w:val="00517FA3"/>
    <w:rsid w:val="00517FB0"/>
    <w:rsid w:val="0052025A"/>
    <w:rsid w:val="00520726"/>
    <w:rsid w:val="0052088B"/>
    <w:rsid w:val="0052092B"/>
    <w:rsid w:val="00520A22"/>
    <w:rsid w:val="00520FF4"/>
    <w:rsid w:val="0052102A"/>
    <w:rsid w:val="00521076"/>
    <w:rsid w:val="005213B7"/>
    <w:rsid w:val="005215E4"/>
    <w:rsid w:val="00521842"/>
    <w:rsid w:val="00521A30"/>
    <w:rsid w:val="00521B1B"/>
    <w:rsid w:val="00521E64"/>
    <w:rsid w:val="00522267"/>
    <w:rsid w:val="005222D7"/>
    <w:rsid w:val="0052248E"/>
    <w:rsid w:val="00522DAB"/>
    <w:rsid w:val="00522FC8"/>
    <w:rsid w:val="00523127"/>
    <w:rsid w:val="00523157"/>
    <w:rsid w:val="00523976"/>
    <w:rsid w:val="00523CF3"/>
    <w:rsid w:val="00523E5E"/>
    <w:rsid w:val="0052436E"/>
    <w:rsid w:val="00525139"/>
    <w:rsid w:val="00525D61"/>
    <w:rsid w:val="00525DEC"/>
    <w:rsid w:val="0052622B"/>
    <w:rsid w:val="005265AA"/>
    <w:rsid w:val="005279F4"/>
    <w:rsid w:val="00527DEB"/>
    <w:rsid w:val="00527E5A"/>
    <w:rsid w:val="005301E4"/>
    <w:rsid w:val="00530745"/>
    <w:rsid w:val="00530857"/>
    <w:rsid w:val="00530ABE"/>
    <w:rsid w:val="00530E49"/>
    <w:rsid w:val="00531062"/>
    <w:rsid w:val="0053126F"/>
    <w:rsid w:val="00532260"/>
    <w:rsid w:val="00532A6F"/>
    <w:rsid w:val="00533464"/>
    <w:rsid w:val="00533918"/>
    <w:rsid w:val="00533AD4"/>
    <w:rsid w:val="00533FAD"/>
    <w:rsid w:val="00534906"/>
    <w:rsid w:val="005349E2"/>
    <w:rsid w:val="00534AE7"/>
    <w:rsid w:val="00534F77"/>
    <w:rsid w:val="00535086"/>
    <w:rsid w:val="0053517B"/>
    <w:rsid w:val="005352F3"/>
    <w:rsid w:val="005353E8"/>
    <w:rsid w:val="0053553B"/>
    <w:rsid w:val="00535869"/>
    <w:rsid w:val="00535C85"/>
    <w:rsid w:val="00535E60"/>
    <w:rsid w:val="00536546"/>
    <w:rsid w:val="0053702C"/>
    <w:rsid w:val="005402BD"/>
    <w:rsid w:val="005403CC"/>
    <w:rsid w:val="00540D72"/>
    <w:rsid w:val="00540DE1"/>
    <w:rsid w:val="005416BF"/>
    <w:rsid w:val="0054185D"/>
    <w:rsid w:val="00541EF3"/>
    <w:rsid w:val="00542149"/>
    <w:rsid w:val="0054295C"/>
    <w:rsid w:val="005429BA"/>
    <w:rsid w:val="00543015"/>
    <w:rsid w:val="00543024"/>
    <w:rsid w:val="00543438"/>
    <w:rsid w:val="00543499"/>
    <w:rsid w:val="00543621"/>
    <w:rsid w:val="00543803"/>
    <w:rsid w:val="0054394B"/>
    <w:rsid w:val="005439C6"/>
    <w:rsid w:val="00543DC0"/>
    <w:rsid w:val="00544048"/>
    <w:rsid w:val="005442C7"/>
    <w:rsid w:val="0054499C"/>
    <w:rsid w:val="005449B3"/>
    <w:rsid w:val="00544B16"/>
    <w:rsid w:val="005454FA"/>
    <w:rsid w:val="005457F2"/>
    <w:rsid w:val="005459DD"/>
    <w:rsid w:val="00545AD9"/>
    <w:rsid w:val="00546153"/>
    <w:rsid w:val="00546407"/>
    <w:rsid w:val="00546CE2"/>
    <w:rsid w:val="005470D4"/>
    <w:rsid w:val="00547241"/>
    <w:rsid w:val="00547765"/>
    <w:rsid w:val="00547826"/>
    <w:rsid w:val="00547CBD"/>
    <w:rsid w:val="00550089"/>
    <w:rsid w:val="00550178"/>
    <w:rsid w:val="005502BD"/>
    <w:rsid w:val="00550536"/>
    <w:rsid w:val="00551349"/>
    <w:rsid w:val="005517EE"/>
    <w:rsid w:val="00551F82"/>
    <w:rsid w:val="00552E42"/>
    <w:rsid w:val="005538BF"/>
    <w:rsid w:val="00553D80"/>
    <w:rsid w:val="0055456C"/>
    <w:rsid w:val="00554A9E"/>
    <w:rsid w:val="00554F99"/>
    <w:rsid w:val="005559B0"/>
    <w:rsid w:val="00555E55"/>
    <w:rsid w:val="00555EBF"/>
    <w:rsid w:val="005565E4"/>
    <w:rsid w:val="0055689F"/>
    <w:rsid w:val="00556977"/>
    <w:rsid w:val="00556BF6"/>
    <w:rsid w:val="005570B4"/>
    <w:rsid w:val="00557B39"/>
    <w:rsid w:val="00557C77"/>
    <w:rsid w:val="00557E84"/>
    <w:rsid w:val="00557F86"/>
    <w:rsid w:val="00557FCB"/>
    <w:rsid w:val="00560086"/>
    <w:rsid w:val="0056026B"/>
    <w:rsid w:val="00560511"/>
    <w:rsid w:val="00560C02"/>
    <w:rsid w:val="00561555"/>
    <w:rsid w:val="00561908"/>
    <w:rsid w:val="00561A8C"/>
    <w:rsid w:val="005625F4"/>
    <w:rsid w:val="00562755"/>
    <w:rsid w:val="0056315A"/>
    <w:rsid w:val="00564035"/>
    <w:rsid w:val="0056432B"/>
    <w:rsid w:val="005644D3"/>
    <w:rsid w:val="00564607"/>
    <w:rsid w:val="00564E47"/>
    <w:rsid w:val="00564ED1"/>
    <w:rsid w:val="00565D59"/>
    <w:rsid w:val="00565DD5"/>
    <w:rsid w:val="00565F6E"/>
    <w:rsid w:val="00566AAB"/>
    <w:rsid w:val="00566C57"/>
    <w:rsid w:val="00566C7E"/>
    <w:rsid w:val="00567245"/>
    <w:rsid w:val="00567772"/>
    <w:rsid w:val="00567806"/>
    <w:rsid w:val="00567DDD"/>
    <w:rsid w:val="0057055C"/>
    <w:rsid w:val="005712CA"/>
    <w:rsid w:val="005717E1"/>
    <w:rsid w:val="005719C8"/>
    <w:rsid w:val="00571F48"/>
    <w:rsid w:val="005722A6"/>
    <w:rsid w:val="005726A9"/>
    <w:rsid w:val="00572C99"/>
    <w:rsid w:val="00572F27"/>
    <w:rsid w:val="00572F85"/>
    <w:rsid w:val="005739D4"/>
    <w:rsid w:val="00574642"/>
    <w:rsid w:val="00574684"/>
    <w:rsid w:val="00574F90"/>
    <w:rsid w:val="00574F9B"/>
    <w:rsid w:val="005750E4"/>
    <w:rsid w:val="00575DA2"/>
    <w:rsid w:val="00576443"/>
    <w:rsid w:val="00576823"/>
    <w:rsid w:val="00577335"/>
    <w:rsid w:val="00577BA4"/>
    <w:rsid w:val="00580189"/>
    <w:rsid w:val="00580277"/>
    <w:rsid w:val="00580681"/>
    <w:rsid w:val="00580E63"/>
    <w:rsid w:val="00580F15"/>
    <w:rsid w:val="0058135D"/>
    <w:rsid w:val="00581786"/>
    <w:rsid w:val="00581F3C"/>
    <w:rsid w:val="005822E7"/>
    <w:rsid w:val="00582A1F"/>
    <w:rsid w:val="00582C55"/>
    <w:rsid w:val="005830E8"/>
    <w:rsid w:val="0058313E"/>
    <w:rsid w:val="005834B1"/>
    <w:rsid w:val="00584402"/>
    <w:rsid w:val="00584E55"/>
    <w:rsid w:val="00584F0C"/>
    <w:rsid w:val="00584FBD"/>
    <w:rsid w:val="00585425"/>
    <w:rsid w:val="0058565E"/>
    <w:rsid w:val="005857AA"/>
    <w:rsid w:val="00585CDC"/>
    <w:rsid w:val="00585E1E"/>
    <w:rsid w:val="00585E2A"/>
    <w:rsid w:val="005862D1"/>
    <w:rsid w:val="0058634D"/>
    <w:rsid w:val="005864B1"/>
    <w:rsid w:val="00586859"/>
    <w:rsid w:val="00587D2D"/>
    <w:rsid w:val="00587FFE"/>
    <w:rsid w:val="005909FE"/>
    <w:rsid w:val="00590A90"/>
    <w:rsid w:val="005925A9"/>
    <w:rsid w:val="00592638"/>
    <w:rsid w:val="005927B8"/>
    <w:rsid w:val="0059283C"/>
    <w:rsid w:val="0059339C"/>
    <w:rsid w:val="005934D9"/>
    <w:rsid w:val="0059361B"/>
    <w:rsid w:val="00594BE1"/>
    <w:rsid w:val="00594C99"/>
    <w:rsid w:val="00594CE1"/>
    <w:rsid w:val="00594D63"/>
    <w:rsid w:val="00594E63"/>
    <w:rsid w:val="0059559D"/>
    <w:rsid w:val="00596C41"/>
    <w:rsid w:val="00597827"/>
    <w:rsid w:val="00597C24"/>
    <w:rsid w:val="00597F3D"/>
    <w:rsid w:val="005A0064"/>
    <w:rsid w:val="005A0301"/>
    <w:rsid w:val="005A0A7B"/>
    <w:rsid w:val="005A1356"/>
    <w:rsid w:val="005A1935"/>
    <w:rsid w:val="005A19F2"/>
    <w:rsid w:val="005A1BC3"/>
    <w:rsid w:val="005A1C0B"/>
    <w:rsid w:val="005A1D24"/>
    <w:rsid w:val="005A1D82"/>
    <w:rsid w:val="005A1FA7"/>
    <w:rsid w:val="005A208F"/>
    <w:rsid w:val="005A2553"/>
    <w:rsid w:val="005A2822"/>
    <w:rsid w:val="005A2978"/>
    <w:rsid w:val="005A2D87"/>
    <w:rsid w:val="005A3AC7"/>
    <w:rsid w:val="005A4665"/>
    <w:rsid w:val="005A4972"/>
    <w:rsid w:val="005A4B08"/>
    <w:rsid w:val="005A5E6A"/>
    <w:rsid w:val="005A64E8"/>
    <w:rsid w:val="005A6CD3"/>
    <w:rsid w:val="005A783A"/>
    <w:rsid w:val="005A7C55"/>
    <w:rsid w:val="005A7DA0"/>
    <w:rsid w:val="005A7FEA"/>
    <w:rsid w:val="005B007F"/>
    <w:rsid w:val="005B0306"/>
    <w:rsid w:val="005B0957"/>
    <w:rsid w:val="005B12AF"/>
    <w:rsid w:val="005B149F"/>
    <w:rsid w:val="005B1556"/>
    <w:rsid w:val="005B19B7"/>
    <w:rsid w:val="005B22A2"/>
    <w:rsid w:val="005B22A5"/>
    <w:rsid w:val="005B3173"/>
    <w:rsid w:val="005B3286"/>
    <w:rsid w:val="005B34FF"/>
    <w:rsid w:val="005B4151"/>
    <w:rsid w:val="005B4F9D"/>
    <w:rsid w:val="005B5731"/>
    <w:rsid w:val="005B6022"/>
    <w:rsid w:val="005B60F3"/>
    <w:rsid w:val="005B6226"/>
    <w:rsid w:val="005B6528"/>
    <w:rsid w:val="005B6EBC"/>
    <w:rsid w:val="005B6F2B"/>
    <w:rsid w:val="005B7D10"/>
    <w:rsid w:val="005C06E6"/>
    <w:rsid w:val="005C0901"/>
    <w:rsid w:val="005C0B72"/>
    <w:rsid w:val="005C1747"/>
    <w:rsid w:val="005C1845"/>
    <w:rsid w:val="005C2600"/>
    <w:rsid w:val="005C2AF2"/>
    <w:rsid w:val="005C2F89"/>
    <w:rsid w:val="005C30AB"/>
    <w:rsid w:val="005C358C"/>
    <w:rsid w:val="005C4C1D"/>
    <w:rsid w:val="005C4E6A"/>
    <w:rsid w:val="005C5239"/>
    <w:rsid w:val="005C52FD"/>
    <w:rsid w:val="005C54E4"/>
    <w:rsid w:val="005C5CF7"/>
    <w:rsid w:val="005C5DC9"/>
    <w:rsid w:val="005C6292"/>
    <w:rsid w:val="005C64FE"/>
    <w:rsid w:val="005C6673"/>
    <w:rsid w:val="005C67CE"/>
    <w:rsid w:val="005C69A8"/>
    <w:rsid w:val="005C69D5"/>
    <w:rsid w:val="005C6CC2"/>
    <w:rsid w:val="005C7D54"/>
    <w:rsid w:val="005C7FC9"/>
    <w:rsid w:val="005D0B8A"/>
    <w:rsid w:val="005D188B"/>
    <w:rsid w:val="005D1AA1"/>
    <w:rsid w:val="005D275E"/>
    <w:rsid w:val="005D2D3B"/>
    <w:rsid w:val="005D3531"/>
    <w:rsid w:val="005D3592"/>
    <w:rsid w:val="005D3AB6"/>
    <w:rsid w:val="005D3F8C"/>
    <w:rsid w:val="005D4031"/>
    <w:rsid w:val="005D408F"/>
    <w:rsid w:val="005D4727"/>
    <w:rsid w:val="005D5415"/>
    <w:rsid w:val="005D5B55"/>
    <w:rsid w:val="005D5EBC"/>
    <w:rsid w:val="005D5F47"/>
    <w:rsid w:val="005D6011"/>
    <w:rsid w:val="005D65A6"/>
    <w:rsid w:val="005D6BEB"/>
    <w:rsid w:val="005D6C36"/>
    <w:rsid w:val="005D6ECB"/>
    <w:rsid w:val="005D76BF"/>
    <w:rsid w:val="005D7832"/>
    <w:rsid w:val="005D7B95"/>
    <w:rsid w:val="005D7D1A"/>
    <w:rsid w:val="005E062E"/>
    <w:rsid w:val="005E0A3F"/>
    <w:rsid w:val="005E10D0"/>
    <w:rsid w:val="005E12A3"/>
    <w:rsid w:val="005E13D3"/>
    <w:rsid w:val="005E1961"/>
    <w:rsid w:val="005E19DC"/>
    <w:rsid w:val="005E1F0E"/>
    <w:rsid w:val="005E2116"/>
    <w:rsid w:val="005E23B4"/>
    <w:rsid w:val="005E254D"/>
    <w:rsid w:val="005E29E6"/>
    <w:rsid w:val="005E2B11"/>
    <w:rsid w:val="005E2B35"/>
    <w:rsid w:val="005E30A1"/>
    <w:rsid w:val="005E3340"/>
    <w:rsid w:val="005E34B8"/>
    <w:rsid w:val="005E36C1"/>
    <w:rsid w:val="005E3997"/>
    <w:rsid w:val="005E3B31"/>
    <w:rsid w:val="005E44F0"/>
    <w:rsid w:val="005E4529"/>
    <w:rsid w:val="005E5AF2"/>
    <w:rsid w:val="005E5EE2"/>
    <w:rsid w:val="005E65B2"/>
    <w:rsid w:val="005E6726"/>
    <w:rsid w:val="005E6753"/>
    <w:rsid w:val="005E6962"/>
    <w:rsid w:val="005E696B"/>
    <w:rsid w:val="005E72BB"/>
    <w:rsid w:val="005E73AC"/>
    <w:rsid w:val="005E7699"/>
    <w:rsid w:val="005E7768"/>
    <w:rsid w:val="005E7803"/>
    <w:rsid w:val="005E7A6E"/>
    <w:rsid w:val="005E7DAF"/>
    <w:rsid w:val="005F011B"/>
    <w:rsid w:val="005F04D9"/>
    <w:rsid w:val="005F08AD"/>
    <w:rsid w:val="005F115A"/>
    <w:rsid w:val="005F17A9"/>
    <w:rsid w:val="005F17DA"/>
    <w:rsid w:val="005F18E3"/>
    <w:rsid w:val="005F1988"/>
    <w:rsid w:val="005F1BE7"/>
    <w:rsid w:val="005F1EA3"/>
    <w:rsid w:val="005F1EB4"/>
    <w:rsid w:val="005F1F61"/>
    <w:rsid w:val="005F1F95"/>
    <w:rsid w:val="005F20A6"/>
    <w:rsid w:val="005F2A9C"/>
    <w:rsid w:val="005F3036"/>
    <w:rsid w:val="005F3736"/>
    <w:rsid w:val="005F3871"/>
    <w:rsid w:val="005F393E"/>
    <w:rsid w:val="005F3B77"/>
    <w:rsid w:val="005F41BE"/>
    <w:rsid w:val="005F4BBD"/>
    <w:rsid w:val="005F5074"/>
    <w:rsid w:val="005F5477"/>
    <w:rsid w:val="005F5CCB"/>
    <w:rsid w:val="005F5D35"/>
    <w:rsid w:val="005F6E49"/>
    <w:rsid w:val="005F737B"/>
    <w:rsid w:val="005F746C"/>
    <w:rsid w:val="005F774D"/>
    <w:rsid w:val="005F799E"/>
    <w:rsid w:val="006000B0"/>
    <w:rsid w:val="00600638"/>
    <w:rsid w:val="006012C3"/>
    <w:rsid w:val="00601435"/>
    <w:rsid w:val="006016D0"/>
    <w:rsid w:val="00601A35"/>
    <w:rsid w:val="00601AAC"/>
    <w:rsid w:val="0060231C"/>
    <w:rsid w:val="006025C5"/>
    <w:rsid w:val="00602858"/>
    <w:rsid w:val="0060289C"/>
    <w:rsid w:val="00603C5A"/>
    <w:rsid w:val="0060419E"/>
    <w:rsid w:val="00604448"/>
    <w:rsid w:val="00604549"/>
    <w:rsid w:val="00604750"/>
    <w:rsid w:val="00604C4B"/>
    <w:rsid w:val="00605136"/>
    <w:rsid w:val="006052FE"/>
    <w:rsid w:val="0060614D"/>
    <w:rsid w:val="006067EC"/>
    <w:rsid w:val="00606961"/>
    <w:rsid w:val="00607343"/>
    <w:rsid w:val="00607415"/>
    <w:rsid w:val="00607650"/>
    <w:rsid w:val="006078C1"/>
    <w:rsid w:val="00607A02"/>
    <w:rsid w:val="00607C0D"/>
    <w:rsid w:val="006100F3"/>
    <w:rsid w:val="006104CB"/>
    <w:rsid w:val="00610693"/>
    <w:rsid w:val="00610BEC"/>
    <w:rsid w:val="006110A0"/>
    <w:rsid w:val="00611265"/>
    <w:rsid w:val="00611691"/>
    <w:rsid w:val="00611E04"/>
    <w:rsid w:val="00611EF0"/>
    <w:rsid w:val="00611F26"/>
    <w:rsid w:val="006121F9"/>
    <w:rsid w:val="00612503"/>
    <w:rsid w:val="006127D9"/>
    <w:rsid w:val="00612814"/>
    <w:rsid w:val="006130FD"/>
    <w:rsid w:val="0061325B"/>
    <w:rsid w:val="006132A4"/>
    <w:rsid w:val="006135B6"/>
    <w:rsid w:val="00613BE7"/>
    <w:rsid w:val="00613D14"/>
    <w:rsid w:val="00613DFA"/>
    <w:rsid w:val="0061401C"/>
    <w:rsid w:val="006142C3"/>
    <w:rsid w:val="00614619"/>
    <w:rsid w:val="006155FA"/>
    <w:rsid w:val="00615C07"/>
    <w:rsid w:val="00615D68"/>
    <w:rsid w:val="00616581"/>
    <w:rsid w:val="00616599"/>
    <w:rsid w:val="006167F0"/>
    <w:rsid w:val="006168CA"/>
    <w:rsid w:val="00616E01"/>
    <w:rsid w:val="0061736F"/>
    <w:rsid w:val="006179D1"/>
    <w:rsid w:val="0062025F"/>
    <w:rsid w:val="00620B43"/>
    <w:rsid w:val="00620EAD"/>
    <w:rsid w:val="006213B1"/>
    <w:rsid w:val="00621419"/>
    <w:rsid w:val="00621D0C"/>
    <w:rsid w:val="00622567"/>
    <w:rsid w:val="00622643"/>
    <w:rsid w:val="0062305C"/>
    <w:rsid w:val="00623092"/>
    <w:rsid w:val="006238A0"/>
    <w:rsid w:val="00623B42"/>
    <w:rsid w:val="00623CF8"/>
    <w:rsid w:val="006242F4"/>
    <w:rsid w:val="006244DE"/>
    <w:rsid w:val="006254D3"/>
    <w:rsid w:val="0062567F"/>
    <w:rsid w:val="00625AF1"/>
    <w:rsid w:val="00626106"/>
    <w:rsid w:val="0062620E"/>
    <w:rsid w:val="00626346"/>
    <w:rsid w:val="006265E0"/>
    <w:rsid w:val="0062703B"/>
    <w:rsid w:val="0062704C"/>
    <w:rsid w:val="00627940"/>
    <w:rsid w:val="006279EA"/>
    <w:rsid w:val="00627CA9"/>
    <w:rsid w:val="00627ED8"/>
    <w:rsid w:val="00627FC3"/>
    <w:rsid w:val="006301A5"/>
    <w:rsid w:val="006303D0"/>
    <w:rsid w:val="0063070C"/>
    <w:rsid w:val="006307EE"/>
    <w:rsid w:val="00630C91"/>
    <w:rsid w:val="00630E9B"/>
    <w:rsid w:val="00631260"/>
    <w:rsid w:val="006316D9"/>
    <w:rsid w:val="00631A1D"/>
    <w:rsid w:val="006320CB"/>
    <w:rsid w:val="00632378"/>
    <w:rsid w:val="00633829"/>
    <w:rsid w:val="00633DED"/>
    <w:rsid w:val="00634589"/>
    <w:rsid w:val="006346FE"/>
    <w:rsid w:val="00634817"/>
    <w:rsid w:val="00634D3D"/>
    <w:rsid w:val="00634DC9"/>
    <w:rsid w:val="00634E71"/>
    <w:rsid w:val="006350D7"/>
    <w:rsid w:val="0063510D"/>
    <w:rsid w:val="00635173"/>
    <w:rsid w:val="00635997"/>
    <w:rsid w:val="00635C2F"/>
    <w:rsid w:val="00635E3E"/>
    <w:rsid w:val="006360D7"/>
    <w:rsid w:val="00636141"/>
    <w:rsid w:val="006363E4"/>
    <w:rsid w:val="006365B4"/>
    <w:rsid w:val="00636B5E"/>
    <w:rsid w:val="00636CEE"/>
    <w:rsid w:val="00636D62"/>
    <w:rsid w:val="00636F4C"/>
    <w:rsid w:val="00636FE9"/>
    <w:rsid w:val="00637EFA"/>
    <w:rsid w:val="00640797"/>
    <w:rsid w:val="00640BC8"/>
    <w:rsid w:val="00640F6E"/>
    <w:rsid w:val="00641270"/>
    <w:rsid w:val="006414FF"/>
    <w:rsid w:val="006421D5"/>
    <w:rsid w:val="0064221C"/>
    <w:rsid w:val="00642451"/>
    <w:rsid w:val="0064253B"/>
    <w:rsid w:val="00642544"/>
    <w:rsid w:val="006425A6"/>
    <w:rsid w:val="0064267D"/>
    <w:rsid w:val="00642A41"/>
    <w:rsid w:val="00642A56"/>
    <w:rsid w:val="00642B3F"/>
    <w:rsid w:val="00643194"/>
    <w:rsid w:val="0064375C"/>
    <w:rsid w:val="00643CF3"/>
    <w:rsid w:val="00644B11"/>
    <w:rsid w:val="00644D51"/>
    <w:rsid w:val="00644DA3"/>
    <w:rsid w:val="00645994"/>
    <w:rsid w:val="00645A66"/>
    <w:rsid w:val="00645F59"/>
    <w:rsid w:val="0064620D"/>
    <w:rsid w:val="006464B2"/>
    <w:rsid w:val="0064659A"/>
    <w:rsid w:val="00647075"/>
    <w:rsid w:val="00647171"/>
    <w:rsid w:val="00647480"/>
    <w:rsid w:val="00647AF1"/>
    <w:rsid w:val="00650AED"/>
    <w:rsid w:val="00650DBE"/>
    <w:rsid w:val="00650E77"/>
    <w:rsid w:val="0065116A"/>
    <w:rsid w:val="00651A5E"/>
    <w:rsid w:val="00651EF4"/>
    <w:rsid w:val="0065240B"/>
    <w:rsid w:val="00652763"/>
    <w:rsid w:val="006527E4"/>
    <w:rsid w:val="006535AE"/>
    <w:rsid w:val="00653B15"/>
    <w:rsid w:val="00653C58"/>
    <w:rsid w:val="00654C2B"/>
    <w:rsid w:val="00655300"/>
    <w:rsid w:val="00656644"/>
    <w:rsid w:val="00656718"/>
    <w:rsid w:val="00657254"/>
    <w:rsid w:val="00657313"/>
    <w:rsid w:val="006575BC"/>
    <w:rsid w:val="00657C3D"/>
    <w:rsid w:val="00657D9B"/>
    <w:rsid w:val="00657F0F"/>
    <w:rsid w:val="00657FAA"/>
    <w:rsid w:val="00660253"/>
    <w:rsid w:val="006604D2"/>
    <w:rsid w:val="006612FC"/>
    <w:rsid w:val="0066196B"/>
    <w:rsid w:val="00661989"/>
    <w:rsid w:val="00661A46"/>
    <w:rsid w:val="00661B56"/>
    <w:rsid w:val="00661BF9"/>
    <w:rsid w:val="00661CA2"/>
    <w:rsid w:val="00661E87"/>
    <w:rsid w:val="00661EEA"/>
    <w:rsid w:val="00661FC1"/>
    <w:rsid w:val="00662327"/>
    <w:rsid w:val="00662795"/>
    <w:rsid w:val="006629EC"/>
    <w:rsid w:val="00662A36"/>
    <w:rsid w:val="006631CB"/>
    <w:rsid w:val="0066369F"/>
    <w:rsid w:val="00663802"/>
    <w:rsid w:val="00663DA3"/>
    <w:rsid w:val="00664392"/>
    <w:rsid w:val="006644DF"/>
    <w:rsid w:val="00664B90"/>
    <w:rsid w:val="00664C5F"/>
    <w:rsid w:val="00664DCB"/>
    <w:rsid w:val="00666608"/>
    <w:rsid w:val="00666899"/>
    <w:rsid w:val="00666D48"/>
    <w:rsid w:val="00666DCF"/>
    <w:rsid w:val="00667139"/>
    <w:rsid w:val="0066715D"/>
    <w:rsid w:val="006671DD"/>
    <w:rsid w:val="00667241"/>
    <w:rsid w:val="006674B5"/>
    <w:rsid w:val="0066752A"/>
    <w:rsid w:val="006678BC"/>
    <w:rsid w:val="00667998"/>
    <w:rsid w:val="00670971"/>
    <w:rsid w:val="00671A36"/>
    <w:rsid w:val="006722AC"/>
    <w:rsid w:val="006726B6"/>
    <w:rsid w:val="0067278A"/>
    <w:rsid w:val="00672E10"/>
    <w:rsid w:val="00673005"/>
    <w:rsid w:val="00673E7B"/>
    <w:rsid w:val="0067417E"/>
    <w:rsid w:val="006742D9"/>
    <w:rsid w:val="0067433D"/>
    <w:rsid w:val="00674502"/>
    <w:rsid w:val="006745BC"/>
    <w:rsid w:val="006747F9"/>
    <w:rsid w:val="00674901"/>
    <w:rsid w:val="00674966"/>
    <w:rsid w:val="00674B9E"/>
    <w:rsid w:val="00674DD4"/>
    <w:rsid w:val="00675F6F"/>
    <w:rsid w:val="00676247"/>
    <w:rsid w:val="00676355"/>
    <w:rsid w:val="0067650C"/>
    <w:rsid w:val="00676599"/>
    <w:rsid w:val="006766C0"/>
    <w:rsid w:val="0067736D"/>
    <w:rsid w:val="00677727"/>
    <w:rsid w:val="00677E63"/>
    <w:rsid w:val="00677EA7"/>
    <w:rsid w:val="00680025"/>
    <w:rsid w:val="00680CBE"/>
    <w:rsid w:val="00680EEC"/>
    <w:rsid w:val="00681256"/>
    <w:rsid w:val="006821AC"/>
    <w:rsid w:val="00682252"/>
    <w:rsid w:val="00683127"/>
    <w:rsid w:val="00683347"/>
    <w:rsid w:val="00683736"/>
    <w:rsid w:val="00684343"/>
    <w:rsid w:val="00685122"/>
    <w:rsid w:val="006854BD"/>
    <w:rsid w:val="006855E1"/>
    <w:rsid w:val="00685B1D"/>
    <w:rsid w:val="00685C8C"/>
    <w:rsid w:val="00685F3C"/>
    <w:rsid w:val="00686587"/>
    <w:rsid w:val="006869FB"/>
    <w:rsid w:val="00686B86"/>
    <w:rsid w:val="00686FBF"/>
    <w:rsid w:val="00687104"/>
    <w:rsid w:val="00687569"/>
    <w:rsid w:val="00687891"/>
    <w:rsid w:val="006903E9"/>
    <w:rsid w:val="00690DA7"/>
    <w:rsid w:val="00691504"/>
    <w:rsid w:val="0069156D"/>
    <w:rsid w:val="00691704"/>
    <w:rsid w:val="00691720"/>
    <w:rsid w:val="006919F5"/>
    <w:rsid w:val="006922AF"/>
    <w:rsid w:val="00692406"/>
    <w:rsid w:val="006926B0"/>
    <w:rsid w:val="00692D4B"/>
    <w:rsid w:val="00692E1D"/>
    <w:rsid w:val="00693508"/>
    <w:rsid w:val="0069375D"/>
    <w:rsid w:val="00694BCB"/>
    <w:rsid w:val="00695364"/>
    <w:rsid w:val="006956C2"/>
    <w:rsid w:val="006959F0"/>
    <w:rsid w:val="00695DA8"/>
    <w:rsid w:val="00695F26"/>
    <w:rsid w:val="00696047"/>
    <w:rsid w:val="006965CB"/>
    <w:rsid w:val="00696A35"/>
    <w:rsid w:val="00696A4F"/>
    <w:rsid w:val="006977C9"/>
    <w:rsid w:val="0069796C"/>
    <w:rsid w:val="00697F11"/>
    <w:rsid w:val="006A031E"/>
    <w:rsid w:val="006A0F3B"/>
    <w:rsid w:val="006A1091"/>
    <w:rsid w:val="006A177C"/>
    <w:rsid w:val="006A29B5"/>
    <w:rsid w:val="006A2FF3"/>
    <w:rsid w:val="006A3464"/>
    <w:rsid w:val="006A374E"/>
    <w:rsid w:val="006A3969"/>
    <w:rsid w:val="006A3D3C"/>
    <w:rsid w:val="006A3E26"/>
    <w:rsid w:val="006A4059"/>
    <w:rsid w:val="006A44E9"/>
    <w:rsid w:val="006A4504"/>
    <w:rsid w:val="006A4B5E"/>
    <w:rsid w:val="006A5819"/>
    <w:rsid w:val="006A589B"/>
    <w:rsid w:val="006A5F1D"/>
    <w:rsid w:val="006A653F"/>
    <w:rsid w:val="006A67F6"/>
    <w:rsid w:val="006A6F61"/>
    <w:rsid w:val="006A6FAF"/>
    <w:rsid w:val="006A74B3"/>
    <w:rsid w:val="006A74E9"/>
    <w:rsid w:val="006A7761"/>
    <w:rsid w:val="006A7E99"/>
    <w:rsid w:val="006B01E7"/>
    <w:rsid w:val="006B0AFE"/>
    <w:rsid w:val="006B0B3A"/>
    <w:rsid w:val="006B0BA9"/>
    <w:rsid w:val="006B0FFF"/>
    <w:rsid w:val="006B1828"/>
    <w:rsid w:val="006B1E65"/>
    <w:rsid w:val="006B2403"/>
    <w:rsid w:val="006B25A7"/>
    <w:rsid w:val="006B267A"/>
    <w:rsid w:val="006B2D4E"/>
    <w:rsid w:val="006B309C"/>
    <w:rsid w:val="006B319C"/>
    <w:rsid w:val="006B332C"/>
    <w:rsid w:val="006B34E3"/>
    <w:rsid w:val="006B383E"/>
    <w:rsid w:val="006B398D"/>
    <w:rsid w:val="006B5033"/>
    <w:rsid w:val="006B549F"/>
    <w:rsid w:val="006B647A"/>
    <w:rsid w:val="006B653E"/>
    <w:rsid w:val="006B6A0B"/>
    <w:rsid w:val="006B7421"/>
    <w:rsid w:val="006B74D4"/>
    <w:rsid w:val="006B7B3C"/>
    <w:rsid w:val="006C088E"/>
    <w:rsid w:val="006C1746"/>
    <w:rsid w:val="006C1DF2"/>
    <w:rsid w:val="006C2037"/>
    <w:rsid w:val="006C25F3"/>
    <w:rsid w:val="006C2A46"/>
    <w:rsid w:val="006C366B"/>
    <w:rsid w:val="006C3676"/>
    <w:rsid w:val="006C39BF"/>
    <w:rsid w:val="006C39C3"/>
    <w:rsid w:val="006C4600"/>
    <w:rsid w:val="006C4B17"/>
    <w:rsid w:val="006C503B"/>
    <w:rsid w:val="006C5660"/>
    <w:rsid w:val="006C5D15"/>
    <w:rsid w:val="006C5E1E"/>
    <w:rsid w:val="006C63AC"/>
    <w:rsid w:val="006C6508"/>
    <w:rsid w:val="006C721C"/>
    <w:rsid w:val="006C7320"/>
    <w:rsid w:val="006C7465"/>
    <w:rsid w:val="006C75E6"/>
    <w:rsid w:val="006C785D"/>
    <w:rsid w:val="006C78A9"/>
    <w:rsid w:val="006C7E3A"/>
    <w:rsid w:val="006D0230"/>
    <w:rsid w:val="006D0820"/>
    <w:rsid w:val="006D1524"/>
    <w:rsid w:val="006D163A"/>
    <w:rsid w:val="006D1D10"/>
    <w:rsid w:val="006D27F7"/>
    <w:rsid w:val="006D2FFD"/>
    <w:rsid w:val="006D342A"/>
    <w:rsid w:val="006D38EF"/>
    <w:rsid w:val="006D3AA4"/>
    <w:rsid w:val="006D4752"/>
    <w:rsid w:val="006D4848"/>
    <w:rsid w:val="006D4F76"/>
    <w:rsid w:val="006D5CC9"/>
    <w:rsid w:val="006D6D00"/>
    <w:rsid w:val="006D70FE"/>
    <w:rsid w:val="006D71BD"/>
    <w:rsid w:val="006D73F4"/>
    <w:rsid w:val="006E0041"/>
    <w:rsid w:val="006E0808"/>
    <w:rsid w:val="006E0ABC"/>
    <w:rsid w:val="006E0DBD"/>
    <w:rsid w:val="006E0F51"/>
    <w:rsid w:val="006E15EB"/>
    <w:rsid w:val="006E17D7"/>
    <w:rsid w:val="006E1A16"/>
    <w:rsid w:val="006E1D07"/>
    <w:rsid w:val="006E1ECB"/>
    <w:rsid w:val="006E28B0"/>
    <w:rsid w:val="006E2D6E"/>
    <w:rsid w:val="006E31AA"/>
    <w:rsid w:val="006E3402"/>
    <w:rsid w:val="006E390E"/>
    <w:rsid w:val="006E42CF"/>
    <w:rsid w:val="006E4C0B"/>
    <w:rsid w:val="006E59A8"/>
    <w:rsid w:val="006E5B42"/>
    <w:rsid w:val="006E5BE1"/>
    <w:rsid w:val="006E7ED9"/>
    <w:rsid w:val="006F052F"/>
    <w:rsid w:val="006F0539"/>
    <w:rsid w:val="006F0E0E"/>
    <w:rsid w:val="006F0F6B"/>
    <w:rsid w:val="006F1046"/>
    <w:rsid w:val="006F118F"/>
    <w:rsid w:val="006F11D3"/>
    <w:rsid w:val="006F13F9"/>
    <w:rsid w:val="006F14E2"/>
    <w:rsid w:val="006F1598"/>
    <w:rsid w:val="006F168B"/>
    <w:rsid w:val="006F19E5"/>
    <w:rsid w:val="006F2015"/>
    <w:rsid w:val="006F28F4"/>
    <w:rsid w:val="006F2DD2"/>
    <w:rsid w:val="006F3046"/>
    <w:rsid w:val="006F3C16"/>
    <w:rsid w:val="006F4849"/>
    <w:rsid w:val="006F496A"/>
    <w:rsid w:val="006F4F81"/>
    <w:rsid w:val="006F55DB"/>
    <w:rsid w:val="006F5C51"/>
    <w:rsid w:val="006F5E61"/>
    <w:rsid w:val="006F5F7B"/>
    <w:rsid w:val="006F60EC"/>
    <w:rsid w:val="006F6742"/>
    <w:rsid w:val="006F68CE"/>
    <w:rsid w:val="006F77C8"/>
    <w:rsid w:val="006F79CA"/>
    <w:rsid w:val="006F7AA4"/>
    <w:rsid w:val="007006A9"/>
    <w:rsid w:val="00700A4A"/>
    <w:rsid w:val="007013D5"/>
    <w:rsid w:val="00701419"/>
    <w:rsid w:val="007019E6"/>
    <w:rsid w:val="00701FDF"/>
    <w:rsid w:val="00702495"/>
    <w:rsid w:val="00702635"/>
    <w:rsid w:val="0070323D"/>
    <w:rsid w:val="00703465"/>
    <w:rsid w:val="00703849"/>
    <w:rsid w:val="0070385E"/>
    <w:rsid w:val="0070388F"/>
    <w:rsid w:val="00703F47"/>
    <w:rsid w:val="00704383"/>
    <w:rsid w:val="00704965"/>
    <w:rsid w:val="0070561F"/>
    <w:rsid w:val="0070605D"/>
    <w:rsid w:val="0070679C"/>
    <w:rsid w:val="00706B99"/>
    <w:rsid w:val="007070E0"/>
    <w:rsid w:val="007070E5"/>
    <w:rsid w:val="007072E1"/>
    <w:rsid w:val="00707637"/>
    <w:rsid w:val="00707A38"/>
    <w:rsid w:val="00710820"/>
    <w:rsid w:val="00710980"/>
    <w:rsid w:val="00710A78"/>
    <w:rsid w:val="007112FC"/>
    <w:rsid w:val="0071141F"/>
    <w:rsid w:val="0071168A"/>
    <w:rsid w:val="00711C21"/>
    <w:rsid w:val="00711F2C"/>
    <w:rsid w:val="00711FB3"/>
    <w:rsid w:val="00712180"/>
    <w:rsid w:val="007125ED"/>
    <w:rsid w:val="0071298B"/>
    <w:rsid w:val="00712D05"/>
    <w:rsid w:val="00713B8A"/>
    <w:rsid w:val="00713E44"/>
    <w:rsid w:val="0071431B"/>
    <w:rsid w:val="0071439C"/>
    <w:rsid w:val="0071457F"/>
    <w:rsid w:val="00715E03"/>
    <w:rsid w:val="00716093"/>
    <w:rsid w:val="007163E9"/>
    <w:rsid w:val="0071666D"/>
    <w:rsid w:val="00716AB5"/>
    <w:rsid w:val="00716BB6"/>
    <w:rsid w:val="007170A1"/>
    <w:rsid w:val="00717E72"/>
    <w:rsid w:val="00720704"/>
    <w:rsid w:val="00720F38"/>
    <w:rsid w:val="00721216"/>
    <w:rsid w:val="0072128E"/>
    <w:rsid w:val="00721326"/>
    <w:rsid w:val="00721874"/>
    <w:rsid w:val="007218D9"/>
    <w:rsid w:val="00721A25"/>
    <w:rsid w:val="00721EBA"/>
    <w:rsid w:val="0072283D"/>
    <w:rsid w:val="00722D63"/>
    <w:rsid w:val="007231E4"/>
    <w:rsid w:val="007232F8"/>
    <w:rsid w:val="007235EA"/>
    <w:rsid w:val="007236D3"/>
    <w:rsid w:val="00723947"/>
    <w:rsid w:val="00723D1E"/>
    <w:rsid w:val="00723D6E"/>
    <w:rsid w:val="00724175"/>
    <w:rsid w:val="0072495E"/>
    <w:rsid w:val="00724990"/>
    <w:rsid w:val="00724D54"/>
    <w:rsid w:val="00724E97"/>
    <w:rsid w:val="007250AC"/>
    <w:rsid w:val="00725E78"/>
    <w:rsid w:val="00725F3F"/>
    <w:rsid w:val="00726031"/>
    <w:rsid w:val="007273F1"/>
    <w:rsid w:val="00727CDC"/>
    <w:rsid w:val="00727E2A"/>
    <w:rsid w:val="00730970"/>
    <w:rsid w:val="00730B45"/>
    <w:rsid w:val="00730D08"/>
    <w:rsid w:val="00731A3C"/>
    <w:rsid w:val="00731B92"/>
    <w:rsid w:val="00731CEB"/>
    <w:rsid w:val="00732344"/>
    <w:rsid w:val="00732743"/>
    <w:rsid w:val="00732C53"/>
    <w:rsid w:val="007333C0"/>
    <w:rsid w:val="0073361E"/>
    <w:rsid w:val="007342B8"/>
    <w:rsid w:val="00734A7D"/>
    <w:rsid w:val="00734AB7"/>
    <w:rsid w:val="007350E4"/>
    <w:rsid w:val="00735389"/>
    <w:rsid w:val="0073562D"/>
    <w:rsid w:val="00735A4E"/>
    <w:rsid w:val="0073661F"/>
    <w:rsid w:val="00736766"/>
    <w:rsid w:val="00736B36"/>
    <w:rsid w:val="00736B46"/>
    <w:rsid w:val="00736E86"/>
    <w:rsid w:val="007372BA"/>
    <w:rsid w:val="007376A9"/>
    <w:rsid w:val="007376C0"/>
    <w:rsid w:val="00737C08"/>
    <w:rsid w:val="00737D80"/>
    <w:rsid w:val="00737FC7"/>
    <w:rsid w:val="007400AB"/>
    <w:rsid w:val="00740328"/>
    <w:rsid w:val="007403D8"/>
    <w:rsid w:val="00740781"/>
    <w:rsid w:val="00740C27"/>
    <w:rsid w:val="00741627"/>
    <w:rsid w:val="0074189B"/>
    <w:rsid w:val="00744068"/>
    <w:rsid w:val="0074450D"/>
    <w:rsid w:val="007445D1"/>
    <w:rsid w:val="0074482A"/>
    <w:rsid w:val="00744AE9"/>
    <w:rsid w:val="00745226"/>
    <w:rsid w:val="00745499"/>
    <w:rsid w:val="00746523"/>
    <w:rsid w:val="0074667D"/>
    <w:rsid w:val="00746AFF"/>
    <w:rsid w:val="007471A3"/>
    <w:rsid w:val="007473AB"/>
    <w:rsid w:val="007474EA"/>
    <w:rsid w:val="007475F6"/>
    <w:rsid w:val="00747A80"/>
    <w:rsid w:val="00747E9B"/>
    <w:rsid w:val="00747EF7"/>
    <w:rsid w:val="00750949"/>
    <w:rsid w:val="007509EF"/>
    <w:rsid w:val="00750E4F"/>
    <w:rsid w:val="0075100F"/>
    <w:rsid w:val="0075107D"/>
    <w:rsid w:val="0075124A"/>
    <w:rsid w:val="00751CA3"/>
    <w:rsid w:val="007523B6"/>
    <w:rsid w:val="00752AD9"/>
    <w:rsid w:val="007530D7"/>
    <w:rsid w:val="0075316D"/>
    <w:rsid w:val="00753BD6"/>
    <w:rsid w:val="00753E64"/>
    <w:rsid w:val="00753EFE"/>
    <w:rsid w:val="00754446"/>
    <w:rsid w:val="00754715"/>
    <w:rsid w:val="00754A92"/>
    <w:rsid w:val="00754B4E"/>
    <w:rsid w:val="00754DDB"/>
    <w:rsid w:val="00754E66"/>
    <w:rsid w:val="007568C8"/>
    <w:rsid w:val="00756972"/>
    <w:rsid w:val="00756A2E"/>
    <w:rsid w:val="00756D51"/>
    <w:rsid w:val="00757099"/>
    <w:rsid w:val="00757BA6"/>
    <w:rsid w:val="00760A34"/>
    <w:rsid w:val="00760C73"/>
    <w:rsid w:val="00760D44"/>
    <w:rsid w:val="00760FC5"/>
    <w:rsid w:val="00761151"/>
    <w:rsid w:val="00761532"/>
    <w:rsid w:val="00761CFD"/>
    <w:rsid w:val="00762105"/>
    <w:rsid w:val="0076339B"/>
    <w:rsid w:val="00763665"/>
    <w:rsid w:val="007638C6"/>
    <w:rsid w:val="00763A7C"/>
    <w:rsid w:val="00763CBD"/>
    <w:rsid w:val="00764F78"/>
    <w:rsid w:val="007651AF"/>
    <w:rsid w:val="007661F5"/>
    <w:rsid w:val="007662A2"/>
    <w:rsid w:val="007670E9"/>
    <w:rsid w:val="00767457"/>
    <w:rsid w:val="00767EBD"/>
    <w:rsid w:val="00767F9F"/>
    <w:rsid w:val="0077003D"/>
    <w:rsid w:val="00770055"/>
    <w:rsid w:val="00770089"/>
    <w:rsid w:val="007700A3"/>
    <w:rsid w:val="007703B7"/>
    <w:rsid w:val="007705FD"/>
    <w:rsid w:val="007706A5"/>
    <w:rsid w:val="00770765"/>
    <w:rsid w:val="00770E64"/>
    <w:rsid w:val="00770FA6"/>
    <w:rsid w:val="00771197"/>
    <w:rsid w:val="00771373"/>
    <w:rsid w:val="00771417"/>
    <w:rsid w:val="0077163B"/>
    <w:rsid w:val="0077188E"/>
    <w:rsid w:val="00771DD7"/>
    <w:rsid w:val="00771ECE"/>
    <w:rsid w:val="0077276E"/>
    <w:rsid w:val="00772AC0"/>
    <w:rsid w:val="0077325D"/>
    <w:rsid w:val="00773671"/>
    <w:rsid w:val="0077386F"/>
    <w:rsid w:val="00773F3A"/>
    <w:rsid w:val="00774179"/>
    <w:rsid w:val="007746BE"/>
    <w:rsid w:val="00774E48"/>
    <w:rsid w:val="0077569D"/>
    <w:rsid w:val="007759DD"/>
    <w:rsid w:val="007760FF"/>
    <w:rsid w:val="00776342"/>
    <w:rsid w:val="00776E47"/>
    <w:rsid w:val="00776EEB"/>
    <w:rsid w:val="007774B5"/>
    <w:rsid w:val="00777861"/>
    <w:rsid w:val="0077790D"/>
    <w:rsid w:val="00777E2F"/>
    <w:rsid w:val="00780798"/>
    <w:rsid w:val="00781356"/>
    <w:rsid w:val="0078136C"/>
    <w:rsid w:val="007813C7"/>
    <w:rsid w:val="00781C49"/>
    <w:rsid w:val="00781DDF"/>
    <w:rsid w:val="007825A9"/>
    <w:rsid w:val="007826F1"/>
    <w:rsid w:val="00782710"/>
    <w:rsid w:val="007828EB"/>
    <w:rsid w:val="00782BDF"/>
    <w:rsid w:val="00782DE8"/>
    <w:rsid w:val="00782FBF"/>
    <w:rsid w:val="007830AF"/>
    <w:rsid w:val="0078334F"/>
    <w:rsid w:val="007837B5"/>
    <w:rsid w:val="007838C4"/>
    <w:rsid w:val="00783F2B"/>
    <w:rsid w:val="00784108"/>
    <w:rsid w:val="0078429A"/>
    <w:rsid w:val="00784604"/>
    <w:rsid w:val="007847CE"/>
    <w:rsid w:val="0078481A"/>
    <w:rsid w:val="00784DAE"/>
    <w:rsid w:val="00785176"/>
    <w:rsid w:val="00785460"/>
    <w:rsid w:val="00785ADC"/>
    <w:rsid w:val="00785B9B"/>
    <w:rsid w:val="007863B6"/>
    <w:rsid w:val="00787107"/>
    <w:rsid w:val="0078729D"/>
    <w:rsid w:val="00787318"/>
    <w:rsid w:val="007875F6"/>
    <w:rsid w:val="007879D4"/>
    <w:rsid w:val="00787B0F"/>
    <w:rsid w:val="007903A9"/>
    <w:rsid w:val="00790580"/>
    <w:rsid w:val="0079129D"/>
    <w:rsid w:val="0079130C"/>
    <w:rsid w:val="007913C9"/>
    <w:rsid w:val="00791C0C"/>
    <w:rsid w:val="007922A6"/>
    <w:rsid w:val="0079240C"/>
    <w:rsid w:val="007925C0"/>
    <w:rsid w:val="00792CDE"/>
    <w:rsid w:val="00793720"/>
    <w:rsid w:val="00793CAC"/>
    <w:rsid w:val="00793CFD"/>
    <w:rsid w:val="00793FC3"/>
    <w:rsid w:val="007946C0"/>
    <w:rsid w:val="007946FB"/>
    <w:rsid w:val="00794F40"/>
    <w:rsid w:val="00795150"/>
    <w:rsid w:val="007954C8"/>
    <w:rsid w:val="007955CA"/>
    <w:rsid w:val="007957F4"/>
    <w:rsid w:val="00795817"/>
    <w:rsid w:val="0079612A"/>
    <w:rsid w:val="0079615B"/>
    <w:rsid w:val="00796C7C"/>
    <w:rsid w:val="00797F11"/>
    <w:rsid w:val="007A071B"/>
    <w:rsid w:val="007A0A77"/>
    <w:rsid w:val="007A1421"/>
    <w:rsid w:val="007A16A5"/>
    <w:rsid w:val="007A1DE4"/>
    <w:rsid w:val="007A2048"/>
    <w:rsid w:val="007A211D"/>
    <w:rsid w:val="007A22C2"/>
    <w:rsid w:val="007A25E0"/>
    <w:rsid w:val="007A276E"/>
    <w:rsid w:val="007A2DB4"/>
    <w:rsid w:val="007A3302"/>
    <w:rsid w:val="007A3335"/>
    <w:rsid w:val="007A36D1"/>
    <w:rsid w:val="007A39D8"/>
    <w:rsid w:val="007A3C41"/>
    <w:rsid w:val="007A3FA7"/>
    <w:rsid w:val="007A406F"/>
    <w:rsid w:val="007A4F0F"/>
    <w:rsid w:val="007A5A90"/>
    <w:rsid w:val="007A5B25"/>
    <w:rsid w:val="007A5BC0"/>
    <w:rsid w:val="007A645A"/>
    <w:rsid w:val="007A69C3"/>
    <w:rsid w:val="007A6AA8"/>
    <w:rsid w:val="007A6D90"/>
    <w:rsid w:val="007A731A"/>
    <w:rsid w:val="007A7453"/>
    <w:rsid w:val="007A7B6E"/>
    <w:rsid w:val="007B0349"/>
    <w:rsid w:val="007B0600"/>
    <w:rsid w:val="007B0801"/>
    <w:rsid w:val="007B0832"/>
    <w:rsid w:val="007B09DB"/>
    <w:rsid w:val="007B0B35"/>
    <w:rsid w:val="007B19AD"/>
    <w:rsid w:val="007B1D8A"/>
    <w:rsid w:val="007B1E09"/>
    <w:rsid w:val="007B24A0"/>
    <w:rsid w:val="007B24E4"/>
    <w:rsid w:val="007B2693"/>
    <w:rsid w:val="007B2F1E"/>
    <w:rsid w:val="007B342A"/>
    <w:rsid w:val="007B3693"/>
    <w:rsid w:val="007B3B27"/>
    <w:rsid w:val="007B3FE2"/>
    <w:rsid w:val="007B4382"/>
    <w:rsid w:val="007B479F"/>
    <w:rsid w:val="007B494D"/>
    <w:rsid w:val="007B575F"/>
    <w:rsid w:val="007B5BB5"/>
    <w:rsid w:val="007B5BFF"/>
    <w:rsid w:val="007B5F19"/>
    <w:rsid w:val="007B5F59"/>
    <w:rsid w:val="007B634F"/>
    <w:rsid w:val="007B63E1"/>
    <w:rsid w:val="007B6C56"/>
    <w:rsid w:val="007B73C6"/>
    <w:rsid w:val="007B7636"/>
    <w:rsid w:val="007B77EF"/>
    <w:rsid w:val="007B77F0"/>
    <w:rsid w:val="007B791E"/>
    <w:rsid w:val="007C0094"/>
    <w:rsid w:val="007C0E21"/>
    <w:rsid w:val="007C10A5"/>
    <w:rsid w:val="007C132C"/>
    <w:rsid w:val="007C15FA"/>
    <w:rsid w:val="007C16EE"/>
    <w:rsid w:val="007C1AAA"/>
    <w:rsid w:val="007C1EA5"/>
    <w:rsid w:val="007C1EB6"/>
    <w:rsid w:val="007C1F49"/>
    <w:rsid w:val="007C2051"/>
    <w:rsid w:val="007C2737"/>
    <w:rsid w:val="007C2CD7"/>
    <w:rsid w:val="007C2D3D"/>
    <w:rsid w:val="007C3069"/>
    <w:rsid w:val="007C3144"/>
    <w:rsid w:val="007C377D"/>
    <w:rsid w:val="007C3946"/>
    <w:rsid w:val="007C41C5"/>
    <w:rsid w:val="007C468B"/>
    <w:rsid w:val="007C48F4"/>
    <w:rsid w:val="007C4F70"/>
    <w:rsid w:val="007C5232"/>
    <w:rsid w:val="007C595D"/>
    <w:rsid w:val="007C5E06"/>
    <w:rsid w:val="007C604A"/>
    <w:rsid w:val="007C60C0"/>
    <w:rsid w:val="007C6B2A"/>
    <w:rsid w:val="007C6CA9"/>
    <w:rsid w:val="007C6DA1"/>
    <w:rsid w:val="007C6DBE"/>
    <w:rsid w:val="007C6F09"/>
    <w:rsid w:val="007C6FC4"/>
    <w:rsid w:val="007C73F9"/>
    <w:rsid w:val="007C7B90"/>
    <w:rsid w:val="007C7BF1"/>
    <w:rsid w:val="007D007B"/>
    <w:rsid w:val="007D0141"/>
    <w:rsid w:val="007D0482"/>
    <w:rsid w:val="007D081A"/>
    <w:rsid w:val="007D0A70"/>
    <w:rsid w:val="007D16A3"/>
    <w:rsid w:val="007D1E47"/>
    <w:rsid w:val="007D2AD4"/>
    <w:rsid w:val="007D3750"/>
    <w:rsid w:val="007D3BF2"/>
    <w:rsid w:val="007D40E7"/>
    <w:rsid w:val="007D468E"/>
    <w:rsid w:val="007D4BC3"/>
    <w:rsid w:val="007D4BF4"/>
    <w:rsid w:val="007D4DEF"/>
    <w:rsid w:val="007D4E9A"/>
    <w:rsid w:val="007D4EE1"/>
    <w:rsid w:val="007D59FB"/>
    <w:rsid w:val="007D619C"/>
    <w:rsid w:val="007D69A1"/>
    <w:rsid w:val="007D71AE"/>
    <w:rsid w:val="007D7461"/>
    <w:rsid w:val="007E04A0"/>
    <w:rsid w:val="007E0528"/>
    <w:rsid w:val="007E0534"/>
    <w:rsid w:val="007E06AE"/>
    <w:rsid w:val="007E08F6"/>
    <w:rsid w:val="007E12DC"/>
    <w:rsid w:val="007E1305"/>
    <w:rsid w:val="007E151A"/>
    <w:rsid w:val="007E161F"/>
    <w:rsid w:val="007E1B64"/>
    <w:rsid w:val="007E1CE1"/>
    <w:rsid w:val="007E1D00"/>
    <w:rsid w:val="007E1D34"/>
    <w:rsid w:val="007E1F52"/>
    <w:rsid w:val="007E2ABF"/>
    <w:rsid w:val="007E2C3A"/>
    <w:rsid w:val="007E2FF9"/>
    <w:rsid w:val="007E38D7"/>
    <w:rsid w:val="007E44A0"/>
    <w:rsid w:val="007E4C7E"/>
    <w:rsid w:val="007E4F7B"/>
    <w:rsid w:val="007E53C1"/>
    <w:rsid w:val="007E55A4"/>
    <w:rsid w:val="007E5A18"/>
    <w:rsid w:val="007E5A1C"/>
    <w:rsid w:val="007E60E9"/>
    <w:rsid w:val="007E676F"/>
    <w:rsid w:val="007E6851"/>
    <w:rsid w:val="007E7128"/>
    <w:rsid w:val="007E72ED"/>
    <w:rsid w:val="007E79A1"/>
    <w:rsid w:val="007F033E"/>
    <w:rsid w:val="007F083E"/>
    <w:rsid w:val="007F193B"/>
    <w:rsid w:val="007F285D"/>
    <w:rsid w:val="007F2993"/>
    <w:rsid w:val="007F2C29"/>
    <w:rsid w:val="007F2CD7"/>
    <w:rsid w:val="007F34E8"/>
    <w:rsid w:val="007F350E"/>
    <w:rsid w:val="007F3FA8"/>
    <w:rsid w:val="007F40A6"/>
    <w:rsid w:val="007F42FD"/>
    <w:rsid w:val="007F4557"/>
    <w:rsid w:val="007F4694"/>
    <w:rsid w:val="007F4AD9"/>
    <w:rsid w:val="007F5625"/>
    <w:rsid w:val="007F58A5"/>
    <w:rsid w:val="007F6124"/>
    <w:rsid w:val="007F65C3"/>
    <w:rsid w:val="007F683C"/>
    <w:rsid w:val="007F6BC3"/>
    <w:rsid w:val="007F7AF2"/>
    <w:rsid w:val="007F7DCC"/>
    <w:rsid w:val="00800AA6"/>
    <w:rsid w:val="0080124D"/>
    <w:rsid w:val="008012A8"/>
    <w:rsid w:val="00801357"/>
    <w:rsid w:val="00801401"/>
    <w:rsid w:val="008019A6"/>
    <w:rsid w:val="00801FC1"/>
    <w:rsid w:val="00801FCE"/>
    <w:rsid w:val="00802944"/>
    <w:rsid w:val="00803C6A"/>
    <w:rsid w:val="00804356"/>
    <w:rsid w:val="008048DA"/>
    <w:rsid w:val="00804CEE"/>
    <w:rsid w:val="00804E70"/>
    <w:rsid w:val="0080589B"/>
    <w:rsid w:val="008059CB"/>
    <w:rsid w:val="00805A29"/>
    <w:rsid w:val="00805F12"/>
    <w:rsid w:val="00805FC9"/>
    <w:rsid w:val="0080705B"/>
    <w:rsid w:val="00807083"/>
    <w:rsid w:val="0080742D"/>
    <w:rsid w:val="00807F10"/>
    <w:rsid w:val="00807F9F"/>
    <w:rsid w:val="008102D2"/>
    <w:rsid w:val="00810302"/>
    <w:rsid w:val="0081087D"/>
    <w:rsid w:val="00810D82"/>
    <w:rsid w:val="0081140B"/>
    <w:rsid w:val="008115B2"/>
    <w:rsid w:val="008115BB"/>
    <w:rsid w:val="008117DB"/>
    <w:rsid w:val="00811FA5"/>
    <w:rsid w:val="0081212B"/>
    <w:rsid w:val="00812A29"/>
    <w:rsid w:val="00812A8B"/>
    <w:rsid w:val="008137C1"/>
    <w:rsid w:val="00813F2A"/>
    <w:rsid w:val="00814295"/>
    <w:rsid w:val="008143AB"/>
    <w:rsid w:val="00814616"/>
    <w:rsid w:val="00814A55"/>
    <w:rsid w:val="00814EFD"/>
    <w:rsid w:val="00814FCE"/>
    <w:rsid w:val="00814FF4"/>
    <w:rsid w:val="008150FD"/>
    <w:rsid w:val="0081554B"/>
    <w:rsid w:val="008155C2"/>
    <w:rsid w:val="008157C0"/>
    <w:rsid w:val="00815EAA"/>
    <w:rsid w:val="00815F0A"/>
    <w:rsid w:val="00816AA8"/>
    <w:rsid w:val="00817343"/>
    <w:rsid w:val="0081791F"/>
    <w:rsid w:val="008203B6"/>
    <w:rsid w:val="008211E5"/>
    <w:rsid w:val="008212BF"/>
    <w:rsid w:val="008213FD"/>
    <w:rsid w:val="008214A9"/>
    <w:rsid w:val="0082181F"/>
    <w:rsid w:val="00821BF8"/>
    <w:rsid w:val="00822492"/>
    <w:rsid w:val="0082262D"/>
    <w:rsid w:val="00822826"/>
    <w:rsid w:val="008228E6"/>
    <w:rsid w:val="00822B08"/>
    <w:rsid w:val="00822E85"/>
    <w:rsid w:val="008234CF"/>
    <w:rsid w:val="0082375B"/>
    <w:rsid w:val="00823BFB"/>
    <w:rsid w:val="00823E39"/>
    <w:rsid w:val="00823F86"/>
    <w:rsid w:val="0082401F"/>
    <w:rsid w:val="00824117"/>
    <w:rsid w:val="00824318"/>
    <w:rsid w:val="0082431D"/>
    <w:rsid w:val="008249AA"/>
    <w:rsid w:val="00824A39"/>
    <w:rsid w:val="00825132"/>
    <w:rsid w:val="00825DEF"/>
    <w:rsid w:val="008263F9"/>
    <w:rsid w:val="0082642E"/>
    <w:rsid w:val="00826FA1"/>
    <w:rsid w:val="00827002"/>
    <w:rsid w:val="00827783"/>
    <w:rsid w:val="0083088D"/>
    <w:rsid w:val="00830FB6"/>
    <w:rsid w:val="008310E9"/>
    <w:rsid w:val="008314F3"/>
    <w:rsid w:val="00831687"/>
    <w:rsid w:val="00831D6F"/>
    <w:rsid w:val="00831D91"/>
    <w:rsid w:val="00831DB4"/>
    <w:rsid w:val="00831E28"/>
    <w:rsid w:val="00832148"/>
    <w:rsid w:val="00832288"/>
    <w:rsid w:val="008327AD"/>
    <w:rsid w:val="008330B0"/>
    <w:rsid w:val="0083348A"/>
    <w:rsid w:val="00833674"/>
    <w:rsid w:val="0083398F"/>
    <w:rsid w:val="00833AAA"/>
    <w:rsid w:val="00833E93"/>
    <w:rsid w:val="00834512"/>
    <w:rsid w:val="00834B72"/>
    <w:rsid w:val="0083555A"/>
    <w:rsid w:val="008357AC"/>
    <w:rsid w:val="00835A67"/>
    <w:rsid w:val="00836D90"/>
    <w:rsid w:val="00836DBD"/>
    <w:rsid w:val="00836E66"/>
    <w:rsid w:val="00836F79"/>
    <w:rsid w:val="0083714A"/>
    <w:rsid w:val="008377D1"/>
    <w:rsid w:val="008378A5"/>
    <w:rsid w:val="0084118C"/>
    <w:rsid w:val="00841860"/>
    <w:rsid w:val="008419D1"/>
    <w:rsid w:val="00841A8A"/>
    <w:rsid w:val="00841C0C"/>
    <w:rsid w:val="00841EFC"/>
    <w:rsid w:val="00841F07"/>
    <w:rsid w:val="00842622"/>
    <w:rsid w:val="00842BA5"/>
    <w:rsid w:val="00842D32"/>
    <w:rsid w:val="00842F79"/>
    <w:rsid w:val="008432CF"/>
    <w:rsid w:val="00843420"/>
    <w:rsid w:val="008444B9"/>
    <w:rsid w:val="0084479C"/>
    <w:rsid w:val="00844A0A"/>
    <w:rsid w:val="00844BC9"/>
    <w:rsid w:val="00845037"/>
    <w:rsid w:val="00845428"/>
    <w:rsid w:val="00845466"/>
    <w:rsid w:val="0084566B"/>
    <w:rsid w:val="00845D79"/>
    <w:rsid w:val="00846429"/>
    <w:rsid w:val="00846692"/>
    <w:rsid w:val="008469D5"/>
    <w:rsid w:val="00846D6C"/>
    <w:rsid w:val="00847B8F"/>
    <w:rsid w:val="00847C40"/>
    <w:rsid w:val="00847CE7"/>
    <w:rsid w:val="00847CE9"/>
    <w:rsid w:val="00847D5A"/>
    <w:rsid w:val="00850873"/>
    <w:rsid w:val="0085093C"/>
    <w:rsid w:val="00850D52"/>
    <w:rsid w:val="00851165"/>
    <w:rsid w:val="00851175"/>
    <w:rsid w:val="008512F4"/>
    <w:rsid w:val="0085133B"/>
    <w:rsid w:val="008519E9"/>
    <w:rsid w:val="00851AA9"/>
    <w:rsid w:val="00852870"/>
    <w:rsid w:val="0085296E"/>
    <w:rsid w:val="00852A46"/>
    <w:rsid w:val="008539A5"/>
    <w:rsid w:val="00853B1F"/>
    <w:rsid w:val="00853CB8"/>
    <w:rsid w:val="008546E8"/>
    <w:rsid w:val="008547BD"/>
    <w:rsid w:val="00855FCB"/>
    <w:rsid w:val="00855FD4"/>
    <w:rsid w:val="008560F3"/>
    <w:rsid w:val="00856742"/>
    <w:rsid w:val="00856D41"/>
    <w:rsid w:val="00857586"/>
    <w:rsid w:val="00857AD2"/>
    <w:rsid w:val="00857B74"/>
    <w:rsid w:val="0086044E"/>
    <w:rsid w:val="00860714"/>
    <w:rsid w:val="00860CC5"/>
    <w:rsid w:val="008610D1"/>
    <w:rsid w:val="008615B8"/>
    <w:rsid w:val="0086161A"/>
    <w:rsid w:val="00861B3C"/>
    <w:rsid w:val="00861BB9"/>
    <w:rsid w:val="00861C2F"/>
    <w:rsid w:val="0086218E"/>
    <w:rsid w:val="0086255C"/>
    <w:rsid w:val="00863008"/>
    <w:rsid w:val="008630C8"/>
    <w:rsid w:val="008632F0"/>
    <w:rsid w:val="008633E5"/>
    <w:rsid w:val="008637BA"/>
    <w:rsid w:val="00863A36"/>
    <w:rsid w:val="00863C2F"/>
    <w:rsid w:val="008641A3"/>
    <w:rsid w:val="00864952"/>
    <w:rsid w:val="00865355"/>
    <w:rsid w:val="00866365"/>
    <w:rsid w:val="00866887"/>
    <w:rsid w:val="00866A4E"/>
    <w:rsid w:val="008672A0"/>
    <w:rsid w:val="00870651"/>
    <w:rsid w:val="008707D8"/>
    <w:rsid w:val="00870B91"/>
    <w:rsid w:val="00870C82"/>
    <w:rsid w:val="00871394"/>
    <w:rsid w:val="00871497"/>
    <w:rsid w:val="0087163C"/>
    <w:rsid w:val="00871849"/>
    <w:rsid w:val="0087198C"/>
    <w:rsid w:val="00871E08"/>
    <w:rsid w:val="008722B3"/>
    <w:rsid w:val="00872BE4"/>
    <w:rsid w:val="00873D85"/>
    <w:rsid w:val="008742B2"/>
    <w:rsid w:val="0087446D"/>
    <w:rsid w:val="00874708"/>
    <w:rsid w:val="008750FF"/>
    <w:rsid w:val="0087550A"/>
    <w:rsid w:val="0087668F"/>
    <w:rsid w:val="008768EC"/>
    <w:rsid w:val="008774BE"/>
    <w:rsid w:val="0087784C"/>
    <w:rsid w:val="00877B83"/>
    <w:rsid w:val="0088061F"/>
    <w:rsid w:val="0088086D"/>
    <w:rsid w:val="00880C59"/>
    <w:rsid w:val="00880D3F"/>
    <w:rsid w:val="00880E9F"/>
    <w:rsid w:val="0088123E"/>
    <w:rsid w:val="00881387"/>
    <w:rsid w:val="008813AD"/>
    <w:rsid w:val="0088164A"/>
    <w:rsid w:val="008819C2"/>
    <w:rsid w:val="00881D8A"/>
    <w:rsid w:val="00882274"/>
    <w:rsid w:val="0088265A"/>
    <w:rsid w:val="00882AC6"/>
    <w:rsid w:val="00882BC7"/>
    <w:rsid w:val="00883468"/>
    <w:rsid w:val="0088378A"/>
    <w:rsid w:val="00883846"/>
    <w:rsid w:val="00883D2A"/>
    <w:rsid w:val="008842FA"/>
    <w:rsid w:val="00884635"/>
    <w:rsid w:val="00884953"/>
    <w:rsid w:val="00885044"/>
    <w:rsid w:val="00885612"/>
    <w:rsid w:val="00885C4F"/>
    <w:rsid w:val="00885C79"/>
    <w:rsid w:val="00886035"/>
    <w:rsid w:val="00886578"/>
    <w:rsid w:val="0088659E"/>
    <w:rsid w:val="008866E2"/>
    <w:rsid w:val="008866ED"/>
    <w:rsid w:val="00886862"/>
    <w:rsid w:val="008868BE"/>
    <w:rsid w:val="00886ABE"/>
    <w:rsid w:val="008870A5"/>
    <w:rsid w:val="008871B9"/>
    <w:rsid w:val="008872F0"/>
    <w:rsid w:val="00887A1E"/>
    <w:rsid w:val="00887AA9"/>
    <w:rsid w:val="00887D40"/>
    <w:rsid w:val="00887DDF"/>
    <w:rsid w:val="00890568"/>
    <w:rsid w:val="00890A69"/>
    <w:rsid w:val="00890AAC"/>
    <w:rsid w:val="00891772"/>
    <w:rsid w:val="00891A0F"/>
    <w:rsid w:val="00891B45"/>
    <w:rsid w:val="00892A82"/>
    <w:rsid w:val="00892DCB"/>
    <w:rsid w:val="00893297"/>
    <w:rsid w:val="00893380"/>
    <w:rsid w:val="00893DD3"/>
    <w:rsid w:val="0089402B"/>
    <w:rsid w:val="008946F2"/>
    <w:rsid w:val="0089482E"/>
    <w:rsid w:val="008948C0"/>
    <w:rsid w:val="00894BBD"/>
    <w:rsid w:val="008953D3"/>
    <w:rsid w:val="00895478"/>
    <w:rsid w:val="00895A1E"/>
    <w:rsid w:val="00895CA4"/>
    <w:rsid w:val="00895DE8"/>
    <w:rsid w:val="008960EA"/>
    <w:rsid w:val="008965C9"/>
    <w:rsid w:val="00897297"/>
    <w:rsid w:val="00897620"/>
    <w:rsid w:val="00897C71"/>
    <w:rsid w:val="008A1C67"/>
    <w:rsid w:val="008A1FE1"/>
    <w:rsid w:val="008A21D3"/>
    <w:rsid w:val="008A2A1F"/>
    <w:rsid w:val="008A2B10"/>
    <w:rsid w:val="008A2ECB"/>
    <w:rsid w:val="008A39AE"/>
    <w:rsid w:val="008A4579"/>
    <w:rsid w:val="008A47E1"/>
    <w:rsid w:val="008A4954"/>
    <w:rsid w:val="008A54B4"/>
    <w:rsid w:val="008A54EB"/>
    <w:rsid w:val="008A556E"/>
    <w:rsid w:val="008A55E8"/>
    <w:rsid w:val="008A6168"/>
    <w:rsid w:val="008A63AB"/>
    <w:rsid w:val="008A63CB"/>
    <w:rsid w:val="008A6717"/>
    <w:rsid w:val="008A6B28"/>
    <w:rsid w:val="008A6B4F"/>
    <w:rsid w:val="008A71B5"/>
    <w:rsid w:val="008A77CC"/>
    <w:rsid w:val="008A7ADF"/>
    <w:rsid w:val="008A7DED"/>
    <w:rsid w:val="008B00C0"/>
    <w:rsid w:val="008B0716"/>
    <w:rsid w:val="008B0D5F"/>
    <w:rsid w:val="008B0F3C"/>
    <w:rsid w:val="008B0FD9"/>
    <w:rsid w:val="008B0FFC"/>
    <w:rsid w:val="008B10B0"/>
    <w:rsid w:val="008B131F"/>
    <w:rsid w:val="008B14F7"/>
    <w:rsid w:val="008B18EE"/>
    <w:rsid w:val="008B1916"/>
    <w:rsid w:val="008B2416"/>
    <w:rsid w:val="008B2859"/>
    <w:rsid w:val="008B2F3F"/>
    <w:rsid w:val="008B30B3"/>
    <w:rsid w:val="008B3255"/>
    <w:rsid w:val="008B3842"/>
    <w:rsid w:val="008B431C"/>
    <w:rsid w:val="008B44FD"/>
    <w:rsid w:val="008B4529"/>
    <w:rsid w:val="008B4991"/>
    <w:rsid w:val="008B4C07"/>
    <w:rsid w:val="008B4F80"/>
    <w:rsid w:val="008B4F8C"/>
    <w:rsid w:val="008B52A7"/>
    <w:rsid w:val="008B583E"/>
    <w:rsid w:val="008B5B07"/>
    <w:rsid w:val="008B5B94"/>
    <w:rsid w:val="008B5F15"/>
    <w:rsid w:val="008B61E2"/>
    <w:rsid w:val="008B6503"/>
    <w:rsid w:val="008B670B"/>
    <w:rsid w:val="008B6ACC"/>
    <w:rsid w:val="008B756E"/>
    <w:rsid w:val="008B7708"/>
    <w:rsid w:val="008B7CCA"/>
    <w:rsid w:val="008C000E"/>
    <w:rsid w:val="008C04B5"/>
    <w:rsid w:val="008C090F"/>
    <w:rsid w:val="008C0911"/>
    <w:rsid w:val="008C0A1D"/>
    <w:rsid w:val="008C1260"/>
    <w:rsid w:val="008C1881"/>
    <w:rsid w:val="008C1AD5"/>
    <w:rsid w:val="008C2069"/>
    <w:rsid w:val="008C2355"/>
    <w:rsid w:val="008C2F60"/>
    <w:rsid w:val="008C3636"/>
    <w:rsid w:val="008C3C47"/>
    <w:rsid w:val="008C46B6"/>
    <w:rsid w:val="008C4BDC"/>
    <w:rsid w:val="008C4E1B"/>
    <w:rsid w:val="008C56D0"/>
    <w:rsid w:val="008C5C50"/>
    <w:rsid w:val="008C6CCD"/>
    <w:rsid w:val="008C71A7"/>
    <w:rsid w:val="008D0596"/>
    <w:rsid w:val="008D0868"/>
    <w:rsid w:val="008D0D33"/>
    <w:rsid w:val="008D1320"/>
    <w:rsid w:val="008D1592"/>
    <w:rsid w:val="008D1707"/>
    <w:rsid w:val="008D1B63"/>
    <w:rsid w:val="008D1C13"/>
    <w:rsid w:val="008D1D6F"/>
    <w:rsid w:val="008D1DE0"/>
    <w:rsid w:val="008D1FF3"/>
    <w:rsid w:val="008D2492"/>
    <w:rsid w:val="008D2682"/>
    <w:rsid w:val="008D3FA2"/>
    <w:rsid w:val="008D4015"/>
    <w:rsid w:val="008D430D"/>
    <w:rsid w:val="008D47E9"/>
    <w:rsid w:val="008D50AE"/>
    <w:rsid w:val="008D513A"/>
    <w:rsid w:val="008D6503"/>
    <w:rsid w:val="008D67DB"/>
    <w:rsid w:val="008D6A81"/>
    <w:rsid w:val="008D7D44"/>
    <w:rsid w:val="008E077E"/>
    <w:rsid w:val="008E0A5D"/>
    <w:rsid w:val="008E1713"/>
    <w:rsid w:val="008E1A08"/>
    <w:rsid w:val="008E1DF8"/>
    <w:rsid w:val="008E2121"/>
    <w:rsid w:val="008E261D"/>
    <w:rsid w:val="008E274C"/>
    <w:rsid w:val="008E29A9"/>
    <w:rsid w:val="008E2DA1"/>
    <w:rsid w:val="008E343B"/>
    <w:rsid w:val="008E3595"/>
    <w:rsid w:val="008E37A1"/>
    <w:rsid w:val="008E3D18"/>
    <w:rsid w:val="008E4238"/>
    <w:rsid w:val="008E4F36"/>
    <w:rsid w:val="008E599F"/>
    <w:rsid w:val="008E5DB1"/>
    <w:rsid w:val="008E5EF2"/>
    <w:rsid w:val="008E61A5"/>
    <w:rsid w:val="008E62F8"/>
    <w:rsid w:val="008E6A69"/>
    <w:rsid w:val="008E747C"/>
    <w:rsid w:val="008E7584"/>
    <w:rsid w:val="008E7BB1"/>
    <w:rsid w:val="008E7BE6"/>
    <w:rsid w:val="008E7D85"/>
    <w:rsid w:val="008E7E0D"/>
    <w:rsid w:val="008F0033"/>
    <w:rsid w:val="008F00F9"/>
    <w:rsid w:val="008F06A9"/>
    <w:rsid w:val="008F1106"/>
    <w:rsid w:val="008F1184"/>
    <w:rsid w:val="008F1326"/>
    <w:rsid w:val="008F1B16"/>
    <w:rsid w:val="008F1BD1"/>
    <w:rsid w:val="008F1BEC"/>
    <w:rsid w:val="008F1C03"/>
    <w:rsid w:val="008F1EDF"/>
    <w:rsid w:val="008F2841"/>
    <w:rsid w:val="008F2CB3"/>
    <w:rsid w:val="008F2CF5"/>
    <w:rsid w:val="008F2DF4"/>
    <w:rsid w:val="008F3381"/>
    <w:rsid w:val="008F3481"/>
    <w:rsid w:val="008F3BCF"/>
    <w:rsid w:val="008F46EE"/>
    <w:rsid w:val="008F5F7F"/>
    <w:rsid w:val="008F6009"/>
    <w:rsid w:val="008F6CB5"/>
    <w:rsid w:val="008F6FE3"/>
    <w:rsid w:val="008F7179"/>
    <w:rsid w:val="008F7AAC"/>
    <w:rsid w:val="0090009A"/>
    <w:rsid w:val="009006CB"/>
    <w:rsid w:val="00900AC1"/>
    <w:rsid w:val="00900CAD"/>
    <w:rsid w:val="00901073"/>
    <w:rsid w:val="0090141A"/>
    <w:rsid w:val="00901521"/>
    <w:rsid w:val="009016C6"/>
    <w:rsid w:val="00901E87"/>
    <w:rsid w:val="00901F26"/>
    <w:rsid w:val="009021E8"/>
    <w:rsid w:val="0090258D"/>
    <w:rsid w:val="009027C2"/>
    <w:rsid w:val="00902AE7"/>
    <w:rsid w:val="009038FF"/>
    <w:rsid w:val="00903C31"/>
    <w:rsid w:val="00903E77"/>
    <w:rsid w:val="009045AA"/>
    <w:rsid w:val="00904907"/>
    <w:rsid w:val="00904950"/>
    <w:rsid w:val="00904C33"/>
    <w:rsid w:val="00905233"/>
    <w:rsid w:val="009054A6"/>
    <w:rsid w:val="009057FE"/>
    <w:rsid w:val="00905B55"/>
    <w:rsid w:val="00906C1F"/>
    <w:rsid w:val="009071A0"/>
    <w:rsid w:val="00907680"/>
    <w:rsid w:val="009077CB"/>
    <w:rsid w:val="00907BD2"/>
    <w:rsid w:val="00907C3A"/>
    <w:rsid w:val="00907CD9"/>
    <w:rsid w:val="00907D5A"/>
    <w:rsid w:val="009104A2"/>
    <w:rsid w:val="00910553"/>
    <w:rsid w:val="00910C8C"/>
    <w:rsid w:val="00910ED4"/>
    <w:rsid w:val="00911149"/>
    <w:rsid w:val="00911184"/>
    <w:rsid w:val="009117F5"/>
    <w:rsid w:val="00911F38"/>
    <w:rsid w:val="009120F7"/>
    <w:rsid w:val="00912372"/>
    <w:rsid w:val="0091276F"/>
    <w:rsid w:val="00912BB1"/>
    <w:rsid w:val="00912BEF"/>
    <w:rsid w:val="0091302A"/>
    <w:rsid w:val="0091361E"/>
    <w:rsid w:val="009138D5"/>
    <w:rsid w:val="00913A02"/>
    <w:rsid w:val="00913E7F"/>
    <w:rsid w:val="00913FBB"/>
    <w:rsid w:val="00913FCC"/>
    <w:rsid w:val="009143FF"/>
    <w:rsid w:val="009152BF"/>
    <w:rsid w:val="00915E5B"/>
    <w:rsid w:val="00915F25"/>
    <w:rsid w:val="009163C9"/>
    <w:rsid w:val="0091662D"/>
    <w:rsid w:val="009168AE"/>
    <w:rsid w:val="00916967"/>
    <w:rsid w:val="009177BD"/>
    <w:rsid w:val="00917DFD"/>
    <w:rsid w:val="00920123"/>
    <w:rsid w:val="00920541"/>
    <w:rsid w:val="00920C80"/>
    <w:rsid w:val="00920E25"/>
    <w:rsid w:val="00921275"/>
    <w:rsid w:val="0092158D"/>
    <w:rsid w:val="0092188C"/>
    <w:rsid w:val="009220C7"/>
    <w:rsid w:val="0092220C"/>
    <w:rsid w:val="009239BC"/>
    <w:rsid w:val="0092404C"/>
    <w:rsid w:val="00924627"/>
    <w:rsid w:val="0092484A"/>
    <w:rsid w:val="0092490C"/>
    <w:rsid w:val="00924919"/>
    <w:rsid w:val="00925125"/>
    <w:rsid w:val="009252A9"/>
    <w:rsid w:val="009253D3"/>
    <w:rsid w:val="009259DC"/>
    <w:rsid w:val="00925E17"/>
    <w:rsid w:val="00925FEC"/>
    <w:rsid w:val="00926160"/>
    <w:rsid w:val="0092647E"/>
    <w:rsid w:val="009264B1"/>
    <w:rsid w:val="009266CB"/>
    <w:rsid w:val="00926B5B"/>
    <w:rsid w:val="00926C5E"/>
    <w:rsid w:val="00926E12"/>
    <w:rsid w:val="009274C2"/>
    <w:rsid w:val="0092784B"/>
    <w:rsid w:val="00927934"/>
    <w:rsid w:val="00927F6C"/>
    <w:rsid w:val="00930133"/>
    <w:rsid w:val="00930A02"/>
    <w:rsid w:val="009313C0"/>
    <w:rsid w:val="009313F7"/>
    <w:rsid w:val="00931404"/>
    <w:rsid w:val="009317E9"/>
    <w:rsid w:val="0093229C"/>
    <w:rsid w:val="0093277D"/>
    <w:rsid w:val="00932803"/>
    <w:rsid w:val="00932D0C"/>
    <w:rsid w:val="00933016"/>
    <w:rsid w:val="00934104"/>
    <w:rsid w:val="009348F2"/>
    <w:rsid w:val="00934971"/>
    <w:rsid w:val="00936212"/>
    <w:rsid w:val="00936342"/>
    <w:rsid w:val="009367B7"/>
    <w:rsid w:val="00936CE7"/>
    <w:rsid w:val="009371DC"/>
    <w:rsid w:val="00937EB2"/>
    <w:rsid w:val="00937FE5"/>
    <w:rsid w:val="009401AB"/>
    <w:rsid w:val="00940255"/>
    <w:rsid w:val="0094048F"/>
    <w:rsid w:val="00940668"/>
    <w:rsid w:val="00940FF0"/>
    <w:rsid w:val="00941223"/>
    <w:rsid w:val="00941A75"/>
    <w:rsid w:val="00941F98"/>
    <w:rsid w:val="009420D2"/>
    <w:rsid w:val="009431F3"/>
    <w:rsid w:val="0094367E"/>
    <w:rsid w:val="009436BF"/>
    <w:rsid w:val="00943DD3"/>
    <w:rsid w:val="00944298"/>
    <w:rsid w:val="0094496F"/>
    <w:rsid w:val="00944E46"/>
    <w:rsid w:val="00945464"/>
    <w:rsid w:val="009456A0"/>
    <w:rsid w:val="0094584B"/>
    <w:rsid w:val="00945CCD"/>
    <w:rsid w:val="00945CE0"/>
    <w:rsid w:val="00945ED5"/>
    <w:rsid w:val="0094678D"/>
    <w:rsid w:val="00946A4A"/>
    <w:rsid w:val="00946D85"/>
    <w:rsid w:val="009475C5"/>
    <w:rsid w:val="0094785F"/>
    <w:rsid w:val="00947889"/>
    <w:rsid w:val="00950547"/>
    <w:rsid w:val="009506BA"/>
    <w:rsid w:val="00950FBA"/>
    <w:rsid w:val="00951284"/>
    <w:rsid w:val="00951673"/>
    <w:rsid w:val="00951A01"/>
    <w:rsid w:val="00951EE4"/>
    <w:rsid w:val="00951F51"/>
    <w:rsid w:val="009520E8"/>
    <w:rsid w:val="009522AE"/>
    <w:rsid w:val="00952AEC"/>
    <w:rsid w:val="00952C24"/>
    <w:rsid w:val="00952D27"/>
    <w:rsid w:val="0095317D"/>
    <w:rsid w:val="009535F5"/>
    <w:rsid w:val="00953765"/>
    <w:rsid w:val="009537D1"/>
    <w:rsid w:val="009538B5"/>
    <w:rsid w:val="00953AAD"/>
    <w:rsid w:val="00953FF9"/>
    <w:rsid w:val="00954898"/>
    <w:rsid w:val="00954D4A"/>
    <w:rsid w:val="009550D3"/>
    <w:rsid w:val="009552D0"/>
    <w:rsid w:val="00955534"/>
    <w:rsid w:val="009556C7"/>
    <w:rsid w:val="0095576A"/>
    <w:rsid w:val="00955D51"/>
    <w:rsid w:val="00955F37"/>
    <w:rsid w:val="009560AF"/>
    <w:rsid w:val="0095676A"/>
    <w:rsid w:val="00957402"/>
    <w:rsid w:val="009577B4"/>
    <w:rsid w:val="00957F6D"/>
    <w:rsid w:val="00961036"/>
    <w:rsid w:val="00961229"/>
    <w:rsid w:val="009612F6"/>
    <w:rsid w:val="009619F6"/>
    <w:rsid w:val="009621D8"/>
    <w:rsid w:val="0096267C"/>
    <w:rsid w:val="00962B96"/>
    <w:rsid w:val="00962DE7"/>
    <w:rsid w:val="009638FD"/>
    <w:rsid w:val="00963ADA"/>
    <w:rsid w:val="00963B35"/>
    <w:rsid w:val="00963D1D"/>
    <w:rsid w:val="00963EF3"/>
    <w:rsid w:val="00963EF7"/>
    <w:rsid w:val="009645ED"/>
    <w:rsid w:val="00964A04"/>
    <w:rsid w:val="00964A57"/>
    <w:rsid w:val="009654B1"/>
    <w:rsid w:val="00965738"/>
    <w:rsid w:val="0096575B"/>
    <w:rsid w:val="009659B4"/>
    <w:rsid w:val="0096641B"/>
    <w:rsid w:val="00966601"/>
    <w:rsid w:val="009666E6"/>
    <w:rsid w:val="0096689B"/>
    <w:rsid w:val="00966A80"/>
    <w:rsid w:val="00966B7A"/>
    <w:rsid w:val="00966B7C"/>
    <w:rsid w:val="00967727"/>
    <w:rsid w:val="00967D7D"/>
    <w:rsid w:val="00967FE6"/>
    <w:rsid w:val="009701A4"/>
    <w:rsid w:val="00970C36"/>
    <w:rsid w:val="00970E1B"/>
    <w:rsid w:val="00972849"/>
    <w:rsid w:val="0097297E"/>
    <w:rsid w:val="00972C2A"/>
    <w:rsid w:val="00972F47"/>
    <w:rsid w:val="00973502"/>
    <w:rsid w:val="00973D62"/>
    <w:rsid w:val="00974357"/>
    <w:rsid w:val="0097484A"/>
    <w:rsid w:val="00974AC1"/>
    <w:rsid w:val="00974AC6"/>
    <w:rsid w:val="00974BAD"/>
    <w:rsid w:val="00974FB9"/>
    <w:rsid w:val="0097515D"/>
    <w:rsid w:val="00975399"/>
    <w:rsid w:val="009754B6"/>
    <w:rsid w:val="00975687"/>
    <w:rsid w:val="009757AF"/>
    <w:rsid w:val="00975D55"/>
    <w:rsid w:val="00975DB8"/>
    <w:rsid w:val="00975E40"/>
    <w:rsid w:val="00975F8A"/>
    <w:rsid w:val="009761E6"/>
    <w:rsid w:val="00976567"/>
    <w:rsid w:val="00977124"/>
    <w:rsid w:val="00977172"/>
    <w:rsid w:val="0097734F"/>
    <w:rsid w:val="00977451"/>
    <w:rsid w:val="00977806"/>
    <w:rsid w:val="00977942"/>
    <w:rsid w:val="00977B80"/>
    <w:rsid w:val="00977DB2"/>
    <w:rsid w:val="009800E0"/>
    <w:rsid w:val="00980361"/>
    <w:rsid w:val="0098075B"/>
    <w:rsid w:val="00980A2B"/>
    <w:rsid w:val="00981242"/>
    <w:rsid w:val="00981345"/>
    <w:rsid w:val="0098150D"/>
    <w:rsid w:val="009816F9"/>
    <w:rsid w:val="00981B78"/>
    <w:rsid w:val="009820A3"/>
    <w:rsid w:val="00982529"/>
    <w:rsid w:val="00982A2F"/>
    <w:rsid w:val="00982BCC"/>
    <w:rsid w:val="009836D0"/>
    <w:rsid w:val="00983B0D"/>
    <w:rsid w:val="009848DE"/>
    <w:rsid w:val="00984A2B"/>
    <w:rsid w:val="00985171"/>
    <w:rsid w:val="0098522D"/>
    <w:rsid w:val="009852B7"/>
    <w:rsid w:val="009852E4"/>
    <w:rsid w:val="0098554C"/>
    <w:rsid w:val="0098578C"/>
    <w:rsid w:val="00986030"/>
    <w:rsid w:val="009863F6"/>
    <w:rsid w:val="00986577"/>
    <w:rsid w:val="009866DF"/>
    <w:rsid w:val="0098685B"/>
    <w:rsid w:val="0098694E"/>
    <w:rsid w:val="00986C49"/>
    <w:rsid w:val="00986E3F"/>
    <w:rsid w:val="00987C85"/>
    <w:rsid w:val="00987F64"/>
    <w:rsid w:val="0099009C"/>
    <w:rsid w:val="00990470"/>
    <w:rsid w:val="0099096C"/>
    <w:rsid w:val="00990C31"/>
    <w:rsid w:val="009911A5"/>
    <w:rsid w:val="0099215D"/>
    <w:rsid w:val="00992A17"/>
    <w:rsid w:val="00993665"/>
    <w:rsid w:val="009936DE"/>
    <w:rsid w:val="00993773"/>
    <w:rsid w:val="00993DAE"/>
    <w:rsid w:val="009940FF"/>
    <w:rsid w:val="0099469A"/>
    <w:rsid w:val="00994B6C"/>
    <w:rsid w:val="0099500E"/>
    <w:rsid w:val="00995288"/>
    <w:rsid w:val="00995BAC"/>
    <w:rsid w:val="00995CAE"/>
    <w:rsid w:val="00996725"/>
    <w:rsid w:val="0099672A"/>
    <w:rsid w:val="009970B9"/>
    <w:rsid w:val="00997B30"/>
    <w:rsid w:val="00997BF7"/>
    <w:rsid w:val="00997E23"/>
    <w:rsid w:val="009A00EC"/>
    <w:rsid w:val="009A011C"/>
    <w:rsid w:val="009A0E18"/>
    <w:rsid w:val="009A0FDA"/>
    <w:rsid w:val="009A124B"/>
    <w:rsid w:val="009A1504"/>
    <w:rsid w:val="009A1AEA"/>
    <w:rsid w:val="009A1B28"/>
    <w:rsid w:val="009A28DD"/>
    <w:rsid w:val="009A2C39"/>
    <w:rsid w:val="009A2C96"/>
    <w:rsid w:val="009A2D91"/>
    <w:rsid w:val="009A2FFC"/>
    <w:rsid w:val="009A31F0"/>
    <w:rsid w:val="009A34B4"/>
    <w:rsid w:val="009A389D"/>
    <w:rsid w:val="009A3F69"/>
    <w:rsid w:val="009A3FF5"/>
    <w:rsid w:val="009A4455"/>
    <w:rsid w:val="009A4575"/>
    <w:rsid w:val="009A46FD"/>
    <w:rsid w:val="009A47CF"/>
    <w:rsid w:val="009A48CC"/>
    <w:rsid w:val="009A49A5"/>
    <w:rsid w:val="009A4BD8"/>
    <w:rsid w:val="009A5117"/>
    <w:rsid w:val="009A56DF"/>
    <w:rsid w:val="009A570F"/>
    <w:rsid w:val="009A60B3"/>
    <w:rsid w:val="009A6F9B"/>
    <w:rsid w:val="009A7517"/>
    <w:rsid w:val="009A7534"/>
    <w:rsid w:val="009B0037"/>
    <w:rsid w:val="009B0450"/>
    <w:rsid w:val="009B04AB"/>
    <w:rsid w:val="009B097D"/>
    <w:rsid w:val="009B1600"/>
    <w:rsid w:val="009B1630"/>
    <w:rsid w:val="009B1A3C"/>
    <w:rsid w:val="009B1A4C"/>
    <w:rsid w:val="009B1AE3"/>
    <w:rsid w:val="009B2757"/>
    <w:rsid w:val="009B295C"/>
    <w:rsid w:val="009B29E9"/>
    <w:rsid w:val="009B2B0D"/>
    <w:rsid w:val="009B2F38"/>
    <w:rsid w:val="009B3212"/>
    <w:rsid w:val="009B3390"/>
    <w:rsid w:val="009B4335"/>
    <w:rsid w:val="009B4CC3"/>
    <w:rsid w:val="009B4DE6"/>
    <w:rsid w:val="009B5378"/>
    <w:rsid w:val="009B5EF5"/>
    <w:rsid w:val="009B66B9"/>
    <w:rsid w:val="009B6779"/>
    <w:rsid w:val="009B734B"/>
    <w:rsid w:val="009B74D2"/>
    <w:rsid w:val="009B74F6"/>
    <w:rsid w:val="009B7EC7"/>
    <w:rsid w:val="009C06CA"/>
    <w:rsid w:val="009C0A54"/>
    <w:rsid w:val="009C0B30"/>
    <w:rsid w:val="009C0C8C"/>
    <w:rsid w:val="009C1409"/>
    <w:rsid w:val="009C1692"/>
    <w:rsid w:val="009C192E"/>
    <w:rsid w:val="009C34C9"/>
    <w:rsid w:val="009C4C0F"/>
    <w:rsid w:val="009C552B"/>
    <w:rsid w:val="009C560C"/>
    <w:rsid w:val="009C6CA8"/>
    <w:rsid w:val="009C6D7E"/>
    <w:rsid w:val="009C6DA9"/>
    <w:rsid w:val="009C6F56"/>
    <w:rsid w:val="009C7A18"/>
    <w:rsid w:val="009C7D16"/>
    <w:rsid w:val="009C7D2E"/>
    <w:rsid w:val="009C7F8C"/>
    <w:rsid w:val="009D0AFD"/>
    <w:rsid w:val="009D154E"/>
    <w:rsid w:val="009D254B"/>
    <w:rsid w:val="009D2987"/>
    <w:rsid w:val="009D29A5"/>
    <w:rsid w:val="009D2C34"/>
    <w:rsid w:val="009D3F0F"/>
    <w:rsid w:val="009D434D"/>
    <w:rsid w:val="009D43E3"/>
    <w:rsid w:val="009D4B4D"/>
    <w:rsid w:val="009D500C"/>
    <w:rsid w:val="009D59B0"/>
    <w:rsid w:val="009D5CB5"/>
    <w:rsid w:val="009D5D63"/>
    <w:rsid w:val="009D63AD"/>
    <w:rsid w:val="009D670A"/>
    <w:rsid w:val="009D70C9"/>
    <w:rsid w:val="009D743B"/>
    <w:rsid w:val="009D76E7"/>
    <w:rsid w:val="009D7D89"/>
    <w:rsid w:val="009E0CB7"/>
    <w:rsid w:val="009E13E5"/>
    <w:rsid w:val="009E177B"/>
    <w:rsid w:val="009E177D"/>
    <w:rsid w:val="009E1A5D"/>
    <w:rsid w:val="009E1A98"/>
    <w:rsid w:val="009E1C30"/>
    <w:rsid w:val="009E1E14"/>
    <w:rsid w:val="009E23D7"/>
    <w:rsid w:val="009E2E34"/>
    <w:rsid w:val="009E326C"/>
    <w:rsid w:val="009E3A7D"/>
    <w:rsid w:val="009E42D9"/>
    <w:rsid w:val="009E4461"/>
    <w:rsid w:val="009E48C6"/>
    <w:rsid w:val="009E4CA5"/>
    <w:rsid w:val="009E4D70"/>
    <w:rsid w:val="009E4F8D"/>
    <w:rsid w:val="009E5636"/>
    <w:rsid w:val="009E5FA4"/>
    <w:rsid w:val="009E6049"/>
    <w:rsid w:val="009E622F"/>
    <w:rsid w:val="009E6767"/>
    <w:rsid w:val="009E6E97"/>
    <w:rsid w:val="009E726C"/>
    <w:rsid w:val="009E7402"/>
    <w:rsid w:val="009E75C9"/>
    <w:rsid w:val="009E7612"/>
    <w:rsid w:val="009E78CD"/>
    <w:rsid w:val="009E7D1B"/>
    <w:rsid w:val="009F030B"/>
    <w:rsid w:val="009F0320"/>
    <w:rsid w:val="009F0547"/>
    <w:rsid w:val="009F08FF"/>
    <w:rsid w:val="009F12A1"/>
    <w:rsid w:val="009F1531"/>
    <w:rsid w:val="009F168B"/>
    <w:rsid w:val="009F1D27"/>
    <w:rsid w:val="009F2042"/>
    <w:rsid w:val="009F234D"/>
    <w:rsid w:val="009F2C28"/>
    <w:rsid w:val="009F2F3A"/>
    <w:rsid w:val="009F329A"/>
    <w:rsid w:val="009F3946"/>
    <w:rsid w:val="009F41F2"/>
    <w:rsid w:val="009F436E"/>
    <w:rsid w:val="009F472B"/>
    <w:rsid w:val="009F4C79"/>
    <w:rsid w:val="009F5255"/>
    <w:rsid w:val="009F54AD"/>
    <w:rsid w:val="009F54C8"/>
    <w:rsid w:val="009F573F"/>
    <w:rsid w:val="009F5B48"/>
    <w:rsid w:val="009F5DD3"/>
    <w:rsid w:val="009F6075"/>
    <w:rsid w:val="009F631B"/>
    <w:rsid w:val="009F73AF"/>
    <w:rsid w:val="009F74C7"/>
    <w:rsid w:val="009F7DB8"/>
    <w:rsid w:val="00A00304"/>
    <w:rsid w:val="00A0084A"/>
    <w:rsid w:val="00A008E3"/>
    <w:rsid w:val="00A009AA"/>
    <w:rsid w:val="00A00B43"/>
    <w:rsid w:val="00A012D4"/>
    <w:rsid w:val="00A017CD"/>
    <w:rsid w:val="00A01ACF"/>
    <w:rsid w:val="00A01AFC"/>
    <w:rsid w:val="00A01B52"/>
    <w:rsid w:val="00A0249B"/>
    <w:rsid w:val="00A025F4"/>
    <w:rsid w:val="00A02AD9"/>
    <w:rsid w:val="00A03624"/>
    <w:rsid w:val="00A0387A"/>
    <w:rsid w:val="00A041FD"/>
    <w:rsid w:val="00A04564"/>
    <w:rsid w:val="00A045F2"/>
    <w:rsid w:val="00A04DDE"/>
    <w:rsid w:val="00A057D8"/>
    <w:rsid w:val="00A05826"/>
    <w:rsid w:val="00A059B7"/>
    <w:rsid w:val="00A061C3"/>
    <w:rsid w:val="00A06371"/>
    <w:rsid w:val="00A06A19"/>
    <w:rsid w:val="00A06AC9"/>
    <w:rsid w:val="00A07285"/>
    <w:rsid w:val="00A0732D"/>
    <w:rsid w:val="00A0742A"/>
    <w:rsid w:val="00A07665"/>
    <w:rsid w:val="00A07C70"/>
    <w:rsid w:val="00A07DE8"/>
    <w:rsid w:val="00A07DF0"/>
    <w:rsid w:val="00A10115"/>
    <w:rsid w:val="00A103F9"/>
    <w:rsid w:val="00A109F6"/>
    <w:rsid w:val="00A10D21"/>
    <w:rsid w:val="00A11331"/>
    <w:rsid w:val="00A119B1"/>
    <w:rsid w:val="00A121DE"/>
    <w:rsid w:val="00A12533"/>
    <w:rsid w:val="00A12767"/>
    <w:rsid w:val="00A127EC"/>
    <w:rsid w:val="00A136DB"/>
    <w:rsid w:val="00A1385A"/>
    <w:rsid w:val="00A13888"/>
    <w:rsid w:val="00A13A14"/>
    <w:rsid w:val="00A13BEC"/>
    <w:rsid w:val="00A13C16"/>
    <w:rsid w:val="00A140CB"/>
    <w:rsid w:val="00A14153"/>
    <w:rsid w:val="00A149ED"/>
    <w:rsid w:val="00A150BA"/>
    <w:rsid w:val="00A15E33"/>
    <w:rsid w:val="00A16265"/>
    <w:rsid w:val="00A169C7"/>
    <w:rsid w:val="00A16C64"/>
    <w:rsid w:val="00A16E43"/>
    <w:rsid w:val="00A16E8D"/>
    <w:rsid w:val="00A1733F"/>
    <w:rsid w:val="00A17560"/>
    <w:rsid w:val="00A1791C"/>
    <w:rsid w:val="00A17A91"/>
    <w:rsid w:val="00A20145"/>
    <w:rsid w:val="00A202F8"/>
    <w:rsid w:val="00A2060A"/>
    <w:rsid w:val="00A215E0"/>
    <w:rsid w:val="00A21836"/>
    <w:rsid w:val="00A21CA4"/>
    <w:rsid w:val="00A21D27"/>
    <w:rsid w:val="00A21E1A"/>
    <w:rsid w:val="00A21E41"/>
    <w:rsid w:val="00A21F50"/>
    <w:rsid w:val="00A2217F"/>
    <w:rsid w:val="00A2243B"/>
    <w:rsid w:val="00A225C6"/>
    <w:rsid w:val="00A22E2E"/>
    <w:rsid w:val="00A22E95"/>
    <w:rsid w:val="00A23497"/>
    <w:rsid w:val="00A23546"/>
    <w:rsid w:val="00A23EB1"/>
    <w:rsid w:val="00A23F69"/>
    <w:rsid w:val="00A23F8A"/>
    <w:rsid w:val="00A24739"/>
    <w:rsid w:val="00A24CB2"/>
    <w:rsid w:val="00A24EB4"/>
    <w:rsid w:val="00A250DD"/>
    <w:rsid w:val="00A25602"/>
    <w:rsid w:val="00A25F50"/>
    <w:rsid w:val="00A265C6"/>
    <w:rsid w:val="00A266E5"/>
    <w:rsid w:val="00A26BD4"/>
    <w:rsid w:val="00A274DF"/>
    <w:rsid w:val="00A2767E"/>
    <w:rsid w:val="00A277DB"/>
    <w:rsid w:val="00A27EB9"/>
    <w:rsid w:val="00A27FCD"/>
    <w:rsid w:val="00A30634"/>
    <w:rsid w:val="00A31439"/>
    <w:rsid w:val="00A31759"/>
    <w:rsid w:val="00A3194C"/>
    <w:rsid w:val="00A31B22"/>
    <w:rsid w:val="00A31FE6"/>
    <w:rsid w:val="00A3253A"/>
    <w:rsid w:val="00A325C2"/>
    <w:rsid w:val="00A32945"/>
    <w:rsid w:val="00A32A0E"/>
    <w:rsid w:val="00A32D6C"/>
    <w:rsid w:val="00A32E0B"/>
    <w:rsid w:val="00A33567"/>
    <w:rsid w:val="00A34450"/>
    <w:rsid w:val="00A35668"/>
    <w:rsid w:val="00A35917"/>
    <w:rsid w:val="00A359CE"/>
    <w:rsid w:val="00A35EB1"/>
    <w:rsid w:val="00A362A6"/>
    <w:rsid w:val="00A367B8"/>
    <w:rsid w:val="00A36832"/>
    <w:rsid w:val="00A36DBC"/>
    <w:rsid w:val="00A373F9"/>
    <w:rsid w:val="00A3765F"/>
    <w:rsid w:val="00A37C4D"/>
    <w:rsid w:val="00A40C61"/>
    <w:rsid w:val="00A40F70"/>
    <w:rsid w:val="00A4136E"/>
    <w:rsid w:val="00A429E5"/>
    <w:rsid w:val="00A43009"/>
    <w:rsid w:val="00A4328E"/>
    <w:rsid w:val="00A435BA"/>
    <w:rsid w:val="00A43731"/>
    <w:rsid w:val="00A437B2"/>
    <w:rsid w:val="00A4395C"/>
    <w:rsid w:val="00A43D61"/>
    <w:rsid w:val="00A44014"/>
    <w:rsid w:val="00A44452"/>
    <w:rsid w:val="00A44474"/>
    <w:rsid w:val="00A444EA"/>
    <w:rsid w:val="00A44A40"/>
    <w:rsid w:val="00A44ABE"/>
    <w:rsid w:val="00A45336"/>
    <w:rsid w:val="00A454E7"/>
    <w:rsid w:val="00A45826"/>
    <w:rsid w:val="00A45ED2"/>
    <w:rsid w:val="00A46B1B"/>
    <w:rsid w:val="00A47273"/>
    <w:rsid w:val="00A47381"/>
    <w:rsid w:val="00A47FF4"/>
    <w:rsid w:val="00A5056A"/>
    <w:rsid w:val="00A507D1"/>
    <w:rsid w:val="00A50927"/>
    <w:rsid w:val="00A50CC4"/>
    <w:rsid w:val="00A51A44"/>
    <w:rsid w:val="00A52815"/>
    <w:rsid w:val="00A529F3"/>
    <w:rsid w:val="00A52B33"/>
    <w:rsid w:val="00A52C3A"/>
    <w:rsid w:val="00A535A1"/>
    <w:rsid w:val="00A53749"/>
    <w:rsid w:val="00A54350"/>
    <w:rsid w:val="00A54A3F"/>
    <w:rsid w:val="00A54D49"/>
    <w:rsid w:val="00A54D82"/>
    <w:rsid w:val="00A550E0"/>
    <w:rsid w:val="00A5522E"/>
    <w:rsid w:val="00A553E8"/>
    <w:rsid w:val="00A55401"/>
    <w:rsid w:val="00A55D8A"/>
    <w:rsid w:val="00A5609F"/>
    <w:rsid w:val="00A561BE"/>
    <w:rsid w:val="00A56F89"/>
    <w:rsid w:val="00A601F4"/>
    <w:rsid w:val="00A604CF"/>
    <w:rsid w:val="00A60EF3"/>
    <w:rsid w:val="00A61752"/>
    <w:rsid w:val="00A61948"/>
    <w:rsid w:val="00A622EA"/>
    <w:rsid w:val="00A62897"/>
    <w:rsid w:val="00A62A0A"/>
    <w:rsid w:val="00A630A6"/>
    <w:rsid w:val="00A63763"/>
    <w:rsid w:val="00A63826"/>
    <w:rsid w:val="00A63B1D"/>
    <w:rsid w:val="00A6448C"/>
    <w:rsid w:val="00A64578"/>
    <w:rsid w:val="00A649D4"/>
    <w:rsid w:val="00A64BE8"/>
    <w:rsid w:val="00A64D33"/>
    <w:rsid w:val="00A65292"/>
    <w:rsid w:val="00A662B6"/>
    <w:rsid w:val="00A66A19"/>
    <w:rsid w:val="00A66AAE"/>
    <w:rsid w:val="00A66DB5"/>
    <w:rsid w:val="00A671C5"/>
    <w:rsid w:val="00A67A31"/>
    <w:rsid w:val="00A67CD8"/>
    <w:rsid w:val="00A703BF"/>
    <w:rsid w:val="00A70448"/>
    <w:rsid w:val="00A70D9B"/>
    <w:rsid w:val="00A70F55"/>
    <w:rsid w:val="00A71813"/>
    <w:rsid w:val="00A71B83"/>
    <w:rsid w:val="00A71C2D"/>
    <w:rsid w:val="00A71C52"/>
    <w:rsid w:val="00A72053"/>
    <w:rsid w:val="00A721B5"/>
    <w:rsid w:val="00A72568"/>
    <w:rsid w:val="00A72581"/>
    <w:rsid w:val="00A7262F"/>
    <w:rsid w:val="00A73887"/>
    <w:rsid w:val="00A739EE"/>
    <w:rsid w:val="00A740D5"/>
    <w:rsid w:val="00A74106"/>
    <w:rsid w:val="00A7469A"/>
    <w:rsid w:val="00A74CCA"/>
    <w:rsid w:val="00A74D65"/>
    <w:rsid w:val="00A74EC2"/>
    <w:rsid w:val="00A7515A"/>
    <w:rsid w:val="00A75A10"/>
    <w:rsid w:val="00A75ED2"/>
    <w:rsid w:val="00A7656A"/>
    <w:rsid w:val="00A76681"/>
    <w:rsid w:val="00A76745"/>
    <w:rsid w:val="00A767E9"/>
    <w:rsid w:val="00A77ACC"/>
    <w:rsid w:val="00A77BC5"/>
    <w:rsid w:val="00A802E1"/>
    <w:rsid w:val="00A80597"/>
    <w:rsid w:val="00A808BF"/>
    <w:rsid w:val="00A81120"/>
    <w:rsid w:val="00A81352"/>
    <w:rsid w:val="00A81529"/>
    <w:rsid w:val="00A8165B"/>
    <w:rsid w:val="00A817C4"/>
    <w:rsid w:val="00A81EB7"/>
    <w:rsid w:val="00A8258D"/>
    <w:rsid w:val="00A826B6"/>
    <w:rsid w:val="00A8275F"/>
    <w:rsid w:val="00A82F26"/>
    <w:rsid w:val="00A837FB"/>
    <w:rsid w:val="00A83F4C"/>
    <w:rsid w:val="00A842EF"/>
    <w:rsid w:val="00A84E57"/>
    <w:rsid w:val="00A85145"/>
    <w:rsid w:val="00A85330"/>
    <w:rsid w:val="00A85544"/>
    <w:rsid w:val="00A85832"/>
    <w:rsid w:val="00A86145"/>
    <w:rsid w:val="00A8639B"/>
    <w:rsid w:val="00A87973"/>
    <w:rsid w:val="00A87FA2"/>
    <w:rsid w:val="00A90406"/>
    <w:rsid w:val="00A906B0"/>
    <w:rsid w:val="00A9086A"/>
    <w:rsid w:val="00A910CE"/>
    <w:rsid w:val="00A9135E"/>
    <w:rsid w:val="00A9203C"/>
    <w:rsid w:val="00A9227F"/>
    <w:rsid w:val="00A92492"/>
    <w:rsid w:val="00A93555"/>
    <w:rsid w:val="00A94099"/>
    <w:rsid w:val="00A9427A"/>
    <w:rsid w:val="00A94336"/>
    <w:rsid w:val="00A946E9"/>
    <w:rsid w:val="00A94886"/>
    <w:rsid w:val="00A94B57"/>
    <w:rsid w:val="00A94B9A"/>
    <w:rsid w:val="00A94F3D"/>
    <w:rsid w:val="00A9500D"/>
    <w:rsid w:val="00A951A8"/>
    <w:rsid w:val="00A9557D"/>
    <w:rsid w:val="00A955BA"/>
    <w:rsid w:val="00A95DAF"/>
    <w:rsid w:val="00A96539"/>
    <w:rsid w:val="00A96776"/>
    <w:rsid w:val="00A96A86"/>
    <w:rsid w:val="00A96E20"/>
    <w:rsid w:val="00A97092"/>
    <w:rsid w:val="00A975CF"/>
    <w:rsid w:val="00A97C29"/>
    <w:rsid w:val="00A97FDE"/>
    <w:rsid w:val="00AA041E"/>
    <w:rsid w:val="00AA0501"/>
    <w:rsid w:val="00AA062F"/>
    <w:rsid w:val="00AA0A0C"/>
    <w:rsid w:val="00AA12EC"/>
    <w:rsid w:val="00AA160D"/>
    <w:rsid w:val="00AA1834"/>
    <w:rsid w:val="00AA1840"/>
    <w:rsid w:val="00AA1B82"/>
    <w:rsid w:val="00AA1BA9"/>
    <w:rsid w:val="00AA1DC8"/>
    <w:rsid w:val="00AA1E51"/>
    <w:rsid w:val="00AA1E96"/>
    <w:rsid w:val="00AA2519"/>
    <w:rsid w:val="00AA3371"/>
    <w:rsid w:val="00AA36FD"/>
    <w:rsid w:val="00AA404F"/>
    <w:rsid w:val="00AA4917"/>
    <w:rsid w:val="00AA4E9F"/>
    <w:rsid w:val="00AA5159"/>
    <w:rsid w:val="00AA653A"/>
    <w:rsid w:val="00AA6599"/>
    <w:rsid w:val="00AA70ED"/>
    <w:rsid w:val="00AA7106"/>
    <w:rsid w:val="00AA7FBE"/>
    <w:rsid w:val="00AB024A"/>
    <w:rsid w:val="00AB0EB5"/>
    <w:rsid w:val="00AB1747"/>
    <w:rsid w:val="00AB2131"/>
    <w:rsid w:val="00AB2FCE"/>
    <w:rsid w:val="00AB3779"/>
    <w:rsid w:val="00AB3BDB"/>
    <w:rsid w:val="00AB42F2"/>
    <w:rsid w:val="00AB4679"/>
    <w:rsid w:val="00AB4722"/>
    <w:rsid w:val="00AB4B9F"/>
    <w:rsid w:val="00AB4E09"/>
    <w:rsid w:val="00AB5A6F"/>
    <w:rsid w:val="00AB5E7F"/>
    <w:rsid w:val="00AB64E4"/>
    <w:rsid w:val="00AB6B68"/>
    <w:rsid w:val="00AB6D92"/>
    <w:rsid w:val="00AB7642"/>
    <w:rsid w:val="00AB7B39"/>
    <w:rsid w:val="00AB7C8B"/>
    <w:rsid w:val="00AC0907"/>
    <w:rsid w:val="00AC12F9"/>
    <w:rsid w:val="00AC15B1"/>
    <w:rsid w:val="00AC19E0"/>
    <w:rsid w:val="00AC1F1C"/>
    <w:rsid w:val="00AC2AF2"/>
    <w:rsid w:val="00AC301D"/>
    <w:rsid w:val="00AC33A9"/>
    <w:rsid w:val="00AC33F8"/>
    <w:rsid w:val="00AC35C3"/>
    <w:rsid w:val="00AC3F2C"/>
    <w:rsid w:val="00AC42B9"/>
    <w:rsid w:val="00AC4496"/>
    <w:rsid w:val="00AC44AC"/>
    <w:rsid w:val="00AC4793"/>
    <w:rsid w:val="00AC4EAB"/>
    <w:rsid w:val="00AC4F34"/>
    <w:rsid w:val="00AC4F76"/>
    <w:rsid w:val="00AC519D"/>
    <w:rsid w:val="00AC5818"/>
    <w:rsid w:val="00AC5F58"/>
    <w:rsid w:val="00AC6701"/>
    <w:rsid w:val="00AC6883"/>
    <w:rsid w:val="00AC6D2E"/>
    <w:rsid w:val="00AC7A11"/>
    <w:rsid w:val="00AD0C79"/>
    <w:rsid w:val="00AD18AA"/>
    <w:rsid w:val="00AD1CBD"/>
    <w:rsid w:val="00AD2143"/>
    <w:rsid w:val="00AD28FB"/>
    <w:rsid w:val="00AD2BDA"/>
    <w:rsid w:val="00AD2E6D"/>
    <w:rsid w:val="00AD3082"/>
    <w:rsid w:val="00AD359F"/>
    <w:rsid w:val="00AD3A02"/>
    <w:rsid w:val="00AD3CF4"/>
    <w:rsid w:val="00AD4127"/>
    <w:rsid w:val="00AD5372"/>
    <w:rsid w:val="00AD5C9F"/>
    <w:rsid w:val="00AD5E39"/>
    <w:rsid w:val="00AD6899"/>
    <w:rsid w:val="00AD6F7D"/>
    <w:rsid w:val="00AD7144"/>
    <w:rsid w:val="00AD7EB3"/>
    <w:rsid w:val="00AE069C"/>
    <w:rsid w:val="00AE09D6"/>
    <w:rsid w:val="00AE0C05"/>
    <w:rsid w:val="00AE0D8F"/>
    <w:rsid w:val="00AE0FA7"/>
    <w:rsid w:val="00AE14E3"/>
    <w:rsid w:val="00AE158D"/>
    <w:rsid w:val="00AE186A"/>
    <w:rsid w:val="00AE23A2"/>
    <w:rsid w:val="00AE2795"/>
    <w:rsid w:val="00AE2F5F"/>
    <w:rsid w:val="00AE3223"/>
    <w:rsid w:val="00AE3AF5"/>
    <w:rsid w:val="00AE433E"/>
    <w:rsid w:val="00AE4592"/>
    <w:rsid w:val="00AE461B"/>
    <w:rsid w:val="00AE49E4"/>
    <w:rsid w:val="00AE5A8A"/>
    <w:rsid w:val="00AE5EF5"/>
    <w:rsid w:val="00AE61F2"/>
    <w:rsid w:val="00AE6FC7"/>
    <w:rsid w:val="00AE72A2"/>
    <w:rsid w:val="00AE7669"/>
    <w:rsid w:val="00AE7FF4"/>
    <w:rsid w:val="00AF00AC"/>
    <w:rsid w:val="00AF022E"/>
    <w:rsid w:val="00AF033E"/>
    <w:rsid w:val="00AF0538"/>
    <w:rsid w:val="00AF05FF"/>
    <w:rsid w:val="00AF0C90"/>
    <w:rsid w:val="00AF139B"/>
    <w:rsid w:val="00AF2924"/>
    <w:rsid w:val="00AF2933"/>
    <w:rsid w:val="00AF2D4E"/>
    <w:rsid w:val="00AF2E69"/>
    <w:rsid w:val="00AF3071"/>
    <w:rsid w:val="00AF3922"/>
    <w:rsid w:val="00AF4570"/>
    <w:rsid w:val="00AF474B"/>
    <w:rsid w:val="00AF48A3"/>
    <w:rsid w:val="00AF50A6"/>
    <w:rsid w:val="00AF57B0"/>
    <w:rsid w:val="00AF62D7"/>
    <w:rsid w:val="00AF6631"/>
    <w:rsid w:val="00AF6832"/>
    <w:rsid w:val="00AF6C48"/>
    <w:rsid w:val="00AF6E19"/>
    <w:rsid w:val="00AF7156"/>
    <w:rsid w:val="00AF7256"/>
    <w:rsid w:val="00AF7DB0"/>
    <w:rsid w:val="00B005D5"/>
    <w:rsid w:val="00B006A2"/>
    <w:rsid w:val="00B00A08"/>
    <w:rsid w:val="00B00F0A"/>
    <w:rsid w:val="00B0125E"/>
    <w:rsid w:val="00B013A9"/>
    <w:rsid w:val="00B018B5"/>
    <w:rsid w:val="00B0223B"/>
    <w:rsid w:val="00B0274A"/>
    <w:rsid w:val="00B029E1"/>
    <w:rsid w:val="00B02BA6"/>
    <w:rsid w:val="00B02CBD"/>
    <w:rsid w:val="00B03594"/>
    <w:rsid w:val="00B036F2"/>
    <w:rsid w:val="00B03D5F"/>
    <w:rsid w:val="00B04316"/>
    <w:rsid w:val="00B0491C"/>
    <w:rsid w:val="00B04E7B"/>
    <w:rsid w:val="00B0505E"/>
    <w:rsid w:val="00B05972"/>
    <w:rsid w:val="00B059DB"/>
    <w:rsid w:val="00B06893"/>
    <w:rsid w:val="00B101D1"/>
    <w:rsid w:val="00B1073C"/>
    <w:rsid w:val="00B10CC6"/>
    <w:rsid w:val="00B10F3F"/>
    <w:rsid w:val="00B10F66"/>
    <w:rsid w:val="00B110C3"/>
    <w:rsid w:val="00B11B94"/>
    <w:rsid w:val="00B11E67"/>
    <w:rsid w:val="00B11FAD"/>
    <w:rsid w:val="00B11FDE"/>
    <w:rsid w:val="00B12464"/>
    <w:rsid w:val="00B12D0E"/>
    <w:rsid w:val="00B12E5A"/>
    <w:rsid w:val="00B13DEB"/>
    <w:rsid w:val="00B14171"/>
    <w:rsid w:val="00B153F4"/>
    <w:rsid w:val="00B15579"/>
    <w:rsid w:val="00B1586D"/>
    <w:rsid w:val="00B15EFC"/>
    <w:rsid w:val="00B168FE"/>
    <w:rsid w:val="00B16A06"/>
    <w:rsid w:val="00B173A0"/>
    <w:rsid w:val="00B177F4"/>
    <w:rsid w:val="00B20509"/>
    <w:rsid w:val="00B2099C"/>
    <w:rsid w:val="00B20C22"/>
    <w:rsid w:val="00B212B5"/>
    <w:rsid w:val="00B212FE"/>
    <w:rsid w:val="00B216F5"/>
    <w:rsid w:val="00B217FF"/>
    <w:rsid w:val="00B22C78"/>
    <w:rsid w:val="00B22D42"/>
    <w:rsid w:val="00B22D6A"/>
    <w:rsid w:val="00B2316F"/>
    <w:rsid w:val="00B233DE"/>
    <w:rsid w:val="00B23677"/>
    <w:rsid w:val="00B23964"/>
    <w:rsid w:val="00B23B7C"/>
    <w:rsid w:val="00B23B85"/>
    <w:rsid w:val="00B23CD0"/>
    <w:rsid w:val="00B23D70"/>
    <w:rsid w:val="00B23F1B"/>
    <w:rsid w:val="00B2430E"/>
    <w:rsid w:val="00B24431"/>
    <w:rsid w:val="00B2466A"/>
    <w:rsid w:val="00B247B5"/>
    <w:rsid w:val="00B24B8C"/>
    <w:rsid w:val="00B251F9"/>
    <w:rsid w:val="00B25503"/>
    <w:rsid w:val="00B25F34"/>
    <w:rsid w:val="00B26FED"/>
    <w:rsid w:val="00B2771D"/>
    <w:rsid w:val="00B2775E"/>
    <w:rsid w:val="00B27E2A"/>
    <w:rsid w:val="00B30301"/>
    <w:rsid w:val="00B303B1"/>
    <w:rsid w:val="00B30E36"/>
    <w:rsid w:val="00B30EC4"/>
    <w:rsid w:val="00B318D2"/>
    <w:rsid w:val="00B31C20"/>
    <w:rsid w:val="00B31DEF"/>
    <w:rsid w:val="00B329DB"/>
    <w:rsid w:val="00B329FC"/>
    <w:rsid w:val="00B33D87"/>
    <w:rsid w:val="00B34F2C"/>
    <w:rsid w:val="00B34FCD"/>
    <w:rsid w:val="00B34FF3"/>
    <w:rsid w:val="00B3574D"/>
    <w:rsid w:val="00B357C9"/>
    <w:rsid w:val="00B35BA1"/>
    <w:rsid w:val="00B36144"/>
    <w:rsid w:val="00B36724"/>
    <w:rsid w:val="00B36853"/>
    <w:rsid w:val="00B37823"/>
    <w:rsid w:val="00B3798C"/>
    <w:rsid w:val="00B37C8F"/>
    <w:rsid w:val="00B37D10"/>
    <w:rsid w:val="00B37E8E"/>
    <w:rsid w:val="00B40660"/>
    <w:rsid w:val="00B40947"/>
    <w:rsid w:val="00B40F0B"/>
    <w:rsid w:val="00B40F3E"/>
    <w:rsid w:val="00B4153C"/>
    <w:rsid w:val="00B4285C"/>
    <w:rsid w:val="00B42A3C"/>
    <w:rsid w:val="00B42BF1"/>
    <w:rsid w:val="00B433CC"/>
    <w:rsid w:val="00B43C4B"/>
    <w:rsid w:val="00B43E54"/>
    <w:rsid w:val="00B445A0"/>
    <w:rsid w:val="00B44D04"/>
    <w:rsid w:val="00B457D4"/>
    <w:rsid w:val="00B45D13"/>
    <w:rsid w:val="00B46001"/>
    <w:rsid w:val="00B46181"/>
    <w:rsid w:val="00B46D30"/>
    <w:rsid w:val="00B473D8"/>
    <w:rsid w:val="00B47B6B"/>
    <w:rsid w:val="00B47D87"/>
    <w:rsid w:val="00B47EE6"/>
    <w:rsid w:val="00B504B5"/>
    <w:rsid w:val="00B50642"/>
    <w:rsid w:val="00B50E0A"/>
    <w:rsid w:val="00B510B9"/>
    <w:rsid w:val="00B515F4"/>
    <w:rsid w:val="00B51BC9"/>
    <w:rsid w:val="00B51DE3"/>
    <w:rsid w:val="00B52045"/>
    <w:rsid w:val="00B52092"/>
    <w:rsid w:val="00B52925"/>
    <w:rsid w:val="00B52C4D"/>
    <w:rsid w:val="00B5316E"/>
    <w:rsid w:val="00B54628"/>
    <w:rsid w:val="00B54B7F"/>
    <w:rsid w:val="00B54D09"/>
    <w:rsid w:val="00B55642"/>
    <w:rsid w:val="00B55670"/>
    <w:rsid w:val="00B55A78"/>
    <w:rsid w:val="00B55DC6"/>
    <w:rsid w:val="00B56705"/>
    <w:rsid w:val="00B568EA"/>
    <w:rsid w:val="00B56BA2"/>
    <w:rsid w:val="00B56DD1"/>
    <w:rsid w:val="00B57494"/>
    <w:rsid w:val="00B57772"/>
    <w:rsid w:val="00B578B7"/>
    <w:rsid w:val="00B57914"/>
    <w:rsid w:val="00B57EB6"/>
    <w:rsid w:val="00B57F12"/>
    <w:rsid w:val="00B603E7"/>
    <w:rsid w:val="00B60D82"/>
    <w:rsid w:val="00B60E36"/>
    <w:rsid w:val="00B612C7"/>
    <w:rsid w:val="00B61E07"/>
    <w:rsid w:val="00B62438"/>
    <w:rsid w:val="00B62B99"/>
    <w:rsid w:val="00B62D4F"/>
    <w:rsid w:val="00B63C4A"/>
    <w:rsid w:val="00B642BD"/>
    <w:rsid w:val="00B6440B"/>
    <w:rsid w:val="00B6447D"/>
    <w:rsid w:val="00B645F8"/>
    <w:rsid w:val="00B64763"/>
    <w:rsid w:val="00B64909"/>
    <w:rsid w:val="00B64A5A"/>
    <w:rsid w:val="00B64D5E"/>
    <w:rsid w:val="00B6687D"/>
    <w:rsid w:val="00B670DF"/>
    <w:rsid w:val="00B672DC"/>
    <w:rsid w:val="00B674D4"/>
    <w:rsid w:val="00B67B3B"/>
    <w:rsid w:val="00B701A1"/>
    <w:rsid w:val="00B70270"/>
    <w:rsid w:val="00B7030C"/>
    <w:rsid w:val="00B708EF"/>
    <w:rsid w:val="00B70A25"/>
    <w:rsid w:val="00B70DC7"/>
    <w:rsid w:val="00B711C8"/>
    <w:rsid w:val="00B71F97"/>
    <w:rsid w:val="00B722BE"/>
    <w:rsid w:val="00B7324B"/>
    <w:rsid w:val="00B7328F"/>
    <w:rsid w:val="00B7495B"/>
    <w:rsid w:val="00B75230"/>
    <w:rsid w:val="00B75327"/>
    <w:rsid w:val="00B7555F"/>
    <w:rsid w:val="00B76016"/>
    <w:rsid w:val="00B761CB"/>
    <w:rsid w:val="00B766DB"/>
    <w:rsid w:val="00B76F2F"/>
    <w:rsid w:val="00B7735F"/>
    <w:rsid w:val="00B80166"/>
    <w:rsid w:val="00B805C8"/>
    <w:rsid w:val="00B80A27"/>
    <w:rsid w:val="00B80A54"/>
    <w:rsid w:val="00B80AC0"/>
    <w:rsid w:val="00B80BA7"/>
    <w:rsid w:val="00B80BEF"/>
    <w:rsid w:val="00B816AA"/>
    <w:rsid w:val="00B8172D"/>
    <w:rsid w:val="00B81C6F"/>
    <w:rsid w:val="00B820B0"/>
    <w:rsid w:val="00B82912"/>
    <w:rsid w:val="00B82CB6"/>
    <w:rsid w:val="00B832A3"/>
    <w:rsid w:val="00B83C21"/>
    <w:rsid w:val="00B83C5E"/>
    <w:rsid w:val="00B84826"/>
    <w:rsid w:val="00B84D81"/>
    <w:rsid w:val="00B851A5"/>
    <w:rsid w:val="00B856F4"/>
    <w:rsid w:val="00B85F4C"/>
    <w:rsid w:val="00B85F9D"/>
    <w:rsid w:val="00B86155"/>
    <w:rsid w:val="00B86162"/>
    <w:rsid w:val="00B86573"/>
    <w:rsid w:val="00B8686C"/>
    <w:rsid w:val="00B869F7"/>
    <w:rsid w:val="00B87599"/>
    <w:rsid w:val="00B9015B"/>
    <w:rsid w:val="00B902A8"/>
    <w:rsid w:val="00B909DB"/>
    <w:rsid w:val="00B9112C"/>
    <w:rsid w:val="00B91764"/>
    <w:rsid w:val="00B92AD4"/>
    <w:rsid w:val="00B92AFA"/>
    <w:rsid w:val="00B92C35"/>
    <w:rsid w:val="00B92D68"/>
    <w:rsid w:val="00B92D76"/>
    <w:rsid w:val="00B93222"/>
    <w:rsid w:val="00B93273"/>
    <w:rsid w:val="00B9338D"/>
    <w:rsid w:val="00B938F9"/>
    <w:rsid w:val="00B94342"/>
    <w:rsid w:val="00B946A3"/>
    <w:rsid w:val="00B9472F"/>
    <w:rsid w:val="00B948C4"/>
    <w:rsid w:val="00B94962"/>
    <w:rsid w:val="00B94A91"/>
    <w:rsid w:val="00B94F52"/>
    <w:rsid w:val="00B95080"/>
    <w:rsid w:val="00B95689"/>
    <w:rsid w:val="00B956E3"/>
    <w:rsid w:val="00B95D38"/>
    <w:rsid w:val="00B9665E"/>
    <w:rsid w:val="00B968BA"/>
    <w:rsid w:val="00B968D5"/>
    <w:rsid w:val="00B96E18"/>
    <w:rsid w:val="00B97958"/>
    <w:rsid w:val="00B97968"/>
    <w:rsid w:val="00B97BA8"/>
    <w:rsid w:val="00BA015C"/>
    <w:rsid w:val="00BA03C2"/>
    <w:rsid w:val="00BA0673"/>
    <w:rsid w:val="00BA0953"/>
    <w:rsid w:val="00BA0F31"/>
    <w:rsid w:val="00BA0F62"/>
    <w:rsid w:val="00BA1338"/>
    <w:rsid w:val="00BA17E8"/>
    <w:rsid w:val="00BA2846"/>
    <w:rsid w:val="00BA2917"/>
    <w:rsid w:val="00BA3113"/>
    <w:rsid w:val="00BA325C"/>
    <w:rsid w:val="00BA3EA7"/>
    <w:rsid w:val="00BA4065"/>
    <w:rsid w:val="00BA4DBD"/>
    <w:rsid w:val="00BA4E82"/>
    <w:rsid w:val="00BA4F0D"/>
    <w:rsid w:val="00BA4F82"/>
    <w:rsid w:val="00BA52C1"/>
    <w:rsid w:val="00BA58D6"/>
    <w:rsid w:val="00BA5B3A"/>
    <w:rsid w:val="00BA5DF0"/>
    <w:rsid w:val="00BA61A3"/>
    <w:rsid w:val="00BA70DA"/>
    <w:rsid w:val="00BA7168"/>
    <w:rsid w:val="00BA78EC"/>
    <w:rsid w:val="00BA7977"/>
    <w:rsid w:val="00BA7A69"/>
    <w:rsid w:val="00BA7B13"/>
    <w:rsid w:val="00BA7F2A"/>
    <w:rsid w:val="00BB08F1"/>
    <w:rsid w:val="00BB093B"/>
    <w:rsid w:val="00BB1702"/>
    <w:rsid w:val="00BB174B"/>
    <w:rsid w:val="00BB184F"/>
    <w:rsid w:val="00BB1BC9"/>
    <w:rsid w:val="00BB2EB0"/>
    <w:rsid w:val="00BB324B"/>
    <w:rsid w:val="00BB3FB0"/>
    <w:rsid w:val="00BB434B"/>
    <w:rsid w:val="00BB44E2"/>
    <w:rsid w:val="00BB469A"/>
    <w:rsid w:val="00BB482F"/>
    <w:rsid w:val="00BB4F35"/>
    <w:rsid w:val="00BB508F"/>
    <w:rsid w:val="00BB5AEC"/>
    <w:rsid w:val="00BB5D48"/>
    <w:rsid w:val="00BB6916"/>
    <w:rsid w:val="00BB6C83"/>
    <w:rsid w:val="00BB6F4C"/>
    <w:rsid w:val="00BB70C2"/>
    <w:rsid w:val="00BB7C60"/>
    <w:rsid w:val="00BB7DD3"/>
    <w:rsid w:val="00BB7E3F"/>
    <w:rsid w:val="00BB7EC8"/>
    <w:rsid w:val="00BC074C"/>
    <w:rsid w:val="00BC0998"/>
    <w:rsid w:val="00BC0E96"/>
    <w:rsid w:val="00BC0F54"/>
    <w:rsid w:val="00BC0F77"/>
    <w:rsid w:val="00BC0FBF"/>
    <w:rsid w:val="00BC1665"/>
    <w:rsid w:val="00BC1E37"/>
    <w:rsid w:val="00BC2459"/>
    <w:rsid w:val="00BC3031"/>
    <w:rsid w:val="00BC3414"/>
    <w:rsid w:val="00BC3EBC"/>
    <w:rsid w:val="00BC3FBE"/>
    <w:rsid w:val="00BC3FFF"/>
    <w:rsid w:val="00BC525C"/>
    <w:rsid w:val="00BC53BA"/>
    <w:rsid w:val="00BC543D"/>
    <w:rsid w:val="00BC58CB"/>
    <w:rsid w:val="00BC5D5B"/>
    <w:rsid w:val="00BC5D7A"/>
    <w:rsid w:val="00BC5DFC"/>
    <w:rsid w:val="00BC5EEA"/>
    <w:rsid w:val="00BC6806"/>
    <w:rsid w:val="00BC6A40"/>
    <w:rsid w:val="00BC6AAE"/>
    <w:rsid w:val="00BC6ACE"/>
    <w:rsid w:val="00BC6B11"/>
    <w:rsid w:val="00BC6CC5"/>
    <w:rsid w:val="00BC7516"/>
    <w:rsid w:val="00BC7637"/>
    <w:rsid w:val="00BC7AEC"/>
    <w:rsid w:val="00BC7CFE"/>
    <w:rsid w:val="00BC7D1F"/>
    <w:rsid w:val="00BD045D"/>
    <w:rsid w:val="00BD0BAC"/>
    <w:rsid w:val="00BD11AF"/>
    <w:rsid w:val="00BD1230"/>
    <w:rsid w:val="00BD183D"/>
    <w:rsid w:val="00BD233E"/>
    <w:rsid w:val="00BD245E"/>
    <w:rsid w:val="00BD2D99"/>
    <w:rsid w:val="00BD2F52"/>
    <w:rsid w:val="00BD4029"/>
    <w:rsid w:val="00BD40E2"/>
    <w:rsid w:val="00BD4373"/>
    <w:rsid w:val="00BD4394"/>
    <w:rsid w:val="00BD4762"/>
    <w:rsid w:val="00BD4A29"/>
    <w:rsid w:val="00BD4C97"/>
    <w:rsid w:val="00BD4DCB"/>
    <w:rsid w:val="00BD4FB9"/>
    <w:rsid w:val="00BD5672"/>
    <w:rsid w:val="00BD5A87"/>
    <w:rsid w:val="00BD63AB"/>
    <w:rsid w:val="00BD6797"/>
    <w:rsid w:val="00BD6B63"/>
    <w:rsid w:val="00BD6D5E"/>
    <w:rsid w:val="00BD6DAF"/>
    <w:rsid w:val="00BD6E40"/>
    <w:rsid w:val="00BD73C1"/>
    <w:rsid w:val="00BD7657"/>
    <w:rsid w:val="00BD76E3"/>
    <w:rsid w:val="00BE022E"/>
    <w:rsid w:val="00BE0D1C"/>
    <w:rsid w:val="00BE185A"/>
    <w:rsid w:val="00BE2666"/>
    <w:rsid w:val="00BE2886"/>
    <w:rsid w:val="00BE2C7E"/>
    <w:rsid w:val="00BE32D2"/>
    <w:rsid w:val="00BE3A95"/>
    <w:rsid w:val="00BE3C4D"/>
    <w:rsid w:val="00BE4156"/>
    <w:rsid w:val="00BE426B"/>
    <w:rsid w:val="00BE42A3"/>
    <w:rsid w:val="00BE43D7"/>
    <w:rsid w:val="00BE4AEB"/>
    <w:rsid w:val="00BE5012"/>
    <w:rsid w:val="00BE5025"/>
    <w:rsid w:val="00BE531C"/>
    <w:rsid w:val="00BE5493"/>
    <w:rsid w:val="00BE55B6"/>
    <w:rsid w:val="00BE6112"/>
    <w:rsid w:val="00BE615C"/>
    <w:rsid w:val="00BE652D"/>
    <w:rsid w:val="00BE68CD"/>
    <w:rsid w:val="00BE68D0"/>
    <w:rsid w:val="00BE6CE8"/>
    <w:rsid w:val="00BE7177"/>
    <w:rsid w:val="00BE724B"/>
    <w:rsid w:val="00BE72AA"/>
    <w:rsid w:val="00BE7307"/>
    <w:rsid w:val="00BE74F0"/>
    <w:rsid w:val="00BF05F8"/>
    <w:rsid w:val="00BF0688"/>
    <w:rsid w:val="00BF16C0"/>
    <w:rsid w:val="00BF1ED6"/>
    <w:rsid w:val="00BF2126"/>
    <w:rsid w:val="00BF2140"/>
    <w:rsid w:val="00BF26AE"/>
    <w:rsid w:val="00BF372B"/>
    <w:rsid w:val="00BF3AE1"/>
    <w:rsid w:val="00BF3CEA"/>
    <w:rsid w:val="00BF40FC"/>
    <w:rsid w:val="00BF43A5"/>
    <w:rsid w:val="00BF4E16"/>
    <w:rsid w:val="00BF5F6F"/>
    <w:rsid w:val="00BF6539"/>
    <w:rsid w:val="00BF72DD"/>
    <w:rsid w:val="00BF74AD"/>
    <w:rsid w:val="00BF74CB"/>
    <w:rsid w:val="00BF753F"/>
    <w:rsid w:val="00BF7DB9"/>
    <w:rsid w:val="00C00629"/>
    <w:rsid w:val="00C00A57"/>
    <w:rsid w:val="00C00D7E"/>
    <w:rsid w:val="00C010D3"/>
    <w:rsid w:val="00C010D5"/>
    <w:rsid w:val="00C01178"/>
    <w:rsid w:val="00C01BAF"/>
    <w:rsid w:val="00C01E3E"/>
    <w:rsid w:val="00C01FBF"/>
    <w:rsid w:val="00C0204A"/>
    <w:rsid w:val="00C023C4"/>
    <w:rsid w:val="00C0280B"/>
    <w:rsid w:val="00C02E13"/>
    <w:rsid w:val="00C03D72"/>
    <w:rsid w:val="00C045BE"/>
    <w:rsid w:val="00C045F7"/>
    <w:rsid w:val="00C04705"/>
    <w:rsid w:val="00C04819"/>
    <w:rsid w:val="00C04F22"/>
    <w:rsid w:val="00C0517F"/>
    <w:rsid w:val="00C053EA"/>
    <w:rsid w:val="00C0571E"/>
    <w:rsid w:val="00C05784"/>
    <w:rsid w:val="00C05D5C"/>
    <w:rsid w:val="00C05F89"/>
    <w:rsid w:val="00C06959"/>
    <w:rsid w:val="00C06A6B"/>
    <w:rsid w:val="00C06A82"/>
    <w:rsid w:val="00C06B94"/>
    <w:rsid w:val="00C06BBE"/>
    <w:rsid w:val="00C071C2"/>
    <w:rsid w:val="00C10368"/>
    <w:rsid w:val="00C1087D"/>
    <w:rsid w:val="00C1096E"/>
    <w:rsid w:val="00C10D01"/>
    <w:rsid w:val="00C10F22"/>
    <w:rsid w:val="00C1135F"/>
    <w:rsid w:val="00C1146A"/>
    <w:rsid w:val="00C119FF"/>
    <w:rsid w:val="00C11B62"/>
    <w:rsid w:val="00C11BA7"/>
    <w:rsid w:val="00C11DD9"/>
    <w:rsid w:val="00C122B4"/>
    <w:rsid w:val="00C12510"/>
    <w:rsid w:val="00C127B5"/>
    <w:rsid w:val="00C12B0F"/>
    <w:rsid w:val="00C12C78"/>
    <w:rsid w:val="00C12CF3"/>
    <w:rsid w:val="00C13E14"/>
    <w:rsid w:val="00C13E29"/>
    <w:rsid w:val="00C14A9E"/>
    <w:rsid w:val="00C14D3A"/>
    <w:rsid w:val="00C14DCF"/>
    <w:rsid w:val="00C15B8A"/>
    <w:rsid w:val="00C16247"/>
    <w:rsid w:val="00C16900"/>
    <w:rsid w:val="00C1702C"/>
    <w:rsid w:val="00C17A52"/>
    <w:rsid w:val="00C17DE0"/>
    <w:rsid w:val="00C17F6C"/>
    <w:rsid w:val="00C2103B"/>
    <w:rsid w:val="00C21175"/>
    <w:rsid w:val="00C211A4"/>
    <w:rsid w:val="00C21704"/>
    <w:rsid w:val="00C21E11"/>
    <w:rsid w:val="00C22468"/>
    <w:rsid w:val="00C22679"/>
    <w:rsid w:val="00C2292C"/>
    <w:rsid w:val="00C22D69"/>
    <w:rsid w:val="00C230D7"/>
    <w:rsid w:val="00C23288"/>
    <w:rsid w:val="00C23A44"/>
    <w:rsid w:val="00C23B3A"/>
    <w:rsid w:val="00C2423F"/>
    <w:rsid w:val="00C24B62"/>
    <w:rsid w:val="00C2503C"/>
    <w:rsid w:val="00C25F0B"/>
    <w:rsid w:val="00C26D6F"/>
    <w:rsid w:val="00C305F5"/>
    <w:rsid w:val="00C30C0C"/>
    <w:rsid w:val="00C30D20"/>
    <w:rsid w:val="00C31055"/>
    <w:rsid w:val="00C3114A"/>
    <w:rsid w:val="00C3168A"/>
    <w:rsid w:val="00C31E3F"/>
    <w:rsid w:val="00C327AE"/>
    <w:rsid w:val="00C333A8"/>
    <w:rsid w:val="00C33427"/>
    <w:rsid w:val="00C33B32"/>
    <w:rsid w:val="00C33FF7"/>
    <w:rsid w:val="00C3576B"/>
    <w:rsid w:val="00C367F5"/>
    <w:rsid w:val="00C36903"/>
    <w:rsid w:val="00C36B4E"/>
    <w:rsid w:val="00C36B9C"/>
    <w:rsid w:val="00C36D3F"/>
    <w:rsid w:val="00C36D6C"/>
    <w:rsid w:val="00C3716D"/>
    <w:rsid w:val="00C37333"/>
    <w:rsid w:val="00C373C8"/>
    <w:rsid w:val="00C374A7"/>
    <w:rsid w:val="00C37A75"/>
    <w:rsid w:val="00C37BC3"/>
    <w:rsid w:val="00C37E09"/>
    <w:rsid w:val="00C37F74"/>
    <w:rsid w:val="00C40BD7"/>
    <w:rsid w:val="00C40D8E"/>
    <w:rsid w:val="00C40DF2"/>
    <w:rsid w:val="00C4122F"/>
    <w:rsid w:val="00C41574"/>
    <w:rsid w:val="00C41DC4"/>
    <w:rsid w:val="00C42511"/>
    <w:rsid w:val="00C429FB"/>
    <w:rsid w:val="00C42F7B"/>
    <w:rsid w:val="00C43B53"/>
    <w:rsid w:val="00C448EA"/>
    <w:rsid w:val="00C44A29"/>
    <w:rsid w:val="00C450E8"/>
    <w:rsid w:val="00C455D3"/>
    <w:rsid w:val="00C45771"/>
    <w:rsid w:val="00C457D8"/>
    <w:rsid w:val="00C457F7"/>
    <w:rsid w:val="00C4596E"/>
    <w:rsid w:val="00C4599B"/>
    <w:rsid w:val="00C466BF"/>
    <w:rsid w:val="00C46B8B"/>
    <w:rsid w:val="00C46E7E"/>
    <w:rsid w:val="00C47071"/>
    <w:rsid w:val="00C47451"/>
    <w:rsid w:val="00C50057"/>
    <w:rsid w:val="00C501F0"/>
    <w:rsid w:val="00C50FFF"/>
    <w:rsid w:val="00C51A8A"/>
    <w:rsid w:val="00C51BEF"/>
    <w:rsid w:val="00C52211"/>
    <w:rsid w:val="00C52890"/>
    <w:rsid w:val="00C52C53"/>
    <w:rsid w:val="00C52FEF"/>
    <w:rsid w:val="00C53C43"/>
    <w:rsid w:val="00C545F1"/>
    <w:rsid w:val="00C547D5"/>
    <w:rsid w:val="00C56060"/>
    <w:rsid w:val="00C5667C"/>
    <w:rsid w:val="00C56A59"/>
    <w:rsid w:val="00C56EB3"/>
    <w:rsid w:val="00C571D5"/>
    <w:rsid w:val="00C5767F"/>
    <w:rsid w:val="00C60469"/>
    <w:rsid w:val="00C60546"/>
    <w:rsid w:val="00C60711"/>
    <w:rsid w:val="00C60FCB"/>
    <w:rsid w:val="00C6125C"/>
    <w:rsid w:val="00C614A8"/>
    <w:rsid w:val="00C6205F"/>
    <w:rsid w:val="00C6217C"/>
    <w:rsid w:val="00C62220"/>
    <w:rsid w:val="00C6239C"/>
    <w:rsid w:val="00C63146"/>
    <w:rsid w:val="00C63DF3"/>
    <w:rsid w:val="00C6407C"/>
    <w:rsid w:val="00C641FD"/>
    <w:rsid w:val="00C64269"/>
    <w:rsid w:val="00C642F6"/>
    <w:rsid w:val="00C647E0"/>
    <w:rsid w:val="00C64958"/>
    <w:rsid w:val="00C649B7"/>
    <w:rsid w:val="00C6554E"/>
    <w:rsid w:val="00C65882"/>
    <w:rsid w:val="00C66720"/>
    <w:rsid w:val="00C67A52"/>
    <w:rsid w:val="00C704F5"/>
    <w:rsid w:val="00C708B2"/>
    <w:rsid w:val="00C710AC"/>
    <w:rsid w:val="00C71509"/>
    <w:rsid w:val="00C71E55"/>
    <w:rsid w:val="00C723F5"/>
    <w:rsid w:val="00C72523"/>
    <w:rsid w:val="00C729A2"/>
    <w:rsid w:val="00C73BA4"/>
    <w:rsid w:val="00C74159"/>
    <w:rsid w:val="00C74559"/>
    <w:rsid w:val="00C74752"/>
    <w:rsid w:val="00C748DC"/>
    <w:rsid w:val="00C749D9"/>
    <w:rsid w:val="00C74C41"/>
    <w:rsid w:val="00C74F14"/>
    <w:rsid w:val="00C753CA"/>
    <w:rsid w:val="00C7637C"/>
    <w:rsid w:val="00C76405"/>
    <w:rsid w:val="00C764C3"/>
    <w:rsid w:val="00C774B0"/>
    <w:rsid w:val="00C777A8"/>
    <w:rsid w:val="00C778A0"/>
    <w:rsid w:val="00C77AD1"/>
    <w:rsid w:val="00C77CBB"/>
    <w:rsid w:val="00C80C02"/>
    <w:rsid w:val="00C80C4C"/>
    <w:rsid w:val="00C80D76"/>
    <w:rsid w:val="00C81BC8"/>
    <w:rsid w:val="00C81C24"/>
    <w:rsid w:val="00C825B6"/>
    <w:rsid w:val="00C82638"/>
    <w:rsid w:val="00C8273E"/>
    <w:rsid w:val="00C828A5"/>
    <w:rsid w:val="00C828D7"/>
    <w:rsid w:val="00C82BEF"/>
    <w:rsid w:val="00C82DD4"/>
    <w:rsid w:val="00C8318E"/>
    <w:rsid w:val="00C832DD"/>
    <w:rsid w:val="00C832FB"/>
    <w:rsid w:val="00C83565"/>
    <w:rsid w:val="00C83925"/>
    <w:rsid w:val="00C83F25"/>
    <w:rsid w:val="00C840CF"/>
    <w:rsid w:val="00C849A3"/>
    <w:rsid w:val="00C85042"/>
    <w:rsid w:val="00C850CC"/>
    <w:rsid w:val="00C85232"/>
    <w:rsid w:val="00C852E1"/>
    <w:rsid w:val="00C856BB"/>
    <w:rsid w:val="00C859C6"/>
    <w:rsid w:val="00C85E41"/>
    <w:rsid w:val="00C86BD0"/>
    <w:rsid w:val="00C8705A"/>
    <w:rsid w:val="00C8747C"/>
    <w:rsid w:val="00C9020D"/>
    <w:rsid w:val="00C902C0"/>
    <w:rsid w:val="00C90979"/>
    <w:rsid w:val="00C90D35"/>
    <w:rsid w:val="00C91113"/>
    <w:rsid w:val="00C91634"/>
    <w:rsid w:val="00C919F9"/>
    <w:rsid w:val="00C9246A"/>
    <w:rsid w:val="00C92802"/>
    <w:rsid w:val="00C92BBD"/>
    <w:rsid w:val="00C93293"/>
    <w:rsid w:val="00C93B9C"/>
    <w:rsid w:val="00C93CA9"/>
    <w:rsid w:val="00C93E28"/>
    <w:rsid w:val="00C943B4"/>
    <w:rsid w:val="00C94D91"/>
    <w:rsid w:val="00C95414"/>
    <w:rsid w:val="00C962EB"/>
    <w:rsid w:val="00C96746"/>
    <w:rsid w:val="00C969FC"/>
    <w:rsid w:val="00C96D0C"/>
    <w:rsid w:val="00C9727F"/>
    <w:rsid w:val="00C97419"/>
    <w:rsid w:val="00C97AB8"/>
    <w:rsid w:val="00CA0171"/>
    <w:rsid w:val="00CA072E"/>
    <w:rsid w:val="00CA0BBF"/>
    <w:rsid w:val="00CA0D4E"/>
    <w:rsid w:val="00CA10A8"/>
    <w:rsid w:val="00CA10DE"/>
    <w:rsid w:val="00CA1542"/>
    <w:rsid w:val="00CA1BD2"/>
    <w:rsid w:val="00CA1F7F"/>
    <w:rsid w:val="00CA215F"/>
    <w:rsid w:val="00CA2903"/>
    <w:rsid w:val="00CA3146"/>
    <w:rsid w:val="00CA375E"/>
    <w:rsid w:val="00CA40C1"/>
    <w:rsid w:val="00CA4105"/>
    <w:rsid w:val="00CA4A86"/>
    <w:rsid w:val="00CA4C73"/>
    <w:rsid w:val="00CA4CB3"/>
    <w:rsid w:val="00CA5767"/>
    <w:rsid w:val="00CA5846"/>
    <w:rsid w:val="00CA588D"/>
    <w:rsid w:val="00CA5DED"/>
    <w:rsid w:val="00CA614E"/>
    <w:rsid w:val="00CA68C4"/>
    <w:rsid w:val="00CA692F"/>
    <w:rsid w:val="00CA6A00"/>
    <w:rsid w:val="00CA6B04"/>
    <w:rsid w:val="00CA72F6"/>
    <w:rsid w:val="00CA7865"/>
    <w:rsid w:val="00CA791E"/>
    <w:rsid w:val="00CA7AEE"/>
    <w:rsid w:val="00CA7B22"/>
    <w:rsid w:val="00CB038B"/>
    <w:rsid w:val="00CB09D7"/>
    <w:rsid w:val="00CB0F6F"/>
    <w:rsid w:val="00CB125A"/>
    <w:rsid w:val="00CB1561"/>
    <w:rsid w:val="00CB1F89"/>
    <w:rsid w:val="00CB1FD1"/>
    <w:rsid w:val="00CB21BF"/>
    <w:rsid w:val="00CB2460"/>
    <w:rsid w:val="00CB255C"/>
    <w:rsid w:val="00CB33A3"/>
    <w:rsid w:val="00CB348C"/>
    <w:rsid w:val="00CB3642"/>
    <w:rsid w:val="00CB39C5"/>
    <w:rsid w:val="00CB3A98"/>
    <w:rsid w:val="00CB3E82"/>
    <w:rsid w:val="00CB3F4C"/>
    <w:rsid w:val="00CB43EC"/>
    <w:rsid w:val="00CB4501"/>
    <w:rsid w:val="00CB478B"/>
    <w:rsid w:val="00CB4B7E"/>
    <w:rsid w:val="00CB4BAF"/>
    <w:rsid w:val="00CB5101"/>
    <w:rsid w:val="00CB5986"/>
    <w:rsid w:val="00CB5C91"/>
    <w:rsid w:val="00CB6D3B"/>
    <w:rsid w:val="00CB6E69"/>
    <w:rsid w:val="00CB72F8"/>
    <w:rsid w:val="00CB766F"/>
    <w:rsid w:val="00CB7E83"/>
    <w:rsid w:val="00CC0146"/>
    <w:rsid w:val="00CC043D"/>
    <w:rsid w:val="00CC05EB"/>
    <w:rsid w:val="00CC08FB"/>
    <w:rsid w:val="00CC096D"/>
    <w:rsid w:val="00CC0B96"/>
    <w:rsid w:val="00CC0C38"/>
    <w:rsid w:val="00CC0D87"/>
    <w:rsid w:val="00CC0E84"/>
    <w:rsid w:val="00CC1198"/>
    <w:rsid w:val="00CC13B0"/>
    <w:rsid w:val="00CC196B"/>
    <w:rsid w:val="00CC2B53"/>
    <w:rsid w:val="00CC3295"/>
    <w:rsid w:val="00CC347C"/>
    <w:rsid w:val="00CC3A94"/>
    <w:rsid w:val="00CC4704"/>
    <w:rsid w:val="00CC513B"/>
    <w:rsid w:val="00CC52A5"/>
    <w:rsid w:val="00CC5AAA"/>
    <w:rsid w:val="00CC5CAA"/>
    <w:rsid w:val="00CC6EB0"/>
    <w:rsid w:val="00CC713F"/>
    <w:rsid w:val="00CC7818"/>
    <w:rsid w:val="00CC785D"/>
    <w:rsid w:val="00CD0482"/>
    <w:rsid w:val="00CD0845"/>
    <w:rsid w:val="00CD0A6E"/>
    <w:rsid w:val="00CD0BEA"/>
    <w:rsid w:val="00CD0FBD"/>
    <w:rsid w:val="00CD16C6"/>
    <w:rsid w:val="00CD1CD7"/>
    <w:rsid w:val="00CD1D09"/>
    <w:rsid w:val="00CD232D"/>
    <w:rsid w:val="00CD2540"/>
    <w:rsid w:val="00CD264E"/>
    <w:rsid w:val="00CD29A2"/>
    <w:rsid w:val="00CD3515"/>
    <w:rsid w:val="00CD3B2C"/>
    <w:rsid w:val="00CD4179"/>
    <w:rsid w:val="00CD41E5"/>
    <w:rsid w:val="00CD440B"/>
    <w:rsid w:val="00CD441E"/>
    <w:rsid w:val="00CD4598"/>
    <w:rsid w:val="00CD4B79"/>
    <w:rsid w:val="00CD50F7"/>
    <w:rsid w:val="00CD52FB"/>
    <w:rsid w:val="00CD53A8"/>
    <w:rsid w:val="00CD53DD"/>
    <w:rsid w:val="00CD55D4"/>
    <w:rsid w:val="00CD5897"/>
    <w:rsid w:val="00CD5947"/>
    <w:rsid w:val="00CD5E9A"/>
    <w:rsid w:val="00CD631B"/>
    <w:rsid w:val="00CD700D"/>
    <w:rsid w:val="00CD7624"/>
    <w:rsid w:val="00CD7C10"/>
    <w:rsid w:val="00CD7EE5"/>
    <w:rsid w:val="00CE01B9"/>
    <w:rsid w:val="00CE0532"/>
    <w:rsid w:val="00CE0CFC"/>
    <w:rsid w:val="00CE1426"/>
    <w:rsid w:val="00CE15D5"/>
    <w:rsid w:val="00CE16C1"/>
    <w:rsid w:val="00CE1932"/>
    <w:rsid w:val="00CE1E01"/>
    <w:rsid w:val="00CE1E0E"/>
    <w:rsid w:val="00CE1F64"/>
    <w:rsid w:val="00CE2435"/>
    <w:rsid w:val="00CE276E"/>
    <w:rsid w:val="00CE2C49"/>
    <w:rsid w:val="00CE395F"/>
    <w:rsid w:val="00CE3A31"/>
    <w:rsid w:val="00CE3B78"/>
    <w:rsid w:val="00CE42B2"/>
    <w:rsid w:val="00CE42C3"/>
    <w:rsid w:val="00CE480D"/>
    <w:rsid w:val="00CE498A"/>
    <w:rsid w:val="00CE5048"/>
    <w:rsid w:val="00CE517C"/>
    <w:rsid w:val="00CE5580"/>
    <w:rsid w:val="00CE5768"/>
    <w:rsid w:val="00CE5CBB"/>
    <w:rsid w:val="00CE668C"/>
    <w:rsid w:val="00CE67DC"/>
    <w:rsid w:val="00CE7803"/>
    <w:rsid w:val="00CE7B12"/>
    <w:rsid w:val="00CE7B7B"/>
    <w:rsid w:val="00CE7BBF"/>
    <w:rsid w:val="00CF099C"/>
    <w:rsid w:val="00CF0E4F"/>
    <w:rsid w:val="00CF352F"/>
    <w:rsid w:val="00CF455C"/>
    <w:rsid w:val="00CF4EFD"/>
    <w:rsid w:val="00CF5A4E"/>
    <w:rsid w:val="00CF5DFF"/>
    <w:rsid w:val="00CF5FCD"/>
    <w:rsid w:val="00CF6667"/>
    <w:rsid w:val="00CF6FDD"/>
    <w:rsid w:val="00CF71A9"/>
    <w:rsid w:val="00CF7213"/>
    <w:rsid w:val="00CF782E"/>
    <w:rsid w:val="00CF7DF1"/>
    <w:rsid w:val="00D000FE"/>
    <w:rsid w:val="00D0074C"/>
    <w:rsid w:val="00D00888"/>
    <w:rsid w:val="00D00BAC"/>
    <w:rsid w:val="00D011FF"/>
    <w:rsid w:val="00D0151A"/>
    <w:rsid w:val="00D0176E"/>
    <w:rsid w:val="00D01980"/>
    <w:rsid w:val="00D01B1A"/>
    <w:rsid w:val="00D01D61"/>
    <w:rsid w:val="00D024F9"/>
    <w:rsid w:val="00D02514"/>
    <w:rsid w:val="00D02738"/>
    <w:rsid w:val="00D02845"/>
    <w:rsid w:val="00D02916"/>
    <w:rsid w:val="00D0292E"/>
    <w:rsid w:val="00D02B7F"/>
    <w:rsid w:val="00D03A41"/>
    <w:rsid w:val="00D03D16"/>
    <w:rsid w:val="00D04456"/>
    <w:rsid w:val="00D04534"/>
    <w:rsid w:val="00D04CBB"/>
    <w:rsid w:val="00D05036"/>
    <w:rsid w:val="00D05771"/>
    <w:rsid w:val="00D05AD6"/>
    <w:rsid w:val="00D05B87"/>
    <w:rsid w:val="00D05D57"/>
    <w:rsid w:val="00D06077"/>
    <w:rsid w:val="00D060ED"/>
    <w:rsid w:val="00D064CF"/>
    <w:rsid w:val="00D065AB"/>
    <w:rsid w:val="00D06FD4"/>
    <w:rsid w:val="00D0740D"/>
    <w:rsid w:val="00D07D0A"/>
    <w:rsid w:val="00D10344"/>
    <w:rsid w:val="00D10AF1"/>
    <w:rsid w:val="00D11011"/>
    <w:rsid w:val="00D115AD"/>
    <w:rsid w:val="00D11807"/>
    <w:rsid w:val="00D119FE"/>
    <w:rsid w:val="00D11B62"/>
    <w:rsid w:val="00D11EF8"/>
    <w:rsid w:val="00D121EA"/>
    <w:rsid w:val="00D12FF2"/>
    <w:rsid w:val="00D1340E"/>
    <w:rsid w:val="00D13C70"/>
    <w:rsid w:val="00D13C91"/>
    <w:rsid w:val="00D15F9C"/>
    <w:rsid w:val="00D160B3"/>
    <w:rsid w:val="00D1646E"/>
    <w:rsid w:val="00D167CD"/>
    <w:rsid w:val="00D17345"/>
    <w:rsid w:val="00D17814"/>
    <w:rsid w:val="00D17A7D"/>
    <w:rsid w:val="00D20134"/>
    <w:rsid w:val="00D209DA"/>
    <w:rsid w:val="00D20BC9"/>
    <w:rsid w:val="00D20C1B"/>
    <w:rsid w:val="00D20D2C"/>
    <w:rsid w:val="00D20D70"/>
    <w:rsid w:val="00D21138"/>
    <w:rsid w:val="00D2122C"/>
    <w:rsid w:val="00D216F5"/>
    <w:rsid w:val="00D21BCC"/>
    <w:rsid w:val="00D21C55"/>
    <w:rsid w:val="00D21DB1"/>
    <w:rsid w:val="00D22576"/>
    <w:rsid w:val="00D22C27"/>
    <w:rsid w:val="00D22E8A"/>
    <w:rsid w:val="00D22ED7"/>
    <w:rsid w:val="00D236A3"/>
    <w:rsid w:val="00D23729"/>
    <w:rsid w:val="00D23834"/>
    <w:rsid w:val="00D24260"/>
    <w:rsid w:val="00D243F7"/>
    <w:rsid w:val="00D2456C"/>
    <w:rsid w:val="00D245CB"/>
    <w:rsid w:val="00D249E0"/>
    <w:rsid w:val="00D24EF4"/>
    <w:rsid w:val="00D24FC4"/>
    <w:rsid w:val="00D25651"/>
    <w:rsid w:val="00D25709"/>
    <w:rsid w:val="00D2589C"/>
    <w:rsid w:val="00D25960"/>
    <w:rsid w:val="00D25BC3"/>
    <w:rsid w:val="00D25CE8"/>
    <w:rsid w:val="00D2652B"/>
    <w:rsid w:val="00D26570"/>
    <w:rsid w:val="00D268C6"/>
    <w:rsid w:val="00D2695C"/>
    <w:rsid w:val="00D26B4D"/>
    <w:rsid w:val="00D26BE8"/>
    <w:rsid w:val="00D26E21"/>
    <w:rsid w:val="00D2770C"/>
    <w:rsid w:val="00D2771F"/>
    <w:rsid w:val="00D27A41"/>
    <w:rsid w:val="00D27A6C"/>
    <w:rsid w:val="00D305FB"/>
    <w:rsid w:val="00D3075B"/>
    <w:rsid w:val="00D3086B"/>
    <w:rsid w:val="00D3095A"/>
    <w:rsid w:val="00D3138C"/>
    <w:rsid w:val="00D31540"/>
    <w:rsid w:val="00D318E4"/>
    <w:rsid w:val="00D31F58"/>
    <w:rsid w:val="00D32305"/>
    <w:rsid w:val="00D32692"/>
    <w:rsid w:val="00D32884"/>
    <w:rsid w:val="00D33DD5"/>
    <w:rsid w:val="00D3407D"/>
    <w:rsid w:val="00D34279"/>
    <w:rsid w:val="00D35205"/>
    <w:rsid w:val="00D354AC"/>
    <w:rsid w:val="00D355A5"/>
    <w:rsid w:val="00D35BD1"/>
    <w:rsid w:val="00D3618C"/>
    <w:rsid w:val="00D363D2"/>
    <w:rsid w:val="00D36936"/>
    <w:rsid w:val="00D36A24"/>
    <w:rsid w:val="00D36B1E"/>
    <w:rsid w:val="00D375D1"/>
    <w:rsid w:val="00D37741"/>
    <w:rsid w:val="00D403B6"/>
    <w:rsid w:val="00D404F3"/>
    <w:rsid w:val="00D407FD"/>
    <w:rsid w:val="00D40FFA"/>
    <w:rsid w:val="00D41D6B"/>
    <w:rsid w:val="00D41DED"/>
    <w:rsid w:val="00D42069"/>
    <w:rsid w:val="00D42084"/>
    <w:rsid w:val="00D4252C"/>
    <w:rsid w:val="00D42DD3"/>
    <w:rsid w:val="00D432BB"/>
    <w:rsid w:val="00D4360E"/>
    <w:rsid w:val="00D43851"/>
    <w:rsid w:val="00D4388D"/>
    <w:rsid w:val="00D4430D"/>
    <w:rsid w:val="00D44514"/>
    <w:rsid w:val="00D44845"/>
    <w:rsid w:val="00D4487F"/>
    <w:rsid w:val="00D44AC3"/>
    <w:rsid w:val="00D44B33"/>
    <w:rsid w:val="00D45349"/>
    <w:rsid w:val="00D454BD"/>
    <w:rsid w:val="00D458E4"/>
    <w:rsid w:val="00D45C95"/>
    <w:rsid w:val="00D45F23"/>
    <w:rsid w:val="00D46A90"/>
    <w:rsid w:val="00D47246"/>
    <w:rsid w:val="00D47A08"/>
    <w:rsid w:val="00D47C3D"/>
    <w:rsid w:val="00D47C65"/>
    <w:rsid w:val="00D500D0"/>
    <w:rsid w:val="00D50282"/>
    <w:rsid w:val="00D5078D"/>
    <w:rsid w:val="00D508A6"/>
    <w:rsid w:val="00D5144C"/>
    <w:rsid w:val="00D5175B"/>
    <w:rsid w:val="00D51903"/>
    <w:rsid w:val="00D51E21"/>
    <w:rsid w:val="00D52091"/>
    <w:rsid w:val="00D52323"/>
    <w:rsid w:val="00D52701"/>
    <w:rsid w:val="00D52736"/>
    <w:rsid w:val="00D53071"/>
    <w:rsid w:val="00D5316A"/>
    <w:rsid w:val="00D536C6"/>
    <w:rsid w:val="00D53795"/>
    <w:rsid w:val="00D53F84"/>
    <w:rsid w:val="00D54898"/>
    <w:rsid w:val="00D54C62"/>
    <w:rsid w:val="00D54C9C"/>
    <w:rsid w:val="00D54EB5"/>
    <w:rsid w:val="00D551F5"/>
    <w:rsid w:val="00D554CF"/>
    <w:rsid w:val="00D5577F"/>
    <w:rsid w:val="00D55BE7"/>
    <w:rsid w:val="00D55E10"/>
    <w:rsid w:val="00D55E33"/>
    <w:rsid w:val="00D55E59"/>
    <w:rsid w:val="00D560B1"/>
    <w:rsid w:val="00D56106"/>
    <w:rsid w:val="00D56333"/>
    <w:rsid w:val="00D569E7"/>
    <w:rsid w:val="00D56B97"/>
    <w:rsid w:val="00D57741"/>
    <w:rsid w:val="00D57BCF"/>
    <w:rsid w:val="00D57BF5"/>
    <w:rsid w:val="00D57EF7"/>
    <w:rsid w:val="00D57F67"/>
    <w:rsid w:val="00D6076B"/>
    <w:rsid w:val="00D607BC"/>
    <w:rsid w:val="00D60CAC"/>
    <w:rsid w:val="00D60CFC"/>
    <w:rsid w:val="00D61E58"/>
    <w:rsid w:val="00D62456"/>
    <w:rsid w:val="00D62768"/>
    <w:rsid w:val="00D63933"/>
    <w:rsid w:val="00D63A83"/>
    <w:rsid w:val="00D63DD6"/>
    <w:rsid w:val="00D641DB"/>
    <w:rsid w:val="00D64BB0"/>
    <w:rsid w:val="00D65A9A"/>
    <w:rsid w:val="00D65BE8"/>
    <w:rsid w:val="00D65CFA"/>
    <w:rsid w:val="00D65F68"/>
    <w:rsid w:val="00D662A0"/>
    <w:rsid w:val="00D662EF"/>
    <w:rsid w:val="00D66464"/>
    <w:rsid w:val="00D664B4"/>
    <w:rsid w:val="00D66C7F"/>
    <w:rsid w:val="00D679D8"/>
    <w:rsid w:val="00D67A2B"/>
    <w:rsid w:val="00D7090A"/>
    <w:rsid w:val="00D711D1"/>
    <w:rsid w:val="00D718F9"/>
    <w:rsid w:val="00D7198E"/>
    <w:rsid w:val="00D720BE"/>
    <w:rsid w:val="00D7242A"/>
    <w:rsid w:val="00D72565"/>
    <w:rsid w:val="00D72897"/>
    <w:rsid w:val="00D72AD9"/>
    <w:rsid w:val="00D72BB5"/>
    <w:rsid w:val="00D730CB"/>
    <w:rsid w:val="00D733D3"/>
    <w:rsid w:val="00D73471"/>
    <w:rsid w:val="00D736BE"/>
    <w:rsid w:val="00D73A15"/>
    <w:rsid w:val="00D73ACE"/>
    <w:rsid w:val="00D747E0"/>
    <w:rsid w:val="00D74E67"/>
    <w:rsid w:val="00D74FD9"/>
    <w:rsid w:val="00D75250"/>
    <w:rsid w:val="00D7561C"/>
    <w:rsid w:val="00D75DA2"/>
    <w:rsid w:val="00D761EA"/>
    <w:rsid w:val="00D763AF"/>
    <w:rsid w:val="00D765F2"/>
    <w:rsid w:val="00D76C0D"/>
    <w:rsid w:val="00D76CFA"/>
    <w:rsid w:val="00D77404"/>
    <w:rsid w:val="00D7745B"/>
    <w:rsid w:val="00D776C2"/>
    <w:rsid w:val="00D779D9"/>
    <w:rsid w:val="00D77D91"/>
    <w:rsid w:val="00D8094B"/>
    <w:rsid w:val="00D80DE0"/>
    <w:rsid w:val="00D81491"/>
    <w:rsid w:val="00D818FC"/>
    <w:rsid w:val="00D81BA7"/>
    <w:rsid w:val="00D81D3A"/>
    <w:rsid w:val="00D82254"/>
    <w:rsid w:val="00D827EC"/>
    <w:rsid w:val="00D8287F"/>
    <w:rsid w:val="00D828E7"/>
    <w:rsid w:val="00D85039"/>
    <w:rsid w:val="00D8527C"/>
    <w:rsid w:val="00D854D6"/>
    <w:rsid w:val="00D8551E"/>
    <w:rsid w:val="00D86BCD"/>
    <w:rsid w:val="00D86CA9"/>
    <w:rsid w:val="00D86F5D"/>
    <w:rsid w:val="00D871E8"/>
    <w:rsid w:val="00D87A7C"/>
    <w:rsid w:val="00D90328"/>
    <w:rsid w:val="00D905FA"/>
    <w:rsid w:val="00D906ED"/>
    <w:rsid w:val="00D90C90"/>
    <w:rsid w:val="00D912A6"/>
    <w:rsid w:val="00D915FE"/>
    <w:rsid w:val="00D91F19"/>
    <w:rsid w:val="00D922C5"/>
    <w:rsid w:val="00D9270F"/>
    <w:rsid w:val="00D92B37"/>
    <w:rsid w:val="00D92CEC"/>
    <w:rsid w:val="00D92F05"/>
    <w:rsid w:val="00D92F1B"/>
    <w:rsid w:val="00D933C3"/>
    <w:rsid w:val="00D937D8"/>
    <w:rsid w:val="00D94525"/>
    <w:rsid w:val="00D9458A"/>
    <w:rsid w:val="00D945DC"/>
    <w:rsid w:val="00D94675"/>
    <w:rsid w:val="00D94840"/>
    <w:rsid w:val="00D949D6"/>
    <w:rsid w:val="00D94B32"/>
    <w:rsid w:val="00D94D52"/>
    <w:rsid w:val="00D94E19"/>
    <w:rsid w:val="00D9532E"/>
    <w:rsid w:val="00D9574C"/>
    <w:rsid w:val="00D95E3F"/>
    <w:rsid w:val="00D95FEB"/>
    <w:rsid w:val="00D96251"/>
    <w:rsid w:val="00D965DB"/>
    <w:rsid w:val="00D96E44"/>
    <w:rsid w:val="00D97061"/>
    <w:rsid w:val="00D975B8"/>
    <w:rsid w:val="00D97945"/>
    <w:rsid w:val="00D97C07"/>
    <w:rsid w:val="00D97C37"/>
    <w:rsid w:val="00D97CB5"/>
    <w:rsid w:val="00DA0475"/>
    <w:rsid w:val="00DA07E5"/>
    <w:rsid w:val="00DA0BC9"/>
    <w:rsid w:val="00DA0DDE"/>
    <w:rsid w:val="00DA0E40"/>
    <w:rsid w:val="00DA1C72"/>
    <w:rsid w:val="00DA1CBF"/>
    <w:rsid w:val="00DA1F0A"/>
    <w:rsid w:val="00DA269A"/>
    <w:rsid w:val="00DA2F06"/>
    <w:rsid w:val="00DA30A3"/>
    <w:rsid w:val="00DA364B"/>
    <w:rsid w:val="00DA3683"/>
    <w:rsid w:val="00DA3F5A"/>
    <w:rsid w:val="00DA55C0"/>
    <w:rsid w:val="00DA57D6"/>
    <w:rsid w:val="00DA5EF1"/>
    <w:rsid w:val="00DA62F5"/>
    <w:rsid w:val="00DA62F7"/>
    <w:rsid w:val="00DA6B12"/>
    <w:rsid w:val="00DA6FD0"/>
    <w:rsid w:val="00DA7370"/>
    <w:rsid w:val="00DA7CF6"/>
    <w:rsid w:val="00DB0235"/>
    <w:rsid w:val="00DB02EE"/>
    <w:rsid w:val="00DB06EB"/>
    <w:rsid w:val="00DB0902"/>
    <w:rsid w:val="00DB1538"/>
    <w:rsid w:val="00DB1C5E"/>
    <w:rsid w:val="00DB1E0B"/>
    <w:rsid w:val="00DB1F21"/>
    <w:rsid w:val="00DB2294"/>
    <w:rsid w:val="00DB2BD8"/>
    <w:rsid w:val="00DB335D"/>
    <w:rsid w:val="00DB365F"/>
    <w:rsid w:val="00DB3752"/>
    <w:rsid w:val="00DB444C"/>
    <w:rsid w:val="00DB55AD"/>
    <w:rsid w:val="00DB57B9"/>
    <w:rsid w:val="00DB5A59"/>
    <w:rsid w:val="00DB5BE9"/>
    <w:rsid w:val="00DB6384"/>
    <w:rsid w:val="00DB6558"/>
    <w:rsid w:val="00DB6851"/>
    <w:rsid w:val="00DB68E2"/>
    <w:rsid w:val="00DB6D07"/>
    <w:rsid w:val="00DB71AB"/>
    <w:rsid w:val="00DB7237"/>
    <w:rsid w:val="00DB72D6"/>
    <w:rsid w:val="00DC0114"/>
    <w:rsid w:val="00DC014D"/>
    <w:rsid w:val="00DC0D44"/>
    <w:rsid w:val="00DC0FC9"/>
    <w:rsid w:val="00DC125E"/>
    <w:rsid w:val="00DC14AA"/>
    <w:rsid w:val="00DC1604"/>
    <w:rsid w:val="00DC16B9"/>
    <w:rsid w:val="00DC174C"/>
    <w:rsid w:val="00DC1D03"/>
    <w:rsid w:val="00DC1F2D"/>
    <w:rsid w:val="00DC2E11"/>
    <w:rsid w:val="00DC3A3C"/>
    <w:rsid w:val="00DC5429"/>
    <w:rsid w:val="00DC5F94"/>
    <w:rsid w:val="00DC620C"/>
    <w:rsid w:val="00DC662C"/>
    <w:rsid w:val="00DC68E6"/>
    <w:rsid w:val="00DC6925"/>
    <w:rsid w:val="00DC6E3F"/>
    <w:rsid w:val="00DC73A9"/>
    <w:rsid w:val="00DC7582"/>
    <w:rsid w:val="00DC7586"/>
    <w:rsid w:val="00DC7AC8"/>
    <w:rsid w:val="00DC7B76"/>
    <w:rsid w:val="00DC7CF1"/>
    <w:rsid w:val="00DC7E51"/>
    <w:rsid w:val="00DD0388"/>
    <w:rsid w:val="00DD0A12"/>
    <w:rsid w:val="00DD0C75"/>
    <w:rsid w:val="00DD10E3"/>
    <w:rsid w:val="00DD1246"/>
    <w:rsid w:val="00DD19AD"/>
    <w:rsid w:val="00DD1A9A"/>
    <w:rsid w:val="00DD202F"/>
    <w:rsid w:val="00DD20B4"/>
    <w:rsid w:val="00DD2583"/>
    <w:rsid w:val="00DD2A09"/>
    <w:rsid w:val="00DD2B19"/>
    <w:rsid w:val="00DD2C08"/>
    <w:rsid w:val="00DD30FA"/>
    <w:rsid w:val="00DD328A"/>
    <w:rsid w:val="00DD3898"/>
    <w:rsid w:val="00DD39DD"/>
    <w:rsid w:val="00DD3D5C"/>
    <w:rsid w:val="00DD3FB9"/>
    <w:rsid w:val="00DD414F"/>
    <w:rsid w:val="00DD4192"/>
    <w:rsid w:val="00DD57CD"/>
    <w:rsid w:val="00DD5978"/>
    <w:rsid w:val="00DD6790"/>
    <w:rsid w:val="00DD6A1C"/>
    <w:rsid w:val="00DD6C0E"/>
    <w:rsid w:val="00DD6C1F"/>
    <w:rsid w:val="00DD6E91"/>
    <w:rsid w:val="00DD70F1"/>
    <w:rsid w:val="00DD7208"/>
    <w:rsid w:val="00DD723F"/>
    <w:rsid w:val="00DD7559"/>
    <w:rsid w:val="00DD76CA"/>
    <w:rsid w:val="00DD7B42"/>
    <w:rsid w:val="00DD7CEA"/>
    <w:rsid w:val="00DE038C"/>
    <w:rsid w:val="00DE0ECA"/>
    <w:rsid w:val="00DE1158"/>
    <w:rsid w:val="00DE21E0"/>
    <w:rsid w:val="00DE23AC"/>
    <w:rsid w:val="00DE2E03"/>
    <w:rsid w:val="00DE3159"/>
    <w:rsid w:val="00DE3358"/>
    <w:rsid w:val="00DE3569"/>
    <w:rsid w:val="00DE3DFE"/>
    <w:rsid w:val="00DE4A40"/>
    <w:rsid w:val="00DE546E"/>
    <w:rsid w:val="00DE54CF"/>
    <w:rsid w:val="00DE552E"/>
    <w:rsid w:val="00DE5730"/>
    <w:rsid w:val="00DE5853"/>
    <w:rsid w:val="00DE6390"/>
    <w:rsid w:val="00DE649F"/>
    <w:rsid w:val="00DE6575"/>
    <w:rsid w:val="00DE66AD"/>
    <w:rsid w:val="00DE67CA"/>
    <w:rsid w:val="00DE6A77"/>
    <w:rsid w:val="00DE6B16"/>
    <w:rsid w:val="00DE6B29"/>
    <w:rsid w:val="00DE6D64"/>
    <w:rsid w:val="00DE6FC3"/>
    <w:rsid w:val="00DE7224"/>
    <w:rsid w:val="00DF0ED3"/>
    <w:rsid w:val="00DF0F3A"/>
    <w:rsid w:val="00DF1275"/>
    <w:rsid w:val="00DF1521"/>
    <w:rsid w:val="00DF15BC"/>
    <w:rsid w:val="00DF15F9"/>
    <w:rsid w:val="00DF187E"/>
    <w:rsid w:val="00DF2032"/>
    <w:rsid w:val="00DF2053"/>
    <w:rsid w:val="00DF27B1"/>
    <w:rsid w:val="00DF28EF"/>
    <w:rsid w:val="00DF363D"/>
    <w:rsid w:val="00DF397E"/>
    <w:rsid w:val="00DF4745"/>
    <w:rsid w:val="00DF491A"/>
    <w:rsid w:val="00DF5070"/>
    <w:rsid w:val="00DF53E5"/>
    <w:rsid w:val="00DF549A"/>
    <w:rsid w:val="00DF54EA"/>
    <w:rsid w:val="00DF5705"/>
    <w:rsid w:val="00DF58AA"/>
    <w:rsid w:val="00DF5A2E"/>
    <w:rsid w:val="00DF673E"/>
    <w:rsid w:val="00DF69E7"/>
    <w:rsid w:val="00DF6DD1"/>
    <w:rsid w:val="00DF6E39"/>
    <w:rsid w:val="00DF758E"/>
    <w:rsid w:val="00DF7623"/>
    <w:rsid w:val="00DF77BD"/>
    <w:rsid w:val="00E00158"/>
    <w:rsid w:val="00E005FC"/>
    <w:rsid w:val="00E00A1E"/>
    <w:rsid w:val="00E01C9C"/>
    <w:rsid w:val="00E01E82"/>
    <w:rsid w:val="00E025FF"/>
    <w:rsid w:val="00E027E1"/>
    <w:rsid w:val="00E0296D"/>
    <w:rsid w:val="00E02C94"/>
    <w:rsid w:val="00E030D1"/>
    <w:rsid w:val="00E03882"/>
    <w:rsid w:val="00E03D86"/>
    <w:rsid w:val="00E03DE6"/>
    <w:rsid w:val="00E045CF"/>
    <w:rsid w:val="00E04833"/>
    <w:rsid w:val="00E04B0A"/>
    <w:rsid w:val="00E05FE2"/>
    <w:rsid w:val="00E063B6"/>
    <w:rsid w:val="00E06E23"/>
    <w:rsid w:val="00E071F1"/>
    <w:rsid w:val="00E0767D"/>
    <w:rsid w:val="00E07754"/>
    <w:rsid w:val="00E07757"/>
    <w:rsid w:val="00E07C16"/>
    <w:rsid w:val="00E101D9"/>
    <w:rsid w:val="00E107D5"/>
    <w:rsid w:val="00E108AA"/>
    <w:rsid w:val="00E1092D"/>
    <w:rsid w:val="00E10CE5"/>
    <w:rsid w:val="00E10D1C"/>
    <w:rsid w:val="00E10FD5"/>
    <w:rsid w:val="00E11EEE"/>
    <w:rsid w:val="00E1277F"/>
    <w:rsid w:val="00E12892"/>
    <w:rsid w:val="00E12EF6"/>
    <w:rsid w:val="00E13718"/>
    <w:rsid w:val="00E13C8F"/>
    <w:rsid w:val="00E14139"/>
    <w:rsid w:val="00E142B3"/>
    <w:rsid w:val="00E143A2"/>
    <w:rsid w:val="00E14793"/>
    <w:rsid w:val="00E14931"/>
    <w:rsid w:val="00E149FC"/>
    <w:rsid w:val="00E14BF0"/>
    <w:rsid w:val="00E14FCA"/>
    <w:rsid w:val="00E1569B"/>
    <w:rsid w:val="00E16219"/>
    <w:rsid w:val="00E16A9F"/>
    <w:rsid w:val="00E16ACE"/>
    <w:rsid w:val="00E175DE"/>
    <w:rsid w:val="00E176F4"/>
    <w:rsid w:val="00E2059B"/>
    <w:rsid w:val="00E20A86"/>
    <w:rsid w:val="00E20E39"/>
    <w:rsid w:val="00E2162A"/>
    <w:rsid w:val="00E21942"/>
    <w:rsid w:val="00E22332"/>
    <w:rsid w:val="00E2245E"/>
    <w:rsid w:val="00E2248D"/>
    <w:rsid w:val="00E22BC7"/>
    <w:rsid w:val="00E234AD"/>
    <w:rsid w:val="00E23B90"/>
    <w:rsid w:val="00E23C14"/>
    <w:rsid w:val="00E23E24"/>
    <w:rsid w:val="00E242FC"/>
    <w:rsid w:val="00E246E5"/>
    <w:rsid w:val="00E24B2C"/>
    <w:rsid w:val="00E24D04"/>
    <w:rsid w:val="00E258EA"/>
    <w:rsid w:val="00E26416"/>
    <w:rsid w:val="00E26F4F"/>
    <w:rsid w:val="00E3014C"/>
    <w:rsid w:val="00E305E4"/>
    <w:rsid w:val="00E30B6A"/>
    <w:rsid w:val="00E310F0"/>
    <w:rsid w:val="00E31120"/>
    <w:rsid w:val="00E3118C"/>
    <w:rsid w:val="00E318C1"/>
    <w:rsid w:val="00E3256A"/>
    <w:rsid w:val="00E32614"/>
    <w:rsid w:val="00E328E9"/>
    <w:rsid w:val="00E3297E"/>
    <w:rsid w:val="00E32FF4"/>
    <w:rsid w:val="00E333AF"/>
    <w:rsid w:val="00E335F4"/>
    <w:rsid w:val="00E337D6"/>
    <w:rsid w:val="00E33B0A"/>
    <w:rsid w:val="00E33DB6"/>
    <w:rsid w:val="00E343CE"/>
    <w:rsid w:val="00E346AB"/>
    <w:rsid w:val="00E34B41"/>
    <w:rsid w:val="00E353CC"/>
    <w:rsid w:val="00E35FB3"/>
    <w:rsid w:val="00E36E9A"/>
    <w:rsid w:val="00E370C6"/>
    <w:rsid w:val="00E3754C"/>
    <w:rsid w:val="00E3785A"/>
    <w:rsid w:val="00E378BC"/>
    <w:rsid w:val="00E378D3"/>
    <w:rsid w:val="00E379BD"/>
    <w:rsid w:val="00E37D54"/>
    <w:rsid w:val="00E37F3A"/>
    <w:rsid w:val="00E4082B"/>
    <w:rsid w:val="00E40DA0"/>
    <w:rsid w:val="00E4196D"/>
    <w:rsid w:val="00E419C4"/>
    <w:rsid w:val="00E42263"/>
    <w:rsid w:val="00E424A2"/>
    <w:rsid w:val="00E43C23"/>
    <w:rsid w:val="00E43C85"/>
    <w:rsid w:val="00E446C7"/>
    <w:rsid w:val="00E446F2"/>
    <w:rsid w:val="00E45429"/>
    <w:rsid w:val="00E45488"/>
    <w:rsid w:val="00E456C6"/>
    <w:rsid w:val="00E458B9"/>
    <w:rsid w:val="00E45A62"/>
    <w:rsid w:val="00E45C8E"/>
    <w:rsid w:val="00E45E24"/>
    <w:rsid w:val="00E462B8"/>
    <w:rsid w:val="00E463D7"/>
    <w:rsid w:val="00E47929"/>
    <w:rsid w:val="00E47B17"/>
    <w:rsid w:val="00E5001D"/>
    <w:rsid w:val="00E50153"/>
    <w:rsid w:val="00E50D70"/>
    <w:rsid w:val="00E50F07"/>
    <w:rsid w:val="00E51781"/>
    <w:rsid w:val="00E51EDF"/>
    <w:rsid w:val="00E5247B"/>
    <w:rsid w:val="00E52611"/>
    <w:rsid w:val="00E52788"/>
    <w:rsid w:val="00E528AF"/>
    <w:rsid w:val="00E52AE0"/>
    <w:rsid w:val="00E52EFB"/>
    <w:rsid w:val="00E53708"/>
    <w:rsid w:val="00E53EB6"/>
    <w:rsid w:val="00E54419"/>
    <w:rsid w:val="00E5550C"/>
    <w:rsid w:val="00E55D49"/>
    <w:rsid w:val="00E561BC"/>
    <w:rsid w:val="00E562C2"/>
    <w:rsid w:val="00E562DC"/>
    <w:rsid w:val="00E56CC8"/>
    <w:rsid w:val="00E56D85"/>
    <w:rsid w:val="00E56ED9"/>
    <w:rsid w:val="00E570E1"/>
    <w:rsid w:val="00E57B33"/>
    <w:rsid w:val="00E57BED"/>
    <w:rsid w:val="00E6004E"/>
    <w:rsid w:val="00E6085E"/>
    <w:rsid w:val="00E60C66"/>
    <w:rsid w:val="00E61167"/>
    <w:rsid w:val="00E61388"/>
    <w:rsid w:val="00E6193F"/>
    <w:rsid w:val="00E61CC7"/>
    <w:rsid w:val="00E61DE5"/>
    <w:rsid w:val="00E622C8"/>
    <w:rsid w:val="00E622F2"/>
    <w:rsid w:val="00E624FE"/>
    <w:rsid w:val="00E628D6"/>
    <w:rsid w:val="00E62941"/>
    <w:rsid w:val="00E62B1C"/>
    <w:rsid w:val="00E62DD1"/>
    <w:rsid w:val="00E62F71"/>
    <w:rsid w:val="00E630A8"/>
    <w:rsid w:val="00E630C7"/>
    <w:rsid w:val="00E635D2"/>
    <w:rsid w:val="00E63778"/>
    <w:rsid w:val="00E63AB4"/>
    <w:rsid w:val="00E63DD1"/>
    <w:rsid w:val="00E63EBD"/>
    <w:rsid w:val="00E64619"/>
    <w:rsid w:val="00E648CE"/>
    <w:rsid w:val="00E65192"/>
    <w:rsid w:val="00E657F6"/>
    <w:rsid w:val="00E65D05"/>
    <w:rsid w:val="00E6635A"/>
    <w:rsid w:val="00E665D7"/>
    <w:rsid w:val="00E66AF8"/>
    <w:rsid w:val="00E66C9F"/>
    <w:rsid w:val="00E66E34"/>
    <w:rsid w:val="00E6711A"/>
    <w:rsid w:val="00E67A80"/>
    <w:rsid w:val="00E67F2F"/>
    <w:rsid w:val="00E67FF8"/>
    <w:rsid w:val="00E701DE"/>
    <w:rsid w:val="00E702D0"/>
    <w:rsid w:val="00E7109D"/>
    <w:rsid w:val="00E71601"/>
    <w:rsid w:val="00E717E0"/>
    <w:rsid w:val="00E71878"/>
    <w:rsid w:val="00E719F1"/>
    <w:rsid w:val="00E71ED3"/>
    <w:rsid w:val="00E7272E"/>
    <w:rsid w:val="00E7298E"/>
    <w:rsid w:val="00E72CD0"/>
    <w:rsid w:val="00E72EFC"/>
    <w:rsid w:val="00E736A3"/>
    <w:rsid w:val="00E736F0"/>
    <w:rsid w:val="00E73F21"/>
    <w:rsid w:val="00E74757"/>
    <w:rsid w:val="00E74C63"/>
    <w:rsid w:val="00E75567"/>
    <w:rsid w:val="00E75847"/>
    <w:rsid w:val="00E75973"/>
    <w:rsid w:val="00E759EB"/>
    <w:rsid w:val="00E75B93"/>
    <w:rsid w:val="00E75DFD"/>
    <w:rsid w:val="00E75F70"/>
    <w:rsid w:val="00E760A6"/>
    <w:rsid w:val="00E76595"/>
    <w:rsid w:val="00E76DEA"/>
    <w:rsid w:val="00E76EFA"/>
    <w:rsid w:val="00E77049"/>
    <w:rsid w:val="00E77645"/>
    <w:rsid w:val="00E77883"/>
    <w:rsid w:val="00E804EA"/>
    <w:rsid w:val="00E80ACB"/>
    <w:rsid w:val="00E80AF4"/>
    <w:rsid w:val="00E80F3A"/>
    <w:rsid w:val="00E810B0"/>
    <w:rsid w:val="00E813C0"/>
    <w:rsid w:val="00E81424"/>
    <w:rsid w:val="00E81B2E"/>
    <w:rsid w:val="00E81F3A"/>
    <w:rsid w:val="00E82ACA"/>
    <w:rsid w:val="00E82C12"/>
    <w:rsid w:val="00E833A7"/>
    <w:rsid w:val="00E835B7"/>
    <w:rsid w:val="00E836B5"/>
    <w:rsid w:val="00E83E01"/>
    <w:rsid w:val="00E83EDA"/>
    <w:rsid w:val="00E842C2"/>
    <w:rsid w:val="00E84448"/>
    <w:rsid w:val="00E8458F"/>
    <w:rsid w:val="00E845A1"/>
    <w:rsid w:val="00E84655"/>
    <w:rsid w:val="00E84959"/>
    <w:rsid w:val="00E84DBD"/>
    <w:rsid w:val="00E85210"/>
    <w:rsid w:val="00E85236"/>
    <w:rsid w:val="00E85DF2"/>
    <w:rsid w:val="00E87330"/>
    <w:rsid w:val="00E873A1"/>
    <w:rsid w:val="00E87440"/>
    <w:rsid w:val="00E90557"/>
    <w:rsid w:val="00E905BE"/>
    <w:rsid w:val="00E9090B"/>
    <w:rsid w:val="00E909E3"/>
    <w:rsid w:val="00E90CD0"/>
    <w:rsid w:val="00E91FF1"/>
    <w:rsid w:val="00E9267D"/>
    <w:rsid w:val="00E92CC0"/>
    <w:rsid w:val="00E9345B"/>
    <w:rsid w:val="00E937CA"/>
    <w:rsid w:val="00E93B51"/>
    <w:rsid w:val="00E93C24"/>
    <w:rsid w:val="00E944BD"/>
    <w:rsid w:val="00E94707"/>
    <w:rsid w:val="00E949FD"/>
    <w:rsid w:val="00E94C66"/>
    <w:rsid w:val="00E95A45"/>
    <w:rsid w:val="00E95B64"/>
    <w:rsid w:val="00E95E7D"/>
    <w:rsid w:val="00E9605F"/>
    <w:rsid w:val="00E963F5"/>
    <w:rsid w:val="00E968A8"/>
    <w:rsid w:val="00E97353"/>
    <w:rsid w:val="00E97B6E"/>
    <w:rsid w:val="00E97E33"/>
    <w:rsid w:val="00E97F75"/>
    <w:rsid w:val="00EA035B"/>
    <w:rsid w:val="00EA0535"/>
    <w:rsid w:val="00EA0C4C"/>
    <w:rsid w:val="00EA0F51"/>
    <w:rsid w:val="00EA1131"/>
    <w:rsid w:val="00EA19A9"/>
    <w:rsid w:val="00EA1AE3"/>
    <w:rsid w:val="00EA1C03"/>
    <w:rsid w:val="00EA2376"/>
    <w:rsid w:val="00EA2964"/>
    <w:rsid w:val="00EA2F4B"/>
    <w:rsid w:val="00EA310C"/>
    <w:rsid w:val="00EA32E4"/>
    <w:rsid w:val="00EA34E8"/>
    <w:rsid w:val="00EA3822"/>
    <w:rsid w:val="00EA3EA5"/>
    <w:rsid w:val="00EA3EB0"/>
    <w:rsid w:val="00EA4E2E"/>
    <w:rsid w:val="00EA5192"/>
    <w:rsid w:val="00EA5375"/>
    <w:rsid w:val="00EA5702"/>
    <w:rsid w:val="00EA6030"/>
    <w:rsid w:val="00EA608C"/>
    <w:rsid w:val="00EA6A66"/>
    <w:rsid w:val="00EA6DA4"/>
    <w:rsid w:val="00EA71AC"/>
    <w:rsid w:val="00EA79B4"/>
    <w:rsid w:val="00EA7ACE"/>
    <w:rsid w:val="00EA7CAB"/>
    <w:rsid w:val="00EA7EBB"/>
    <w:rsid w:val="00EB00B3"/>
    <w:rsid w:val="00EB026F"/>
    <w:rsid w:val="00EB058C"/>
    <w:rsid w:val="00EB0EC4"/>
    <w:rsid w:val="00EB145F"/>
    <w:rsid w:val="00EB16FE"/>
    <w:rsid w:val="00EB182F"/>
    <w:rsid w:val="00EB2365"/>
    <w:rsid w:val="00EB2C0B"/>
    <w:rsid w:val="00EB2C7D"/>
    <w:rsid w:val="00EB2D3E"/>
    <w:rsid w:val="00EB2E08"/>
    <w:rsid w:val="00EB30A9"/>
    <w:rsid w:val="00EB3FDE"/>
    <w:rsid w:val="00EB42DC"/>
    <w:rsid w:val="00EB482B"/>
    <w:rsid w:val="00EB4BD5"/>
    <w:rsid w:val="00EB5A8C"/>
    <w:rsid w:val="00EB601D"/>
    <w:rsid w:val="00EB604F"/>
    <w:rsid w:val="00EB629E"/>
    <w:rsid w:val="00EB6660"/>
    <w:rsid w:val="00EB7500"/>
    <w:rsid w:val="00EB7C9B"/>
    <w:rsid w:val="00EC0098"/>
    <w:rsid w:val="00EC0A2A"/>
    <w:rsid w:val="00EC0F7E"/>
    <w:rsid w:val="00EC1378"/>
    <w:rsid w:val="00EC13C1"/>
    <w:rsid w:val="00EC19E5"/>
    <w:rsid w:val="00EC1CA7"/>
    <w:rsid w:val="00EC1E8F"/>
    <w:rsid w:val="00EC208D"/>
    <w:rsid w:val="00EC21C2"/>
    <w:rsid w:val="00EC21CD"/>
    <w:rsid w:val="00EC2507"/>
    <w:rsid w:val="00EC2727"/>
    <w:rsid w:val="00EC2E2E"/>
    <w:rsid w:val="00EC3797"/>
    <w:rsid w:val="00EC3DA4"/>
    <w:rsid w:val="00EC3FE4"/>
    <w:rsid w:val="00EC4902"/>
    <w:rsid w:val="00EC4DC9"/>
    <w:rsid w:val="00EC4FCD"/>
    <w:rsid w:val="00EC4FFC"/>
    <w:rsid w:val="00EC54D5"/>
    <w:rsid w:val="00EC580D"/>
    <w:rsid w:val="00EC59BF"/>
    <w:rsid w:val="00EC5F40"/>
    <w:rsid w:val="00EC652D"/>
    <w:rsid w:val="00EC65D2"/>
    <w:rsid w:val="00EC723E"/>
    <w:rsid w:val="00EC73B6"/>
    <w:rsid w:val="00EC74D0"/>
    <w:rsid w:val="00EC77CD"/>
    <w:rsid w:val="00EC77FE"/>
    <w:rsid w:val="00ED042B"/>
    <w:rsid w:val="00ED1708"/>
    <w:rsid w:val="00ED2073"/>
    <w:rsid w:val="00ED212F"/>
    <w:rsid w:val="00ED2B8A"/>
    <w:rsid w:val="00ED30B9"/>
    <w:rsid w:val="00ED3397"/>
    <w:rsid w:val="00ED3748"/>
    <w:rsid w:val="00ED3BE2"/>
    <w:rsid w:val="00ED3C4C"/>
    <w:rsid w:val="00ED4235"/>
    <w:rsid w:val="00ED4668"/>
    <w:rsid w:val="00ED47B0"/>
    <w:rsid w:val="00ED4BDB"/>
    <w:rsid w:val="00ED4C0D"/>
    <w:rsid w:val="00ED529F"/>
    <w:rsid w:val="00ED5844"/>
    <w:rsid w:val="00ED69DE"/>
    <w:rsid w:val="00ED6F39"/>
    <w:rsid w:val="00ED722D"/>
    <w:rsid w:val="00ED73B6"/>
    <w:rsid w:val="00ED750A"/>
    <w:rsid w:val="00ED7909"/>
    <w:rsid w:val="00ED7BC9"/>
    <w:rsid w:val="00ED7D13"/>
    <w:rsid w:val="00ED7D9E"/>
    <w:rsid w:val="00EE0537"/>
    <w:rsid w:val="00EE057D"/>
    <w:rsid w:val="00EE0B9A"/>
    <w:rsid w:val="00EE1AC6"/>
    <w:rsid w:val="00EE1BD3"/>
    <w:rsid w:val="00EE20A1"/>
    <w:rsid w:val="00EE2185"/>
    <w:rsid w:val="00EE241F"/>
    <w:rsid w:val="00EE249A"/>
    <w:rsid w:val="00EE26A5"/>
    <w:rsid w:val="00EE2825"/>
    <w:rsid w:val="00EE2BBB"/>
    <w:rsid w:val="00EE3D64"/>
    <w:rsid w:val="00EE432F"/>
    <w:rsid w:val="00EE49DB"/>
    <w:rsid w:val="00EE5498"/>
    <w:rsid w:val="00EE54E5"/>
    <w:rsid w:val="00EE54FE"/>
    <w:rsid w:val="00EE5EE4"/>
    <w:rsid w:val="00EE6076"/>
    <w:rsid w:val="00EE622E"/>
    <w:rsid w:val="00EE6BA7"/>
    <w:rsid w:val="00EE7052"/>
    <w:rsid w:val="00EF0037"/>
    <w:rsid w:val="00EF0306"/>
    <w:rsid w:val="00EF0827"/>
    <w:rsid w:val="00EF1659"/>
    <w:rsid w:val="00EF1859"/>
    <w:rsid w:val="00EF1AD2"/>
    <w:rsid w:val="00EF1D84"/>
    <w:rsid w:val="00EF21B1"/>
    <w:rsid w:val="00EF23AD"/>
    <w:rsid w:val="00EF23DB"/>
    <w:rsid w:val="00EF365C"/>
    <w:rsid w:val="00EF3735"/>
    <w:rsid w:val="00EF382D"/>
    <w:rsid w:val="00EF43E8"/>
    <w:rsid w:val="00EF4747"/>
    <w:rsid w:val="00EF5126"/>
    <w:rsid w:val="00EF51B0"/>
    <w:rsid w:val="00EF51CB"/>
    <w:rsid w:val="00EF5C92"/>
    <w:rsid w:val="00EF65B5"/>
    <w:rsid w:val="00EF68E3"/>
    <w:rsid w:val="00EF6D1C"/>
    <w:rsid w:val="00EF6ECF"/>
    <w:rsid w:val="00EF73E2"/>
    <w:rsid w:val="00EF7626"/>
    <w:rsid w:val="00EF7C1C"/>
    <w:rsid w:val="00EF7DD6"/>
    <w:rsid w:val="00F01634"/>
    <w:rsid w:val="00F01762"/>
    <w:rsid w:val="00F01916"/>
    <w:rsid w:val="00F022DD"/>
    <w:rsid w:val="00F026BA"/>
    <w:rsid w:val="00F029D1"/>
    <w:rsid w:val="00F0338A"/>
    <w:rsid w:val="00F0355F"/>
    <w:rsid w:val="00F03B3F"/>
    <w:rsid w:val="00F03D7F"/>
    <w:rsid w:val="00F0405B"/>
    <w:rsid w:val="00F0523C"/>
    <w:rsid w:val="00F05399"/>
    <w:rsid w:val="00F05C77"/>
    <w:rsid w:val="00F05F6F"/>
    <w:rsid w:val="00F06282"/>
    <w:rsid w:val="00F062BE"/>
    <w:rsid w:val="00F0677C"/>
    <w:rsid w:val="00F06F7F"/>
    <w:rsid w:val="00F0764F"/>
    <w:rsid w:val="00F0798B"/>
    <w:rsid w:val="00F07A10"/>
    <w:rsid w:val="00F07C2F"/>
    <w:rsid w:val="00F07C78"/>
    <w:rsid w:val="00F1001F"/>
    <w:rsid w:val="00F101AB"/>
    <w:rsid w:val="00F105D4"/>
    <w:rsid w:val="00F10885"/>
    <w:rsid w:val="00F110F3"/>
    <w:rsid w:val="00F11334"/>
    <w:rsid w:val="00F1165A"/>
    <w:rsid w:val="00F116A6"/>
    <w:rsid w:val="00F11B44"/>
    <w:rsid w:val="00F11BED"/>
    <w:rsid w:val="00F11C2F"/>
    <w:rsid w:val="00F11E8F"/>
    <w:rsid w:val="00F12414"/>
    <w:rsid w:val="00F126BC"/>
    <w:rsid w:val="00F12742"/>
    <w:rsid w:val="00F12966"/>
    <w:rsid w:val="00F12C18"/>
    <w:rsid w:val="00F12F2F"/>
    <w:rsid w:val="00F12FC6"/>
    <w:rsid w:val="00F1304A"/>
    <w:rsid w:val="00F13222"/>
    <w:rsid w:val="00F134D3"/>
    <w:rsid w:val="00F1350D"/>
    <w:rsid w:val="00F1369F"/>
    <w:rsid w:val="00F13A5C"/>
    <w:rsid w:val="00F13F84"/>
    <w:rsid w:val="00F146D6"/>
    <w:rsid w:val="00F14B40"/>
    <w:rsid w:val="00F14BC3"/>
    <w:rsid w:val="00F150D9"/>
    <w:rsid w:val="00F15233"/>
    <w:rsid w:val="00F154AC"/>
    <w:rsid w:val="00F157AC"/>
    <w:rsid w:val="00F159E3"/>
    <w:rsid w:val="00F15AC4"/>
    <w:rsid w:val="00F15D15"/>
    <w:rsid w:val="00F15E4B"/>
    <w:rsid w:val="00F15EAB"/>
    <w:rsid w:val="00F1604D"/>
    <w:rsid w:val="00F16097"/>
    <w:rsid w:val="00F164A8"/>
    <w:rsid w:val="00F171A2"/>
    <w:rsid w:val="00F171CA"/>
    <w:rsid w:val="00F17739"/>
    <w:rsid w:val="00F177F8"/>
    <w:rsid w:val="00F17AA0"/>
    <w:rsid w:val="00F2066B"/>
    <w:rsid w:val="00F20863"/>
    <w:rsid w:val="00F20880"/>
    <w:rsid w:val="00F21192"/>
    <w:rsid w:val="00F214A6"/>
    <w:rsid w:val="00F216F9"/>
    <w:rsid w:val="00F219EC"/>
    <w:rsid w:val="00F21B8F"/>
    <w:rsid w:val="00F21BE0"/>
    <w:rsid w:val="00F21BF5"/>
    <w:rsid w:val="00F22193"/>
    <w:rsid w:val="00F224AE"/>
    <w:rsid w:val="00F2442B"/>
    <w:rsid w:val="00F249E5"/>
    <w:rsid w:val="00F24B6F"/>
    <w:rsid w:val="00F25146"/>
    <w:rsid w:val="00F25D10"/>
    <w:rsid w:val="00F26307"/>
    <w:rsid w:val="00F2690D"/>
    <w:rsid w:val="00F300F2"/>
    <w:rsid w:val="00F302AE"/>
    <w:rsid w:val="00F304C3"/>
    <w:rsid w:val="00F30BEB"/>
    <w:rsid w:val="00F313A3"/>
    <w:rsid w:val="00F316A3"/>
    <w:rsid w:val="00F32084"/>
    <w:rsid w:val="00F32102"/>
    <w:rsid w:val="00F321ED"/>
    <w:rsid w:val="00F3227A"/>
    <w:rsid w:val="00F32833"/>
    <w:rsid w:val="00F32F87"/>
    <w:rsid w:val="00F33325"/>
    <w:rsid w:val="00F34073"/>
    <w:rsid w:val="00F340F8"/>
    <w:rsid w:val="00F3469A"/>
    <w:rsid w:val="00F3487C"/>
    <w:rsid w:val="00F34C22"/>
    <w:rsid w:val="00F34CF0"/>
    <w:rsid w:val="00F35369"/>
    <w:rsid w:val="00F3555F"/>
    <w:rsid w:val="00F355DD"/>
    <w:rsid w:val="00F35873"/>
    <w:rsid w:val="00F35E39"/>
    <w:rsid w:val="00F35FA4"/>
    <w:rsid w:val="00F36648"/>
    <w:rsid w:val="00F36D41"/>
    <w:rsid w:val="00F3705C"/>
    <w:rsid w:val="00F374DB"/>
    <w:rsid w:val="00F37761"/>
    <w:rsid w:val="00F37A48"/>
    <w:rsid w:val="00F37AAD"/>
    <w:rsid w:val="00F37B05"/>
    <w:rsid w:val="00F37CF0"/>
    <w:rsid w:val="00F404A0"/>
    <w:rsid w:val="00F409F0"/>
    <w:rsid w:val="00F40C5E"/>
    <w:rsid w:val="00F41091"/>
    <w:rsid w:val="00F416DC"/>
    <w:rsid w:val="00F41ACE"/>
    <w:rsid w:val="00F41D10"/>
    <w:rsid w:val="00F42043"/>
    <w:rsid w:val="00F42294"/>
    <w:rsid w:val="00F4322C"/>
    <w:rsid w:val="00F4369E"/>
    <w:rsid w:val="00F437DF"/>
    <w:rsid w:val="00F438D4"/>
    <w:rsid w:val="00F43CCA"/>
    <w:rsid w:val="00F443DB"/>
    <w:rsid w:val="00F44534"/>
    <w:rsid w:val="00F44ABE"/>
    <w:rsid w:val="00F44E0C"/>
    <w:rsid w:val="00F45132"/>
    <w:rsid w:val="00F45648"/>
    <w:rsid w:val="00F459AD"/>
    <w:rsid w:val="00F47021"/>
    <w:rsid w:val="00F470F8"/>
    <w:rsid w:val="00F474B9"/>
    <w:rsid w:val="00F47895"/>
    <w:rsid w:val="00F5001C"/>
    <w:rsid w:val="00F503BF"/>
    <w:rsid w:val="00F506B4"/>
    <w:rsid w:val="00F507D1"/>
    <w:rsid w:val="00F51250"/>
    <w:rsid w:val="00F51274"/>
    <w:rsid w:val="00F513AA"/>
    <w:rsid w:val="00F5167D"/>
    <w:rsid w:val="00F5180E"/>
    <w:rsid w:val="00F52328"/>
    <w:rsid w:val="00F52578"/>
    <w:rsid w:val="00F52722"/>
    <w:rsid w:val="00F52765"/>
    <w:rsid w:val="00F528A7"/>
    <w:rsid w:val="00F533B1"/>
    <w:rsid w:val="00F5344D"/>
    <w:rsid w:val="00F53ACF"/>
    <w:rsid w:val="00F53DED"/>
    <w:rsid w:val="00F54111"/>
    <w:rsid w:val="00F54A34"/>
    <w:rsid w:val="00F55695"/>
    <w:rsid w:val="00F559DE"/>
    <w:rsid w:val="00F55B4D"/>
    <w:rsid w:val="00F55D36"/>
    <w:rsid w:val="00F560BF"/>
    <w:rsid w:val="00F56329"/>
    <w:rsid w:val="00F56423"/>
    <w:rsid w:val="00F56AC8"/>
    <w:rsid w:val="00F570CB"/>
    <w:rsid w:val="00F57776"/>
    <w:rsid w:val="00F577FC"/>
    <w:rsid w:val="00F60555"/>
    <w:rsid w:val="00F605D3"/>
    <w:rsid w:val="00F607DC"/>
    <w:rsid w:val="00F60871"/>
    <w:rsid w:val="00F60937"/>
    <w:rsid w:val="00F60E8F"/>
    <w:rsid w:val="00F612A8"/>
    <w:rsid w:val="00F613A8"/>
    <w:rsid w:val="00F614A3"/>
    <w:rsid w:val="00F61B87"/>
    <w:rsid w:val="00F61F3F"/>
    <w:rsid w:val="00F622B0"/>
    <w:rsid w:val="00F62EB6"/>
    <w:rsid w:val="00F63394"/>
    <w:rsid w:val="00F63723"/>
    <w:rsid w:val="00F6392C"/>
    <w:rsid w:val="00F6422B"/>
    <w:rsid w:val="00F64685"/>
    <w:rsid w:val="00F646A3"/>
    <w:rsid w:val="00F64B44"/>
    <w:rsid w:val="00F65A68"/>
    <w:rsid w:val="00F65CA6"/>
    <w:rsid w:val="00F65CD9"/>
    <w:rsid w:val="00F661C0"/>
    <w:rsid w:val="00F66354"/>
    <w:rsid w:val="00F66492"/>
    <w:rsid w:val="00F6664C"/>
    <w:rsid w:val="00F66AB2"/>
    <w:rsid w:val="00F67568"/>
    <w:rsid w:val="00F6764B"/>
    <w:rsid w:val="00F67A76"/>
    <w:rsid w:val="00F7089C"/>
    <w:rsid w:val="00F70E79"/>
    <w:rsid w:val="00F71193"/>
    <w:rsid w:val="00F71B3D"/>
    <w:rsid w:val="00F71D33"/>
    <w:rsid w:val="00F71D44"/>
    <w:rsid w:val="00F7208B"/>
    <w:rsid w:val="00F720A4"/>
    <w:rsid w:val="00F72145"/>
    <w:rsid w:val="00F72172"/>
    <w:rsid w:val="00F7281C"/>
    <w:rsid w:val="00F72DBF"/>
    <w:rsid w:val="00F73BA4"/>
    <w:rsid w:val="00F73F26"/>
    <w:rsid w:val="00F74050"/>
    <w:rsid w:val="00F74439"/>
    <w:rsid w:val="00F74C28"/>
    <w:rsid w:val="00F751CB"/>
    <w:rsid w:val="00F753FC"/>
    <w:rsid w:val="00F75529"/>
    <w:rsid w:val="00F75EC2"/>
    <w:rsid w:val="00F7605C"/>
    <w:rsid w:val="00F76062"/>
    <w:rsid w:val="00F76535"/>
    <w:rsid w:val="00F76A79"/>
    <w:rsid w:val="00F773A3"/>
    <w:rsid w:val="00F77479"/>
    <w:rsid w:val="00F80184"/>
    <w:rsid w:val="00F80574"/>
    <w:rsid w:val="00F809C6"/>
    <w:rsid w:val="00F80AC0"/>
    <w:rsid w:val="00F80D2D"/>
    <w:rsid w:val="00F80D83"/>
    <w:rsid w:val="00F810F3"/>
    <w:rsid w:val="00F813D0"/>
    <w:rsid w:val="00F81419"/>
    <w:rsid w:val="00F81450"/>
    <w:rsid w:val="00F81659"/>
    <w:rsid w:val="00F81B61"/>
    <w:rsid w:val="00F81BE2"/>
    <w:rsid w:val="00F81BFD"/>
    <w:rsid w:val="00F81F38"/>
    <w:rsid w:val="00F82532"/>
    <w:rsid w:val="00F83468"/>
    <w:rsid w:val="00F8412A"/>
    <w:rsid w:val="00F8417C"/>
    <w:rsid w:val="00F84FA7"/>
    <w:rsid w:val="00F850A7"/>
    <w:rsid w:val="00F852DB"/>
    <w:rsid w:val="00F85B6F"/>
    <w:rsid w:val="00F85EE6"/>
    <w:rsid w:val="00F86574"/>
    <w:rsid w:val="00F86DA5"/>
    <w:rsid w:val="00F86F4E"/>
    <w:rsid w:val="00F873CD"/>
    <w:rsid w:val="00F87507"/>
    <w:rsid w:val="00F87C75"/>
    <w:rsid w:val="00F87FC9"/>
    <w:rsid w:val="00F90954"/>
    <w:rsid w:val="00F90DDA"/>
    <w:rsid w:val="00F91066"/>
    <w:rsid w:val="00F919B1"/>
    <w:rsid w:val="00F92200"/>
    <w:rsid w:val="00F92A0F"/>
    <w:rsid w:val="00F92CD5"/>
    <w:rsid w:val="00F92FC3"/>
    <w:rsid w:val="00F932F7"/>
    <w:rsid w:val="00F93EB4"/>
    <w:rsid w:val="00F94580"/>
    <w:rsid w:val="00F94910"/>
    <w:rsid w:val="00F94A7E"/>
    <w:rsid w:val="00F9511F"/>
    <w:rsid w:val="00F95347"/>
    <w:rsid w:val="00F95425"/>
    <w:rsid w:val="00F954EB"/>
    <w:rsid w:val="00F95593"/>
    <w:rsid w:val="00F95653"/>
    <w:rsid w:val="00F96CDC"/>
    <w:rsid w:val="00F96D2F"/>
    <w:rsid w:val="00F97358"/>
    <w:rsid w:val="00F9735D"/>
    <w:rsid w:val="00F976F2"/>
    <w:rsid w:val="00F97AFC"/>
    <w:rsid w:val="00F97C84"/>
    <w:rsid w:val="00FA17CD"/>
    <w:rsid w:val="00FA18D3"/>
    <w:rsid w:val="00FA22AC"/>
    <w:rsid w:val="00FA2563"/>
    <w:rsid w:val="00FA2710"/>
    <w:rsid w:val="00FA2D42"/>
    <w:rsid w:val="00FA33AC"/>
    <w:rsid w:val="00FA34C8"/>
    <w:rsid w:val="00FA3A4D"/>
    <w:rsid w:val="00FA3E43"/>
    <w:rsid w:val="00FA5017"/>
    <w:rsid w:val="00FA5163"/>
    <w:rsid w:val="00FA5203"/>
    <w:rsid w:val="00FA541D"/>
    <w:rsid w:val="00FA58A8"/>
    <w:rsid w:val="00FA591D"/>
    <w:rsid w:val="00FA61E6"/>
    <w:rsid w:val="00FA6559"/>
    <w:rsid w:val="00FA6788"/>
    <w:rsid w:val="00FA6C1A"/>
    <w:rsid w:val="00FA6CB7"/>
    <w:rsid w:val="00FA71D5"/>
    <w:rsid w:val="00FA750D"/>
    <w:rsid w:val="00FA7E0B"/>
    <w:rsid w:val="00FA7FC1"/>
    <w:rsid w:val="00FB0536"/>
    <w:rsid w:val="00FB0F2E"/>
    <w:rsid w:val="00FB1606"/>
    <w:rsid w:val="00FB16D7"/>
    <w:rsid w:val="00FB1800"/>
    <w:rsid w:val="00FB1C07"/>
    <w:rsid w:val="00FB21A3"/>
    <w:rsid w:val="00FB2A29"/>
    <w:rsid w:val="00FB40B8"/>
    <w:rsid w:val="00FB503C"/>
    <w:rsid w:val="00FB55F0"/>
    <w:rsid w:val="00FB5FF1"/>
    <w:rsid w:val="00FB6017"/>
    <w:rsid w:val="00FB620A"/>
    <w:rsid w:val="00FB6D9B"/>
    <w:rsid w:val="00FB6FE9"/>
    <w:rsid w:val="00FB7240"/>
    <w:rsid w:val="00FB73B8"/>
    <w:rsid w:val="00FB77B1"/>
    <w:rsid w:val="00FB7977"/>
    <w:rsid w:val="00FB7D88"/>
    <w:rsid w:val="00FC0110"/>
    <w:rsid w:val="00FC069D"/>
    <w:rsid w:val="00FC0EC7"/>
    <w:rsid w:val="00FC0F5F"/>
    <w:rsid w:val="00FC11E1"/>
    <w:rsid w:val="00FC12E2"/>
    <w:rsid w:val="00FC17F9"/>
    <w:rsid w:val="00FC2879"/>
    <w:rsid w:val="00FC2F9D"/>
    <w:rsid w:val="00FC3483"/>
    <w:rsid w:val="00FC3FD6"/>
    <w:rsid w:val="00FC4C2E"/>
    <w:rsid w:val="00FC6207"/>
    <w:rsid w:val="00FC7439"/>
    <w:rsid w:val="00FC755D"/>
    <w:rsid w:val="00FC7642"/>
    <w:rsid w:val="00FC7A2B"/>
    <w:rsid w:val="00FC7A90"/>
    <w:rsid w:val="00FD02AE"/>
    <w:rsid w:val="00FD03FC"/>
    <w:rsid w:val="00FD0AAB"/>
    <w:rsid w:val="00FD0F6A"/>
    <w:rsid w:val="00FD0FE1"/>
    <w:rsid w:val="00FD1029"/>
    <w:rsid w:val="00FD113F"/>
    <w:rsid w:val="00FD137C"/>
    <w:rsid w:val="00FD1444"/>
    <w:rsid w:val="00FD153D"/>
    <w:rsid w:val="00FD193F"/>
    <w:rsid w:val="00FD1AF8"/>
    <w:rsid w:val="00FD21EE"/>
    <w:rsid w:val="00FD269D"/>
    <w:rsid w:val="00FD2F48"/>
    <w:rsid w:val="00FD3A1B"/>
    <w:rsid w:val="00FD3C1C"/>
    <w:rsid w:val="00FD42EF"/>
    <w:rsid w:val="00FD5665"/>
    <w:rsid w:val="00FD5828"/>
    <w:rsid w:val="00FD65A2"/>
    <w:rsid w:val="00FD65EE"/>
    <w:rsid w:val="00FD6717"/>
    <w:rsid w:val="00FD6DCC"/>
    <w:rsid w:val="00FD7739"/>
    <w:rsid w:val="00FD7D3B"/>
    <w:rsid w:val="00FE06D7"/>
    <w:rsid w:val="00FE08EB"/>
    <w:rsid w:val="00FE0FF1"/>
    <w:rsid w:val="00FE16ED"/>
    <w:rsid w:val="00FE187E"/>
    <w:rsid w:val="00FE1CF0"/>
    <w:rsid w:val="00FE2B39"/>
    <w:rsid w:val="00FE2F68"/>
    <w:rsid w:val="00FE30E7"/>
    <w:rsid w:val="00FE477A"/>
    <w:rsid w:val="00FE48D2"/>
    <w:rsid w:val="00FE5A5B"/>
    <w:rsid w:val="00FE5D2D"/>
    <w:rsid w:val="00FE616A"/>
    <w:rsid w:val="00FE6447"/>
    <w:rsid w:val="00FE66AE"/>
    <w:rsid w:val="00FE69E3"/>
    <w:rsid w:val="00FE6E4B"/>
    <w:rsid w:val="00FE7DE7"/>
    <w:rsid w:val="00FF0077"/>
    <w:rsid w:val="00FF02CD"/>
    <w:rsid w:val="00FF034A"/>
    <w:rsid w:val="00FF0AAF"/>
    <w:rsid w:val="00FF0E78"/>
    <w:rsid w:val="00FF110E"/>
    <w:rsid w:val="00FF121C"/>
    <w:rsid w:val="00FF1919"/>
    <w:rsid w:val="00FF2155"/>
    <w:rsid w:val="00FF23F9"/>
    <w:rsid w:val="00FF2684"/>
    <w:rsid w:val="00FF29B8"/>
    <w:rsid w:val="00FF2A97"/>
    <w:rsid w:val="00FF2E1C"/>
    <w:rsid w:val="00FF369A"/>
    <w:rsid w:val="00FF3A85"/>
    <w:rsid w:val="00FF3DDC"/>
    <w:rsid w:val="00FF49EB"/>
    <w:rsid w:val="00FF50EE"/>
    <w:rsid w:val="00FF51F9"/>
    <w:rsid w:val="00FF527C"/>
    <w:rsid w:val="00FF5421"/>
    <w:rsid w:val="00FF5783"/>
    <w:rsid w:val="00FF585E"/>
    <w:rsid w:val="00FF5998"/>
    <w:rsid w:val="00FF64B4"/>
    <w:rsid w:val="00FF6B61"/>
    <w:rsid w:val="00FF6BCE"/>
    <w:rsid w:val="00FF6CB6"/>
    <w:rsid w:val="00FF6FCD"/>
    <w:rsid w:val="00FF71B8"/>
    <w:rsid w:val="00FF734A"/>
    <w:rsid w:val="00FF73FD"/>
    <w:rsid w:val="00FF7C73"/>
    <w:rsid w:val="01230FF8"/>
    <w:rsid w:val="012647CA"/>
    <w:rsid w:val="01840D23"/>
    <w:rsid w:val="01C523EB"/>
    <w:rsid w:val="01C62DE0"/>
    <w:rsid w:val="020179E8"/>
    <w:rsid w:val="02104022"/>
    <w:rsid w:val="0240483A"/>
    <w:rsid w:val="02443EBF"/>
    <w:rsid w:val="029F2C5A"/>
    <w:rsid w:val="032A67EC"/>
    <w:rsid w:val="03EA585B"/>
    <w:rsid w:val="0418735A"/>
    <w:rsid w:val="043930E0"/>
    <w:rsid w:val="04674129"/>
    <w:rsid w:val="047F0FEB"/>
    <w:rsid w:val="04F06240"/>
    <w:rsid w:val="052949F8"/>
    <w:rsid w:val="059A5838"/>
    <w:rsid w:val="05EB13F2"/>
    <w:rsid w:val="062031CF"/>
    <w:rsid w:val="06452A65"/>
    <w:rsid w:val="0647547F"/>
    <w:rsid w:val="06EF6EAB"/>
    <w:rsid w:val="072A27C4"/>
    <w:rsid w:val="073E39F2"/>
    <w:rsid w:val="076D7821"/>
    <w:rsid w:val="07805F14"/>
    <w:rsid w:val="0788699B"/>
    <w:rsid w:val="07B15B08"/>
    <w:rsid w:val="07D33F50"/>
    <w:rsid w:val="07F563F7"/>
    <w:rsid w:val="084C5688"/>
    <w:rsid w:val="086361B9"/>
    <w:rsid w:val="087159B3"/>
    <w:rsid w:val="087628FD"/>
    <w:rsid w:val="088750CE"/>
    <w:rsid w:val="08BA5EEA"/>
    <w:rsid w:val="08EE2A4A"/>
    <w:rsid w:val="09190809"/>
    <w:rsid w:val="09220759"/>
    <w:rsid w:val="094A1567"/>
    <w:rsid w:val="098D41AA"/>
    <w:rsid w:val="09C37BCC"/>
    <w:rsid w:val="09E24589"/>
    <w:rsid w:val="09E50F66"/>
    <w:rsid w:val="0B49774D"/>
    <w:rsid w:val="0B62562D"/>
    <w:rsid w:val="0B753148"/>
    <w:rsid w:val="0B901D30"/>
    <w:rsid w:val="0BAE1C78"/>
    <w:rsid w:val="0BC042FA"/>
    <w:rsid w:val="0BDB5327"/>
    <w:rsid w:val="0C5646FE"/>
    <w:rsid w:val="0C591FE7"/>
    <w:rsid w:val="0D005082"/>
    <w:rsid w:val="0D02346D"/>
    <w:rsid w:val="0D5225D9"/>
    <w:rsid w:val="0D5A1BC5"/>
    <w:rsid w:val="0D980066"/>
    <w:rsid w:val="0DB97A81"/>
    <w:rsid w:val="0DCA7AF4"/>
    <w:rsid w:val="0DD0089A"/>
    <w:rsid w:val="0DE819AF"/>
    <w:rsid w:val="0E1879A1"/>
    <w:rsid w:val="0E1A314B"/>
    <w:rsid w:val="0E200931"/>
    <w:rsid w:val="0E272DE7"/>
    <w:rsid w:val="0E337610"/>
    <w:rsid w:val="0E540B6A"/>
    <w:rsid w:val="0EC14BA3"/>
    <w:rsid w:val="0ED207B9"/>
    <w:rsid w:val="0EE34E64"/>
    <w:rsid w:val="0F7A6146"/>
    <w:rsid w:val="0FAA4D06"/>
    <w:rsid w:val="1033098C"/>
    <w:rsid w:val="109739CC"/>
    <w:rsid w:val="10F14B73"/>
    <w:rsid w:val="10F80E7A"/>
    <w:rsid w:val="11B132B7"/>
    <w:rsid w:val="11C62446"/>
    <w:rsid w:val="11FE7D5F"/>
    <w:rsid w:val="120F3ACD"/>
    <w:rsid w:val="121557F7"/>
    <w:rsid w:val="12B62FA5"/>
    <w:rsid w:val="13BB6FC7"/>
    <w:rsid w:val="140D2229"/>
    <w:rsid w:val="14395983"/>
    <w:rsid w:val="14A32AD4"/>
    <w:rsid w:val="15061D4E"/>
    <w:rsid w:val="150A2791"/>
    <w:rsid w:val="150D41D6"/>
    <w:rsid w:val="15CC6442"/>
    <w:rsid w:val="15D340A0"/>
    <w:rsid w:val="161D2B42"/>
    <w:rsid w:val="16646293"/>
    <w:rsid w:val="16954E6F"/>
    <w:rsid w:val="169C77DB"/>
    <w:rsid w:val="16A61A0E"/>
    <w:rsid w:val="16B83DCF"/>
    <w:rsid w:val="16EB4CA6"/>
    <w:rsid w:val="17541706"/>
    <w:rsid w:val="17D33B8E"/>
    <w:rsid w:val="17EA0C97"/>
    <w:rsid w:val="18296E49"/>
    <w:rsid w:val="187D5677"/>
    <w:rsid w:val="18945F78"/>
    <w:rsid w:val="18B96600"/>
    <w:rsid w:val="18BE1E07"/>
    <w:rsid w:val="19076499"/>
    <w:rsid w:val="19106CE5"/>
    <w:rsid w:val="191933B5"/>
    <w:rsid w:val="194128BC"/>
    <w:rsid w:val="19A05834"/>
    <w:rsid w:val="19A20418"/>
    <w:rsid w:val="19D3069D"/>
    <w:rsid w:val="19FD6728"/>
    <w:rsid w:val="1A6000FA"/>
    <w:rsid w:val="1A935399"/>
    <w:rsid w:val="1AA102FD"/>
    <w:rsid w:val="1B181367"/>
    <w:rsid w:val="1B3F2DA8"/>
    <w:rsid w:val="1B620B6E"/>
    <w:rsid w:val="1B676424"/>
    <w:rsid w:val="1B9333D7"/>
    <w:rsid w:val="1CA246C5"/>
    <w:rsid w:val="1CEE4B08"/>
    <w:rsid w:val="1CEF7BC8"/>
    <w:rsid w:val="1D56710C"/>
    <w:rsid w:val="1D7513D6"/>
    <w:rsid w:val="1DE32193"/>
    <w:rsid w:val="1DF23A43"/>
    <w:rsid w:val="1DF30DBE"/>
    <w:rsid w:val="1F550E6F"/>
    <w:rsid w:val="1F713BA7"/>
    <w:rsid w:val="1FB774E1"/>
    <w:rsid w:val="1FCF1875"/>
    <w:rsid w:val="20166D26"/>
    <w:rsid w:val="202A19CA"/>
    <w:rsid w:val="20442961"/>
    <w:rsid w:val="20887FB8"/>
    <w:rsid w:val="208B25FD"/>
    <w:rsid w:val="20C4024F"/>
    <w:rsid w:val="20EB7063"/>
    <w:rsid w:val="20EC4110"/>
    <w:rsid w:val="20F60F11"/>
    <w:rsid w:val="20FD6ECE"/>
    <w:rsid w:val="210E7201"/>
    <w:rsid w:val="212E56A3"/>
    <w:rsid w:val="21385634"/>
    <w:rsid w:val="217F62B4"/>
    <w:rsid w:val="21DB34DC"/>
    <w:rsid w:val="22462F38"/>
    <w:rsid w:val="225472B9"/>
    <w:rsid w:val="225D4DE5"/>
    <w:rsid w:val="22D2539F"/>
    <w:rsid w:val="233957B5"/>
    <w:rsid w:val="23466651"/>
    <w:rsid w:val="23473951"/>
    <w:rsid w:val="23950110"/>
    <w:rsid w:val="23A17791"/>
    <w:rsid w:val="24286AB8"/>
    <w:rsid w:val="24661428"/>
    <w:rsid w:val="248779A4"/>
    <w:rsid w:val="24C3687B"/>
    <w:rsid w:val="24F26683"/>
    <w:rsid w:val="24F9002D"/>
    <w:rsid w:val="250A72C4"/>
    <w:rsid w:val="251D41DD"/>
    <w:rsid w:val="2520284B"/>
    <w:rsid w:val="252952FE"/>
    <w:rsid w:val="255634CE"/>
    <w:rsid w:val="255F2871"/>
    <w:rsid w:val="25755DC7"/>
    <w:rsid w:val="258D467E"/>
    <w:rsid w:val="25C4085C"/>
    <w:rsid w:val="26683E60"/>
    <w:rsid w:val="266A6B96"/>
    <w:rsid w:val="26964247"/>
    <w:rsid w:val="26F53A70"/>
    <w:rsid w:val="272D65D2"/>
    <w:rsid w:val="276F6FF0"/>
    <w:rsid w:val="282633A8"/>
    <w:rsid w:val="29DA1326"/>
    <w:rsid w:val="2A3763F1"/>
    <w:rsid w:val="2A7D7D81"/>
    <w:rsid w:val="2AAF3B29"/>
    <w:rsid w:val="2BE912BD"/>
    <w:rsid w:val="2BF34A45"/>
    <w:rsid w:val="2C2E4FDD"/>
    <w:rsid w:val="2C392E8C"/>
    <w:rsid w:val="2C4748B4"/>
    <w:rsid w:val="2C755A5C"/>
    <w:rsid w:val="2CDA4378"/>
    <w:rsid w:val="2D1037FC"/>
    <w:rsid w:val="2D2F463D"/>
    <w:rsid w:val="2DB521F0"/>
    <w:rsid w:val="2DBA153A"/>
    <w:rsid w:val="2DCF7034"/>
    <w:rsid w:val="2DD16FD9"/>
    <w:rsid w:val="2E3A7BAD"/>
    <w:rsid w:val="2E4C0935"/>
    <w:rsid w:val="2E621FD5"/>
    <w:rsid w:val="2E627104"/>
    <w:rsid w:val="2E817FC1"/>
    <w:rsid w:val="2E870E83"/>
    <w:rsid w:val="2EE8498E"/>
    <w:rsid w:val="2FF10740"/>
    <w:rsid w:val="30AF541E"/>
    <w:rsid w:val="30B254A1"/>
    <w:rsid w:val="313910BF"/>
    <w:rsid w:val="3159631D"/>
    <w:rsid w:val="319D0194"/>
    <w:rsid w:val="31DE3900"/>
    <w:rsid w:val="31FF1640"/>
    <w:rsid w:val="323A6A37"/>
    <w:rsid w:val="32CC6D9C"/>
    <w:rsid w:val="3376635F"/>
    <w:rsid w:val="33781B16"/>
    <w:rsid w:val="33C323F3"/>
    <w:rsid w:val="33C652EC"/>
    <w:rsid w:val="33C72A66"/>
    <w:rsid w:val="34054F2C"/>
    <w:rsid w:val="341425B6"/>
    <w:rsid w:val="34477D1D"/>
    <w:rsid w:val="350A7096"/>
    <w:rsid w:val="352C5D76"/>
    <w:rsid w:val="35471098"/>
    <w:rsid w:val="355E3D20"/>
    <w:rsid w:val="36266DB4"/>
    <w:rsid w:val="363C1FA9"/>
    <w:rsid w:val="364F12FF"/>
    <w:rsid w:val="36936B10"/>
    <w:rsid w:val="36A50B59"/>
    <w:rsid w:val="374A7131"/>
    <w:rsid w:val="37F67806"/>
    <w:rsid w:val="3832269A"/>
    <w:rsid w:val="383C75F5"/>
    <w:rsid w:val="397523E2"/>
    <w:rsid w:val="397E3D99"/>
    <w:rsid w:val="399B4E0F"/>
    <w:rsid w:val="399E5C78"/>
    <w:rsid w:val="39CB0253"/>
    <w:rsid w:val="39CC1A7F"/>
    <w:rsid w:val="39D37108"/>
    <w:rsid w:val="3A2B7F68"/>
    <w:rsid w:val="3AD4138A"/>
    <w:rsid w:val="3B0F76D9"/>
    <w:rsid w:val="3B1714B9"/>
    <w:rsid w:val="3B7B77D4"/>
    <w:rsid w:val="3BDF11E2"/>
    <w:rsid w:val="3C143C61"/>
    <w:rsid w:val="3C154BC4"/>
    <w:rsid w:val="3C39735A"/>
    <w:rsid w:val="3C63726B"/>
    <w:rsid w:val="3C793F4A"/>
    <w:rsid w:val="3C8C1F1C"/>
    <w:rsid w:val="3C8F653E"/>
    <w:rsid w:val="3CD348D6"/>
    <w:rsid w:val="3D1837B0"/>
    <w:rsid w:val="3D624A2B"/>
    <w:rsid w:val="3D8141C6"/>
    <w:rsid w:val="3DBE6671"/>
    <w:rsid w:val="3E016E42"/>
    <w:rsid w:val="3E5709F7"/>
    <w:rsid w:val="3E872C04"/>
    <w:rsid w:val="3E907498"/>
    <w:rsid w:val="3E9355C1"/>
    <w:rsid w:val="3EBE7E36"/>
    <w:rsid w:val="3EC56C35"/>
    <w:rsid w:val="3F174B9A"/>
    <w:rsid w:val="3F4B5C64"/>
    <w:rsid w:val="3F4E1F09"/>
    <w:rsid w:val="3F6728EC"/>
    <w:rsid w:val="3F732F1F"/>
    <w:rsid w:val="3FB07D68"/>
    <w:rsid w:val="404A60CA"/>
    <w:rsid w:val="40622EE1"/>
    <w:rsid w:val="408212F8"/>
    <w:rsid w:val="4095202E"/>
    <w:rsid w:val="409B07AC"/>
    <w:rsid w:val="40EC4C31"/>
    <w:rsid w:val="41755F19"/>
    <w:rsid w:val="4184148D"/>
    <w:rsid w:val="41870F04"/>
    <w:rsid w:val="41D1217F"/>
    <w:rsid w:val="41F00685"/>
    <w:rsid w:val="41F5016D"/>
    <w:rsid w:val="423A3A5D"/>
    <w:rsid w:val="424A2D2E"/>
    <w:rsid w:val="424E189A"/>
    <w:rsid w:val="42A517C6"/>
    <w:rsid w:val="42A521FE"/>
    <w:rsid w:val="43540F3D"/>
    <w:rsid w:val="43C06081"/>
    <w:rsid w:val="44767F39"/>
    <w:rsid w:val="44E21C1E"/>
    <w:rsid w:val="45C042E6"/>
    <w:rsid w:val="45DD10A3"/>
    <w:rsid w:val="46107F64"/>
    <w:rsid w:val="46170F6D"/>
    <w:rsid w:val="46200F21"/>
    <w:rsid w:val="463827CD"/>
    <w:rsid w:val="469F700F"/>
    <w:rsid w:val="4728571D"/>
    <w:rsid w:val="476D64A6"/>
    <w:rsid w:val="47B46978"/>
    <w:rsid w:val="47EB17E0"/>
    <w:rsid w:val="485B27A2"/>
    <w:rsid w:val="48CC2B43"/>
    <w:rsid w:val="48FA5C20"/>
    <w:rsid w:val="49532EE1"/>
    <w:rsid w:val="49A7657E"/>
    <w:rsid w:val="4A0D21C2"/>
    <w:rsid w:val="4A1D4AD4"/>
    <w:rsid w:val="4A38723F"/>
    <w:rsid w:val="4A406A40"/>
    <w:rsid w:val="4A71016F"/>
    <w:rsid w:val="4B63508A"/>
    <w:rsid w:val="4B674293"/>
    <w:rsid w:val="4BA82AAC"/>
    <w:rsid w:val="4BB328F5"/>
    <w:rsid w:val="4BBD0443"/>
    <w:rsid w:val="4BC35A11"/>
    <w:rsid w:val="4BC879B5"/>
    <w:rsid w:val="4BE920CC"/>
    <w:rsid w:val="4CA76A7E"/>
    <w:rsid w:val="4D28747F"/>
    <w:rsid w:val="4D532397"/>
    <w:rsid w:val="4D803B16"/>
    <w:rsid w:val="4DAF6DF4"/>
    <w:rsid w:val="4DB841F3"/>
    <w:rsid w:val="4E035EA2"/>
    <w:rsid w:val="4E3F0252"/>
    <w:rsid w:val="4EE30CE3"/>
    <w:rsid w:val="4EFD3A3D"/>
    <w:rsid w:val="4F22122E"/>
    <w:rsid w:val="4F672375"/>
    <w:rsid w:val="4F6A4B8C"/>
    <w:rsid w:val="4FCE1699"/>
    <w:rsid w:val="4FE04607"/>
    <w:rsid w:val="500E27F0"/>
    <w:rsid w:val="515406D7"/>
    <w:rsid w:val="5235156E"/>
    <w:rsid w:val="53023F53"/>
    <w:rsid w:val="539A29F7"/>
    <w:rsid w:val="53BD0749"/>
    <w:rsid w:val="53FD74FB"/>
    <w:rsid w:val="54033AB1"/>
    <w:rsid w:val="54106A0D"/>
    <w:rsid w:val="55292816"/>
    <w:rsid w:val="55306112"/>
    <w:rsid w:val="553067D5"/>
    <w:rsid w:val="55532EC4"/>
    <w:rsid w:val="567A0B76"/>
    <w:rsid w:val="56B54986"/>
    <w:rsid w:val="56FE23F5"/>
    <w:rsid w:val="574B2302"/>
    <w:rsid w:val="57E020A2"/>
    <w:rsid w:val="57F550D5"/>
    <w:rsid w:val="58896936"/>
    <w:rsid w:val="589652A1"/>
    <w:rsid w:val="58A720A2"/>
    <w:rsid w:val="58FB64F2"/>
    <w:rsid w:val="596B4479"/>
    <w:rsid w:val="597A47EB"/>
    <w:rsid w:val="5AA5407F"/>
    <w:rsid w:val="5AAE2FD9"/>
    <w:rsid w:val="5AD30723"/>
    <w:rsid w:val="5B602F18"/>
    <w:rsid w:val="5B641B31"/>
    <w:rsid w:val="5B74034D"/>
    <w:rsid w:val="5BB3361F"/>
    <w:rsid w:val="5C097CAA"/>
    <w:rsid w:val="5C8945A2"/>
    <w:rsid w:val="5CF82CE0"/>
    <w:rsid w:val="5D5A76F0"/>
    <w:rsid w:val="5D85388A"/>
    <w:rsid w:val="5D995A2B"/>
    <w:rsid w:val="5E132553"/>
    <w:rsid w:val="5E3E038A"/>
    <w:rsid w:val="5E6A3B21"/>
    <w:rsid w:val="5E6D208B"/>
    <w:rsid w:val="5EB065FA"/>
    <w:rsid w:val="5ED1242A"/>
    <w:rsid w:val="5F122D39"/>
    <w:rsid w:val="5F282693"/>
    <w:rsid w:val="5F6C20F0"/>
    <w:rsid w:val="5F8959EF"/>
    <w:rsid w:val="5F8C36EA"/>
    <w:rsid w:val="601C4AB5"/>
    <w:rsid w:val="603F4511"/>
    <w:rsid w:val="60664F57"/>
    <w:rsid w:val="613E5C1D"/>
    <w:rsid w:val="61CB4CD1"/>
    <w:rsid w:val="6210469A"/>
    <w:rsid w:val="628F7350"/>
    <w:rsid w:val="62EF025F"/>
    <w:rsid w:val="632657D6"/>
    <w:rsid w:val="63287DD9"/>
    <w:rsid w:val="63BB5D3A"/>
    <w:rsid w:val="64B84EEE"/>
    <w:rsid w:val="64EF2205"/>
    <w:rsid w:val="651008F6"/>
    <w:rsid w:val="65554306"/>
    <w:rsid w:val="65591CF5"/>
    <w:rsid w:val="65965373"/>
    <w:rsid w:val="65A56E84"/>
    <w:rsid w:val="65BB733F"/>
    <w:rsid w:val="65E239A4"/>
    <w:rsid w:val="661E2D6B"/>
    <w:rsid w:val="662A0833"/>
    <w:rsid w:val="665D20E8"/>
    <w:rsid w:val="66612DA2"/>
    <w:rsid w:val="66874E0A"/>
    <w:rsid w:val="66B20069"/>
    <w:rsid w:val="66E35E61"/>
    <w:rsid w:val="66F83AFE"/>
    <w:rsid w:val="66F920B2"/>
    <w:rsid w:val="67AD24B1"/>
    <w:rsid w:val="67D30150"/>
    <w:rsid w:val="67E16FF5"/>
    <w:rsid w:val="67E60AA0"/>
    <w:rsid w:val="67F31CCF"/>
    <w:rsid w:val="68160EAB"/>
    <w:rsid w:val="68B11424"/>
    <w:rsid w:val="68BB59D8"/>
    <w:rsid w:val="68CB1096"/>
    <w:rsid w:val="6911482C"/>
    <w:rsid w:val="69C272B4"/>
    <w:rsid w:val="6A61786F"/>
    <w:rsid w:val="6A67588C"/>
    <w:rsid w:val="6B9E3E0B"/>
    <w:rsid w:val="6BD776AA"/>
    <w:rsid w:val="6C3B680F"/>
    <w:rsid w:val="6C4B48F4"/>
    <w:rsid w:val="6C7A6BEA"/>
    <w:rsid w:val="6C81331A"/>
    <w:rsid w:val="6C9205D9"/>
    <w:rsid w:val="6C947888"/>
    <w:rsid w:val="6CB263C9"/>
    <w:rsid w:val="6DB526CD"/>
    <w:rsid w:val="6DBC7A78"/>
    <w:rsid w:val="6E47278A"/>
    <w:rsid w:val="6E572EC4"/>
    <w:rsid w:val="6F42340E"/>
    <w:rsid w:val="6F5467A0"/>
    <w:rsid w:val="6F5F042C"/>
    <w:rsid w:val="6F5F2B18"/>
    <w:rsid w:val="6FC934E1"/>
    <w:rsid w:val="70AB7874"/>
    <w:rsid w:val="70EE7819"/>
    <w:rsid w:val="71061D22"/>
    <w:rsid w:val="7150119D"/>
    <w:rsid w:val="71640C8E"/>
    <w:rsid w:val="71784644"/>
    <w:rsid w:val="71A87F57"/>
    <w:rsid w:val="71DC6050"/>
    <w:rsid w:val="729377A0"/>
    <w:rsid w:val="72C13499"/>
    <w:rsid w:val="72C93C85"/>
    <w:rsid w:val="72F62331"/>
    <w:rsid w:val="73151961"/>
    <w:rsid w:val="73680487"/>
    <w:rsid w:val="73B947DD"/>
    <w:rsid w:val="73E77F9E"/>
    <w:rsid w:val="73E972A8"/>
    <w:rsid w:val="74184818"/>
    <w:rsid w:val="744B2F44"/>
    <w:rsid w:val="748603E1"/>
    <w:rsid w:val="74AF1364"/>
    <w:rsid w:val="74B86EAB"/>
    <w:rsid w:val="74C86FA5"/>
    <w:rsid w:val="752748CF"/>
    <w:rsid w:val="75477563"/>
    <w:rsid w:val="757851B9"/>
    <w:rsid w:val="757C1E26"/>
    <w:rsid w:val="758B3928"/>
    <w:rsid w:val="75BA507F"/>
    <w:rsid w:val="75CE63CA"/>
    <w:rsid w:val="75E53D1F"/>
    <w:rsid w:val="7607033B"/>
    <w:rsid w:val="76545617"/>
    <w:rsid w:val="76BB61ED"/>
    <w:rsid w:val="76EF3789"/>
    <w:rsid w:val="76F94484"/>
    <w:rsid w:val="770355BD"/>
    <w:rsid w:val="77147E3D"/>
    <w:rsid w:val="777001A6"/>
    <w:rsid w:val="778610E0"/>
    <w:rsid w:val="77912792"/>
    <w:rsid w:val="7873030D"/>
    <w:rsid w:val="789A36A2"/>
    <w:rsid w:val="79183C14"/>
    <w:rsid w:val="7AAB1557"/>
    <w:rsid w:val="7B375F65"/>
    <w:rsid w:val="7B503344"/>
    <w:rsid w:val="7B930E4E"/>
    <w:rsid w:val="7BED0F85"/>
    <w:rsid w:val="7C567566"/>
    <w:rsid w:val="7C8B0BA1"/>
    <w:rsid w:val="7D43500E"/>
    <w:rsid w:val="7D623D26"/>
    <w:rsid w:val="7DA52E0C"/>
    <w:rsid w:val="7DED6275"/>
    <w:rsid w:val="7E084A8D"/>
    <w:rsid w:val="7E262E46"/>
    <w:rsid w:val="7E391887"/>
    <w:rsid w:val="7E4A06B1"/>
    <w:rsid w:val="7F360C9B"/>
    <w:rsid w:val="7F5D72C2"/>
    <w:rsid w:val="7F730DDA"/>
    <w:rsid w:val="7F774D4F"/>
    <w:rsid w:val="7FB8743A"/>
    <w:rsid w:val="7FDC2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name="toc 1"/>
    <w:lsdException w:qFormat="1" w:unhideWhenUsed="0" w:uiPriority="0" w:semiHidden="0" w:name="toc 2" w:locked="1"/>
    <w:lsdException w:qFormat="1" w:unhideWhenUsed="0" w:uiPriority="39"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0"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uiPriority="99"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ocked="1"/>
    <w:lsdException w:uiPriority="99" w:name="List 4" w:locked="1"/>
    <w:lsdException w:uiPriority="99" w:name="List 5" w:locked="1"/>
    <w:lsdException w:qFormat="1" w:unhideWhenUsed="0" w:uiPriority="0" w:semiHidden="0" w:name="List Bullet 2"/>
    <w:lsdException w:uiPriority="99" w:name="List Bullet 3" w:locked="1"/>
    <w:lsdException w:uiPriority="99" w:name="List Bullet 4" w:locked="1"/>
    <w:lsdException w:uiPriority="99" w:name="List Bullet 5" w:locked="1"/>
    <w:lsdException w:uiPriority="99" w:name="List Number 2" w:locked="1"/>
    <w:lsdException w:qFormat="1" w:unhideWhenUsed="0" w:uiPriority="0"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iPriority="99" w:name="Block Text" w:locked="1"/>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pPr>
    <w:rPr>
      <w:rFonts w:ascii="Times New Roman" w:hAnsi="Times New Roman" w:eastAsia="宋体" w:cs="Times New Roman"/>
      <w:kern w:val="2"/>
      <w:sz w:val="24"/>
      <w:szCs w:val="24"/>
      <w:lang w:val="en-US" w:eastAsia="zh-CN" w:bidi="ar-SA"/>
    </w:rPr>
  </w:style>
  <w:style w:type="paragraph" w:styleId="5">
    <w:name w:val="heading 1"/>
    <w:basedOn w:val="1"/>
    <w:next w:val="1"/>
    <w:link w:val="58"/>
    <w:qFormat/>
    <w:uiPriority w:val="9"/>
    <w:pPr>
      <w:keepNext/>
      <w:keepLines/>
      <w:numPr>
        <w:ilvl w:val="0"/>
        <w:numId w:val="1"/>
      </w:numPr>
      <w:ind w:left="0"/>
      <w:outlineLvl w:val="0"/>
    </w:pPr>
    <w:rPr>
      <w:b/>
      <w:kern w:val="44"/>
      <w:szCs w:val="20"/>
    </w:rPr>
  </w:style>
  <w:style w:type="paragraph" w:styleId="6">
    <w:name w:val="heading 2"/>
    <w:basedOn w:val="1"/>
    <w:next w:val="1"/>
    <w:link w:val="57"/>
    <w:qFormat/>
    <w:uiPriority w:val="0"/>
    <w:pPr>
      <w:keepNext/>
      <w:keepLines/>
      <w:numPr>
        <w:ilvl w:val="1"/>
        <w:numId w:val="1"/>
      </w:numPr>
      <w:ind w:firstLine="0" w:firstLineChars="0"/>
      <w:outlineLvl w:val="1"/>
    </w:pPr>
    <w:rPr>
      <w:rFonts w:ascii="Arial" w:hAnsi="Arial"/>
      <w:bCs/>
      <w:kern w:val="0"/>
      <w:szCs w:val="32"/>
    </w:rPr>
  </w:style>
  <w:style w:type="paragraph" w:styleId="7">
    <w:name w:val="heading 3"/>
    <w:basedOn w:val="6"/>
    <w:next w:val="1"/>
    <w:link w:val="55"/>
    <w:qFormat/>
    <w:uiPriority w:val="99"/>
    <w:pPr>
      <w:numPr>
        <w:ilvl w:val="2"/>
      </w:numPr>
      <w:autoSpaceDE w:val="0"/>
      <w:autoSpaceDN w:val="0"/>
      <w:adjustRightInd w:val="0"/>
      <w:spacing w:before="360" w:after="120"/>
      <w:outlineLvl w:val="2"/>
    </w:pPr>
    <w:rPr>
      <w:rFonts w:ascii="宋体" w:hAnsi="宋体"/>
      <w:szCs w:val="20"/>
      <w:u w:val="single"/>
    </w:rPr>
  </w:style>
  <w:style w:type="paragraph" w:styleId="8">
    <w:name w:val="heading 4"/>
    <w:basedOn w:val="7"/>
    <w:next w:val="1"/>
    <w:link w:val="59"/>
    <w:qFormat/>
    <w:uiPriority w:val="0"/>
    <w:pPr>
      <w:numPr>
        <w:ilvl w:val="3"/>
      </w:numPr>
      <w:spacing w:before="280" w:after="290" w:line="376" w:lineRule="auto"/>
      <w:outlineLvl w:val="3"/>
    </w:pPr>
    <w:rPr>
      <w:rFonts w:ascii="Arial" w:hAnsi="Arial" w:eastAsia="黑体"/>
      <w:sz w:val="28"/>
    </w:rPr>
  </w:style>
  <w:style w:type="paragraph" w:styleId="9">
    <w:name w:val="heading 5"/>
    <w:basedOn w:val="1"/>
    <w:next w:val="1"/>
    <w:link w:val="63"/>
    <w:qFormat/>
    <w:uiPriority w:val="99"/>
    <w:pPr>
      <w:keepNext/>
      <w:keepLines/>
      <w:numPr>
        <w:ilvl w:val="4"/>
        <w:numId w:val="1"/>
      </w:numPr>
      <w:spacing w:before="280" w:after="290" w:line="376" w:lineRule="auto"/>
      <w:outlineLvl w:val="4"/>
    </w:pPr>
    <w:rPr>
      <w:b/>
      <w:bCs/>
      <w:kern w:val="0"/>
      <w:sz w:val="28"/>
      <w:szCs w:val="28"/>
    </w:rPr>
  </w:style>
  <w:style w:type="paragraph" w:styleId="10">
    <w:name w:val="heading 6"/>
    <w:basedOn w:val="1"/>
    <w:next w:val="1"/>
    <w:link w:val="64"/>
    <w:qFormat/>
    <w:uiPriority w:val="99"/>
    <w:pPr>
      <w:keepNext/>
      <w:keepLines/>
      <w:numPr>
        <w:ilvl w:val="5"/>
        <w:numId w:val="1"/>
      </w:numPr>
      <w:spacing w:before="240" w:after="64" w:line="320" w:lineRule="auto"/>
      <w:outlineLvl w:val="5"/>
    </w:pPr>
    <w:rPr>
      <w:rFonts w:ascii="Cambria" w:hAnsi="Cambria"/>
      <w:b/>
      <w:bCs/>
      <w:kern w:val="0"/>
    </w:rPr>
  </w:style>
  <w:style w:type="paragraph" w:styleId="11">
    <w:name w:val="heading 7"/>
    <w:basedOn w:val="1"/>
    <w:next w:val="1"/>
    <w:link w:val="65"/>
    <w:qFormat/>
    <w:uiPriority w:val="99"/>
    <w:pPr>
      <w:keepNext/>
      <w:keepLines/>
      <w:numPr>
        <w:ilvl w:val="6"/>
        <w:numId w:val="1"/>
      </w:numPr>
      <w:adjustRightInd w:val="0"/>
      <w:spacing w:before="240" w:after="64" w:line="320" w:lineRule="atLeast"/>
      <w:textAlignment w:val="baseline"/>
      <w:outlineLvl w:val="6"/>
    </w:pPr>
    <w:rPr>
      <w:b/>
      <w:bCs/>
      <w:kern w:val="0"/>
    </w:rPr>
  </w:style>
  <w:style w:type="paragraph" w:styleId="12">
    <w:name w:val="heading 8"/>
    <w:basedOn w:val="1"/>
    <w:next w:val="1"/>
    <w:link w:val="66"/>
    <w:qFormat/>
    <w:uiPriority w:val="99"/>
    <w:pPr>
      <w:keepNext/>
      <w:keepLines/>
      <w:numPr>
        <w:ilvl w:val="7"/>
        <w:numId w:val="1"/>
      </w:numPr>
      <w:adjustRightInd w:val="0"/>
      <w:spacing w:before="240" w:after="64" w:line="320" w:lineRule="atLeast"/>
      <w:textAlignment w:val="baseline"/>
      <w:outlineLvl w:val="7"/>
    </w:pPr>
    <w:rPr>
      <w:rFonts w:ascii="Cambria" w:hAnsi="Cambria"/>
      <w:kern w:val="0"/>
    </w:rPr>
  </w:style>
  <w:style w:type="paragraph" w:styleId="13">
    <w:name w:val="heading 9"/>
    <w:basedOn w:val="1"/>
    <w:next w:val="1"/>
    <w:link w:val="67"/>
    <w:qFormat/>
    <w:uiPriority w:val="99"/>
    <w:pPr>
      <w:keepNext/>
      <w:keepLines/>
      <w:numPr>
        <w:ilvl w:val="8"/>
        <w:numId w:val="1"/>
      </w:numPr>
      <w:adjustRightInd w:val="0"/>
      <w:spacing w:before="240" w:after="64" w:line="320" w:lineRule="atLeast"/>
      <w:textAlignment w:val="baseline"/>
      <w:outlineLvl w:val="8"/>
    </w:pPr>
    <w:rPr>
      <w:rFonts w:ascii="Cambria" w:hAnsi="Cambria"/>
      <w:kern w:val="0"/>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62"/>
    <w:qFormat/>
    <w:uiPriority w:val="0"/>
    <w:pPr>
      <w:spacing w:line="200" w:lineRule="exact"/>
      <w:ind w:firstLine="301"/>
    </w:pPr>
    <w:rPr>
      <w:rFonts w:ascii="宋体" w:hAnsi="Courier New"/>
      <w:spacing w:val="-4"/>
      <w:sz w:val="18"/>
      <w:szCs w:val="20"/>
    </w:rPr>
  </w:style>
  <w:style w:type="paragraph" w:styleId="3">
    <w:name w:val="Body Text First Indent 2"/>
    <w:basedOn w:val="2"/>
    <w:next w:val="4"/>
    <w:qFormat/>
    <w:locked/>
    <w:uiPriority w:val="99"/>
    <w:pPr>
      <w:ind w:firstLine="420"/>
    </w:pPr>
  </w:style>
  <w:style w:type="paragraph" w:customStyle="1" w:styleId="4">
    <w:name w:val="xl53"/>
    <w:basedOn w:val="1"/>
    <w:next w:val="1"/>
    <w:qFormat/>
    <w:uiPriority w:val="0"/>
    <w:pPr>
      <w:spacing w:before="280" w:after="280" w:line="100" w:lineRule="exact"/>
      <w:jc w:val="center"/>
    </w:pPr>
    <w:rPr>
      <w:b/>
    </w:rPr>
  </w:style>
  <w:style w:type="paragraph" w:styleId="14">
    <w:name w:val="List 3"/>
    <w:basedOn w:val="1"/>
    <w:qFormat/>
    <w:locked/>
    <w:uiPriority w:val="0"/>
    <w:pPr>
      <w:ind w:left="100" w:leftChars="400" w:hanging="200" w:hangingChars="200"/>
    </w:pPr>
  </w:style>
  <w:style w:type="paragraph" w:styleId="15">
    <w:name w:val="List Number"/>
    <w:basedOn w:val="1"/>
    <w:next w:val="16"/>
    <w:qFormat/>
    <w:uiPriority w:val="0"/>
    <w:pPr>
      <w:widowControl/>
      <w:tabs>
        <w:tab w:val="left" w:pos="454"/>
        <w:tab w:val="left" w:pos="720"/>
      </w:tabs>
      <w:spacing w:afterLines="50"/>
      <w:ind w:left="454" w:hanging="284"/>
    </w:pPr>
    <w:rPr>
      <w:kern w:val="0"/>
      <w:szCs w:val="20"/>
    </w:rPr>
  </w:style>
  <w:style w:type="paragraph" w:styleId="16">
    <w:name w:val="Body Text"/>
    <w:basedOn w:val="1"/>
    <w:next w:val="17"/>
    <w:link w:val="60"/>
    <w:qFormat/>
    <w:uiPriority w:val="0"/>
    <w:pPr>
      <w:spacing w:after="120"/>
    </w:pPr>
    <w:rPr>
      <w:szCs w:val="20"/>
    </w:rPr>
  </w:style>
  <w:style w:type="paragraph" w:styleId="17">
    <w:name w:val="Body Text First Indent"/>
    <w:basedOn w:val="16"/>
    <w:next w:val="1"/>
    <w:link w:val="85"/>
    <w:qFormat/>
    <w:uiPriority w:val="99"/>
    <w:pPr>
      <w:ind w:firstLine="200"/>
    </w:pPr>
    <w:rPr>
      <w:szCs w:val="24"/>
    </w:rPr>
  </w:style>
  <w:style w:type="paragraph" w:styleId="18">
    <w:name w:val="Normal Indent"/>
    <w:basedOn w:val="1"/>
    <w:next w:val="1"/>
    <w:link w:val="61"/>
    <w:qFormat/>
    <w:uiPriority w:val="0"/>
    <w:pPr>
      <w:ind w:firstLine="420"/>
    </w:pPr>
    <w:rPr>
      <w:szCs w:val="20"/>
    </w:rPr>
  </w:style>
  <w:style w:type="paragraph" w:styleId="19">
    <w:name w:val="caption"/>
    <w:basedOn w:val="1"/>
    <w:next w:val="1"/>
    <w:qFormat/>
    <w:uiPriority w:val="0"/>
    <w:pPr>
      <w:spacing w:before="152" w:after="160"/>
    </w:pPr>
    <w:rPr>
      <w:rFonts w:ascii="Arial" w:hAnsi="Arial" w:eastAsia="黑体" w:cs="Arial"/>
      <w:sz w:val="20"/>
      <w:szCs w:val="20"/>
    </w:rPr>
  </w:style>
  <w:style w:type="paragraph" w:styleId="20">
    <w:name w:val="List Bullet"/>
    <w:basedOn w:val="1"/>
    <w:qFormat/>
    <w:uiPriority w:val="0"/>
    <w:pPr>
      <w:widowControl/>
      <w:tabs>
        <w:tab w:val="left" w:pos="900"/>
      </w:tabs>
      <w:spacing w:before="100" w:beforeAutospacing="1" w:afterLines="50" w:afterAutospacing="1"/>
      <w:ind w:left="900" w:hanging="420"/>
    </w:pPr>
    <w:rPr>
      <w:kern w:val="0"/>
      <w:szCs w:val="20"/>
    </w:rPr>
  </w:style>
  <w:style w:type="paragraph" w:styleId="21">
    <w:name w:val="Document Map"/>
    <w:basedOn w:val="1"/>
    <w:link w:val="68"/>
    <w:semiHidden/>
    <w:qFormat/>
    <w:uiPriority w:val="99"/>
    <w:pPr>
      <w:shd w:val="clear" w:color="auto" w:fill="000080"/>
    </w:pPr>
  </w:style>
  <w:style w:type="paragraph" w:styleId="22">
    <w:name w:val="annotation text"/>
    <w:basedOn w:val="1"/>
    <w:link w:val="69"/>
    <w:qFormat/>
    <w:uiPriority w:val="0"/>
    <w:rPr>
      <w:szCs w:val="20"/>
    </w:rPr>
  </w:style>
  <w:style w:type="paragraph" w:styleId="23">
    <w:name w:val="Salutation"/>
    <w:basedOn w:val="1"/>
    <w:next w:val="1"/>
    <w:link w:val="70"/>
    <w:qFormat/>
    <w:uiPriority w:val="99"/>
    <w:rPr>
      <w:kern w:val="0"/>
    </w:rPr>
  </w:style>
  <w:style w:type="paragraph" w:styleId="24">
    <w:name w:val="Body Text 3"/>
    <w:basedOn w:val="1"/>
    <w:link w:val="71"/>
    <w:qFormat/>
    <w:uiPriority w:val="99"/>
    <w:pPr>
      <w:snapToGrid w:val="0"/>
      <w:spacing w:before="50" w:after="50"/>
    </w:pPr>
    <w:rPr>
      <w:kern w:val="0"/>
      <w:sz w:val="16"/>
      <w:szCs w:val="16"/>
    </w:rPr>
  </w:style>
  <w:style w:type="paragraph" w:styleId="25">
    <w:name w:val="List Number 3"/>
    <w:basedOn w:val="1"/>
    <w:qFormat/>
    <w:uiPriority w:val="0"/>
    <w:pPr>
      <w:tabs>
        <w:tab w:val="left" w:pos="1200"/>
      </w:tabs>
      <w:ind w:left="1200" w:leftChars="400" w:hanging="360" w:hangingChars="200"/>
    </w:pPr>
  </w:style>
  <w:style w:type="paragraph" w:styleId="26">
    <w:name w:val="List 2"/>
    <w:basedOn w:val="1"/>
    <w:qFormat/>
    <w:uiPriority w:val="0"/>
    <w:pPr>
      <w:ind w:left="100" w:leftChars="200" w:hanging="200" w:hangingChars="200"/>
    </w:pPr>
    <w:rPr>
      <w:sz w:val="28"/>
    </w:rPr>
  </w:style>
  <w:style w:type="paragraph" w:styleId="27">
    <w:name w:val="List Bullet 2"/>
    <w:basedOn w:val="1"/>
    <w:qFormat/>
    <w:uiPriority w:val="0"/>
    <w:pPr>
      <w:tabs>
        <w:tab w:val="left" w:pos="360"/>
        <w:tab w:val="left" w:pos="1191"/>
      </w:tabs>
      <w:snapToGrid w:val="0"/>
      <w:ind w:left="482" w:hanging="482" w:hangingChars="200"/>
    </w:pPr>
    <w:rPr>
      <w:b/>
      <w:bCs/>
      <w:szCs w:val="32"/>
    </w:rPr>
  </w:style>
  <w:style w:type="paragraph" w:styleId="28">
    <w:name w:val="toc 3"/>
    <w:basedOn w:val="1"/>
    <w:next w:val="1"/>
    <w:qFormat/>
    <w:locked/>
    <w:uiPriority w:val="39"/>
    <w:pPr>
      <w:ind w:left="840" w:leftChars="400"/>
    </w:pPr>
  </w:style>
  <w:style w:type="paragraph" w:styleId="29">
    <w:name w:val="Plain Text"/>
    <w:basedOn w:val="1"/>
    <w:next w:val="1"/>
    <w:link w:val="72"/>
    <w:qFormat/>
    <w:uiPriority w:val="0"/>
    <w:pPr>
      <w:spacing w:beforeLines="50" w:afterLines="50" w:line="400" w:lineRule="exact"/>
    </w:pPr>
    <w:rPr>
      <w:rFonts w:ascii="宋体" w:hAnsi="Courier New"/>
      <w:szCs w:val="20"/>
    </w:rPr>
  </w:style>
  <w:style w:type="paragraph" w:styleId="30">
    <w:name w:val="Date"/>
    <w:basedOn w:val="1"/>
    <w:next w:val="1"/>
    <w:link w:val="73"/>
    <w:qFormat/>
    <w:uiPriority w:val="99"/>
    <w:pPr>
      <w:ind w:left="2500" w:leftChars="2500"/>
    </w:pPr>
    <w:rPr>
      <w:kern w:val="0"/>
    </w:rPr>
  </w:style>
  <w:style w:type="paragraph" w:styleId="31">
    <w:name w:val="Body Text Indent 2"/>
    <w:basedOn w:val="1"/>
    <w:link w:val="74"/>
    <w:qFormat/>
    <w:uiPriority w:val="0"/>
    <w:pPr>
      <w:snapToGrid w:val="0"/>
      <w:ind w:firstLine="542" w:firstLineChars="225"/>
    </w:pPr>
    <w:rPr>
      <w:rFonts w:ascii="仿宋_GB2312" w:hAnsi="宋体"/>
      <w:b/>
      <w:color w:val="000000"/>
      <w:szCs w:val="20"/>
    </w:rPr>
  </w:style>
  <w:style w:type="paragraph" w:styleId="32">
    <w:name w:val="endnote text"/>
    <w:basedOn w:val="1"/>
    <w:link w:val="75"/>
    <w:semiHidden/>
    <w:qFormat/>
    <w:uiPriority w:val="99"/>
    <w:pPr>
      <w:snapToGrid w:val="0"/>
      <w:spacing w:afterLines="50"/>
    </w:pPr>
    <w:rPr>
      <w:kern w:val="0"/>
    </w:rPr>
  </w:style>
  <w:style w:type="paragraph" w:styleId="33">
    <w:name w:val="Balloon Text"/>
    <w:basedOn w:val="1"/>
    <w:link w:val="76"/>
    <w:semiHidden/>
    <w:qFormat/>
    <w:uiPriority w:val="99"/>
    <w:rPr>
      <w:sz w:val="18"/>
      <w:szCs w:val="18"/>
    </w:rPr>
  </w:style>
  <w:style w:type="paragraph" w:styleId="34">
    <w:name w:val="footer"/>
    <w:basedOn w:val="1"/>
    <w:link w:val="77"/>
    <w:qFormat/>
    <w:uiPriority w:val="99"/>
    <w:pPr>
      <w:tabs>
        <w:tab w:val="center" w:pos="4153"/>
        <w:tab w:val="right" w:pos="8306"/>
      </w:tabs>
      <w:snapToGrid w:val="0"/>
    </w:pPr>
    <w:rPr>
      <w:rFonts w:eastAsia="黑体"/>
      <w:snapToGrid w:val="0"/>
      <w:kern w:val="0"/>
      <w:sz w:val="18"/>
      <w:szCs w:val="20"/>
    </w:rPr>
  </w:style>
  <w:style w:type="paragraph" w:styleId="35">
    <w:name w:val="header"/>
    <w:basedOn w:val="1"/>
    <w:link w:val="78"/>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36">
    <w:name w:val="toc 1"/>
    <w:basedOn w:val="1"/>
    <w:next w:val="1"/>
    <w:semiHidden/>
    <w:qFormat/>
    <w:uiPriority w:val="0"/>
  </w:style>
  <w:style w:type="paragraph" w:styleId="37">
    <w:name w:val="Subtitle"/>
    <w:basedOn w:val="1"/>
    <w:link w:val="79"/>
    <w:qFormat/>
    <w:uiPriority w:val="99"/>
    <w:pPr>
      <w:spacing w:afterLines="50"/>
      <w:jc w:val="center"/>
    </w:pPr>
    <w:rPr>
      <w:rFonts w:ascii="Cambria" w:hAnsi="Cambria"/>
      <w:b/>
      <w:bCs/>
      <w:kern w:val="28"/>
      <w:sz w:val="32"/>
      <w:szCs w:val="32"/>
    </w:rPr>
  </w:style>
  <w:style w:type="paragraph" w:styleId="38">
    <w:name w:val="List"/>
    <w:basedOn w:val="1"/>
    <w:qFormat/>
    <w:uiPriority w:val="0"/>
    <w:pPr>
      <w:ind w:left="200" w:hanging="200" w:hangingChars="200"/>
    </w:pPr>
    <w:rPr>
      <w:sz w:val="28"/>
    </w:rPr>
  </w:style>
  <w:style w:type="paragraph" w:styleId="39">
    <w:name w:val="Body Text Indent 3"/>
    <w:basedOn w:val="1"/>
    <w:next w:val="1"/>
    <w:link w:val="80"/>
    <w:qFormat/>
    <w:uiPriority w:val="0"/>
    <w:pPr>
      <w:snapToGrid w:val="0"/>
      <w:ind w:firstLine="480"/>
    </w:pPr>
    <w:rPr>
      <w:rFonts w:ascii="仿宋_GB2312" w:hAnsi="宋体" w:eastAsia="仿宋_GB2312"/>
      <w:color w:val="000000"/>
      <w:szCs w:val="20"/>
    </w:rPr>
  </w:style>
  <w:style w:type="paragraph" w:styleId="40">
    <w:name w:val="toc 2"/>
    <w:basedOn w:val="1"/>
    <w:next w:val="1"/>
    <w:qFormat/>
    <w:locked/>
    <w:uiPriority w:val="0"/>
    <w:pPr>
      <w:ind w:left="420" w:leftChars="200"/>
    </w:pPr>
  </w:style>
  <w:style w:type="paragraph" w:styleId="41">
    <w:name w:val="Body Text 2"/>
    <w:basedOn w:val="1"/>
    <w:link w:val="81"/>
    <w:qFormat/>
    <w:uiPriority w:val="99"/>
    <w:pPr>
      <w:widowControl/>
      <w:snapToGrid w:val="0"/>
      <w:spacing w:before="50" w:afterLines="50" w:line="400" w:lineRule="exact"/>
    </w:pPr>
    <w:rPr>
      <w:kern w:val="0"/>
    </w:rPr>
  </w:style>
  <w:style w:type="paragraph" w:styleId="42">
    <w:name w:val="HTML Preformatted"/>
    <w:basedOn w:val="1"/>
    <w:link w:val="82"/>
    <w:qFormat/>
    <w:uiPriority w:val="99"/>
    <w:rPr>
      <w:rFonts w:ascii="Courier New" w:hAnsi="Courier New"/>
      <w:kern w:val="0"/>
      <w:sz w:val="20"/>
      <w:szCs w:val="20"/>
    </w:rPr>
  </w:style>
  <w:style w:type="paragraph" w:styleId="43">
    <w:name w:val="Normal (Web)"/>
    <w:basedOn w:val="1"/>
    <w:next w:val="1"/>
    <w:qFormat/>
    <w:uiPriority w:val="0"/>
    <w:pPr>
      <w:widowControl/>
      <w:spacing w:before="100" w:beforeAutospacing="1" w:after="100" w:afterAutospacing="1"/>
    </w:pPr>
    <w:rPr>
      <w:rFonts w:ascii="宋体" w:hAnsi="宋体"/>
      <w:color w:val="000000"/>
      <w:kern w:val="0"/>
    </w:rPr>
  </w:style>
  <w:style w:type="paragraph" w:styleId="44">
    <w:name w:val="Title"/>
    <w:basedOn w:val="1"/>
    <w:link w:val="83"/>
    <w:qFormat/>
    <w:uiPriority w:val="99"/>
    <w:pPr>
      <w:widowControl/>
      <w:overflowPunct w:val="0"/>
      <w:autoSpaceDE w:val="0"/>
      <w:autoSpaceDN w:val="0"/>
      <w:adjustRightInd w:val="0"/>
      <w:jc w:val="center"/>
      <w:textAlignment w:val="baseline"/>
    </w:pPr>
    <w:rPr>
      <w:rFonts w:ascii="Cambria" w:hAnsi="Cambria"/>
      <w:b/>
      <w:bCs/>
      <w:kern w:val="0"/>
      <w:sz w:val="32"/>
      <w:szCs w:val="32"/>
    </w:rPr>
  </w:style>
  <w:style w:type="paragraph" w:styleId="45">
    <w:name w:val="annotation subject"/>
    <w:basedOn w:val="22"/>
    <w:next w:val="22"/>
    <w:link w:val="84"/>
    <w:qFormat/>
    <w:uiPriority w:val="0"/>
    <w:rPr>
      <w:b/>
      <w:bCs/>
      <w:szCs w:val="24"/>
    </w:rPr>
  </w:style>
  <w:style w:type="table" w:styleId="47">
    <w:name w:val="Table Grid"/>
    <w:basedOn w:val="4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22"/>
    <w:rPr>
      <w:rFonts w:cs="Times New Roman"/>
      <w:b/>
    </w:rPr>
  </w:style>
  <w:style w:type="character" w:styleId="50">
    <w:name w:val="page number"/>
    <w:qFormat/>
    <w:uiPriority w:val="0"/>
    <w:rPr>
      <w:rFonts w:cs="Times New Roman"/>
    </w:rPr>
  </w:style>
  <w:style w:type="character" w:styleId="51">
    <w:name w:val="FollowedHyperlink"/>
    <w:qFormat/>
    <w:uiPriority w:val="0"/>
    <w:rPr>
      <w:rFonts w:cs="Times New Roman"/>
      <w:color w:val="800080"/>
      <w:u w:val="single"/>
    </w:rPr>
  </w:style>
  <w:style w:type="character" w:styleId="52">
    <w:name w:val="Emphasis"/>
    <w:qFormat/>
    <w:locked/>
    <w:uiPriority w:val="0"/>
    <w:rPr>
      <w:i/>
      <w:iCs/>
    </w:rPr>
  </w:style>
  <w:style w:type="character" w:styleId="53">
    <w:name w:val="Hyperlink"/>
    <w:qFormat/>
    <w:uiPriority w:val="99"/>
    <w:rPr>
      <w:rFonts w:cs="Times New Roman"/>
      <w:color w:val="0000FF"/>
      <w:u w:val="single"/>
    </w:rPr>
  </w:style>
  <w:style w:type="character" w:styleId="54">
    <w:name w:val="annotation reference"/>
    <w:qFormat/>
    <w:uiPriority w:val="0"/>
    <w:rPr>
      <w:rFonts w:cs="Times New Roman"/>
      <w:sz w:val="21"/>
    </w:rPr>
  </w:style>
  <w:style w:type="character" w:customStyle="1" w:styleId="55">
    <w:name w:val="标题 3 字符"/>
    <w:link w:val="7"/>
    <w:qFormat/>
    <w:locked/>
    <w:uiPriority w:val="99"/>
    <w:rPr>
      <w:rFonts w:ascii="宋体" w:hAnsi="宋体" w:eastAsia="宋体"/>
      <w:b/>
      <w:sz w:val="24"/>
      <w:u w:val="single"/>
    </w:rPr>
  </w:style>
  <w:style w:type="character" w:customStyle="1" w:styleId="56">
    <w:name w:val="标题 1 字符"/>
    <w:qFormat/>
    <w:uiPriority w:val="0"/>
    <w:rPr>
      <w:b/>
      <w:bCs/>
      <w:kern w:val="44"/>
      <w:sz w:val="44"/>
      <w:szCs w:val="44"/>
    </w:rPr>
  </w:style>
  <w:style w:type="character" w:customStyle="1" w:styleId="57">
    <w:name w:val="标题 2 字符"/>
    <w:link w:val="6"/>
    <w:qFormat/>
    <w:uiPriority w:val="0"/>
    <w:rPr>
      <w:rFonts w:ascii="Arial" w:hAnsi="Arial" w:eastAsia="宋体"/>
      <w:b/>
      <w:bCs/>
      <w:sz w:val="24"/>
      <w:szCs w:val="32"/>
    </w:rPr>
  </w:style>
  <w:style w:type="character" w:customStyle="1" w:styleId="58">
    <w:name w:val="标题 1 字符1"/>
    <w:link w:val="5"/>
    <w:qFormat/>
    <w:locked/>
    <w:uiPriority w:val="9"/>
    <w:rPr>
      <w:rFonts w:eastAsia="宋体"/>
      <w:b/>
      <w:kern w:val="44"/>
      <w:sz w:val="28"/>
    </w:rPr>
  </w:style>
  <w:style w:type="character" w:customStyle="1" w:styleId="59">
    <w:name w:val="标题 4 字符"/>
    <w:link w:val="8"/>
    <w:qFormat/>
    <w:locked/>
    <w:uiPriority w:val="0"/>
    <w:rPr>
      <w:rFonts w:ascii="Arial" w:hAnsi="Arial" w:eastAsia="黑体"/>
      <w:b/>
      <w:kern w:val="2"/>
      <w:sz w:val="28"/>
    </w:rPr>
  </w:style>
  <w:style w:type="character" w:customStyle="1" w:styleId="60">
    <w:name w:val="正文文本 字符"/>
    <w:link w:val="16"/>
    <w:qFormat/>
    <w:locked/>
    <w:uiPriority w:val="0"/>
    <w:rPr>
      <w:rFonts w:eastAsia="宋体" w:cs="Times New Roman"/>
      <w:kern w:val="2"/>
      <w:sz w:val="24"/>
      <w:lang w:val="en-US" w:eastAsia="zh-CN"/>
    </w:rPr>
  </w:style>
  <w:style w:type="character" w:customStyle="1" w:styleId="61">
    <w:name w:val="正文缩进 字符"/>
    <w:link w:val="18"/>
    <w:qFormat/>
    <w:locked/>
    <w:uiPriority w:val="0"/>
    <w:rPr>
      <w:rFonts w:eastAsia="宋体"/>
      <w:kern w:val="2"/>
      <w:sz w:val="21"/>
      <w:lang w:val="en-US" w:eastAsia="zh-CN"/>
    </w:rPr>
  </w:style>
  <w:style w:type="character" w:customStyle="1" w:styleId="62">
    <w:name w:val="正文文本缩进 字符1"/>
    <w:link w:val="2"/>
    <w:qFormat/>
    <w:locked/>
    <w:uiPriority w:val="0"/>
    <w:rPr>
      <w:rFonts w:ascii="宋体" w:hAnsi="Courier New" w:cs="Times New Roman"/>
      <w:spacing w:val="-4"/>
      <w:kern w:val="2"/>
      <w:sz w:val="18"/>
    </w:rPr>
  </w:style>
  <w:style w:type="character" w:customStyle="1" w:styleId="63">
    <w:name w:val="标题 5 字符"/>
    <w:link w:val="9"/>
    <w:qFormat/>
    <w:locked/>
    <w:uiPriority w:val="99"/>
    <w:rPr>
      <w:b/>
      <w:bCs/>
      <w:sz w:val="28"/>
      <w:szCs w:val="28"/>
    </w:rPr>
  </w:style>
  <w:style w:type="character" w:customStyle="1" w:styleId="64">
    <w:name w:val="标题 6 字符"/>
    <w:link w:val="10"/>
    <w:qFormat/>
    <w:locked/>
    <w:uiPriority w:val="99"/>
    <w:rPr>
      <w:rFonts w:ascii="Cambria" w:hAnsi="Cambria"/>
      <w:b/>
      <w:bCs/>
      <w:sz w:val="24"/>
      <w:szCs w:val="24"/>
    </w:rPr>
  </w:style>
  <w:style w:type="character" w:customStyle="1" w:styleId="65">
    <w:name w:val="标题 7 字符"/>
    <w:link w:val="11"/>
    <w:qFormat/>
    <w:locked/>
    <w:uiPriority w:val="99"/>
    <w:rPr>
      <w:b/>
      <w:bCs/>
      <w:sz w:val="24"/>
      <w:szCs w:val="24"/>
    </w:rPr>
  </w:style>
  <w:style w:type="character" w:customStyle="1" w:styleId="66">
    <w:name w:val="标题 8 字符"/>
    <w:link w:val="12"/>
    <w:qFormat/>
    <w:locked/>
    <w:uiPriority w:val="99"/>
    <w:rPr>
      <w:rFonts w:ascii="Cambria" w:hAnsi="Cambria"/>
      <w:sz w:val="24"/>
      <w:szCs w:val="24"/>
    </w:rPr>
  </w:style>
  <w:style w:type="character" w:customStyle="1" w:styleId="67">
    <w:name w:val="标题 9 字符"/>
    <w:link w:val="13"/>
    <w:qFormat/>
    <w:locked/>
    <w:uiPriority w:val="99"/>
    <w:rPr>
      <w:rFonts w:ascii="Cambria" w:hAnsi="Cambria"/>
      <w:sz w:val="21"/>
      <w:szCs w:val="21"/>
    </w:rPr>
  </w:style>
  <w:style w:type="character" w:customStyle="1" w:styleId="68">
    <w:name w:val="文档结构图 字符"/>
    <w:link w:val="21"/>
    <w:qFormat/>
    <w:locked/>
    <w:uiPriority w:val="99"/>
    <w:rPr>
      <w:rFonts w:eastAsia="宋体" w:cs="Times New Roman"/>
      <w:kern w:val="2"/>
      <w:sz w:val="24"/>
      <w:szCs w:val="24"/>
      <w:lang w:val="en-US" w:eastAsia="zh-CN" w:bidi="ar-SA"/>
    </w:rPr>
  </w:style>
  <w:style w:type="character" w:customStyle="1" w:styleId="69">
    <w:name w:val="批注文字 字符"/>
    <w:link w:val="22"/>
    <w:qFormat/>
    <w:locked/>
    <w:uiPriority w:val="0"/>
    <w:rPr>
      <w:rFonts w:eastAsia="宋体" w:cs="Times New Roman"/>
      <w:kern w:val="2"/>
      <w:sz w:val="24"/>
      <w:lang w:val="en-US" w:eastAsia="zh-CN"/>
    </w:rPr>
  </w:style>
  <w:style w:type="character" w:customStyle="1" w:styleId="70">
    <w:name w:val="称呼 字符"/>
    <w:link w:val="23"/>
    <w:semiHidden/>
    <w:qFormat/>
    <w:locked/>
    <w:uiPriority w:val="99"/>
    <w:rPr>
      <w:rFonts w:cs="Times New Roman"/>
      <w:sz w:val="24"/>
      <w:szCs w:val="24"/>
    </w:rPr>
  </w:style>
  <w:style w:type="character" w:customStyle="1" w:styleId="71">
    <w:name w:val="正文文本 3 字符"/>
    <w:link w:val="24"/>
    <w:semiHidden/>
    <w:qFormat/>
    <w:locked/>
    <w:uiPriority w:val="99"/>
    <w:rPr>
      <w:rFonts w:cs="Times New Roman"/>
      <w:sz w:val="16"/>
      <w:szCs w:val="16"/>
    </w:rPr>
  </w:style>
  <w:style w:type="character" w:customStyle="1" w:styleId="72">
    <w:name w:val="纯文本 字符"/>
    <w:link w:val="29"/>
    <w:qFormat/>
    <w:locked/>
    <w:uiPriority w:val="0"/>
    <w:rPr>
      <w:rFonts w:ascii="宋体" w:hAnsi="Courier New" w:eastAsia="宋体" w:cs="Times New Roman"/>
      <w:kern w:val="2"/>
      <w:sz w:val="24"/>
      <w:lang w:val="en-US" w:eastAsia="zh-CN"/>
    </w:rPr>
  </w:style>
  <w:style w:type="character" w:customStyle="1" w:styleId="73">
    <w:name w:val="日期 字符"/>
    <w:link w:val="30"/>
    <w:semiHidden/>
    <w:qFormat/>
    <w:locked/>
    <w:uiPriority w:val="99"/>
    <w:rPr>
      <w:rFonts w:cs="Times New Roman"/>
      <w:sz w:val="24"/>
      <w:szCs w:val="24"/>
    </w:rPr>
  </w:style>
  <w:style w:type="character" w:customStyle="1" w:styleId="74">
    <w:name w:val="正文文本缩进 2 字符"/>
    <w:link w:val="31"/>
    <w:qFormat/>
    <w:locked/>
    <w:uiPriority w:val="0"/>
    <w:rPr>
      <w:rFonts w:ascii="仿宋_GB2312" w:hAnsi="宋体" w:eastAsia="宋体" w:cs="Times New Roman"/>
      <w:b/>
      <w:color w:val="000000"/>
      <w:kern w:val="2"/>
      <w:sz w:val="24"/>
      <w:lang w:val="en-US" w:eastAsia="zh-CN"/>
    </w:rPr>
  </w:style>
  <w:style w:type="character" w:customStyle="1" w:styleId="75">
    <w:name w:val="尾注文本 字符"/>
    <w:link w:val="32"/>
    <w:semiHidden/>
    <w:qFormat/>
    <w:locked/>
    <w:uiPriority w:val="99"/>
    <w:rPr>
      <w:rFonts w:cs="Times New Roman"/>
      <w:sz w:val="24"/>
      <w:szCs w:val="24"/>
    </w:rPr>
  </w:style>
  <w:style w:type="character" w:customStyle="1" w:styleId="76">
    <w:name w:val="批注框文本 字符"/>
    <w:link w:val="33"/>
    <w:qFormat/>
    <w:locked/>
    <w:uiPriority w:val="99"/>
    <w:rPr>
      <w:rFonts w:eastAsia="宋体" w:cs="Times New Roman"/>
      <w:kern w:val="2"/>
      <w:sz w:val="18"/>
      <w:szCs w:val="18"/>
      <w:lang w:val="en-US" w:eastAsia="zh-CN" w:bidi="ar-SA"/>
    </w:rPr>
  </w:style>
  <w:style w:type="character" w:customStyle="1" w:styleId="77">
    <w:name w:val="页脚 字符"/>
    <w:link w:val="34"/>
    <w:qFormat/>
    <w:locked/>
    <w:uiPriority w:val="99"/>
    <w:rPr>
      <w:rFonts w:eastAsia="黑体" w:cs="Times New Roman"/>
      <w:snapToGrid w:val="0"/>
      <w:sz w:val="18"/>
      <w:lang w:val="en-US" w:eastAsia="zh-CN"/>
    </w:rPr>
  </w:style>
  <w:style w:type="character" w:customStyle="1" w:styleId="78">
    <w:name w:val="页眉 字符"/>
    <w:link w:val="35"/>
    <w:qFormat/>
    <w:locked/>
    <w:uiPriority w:val="99"/>
    <w:rPr>
      <w:rFonts w:eastAsia="仿宋_GB2312" w:cs="Times New Roman"/>
      <w:kern w:val="2"/>
      <w:sz w:val="18"/>
      <w:lang w:val="en-US" w:eastAsia="zh-CN"/>
    </w:rPr>
  </w:style>
  <w:style w:type="character" w:customStyle="1" w:styleId="79">
    <w:name w:val="副标题 字符"/>
    <w:link w:val="37"/>
    <w:qFormat/>
    <w:locked/>
    <w:uiPriority w:val="99"/>
    <w:rPr>
      <w:rFonts w:ascii="Cambria" w:hAnsi="Cambria" w:cs="Times New Roman"/>
      <w:b/>
      <w:bCs/>
      <w:kern w:val="28"/>
      <w:sz w:val="32"/>
      <w:szCs w:val="32"/>
    </w:rPr>
  </w:style>
  <w:style w:type="character" w:customStyle="1" w:styleId="80">
    <w:name w:val="正文文本缩进 3 字符1"/>
    <w:link w:val="39"/>
    <w:qFormat/>
    <w:locked/>
    <w:uiPriority w:val="0"/>
    <w:rPr>
      <w:rFonts w:ascii="仿宋_GB2312" w:hAnsi="宋体" w:eastAsia="仿宋_GB2312" w:cs="Times New Roman"/>
      <w:color w:val="000000"/>
      <w:kern w:val="2"/>
      <w:sz w:val="24"/>
      <w:lang w:val="en-US" w:eastAsia="zh-CN"/>
    </w:rPr>
  </w:style>
  <w:style w:type="character" w:customStyle="1" w:styleId="81">
    <w:name w:val="正文文本 2 字符"/>
    <w:link w:val="41"/>
    <w:semiHidden/>
    <w:qFormat/>
    <w:locked/>
    <w:uiPriority w:val="99"/>
    <w:rPr>
      <w:rFonts w:cs="Times New Roman"/>
      <w:sz w:val="24"/>
      <w:szCs w:val="24"/>
    </w:rPr>
  </w:style>
  <w:style w:type="character" w:customStyle="1" w:styleId="82">
    <w:name w:val="HTML 预设格式 字符"/>
    <w:link w:val="42"/>
    <w:semiHidden/>
    <w:qFormat/>
    <w:locked/>
    <w:uiPriority w:val="99"/>
    <w:rPr>
      <w:rFonts w:ascii="Courier New" w:hAnsi="Courier New" w:cs="Courier New"/>
      <w:sz w:val="20"/>
      <w:szCs w:val="20"/>
    </w:rPr>
  </w:style>
  <w:style w:type="character" w:customStyle="1" w:styleId="83">
    <w:name w:val="标题 字符"/>
    <w:link w:val="44"/>
    <w:qFormat/>
    <w:locked/>
    <w:uiPriority w:val="99"/>
    <w:rPr>
      <w:rFonts w:ascii="Cambria" w:hAnsi="Cambria" w:cs="Times New Roman"/>
      <w:b/>
      <w:bCs/>
      <w:sz w:val="32"/>
      <w:szCs w:val="32"/>
    </w:rPr>
  </w:style>
  <w:style w:type="character" w:customStyle="1" w:styleId="84">
    <w:name w:val="批注主题 字符"/>
    <w:link w:val="45"/>
    <w:qFormat/>
    <w:locked/>
    <w:uiPriority w:val="0"/>
    <w:rPr>
      <w:rFonts w:eastAsia="宋体" w:cs="Times New Roman"/>
      <w:b/>
      <w:bCs/>
      <w:kern w:val="2"/>
      <w:sz w:val="24"/>
      <w:szCs w:val="24"/>
      <w:lang w:val="en-US" w:eastAsia="zh-CN"/>
    </w:rPr>
  </w:style>
  <w:style w:type="character" w:customStyle="1" w:styleId="85">
    <w:name w:val="正文首行缩进 字符"/>
    <w:link w:val="17"/>
    <w:semiHidden/>
    <w:qFormat/>
    <w:locked/>
    <w:uiPriority w:val="99"/>
    <w:rPr>
      <w:rFonts w:eastAsia="宋体" w:cs="Times New Roman"/>
      <w:kern w:val="2"/>
      <w:sz w:val="24"/>
      <w:szCs w:val="24"/>
      <w:lang w:val="en-US" w:eastAsia="zh-CN"/>
    </w:rPr>
  </w:style>
  <w:style w:type="character" w:customStyle="1" w:styleId="86">
    <w:name w:val="标题 2 Char"/>
    <w:qFormat/>
    <w:locked/>
    <w:uiPriority w:val="0"/>
    <w:rPr>
      <w:rFonts w:ascii="Arial" w:hAnsi="Arial" w:eastAsia="黑体"/>
      <w:b/>
      <w:kern w:val="2"/>
      <w:sz w:val="32"/>
    </w:rPr>
  </w:style>
  <w:style w:type="paragraph" w:customStyle="1" w:styleId="87">
    <w:name w:val="章正文"/>
    <w:basedOn w:val="1"/>
    <w:qFormat/>
    <w:uiPriority w:val="0"/>
    <w:pPr>
      <w:spacing w:beforeLines="50" w:after="120" w:line="300" w:lineRule="auto"/>
      <w:ind w:firstLine="480"/>
    </w:pPr>
    <w:rPr>
      <w:rFonts w:ascii="Helvetica" w:hAnsi="Helvetica"/>
      <w:kern w:val="0"/>
    </w:rPr>
  </w:style>
  <w:style w:type="character" w:customStyle="1" w:styleId="88">
    <w:name w:val="Heading 1 Char"/>
    <w:qFormat/>
    <w:locked/>
    <w:uiPriority w:val="99"/>
    <w:rPr>
      <w:rFonts w:cs="Times New Roman"/>
      <w:b/>
      <w:kern w:val="44"/>
      <w:sz w:val="44"/>
    </w:rPr>
  </w:style>
  <w:style w:type="character" w:customStyle="1" w:styleId="89">
    <w:name w:val="tw4winInternal"/>
    <w:qFormat/>
    <w:uiPriority w:val="0"/>
    <w:rPr>
      <w:rFonts w:ascii="Courier New" w:hAnsi="Courier New"/>
      <w:color w:val="FF0000"/>
    </w:rPr>
  </w:style>
  <w:style w:type="character" w:customStyle="1" w:styleId="90">
    <w:name w:val="Char Char3"/>
    <w:qFormat/>
    <w:uiPriority w:val="99"/>
    <w:rPr>
      <w:rFonts w:ascii="仿宋_GB2312" w:hAnsi="宋体" w:eastAsia="仿宋_GB2312"/>
      <w:color w:val="000000"/>
      <w:sz w:val="24"/>
    </w:rPr>
  </w:style>
  <w:style w:type="character" w:customStyle="1" w:styleId="91">
    <w:name w:val="标题 1 Char Char"/>
    <w:qFormat/>
    <w:uiPriority w:val="0"/>
    <w:rPr>
      <w:rFonts w:eastAsia="宋体"/>
      <w:b/>
      <w:spacing w:val="-2"/>
      <w:sz w:val="24"/>
      <w:lang w:val="en-US" w:eastAsia="zh-CN"/>
    </w:rPr>
  </w:style>
  <w:style w:type="character" w:customStyle="1" w:styleId="92">
    <w:name w:val="tw4winMark"/>
    <w:qFormat/>
    <w:uiPriority w:val="0"/>
    <w:rPr>
      <w:rFonts w:ascii="Courier New" w:hAnsi="Courier New"/>
      <w:vanish/>
      <w:color w:val="800080"/>
      <w:vertAlign w:val="subscript"/>
    </w:rPr>
  </w:style>
  <w:style w:type="character" w:customStyle="1" w:styleId="93">
    <w:name w:val="Normal Indent Char1 Char1 Char2 Char Char Char Char Char Char Char Char Char Char Char Char Char Char"/>
    <w:qFormat/>
    <w:uiPriority w:val="0"/>
    <w:rPr>
      <w:rFonts w:eastAsia="仿宋_GB2312"/>
      <w:kern w:val="2"/>
      <w:sz w:val="24"/>
      <w:lang w:val="en-US" w:eastAsia="zh-CN"/>
    </w:rPr>
  </w:style>
  <w:style w:type="character" w:customStyle="1" w:styleId="94">
    <w:name w:val="style11"/>
    <w:qFormat/>
    <w:uiPriority w:val="0"/>
    <w:rPr>
      <w:rFonts w:eastAsia="宋体"/>
      <w:kern w:val="2"/>
      <w:sz w:val="21"/>
      <w:lang w:val="en-US" w:eastAsia="zh-CN"/>
    </w:rPr>
  </w:style>
  <w:style w:type="character" w:customStyle="1" w:styleId="95">
    <w:name w:val="font2"/>
    <w:qFormat/>
    <w:uiPriority w:val="0"/>
    <w:rPr>
      <w:rFonts w:ascii="Arial" w:hAnsi="Arial"/>
      <w:color w:val="333333"/>
      <w:spacing w:val="0"/>
      <w:sz w:val="18"/>
    </w:rPr>
  </w:style>
  <w:style w:type="character" w:customStyle="1" w:styleId="96">
    <w:name w:val="b titlename wangputoptitle"/>
    <w:qFormat/>
    <w:uiPriority w:val="0"/>
    <w:rPr>
      <w:rFonts w:cs="Times New Roman"/>
    </w:rPr>
  </w:style>
  <w:style w:type="character" w:customStyle="1" w:styleId="97">
    <w:name w:val="tw4winTerm"/>
    <w:qFormat/>
    <w:uiPriority w:val="0"/>
    <w:rPr>
      <w:color w:val="0000FF"/>
    </w:rPr>
  </w:style>
  <w:style w:type="character" w:customStyle="1" w:styleId="98">
    <w:name w:val="样式 小四"/>
    <w:qFormat/>
    <w:uiPriority w:val="0"/>
    <w:rPr>
      <w:sz w:val="21"/>
    </w:rPr>
  </w:style>
  <w:style w:type="character" w:customStyle="1" w:styleId="99">
    <w:name w:val="para"/>
    <w:qFormat/>
    <w:uiPriority w:val="0"/>
    <w:rPr>
      <w:rFonts w:cs="Times New Roman"/>
    </w:rPr>
  </w:style>
  <w:style w:type="character" w:customStyle="1" w:styleId="100">
    <w:name w:val="tw4winError"/>
    <w:qFormat/>
    <w:uiPriority w:val="0"/>
    <w:rPr>
      <w:rFonts w:ascii="Courier New" w:hAnsi="Courier New"/>
      <w:color w:val="00FF00"/>
      <w:sz w:val="40"/>
    </w:rPr>
  </w:style>
  <w:style w:type="character" w:customStyle="1" w:styleId="101">
    <w:name w:val="style31"/>
    <w:qFormat/>
    <w:uiPriority w:val="0"/>
    <w:rPr>
      <w:color w:val="4B4B4B"/>
    </w:rPr>
  </w:style>
  <w:style w:type="character" w:customStyle="1" w:styleId="102">
    <w:name w:val="!我的正文 Ctr+Q Char"/>
    <w:link w:val="103"/>
    <w:qFormat/>
    <w:locked/>
    <w:uiPriority w:val="0"/>
    <w:rPr>
      <w:rFonts w:ascii="Arial" w:hAnsi="Arial" w:eastAsia="宋体"/>
      <w:kern w:val="2"/>
      <w:sz w:val="21"/>
      <w:lang w:val="en-US" w:eastAsia="zh-CN"/>
    </w:rPr>
  </w:style>
  <w:style w:type="paragraph" w:customStyle="1" w:styleId="103">
    <w:name w:val="!我的正文 Ctr+Q"/>
    <w:basedOn w:val="1"/>
    <w:link w:val="102"/>
    <w:qFormat/>
    <w:uiPriority w:val="0"/>
    <w:pPr>
      <w:adjustRightInd w:val="0"/>
      <w:snapToGrid w:val="0"/>
      <w:ind w:firstLine="480"/>
    </w:pPr>
    <w:rPr>
      <w:rFonts w:ascii="Arial" w:hAnsi="Arial"/>
      <w:szCs w:val="20"/>
    </w:rPr>
  </w:style>
  <w:style w:type="character" w:customStyle="1" w:styleId="104">
    <w:name w:val="font3"/>
    <w:qFormat/>
    <w:uiPriority w:val="0"/>
    <w:rPr>
      <w:rFonts w:cs="Times New Roman"/>
    </w:rPr>
  </w:style>
  <w:style w:type="character" w:customStyle="1" w:styleId="105">
    <w:name w:val="tw4winExternal"/>
    <w:qFormat/>
    <w:uiPriority w:val="0"/>
    <w:rPr>
      <w:rFonts w:ascii="Courier New" w:hAnsi="Courier New"/>
      <w:color w:val="808080"/>
    </w:rPr>
  </w:style>
  <w:style w:type="character" w:customStyle="1" w:styleId="106">
    <w:name w:val="point_normal1"/>
    <w:qFormat/>
    <w:uiPriority w:val="0"/>
    <w:rPr>
      <w:rFonts w:ascii="Arial" w:hAnsi="Arial"/>
      <w:sz w:val="18"/>
    </w:rPr>
  </w:style>
  <w:style w:type="character" w:customStyle="1" w:styleId="107">
    <w:name w:val="fontblank12"/>
    <w:qFormat/>
    <w:uiPriority w:val="0"/>
    <w:rPr>
      <w:rFonts w:cs="Times New Roman"/>
    </w:rPr>
  </w:style>
  <w:style w:type="character" w:customStyle="1" w:styleId="108">
    <w:name w:val="huide001"/>
    <w:qFormat/>
    <w:uiPriority w:val="0"/>
    <w:rPr>
      <w:rFonts w:ascii="Arial" w:hAnsi="Arial"/>
      <w:color w:val="666666"/>
      <w:sz w:val="18"/>
    </w:rPr>
  </w:style>
  <w:style w:type="character" w:customStyle="1" w:styleId="109">
    <w:name w:val="tw4winPopup"/>
    <w:qFormat/>
    <w:uiPriority w:val="0"/>
    <w:rPr>
      <w:rFonts w:ascii="Courier New" w:hAnsi="Courier New"/>
      <w:color w:val="008000"/>
    </w:rPr>
  </w:style>
  <w:style w:type="character" w:customStyle="1" w:styleId="110">
    <w:name w:val="标题 3 Char"/>
    <w:qFormat/>
    <w:uiPriority w:val="0"/>
    <w:rPr>
      <w:rFonts w:eastAsia="宋体"/>
      <w:b/>
      <w:kern w:val="2"/>
      <w:sz w:val="32"/>
      <w:lang w:val="en-US" w:eastAsia="zh-CN"/>
    </w:rPr>
  </w:style>
  <w:style w:type="character" w:customStyle="1" w:styleId="111">
    <w:name w:val="unnamed11"/>
    <w:qFormat/>
    <w:uiPriority w:val="0"/>
    <w:rPr>
      <w:sz w:val="20"/>
    </w:rPr>
  </w:style>
  <w:style w:type="character" w:customStyle="1" w:styleId="112">
    <w:name w:val="pagetitle"/>
    <w:qFormat/>
    <w:uiPriority w:val="0"/>
    <w:rPr>
      <w:rFonts w:cs="Times New Roman"/>
    </w:rPr>
  </w:style>
  <w:style w:type="character" w:customStyle="1" w:styleId="113">
    <w:name w:val="line1"/>
    <w:qFormat/>
    <w:uiPriority w:val="0"/>
    <w:rPr>
      <w:u w:val="none"/>
    </w:rPr>
  </w:style>
  <w:style w:type="character" w:customStyle="1" w:styleId="114">
    <w:name w:val="text11"/>
    <w:qFormat/>
    <w:uiPriority w:val="0"/>
    <w:rPr>
      <w:rFonts w:ascii="Verdana" w:hAnsi="Verdana"/>
      <w:color w:val="4E4E4E"/>
      <w:sz w:val="18"/>
    </w:rPr>
  </w:style>
  <w:style w:type="character" w:customStyle="1" w:styleId="115">
    <w:name w:val="样式 样式3 + 宋体 五号 Char Char Char Char"/>
    <w:qFormat/>
    <w:uiPriority w:val="0"/>
    <w:rPr>
      <w:rFonts w:ascii="宋体" w:hAnsi="宋体" w:eastAsia="宋体"/>
      <w:b/>
      <w:kern w:val="2"/>
      <w:sz w:val="24"/>
      <w:lang w:val="en-US" w:eastAsia="zh-CN"/>
    </w:rPr>
  </w:style>
  <w:style w:type="character" w:customStyle="1" w:styleId="116">
    <w:name w:val="A C"/>
    <w:qFormat/>
    <w:uiPriority w:val="0"/>
    <w:rPr>
      <w:rFonts w:ascii="仿宋_GB2312"/>
      <w:sz w:val="24"/>
    </w:rPr>
  </w:style>
  <w:style w:type="character" w:customStyle="1" w:styleId="117">
    <w:name w:val="tw4winJump"/>
    <w:qFormat/>
    <w:uiPriority w:val="0"/>
    <w:rPr>
      <w:rFonts w:ascii="Courier New" w:hAnsi="Courier New"/>
      <w:color w:val="008080"/>
    </w:rPr>
  </w:style>
  <w:style w:type="character" w:customStyle="1" w:styleId="118">
    <w:name w:val="Char Char7"/>
    <w:qFormat/>
    <w:uiPriority w:val="99"/>
    <w:rPr>
      <w:rFonts w:ascii="Cambria" w:hAnsi="Cambria" w:eastAsia="宋体"/>
      <w:b/>
      <w:sz w:val="32"/>
    </w:rPr>
  </w:style>
  <w:style w:type="character" w:customStyle="1" w:styleId="119">
    <w:name w:val="style101"/>
    <w:qFormat/>
    <w:uiPriority w:val="0"/>
    <w:rPr>
      <w:color w:val="FFFFFF"/>
    </w:rPr>
  </w:style>
  <w:style w:type="paragraph" w:customStyle="1" w:styleId="120">
    <w:name w:val="样式2"/>
    <w:basedOn w:val="6"/>
    <w:qFormat/>
    <w:uiPriority w:val="0"/>
    <w:pPr>
      <w:tabs>
        <w:tab w:val="left" w:pos="600"/>
      </w:tabs>
      <w:ind w:left="600" w:hanging="600"/>
    </w:pPr>
  </w:style>
  <w:style w:type="paragraph" w:customStyle="1" w:styleId="121">
    <w:name w:val="p0"/>
    <w:basedOn w:val="1"/>
    <w:qFormat/>
    <w:uiPriority w:val="0"/>
    <w:pPr>
      <w:widowControl/>
      <w:spacing w:after="50"/>
    </w:pPr>
    <w:rPr>
      <w:kern w:val="0"/>
      <w:szCs w:val="21"/>
    </w:rPr>
  </w:style>
  <w:style w:type="paragraph" w:customStyle="1" w:styleId="122">
    <w:name w:val="样式 正文文本缩进 + 仿宋_GB2312 小四 首行缩进:  0 厘米 行距: 1.5 倍行距"/>
    <w:basedOn w:val="2"/>
    <w:qFormat/>
    <w:uiPriority w:val="0"/>
    <w:pPr>
      <w:spacing w:line="360" w:lineRule="auto"/>
      <w:ind w:firstLine="0"/>
    </w:pPr>
    <w:rPr>
      <w:rFonts w:ascii="仿宋_GB2312" w:hAnsi="Times New Roman" w:eastAsia="新宋体"/>
      <w:spacing w:val="0"/>
      <w:sz w:val="24"/>
    </w:rPr>
  </w:style>
  <w:style w:type="paragraph" w:customStyle="1" w:styleId="123">
    <w:name w:val="text"/>
    <w:basedOn w:val="1"/>
    <w:qFormat/>
    <w:uiPriority w:val="0"/>
    <w:pPr>
      <w:adjustRightInd w:val="0"/>
      <w:spacing w:before="120"/>
      <w:ind w:firstLine="425"/>
      <w:textAlignment w:val="baseline"/>
    </w:pPr>
    <w:rPr>
      <w:rFonts w:ascii="宋体" w:hAnsi="Arial" w:cs="Arial"/>
      <w:bCs/>
      <w:kern w:val="0"/>
      <w:sz w:val="26"/>
      <w:szCs w:val="32"/>
    </w:rPr>
  </w:style>
  <w:style w:type="paragraph" w:customStyle="1" w:styleId="124">
    <w:name w:val="Paragraph2"/>
    <w:basedOn w:val="1"/>
    <w:qFormat/>
    <w:uiPriority w:val="0"/>
    <w:pPr>
      <w:spacing w:before="80" w:afterLines="50"/>
      <w:ind w:left="720"/>
    </w:pPr>
    <w:rPr>
      <w:rFonts w:ascii="宋体"/>
      <w:color w:val="000000"/>
      <w:kern w:val="0"/>
      <w:szCs w:val="20"/>
      <w:lang w:val="en-AU"/>
    </w:rPr>
  </w:style>
  <w:style w:type="paragraph" w:customStyle="1" w:styleId="125">
    <w:name w:val="Char Char Char Char Char Char Char Char Char Char"/>
    <w:basedOn w:val="21"/>
    <w:qFormat/>
    <w:uiPriority w:val="99"/>
    <w:rPr>
      <w:rFonts w:ascii="Tahoma" w:hAnsi="Tahoma"/>
    </w:rPr>
  </w:style>
  <w:style w:type="paragraph" w:customStyle="1" w:styleId="126">
    <w:name w:val="P3"/>
    <w:basedOn w:val="1"/>
    <w:qFormat/>
    <w:uiPriority w:val="0"/>
    <w:pPr>
      <w:widowControl/>
      <w:spacing w:before="240" w:line="240" w:lineRule="atLeast"/>
      <w:ind w:left="1152"/>
    </w:pPr>
    <w:rPr>
      <w:b/>
      <w:kern w:val="0"/>
      <w:szCs w:val="21"/>
      <w:lang w:val="en-AU" w:eastAsia="en-US"/>
    </w:rPr>
  </w:style>
  <w:style w:type="paragraph" w:customStyle="1" w:styleId="127">
    <w:name w:val="Char1 Char Char Char Char Char Char"/>
    <w:basedOn w:val="1"/>
    <w:qFormat/>
    <w:uiPriority w:val="99"/>
    <w:rPr>
      <w:rFonts w:ascii="Tahoma" w:hAnsi="Tahoma"/>
      <w:szCs w:val="20"/>
    </w:rPr>
  </w:style>
  <w:style w:type="paragraph" w:customStyle="1" w:styleId="128">
    <w:name w:val="Paragraph4"/>
    <w:basedOn w:val="1"/>
    <w:qFormat/>
    <w:uiPriority w:val="0"/>
    <w:pPr>
      <w:spacing w:before="80" w:afterLines="50"/>
      <w:ind w:left="2250"/>
    </w:pPr>
    <w:rPr>
      <w:rFonts w:ascii="宋体"/>
      <w:kern w:val="0"/>
      <w:szCs w:val="20"/>
    </w:rPr>
  </w:style>
  <w:style w:type="paragraph" w:customStyle="1" w:styleId="129">
    <w:name w:val="图"/>
    <w:basedOn w:val="1"/>
    <w:qFormat/>
    <w:uiPriority w:val="0"/>
    <w:pPr>
      <w:keepNext/>
      <w:adjustRightInd w:val="0"/>
      <w:snapToGrid w:val="0"/>
      <w:spacing w:before="60" w:after="60" w:line="300" w:lineRule="auto"/>
      <w:jc w:val="center"/>
    </w:pPr>
    <w:rPr>
      <w:spacing w:val="20"/>
      <w:kern w:val="0"/>
      <w:szCs w:val="20"/>
    </w:rPr>
  </w:style>
  <w:style w:type="paragraph" w:customStyle="1" w:styleId="130">
    <w:name w:val="样式 标题 3Chapter X.X.X. + 五号 段后: 0.5 行"/>
    <w:basedOn w:val="7"/>
    <w:qFormat/>
    <w:uiPriority w:val="0"/>
    <w:pPr>
      <w:keepLines w:val="0"/>
      <w:autoSpaceDE/>
      <w:autoSpaceDN/>
      <w:adjustRightInd/>
      <w:spacing w:before="120" w:afterLines="50"/>
    </w:pPr>
    <w:rPr>
      <w:rFonts w:cs="宋体"/>
      <w:sz w:val="21"/>
      <w:u w:val="none"/>
    </w:rPr>
  </w:style>
  <w:style w:type="paragraph" w:customStyle="1" w:styleId="13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2">
    <w:name w:val="TableTextLeft"/>
    <w:qFormat/>
    <w:uiPriority w:val="99"/>
    <w:rPr>
      <w:rFonts w:ascii="Century Gothic" w:hAnsi="Century Gothic" w:eastAsia="宋体" w:cs="Times New Roman"/>
      <w:szCs w:val="18"/>
      <w:lang w:val="en-US" w:eastAsia="en-US" w:bidi="ar-SA"/>
    </w:rPr>
  </w:style>
  <w:style w:type="paragraph" w:customStyle="1" w:styleId="133">
    <w:name w:val="Body"/>
    <w:basedOn w:val="1"/>
    <w:qFormat/>
    <w:uiPriority w:val="0"/>
    <w:pPr>
      <w:widowControl/>
      <w:spacing w:before="120" w:afterLines="50"/>
    </w:pPr>
    <w:rPr>
      <w:rFonts w:ascii="宋体"/>
      <w:kern w:val="0"/>
      <w:szCs w:val="20"/>
    </w:rPr>
  </w:style>
  <w:style w:type="paragraph" w:customStyle="1" w:styleId="134">
    <w:name w:val="Char Char Char Char1 Char Char"/>
    <w:basedOn w:val="1"/>
    <w:qFormat/>
    <w:uiPriority w:val="0"/>
    <w:pPr>
      <w:widowControl/>
      <w:spacing w:after="160" w:line="240" w:lineRule="exact"/>
    </w:pPr>
    <w:rPr>
      <w:rFonts w:ascii="Verdana" w:hAnsi="Verdana"/>
      <w:kern w:val="0"/>
      <w:sz w:val="20"/>
      <w:szCs w:val="20"/>
      <w:lang w:eastAsia="en-US"/>
    </w:rPr>
  </w:style>
  <w:style w:type="paragraph" w:customStyle="1" w:styleId="135">
    <w:name w:val="标准标题2"/>
    <w:basedOn w:val="6"/>
    <w:qFormat/>
    <w:uiPriority w:val="0"/>
    <w:rPr>
      <w:rFonts w:eastAsia="仿宋_GB2312"/>
      <w:sz w:val="28"/>
    </w:rPr>
  </w:style>
  <w:style w:type="paragraph" w:customStyle="1" w:styleId="136">
    <w:name w:val="Blockquote"/>
    <w:basedOn w:val="1"/>
    <w:qFormat/>
    <w:uiPriority w:val="0"/>
    <w:pPr>
      <w:widowControl/>
      <w:spacing w:before="100" w:afterLines="50"/>
      <w:ind w:left="360" w:right="360"/>
    </w:pPr>
    <w:rPr>
      <w:rFonts w:ascii="宋体"/>
      <w:kern w:val="0"/>
      <w:szCs w:val="20"/>
      <w:lang w:val="en-CA"/>
    </w:rPr>
  </w:style>
  <w:style w:type="paragraph" w:customStyle="1" w:styleId="137">
    <w:name w:val="Char Char3 Char Char Char Char"/>
    <w:basedOn w:val="1"/>
    <w:qFormat/>
    <w:uiPriority w:val="0"/>
    <w:pPr>
      <w:widowControl/>
      <w:spacing w:after="160"/>
    </w:pPr>
    <w:rPr>
      <w:rFonts w:ascii="Verdana" w:hAnsi="Verdana"/>
      <w:kern w:val="0"/>
      <w:szCs w:val="20"/>
      <w:lang w:eastAsia="en-US"/>
    </w:rPr>
  </w:style>
  <w:style w:type="paragraph" w:customStyle="1" w:styleId="138">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39">
    <w:name w:val="Char Char Char Char Char Char Char Char Char Char Char Char Char Char Char Char"/>
    <w:basedOn w:val="1"/>
    <w:qFormat/>
    <w:uiPriority w:val="99"/>
    <w:pPr>
      <w:tabs>
        <w:tab w:val="left" w:pos="360"/>
      </w:tabs>
    </w:pPr>
  </w:style>
  <w:style w:type="paragraph" w:customStyle="1" w:styleId="140">
    <w:name w:val="表格标题(居中)"/>
    <w:basedOn w:val="1"/>
    <w:qFormat/>
    <w:uiPriority w:val="0"/>
    <w:pPr>
      <w:adjustRightInd w:val="0"/>
      <w:snapToGrid w:val="0"/>
      <w:spacing w:line="300" w:lineRule="auto"/>
      <w:ind w:firstLine="200"/>
      <w:jc w:val="center"/>
    </w:pPr>
    <w:rPr>
      <w:rFonts w:eastAsia="黑体"/>
      <w:color w:val="000000"/>
      <w:kern w:val="0"/>
      <w:szCs w:val="20"/>
    </w:rPr>
  </w:style>
  <w:style w:type="paragraph" w:customStyle="1" w:styleId="141">
    <w:name w:val="Char3 Char Char Char"/>
    <w:basedOn w:val="1"/>
    <w:qFormat/>
    <w:uiPriority w:val="99"/>
    <w:pPr>
      <w:tabs>
        <w:tab w:val="left" w:pos="1455"/>
      </w:tabs>
      <w:ind w:left="1455" w:hanging="1275"/>
    </w:pPr>
  </w:style>
  <w:style w:type="paragraph" w:customStyle="1" w:styleId="142">
    <w:name w:val="样式　标题4"/>
    <w:basedOn w:val="143"/>
    <w:next w:val="1"/>
    <w:qFormat/>
    <w:uiPriority w:val="0"/>
  </w:style>
  <w:style w:type="paragraph" w:customStyle="1" w:styleId="143">
    <w:name w:val="样式 标题 4Chapter X.X.X. + 段后: 0.5 行1"/>
    <w:basedOn w:val="8"/>
    <w:next w:val="8"/>
    <w:qFormat/>
    <w:uiPriority w:val="0"/>
    <w:pPr>
      <w:keepLines w:val="0"/>
      <w:spacing w:before="120" w:afterLines="50" w:line="240" w:lineRule="auto"/>
      <w:ind w:left="425" w:hanging="425"/>
    </w:pPr>
    <w:rPr>
      <w:rFonts w:ascii="宋体" w:hAnsi="Times New Roman" w:eastAsia="宋体" w:cs="宋体"/>
      <w:sz w:val="21"/>
    </w:rPr>
  </w:style>
  <w:style w:type="paragraph" w:customStyle="1" w:styleId="144">
    <w:name w:val="样式 标题 2 + 五号"/>
    <w:basedOn w:val="6"/>
    <w:qFormat/>
    <w:uiPriority w:val="0"/>
    <w:pPr>
      <w:spacing w:line="240" w:lineRule="auto"/>
    </w:pPr>
    <w:rPr>
      <w:rFonts w:ascii="宋体" w:hAnsi="宋体"/>
      <w:sz w:val="21"/>
    </w:rPr>
  </w:style>
  <w:style w:type="paragraph" w:customStyle="1" w:styleId="145">
    <w:name w:val="Main Title"/>
    <w:basedOn w:val="1"/>
    <w:qFormat/>
    <w:uiPriority w:val="0"/>
    <w:pPr>
      <w:spacing w:before="480" w:afterLines="50"/>
      <w:jc w:val="center"/>
    </w:pPr>
    <w:rPr>
      <w:rFonts w:ascii="宋体"/>
      <w:b/>
      <w:kern w:val="28"/>
      <w:sz w:val="32"/>
      <w:szCs w:val="20"/>
    </w:rPr>
  </w:style>
  <w:style w:type="paragraph" w:customStyle="1" w:styleId="146">
    <w:name w:val="表格内容"/>
    <w:basedOn w:val="16"/>
    <w:qFormat/>
    <w:uiPriority w:val="0"/>
    <w:pPr>
      <w:suppressLineNumbers/>
      <w:suppressAutoHyphens/>
    </w:pPr>
    <w:rPr>
      <w:kern w:val="1"/>
      <w:sz w:val="21"/>
      <w:lang w:eastAsia="ar-SA"/>
    </w:r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S4-L15-C"/>
    <w:basedOn w:val="1"/>
    <w:qFormat/>
    <w:uiPriority w:val="0"/>
    <w:pPr>
      <w:spacing w:after="120"/>
      <w:jc w:val="center"/>
    </w:pPr>
    <w:rPr>
      <w:szCs w:val="21"/>
    </w:rPr>
  </w:style>
  <w:style w:type="paragraph" w:customStyle="1" w:styleId="149">
    <w:name w:val="样式 标题 4 + 段后: 0.5 行"/>
    <w:basedOn w:val="8"/>
    <w:qFormat/>
    <w:uiPriority w:val="0"/>
    <w:pPr>
      <w:keepLines w:val="0"/>
      <w:spacing w:before="120" w:afterLines="50" w:line="240" w:lineRule="auto"/>
    </w:pPr>
    <w:rPr>
      <w:rFonts w:ascii="宋体" w:hAnsi="Times New Roman" w:eastAsia="宋体" w:cs="宋体"/>
      <w:sz w:val="21"/>
    </w:rPr>
  </w:style>
  <w:style w:type="paragraph" w:customStyle="1" w:styleId="150">
    <w:name w:val="样式 标题 4"/>
    <w:basedOn w:val="151"/>
    <w:next w:val="152"/>
    <w:qFormat/>
    <w:uiPriority w:val="0"/>
    <w:pPr>
      <w:tabs>
        <w:tab w:val="left" w:pos="2100"/>
      </w:tabs>
      <w:spacing w:after="50"/>
      <w:ind w:left="2100" w:hanging="420"/>
    </w:pPr>
  </w:style>
  <w:style w:type="paragraph" w:customStyle="1" w:styleId="151">
    <w:name w:val="样式 标题 4Chapter X.X.X.X. + 段后: 0.5 行1"/>
    <w:basedOn w:val="149"/>
    <w:qFormat/>
    <w:uiPriority w:val="0"/>
    <w:pPr>
      <w:spacing w:after="120"/>
    </w:pPr>
  </w:style>
  <w:style w:type="paragraph" w:customStyle="1" w:styleId="152">
    <w:name w:val="样式 正文"/>
    <w:basedOn w:val="1"/>
    <w:next w:val="1"/>
    <w:qFormat/>
    <w:uiPriority w:val="0"/>
    <w:pPr>
      <w:spacing w:afterLines="50"/>
    </w:pPr>
    <w:rPr>
      <w:rFonts w:ascii="宋体" w:cs="宋体"/>
      <w:kern w:val="0"/>
      <w:szCs w:val="20"/>
    </w:rPr>
  </w:style>
  <w:style w:type="paragraph" w:customStyle="1" w:styleId="153">
    <w:name w:val="Char Char"/>
    <w:basedOn w:val="1"/>
    <w:qFormat/>
    <w:uiPriority w:val="99"/>
    <w:pPr>
      <w:spacing w:line="240" w:lineRule="atLeast"/>
      <w:ind w:left="420" w:firstLine="420"/>
    </w:pPr>
    <w:rPr>
      <w:kern w:val="0"/>
      <w:szCs w:val="21"/>
    </w:rPr>
  </w:style>
  <w:style w:type="paragraph" w:customStyle="1" w:styleId="154">
    <w:name w:val="表格标题"/>
    <w:basedOn w:val="146"/>
    <w:qFormat/>
    <w:uiPriority w:val="0"/>
    <w:pPr>
      <w:jc w:val="center"/>
    </w:pPr>
    <w:rPr>
      <w:b/>
      <w:bCs/>
      <w:i/>
      <w:iCs/>
    </w:rPr>
  </w:style>
  <w:style w:type="paragraph" w:customStyle="1" w:styleId="155">
    <w:name w:val="样式 标题 1 + 段后: 0.5 行"/>
    <w:basedOn w:val="5"/>
    <w:qFormat/>
    <w:uiPriority w:val="0"/>
    <w:pPr>
      <w:keepLines w:val="0"/>
      <w:spacing w:before="120" w:afterLines="50" w:line="240" w:lineRule="auto"/>
    </w:pPr>
    <w:rPr>
      <w:rFonts w:ascii="宋体" w:cs="宋体"/>
      <w:kern w:val="0"/>
    </w:rPr>
  </w:style>
  <w:style w:type="paragraph" w:customStyle="1" w:styleId="156">
    <w:name w:val="最新标题3"/>
    <w:basedOn w:val="157"/>
    <w:next w:val="158"/>
    <w:qFormat/>
    <w:uiPriority w:val="0"/>
  </w:style>
  <w:style w:type="paragraph" w:customStyle="1" w:styleId="157">
    <w:name w:val="样式 标题 3"/>
    <w:basedOn w:val="7"/>
    <w:next w:val="158"/>
    <w:qFormat/>
    <w:uiPriority w:val="0"/>
    <w:pPr>
      <w:keepLines w:val="0"/>
      <w:autoSpaceDE/>
      <w:autoSpaceDN/>
      <w:adjustRightInd/>
      <w:spacing w:before="120" w:afterLines="50"/>
    </w:pPr>
    <w:rPr>
      <w:rFonts w:cs="宋体"/>
      <w:u w:val="none"/>
    </w:rPr>
  </w:style>
  <w:style w:type="paragraph" w:customStyle="1" w:styleId="158">
    <w:name w:val="最新标题4"/>
    <w:basedOn w:val="150"/>
    <w:next w:val="1"/>
    <w:qFormat/>
    <w:uiPriority w:val="0"/>
    <w:pPr>
      <w:tabs>
        <w:tab w:val="clear" w:pos="2100"/>
      </w:tabs>
      <w:spacing w:after="120"/>
      <w:ind w:left="0" w:firstLine="0"/>
    </w:pPr>
  </w:style>
  <w:style w:type="paragraph" w:customStyle="1" w:styleId="159">
    <w:name w:val="Char Char Char1 Char Char Char Char"/>
    <w:basedOn w:val="1"/>
    <w:qFormat/>
    <w:uiPriority w:val="99"/>
    <w:rPr>
      <w:rFonts w:ascii="仿宋_GB2312" w:eastAsia="仿宋_GB2312"/>
      <w:b/>
      <w:sz w:val="32"/>
      <w:szCs w:val="32"/>
    </w:rPr>
  </w:style>
  <w:style w:type="paragraph" w:customStyle="1" w:styleId="160">
    <w:name w:val="样式 标题 3Chapter X.X.X. + 段后: 0.5 行"/>
    <w:basedOn w:val="7"/>
    <w:qFormat/>
    <w:uiPriority w:val="0"/>
    <w:pPr>
      <w:keepLines w:val="0"/>
      <w:autoSpaceDE/>
      <w:autoSpaceDN/>
      <w:adjustRightInd/>
      <w:spacing w:before="120" w:afterLines="50"/>
    </w:pPr>
    <w:rPr>
      <w:rFonts w:cs="宋体"/>
      <w:u w:val="none"/>
    </w:rPr>
  </w:style>
  <w:style w:type="paragraph" w:customStyle="1" w:styleId="161">
    <w:name w:val="样式 标题 2Chapter X.X. Statementh22Header 2l2Level 2 Headhea..."/>
    <w:basedOn w:val="6"/>
    <w:qFormat/>
    <w:uiPriority w:val="0"/>
    <w:pPr>
      <w:keepLines w:val="0"/>
      <w:spacing w:before="120" w:afterLines="50" w:line="240" w:lineRule="auto"/>
    </w:pPr>
    <w:rPr>
      <w:rFonts w:ascii="宋体" w:hAnsi="Times New Roman" w:cs="宋体"/>
      <w:szCs w:val="24"/>
    </w:rPr>
  </w:style>
  <w:style w:type="paragraph" w:customStyle="1" w:styleId="162">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63">
    <w:name w:val="标准标题3"/>
    <w:basedOn w:val="7"/>
    <w:qFormat/>
    <w:uiPriority w:val="0"/>
    <w:pPr>
      <w:tabs>
        <w:tab w:val="left" w:pos="1050"/>
      </w:tabs>
      <w:autoSpaceDE/>
      <w:autoSpaceDN/>
      <w:adjustRightInd/>
      <w:spacing w:before="260" w:after="260"/>
      <w:ind w:left="-258" w:leftChars="-258"/>
      <w:jc w:val="both"/>
    </w:pPr>
    <w:rPr>
      <w:rFonts w:ascii="Times New Roman" w:eastAsia="仿宋_GB2312"/>
      <w:kern w:val="2"/>
      <w:sz w:val="28"/>
      <w:szCs w:val="32"/>
      <w:u w:val="none"/>
    </w:rPr>
  </w:style>
  <w:style w:type="paragraph" w:customStyle="1" w:styleId="164">
    <w:name w:val="样式 样式 正文文本缩进 + 仿宋_GB2312 小四 首行缩进:  0 厘米 行距: 1.5 倍行距 + (中文) 仿宋_GB... Char Char"/>
    <w:basedOn w:val="122"/>
    <w:qFormat/>
    <w:uiPriority w:val="0"/>
    <w:pPr>
      <w:ind w:firstLine="480"/>
    </w:pPr>
  </w:style>
  <w:style w:type="paragraph" w:customStyle="1" w:styleId="165">
    <w:name w:val="样式 标题 3Chapter X.X.X. + 段后: 0.5 行1"/>
    <w:basedOn w:val="7"/>
    <w:next w:val="1"/>
    <w:qFormat/>
    <w:uiPriority w:val="0"/>
    <w:pPr>
      <w:keepLines w:val="0"/>
      <w:autoSpaceDE/>
      <w:autoSpaceDN/>
      <w:adjustRightInd/>
      <w:spacing w:before="120" w:afterLines="50"/>
    </w:pPr>
    <w:rPr>
      <w:rFonts w:cs="宋体"/>
      <w:u w:val="none"/>
    </w:rPr>
  </w:style>
  <w:style w:type="paragraph" w:customStyle="1" w:styleId="166">
    <w:name w:val="最新标题1"/>
    <w:basedOn w:val="167"/>
    <w:next w:val="168"/>
    <w:qFormat/>
    <w:uiPriority w:val="0"/>
    <w:pPr>
      <w:tabs>
        <w:tab w:val="left" w:pos="1140"/>
      </w:tabs>
      <w:spacing w:after="120"/>
    </w:pPr>
    <w:rPr>
      <w:bCs/>
    </w:rPr>
  </w:style>
  <w:style w:type="paragraph" w:customStyle="1" w:styleId="167">
    <w:name w:val="样式 标题1"/>
    <w:basedOn w:val="155"/>
    <w:next w:val="168"/>
    <w:qFormat/>
    <w:uiPriority w:val="0"/>
    <w:pPr>
      <w:tabs>
        <w:tab w:val="left" w:pos="1140"/>
      </w:tabs>
      <w:spacing w:after="50"/>
      <w:ind w:left="1140" w:hanging="720"/>
    </w:pPr>
    <w:rPr>
      <w:sz w:val="32"/>
    </w:rPr>
  </w:style>
  <w:style w:type="paragraph" w:customStyle="1" w:styleId="168">
    <w:name w:val="最新标题2"/>
    <w:basedOn w:val="169"/>
    <w:next w:val="156"/>
    <w:qFormat/>
    <w:uiPriority w:val="0"/>
    <w:pPr>
      <w:spacing w:after="120"/>
    </w:pPr>
  </w:style>
  <w:style w:type="paragraph" w:customStyle="1" w:styleId="169">
    <w:name w:val="样式 标题 2"/>
    <w:basedOn w:val="6"/>
    <w:next w:val="156"/>
    <w:qFormat/>
    <w:uiPriority w:val="0"/>
    <w:pPr>
      <w:keepLines w:val="0"/>
      <w:spacing w:before="120" w:afterLines="50" w:line="240" w:lineRule="auto"/>
      <w:ind w:left="380" w:hanging="380"/>
    </w:pPr>
    <w:rPr>
      <w:rFonts w:ascii="宋体" w:hAnsi="Times New Roman" w:cs="宋体"/>
      <w:sz w:val="28"/>
    </w:rPr>
  </w:style>
  <w:style w:type="paragraph" w:customStyle="1" w:styleId="170">
    <w:name w:val="样式 样式 标题 3Chapter X.X.X. + 段后: 0.5 行 + 段后: 0.5 行"/>
    <w:basedOn w:val="160"/>
    <w:qFormat/>
    <w:uiPriority w:val="0"/>
  </w:style>
  <w:style w:type="paragraph" w:customStyle="1" w:styleId="171">
    <w:name w:val="正文1"/>
    <w:basedOn w:val="1"/>
    <w:qFormat/>
    <w:uiPriority w:val="99"/>
    <w:pPr>
      <w:adjustRightInd w:val="0"/>
      <w:spacing w:line="360" w:lineRule="atLeast"/>
      <w:textAlignment w:val="baseline"/>
    </w:pPr>
    <w:rPr>
      <w:kern w:val="0"/>
      <w:szCs w:val="20"/>
    </w:rPr>
  </w:style>
  <w:style w:type="paragraph" w:customStyle="1" w:styleId="172">
    <w:name w:val="样式 样式 样式 标题 3Chapter X.X.X. + 段后: 0.5 行 + 段后: 0.5 行 + 段后: 0.5 行"/>
    <w:basedOn w:val="170"/>
    <w:qFormat/>
    <w:uiPriority w:val="0"/>
  </w:style>
  <w:style w:type="paragraph" w:customStyle="1" w:styleId="173">
    <w:name w:val="Char Char Char"/>
    <w:basedOn w:val="1"/>
    <w:qFormat/>
    <w:uiPriority w:val="0"/>
    <w:rPr>
      <w:rFonts w:ascii="Tahoma" w:hAnsi="Tahoma"/>
      <w:szCs w:val="20"/>
    </w:rPr>
  </w:style>
  <w:style w:type="paragraph" w:customStyle="1" w:styleId="174">
    <w:name w:val="IBM 正文"/>
    <w:basedOn w:val="1"/>
    <w:qFormat/>
    <w:uiPriority w:val="0"/>
    <w:pPr>
      <w:spacing w:line="360" w:lineRule="atLeast"/>
    </w:pPr>
    <w:rPr>
      <w:szCs w:val="20"/>
    </w:rPr>
  </w:style>
  <w:style w:type="paragraph" w:customStyle="1" w:styleId="175">
    <w:name w:val="第1.3标题"/>
    <w:basedOn w:val="7"/>
    <w:next w:val="1"/>
    <w:qFormat/>
    <w:uiPriority w:val="99"/>
    <w:pPr>
      <w:keepNext w:val="0"/>
      <w:widowControl/>
      <w:spacing w:beforeLines="50" w:afterLines="50"/>
      <w:textAlignment w:val="baseline"/>
    </w:pPr>
    <w:rPr>
      <w:rFonts w:ascii="Times New Roman"/>
      <w:sz w:val="30"/>
      <w:u w:val="none"/>
    </w:rPr>
  </w:style>
  <w:style w:type="paragraph" w:customStyle="1" w:styleId="176">
    <w:name w:val="Paragraph1"/>
    <w:basedOn w:val="1"/>
    <w:qFormat/>
    <w:uiPriority w:val="0"/>
    <w:pPr>
      <w:spacing w:before="80" w:afterLines="50"/>
    </w:pPr>
    <w:rPr>
      <w:rFonts w:ascii="宋体"/>
      <w:kern w:val="0"/>
      <w:szCs w:val="20"/>
    </w:rPr>
  </w:style>
  <w:style w:type="paragraph" w:customStyle="1" w:styleId="177">
    <w:name w:val="Tabletext"/>
    <w:basedOn w:val="1"/>
    <w:qFormat/>
    <w:uiPriority w:val="0"/>
    <w:pPr>
      <w:keepLines/>
      <w:spacing w:afterLines="50"/>
    </w:pPr>
    <w:rPr>
      <w:rFonts w:ascii="宋体"/>
      <w:kern w:val="0"/>
      <w:szCs w:val="20"/>
    </w:rPr>
  </w:style>
  <w:style w:type="paragraph" w:customStyle="1" w:styleId="178">
    <w:name w:val="Char"/>
    <w:basedOn w:val="1"/>
    <w:qFormat/>
    <w:uiPriority w:val="0"/>
    <w:rPr>
      <w:szCs w:val="20"/>
    </w:rPr>
  </w:style>
  <w:style w:type="paragraph" w:customStyle="1" w:styleId="179">
    <w:name w:val="Char Char7 Char"/>
    <w:basedOn w:val="1"/>
    <w:qFormat/>
    <w:uiPriority w:val="99"/>
    <w:pPr>
      <w:tabs>
        <w:tab w:val="left" w:pos="425"/>
      </w:tabs>
      <w:ind w:left="420" w:leftChars="200" w:firstLine="270" w:firstLineChars="150"/>
    </w:pPr>
    <w:rPr>
      <w:szCs w:val="20"/>
    </w:rPr>
  </w:style>
  <w:style w:type="paragraph" w:customStyle="1" w:styleId="18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1">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82">
    <w:name w:val="此正文"/>
    <w:basedOn w:val="1"/>
    <w:qFormat/>
    <w:uiPriority w:val="0"/>
    <w:pPr>
      <w:ind w:firstLine="200"/>
    </w:pPr>
    <w:rPr>
      <w:szCs w:val="20"/>
    </w:rPr>
  </w:style>
  <w:style w:type="paragraph" w:customStyle="1" w:styleId="183">
    <w:name w:val="InfoBlue"/>
    <w:basedOn w:val="1"/>
    <w:next w:val="16"/>
    <w:qFormat/>
    <w:uiPriority w:val="0"/>
    <w:pPr>
      <w:spacing w:afterLines="50"/>
      <w:ind w:left="720"/>
    </w:pPr>
    <w:rPr>
      <w:rFonts w:ascii="宋体"/>
      <w:i/>
      <w:color w:val="0000FF"/>
      <w:kern w:val="0"/>
      <w:szCs w:val="20"/>
    </w:rPr>
  </w:style>
  <w:style w:type="paragraph" w:customStyle="1" w:styleId="184">
    <w:name w:val="S4-B-L15"/>
    <w:basedOn w:val="1"/>
    <w:qFormat/>
    <w:uiPriority w:val="0"/>
    <w:rPr>
      <w:b/>
      <w:bCs/>
    </w:rPr>
  </w:style>
  <w:style w:type="paragraph" w:customStyle="1" w:styleId="185">
    <w:name w:val="表格(五号)"/>
    <w:basedOn w:val="1"/>
    <w:qFormat/>
    <w:uiPriority w:val="0"/>
    <w:pPr>
      <w:adjustRightInd w:val="0"/>
      <w:snapToGrid w:val="0"/>
      <w:spacing w:line="300" w:lineRule="auto"/>
      <w:jc w:val="center"/>
    </w:pPr>
    <w:rPr>
      <w:kern w:val="0"/>
      <w:sz w:val="18"/>
      <w:szCs w:val="20"/>
    </w:rPr>
  </w:style>
  <w:style w:type="paragraph" w:customStyle="1" w:styleId="186">
    <w:name w:val="Table - Col. Head"/>
    <w:basedOn w:val="1"/>
    <w:qFormat/>
    <w:uiPriority w:val="0"/>
    <w:pPr>
      <w:keepNext/>
      <w:widowControl/>
      <w:spacing w:before="60" w:afterLines="50"/>
    </w:pPr>
    <w:rPr>
      <w:rFonts w:ascii="Arial" w:hAnsi="Arial"/>
      <w:b/>
      <w:kern w:val="0"/>
      <w:sz w:val="18"/>
      <w:szCs w:val="20"/>
      <w:lang w:eastAsia="en-US"/>
    </w:rPr>
  </w:style>
  <w:style w:type="paragraph" w:customStyle="1" w:styleId="187">
    <w:name w:val="表内文字"/>
    <w:basedOn w:val="1"/>
    <w:qFormat/>
    <w:uiPriority w:val="0"/>
    <w:pPr>
      <w:tabs>
        <w:tab w:val="left" w:pos="1418"/>
      </w:tabs>
      <w:jc w:val="center"/>
    </w:pPr>
    <w:rPr>
      <w:rFonts w:ascii="仿宋_GB2312" w:eastAsia="仿宋_GB2312"/>
      <w:spacing w:val="-20"/>
      <w:kern w:val="0"/>
    </w:rPr>
  </w:style>
  <w:style w:type="paragraph" w:customStyle="1" w:styleId="188">
    <w:name w:val="Char Char Char Char Char Char Char Char Char Char Char Char Char Char Char Char Char Char Char"/>
    <w:basedOn w:val="1"/>
    <w:qFormat/>
    <w:uiPriority w:val="99"/>
    <w:pPr>
      <w:widowControl/>
      <w:spacing w:before="100" w:beforeAutospacing="1" w:after="100" w:afterAutospacing="1" w:line="330" w:lineRule="atLeast"/>
      <w:ind w:left="360"/>
    </w:pPr>
    <w:rPr>
      <w:rFonts w:ascii="??" w:hAnsi="??" w:cs="宋体"/>
      <w:color w:val="51585D"/>
      <w:kern w:val="0"/>
      <w:szCs w:val="18"/>
    </w:rPr>
  </w:style>
  <w:style w:type="paragraph" w:customStyle="1" w:styleId="189">
    <w:name w:val="Char1"/>
    <w:basedOn w:val="1"/>
    <w:qFormat/>
    <w:uiPriority w:val="99"/>
    <w:pPr>
      <w:tabs>
        <w:tab w:val="left" w:pos="432"/>
      </w:tabs>
      <w:spacing w:beforeLines="50" w:afterLines="50"/>
      <w:ind w:left="432" w:hanging="432"/>
    </w:pPr>
  </w:style>
  <w:style w:type="paragraph" w:customStyle="1" w:styleId="190">
    <w:name w:val="样式 标题 2Chapter X.X. Statementh22Header 2l2Level 2 Headhea...1"/>
    <w:basedOn w:val="7"/>
    <w:qFormat/>
    <w:uiPriority w:val="0"/>
    <w:pPr>
      <w:keepLines w:val="0"/>
      <w:autoSpaceDE/>
      <w:autoSpaceDN/>
      <w:adjustRightInd/>
      <w:spacing w:before="120" w:afterLines="50"/>
    </w:pPr>
    <w:rPr>
      <w:rFonts w:cs="宋体"/>
      <w:u w:val="none"/>
    </w:rPr>
  </w:style>
  <w:style w:type="paragraph" w:customStyle="1" w:styleId="191">
    <w:name w:val="S4-L15"/>
    <w:basedOn w:val="1"/>
    <w:qFormat/>
    <w:uiPriority w:val="0"/>
    <w:pPr>
      <w:spacing w:after="120"/>
      <w:ind w:left="720" w:firstLine="392"/>
    </w:pPr>
    <w:rPr>
      <w:szCs w:val="21"/>
      <w:lang w:val="fr-FR"/>
    </w:rPr>
  </w:style>
  <w:style w:type="paragraph" w:customStyle="1" w:styleId="192">
    <w:name w:val="标准有序列表（L1）"/>
    <w:basedOn w:val="18"/>
    <w:qFormat/>
    <w:uiPriority w:val="0"/>
    <w:pPr>
      <w:tabs>
        <w:tab w:val="left" w:pos="0"/>
      </w:tabs>
      <w:ind w:firstLine="0"/>
    </w:pPr>
    <w:rPr>
      <w:rFonts w:ascii="黑体" w:eastAsia="黑体"/>
      <w:color w:val="000000"/>
    </w:rPr>
  </w:style>
  <w:style w:type="paragraph" w:customStyle="1" w:styleId="193">
    <w:name w:val="Char Char Char Char Char"/>
    <w:basedOn w:val="1"/>
    <w:qFormat/>
    <w:uiPriority w:val="0"/>
    <w:pPr>
      <w:widowControl/>
      <w:adjustRightInd w:val="0"/>
      <w:ind w:firstLine="200"/>
      <w:textAlignment w:val="baseline"/>
    </w:pPr>
  </w:style>
  <w:style w:type="paragraph" w:customStyle="1" w:styleId="194">
    <w:name w:val="标题1"/>
    <w:basedOn w:val="29"/>
    <w:qFormat/>
    <w:uiPriority w:val="0"/>
    <w:pPr>
      <w:spacing w:beforeLines="0" w:afterLines="0" w:line="360" w:lineRule="auto"/>
    </w:pPr>
    <w:rPr>
      <w:b/>
      <w:sz w:val="30"/>
    </w:rPr>
  </w:style>
  <w:style w:type="paragraph" w:customStyle="1" w:styleId="195">
    <w:name w:val="沈标题四"/>
    <w:basedOn w:val="8"/>
    <w:next w:val="1"/>
    <w:qFormat/>
    <w:uiPriority w:val="0"/>
    <w:pPr>
      <w:keepNext w:val="0"/>
      <w:keepLines w:val="0"/>
      <w:spacing w:line="377" w:lineRule="auto"/>
    </w:pPr>
    <w:rPr>
      <w:rFonts w:ascii="Arial Narrow" w:hAnsi="Arial Narrow" w:eastAsia="方正姚体"/>
      <w:sz w:val="24"/>
      <w:szCs w:val="24"/>
    </w:rPr>
  </w:style>
  <w:style w:type="paragraph" w:customStyle="1" w:styleId="196">
    <w:name w:val="样式 标题 1 + 五号"/>
    <w:basedOn w:val="5"/>
    <w:qFormat/>
    <w:uiPriority w:val="0"/>
    <w:pPr>
      <w:spacing w:line="240" w:lineRule="auto"/>
      <w:jc w:val="center"/>
    </w:pPr>
    <w:rPr>
      <w:sz w:val="32"/>
      <w:szCs w:val="32"/>
    </w:rPr>
  </w:style>
  <w:style w:type="paragraph" w:customStyle="1" w:styleId="197">
    <w:name w:val="表格11"/>
    <w:basedOn w:val="1"/>
    <w:qFormat/>
    <w:uiPriority w:val="99"/>
    <w:pPr>
      <w:widowControl/>
      <w:jc w:val="center"/>
    </w:pPr>
    <w:rPr>
      <w:rFonts w:ascii="宋体" w:hAnsi="宋体" w:cs="宋体"/>
      <w:b/>
      <w:kern w:val="0"/>
      <w:szCs w:val="21"/>
    </w:rPr>
  </w:style>
  <w:style w:type="paragraph" w:customStyle="1" w:styleId="198">
    <w:name w:val="huide00"/>
    <w:basedOn w:val="1"/>
    <w:qFormat/>
    <w:uiPriority w:val="0"/>
    <w:pPr>
      <w:widowControl/>
      <w:spacing w:before="100" w:beforeAutospacing="1" w:after="100" w:afterAutospacing="1"/>
    </w:pPr>
    <w:rPr>
      <w:rFonts w:ascii="Arial" w:hAnsi="Arial" w:cs="Arial"/>
      <w:color w:val="666666"/>
      <w:kern w:val="0"/>
      <w:sz w:val="18"/>
      <w:szCs w:val="18"/>
    </w:rPr>
  </w:style>
  <w:style w:type="paragraph" w:customStyle="1" w:styleId="199">
    <w:name w:val="样式 三号 加粗 段后: 0.5 行"/>
    <w:basedOn w:val="1"/>
    <w:qFormat/>
    <w:uiPriority w:val="0"/>
    <w:pPr>
      <w:spacing w:afterLines="50"/>
    </w:pPr>
    <w:rPr>
      <w:rFonts w:ascii="宋体" w:cs="宋体"/>
      <w:b/>
      <w:bCs/>
      <w:kern w:val="0"/>
      <w:sz w:val="32"/>
      <w:szCs w:val="20"/>
    </w:rPr>
  </w:style>
  <w:style w:type="paragraph" w:customStyle="1" w:styleId="200">
    <w:name w:val="Char21"/>
    <w:basedOn w:val="1"/>
    <w:qFormat/>
    <w:uiPriority w:val="99"/>
  </w:style>
  <w:style w:type="paragraph" w:customStyle="1" w:styleId="201">
    <w:name w:val="标题 3Chapter X.X.X. + 段后: 0.5 行 + 段后: 0.5 行 + 段后: 0.5 行1"/>
    <w:basedOn w:val="170"/>
    <w:qFormat/>
    <w:uiPriority w:val="0"/>
  </w:style>
  <w:style w:type="paragraph" w:customStyle="1" w:styleId="202">
    <w:name w:val="S4-I-L15-U"/>
    <w:basedOn w:val="1"/>
    <w:qFormat/>
    <w:uiPriority w:val="0"/>
    <w:rPr>
      <w:b/>
      <w:i/>
      <w:u w:val="single"/>
    </w:rPr>
  </w:style>
  <w:style w:type="paragraph" w:customStyle="1" w:styleId="203">
    <w:name w:val="Paragraph3"/>
    <w:basedOn w:val="1"/>
    <w:qFormat/>
    <w:uiPriority w:val="0"/>
    <w:pPr>
      <w:spacing w:before="80" w:afterLines="50"/>
      <w:ind w:left="1530"/>
    </w:pPr>
    <w:rPr>
      <w:rFonts w:ascii="宋体"/>
      <w:kern w:val="0"/>
      <w:szCs w:val="20"/>
    </w:rPr>
  </w:style>
  <w:style w:type="paragraph" w:customStyle="1" w:styleId="204">
    <w:name w:val="样式 样式 正文文本缩进 + 仿宋_GB2312 小四 首行缩进:  0 厘米 行距: 1.5 倍行距 + (中文) 仿宋_GB..."/>
    <w:basedOn w:val="122"/>
    <w:qFormat/>
    <w:uiPriority w:val="0"/>
    <w:pPr>
      <w:ind w:firstLine="480"/>
    </w:pPr>
  </w:style>
  <w:style w:type="paragraph" w:customStyle="1" w:styleId="205">
    <w:name w:val="样式 标题 1 + 五号1 Char Char Char Char Char Char Char Char Char Char Char Char Char Char Char Char Char"/>
    <w:basedOn w:val="5"/>
    <w:qFormat/>
    <w:uiPriority w:val="0"/>
    <w:pPr>
      <w:spacing w:line="480" w:lineRule="auto"/>
    </w:pPr>
    <w:rPr>
      <w:sz w:val="21"/>
    </w:rPr>
  </w:style>
  <w:style w:type="paragraph" w:customStyle="1" w:styleId="206">
    <w:name w:val="纯文本1"/>
    <w:basedOn w:val="207"/>
    <w:qFormat/>
    <w:uiPriority w:val="0"/>
    <w:pPr>
      <w:adjustRightInd w:val="0"/>
    </w:pPr>
    <w:rPr>
      <w:rFonts w:ascii="宋体" w:hAnsi="Courier New" w:eastAsia="楷体_GB2312"/>
      <w:sz w:val="28"/>
    </w:rPr>
  </w:style>
  <w:style w:type="paragraph" w:customStyle="1" w:styleId="207">
    <w:name w:val="正文2"/>
    <w:basedOn w:val="1"/>
    <w:qFormat/>
    <w:uiPriority w:val="0"/>
    <w:pPr>
      <w:spacing w:beforeLines="50" w:afterLines="50"/>
      <w:ind w:firstLine="480"/>
    </w:pPr>
    <w:rPr>
      <w:rFonts w:ascii="仿宋_GB2312"/>
      <w:szCs w:val="20"/>
    </w:rPr>
  </w:style>
  <w:style w:type="paragraph" w:customStyle="1" w:styleId="208">
    <w:name w:val="Table - Text"/>
    <w:basedOn w:val="1"/>
    <w:qFormat/>
    <w:uiPriority w:val="0"/>
    <w:pPr>
      <w:widowControl/>
      <w:spacing w:before="60" w:afterLines="50"/>
    </w:pPr>
    <w:rPr>
      <w:kern w:val="0"/>
      <w:szCs w:val="20"/>
      <w:lang w:eastAsia="en-US"/>
    </w:rPr>
  </w:style>
  <w:style w:type="paragraph" w:customStyle="1" w:styleId="209">
    <w:name w:val="样式 标题 3(A-3)sect1.2.3h3H3level_3PIM 3Level 3 HeadHeading..."/>
    <w:basedOn w:val="7"/>
    <w:qFormat/>
    <w:uiPriority w:val="0"/>
    <w:pPr>
      <w:autoSpaceDE/>
      <w:autoSpaceDN/>
      <w:adjustRightInd/>
      <w:spacing w:before="260" w:after="260" w:line="416" w:lineRule="auto"/>
      <w:jc w:val="both"/>
    </w:pPr>
    <w:rPr>
      <w:rFonts w:ascii="Arial" w:hAnsi="Arial"/>
      <w:kern w:val="2"/>
      <w:sz w:val="30"/>
      <w:szCs w:val="32"/>
      <w:u w:val="none"/>
    </w:rPr>
  </w:style>
  <w:style w:type="paragraph" w:customStyle="1" w:styleId="210">
    <w:name w:val="表格正文"/>
    <w:basedOn w:val="1"/>
    <w:qFormat/>
    <w:uiPriority w:val="0"/>
    <w:pPr>
      <w:adjustRightInd w:val="0"/>
      <w:snapToGrid w:val="0"/>
      <w:spacing w:before="60" w:after="60"/>
      <w:jc w:val="center"/>
      <w:textAlignment w:val="baseline"/>
    </w:pPr>
    <w:rPr>
      <w:kern w:val="0"/>
      <w:szCs w:val="20"/>
    </w:rPr>
  </w:style>
  <w:style w:type="paragraph" w:customStyle="1" w:styleId="211">
    <w:name w:val="Char Char Char Char Char Char Char Char Char"/>
    <w:basedOn w:val="1"/>
    <w:qFormat/>
    <w:uiPriority w:val="99"/>
    <w:rPr>
      <w:rFonts w:ascii="Tahoma" w:hAnsi="Tahoma" w:eastAsia="仿宋_GB2312"/>
      <w:szCs w:val="20"/>
    </w:rPr>
  </w:style>
  <w:style w:type="paragraph" w:customStyle="1" w:styleId="212">
    <w:name w:val="列出段落1"/>
    <w:basedOn w:val="1"/>
    <w:qFormat/>
    <w:uiPriority w:val="0"/>
    <w:pPr>
      <w:ind w:firstLine="420"/>
    </w:pPr>
    <w:rPr>
      <w:rFonts w:ascii="Calibri" w:hAnsi="Calibri"/>
      <w:szCs w:val="22"/>
    </w:rPr>
  </w:style>
  <w:style w:type="paragraph" w:customStyle="1" w:styleId="213">
    <w:name w:val="标准标题1"/>
    <w:basedOn w:val="5"/>
    <w:qFormat/>
    <w:uiPriority w:val="0"/>
    <w:pPr>
      <w:pageBreakBefore/>
      <w:tabs>
        <w:tab w:val="left" w:pos="1080"/>
      </w:tabs>
      <w:ind w:left="425" w:hanging="425"/>
    </w:pPr>
    <w:rPr>
      <w:rFonts w:eastAsia="仿宋_GB2312"/>
      <w:sz w:val="32"/>
    </w:rPr>
  </w:style>
  <w:style w:type="paragraph" w:customStyle="1" w:styleId="214">
    <w:name w:val="Char Char Char Char"/>
    <w:basedOn w:val="1"/>
    <w:qFormat/>
    <w:uiPriority w:val="0"/>
  </w:style>
  <w:style w:type="paragraph" w:customStyle="1" w:styleId="215">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216">
    <w:name w:val="Char Char Char Char1 Char Char1"/>
    <w:basedOn w:val="1"/>
    <w:qFormat/>
    <w:uiPriority w:val="99"/>
    <w:pPr>
      <w:widowControl/>
      <w:spacing w:after="160" w:line="240" w:lineRule="exact"/>
    </w:pPr>
    <w:rPr>
      <w:rFonts w:ascii="Verdana" w:hAnsi="Verdana"/>
      <w:kern w:val="0"/>
      <w:sz w:val="20"/>
      <w:szCs w:val="20"/>
      <w:lang w:eastAsia="en-US"/>
    </w:rPr>
  </w:style>
  <w:style w:type="paragraph" w:customStyle="1" w:styleId="217">
    <w:name w:val="Bullet1"/>
    <w:basedOn w:val="1"/>
    <w:qFormat/>
    <w:uiPriority w:val="0"/>
    <w:pPr>
      <w:spacing w:afterLines="50"/>
      <w:ind w:left="720" w:hanging="432"/>
    </w:pPr>
    <w:rPr>
      <w:rFonts w:ascii="宋体"/>
      <w:kern w:val="0"/>
      <w:szCs w:val="20"/>
    </w:rPr>
  </w:style>
  <w:style w:type="paragraph" w:customStyle="1" w:styleId="218">
    <w:name w:val="列出段落11"/>
    <w:basedOn w:val="1"/>
    <w:qFormat/>
    <w:uiPriority w:val="99"/>
    <w:pPr>
      <w:ind w:firstLine="420"/>
    </w:pPr>
    <w:rPr>
      <w:rFonts w:ascii="Calibri" w:hAnsi="Calibri"/>
      <w:szCs w:val="22"/>
    </w:rPr>
  </w:style>
  <w:style w:type="paragraph" w:customStyle="1" w:styleId="21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220">
    <w:name w:val="Proposals body"/>
    <w:basedOn w:val="1"/>
    <w:next w:val="1"/>
    <w:qFormat/>
    <w:uiPriority w:val="0"/>
    <w:pPr>
      <w:widowControl/>
    </w:pPr>
    <w:rPr>
      <w:rFonts w:ascii="宋体"/>
      <w:color w:val="000000"/>
      <w:kern w:val="0"/>
      <w:szCs w:val="20"/>
    </w:rPr>
  </w:style>
  <w:style w:type="paragraph" w:customStyle="1" w:styleId="221">
    <w:name w:val="二级项目符号"/>
    <w:basedOn w:val="1"/>
    <w:qFormat/>
    <w:uiPriority w:val="0"/>
    <w:pPr>
      <w:widowControl/>
      <w:tabs>
        <w:tab w:val="left" w:pos="964"/>
      </w:tabs>
      <w:ind w:left="964" w:hanging="482"/>
    </w:pPr>
    <w:rPr>
      <w:kern w:val="0"/>
      <w:szCs w:val="20"/>
    </w:rPr>
  </w:style>
  <w:style w:type="paragraph" w:customStyle="1" w:styleId="222">
    <w:name w:val="列表内容"/>
    <w:basedOn w:val="1"/>
    <w:next w:val="1"/>
    <w:qFormat/>
    <w:uiPriority w:val="99"/>
    <w:pPr>
      <w:widowControl/>
      <w:tabs>
        <w:tab w:val="left" w:pos="840"/>
      </w:tabs>
      <w:ind w:left="840" w:hanging="420"/>
    </w:pPr>
    <w:rPr>
      <w:kern w:val="0"/>
      <w:sz w:val="18"/>
      <w:szCs w:val="20"/>
    </w:rPr>
  </w:style>
  <w:style w:type="paragraph" w:customStyle="1" w:styleId="223">
    <w:name w:val="P2"/>
    <w:basedOn w:val="1"/>
    <w:qFormat/>
    <w:uiPriority w:val="0"/>
    <w:pPr>
      <w:widowControl/>
      <w:spacing w:before="240" w:line="240" w:lineRule="atLeast"/>
      <w:ind w:left="578"/>
    </w:pPr>
    <w:rPr>
      <w:b/>
      <w:kern w:val="0"/>
      <w:szCs w:val="21"/>
      <w:lang w:val="en-AU" w:eastAsia="en-US"/>
    </w:rPr>
  </w:style>
  <w:style w:type="paragraph" w:customStyle="1" w:styleId="224">
    <w:name w:val="样式 标题 3Chapter X.X.X"/>
    <w:basedOn w:val="201"/>
    <w:qFormat/>
    <w:uiPriority w:val="0"/>
  </w:style>
  <w:style w:type="paragraph" w:customStyle="1" w:styleId="225">
    <w:name w:val="样式 左侧:  1 厘米 段后: 0.5 行"/>
    <w:basedOn w:val="1"/>
    <w:qFormat/>
    <w:uiPriority w:val="0"/>
    <w:pPr>
      <w:spacing w:afterLines="50"/>
      <w:ind w:firstLine="425"/>
    </w:pPr>
    <w:rPr>
      <w:rFonts w:ascii="宋体" w:cs="宋体"/>
      <w:kern w:val="0"/>
      <w:szCs w:val="20"/>
    </w:rPr>
  </w:style>
  <w:style w:type="paragraph" w:customStyle="1" w:styleId="226">
    <w:name w:val="Style-正文"/>
    <w:basedOn w:val="1"/>
    <w:qFormat/>
    <w:uiPriority w:val="0"/>
    <w:pPr>
      <w:ind w:firstLine="420"/>
    </w:pPr>
    <w:rPr>
      <w:rFonts w:ascii="宋体" w:hAnsi="宋体"/>
    </w:rPr>
  </w:style>
  <w:style w:type="paragraph" w:customStyle="1" w:styleId="227">
    <w:name w:val="Plain Text1"/>
    <w:basedOn w:val="1"/>
    <w:qFormat/>
    <w:uiPriority w:val="0"/>
    <w:pPr>
      <w:autoSpaceDE w:val="0"/>
      <w:autoSpaceDN w:val="0"/>
      <w:adjustRightInd w:val="0"/>
    </w:pPr>
    <w:rPr>
      <w:rFonts w:ascii="宋体" w:hAnsi="宋体"/>
      <w:szCs w:val="20"/>
    </w:rPr>
  </w:style>
  <w:style w:type="paragraph" w:customStyle="1" w:styleId="228">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229">
    <w:name w:val="样式 模板描述"/>
    <w:basedOn w:val="1"/>
    <w:next w:val="152"/>
    <w:qFormat/>
    <w:uiPriority w:val="0"/>
    <w:pPr>
      <w:spacing w:afterLines="50"/>
    </w:pPr>
    <w:rPr>
      <w:rFonts w:ascii="宋体" w:cs="宋体"/>
      <w:i/>
      <w:iCs/>
      <w:color w:val="0000FF"/>
      <w:kern w:val="0"/>
      <w:szCs w:val="21"/>
    </w:rPr>
  </w:style>
  <w:style w:type="paragraph" w:customStyle="1" w:styleId="230">
    <w:name w:val="Char2"/>
    <w:basedOn w:val="1"/>
    <w:qFormat/>
    <w:uiPriority w:val="99"/>
    <w:pPr>
      <w:tabs>
        <w:tab w:val="left" w:pos="432"/>
      </w:tabs>
      <w:spacing w:beforeLines="50" w:afterLines="50"/>
      <w:ind w:left="432" w:hanging="432"/>
    </w:pPr>
  </w:style>
  <w:style w:type="paragraph" w:customStyle="1" w:styleId="231">
    <w:name w:val="Bullet2"/>
    <w:basedOn w:val="1"/>
    <w:qFormat/>
    <w:uiPriority w:val="0"/>
    <w:pPr>
      <w:spacing w:afterLines="50"/>
      <w:ind w:left="1440" w:hanging="360"/>
    </w:pPr>
    <w:rPr>
      <w:rFonts w:ascii="宋体"/>
      <w:color w:val="000080"/>
      <w:kern w:val="0"/>
      <w:szCs w:val="20"/>
    </w:rPr>
  </w:style>
  <w:style w:type="paragraph" w:customStyle="1" w:styleId="232">
    <w:name w:val="S4-I-U-L15-No-dot"/>
    <w:basedOn w:val="1"/>
    <w:qFormat/>
    <w:uiPriority w:val="0"/>
    <w:pPr>
      <w:tabs>
        <w:tab w:val="left" w:pos="1112"/>
      </w:tabs>
      <w:spacing w:after="120"/>
      <w:ind w:left="1112" w:hanging="420"/>
    </w:pPr>
    <w:rPr>
      <w:i/>
      <w:u w:val="single"/>
    </w:rPr>
  </w:style>
  <w:style w:type="paragraph" w:customStyle="1" w:styleId="233">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234">
    <w:name w:val="样式 样式 标题 4 + 段后: 0.5 行1"/>
    <w:basedOn w:val="149"/>
    <w:next w:val="32"/>
    <w:qFormat/>
    <w:uiPriority w:val="0"/>
    <w:pPr>
      <w:spacing w:after="120"/>
    </w:pPr>
  </w:style>
  <w:style w:type="paragraph" w:customStyle="1" w:styleId="235">
    <w:name w:val="文档正文"/>
    <w:basedOn w:val="1"/>
    <w:qFormat/>
    <w:uiPriority w:val="0"/>
    <w:pPr>
      <w:adjustRightInd w:val="0"/>
      <w:spacing w:line="440" w:lineRule="exact"/>
      <w:ind w:firstLine="567"/>
      <w:textAlignment w:val="baseline"/>
    </w:pPr>
    <w:rPr>
      <w:rFonts w:ascii="Arial Narrow" w:hAnsi="Arial Narrow"/>
      <w:kern w:val="0"/>
    </w:rPr>
  </w:style>
  <w:style w:type="paragraph" w:customStyle="1" w:styleId="236">
    <w:name w:val="文本框内文字"/>
    <w:basedOn w:val="1"/>
    <w:qFormat/>
    <w:uiPriority w:val="0"/>
    <w:pPr>
      <w:spacing w:line="240" w:lineRule="atLeast"/>
    </w:pPr>
    <w:rPr>
      <w:rFonts w:eastAsia="仿宋_GB2312"/>
      <w:sz w:val="22"/>
    </w:rPr>
  </w:style>
  <w:style w:type="paragraph" w:customStyle="1" w:styleId="237">
    <w:name w:val="样式 样式 标题 4 + 段后: 0.5 行 + 段后: 0.5 行"/>
    <w:basedOn w:val="149"/>
    <w:qFormat/>
    <w:uiPriority w:val="0"/>
  </w:style>
  <w:style w:type="paragraph" w:customStyle="1" w:styleId="238">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239">
    <w:name w:val="paragraph1"/>
    <w:basedOn w:val="1"/>
    <w:qFormat/>
    <w:uiPriority w:val="0"/>
    <w:pPr>
      <w:spacing w:afterLines="30"/>
      <w:ind w:firstLine="420"/>
    </w:pPr>
    <w:rPr>
      <w:rFonts w:eastAsia="楷体_GB2312"/>
      <w:szCs w:val="20"/>
    </w:rPr>
  </w:style>
  <w:style w:type="paragraph" w:customStyle="1" w:styleId="240">
    <w:name w:val="S4-L15-No"/>
    <w:basedOn w:val="191"/>
    <w:qFormat/>
    <w:uiPriority w:val="0"/>
    <w:pPr>
      <w:tabs>
        <w:tab w:val="left" w:pos="720"/>
      </w:tabs>
      <w:ind w:hanging="720"/>
    </w:pPr>
  </w:style>
  <w:style w:type="paragraph" w:customStyle="1" w:styleId="241">
    <w:name w:val="广咨正文"/>
    <w:basedOn w:val="1"/>
    <w:qFormat/>
    <w:uiPriority w:val="99"/>
    <w:pPr>
      <w:snapToGrid w:val="0"/>
      <w:ind w:firstLine="480"/>
    </w:pPr>
    <w:rPr>
      <w:szCs w:val="20"/>
    </w:rPr>
  </w:style>
  <w:style w:type="paragraph" w:customStyle="1" w:styleId="242">
    <w:name w:val="样式 样式3 + 宋体 五号 Char Char Char"/>
    <w:basedOn w:val="1"/>
    <w:qFormat/>
    <w:uiPriority w:val="0"/>
    <w:pPr>
      <w:keepNext/>
      <w:keepLines/>
      <w:tabs>
        <w:tab w:val="left" w:pos="1050"/>
      </w:tabs>
      <w:ind w:left="1050" w:hanging="450"/>
      <w:outlineLvl w:val="7"/>
    </w:pPr>
    <w:rPr>
      <w:rFonts w:ascii="宋体" w:hAnsi="宋体"/>
      <w:b/>
      <w:bCs/>
    </w:rPr>
  </w:style>
  <w:style w:type="paragraph" w:customStyle="1" w:styleId="243">
    <w:name w:val="font5"/>
    <w:basedOn w:val="1"/>
    <w:qFormat/>
    <w:uiPriority w:val="0"/>
    <w:pPr>
      <w:widowControl/>
      <w:spacing w:before="100" w:beforeAutospacing="1" w:after="100" w:afterAutospacing="1"/>
    </w:pPr>
    <w:rPr>
      <w:rFonts w:ascii="宋体" w:hAnsi="宋体"/>
      <w:kern w:val="0"/>
      <w:sz w:val="18"/>
      <w:szCs w:val="18"/>
    </w:rPr>
  </w:style>
  <w:style w:type="paragraph" w:customStyle="1" w:styleId="244">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245">
    <w:name w:val="列出段落2"/>
    <w:basedOn w:val="1"/>
    <w:qFormat/>
    <w:uiPriority w:val="99"/>
    <w:pPr>
      <w:widowControl/>
      <w:spacing w:after="200" w:line="276" w:lineRule="auto"/>
      <w:ind w:left="720"/>
      <w:contextualSpacing/>
    </w:pPr>
    <w:rPr>
      <w:rFonts w:ascii="Calibri" w:hAnsi="Calibri"/>
      <w:kern w:val="0"/>
      <w:sz w:val="22"/>
      <w:szCs w:val="22"/>
    </w:rPr>
  </w:style>
  <w:style w:type="paragraph" w:customStyle="1" w:styleId="246">
    <w:name w:val="正文段"/>
    <w:basedOn w:val="1"/>
    <w:qFormat/>
    <w:uiPriority w:val="0"/>
    <w:pPr>
      <w:widowControl/>
      <w:snapToGrid w:val="0"/>
      <w:spacing w:afterLines="50"/>
      <w:ind w:firstLine="200"/>
    </w:pPr>
    <w:rPr>
      <w:kern w:val="0"/>
      <w:szCs w:val="20"/>
    </w:rPr>
  </w:style>
  <w:style w:type="paragraph" w:customStyle="1" w:styleId="247">
    <w:name w:val="正文 1.5 倍行距"/>
    <w:basedOn w:val="1"/>
    <w:qFormat/>
    <w:uiPriority w:val="99"/>
    <w:pPr>
      <w:autoSpaceDE w:val="0"/>
      <w:autoSpaceDN w:val="0"/>
      <w:adjustRightInd w:val="0"/>
      <w:ind w:firstLine="200"/>
      <w:textAlignment w:val="baseline"/>
    </w:pPr>
    <w:rPr>
      <w:kern w:val="0"/>
      <w:sz w:val="28"/>
      <w:szCs w:val="20"/>
    </w:rPr>
  </w:style>
  <w:style w:type="paragraph" w:customStyle="1" w:styleId="248">
    <w:name w:val="Bullet"/>
    <w:basedOn w:val="1"/>
    <w:qFormat/>
    <w:uiPriority w:val="0"/>
    <w:pPr>
      <w:widowControl/>
      <w:tabs>
        <w:tab w:val="left" w:pos="720"/>
        <w:tab w:val="left" w:pos="964"/>
      </w:tabs>
      <w:spacing w:before="120" w:afterLines="50"/>
      <w:ind w:left="720" w:right="360" w:hanging="482"/>
    </w:pPr>
    <w:rPr>
      <w:rFonts w:ascii="宋体"/>
      <w:kern w:val="0"/>
      <w:szCs w:val="20"/>
    </w:rPr>
  </w:style>
  <w:style w:type="paragraph" w:customStyle="1" w:styleId="249">
    <w:name w:val="首行缩进"/>
    <w:basedOn w:val="1"/>
    <w:qFormat/>
    <w:uiPriority w:val="0"/>
    <w:pPr>
      <w:widowControl/>
      <w:tabs>
        <w:tab w:val="left" w:pos="822"/>
      </w:tabs>
      <w:snapToGrid w:val="0"/>
      <w:spacing w:before="40" w:after="40" w:line="300" w:lineRule="atLeast"/>
      <w:ind w:left="1701"/>
    </w:pPr>
    <w:rPr>
      <w:rFonts w:ascii="Arial" w:hAnsi="Arial"/>
      <w:kern w:val="0"/>
      <w:szCs w:val="20"/>
    </w:rPr>
  </w:style>
  <w:style w:type="paragraph" w:customStyle="1" w:styleId="250">
    <w:name w:val="样式 标题 4Chapter X.X.X. + 段后: 0.5 行1 + 段后: 0.5 行"/>
    <w:basedOn w:val="143"/>
    <w:qFormat/>
    <w:uiPriority w:val="0"/>
    <w:rPr>
      <w:szCs w:val="21"/>
    </w:rPr>
  </w:style>
  <w:style w:type="paragraph" w:customStyle="1" w:styleId="251">
    <w:name w:val="P1"/>
    <w:basedOn w:val="1"/>
    <w:qFormat/>
    <w:uiPriority w:val="0"/>
    <w:pPr>
      <w:widowControl/>
      <w:spacing w:before="240" w:line="240" w:lineRule="atLeast"/>
    </w:pPr>
    <w:rPr>
      <w:b/>
      <w:kern w:val="0"/>
      <w:szCs w:val="21"/>
      <w:lang w:val="en-AU" w:eastAsia="en-US"/>
    </w:rPr>
  </w:style>
  <w:style w:type="paragraph" w:customStyle="1" w:styleId="252">
    <w:name w:val="Char Char Char Char Char Char"/>
    <w:basedOn w:val="1"/>
    <w:qFormat/>
    <w:uiPriority w:val="99"/>
    <w:pPr>
      <w:widowControl/>
      <w:spacing w:after="160" w:line="240" w:lineRule="exact"/>
    </w:pPr>
    <w:rPr>
      <w:rFonts w:ascii="Verdana" w:hAnsi="Verdana"/>
      <w:kern w:val="0"/>
      <w:sz w:val="20"/>
      <w:szCs w:val="20"/>
      <w:lang w:eastAsia="en-US"/>
    </w:rPr>
  </w:style>
  <w:style w:type="paragraph" w:customStyle="1" w:styleId="253">
    <w:name w:val="Char3 Char Char Char1"/>
    <w:basedOn w:val="1"/>
    <w:qFormat/>
    <w:uiPriority w:val="99"/>
    <w:pPr>
      <w:widowControl/>
      <w:spacing w:after="160" w:line="240" w:lineRule="exact"/>
    </w:pPr>
  </w:style>
  <w:style w:type="paragraph" w:customStyle="1" w:styleId="254">
    <w:name w:val="默认段落字体 Para Char Char Char Char Char Char Char Char Char1 Char Char Char Char"/>
    <w:basedOn w:val="1"/>
    <w:qFormat/>
    <w:uiPriority w:val="0"/>
    <w:rPr>
      <w:rFonts w:ascii="Tahoma" w:hAnsi="Tahoma"/>
      <w:szCs w:val="20"/>
    </w:rPr>
  </w:style>
  <w:style w:type="paragraph" w:styleId="255">
    <w:name w:val="List Paragraph"/>
    <w:basedOn w:val="1"/>
    <w:link w:val="256"/>
    <w:qFormat/>
    <w:uiPriority w:val="34"/>
    <w:pPr>
      <w:ind w:firstLine="420"/>
    </w:pPr>
  </w:style>
  <w:style w:type="character" w:customStyle="1" w:styleId="256">
    <w:name w:val="列出段落 字符"/>
    <w:link w:val="255"/>
    <w:qFormat/>
    <w:uiPriority w:val="34"/>
    <w:rPr>
      <w:kern w:val="2"/>
      <w:sz w:val="21"/>
      <w:szCs w:val="24"/>
    </w:rPr>
  </w:style>
  <w:style w:type="character" w:customStyle="1" w:styleId="257">
    <w:name w:val="apple-converted-space"/>
    <w:qFormat/>
    <w:uiPriority w:val="99"/>
  </w:style>
  <w:style w:type="character" w:customStyle="1" w:styleId="258">
    <w:name w:val="标题 2 Char1"/>
    <w:qFormat/>
    <w:uiPriority w:val="99"/>
    <w:rPr>
      <w:rFonts w:ascii="Arial" w:hAnsi="Arial" w:eastAsia="宋体"/>
      <w:b/>
      <w:bCs/>
      <w:kern w:val="2"/>
      <w:sz w:val="28"/>
      <w:szCs w:val="32"/>
      <w:lang w:val="en-US" w:eastAsia="zh-CN" w:bidi="ar-SA"/>
    </w:rPr>
  </w:style>
  <w:style w:type="paragraph" w:customStyle="1" w:styleId="259">
    <w:name w:val="msonormal msonormal"/>
    <w:basedOn w:val="1"/>
    <w:qFormat/>
    <w:uiPriority w:val="99"/>
    <w:pPr>
      <w:widowControl/>
      <w:spacing w:before="100" w:beforeAutospacing="1" w:after="100" w:afterAutospacing="1"/>
    </w:pPr>
    <w:rPr>
      <w:rFonts w:ascii="宋体" w:hAnsi="宋体" w:cs="宋体"/>
      <w:kern w:val="0"/>
    </w:rPr>
  </w:style>
  <w:style w:type="paragraph" w:customStyle="1" w:styleId="260">
    <w:name w:val="msoplaintext msoplaintext"/>
    <w:basedOn w:val="1"/>
    <w:qFormat/>
    <w:uiPriority w:val="99"/>
    <w:pPr>
      <w:widowControl/>
      <w:spacing w:before="100" w:beforeAutospacing="1" w:after="100" w:afterAutospacing="1"/>
    </w:pPr>
    <w:rPr>
      <w:rFonts w:ascii="宋体" w:hAnsi="宋体" w:cs="宋体"/>
      <w:kern w:val="0"/>
    </w:rPr>
  </w:style>
  <w:style w:type="paragraph" w:customStyle="1" w:styleId="261">
    <w:name w:val="壹"/>
    <w:basedOn w:val="262"/>
    <w:qFormat/>
    <w:uiPriority w:val="0"/>
    <w:pPr>
      <w:numPr>
        <w:ilvl w:val="0"/>
        <w:numId w:val="2"/>
      </w:numPr>
    </w:pPr>
  </w:style>
  <w:style w:type="paragraph" w:customStyle="1" w:styleId="262">
    <w:name w:val="一级标题"/>
    <w:basedOn w:val="1"/>
    <w:qFormat/>
    <w:uiPriority w:val="0"/>
    <w:pPr>
      <w:jc w:val="center"/>
      <w:outlineLvl w:val="0"/>
    </w:pPr>
    <w:rPr>
      <w:rFonts w:eastAsia="黑体"/>
      <w:b/>
      <w:sz w:val="36"/>
    </w:rPr>
  </w:style>
  <w:style w:type="paragraph" w:customStyle="1" w:styleId="263">
    <w:name w:val="贰"/>
    <w:basedOn w:val="264"/>
    <w:qFormat/>
    <w:uiPriority w:val="0"/>
    <w:pPr>
      <w:numPr>
        <w:ilvl w:val="1"/>
        <w:numId w:val="2"/>
      </w:numPr>
    </w:pPr>
    <w:rPr>
      <w:sz w:val="32"/>
    </w:rPr>
  </w:style>
  <w:style w:type="paragraph" w:customStyle="1" w:styleId="264">
    <w:name w:val="二级标题"/>
    <w:basedOn w:val="1"/>
    <w:qFormat/>
    <w:uiPriority w:val="0"/>
    <w:pPr>
      <w:widowControl/>
      <w:autoSpaceDE w:val="0"/>
      <w:autoSpaceDN w:val="0"/>
      <w:adjustRightInd w:val="0"/>
      <w:outlineLvl w:val="1"/>
    </w:pPr>
    <w:rPr>
      <w:rFonts w:ascii="宋体" w:hAnsi="宋体" w:eastAsia="黑体"/>
      <w:b/>
      <w:kern w:val="0"/>
      <w:sz w:val="30"/>
      <w:szCs w:val="28"/>
    </w:rPr>
  </w:style>
  <w:style w:type="paragraph" w:customStyle="1" w:styleId="265">
    <w:name w:val="叁"/>
    <w:basedOn w:val="1"/>
    <w:qFormat/>
    <w:uiPriority w:val="0"/>
    <w:pPr>
      <w:numPr>
        <w:ilvl w:val="2"/>
        <w:numId w:val="2"/>
      </w:numPr>
      <w:outlineLvl w:val="2"/>
    </w:pPr>
    <w:rPr>
      <w:rFonts w:eastAsia="黑体"/>
      <w:b/>
      <w:sz w:val="30"/>
    </w:rPr>
  </w:style>
  <w:style w:type="paragraph" w:customStyle="1" w:styleId="266">
    <w:name w:val="肆"/>
    <w:basedOn w:val="265"/>
    <w:qFormat/>
    <w:uiPriority w:val="0"/>
    <w:pPr>
      <w:numPr>
        <w:ilvl w:val="3"/>
      </w:numPr>
      <w:outlineLvl w:val="3"/>
    </w:pPr>
    <w:rPr>
      <w:sz w:val="28"/>
    </w:rPr>
  </w:style>
  <w:style w:type="character" w:customStyle="1" w:styleId="267">
    <w:name w:val="font01"/>
    <w:qFormat/>
    <w:uiPriority w:val="0"/>
    <w:rPr>
      <w:rFonts w:hint="eastAsia" w:ascii="宋体" w:hAnsi="宋体" w:eastAsia="宋体" w:cs="宋体"/>
      <w:color w:val="000000"/>
      <w:sz w:val="21"/>
      <w:szCs w:val="21"/>
      <w:u w:val="none"/>
    </w:rPr>
  </w:style>
  <w:style w:type="paragraph" w:customStyle="1" w:styleId="268">
    <w:name w:val="表格文字"/>
    <w:basedOn w:val="1"/>
    <w:next w:val="16"/>
    <w:qFormat/>
    <w:uiPriority w:val="0"/>
    <w:pPr>
      <w:jc w:val="center"/>
    </w:pPr>
    <w:rPr>
      <w:szCs w:val="22"/>
    </w:rPr>
  </w:style>
  <w:style w:type="paragraph" w:customStyle="1" w:styleId="269">
    <w:name w:val="unnamed1"/>
    <w:basedOn w:val="1"/>
    <w:qFormat/>
    <w:uiPriority w:val="0"/>
    <w:pPr>
      <w:widowControl/>
      <w:spacing w:before="100" w:beforeAutospacing="1" w:after="100" w:afterAutospacing="1" w:line="288" w:lineRule="auto"/>
    </w:pPr>
    <w:rPr>
      <w:rFonts w:hint="eastAsia" w:ascii="宋体" w:hAnsi="宋体"/>
      <w:kern w:val="0"/>
      <w:szCs w:val="21"/>
    </w:rPr>
  </w:style>
  <w:style w:type="paragraph" w:customStyle="1" w:styleId="270">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71">
    <w:name w:val="font21"/>
    <w:basedOn w:val="48"/>
    <w:qFormat/>
    <w:uiPriority w:val="0"/>
    <w:rPr>
      <w:rFonts w:hint="eastAsia" w:ascii="宋体" w:hAnsi="宋体" w:eastAsia="宋体" w:cs="宋体"/>
      <w:color w:val="000000"/>
      <w:sz w:val="20"/>
      <w:szCs w:val="20"/>
      <w:u w:val="none"/>
    </w:rPr>
  </w:style>
  <w:style w:type="character" w:customStyle="1" w:styleId="272">
    <w:name w:val="font11"/>
    <w:qFormat/>
    <w:uiPriority w:val="0"/>
    <w:rPr>
      <w:rFonts w:hint="default" w:ascii="Wingdings 2" w:hAnsi="Wingdings 2" w:eastAsia="Wingdings 2" w:cs="Wingdings 2"/>
      <w:color w:val="000000"/>
      <w:sz w:val="20"/>
      <w:szCs w:val="20"/>
      <w:u w:val="none"/>
    </w:rPr>
  </w:style>
  <w:style w:type="character" w:customStyle="1" w:styleId="273">
    <w:name w:val="font31"/>
    <w:qFormat/>
    <w:uiPriority w:val="0"/>
    <w:rPr>
      <w:rFonts w:hint="default" w:ascii="Times New Roman" w:hAnsi="Times New Roman" w:cs="Times New Roman"/>
      <w:color w:val="000000"/>
      <w:sz w:val="20"/>
      <w:szCs w:val="20"/>
      <w:u w:val="none"/>
    </w:rPr>
  </w:style>
  <w:style w:type="character" w:customStyle="1" w:styleId="274">
    <w:name w:val="Char Char71"/>
    <w:qFormat/>
    <w:uiPriority w:val="0"/>
    <w:rPr>
      <w:rFonts w:ascii="宋体" w:hAnsi="Courier New" w:eastAsia="宋体"/>
      <w:spacing w:val="-4"/>
      <w:kern w:val="2"/>
      <w:sz w:val="18"/>
      <w:lang w:val="en-US" w:eastAsia="zh-CN" w:bidi="ar-SA"/>
    </w:rPr>
  </w:style>
  <w:style w:type="character" w:customStyle="1" w:styleId="275">
    <w:name w:val="font81"/>
    <w:qFormat/>
    <w:uiPriority w:val="0"/>
    <w:rPr>
      <w:rFonts w:hint="default" w:ascii="Times New Roman" w:hAnsi="Times New Roman" w:cs="Times New Roman"/>
      <w:color w:val="FF0000"/>
      <w:sz w:val="21"/>
      <w:szCs w:val="21"/>
      <w:u w:val="none"/>
    </w:rPr>
  </w:style>
  <w:style w:type="character" w:customStyle="1" w:styleId="276">
    <w:name w:val="纯文本 Char2"/>
    <w:qFormat/>
    <w:locked/>
    <w:uiPriority w:val="0"/>
    <w:rPr>
      <w:rFonts w:ascii="宋体" w:hAnsi="Courier New" w:eastAsia="宋体"/>
      <w:kern w:val="2"/>
      <w:sz w:val="21"/>
      <w:lang w:val="en-US" w:eastAsia="zh-CN" w:bidi="ar-SA"/>
    </w:rPr>
  </w:style>
  <w:style w:type="character" w:customStyle="1" w:styleId="277">
    <w:name w:val="Char Char27"/>
    <w:qFormat/>
    <w:uiPriority w:val="0"/>
    <w:rPr>
      <w:rFonts w:ascii="宋体" w:hAnsi="Courier New" w:eastAsia="宋体"/>
      <w:kern w:val="2"/>
      <w:sz w:val="24"/>
      <w:szCs w:val="24"/>
      <w:lang w:val="en-US" w:eastAsia="zh-CN" w:bidi="ar-SA"/>
    </w:rPr>
  </w:style>
  <w:style w:type="character" w:customStyle="1" w:styleId="278">
    <w:name w:val="Char Char17"/>
    <w:qFormat/>
    <w:uiPriority w:val="0"/>
    <w:rPr>
      <w:rFonts w:ascii="宋体" w:hAnsi="Courier New" w:eastAsia="宋体"/>
      <w:kern w:val="2"/>
      <w:sz w:val="24"/>
      <w:szCs w:val="24"/>
      <w:lang w:val="en-US" w:eastAsia="zh-CN" w:bidi="ar-SA"/>
    </w:rPr>
  </w:style>
  <w:style w:type="character" w:customStyle="1" w:styleId="279">
    <w:name w:val="Char Char31"/>
    <w:qFormat/>
    <w:uiPriority w:val="0"/>
    <w:rPr>
      <w:rFonts w:ascii="仿宋_GB2312" w:hAnsi="宋体" w:eastAsia="仿宋_GB2312"/>
      <w:color w:val="000000"/>
      <w:sz w:val="24"/>
      <w:szCs w:val="24"/>
      <w:lang w:bidi="ar-SA"/>
    </w:rPr>
  </w:style>
  <w:style w:type="character" w:customStyle="1" w:styleId="280">
    <w:name w:val="font71"/>
    <w:qFormat/>
    <w:uiPriority w:val="0"/>
    <w:rPr>
      <w:rFonts w:hint="eastAsia" w:ascii="宋体" w:hAnsi="宋体" w:eastAsia="宋体" w:cs="宋体"/>
      <w:color w:val="000000"/>
      <w:sz w:val="22"/>
      <w:szCs w:val="22"/>
      <w:u w:val="none"/>
    </w:rPr>
  </w:style>
  <w:style w:type="character" w:customStyle="1" w:styleId="281">
    <w:name w:val="font41"/>
    <w:basedOn w:val="48"/>
    <w:qFormat/>
    <w:uiPriority w:val="0"/>
    <w:rPr>
      <w:rFonts w:hint="default" w:ascii="Times New Roman" w:hAnsi="Times New Roman" w:cs="Times New Roman"/>
      <w:color w:val="000000"/>
      <w:sz w:val="22"/>
      <w:szCs w:val="22"/>
      <w:u w:val="none"/>
    </w:rPr>
  </w:style>
  <w:style w:type="character" w:customStyle="1" w:styleId="282">
    <w:name w:val="font51"/>
    <w:qFormat/>
    <w:uiPriority w:val="0"/>
    <w:rPr>
      <w:rFonts w:hint="eastAsia" w:ascii="宋体" w:hAnsi="宋体" w:eastAsia="宋体" w:cs="宋体"/>
      <w:color w:val="FF0000"/>
      <w:sz w:val="21"/>
      <w:szCs w:val="21"/>
      <w:u w:val="none"/>
    </w:rPr>
  </w:style>
  <w:style w:type="character" w:customStyle="1" w:styleId="283">
    <w:name w:val="无"/>
    <w:qFormat/>
    <w:uiPriority w:val="0"/>
  </w:style>
  <w:style w:type="character" w:customStyle="1" w:styleId="284">
    <w:name w:val="标题 2 Char4"/>
    <w:qFormat/>
    <w:uiPriority w:val="0"/>
    <w:rPr>
      <w:rFonts w:ascii="Arial" w:hAnsi="Arial" w:eastAsia="宋体"/>
      <w:b/>
      <w:bCs/>
      <w:kern w:val="2"/>
      <w:sz w:val="28"/>
      <w:szCs w:val="32"/>
      <w:lang w:val="en-US" w:eastAsia="zh-CN" w:bidi="ar-SA"/>
    </w:rPr>
  </w:style>
  <w:style w:type="character" w:customStyle="1" w:styleId="285">
    <w:name w:val="large1"/>
    <w:qFormat/>
    <w:uiPriority w:val="0"/>
    <w:rPr>
      <w:rFonts w:hint="eastAsia" w:ascii="宋体" w:hAnsi="宋体" w:eastAsia="宋体"/>
      <w:sz w:val="21"/>
      <w:szCs w:val="21"/>
    </w:rPr>
  </w:style>
  <w:style w:type="character" w:customStyle="1" w:styleId="286">
    <w:name w:val="标题 2 Char3"/>
    <w:qFormat/>
    <w:uiPriority w:val="0"/>
    <w:rPr>
      <w:rFonts w:ascii="Arial" w:hAnsi="Arial" w:eastAsia="宋体"/>
      <w:b/>
      <w:bCs/>
      <w:kern w:val="2"/>
      <w:sz w:val="28"/>
      <w:szCs w:val="32"/>
      <w:lang w:val="en-US" w:eastAsia="zh-CN" w:bidi="ar-SA"/>
    </w:rPr>
  </w:style>
  <w:style w:type="character" w:customStyle="1" w:styleId="287">
    <w:name w:val="Char Char21"/>
    <w:qFormat/>
    <w:uiPriority w:val="0"/>
    <w:rPr>
      <w:rFonts w:ascii="Arial" w:hAnsi="Arial" w:eastAsia="宋体"/>
      <w:b/>
      <w:bCs/>
      <w:kern w:val="2"/>
      <w:sz w:val="28"/>
      <w:szCs w:val="32"/>
      <w:lang w:val="en-US" w:eastAsia="zh-CN" w:bidi="ar-SA"/>
    </w:rPr>
  </w:style>
  <w:style w:type="paragraph" w:customStyle="1" w:styleId="288">
    <w:name w:val="Char Char Char Char Char Char Char Char Char1"/>
    <w:basedOn w:val="1"/>
    <w:qFormat/>
    <w:uiPriority w:val="0"/>
    <w:rPr>
      <w:rFonts w:ascii="Tahoma" w:hAnsi="Tahoma" w:eastAsia="仿宋_GB2312"/>
      <w:szCs w:val="20"/>
    </w:rPr>
  </w:style>
  <w:style w:type="paragraph" w:customStyle="1" w:styleId="289">
    <w:name w:val="Char Char Char Char Char Char Char Char Char Char Char Char Char Char Char Char Char Char Char1"/>
    <w:basedOn w:val="1"/>
    <w:qFormat/>
    <w:uiPriority w:val="0"/>
    <w:pPr>
      <w:widowControl/>
      <w:spacing w:before="100" w:beforeAutospacing="1" w:after="100" w:afterAutospacing="1" w:line="330" w:lineRule="atLeast"/>
      <w:ind w:left="360"/>
    </w:pPr>
    <w:rPr>
      <w:rFonts w:ascii="ˎ̥" w:hAnsi="ˎ̥" w:cs="宋体"/>
      <w:color w:val="51585D"/>
      <w:kern w:val="0"/>
      <w:szCs w:val="18"/>
    </w:rPr>
  </w:style>
  <w:style w:type="paragraph" w:customStyle="1" w:styleId="290">
    <w:name w:val="无间隔1"/>
    <w:qFormat/>
    <w:uiPriority w:val="0"/>
    <w:pPr>
      <w:adjustRightInd w:val="0"/>
      <w:snapToGrid w:val="0"/>
    </w:pPr>
    <w:rPr>
      <w:rFonts w:ascii="Tahoma" w:hAnsi="Tahoma" w:eastAsia="微软雅黑" w:cs="Times New Roman"/>
      <w:sz w:val="22"/>
      <w:szCs w:val="22"/>
      <w:lang w:val="en-US" w:eastAsia="zh-CN" w:bidi="ar-SA"/>
    </w:rPr>
  </w:style>
  <w:style w:type="paragraph" w:customStyle="1" w:styleId="291">
    <w:name w:val="Char Char7 Char1"/>
    <w:basedOn w:val="1"/>
    <w:qFormat/>
    <w:uiPriority w:val="0"/>
    <w:pPr>
      <w:tabs>
        <w:tab w:val="left" w:pos="425"/>
      </w:tabs>
      <w:ind w:left="420" w:leftChars="200" w:firstLine="270" w:firstLineChars="150"/>
    </w:pPr>
    <w:rPr>
      <w:rFonts w:ascii="Calibri" w:hAnsi="Calibri"/>
      <w:szCs w:val="20"/>
    </w:rPr>
  </w:style>
  <w:style w:type="paragraph" w:customStyle="1" w:styleId="292">
    <w:name w:val="首行缩进2字符"/>
    <w:qFormat/>
    <w:uiPriority w:val="0"/>
    <w:pPr>
      <w:widowControl w:val="0"/>
      <w:spacing w:line="360" w:lineRule="auto"/>
      <w:ind w:firstLine="480"/>
    </w:pPr>
    <w:rPr>
      <w:rFonts w:ascii="Calibri" w:hAnsi="Calibri" w:eastAsia="Calibri" w:cs="Calibri"/>
      <w:color w:val="000000"/>
      <w:kern w:val="2"/>
      <w:sz w:val="24"/>
      <w:szCs w:val="24"/>
      <w:lang w:val="en-US" w:eastAsia="zh-CN" w:bidi="ar-SA"/>
    </w:rPr>
  </w:style>
  <w:style w:type="paragraph" w:customStyle="1" w:styleId="293">
    <w:name w:val="Char Char Char1 Char Char Char Char1"/>
    <w:basedOn w:val="1"/>
    <w:qFormat/>
    <w:uiPriority w:val="0"/>
    <w:rPr>
      <w:rFonts w:ascii="仿宋_GB2312" w:hAnsi="Calibri" w:eastAsia="仿宋_GB2312"/>
      <w:b/>
      <w:sz w:val="32"/>
      <w:szCs w:val="32"/>
    </w:rPr>
  </w:style>
  <w:style w:type="paragraph" w:customStyle="1" w:styleId="294">
    <w:name w:val="Char Char8"/>
    <w:basedOn w:val="1"/>
    <w:qFormat/>
    <w:uiPriority w:val="0"/>
    <w:pPr>
      <w:tabs>
        <w:tab w:val="left" w:pos="360"/>
      </w:tabs>
    </w:pPr>
    <w:rPr>
      <w:rFonts w:ascii="Calibri" w:hAnsi="Calibri"/>
    </w:rPr>
  </w:style>
  <w:style w:type="paragraph" w:customStyle="1" w:styleId="295">
    <w:name w:val="Char3"/>
    <w:basedOn w:val="1"/>
    <w:qFormat/>
    <w:uiPriority w:val="0"/>
    <w:rPr>
      <w:rFonts w:ascii="Calibri" w:hAnsi="Calibri"/>
    </w:rPr>
  </w:style>
  <w:style w:type="paragraph" w:customStyle="1" w:styleId="296">
    <w:name w:val="Char1 Char Char Char Char Char Char1"/>
    <w:basedOn w:val="1"/>
    <w:qFormat/>
    <w:uiPriority w:val="0"/>
    <w:rPr>
      <w:rFonts w:ascii="Tahoma" w:hAnsi="Tahoma"/>
      <w:szCs w:val="20"/>
    </w:rPr>
  </w:style>
  <w:style w:type="paragraph" w:customStyle="1" w:styleId="297">
    <w:name w:val="Char Char Char Char Char Char Char Char Char Char Char Char Char Char Char Char1"/>
    <w:basedOn w:val="1"/>
    <w:qFormat/>
    <w:uiPriority w:val="0"/>
    <w:pPr>
      <w:tabs>
        <w:tab w:val="left" w:pos="360"/>
      </w:tabs>
    </w:pPr>
    <w:rPr>
      <w:rFonts w:ascii="Calibri" w:hAnsi="Calibri"/>
    </w:rPr>
  </w:style>
  <w:style w:type="paragraph" w:customStyle="1" w:styleId="298">
    <w:name w:val="Char11"/>
    <w:basedOn w:val="1"/>
    <w:qFormat/>
    <w:uiPriority w:val="0"/>
    <w:pPr>
      <w:tabs>
        <w:tab w:val="left" w:pos="432"/>
      </w:tabs>
      <w:spacing w:beforeLines="50" w:afterLines="50"/>
      <w:ind w:left="432" w:hanging="432"/>
    </w:pPr>
    <w:rPr>
      <w:rFonts w:ascii="Calibri" w:hAnsi="Calibri"/>
    </w:rPr>
  </w:style>
  <w:style w:type="paragraph" w:customStyle="1" w:styleId="299">
    <w:name w:val="Char Char1"/>
    <w:basedOn w:val="1"/>
    <w:qFormat/>
    <w:uiPriority w:val="0"/>
    <w:pPr>
      <w:spacing w:line="240" w:lineRule="atLeast"/>
      <w:ind w:left="420" w:firstLine="420"/>
    </w:pPr>
    <w:rPr>
      <w:rFonts w:ascii="Calibri" w:hAnsi="Calibri"/>
      <w:kern w:val="0"/>
      <w:szCs w:val="21"/>
    </w:rPr>
  </w:style>
  <w:style w:type="paragraph" w:customStyle="1" w:styleId="300">
    <w:name w:val="Char Char Char Char Char Char1"/>
    <w:basedOn w:val="1"/>
    <w:qFormat/>
    <w:uiPriority w:val="0"/>
    <w:pPr>
      <w:widowControl/>
      <w:spacing w:after="160" w:line="240" w:lineRule="exact"/>
    </w:pPr>
    <w:rPr>
      <w:rFonts w:ascii="Verdana" w:hAnsi="Verdana"/>
      <w:kern w:val="0"/>
      <w:sz w:val="20"/>
      <w:szCs w:val="20"/>
      <w:lang w:eastAsia="en-US"/>
    </w:rPr>
  </w:style>
  <w:style w:type="paragraph" w:customStyle="1" w:styleId="301">
    <w:name w:val="Char Char Char Char Char Char Char Char Char Char1"/>
    <w:basedOn w:val="21"/>
    <w:qFormat/>
    <w:uiPriority w:val="0"/>
    <w:rPr>
      <w:rFonts w:ascii="Tahoma" w:hAnsi="Tahoma"/>
    </w:rPr>
  </w:style>
  <w:style w:type="paragraph" w:customStyle="1" w:styleId="302">
    <w:name w:val="Char22"/>
    <w:basedOn w:val="1"/>
    <w:qFormat/>
    <w:uiPriority w:val="0"/>
    <w:pPr>
      <w:tabs>
        <w:tab w:val="left" w:pos="432"/>
      </w:tabs>
      <w:spacing w:beforeLines="50" w:afterLines="50"/>
      <w:ind w:left="432" w:hanging="432"/>
    </w:pPr>
    <w:rPr>
      <w:rFonts w:ascii="Calibri" w:hAnsi="Calibri"/>
    </w:rPr>
  </w:style>
  <w:style w:type="paragraph" w:customStyle="1" w:styleId="303">
    <w:name w:val="Char3 Char Char Char2"/>
    <w:basedOn w:val="1"/>
    <w:qFormat/>
    <w:uiPriority w:val="0"/>
    <w:pPr>
      <w:numPr>
        <w:ilvl w:val="0"/>
        <w:numId w:val="3"/>
      </w:numPr>
    </w:pPr>
    <w:rPr>
      <w:rFonts w:ascii="Calibri" w:hAnsi="Calibri"/>
    </w:rPr>
  </w:style>
  <w:style w:type="paragraph" w:customStyle="1" w:styleId="304">
    <w:name w:val="Char Char Char Char1 Char Char2"/>
    <w:basedOn w:val="1"/>
    <w:qFormat/>
    <w:uiPriority w:val="0"/>
    <w:pPr>
      <w:widowControl/>
      <w:spacing w:after="160" w:line="240" w:lineRule="exact"/>
    </w:pPr>
    <w:rPr>
      <w:rFonts w:ascii="Verdana" w:hAnsi="Verdana"/>
      <w:kern w:val="0"/>
      <w:sz w:val="20"/>
      <w:szCs w:val="20"/>
      <w:lang w:eastAsia="en-US"/>
    </w:rPr>
  </w:style>
  <w:style w:type="paragraph" w:customStyle="1" w:styleId="305">
    <w:name w:val="正文_13"/>
    <w:qFormat/>
    <w:uiPriority w:val="0"/>
    <w:pPr>
      <w:widowControl w:val="0"/>
      <w:jc w:val="both"/>
    </w:pPr>
    <w:rPr>
      <w:rFonts w:ascii="Calibri" w:hAnsi="Calibri" w:eastAsia="宋体" w:cs="Times New Roman"/>
      <w:kern w:val="2"/>
      <w:sz w:val="21"/>
      <w:szCs w:val="24"/>
      <w:lang w:val="en-US" w:eastAsia="zh-CN" w:bidi="ar-SA"/>
    </w:rPr>
  </w:style>
  <w:style w:type="character" w:customStyle="1" w:styleId="306">
    <w:name w:val="正文文本缩进 字符"/>
    <w:qFormat/>
    <w:uiPriority w:val="0"/>
    <w:rPr>
      <w:rFonts w:ascii="宋体" w:hAnsi="Courier New"/>
      <w:spacing w:val="-4"/>
      <w:kern w:val="2"/>
      <w:sz w:val="18"/>
    </w:rPr>
  </w:style>
  <w:style w:type="character" w:customStyle="1" w:styleId="307">
    <w:name w:val="正文文本缩进 3 字符"/>
    <w:qFormat/>
    <w:uiPriority w:val="0"/>
    <w:rPr>
      <w:rFonts w:ascii="仿宋_GB2312" w:hAnsi="宋体" w:eastAsia="仿宋_GB2312"/>
      <w:color w:val="000000"/>
      <w:kern w:val="2"/>
      <w:sz w:val="24"/>
      <w:szCs w:val="24"/>
      <w:lang w:val="en-US" w:eastAsia="zh-CN" w:bidi="ar-SA"/>
    </w:rPr>
  </w:style>
  <w:style w:type="paragraph" w:customStyle="1" w:styleId="308">
    <w:name w:val="*正文"/>
    <w:basedOn w:val="1"/>
    <w:link w:val="309"/>
    <w:qFormat/>
    <w:uiPriority w:val="0"/>
    <w:pPr>
      <w:ind w:firstLine="480"/>
    </w:pPr>
    <w:rPr>
      <w:rFonts w:ascii="Calibri" w:hAnsi="Calibri"/>
      <w:kern w:val="0"/>
    </w:rPr>
  </w:style>
  <w:style w:type="character" w:customStyle="1" w:styleId="309">
    <w:name w:val="*正文 Char"/>
    <w:link w:val="308"/>
    <w:qFormat/>
    <w:locked/>
    <w:uiPriority w:val="0"/>
    <w:rPr>
      <w:rFonts w:ascii="Calibri" w:hAnsi="Calibri" w:cs="Calibri"/>
      <w:sz w:val="24"/>
      <w:szCs w:val="24"/>
    </w:rPr>
  </w:style>
  <w:style w:type="paragraph" w:customStyle="1" w:styleId="310">
    <w:name w:val="正文-奇安信"/>
    <w:basedOn w:val="1"/>
    <w:qFormat/>
    <w:uiPriority w:val="0"/>
    <w:pPr>
      <w:ind w:firstLine="420"/>
    </w:pPr>
    <w:rPr>
      <w:rFonts w:ascii="Calibri" w:hAnsi="Calibri"/>
      <w:szCs w:val="20"/>
    </w:rPr>
  </w:style>
  <w:style w:type="paragraph" w:customStyle="1" w:styleId="311">
    <w:name w:val="_Style 153"/>
    <w:basedOn w:val="1"/>
    <w:next w:val="255"/>
    <w:qFormat/>
    <w:uiPriority w:val="34"/>
    <w:pPr>
      <w:ind w:firstLine="420"/>
    </w:pPr>
    <w:rPr>
      <w:kern w:val="0"/>
      <w:sz w:val="20"/>
      <w:szCs w:val="20"/>
    </w:rPr>
  </w:style>
  <w:style w:type="paragraph" w:customStyle="1" w:styleId="312">
    <w:name w:val="正文小四"/>
    <w:basedOn w:val="1"/>
    <w:qFormat/>
    <w:uiPriority w:val="0"/>
    <w:pPr>
      <w:ind w:firstLine="560"/>
    </w:pPr>
    <w:rPr>
      <w:rFonts w:ascii="Calibri" w:hAnsi="Calibri"/>
      <w:sz w:val="28"/>
      <w:szCs w:val="21"/>
    </w:rPr>
  </w:style>
  <w:style w:type="paragraph" w:styleId="313">
    <w:name w:val="No Spacing"/>
    <w:basedOn w:val="1"/>
    <w:qFormat/>
    <w:uiPriority w:val="0"/>
    <w:pPr>
      <w:spacing w:line="240" w:lineRule="auto"/>
      <w:ind w:firstLine="0" w:firstLineChars="0"/>
      <w:jc w:val="center"/>
    </w:pPr>
    <w:rPr>
      <w:sz w:val="21"/>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9.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42453</Words>
  <Characters>45568</Characters>
  <Lines>375</Lines>
  <Paragraphs>105</Paragraphs>
  <TotalTime>1</TotalTime>
  <ScaleCrop>false</ScaleCrop>
  <LinksUpToDate>false</LinksUpToDate>
  <CharactersWithSpaces>49896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2023-04-22T12:09:00Z</dcterms:created>
  <dc:creator>Administrator</dc:creator>
  <cp:lastModifiedBy>大大大大东～</cp:lastModifiedBy>
  <cp:lastPrinted>2020-06-02T01:10:00Z</cp:lastPrinted>
  <dcterms:modified xsi:type="dcterms:W3CDTF">2023-05-04T04:52:39Z</dcterms:modified>
  <dc:title>浙江省政府采购招标文件范本（试行）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0D93B0B960F949C9B77DB43CC585FB6E_13</vt:lpwstr>
  </property>
</Properties>
</file>