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bCs/>
          <w:color w:val="auto"/>
          <w:sz w:val="56"/>
          <w:szCs w:val="56"/>
          <w:highlight w:val="none"/>
          <w:lang w:eastAsia="zh-CN"/>
        </w:rPr>
      </w:pPr>
      <w:r>
        <w:rPr>
          <w:rFonts w:hint="eastAsia" w:ascii="楷体_GB2312" w:eastAsia="楷体_GB2312"/>
          <w:b/>
          <w:sz w:val="52"/>
          <w:szCs w:val="52"/>
          <w:lang w:eastAsia="zh-CN"/>
        </w:rPr>
        <w:t>衢州智造新城白沙单元、白沙东单元控制性详细规划</w:t>
      </w:r>
    </w:p>
    <w:p>
      <w:pPr>
        <w:jc w:val="center"/>
        <w:outlineLvl w:val="0"/>
        <w:rPr>
          <w:rFonts w:hint="eastAsia" w:ascii="仿宋" w:hAnsi="仿宋" w:eastAsia="仿宋" w:cs="仿宋"/>
          <w:b/>
          <w:color w:val="auto"/>
          <w:sz w:val="72"/>
          <w:szCs w:val="72"/>
          <w:highlight w:val="none"/>
        </w:rPr>
      </w:pP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ZZCG-2024-058</w:t>
      </w:r>
    </w:p>
    <w:tbl>
      <w:tblPr>
        <w:tblStyle w:val="63"/>
        <w:tblW w:w="7801" w:type="dxa"/>
        <w:jc w:val="center"/>
        <w:tblLayout w:type="fixed"/>
        <w:tblCellMar>
          <w:top w:w="0" w:type="dxa"/>
          <w:left w:w="108" w:type="dxa"/>
          <w:bottom w:w="0" w:type="dxa"/>
          <w:right w:w="108" w:type="dxa"/>
        </w:tblCellMar>
      </w:tblPr>
      <w:tblGrid>
        <w:gridCol w:w="2356"/>
        <w:gridCol w:w="5445"/>
      </w:tblGrid>
      <w:tr>
        <w:tblPrEx>
          <w:tblCellMar>
            <w:top w:w="0" w:type="dxa"/>
            <w:left w:w="108" w:type="dxa"/>
            <w:bottom w:w="0" w:type="dxa"/>
            <w:right w:w="108" w:type="dxa"/>
          </w:tblCellMar>
        </w:tblPrEx>
        <w:trPr>
          <w:trHeight w:val="443" w:hRule="atLeast"/>
          <w:jc w:val="center"/>
        </w:trPr>
        <w:tc>
          <w:tcPr>
            <w:tcW w:w="2356" w:type="dxa"/>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衢州智造新城管理委员会</w:t>
            </w:r>
          </w:p>
        </w:tc>
      </w:tr>
      <w:tr>
        <w:tblPrEx>
          <w:tblCellMar>
            <w:top w:w="0" w:type="dxa"/>
            <w:left w:w="108" w:type="dxa"/>
            <w:bottom w:w="0" w:type="dxa"/>
            <w:right w:w="108" w:type="dxa"/>
          </w:tblCellMar>
        </w:tblPrEx>
        <w:trPr>
          <w:trHeight w:val="494" w:hRule="atLeast"/>
          <w:jc w:val="center"/>
        </w:trPr>
        <w:tc>
          <w:tcPr>
            <w:tcW w:w="2356" w:type="dxa"/>
          </w:tcPr>
          <w:p>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pPr>
              <w:spacing w:after="100" w:afterAutospacing="1" w:line="440" w:lineRule="exact"/>
              <w:rPr>
                <w:rFonts w:hint="eastAsia" w:ascii="仿宋" w:hAnsi="仿宋" w:eastAsia="仿宋" w:cs="仿宋"/>
                <w:color w:val="auto"/>
                <w:sz w:val="28"/>
                <w:szCs w:val="28"/>
                <w:highlight w:val="none"/>
              </w:rPr>
            </w:pPr>
            <w:r>
              <w:rPr>
                <w:rFonts w:hint="eastAsia" w:ascii="楷体_GB2312" w:hAnsi="??_GB2312" w:eastAsia="楷体_GB2312" w:cs="??_GB2312"/>
                <w:b/>
                <w:bCs/>
                <w:color w:val="auto"/>
                <w:sz w:val="28"/>
                <w:szCs w:val="28"/>
                <w:highlight w:val="none"/>
                <w:lang w:val="zh-TW" w:eastAsia="zh-CN"/>
              </w:rPr>
              <w:t>浙江新世纪工程咨询有限公司</w:t>
            </w:r>
          </w:p>
        </w:tc>
      </w:tr>
      <w:tr>
        <w:tblPrEx>
          <w:tblCellMar>
            <w:top w:w="0" w:type="dxa"/>
            <w:left w:w="108" w:type="dxa"/>
            <w:bottom w:w="0" w:type="dxa"/>
            <w:right w:w="108" w:type="dxa"/>
          </w:tblCellMar>
        </w:tblPrEx>
        <w:trPr>
          <w:trHeight w:val="333" w:hRule="atLeast"/>
          <w:jc w:val="center"/>
        </w:trPr>
        <w:tc>
          <w:tcPr>
            <w:tcW w:w="7801" w:type="dxa"/>
            <w:gridSpan w:val="2"/>
          </w:tcPr>
          <w:p>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月</w:t>
            </w:r>
          </w:p>
        </w:tc>
      </w:tr>
    </w:tbl>
    <w:p>
      <w:pPr>
        <w:pStyle w:val="637"/>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pPr>
        <w:pStyle w:val="637"/>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第三部分    </w:t>
      </w:r>
      <w:r>
        <w:rPr>
          <w:rFonts w:hint="eastAsia" w:ascii="仿宋" w:hAnsi="仿宋" w:eastAsia="仿宋" w:cs="仿宋"/>
          <w:b/>
          <w:color w:val="auto"/>
          <w:sz w:val="36"/>
          <w:szCs w:val="36"/>
          <w:highlight w:val="none"/>
          <w:lang w:eastAsia="zh-CN"/>
        </w:rPr>
        <w:t>采购内容</w:t>
      </w:r>
      <w:r>
        <w:rPr>
          <w:rFonts w:hint="eastAsia" w:ascii="仿宋" w:hAnsi="仿宋" w:eastAsia="仿宋" w:cs="仿宋"/>
          <w:b/>
          <w:color w:val="auto"/>
          <w:sz w:val="36"/>
          <w:szCs w:val="36"/>
          <w:highlight w:val="none"/>
        </w:rPr>
        <w:t>及要求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bookmarkEnd w:id="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衢州智造新城白沙单元、白沙东单元控制性详细规划</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Style w:val="77"/>
          <w:rFonts w:hint="eastAsia" w:ascii="仿宋" w:hAnsi="仿宋" w:eastAsia="仿宋" w:cs="仿宋"/>
          <w:snapToGrid/>
          <w:color w:val="auto"/>
          <w:kern w:val="2"/>
          <w:sz w:val="24"/>
          <w:szCs w:val="24"/>
          <w:highlight w:val="none"/>
          <w:lang w:eastAsia="zh-CN"/>
        </w:rPr>
        <w:t>2024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6</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lang w:val="en-US" w:eastAsia="zh-CN"/>
        </w:rPr>
        <w:t>00</w:t>
      </w:r>
      <w:r>
        <w:rPr>
          <w:rStyle w:val="77"/>
          <w:rFonts w:hint="eastAsia" w:ascii="仿宋" w:hAnsi="仿宋" w:eastAsia="仿宋" w:cs="仿宋"/>
          <w:bCs/>
          <w:snapToGrid/>
          <w:color w:val="auto"/>
          <w:kern w:val="2"/>
          <w:sz w:val="24"/>
          <w:szCs w:val="24"/>
          <w:highlight w:val="none"/>
        </w:rPr>
        <w:t>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ZZCG-2024-058</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衢州智造新城白沙单元、白沙东单元控制性详细规划</w:t>
      </w:r>
      <w:r>
        <w:rPr>
          <w:rFonts w:hint="eastAsia" w:ascii="仿宋" w:hAnsi="仿宋" w:eastAsia="仿宋" w:cs="仿宋"/>
          <w:color w:val="auto"/>
          <w:sz w:val="24"/>
          <w:highlight w:val="none"/>
          <w:lang w:val="en-US"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default" w:ascii="仿宋" w:hAnsi="仿宋" w:eastAsia="仿宋" w:cs="仿宋"/>
          <w:b/>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val="en-US" w:eastAsia="zh-CN"/>
        </w:rPr>
        <w:t>1680000</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u w:val="none"/>
          <w:lang w:val="en-US" w:eastAsia="zh-CN"/>
        </w:rPr>
        <w:t>1680000</w:t>
      </w:r>
      <w:r>
        <w:rPr>
          <w:rFonts w:hint="eastAsia" w:ascii="仿宋" w:hAnsi="仿宋" w:eastAsia="仿宋" w:cs="仿宋"/>
          <w:color w:val="auto"/>
          <w:sz w:val="24"/>
          <w:highlight w:val="none"/>
          <w:u w:val="none"/>
          <w:lang w:eastAsia="zh-CN"/>
        </w:rPr>
        <w:t xml:space="preserve">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标项名称：衢州</w:t>
      </w:r>
      <w:r>
        <w:rPr>
          <w:rFonts w:hint="eastAsia" w:ascii="仿宋" w:hAnsi="仿宋" w:eastAsia="仿宋" w:cs="仿宋"/>
          <w:color w:val="auto"/>
          <w:sz w:val="24"/>
          <w:highlight w:val="none"/>
          <w:u w:val="none"/>
          <w:lang w:eastAsia="zh-CN"/>
        </w:rPr>
        <w:t>智造新城白沙单元、白沙东单元控制性详细规划</w:t>
      </w:r>
    </w:p>
    <w:p>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val="en-US" w:eastAsia="zh-CN"/>
        </w:rPr>
        <w:t>1680000</w:t>
      </w:r>
      <w:r>
        <w:rPr>
          <w:rFonts w:hint="eastAsia" w:ascii="仿宋" w:hAnsi="仿宋" w:eastAsia="仿宋" w:cs="仿宋"/>
          <w:color w:val="auto"/>
          <w:sz w:val="24"/>
          <w:highlight w:val="none"/>
          <w:u w:val="none"/>
          <w:lang w:eastAsia="zh-CN"/>
        </w:rPr>
        <w:t>元</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Cs/>
          <w:color w:val="auto"/>
          <w:sz w:val="24"/>
          <w:highlight w:val="none"/>
          <w:lang w:eastAsia="zh-CN"/>
        </w:rPr>
        <w:t>衢州</w:t>
      </w:r>
      <w:r>
        <w:rPr>
          <w:rFonts w:hint="eastAsia" w:ascii="仿宋" w:hAnsi="仿宋" w:eastAsia="仿宋" w:cs="仿宋"/>
          <w:b w:val="0"/>
          <w:bCs/>
          <w:color w:val="auto"/>
          <w:sz w:val="24"/>
          <w:highlight w:val="none"/>
          <w:lang w:eastAsia="zh-CN"/>
        </w:rPr>
        <w:t>智造新城白沙单元、白沙东单元控制性详细规划，详见招标文件</w:t>
      </w:r>
      <w:r>
        <w:rPr>
          <w:rFonts w:hint="eastAsia" w:ascii="仿宋" w:hAnsi="仿宋" w:eastAsia="仿宋" w:cs="仿宋"/>
          <w:b w:val="0"/>
          <w:bCs/>
          <w:color w:val="auto"/>
          <w:sz w:val="24"/>
          <w:highlight w:val="none"/>
        </w:rPr>
        <w:t>。</w:t>
      </w:r>
    </w:p>
    <w:p>
      <w:pPr>
        <w:spacing w:line="500" w:lineRule="exact"/>
        <w:ind w:firstLine="482" w:firstLineChars="200"/>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详见采购内容及要求。</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lang w:val="en-US" w:eastAsia="zh-CN"/>
        </w:rPr>
        <w:t>无</w:t>
      </w:r>
      <w:r>
        <w:rPr>
          <w:rFonts w:hint="eastAsia" w:ascii="仿宋" w:hAnsi="仿宋" w:eastAsia="仿宋" w:cs="仿宋"/>
          <w:color w:val="auto"/>
          <w:sz w:val="24"/>
          <w:highlight w:val="none"/>
          <w:lang w:eastAsia="zh-CN"/>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ascii="仿宋" w:hAnsi="仿宋" w:eastAsia="仿宋" w:cs="仿宋"/>
          <w:i w:val="0"/>
          <w:iCs w:val="0"/>
          <w:caps w:val="0"/>
          <w:color w:val="auto"/>
          <w:spacing w:val="0"/>
          <w:kern w:val="0"/>
          <w:sz w:val="24"/>
          <w:szCs w:val="24"/>
          <w:highlight w:val="none"/>
        </w:rPr>
        <w:t>具有城乡规划编制乙级及以上资质</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w:t>
      </w:r>
      <w:bookmarkStart w:id="46" w:name="_GoBack"/>
      <w:r>
        <w:rPr>
          <w:rFonts w:hint="eastAsia" w:ascii="仿宋" w:hAnsi="仿宋" w:eastAsia="仿宋" w:cs="仿宋"/>
          <w:color w:val="auto"/>
          <w:sz w:val="24"/>
          <w:highlight w:val="none"/>
        </w:rPr>
        <w:t>月</w:t>
      </w:r>
      <w:bookmarkEnd w:id="46"/>
      <w:r>
        <w:rPr>
          <w:rFonts w:hint="eastAsia" w:ascii="仿宋" w:hAnsi="仿宋" w:eastAsia="仿宋" w:cs="仿宋"/>
          <w:color w:val="auto"/>
          <w:sz w:val="24"/>
          <w:highlight w:val="none"/>
        </w:rPr>
        <w:t>1日开始实施，此前有关规定与上述文件内容不一致的，按上述文件要求执行。</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pStyle w:val="6"/>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19"/>
      <w:bookmarkStart w:id="6" w:name="_Toc35393637"/>
      <w:bookmarkStart w:id="7" w:name="_Toc28359096"/>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衢州智造新城管理委员会</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址：衢州市世纪大道</w:t>
      </w:r>
      <w:r>
        <w:rPr>
          <w:rFonts w:hint="eastAsia" w:ascii="仿宋" w:hAnsi="仿宋" w:eastAsia="仿宋" w:cs="仿宋"/>
          <w:color w:val="auto"/>
          <w:sz w:val="24"/>
          <w:highlight w:val="none"/>
          <w:lang w:val="en-US" w:eastAsia="zh-CN"/>
        </w:rPr>
        <w:t>677</w:t>
      </w:r>
      <w:r>
        <w:rPr>
          <w:rFonts w:hint="eastAsia" w:ascii="仿宋" w:hAnsi="仿宋" w:eastAsia="仿宋" w:cs="仿宋"/>
          <w:color w:val="auto"/>
          <w:sz w:val="24"/>
          <w:highlight w:val="none"/>
        </w:rPr>
        <w:t>号</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李</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FF0000"/>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0570-</w:t>
      </w:r>
      <w:r>
        <w:rPr>
          <w:rFonts w:hint="eastAsia" w:ascii="仿宋" w:hAnsi="仿宋" w:eastAsia="仿宋" w:cs="仿宋"/>
          <w:color w:val="auto"/>
          <w:sz w:val="24"/>
          <w:highlight w:val="none"/>
          <w:lang w:val="en-US" w:eastAsia="zh-CN"/>
        </w:rPr>
        <w:t>3888100</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柴女士</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质疑联系方式：0570-</w:t>
      </w:r>
      <w:r>
        <w:rPr>
          <w:rFonts w:hint="eastAsia" w:ascii="仿宋" w:hAnsi="仿宋" w:eastAsia="仿宋" w:cs="仿宋"/>
          <w:color w:val="auto"/>
          <w:sz w:val="24"/>
          <w:highlight w:val="none"/>
          <w:lang w:val="en-US" w:eastAsia="zh-CN"/>
        </w:rPr>
        <w:t>3888920</w:t>
      </w:r>
    </w:p>
    <w:p>
      <w:pPr>
        <w:pStyle w:val="6"/>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35393638"/>
      <w:bookmarkStart w:id="10" w:name="_Toc28359097"/>
      <w:bookmarkStart w:id="11" w:name="_Toc35393807"/>
      <w:bookmarkStart w:id="12" w:name="_Toc28359020"/>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28359098"/>
      <w:bookmarkStart w:id="14" w:name="_Toc35393808"/>
      <w:bookmarkStart w:id="15" w:name="_Toc28359021"/>
      <w:bookmarkStart w:id="16" w:name="_Toc35393639"/>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w:t>
      </w:r>
      <w:r>
        <w:rPr>
          <w:rFonts w:hint="eastAsia" w:ascii="仿宋" w:hAnsi="仿宋" w:eastAsia="仿宋" w:cs="仿宋"/>
          <w:color w:val="auto"/>
          <w:sz w:val="24"/>
          <w:highlight w:val="none"/>
          <w:lang w:val="en-US" w:eastAsia="zh-CN"/>
        </w:rPr>
        <w:t>女士</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称：衢州智造新城管理委员会</w:t>
      </w:r>
      <w:r>
        <w:rPr>
          <w:rFonts w:hint="eastAsia" w:ascii="仿宋" w:hAnsi="仿宋" w:eastAsia="仿宋" w:cs="仿宋"/>
          <w:color w:val="auto"/>
          <w:sz w:val="24"/>
          <w:szCs w:val="24"/>
          <w:highlight w:val="none"/>
          <w:lang w:eastAsia="zh-CN"/>
        </w:rPr>
        <w:t>财政局</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址：衢州市世纪大道677号五楼             </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：姜女士             </w:t>
      </w:r>
    </w:p>
    <w:p>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监督投诉电话：0570-3888040</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衢州</w:t>
            </w:r>
            <w:r>
              <w:rPr>
                <w:rFonts w:hint="eastAsia" w:ascii="仿宋" w:hAnsi="仿宋" w:eastAsia="仿宋" w:cs="仿宋"/>
                <w:color w:val="auto"/>
                <w:kern w:val="0"/>
                <w:sz w:val="24"/>
                <w:highlight w:val="none"/>
                <w:u w:val="single"/>
                <w:lang w:val="en-US" w:eastAsia="zh-CN"/>
              </w:rPr>
              <w:t>智造新城白沙单元、白沙东单元控制性详细规划</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70"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bookmarkStart w:id="17" w:name="_Toc164416483"/>
      <w:bookmarkStart w:id="18" w:name="第三部分"/>
      <w:r>
        <w:rPr>
          <w:rFonts w:hint="eastAsia" w:ascii="仿宋" w:hAnsi="仿宋" w:eastAsia="仿宋" w:cs="仿宋"/>
          <w:b/>
          <w:color w:val="auto"/>
          <w:sz w:val="32"/>
          <w:szCs w:val="32"/>
          <w:highlight w:val="none"/>
        </w:rPr>
        <w:t>一、总则</w:t>
      </w:r>
    </w:p>
    <w:p>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2</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.3在服务采购项目中，服务由小微企业承接，即提供服务的人员为小微企业依照《中华人民共和国劳动合同法》订立劳动合同的从业人员。</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.4小微企业应按照招标文件格式要求提供《中小企业声明函》。</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以联合体形式参加政府采购活动，联合体各方均为中小企业的，联合体视同中小企业。其中，联合体各方均为小微企业的，联合体视同小微企业。</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.7符合《关于促进残疾人就业政府采购政策的通知》（财库〔2017〕141号）规定的条件并提供《残疾人福利性单位声明函》的残疾人福利性单位视同小微企业；</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4.特别说明：</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pPr>
        <w:spacing w:line="440" w:lineRule="exact"/>
        <w:ind w:firstLine="480" w:firstLineChars="200"/>
        <w:rPr>
          <w:rFonts w:hint="eastAsia"/>
          <w:color w:val="auto"/>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pPr>
        <w:pStyle w:val="3"/>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本次招标采购代理服务费</w:t>
      </w:r>
      <w:r>
        <w:rPr>
          <w:rFonts w:hint="eastAsia" w:ascii="仿宋" w:hAnsi="仿宋" w:eastAsia="仿宋" w:cs="仿宋"/>
          <w:color w:val="auto"/>
          <w:sz w:val="24"/>
          <w:szCs w:val="24"/>
          <w:highlight w:val="none"/>
        </w:rPr>
        <w:t>按计价格[2002]1980号文件收费标准的41.23%</w:t>
      </w:r>
      <w:r>
        <w:rPr>
          <w:rFonts w:hint="eastAsia" w:ascii="仿宋" w:hAnsi="仿宋" w:eastAsia="仿宋" w:cs="仿宋"/>
          <w:color w:val="auto"/>
          <w:sz w:val="24"/>
          <w:szCs w:val="24"/>
          <w:highlight w:val="none"/>
          <w:lang w:val="en-US" w:eastAsia="zh-CN"/>
        </w:rPr>
        <w:t>计取</w:t>
      </w:r>
      <w:r>
        <w:rPr>
          <w:rFonts w:hint="eastAsia" w:ascii="仿宋" w:hAnsi="仿宋" w:eastAsia="仿宋" w:cs="仿宋"/>
          <w:color w:val="auto"/>
          <w:sz w:val="24"/>
          <w:szCs w:val="24"/>
          <w:highlight w:val="none"/>
        </w:rPr>
        <w:t>，低于2000元按2000元计取</w:t>
      </w:r>
      <w:r>
        <w:rPr>
          <w:rFonts w:hint="eastAsia" w:ascii="仿宋" w:hAnsi="仿宋" w:eastAsia="仿宋" w:cs="仿宋"/>
          <w:color w:val="auto"/>
          <w:sz w:val="24"/>
          <w:highlight w:val="none"/>
          <w:lang w:val="en-US" w:eastAsia="zh-CN"/>
        </w:rPr>
        <w:t>，由中标单位在领取中标通知书时支付，费用无需单列，请各投标人在报价时综合考虑。</w:t>
      </w:r>
    </w:p>
    <w:p>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pStyle w:val="27"/>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pPr>
        <w:pStyle w:val="36"/>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w:t>
      </w:r>
      <w:r>
        <w:rPr>
          <w:rFonts w:ascii="仿宋" w:hAnsi="仿宋" w:eastAsia="仿宋" w:cs="仿宋"/>
          <w:i w:val="0"/>
          <w:iCs w:val="0"/>
          <w:caps w:val="0"/>
          <w:color w:val="auto"/>
          <w:spacing w:val="0"/>
          <w:kern w:val="0"/>
          <w:sz w:val="24"/>
          <w:szCs w:val="24"/>
          <w:highlight w:val="none"/>
        </w:rPr>
        <w:t>城乡规划编制</w:t>
      </w:r>
      <w:r>
        <w:rPr>
          <w:rFonts w:hint="eastAsia" w:ascii="仿宋" w:hAnsi="仿宋" w:eastAsia="仿宋" w:cs="仿宋"/>
          <w:i w:val="0"/>
          <w:iCs w:val="0"/>
          <w:caps w:val="0"/>
          <w:color w:val="auto"/>
          <w:spacing w:val="0"/>
          <w:kern w:val="0"/>
          <w:sz w:val="24"/>
          <w:szCs w:val="24"/>
          <w:highlight w:val="none"/>
          <w:lang w:val="en-US" w:eastAsia="zh-CN"/>
        </w:rPr>
        <w:t>证书</w:t>
      </w:r>
      <w:r>
        <w:rPr>
          <w:rFonts w:hint="eastAsia" w:ascii="仿宋" w:hAnsi="仿宋" w:eastAsia="仿宋" w:cs="仿宋"/>
          <w:color w:val="auto"/>
          <w:sz w:val="24"/>
          <w:highlight w:val="none"/>
          <w:lang w:eastAsia="zh-CN"/>
        </w:rPr>
        <w:t>扫描件；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技术偏离说明表。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2.3.1中小企业声明函（如有）</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241" w:firstLineChars="1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pPr>
        <w:pStyle w:val="132"/>
        <w:spacing w:before="0" w:line="440" w:lineRule="exact"/>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pPr>
        <w:adjustRightInd w:val="0"/>
        <w:spacing w:line="440" w:lineRule="exact"/>
        <w:ind w:left="0" w:leftChars="0" w:firstLine="482" w:firstLineChars="20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pPr>
        <w:pStyle w:val="132"/>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1.6评标委员会对投标文件报价文件资料进行评审，核准投标报价及计算价格分，汇总商务技术分、价格分，根据得分排序确定一名中标候选人。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3.2评标委员会由采购人代表1名和有关方面的专家4名（政采云专家库中随机抽取产生）组成。</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6"/>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《技术偏离说明表》不真实填写或弄虚作假的；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pPr>
        <w:pStyle w:val="36"/>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5236101"/>
      <w:bookmarkEnd w:id="20"/>
      <w:bookmarkStart w:id="21" w:name="_Hlt74730295"/>
      <w:bookmarkEnd w:id="21"/>
      <w:bookmarkStart w:id="22" w:name="_Hlt74707468"/>
      <w:bookmarkEnd w:id="22"/>
      <w:bookmarkStart w:id="23" w:name="_Hlt68072998"/>
      <w:bookmarkEnd w:id="23"/>
      <w:bookmarkStart w:id="24" w:name="_Hlt75236011"/>
      <w:bookmarkEnd w:id="24"/>
      <w:bookmarkStart w:id="25" w:name="_Hlt75236290"/>
      <w:bookmarkEnd w:id="25"/>
      <w:bookmarkStart w:id="26" w:name="_Hlt74714665"/>
      <w:bookmarkEnd w:id="26"/>
      <w:bookmarkStart w:id="27" w:name="_Hlt68057669"/>
      <w:bookmarkEnd w:id="27"/>
      <w:bookmarkStart w:id="28" w:name="_Hlt74729768"/>
      <w:bookmarkEnd w:id="28"/>
      <w:bookmarkStart w:id="29" w:name="_Hlt68403820"/>
      <w:bookmarkEnd w:id="29"/>
      <w:bookmarkStart w:id="30" w:name="_Hlt68073093"/>
      <w:bookmarkEnd w:id="30"/>
      <w:bookmarkStart w:id="31" w:name="_Hlt68072990"/>
      <w:bookmarkEnd w:id="31"/>
      <w:bookmarkStart w:id="32" w:name="_Toc81372776"/>
      <w:bookmarkStart w:id="33" w:name="_Toc81372953"/>
      <w:bookmarkStart w:id="34" w:name="_Toc84325929"/>
      <w:r>
        <w:rPr>
          <w:rFonts w:hint="eastAsia" w:ascii="仿宋" w:hAnsi="仿宋" w:eastAsia="仿宋" w:cs="仿宋"/>
          <w:b/>
          <w:color w:val="auto"/>
          <w:sz w:val="32"/>
          <w:szCs w:val="32"/>
          <w:highlight w:val="none"/>
        </w:rPr>
        <w:t>五、授予合同</w:t>
      </w:r>
    </w:p>
    <w:bookmarkEnd w:id="32"/>
    <w:bookmarkEnd w:id="33"/>
    <w:bookmarkEnd w:id="34"/>
    <w:p>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本项目不收取履约保证金。</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pPr>
        <w:pStyle w:val="27"/>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5" w:type="default"/>
          <w:pgSz w:w="11906" w:h="16838"/>
          <w:pgMar w:top="1474" w:right="1814" w:bottom="1474" w:left="1814" w:header="851" w:footer="992" w:gutter="0"/>
          <w:pgNumType w:fmt="decimal" w:start="1"/>
          <w:cols w:space="720" w:num="1"/>
          <w:docGrid w:linePitch="312" w:charSpace="0"/>
        </w:sectPr>
      </w:pPr>
    </w:p>
    <w:bookmarkEnd w:id="17"/>
    <w:bookmarkEnd w:id="18"/>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 xml:space="preserve">第三部分   </w:t>
      </w:r>
      <w:r>
        <w:rPr>
          <w:rFonts w:hint="eastAsia" w:ascii="仿宋" w:hAnsi="仿宋" w:eastAsia="仿宋" w:cs="仿宋"/>
          <w:b/>
          <w:color w:val="auto"/>
          <w:sz w:val="36"/>
          <w:szCs w:val="36"/>
          <w:highlight w:val="none"/>
          <w:lang w:eastAsia="zh-CN"/>
        </w:rPr>
        <w:t>采购内容</w:t>
      </w:r>
      <w:r>
        <w:rPr>
          <w:rFonts w:hint="eastAsia" w:ascii="仿宋" w:hAnsi="仿宋" w:eastAsia="仿宋" w:cs="仿宋"/>
          <w:b/>
          <w:color w:val="auto"/>
          <w:sz w:val="36"/>
          <w:szCs w:val="36"/>
          <w:highlight w:val="none"/>
        </w:rPr>
        <w:t>及要求</w:t>
      </w:r>
    </w:p>
    <w:bookmarkEnd w:id="35"/>
    <w:p>
      <w:pPr>
        <w:pStyle w:val="6"/>
        <w:keepNext w:val="0"/>
        <w:pageBreakBefore w:val="0"/>
        <w:widowControl w:val="0"/>
        <w:tabs>
          <w:tab w:val="left" w:pos="706"/>
          <w:tab w:val="left" w:pos="1110"/>
          <w:tab w:val="clear" w:pos="432"/>
        </w:tabs>
        <w:kinsoku/>
        <w:wordWrap/>
        <w:overflowPunct/>
        <w:topLinePunct w:val="0"/>
        <w:bidi w:val="0"/>
        <w:spacing w:before="0" w:after="0" w:line="560" w:lineRule="exact"/>
        <w:ind w:left="434" w:leftChars="202" w:hanging="10" w:hangingChars="4"/>
        <w:jc w:val="both"/>
        <w:textAlignment w:val="auto"/>
        <w:rPr>
          <w:rFonts w:hint="eastAsia" w:ascii="黑体" w:hAnsi="黑体" w:eastAsia="黑体" w:cs="黑体"/>
          <w:b w:val="0"/>
          <w:bCs w:val="0"/>
          <w:caps w:val="0"/>
          <w:spacing w:val="10"/>
          <w:sz w:val="24"/>
          <w:szCs w:val="24"/>
          <w:lang w:eastAsia="zh-CN"/>
        </w:rPr>
      </w:pPr>
      <w:bookmarkStart w:id="36" w:name="_Toc126410403"/>
      <w:bookmarkStart w:id="37" w:name="_Toc158027929"/>
      <w:bookmarkStart w:id="38" w:name="_Toc355959986"/>
      <w:bookmarkStart w:id="39" w:name="第五部分"/>
      <w:bookmarkStart w:id="40" w:name="_Toc86217003"/>
      <w:r>
        <w:rPr>
          <w:rFonts w:hint="eastAsia" w:ascii="黑体" w:hAnsi="黑体" w:eastAsia="黑体" w:cs="黑体"/>
          <w:b w:val="0"/>
          <w:bCs w:val="0"/>
          <w:caps w:val="0"/>
          <w:spacing w:val="10"/>
          <w:sz w:val="24"/>
          <w:szCs w:val="24"/>
        </w:rPr>
        <w:t>一、项目</w:t>
      </w:r>
      <w:r>
        <w:rPr>
          <w:rFonts w:hint="eastAsia" w:ascii="黑体" w:hAnsi="黑体" w:eastAsia="黑体" w:cs="黑体"/>
          <w:b w:val="0"/>
          <w:bCs w:val="0"/>
          <w:caps w:val="0"/>
          <w:spacing w:val="10"/>
          <w:sz w:val="24"/>
          <w:szCs w:val="24"/>
          <w:lang w:eastAsia="zh-CN"/>
        </w:rPr>
        <w:t>背景</w:t>
      </w:r>
    </w:p>
    <w:p>
      <w:pPr>
        <w:pStyle w:val="53"/>
        <w:pageBreakBefore w:val="0"/>
        <w:widowControl w:val="0"/>
        <w:kinsoku/>
        <w:wordWrap/>
        <w:overflowPunct/>
        <w:topLinePunct w:val="0"/>
        <w:bidi w:val="0"/>
        <w:spacing w:line="560" w:lineRule="exact"/>
        <w:ind w:left="0" w:leftChars="0" w:firstLine="520" w:firstLineChars="200"/>
        <w:jc w:val="both"/>
        <w:textAlignment w:val="auto"/>
        <w:rPr>
          <w:rFonts w:hint="eastAsia" w:ascii="仿宋" w:hAnsi="仿宋" w:eastAsia="仿宋" w:cs="仿宋"/>
          <w:caps w:val="0"/>
          <w:spacing w:val="10"/>
          <w:sz w:val="24"/>
          <w:szCs w:val="24"/>
        </w:rPr>
      </w:pPr>
      <w:r>
        <w:rPr>
          <w:rFonts w:hint="eastAsia" w:ascii="仿宋" w:hAnsi="仿宋" w:eastAsia="仿宋" w:cs="仿宋"/>
          <w:caps w:val="0"/>
          <w:spacing w:val="10"/>
          <w:sz w:val="24"/>
          <w:szCs w:val="24"/>
        </w:rPr>
        <w:t>衢州智造新城白沙片区位于衢州市区中部，地处衢州“北城南产”格局中的产城交界地带，西邻城市中心和高铁枢纽，东接乌溪江和东港工业板块，北靠机场片区，南侧为专业市场片区、衢化生活片区，近中心、近枢纽、临水岸，区位条件优越，高端资源要素汇聚，发展潜力巨大。</w:t>
      </w:r>
      <w:r>
        <w:rPr>
          <w:rFonts w:hint="eastAsia" w:ascii="仿宋" w:hAnsi="仿宋" w:eastAsia="仿宋" w:cs="仿宋"/>
          <w:caps w:val="0"/>
          <w:spacing w:val="10"/>
          <w:sz w:val="24"/>
          <w:szCs w:val="24"/>
          <w:lang w:eastAsia="zh-CN"/>
        </w:rPr>
        <w:t>近年来，</w:t>
      </w:r>
      <w:r>
        <w:rPr>
          <w:rFonts w:hint="eastAsia" w:ascii="仿宋" w:hAnsi="仿宋" w:eastAsia="仿宋" w:cs="仿宋"/>
          <w:caps w:val="0"/>
          <w:spacing w:val="10"/>
          <w:sz w:val="24"/>
          <w:szCs w:val="24"/>
        </w:rPr>
        <w:t>在“工业强市、产业兴市”的战略指引下，白沙片区是智造新城支撑创新要素布局的战略空间，是产业转型升级、产城融合发展的重点区域。现状片区发展相对滞后，存在交通联系不畅、开发效率低下、建筑风貌混杂、公服配套不足、产业结构单一等现实问题，更新需求迫切。</w:t>
      </w:r>
    </w:p>
    <w:p>
      <w:pPr>
        <w:pStyle w:val="28"/>
        <w:keepNext w:val="0"/>
        <w:pageBreakBefore w:val="0"/>
        <w:widowControl w:val="0"/>
        <w:kinsoku/>
        <w:wordWrap/>
        <w:overflowPunct/>
        <w:topLinePunct w:val="0"/>
        <w:bidi w:val="0"/>
        <w:spacing w:before="0" w:after="0" w:line="560" w:lineRule="exact"/>
        <w:ind w:firstLine="520" w:firstLineChars="200"/>
        <w:jc w:val="both"/>
        <w:textAlignment w:val="auto"/>
        <w:rPr>
          <w:rFonts w:hint="eastAsia" w:ascii="仿宋" w:hAnsi="仿宋" w:eastAsia="仿宋" w:cs="仿宋"/>
          <w:b w:val="0"/>
          <w:bCs w:val="0"/>
          <w:caps w:val="0"/>
          <w:spacing w:val="10"/>
          <w:sz w:val="24"/>
          <w:szCs w:val="24"/>
          <w:lang w:val="en-US" w:eastAsia="zh-CN"/>
        </w:rPr>
      </w:pPr>
      <w:r>
        <w:rPr>
          <w:rFonts w:hint="eastAsia" w:ascii="仿宋" w:hAnsi="仿宋" w:eastAsia="仿宋" w:cs="仿宋"/>
          <w:caps w:val="0"/>
          <w:spacing w:val="10"/>
          <w:sz w:val="24"/>
          <w:szCs w:val="24"/>
        </w:rPr>
        <w:t>为科学有序指导白沙片区城市更新，</w:t>
      </w:r>
      <w:r>
        <w:rPr>
          <w:rFonts w:hint="eastAsia" w:ascii="仿宋" w:hAnsi="仿宋" w:eastAsia="仿宋" w:cs="仿宋"/>
          <w:caps w:val="0"/>
          <w:spacing w:val="10"/>
          <w:sz w:val="24"/>
          <w:szCs w:val="24"/>
          <w:lang w:val="en-US" w:eastAsia="zh-CN"/>
        </w:rPr>
        <w:t>落实本轮衢州市国土空间规划、智造新城规划、白沙片区产城融合专题研究等规划及研究的传导，</w:t>
      </w:r>
      <w:r>
        <w:rPr>
          <w:rFonts w:hint="eastAsia" w:ascii="仿宋" w:hAnsi="仿宋" w:eastAsia="仿宋" w:cs="仿宋"/>
          <w:caps w:val="0"/>
          <w:spacing w:val="10"/>
          <w:sz w:val="24"/>
          <w:szCs w:val="24"/>
        </w:rPr>
        <w:t>提升片区城市功能，完善公共服务设施配套，优化产业、居住空间布局，加快产业、人气、商气汇聚，促进产城融合一体发展，特组织编制《</w:t>
      </w:r>
      <w:r>
        <w:rPr>
          <w:rFonts w:hint="eastAsia" w:ascii="仿宋" w:hAnsi="仿宋" w:eastAsia="仿宋" w:cs="仿宋"/>
          <w:caps w:val="0"/>
          <w:spacing w:val="10"/>
          <w:sz w:val="24"/>
          <w:szCs w:val="24"/>
          <w:lang w:eastAsia="zh-CN"/>
        </w:rPr>
        <w:t>衢州智造新城白沙单元、白沙东单元控制性详细规划</w:t>
      </w:r>
      <w:r>
        <w:rPr>
          <w:rFonts w:hint="eastAsia" w:ascii="仿宋" w:hAnsi="仿宋" w:eastAsia="仿宋" w:cs="仿宋"/>
          <w:caps w:val="0"/>
          <w:spacing w:val="10"/>
          <w:sz w:val="24"/>
          <w:szCs w:val="24"/>
        </w:rPr>
        <w:t>》。</w:t>
      </w:r>
    </w:p>
    <w:p>
      <w:pPr>
        <w:pStyle w:val="6"/>
        <w:keepNext w:val="0"/>
        <w:pageBreakBefore w:val="0"/>
        <w:widowControl w:val="0"/>
        <w:tabs>
          <w:tab w:val="left" w:pos="706"/>
          <w:tab w:val="left" w:pos="1110"/>
          <w:tab w:val="clear" w:pos="432"/>
        </w:tabs>
        <w:kinsoku/>
        <w:wordWrap/>
        <w:overflowPunct/>
        <w:topLinePunct w:val="0"/>
        <w:bidi w:val="0"/>
        <w:spacing w:before="0" w:after="0" w:line="560" w:lineRule="exact"/>
        <w:ind w:left="434" w:leftChars="202" w:hanging="10" w:hangingChars="4"/>
        <w:jc w:val="both"/>
        <w:textAlignment w:val="auto"/>
        <w:rPr>
          <w:rFonts w:hint="eastAsia" w:ascii="黑体" w:hAnsi="黑体" w:eastAsia="黑体" w:cs="黑体"/>
          <w:b w:val="0"/>
          <w:bCs w:val="0"/>
          <w:caps w:val="0"/>
          <w:spacing w:val="10"/>
          <w:sz w:val="24"/>
          <w:szCs w:val="24"/>
          <w:lang w:val="en-US" w:eastAsia="zh-CN"/>
        </w:rPr>
      </w:pPr>
      <w:r>
        <w:rPr>
          <w:rFonts w:hint="eastAsia" w:ascii="黑体" w:hAnsi="黑体" w:eastAsia="黑体" w:cs="黑体"/>
          <w:b w:val="0"/>
          <w:bCs w:val="0"/>
          <w:caps w:val="0"/>
          <w:spacing w:val="10"/>
          <w:sz w:val="24"/>
          <w:szCs w:val="24"/>
          <w:lang w:val="en-US" w:eastAsia="zh-CN"/>
        </w:rPr>
        <w:t>二、规划范围</w:t>
      </w:r>
    </w:p>
    <w:p>
      <w:pPr>
        <w:pStyle w:val="53"/>
        <w:pageBreakBefore w:val="0"/>
        <w:widowControl w:val="0"/>
        <w:numPr>
          <w:ilvl w:val="0"/>
          <w:numId w:val="0"/>
        </w:numPr>
        <w:kinsoku/>
        <w:wordWrap/>
        <w:overflowPunct/>
        <w:topLinePunct w:val="0"/>
        <w:bidi w:val="0"/>
        <w:spacing w:line="560" w:lineRule="exact"/>
        <w:ind w:firstLine="520"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caps w:val="0"/>
          <w:spacing w:val="10"/>
          <w:sz w:val="24"/>
          <w:szCs w:val="24"/>
          <w:lang w:val="en-US" w:eastAsia="zh-CN"/>
        </w:rPr>
        <w:t>根据白沙片区城市更新和发展方向，结合衢州中心城区详细规划单元划分方案，本次规划以白沙溪为界划分两个单元，西片为白沙单元，北至三衢路、东至白沙溪、南至杭长高铁、西至衢化路、彩虹路，面积约230公顷；东片为白沙东单元，北至三衢路、浙赣铁路，东至乌溪江、南至后贻村、西至白沙溪，面积约370公顷；两个单元面积合计约600公顷。另外，</w:t>
      </w:r>
      <w:r>
        <w:rPr>
          <w:rFonts w:hint="eastAsia" w:ascii="仿宋" w:hAnsi="仿宋" w:eastAsia="仿宋" w:cs="仿宋"/>
          <w:caps w:val="0"/>
          <w:color w:val="auto"/>
          <w:spacing w:val="10"/>
          <w:sz w:val="24"/>
          <w:szCs w:val="24"/>
          <w:highlight w:val="none"/>
          <w:lang w:val="en-US" w:eastAsia="zh-CN"/>
        </w:rPr>
        <w:t>三衢路以北区块和</w:t>
      </w:r>
      <w:r>
        <w:rPr>
          <w:rFonts w:hint="eastAsia" w:ascii="仿宋" w:hAnsi="仿宋" w:eastAsia="仿宋" w:cs="仿宋"/>
          <w:caps w:val="0"/>
          <w:spacing w:val="10"/>
          <w:sz w:val="24"/>
          <w:szCs w:val="24"/>
          <w:lang w:val="en-US" w:eastAsia="zh-CN"/>
        </w:rPr>
        <w:t>三衢路以南、二手车交易市场区块约90公顷的范围与白沙单元和白沙东单元联系紧密，作为规划协调区纳入本次规划编制范围。</w:t>
      </w:r>
    </w:p>
    <w:p>
      <w:pPr>
        <w:pStyle w:val="6"/>
        <w:keepNext w:val="0"/>
        <w:pageBreakBefore w:val="0"/>
        <w:widowControl w:val="0"/>
        <w:tabs>
          <w:tab w:val="left" w:pos="706"/>
          <w:tab w:val="left" w:pos="1110"/>
          <w:tab w:val="clear" w:pos="432"/>
        </w:tabs>
        <w:kinsoku/>
        <w:wordWrap/>
        <w:overflowPunct/>
        <w:topLinePunct w:val="0"/>
        <w:bidi w:val="0"/>
        <w:spacing w:before="0" w:after="0" w:line="560" w:lineRule="exact"/>
        <w:ind w:left="434" w:leftChars="202" w:hanging="10" w:hangingChars="4"/>
        <w:jc w:val="both"/>
        <w:textAlignment w:val="auto"/>
        <w:rPr>
          <w:rFonts w:hint="eastAsia" w:ascii="黑体" w:hAnsi="黑体" w:eastAsia="黑体" w:cs="黑体"/>
          <w:b w:val="0"/>
          <w:bCs w:val="0"/>
          <w:caps w:val="0"/>
          <w:spacing w:val="10"/>
          <w:sz w:val="24"/>
          <w:szCs w:val="24"/>
          <w:lang w:val="en-US" w:eastAsia="zh-CN"/>
        </w:rPr>
      </w:pPr>
      <w:r>
        <w:rPr>
          <w:rFonts w:hint="eastAsia" w:ascii="黑体" w:hAnsi="黑体" w:eastAsia="黑体" w:cs="黑体"/>
          <w:b w:val="0"/>
          <w:bCs w:val="0"/>
          <w:caps w:val="0"/>
          <w:spacing w:val="10"/>
          <w:sz w:val="24"/>
          <w:szCs w:val="24"/>
          <w:lang w:val="en-US" w:eastAsia="zh-CN"/>
        </w:rPr>
        <mc:AlternateContent>
          <mc:Choice Requires="wps">
            <w:drawing>
              <wp:anchor distT="45720" distB="45720" distL="114300" distR="114300" simplePos="0" relativeHeight="251663360" behindDoc="0" locked="0" layoutInCell="1" allowOverlap="1">
                <wp:simplePos x="0" y="0"/>
                <wp:positionH relativeFrom="margin">
                  <wp:posOffset>20320</wp:posOffset>
                </wp:positionH>
                <wp:positionV relativeFrom="paragraph">
                  <wp:posOffset>108585</wp:posOffset>
                </wp:positionV>
                <wp:extent cx="5655945" cy="3488690"/>
                <wp:effectExtent l="0" t="0" r="1905" b="1651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55945" cy="3488690"/>
                        </a:xfrm>
                        <a:prstGeom prst="rect">
                          <a:avLst/>
                        </a:prstGeom>
                        <a:solidFill>
                          <a:srgbClr val="FFFFFF"/>
                        </a:solidFill>
                        <a:ln w="9525">
                          <a:noFill/>
                          <a:miter lim="800000"/>
                        </a:ln>
                      </wps:spPr>
                      <wps:txbx>
                        <w:txbxContent>
                          <w:p>
                            <w:pPr>
                              <w:jc w:val="both"/>
                              <w:rPr>
                                <w:rFonts w:hint="eastAsia" w:ascii="宋体" w:hAnsi="宋体" w:eastAsia="宋体"/>
                                <w:lang w:eastAsia="zh-CN"/>
                              </w:rPr>
                            </w:pPr>
                            <w:r>
                              <w:rPr>
                                <w:rFonts w:hint="eastAsia" w:ascii="仿宋_GB2312" w:eastAsia="仿宋_GB2312" w:cs="仿宋_GB2312" w:hAnsiTheme="minorHAnsi"/>
                                <w:b/>
                                <w:bCs/>
                                <w:caps w:val="0"/>
                                <w:spacing w:val="10"/>
                                <w:kern w:val="0"/>
                                <w:sz w:val="32"/>
                                <w:szCs w:val="32"/>
                              </w:rPr>
                              <w:drawing>
                                <wp:inline distT="0" distB="0" distL="114300" distR="114300">
                                  <wp:extent cx="5364480" cy="3077210"/>
                                  <wp:effectExtent l="0" t="0" r="7620" b="8890"/>
                                  <wp:docPr id="6" name="图片 6" descr="白沙单元规划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白沙单元规划范围"/>
                                          <pic:cNvPicPr>
                                            <a:picLocks noChangeAspect="1"/>
                                          </pic:cNvPicPr>
                                        </pic:nvPicPr>
                                        <pic:blipFill>
                                          <a:blip r:embed="rId16"/>
                                          <a:srcRect r="2144" b="206"/>
                                          <a:stretch>
                                            <a:fillRect/>
                                          </a:stretch>
                                        </pic:blipFill>
                                        <pic:spPr>
                                          <a:xfrm>
                                            <a:off x="0" y="0"/>
                                            <a:ext cx="5364480" cy="3077210"/>
                                          </a:xfrm>
                                          <a:prstGeom prst="rect">
                                            <a:avLst/>
                                          </a:prstGeom>
                                        </pic:spPr>
                                      </pic:pic>
                                    </a:graphicData>
                                  </a:graphic>
                                </wp:inline>
                              </w:drawing>
                            </w:r>
                          </w:p>
                          <w:p>
                            <w:pPr>
                              <w:shd w:val="clear"/>
                              <w:jc w:val="center"/>
                              <w:rPr>
                                <w:rFonts w:ascii="宋体" w:hAnsi="宋体"/>
                                <w:highlight w:val="none"/>
                              </w:rPr>
                            </w:pPr>
                            <w:r>
                              <w:rPr>
                                <w:rFonts w:ascii="宋体" w:hAnsi="宋体"/>
                                <w:highlight w:val="none"/>
                              </w:rPr>
                              <w:t>规划</w:t>
                            </w:r>
                            <w:r>
                              <w:rPr>
                                <w:rFonts w:hint="eastAsia" w:ascii="宋体" w:hAnsi="宋体"/>
                                <w:highlight w:val="none"/>
                              </w:rPr>
                              <w:t>范围示意图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8.55pt;height:274.7pt;width:445.35pt;mso-position-horizontal-relative:margin;mso-wrap-distance-bottom:3.6pt;mso-wrap-distance-top:3.6pt;z-index:251663360;mso-width-relative:page;mso-height-relative:page;" fillcolor="#FFFFFF" filled="t" stroked="f" coordsize="21600,21600" o:gfxdata="UEsDBAoAAAAAAIdO4kAAAAAAAAAAAAAAAAAEAAAAZHJzL1BLAwQUAAAACACHTuJAyxhqzdcAAAAI&#10;AQAADwAAAGRycy9kb3ducmV2LnhtbE2PzW6DMBCE75X6DtZG6qVqDEmBQDCRWqlVr/l5gAU7gIrX&#10;CDsheftuT+1xdkYz35a7mx3E1Uy+d6QgXkYgDDVO99QqOB0/XjYgfEDSODgyCu7Gw656fCix0G6m&#10;vbkeQiu4hHyBCroQxkJK33TGol+60RB7ZzdZDCynVuoJZy63g1xFUSot9sQLHY7mvTPN9+FiFZy/&#10;5uckn+vPcMr2r+kb9lnt7ko9LeJoCyKYW/gLwy8+o0PFTLW7kPZiULBecZDPWQyC7U2+zkHUCpI0&#10;TUBWpfz/QPUDUEsDBBQAAAAIAIdO4kDNBv3XPAIAAFUEAAAOAAAAZHJzL2Uyb0RvYy54bWytVM2O&#10;0zAQviPxDpbvNG1pdtuo6WppVYS0/EgLD+A6TmNhe4ztNlkeAN6AExfuPNc+B2Mnu1TlsgdysDye&#10;mc/zfTPO8qrTihyF8xJMSSejMSXCcKik2Zf008ftizklPjBTMQVGlPROeHq1ev5s2dpCTKEBVQlH&#10;EMT4orUlbUKwRZZ53gjN/AisMOiswWkW0HT7rHKsRXStsul4fJG14CrrgAvv8XTTO+mA6J4CCHUt&#10;udgAP2hhQo/qhGIBKflGWk9Xqdq6Fjy8r2svAlElRaYhrXgJ7ndxzVZLVuwds43kQwnsKSWccdJM&#10;Grz0EWrDAiMHJ/+B0pI78FCHEQed9USSIshiMj7T5rZhViQuKLW3j6L7/wfL3x0/OCKrkk4nl5QY&#10;prHl9z++3//8ff/rG5lGgVrrC4y7tRgZulfQ4dgkst7eAP/siYF1w8xeXDsHbSNYhQVOYmZ2ktrj&#10;+Aiya99ChfewQ4AE1NVOR/VQD4Lo2Jy7x+aILhCOh/lFni9mOSUcfS9n8/nFIrUvY8VDunU+vBag&#10;SdyU1GH3Ezw73vgQy2HFQ0i8zYOS1VYqlQy3362VI0eGk7JNX2JwFqYMaUu6yKd5QjYQ89MQaRnw&#10;XSipSzofx29IV2bQIVLvRQjdrht03UF1h4o46CcT3yVuGnBfKWlxKkvqvxyYE5SoNwZVXUxmszjG&#10;yZjll1M03Klnd+phhiNUSQMl/XYd0uhHvgauUf1aJl1im/pKhlpx2pJcw8uI43xqp6i/f4P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sYas3XAAAACAEAAA8AAAAAAAAAAQAgAAAAIgAAAGRycy9k&#10;b3ducmV2LnhtbFBLAQIUABQAAAAIAIdO4kDNBv3XPAIAAFUEAAAOAAAAAAAAAAEAIAAAACYBAABk&#10;cnMvZTJvRG9jLnhtbFBLBQYAAAAABgAGAFkBAADUBQAAAAA=&#10;">
                <v:fill on="t" focussize="0,0"/>
                <v:stroke on="f" miterlimit="8" joinstyle="miter"/>
                <v:imagedata o:title=""/>
                <o:lock v:ext="edit" aspectratio="f"/>
                <v:textbox>
                  <w:txbxContent>
                    <w:p>
                      <w:pPr>
                        <w:jc w:val="both"/>
                        <w:rPr>
                          <w:rFonts w:hint="eastAsia" w:ascii="宋体" w:hAnsi="宋体" w:eastAsia="宋体"/>
                          <w:lang w:eastAsia="zh-CN"/>
                        </w:rPr>
                      </w:pPr>
                      <w:r>
                        <w:rPr>
                          <w:rFonts w:hint="eastAsia" w:ascii="仿宋_GB2312" w:eastAsia="仿宋_GB2312" w:cs="仿宋_GB2312" w:hAnsiTheme="minorHAnsi"/>
                          <w:b/>
                          <w:bCs/>
                          <w:caps w:val="0"/>
                          <w:spacing w:val="10"/>
                          <w:kern w:val="0"/>
                          <w:sz w:val="32"/>
                          <w:szCs w:val="32"/>
                        </w:rPr>
                        <w:drawing>
                          <wp:inline distT="0" distB="0" distL="114300" distR="114300">
                            <wp:extent cx="5364480" cy="3077210"/>
                            <wp:effectExtent l="0" t="0" r="7620" b="8890"/>
                            <wp:docPr id="6" name="图片 6" descr="白沙单元规划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白沙单元规划范围"/>
                                    <pic:cNvPicPr>
                                      <a:picLocks noChangeAspect="1"/>
                                    </pic:cNvPicPr>
                                  </pic:nvPicPr>
                                  <pic:blipFill>
                                    <a:blip r:embed="rId16"/>
                                    <a:srcRect r="2144" b="206"/>
                                    <a:stretch>
                                      <a:fillRect/>
                                    </a:stretch>
                                  </pic:blipFill>
                                  <pic:spPr>
                                    <a:xfrm>
                                      <a:off x="0" y="0"/>
                                      <a:ext cx="5364480" cy="3077210"/>
                                    </a:xfrm>
                                    <a:prstGeom prst="rect">
                                      <a:avLst/>
                                    </a:prstGeom>
                                  </pic:spPr>
                                </pic:pic>
                              </a:graphicData>
                            </a:graphic>
                          </wp:inline>
                        </w:drawing>
                      </w:r>
                    </w:p>
                    <w:p>
                      <w:pPr>
                        <w:shd w:val="clear"/>
                        <w:jc w:val="center"/>
                        <w:rPr>
                          <w:rFonts w:ascii="宋体" w:hAnsi="宋体"/>
                          <w:highlight w:val="none"/>
                        </w:rPr>
                      </w:pPr>
                      <w:r>
                        <w:rPr>
                          <w:rFonts w:ascii="宋体" w:hAnsi="宋体"/>
                          <w:highlight w:val="none"/>
                        </w:rPr>
                        <w:t>规划</w:t>
                      </w:r>
                      <w:r>
                        <w:rPr>
                          <w:rFonts w:hint="eastAsia" w:ascii="宋体" w:hAnsi="宋体"/>
                          <w:highlight w:val="none"/>
                        </w:rPr>
                        <w:t>范围示意图</w:t>
                      </w:r>
                    </w:p>
                  </w:txbxContent>
                </v:textbox>
                <w10:wrap type="topAndBottom"/>
              </v:shape>
            </w:pict>
          </mc:Fallback>
        </mc:AlternateContent>
      </w:r>
      <w:r>
        <w:rPr>
          <w:rFonts w:hint="eastAsia" w:ascii="黑体" w:hAnsi="黑体" w:eastAsia="黑体" w:cs="黑体"/>
          <w:b w:val="0"/>
          <w:bCs w:val="0"/>
          <w:caps w:val="0"/>
          <w:spacing w:val="10"/>
          <w:sz w:val="24"/>
          <w:szCs w:val="24"/>
          <w:lang w:val="en-US" w:eastAsia="zh-CN"/>
        </w:rPr>
        <w:t>三、主要内容和要求</w:t>
      </w:r>
    </w:p>
    <w:p>
      <w:pPr>
        <w:pStyle w:val="53"/>
        <w:keepNext w:val="0"/>
        <w:keepLines w:val="0"/>
        <w:pageBreakBefore w:val="0"/>
        <w:widowControl w:val="0"/>
        <w:kinsoku/>
        <w:wordWrap/>
        <w:overflowPunct/>
        <w:topLinePunct w:val="0"/>
        <w:bidi w:val="0"/>
        <w:spacing w:line="560" w:lineRule="exact"/>
        <w:ind w:left="0" w:leftChars="0" w:firstLine="520"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caps w:val="0"/>
          <w:spacing w:val="10"/>
          <w:sz w:val="24"/>
          <w:szCs w:val="24"/>
          <w:lang w:val="en-US" w:eastAsia="zh-CN"/>
        </w:rPr>
        <w:t>本次规划重点是对白沙片区现状建设条件、上位规划和相关专项规划及研究进行解读，就片区整体功能定位、用地功能、交通组织、配套设施、规模容量、开发强度、景观环境等方面进行分析研究；要求依据《中华人民共和国城乡规划法》、《浙江省国土空间规划条例》等有关法律、法规、规章执行，具体编制内容参照《浙江省城镇单元控制性详细规划编制技术指南（征求意见稿）》、《衢州市城乡规划管理（建筑管理）技术规定》等相关要求。主要内容包含但不限于以下方面:</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1、现状分析，明确规划重点。</w:t>
      </w:r>
      <w:r>
        <w:rPr>
          <w:rFonts w:hint="eastAsia" w:ascii="仿宋" w:hAnsi="仿宋" w:eastAsia="仿宋" w:cs="仿宋"/>
          <w:caps w:val="0"/>
          <w:spacing w:val="10"/>
          <w:sz w:val="24"/>
          <w:szCs w:val="24"/>
          <w:lang w:val="en-US" w:eastAsia="zh-CN"/>
        </w:rPr>
        <w:t>对规划范围内的用地情况、土地权属、道路市政基础设施、公共设施配套等情况进行全面调查核实，分析主要问题存在的原因，明确本次规划的重点。</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2、开展控规实施评估。</w:t>
      </w:r>
      <w:r>
        <w:rPr>
          <w:rFonts w:hint="eastAsia" w:ascii="仿宋" w:hAnsi="仿宋" w:eastAsia="仿宋" w:cs="仿宋"/>
          <w:caps w:val="0"/>
          <w:spacing w:val="10"/>
          <w:sz w:val="24"/>
          <w:szCs w:val="24"/>
          <w:lang w:val="en-US" w:eastAsia="zh-CN"/>
        </w:rPr>
        <w:t>从规划编制背景和实施基本情况入手，结合单元现状及发展趋势，对原规划的实施建设情况进行分析评价。</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3、规划传导与落实。</w:t>
      </w:r>
      <w:r>
        <w:rPr>
          <w:rFonts w:hint="eastAsia" w:ascii="仿宋" w:hAnsi="仿宋" w:eastAsia="仿宋" w:cs="仿宋"/>
          <w:caps w:val="0"/>
          <w:spacing w:val="10"/>
          <w:sz w:val="24"/>
          <w:szCs w:val="24"/>
          <w:lang w:val="en-US" w:eastAsia="zh-CN"/>
        </w:rPr>
        <w:t>结合上位规划及专题研究，确定本片区的功能定位、更新开发、城市风貌、总体用地结构、天际线引导、生态控制等各类要求；落实上位规划确定的重要公共服务和市政基础设施的数量、规模、空间布局等内容。</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b/>
          <w:bCs/>
          <w:caps w:val="0"/>
          <w:spacing w:val="10"/>
          <w:sz w:val="24"/>
          <w:szCs w:val="24"/>
          <w:lang w:val="en-US" w:eastAsia="zh-CN"/>
        </w:rPr>
      </w:pPr>
      <w:r>
        <w:rPr>
          <w:rFonts w:hint="eastAsia" w:ascii="仿宋" w:hAnsi="仿宋" w:eastAsia="仿宋" w:cs="仿宋"/>
          <w:b/>
          <w:bCs/>
          <w:caps w:val="0"/>
          <w:spacing w:val="10"/>
          <w:sz w:val="24"/>
          <w:szCs w:val="24"/>
          <w:lang w:val="en-US" w:eastAsia="zh-CN"/>
        </w:rPr>
        <w:t>4、主要管控内容</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规模容量：</w:t>
      </w:r>
      <w:r>
        <w:rPr>
          <w:rFonts w:hint="eastAsia" w:ascii="仿宋" w:hAnsi="仿宋" w:eastAsia="仿宋" w:cs="仿宋"/>
          <w:caps w:val="0"/>
          <w:spacing w:val="10"/>
          <w:sz w:val="24"/>
          <w:szCs w:val="24"/>
          <w:lang w:val="en-US" w:eastAsia="zh-CN"/>
        </w:rPr>
        <w:t>明确单元建设用地规模、人口规模、居住建筑总量等刚性控制内容，作为核算公共服务设施、交通与市政公用设施容量的基础。</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土地利用：</w:t>
      </w:r>
      <w:r>
        <w:rPr>
          <w:rFonts w:hint="eastAsia" w:ascii="仿宋" w:hAnsi="仿宋" w:eastAsia="仿宋" w:cs="仿宋"/>
          <w:caps w:val="0"/>
          <w:spacing w:val="10"/>
          <w:sz w:val="24"/>
          <w:szCs w:val="24"/>
          <w:lang w:val="en-US" w:eastAsia="zh-CN"/>
        </w:rPr>
        <w:t>根据单元功能定位和街区主导属性确定主要用地类型，按用地分类标准将规划用地细分至中类和部分小类，</w:t>
      </w:r>
      <w:r>
        <w:rPr>
          <w:rFonts w:hint="eastAsia" w:ascii="仿宋" w:hAnsi="仿宋" w:eastAsia="仿宋" w:cs="仿宋"/>
          <w:bCs/>
          <w:spacing w:val="10"/>
          <w:sz w:val="24"/>
          <w:szCs w:val="24"/>
          <w:lang w:eastAsia="zh-CN"/>
        </w:rPr>
        <w:t>合理确定规划范围内各类城市建设用地的布局、面积和界限。</w:t>
      </w:r>
      <w:r>
        <w:rPr>
          <w:rFonts w:hint="eastAsia" w:ascii="仿宋" w:hAnsi="仿宋" w:eastAsia="仿宋" w:cs="仿宋"/>
          <w:caps w:val="0"/>
          <w:spacing w:val="10"/>
          <w:sz w:val="24"/>
          <w:szCs w:val="24"/>
          <w:lang w:val="en-US" w:eastAsia="zh-CN"/>
        </w:rPr>
        <w:t>落实用地兼容和用地控制相关要求。</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空间管制：</w:t>
      </w:r>
      <w:r>
        <w:rPr>
          <w:rFonts w:hint="eastAsia" w:ascii="仿宋" w:hAnsi="仿宋" w:eastAsia="仿宋" w:cs="仿宋"/>
          <w:caps w:val="0"/>
          <w:spacing w:val="10"/>
          <w:sz w:val="24"/>
          <w:szCs w:val="24"/>
          <w:lang w:val="en-US" w:eastAsia="zh-CN"/>
        </w:rPr>
        <w:t xml:space="preserve">根据总体城市设计对片区整体空间轮廓、景观视廊下相关控制要求，综合考虑特色塑造、用地条件、土地性质等因素，明确片区建筑高度、建筑界面、风貌保护和地下空间等相关控制要求；制定城市设计导则。 </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公共服务设施：</w:t>
      </w:r>
      <w:r>
        <w:rPr>
          <w:rFonts w:hint="eastAsia" w:ascii="仿宋" w:hAnsi="仿宋" w:eastAsia="仿宋" w:cs="仿宋"/>
          <w:caps w:val="0"/>
          <w:spacing w:val="10"/>
          <w:sz w:val="24"/>
          <w:szCs w:val="24"/>
          <w:lang w:val="en-US" w:eastAsia="zh-CN"/>
        </w:rPr>
        <w:t>按照服务类型、范围和级别，确定各类公共设施的规划原则、分布位置、用地界线、使用性质、设施规模、服务范围及其它规划控制要求。</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生态环境：</w:t>
      </w:r>
      <w:r>
        <w:rPr>
          <w:rFonts w:hint="eastAsia" w:ascii="仿宋" w:hAnsi="仿宋" w:eastAsia="仿宋" w:cs="仿宋"/>
          <w:caps w:val="0"/>
          <w:spacing w:val="10"/>
          <w:sz w:val="24"/>
          <w:szCs w:val="24"/>
          <w:lang w:val="en-US" w:eastAsia="zh-CN"/>
        </w:rPr>
        <w:t xml:space="preserve">提出生态格局和绿地配置要求，合理配置规划区内各类绿地，如防护绿地、街头绿地、各类公园等，明确各类用地的用地规模与范围。 </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综合交通：</w:t>
      </w:r>
      <w:r>
        <w:rPr>
          <w:rFonts w:hint="eastAsia" w:ascii="仿宋" w:hAnsi="仿宋" w:eastAsia="仿宋" w:cs="仿宋"/>
          <w:caps w:val="0"/>
          <w:spacing w:val="10"/>
          <w:sz w:val="24"/>
          <w:szCs w:val="24"/>
          <w:lang w:val="en-US" w:eastAsia="zh-CN"/>
        </w:rPr>
        <w:t xml:space="preserve">整合规划区域道路系统，深化道路网规划，明确各级道路红线、断面、控制点坐标及标高；确定公交线路和站点位置，合理安排各种静态交通设施；组织慢行系统；落实加油、加气站布局。 </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市政公用设施：</w:t>
      </w:r>
      <w:r>
        <w:rPr>
          <w:rFonts w:hint="eastAsia" w:ascii="仿宋" w:hAnsi="仿宋" w:eastAsia="仿宋" w:cs="仿宋"/>
          <w:caps w:val="0"/>
          <w:spacing w:val="10"/>
          <w:sz w:val="24"/>
          <w:szCs w:val="24"/>
          <w:lang w:val="en-US" w:eastAsia="zh-CN"/>
        </w:rPr>
        <w:t>确定给水、排水、燃气、电力、通信等各类市政设施的规划原则、服务范围、位置规模和用地边界，确定各类工程干管的走向、管径及布设方式，提出各类市政设施的规划控制要求。</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综合防灾：</w:t>
      </w:r>
      <w:r>
        <w:rPr>
          <w:rFonts w:hint="eastAsia" w:ascii="仿宋" w:hAnsi="仿宋" w:eastAsia="仿宋" w:cs="仿宋"/>
          <w:caps w:val="0"/>
          <w:spacing w:val="10"/>
          <w:sz w:val="24"/>
          <w:szCs w:val="24"/>
          <w:lang w:val="en-US" w:eastAsia="zh-CN"/>
        </w:rPr>
        <w:t>衔接城市消防、防洪排涝、应急避难场所等设施的配置标准和相关要求。确定区域防洪标准和治涝标准，以及所处的排涝分区防洪体系；落实避难场所、应急疏散通道，以及人防设施建设要求。</w:t>
      </w:r>
    </w:p>
    <w:p>
      <w:pPr>
        <w:pStyle w:val="53"/>
        <w:keepNext w:val="0"/>
        <w:keepLines w:val="0"/>
        <w:pageBreakBefore w:val="0"/>
        <w:widowControl w:val="0"/>
        <w:kinsoku/>
        <w:wordWrap/>
        <w:overflowPunct/>
        <w:topLinePunct w:val="0"/>
        <w:bidi w:val="0"/>
        <w:spacing w:line="560" w:lineRule="exact"/>
        <w:ind w:left="0" w:leftChars="0" w:firstLine="522"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b/>
          <w:bCs/>
          <w:caps w:val="0"/>
          <w:spacing w:val="10"/>
          <w:sz w:val="24"/>
          <w:szCs w:val="24"/>
          <w:lang w:val="en-US" w:eastAsia="zh-CN"/>
        </w:rPr>
        <w:t>六线控制：</w:t>
      </w:r>
      <w:r>
        <w:rPr>
          <w:rFonts w:hint="eastAsia" w:ascii="仿宋" w:hAnsi="仿宋" w:eastAsia="仿宋" w:cs="仿宋"/>
          <w:caps w:val="0"/>
          <w:spacing w:val="10"/>
          <w:sz w:val="24"/>
          <w:szCs w:val="24"/>
          <w:lang w:val="en-US" w:eastAsia="zh-CN"/>
        </w:rPr>
        <w:t>在进行专项研究和系统规划基础上，明确六线控制内容，确定线位、规模及所附属的控制要求。</w:t>
      </w:r>
    </w:p>
    <w:p>
      <w:pPr>
        <w:keepNext w:val="0"/>
        <w:keepLines w:val="0"/>
        <w:pageBreakBefore w:val="0"/>
        <w:widowControl w:val="0"/>
        <w:kinsoku/>
        <w:wordWrap/>
        <w:overflowPunct/>
        <w:topLinePunct w:val="0"/>
        <w:bidi w:val="0"/>
        <w:spacing w:line="560" w:lineRule="exact"/>
        <w:ind w:firstLine="522" w:firstLineChars="200"/>
        <w:textAlignment w:val="auto"/>
        <w:rPr>
          <w:rFonts w:hint="eastAsia" w:ascii="仿宋" w:hAnsi="仿宋" w:eastAsia="仿宋" w:cs="仿宋"/>
          <w:spacing w:val="10"/>
          <w:sz w:val="24"/>
          <w:szCs w:val="24"/>
          <w:lang w:val="en-US" w:eastAsia="zh-CN"/>
        </w:rPr>
      </w:pPr>
      <w:r>
        <w:rPr>
          <w:rFonts w:hint="eastAsia" w:ascii="仿宋" w:hAnsi="仿宋" w:eastAsia="仿宋" w:cs="仿宋"/>
          <w:b/>
          <w:bCs/>
          <w:caps w:val="0"/>
          <w:spacing w:val="10"/>
          <w:kern w:val="2"/>
          <w:sz w:val="24"/>
          <w:szCs w:val="24"/>
          <w:lang w:val="en-US" w:eastAsia="zh-CN" w:bidi="ar-SA"/>
        </w:rPr>
        <w:t>地块划分及指标控制：</w:t>
      </w:r>
      <w:r>
        <w:rPr>
          <w:rFonts w:hint="eastAsia" w:ascii="仿宋" w:hAnsi="仿宋" w:eastAsia="仿宋" w:cs="仿宋"/>
          <w:bCs/>
          <w:spacing w:val="10"/>
          <w:sz w:val="24"/>
          <w:szCs w:val="24"/>
          <w:lang w:eastAsia="zh-CN"/>
        </w:rPr>
        <w:t>合理进行地块划分，提出各地块控制指标。控制指标分为强制性指标和指导性指标两类，强制性指标包括各地块用地性质、用地兼容性、用地面积、建筑密度、建筑控制高度、建筑红线、后退距离、建筑间距、容积率、绿地率、地下空间利用、交通出入口方位、停车泊位及其他需要配置的公共设施等控制指标。指导性指标包括人口容量、建筑体量、建筑色彩、建筑风格、其他环境要求。</w:t>
      </w:r>
    </w:p>
    <w:p>
      <w:pPr>
        <w:pStyle w:val="6"/>
        <w:keepNext w:val="0"/>
        <w:pageBreakBefore w:val="0"/>
        <w:widowControl w:val="0"/>
        <w:tabs>
          <w:tab w:val="left" w:pos="706"/>
          <w:tab w:val="left" w:pos="1110"/>
          <w:tab w:val="clear" w:pos="432"/>
        </w:tabs>
        <w:kinsoku/>
        <w:wordWrap/>
        <w:overflowPunct/>
        <w:topLinePunct w:val="0"/>
        <w:bidi w:val="0"/>
        <w:spacing w:before="0" w:after="0" w:line="560" w:lineRule="exact"/>
        <w:ind w:left="434" w:leftChars="202" w:hanging="10" w:hangingChars="4"/>
        <w:jc w:val="both"/>
        <w:textAlignment w:val="auto"/>
        <w:rPr>
          <w:rFonts w:hint="eastAsia" w:ascii="黑体" w:hAnsi="黑体" w:eastAsia="黑体" w:cs="黑体"/>
          <w:b w:val="0"/>
          <w:bCs w:val="0"/>
          <w:caps w:val="0"/>
          <w:spacing w:val="10"/>
          <w:sz w:val="24"/>
          <w:szCs w:val="24"/>
          <w:lang w:val="en-US" w:eastAsia="zh-CN"/>
        </w:rPr>
      </w:pPr>
      <w:r>
        <w:rPr>
          <w:rFonts w:hint="eastAsia" w:ascii="黑体" w:hAnsi="黑体" w:eastAsia="黑体" w:cs="黑体"/>
          <w:b w:val="0"/>
          <w:bCs w:val="0"/>
          <w:caps w:val="0"/>
          <w:spacing w:val="10"/>
          <w:sz w:val="24"/>
          <w:szCs w:val="24"/>
          <w:lang w:val="en-US" w:eastAsia="zh-CN"/>
        </w:rPr>
        <w:t>四、时间要求</w:t>
      </w:r>
    </w:p>
    <w:p>
      <w:pPr>
        <w:pStyle w:val="53"/>
        <w:keepNext w:val="0"/>
        <w:keepLines w:val="0"/>
        <w:pageBreakBefore w:val="0"/>
        <w:widowControl w:val="0"/>
        <w:kinsoku/>
        <w:wordWrap/>
        <w:overflowPunct/>
        <w:topLinePunct w:val="0"/>
        <w:bidi w:val="0"/>
        <w:spacing w:line="560" w:lineRule="exact"/>
        <w:ind w:left="0" w:leftChars="0" w:firstLine="520" w:firstLineChars="200"/>
        <w:jc w:val="both"/>
        <w:textAlignment w:val="auto"/>
        <w:rPr>
          <w:rFonts w:hint="eastAsia" w:ascii="仿宋" w:hAnsi="仿宋" w:eastAsia="仿宋" w:cs="仿宋"/>
          <w:caps w:val="0"/>
          <w:color w:val="auto"/>
          <w:spacing w:val="10"/>
          <w:sz w:val="24"/>
          <w:szCs w:val="24"/>
          <w:lang w:val="en-US" w:eastAsia="zh-CN"/>
        </w:rPr>
      </w:pPr>
      <w:r>
        <w:rPr>
          <w:rFonts w:hint="eastAsia" w:ascii="仿宋" w:hAnsi="仿宋" w:eastAsia="仿宋" w:cs="仿宋"/>
          <w:caps w:val="0"/>
          <w:color w:val="auto"/>
          <w:spacing w:val="10"/>
          <w:sz w:val="24"/>
          <w:szCs w:val="24"/>
          <w:lang w:val="en-US" w:eastAsia="zh-CN"/>
        </w:rPr>
        <w:t>1、合同签订后，2个月内提交项目初步方案；</w:t>
      </w:r>
    </w:p>
    <w:p>
      <w:pPr>
        <w:pStyle w:val="53"/>
        <w:keepNext w:val="0"/>
        <w:keepLines w:val="0"/>
        <w:pageBreakBefore w:val="0"/>
        <w:widowControl w:val="0"/>
        <w:kinsoku/>
        <w:wordWrap/>
        <w:overflowPunct/>
        <w:topLinePunct w:val="0"/>
        <w:bidi w:val="0"/>
        <w:spacing w:line="560" w:lineRule="exact"/>
        <w:ind w:left="0" w:leftChars="0" w:firstLine="520" w:firstLineChars="200"/>
        <w:jc w:val="both"/>
        <w:textAlignment w:val="auto"/>
        <w:rPr>
          <w:rFonts w:hint="eastAsia" w:ascii="仿宋" w:hAnsi="仿宋" w:eastAsia="仿宋" w:cs="仿宋"/>
          <w:caps w:val="0"/>
          <w:color w:val="auto"/>
          <w:spacing w:val="10"/>
          <w:sz w:val="24"/>
          <w:szCs w:val="24"/>
          <w:lang w:val="en-US" w:eastAsia="zh-CN"/>
        </w:rPr>
      </w:pPr>
      <w:r>
        <w:rPr>
          <w:rFonts w:hint="eastAsia" w:ascii="仿宋" w:hAnsi="仿宋" w:eastAsia="仿宋" w:cs="仿宋"/>
          <w:caps w:val="0"/>
          <w:color w:val="auto"/>
          <w:spacing w:val="10"/>
          <w:sz w:val="24"/>
          <w:szCs w:val="24"/>
          <w:lang w:val="en-US" w:eastAsia="zh-CN"/>
        </w:rPr>
        <w:t>2、初步方案论证通过后，2个月内提交项目送审方案；</w:t>
      </w:r>
    </w:p>
    <w:p>
      <w:pPr>
        <w:pStyle w:val="53"/>
        <w:keepNext w:val="0"/>
        <w:keepLines w:val="0"/>
        <w:pageBreakBefore w:val="0"/>
        <w:widowControl w:val="0"/>
        <w:kinsoku/>
        <w:wordWrap/>
        <w:overflowPunct/>
        <w:topLinePunct w:val="0"/>
        <w:bidi w:val="0"/>
        <w:spacing w:line="560" w:lineRule="exact"/>
        <w:ind w:left="0" w:leftChars="0" w:firstLine="520" w:firstLineChars="200"/>
        <w:jc w:val="both"/>
        <w:textAlignment w:val="auto"/>
        <w:rPr>
          <w:rFonts w:hint="eastAsia" w:ascii="仿宋" w:hAnsi="仿宋" w:eastAsia="仿宋" w:cs="仿宋"/>
          <w:caps w:val="0"/>
          <w:color w:val="auto"/>
          <w:spacing w:val="10"/>
          <w:sz w:val="24"/>
          <w:szCs w:val="24"/>
          <w:lang w:val="en-US" w:eastAsia="zh-CN"/>
        </w:rPr>
      </w:pPr>
      <w:r>
        <w:rPr>
          <w:rFonts w:hint="eastAsia" w:ascii="仿宋" w:hAnsi="仿宋" w:eastAsia="仿宋" w:cs="仿宋"/>
          <w:caps w:val="0"/>
          <w:color w:val="auto"/>
          <w:spacing w:val="10"/>
          <w:sz w:val="24"/>
          <w:szCs w:val="24"/>
          <w:lang w:val="en-US" w:eastAsia="zh-CN"/>
        </w:rPr>
        <w:t>3、送审方案论证通过后，2个月内提交项目成果。</w:t>
      </w:r>
    </w:p>
    <w:p>
      <w:pPr>
        <w:pStyle w:val="53"/>
        <w:keepNext w:val="0"/>
        <w:keepLines w:val="0"/>
        <w:pageBreakBefore w:val="0"/>
        <w:widowControl w:val="0"/>
        <w:kinsoku/>
        <w:wordWrap/>
        <w:overflowPunct/>
        <w:topLinePunct w:val="0"/>
        <w:bidi w:val="0"/>
        <w:spacing w:line="560" w:lineRule="exact"/>
        <w:ind w:left="0" w:leftChars="0" w:firstLine="520" w:firstLineChars="200"/>
        <w:jc w:val="both"/>
        <w:textAlignment w:val="auto"/>
        <w:rPr>
          <w:rFonts w:hint="eastAsia" w:ascii="仿宋" w:hAnsi="仿宋" w:eastAsia="仿宋" w:cs="仿宋"/>
          <w:caps w:val="0"/>
          <w:spacing w:val="10"/>
          <w:sz w:val="24"/>
          <w:szCs w:val="24"/>
          <w:lang w:val="en-US" w:eastAsia="zh-CN"/>
        </w:rPr>
      </w:pPr>
      <w:r>
        <w:rPr>
          <w:rFonts w:hint="eastAsia" w:ascii="仿宋" w:hAnsi="仿宋" w:eastAsia="仿宋" w:cs="仿宋"/>
          <w:caps w:val="0"/>
          <w:spacing w:val="10"/>
          <w:sz w:val="24"/>
          <w:szCs w:val="24"/>
          <w:lang w:val="en-US" w:eastAsia="zh-CN"/>
        </w:rPr>
        <w:t>方案论证次数可按实际需求增减，须响应采购人对提交阶段性方案的时间要求。最终完成时间可由采购人结合市级相关规划编制及白沙片区城市更新进展情况作调整。</w:t>
      </w:r>
    </w:p>
    <w:p>
      <w:pPr>
        <w:pStyle w:val="6"/>
        <w:keepNext w:val="0"/>
        <w:pageBreakBefore w:val="0"/>
        <w:widowControl w:val="0"/>
        <w:tabs>
          <w:tab w:val="left" w:pos="706"/>
          <w:tab w:val="left" w:pos="1110"/>
          <w:tab w:val="clear" w:pos="432"/>
        </w:tabs>
        <w:kinsoku/>
        <w:wordWrap/>
        <w:overflowPunct/>
        <w:topLinePunct w:val="0"/>
        <w:bidi w:val="0"/>
        <w:spacing w:before="0" w:after="0" w:line="560" w:lineRule="exact"/>
        <w:ind w:left="434" w:leftChars="202" w:hanging="10" w:hangingChars="4"/>
        <w:jc w:val="both"/>
        <w:textAlignment w:val="auto"/>
        <w:rPr>
          <w:rFonts w:hint="eastAsia" w:ascii="黑体" w:hAnsi="黑体" w:eastAsia="黑体" w:cs="黑体"/>
          <w:b w:val="0"/>
          <w:bCs w:val="0"/>
          <w:caps w:val="0"/>
          <w:spacing w:val="10"/>
          <w:sz w:val="24"/>
          <w:szCs w:val="24"/>
          <w:lang w:val="en-US" w:eastAsia="zh-CN"/>
        </w:rPr>
      </w:pPr>
      <w:r>
        <w:rPr>
          <w:rFonts w:hint="eastAsia" w:ascii="黑体" w:hAnsi="黑体" w:eastAsia="黑体" w:cs="黑体"/>
          <w:b w:val="0"/>
          <w:bCs w:val="0"/>
          <w:caps w:val="0"/>
          <w:spacing w:val="10"/>
          <w:sz w:val="24"/>
          <w:szCs w:val="24"/>
          <w:lang w:val="en-US" w:eastAsia="zh-CN"/>
        </w:rPr>
        <w:t>五、编制成果要求</w:t>
      </w:r>
    </w:p>
    <w:p>
      <w:pPr>
        <w:keepNext w:val="0"/>
        <w:keepLines w:val="0"/>
        <w:pageBreakBefore w:val="0"/>
        <w:widowControl w:val="0"/>
        <w:kinsoku/>
        <w:wordWrap/>
        <w:overflowPunct/>
        <w:topLinePunct w:val="0"/>
        <w:bidi w:val="0"/>
        <w:spacing w:line="560" w:lineRule="exact"/>
        <w:ind w:firstLine="520" w:firstLineChars="200"/>
        <w:jc w:val="both"/>
        <w:textAlignment w:val="auto"/>
        <w:rPr>
          <w:rFonts w:hint="eastAsia" w:ascii="仿宋" w:hAnsi="仿宋" w:eastAsia="仿宋" w:cs="仿宋"/>
          <w:caps w:val="0"/>
          <w:color w:val="auto"/>
          <w:spacing w:val="10"/>
          <w:sz w:val="24"/>
          <w:szCs w:val="24"/>
          <w:highlight w:val="none"/>
        </w:rPr>
      </w:pPr>
      <w:r>
        <w:rPr>
          <w:rFonts w:hint="eastAsia" w:ascii="仿宋" w:hAnsi="仿宋" w:eastAsia="仿宋" w:cs="仿宋"/>
          <w:caps w:val="0"/>
          <w:spacing w:val="10"/>
          <w:sz w:val="24"/>
          <w:szCs w:val="24"/>
          <w:lang w:eastAsia="zh-CN"/>
        </w:rPr>
        <w:t>编制</w:t>
      </w:r>
      <w:r>
        <w:rPr>
          <w:rFonts w:hint="eastAsia" w:ascii="仿宋" w:hAnsi="仿宋" w:eastAsia="仿宋" w:cs="仿宋"/>
          <w:caps w:val="0"/>
          <w:spacing w:val="10"/>
          <w:sz w:val="24"/>
          <w:szCs w:val="24"/>
        </w:rPr>
        <w:t>成果应准确、完整的阐述规划意图和内容，符合本设计任务书中提出的设计内容和</w:t>
      </w:r>
      <w:r>
        <w:rPr>
          <w:rFonts w:hint="eastAsia" w:ascii="仿宋" w:hAnsi="仿宋" w:eastAsia="仿宋" w:cs="仿宋"/>
          <w:caps w:val="0"/>
          <w:spacing w:val="10"/>
          <w:sz w:val="24"/>
          <w:szCs w:val="24"/>
          <w:lang w:eastAsia="zh-CN"/>
        </w:rPr>
        <w:t>深度</w:t>
      </w:r>
      <w:r>
        <w:rPr>
          <w:rFonts w:hint="eastAsia" w:ascii="仿宋" w:hAnsi="仿宋" w:eastAsia="仿宋" w:cs="仿宋"/>
          <w:caps w:val="0"/>
          <w:spacing w:val="10"/>
          <w:sz w:val="24"/>
          <w:szCs w:val="24"/>
        </w:rPr>
        <w:t>要求</w:t>
      </w:r>
      <w:r>
        <w:rPr>
          <w:rFonts w:hint="eastAsia" w:ascii="仿宋" w:hAnsi="仿宋" w:eastAsia="仿宋" w:cs="仿宋"/>
          <w:caps w:val="0"/>
          <w:color w:val="auto"/>
          <w:spacing w:val="10"/>
          <w:sz w:val="24"/>
          <w:szCs w:val="24"/>
        </w:rPr>
        <w:t>，主要成果包括文本、说明书、</w:t>
      </w:r>
      <w:r>
        <w:rPr>
          <w:rFonts w:hint="eastAsia" w:ascii="仿宋" w:hAnsi="仿宋" w:eastAsia="仿宋" w:cs="仿宋"/>
          <w:caps w:val="0"/>
          <w:color w:val="auto"/>
          <w:spacing w:val="10"/>
          <w:sz w:val="24"/>
          <w:szCs w:val="24"/>
          <w:lang w:eastAsia="zh-CN"/>
        </w:rPr>
        <w:t>图则</w:t>
      </w:r>
      <w:r>
        <w:rPr>
          <w:rFonts w:hint="eastAsia" w:ascii="仿宋" w:hAnsi="仿宋" w:eastAsia="仿宋" w:cs="仿宋"/>
          <w:caps w:val="0"/>
          <w:color w:val="auto"/>
          <w:spacing w:val="10"/>
          <w:sz w:val="24"/>
          <w:szCs w:val="24"/>
        </w:rPr>
        <w:t>以及相应的电子文件等，</w:t>
      </w:r>
      <w:r>
        <w:rPr>
          <w:rFonts w:hint="eastAsia" w:ascii="仿宋" w:hAnsi="仿宋" w:eastAsia="仿宋" w:cs="仿宋"/>
          <w:caps w:val="0"/>
          <w:color w:val="auto"/>
          <w:spacing w:val="10"/>
          <w:kern w:val="0"/>
          <w:sz w:val="24"/>
          <w:szCs w:val="24"/>
          <w:highlight w:val="none"/>
        </w:rPr>
        <w:t>具体内容应包括但不限于以下内容，可以图文结合的方式呈现：</w:t>
      </w:r>
      <w:r>
        <w:rPr>
          <w:rFonts w:hint="eastAsia" w:ascii="仿宋" w:hAnsi="仿宋" w:eastAsia="仿宋" w:cs="仿宋"/>
          <w:caps w:val="0"/>
          <w:color w:val="auto"/>
          <w:spacing w:val="10"/>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
          <w:bCs/>
          <w:spacing w:val="10"/>
          <w:sz w:val="24"/>
          <w:szCs w:val="24"/>
          <w:lang w:val="en-US" w:eastAsia="zh-CN"/>
        </w:rPr>
        <w:t>（一）文本。</w:t>
      </w:r>
      <w:r>
        <w:rPr>
          <w:rFonts w:hint="eastAsia" w:ascii="仿宋" w:hAnsi="仿宋" w:eastAsia="仿宋" w:cs="仿宋"/>
          <w:bCs/>
          <w:spacing w:val="10"/>
          <w:sz w:val="24"/>
          <w:szCs w:val="24"/>
          <w:lang w:val="en-US" w:eastAsia="zh-CN"/>
        </w:rPr>
        <w:t>规划文本采用法规条文格式书写，直接表述控制性详细规划的目标和内容，提出强制性要求和指导性意见。文字表述应规范、准确、简洁。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
          <w:bCs/>
          <w:spacing w:val="10"/>
          <w:sz w:val="24"/>
          <w:szCs w:val="24"/>
          <w:lang w:val="en-US" w:eastAsia="zh-CN"/>
        </w:rPr>
        <w:t>（二）说明书。</w:t>
      </w:r>
      <w:r>
        <w:rPr>
          <w:rFonts w:hint="eastAsia" w:ascii="仿宋" w:hAnsi="仿宋" w:eastAsia="仿宋" w:cs="仿宋"/>
          <w:bCs/>
          <w:spacing w:val="10"/>
          <w:sz w:val="24"/>
          <w:szCs w:val="24"/>
          <w:lang w:val="en-US" w:eastAsia="zh-CN"/>
        </w:rPr>
        <w:t>规划说明的内容为现状分析、论证设计意图、解释设计意图等，为控制性详细规划的审查、批准和规划管理提供全面的技术信息。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b/>
          <w:bCs/>
          <w:spacing w:val="10"/>
          <w:sz w:val="24"/>
          <w:szCs w:val="24"/>
          <w:lang w:val="en-US" w:eastAsia="zh-CN"/>
        </w:rPr>
      </w:pPr>
      <w:r>
        <w:rPr>
          <w:rFonts w:hint="eastAsia" w:ascii="仿宋" w:hAnsi="仿宋" w:eastAsia="仿宋" w:cs="仿宋"/>
          <w:b/>
          <w:bCs/>
          <w:spacing w:val="10"/>
          <w:sz w:val="24"/>
          <w:szCs w:val="24"/>
          <w:lang w:val="en-US" w:eastAsia="zh-CN"/>
        </w:rPr>
        <w:t>（三）图纸</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1、区位图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2、用地现状图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3、道路现状图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4、用地规划图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5、规划结构图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color w:val="auto"/>
          <w:spacing w:val="10"/>
          <w:sz w:val="24"/>
          <w:szCs w:val="24"/>
          <w:lang w:val="en-US" w:eastAsia="zh-CN"/>
        </w:rPr>
        <w:t>6、公共服务</w:t>
      </w:r>
      <w:r>
        <w:rPr>
          <w:rFonts w:hint="eastAsia" w:ascii="仿宋" w:hAnsi="仿宋" w:eastAsia="仿宋" w:cs="仿宋"/>
          <w:bCs/>
          <w:spacing w:val="10"/>
          <w:sz w:val="24"/>
          <w:szCs w:val="24"/>
          <w:lang w:val="en-US" w:eastAsia="zh-CN"/>
        </w:rPr>
        <w:t>设施规划图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7、道路结构规划图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8、交通设施规划图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9、道路横断面规划图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10、公共交通系统规划图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11、慢行系统规划图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12、绿化景观规划图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13、竖向及标高规划图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14、规划控制线图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15、开发强度控制图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16、建筑高度引导图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17、市政工程规划图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18、环卫设施规划图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19、地下空间开发利用图</w:t>
      </w:r>
    </w:p>
    <w:p>
      <w:pPr>
        <w:keepNext w:val="0"/>
        <w:keepLines w:val="0"/>
        <w:pageBreakBefore w:val="0"/>
        <w:widowControl w:val="0"/>
        <w:kinsoku/>
        <w:wordWrap/>
        <w:overflowPunct/>
        <w:topLinePunct w:val="0"/>
        <w:autoSpaceDE/>
        <w:autoSpaceDN/>
        <w:bidi w:val="0"/>
        <w:adjustRightInd/>
        <w:snapToGrid/>
        <w:spacing w:line="560" w:lineRule="exact"/>
        <w:ind w:left="1" w:firstLine="520" w:firstLineChars="200"/>
        <w:textAlignment w:val="auto"/>
        <w:rPr>
          <w:rFonts w:hint="eastAsia" w:ascii="仿宋" w:hAnsi="仿宋" w:eastAsia="仿宋" w:cs="仿宋"/>
          <w:bCs/>
          <w:spacing w:val="10"/>
          <w:sz w:val="24"/>
          <w:szCs w:val="24"/>
          <w:lang w:val="en-US" w:eastAsia="zh-CN"/>
        </w:rPr>
      </w:pPr>
      <w:r>
        <w:rPr>
          <w:rFonts w:hint="eastAsia" w:ascii="仿宋" w:hAnsi="仿宋" w:eastAsia="仿宋" w:cs="仿宋"/>
          <w:bCs/>
          <w:spacing w:val="10"/>
          <w:sz w:val="24"/>
          <w:szCs w:val="24"/>
          <w:lang w:val="en-US" w:eastAsia="zh-CN"/>
        </w:rPr>
        <w:t>20、分图则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22" w:firstLineChars="200"/>
        <w:textAlignment w:val="auto"/>
        <w:rPr>
          <w:rFonts w:hint="eastAsia" w:ascii="仿宋" w:hAnsi="仿宋" w:eastAsia="仿宋" w:cs="仿宋"/>
          <w:b/>
          <w:bCs/>
          <w:spacing w:val="10"/>
          <w:sz w:val="24"/>
          <w:szCs w:val="24"/>
          <w:lang w:val="en-US" w:eastAsia="zh-CN"/>
        </w:rPr>
      </w:pPr>
      <w:r>
        <w:rPr>
          <w:rFonts w:hint="eastAsia" w:ascii="仿宋" w:hAnsi="仿宋" w:eastAsia="仿宋" w:cs="仿宋"/>
          <w:b/>
          <w:bCs/>
          <w:spacing w:val="10"/>
          <w:sz w:val="24"/>
          <w:szCs w:val="24"/>
          <w:lang w:val="en-US" w:eastAsia="zh-CN"/>
        </w:rPr>
        <w:t>（四）成果形式</w:t>
      </w:r>
    </w:p>
    <w:p>
      <w:pPr>
        <w:pStyle w:val="2"/>
        <w:keepNext w:val="0"/>
        <w:keepLines w:val="0"/>
        <w:pageBreakBefore w:val="0"/>
        <w:widowControl w:val="0"/>
        <w:kinsoku/>
        <w:wordWrap/>
        <w:overflowPunct/>
        <w:topLinePunct w:val="0"/>
        <w:bidi w:val="0"/>
        <w:snapToGrid/>
        <w:spacing w:line="560" w:lineRule="exact"/>
        <w:ind w:left="0" w:leftChars="0" w:firstLine="520" w:firstLineChars="200"/>
        <w:textAlignment w:val="auto"/>
        <w:rPr>
          <w:rFonts w:hint="eastAsia" w:ascii="仿宋" w:hAnsi="仿宋" w:eastAsia="仿宋" w:cs="仿宋"/>
          <w:spacing w:val="10"/>
          <w:sz w:val="24"/>
          <w:szCs w:val="24"/>
          <w:lang w:val="en-US" w:eastAsia="zh-CN"/>
        </w:rPr>
      </w:pPr>
      <w:r>
        <w:rPr>
          <w:rFonts w:hint="eastAsia" w:ascii="仿宋" w:hAnsi="仿宋" w:eastAsia="仿宋" w:cs="仿宋"/>
          <w:color w:val="auto"/>
          <w:spacing w:val="10"/>
          <w:sz w:val="24"/>
          <w:szCs w:val="24"/>
        </w:rPr>
        <w:t>每个阶段的设计成果均应提交规划文本</w:t>
      </w:r>
      <w:r>
        <w:rPr>
          <w:rFonts w:hint="eastAsia" w:ascii="仿宋" w:hAnsi="仿宋" w:eastAsia="仿宋" w:cs="仿宋"/>
          <w:color w:val="auto"/>
          <w:spacing w:val="10"/>
          <w:sz w:val="24"/>
          <w:szCs w:val="24"/>
          <w:lang w:eastAsia="zh-CN"/>
        </w:rPr>
        <w:t>，</w:t>
      </w:r>
      <w:r>
        <w:rPr>
          <w:rFonts w:hint="eastAsia" w:ascii="仿宋" w:hAnsi="仿宋" w:eastAsia="仿宋" w:cs="仿宋"/>
          <w:color w:val="auto"/>
          <w:spacing w:val="10"/>
          <w:sz w:val="24"/>
          <w:szCs w:val="24"/>
        </w:rPr>
        <w:t>最终成果须署单位名称并加盖单位公章</w:t>
      </w:r>
      <w:r>
        <w:rPr>
          <w:rFonts w:hint="eastAsia" w:ascii="仿宋" w:hAnsi="仿宋" w:eastAsia="仿宋" w:cs="仿宋"/>
          <w:color w:val="auto"/>
          <w:spacing w:val="10"/>
          <w:sz w:val="24"/>
          <w:szCs w:val="24"/>
          <w:lang w:eastAsia="zh-CN"/>
        </w:rPr>
        <w:t>；</w:t>
      </w:r>
      <w:r>
        <w:rPr>
          <w:rFonts w:hint="eastAsia" w:ascii="仿宋" w:hAnsi="仿宋" w:eastAsia="仿宋" w:cs="仿宋"/>
          <w:color w:val="auto"/>
          <w:spacing w:val="10"/>
          <w:sz w:val="24"/>
          <w:szCs w:val="24"/>
          <w:lang w:val="en-US" w:eastAsia="zh-CN"/>
        </w:rPr>
        <w:t>响应采购人对提交阶段性方案、规划成果的文本数量要求。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520" w:firstLineChars="200"/>
        <w:jc w:val="both"/>
        <w:textAlignment w:val="auto"/>
        <w:rPr>
          <w:rFonts w:hint="eastAsia" w:ascii="仿宋" w:hAnsi="仿宋" w:eastAsia="仿宋" w:cs="仿宋"/>
          <w:caps w:val="0"/>
          <w:spacing w:val="10"/>
          <w:kern w:val="0"/>
          <w:sz w:val="24"/>
          <w:szCs w:val="24"/>
        </w:rPr>
      </w:pPr>
      <w:r>
        <w:rPr>
          <w:rFonts w:hint="eastAsia" w:ascii="仿宋" w:hAnsi="仿宋" w:eastAsia="仿宋" w:cs="仿宋"/>
          <w:caps w:val="0"/>
          <w:spacing w:val="10"/>
          <w:kern w:val="0"/>
          <w:sz w:val="24"/>
          <w:szCs w:val="24"/>
        </w:rPr>
        <w:t>电子文件：U盘及光盘各提交一份，</w:t>
      </w:r>
      <w:r>
        <w:rPr>
          <w:rFonts w:hint="eastAsia" w:ascii="仿宋" w:hAnsi="仿宋" w:eastAsia="仿宋" w:cs="仿宋"/>
          <w:caps w:val="0"/>
          <w:spacing w:val="10"/>
          <w:kern w:val="0"/>
          <w:sz w:val="24"/>
          <w:szCs w:val="24"/>
          <w:lang w:eastAsia="zh-CN"/>
        </w:rPr>
        <w:t>包括</w:t>
      </w:r>
      <w:r>
        <w:rPr>
          <w:rFonts w:hint="eastAsia" w:ascii="仿宋" w:hAnsi="仿宋" w:eastAsia="仿宋" w:cs="仿宋"/>
          <w:caps w:val="0"/>
          <w:spacing w:val="10"/>
          <w:kern w:val="0"/>
          <w:sz w:val="24"/>
          <w:szCs w:val="24"/>
        </w:rPr>
        <w:t>规划文本和简本（PPT、DOC文件或可编辑的PDF文件）</w:t>
      </w:r>
      <w:r>
        <w:rPr>
          <w:rFonts w:hint="eastAsia" w:ascii="仿宋" w:hAnsi="仿宋" w:eastAsia="仿宋" w:cs="仿宋"/>
          <w:caps w:val="0"/>
          <w:spacing w:val="10"/>
          <w:kern w:val="0"/>
          <w:sz w:val="24"/>
          <w:szCs w:val="24"/>
          <w:lang w:eastAsia="zh-CN"/>
        </w:rPr>
        <w:t>，用地</w:t>
      </w:r>
      <w:r>
        <w:rPr>
          <w:rFonts w:hint="eastAsia" w:ascii="仿宋" w:hAnsi="仿宋" w:eastAsia="仿宋" w:cs="仿宋"/>
          <w:caps w:val="0"/>
          <w:spacing w:val="10"/>
          <w:kern w:val="0"/>
          <w:sz w:val="24"/>
          <w:szCs w:val="24"/>
        </w:rPr>
        <w:t>规划图、</w:t>
      </w:r>
      <w:r>
        <w:rPr>
          <w:rFonts w:hint="eastAsia" w:ascii="仿宋" w:hAnsi="仿宋" w:eastAsia="仿宋" w:cs="仿宋"/>
          <w:caps w:val="0"/>
          <w:spacing w:val="10"/>
          <w:kern w:val="0"/>
          <w:sz w:val="24"/>
          <w:szCs w:val="24"/>
          <w:lang w:eastAsia="zh-CN"/>
        </w:rPr>
        <w:t>道路规划图、分图则</w:t>
      </w:r>
      <w:r>
        <w:rPr>
          <w:rFonts w:hint="eastAsia" w:ascii="仿宋" w:hAnsi="仿宋" w:eastAsia="仿宋" w:cs="仿宋"/>
          <w:caps w:val="0"/>
          <w:spacing w:val="10"/>
          <w:kern w:val="0"/>
          <w:sz w:val="24"/>
          <w:szCs w:val="24"/>
        </w:rPr>
        <w:t>等图纸的DWG</w:t>
      </w:r>
      <w:r>
        <w:rPr>
          <w:rFonts w:hint="eastAsia" w:ascii="仿宋" w:hAnsi="仿宋" w:eastAsia="仿宋" w:cs="仿宋"/>
          <w:caps w:val="0"/>
          <w:spacing w:val="10"/>
          <w:kern w:val="0"/>
          <w:sz w:val="24"/>
          <w:szCs w:val="24"/>
          <w:lang w:eastAsia="zh-CN"/>
        </w:rPr>
        <w:t>、</w:t>
      </w:r>
      <w:r>
        <w:rPr>
          <w:rFonts w:hint="eastAsia" w:ascii="仿宋" w:hAnsi="仿宋" w:eastAsia="仿宋" w:cs="仿宋"/>
          <w:caps w:val="0"/>
          <w:spacing w:val="10"/>
          <w:kern w:val="0"/>
          <w:sz w:val="24"/>
          <w:szCs w:val="24"/>
          <w:lang w:val="en-US" w:eastAsia="zh-CN"/>
        </w:rPr>
        <w:t>GIS、jpg文件，</w:t>
      </w:r>
      <w:r>
        <w:rPr>
          <w:rFonts w:hint="eastAsia" w:ascii="仿宋" w:hAnsi="仿宋" w:eastAsia="仿宋" w:cs="仿宋"/>
          <w:caps w:val="0"/>
          <w:spacing w:val="10"/>
          <w:kern w:val="0"/>
          <w:sz w:val="24"/>
          <w:szCs w:val="24"/>
        </w:rPr>
        <w:t>三维数字化模型文件（Sketchup 或3Dmax或犀牛Rhino文件格式）</w:t>
      </w:r>
      <w:r>
        <w:rPr>
          <w:rFonts w:hint="eastAsia" w:ascii="仿宋" w:hAnsi="仿宋" w:eastAsia="仿宋" w:cs="仿宋"/>
          <w:caps w:val="0"/>
          <w:spacing w:val="10"/>
          <w:kern w:val="0"/>
          <w:sz w:val="24"/>
          <w:szCs w:val="24"/>
          <w:lang w:eastAsia="zh-CN"/>
        </w:rPr>
        <w:t>、</w:t>
      </w:r>
      <w:r>
        <w:rPr>
          <w:rFonts w:hint="eastAsia" w:ascii="仿宋" w:hAnsi="仿宋" w:eastAsia="仿宋" w:cs="仿宋"/>
          <w:caps w:val="0"/>
          <w:spacing w:val="10"/>
          <w:kern w:val="0"/>
          <w:sz w:val="24"/>
          <w:szCs w:val="24"/>
        </w:rPr>
        <w:t>现场汇报演示文件（PPT或PDF格式）等。</w:t>
      </w:r>
    </w:p>
    <w:p>
      <w:pPr>
        <w:pStyle w:val="6"/>
        <w:keepNext w:val="0"/>
        <w:pageBreakBefore w:val="0"/>
        <w:widowControl w:val="0"/>
        <w:tabs>
          <w:tab w:val="left" w:pos="706"/>
          <w:tab w:val="left" w:pos="1110"/>
          <w:tab w:val="clear" w:pos="432"/>
        </w:tabs>
        <w:kinsoku/>
        <w:wordWrap/>
        <w:overflowPunct/>
        <w:topLinePunct w:val="0"/>
        <w:bidi w:val="0"/>
        <w:spacing w:before="0" w:after="0" w:line="560" w:lineRule="exact"/>
        <w:ind w:left="434" w:leftChars="202" w:hanging="10" w:hangingChars="4"/>
        <w:jc w:val="both"/>
        <w:textAlignment w:val="auto"/>
        <w:rPr>
          <w:rFonts w:hint="eastAsia" w:ascii="黑体" w:hAnsi="黑体" w:eastAsia="黑体" w:cs="黑体"/>
          <w:b w:val="0"/>
          <w:bCs w:val="0"/>
          <w:caps w:val="0"/>
          <w:spacing w:val="10"/>
          <w:sz w:val="24"/>
          <w:szCs w:val="24"/>
          <w:lang w:val="en-US" w:eastAsia="zh-CN"/>
        </w:rPr>
      </w:pPr>
      <w:r>
        <w:rPr>
          <w:rFonts w:hint="eastAsia" w:ascii="黑体" w:hAnsi="黑体" w:eastAsia="黑体" w:cs="黑体"/>
          <w:b w:val="0"/>
          <w:bCs w:val="0"/>
          <w:caps w:val="0"/>
          <w:spacing w:val="10"/>
          <w:sz w:val="24"/>
          <w:szCs w:val="24"/>
          <w:lang w:val="en-US" w:eastAsia="zh-CN"/>
        </w:rPr>
        <w:t>六、其他约定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20" w:firstLineChars="200"/>
        <w:jc w:val="both"/>
        <w:textAlignment w:val="auto"/>
        <w:rPr>
          <w:rFonts w:hint="eastAsia" w:ascii="仿宋" w:hAnsi="仿宋" w:eastAsia="仿宋" w:cs="仿宋"/>
          <w:b/>
          <w:bCs/>
          <w:caps w:val="0"/>
          <w:spacing w:val="10"/>
          <w:kern w:val="0"/>
          <w:sz w:val="24"/>
          <w:szCs w:val="24"/>
        </w:rPr>
      </w:pPr>
      <w:r>
        <w:rPr>
          <w:rFonts w:hint="eastAsia" w:ascii="仿宋" w:hAnsi="仿宋" w:eastAsia="仿宋" w:cs="仿宋"/>
          <w:color w:val="auto"/>
          <w:spacing w:val="10"/>
          <w:kern w:val="2"/>
          <w:sz w:val="24"/>
          <w:szCs w:val="24"/>
          <w:lang w:val="en-US" w:eastAsia="zh-CN" w:bidi="ar-SA"/>
        </w:rPr>
        <w:t>本项目原则上不得更换项目负责人，确因特殊原因需更换项目负责人的，须以书面形式报送采购人，经采购人同意后，方可更换，如未经允许擅自更换项目负责人，采购人有权立即终止合同，此条款为响应条款，凡参与投标活动的投标人均默认响应。</w:t>
      </w:r>
    </w:p>
    <w:bookmarkEnd w:id="36"/>
    <w:bookmarkEnd w:id="37"/>
    <w:bookmarkEnd w:id="38"/>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pPr>
        <w:keepNext w:val="0"/>
        <w:keepLines w:val="0"/>
        <w:widowControl/>
        <w:suppressLineNumbers w:val="0"/>
        <w:spacing w:before="0" w:beforeAutospacing="0" w:after="0" w:afterAutospacing="0" w:line="560" w:lineRule="atLeast"/>
        <w:ind w:left="0" w:right="640"/>
        <w:jc w:val="both"/>
        <w:rPr>
          <w:rFonts w:hint="default" w:ascii="Times New Roman" w:hAnsi="Times New Roman" w:cs="Times New Roman"/>
          <w:sz w:val="21"/>
          <w:szCs w:val="21"/>
          <w:highlight w:val="none"/>
        </w:rPr>
      </w:pPr>
      <w:r>
        <w:rPr>
          <w:rFonts w:ascii="仿宋" w:hAnsi="仿宋" w:eastAsia="仿宋" w:cs="仿宋"/>
          <w:i w:val="0"/>
          <w:iCs w:val="0"/>
          <w:caps w:val="0"/>
          <w:color w:val="000000"/>
          <w:spacing w:val="0"/>
          <w:kern w:val="0"/>
          <w:sz w:val="32"/>
          <w:szCs w:val="32"/>
          <w:highlight w:val="none"/>
          <w:lang w:val="en-US" w:eastAsia="zh-CN" w:bidi="ar"/>
        </w:rPr>
        <w:t>合同</w:t>
      </w:r>
      <w:r>
        <w:rPr>
          <w:rFonts w:hint="eastAsia" w:ascii="仿宋" w:hAnsi="仿宋" w:eastAsia="仿宋" w:cs="仿宋"/>
          <w:i w:val="0"/>
          <w:iCs w:val="0"/>
          <w:caps w:val="0"/>
          <w:color w:val="000000"/>
          <w:spacing w:val="0"/>
          <w:kern w:val="0"/>
          <w:sz w:val="32"/>
          <w:szCs w:val="32"/>
          <w:highlight w:val="none"/>
          <w:lang w:val="en-US" w:eastAsia="zh-CN" w:bidi="ar"/>
        </w:rPr>
        <w:t>编号：</w:t>
      </w:r>
    </w:p>
    <w:p>
      <w:pPr>
        <w:keepNext w:val="0"/>
        <w:keepLines w:val="0"/>
        <w:widowControl/>
        <w:suppressLineNumbers w:val="0"/>
        <w:spacing w:before="0" w:beforeAutospacing="0" w:after="0" w:afterAutospacing="0" w:line="240" w:lineRule="auto"/>
        <w:ind w:left="0" w:right="0"/>
        <w:jc w:val="center"/>
        <w:rPr>
          <w:rFonts w:ascii="黑体" w:hAnsi="宋体" w:eastAsia="黑体" w:cs="黑体"/>
          <w:b/>
          <w:bCs/>
          <w:i w:val="0"/>
          <w:iCs w:val="0"/>
          <w:caps w:val="0"/>
          <w:color w:val="000000"/>
          <w:spacing w:val="0"/>
          <w:kern w:val="0"/>
          <w:sz w:val="28"/>
          <w:szCs w:val="28"/>
          <w:highlight w:val="none"/>
          <w:lang w:val="en-US" w:eastAsia="zh-CN" w:bidi="ar"/>
        </w:rPr>
      </w:pP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highlight w:val="none"/>
        </w:rPr>
      </w:pPr>
      <w:r>
        <w:rPr>
          <w:rFonts w:ascii="黑体" w:hAnsi="宋体" w:eastAsia="黑体" w:cs="黑体"/>
          <w:b/>
          <w:bCs/>
          <w:i w:val="0"/>
          <w:iCs w:val="0"/>
          <w:caps w:val="0"/>
          <w:color w:val="000000"/>
          <w:spacing w:val="0"/>
          <w:kern w:val="0"/>
          <w:sz w:val="52"/>
          <w:szCs w:val="52"/>
          <w:highlight w:val="none"/>
          <w:lang w:val="en-US" w:eastAsia="zh-CN" w:bidi="ar"/>
        </w:rPr>
        <w:t>设</w:t>
      </w:r>
      <w:r>
        <w:rPr>
          <w:rFonts w:hint="eastAsia" w:ascii="黑体" w:hAnsi="宋体" w:eastAsia="黑体" w:cs="黑体"/>
          <w:b/>
          <w:bCs/>
          <w:i w:val="0"/>
          <w:iCs w:val="0"/>
          <w:caps w:val="0"/>
          <w:color w:val="000000"/>
          <w:spacing w:val="0"/>
          <w:kern w:val="0"/>
          <w:sz w:val="52"/>
          <w:szCs w:val="52"/>
          <w:highlight w:val="none"/>
          <w:lang w:val="en-US" w:eastAsia="zh-CN" w:bidi="ar"/>
        </w:rPr>
        <w:t xml:space="preserve">   计   合   同</w:t>
      </w:r>
    </w:p>
    <w:p>
      <w:pPr>
        <w:keepNext w:val="0"/>
        <w:keepLines w:val="0"/>
        <w:widowControl/>
        <w:suppressLineNumbers w:val="0"/>
        <w:spacing w:before="0" w:beforeAutospacing="0" w:after="0" w:afterAutospacing="0" w:line="560" w:lineRule="atLeast"/>
        <w:ind w:left="0" w:right="0"/>
        <w:jc w:val="center"/>
        <w:rPr>
          <w:rFonts w:ascii="华文仿宋" w:hAnsi="华文仿宋" w:eastAsia="华文仿宋" w:cs="华文仿宋"/>
          <w:i w:val="0"/>
          <w:iCs w:val="0"/>
          <w:caps w:val="0"/>
          <w:color w:val="000000"/>
          <w:spacing w:val="0"/>
          <w:kern w:val="0"/>
          <w:sz w:val="44"/>
          <w:szCs w:val="44"/>
          <w:highlight w:val="none"/>
          <w:lang w:val="en-US" w:eastAsia="zh-CN" w:bidi="ar"/>
        </w:rPr>
      </w:pPr>
    </w:p>
    <w:p>
      <w:pPr>
        <w:keepNext w:val="0"/>
        <w:keepLines w:val="0"/>
        <w:widowControl/>
        <w:suppressLineNumbers w:val="0"/>
        <w:spacing w:before="0" w:beforeAutospacing="0" w:after="0" w:afterAutospacing="0" w:line="560" w:lineRule="atLeast"/>
        <w:ind w:left="0" w:right="0"/>
        <w:jc w:val="center"/>
        <w:rPr>
          <w:rFonts w:hint="default" w:ascii="Times New Roman" w:hAnsi="Times New Roman" w:cs="Times New Roman"/>
          <w:sz w:val="21"/>
          <w:szCs w:val="21"/>
          <w:highlight w:val="none"/>
        </w:rPr>
      </w:pPr>
      <w:r>
        <w:rPr>
          <w:rFonts w:ascii="华文仿宋" w:hAnsi="华文仿宋" w:eastAsia="华文仿宋" w:cs="华文仿宋"/>
          <w:i w:val="0"/>
          <w:iCs w:val="0"/>
          <w:caps w:val="0"/>
          <w:color w:val="000000"/>
          <w:spacing w:val="0"/>
          <w:kern w:val="0"/>
          <w:sz w:val="44"/>
          <w:szCs w:val="44"/>
          <w:highlight w:val="none"/>
          <w:lang w:val="en-US" w:eastAsia="zh-CN" w:bidi="ar"/>
        </w:rPr>
        <w:t>（</w:t>
      </w:r>
      <w:r>
        <w:rPr>
          <w:rFonts w:hint="eastAsia" w:ascii="仿宋" w:hAnsi="仿宋" w:eastAsia="仿宋" w:cs="仿宋"/>
          <w:i w:val="0"/>
          <w:iCs w:val="0"/>
          <w:caps w:val="0"/>
          <w:color w:val="000000"/>
          <w:spacing w:val="0"/>
          <w:kern w:val="0"/>
          <w:sz w:val="44"/>
          <w:szCs w:val="44"/>
          <w:highlight w:val="none"/>
          <w:lang w:val="en-US" w:eastAsia="zh-CN" w:bidi="ar"/>
        </w:rPr>
        <w:t>规划设计类</w:t>
      </w:r>
      <w:r>
        <w:rPr>
          <w:rFonts w:hint="eastAsia" w:ascii="华文仿宋" w:hAnsi="华文仿宋" w:eastAsia="华文仿宋" w:cs="华文仿宋"/>
          <w:i w:val="0"/>
          <w:iCs w:val="0"/>
          <w:caps w:val="0"/>
          <w:color w:val="000000"/>
          <w:spacing w:val="0"/>
          <w:kern w:val="0"/>
          <w:sz w:val="44"/>
          <w:szCs w:val="44"/>
          <w:highlight w:val="none"/>
          <w:lang w:val="en-US" w:eastAsia="zh-CN" w:bidi="ar"/>
        </w:rPr>
        <w:t>）</w:t>
      </w:r>
    </w:p>
    <w:p>
      <w:pPr>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highlight w:val="none"/>
        </w:rPr>
      </w:pPr>
      <w:r>
        <w:rPr>
          <w:rFonts w:ascii="仿宋_GB2312" w:hAnsi="Times New Roman" w:eastAsia="仿宋_GB2312" w:cs="仿宋_GB2312"/>
          <w:b/>
          <w:bCs/>
          <w:i w:val="0"/>
          <w:iCs w:val="0"/>
          <w:caps w:val="0"/>
          <w:color w:val="000000"/>
          <w:spacing w:val="0"/>
          <w:kern w:val="0"/>
          <w:sz w:val="36"/>
          <w:szCs w:val="36"/>
          <w:highlight w:val="none"/>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规划项目名称</w:t>
      </w:r>
      <w:r>
        <w:rPr>
          <w:rFonts w:hint="eastAsia" w:ascii="宋体" w:hAnsi="宋体" w:eastAsia="宋体" w:cs="宋体"/>
          <w:i w:val="0"/>
          <w:iCs w:val="0"/>
          <w:caps w:val="0"/>
          <w:color w:val="000000"/>
          <w:spacing w:val="0"/>
          <w:kern w:val="0"/>
          <w:sz w:val="32"/>
          <w:szCs w:val="32"/>
          <w:highlight w:val="none"/>
          <w:u w:val="single"/>
          <w:lang w:val="en-US" w:eastAsia="zh-CN" w:bidi="ar"/>
        </w:rPr>
        <w:t>                  </w:t>
      </w:r>
    </w:p>
    <w:p>
      <w:pPr>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规划项目地点</w:t>
      </w:r>
      <w:r>
        <w:rPr>
          <w:rFonts w:hint="eastAsia" w:ascii="宋体" w:hAnsi="宋体" w:eastAsia="宋体" w:cs="宋体"/>
          <w:i w:val="0"/>
          <w:iCs w:val="0"/>
          <w:caps w:val="0"/>
          <w:color w:val="000000"/>
          <w:spacing w:val="0"/>
          <w:kern w:val="0"/>
          <w:sz w:val="32"/>
          <w:szCs w:val="32"/>
          <w:highlight w:val="none"/>
          <w:u w:val="single"/>
          <w:lang w:val="en-US" w:eastAsia="zh-CN" w:bidi="ar"/>
        </w:rPr>
        <w:t>                  </w:t>
      </w:r>
    </w:p>
    <w:p>
      <w:pPr>
        <w:keepNext w:val="0"/>
        <w:keepLines w:val="0"/>
        <w:widowControl/>
        <w:suppressLineNumbers w:val="0"/>
        <w:spacing w:before="0" w:beforeAutospacing="0" w:after="0" w:afterAutospacing="0" w:line="560" w:lineRule="atLeast"/>
        <w:ind w:left="0" w:right="0" w:firstLine="72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发包人（甲方）</w:t>
      </w:r>
      <w:r>
        <w:rPr>
          <w:rFonts w:hint="eastAsia" w:ascii="宋体" w:hAnsi="宋体" w:eastAsia="宋体" w:cs="宋体"/>
          <w:i w:val="0"/>
          <w:iCs w:val="0"/>
          <w:caps w:val="0"/>
          <w:color w:val="000000"/>
          <w:spacing w:val="0"/>
          <w:kern w:val="0"/>
          <w:sz w:val="32"/>
          <w:szCs w:val="32"/>
          <w:highlight w:val="none"/>
          <w:u w:val="single"/>
          <w:lang w:val="en-US" w:eastAsia="zh-CN" w:bidi="ar"/>
        </w:rPr>
        <w:t>                 </w:t>
      </w:r>
    </w:p>
    <w:p>
      <w:pPr>
        <w:keepNext w:val="0"/>
        <w:keepLines w:val="0"/>
        <w:widowControl/>
        <w:suppressLineNumbers w:val="0"/>
        <w:spacing w:before="0" w:beforeAutospacing="0" w:after="0" w:afterAutospacing="0" w:line="560" w:lineRule="atLeast"/>
        <w:ind w:left="0" w:right="0" w:firstLine="72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设计人（乙方）</w:t>
      </w:r>
      <w:r>
        <w:rPr>
          <w:rFonts w:hint="eastAsia" w:ascii="宋体" w:hAnsi="宋体" w:eastAsia="宋体" w:cs="宋体"/>
          <w:i w:val="0"/>
          <w:iCs w:val="0"/>
          <w:caps w:val="0"/>
          <w:color w:val="000000"/>
          <w:spacing w:val="0"/>
          <w:kern w:val="0"/>
          <w:sz w:val="32"/>
          <w:szCs w:val="32"/>
          <w:highlight w:val="none"/>
          <w:u w:val="single"/>
          <w:lang w:val="en-US" w:eastAsia="zh-CN" w:bidi="ar"/>
        </w:rPr>
        <w:t>                  </w:t>
      </w:r>
    </w:p>
    <w:p>
      <w:pPr>
        <w:keepNext w:val="0"/>
        <w:keepLines w:val="0"/>
        <w:widowControl/>
        <w:suppressLineNumbers w:val="0"/>
        <w:spacing w:before="0" w:beforeAutospacing="0" w:after="0" w:afterAutospacing="0" w:line="560" w:lineRule="atLeast"/>
        <w:ind w:left="0" w:right="0" w:firstLine="72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签订日期</w:t>
      </w:r>
      <w:r>
        <w:rPr>
          <w:rFonts w:hint="eastAsia" w:ascii="宋体" w:hAnsi="宋体" w:eastAsia="宋体" w:cs="宋体"/>
          <w:i w:val="0"/>
          <w:iCs w:val="0"/>
          <w:caps w:val="0"/>
          <w:color w:val="000000"/>
          <w:spacing w:val="0"/>
          <w:kern w:val="0"/>
          <w:sz w:val="32"/>
          <w:szCs w:val="32"/>
          <w:highlight w:val="none"/>
          <w:u w:val="single"/>
          <w:lang w:val="en-US" w:eastAsia="zh-CN" w:bidi="ar"/>
        </w:rPr>
        <w:t>                     </w:t>
      </w:r>
    </w:p>
    <w:p>
      <w:pPr>
        <w:keepNext w:val="0"/>
        <w:keepLines w:val="0"/>
        <w:widowControl/>
        <w:suppressLineNumbers w:val="0"/>
        <w:spacing w:before="0" w:beforeAutospacing="0" w:after="0" w:afterAutospacing="0" w:line="560" w:lineRule="atLeast"/>
        <w:ind w:left="0" w:right="0" w:firstLine="72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 </w:t>
      </w:r>
    </w:p>
    <w:p>
      <w:pPr>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32"/>
          <w:szCs w:val="32"/>
          <w:highlight w:val="none"/>
          <w:lang w:val="en-US" w:eastAsia="zh-CN" w:bidi="ar"/>
        </w:rPr>
        <w:t>签订地点</w:t>
      </w:r>
      <w:r>
        <w:rPr>
          <w:rFonts w:hint="eastAsia" w:ascii="宋体" w:hAnsi="宋体" w:eastAsia="宋体" w:cs="宋体"/>
          <w:i w:val="0"/>
          <w:iCs w:val="0"/>
          <w:caps w:val="0"/>
          <w:color w:val="000000"/>
          <w:spacing w:val="0"/>
          <w:kern w:val="0"/>
          <w:sz w:val="32"/>
          <w:szCs w:val="32"/>
          <w:highlight w:val="none"/>
          <w:u w:val="single"/>
          <w:lang w:val="en-US" w:eastAsia="zh-CN" w:bidi="ar"/>
        </w:rPr>
        <w:t>                    </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default" w:ascii="Times New Roman" w:hAnsi="Times New Roman" w:eastAsia="宋体" w:cs="Times New Roman"/>
          <w:i w:val="0"/>
          <w:iCs w:val="0"/>
          <w:caps w:val="0"/>
          <w:color w:val="000000"/>
          <w:spacing w:val="0"/>
          <w:kern w:val="0"/>
          <w:sz w:val="21"/>
          <w:szCs w:val="21"/>
          <w:highlight w:val="none"/>
          <w:lang w:val="en-US" w:eastAsia="zh-CN" w:bidi="ar"/>
        </w:rPr>
        <w:t> </w:t>
      </w:r>
    </w:p>
    <w:p>
      <w:pPr>
        <w:pStyle w:val="5"/>
        <w:keepNext w:val="0"/>
        <w:keepLines w:val="0"/>
        <w:pageBreakBefore w:val="0"/>
        <w:widowControl/>
        <w:suppressLineNumbers w:val="0"/>
        <w:kinsoku/>
        <w:wordWrap/>
        <w:overflowPunct/>
        <w:topLinePunct w:val="0"/>
        <w:autoSpaceDE/>
        <w:autoSpaceDN/>
        <w:bidi w:val="0"/>
        <w:adjustRightInd/>
        <w:snapToGrid/>
        <w:spacing w:before="340" w:beforeAutospacing="0" w:after="330" w:afterAutospacing="0" w:line="440" w:lineRule="exact"/>
        <w:ind w:left="432" w:hanging="432"/>
        <w:jc w:val="both"/>
        <w:textAlignment w:val="auto"/>
        <w:rPr>
          <w:rFonts w:hint="default" w:ascii="Times New Roman" w:hAnsi="Times New Roman" w:cs="Times New Roman"/>
          <w:b/>
          <w:bCs/>
          <w:i w:val="0"/>
          <w:iCs w:val="0"/>
          <w:caps w:val="0"/>
          <w:color w:val="000000"/>
          <w:spacing w:val="0"/>
          <w:sz w:val="44"/>
          <w:szCs w:val="44"/>
          <w:highlight w:val="none"/>
        </w:rPr>
      </w:pPr>
      <w:r>
        <w:rPr>
          <w:rFonts w:hint="default" w:ascii="Times New Roman" w:hAnsi="Times New Roman" w:cs="Times New Roman"/>
          <w:b/>
          <w:bCs/>
          <w:i w:val="0"/>
          <w:iCs w:val="0"/>
          <w:caps w:val="0"/>
          <w:color w:val="000000"/>
          <w:spacing w:val="0"/>
          <w:sz w:val="44"/>
          <w:szCs w:val="44"/>
          <w:highlight w:val="none"/>
        </w:rPr>
        <w:t> </w:t>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i w:val="0"/>
          <w:iCs w:val="0"/>
          <w:caps w:val="0"/>
          <w:color w:val="000000"/>
          <w:spacing w:val="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i w:val="0"/>
          <w:iCs w:val="0"/>
          <w:caps w:val="0"/>
          <w:color w:val="000000"/>
          <w:spacing w:val="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i w:val="0"/>
          <w:iCs w:val="0"/>
          <w:caps w:val="0"/>
          <w:color w:val="000000"/>
          <w:spacing w:val="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发包人（甲方）：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设计人（乙方）：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发包人委托设计人承担</w:t>
      </w:r>
      <w:r>
        <w:rPr>
          <w:rFonts w:hint="eastAsia" w:ascii="仿宋" w:hAnsi="仿宋" w:eastAsia="仿宋" w:cs="仿宋"/>
          <w:i w:val="0"/>
          <w:iCs w:val="0"/>
          <w:caps w:val="0"/>
          <w:color w:val="000000"/>
          <w:spacing w:val="0"/>
          <w:kern w:val="0"/>
          <w:sz w:val="24"/>
          <w:szCs w:val="24"/>
          <w:highlight w:val="none"/>
          <w:u w:val="single"/>
          <w:lang w:val="en-US" w:eastAsia="zh-CN" w:bidi="ar"/>
        </w:rPr>
        <w:t>                </w:t>
      </w:r>
      <w:r>
        <w:rPr>
          <w:rFonts w:hint="eastAsia" w:ascii="仿宋" w:hAnsi="仿宋" w:eastAsia="仿宋" w:cs="仿宋"/>
          <w:i w:val="0"/>
          <w:iCs w:val="0"/>
          <w:caps w:val="0"/>
          <w:color w:val="000000"/>
          <w:spacing w:val="0"/>
          <w:kern w:val="0"/>
          <w:sz w:val="24"/>
          <w:szCs w:val="24"/>
          <w:highlight w:val="none"/>
          <w:lang w:val="en-US" w:eastAsia="zh-CN" w:bidi="ar"/>
        </w:rPr>
        <w:t>项目的规划设计工作，为明确双方权利和义务，经协商一致，签订本合同，以资共同遵守。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第一条　本合同签订论据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1.1《中华人民共和国民法典》、《中华人民共和国政府采购法》等。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1.2项目生成依据：</w:t>
      </w:r>
      <w:r>
        <w:rPr>
          <w:rFonts w:hint="eastAsia" w:ascii="仿宋" w:hAnsi="仿宋" w:eastAsia="仿宋" w:cs="仿宋"/>
          <w:i w:val="0"/>
          <w:iCs w:val="0"/>
          <w:caps w:val="0"/>
          <w:color w:val="000000"/>
          <w:spacing w:val="0"/>
          <w:kern w:val="0"/>
          <w:sz w:val="24"/>
          <w:szCs w:val="24"/>
          <w:highlight w:val="none"/>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第二条　设计依据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2.1发包人给设计人的设计任务书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2.2发包人提交的基础资料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2.3设计人采用的主要技术标准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2.3.1《中华人民共和国城乡规划法》（2019年）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2.3.2国家和地方现行的法规、规范、标准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第三条　本合同项目的名称、规模、阶段、投资及设计内容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lang w:val="en-US"/>
        </w:rPr>
      </w:pPr>
      <w:r>
        <w:rPr>
          <w:rFonts w:hint="eastAsia" w:ascii="仿宋" w:hAnsi="仿宋" w:eastAsia="仿宋" w:cs="仿宋"/>
          <w:i w:val="0"/>
          <w:iCs w:val="0"/>
          <w:caps w:val="0"/>
          <w:color w:val="000000"/>
          <w:spacing w:val="0"/>
          <w:kern w:val="0"/>
          <w:sz w:val="24"/>
          <w:szCs w:val="24"/>
          <w:highlight w:val="none"/>
          <w:lang w:val="en-US" w:eastAsia="zh-CN" w:bidi="ar"/>
        </w:rPr>
        <w:t>项目规模：</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详见设计任务书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lang w:val="en-US"/>
        </w:rPr>
      </w:pPr>
      <w:r>
        <w:rPr>
          <w:rFonts w:hint="eastAsia" w:ascii="仿宋" w:hAnsi="仿宋" w:eastAsia="仿宋" w:cs="仿宋"/>
          <w:i w:val="0"/>
          <w:iCs w:val="0"/>
          <w:caps w:val="0"/>
          <w:color w:val="000000"/>
          <w:spacing w:val="0"/>
          <w:kern w:val="0"/>
          <w:sz w:val="24"/>
          <w:szCs w:val="24"/>
          <w:highlight w:val="none"/>
          <w:lang w:val="en-US" w:eastAsia="zh-CN" w:bidi="ar"/>
        </w:rPr>
        <w:t>项目计划完成时间：</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详见设计任务书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主要设计内容和深度：</w:t>
      </w:r>
      <w:r>
        <w:rPr>
          <w:rFonts w:hint="eastAsia" w:ascii="仿宋" w:hAnsi="仿宋" w:eastAsia="仿宋" w:cs="仿宋"/>
          <w:i w:val="0"/>
          <w:iCs w:val="0"/>
          <w:caps w:val="0"/>
          <w:color w:val="000000"/>
          <w:spacing w:val="0"/>
          <w:kern w:val="0"/>
          <w:sz w:val="24"/>
          <w:szCs w:val="24"/>
          <w:highlight w:val="none"/>
          <w:u w:val="single"/>
          <w:lang w:val="en-US" w:eastAsia="zh-CN" w:bidi="ar"/>
        </w:rPr>
        <w:t> 详见设计任务书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第四条　工作量划分比例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初稿阶段（30%），送审稿阶段（40%），成果稿阶段（30%）。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第五条　设计人向发包人交付的设计文件格式、份数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文件格式：内容包括文字和相关图纸。（含CAD、JPG、WORD、PDF、GIS等格式文件）。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文本份数：以发包人要求为准。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文本要求：以发包人要求为准。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第六条　费用及支付方式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6.1本合同的设计费为</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w:t>
      </w:r>
      <w:r>
        <w:rPr>
          <w:rFonts w:hint="eastAsia" w:ascii="仿宋" w:hAnsi="仿宋" w:eastAsia="仿宋" w:cs="仿宋"/>
          <w:i w:val="0"/>
          <w:iCs w:val="0"/>
          <w:caps w:val="0"/>
          <w:color w:val="000000"/>
          <w:spacing w:val="0"/>
          <w:kern w:val="0"/>
          <w:sz w:val="24"/>
          <w:szCs w:val="24"/>
          <w:highlight w:val="none"/>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6.2发包人在合同签订并具备实施条件且收到设计人发票后</w:t>
      </w:r>
      <w:r>
        <w:rPr>
          <w:rFonts w:hint="eastAsia" w:ascii="仿宋" w:hAnsi="仿宋" w:eastAsia="仿宋" w:cs="仿宋"/>
          <w:i w:val="0"/>
          <w:iCs w:val="0"/>
          <w:caps w:val="0"/>
          <w:color w:val="auto"/>
          <w:spacing w:val="0"/>
          <w:kern w:val="0"/>
          <w:sz w:val="24"/>
          <w:szCs w:val="24"/>
          <w:highlight w:val="none"/>
          <w:lang w:val="en-US" w:eastAsia="zh-CN" w:bidi="ar"/>
        </w:rPr>
        <w:t>7</w:t>
      </w:r>
      <w:r>
        <w:rPr>
          <w:rFonts w:hint="eastAsia" w:ascii="仿宋" w:hAnsi="仿宋" w:eastAsia="仿宋" w:cs="仿宋"/>
          <w:i w:val="0"/>
          <w:iCs w:val="0"/>
          <w:caps w:val="0"/>
          <w:color w:val="000000"/>
          <w:spacing w:val="0"/>
          <w:kern w:val="0"/>
          <w:sz w:val="24"/>
          <w:szCs w:val="24"/>
          <w:highlight w:val="none"/>
          <w:lang w:val="en-US" w:eastAsia="zh-CN" w:bidi="ar"/>
        </w:rPr>
        <w:t>个工作日内，支付30%的设计费用，计</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w:t>
      </w:r>
      <w:r>
        <w:rPr>
          <w:rFonts w:hint="eastAsia" w:ascii="仿宋" w:hAnsi="仿宋" w:eastAsia="仿宋" w:cs="仿宋"/>
          <w:i w:val="0"/>
          <w:iCs w:val="0"/>
          <w:caps w:val="0"/>
          <w:color w:val="000000"/>
          <w:spacing w:val="0"/>
          <w:kern w:val="0"/>
          <w:sz w:val="24"/>
          <w:szCs w:val="24"/>
          <w:highlight w:val="none"/>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6.3发包人在送审稿通过评审并收到设计人发票后15个工作日内，支付40%的设计费用，计</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w:t>
      </w:r>
      <w:r>
        <w:rPr>
          <w:rFonts w:hint="eastAsia" w:ascii="仿宋" w:hAnsi="仿宋" w:eastAsia="仿宋" w:cs="仿宋"/>
          <w:i w:val="0"/>
          <w:iCs w:val="0"/>
          <w:caps w:val="0"/>
          <w:color w:val="000000"/>
          <w:spacing w:val="0"/>
          <w:kern w:val="0"/>
          <w:sz w:val="24"/>
          <w:szCs w:val="24"/>
          <w:highlight w:val="none"/>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6.4发包人在收到成果稿（发包人认可）并收到设计人发票后的15个工作日内，支付30%的设计费用，计</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w:t>
      </w:r>
      <w:r>
        <w:rPr>
          <w:rFonts w:hint="eastAsia" w:ascii="仿宋" w:hAnsi="仿宋" w:eastAsia="仿宋" w:cs="仿宋"/>
          <w:i w:val="0"/>
          <w:iCs w:val="0"/>
          <w:caps w:val="0"/>
          <w:color w:val="000000"/>
          <w:spacing w:val="0"/>
          <w:kern w:val="0"/>
          <w:sz w:val="24"/>
          <w:szCs w:val="24"/>
          <w:highlight w:val="none"/>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6.5在合同履行期间，发包人要求终止或解除合同，未开始设计工作的，双方合同解除，发包人不再支付费用；已开始设计工作的，设计费按已完成的工作量占总工作量的比例（各阶段工作量划分比例为：方案初稿阶段（30%），送审稿阶段（40%），成果阶段（30%））支付。阶段成果以发包人认可为准。若设计人不能提交经发包人认可的阶段成果，则视为设计人的实际工作量未达到该阶段工作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第七条　双方责任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7.1发包人责任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7.1.1发包人在规定的时间内协助设计人收集基础资料及文件。发包人不得要求设计人违反国家有关标准进行设计。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7.1.3发包人应按本合同规定的金额和日期向设计人支付设计费，发包人无正当理由逾期支付时，在设计人书面催告后的合理期限内仍拒不支付的，自催告合理期限后，每逾期支付一天，应承担合同价的千分之二的逾期违约金，且设计人提交设计文件的时间顺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7.1.4发包人要求设计人比合同规定时间提前交付设计文件时，须征得设计人同意，不得严重背离合理设计周期。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7.1.5规划设计成果的著作权归发包人所有。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7.2设计人责任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12" w:right="0" w:firstLine="582"/>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7.2.1签订合同后，由于设计人原因，未按合同规定时间完成工作的，每延误一天，应承担合同价的千分之二的逾期违约金；各阶段成果逾期三十天未提交的，发包人有权解除合同，且不支付该阶段发生的一切费用，且设计人应按合同价的20%支付发包人违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7.2.2设计人应按国家规定和合同约定的技术规范、标准进行设计，按设计人在投标文件中的承诺、本合同规定的内容、时间及份数向发包人交付设计文件,并对提交的设计文件的质量负责。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7.2.3设计人对设计文件出现的遗漏或错误负责修改或补充，造成损失的发包人有权根据损失程度向设计人提出赔偿。设计人编制成果不合格或存在违反国家强制性条文规定情况的，每处扣除合同价的1%，并由设计人负责重新编制，不按时整改的发包人有权单方解除合同，造成损失的，发包人有权根据损失程度向设计人提出赔偿，且设计人应按合同价的20%支付发包人违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7.2.4设计人应当遵从投标文件中的承诺，并按照合同约定履行义务，不得将项目转让（转包）或违法分包给他人。否则发包人有权终止该项目的委托，造成损失的，发包人有权根据损失程度向设计人提出赔偿，且设计人应按合同价的20%支付发包人违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7.2.5设计合理使用年限根据国家相关规定。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7.2.6设计人负责对设计资料进行审查，负责该合同项目的设计联络工作。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7.2.7设计人自行承担设计工作各阶段所需的包括但不限于的设计人员及特邀专家的住宿费、交通费、伙食费、专家费等一切费用。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7.2.8对于应由设计人承担的违约金和赔偿金，发包人均可从应付合同价款中直接扣除。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第八条　保密及知识产权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发包人提供的各类基础资料、设计人完成的设计成果，设计人均不得擅自修改、复制或向第三人转让或用于本合同项目外的项目。若发生以上情况，设计人承担一切后果并承担赔偿责任。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规划设计成果的著作权归发包人所有。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第九条　争议解决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本设计合同发生争议，发包人与设计人应及时协商解决，协商不成时，双方当事人依法向发包人所在地人民法院起诉。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第十条  通送达地址确认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设计人确认可以通过以下任何一种或多种方式送达往来文件、诉讼法律文书等：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u w:val="single"/>
          <w:lang w:val="en-US"/>
        </w:rPr>
      </w:pPr>
      <w:r>
        <w:rPr>
          <w:rFonts w:hint="eastAsia" w:ascii="仿宋" w:hAnsi="仿宋" w:eastAsia="仿宋" w:cs="仿宋"/>
          <w:i w:val="0"/>
          <w:iCs w:val="0"/>
          <w:caps w:val="0"/>
          <w:color w:val="000000"/>
          <w:spacing w:val="0"/>
          <w:kern w:val="0"/>
          <w:sz w:val="24"/>
          <w:szCs w:val="24"/>
          <w:highlight w:val="none"/>
          <w:lang w:val="en-US" w:eastAsia="zh-CN" w:bidi="ar"/>
        </w:rPr>
        <w:t>1、短信、彩信送达，手机号码：</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 xml:space="preserve">2、电子邮件送达，电子邮箱为： </w:t>
      </w:r>
      <w:r>
        <w:rPr>
          <w:rFonts w:hint="eastAsia" w:ascii="仿宋" w:hAnsi="仿宋" w:eastAsia="仿宋" w:cs="仿宋"/>
          <w:i w:val="0"/>
          <w:iCs w:val="0"/>
          <w:caps w:val="0"/>
          <w:color w:val="000000"/>
          <w:spacing w:val="0"/>
          <w:kern w:val="0"/>
          <w:sz w:val="24"/>
          <w:szCs w:val="24"/>
          <w:highlight w:val="none"/>
          <w:u w:val="single"/>
          <w:lang w:val="en-US" w:eastAsia="zh-CN" w:bidi="ar"/>
        </w:rPr>
        <w:t>      </w:t>
      </w:r>
      <w:r>
        <w:rPr>
          <w:rFonts w:hint="eastAsia" w:ascii="仿宋" w:hAnsi="仿宋" w:eastAsia="仿宋" w:cs="仿宋"/>
          <w:i w:val="0"/>
          <w:iCs w:val="0"/>
          <w:caps w:val="0"/>
          <w:color w:val="000000"/>
          <w:spacing w:val="0"/>
          <w:kern w:val="0"/>
          <w:sz w:val="24"/>
          <w:szCs w:val="24"/>
          <w:highlight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仿宋" w:hAnsi="仿宋" w:eastAsia="仿宋" w:cs="仿宋"/>
          <w:sz w:val="24"/>
          <w:szCs w:val="24"/>
          <w:highlight w:val="none"/>
          <w:u w:val="single"/>
        </w:rPr>
      </w:pPr>
      <w:r>
        <w:rPr>
          <w:rFonts w:hint="eastAsia" w:ascii="仿宋" w:hAnsi="仿宋" w:eastAsia="仿宋" w:cs="仿宋"/>
          <w:i w:val="0"/>
          <w:iCs w:val="0"/>
          <w:caps w:val="0"/>
          <w:color w:val="000000"/>
          <w:spacing w:val="0"/>
          <w:kern w:val="0"/>
          <w:sz w:val="24"/>
          <w:szCs w:val="24"/>
          <w:highlight w:val="none"/>
          <w:lang w:val="en-US" w:eastAsia="zh-CN" w:bidi="ar"/>
        </w:rPr>
        <w:t>3、邮寄送达，地址为：</w:t>
      </w:r>
      <w:r>
        <w:rPr>
          <w:rFonts w:hint="eastAsia" w:ascii="仿宋" w:hAnsi="仿宋" w:eastAsia="仿宋" w:cs="仿宋"/>
          <w:i w:val="0"/>
          <w:iCs w:val="0"/>
          <w:caps w:val="0"/>
          <w:color w:val="000000"/>
          <w:spacing w:val="-11"/>
          <w:kern w:val="0"/>
          <w:sz w:val="24"/>
          <w:szCs w:val="24"/>
          <w:highlight w:val="none"/>
          <w:u w:val="single"/>
          <w:lang w:val="en-US" w:eastAsia="zh-CN" w:bidi="ar"/>
        </w:rPr>
        <w:t> 　　      </w:t>
      </w:r>
      <w:r>
        <w:rPr>
          <w:rFonts w:hint="eastAsia" w:ascii="仿宋" w:hAnsi="仿宋" w:eastAsia="仿宋" w:cs="仿宋"/>
          <w:i w:val="0"/>
          <w:iCs w:val="0"/>
          <w:caps w:val="0"/>
          <w:color w:val="000000"/>
          <w:spacing w:val="-11"/>
          <w:kern w:val="0"/>
          <w:sz w:val="24"/>
          <w:szCs w:val="24"/>
          <w:highlight w:val="none"/>
          <w:lang w:val="en-US" w:eastAsia="zh-CN" w:bidi="ar"/>
        </w:rPr>
        <w:t>   </w:t>
      </w:r>
      <w:r>
        <w:rPr>
          <w:rFonts w:hint="eastAsia" w:ascii="仿宋" w:hAnsi="仿宋" w:eastAsia="仿宋" w:cs="仿宋"/>
          <w:i w:val="0"/>
          <w:iCs w:val="0"/>
          <w:caps w:val="0"/>
          <w:color w:val="000000"/>
          <w:spacing w:val="0"/>
          <w:kern w:val="0"/>
          <w:sz w:val="24"/>
          <w:szCs w:val="24"/>
          <w:highlight w:val="none"/>
          <w:lang w:val="en-US" w:eastAsia="zh-CN" w:bidi="ar"/>
        </w:rPr>
        <w:t>项目负责人：</w:t>
      </w:r>
      <w:r>
        <w:rPr>
          <w:rFonts w:hint="eastAsia" w:ascii="仿宋" w:hAnsi="仿宋" w:eastAsia="仿宋" w:cs="仿宋"/>
          <w:i w:val="0"/>
          <w:iCs w:val="0"/>
          <w:caps w:val="0"/>
          <w:color w:val="000000"/>
          <w:spacing w:val="0"/>
          <w:kern w:val="0"/>
          <w:sz w:val="24"/>
          <w:szCs w:val="24"/>
          <w:highlight w:val="none"/>
          <w:u w:val="single"/>
          <w:lang w:val="en-US" w:eastAsia="zh-CN" w:bidi="ar"/>
        </w:rPr>
        <w:t xml:space="preserve"> </w:t>
      </w:r>
      <w:r>
        <w:rPr>
          <w:rFonts w:hint="eastAsia" w:ascii="仿宋" w:hAnsi="仿宋" w:eastAsia="仿宋" w:cs="仿宋"/>
          <w:i w:val="0"/>
          <w:iCs w:val="0"/>
          <w:caps w:val="0"/>
          <w:color w:val="000000"/>
          <w:spacing w:val="-11"/>
          <w:kern w:val="0"/>
          <w:sz w:val="24"/>
          <w:szCs w:val="24"/>
          <w:highlight w:val="none"/>
          <w:u w:val="single"/>
          <w:lang w:val="en-US" w:eastAsia="zh-CN" w:bidi="ar"/>
        </w:rPr>
        <w:t xml:space="preserve">         </w:t>
      </w:r>
      <w:r>
        <w:rPr>
          <w:rFonts w:hint="eastAsia" w:ascii="仿宋" w:hAnsi="仿宋" w:eastAsia="仿宋" w:cs="仿宋"/>
          <w:i w:val="0"/>
          <w:iCs w:val="0"/>
          <w:caps w:val="0"/>
          <w:color w:val="000000"/>
          <w:spacing w:val="0"/>
          <w:kern w:val="0"/>
          <w:sz w:val="24"/>
          <w:szCs w:val="24"/>
          <w:highlight w:val="none"/>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上述送达方式适用于双方非诉时各类通知、协议等文件以及各个司法阶段，包括但不限于一审、二审、再审、执行以及督促程序。因设计人提供信息不准确、变更后未及时书面告知、拒绝签收，导致相关文书未能实际接收的，文书退回之日视为送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560"/>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第十一条 合同生效及其他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11.1由于不可抗力因素致使合同无法履行时，双方应及时协商解决。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11.2本合同经双方法定代表人或其委托代理人签字（或盖章），并加盖公章或合同章后生效，一式陆份，发包人叁份，设计人叁份。本合同有效期自合同签订之日起至双方权利义务履行完毕为止。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11.3招标文件、设计人的投标文件以及相关补充文件、澄清文件、特殊承诺，以及双方认可的来往传真、电报、会议备忘、会议纪要等，均为合同的组成部分，与本合同具有同等法律效力。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11.4未尽事宜，经双方协商一致，签订补充协议，补充协议与本合同具有同等效力。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01"/>
        <w:jc w:val="both"/>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发包人：（盖章）             设计人：（盖章）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法定代表人或其委托代理人：       法定代表人或其委托代理人：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（签字或盖章）              （签字或盖章）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项目负责人（签字）：　　        项目负责人（签字）：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kern w:val="0"/>
          <w:sz w:val="24"/>
          <w:szCs w:val="24"/>
          <w:highlight w:val="none"/>
          <w:lang w:val="en-US" w:eastAsia="zh-CN" w:bidi="ar"/>
        </w:rPr>
        <w:t>签订日期：               签订日期：</w:t>
      </w:r>
    </w:p>
    <w:p>
      <w:pPr>
        <w:adjustRightInd/>
        <w:snapToGrid w:val="0"/>
        <w:spacing w:line="500" w:lineRule="exact"/>
        <w:rPr>
          <w:rFonts w:ascii="仿宋" w:hAnsi="仿宋" w:eastAsia="仿宋" w:cs="仿宋"/>
          <w:b/>
          <w:bCs/>
          <w:sz w:val="28"/>
          <w:szCs w:val="28"/>
        </w:rPr>
      </w:pPr>
    </w:p>
    <w:p>
      <w:pPr>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sz w:val="36"/>
          <w:szCs w:val="36"/>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得分</w:t>
      </w:r>
      <w:r>
        <w:rPr>
          <w:rFonts w:hint="eastAsia" w:ascii="仿宋" w:hAnsi="仿宋" w:eastAsia="仿宋" w:cs="仿宋"/>
          <w:color w:val="auto"/>
          <w:sz w:val="24"/>
          <w:highlight w:val="none"/>
        </w:rPr>
        <w:t>并列的，采用随机抽取的方式确定。</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分。评分依下述所列为评标打分依据，分值如下（计算分值时，按其算术平均值保留小数2位）。</w:t>
      </w:r>
    </w:p>
    <w:p>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90</w:t>
      </w:r>
      <w:r>
        <w:rPr>
          <w:rFonts w:hint="eastAsia" w:ascii="仿宋" w:hAnsi="仿宋" w:eastAsia="仿宋" w:cs="仿宋"/>
          <w:b/>
          <w:bCs/>
          <w:iCs/>
          <w:color w:val="auto"/>
          <w:sz w:val="24"/>
          <w:highlight w:val="none"/>
        </w:rPr>
        <w:t>分）</w:t>
      </w:r>
    </w:p>
    <w:tbl>
      <w:tblPr>
        <w:tblStyle w:val="64"/>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00"/>
        <w:gridCol w:w="6167"/>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3" w:type="pct"/>
            <w:noWrap w:val="0"/>
            <w:vAlign w:val="center"/>
          </w:tcPr>
          <w:p>
            <w:pPr>
              <w:widowControl w:val="0"/>
              <w:spacing w:line="240" w:lineRule="auto"/>
              <w:jc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rPr>
              <w:t>序号</w:t>
            </w:r>
          </w:p>
        </w:tc>
        <w:tc>
          <w:tcPr>
            <w:tcW w:w="751" w:type="pct"/>
            <w:noWrap w:val="0"/>
            <w:vAlign w:val="center"/>
          </w:tcPr>
          <w:p>
            <w:pPr>
              <w:widowControl w:val="0"/>
              <w:spacing w:line="240" w:lineRule="auto"/>
              <w:jc w:val="center"/>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rPr>
              <w:t>评分</w:t>
            </w:r>
            <w:r>
              <w:rPr>
                <w:rFonts w:hint="eastAsia" w:ascii="仿宋" w:hAnsi="仿宋" w:eastAsia="仿宋" w:cs="仿宋"/>
                <w:b w:val="0"/>
                <w:bCs w:val="0"/>
                <w:color w:val="auto"/>
                <w:sz w:val="24"/>
                <w:szCs w:val="24"/>
                <w:highlight w:val="none"/>
                <w:lang w:val="en-US" w:eastAsia="zh-CN"/>
              </w:rPr>
              <w:t>内容</w:t>
            </w:r>
          </w:p>
        </w:tc>
        <w:tc>
          <w:tcPr>
            <w:tcW w:w="3311" w:type="pct"/>
            <w:noWrap w:val="0"/>
            <w:vAlign w:val="center"/>
          </w:tcPr>
          <w:p>
            <w:pPr>
              <w:widowControl w:val="0"/>
              <w:spacing w:line="240" w:lineRule="auto"/>
              <w:jc w:val="center"/>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评审细则</w:t>
            </w:r>
          </w:p>
        </w:tc>
        <w:tc>
          <w:tcPr>
            <w:tcW w:w="563" w:type="pct"/>
            <w:noWrap w:val="0"/>
            <w:vAlign w:val="center"/>
          </w:tcPr>
          <w:p>
            <w:pPr>
              <w:widowControl w:val="0"/>
              <w:spacing w:line="240" w:lineRule="auto"/>
              <w:jc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7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rPr>
              <w:t>1</w:t>
            </w:r>
          </w:p>
        </w:tc>
        <w:tc>
          <w:tcPr>
            <w:tcW w:w="751"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zh-CN" w:eastAsia="zh-CN" w:bidi="ar-SA"/>
              </w:rPr>
            </w:pPr>
            <w:r>
              <w:rPr>
                <w:rFonts w:hint="eastAsia" w:ascii="宋体" w:hAnsi="宋体" w:eastAsia="宋体" w:cs="宋体"/>
                <w:color w:val="auto"/>
                <w:szCs w:val="21"/>
                <w:highlight w:val="none"/>
                <w:lang w:val="en-US" w:eastAsia="zh-CN"/>
              </w:rPr>
              <w:t>类似业绩</w:t>
            </w:r>
          </w:p>
        </w:tc>
        <w:tc>
          <w:tcPr>
            <w:tcW w:w="3311" w:type="pct"/>
            <w:noWrap w:val="0"/>
            <w:vAlign w:val="center"/>
          </w:tcPr>
          <w:p>
            <w:pPr>
              <w:widowControl w:val="0"/>
              <w:numPr>
                <w:ilvl w:val="0"/>
                <w:numId w:val="0"/>
              </w:num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投标人自20</w:t>
            </w: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b w:val="0"/>
                <w:bCs w:val="0"/>
                <w:color w:val="auto"/>
                <w:sz w:val="24"/>
                <w:szCs w:val="24"/>
                <w:highlight w:val="none"/>
              </w:rPr>
              <w:t>年1月1日</w:t>
            </w:r>
            <w:r>
              <w:rPr>
                <w:rFonts w:hint="eastAsia" w:ascii="仿宋" w:hAnsi="仿宋" w:eastAsia="仿宋" w:cs="仿宋"/>
                <w:b w:val="0"/>
                <w:bCs w:val="0"/>
                <w:color w:val="auto"/>
                <w:sz w:val="24"/>
                <w:szCs w:val="24"/>
                <w:highlight w:val="none"/>
                <w:lang w:val="en-US" w:eastAsia="zh-CN"/>
              </w:rPr>
              <w:t>至今</w:t>
            </w:r>
            <w:r>
              <w:rPr>
                <w:rFonts w:hint="eastAsia" w:ascii="仿宋" w:hAnsi="仿宋" w:eastAsia="仿宋" w:cs="仿宋"/>
                <w:b w:val="0"/>
                <w:bCs w:val="0"/>
                <w:color w:val="auto"/>
                <w:sz w:val="24"/>
                <w:szCs w:val="24"/>
                <w:highlight w:val="none"/>
              </w:rPr>
              <w:t>（以合同签订时间为准）具有</w:t>
            </w:r>
            <w:r>
              <w:rPr>
                <w:rFonts w:hint="eastAsia" w:ascii="仿宋" w:hAnsi="仿宋" w:eastAsia="仿宋" w:cs="仿宋"/>
                <w:b w:val="0"/>
                <w:bCs w:val="0"/>
                <w:color w:val="auto"/>
                <w:sz w:val="24"/>
                <w:szCs w:val="24"/>
                <w:highlight w:val="none"/>
                <w:lang w:val="en-US" w:eastAsia="zh-CN"/>
              </w:rPr>
              <w:t>类似项目业绩的的每个</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0.5</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最高得1分。</w:t>
            </w:r>
          </w:p>
          <w:p>
            <w:pPr>
              <w:widowControl w:val="0"/>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投标文件中</w:t>
            </w:r>
            <w:r>
              <w:rPr>
                <w:rFonts w:hint="eastAsia" w:ascii="仿宋" w:hAnsi="仿宋" w:eastAsia="仿宋" w:cs="仿宋"/>
                <w:b w:val="0"/>
                <w:bCs w:val="0"/>
                <w:color w:val="auto"/>
                <w:sz w:val="24"/>
                <w:szCs w:val="24"/>
                <w:highlight w:val="none"/>
              </w:rPr>
              <w:t>提供合同</w:t>
            </w:r>
            <w:r>
              <w:rPr>
                <w:rFonts w:hint="eastAsia" w:ascii="仿宋" w:hAnsi="仿宋" w:eastAsia="仿宋" w:cs="仿宋"/>
                <w:b w:val="0"/>
                <w:bCs w:val="0"/>
                <w:color w:val="auto"/>
                <w:sz w:val="24"/>
                <w:szCs w:val="24"/>
                <w:highlight w:val="none"/>
                <w:lang w:val="en-US" w:eastAsia="zh-CN"/>
              </w:rPr>
              <w:t>复印</w:t>
            </w:r>
            <w:r>
              <w:rPr>
                <w:rFonts w:hint="eastAsia" w:ascii="仿宋" w:hAnsi="仿宋" w:eastAsia="仿宋" w:cs="仿宋"/>
                <w:b w:val="0"/>
                <w:bCs w:val="0"/>
                <w:color w:val="auto"/>
                <w:sz w:val="24"/>
                <w:szCs w:val="24"/>
                <w:highlight w:val="none"/>
              </w:rPr>
              <w:t>件并加盖公章</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不提供不得分</w:t>
            </w:r>
            <w:r>
              <w:rPr>
                <w:rFonts w:hint="eastAsia" w:ascii="仿宋" w:hAnsi="仿宋" w:eastAsia="仿宋" w:cs="仿宋"/>
                <w:b w:val="0"/>
                <w:bCs w:val="0"/>
                <w:color w:val="auto"/>
                <w:sz w:val="24"/>
                <w:szCs w:val="24"/>
                <w:highlight w:val="none"/>
                <w:lang w:eastAsia="zh-CN"/>
              </w:rPr>
              <w:t>）</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73" w:type="pct"/>
            <w:noWrap w:val="0"/>
            <w:vAlign w:val="center"/>
          </w:tcPr>
          <w:p>
            <w:pPr>
              <w:widowControl w:val="0"/>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2</w:t>
            </w:r>
          </w:p>
        </w:tc>
        <w:tc>
          <w:tcPr>
            <w:tcW w:w="751" w:type="pct"/>
            <w:noWrap w:val="0"/>
            <w:vAlign w:val="center"/>
          </w:tcPr>
          <w:p>
            <w:pPr>
              <w:widowControl w:val="0"/>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企业荣誉</w:t>
            </w:r>
          </w:p>
        </w:tc>
        <w:tc>
          <w:tcPr>
            <w:tcW w:w="3311" w:type="pct"/>
            <w:noWrap w:val="0"/>
            <w:vAlign w:val="center"/>
          </w:tcPr>
          <w:p>
            <w:pPr>
              <w:widowControl w:val="0"/>
              <w:numPr>
                <w:ilvl w:val="0"/>
                <w:numId w:val="0"/>
              </w:num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投标人自2021年1月1日以来类似规划类项目获得省部级及以上奖项</w:t>
            </w:r>
            <w:r>
              <w:rPr>
                <w:rFonts w:hint="eastAsia" w:ascii="仿宋" w:hAnsi="仿宋" w:eastAsia="仿宋" w:cs="仿宋"/>
                <w:b w:val="0"/>
                <w:bCs w:val="0"/>
                <w:color w:val="auto"/>
                <w:sz w:val="24"/>
                <w:szCs w:val="24"/>
                <w:highlight w:val="none"/>
                <w:lang w:val="zh-CN" w:eastAsia="zh-CN"/>
              </w:rPr>
              <w:t>或荣誉</w:t>
            </w:r>
            <w:r>
              <w:rPr>
                <w:rFonts w:hint="eastAsia" w:ascii="仿宋" w:hAnsi="仿宋" w:eastAsia="仿宋" w:cs="仿宋"/>
                <w:b w:val="0"/>
                <w:bCs w:val="0"/>
                <w:color w:val="auto"/>
                <w:sz w:val="24"/>
                <w:szCs w:val="24"/>
                <w:highlight w:val="none"/>
                <w:lang w:val="en-US" w:eastAsia="zh-CN"/>
              </w:rPr>
              <w:t>的每个得1分，获得地市级奖项</w:t>
            </w:r>
            <w:r>
              <w:rPr>
                <w:rFonts w:hint="eastAsia" w:ascii="仿宋" w:hAnsi="仿宋" w:eastAsia="仿宋" w:cs="仿宋"/>
                <w:b w:val="0"/>
                <w:bCs w:val="0"/>
                <w:color w:val="auto"/>
                <w:sz w:val="24"/>
                <w:szCs w:val="24"/>
                <w:highlight w:val="none"/>
                <w:lang w:val="zh-CN" w:eastAsia="zh-CN"/>
              </w:rPr>
              <w:t>或荣誉</w:t>
            </w:r>
            <w:r>
              <w:rPr>
                <w:rFonts w:hint="eastAsia" w:ascii="仿宋" w:hAnsi="仿宋" w:eastAsia="仿宋" w:cs="仿宋"/>
                <w:b w:val="0"/>
                <w:bCs w:val="0"/>
                <w:color w:val="auto"/>
                <w:sz w:val="24"/>
                <w:szCs w:val="24"/>
                <w:highlight w:val="none"/>
                <w:lang w:val="en-US" w:eastAsia="zh-CN"/>
              </w:rPr>
              <w:t>的每个得0.5分，最高4分。</w:t>
            </w:r>
          </w:p>
          <w:p>
            <w:pPr>
              <w:widowControl w:val="0"/>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注：须提供获奖（荣誉）证书（或证明文件）复印件加盖公章，否则不得分。获奖项目须为中国境内的项目，同一项目获奖不得累加，按高计取一次；奖项根据规划行政主管部门或相应规划行业协会颁发的文件或证书确认，时间以获奖证书或文件的颁发时间为准。</w:t>
            </w:r>
          </w:p>
        </w:tc>
        <w:tc>
          <w:tcPr>
            <w:tcW w:w="56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lang w:val="en-US" w:eastAsia="zh-CN"/>
              </w:rPr>
              <w:t>3</w:t>
            </w:r>
          </w:p>
        </w:tc>
        <w:tc>
          <w:tcPr>
            <w:tcW w:w="751"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zh-CN" w:eastAsia="zh-CN" w:bidi="ar-SA"/>
              </w:rPr>
            </w:pPr>
            <w:r>
              <w:rPr>
                <w:rFonts w:hint="eastAsia" w:ascii="宋体" w:hAnsi="宋体" w:eastAsia="宋体" w:cs="宋体"/>
                <w:color w:val="auto"/>
                <w:szCs w:val="21"/>
                <w:highlight w:val="none"/>
                <w:lang w:val="en-US" w:eastAsia="zh-CN"/>
              </w:rPr>
              <w:t>项目负责人</w:t>
            </w:r>
            <w:r>
              <w:rPr>
                <w:rFonts w:hint="eastAsia" w:ascii="宋体" w:hAnsi="宋体" w:cs="宋体"/>
                <w:color w:val="auto"/>
                <w:szCs w:val="21"/>
                <w:highlight w:val="none"/>
                <w:lang w:val="en-US" w:eastAsia="zh-CN"/>
              </w:rPr>
              <w:t>资历</w:t>
            </w:r>
          </w:p>
        </w:tc>
        <w:tc>
          <w:tcPr>
            <w:tcW w:w="3311" w:type="pct"/>
            <w:noWrap w:val="0"/>
            <w:vAlign w:val="center"/>
          </w:tcPr>
          <w:p>
            <w:pPr>
              <w:widowControl w:val="0"/>
              <w:numPr>
                <w:ilvl w:val="0"/>
                <w:numId w:val="0"/>
              </w:num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项目负责人具备注册城市规划师证书或取得注册城乡规划师执业资格的得2分，在此基础上具备规划类高级工程师及以上专业技术职称的再加2分；本项最高得4分。</w:t>
            </w:r>
          </w:p>
          <w:p>
            <w:pPr>
              <w:widowControl w:val="0"/>
              <w:numPr>
                <w:ilvl w:val="0"/>
                <w:numId w:val="0"/>
              </w:numPr>
              <w:spacing w:line="240" w:lineRule="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sz w:val="24"/>
                <w:szCs w:val="24"/>
                <w:highlight w:val="none"/>
                <w:lang w:val="en-US" w:eastAsia="zh-CN"/>
              </w:rPr>
              <w:t>注：须提供职称证书、注册证书、执业资格证书以及投标截止时间前在该投标单位近三个月中任意一个月的养老保险缴纳凭证或由社保部门出具的其在该投标单位参保的证明复印件编入投标文件，否则不得分。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4</w:t>
            </w:r>
          </w:p>
        </w:tc>
        <w:tc>
          <w:tcPr>
            <w:tcW w:w="751" w:type="pct"/>
            <w:noWrap w:val="0"/>
            <w:vAlign w:val="center"/>
          </w:tcPr>
          <w:p>
            <w:pPr>
              <w:widowControl w:val="0"/>
              <w:spacing w:line="240" w:lineRule="auto"/>
              <w:jc w:val="center"/>
              <w:rPr>
                <w:rFonts w:hint="eastAsia" w:ascii="仿宋" w:hAnsi="仿宋" w:eastAsia="宋体" w:cs="仿宋"/>
                <w:b w:val="0"/>
                <w:bCs w:val="0"/>
                <w:color w:val="auto"/>
                <w:kern w:val="2"/>
                <w:sz w:val="24"/>
                <w:szCs w:val="24"/>
                <w:highlight w:val="none"/>
                <w:lang w:val="en-US" w:eastAsia="zh-CN" w:bidi="ar-SA"/>
              </w:rPr>
            </w:pPr>
            <w:r>
              <w:rPr>
                <w:rFonts w:hint="eastAsia" w:ascii="宋体" w:hAnsi="宋体" w:eastAsia="宋体" w:cs="宋体"/>
                <w:color w:val="auto"/>
                <w:szCs w:val="21"/>
                <w:highlight w:val="none"/>
              </w:rPr>
              <w:t>项目组成员</w:t>
            </w:r>
            <w:r>
              <w:rPr>
                <w:rFonts w:hint="eastAsia" w:ascii="宋体" w:hAnsi="宋体" w:cs="宋体"/>
                <w:color w:val="auto"/>
                <w:szCs w:val="21"/>
                <w:highlight w:val="none"/>
                <w:lang w:eastAsia="zh-CN"/>
              </w:rPr>
              <w:t>资历</w:t>
            </w:r>
          </w:p>
        </w:tc>
        <w:tc>
          <w:tcPr>
            <w:tcW w:w="3311" w:type="pct"/>
            <w:noWrap w:val="0"/>
            <w:vAlign w:val="center"/>
          </w:tcPr>
          <w:p>
            <w:pPr>
              <w:widowControl/>
              <w:numPr>
                <w:ilvl w:val="0"/>
                <w:numId w:val="0"/>
              </w:numPr>
              <w:snapToGrid/>
              <w:spacing w:line="24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项目组成员（不含项目负责人）：</w:t>
            </w:r>
          </w:p>
          <w:p>
            <w:pPr>
              <w:widowControl w:val="0"/>
              <w:numPr>
                <w:ilvl w:val="0"/>
                <w:numId w:val="0"/>
              </w:numPr>
              <w:spacing w:line="240" w:lineRule="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①拟派专业技术人员具有高级工程师及以上职称或同时具备工程师技术职称及注册城乡规划师证书的，每人得2分；本小项最高得4分。</w:t>
            </w:r>
          </w:p>
          <w:p>
            <w:pPr>
              <w:widowControl w:val="0"/>
              <w:numPr>
                <w:ilvl w:val="0"/>
                <w:numId w:val="0"/>
              </w:numPr>
              <w:spacing w:line="24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②具有工程师及以上职称或注册城乡规划师证书的，每人得1分；本小项最高得6分；</w:t>
            </w:r>
          </w:p>
          <w:p>
            <w:pPr>
              <w:widowControl w:val="0"/>
              <w:numPr>
                <w:ilvl w:val="0"/>
                <w:numId w:val="0"/>
              </w:numPr>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每人只按高计取一次得分，须提供相关人员职称证明、证书，及投标截止时间前在该投标单位近三个月中任意一个月的养老保险缴纳凭证或由社保部门出具的其在该投标单位参保的证明复印件编入投标文件，否则不得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7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751"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auto"/>
                <w:szCs w:val="21"/>
                <w:highlight w:val="none"/>
              </w:rPr>
              <w:t>项目理解</w:t>
            </w:r>
          </w:p>
        </w:tc>
        <w:tc>
          <w:tcPr>
            <w:tcW w:w="3311" w:type="pct"/>
            <w:noWrap w:val="0"/>
            <w:vAlign w:val="center"/>
          </w:tcPr>
          <w:p>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根据投标人对项目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理解</w:t>
            </w:r>
            <w:r>
              <w:rPr>
                <w:rFonts w:hint="eastAsia" w:ascii="仿宋" w:hAnsi="仿宋" w:eastAsia="仿宋" w:cs="仿宋"/>
                <w:color w:val="auto"/>
                <w:sz w:val="24"/>
                <w:szCs w:val="24"/>
                <w:highlight w:val="none"/>
                <w:lang w:eastAsia="zh-CN"/>
              </w:rPr>
              <w:t>程度，对相关规划及上级政策文件精神的解读是否全面、深入，对白沙片区发展的优劣势分析是否到位，对白沙片区的更新和开发前景与趋势的研判是否清晰合理等进行打分。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①对项目理解准确全面、阐述的内容完整清晰，针对性强的，得</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rPr>
              <w:t>6（不含）-</w:t>
            </w:r>
            <w:r>
              <w:rPr>
                <w:rFonts w:hint="eastAsia" w:ascii="仿宋" w:hAnsi="仿宋" w:eastAsia="仿宋" w:cs="仿宋"/>
                <w:color w:val="auto"/>
                <w:sz w:val="24"/>
                <w:szCs w:val="24"/>
                <w:highlight w:val="none"/>
                <w:lang w:val="en-US" w:eastAsia="zh-CN"/>
              </w:rPr>
              <w:t>8（含）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②对项目理解</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准确全面、阐述的内容</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val="en-US" w:eastAsia="zh-CN"/>
              </w:rPr>
              <w:t>有一定</w:t>
            </w:r>
            <w:r>
              <w:rPr>
                <w:rFonts w:hint="eastAsia" w:ascii="仿宋" w:hAnsi="仿宋" w:eastAsia="仿宋" w:cs="仿宋"/>
                <w:color w:val="auto"/>
                <w:sz w:val="24"/>
                <w:szCs w:val="24"/>
                <w:highlight w:val="none"/>
              </w:rPr>
              <w:t>针对性的，得</w:t>
            </w:r>
            <w:r>
              <w:rPr>
                <w:rFonts w:hint="eastAsia" w:ascii="仿宋" w:hAnsi="仿宋" w:eastAsia="仿宋" w:cs="仿宋"/>
                <w:color w:val="auto"/>
                <w:sz w:val="24"/>
                <w:szCs w:val="24"/>
                <w:highlight w:val="none"/>
                <w:lang w:val="en-US" w:eastAsia="zh-CN"/>
              </w:rPr>
              <w:t>3（不含）-6（含）</w:t>
            </w:r>
            <w:r>
              <w:rPr>
                <w:rFonts w:hint="eastAsia" w:ascii="仿宋" w:hAnsi="仿宋" w:eastAsia="仿宋" w:cs="仿宋"/>
                <w:color w:val="auto"/>
                <w:sz w:val="24"/>
                <w:szCs w:val="24"/>
                <w:highlight w:val="none"/>
              </w:rPr>
              <w:t>分；</w:t>
            </w:r>
          </w:p>
          <w:p>
            <w:pPr>
              <w:widowControl w:val="0"/>
              <w:spacing w:line="24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③对项目理解存在逻辑偏差、阐述的内容不明确，针对性有欠缺的，得</w:t>
            </w:r>
            <w:r>
              <w:rPr>
                <w:rFonts w:hint="eastAsia" w:ascii="仿宋" w:hAnsi="仿宋" w:eastAsia="仿宋" w:cs="仿宋"/>
                <w:color w:val="auto"/>
                <w:sz w:val="24"/>
                <w:szCs w:val="24"/>
                <w:highlight w:val="none"/>
                <w:lang w:val="en-US" w:eastAsia="zh-CN"/>
              </w:rPr>
              <w:t>0（含）-</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751" w:type="pct"/>
            <w:noWrap w:val="0"/>
            <w:vAlign w:val="center"/>
          </w:tcPr>
          <w:p>
            <w:pPr>
              <w:widowControl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w:t>
            </w:r>
            <w:r>
              <w:rPr>
                <w:rFonts w:hint="eastAsia" w:ascii="宋体" w:hAnsi="宋体" w:cs="宋体"/>
                <w:color w:val="auto"/>
                <w:szCs w:val="21"/>
                <w:highlight w:val="none"/>
                <w:lang w:eastAsia="zh-CN"/>
              </w:rPr>
              <w:t>分析</w:t>
            </w:r>
          </w:p>
        </w:tc>
        <w:tc>
          <w:tcPr>
            <w:tcW w:w="3311" w:type="pct"/>
            <w:noWrap w:val="0"/>
            <w:vAlign w:val="center"/>
          </w:tcPr>
          <w:p>
            <w:pPr>
              <w:widowControl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根据投标人对白沙片区自然条件、建设条件、地貌条件、用地条件等分析程度进行打分。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①了解充分、</w:t>
            </w:r>
            <w:r>
              <w:rPr>
                <w:rFonts w:hint="eastAsia" w:ascii="仿宋" w:hAnsi="仿宋" w:eastAsia="仿宋" w:cs="仿宋"/>
                <w:color w:val="auto"/>
                <w:sz w:val="24"/>
                <w:szCs w:val="24"/>
                <w:highlight w:val="none"/>
                <w:lang w:eastAsia="zh-CN"/>
              </w:rPr>
              <w:t>分析</w:t>
            </w:r>
            <w:r>
              <w:rPr>
                <w:rFonts w:hint="eastAsia" w:ascii="仿宋" w:hAnsi="仿宋" w:eastAsia="仿宋" w:cs="仿宋"/>
                <w:color w:val="auto"/>
                <w:sz w:val="24"/>
                <w:szCs w:val="24"/>
                <w:highlight w:val="none"/>
              </w:rPr>
              <w:t>到位，熟悉程度高的得</w:t>
            </w:r>
            <w:r>
              <w:rPr>
                <w:rFonts w:hint="eastAsia" w:ascii="仿宋" w:hAnsi="仿宋" w:eastAsia="仿宋" w:cs="仿宋"/>
                <w:color w:val="auto"/>
                <w:spacing w:val="0"/>
                <w:sz w:val="24"/>
                <w:szCs w:val="24"/>
                <w:highlight w:val="none"/>
                <w:lang w:val="en-US" w:eastAsia="zh-CN"/>
              </w:rPr>
              <w:t>6（不含）-8</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②对区域现状总体情况有部分了解但</w:t>
            </w:r>
            <w:r>
              <w:rPr>
                <w:rFonts w:hint="eastAsia" w:ascii="仿宋" w:hAnsi="仿宋" w:eastAsia="仿宋" w:cs="仿宋"/>
                <w:color w:val="auto"/>
                <w:sz w:val="24"/>
                <w:szCs w:val="24"/>
                <w:highlight w:val="none"/>
                <w:lang w:val="en-US" w:eastAsia="zh-CN"/>
              </w:rPr>
              <w:t>分析</w:t>
            </w:r>
            <w:r>
              <w:rPr>
                <w:rFonts w:hint="eastAsia" w:ascii="仿宋" w:hAnsi="仿宋" w:eastAsia="仿宋" w:cs="仿宋"/>
                <w:color w:val="auto"/>
                <w:sz w:val="24"/>
                <w:szCs w:val="24"/>
                <w:highlight w:val="none"/>
              </w:rPr>
              <w:t>不全面的，不完全熟悉的得</w:t>
            </w:r>
            <w:r>
              <w:rPr>
                <w:rFonts w:hint="eastAsia" w:ascii="仿宋" w:hAnsi="仿宋" w:eastAsia="仿宋" w:cs="仿宋"/>
                <w:color w:val="auto"/>
                <w:sz w:val="24"/>
                <w:szCs w:val="24"/>
                <w:highlight w:val="none"/>
                <w:lang w:val="en-US" w:eastAsia="zh-CN"/>
              </w:rPr>
              <w:t>3（不含）-6（含）</w:t>
            </w:r>
            <w:r>
              <w:rPr>
                <w:rFonts w:hint="eastAsia" w:ascii="仿宋" w:hAnsi="仿宋" w:eastAsia="仿宋" w:cs="仿宋"/>
                <w:color w:val="auto"/>
                <w:sz w:val="24"/>
                <w:szCs w:val="24"/>
                <w:highlight w:val="none"/>
              </w:rPr>
              <w:t>分；</w:t>
            </w:r>
          </w:p>
          <w:p>
            <w:pPr>
              <w:widowControl w:val="0"/>
              <w:spacing w:line="240" w:lineRule="auto"/>
              <w:rPr>
                <w:rFonts w:hint="eastAsia"/>
                <w:lang w:val="en-US" w:eastAsia="zh-CN"/>
              </w:rPr>
            </w:pPr>
            <w:r>
              <w:rPr>
                <w:rFonts w:hint="eastAsia" w:ascii="仿宋" w:hAnsi="仿宋" w:eastAsia="仿宋" w:cs="仿宋"/>
                <w:color w:val="auto"/>
                <w:sz w:val="24"/>
                <w:szCs w:val="24"/>
                <w:highlight w:val="none"/>
              </w:rPr>
              <w:t>③对区域现状总体情况</w:t>
            </w:r>
            <w:r>
              <w:rPr>
                <w:rFonts w:hint="eastAsia" w:ascii="仿宋" w:hAnsi="仿宋" w:eastAsia="仿宋" w:cs="仿宋"/>
                <w:color w:val="auto"/>
                <w:sz w:val="24"/>
                <w:szCs w:val="24"/>
                <w:highlight w:val="none"/>
                <w:lang w:val="en-US" w:eastAsia="zh-CN"/>
              </w:rPr>
              <w:t>够</w:t>
            </w:r>
            <w:r>
              <w:rPr>
                <w:rFonts w:hint="eastAsia" w:ascii="仿宋" w:hAnsi="仿宋" w:eastAsia="仿宋" w:cs="仿宋"/>
                <w:color w:val="auto"/>
                <w:sz w:val="24"/>
                <w:szCs w:val="24"/>
                <w:highlight w:val="none"/>
              </w:rPr>
              <w:t>不熟悉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val="en-US" w:eastAsia="zh-CN"/>
              </w:rPr>
              <w:t>够</w:t>
            </w:r>
            <w:r>
              <w:rPr>
                <w:rFonts w:hint="eastAsia" w:ascii="仿宋" w:hAnsi="仿宋" w:eastAsia="仿宋" w:cs="仿宋"/>
                <w:color w:val="auto"/>
                <w:sz w:val="24"/>
                <w:szCs w:val="24"/>
                <w:highlight w:val="none"/>
              </w:rPr>
              <w:t>了解的得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7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c>
          <w:tcPr>
            <w:tcW w:w="751"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宋体" w:hAnsi="宋体" w:eastAsia="宋体" w:cs="宋体"/>
                <w:color w:val="auto"/>
                <w:szCs w:val="21"/>
                <w:highlight w:val="none"/>
              </w:rPr>
              <w:t>工作思路、</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技术路线</w:t>
            </w:r>
          </w:p>
        </w:tc>
        <w:tc>
          <w:tcPr>
            <w:tcW w:w="3311" w:type="pct"/>
            <w:noWrap w:val="0"/>
            <w:vAlign w:val="center"/>
          </w:tcPr>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根据投标人提供的工作思路、技术路线</w:t>
            </w:r>
            <w:r>
              <w:rPr>
                <w:rFonts w:hint="eastAsia" w:ascii="仿宋" w:hAnsi="仿宋" w:eastAsia="仿宋" w:cs="仿宋"/>
                <w:color w:val="auto"/>
                <w:sz w:val="24"/>
                <w:szCs w:val="24"/>
                <w:highlight w:val="none"/>
                <w:lang w:eastAsia="zh-CN"/>
              </w:rPr>
              <w:t>和研究方法从科学性、合理性、可行性等方面</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eastAsia="zh-CN"/>
              </w:rPr>
              <w:t>综合打分。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①阐述完善、科学，针对性强，切实可行的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pacing w:val="0"/>
                <w:sz w:val="24"/>
                <w:szCs w:val="24"/>
                <w:highlight w:val="none"/>
                <w:lang w:val="en-US" w:eastAsia="zh-CN"/>
              </w:rPr>
              <w:t>6（不含）-</w:t>
            </w:r>
            <w:r>
              <w:rPr>
                <w:rFonts w:hint="eastAsia" w:ascii="仿宋" w:hAnsi="仿宋" w:eastAsia="仿宋" w:cs="仿宋"/>
                <w:color w:val="auto"/>
                <w:sz w:val="24"/>
                <w:szCs w:val="24"/>
                <w:highlight w:val="none"/>
                <w:lang w:val="en-US" w:eastAsia="zh-CN"/>
              </w:rPr>
              <w:t>8（含）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②阐述</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完整、</w:t>
            </w:r>
            <w:r>
              <w:rPr>
                <w:rFonts w:hint="eastAsia" w:ascii="仿宋" w:hAnsi="仿宋" w:eastAsia="仿宋" w:cs="仿宋"/>
                <w:color w:val="auto"/>
                <w:sz w:val="24"/>
                <w:szCs w:val="24"/>
                <w:highlight w:val="none"/>
                <w:lang w:val="en-US" w:eastAsia="zh-CN"/>
              </w:rPr>
              <w:t>基本科学，</w:t>
            </w:r>
            <w:r>
              <w:rPr>
                <w:rFonts w:hint="eastAsia" w:ascii="仿宋" w:hAnsi="仿宋" w:eastAsia="仿宋" w:cs="仿宋"/>
                <w:color w:val="auto"/>
                <w:sz w:val="24"/>
                <w:szCs w:val="24"/>
                <w:highlight w:val="none"/>
              </w:rPr>
              <w:t>具有一定的针对性，无明显缺陷的得</w:t>
            </w:r>
            <w:r>
              <w:rPr>
                <w:rFonts w:hint="eastAsia" w:ascii="仿宋" w:hAnsi="仿宋" w:eastAsia="仿宋" w:cs="仿宋"/>
                <w:color w:val="auto"/>
                <w:sz w:val="24"/>
                <w:szCs w:val="24"/>
                <w:highlight w:val="none"/>
                <w:lang w:val="en-US" w:eastAsia="zh-CN"/>
              </w:rPr>
              <w:t>3（不含）-</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widowControl/>
              <w:numPr>
                <w:ilvl w:val="0"/>
                <w:numId w:val="0"/>
              </w:numPr>
              <w:snapToGrid/>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③阐述简单，</w:t>
            </w:r>
            <w:r>
              <w:rPr>
                <w:rFonts w:hint="eastAsia" w:ascii="仿宋" w:hAnsi="仿宋" w:eastAsia="仿宋" w:cs="仿宋"/>
                <w:color w:val="auto"/>
                <w:sz w:val="24"/>
                <w:szCs w:val="24"/>
                <w:highlight w:val="none"/>
                <w:lang w:val="en-US" w:eastAsia="zh-CN"/>
              </w:rPr>
              <w:t>不够科学，</w:t>
            </w:r>
            <w:r>
              <w:rPr>
                <w:rFonts w:hint="eastAsia" w:ascii="仿宋" w:hAnsi="仿宋" w:eastAsia="仿宋" w:cs="仿宋"/>
                <w:color w:val="auto"/>
                <w:sz w:val="24"/>
                <w:szCs w:val="24"/>
                <w:highlight w:val="none"/>
              </w:rPr>
              <w:t>有缺陷的得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751" w:type="pct"/>
            <w:noWrap w:val="0"/>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规划定位</w:t>
            </w:r>
          </w:p>
        </w:tc>
        <w:tc>
          <w:tcPr>
            <w:tcW w:w="3311" w:type="pct"/>
            <w:noWrap w:val="0"/>
            <w:vAlign w:val="center"/>
          </w:tcPr>
          <w:p>
            <w:pPr>
              <w:widowControl/>
              <w:numPr>
                <w:ilvl w:val="0"/>
                <w:numId w:val="0"/>
              </w:numPr>
              <w:spacing w:after="0"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根据投标人对项目的规划目标定位</w:t>
            </w:r>
            <w:r>
              <w:rPr>
                <w:rFonts w:hint="eastAsia" w:ascii="仿宋" w:hAnsi="仿宋" w:eastAsia="仿宋" w:cs="仿宋"/>
                <w:color w:val="auto"/>
                <w:sz w:val="24"/>
                <w:szCs w:val="24"/>
                <w:highlight w:val="none"/>
                <w:lang w:val="en-US" w:eastAsia="zh-CN"/>
              </w:rPr>
              <w:t>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eastAsia="zh-CN"/>
              </w:rPr>
              <w:t>目标定位科学、合理、清晰</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pacing w:val="0"/>
                <w:sz w:val="24"/>
                <w:szCs w:val="24"/>
                <w:highlight w:val="none"/>
                <w:lang w:val="en-US" w:eastAsia="zh-CN"/>
              </w:rPr>
              <w:t>4（不含）-6</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目标定位</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科学、</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合理、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eastAsia="zh-CN"/>
              </w:rPr>
              <w:t>清晰</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2（不含）-4（含）</w:t>
            </w:r>
            <w:r>
              <w:rPr>
                <w:rFonts w:hint="eastAsia" w:ascii="仿宋" w:hAnsi="仿宋" w:eastAsia="仿宋" w:cs="仿宋"/>
                <w:color w:val="auto"/>
                <w:sz w:val="24"/>
                <w:szCs w:val="24"/>
                <w:highlight w:val="none"/>
              </w:rPr>
              <w:t>分；</w:t>
            </w:r>
          </w:p>
          <w:p>
            <w:pPr>
              <w:widowControl/>
              <w:numPr>
                <w:ilvl w:val="0"/>
                <w:numId w:val="0"/>
              </w:numPr>
              <w:spacing w:after="0" w:line="240" w:lineRule="auto"/>
              <w:ind w:left="0" w:lef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eastAsia="zh-CN"/>
              </w:rPr>
              <w:t>目标定位</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eastAsia="zh-CN"/>
              </w:rPr>
              <w:t>科学、</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eastAsia="zh-CN"/>
              </w:rPr>
              <w:t>合理、</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eastAsia="zh-CN"/>
              </w:rPr>
              <w:t>清晰</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751" w:type="pct"/>
            <w:noWrap w:val="0"/>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规划布局</w:t>
            </w:r>
          </w:p>
        </w:tc>
        <w:tc>
          <w:tcPr>
            <w:tcW w:w="3311" w:type="pct"/>
            <w:noWrap w:val="0"/>
            <w:vAlign w:val="center"/>
          </w:tcPr>
          <w:p>
            <w:pPr>
              <w:widowControl/>
              <w:numPr>
                <w:ilvl w:val="0"/>
                <w:numId w:val="0"/>
              </w:numPr>
              <w:spacing w:after="0" w:line="240" w:lineRule="auto"/>
              <w:ind w:left="0" w:lef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根据投标人对白沙片区的功能分区、空间布局的合理程度、创新程度进行打分。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①内容充分、到位，</w:t>
            </w:r>
            <w:r>
              <w:rPr>
                <w:rFonts w:hint="eastAsia" w:ascii="仿宋" w:hAnsi="仿宋" w:eastAsia="仿宋" w:cs="仿宋"/>
                <w:color w:val="auto"/>
                <w:sz w:val="24"/>
                <w:szCs w:val="24"/>
                <w:highlight w:val="none"/>
                <w:lang w:val="en-US" w:eastAsia="zh-CN"/>
              </w:rPr>
              <w:t>布局合理、有创新</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lang w:val="en-US" w:eastAsia="zh-CN"/>
              </w:rPr>
              <w:t>6（不含）-8</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内容基本充分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布局基本合理、略有创新</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3（不含）-6（含）</w:t>
            </w:r>
            <w:r>
              <w:rPr>
                <w:rFonts w:hint="eastAsia" w:ascii="仿宋" w:hAnsi="仿宋" w:eastAsia="仿宋" w:cs="仿宋"/>
                <w:color w:val="auto"/>
                <w:sz w:val="24"/>
                <w:szCs w:val="24"/>
                <w:highlight w:val="none"/>
              </w:rPr>
              <w:t>分；</w:t>
            </w:r>
          </w:p>
          <w:p>
            <w:pPr>
              <w:widowControl/>
              <w:numPr>
                <w:ilvl w:val="0"/>
                <w:numId w:val="0"/>
              </w:numPr>
              <w:spacing w:after="0" w:line="240" w:lineRule="auto"/>
              <w:ind w:left="0" w:lef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③内容</w:t>
            </w:r>
            <w:r>
              <w:rPr>
                <w:rFonts w:hint="eastAsia" w:ascii="仿宋" w:hAnsi="仿宋" w:eastAsia="仿宋" w:cs="仿宋"/>
                <w:color w:val="auto"/>
                <w:sz w:val="24"/>
                <w:szCs w:val="24"/>
                <w:highlight w:val="none"/>
                <w:lang w:val="en-US" w:eastAsia="zh-CN"/>
              </w:rPr>
              <w:t>不够充分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布局不够合理、缺乏创新</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73" w:type="pct"/>
            <w:vMerge w:val="restar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751" w:type="pct"/>
            <w:vMerge w:val="restart"/>
            <w:noWrap w:val="0"/>
            <w:vAlign w:val="center"/>
          </w:tcPr>
          <w:p>
            <w:pPr>
              <w:widowControl w:val="0"/>
              <w:spacing w:line="240" w:lineRule="auto"/>
              <w:jc w:val="center"/>
              <w:rPr>
                <w:rFonts w:hint="eastAsia" w:ascii="宋体" w:hAnsi="宋体" w:eastAsia="宋体" w:cs="宋体"/>
                <w:color w:val="auto"/>
                <w:szCs w:val="21"/>
                <w:highlight w:val="none"/>
              </w:rPr>
            </w:pPr>
          </w:p>
          <w:p>
            <w:pPr>
              <w:widowControl w:val="0"/>
              <w:spacing w:line="240" w:lineRule="auto"/>
              <w:jc w:val="center"/>
              <w:rPr>
                <w:rFonts w:hint="eastAsia" w:ascii="宋体" w:hAnsi="宋体" w:eastAsia="宋体" w:cs="宋体"/>
                <w:color w:val="auto"/>
                <w:szCs w:val="21"/>
                <w:highlight w:val="none"/>
              </w:rPr>
            </w:pPr>
          </w:p>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重点</w:t>
            </w:r>
            <w:r>
              <w:rPr>
                <w:rFonts w:hint="eastAsia" w:ascii="宋体" w:hAnsi="宋体" w:cs="宋体"/>
                <w:color w:val="auto"/>
                <w:szCs w:val="21"/>
                <w:highlight w:val="none"/>
                <w:lang w:eastAsia="zh-CN"/>
              </w:rPr>
              <w:t>内容</w:t>
            </w:r>
          </w:p>
        </w:tc>
        <w:tc>
          <w:tcPr>
            <w:tcW w:w="3311" w:type="pct"/>
            <w:noWrap w:val="0"/>
            <w:vAlign w:val="center"/>
          </w:tcPr>
          <w:p>
            <w:pPr>
              <w:widowControl/>
              <w:numPr>
                <w:ilvl w:val="0"/>
                <w:numId w:val="0"/>
              </w:numPr>
              <w:spacing w:after="0" w:line="240" w:lineRule="auto"/>
              <w:ind w:left="0" w:leftChars="0" w:firstLine="0" w:firstLineChars="0"/>
              <w:jc w:val="left"/>
              <w:rPr>
                <w:rFonts w:hint="eastAsia" w:ascii="仿宋" w:hAnsi="仿宋" w:eastAsia="仿宋" w:cs="仿宋"/>
                <w:color w:val="auto"/>
                <w:w w:val="100"/>
                <w:sz w:val="24"/>
                <w:szCs w:val="24"/>
                <w:highlight w:val="none"/>
                <w:lang w:eastAsia="zh-CN"/>
              </w:rPr>
            </w:pPr>
            <w:r>
              <w:rPr>
                <w:rFonts w:hint="eastAsia" w:ascii="仿宋" w:hAnsi="仿宋" w:eastAsia="仿宋" w:cs="仿宋"/>
                <w:color w:val="auto"/>
                <w:w w:val="100"/>
                <w:sz w:val="24"/>
                <w:szCs w:val="24"/>
                <w:highlight w:val="none"/>
                <w:lang w:eastAsia="zh-CN"/>
              </w:rPr>
              <w:t>根据投标人对项目的规模容量、综合交通、公共服务设施、市政公用设施、生态环境、综合防灾、六线控制等主要管控内容是否充分围绕白沙片区城市更新开发因地制宜的开展研究分析，并对主要管控内容的科学、合理程度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①分析合理、全面，</w:t>
            </w:r>
            <w:r>
              <w:rPr>
                <w:rFonts w:hint="eastAsia" w:ascii="仿宋" w:hAnsi="仿宋" w:eastAsia="仿宋" w:cs="仿宋"/>
                <w:color w:val="auto"/>
                <w:w w:val="100"/>
                <w:sz w:val="24"/>
                <w:szCs w:val="24"/>
                <w:highlight w:val="none"/>
                <w:lang w:eastAsia="zh-CN"/>
              </w:rPr>
              <w:t>管控内容科学、合理</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lang w:val="en-US" w:eastAsia="zh-CN"/>
              </w:rPr>
              <w:t>10（不含）-14</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②分析</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全面，</w:t>
            </w:r>
            <w:r>
              <w:rPr>
                <w:rFonts w:hint="eastAsia" w:ascii="仿宋" w:hAnsi="仿宋" w:eastAsia="仿宋" w:cs="仿宋"/>
                <w:color w:val="auto"/>
                <w:w w:val="100"/>
                <w:sz w:val="24"/>
                <w:szCs w:val="24"/>
                <w:highlight w:val="none"/>
                <w:lang w:eastAsia="zh-CN"/>
              </w:rPr>
              <w:t>管控内容</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w w:val="100"/>
                <w:sz w:val="24"/>
                <w:szCs w:val="24"/>
                <w:highlight w:val="none"/>
                <w:lang w:eastAsia="zh-CN"/>
              </w:rPr>
              <w:t>科学、</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w w:val="100"/>
                <w:sz w:val="24"/>
                <w:szCs w:val="24"/>
                <w:highlight w:val="none"/>
                <w:lang w:eastAsia="zh-CN"/>
              </w:rPr>
              <w:t>合理</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5（不含）-10（含）</w:t>
            </w:r>
            <w:r>
              <w:rPr>
                <w:rFonts w:hint="eastAsia" w:ascii="仿宋" w:hAnsi="仿宋" w:eastAsia="仿宋" w:cs="仿宋"/>
                <w:color w:val="auto"/>
                <w:sz w:val="24"/>
                <w:szCs w:val="24"/>
                <w:highlight w:val="none"/>
              </w:rPr>
              <w:t>分；</w:t>
            </w:r>
          </w:p>
          <w:p>
            <w:pPr>
              <w:widowControl/>
              <w:numPr>
                <w:ilvl w:val="0"/>
                <w:numId w:val="0"/>
              </w:numPr>
              <w:spacing w:after="0" w:line="240" w:lineRule="auto"/>
              <w:ind w:left="0" w:lef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③分析</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全面，</w:t>
            </w:r>
            <w:r>
              <w:rPr>
                <w:rFonts w:hint="eastAsia" w:ascii="仿宋" w:hAnsi="仿宋" w:eastAsia="仿宋" w:cs="仿宋"/>
                <w:color w:val="auto"/>
                <w:w w:val="100"/>
                <w:sz w:val="24"/>
                <w:szCs w:val="24"/>
                <w:highlight w:val="none"/>
                <w:lang w:eastAsia="zh-CN"/>
              </w:rPr>
              <w:t>管控内容</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w w:val="100"/>
                <w:sz w:val="24"/>
                <w:szCs w:val="24"/>
                <w:highlight w:val="none"/>
                <w:lang w:eastAsia="zh-CN"/>
              </w:rPr>
              <w:t>科学、</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w w:val="100"/>
                <w:sz w:val="24"/>
                <w:szCs w:val="24"/>
                <w:highlight w:val="none"/>
                <w:lang w:eastAsia="zh-CN"/>
              </w:rPr>
              <w:t>合理</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r>
              <w:rPr>
                <w:rFonts w:hint="eastAsia" w:ascii="仿宋" w:hAnsi="仿宋" w:eastAsia="仿宋" w:cs="仿宋"/>
                <w:color w:val="auto"/>
                <w:w w:val="100"/>
                <w:sz w:val="24"/>
                <w:szCs w:val="24"/>
                <w:highlight w:val="none"/>
              </w:rPr>
              <w:t xml:space="preserve"> </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3" w:type="pct"/>
            <w:vMerge w:val="continue"/>
            <w:noWrap w:val="0"/>
            <w:vAlign w:val="center"/>
          </w:tcPr>
          <w:p>
            <w:pPr>
              <w:widowControl w:val="0"/>
              <w:spacing w:line="240" w:lineRule="auto"/>
              <w:jc w:val="center"/>
              <w:rPr>
                <w:rFonts w:hint="eastAsia" w:ascii="仿宋" w:hAnsi="仿宋" w:eastAsia="仿宋" w:cs="仿宋"/>
                <w:b w:val="0"/>
                <w:bCs w:val="0"/>
                <w:color w:val="auto"/>
                <w:sz w:val="24"/>
                <w:szCs w:val="24"/>
                <w:highlight w:val="none"/>
                <w:lang w:val="en-US" w:eastAsia="zh-CN"/>
              </w:rPr>
            </w:pPr>
          </w:p>
        </w:tc>
        <w:tc>
          <w:tcPr>
            <w:tcW w:w="751" w:type="pct"/>
            <w:vMerge w:val="continue"/>
            <w:noWrap w:val="0"/>
            <w:vAlign w:val="center"/>
          </w:tcPr>
          <w:p>
            <w:pPr>
              <w:widowControl w:val="0"/>
              <w:spacing w:line="240" w:lineRule="auto"/>
              <w:jc w:val="center"/>
              <w:rPr>
                <w:rFonts w:hint="eastAsia" w:ascii="宋体" w:hAnsi="宋体" w:eastAsia="宋体" w:cs="宋体"/>
                <w:color w:val="auto"/>
                <w:szCs w:val="21"/>
                <w:highlight w:val="none"/>
              </w:rPr>
            </w:pPr>
          </w:p>
        </w:tc>
        <w:tc>
          <w:tcPr>
            <w:tcW w:w="3311" w:type="pct"/>
            <w:noWrap w:val="0"/>
            <w:vAlign w:val="center"/>
          </w:tcPr>
          <w:p>
            <w:pPr>
              <w:widowControl/>
              <w:numPr>
                <w:ilvl w:val="0"/>
                <w:numId w:val="0"/>
              </w:numPr>
              <w:spacing w:after="0" w:line="240" w:lineRule="auto"/>
              <w:ind w:left="0" w:lef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根据投标人对项目的建筑风貌管控、城市设计指引等内容的合理、科学程度进行打分。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①阐述完善、科学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rPr>
              <w:t>7（不含）-</w:t>
            </w:r>
            <w:r>
              <w:rPr>
                <w:rFonts w:hint="eastAsia" w:ascii="仿宋" w:hAnsi="仿宋" w:eastAsia="仿宋" w:cs="仿宋"/>
                <w:color w:val="auto"/>
                <w:sz w:val="24"/>
                <w:szCs w:val="24"/>
                <w:highlight w:val="none"/>
                <w:lang w:val="en-US" w:eastAsia="zh-CN"/>
              </w:rPr>
              <w:t>10（含）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②阐述</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完善、</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科学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基本合理的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4（不含）-</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widowControl/>
              <w:numPr>
                <w:ilvl w:val="0"/>
                <w:numId w:val="0"/>
              </w:numPr>
              <w:spacing w:after="0"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③阐述简单，</w:t>
            </w:r>
            <w:r>
              <w:rPr>
                <w:rFonts w:hint="eastAsia" w:ascii="仿宋" w:hAnsi="仿宋" w:eastAsia="仿宋" w:cs="仿宋"/>
                <w:color w:val="auto"/>
                <w:sz w:val="24"/>
                <w:szCs w:val="24"/>
                <w:highlight w:val="none"/>
                <w:lang w:val="en-US" w:eastAsia="zh-CN"/>
              </w:rPr>
              <w:t>不够科学，</w:t>
            </w:r>
            <w:r>
              <w:rPr>
                <w:rFonts w:hint="eastAsia" w:ascii="仿宋" w:hAnsi="仿宋" w:eastAsia="仿宋" w:cs="仿宋"/>
                <w:color w:val="auto"/>
                <w:sz w:val="24"/>
                <w:szCs w:val="24"/>
                <w:highlight w:val="none"/>
              </w:rPr>
              <w:t>有缺陷的得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751" w:type="pct"/>
            <w:noWrap w:val="0"/>
            <w:vAlign w:val="center"/>
          </w:tcPr>
          <w:p>
            <w:pPr>
              <w:pStyle w:val="957"/>
              <w:ind w:left="143" w:leftChars="0"/>
              <w:jc w:val="left"/>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szCs w:val="21"/>
                <w:highlight w:val="none"/>
              </w:rPr>
              <w:t>进度</w:t>
            </w:r>
            <w:r>
              <w:rPr>
                <w:rFonts w:hint="eastAsia" w:ascii="宋体" w:hAnsi="宋体" w:eastAsia="宋体" w:cs="宋体"/>
                <w:color w:val="auto"/>
                <w:szCs w:val="21"/>
                <w:highlight w:val="none"/>
                <w:lang w:val="en-US" w:eastAsia="zh-CN"/>
              </w:rPr>
              <w:t>保障</w:t>
            </w:r>
          </w:p>
        </w:tc>
        <w:tc>
          <w:tcPr>
            <w:tcW w:w="3311" w:type="pct"/>
            <w:noWrap w:val="0"/>
            <w:vAlign w:val="center"/>
          </w:tcPr>
          <w:p>
            <w:pPr>
              <w:widowControl/>
              <w:numPr>
                <w:ilvl w:val="0"/>
                <w:numId w:val="0"/>
              </w:numPr>
              <w:spacing w:after="0" w:line="240" w:lineRule="auto"/>
              <w:ind w:left="0" w:leftChars="0" w:firstLine="0" w:firstLineChars="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对项目整体工作阶段及任务划分、进度控制、关键时间节点把握等进行打分。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安排合理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把握准确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能有效保障进度</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rPr>
              <w:t xml:space="preserve"> </w:t>
            </w:r>
            <w:r>
              <w:rPr>
                <w:rFonts w:hint="eastAsia" w:ascii="仿宋" w:hAnsi="仿宋" w:eastAsia="仿宋" w:cs="仿宋"/>
                <w:color w:val="auto"/>
                <w:spacing w:val="0"/>
                <w:sz w:val="24"/>
                <w:szCs w:val="24"/>
                <w:highlight w:val="none"/>
                <w:lang w:val="en-US" w:eastAsia="zh-CN"/>
              </w:rPr>
              <w:t>2（不含）-</w:t>
            </w:r>
            <w:r>
              <w:rPr>
                <w:rFonts w:hint="eastAsia" w:ascii="仿宋" w:hAnsi="仿宋" w:eastAsia="仿宋" w:cs="仿宋"/>
                <w:color w:val="auto"/>
                <w:sz w:val="24"/>
                <w:szCs w:val="24"/>
                <w:highlight w:val="none"/>
                <w:lang w:val="en-US" w:eastAsia="zh-CN"/>
              </w:rPr>
              <w:t>3（含）</w:t>
            </w:r>
            <w:r>
              <w:rPr>
                <w:rFonts w:hint="eastAsia" w:ascii="仿宋" w:hAnsi="仿宋" w:eastAsia="仿宋" w:cs="仿宋"/>
                <w:color w:val="auto"/>
                <w:sz w:val="24"/>
                <w:szCs w:val="24"/>
                <w:highlight w:val="none"/>
              </w:rPr>
              <w:t>分；</w:t>
            </w:r>
          </w:p>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安排基本合理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把握基本准确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基本能保障进度的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1（不含）-</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p>
            <w:pPr>
              <w:pStyle w:val="2"/>
              <w:ind w:left="0" w:leftChars="0" w:firstLine="0" w:firstLineChars="0"/>
              <w:rPr>
                <w:rFonts w:hint="eastAsia"/>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安排不够合理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把握不够准确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无法效保障进度</w:t>
            </w:r>
            <w:r>
              <w:rPr>
                <w:rFonts w:hint="eastAsia" w:ascii="仿宋" w:hAnsi="仿宋" w:eastAsia="仿宋" w:cs="仿宋"/>
                <w:color w:val="auto"/>
                <w:sz w:val="24"/>
                <w:szCs w:val="24"/>
                <w:highlight w:val="none"/>
              </w:rPr>
              <w:t>的得</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rPr>
              <w:t>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751" w:type="pct"/>
            <w:noWrap w:val="0"/>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val="en-US" w:eastAsia="zh-CN"/>
              </w:rPr>
              <w:t>保障</w:t>
            </w:r>
          </w:p>
        </w:tc>
        <w:tc>
          <w:tcPr>
            <w:tcW w:w="3311" w:type="pct"/>
            <w:noWrap w:val="0"/>
            <w:vAlign w:val="center"/>
          </w:tcPr>
          <w:p>
            <w:pPr>
              <w:numPr>
                <w:ilvl w:val="0"/>
                <w:numId w:val="0"/>
              </w:num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根据投标人对项目质量保证体系</w:t>
            </w:r>
            <w:r>
              <w:rPr>
                <w:rFonts w:hint="eastAsia" w:ascii="仿宋" w:hAnsi="仿宋" w:eastAsia="仿宋" w:cs="仿宋"/>
                <w:color w:val="auto"/>
                <w:sz w:val="24"/>
                <w:szCs w:val="24"/>
                <w:highlight w:val="none"/>
              </w:rPr>
              <w:t>进行打分。</w:t>
            </w:r>
          </w:p>
          <w:p>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CN" w:eastAsia="zh-CN"/>
              </w:rPr>
              <w:t>质量保证体系完备、周全、</w:t>
            </w:r>
            <w:r>
              <w:rPr>
                <w:rFonts w:hint="eastAsia" w:ascii="仿宋" w:hAnsi="仿宋" w:eastAsia="仿宋" w:cs="仿宋"/>
                <w:color w:val="auto"/>
                <w:sz w:val="24"/>
                <w:szCs w:val="24"/>
                <w:highlight w:val="none"/>
                <w:lang w:val="en-US" w:eastAsia="zh-CN"/>
              </w:rPr>
              <w:t>有效的得2（不含）-3（含）分；</w:t>
            </w:r>
          </w:p>
          <w:p>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zh-CN" w:eastAsia="zh-CN"/>
              </w:rPr>
              <w:t>质量保证体系</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CN" w:eastAsia="zh-CN"/>
              </w:rPr>
              <w:t>完备、</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lang w:val="zh-CN" w:eastAsia="zh-CN"/>
              </w:rPr>
              <w:t>周全、</w:t>
            </w:r>
            <w:r>
              <w:rPr>
                <w:rFonts w:hint="eastAsia" w:ascii="仿宋" w:hAnsi="仿宋" w:eastAsia="仿宋" w:cs="仿宋"/>
                <w:color w:val="auto"/>
                <w:sz w:val="24"/>
                <w:szCs w:val="24"/>
                <w:highlight w:val="none"/>
                <w:lang w:val="en-US" w:eastAsia="zh-CN"/>
              </w:rPr>
              <w:t>基本有效的得1（不含）-2（含）分；</w:t>
            </w:r>
          </w:p>
          <w:p>
            <w:pPr>
              <w:numPr>
                <w:ilvl w:val="0"/>
                <w:numId w:val="0"/>
              </w:numPr>
              <w:spacing w:line="240" w:lineRule="auto"/>
              <w:rPr>
                <w:rFonts w:hint="default"/>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zh-CN" w:eastAsia="zh-CN"/>
              </w:rPr>
              <w:t>质量保证体系</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val="zh-CN" w:eastAsia="zh-CN"/>
              </w:rPr>
              <w:t>完备、</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lang w:val="zh-CN" w:eastAsia="zh-CN"/>
              </w:rPr>
              <w:t>周全、</w:t>
            </w:r>
            <w:r>
              <w:rPr>
                <w:rFonts w:hint="eastAsia" w:ascii="仿宋" w:hAnsi="仿宋" w:eastAsia="仿宋" w:cs="仿宋"/>
                <w:color w:val="auto"/>
                <w:sz w:val="24"/>
                <w:szCs w:val="24"/>
                <w:highlight w:val="none"/>
                <w:lang w:val="en-US" w:eastAsia="zh-CN"/>
              </w:rPr>
              <w:t>无效的得0（含）-1（含）分。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3" w:type="pct"/>
            <w:noWrap w:val="0"/>
            <w:vAlign w:val="center"/>
          </w:tcPr>
          <w:p>
            <w:pPr>
              <w:widowControl w:val="0"/>
              <w:spacing w:line="24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751" w:type="pct"/>
            <w:noWrap w:val="0"/>
            <w:vAlign w:val="center"/>
          </w:tcPr>
          <w:p>
            <w:pPr>
              <w:widowControl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服务</w:t>
            </w:r>
            <w:r>
              <w:rPr>
                <w:rFonts w:hint="eastAsia" w:ascii="宋体" w:hAnsi="宋体" w:cs="宋体"/>
                <w:color w:val="auto"/>
                <w:szCs w:val="21"/>
                <w:highlight w:val="none"/>
                <w:lang w:eastAsia="zh-CN"/>
              </w:rPr>
              <w:t>承诺</w:t>
            </w:r>
          </w:p>
        </w:tc>
        <w:tc>
          <w:tcPr>
            <w:tcW w:w="3311" w:type="pct"/>
            <w:noWrap w:val="0"/>
            <w:vAlign w:val="center"/>
          </w:tcPr>
          <w:p>
            <w:pPr>
              <w:numPr>
                <w:ilvl w:val="0"/>
                <w:numId w:val="0"/>
              </w:numPr>
              <w:spacing w:line="240" w:lineRule="auto"/>
              <w:ind w:left="0" w:leftChars="0" w:firstLine="0" w:firstLine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根据投标人对项目后续服务保障体系及服务响应</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lang w:val="zh-CN" w:eastAsia="zh-CN"/>
              </w:rPr>
              <w:t>。</w:t>
            </w:r>
          </w:p>
          <w:p>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CN" w:eastAsia="zh-CN"/>
              </w:rPr>
              <w:t>服务保障体系</w:t>
            </w:r>
            <w:r>
              <w:rPr>
                <w:rFonts w:hint="eastAsia" w:ascii="仿宋" w:hAnsi="仿宋" w:eastAsia="仿宋" w:cs="仿宋"/>
                <w:color w:val="auto"/>
                <w:sz w:val="24"/>
                <w:szCs w:val="24"/>
                <w:highlight w:val="none"/>
                <w:lang w:val="en-US" w:eastAsia="zh-CN"/>
              </w:rPr>
              <w:t>科学、完善、</w:t>
            </w:r>
            <w:r>
              <w:rPr>
                <w:rFonts w:hint="eastAsia" w:ascii="仿宋" w:hAnsi="仿宋" w:eastAsia="仿宋" w:cs="仿宋"/>
                <w:color w:val="auto"/>
                <w:sz w:val="24"/>
                <w:szCs w:val="24"/>
                <w:highlight w:val="none"/>
                <w:lang w:val="zh-CN" w:eastAsia="zh-CN"/>
              </w:rPr>
              <w:t>响应</w:t>
            </w:r>
            <w:r>
              <w:rPr>
                <w:rFonts w:hint="eastAsia" w:ascii="仿宋" w:hAnsi="仿宋" w:eastAsia="仿宋" w:cs="仿宋"/>
                <w:color w:val="auto"/>
                <w:sz w:val="24"/>
                <w:szCs w:val="24"/>
                <w:highlight w:val="none"/>
                <w:lang w:val="en-US" w:eastAsia="zh-CN"/>
              </w:rPr>
              <w:t>及时的得2（不含）-3（含）分；</w:t>
            </w:r>
          </w:p>
          <w:p>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zh-CN" w:eastAsia="zh-CN"/>
              </w:rPr>
              <w:t>服务保障体系</w:t>
            </w:r>
            <w:r>
              <w:rPr>
                <w:rFonts w:hint="eastAsia" w:ascii="仿宋" w:hAnsi="仿宋" w:eastAsia="仿宋" w:cs="仿宋"/>
                <w:color w:val="auto"/>
                <w:sz w:val="24"/>
                <w:szCs w:val="24"/>
                <w:highlight w:val="none"/>
                <w:lang w:val="en-US" w:eastAsia="zh-CN"/>
              </w:rPr>
              <w:t>基本科学、基本完善、</w:t>
            </w:r>
            <w:r>
              <w:rPr>
                <w:rFonts w:hint="eastAsia" w:ascii="仿宋" w:hAnsi="仿宋" w:eastAsia="仿宋" w:cs="仿宋"/>
                <w:color w:val="auto"/>
                <w:sz w:val="24"/>
                <w:szCs w:val="24"/>
                <w:highlight w:val="none"/>
                <w:lang w:val="zh-CN" w:eastAsia="zh-CN"/>
              </w:rPr>
              <w:t>响应</w:t>
            </w:r>
            <w:r>
              <w:rPr>
                <w:rFonts w:hint="eastAsia" w:ascii="仿宋" w:hAnsi="仿宋" w:eastAsia="仿宋" w:cs="仿宋"/>
                <w:color w:val="auto"/>
                <w:sz w:val="24"/>
                <w:szCs w:val="24"/>
                <w:highlight w:val="none"/>
                <w:lang w:val="en-US" w:eastAsia="zh-CN"/>
              </w:rPr>
              <w:t>基本及时的得1（不含）-2（含）分；</w:t>
            </w:r>
          </w:p>
          <w:p>
            <w:pPr>
              <w:pStyle w:val="2"/>
              <w:ind w:left="0" w:leftChars="0" w:firstLine="0" w:firstLineChars="0"/>
              <w:rPr>
                <w:rFonts w:hint="eastAsia"/>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zh-CN" w:eastAsia="zh-CN"/>
              </w:rPr>
              <w:t>服务保障体系</w:t>
            </w:r>
            <w:r>
              <w:rPr>
                <w:rFonts w:hint="eastAsia" w:ascii="仿宋" w:hAnsi="仿宋" w:eastAsia="仿宋" w:cs="仿宋"/>
                <w:color w:val="auto"/>
                <w:sz w:val="24"/>
                <w:szCs w:val="24"/>
                <w:highlight w:val="none"/>
                <w:lang w:val="en-US" w:eastAsia="zh-CN"/>
              </w:rPr>
              <w:t>不够科学、不够完善、</w:t>
            </w:r>
            <w:r>
              <w:rPr>
                <w:rFonts w:hint="eastAsia" w:ascii="仿宋" w:hAnsi="仿宋" w:eastAsia="仿宋" w:cs="仿宋"/>
                <w:color w:val="auto"/>
                <w:sz w:val="24"/>
                <w:szCs w:val="24"/>
                <w:highlight w:val="none"/>
                <w:lang w:val="zh-CN" w:eastAsia="zh-CN"/>
              </w:rPr>
              <w:t>响应</w:t>
            </w:r>
            <w:r>
              <w:rPr>
                <w:rFonts w:hint="eastAsia" w:ascii="仿宋" w:hAnsi="仿宋" w:eastAsia="仿宋" w:cs="仿宋"/>
                <w:color w:val="auto"/>
                <w:sz w:val="24"/>
                <w:szCs w:val="24"/>
                <w:highlight w:val="none"/>
                <w:lang w:val="en-US" w:eastAsia="zh-CN"/>
              </w:rPr>
              <w:t>不够及时的得0（含）-1（含）分。</w:t>
            </w:r>
          </w:p>
        </w:tc>
        <w:tc>
          <w:tcPr>
            <w:tcW w:w="563" w:type="pct"/>
            <w:noWrap w:val="0"/>
            <w:vAlign w:val="center"/>
          </w:tcPr>
          <w:p>
            <w:pPr>
              <w:widowControl w:val="0"/>
              <w:spacing w:line="24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0-3分</w:t>
            </w:r>
          </w:p>
        </w:tc>
      </w:tr>
    </w:tbl>
    <w:p>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10</w:t>
      </w:r>
      <w:r>
        <w:rPr>
          <w:rFonts w:hint="eastAsia" w:ascii="仿宋" w:hAnsi="仿宋" w:eastAsia="仿宋" w:cs="仿宋"/>
          <w:b/>
          <w:bCs/>
          <w:iCs/>
          <w:color w:val="auto"/>
          <w:sz w:val="24"/>
          <w:highlight w:val="none"/>
        </w:rPr>
        <w:t>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lang w:val="en-US" w:eastAsia="zh-CN"/>
        </w:rPr>
        <w:t>10</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r>
        <w:rPr>
          <w:rFonts w:hint="eastAsia" w:ascii="仿宋" w:hAnsi="仿宋" w:eastAsia="仿宋" w:cs="仿宋"/>
          <w:bCs/>
          <w:iCs/>
          <w:color w:val="auto"/>
          <w:sz w:val="24"/>
          <w:highlight w:val="none"/>
          <w:lang w:eastAsia="zh-CN"/>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Cs/>
          <w:iCs/>
          <w:color w:val="auto"/>
          <w:sz w:val="24"/>
          <w:highlight w:val="none"/>
          <w:lang w:val="en-US" w:eastAsia="zh-CN"/>
        </w:rPr>
        <w:t>1</w:t>
      </w:r>
      <w:r>
        <w:rPr>
          <w:rFonts w:hint="eastAsia" w:ascii="仿宋" w:hAnsi="仿宋" w:eastAsia="仿宋" w:cs="仿宋"/>
          <w:bCs/>
          <w:iCs/>
          <w:color w:val="auto"/>
          <w:sz w:val="24"/>
          <w:highlight w:val="none"/>
          <w:lang w:eastAsia="zh-CN"/>
        </w:rPr>
        <w:t>0%的扣除，用扣除后的价格参与评审。</w:t>
      </w: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color w:val="auto"/>
          <w:sz w:val="24"/>
          <w:highlight w:val="none"/>
          <w:lang w:eastAsia="zh-CN"/>
        </w:rPr>
      </w:pPr>
    </w:p>
    <w:p>
      <w:pPr>
        <w:keepNext w:val="0"/>
        <w:keepLines w:val="0"/>
        <w:pageBreakBefore w:val="0"/>
        <w:kinsoku/>
        <w:wordWrap/>
        <w:overflowPunct/>
        <w:topLinePunct w:val="0"/>
        <w:bidi w:val="0"/>
        <w:adjustRightInd w:val="0"/>
        <w:spacing w:line="440" w:lineRule="exact"/>
        <w:ind w:firstLine="480" w:firstLineChars="200"/>
        <w:textAlignment w:val="auto"/>
        <w:rPr>
          <w:rFonts w:hint="default" w:ascii="仿宋" w:hAnsi="仿宋" w:eastAsia="仿宋" w:cs="仿宋"/>
          <w:bCs/>
          <w:iCs/>
          <w:color w:val="auto"/>
          <w:sz w:val="24"/>
          <w:highlight w:val="none"/>
          <w:lang w:val="en-US"/>
        </w:rPr>
      </w:pPr>
      <w:r>
        <w:rPr>
          <w:rFonts w:hint="eastAsia" w:ascii="仿宋" w:hAnsi="仿宋" w:eastAsia="仿宋" w:cs="仿宋"/>
          <w:bCs/>
          <w:iCs/>
          <w:color w:val="auto"/>
          <w:sz w:val="24"/>
          <w:highlight w:val="none"/>
          <w:lang w:val="en-US" w:eastAsia="zh-CN"/>
        </w:rPr>
        <w:t xml:space="preserve">   </w:t>
      </w: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r>
        <w:rPr>
          <w:rFonts w:hint="eastAsia" w:ascii="仿宋" w:hAnsi="仿宋" w:eastAsia="仿宋" w:cs="仿宋"/>
          <w:b/>
          <w:color w:val="auto"/>
          <w:sz w:val="36"/>
          <w:szCs w:val="20"/>
          <w:highlight w:val="none"/>
        </w:rPr>
        <w:t xml:space="preserve"> </w:t>
      </w:r>
      <w:bookmarkEnd w:id="40"/>
      <w:r>
        <w:rPr>
          <w:rFonts w:hint="eastAsia" w:ascii="仿宋" w:hAnsi="仿宋" w:eastAsia="仿宋" w:cs="仿宋"/>
          <w:b/>
          <w:color w:val="auto"/>
          <w:sz w:val="36"/>
          <w:szCs w:val="20"/>
          <w:highlight w:val="none"/>
        </w:rPr>
        <w:t>投标文件及其附件格式</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pStyle w:val="27"/>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color w:val="auto"/>
          <w:sz w:val="24"/>
          <w:highlight w:val="none"/>
        </w:rPr>
      </w:pPr>
    </w:p>
    <w:p>
      <w:pPr>
        <w:pStyle w:val="28"/>
        <w:rPr>
          <w:rFonts w:hint="eastAsia"/>
          <w:color w:val="auto"/>
          <w:highlight w:val="none"/>
        </w:rPr>
      </w:pPr>
    </w:p>
    <w:p>
      <w:pPr>
        <w:rPr>
          <w:rFonts w:hint="eastAsia"/>
          <w:color w:val="auto"/>
          <w:highlight w:val="none"/>
        </w:rPr>
      </w:pPr>
    </w:p>
    <w:p>
      <w:pPr>
        <w:pStyle w:val="28"/>
        <w:rPr>
          <w:rFonts w:hint="eastAsia"/>
          <w:color w:val="auto"/>
          <w:highlight w:val="none"/>
        </w:rPr>
      </w:pPr>
    </w:p>
    <w:p>
      <w:pPr>
        <w:rPr>
          <w:rFonts w:hint="eastAsia"/>
          <w:color w:val="auto"/>
          <w:highlight w:val="none"/>
        </w:rPr>
      </w:pPr>
    </w:p>
    <w:p>
      <w:pPr>
        <w:pStyle w:val="28"/>
        <w:rPr>
          <w:rFonts w:hint="eastAsia"/>
          <w:color w:val="auto"/>
          <w:highlight w:val="none"/>
        </w:rPr>
      </w:pPr>
    </w:p>
    <w:p>
      <w:pPr>
        <w:rPr>
          <w:rFonts w:hint="eastAsia"/>
          <w:color w:val="auto"/>
          <w:highlight w:val="none"/>
        </w:rPr>
      </w:pPr>
    </w:p>
    <w:p>
      <w:pPr>
        <w:spacing w:line="360" w:lineRule="auto"/>
        <w:jc w:val="center"/>
        <w:outlineLvl w:val="0"/>
        <w:rPr>
          <w:rFonts w:hint="eastAsia" w:ascii="仿宋" w:hAnsi="仿宋" w:eastAsia="仿宋" w:cs="仿宋"/>
          <w:b/>
          <w:color w:val="auto"/>
          <w:kern w:val="0"/>
          <w:sz w:val="24"/>
          <w:highlight w:val="none"/>
        </w:rPr>
      </w:pPr>
    </w:p>
    <w:p>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36" w:lineRule="auto"/>
        <w:jc w:val="center"/>
        <w:outlineLvl w:val="0"/>
        <w:rPr>
          <w:rFonts w:ascii="仿宋" w:hAnsi="仿宋" w:eastAsia="仿宋" w:cs="仿宋"/>
          <w:b/>
          <w:color w:val="auto"/>
          <w:kern w:val="0"/>
          <w:sz w:val="24"/>
          <w:highlight w:val="none"/>
        </w:rPr>
      </w:pPr>
    </w:p>
    <w:p>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pStyle w:val="906"/>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pPr>
        <w:pStyle w:val="906"/>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pPr>
        <w:pStyle w:val="906"/>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pPr>
        <w:pStyle w:val="906"/>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pPr>
        <w:pStyle w:val="906"/>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pPr>
        <w:pStyle w:val="906"/>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both"/>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pStyle w:val="397"/>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pPr>
        <w:pStyle w:val="15"/>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pPr>
        <w:pStyle w:val="397"/>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pPr>
        <w:jc w:val="center"/>
        <w:rPr>
          <w:rFonts w:hint="eastAsia" w:ascii="仿宋" w:hAnsi="仿宋" w:eastAsia="仿宋" w:cs="仿宋"/>
          <w:b/>
          <w:color w:val="auto"/>
          <w:sz w:val="24"/>
          <w:highlight w:val="none"/>
        </w:rPr>
      </w:pP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600" w:lineRule="exact"/>
        <w:jc w:val="lef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60" w:lineRule="exact"/>
        <w:rPr>
          <w:rFonts w:hint="eastAsia" w:ascii="仿宋" w:hAnsi="仿宋" w:eastAsia="仿宋" w:cs="仿宋"/>
          <w:color w:val="auto"/>
          <w:sz w:val="24"/>
          <w:highlight w:val="none"/>
        </w:rPr>
      </w:pPr>
    </w:p>
    <w:p>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920" w:firstLineChars="2050"/>
        <w:jc w:val="left"/>
        <w:rPr>
          <w:rFonts w:hint="eastAsia" w:ascii="仿宋" w:hAnsi="仿宋" w:eastAsia="仿宋" w:cs="仿宋"/>
          <w:color w:val="auto"/>
          <w:sz w:val="24"/>
          <w:highlight w:val="none"/>
        </w:rPr>
      </w:pPr>
    </w:p>
    <w:p>
      <w:pPr>
        <w:spacing w:line="800" w:lineRule="exact"/>
        <w:rPr>
          <w:rFonts w:hint="eastAsia" w:ascii="仿宋" w:hAnsi="仿宋" w:eastAsia="仿宋" w:cs="仿宋"/>
          <w:b/>
          <w:color w:val="auto"/>
          <w:sz w:val="24"/>
          <w:highlight w:val="none"/>
        </w:rPr>
      </w:pPr>
    </w:p>
    <w:p>
      <w:pPr>
        <w:spacing w:line="800" w:lineRule="exact"/>
        <w:rPr>
          <w:rFonts w:hint="eastAsia" w:ascii="仿宋" w:hAnsi="仿宋" w:eastAsia="仿宋" w:cs="仿宋"/>
          <w:b/>
          <w:color w:val="auto"/>
          <w:sz w:val="24"/>
          <w:highlight w:val="none"/>
        </w:rPr>
      </w:pPr>
    </w:p>
    <w:p>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pPr>
        <w:jc w:val="center"/>
        <w:rPr>
          <w:rFonts w:hint="eastAsia" w:ascii="仿宋" w:hAnsi="仿宋" w:eastAsia="仿宋" w:cs="仿宋"/>
          <w:b/>
          <w:color w:val="auto"/>
          <w:sz w:val="24"/>
          <w:highlight w:val="none"/>
        </w:rPr>
      </w:pP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600" w:lineRule="exact"/>
        <w:jc w:val="lef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60" w:lineRule="exact"/>
        <w:rPr>
          <w:rFonts w:hint="eastAsia" w:ascii="仿宋" w:hAnsi="仿宋" w:eastAsia="仿宋" w:cs="仿宋"/>
          <w:color w:val="auto"/>
          <w:sz w:val="24"/>
          <w:highlight w:val="none"/>
        </w:rPr>
      </w:pPr>
    </w:p>
    <w:p>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60" w:lineRule="exact"/>
        <w:rPr>
          <w:rFonts w:hint="eastAsia" w:ascii="仿宋" w:hAnsi="仿宋" w:eastAsia="仿宋" w:cs="仿宋"/>
          <w:color w:val="auto"/>
          <w:sz w:val="24"/>
          <w:highlight w:val="none"/>
        </w:rPr>
      </w:pPr>
    </w:p>
    <w:p>
      <w:pPr>
        <w:spacing w:line="360" w:lineRule="exact"/>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spacing w:line="800" w:lineRule="exact"/>
        <w:rPr>
          <w:rFonts w:hint="eastAsia" w:ascii="仿宋" w:hAnsi="仿宋" w:eastAsia="仿宋" w:cs="仿宋"/>
          <w:b/>
          <w:color w:val="auto"/>
          <w:sz w:val="24"/>
          <w:highlight w:val="none"/>
        </w:rPr>
      </w:pP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pPr>
        <w:spacing w:line="800" w:lineRule="exact"/>
        <w:rPr>
          <w:rFonts w:hint="eastAsia" w:ascii="仿宋" w:hAnsi="仿宋" w:eastAsia="仿宋" w:cs="仿宋"/>
          <w:b/>
          <w:color w:val="auto"/>
          <w:sz w:val="24"/>
          <w:highlight w:val="none"/>
        </w:rPr>
      </w:pPr>
    </w:p>
    <w:p>
      <w:pPr>
        <w:spacing w:line="800" w:lineRule="exact"/>
        <w:rPr>
          <w:rFonts w:hint="eastAsia" w:ascii="仿宋" w:hAnsi="仿宋" w:eastAsia="仿宋" w:cs="仿宋"/>
          <w:b/>
          <w:color w:val="auto"/>
          <w:sz w:val="24"/>
          <w:highlight w:val="none"/>
        </w:rPr>
      </w:pPr>
    </w:p>
    <w:p>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pPr>
        <w:spacing w:line="440" w:lineRule="exact"/>
        <w:ind w:right="480"/>
        <w:rPr>
          <w:rFonts w:hint="eastAsia" w:ascii="仿宋" w:hAnsi="仿宋" w:eastAsia="仿宋" w:cs="仿宋"/>
          <w:color w:val="auto"/>
          <w:sz w:val="24"/>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8"/>
        <w:rPr>
          <w:rFonts w:hint="eastAsia"/>
          <w:color w:val="auto"/>
          <w:highlight w:val="none"/>
        </w:rPr>
      </w:pPr>
    </w:p>
    <w:p>
      <w:pPr>
        <w:rPr>
          <w:rFonts w:hint="eastAsia"/>
          <w:color w:val="auto"/>
          <w:highlight w:val="none"/>
        </w:rPr>
      </w:pPr>
    </w:p>
    <w:p>
      <w:pPr>
        <w:pStyle w:val="27"/>
        <w:rPr>
          <w:rFonts w:hint="eastAsia"/>
          <w:color w:val="auto"/>
          <w:highlight w:val="none"/>
        </w:rPr>
      </w:pPr>
    </w:p>
    <w:p>
      <w:pPr>
        <w:pStyle w:val="28"/>
        <w:rPr>
          <w:rFonts w:hint="eastAsia"/>
          <w:color w:val="auto"/>
          <w:highlight w:val="none"/>
        </w:rPr>
      </w:pPr>
    </w:p>
    <w:p>
      <w:pPr>
        <w:rPr>
          <w:rFonts w:hint="eastAsia"/>
          <w:color w:val="auto"/>
          <w:highlight w:val="none"/>
        </w:rPr>
      </w:pPr>
    </w:p>
    <w:p>
      <w:pPr>
        <w:pStyle w:val="27"/>
        <w:rPr>
          <w:rFonts w:hint="eastAsia"/>
          <w:color w:val="auto"/>
          <w:highlight w:val="none"/>
        </w:rPr>
      </w:pPr>
    </w:p>
    <w:p>
      <w:pPr>
        <w:pStyle w:val="28"/>
        <w:rPr>
          <w:rFonts w:hint="eastAsia"/>
          <w:color w:val="auto"/>
          <w:highlight w:val="none"/>
        </w:rPr>
      </w:pPr>
    </w:p>
    <w:p>
      <w:pPr>
        <w:rPr>
          <w:rFonts w:hint="eastAsia"/>
          <w:color w:val="auto"/>
          <w:highlight w:val="none"/>
        </w:rPr>
      </w:pPr>
    </w:p>
    <w:p>
      <w:pPr>
        <w:pStyle w:val="27"/>
        <w:rPr>
          <w:rFonts w:hint="eastAsia"/>
          <w:color w:val="auto"/>
          <w:highlight w:val="none"/>
        </w:rPr>
      </w:pPr>
    </w:p>
    <w:p>
      <w:pPr>
        <w:pStyle w:val="28"/>
        <w:rPr>
          <w:rFonts w:hint="eastAsia"/>
          <w:color w:val="auto"/>
          <w:highlight w:val="none"/>
        </w:rPr>
      </w:pPr>
    </w:p>
    <w:p>
      <w:pPr>
        <w:rPr>
          <w:rFonts w:hint="eastAsia"/>
          <w:color w:val="auto"/>
          <w:highlight w:val="none"/>
        </w:rPr>
      </w:pPr>
    </w:p>
    <w:p>
      <w:pPr>
        <w:pStyle w:val="27"/>
        <w:rPr>
          <w:rFonts w:hint="eastAsia"/>
          <w:color w:val="auto"/>
          <w:highlight w:val="none"/>
        </w:rPr>
      </w:pPr>
    </w:p>
    <w:p>
      <w:pPr>
        <w:pStyle w:val="28"/>
        <w:rPr>
          <w:rFonts w:hint="eastAsia"/>
          <w:color w:val="auto"/>
          <w:highlight w:val="none"/>
        </w:rPr>
      </w:pPr>
    </w:p>
    <w:p>
      <w:pPr>
        <w:rPr>
          <w:rFonts w:hint="eastAsia"/>
          <w:color w:val="auto"/>
          <w:highlight w:val="none"/>
        </w:rPr>
      </w:pPr>
    </w:p>
    <w:p>
      <w:pPr>
        <w:pStyle w:val="27"/>
        <w:rPr>
          <w:rFonts w:hint="eastAsia"/>
        </w:rPr>
      </w:pPr>
    </w:p>
    <w:p>
      <w:pPr>
        <w:jc w:val="both"/>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lang w:eastAsia="zh-CN"/>
        </w:rPr>
      </w:pPr>
    </w:p>
    <w:p>
      <w:pPr>
        <w:pStyle w:val="28"/>
        <w:rPr>
          <w:rFonts w:hint="eastAsia"/>
          <w:color w:val="auto"/>
          <w:highlight w:val="none"/>
          <w:lang w:eastAsia="zh-CN"/>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pStyle w:val="28"/>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both"/>
        <w:rPr>
          <w:rFonts w:hint="eastAsia" w:ascii="仿宋" w:hAnsi="仿宋" w:eastAsia="仿宋" w:cs="仿宋"/>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7" w:type="first"/>
          <w:footerReference r:id="rId9" w:type="first"/>
          <w:headerReference r:id="rId6" w:type="default"/>
          <w:footerReference r:id="rId8" w:type="default"/>
          <w:pgSz w:w="11906" w:h="16838"/>
          <w:pgMar w:top="1276" w:right="1648" w:bottom="1247" w:left="123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pPr w:leftFromText="180" w:rightFromText="180" w:vertAnchor="text" w:horzAnchor="page" w:tblpX="1551"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691"/>
        <w:gridCol w:w="3985"/>
        <w:gridCol w:w="1419"/>
        <w:gridCol w:w="1419"/>
        <w:gridCol w:w="1419"/>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19" w:type="dxa"/>
            <w:vAlign w:val="center"/>
          </w:tcPr>
          <w:p>
            <w:pPr>
              <w:jc w:val="center"/>
              <w:rPr>
                <w:rFonts w:hint="default" w:eastAsia="宋体"/>
                <w:vertAlign w:val="baseline"/>
                <w:lang w:val="en-US" w:eastAsia="zh-CN"/>
              </w:rPr>
            </w:pPr>
            <w:r>
              <w:rPr>
                <w:rFonts w:hint="eastAsia"/>
                <w:vertAlign w:val="baseline"/>
                <w:lang w:val="en-US" w:eastAsia="zh-CN"/>
              </w:rPr>
              <w:t>序号</w:t>
            </w:r>
          </w:p>
        </w:tc>
        <w:tc>
          <w:tcPr>
            <w:tcW w:w="1691" w:type="dxa"/>
            <w:vAlign w:val="center"/>
          </w:tcPr>
          <w:p>
            <w:pPr>
              <w:jc w:val="center"/>
              <w:rPr>
                <w:rFonts w:hint="eastAsia" w:eastAsia="宋体"/>
                <w:vertAlign w:val="baseline"/>
                <w:lang w:val="en-US" w:eastAsia="zh-CN"/>
              </w:rPr>
            </w:pPr>
            <w:r>
              <w:rPr>
                <w:rFonts w:hint="eastAsia"/>
                <w:vertAlign w:val="baseline"/>
                <w:lang w:val="en-US" w:eastAsia="zh-CN"/>
              </w:rPr>
              <w:t>名称</w:t>
            </w:r>
          </w:p>
        </w:tc>
        <w:tc>
          <w:tcPr>
            <w:tcW w:w="3985" w:type="dxa"/>
            <w:vAlign w:val="center"/>
          </w:tcPr>
          <w:p>
            <w:pPr>
              <w:jc w:val="center"/>
              <w:rPr>
                <w:rFonts w:hint="eastAsia" w:eastAsia="宋体"/>
                <w:vertAlign w:val="baseline"/>
                <w:lang w:val="en-US" w:eastAsia="zh-CN"/>
              </w:rPr>
            </w:pPr>
            <w:r>
              <w:rPr>
                <w:rFonts w:hint="eastAsia"/>
                <w:vertAlign w:val="baseline"/>
                <w:lang w:val="en-US" w:eastAsia="zh-CN"/>
              </w:rPr>
              <w:t>服务内容</w:t>
            </w:r>
          </w:p>
        </w:tc>
        <w:tc>
          <w:tcPr>
            <w:tcW w:w="1419" w:type="dxa"/>
            <w:vAlign w:val="center"/>
          </w:tcPr>
          <w:p>
            <w:pPr>
              <w:jc w:val="center"/>
              <w:rPr>
                <w:rFonts w:hint="eastAsia" w:eastAsia="宋体"/>
                <w:vertAlign w:val="baseline"/>
                <w:lang w:val="en-US" w:eastAsia="zh-CN"/>
              </w:rPr>
            </w:pPr>
            <w:r>
              <w:rPr>
                <w:rFonts w:hint="eastAsia"/>
                <w:vertAlign w:val="baseline"/>
                <w:lang w:val="en-US" w:eastAsia="zh-CN"/>
              </w:rPr>
              <w:t>数量</w:t>
            </w:r>
          </w:p>
        </w:tc>
        <w:tc>
          <w:tcPr>
            <w:tcW w:w="1419" w:type="dxa"/>
            <w:vAlign w:val="center"/>
          </w:tcPr>
          <w:p>
            <w:pPr>
              <w:jc w:val="center"/>
              <w:rPr>
                <w:rFonts w:hint="default" w:eastAsia="宋体"/>
                <w:vertAlign w:val="baseline"/>
                <w:lang w:val="en-US" w:eastAsia="zh-CN"/>
              </w:rPr>
            </w:pPr>
            <w:r>
              <w:rPr>
                <w:rFonts w:hint="eastAsia"/>
                <w:vertAlign w:val="baseline"/>
                <w:lang w:val="en-US" w:eastAsia="zh-CN"/>
              </w:rPr>
              <w:t>单价（元）</w:t>
            </w:r>
          </w:p>
        </w:tc>
        <w:tc>
          <w:tcPr>
            <w:tcW w:w="1419" w:type="dxa"/>
            <w:vAlign w:val="center"/>
          </w:tcPr>
          <w:p>
            <w:pPr>
              <w:jc w:val="center"/>
              <w:rPr>
                <w:rFonts w:hint="default" w:eastAsia="宋体"/>
                <w:vertAlign w:val="baseline"/>
                <w:lang w:val="en-US" w:eastAsia="zh-CN"/>
              </w:rPr>
            </w:pPr>
            <w:r>
              <w:rPr>
                <w:rFonts w:hint="eastAsia"/>
                <w:vertAlign w:val="baseline"/>
                <w:lang w:val="en-US" w:eastAsia="zh-CN"/>
              </w:rPr>
              <w:t>工期</w:t>
            </w:r>
          </w:p>
        </w:tc>
        <w:tc>
          <w:tcPr>
            <w:tcW w:w="1421" w:type="dxa"/>
            <w:vAlign w:val="center"/>
          </w:tcPr>
          <w:p>
            <w:pPr>
              <w:jc w:val="center"/>
              <w:rPr>
                <w:rFonts w:hint="default" w:eastAsia="宋体"/>
                <w:vertAlign w:val="baseline"/>
                <w:lang w:val="en-US" w:eastAsia="zh-CN"/>
              </w:rPr>
            </w:pPr>
            <w:r>
              <w:rPr>
                <w:rFonts w:hint="eastAsia"/>
                <w:vertAlign w:val="baseline"/>
                <w:lang w:val="en-US" w:eastAsia="zh-CN"/>
              </w:rPr>
              <w:t>小计（元）</w:t>
            </w:r>
          </w:p>
        </w:tc>
        <w:tc>
          <w:tcPr>
            <w:tcW w:w="1421" w:type="dxa"/>
            <w:vAlign w:val="center"/>
          </w:tcPr>
          <w:p>
            <w:pPr>
              <w:jc w:val="center"/>
              <w:rPr>
                <w:rFonts w:hint="default"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pPr>
              <w:jc w:val="center"/>
              <w:rPr>
                <w:rFonts w:hint="eastAsia" w:eastAsia="宋体"/>
                <w:vertAlign w:val="baseline"/>
                <w:lang w:val="en-US" w:eastAsia="zh-CN"/>
              </w:rPr>
            </w:pPr>
            <w:r>
              <w:rPr>
                <w:rFonts w:hint="eastAsia"/>
                <w:vertAlign w:val="baseline"/>
                <w:lang w:val="en-US" w:eastAsia="zh-CN"/>
              </w:rPr>
              <w:t>1</w:t>
            </w:r>
          </w:p>
        </w:tc>
        <w:tc>
          <w:tcPr>
            <w:tcW w:w="1691" w:type="dxa"/>
          </w:tcPr>
          <w:p>
            <w:pPr>
              <w:jc w:val="center"/>
              <w:rPr>
                <w:rFonts w:hint="default" w:eastAsia="宋体"/>
                <w:vertAlign w:val="baseline"/>
                <w:lang w:val="en-US" w:eastAsia="zh-CN"/>
              </w:rPr>
            </w:pPr>
            <w:r>
              <w:rPr>
                <w:rFonts w:hint="eastAsia"/>
                <w:vertAlign w:val="baseline"/>
                <w:lang w:val="en-US" w:eastAsia="zh-CN"/>
              </w:rPr>
              <w:t>XX</w:t>
            </w:r>
          </w:p>
        </w:tc>
        <w:tc>
          <w:tcPr>
            <w:tcW w:w="3985"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21" w:type="dxa"/>
          </w:tcPr>
          <w:p>
            <w:pPr>
              <w:jc w:val="center"/>
              <w:rPr>
                <w:vertAlign w:val="baseline"/>
              </w:rPr>
            </w:pPr>
          </w:p>
        </w:tc>
        <w:tc>
          <w:tcPr>
            <w:tcW w:w="14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pPr>
              <w:jc w:val="center"/>
              <w:rPr>
                <w:rFonts w:hint="eastAsia" w:eastAsia="宋体"/>
                <w:vertAlign w:val="baseline"/>
                <w:lang w:val="en-US" w:eastAsia="zh-CN"/>
              </w:rPr>
            </w:pPr>
            <w:r>
              <w:rPr>
                <w:rFonts w:hint="eastAsia"/>
                <w:vertAlign w:val="baseline"/>
                <w:lang w:val="en-US" w:eastAsia="zh-CN"/>
              </w:rPr>
              <w:t>2</w:t>
            </w:r>
          </w:p>
        </w:tc>
        <w:tc>
          <w:tcPr>
            <w:tcW w:w="1691" w:type="dxa"/>
          </w:tcPr>
          <w:p>
            <w:pPr>
              <w:jc w:val="center"/>
              <w:rPr>
                <w:rFonts w:hint="default" w:eastAsia="宋体"/>
                <w:vertAlign w:val="baseline"/>
                <w:lang w:val="en-US" w:eastAsia="zh-CN"/>
              </w:rPr>
            </w:pPr>
            <w:r>
              <w:rPr>
                <w:rFonts w:hint="eastAsia"/>
                <w:vertAlign w:val="baseline"/>
                <w:lang w:val="en-US" w:eastAsia="zh-CN"/>
              </w:rPr>
              <w:t>XX</w:t>
            </w:r>
          </w:p>
        </w:tc>
        <w:tc>
          <w:tcPr>
            <w:tcW w:w="3985"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21" w:type="dxa"/>
          </w:tcPr>
          <w:p>
            <w:pPr>
              <w:jc w:val="center"/>
              <w:rPr>
                <w:vertAlign w:val="baseline"/>
              </w:rPr>
            </w:pPr>
          </w:p>
        </w:tc>
        <w:tc>
          <w:tcPr>
            <w:tcW w:w="14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pPr>
              <w:jc w:val="center"/>
              <w:rPr>
                <w:rFonts w:hint="default" w:eastAsia="宋体"/>
                <w:vertAlign w:val="baseline"/>
                <w:lang w:val="en-US" w:eastAsia="zh-CN"/>
              </w:rPr>
            </w:pPr>
            <w:r>
              <w:rPr>
                <w:rFonts w:hint="eastAsia"/>
                <w:vertAlign w:val="baseline"/>
                <w:lang w:val="en-US" w:eastAsia="zh-CN"/>
              </w:rPr>
              <w:t>...</w:t>
            </w:r>
          </w:p>
        </w:tc>
        <w:tc>
          <w:tcPr>
            <w:tcW w:w="1691" w:type="dxa"/>
          </w:tcPr>
          <w:p>
            <w:pPr>
              <w:jc w:val="center"/>
              <w:rPr>
                <w:vertAlign w:val="baseline"/>
              </w:rPr>
            </w:pPr>
          </w:p>
        </w:tc>
        <w:tc>
          <w:tcPr>
            <w:tcW w:w="3985"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21" w:type="dxa"/>
          </w:tcPr>
          <w:p>
            <w:pPr>
              <w:jc w:val="center"/>
              <w:rPr>
                <w:vertAlign w:val="baseline"/>
              </w:rPr>
            </w:pPr>
          </w:p>
        </w:tc>
        <w:tc>
          <w:tcPr>
            <w:tcW w:w="14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pPr>
              <w:jc w:val="center"/>
              <w:rPr>
                <w:rFonts w:hint="default"/>
                <w:vertAlign w:val="baseline"/>
                <w:lang w:val="en-US" w:eastAsia="zh-CN"/>
              </w:rPr>
            </w:pPr>
            <w:r>
              <w:rPr>
                <w:rFonts w:hint="eastAsia"/>
                <w:vertAlign w:val="baseline"/>
                <w:lang w:val="en-US" w:eastAsia="zh-CN"/>
              </w:rPr>
              <w:t>...</w:t>
            </w:r>
          </w:p>
        </w:tc>
        <w:tc>
          <w:tcPr>
            <w:tcW w:w="1691" w:type="dxa"/>
          </w:tcPr>
          <w:p>
            <w:pPr>
              <w:jc w:val="center"/>
              <w:rPr>
                <w:vertAlign w:val="baseline"/>
              </w:rPr>
            </w:pPr>
          </w:p>
        </w:tc>
        <w:tc>
          <w:tcPr>
            <w:tcW w:w="3985"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21" w:type="dxa"/>
          </w:tcPr>
          <w:p>
            <w:pPr>
              <w:jc w:val="center"/>
              <w:rPr>
                <w:vertAlign w:val="baseline"/>
              </w:rPr>
            </w:pPr>
          </w:p>
        </w:tc>
        <w:tc>
          <w:tcPr>
            <w:tcW w:w="14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19" w:type="dxa"/>
          </w:tcPr>
          <w:p>
            <w:pPr>
              <w:jc w:val="center"/>
              <w:rPr>
                <w:rFonts w:hint="default"/>
                <w:vertAlign w:val="baseline"/>
                <w:lang w:val="en-US" w:eastAsia="zh-CN"/>
              </w:rPr>
            </w:pPr>
            <w:r>
              <w:rPr>
                <w:rFonts w:hint="eastAsia"/>
                <w:vertAlign w:val="baseline"/>
                <w:lang w:val="en-US" w:eastAsia="zh-CN"/>
              </w:rPr>
              <w:t>...</w:t>
            </w:r>
          </w:p>
        </w:tc>
        <w:tc>
          <w:tcPr>
            <w:tcW w:w="1691" w:type="dxa"/>
          </w:tcPr>
          <w:p>
            <w:pPr>
              <w:jc w:val="center"/>
              <w:rPr>
                <w:vertAlign w:val="baseline"/>
              </w:rPr>
            </w:pPr>
          </w:p>
        </w:tc>
        <w:tc>
          <w:tcPr>
            <w:tcW w:w="3985"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19" w:type="dxa"/>
          </w:tcPr>
          <w:p>
            <w:pPr>
              <w:jc w:val="center"/>
              <w:rPr>
                <w:vertAlign w:val="baseline"/>
              </w:rPr>
            </w:pPr>
          </w:p>
        </w:tc>
        <w:tc>
          <w:tcPr>
            <w:tcW w:w="1421" w:type="dxa"/>
          </w:tcPr>
          <w:p>
            <w:pPr>
              <w:jc w:val="center"/>
              <w:rPr>
                <w:vertAlign w:val="baseline"/>
              </w:rPr>
            </w:pPr>
          </w:p>
        </w:tc>
        <w:tc>
          <w:tcPr>
            <w:tcW w:w="1421"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194" w:type="dxa"/>
            <w:gridSpan w:val="8"/>
          </w:tcPr>
          <w:p>
            <w:pPr>
              <w:rPr>
                <w:vertAlign w:val="baseline"/>
              </w:rPr>
            </w:pPr>
            <w:r>
              <w:rPr>
                <w:rFonts w:hint="eastAsia"/>
                <w:vertAlign w:val="baseline"/>
                <w:lang w:val="en-US" w:eastAsia="zh-CN"/>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194" w:type="dxa"/>
            <w:gridSpan w:val="8"/>
          </w:tcPr>
          <w:p>
            <w:pPr>
              <w:rPr>
                <w:rFonts w:hint="default"/>
                <w:vertAlign w:val="baseline"/>
                <w:lang w:val="en-US" w:eastAsia="zh-CN"/>
              </w:rPr>
            </w:pPr>
            <w:r>
              <w:rPr>
                <w:rFonts w:hint="eastAsia"/>
                <w:vertAlign w:val="baseline"/>
                <w:lang w:val="en-US" w:eastAsia="zh-CN"/>
              </w:rPr>
              <w:t>投标报价大写：</w:t>
            </w: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jc w:val="left"/>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法定代表人或其授权代表(签字或盖章)：</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投标人(电子签章)：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color w:val="auto"/>
          <w:kern w:val="0"/>
          <w:sz w:val="24"/>
          <w:szCs w:val="22"/>
          <w:highlight w:val="none"/>
        </w:rPr>
      </w:pPr>
      <w:r>
        <w:rPr>
          <w:rFonts w:hint="eastAsia" w:ascii="仿宋" w:hAnsi="仿宋" w:eastAsia="仿宋" w:cs="仿宋"/>
          <w:color w:val="auto"/>
          <w:kern w:val="0"/>
          <w:sz w:val="24"/>
          <w:szCs w:val="22"/>
          <w:highlight w:val="none"/>
        </w:rPr>
        <w:t xml:space="preserve">日期：  </w:t>
      </w:r>
    </w:p>
    <w:p>
      <w:pPr>
        <w:spacing w:line="360" w:lineRule="auto"/>
        <w:ind w:firstLine="482" w:firstLineChars="200"/>
        <w:rPr>
          <w:rFonts w:hint="eastAsia" w:ascii="仿宋" w:hAnsi="仿宋" w:eastAsia="仿宋" w:cs="仿宋"/>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color w:val="auto"/>
          <w:highlight w:val="none"/>
        </w:rPr>
      </w:pPr>
    </w:p>
    <w:p>
      <w:pPr>
        <w:spacing w:line="360" w:lineRule="auto"/>
        <w:jc w:val="left"/>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color w:val="auto"/>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pStyle w:val="28"/>
        <w:rPr>
          <w:rFonts w:hint="eastAsia"/>
          <w:color w:val="auto"/>
          <w:highlight w:val="none"/>
        </w:rPr>
      </w:pPr>
    </w:p>
    <w:p>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 w:name="_Hlk101131882"/>
      <w:r>
        <w:rPr>
          <w:rFonts w:hint="eastAsia" w:ascii="仿宋" w:hAnsi="仿宋" w:eastAsia="仿宋" w:cs="仿宋"/>
          <w:color w:val="auto"/>
          <w:kern w:val="0"/>
          <w:sz w:val="24"/>
          <w:highlight w:val="none"/>
          <w:u w:val="single"/>
        </w:rPr>
        <w:t>联合体成员X,……</w:t>
      </w:r>
      <w:bookmarkEnd w:id="4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
      <w:r>
        <w:rPr>
          <w:rFonts w:hint="eastAsia" w:ascii="仿宋" w:hAnsi="仿宋" w:eastAsia="仿宋" w:cs="仿宋"/>
          <w:b/>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3"/>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2"/>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2"/>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2"/>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2"/>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2"/>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ascii="仿宋" w:hAnsi="仿宋" w:eastAsia="仿宋" w:cs="仿宋"/>
          <w:b/>
          <w:color w:val="auto"/>
          <w:spacing w:val="6"/>
          <w:sz w:val="32"/>
          <w:szCs w:val="32"/>
          <w:highlight w:val="none"/>
        </w:rPr>
      </w:pPr>
    </w:p>
    <w:p>
      <w:pPr>
        <w:pStyle w:val="82"/>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81"/>
        <w:rPr>
          <w:rFonts w:hint="eastAsia"/>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8"/>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8"/>
        <w:rPr>
          <w:rFonts w:hint="eastAsia"/>
          <w:color w:val="auto"/>
          <w:highlight w:val="none"/>
        </w:rPr>
      </w:pPr>
    </w:p>
    <w:p>
      <w:pPr>
        <w:rPr>
          <w:rFonts w:hint="eastAsia"/>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4" w:name="OLE_LINK13"/>
      <w:bookmarkStart w:id="45" w:name="OLE_LINK14"/>
      <w:r>
        <w:rPr>
          <w:rFonts w:hint="eastAsia" w:ascii="仿宋" w:hAnsi="仿宋" w:eastAsia="仿宋" w:cs="仿宋"/>
          <w:b/>
          <w:color w:val="auto"/>
          <w:spacing w:val="6"/>
          <w:sz w:val="32"/>
          <w:szCs w:val="32"/>
          <w:highlight w:val="none"/>
        </w:rPr>
        <w:t>残疾人福利性单位声明函</w:t>
      </w:r>
    </w:p>
    <w:bookmarkEnd w:id="44"/>
    <w:bookmarkEnd w:id="45"/>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27"/>
        <w:rPr>
          <w:rFonts w:hint="eastAsia" w:ascii="仿宋" w:hAnsi="仿宋" w:eastAsia="仿宋" w:cs="仿宋"/>
          <w:color w:val="auto"/>
          <w:highlight w:val="none"/>
        </w:rPr>
      </w:pPr>
    </w:p>
    <w:p>
      <w:pPr>
        <w:pStyle w:val="28"/>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8"/>
        <w:rPr>
          <w:rFonts w:hint="eastAsia"/>
          <w:color w:val="auto"/>
          <w:highlight w:val="none"/>
        </w:rPr>
      </w:pPr>
    </w:p>
    <w:p>
      <w:pPr>
        <w:pStyle w:val="28"/>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8"/>
        <w:rPr>
          <w:rFonts w:hint="eastAsia"/>
          <w:color w:val="auto"/>
          <w:highlight w:val="none"/>
        </w:rPr>
      </w:pP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pageBreakBefore/>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pPr>
        <w:widowControl/>
        <w:shd w:val="clear" w:color="auto"/>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pPr>
        <w:widowControl/>
        <w:shd w:val="clear" w:color="auto"/>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pPr>
        <w:pStyle w:val="27"/>
        <w:shd w:val="clear"/>
        <w:rPr>
          <w:rFonts w:hint="eastAsia"/>
          <w:color w:val="auto"/>
          <w:highlight w:val="none"/>
          <w:lang w:val="en-US" w:eastAsia="zh-CN"/>
        </w:rPr>
      </w:pPr>
    </w:p>
    <w:p>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pPr>
        <w:widowControl/>
        <w:shd w:val="clear"/>
        <w:jc w:val="left"/>
        <w:rPr>
          <w:rFonts w:hint="eastAsia" w:ascii="仿宋" w:hAnsi="仿宋" w:eastAsia="仿宋" w:cs="仿宋"/>
          <w:color w:val="auto"/>
          <w:kern w:val="0"/>
          <w:sz w:val="24"/>
          <w:highlight w:val="none"/>
        </w:rPr>
      </w:pPr>
    </w:p>
    <w:p>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3"/>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hd w:val="clear"/>
              <w:jc w:val="left"/>
              <w:rPr>
                <w:rFonts w:hint="eastAsia" w:ascii="仿宋" w:hAnsi="仿宋" w:eastAsia="仿宋" w:cs="仿宋"/>
                <w:color w:val="auto"/>
                <w:kern w:val="0"/>
                <w:sz w:val="24"/>
                <w:highlight w:val="none"/>
              </w:rPr>
            </w:pP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hd w:val="clea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pPr>
        <w:widowControl/>
        <w:shd w:val="clear"/>
        <w:jc w:val="left"/>
        <w:rPr>
          <w:rFonts w:hint="eastAsia" w:ascii="仿宋" w:hAnsi="仿宋" w:eastAsia="仿宋" w:cs="仿宋"/>
          <w:color w:val="auto"/>
          <w:kern w:val="0"/>
          <w:sz w:val="24"/>
          <w:highlight w:val="none"/>
        </w:rPr>
      </w:pPr>
    </w:p>
    <w:p>
      <w:pPr>
        <w:widowControl/>
        <w:shd w:val="clear"/>
        <w:jc w:val="left"/>
        <w:rPr>
          <w:rFonts w:hint="eastAsia" w:ascii="仿宋" w:hAnsi="仿宋" w:eastAsia="仿宋" w:cs="仿宋"/>
          <w:color w:val="auto"/>
          <w:kern w:val="0"/>
          <w:sz w:val="24"/>
          <w:highlight w:val="none"/>
        </w:rPr>
      </w:pPr>
    </w:p>
    <w:p>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shd w:val="clear"/>
        <w:jc w:val="left"/>
        <w:rPr>
          <w:rFonts w:hint="eastAsia" w:ascii="仿宋" w:hAnsi="仿宋" w:eastAsia="仿宋" w:cs="仿宋"/>
          <w:color w:val="auto"/>
          <w:kern w:val="0"/>
          <w:sz w:val="18"/>
          <w:szCs w:val="18"/>
          <w:highlight w:val="none"/>
        </w:rPr>
      </w:pPr>
    </w:p>
    <w:p>
      <w:pPr>
        <w:widowControl/>
        <w:shd w:val="clear"/>
        <w:jc w:val="left"/>
        <w:rPr>
          <w:rFonts w:hint="eastAsia" w:ascii="仿宋" w:hAnsi="仿宋" w:eastAsia="仿宋" w:cs="仿宋"/>
          <w:color w:val="auto"/>
          <w:kern w:val="0"/>
          <w:sz w:val="18"/>
          <w:szCs w:val="18"/>
          <w:highlight w:val="none"/>
        </w:rPr>
      </w:pPr>
    </w:p>
    <w:p>
      <w:pPr>
        <w:widowControl/>
        <w:shd w:val="clear"/>
        <w:jc w:val="left"/>
        <w:rPr>
          <w:rFonts w:hint="eastAsia" w:ascii="仿宋" w:hAnsi="仿宋" w:eastAsia="仿宋" w:cs="仿宋"/>
          <w:color w:val="auto"/>
          <w:kern w:val="0"/>
          <w:sz w:val="18"/>
          <w:szCs w:val="18"/>
          <w:highlight w:val="none"/>
        </w:rPr>
      </w:pPr>
    </w:p>
    <w:p>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pPr>
        <w:widowControl/>
        <w:shd w:val="clear" w:color="auto"/>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pPr>
        <w:widowControl/>
        <w:shd w:val="clear" w:color="auto"/>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pPr>
        <w:widowControl/>
        <w:shd w:val="clear" w:color="auto"/>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pPr>
        <w:widowControl/>
        <w:shd w:val="clear" w:color="auto"/>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3"/>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pPr>
              <w:widowControl/>
              <w:shd w:val="clea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仿宋" w:hAnsi="仿宋" w:eastAsia="仿宋" w:cs="仿宋"/>
                <w:color w:val="auto"/>
                <w:kern w:val="0"/>
                <w:sz w:val="24"/>
                <w:highlight w:val="none"/>
              </w:rPr>
            </w:pPr>
          </w:p>
        </w:tc>
        <w:tc>
          <w:tcPr>
            <w:tcW w:w="1025" w:type="dxa"/>
            <w:vMerge w:val="continue"/>
            <w:vAlign w:val="center"/>
          </w:tcPr>
          <w:p>
            <w:pPr>
              <w:widowControl/>
              <w:jc w:val="left"/>
              <w:rPr>
                <w:rFonts w:hint="eastAsia" w:ascii="仿宋" w:hAnsi="仿宋" w:eastAsia="仿宋" w:cs="仿宋"/>
                <w:color w:val="auto"/>
                <w:kern w:val="0"/>
                <w:sz w:val="24"/>
                <w:highlight w:val="none"/>
              </w:rPr>
            </w:pPr>
          </w:p>
        </w:tc>
        <w:tc>
          <w:tcPr>
            <w:tcW w:w="2836" w:type="dxa"/>
            <w:vMerge w:val="continue"/>
            <w:vAlign w:val="center"/>
          </w:tcPr>
          <w:p>
            <w:pPr>
              <w:widowControl/>
              <w:jc w:val="left"/>
              <w:rPr>
                <w:rFonts w:hint="eastAsia" w:ascii="仿宋" w:hAnsi="仿宋" w:eastAsia="仿宋" w:cs="仿宋"/>
                <w:color w:val="auto"/>
                <w:kern w:val="0"/>
                <w:sz w:val="24"/>
                <w:highlight w:val="none"/>
              </w:rPr>
            </w:pPr>
          </w:p>
        </w:tc>
        <w:tc>
          <w:tcPr>
            <w:tcW w:w="60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pPr>
        <w:rPr>
          <w:rFonts w:hint="eastAsia" w:ascii="仿宋" w:hAnsi="仿宋" w:eastAsia="仿宋" w:cs="仿宋"/>
          <w:color w:val="auto"/>
          <w:sz w:val="24"/>
          <w:highlight w:val="none"/>
        </w:rPr>
      </w:pPr>
    </w:p>
    <w:p>
      <w:pPr>
        <w:ind w:firstLine="420" w:firstLineChars="200"/>
        <w:rPr>
          <w:rFonts w:hint="eastAsia" w:ascii="仿宋" w:hAnsi="仿宋" w:eastAsia="仿宋" w:cs="仿宋"/>
          <w:color w:val="auto"/>
          <w:highlight w:val="none"/>
        </w:rPr>
      </w:pPr>
    </w:p>
    <w:p>
      <w:pPr>
        <w:spacing w:line="360" w:lineRule="auto"/>
        <w:ind w:right="420"/>
        <w:rPr>
          <w:rFonts w:hint="eastAsia" w:ascii="仿宋" w:hAnsi="仿宋" w:eastAsia="仿宋" w:cs="仿宋"/>
          <w:color w:val="auto"/>
          <w:highlight w:val="none"/>
        </w:rPr>
      </w:pPr>
    </w:p>
    <w:p>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left"/>
      <w:rPr>
        <w:rFonts w:ascii="仿宋_GB2312" w:eastAsia="仿宋_GB2312"/>
        <w:b w:val="0"/>
        <w:i/>
        <w:sz w:val="18"/>
        <w:u w:val="single"/>
        <w:lang w:val="en-US"/>
      </w:rPr>
    </w:pPr>
  </w:p>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A1NWIyYTFjMTU5N2ZhN2ViY2UyMjAzZTI3MzUifQ=="/>
  </w:docVars>
  <w:rsids>
    <w:rsidRoot w:val="00172A27"/>
    <w:rsid w:val="00A24B21"/>
    <w:rsid w:val="00B34AC1"/>
    <w:rsid w:val="01731936"/>
    <w:rsid w:val="01AA140E"/>
    <w:rsid w:val="020411DA"/>
    <w:rsid w:val="026C6564"/>
    <w:rsid w:val="032F4898"/>
    <w:rsid w:val="035919AC"/>
    <w:rsid w:val="03A43768"/>
    <w:rsid w:val="03BA052D"/>
    <w:rsid w:val="03C4784F"/>
    <w:rsid w:val="04B0621C"/>
    <w:rsid w:val="04F82B4C"/>
    <w:rsid w:val="05D41D45"/>
    <w:rsid w:val="05F812DD"/>
    <w:rsid w:val="066C57D4"/>
    <w:rsid w:val="0681314D"/>
    <w:rsid w:val="06A20FC1"/>
    <w:rsid w:val="06B21FAE"/>
    <w:rsid w:val="06E85D06"/>
    <w:rsid w:val="06ED2E0B"/>
    <w:rsid w:val="07140461"/>
    <w:rsid w:val="07470F48"/>
    <w:rsid w:val="07645999"/>
    <w:rsid w:val="077C1E70"/>
    <w:rsid w:val="079554EC"/>
    <w:rsid w:val="079E79DA"/>
    <w:rsid w:val="07A22AF8"/>
    <w:rsid w:val="082320BB"/>
    <w:rsid w:val="084367D4"/>
    <w:rsid w:val="08471E20"/>
    <w:rsid w:val="086D1317"/>
    <w:rsid w:val="0A183EA3"/>
    <w:rsid w:val="0A3875B3"/>
    <w:rsid w:val="0A950E17"/>
    <w:rsid w:val="0B666A61"/>
    <w:rsid w:val="0B8C3CA5"/>
    <w:rsid w:val="0BE1258C"/>
    <w:rsid w:val="0D2B45C9"/>
    <w:rsid w:val="0D411534"/>
    <w:rsid w:val="0E8B47E0"/>
    <w:rsid w:val="0F096B8F"/>
    <w:rsid w:val="0F3A02DE"/>
    <w:rsid w:val="0F63063F"/>
    <w:rsid w:val="0F6610B5"/>
    <w:rsid w:val="0FF64531"/>
    <w:rsid w:val="10090303"/>
    <w:rsid w:val="10305890"/>
    <w:rsid w:val="10B8333F"/>
    <w:rsid w:val="112B6A46"/>
    <w:rsid w:val="11E608FC"/>
    <w:rsid w:val="12274A70"/>
    <w:rsid w:val="13F17DA0"/>
    <w:rsid w:val="13F90752"/>
    <w:rsid w:val="142B46CE"/>
    <w:rsid w:val="158E3DE7"/>
    <w:rsid w:val="16951897"/>
    <w:rsid w:val="16BA4105"/>
    <w:rsid w:val="17070FBA"/>
    <w:rsid w:val="18E60774"/>
    <w:rsid w:val="193471C9"/>
    <w:rsid w:val="19726F19"/>
    <w:rsid w:val="19803DDB"/>
    <w:rsid w:val="199110CA"/>
    <w:rsid w:val="19BD7FA9"/>
    <w:rsid w:val="19EA1FB5"/>
    <w:rsid w:val="1A4833E8"/>
    <w:rsid w:val="1A6C3968"/>
    <w:rsid w:val="1AE057F5"/>
    <w:rsid w:val="1CDC1E6D"/>
    <w:rsid w:val="1D1C789A"/>
    <w:rsid w:val="1D2F1C3B"/>
    <w:rsid w:val="1D940DB0"/>
    <w:rsid w:val="1E9D3052"/>
    <w:rsid w:val="1FE230BF"/>
    <w:rsid w:val="20A41B57"/>
    <w:rsid w:val="20FB5A46"/>
    <w:rsid w:val="21617F9F"/>
    <w:rsid w:val="21DF308D"/>
    <w:rsid w:val="22D24D9C"/>
    <w:rsid w:val="22F120F0"/>
    <w:rsid w:val="24244D9A"/>
    <w:rsid w:val="24432E15"/>
    <w:rsid w:val="24FD1D8D"/>
    <w:rsid w:val="252738F3"/>
    <w:rsid w:val="271565FB"/>
    <w:rsid w:val="27551F4C"/>
    <w:rsid w:val="27895E51"/>
    <w:rsid w:val="2798746D"/>
    <w:rsid w:val="27A31E9C"/>
    <w:rsid w:val="27E45486"/>
    <w:rsid w:val="28911331"/>
    <w:rsid w:val="294D7EAC"/>
    <w:rsid w:val="2A587E6A"/>
    <w:rsid w:val="2A6655E6"/>
    <w:rsid w:val="2BB745DB"/>
    <w:rsid w:val="2BFA48EE"/>
    <w:rsid w:val="2C054218"/>
    <w:rsid w:val="2D432EB5"/>
    <w:rsid w:val="2DCE3898"/>
    <w:rsid w:val="2E7342CD"/>
    <w:rsid w:val="2F051FC5"/>
    <w:rsid w:val="2FA8196D"/>
    <w:rsid w:val="2FAD7DDA"/>
    <w:rsid w:val="2FFD4A0C"/>
    <w:rsid w:val="30CD01D9"/>
    <w:rsid w:val="30D758A6"/>
    <w:rsid w:val="30EA0F6A"/>
    <w:rsid w:val="31155713"/>
    <w:rsid w:val="31301F8B"/>
    <w:rsid w:val="31411AB3"/>
    <w:rsid w:val="31772EC7"/>
    <w:rsid w:val="31836B7D"/>
    <w:rsid w:val="31864F57"/>
    <w:rsid w:val="31A65BBC"/>
    <w:rsid w:val="329F0927"/>
    <w:rsid w:val="32A87D40"/>
    <w:rsid w:val="32C330EE"/>
    <w:rsid w:val="33B64661"/>
    <w:rsid w:val="34C226AB"/>
    <w:rsid w:val="34FF38FF"/>
    <w:rsid w:val="3502519D"/>
    <w:rsid w:val="350D32F3"/>
    <w:rsid w:val="35187000"/>
    <w:rsid w:val="360F7FE0"/>
    <w:rsid w:val="367B10B3"/>
    <w:rsid w:val="37443B2D"/>
    <w:rsid w:val="37DC00A4"/>
    <w:rsid w:val="386079B4"/>
    <w:rsid w:val="3885236D"/>
    <w:rsid w:val="38AE355A"/>
    <w:rsid w:val="398A7A7C"/>
    <w:rsid w:val="39EB4452"/>
    <w:rsid w:val="3ABE3914"/>
    <w:rsid w:val="3AEF5C08"/>
    <w:rsid w:val="3B516536"/>
    <w:rsid w:val="3B6C3ADB"/>
    <w:rsid w:val="3BC94790"/>
    <w:rsid w:val="3BCE5A48"/>
    <w:rsid w:val="3D031AB2"/>
    <w:rsid w:val="3D5076F9"/>
    <w:rsid w:val="3D5B369C"/>
    <w:rsid w:val="3D7306E9"/>
    <w:rsid w:val="3D895919"/>
    <w:rsid w:val="3E3143FD"/>
    <w:rsid w:val="3E956359"/>
    <w:rsid w:val="3E9C59B1"/>
    <w:rsid w:val="3F0B7643"/>
    <w:rsid w:val="3F2941BF"/>
    <w:rsid w:val="3F367F1D"/>
    <w:rsid w:val="3F3B5D44"/>
    <w:rsid w:val="3FC63871"/>
    <w:rsid w:val="400766F2"/>
    <w:rsid w:val="40226879"/>
    <w:rsid w:val="41061B71"/>
    <w:rsid w:val="411575E1"/>
    <w:rsid w:val="41727B60"/>
    <w:rsid w:val="41AC4782"/>
    <w:rsid w:val="427E60E8"/>
    <w:rsid w:val="42B6714C"/>
    <w:rsid w:val="42BB7663"/>
    <w:rsid w:val="435E0E0D"/>
    <w:rsid w:val="43755A74"/>
    <w:rsid w:val="43C23BF4"/>
    <w:rsid w:val="442A3E90"/>
    <w:rsid w:val="4494139D"/>
    <w:rsid w:val="458E4192"/>
    <w:rsid w:val="45C75919"/>
    <w:rsid w:val="46DD5122"/>
    <w:rsid w:val="47D06CCE"/>
    <w:rsid w:val="486D2D4F"/>
    <w:rsid w:val="49610C37"/>
    <w:rsid w:val="49AC016B"/>
    <w:rsid w:val="4AF07B1A"/>
    <w:rsid w:val="4B517CCB"/>
    <w:rsid w:val="4BC35604"/>
    <w:rsid w:val="4BCE5C90"/>
    <w:rsid w:val="4DAB514A"/>
    <w:rsid w:val="4EDB3AAB"/>
    <w:rsid w:val="4F3B26EA"/>
    <w:rsid w:val="4F4B3D85"/>
    <w:rsid w:val="4FF5172F"/>
    <w:rsid w:val="5122646C"/>
    <w:rsid w:val="51257DF2"/>
    <w:rsid w:val="52D153E1"/>
    <w:rsid w:val="531603B6"/>
    <w:rsid w:val="538A1F90"/>
    <w:rsid w:val="54190C85"/>
    <w:rsid w:val="54431E68"/>
    <w:rsid w:val="54A43723"/>
    <w:rsid w:val="54F5478A"/>
    <w:rsid w:val="56746B00"/>
    <w:rsid w:val="57044CE4"/>
    <w:rsid w:val="57DB161B"/>
    <w:rsid w:val="584D0D9A"/>
    <w:rsid w:val="58B32A7C"/>
    <w:rsid w:val="58CD464D"/>
    <w:rsid w:val="59770627"/>
    <w:rsid w:val="5982104A"/>
    <w:rsid w:val="59E5370D"/>
    <w:rsid w:val="5A130056"/>
    <w:rsid w:val="5A1960CD"/>
    <w:rsid w:val="5A1A6CEB"/>
    <w:rsid w:val="5A9E28C7"/>
    <w:rsid w:val="5B751975"/>
    <w:rsid w:val="5B834000"/>
    <w:rsid w:val="5C194221"/>
    <w:rsid w:val="5CA97B29"/>
    <w:rsid w:val="5CDB14BA"/>
    <w:rsid w:val="5D2D2CB7"/>
    <w:rsid w:val="5DA16A52"/>
    <w:rsid w:val="5DAC0E28"/>
    <w:rsid w:val="5DB45CF4"/>
    <w:rsid w:val="5E1D0FA0"/>
    <w:rsid w:val="5E24275D"/>
    <w:rsid w:val="5E4E4E2C"/>
    <w:rsid w:val="5F447FDD"/>
    <w:rsid w:val="5F561B6F"/>
    <w:rsid w:val="5F57E5CA"/>
    <w:rsid w:val="5FB5358F"/>
    <w:rsid w:val="5FCA2158"/>
    <w:rsid w:val="5FD764A8"/>
    <w:rsid w:val="60924102"/>
    <w:rsid w:val="61C13B66"/>
    <w:rsid w:val="61D1061E"/>
    <w:rsid w:val="62107313"/>
    <w:rsid w:val="62F13654"/>
    <w:rsid w:val="634A36E8"/>
    <w:rsid w:val="637025E6"/>
    <w:rsid w:val="637E1F83"/>
    <w:rsid w:val="63A257B4"/>
    <w:rsid w:val="64A8657B"/>
    <w:rsid w:val="64C115D9"/>
    <w:rsid w:val="659A77C2"/>
    <w:rsid w:val="65FB2031"/>
    <w:rsid w:val="669C35D3"/>
    <w:rsid w:val="672C0848"/>
    <w:rsid w:val="67337230"/>
    <w:rsid w:val="67FE3876"/>
    <w:rsid w:val="681777B5"/>
    <w:rsid w:val="68332888"/>
    <w:rsid w:val="685C1EF3"/>
    <w:rsid w:val="68946690"/>
    <w:rsid w:val="692E624B"/>
    <w:rsid w:val="69313380"/>
    <w:rsid w:val="69E93C5A"/>
    <w:rsid w:val="6AA732A6"/>
    <w:rsid w:val="6AEA7541"/>
    <w:rsid w:val="6D0446EE"/>
    <w:rsid w:val="6D380A3B"/>
    <w:rsid w:val="6E4B1911"/>
    <w:rsid w:val="6E5D5501"/>
    <w:rsid w:val="6FC37AD4"/>
    <w:rsid w:val="70270861"/>
    <w:rsid w:val="713B2574"/>
    <w:rsid w:val="718F0D51"/>
    <w:rsid w:val="719F4271"/>
    <w:rsid w:val="71D2534C"/>
    <w:rsid w:val="722515A8"/>
    <w:rsid w:val="726B771C"/>
    <w:rsid w:val="73342B37"/>
    <w:rsid w:val="73B201E3"/>
    <w:rsid w:val="74BB4A17"/>
    <w:rsid w:val="74EE0377"/>
    <w:rsid w:val="76133454"/>
    <w:rsid w:val="76B67435"/>
    <w:rsid w:val="76C92E49"/>
    <w:rsid w:val="7728448C"/>
    <w:rsid w:val="77661A06"/>
    <w:rsid w:val="77E6160F"/>
    <w:rsid w:val="78033A89"/>
    <w:rsid w:val="780E4365"/>
    <w:rsid w:val="781E71C5"/>
    <w:rsid w:val="788D60F9"/>
    <w:rsid w:val="78AD1F79"/>
    <w:rsid w:val="79536535"/>
    <w:rsid w:val="79682D81"/>
    <w:rsid w:val="796C4D04"/>
    <w:rsid w:val="79BF1AED"/>
    <w:rsid w:val="7A7838A6"/>
    <w:rsid w:val="7ACF229F"/>
    <w:rsid w:val="7AD27B38"/>
    <w:rsid w:val="7B1B5B98"/>
    <w:rsid w:val="7B4E097C"/>
    <w:rsid w:val="7C550AD0"/>
    <w:rsid w:val="7C715C64"/>
    <w:rsid w:val="7DD71AD1"/>
    <w:rsid w:val="7DFF3A1B"/>
    <w:rsid w:val="7F4A135B"/>
    <w:rsid w:val="7F8D26BD"/>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styleId="2">
    <w:name w:val="Body Text First Indent 2"/>
    <w:basedOn w:val="3"/>
    <w:next w:val="4"/>
    <w:link w:val="122"/>
    <w:autoRedefine/>
    <w:qFormat/>
    <w:uiPriority w:val="0"/>
    <w:pPr>
      <w:adjustRightInd/>
      <w:spacing w:after="120" w:line="240" w:lineRule="auto"/>
      <w:ind w:left="420" w:leftChars="200" w:firstLine="210"/>
    </w:pPr>
    <w:rPr>
      <w:sz w:val="21"/>
    </w:rPr>
  </w:style>
  <w:style w:type="paragraph" w:styleId="3">
    <w:name w:val="Body Text Indent"/>
    <w:basedOn w:val="1"/>
    <w:next w:val="2"/>
    <w:link w:val="265"/>
    <w:autoRedefine/>
    <w:qFormat/>
    <w:uiPriority w:val="0"/>
    <w:pPr>
      <w:spacing w:line="480" w:lineRule="exact"/>
      <w:ind w:firstLine="480" w:firstLineChars="200"/>
    </w:pPr>
    <w:rPr>
      <w:rFonts w:ascii="宋体" w:hAnsi="宋体"/>
      <w:sz w:val="24"/>
    </w:rPr>
  </w:style>
  <w:style w:type="paragraph" w:customStyle="1" w:styleId="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toc 8"/>
    <w:basedOn w:val="1"/>
    <w:next w:val="1"/>
    <w:autoRedefine/>
    <w:qFormat/>
    <w:uiPriority w:val="0"/>
    <w:pPr>
      <w:ind w:left="2940" w:leftChars="1400"/>
    </w:pPr>
  </w:style>
  <w:style w:type="paragraph" w:styleId="20">
    <w:name w:val="caption"/>
    <w:basedOn w:val="1"/>
    <w:next w:val="1"/>
    <w:link w:val="230"/>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3"/>
    <w:autoRedefine/>
    <w:qFormat/>
    <w:uiPriority w:val="0"/>
    <w:pPr>
      <w:shd w:val="clear" w:color="auto" w:fill="000080"/>
    </w:pPr>
  </w:style>
  <w:style w:type="paragraph" w:styleId="23">
    <w:name w:val="annotation text"/>
    <w:basedOn w:val="1"/>
    <w:link w:val="344"/>
    <w:autoRedefine/>
    <w:qFormat/>
    <w:uiPriority w:val="99"/>
    <w:pPr>
      <w:jc w:val="left"/>
    </w:pPr>
  </w:style>
  <w:style w:type="paragraph" w:styleId="24">
    <w:name w:val="Salutation"/>
    <w:basedOn w:val="1"/>
    <w:next w:val="1"/>
    <w:link w:val="298"/>
    <w:autoRedefine/>
    <w:qFormat/>
    <w:uiPriority w:val="0"/>
    <w:rPr>
      <w:rFonts w:ascii="仿宋_GB2312" w:eastAsia="仿宋_GB2312"/>
      <w:sz w:val="28"/>
      <w:szCs w:val="20"/>
    </w:rPr>
  </w:style>
  <w:style w:type="paragraph" w:styleId="25">
    <w:name w:val="Body Text 3"/>
    <w:basedOn w:val="1"/>
    <w:link w:val="330"/>
    <w:autoRedefine/>
    <w:qFormat/>
    <w:uiPriority w:val="0"/>
    <w:pPr>
      <w:jc w:val="center"/>
    </w:pPr>
    <w:rPr>
      <w:szCs w:val="20"/>
    </w:rPr>
  </w:style>
  <w:style w:type="paragraph" w:styleId="26">
    <w:name w:val="List Bullet 3"/>
    <w:basedOn w:val="1"/>
    <w:autoRedefine/>
    <w:qFormat/>
    <w:uiPriority w:val="0"/>
    <w:pPr>
      <w:snapToGrid w:val="0"/>
      <w:spacing w:line="360" w:lineRule="auto"/>
      <w:ind w:left="360" w:right="238" w:hanging="360"/>
      <w:contextualSpacing/>
    </w:pPr>
    <w:rPr>
      <w:sz w:val="24"/>
    </w:rPr>
  </w:style>
  <w:style w:type="paragraph" w:styleId="27">
    <w:name w:val="Body Text"/>
    <w:basedOn w:val="1"/>
    <w:next w:val="28"/>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1"/>
    <w:next w:val="1"/>
    <w:link w:val="321"/>
    <w:autoRedefine/>
    <w:qFormat/>
    <w:uiPriority w:val="0"/>
    <w:pPr>
      <w:ind w:firstLine="420"/>
    </w:pPr>
    <w:rPr>
      <w:rFonts w:hAnsi="Calibri" w:cs="Times New Roman"/>
      <w:snapToGrid/>
      <w:szCs w:val="20"/>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6"/>
    <w:autoRedefine/>
    <w:qFormat/>
    <w:uiPriority w:val="0"/>
    <w:rPr>
      <w:rFonts w:ascii="宋体" w:hAnsi="Courier New" w:cs="Arial"/>
      <w:snapToGrid w:val="0"/>
      <w:szCs w:val="21"/>
    </w:rPr>
  </w:style>
  <w:style w:type="paragraph" w:styleId="37">
    <w:name w:val="Balloon Text"/>
    <w:basedOn w:val="1"/>
    <w:next w:val="1"/>
    <w:link w:val="189"/>
    <w:autoRedefine/>
    <w:qFormat/>
    <w:uiPriority w:val="0"/>
    <w:rPr>
      <w:sz w:val="18"/>
      <w:szCs w:val="18"/>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2"/>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footer"/>
    <w:basedOn w:val="1"/>
    <w:link w:val="383"/>
    <w:autoRedefine/>
    <w:qFormat/>
    <w:uiPriority w:val="99"/>
    <w:pPr>
      <w:tabs>
        <w:tab w:val="center" w:pos="4153"/>
        <w:tab w:val="right" w:pos="8306"/>
      </w:tabs>
      <w:snapToGrid w:val="0"/>
      <w:jc w:val="left"/>
    </w:pPr>
    <w:rPr>
      <w:sz w:val="18"/>
      <w:szCs w:val="18"/>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2"/>
    <w:autoRedefine/>
    <w:qFormat/>
    <w:uiPriority w:val="0"/>
    <w:pPr>
      <w:spacing w:after="120" w:line="480" w:lineRule="auto"/>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Fließtext"/>
    <w:basedOn w:val="1"/>
    <w:autoRedefine/>
    <w:qFormat/>
    <w:uiPriority w:val="0"/>
    <w:pPr>
      <w:overflowPunct w:val="0"/>
      <w:autoSpaceDE w:val="0"/>
      <w:autoSpaceDN w:val="0"/>
      <w:adjustRightInd w:val="0"/>
      <w:textAlignment w:val="baseline"/>
    </w:pPr>
    <w:rPr>
      <w:kern w:val="28"/>
    </w:rPr>
  </w:style>
  <w:style w:type="paragraph" w:customStyle="1" w:styleId="81">
    <w:name w:val="Default"/>
    <w:next w:val="82"/>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_29dca83e-cfa0-4d29-9006-28a1b752e563"/>
    <w:autoRedefine/>
    <w:qFormat/>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next w:val="45"/>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6"/>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9"/>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qFormat/>
    <w:uiPriority w:val="99"/>
    <w:rPr>
      <w:rFonts w:ascii="Times New Roman" w:hAnsi="Times New Roman" w:eastAsia="宋体" w:cs="Times New Roman"/>
      <w:szCs w:val="24"/>
    </w:rPr>
  </w:style>
  <w:style w:type="character" w:customStyle="1" w:styleId="189">
    <w:name w:val="批注框文本 Char"/>
    <w:link w:val="37"/>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2"/>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autoRedefine/>
    <w:qFormat/>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0"/>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3"/>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5"/>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9"/>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4"/>
    <w:autoRedefine/>
    <w:qFormat/>
    <w:uiPriority w:val="0"/>
    <w:rPr>
      <w:rFonts w:ascii="仿宋_GB2312" w:eastAsia="仿宋_GB2312"/>
      <w:kern w:val="2"/>
      <w:sz w:val="28"/>
    </w:rPr>
  </w:style>
  <w:style w:type="character" w:customStyle="1" w:styleId="299">
    <w:name w:val="文本正文 Char Char"/>
    <w:autoRedefine/>
    <w:qFormat/>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58"/>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8"/>
    <w:link w:val="413"/>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1"/>
    <w:autoRedefine/>
    <w:qFormat/>
    <w:uiPriority w:val="0"/>
    <w:rPr>
      <w:b/>
      <w:bCs/>
      <w:kern w:val="2"/>
      <w:sz w:val="24"/>
      <w:szCs w:val="24"/>
    </w:rPr>
  </w:style>
  <w:style w:type="character" w:customStyle="1" w:styleId="308">
    <w:name w:val="正文文本缩进 2 Char"/>
    <w:link w:val="40"/>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8"/>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8"/>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5"/>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autoRedefine/>
    <w:qFormat/>
    <w:uiPriority w:val="99"/>
    <w:rPr>
      <w:kern w:val="2"/>
      <w:sz w:val="21"/>
      <w:szCs w:val="24"/>
    </w:rPr>
  </w:style>
  <w:style w:type="character" w:customStyle="1" w:styleId="345">
    <w:name w:val="签名 Char"/>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5"/>
    <w:autoRedefine/>
    <w:qFormat/>
    <w:uiPriority w:val="0"/>
    <w:rPr>
      <w:kern w:val="2"/>
      <w:sz w:val="24"/>
    </w:rPr>
  </w:style>
  <w:style w:type="character" w:customStyle="1" w:styleId="376">
    <w:name w:val="日期 Char1"/>
    <w:autoRedefine/>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2"/>
    <w:autoRedefine/>
    <w:qFormat/>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8"/>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7"/>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5"/>
    <w:autoRedefine/>
    <w:qFormat/>
    <w:uiPriority w:val="0"/>
    <w:pPr>
      <w:tabs>
        <w:tab w:val="left" w:pos="840"/>
      </w:tabs>
      <w:adjustRightInd/>
      <w:ind w:left="840" w:hanging="420"/>
    </w:pPr>
  </w:style>
  <w:style w:type="paragraph" w:customStyle="1" w:styleId="626">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after="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7"/>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7"/>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2"/>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1"/>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6">
    <w:name w:val="无"/>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40540</Words>
  <Characters>42960</Characters>
  <Paragraphs>1943</Paragraphs>
  <TotalTime>34</TotalTime>
  <ScaleCrop>false</ScaleCrop>
  <LinksUpToDate>false</LinksUpToDate>
  <CharactersWithSpaces>48665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slim</cp:lastModifiedBy>
  <cp:lastPrinted>2021-12-28T19:06:00Z</cp:lastPrinted>
  <dcterms:modified xsi:type="dcterms:W3CDTF">2024-05-14T08:25:27Z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AE961AE01B07423BB36F2B72BC0B02C2_13</vt:lpwstr>
  </property>
</Properties>
</file>