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b/>
          <w:sz w:val="48"/>
          <w:szCs w:val="48"/>
          <w:lang w:val="en-US" w:eastAsia="zh-CN"/>
        </w:rPr>
      </w:pPr>
      <w:r>
        <w:rPr>
          <w:rFonts w:hint="eastAsia" w:ascii="宋体" w:hAnsi="宋体" w:cs="宋体"/>
          <w:b/>
          <w:sz w:val="48"/>
          <w:szCs w:val="48"/>
          <w:lang w:val="en-US" w:eastAsia="zh-CN"/>
        </w:rPr>
        <w:t xml:space="preserve"> </w:t>
      </w: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衢州市第三医院精神疾病伴发传染病隔离病区项目-医疗设备采购-磁共振成像系统（MR）采购项目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ZJXSJ2023198</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w:t>
      </w:r>
      <w:r>
        <w:rPr>
          <w:rFonts w:hint="eastAsia" w:ascii="宋体" w:hAnsi="宋体" w:cs="宋体"/>
          <w:color w:val="auto"/>
          <w:sz w:val="32"/>
          <w:szCs w:val="32"/>
          <w:highlight w:val="none"/>
          <w:lang w:eastAsia="zh-CN"/>
        </w:rPr>
        <w:t>单位：衢州市第三医院</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：浙江新世纪工程咨询有限公司</w:t>
      </w:r>
    </w:p>
    <w:p>
      <w:pPr>
        <w:snapToGrid w:val="0"/>
        <w:spacing w:line="360" w:lineRule="auto"/>
        <w:jc w:val="center"/>
        <w:rPr>
          <w:rFonts w:hint="eastAsia" w:ascii="宋体" w:hAnsi="宋体" w:cs="宋体"/>
          <w:bCs/>
          <w:color w:val="auto"/>
          <w:sz w:val="32"/>
          <w:szCs w:val="32"/>
          <w:highlight w:val="none"/>
        </w:rPr>
      </w:pP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 xml:space="preserve">第五部分      </w:t>
      </w:r>
      <w:r>
        <w:rPr>
          <w:rFonts w:hint="eastAsia" w:ascii="宋体" w:hAnsi="宋体" w:cs="宋体"/>
          <w:color w:val="auto"/>
          <w:sz w:val="32"/>
          <w:szCs w:val="32"/>
          <w:highlight w:val="none"/>
          <w:lang w:eastAsia="zh-CN"/>
        </w:rPr>
        <w:t>合同主要条款</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s="宋体"/>
          <w:color w:val="auto"/>
          <w:kern w:val="0"/>
          <w:sz w:val="24"/>
          <w:highlight w:val="none"/>
          <w:u w:val="single"/>
          <w:lang w:eastAsia="zh-CN"/>
        </w:rPr>
        <w:t>衢州市第三医院精神疾病伴发传染病隔离病区项目-医疗设备采购-磁共振成像系统（MR）采购项目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3</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10</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lang w:val="en-US" w:eastAsia="zh-CN"/>
        </w:rPr>
        <w:t>00</w:t>
      </w:r>
      <w:r>
        <w:rPr>
          <w:rStyle w:val="77"/>
          <w:rFonts w:hint="eastAsia" w:cs="Times New Roman" w:asciiTheme="minorEastAsia" w:hAnsiTheme="minorEastAsia" w:eastAsiaTheme="minorEastAsia"/>
          <w:bCs/>
          <w:snapToGrid/>
          <w:color w:val="auto"/>
          <w:kern w:val="2"/>
          <w:sz w:val="24"/>
          <w:szCs w:val="24"/>
          <w:highlight w:val="none"/>
        </w:rPr>
        <w:t>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ZJXSJ2023198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衢州市第三医院精神疾病伴发传染病隔离病区项目-医疗设备采购-磁共振成像系统（MR）采购项目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6500000</w:t>
      </w:r>
      <w:r>
        <w:rPr>
          <w:rFonts w:hint="eastAsia" w:ascii="宋体" w:hAnsi="宋体" w:cs="宋体"/>
          <w:color w:val="auto"/>
          <w:sz w:val="24"/>
          <w:highlight w:val="none"/>
        </w:rPr>
        <w:t xml:space="preserve"> </w:t>
      </w:r>
      <w:bookmarkStart w:id="404" w:name="_GoBack"/>
      <w:bookmarkEnd w:id="404"/>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6450000</w:t>
      </w:r>
      <w:r>
        <w:rPr>
          <w:rFonts w:hint="eastAsia" w:ascii="宋体" w:hAnsi="宋体" w:cs="宋体"/>
          <w:color w:val="auto"/>
          <w:sz w:val="24"/>
          <w:highlight w:val="none"/>
        </w:rPr>
        <w:t xml:space="preserve">  </w:t>
      </w:r>
    </w:p>
    <w:p>
      <w:pPr>
        <w:pStyle w:val="6"/>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180日历天。</w:t>
      </w:r>
    </w:p>
    <w:p>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w:t>
      </w:r>
      <w:r>
        <w:rPr>
          <w:rFonts w:hint="eastAsia" w:hAnsi="宋体" w:cs="宋体"/>
          <w:b/>
          <w:color w:val="auto"/>
          <w:sz w:val="24"/>
          <w:highlight w:val="none"/>
          <w:lang w:val="en-US" w:eastAsia="zh-CN"/>
        </w:rPr>
        <w:t>不</w:t>
      </w:r>
      <w:r>
        <w:rPr>
          <w:rFonts w:hint="eastAsia" w:hAnsi="宋体" w:cs="宋体"/>
          <w:b/>
          <w:color w:val="auto"/>
          <w:sz w:val="24"/>
          <w:highlight w:val="none"/>
        </w:rPr>
        <w:t>接受联合体投标</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无；</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提供投标产品有效的《医疗器械产品注册证》或备案表，如非医疗器械产品则无需提供</w:t>
      </w:r>
      <w:r>
        <w:rPr>
          <w:rFonts w:hint="eastAsia" w:ascii="宋体" w:hAnsi="宋体" w:cs="宋体"/>
          <w:color w:val="auto"/>
          <w:sz w:val="24"/>
          <w:szCs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提供供应商有效的《医疗器械经营企业许可证》或医疗器械经营备案凭证，如非第二类、第三类医疗器械产品则无需提供，如果是制造商另须提供《医疗器械生产许可证》</w:t>
      </w:r>
      <w:r>
        <w:rPr>
          <w:rFonts w:hint="eastAsia" w:ascii="宋体" w:hAnsi="宋体" w:eastAsia="宋体" w:cs="宋体"/>
          <w:color w:val="auto"/>
          <w:sz w:val="24"/>
          <w:szCs w:val="24"/>
          <w:highlight w:val="none"/>
          <w:lang w:eastAsia="zh-CN"/>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3</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10</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3</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10</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lang w:val="en-US" w:eastAsia="zh-CN"/>
        </w:rPr>
        <w:t>00</w:t>
      </w:r>
      <w:r>
        <w:rPr>
          <w:rStyle w:val="77"/>
          <w:rFonts w:hint="eastAsia" w:cs="Times New Roman" w:asciiTheme="minorEastAsia" w:hAnsiTheme="minorEastAsia" w:eastAsiaTheme="minorEastAsia"/>
          <w:bCs/>
          <w:snapToGrid/>
          <w:color w:val="auto"/>
          <w:kern w:val="2"/>
          <w:sz w:val="24"/>
          <w:szCs w:val="24"/>
          <w:highlight w:val="none"/>
        </w:rPr>
        <w:t>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3</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10</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lang w:val="en-US" w:eastAsia="zh-CN"/>
        </w:rPr>
        <w:t>00</w:t>
      </w:r>
      <w:r>
        <w:rPr>
          <w:rStyle w:val="77"/>
          <w:rFonts w:hint="eastAsia" w:cs="Times New Roman" w:asciiTheme="minorEastAsia" w:hAnsiTheme="minorEastAsia" w:eastAsiaTheme="minorEastAsia"/>
          <w:bCs/>
          <w:snapToGrid/>
          <w:color w:val="auto"/>
          <w:kern w:val="2"/>
          <w:sz w:val="24"/>
          <w:szCs w:val="24"/>
          <w:highlight w:val="none"/>
        </w:rPr>
        <w:t>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衢州市第三医院</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址：衢州市柯城区白云街道白云北大道226号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余女士 </w:t>
      </w:r>
      <w:r>
        <w:rPr>
          <w:rFonts w:hint="eastAsia" w:ascii="宋体" w:hAnsi="宋体" w:cs="宋体"/>
          <w:color w:val="auto"/>
          <w:sz w:val="24"/>
          <w:highlight w:val="none"/>
        </w:rPr>
        <w:t xml:space="preserve">      项目联系方式（询问）：0570-3011552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郑女士           </w:t>
      </w: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0570-3011928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浙江新世纪工程咨询有限公司</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kern w:val="0"/>
          <w:sz w:val="24"/>
          <w:highlight w:val="none"/>
        </w:rPr>
        <w:t>衢州市柯城区白云北大道509号印象西城</w:t>
      </w:r>
      <w:r>
        <w:rPr>
          <w:rFonts w:hint="eastAsia" w:ascii="宋体" w:hAnsi="宋体" w:cs="宋体"/>
          <w:color w:val="auto"/>
          <w:kern w:val="0"/>
          <w:sz w:val="24"/>
          <w:highlight w:val="none"/>
          <w:lang w:eastAsia="zh-CN"/>
        </w:rPr>
        <w:t>办公楼</w:t>
      </w:r>
      <w:r>
        <w:rPr>
          <w:rFonts w:hint="eastAsia" w:ascii="宋体" w:hAnsi="宋体" w:cs="宋体"/>
          <w:color w:val="auto"/>
          <w:kern w:val="0"/>
          <w:sz w:val="24"/>
          <w:highlight w:val="none"/>
        </w:rPr>
        <w:t>8楼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0570-8589088</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徐</w:t>
      </w:r>
      <w:r>
        <w:rPr>
          <w:rFonts w:hint="eastAsia" w:ascii="宋体" w:hAnsi="宋体" w:cs="宋体"/>
          <w:color w:val="auto"/>
          <w:sz w:val="24"/>
          <w:highlight w:val="none"/>
          <w:lang w:val="en-US" w:eastAsia="zh-CN"/>
        </w:rPr>
        <w:t>先生</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0570-8589008、17757085787</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刘育芳</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0570-8589088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衢州市</w:t>
      </w:r>
      <w:r>
        <w:rPr>
          <w:rFonts w:hint="eastAsia" w:ascii="宋体" w:hAnsi="宋体" w:cs="宋体"/>
          <w:color w:val="auto"/>
          <w:sz w:val="24"/>
          <w:highlight w:val="none"/>
        </w:rPr>
        <w:t>财政局政府采购监管处</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址：浙江省衢州市柯城区白云街道三江东路28号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徐先生</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监督投诉电话：057</w:t>
      </w:r>
      <w:r>
        <w:rPr>
          <w:rFonts w:hint="eastAsia" w:ascii="宋体" w:hAnsi="宋体" w:cs="宋体"/>
          <w:color w:val="auto"/>
          <w:sz w:val="24"/>
          <w:highlight w:val="none"/>
          <w:lang w:val="en-US" w:eastAsia="zh-CN"/>
        </w:rPr>
        <w:t>0-8757615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4"/>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货物类，</w:t>
            </w:r>
            <w:r>
              <w:rPr>
                <w:rFonts w:hint="eastAsia" w:ascii="宋体" w:hAnsi="宋体" w:cs="宋体"/>
                <w:color w:val="auto"/>
                <w:sz w:val="24"/>
              </w:rPr>
              <w:t>单一产品</w:t>
            </w:r>
            <w:r>
              <w:rPr>
                <w:rFonts w:hint="eastAsia" w:ascii="宋体" w:hAnsi="宋体" w:cs="宋体"/>
                <w:color w:val="auto"/>
                <w:kern w:val="0"/>
                <w:sz w:val="24"/>
                <w:highlight w:val="none"/>
              </w:rPr>
              <w:t>为：</w:t>
            </w:r>
            <w:r>
              <w:rPr>
                <w:rFonts w:hint="eastAsia" w:hAnsi="宋体" w:cs="宋体"/>
                <w:bCs/>
                <w:snapToGrid/>
                <w:color w:val="auto"/>
                <w:kern w:val="2"/>
                <w:sz w:val="24"/>
                <w:szCs w:val="24"/>
                <w:highlight w:val="none"/>
                <w:u w:val="single"/>
                <w:lang w:val="en-US" w:eastAsia="zh-CN"/>
              </w:rPr>
              <w:t>磁共振成像系统（MR）。</w:t>
            </w:r>
          </w:p>
          <w:p>
            <w:pPr>
              <w:snapToGrid w:val="0"/>
              <w:spacing w:line="24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p>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keepNext w:val="0"/>
              <w:keepLines w:val="0"/>
              <w:adjustRightInd w:val="0"/>
              <w:snapToGrid w:val="0"/>
              <w:spacing w:line="240" w:lineRule="auto"/>
              <w:rPr>
                <w:rFonts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rPr>
              <w:t>属于</w:t>
            </w:r>
            <w:r>
              <w:rPr>
                <w:rFonts w:hint="eastAsia" w:ascii="宋体" w:hAnsi="宋体" w:eastAsia="宋体" w:cs="宋体"/>
                <w:b w:val="0"/>
                <w:bCs w:val="0"/>
                <w:color w:val="auto"/>
                <w:kern w:val="2"/>
                <w:sz w:val="24"/>
                <w:szCs w:val="24"/>
                <w:highlight w:val="none"/>
                <w:u w:val="single"/>
                <w:lang w:val="en-US"/>
              </w:rPr>
              <w:t xml:space="preserve"> </w:t>
            </w:r>
            <w:r>
              <w:rPr>
                <w:rFonts w:hint="eastAsia" w:ascii="宋体" w:hAnsi="宋体" w:eastAsia="宋体" w:cs="宋体"/>
                <w:b w:val="0"/>
                <w:bCs w:val="0"/>
                <w:color w:val="auto"/>
                <w:kern w:val="2"/>
                <w:sz w:val="24"/>
                <w:szCs w:val="24"/>
                <w:highlight w:val="none"/>
                <w:u w:val="single"/>
                <w:lang w:val="en-US" w:eastAsia="zh-CN"/>
              </w:rPr>
              <w:t>工业</w:t>
            </w:r>
            <w:r>
              <w:rPr>
                <w:rFonts w:hint="eastAsia" w:ascii="宋体" w:hAnsi="宋体" w:eastAsia="宋体" w:cs="宋体"/>
                <w:b w:val="0"/>
                <w:bCs w:val="0"/>
                <w:color w:val="auto"/>
                <w:kern w:val="2"/>
                <w:sz w:val="24"/>
                <w:szCs w:val="24"/>
                <w:highlight w:val="none"/>
                <w:u w:val="single"/>
                <w:lang w:val="en-US"/>
              </w:rPr>
              <w:t xml:space="preserve"> </w:t>
            </w:r>
            <w:r>
              <w:rPr>
                <w:rFonts w:hint="eastAsia" w:ascii="宋体" w:hAnsi="宋体" w:eastAsia="宋体" w:cs="宋体"/>
                <w:b w:val="0"/>
                <w:bCs w:val="0"/>
                <w:color w:val="auto"/>
                <w:kern w:val="2"/>
                <w:sz w:val="24"/>
                <w:szCs w:val="24"/>
                <w:highlight w:val="none"/>
                <w:lang w:val="en-US"/>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keepNext w:val="0"/>
              <w:keepLines w:val="0"/>
              <w:adjustRightInd w:val="0"/>
              <w:snapToGrid w:val="0"/>
              <w:spacing w:line="240" w:lineRule="auto"/>
              <w:ind w:left="432" w:leftChars="0" w:hanging="432" w:firstLineChars="0"/>
              <w:rPr>
                <w:rFonts w:hint="eastAsia"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SA"/>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ascii="宋体" w:hAnsi="宋体" w:cs="宋体"/>
                <w:color w:val="auto"/>
                <w:sz w:val="24"/>
                <w:szCs w:val="20"/>
                <w:highlight w:val="none"/>
              </w:rPr>
            </w:pP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p>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napToGrid w:val="0"/>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napToGrid w:val="0"/>
              <w:spacing w:line="24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8" w:hRule="atLeast"/>
          <w:tblHeader/>
        </w:trPr>
        <w:tc>
          <w:tcPr>
            <w:tcW w:w="629" w:type="dxa"/>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000000" w:sz="2"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napToGrid w:val="0"/>
              <w:spacing w:line="24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napToGrid w:val="0"/>
              <w:spacing w:line="24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eastAsia="zh-CN"/>
              </w:rPr>
              <w:t>浙江新世纪工程咨询有限公司（衢州市柯城区白云北大道</w:t>
            </w:r>
            <w:r>
              <w:rPr>
                <w:rFonts w:hint="eastAsia" w:hAnsi="宋体" w:cs="宋体"/>
                <w:color w:val="auto"/>
                <w:kern w:val="28"/>
                <w:sz w:val="24"/>
                <w:szCs w:val="24"/>
                <w:highlight w:val="none"/>
                <w:u w:val="single"/>
                <w:lang w:val="en-US" w:eastAsia="zh-CN"/>
              </w:rPr>
              <w:t>509号印象西城办公楼8楼）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17757085787</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bookmarkEnd w:id="10"/>
    </w:tbl>
    <w:p>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bookmarkEnd w:id="14"/>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8"/>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w:t>
      </w:r>
      <w:r>
        <w:rPr>
          <w:rFonts w:hint="eastAsia" w:hAnsi="宋体" w:cs="宋体"/>
          <w:color w:val="auto"/>
          <w:sz w:val="24"/>
          <w:szCs w:val="24"/>
          <w:highlight w:val="none"/>
          <w:lang w:eastAsia="zh-CN"/>
        </w:rPr>
        <w:t>合同主要条款</w:t>
      </w:r>
      <w:r>
        <w:rPr>
          <w:rFonts w:hint="eastAsia" w:hAnsi="宋体" w:cs="宋体"/>
          <w:color w:val="auto"/>
          <w:sz w:val="24"/>
          <w:szCs w:val="24"/>
          <w:highlight w:val="none"/>
        </w:rPr>
        <w:t>；</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r>
        <w:rPr>
          <w:rFonts w:hint="eastAsia" w:hAnsi="宋体" w:cs="宋体"/>
          <w:b/>
          <w:color w:val="auto"/>
          <w:sz w:val="24"/>
          <w:szCs w:val="24"/>
          <w:highlight w:val="none"/>
          <w:lang w:val="en-US" w:eastAsia="zh-CN"/>
        </w:rPr>
        <w:t>及</w:t>
      </w:r>
      <w:r>
        <w:rPr>
          <w:rFonts w:hint="eastAsia" w:hAnsi="宋体" w:cs="宋体"/>
          <w:b/>
          <w:color w:val="auto"/>
          <w:sz w:val="24"/>
          <w:szCs w:val="24"/>
          <w:highlight w:val="none"/>
        </w:rPr>
        <w:t>投标费用</w:t>
      </w:r>
    </w:p>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7.1</w:t>
      </w:r>
      <w:r>
        <w:rPr>
          <w:rFonts w:hint="eastAsia" w:ascii="宋体" w:hAnsi="宋体" w:cs="宋体"/>
          <w:snapToGrid w:val="0"/>
          <w:color w:val="auto"/>
          <w:kern w:val="28"/>
          <w:sz w:val="24"/>
          <w:highlight w:val="none"/>
        </w:rPr>
        <w:t>详见招标公告中获取招标文件的时间期限、地点、方式。</w:t>
      </w:r>
    </w:p>
    <w:p>
      <w:pPr>
        <w:spacing w:line="360" w:lineRule="auto"/>
        <w:ind w:firstLine="480" w:firstLineChars="200"/>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7.2不论投标结果如何，投标人均应自行承担所有与投标有关的全部费用（招标文件有相反规定除外）。</w:t>
      </w:r>
    </w:p>
    <w:p>
      <w:pPr>
        <w:spacing w:line="360" w:lineRule="auto"/>
        <w:ind w:firstLine="480" w:firstLineChars="200"/>
        <w:rPr>
          <w:rFonts w:hint="eastAsia" w:ascii="宋体" w:hAnsi="宋体" w:cs="宋体"/>
          <w:snapToGrid w:val="0"/>
          <w:color w:val="auto"/>
          <w:kern w:val="28"/>
          <w:sz w:val="24"/>
          <w:highlight w:val="none"/>
          <w:lang w:val="zh-CN" w:eastAsia="zh-CN"/>
        </w:rPr>
      </w:pPr>
      <w:r>
        <w:rPr>
          <w:rFonts w:hint="eastAsia" w:ascii="宋体" w:hAnsi="宋体" w:cs="宋体"/>
          <w:snapToGrid w:val="0"/>
          <w:color w:val="auto"/>
          <w:kern w:val="28"/>
          <w:sz w:val="24"/>
          <w:highlight w:val="none"/>
          <w:lang w:val="en-US" w:eastAsia="zh-CN"/>
        </w:rPr>
        <w:t>7.3</w:t>
      </w:r>
      <w:r>
        <w:rPr>
          <w:rFonts w:hint="eastAsia" w:ascii="宋体" w:hAnsi="宋体" w:cs="宋体"/>
          <w:snapToGrid w:val="0"/>
          <w:color w:val="auto"/>
          <w:kern w:val="28"/>
          <w:sz w:val="24"/>
          <w:highlight w:val="none"/>
          <w:lang w:val="zh-CN" w:eastAsia="zh-CN"/>
        </w:rPr>
        <w:t>本项目招标代理费根据国家计委计价格【2002】1980号文规定招标收费标准计取，开评标相关服务费按实收取，由中标单位领取中标通知书时交与招标代理机构，投标报价时综合考虑。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授权委托书或法定代表人（单位负责人、自然人本人）身份证明；</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投标人营业执照；</w:t>
      </w:r>
    </w:p>
    <w:p>
      <w:pPr>
        <w:pStyle w:val="24"/>
        <w:ind w:firstLine="960" w:firstLineChars="400"/>
        <w:rPr>
          <w:rFonts w:hint="eastAsia" w:hAnsi="宋体" w:cs="宋体"/>
          <w:color w:val="auto"/>
          <w:sz w:val="24"/>
          <w:szCs w:val="24"/>
          <w:highlight w:val="none"/>
          <w:lang w:eastAsia="zh-CN"/>
        </w:rPr>
      </w:pPr>
      <w:r>
        <w:rPr>
          <w:rFonts w:hint="eastAsia" w:hAnsi="宋体" w:cs="宋体"/>
          <w:color w:val="auto"/>
          <w:sz w:val="24"/>
          <w:highlight w:val="none"/>
          <w:lang w:val="en-US" w:eastAsia="zh-CN"/>
        </w:rPr>
        <w:t>11.1.5</w:t>
      </w:r>
      <w:r>
        <w:rPr>
          <w:rFonts w:hint="eastAsia" w:ascii="宋体" w:hAnsi="宋体" w:cs="宋体"/>
          <w:color w:val="auto"/>
          <w:sz w:val="24"/>
          <w:szCs w:val="24"/>
          <w:highlight w:val="none"/>
        </w:rPr>
        <w:t>提供投标产品有效的《医疗器械产品注册证》或备案表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如非医疗器械产品则无需提供</w:t>
      </w:r>
      <w:r>
        <w:rPr>
          <w:rFonts w:hint="eastAsia" w:ascii="宋体" w:hAnsi="宋体" w:cs="宋体"/>
          <w:color w:val="auto"/>
          <w:sz w:val="24"/>
          <w:szCs w:val="24"/>
          <w:highlight w:val="none"/>
          <w:lang w:eastAsia="zh-CN"/>
        </w:rPr>
        <w:t>；</w:t>
      </w:r>
    </w:p>
    <w:p>
      <w:pPr>
        <w:pStyle w:val="25"/>
        <w:ind w:firstLine="960" w:firstLineChars="400"/>
        <w:rPr>
          <w:rFonts w:hint="eastAsia" w:eastAsia="宋体"/>
          <w:color w:val="auto"/>
          <w:highlight w:val="none"/>
          <w:lang w:val="en-US" w:eastAsia="zh-CN"/>
        </w:rPr>
      </w:pPr>
      <w:r>
        <w:rPr>
          <w:rFonts w:hint="eastAsia" w:hAnsi="宋体" w:cs="宋体"/>
          <w:color w:val="auto"/>
          <w:sz w:val="24"/>
          <w:szCs w:val="24"/>
          <w:highlight w:val="none"/>
          <w:lang w:val="en-US" w:eastAsia="zh-CN"/>
        </w:rPr>
        <w:t>11.1.6</w:t>
      </w:r>
      <w:r>
        <w:rPr>
          <w:rFonts w:hint="eastAsia" w:ascii="宋体" w:hAnsi="宋体" w:cs="宋体"/>
          <w:color w:val="auto"/>
          <w:sz w:val="24"/>
          <w:szCs w:val="24"/>
          <w:highlight w:val="none"/>
        </w:rPr>
        <w:t>提供供应商有效的《医疗器械经营企业许可证》或医疗器械经营备案凭证，如非第二类、第三类医疗器械产品则无需提供，如果是制造商另须提供《医疗器械生产许可证》</w:t>
      </w:r>
      <w:r>
        <w:rPr>
          <w:rFonts w:hint="eastAsia" w:hAnsi="宋体" w:cs="宋体"/>
          <w:color w:val="auto"/>
          <w:sz w:val="24"/>
          <w:szCs w:val="24"/>
          <w:highlight w:val="none"/>
          <w:lang w:val="en-US" w:eastAsia="zh-CN"/>
        </w:rPr>
        <w:t>；</w:t>
      </w:r>
    </w:p>
    <w:p>
      <w:pPr>
        <w:snapToGrid w:val="0"/>
        <w:spacing w:line="360" w:lineRule="auto"/>
        <w:ind w:firstLine="960" w:firstLineChars="400"/>
        <w:rPr>
          <w:rFonts w:hint="eastAsia" w:ascii="宋体" w:hAnsi="宋体" w:eastAsia="宋体" w:cs="宋体"/>
          <w:color w:val="auto"/>
          <w:sz w:val="24"/>
          <w:highlight w:val="none"/>
          <w:lang w:val="zh-TW" w:eastAsia="zh-CN"/>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TW" w:eastAsia="zh-TW"/>
        </w:rPr>
        <w:t>“信用中国”( www.creditchina.gov.cn)中“①失信被执行人查询②重大税收违法案件当事人名单”，“中国政府采购网”（www.ccgp.gov.cn）中“政府采购严重违法失信行为记录名单”，查询结果</w:t>
      </w:r>
      <w:r>
        <w:rPr>
          <w:rFonts w:hint="eastAsia" w:ascii="宋体" w:hAnsi="宋体" w:cs="宋体"/>
          <w:color w:val="auto"/>
          <w:sz w:val="24"/>
          <w:highlight w:val="none"/>
          <w:lang w:val="en-US" w:eastAsia="zh-CN"/>
        </w:rPr>
        <w:t>；</w:t>
      </w:r>
    </w:p>
    <w:p>
      <w:pPr>
        <w:snapToGrid w:val="0"/>
        <w:spacing w:line="360" w:lineRule="auto"/>
        <w:ind w:firstLine="960" w:firstLineChars="400"/>
        <w:rPr>
          <w:rFonts w:hint="eastAsia" w:ascii="宋体" w:hAnsi="宋体" w:cs="宋体"/>
          <w:color w:val="auto"/>
          <w:sz w:val="24"/>
          <w:highlight w:val="none"/>
          <w:lang w:val="zh-TW" w:eastAsia="zh-TW"/>
        </w:rPr>
      </w:pPr>
      <w:r>
        <w:rPr>
          <w:rFonts w:hint="eastAsia" w:ascii="宋体" w:hAnsi="宋体" w:cs="宋体"/>
          <w:color w:val="auto"/>
          <w:sz w:val="24"/>
          <w:highlight w:val="none"/>
          <w:lang w:val="zh-TW" w:eastAsia="zh-TW"/>
        </w:rPr>
        <w:t>①截止时点：提交</w:t>
      </w:r>
      <w:r>
        <w:rPr>
          <w:rFonts w:hint="eastAsia" w:ascii="宋体" w:hAnsi="宋体" w:cs="宋体"/>
          <w:color w:val="auto"/>
          <w:sz w:val="24"/>
          <w:highlight w:val="none"/>
          <w:lang w:val="zh-TW"/>
        </w:rPr>
        <w:t>投标</w:t>
      </w:r>
      <w:r>
        <w:rPr>
          <w:rFonts w:hint="eastAsia" w:ascii="宋体" w:hAnsi="宋体" w:cs="宋体"/>
          <w:color w:val="auto"/>
          <w:sz w:val="24"/>
          <w:highlight w:val="none"/>
          <w:lang w:val="zh-TW" w:eastAsia="zh-TW"/>
        </w:rPr>
        <w:t>响应文件（响应文件）截止时间前3年内；</w:t>
      </w:r>
    </w:p>
    <w:p>
      <w:pPr>
        <w:snapToGrid w:val="0"/>
        <w:spacing w:line="360" w:lineRule="auto"/>
        <w:ind w:firstLine="960" w:firstLineChars="400"/>
        <w:rPr>
          <w:rFonts w:hint="eastAsia" w:ascii="宋体" w:hAnsi="宋体" w:cs="宋体"/>
          <w:color w:val="auto"/>
          <w:sz w:val="24"/>
          <w:highlight w:val="none"/>
          <w:lang w:val="zh-TW" w:eastAsia="zh-TW"/>
        </w:rPr>
      </w:pPr>
      <w:r>
        <w:rPr>
          <w:rFonts w:hint="eastAsia" w:ascii="宋体" w:hAnsi="宋体" w:cs="宋体"/>
          <w:color w:val="auto"/>
          <w:sz w:val="24"/>
          <w:highlight w:val="none"/>
          <w:lang w:val="zh-TW" w:eastAsia="zh-TW"/>
        </w:rPr>
        <w:t>②查询记录和证据的留存：信用信息查询记录和证据以网页截图等方式留存。</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zh-TW" w:eastAsia="zh-TW"/>
        </w:rPr>
        <w:t>③使用规则：被列入失信被执行人、重大税收违法案件当事人名单、政府采购严重违法失信行为记录名单及其它不符合《中华人民共和国政府采购法》第二十二条规定条件的，其</w:t>
      </w:r>
      <w:r>
        <w:rPr>
          <w:rFonts w:hint="eastAsia" w:ascii="宋体" w:hAnsi="宋体" w:cs="宋体"/>
          <w:color w:val="auto"/>
          <w:sz w:val="24"/>
          <w:highlight w:val="none"/>
          <w:lang w:val="zh-TW"/>
        </w:rPr>
        <w:t>投标</w:t>
      </w:r>
      <w:r>
        <w:rPr>
          <w:rFonts w:hint="eastAsia" w:ascii="宋体" w:hAnsi="宋体" w:cs="宋体"/>
          <w:color w:val="auto"/>
          <w:sz w:val="24"/>
          <w:highlight w:val="none"/>
          <w:lang w:val="zh-TW" w:eastAsia="zh-TW"/>
        </w:rPr>
        <w:t>将被拒绝。）</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投标标的清单；</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商务技术偏离表</w:t>
      </w:r>
      <w:r>
        <w:rPr>
          <w:rFonts w:hint="eastAsia" w:ascii="宋体" w:hAnsi="宋体" w:cs="宋体"/>
          <w:color w:val="auto"/>
          <w:sz w:val="24"/>
          <w:highlight w:val="none"/>
          <w:lang w:eastAsia="zh-CN"/>
        </w:rPr>
        <w:t>。</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lang w:val="en-US" w:eastAsia="zh-CN"/>
        </w:rPr>
        <w:t>2</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12.1投标文件分为商务技术文件、报价文件</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w:t>
      </w:r>
    </w:p>
    <w:p>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日内，与中标供应商按照采购文件确定的事项签订政府采购合同。</w:t>
      </w:r>
    </w:p>
    <w:p>
      <w:pPr>
        <w:pStyle w:val="131"/>
        <w:snapToGrid w:val="0"/>
        <w:spacing w:before="0"/>
        <w:ind w:firstLine="480"/>
        <w:rPr>
          <w:rFonts w:hint="eastAsia" w:ascii="宋体" w:hAnsi="宋体" w:cs="宋体"/>
          <w:color w:val="auto"/>
          <w:highlight w:val="none"/>
        </w:rPr>
      </w:pPr>
      <w:r>
        <w:rPr>
          <w:rFonts w:hint="eastAsia" w:ascii="宋体" w:hAnsi="宋体" w:cs="宋体"/>
          <w:color w:val="auto"/>
          <w:kern w:val="0"/>
          <w:highlight w:val="none"/>
          <w:lang w:val="zh-CN"/>
        </w:rPr>
        <w:t>25.2中标人按规定的日期、时间、地点，由法定代表人或其授权代表与采购人代表签订合同。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26"/>
        <w:spacing w:line="360" w:lineRule="auto"/>
        <w:ind w:left="479" w:hanging="477" w:hangingChars="199"/>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pPr>
        <w:pStyle w:val="131"/>
        <w:snapToGrid w:val="0"/>
        <w:spacing w:before="0"/>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131"/>
        <w:snapToGrid w:val="0"/>
        <w:spacing w:before="0"/>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供应商</w:t>
      </w:r>
      <w:r>
        <w:rPr>
          <w:rFonts w:hint="eastAsia" w:ascii="宋体" w:hAnsi="宋体" w:eastAsia="宋体" w:cs="宋体"/>
          <w:color w:val="auto"/>
          <w:kern w:val="0"/>
          <w:highlight w:val="none"/>
          <w:lang w:val="en-US"/>
        </w:rPr>
        <w:t>可</w:t>
      </w:r>
      <w:r>
        <w:rPr>
          <w:rFonts w:hint="eastAsia" w:ascii="宋体" w:hAnsi="宋体" w:eastAsia="宋体" w:cs="宋体"/>
          <w:color w:val="auto"/>
          <w:kern w:val="0"/>
          <w:highlight w:val="none"/>
          <w:lang w:val="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hint="eastAsia" w:ascii="宋体" w:hAnsi="宋体" w:cs="宋体"/>
          <w:b/>
          <w:color w:val="auto"/>
          <w:szCs w:val="24"/>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8</w:t>
      </w:r>
      <w:r>
        <w:rPr>
          <w:rFonts w:hint="eastAsia" w:ascii="宋体" w:hAnsi="宋体" w:cs="宋体"/>
          <w:b/>
          <w:color w:val="auto"/>
          <w:szCs w:val="24"/>
          <w:highlight w:val="none"/>
        </w:rPr>
        <w:t>. 电子交易活动的中止。</w:t>
      </w:r>
    </w:p>
    <w:p>
      <w:pPr>
        <w:pStyle w:val="131"/>
        <w:snapToGrid w:val="0"/>
        <w:spacing w:before="0"/>
        <w:ind w:firstLine="480" w:firstLineChars="200"/>
        <w:rPr>
          <w:rFonts w:ascii="宋体" w:hAnsi="宋体" w:cs="宋体"/>
          <w:color w:val="auto"/>
          <w:highlight w:val="none"/>
        </w:rPr>
      </w:pP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pPr>
        <w:pStyle w:val="131"/>
        <w:snapToGrid w:val="0"/>
        <w:spacing w:before="0"/>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docGrid w:linePitch="312" w:charSpace="0"/>
        </w:sectPr>
      </w:pPr>
      <w:bookmarkStart w:id="16" w:name="_Hlt74730295"/>
      <w:bookmarkEnd w:id="16"/>
      <w:bookmarkStart w:id="17" w:name="_Hlt75236290"/>
      <w:bookmarkEnd w:id="17"/>
      <w:bookmarkStart w:id="18" w:name="_Hlt68072998"/>
      <w:bookmarkEnd w:id="18"/>
      <w:bookmarkStart w:id="19" w:name="_Hlt74729768"/>
      <w:bookmarkEnd w:id="19"/>
      <w:bookmarkStart w:id="20" w:name="_Hlt68403820"/>
      <w:bookmarkEnd w:id="20"/>
      <w:bookmarkStart w:id="21" w:name="_Hlt74707468"/>
      <w:bookmarkEnd w:id="21"/>
      <w:bookmarkStart w:id="22" w:name="_Hlt68072990"/>
      <w:bookmarkEnd w:id="22"/>
      <w:bookmarkStart w:id="23" w:name="_Hlt75236101"/>
      <w:bookmarkEnd w:id="23"/>
      <w:bookmarkStart w:id="24" w:name="_Hlt68057669"/>
      <w:bookmarkEnd w:id="24"/>
      <w:bookmarkStart w:id="25" w:name="_Hlt75236011"/>
      <w:bookmarkEnd w:id="25"/>
      <w:bookmarkStart w:id="26" w:name="_Hlt74714665"/>
      <w:bookmarkEnd w:id="26"/>
      <w:bookmarkStart w:id="27" w:name="_Hlt68073093"/>
      <w:bookmarkEnd w:id="27"/>
    </w:p>
    <w:bookmarkEnd w:id="12"/>
    <w:bookmarkEnd w:id="13"/>
    <w:p>
      <w:pPr>
        <w:numPr>
          <w:ilvl w:val="0"/>
          <w:numId w:val="1"/>
        </w:numPr>
        <w:spacing w:line="360" w:lineRule="auto"/>
        <w:jc w:val="center"/>
        <w:outlineLvl w:val="0"/>
        <w:rPr>
          <w:rFonts w:hint="eastAsia"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 xml:space="preserve">  采购需求</w:t>
      </w:r>
    </w:p>
    <w:tbl>
      <w:tblPr>
        <w:tblStyle w:val="63"/>
        <w:tblW w:w="9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0"/>
        <w:gridCol w:w="696"/>
        <w:gridCol w:w="646"/>
        <w:gridCol w:w="5931"/>
        <w:gridCol w:w="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设备名称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规格、型号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磁共振成像系统（MR）</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一、技术参数要求</w:t>
            </w:r>
            <w:r>
              <w:rPr>
                <w:rFonts w:ascii="Arial" w:hAnsi="Arial" w:eastAsia="宋体" w:cs="Arial"/>
                <w:i w:val="0"/>
                <w:iCs w:val="0"/>
                <w:color w:val="auto"/>
                <w:kern w:val="0"/>
                <w:sz w:val="20"/>
                <w:szCs w:val="20"/>
                <w:u w:val="none"/>
                <w:lang w:val="en-US" w:eastAsia="zh-CN" w:bidi="ar"/>
              </w:rPr>
              <w:t xml:space="preserve">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1.总体要求：</w:t>
            </w:r>
            <w:r>
              <w:rPr>
                <w:rFonts w:ascii="Arial" w:hAnsi="Arial" w:eastAsia="宋体" w:cs="Arial"/>
                <w:i w:val="0"/>
                <w:iCs w:val="0"/>
                <w:color w:val="auto"/>
                <w:kern w:val="0"/>
                <w:sz w:val="20"/>
                <w:szCs w:val="20"/>
                <w:u w:val="none"/>
                <w:lang w:val="en-US" w:eastAsia="zh-CN" w:bidi="ar"/>
              </w:rPr>
              <w:t xml:space="preserve">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1.1投标文件中须提供设备原厂技术白皮书或注册检验报告扫描件并加盖公章作为技术证明文件，否则评标委员会有权视同其相应技术参数响应不符合招标要求。</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2.核磁共振仪：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2.1磁体系统：</w:t>
            </w:r>
            <w:r>
              <w:rPr>
                <w:rFonts w:ascii="Arial" w:hAnsi="Arial" w:eastAsia="宋体" w:cs="Arial"/>
                <w:i w:val="0"/>
                <w:iCs w:val="0"/>
                <w:color w:val="auto"/>
                <w:kern w:val="0"/>
                <w:sz w:val="20"/>
                <w:szCs w:val="20"/>
                <w:u w:val="none"/>
                <w:lang w:val="en-US" w:eastAsia="zh-CN" w:bidi="ar"/>
              </w:rPr>
              <w:t xml:space="preserve">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▲2.1.1 1.4T＜磁场强度＜1.5T；</w:t>
            </w:r>
            <w:r>
              <w:rPr>
                <w:rFonts w:ascii="Arial" w:hAnsi="Arial" w:eastAsia="宋体" w:cs="Arial"/>
                <w:i w:val="0"/>
                <w:iCs w:val="0"/>
                <w:color w:val="auto"/>
                <w:kern w:val="0"/>
                <w:sz w:val="20"/>
                <w:szCs w:val="20"/>
                <w:u w:val="none"/>
                <w:lang w:val="en-US" w:eastAsia="zh-CN" w:bidi="ar"/>
              </w:rPr>
              <w:t xml:space="preserve">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2.1.2为了提升患者体验感，磁体长度（不含外壳）≤172cm；</w:t>
            </w:r>
            <w:r>
              <w:rPr>
                <w:rFonts w:ascii="Arial" w:hAnsi="Arial" w:eastAsia="宋体" w:cs="Arial"/>
                <w:i w:val="0"/>
                <w:iCs w:val="0"/>
                <w:color w:val="auto"/>
                <w:kern w:val="0"/>
                <w:sz w:val="20"/>
                <w:szCs w:val="20"/>
                <w:u w:val="none"/>
                <w:lang w:val="en-US" w:eastAsia="zh-CN" w:bidi="ar"/>
              </w:rPr>
              <w:t xml:space="preserve">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2.1.3磁场均匀度，典型值，V－RMS测量法（以产品datasheet为准）：10 cm DSV≤ 0.002 ppm；20 cm DSV≤ 0.01ppm；30 cm DSV≤ 0.04 ppm；40 cm DSV≤ 0.4 ppm；</w:t>
            </w:r>
            <w:r>
              <w:rPr>
                <w:rFonts w:ascii="Arial" w:hAnsi="Arial" w:eastAsia="宋体" w:cs="Arial"/>
                <w:i w:val="0"/>
                <w:iCs w:val="0"/>
                <w:color w:val="auto"/>
                <w:kern w:val="0"/>
                <w:sz w:val="20"/>
                <w:szCs w:val="20"/>
                <w:u w:val="none"/>
                <w:lang w:val="en-US" w:eastAsia="zh-CN" w:bidi="ar"/>
              </w:rPr>
              <w:t xml:space="preserve">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2.1.4具备高阶匀场；</w:t>
            </w:r>
            <w:r>
              <w:rPr>
                <w:rFonts w:ascii="Arial" w:hAnsi="Arial" w:eastAsia="宋体" w:cs="Arial"/>
                <w:i w:val="0"/>
                <w:iCs w:val="0"/>
                <w:color w:val="auto"/>
                <w:kern w:val="0"/>
                <w:sz w:val="20"/>
                <w:szCs w:val="20"/>
                <w:u w:val="none"/>
                <w:lang w:val="en-US" w:eastAsia="zh-CN" w:bidi="ar"/>
              </w:rPr>
              <w:t xml:space="preserve">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2.1.5磁场稳定度≤0.1 ppm/h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2.1.6磁体重量（以datasheet为准）≥3950kg；</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2.1.7液氦容量（以datasheet为准）≥1000L；</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2.2梯度系统：</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2.2.1梯度线圈冷却方式：水冷；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2.2.2最大单轴梯度场强度（单轴非有效值）≥33mT/m；</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2.2.3最大切换率（单轴非有效值）≥125 T/m/s。</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2.3射频系统：</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2.3.1射频发射功率≤18KW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2.3.2独立射频接收通道数≥16；</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2.3.3.1头颈联合线圈≥16单元（非组合）；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2.3.3.2提供体部线圈；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2.3.3.3脊柱线圈≥22单元（非组合）；</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2.3.3.4柔性线圈，至少提供两套；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2.3.3.5专用肩关节线圈≥10单元；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2.3.3.6专用膝关节线圈≥10单元；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2.3.3.7专用乳腺线圈≥８单元；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2.3.3.8线圈柜1个；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2.3.3.9具备一体化线圈技术，多线圈组合技术，满足≥4组线圈可同时组合使用，说明组合方式；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2.3.3.10线圈接口≥6个，必须可同时接驳使用，提供设备图片证明及操作界面证明；</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2.3.4射频发射带宽≥600KHz。</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2.4计算机：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2.4.1CPU主频≥3.6GHz；</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2.4.2处理器位数≥64位；</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2.4.3主内存≥32GB；</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2.4.4硬盘容量≥500GB；</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2.4.5显示器大小及规格≥24英寸，专业级彩色LCD显示器；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2.4.6控制重建计算机CPU主频:8核心至强处理器或更高性能处理器；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2.4.7控制重建计算机内存容量≥48GB；</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2.4.8图像重建速度(幅/秒，256*256，全FOV)（以datasheet为准）≥60000幅/秒；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2.5后处理接口：提供DICOM 3.0接口及与PACS网络连接功能（包括打印，传输，接收，查询,Worklist ,MPPS等功能）。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2.6扫描参数：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2.6.1X轴最大FOV≥500mm；</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2.6.2Y轴最大FOV≥500mm；</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2.6.3Z轴最大FOV≥500mm；</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2.6.4最小FOV≤5mm；</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2.6.5最薄2D层厚（以datasheet为准）≤0.1mm；</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2.6.6最薄3D层厚（以datasheet为准）≤0.05mm；</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2.7扫描技术与序列：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2.7.1提供自旋回波序列（FSE）；</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2.7.2提供梯度回波(2D/3D)；</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2.7.3提供平面回波成像技术（EPI）；</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2.7.4提供神经系统成像技术；</w:t>
            </w:r>
            <w:r>
              <w:rPr>
                <w:rFonts w:ascii="Arial" w:hAnsi="Arial" w:eastAsia="宋体" w:cs="Arial"/>
                <w:i w:val="0"/>
                <w:iCs w:val="0"/>
                <w:color w:val="auto"/>
                <w:kern w:val="0"/>
                <w:sz w:val="20"/>
                <w:szCs w:val="20"/>
                <w:u w:val="none"/>
                <w:lang w:val="en-US" w:eastAsia="zh-CN" w:bidi="ar"/>
              </w:rPr>
              <w:t xml:space="preserve">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2.7.5提供血管成像技术；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2.7.6提供伪影消除技术；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2.7.7提供节时技术；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2.7.8高级扫描应用软件及后处理；</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2.7.8.1提供脑灌注成像技术；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2.7.8.2提供高级弥散张量成像技术；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2.7.8.3提供脑功能成像技术；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2.7.8.4提供单体素波谱成像技术；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2.7.8.5提供磁化率加权成像技术；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2.7.8.6提供去金属伪影成像技术；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2.7.8.7提供运动伪影校正技术；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2.7.8.8提供脂肪定量技术；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2.7.8.9提供水脂分离成像技术；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2.7.8.10提供3D ASL；</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2.7.8.11提供智能检查技术；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2.7.8.12提供全身类PET成像技术；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2.7.8.13提供多协议智能规划；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2.7.8.14提供压缩感知或以该技术为核心的技术（提供datasheet证明），满足≤2s-3s/期相的高时间分辨率，需提供可满足诊断的腹部多期动态增强图像；</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2.7.8.15提供腹部自由呼吸成像技术（非导航技术基于K空间径向填充，注明名称），说明技术名称；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2.7.8.16提供一键式智能扫描平台（含头、脊柱、关节智能扫描，自动出定位相），提供技术平台名称及操作界面截图；</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2.7.9提供高级临床应用软件包；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 病人检查环境：</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2.8.1提供双向病人通话系统；</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2.8.2提供防磁耳机；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2.8.3提供可调试病人通风系统；</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2.8.4提供可调试磁孔内病人照明系统；</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2.8.5检查床最大承重≥250KG；</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2.8.6扫描床水平进床最大速度≥20cm/sec；</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2.8.7提供病人监视系统；</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2.8.8扫描床最低高度（以datasheet为准）≤52cm；</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2.8.9扫描床长度（以datasheet为准）≥250cm。</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 高级原厂后处理工作站及高级应用后处理软件：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2.9.1提供MR高级后处理工作站和工作台；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2.9.2提供脑灌注高级后处理功能；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2.9.3提供弥散张量成像高级后处理及纤维束追踪技术功能；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2.9.4提供脑功能分析高级后处理功能；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2.9.5提供单体素波谱高级后处理功能；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2.9.6提供参数定量高级后处理功能；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2.9.7提供图像融合高级后处理功能；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2.9.8提供图像拼接高级后处理功能；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2.9.9提供动态分析功能；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2.9.10提供ADC定量后处理功能。</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二、基本配置要求</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1.磁共振成像仪1台。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2.精密中央空调、水冷机组1套。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3.磁共振机房装修改造、装潢及屏蔽施工。</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4.无磁轮椅、无磁转运床、无磁抢救车、6L无磁灭火器各1套。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5.单筒磁共振高压注射器1套。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6.双立柱报警门及手动报警器各1套。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7.配置报告工作站2套（电脑、医用专业显示器6M及打印机）。</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8.信息接口：设备及配置报告工作站接入医院现有PACS系统并承担费用。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三、服务要求</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1.设备生产厂家或国内总代在浙江省有售后服务机构，有专职工程师提供技术及售后服务。</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2.服务期内如设备发生故障，维修响应时间为15分钟，24小时内到达用户现场进行维修，3个工作日内未修复者造成损失由设备供应商提供补偿。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3.设备安装后免费提供厂方操作和维修培训至医院满意为止。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4.提供用户中文操作手册、电子说明书、电子操作规程、维修手册、培训资料，提供厂家相应data sheet等相关资料，提供免费软件升级，并及时提供设备新功能和临床应用的资料。</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5.提供至少每年2次免费的上门定期回访和进行相关维护。</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6.整机保修≥1年，保修期后只收取配件费（免人工费），提供维修配件费用清单和维保费用价格清单。</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7.承担设备安装后机房屏蔽性能、计量等检测费用。</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20"/>
                <w:szCs w:val="20"/>
                <w:u w:val="none"/>
              </w:rPr>
            </w:pP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r>
              <w:rPr>
                <w:rFonts w:hint="default" w:ascii="Times New Roman" w:hAnsi="Times New Roman" w:eastAsia="宋体" w:cs="Times New Roman"/>
                <w:b w:val="0"/>
                <w:bCs w:val="0"/>
                <w:i w:val="0"/>
                <w:iCs w:val="0"/>
                <w:color w:val="auto"/>
                <w:kern w:val="0"/>
                <w:sz w:val="20"/>
                <w:szCs w:val="20"/>
                <w:u w:val="none"/>
                <w:lang w:val="en-US" w:eastAsia="zh-CN" w:bidi="ar"/>
              </w:rPr>
              <w:t>8.</w:t>
            </w:r>
            <w:r>
              <w:rPr>
                <w:rFonts w:ascii="仿宋" w:hAnsi="仿宋" w:eastAsia="仿宋" w:cs="仿宋"/>
                <w:b w:val="0"/>
                <w:bCs w:val="0"/>
                <w:i w:val="0"/>
                <w:iCs w:val="0"/>
                <w:color w:val="auto"/>
                <w:kern w:val="0"/>
                <w:sz w:val="20"/>
                <w:szCs w:val="20"/>
                <w:u w:val="none"/>
                <w:lang w:val="en-US" w:eastAsia="zh-CN" w:bidi="ar"/>
              </w:rPr>
              <w:t>本项目为包工包料交钥匙工程，中标人需提供完成本项目所需的所有设备、材料、配件、附件、备品备件等并完成所有设备的安装调试等，如有需要各投标人可在联系采购人并征得同意后前往踏勘现场，报价时综合考虑。以上清单中如涉及品牌或进口的不作要求，仅供参考。</w:t>
            </w:r>
            <w:r>
              <w:rPr>
                <w:rFonts w:hint="eastAsia" w:ascii="宋体" w:hAnsi="宋体" w:eastAsia="宋体" w:cs="宋体"/>
                <w:i w:val="0"/>
                <w:iCs w:val="0"/>
                <w:color w:val="auto"/>
                <w:kern w:val="0"/>
                <w:sz w:val="20"/>
                <w:szCs w:val="20"/>
                <w:u w:val="none"/>
                <w:lang w:val="en-US" w:eastAsia="zh-CN" w:bidi="ar"/>
              </w:rPr>
              <w:t xml:space="preserve">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bl>
    <w:p>
      <w:pPr>
        <w:spacing w:line="360" w:lineRule="auto"/>
        <w:jc w:val="both"/>
        <w:outlineLvl w:val="0"/>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pStyle w:val="81"/>
        <w:rPr>
          <w:rFonts w:hint="eastAsia" w:ascii="宋体" w:hAnsi="宋体" w:cs="宋体"/>
          <w:b/>
          <w:color w:val="auto"/>
          <w:sz w:val="36"/>
          <w:szCs w:val="36"/>
          <w:highlight w:val="none"/>
        </w:rPr>
      </w:pPr>
    </w:p>
    <w:p>
      <w:pPr>
        <w:pStyle w:val="81"/>
        <w:rPr>
          <w:rFonts w:hint="eastAsia" w:ascii="宋体" w:hAnsi="宋体" w:cs="宋体"/>
          <w:b/>
          <w:color w:val="auto"/>
          <w:sz w:val="36"/>
          <w:szCs w:val="36"/>
          <w:highlight w:val="none"/>
        </w:rPr>
      </w:pPr>
    </w:p>
    <w:p>
      <w:pPr>
        <w:pStyle w:val="81"/>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0287"/>
      <w:bookmarkEnd w:id="29"/>
      <w:bookmarkStart w:id="30" w:name="_Toc184314417"/>
      <w:bookmarkEnd w:id="30"/>
      <w:bookmarkStart w:id="31" w:name="_Toc184310292"/>
      <w:bookmarkEnd w:id="31"/>
      <w:bookmarkStart w:id="32" w:name="_Toc184310296"/>
      <w:bookmarkEnd w:id="32"/>
      <w:bookmarkStart w:id="33" w:name="_Toc184314428"/>
      <w:bookmarkEnd w:id="33"/>
      <w:bookmarkStart w:id="34" w:name="_Toc184308092"/>
      <w:bookmarkEnd w:id="34"/>
      <w:bookmarkStart w:id="35" w:name="_Toc184310330"/>
      <w:bookmarkEnd w:id="35"/>
      <w:bookmarkStart w:id="36" w:name="_Toc184308105"/>
      <w:bookmarkEnd w:id="36"/>
      <w:bookmarkStart w:id="37" w:name="_Toc184313275"/>
      <w:bookmarkEnd w:id="37"/>
      <w:bookmarkStart w:id="38" w:name="_Toc184308076"/>
      <w:bookmarkEnd w:id="38"/>
      <w:bookmarkStart w:id="39" w:name="_Toc184310310"/>
      <w:bookmarkEnd w:id="39"/>
      <w:bookmarkStart w:id="40" w:name="_Toc184314466"/>
      <w:bookmarkEnd w:id="40"/>
      <w:bookmarkStart w:id="41" w:name="_Toc184312111"/>
      <w:bookmarkEnd w:id="41"/>
      <w:bookmarkStart w:id="42" w:name="_Toc184312069"/>
      <w:bookmarkEnd w:id="42"/>
      <w:bookmarkStart w:id="43" w:name="_Toc184312092"/>
      <w:bookmarkEnd w:id="43"/>
      <w:bookmarkStart w:id="44" w:name="_Toc184308096"/>
      <w:bookmarkEnd w:id="44"/>
      <w:bookmarkStart w:id="45" w:name="_Toc184310342"/>
      <w:bookmarkEnd w:id="45"/>
      <w:bookmarkStart w:id="46" w:name="_Toc184310294"/>
      <w:bookmarkEnd w:id="46"/>
      <w:bookmarkStart w:id="47" w:name="_Toc184313247"/>
      <w:bookmarkEnd w:id="47"/>
      <w:bookmarkStart w:id="48" w:name="_Toc184312114"/>
      <w:bookmarkEnd w:id="48"/>
      <w:bookmarkStart w:id="49" w:name="_Toc184314423"/>
      <w:bookmarkEnd w:id="49"/>
      <w:bookmarkStart w:id="50" w:name="_Toc184314459"/>
      <w:bookmarkEnd w:id="50"/>
      <w:bookmarkStart w:id="51" w:name="_Toc184310280"/>
      <w:bookmarkEnd w:id="51"/>
      <w:bookmarkStart w:id="52" w:name="_Toc184312125"/>
      <w:bookmarkEnd w:id="52"/>
      <w:bookmarkStart w:id="53" w:name="_Toc184312074"/>
      <w:bookmarkEnd w:id="53"/>
      <w:bookmarkStart w:id="54" w:name="_Toc184313304"/>
      <w:bookmarkEnd w:id="54"/>
      <w:bookmarkStart w:id="55" w:name="_Toc184314415"/>
      <w:bookmarkEnd w:id="55"/>
      <w:bookmarkStart w:id="56" w:name="_Toc184310286"/>
      <w:bookmarkEnd w:id="56"/>
      <w:bookmarkStart w:id="57" w:name="_Toc184308082"/>
      <w:bookmarkEnd w:id="57"/>
      <w:bookmarkStart w:id="58" w:name="_Toc184314422"/>
      <w:bookmarkEnd w:id="58"/>
      <w:bookmarkStart w:id="59" w:name="_Toc184312123"/>
      <w:bookmarkEnd w:id="59"/>
      <w:bookmarkStart w:id="60" w:name="_Toc184310276"/>
      <w:bookmarkEnd w:id="60"/>
      <w:bookmarkStart w:id="61" w:name="_Toc184313298"/>
      <w:bookmarkEnd w:id="61"/>
      <w:bookmarkStart w:id="62" w:name="_Toc184313245"/>
      <w:bookmarkEnd w:id="62"/>
      <w:bookmarkStart w:id="63" w:name="_Toc184308060"/>
      <w:bookmarkEnd w:id="63"/>
      <w:bookmarkStart w:id="64" w:name="_Toc184313264"/>
      <w:bookmarkEnd w:id="64"/>
      <w:bookmarkStart w:id="65" w:name="_Toc184310319"/>
      <w:bookmarkEnd w:id="65"/>
      <w:bookmarkStart w:id="66" w:name="_Toc184314446"/>
      <w:bookmarkEnd w:id="66"/>
      <w:bookmarkStart w:id="67" w:name="_Toc184310290"/>
      <w:bookmarkEnd w:id="67"/>
      <w:bookmarkStart w:id="68" w:name="_Toc184310329"/>
      <w:bookmarkEnd w:id="68"/>
      <w:bookmarkStart w:id="69" w:name="_Toc184314477"/>
      <w:bookmarkEnd w:id="69"/>
      <w:bookmarkStart w:id="70" w:name="_Toc184308063"/>
      <w:bookmarkEnd w:id="70"/>
      <w:bookmarkStart w:id="71" w:name="_Toc184314458"/>
      <w:bookmarkEnd w:id="71"/>
      <w:bookmarkStart w:id="72" w:name="_Toc184313281"/>
      <w:bookmarkEnd w:id="72"/>
      <w:bookmarkStart w:id="73" w:name="_Toc184308067"/>
      <w:bookmarkEnd w:id="73"/>
      <w:bookmarkStart w:id="74" w:name="_Toc184312130"/>
      <w:bookmarkEnd w:id="74"/>
      <w:bookmarkStart w:id="75" w:name="_Toc184312081"/>
      <w:bookmarkEnd w:id="75"/>
      <w:bookmarkStart w:id="76" w:name="_Toc184310303"/>
      <w:bookmarkEnd w:id="76"/>
      <w:bookmarkStart w:id="77" w:name="_Toc184314444"/>
      <w:bookmarkEnd w:id="77"/>
      <w:bookmarkStart w:id="78" w:name="_Toc184312105"/>
      <w:bookmarkEnd w:id="78"/>
      <w:bookmarkStart w:id="79" w:name="_Toc184310300"/>
      <w:bookmarkEnd w:id="79"/>
      <w:bookmarkStart w:id="80" w:name="_Toc184310325"/>
      <w:bookmarkEnd w:id="80"/>
      <w:bookmarkStart w:id="81" w:name="_Toc184308066"/>
      <w:bookmarkEnd w:id="81"/>
      <w:bookmarkStart w:id="82" w:name="_Toc184314456"/>
      <w:bookmarkEnd w:id="82"/>
      <w:bookmarkStart w:id="83" w:name="_Toc184312073"/>
      <w:bookmarkEnd w:id="83"/>
      <w:bookmarkStart w:id="84" w:name="_Toc184314450"/>
      <w:bookmarkEnd w:id="84"/>
      <w:bookmarkStart w:id="85" w:name="_Toc184314453"/>
      <w:bookmarkEnd w:id="85"/>
      <w:bookmarkStart w:id="86" w:name="_Toc184310308"/>
      <w:bookmarkEnd w:id="86"/>
      <w:bookmarkStart w:id="87" w:name="_Toc184314414"/>
      <w:bookmarkEnd w:id="87"/>
      <w:bookmarkStart w:id="88" w:name="_Toc184308071"/>
      <w:bookmarkEnd w:id="88"/>
      <w:bookmarkStart w:id="89" w:name="_Toc184313301"/>
      <w:bookmarkEnd w:id="89"/>
      <w:bookmarkStart w:id="90" w:name="_Toc184313256"/>
      <w:bookmarkEnd w:id="90"/>
      <w:bookmarkStart w:id="91" w:name="_Toc184310324"/>
      <w:bookmarkEnd w:id="91"/>
      <w:bookmarkStart w:id="92" w:name="_Toc184313299"/>
      <w:bookmarkEnd w:id="92"/>
      <w:bookmarkStart w:id="93" w:name="_Toc184312106"/>
      <w:bookmarkEnd w:id="93"/>
      <w:bookmarkStart w:id="94" w:name="_Toc184314426"/>
      <w:bookmarkEnd w:id="94"/>
      <w:bookmarkStart w:id="95" w:name="_Toc184312137"/>
      <w:bookmarkEnd w:id="95"/>
      <w:bookmarkStart w:id="96" w:name="_Toc184314472"/>
      <w:bookmarkEnd w:id="96"/>
      <w:bookmarkStart w:id="97" w:name="_Toc184314467"/>
      <w:bookmarkEnd w:id="97"/>
      <w:bookmarkStart w:id="98" w:name="_Toc184308103"/>
      <w:bookmarkEnd w:id="98"/>
      <w:bookmarkStart w:id="99" w:name="_Toc184312133"/>
      <w:bookmarkEnd w:id="99"/>
      <w:bookmarkStart w:id="100" w:name="_Toc184312109"/>
      <w:bookmarkEnd w:id="100"/>
      <w:bookmarkStart w:id="101" w:name="_Toc184312080"/>
      <w:bookmarkEnd w:id="101"/>
      <w:bookmarkStart w:id="102" w:name="_Toc184310293"/>
      <w:bookmarkEnd w:id="102"/>
      <w:bookmarkStart w:id="103" w:name="_Toc184308062"/>
      <w:bookmarkEnd w:id="103"/>
      <w:bookmarkStart w:id="104" w:name="_Toc184314436"/>
      <w:bookmarkEnd w:id="104"/>
      <w:bookmarkStart w:id="105" w:name="_Toc184308058"/>
      <w:bookmarkEnd w:id="105"/>
      <w:bookmarkStart w:id="106" w:name="_Toc184310341"/>
      <w:bookmarkEnd w:id="106"/>
      <w:bookmarkStart w:id="107" w:name="_Toc184312135"/>
      <w:bookmarkEnd w:id="107"/>
      <w:bookmarkStart w:id="108" w:name="_Toc184313296"/>
      <w:bookmarkEnd w:id="108"/>
      <w:bookmarkStart w:id="109" w:name="_Toc184308045"/>
      <w:bookmarkEnd w:id="109"/>
      <w:bookmarkStart w:id="110" w:name="_Toc184310279"/>
      <w:bookmarkEnd w:id="110"/>
      <w:bookmarkStart w:id="111" w:name="_Toc184310298"/>
      <w:bookmarkEnd w:id="111"/>
      <w:bookmarkStart w:id="112" w:name="_Toc184314449"/>
      <w:bookmarkEnd w:id="112"/>
      <w:bookmarkStart w:id="113" w:name="_Toc184308047"/>
      <w:bookmarkEnd w:id="113"/>
      <w:bookmarkStart w:id="114" w:name="_Toc184313306"/>
      <w:bookmarkEnd w:id="114"/>
      <w:bookmarkStart w:id="115" w:name="_Toc184314410"/>
      <w:bookmarkEnd w:id="115"/>
      <w:bookmarkStart w:id="116" w:name="_Toc184313273"/>
      <w:bookmarkEnd w:id="116"/>
      <w:bookmarkStart w:id="117" w:name="_Toc184314454"/>
      <w:bookmarkEnd w:id="117"/>
      <w:bookmarkStart w:id="118" w:name="_Toc184312108"/>
      <w:bookmarkEnd w:id="118"/>
      <w:bookmarkStart w:id="119" w:name="_Toc184310322"/>
      <w:bookmarkEnd w:id="119"/>
      <w:bookmarkStart w:id="120" w:name="_Toc184310331"/>
      <w:bookmarkEnd w:id="120"/>
      <w:bookmarkStart w:id="121" w:name="_Toc184312085"/>
      <w:bookmarkEnd w:id="121"/>
      <w:bookmarkStart w:id="122" w:name="_Toc184312093"/>
      <w:bookmarkEnd w:id="122"/>
      <w:bookmarkStart w:id="123" w:name="_Toc184310336"/>
      <w:bookmarkEnd w:id="123"/>
      <w:bookmarkStart w:id="124" w:name="_Toc184314474"/>
      <w:bookmarkEnd w:id="124"/>
      <w:bookmarkStart w:id="125" w:name="_Toc184310302"/>
      <w:bookmarkEnd w:id="125"/>
      <w:bookmarkStart w:id="126" w:name="_Toc184312101"/>
      <w:bookmarkEnd w:id="126"/>
      <w:bookmarkStart w:id="127" w:name="_Toc184310337"/>
      <w:bookmarkEnd w:id="127"/>
      <w:bookmarkStart w:id="128" w:name="_Toc184314433"/>
      <w:bookmarkEnd w:id="128"/>
      <w:bookmarkStart w:id="129" w:name="_Toc184313257"/>
      <w:bookmarkEnd w:id="129"/>
      <w:bookmarkStart w:id="130" w:name="_Toc184313285"/>
      <w:bookmarkEnd w:id="130"/>
      <w:bookmarkStart w:id="131" w:name="_Toc184313263"/>
      <w:bookmarkEnd w:id="131"/>
      <w:bookmarkStart w:id="132" w:name="_Toc184312096"/>
      <w:bookmarkEnd w:id="132"/>
      <w:bookmarkStart w:id="133" w:name="_Toc184312089"/>
      <w:bookmarkEnd w:id="133"/>
      <w:bookmarkStart w:id="134" w:name="_Toc184314470"/>
      <w:bookmarkEnd w:id="134"/>
      <w:bookmarkStart w:id="135" w:name="_Toc184310295"/>
      <w:bookmarkEnd w:id="135"/>
      <w:bookmarkStart w:id="136" w:name="_Toc184308046"/>
      <w:bookmarkEnd w:id="136"/>
      <w:bookmarkStart w:id="137" w:name="_Toc184314440"/>
      <w:bookmarkEnd w:id="137"/>
      <w:bookmarkStart w:id="138" w:name="_Toc184314460"/>
      <w:bookmarkEnd w:id="138"/>
      <w:bookmarkStart w:id="139" w:name="_Toc184314482"/>
      <w:bookmarkEnd w:id="139"/>
      <w:bookmarkStart w:id="140" w:name="_Toc184312100"/>
      <w:bookmarkEnd w:id="140"/>
      <w:bookmarkStart w:id="141" w:name="_Toc184312070"/>
      <w:bookmarkEnd w:id="141"/>
      <w:bookmarkStart w:id="142" w:name="_Toc184312095"/>
      <w:bookmarkEnd w:id="142"/>
      <w:bookmarkStart w:id="143" w:name="_Toc184308099"/>
      <w:bookmarkEnd w:id="143"/>
      <w:bookmarkStart w:id="144" w:name="_Toc184312099"/>
      <w:bookmarkEnd w:id="144"/>
      <w:bookmarkStart w:id="145" w:name="_Toc184314419"/>
      <w:bookmarkEnd w:id="145"/>
      <w:bookmarkStart w:id="146" w:name="_Toc184313266"/>
      <w:bookmarkEnd w:id="146"/>
      <w:bookmarkStart w:id="147" w:name="_Toc184314471"/>
      <w:bookmarkEnd w:id="147"/>
      <w:bookmarkStart w:id="148" w:name="_Toc184313267"/>
      <w:bookmarkEnd w:id="148"/>
      <w:bookmarkStart w:id="149" w:name="_Toc184308061"/>
      <w:bookmarkEnd w:id="149"/>
      <w:bookmarkStart w:id="150" w:name="_Toc184308097"/>
      <w:bookmarkEnd w:id="150"/>
      <w:bookmarkStart w:id="151" w:name="_Toc184310314"/>
      <w:bookmarkEnd w:id="151"/>
      <w:bookmarkStart w:id="152" w:name="_Toc184313258"/>
      <w:bookmarkEnd w:id="152"/>
      <w:bookmarkStart w:id="153" w:name="_Toc184312104"/>
      <w:bookmarkEnd w:id="153"/>
      <w:bookmarkStart w:id="154" w:name="_Toc184310307"/>
      <w:bookmarkEnd w:id="154"/>
      <w:bookmarkStart w:id="155" w:name="_Toc184308078"/>
      <w:bookmarkEnd w:id="155"/>
      <w:bookmarkStart w:id="156" w:name="_Toc184313310"/>
      <w:bookmarkEnd w:id="156"/>
      <w:bookmarkStart w:id="157" w:name="_Toc184314432"/>
      <w:bookmarkEnd w:id="157"/>
      <w:bookmarkStart w:id="158" w:name="_Toc184308075"/>
      <w:bookmarkEnd w:id="158"/>
      <w:bookmarkStart w:id="159" w:name="_Toc184308107"/>
      <w:bookmarkEnd w:id="159"/>
      <w:bookmarkStart w:id="160" w:name="_Toc184308037"/>
      <w:bookmarkEnd w:id="160"/>
      <w:bookmarkStart w:id="161" w:name="_Toc184313291"/>
      <w:bookmarkEnd w:id="161"/>
      <w:bookmarkStart w:id="162" w:name="_Toc184308051"/>
      <w:bookmarkEnd w:id="162"/>
      <w:bookmarkStart w:id="163" w:name="_Toc184312067"/>
      <w:bookmarkEnd w:id="163"/>
      <w:bookmarkStart w:id="164" w:name="_Toc184314412"/>
      <w:bookmarkEnd w:id="164"/>
      <w:bookmarkStart w:id="165" w:name="_Toc184308086"/>
      <w:bookmarkEnd w:id="165"/>
      <w:bookmarkStart w:id="166" w:name="_Toc184313269"/>
      <w:bookmarkEnd w:id="166"/>
      <w:bookmarkStart w:id="167" w:name="_Toc184308084"/>
      <w:bookmarkEnd w:id="167"/>
      <w:bookmarkStart w:id="168" w:name="_Toc184308072"/>
      <w:bookmarkEnd w:id="168"/>
      <w:bookmarkStart w:id="169" w:name="_Toc184308102"/>
      <w:bookmarkEnd w:id="169"/>
      <w:bookmarkStart w:id="170" w:name="_Toc184310299"/>
      <w:bookmarkEnd w:id="170"/>
      <w:bookmarkStart w:id="171" w:name="_Toc184314463"/>
      <w:bookmarkEnd w:id="171"/>
      <w:bookmarkStart w:id="172" w:name="_Toc184308073"/>
      <w:bookmarkEnd w:id="172"/>
      <w:bookmarkStart w:id="173" w:name="_Toc184310340"/>
      <w:bookmarkEnd w:id="173"/>
      <w:bookmarkStart w:id="174" w:name="_Toc184312115"/>
      <w:bookmarkEnd w:id="174"/>
      <w:bookmarkStart w:id="175" w:name="_Toc184310306"/>
      <w:bookmarkEnd w:id="175"/>
      <w:bookmarkStart w:id="176" w:name="_Toc184312132"/>
      <w:bookmarkEnd w:id="176"/>
      <w:bookmarkStart w:id="177" w:name="_Toc184313305"/>
      <w:bookmarkEnd w:id="177"/>
      <w:bookmarkStart w:id="178" w:name="_Toc184313249"/>
      <w:bookmarkEnd w:id="178"/>
      <w:bookmarkStart w:id="179" w:name="_Toc184313303"/>
      <w:bookmarkEnd w:id="179"/>
      <w:bookmarkStart w:id="180" w:name="_Toc184310344"/>
      <w:bookmarkEnd w:id="180"/>
      <w:bookmarkStart w:id="181" w:name="_Toc184314476"/>
      <w:bookmarkEnd w:id="181"/>
      <w:bookmarkStart w:id="182" w:name="_Toc184313238"/>
      <w:bookmarkEnd w:id="182"/>
      <w:bookmarkStart w:id="183" w:name="_Toc184314443"/>
      <w:bookmarkEnd w:id="183"/>
      <w:bookmarkStart w:id="184" w:name="_Toc184314411"/>
      <w:bookmarkEnd w:id="184"/>
      <w:bookmarkStart w:id="185" w:name="_Toc184314416"/>
      <w:bookmarkEnd w:id="185"/>
      <w:bookmarkStart w:id="186" w:name="_Toc184308074"/>
      <w:bookmarkEnd w:id="186"/>
      <w:bookmarkStart w:id="187" w:name="_Toc184310326"/>
      <w:bookmarkEnd w:id="187"/>
      <w:bookmarkStart w:id="188" w:name="_Toc184314424"/>
      <w:bookmarkEnd w:id="188"/>
      <w:bookmarkStart w:id="189" w:name="_Toc184310272"/>
      <w:bookmarkEnd w:id="189"/>
      <w:bookmarkStart w:id="190" w:name="_Toc184308077"/>
      <w:bookmarkEnd w:id="190"/>
      <w:bookmarkStart w:id="191" w:name="_Toc184313288"/>
      <w:bookmarkEnd w:id="191"/>
      <w:bookmarkStart w:id="192" w:name="_Toc184310334"/>
      <w:bookmarkEnd w:id="192"/>
      <w:bookmarkStart w:id="193" w:name="_Toc184310305"/>
      <w:bookmarkEnd w:id="193"/>
      <w:bookmarkStart w:id="194" w:name="_Toc184308093"/>
      <w:bookmarkEnd w:id="194"/>
      <w:bookmarkStart w:id="195" w:name="_Toc184313268"/>
      <w:bookmarkEnd w:id="195"/>
      <w:bookmarkStart w:id="196" w:name="_Toc184313289"/>
      <w:bookmarkEnd w:id="196"/>
      <w:bookmarkStart w:id="197" w:name="_Toc184308108"/>
      <w:bookmarkEnd w:id="197"/>
      <w:bookmarkStart w:id="198" w:name="_Toc184308089"/>
      <w:bookmarkEnd w:id="198"/>
      <w:bookmarkStart w:id="199" w:name="_Toc184310291"/>
      <w:bookmarkEnd w:id="199"/>
      <w:bookmarkStart w:id="200" w:name="_Toc184310332"/>
      <w:bookmarkEnd w:id="200"/>
      <w:bookmarkStart w:id="201" w:name="_Toc184312083"/>
      <w:bookmarkEnd w:id="201"/>
      <w:bookmarkStart w:id="202" w:name="_Toc184313287"/>
      <w:bookmarkEnd w:id="202"/>
      <w:bookmarkStart w:id="203" w:name="_Toc184312112"/>
      <w:bookmarkEnd w:id="203"/>
      <w:bookmarkStart w:id="204" w:name="_Toc184314441"/>
      <w:bookmarkEnd w:id="204"/>
      <w:bookmarkStart w:id="205" w:name="_Toc184314435"/>
      <w:bookmarkEnd w:id="205"/>
      <w:bookmarkStart w:id="206" w:name="_Toc184308040"/>
      <w:bookmarkEnd w:id="206"/>
      <w:bookmarkStart w:id="207" w:name="_Toc184313253"/>
      <w:bookmarkEnd w:id="207"/>
      <w:bookmarkStart w:id="208" w:name="_Toc184314475"/>
      <w:bookmarkEnd w:id="208"/>
      <w:bookmarkStart w:id="209" w:name="_Toc184312078"/>
      <w:bookmarkEnd w:id="209"/>
      <w:bookmarkStart w:id="210" w:name="_Toc184313283"/>
      <w:bookmarkEnd w:id="210"/>
      <w:bookmarkStart w:id="211" w:name="_Toc184310284"/>
      <w:bookmarkEnd w:id="211"/>
      <w:bookmarkStart w:id="212" w:name="_Toc184313295"/>
      <w:bookmarkEnd w:id="212"/>
      <w:bookmarkStart w:id="213" w:name="_Toc184313239"/>
      <w:bookmarkEnd w:id="213"/>
      <w:bookmarkStart w:id="214" w:name="_Toc184308079"/>
      <w:bookmarkEnd w:id="214"/>
      <w:bookmarkStart w:id="215" w:name="_Toc184312077"/>
      <w:bookmarkEnd w:id="215"/>
      <w:bookmarkStart w:id="216" w:name="_Toc184313282"/>
      <w:bookmarkEnd w:id="216"/>
      <w:bookmarkStart w:id="217" w:name="_Toc184312088"/>
      <w:bookmarkEnd w:id="217"/>
      <w:bookmarkStart w:id="218" w:name="_Toc184313302"/>
      <w:bookmarkEnd w:id="218"/>
      <w:bookmarkStart w:id="219" w:name="_Toc184308055"/>
      <w:bookmarkEnd w:id="219"/>
      <w:bookmarkStart w:id="220" w:name="_Toc184312136"/>
      <w:bookmarkEnd w:id="220"/>
      <w:bookmarkStart w:id="221" w:name="_Toc184310327"/>
      <w:bookmarkEnd w:id="221"/>
      <w:bookmarkStart w:id="222" w:name="_Toc184314413"/>
      <w:bookmarkEnd w:id="222"/>
      <w:bookmarkStart w:id="223" w:name="_Toc184310309"/>
      <w:bookmarkEnd w:id="223"/>
      <w:bookmarkStart w:id="224" w:name="_Toc184313242"/>
      <w:bookmarkEnd w:id="224"/>
      <w:bookmarkStart w:id="225" w:name="_Toc184314431"/>
      <w:bookmarkEnd w:id="225"/>
      <w:bookmarkStart w:id="226" w:name="_Toc184312127"/>
      <w:bookmarkEnd w:id="226"/>
      <w:bookmarkStart w:id="227" w:name="_Toc184313276"/>
      <w:bookmarkEnd w:id="227"/>
      <w:bookmarkStart w:id="228" w:name="_Toc184313286"/>
      <w:bookmarkEnd w:id="228"/>
      <w:bookmarkStart w:id="229" w:name="_Toc184312129"/>
      <w:bookmarkEnd w:id="229"/>
      <w:bookmarkStart w:id="230" w:name="_Toc184314418"/>
      <w:bookmarkEnd w:id="230"/>
      <w:bookmarkStart w:id="231" w:name="_Toc184314427"/>
      <w:bookmarkEnd w:id="231"/>
      <w:bookmarkStart w:id="232" w:name="_Toc184308059"/>
      <w:bookmarkEnd w:id="232"/>
      <w:bookmarkStart w:id="233" w:name="_Toc184313279"/>
      <w:bookmarkEnd w:id="233"/>
      <w:bookmarkStart w:id="234" w:name="_Toc184310335"/>
      <w:bookmarkEnd w:id="234"/>
      <w:bookmarkStart w:id="235" w:name="_Toc184314420"/>
      <w:bookmarkEnd w:id="235"/>
      <w:bookmarkStart w:id="236" w:name="_Toc184308064"/>
      <w:bookmarkEnd w:id="236"/>
      <w:bookmarkStart w:id="237" w:name="_Toc184313240"/>
      <w:bookmarkEnd w:id="237"/>
      <w:bookmarkStart w:id="238" w:name="_Toc184314481"/>
      <w:bookmarkEnd w:id="238"/>
      <w:bookmarkStart w:id="239" w:name="_Toc184313261"/>
      <w:bookmarkEnd w:id="239"/>
      <w:bookmarkStart w:id="240" w:name="_Toc184312084"/>
      <w:bookmarkEnd w:id="240"/>
      <w:bookmarkStart w:id="241" w:name="_Toc184313300"/>
      <w:bookmarkEnd w:id="241"/>
      <w:bookmarkStart w:id="242" w:name="_Toc184312124"/>
      <w:bookmarkEnd w:id="242"/>
      <w:bookmarkStart w:id="243" w:name="_Toc184310278"/>
      <w:bookmarkEnd w:id="243"/>
      <w:bookmarkStart w:id="244" w:name="_Toc184314429"/>
      <w:bookmarkEnd w:id="244"/>
      <w:bookmarkStart w:id="245" w:name="_Toc184313252"/>
      <w:bookmarkEnd w:id="245"/>
      <w:bookmarkStart w:id="246" w:name="_Toc184314465"/>
      <w:bookmarkEnd w:id="246"/>
      <w:bookmarkStart w:id="247" w:name="_Toc184314451"/>
      <w:bookmarkEnd w:id="247"/>
      <w:bookmarkStart w:id="248" w:name="_Toc184310320"/>
      <w:bookmarkEnd w:id="248"/>
      <w:bookmarkStart w:id="249" w:name="_Toc184314439"/>
      <w:bookmarkEnd w:id="249"/>
      <w:bookmarkStart w:id="250" w:name="_Toc184314452"/>
      <w:bookmarkEnd w:id="250"/>
      <w:bookmarkStart w:id="251" w:name="_Toc184312116"/>
      <w:bookmarkEnd w:id="251"/>
      <w:bookmarkStart w:id="252" w:name="_Toc184308057"/>
      <w:bookmarkEnd w:id="252"/>
      <w:bookmarkStart w:id="253" w:name="_Toc184312087"/>
      <w:bookmarkEnd w:id="253"/>
      <w:bookmarkStart w:id="254" w:name="_Toc184308101"/>
      <w:bookmarkEnd w:id="254"/>
      <w:bookmarkStart w:id="255" w:name="_Toc184308083"/>
      <w:bookmarkEnd w:id="255"/>
      <w:bookmarkStart w:id="256" w:name="_Toc184310312"/>
      <w:bookmarkEnd w:id="256"/>
      <w:bookmarkStart w:id="257" w:name="_Toc184314468"/>
      <w:bookmarkEnd w:id="257"/>
      <w:bookmarkStart w:id="258" w:name="_Toc184313272"/>
      <w:bookmarkEnd w:id="258"/>
      <w:bookmarkStart w:id="259" w:name="_Toc184312119"/>
      <w:bookmarkEnd w:id="259"/>
      <w:bookmarkStart w:id="260" w:name="_Toc184313297"/>
      <w:bookmarkEnd w:id="260"/>
      <w:bookmarkStart w:id="261" w:name="_Toc184313248"/>
      <w:bookmarkEnd w:id="261"/>
      <w:bookmarkStart w:id="262" w:name="_Toc184310273"/>
      <w:bookmarkEnd w:id="262"/>
      <w:bookmarkStart w:id="263" w:name="_Toc184313309"/>
      <w:bookmarkEnd w:id="263"/>
      <w:bookmarkStart w:id="264" w:name="_Toc184314464"/>
      <w:bookmarkEnd w:id="264"/>
      <w:bookmarkStart w:id="265" w:name="_Toc184313284"/>
      <w:bookmarkEnd w:id="265"/>
      <w:bookmarkStart w:id="266" w:name="_Toc184310304"/>
      <w:bookmarkEnd w:id="266"/>
      <w:bookmarkStart w:id="267" w:name="_Toc184313262"/>
      <w:bookmarkEnd w:id="267"/>
      <w:bookmarkStart w:id="268" w:name="_Toc184308038"/>
      <w:bookmarkEnd w:id="268"/>
      <w:bookmarkStart w:id="269" w:name="_Toc184312094"/>
      <w:bookmarkEnd w:id="269"/>
      <w:bookmarkStart w:id="270" w:name="_Toc184313280"/>
      <w:bookmarkEnd w:id="270"/>
      <w:bookmarkStart w:id="271" w:name="_Toc184313294"/>
      <w:bookmarkEnd w:id="271"/>
      <w:bookmarkStart w:id="272" w:name="_Toc184312079"/>
      <w:bookmarkEnd w:id="272"/>
      <w:bookmarkStart w:id="273" w:name="_Toc184308091"/>
      <w:bookmarkEnd w:id="273"/>
      <w:bookmarkStart w:id="274" w:name="_Toc184308068"/>
      <w:bookmarkEnd w:id="274"/>
      <w:bookmarkStart w:id="275" w:name="_Toc184310289"/>
      <w:bookmarkEnd w:id="275"/>
      <w:bookmarkStart w:id="276" w:name="_Toc184310277"/>
      <w:bookmarkEnd w:id="276"/>
      <w:bookmarkStart w:id="277" w:name="_Toc184310318"/>
      <w:bookmarkEnd w:id="277"/>
      <w:bookmarkStart w:id="278" w:name="_Toc184312113"/>
      <w:bookmarkEnd w:id="278"/>
      <w:bookmarkStart w:id="279" w:name="_Toc184308049"/>
      <w:bookmarkEnd w:id="279"/>
      <w:bookmarkStart w:id="280" w:name="_Toc184308044"/>
      <w:bookmarkEnd w:id="280"/>
      <w:bookmarkStart w:id="281" w:name="_Toc184314425"/>
      <w:bookmarkEnd w:id="281"/>
      <w:bookmarkStart w:id="282" w:name="_Toc184310285"/>
      <w:bookmarkEnd w:id="282"/>
      <w:bookmarkStart w:id="283" w:name="_Toc184312072"/>
      <w:bookmarkEnd w:id="283"/>
      <w:bookmarkStart w:id="284" w:name="_Toc184313293"/>
      <w:bookmarkEnd w:id="284"/>
      <w:bookmarkStart w:id="285" w:name="_Toc184310281"/>
      <w:bookmarkEnd w:id="285"/>
      <w:bookmarkStart w:id="286" w:name="_Toc184308036"/>
      <w:bookmarkEnd w:id="286"/>
      <w:bookmarkStart w:id="287" w:name="_Toc184310275"/>
      <w:bookmarkEnd w:id="287"/>
      <w:bookmarkStart w:id="288" w:name="_Toc184314455"/>
      <w:bookmarkEnd w:id="288"/>
      <w:bookmarkStart w:id="289" w:name="_Toc184314434"/>
      <w:bookmarkEnd w:id="289"/>
      <w:bookmarkStart w:id="290" w:name="_Toc184312090"/>
      <w:bookmarkEnd w:id="290"/>
      <w:bookmarkStart w:id="291" w:name="_Toc184312138"/>
      <w:bookmarkEnd w:id="291"/>
      <w:bookmarkStart w:id="292" w:name="_Toc184310315"/>
      <w:bookmarkEnd w:id="292"/>
      <w:bookmarkStart w:id="293" w:name="_Toc184314457"/>
      <w:bookmarkEnd w:id="293"/>
      <w:bookmarkStart w:id="294" w:name="_Toc184310343"/>
      <w:bookmarkEnd w:id="294"/>
      <w:bookmarkStart w:id="295" w:name="_Toc184308052"/>
      <w:bookmarkEnd w:id="295"/>
      <w:bookmarkStart w:id="296" w:name="_Toc184314473"/>
      <w:bookmarkEnd w:id="296"/>
      <w:bookmarkStart w:id="297" w:name="_Toc184310288"/>
      <w:bookmarkEnd w:id="297"/>
      <w:bookmarkStart w:id="298" w:name="_Toc184312128"/>
      <w:bookmarkEnd w:id="298"/>
      <w:bookmarkStart w:id="299" w:name="_Toc184310321"/>
      <w:bookmarkEnd w:id="299"/>
      <w:bookmarkStart w:id="300" w:name="_Toc184308043"/>
      <w:bookmarkEnd w:id="300"/>
      <w:bookmarkStart w:id="301" w:name="_Toc184308098"/>
      <w:bookmarkEnd w:id="301"/>
      <w:bookmarkStart w:id="302" w:name="_Toc184308050"/>
      <w:bookmarkEnd w:id="302"/>
      <w:bookmarkStart w:id="303" w:name="_Toc184308070"/>
      <w:bookmarkEnd w:id="303"/>
      <w:bookmarkStart w:id="304" w:name="_Toc184308042"/>
      <w:bookmarkEnd w:id="304"/>
      <w:bookmarkStart w:id="305" w:name="_Toc184312134"/>
      <w:bookmarkEnd w:id="305"/>
      <w:bookmarkStart w:id="306" w:name="_Toc184313307"/>
      <w:bookmarkEnd w:id="306"/>
      <w:bookmarkStart w:id="307" w:name="_Toc184308048"/>
      <w:bookmarkEnd w:id="307"/>
      <w:bookmarkStart w:id="308" w:name="_Toc184313255"/>
      <w:bookmarkEnd w:id="308"/>
      <w:bookmarkStart w:id="309" w:name="_Toc184313260"/>
      <w:bookmarkEnd w:id="309"/>
      <w:bookmarkStart w:id="310" w:name="_Toc184308104"/>
      <w:bookmarkEnd w:id="310"/>
      <w:bookmarkStart w:id="311" w:name="_Toc184312103"/>
      <w:bookmarkEnd w:id="311"/>
      <w:bookmarkStart w:id="312" w:name="_Toc184312098"/>
      <w:bookmarkEnd w:id="312"/>
      <w:bookmarkStart w:id="313" w:name="_Toc184308039"/>
      <w:bookmarkEnd w:id="313"/>
      <w:bookmarkStart w:id="314" w:name="_Toc184314430"/>
      <w:bookmarkEnd w:id="314"/>
      <w:bookmarkStart w:id="315" w:name="_Toc184313278"/>
      <w:bookmarkEnd w:id="315"/>
      <w:bookmarkStart w:id="316" w:name="_Toc184313250"/>
      <w:bookmarkEnd w:id="316"/>
      <w:bookmarkStart w:id="317" w:name="_Toc184313271"/>
      <w:bookmarkEnd w:id="317"/>
      <w:bookmarkStart w:id="318" w:name="_Toc184308041"/>
      <w:bookmarkEnd w:id="318"/>
      <w:bookmarkStart w:id="319" w:name="_Toc184312126"/>
      <w:bookmarkEnd w:id="319"/>
      <w:bookmarkStart w:id="320" w:name="_Toc184313290"/>
      <w:bookmarkEnd w:id="320"/>
      <w:bookmarkStart w:id="321" w:name="_Toc184313244"/>
      <w:bookmarkEnd w:id="321"/>
      <w:bookmarkStart w:id="322" w:name="_Toc184310313"/>
      <w:bookmarkEnd w:id="322"/>
      <w:bookmarkStart w:id="323" w:name="_Toc184312139"/>
      <w:bookmarkEnd w:id="323"/>
      <w:bookmarkStart w:id="324" w:name="_Toc184308081"/>
      <w:bookmarkEnd w:id="324"/>
      <w:bookmarkStart w:id="325" w:name="_Toc184313277"/>
      <w:bookmarkEnd w:id="325"/>
      <w:bookmarkStart w:id="326" w:name="_Toc184312110"/>
      <w:bookmarkEnd w:id="326"/>
      <w:bookmarkStart w:id="327" w:name="_Toc184312107"/>
      <w:bookmarkEnd w:id="327"/>
      <w:bookmarkStart w:id="328" w:name="_Toc184313274"/>
      <w:bookmarkEnd w:id="328"/>
      <w:bookmarkStart w:id="329" w:name="_Toc184313292"/>
      <w:bookmarkEnd w:id="329"/>
      <w:bookmarkStart w:id="330" w:name="_Toc184313254"/>
      <w:bookmarkEnd w:id="330"/>
      <w:bookmarkStart w:id="331" w:name="_Toc184310333"/>
      <w:bookmarkEnd w:id="331"/>
      <w:bookmarkStart w:id="332" w:name="_Toc184312075"/>
      <w:bookmarkEnd w:id="332"/>
      <w:bookmarkStart w:id="333" w:name="_Toc184310297"/>
      <w:bookmarkEnd w:id="333"/>
      <w:bookmarkStart w:id="334" w:name="_Toc184308100"/>
      <w:bookmarkEnd w:id="334"/>
      <w:bookmarkStart w:id="335" w:name="_Toc184314447"/>
      <w:bookmarkEnd w:id="335"/>
      <w:bookmarkStart w:id="336" w:name="_Toc184314442"/>
      <w:bookmarkEnd w:id="336"/>
      <w:bookmarkStart w:id="337" w:name="_Toc184310311"/>
      <w:bookmarkEnd w:id="337"/>
      <w:bookmarkStart w:id="338" w:name="_Toc184313251"/>
      <w:bookmarkEnd w:id="338"/>
      <w:bookmarkStart w:id="339" w:name="_Toc184310301"/>
      <w:bookmarkEnd w:id="339"/>
      <w:bookmarkStart w:id="340" w:name="_Toc184308087"/>
      <w:bookmarkEnd w:id="340"/>
      <w:bookmarkStart w:id="341" w:name="_Toc184308069"/>
      <w:bookmarkEnd w:id="341"/>
      <w:bookmarkStart w:id="342" w:name="_Toc184313241"/>
      <w:bookmarkEnd w:id="342"/>
      <w:bookmarkStart w:id="343" w:name="_Toc184308053"/>
      <w:bookmarkEnd w:id="343"/>
      <w:bookmarkStart w:id="344" w:name="_Toc184310323"/>
      <w:bookmarkEnd w:id="344"/>
      <w:bookmarkStart w:id="345" w:name="_Toc184308080"/>
      <w:bookmarkEnd w:id="345"/>
      <w:bookmarkStart w:id="346" w:name="_Toc184308106"/>
      <w:bookmarkEnd w:id="346"/>
      <w:bookmarkStart w:id="347" w:name="_Toc184312097"/>
      <w:bookmarkEnd w:id="347"/>
      <w:bookmarkStart w:id="348" w:name="_Toc184312076"/>
      <w:bookmarkEnd w:id="348"/>
      <w:bookmarkStart w:id="349" w:name="_Toc184312121"/>
      <w:bookmarkEnd w:id="349"/>
      <w:bookmarkStart w:id="350" w:name="_Toc184310317"/>
      <w:bookmarkEnd w:id="350"/>
      <w:bookmarkStart w:id="351" w:name="_Toc184312086"/>
      <w:bookmarkEnd w:id="351"/>
      <w:bookmarkStart w:id="352" w:name="_Toc184308095"/>
      <w:bookmarkEnd w:id="352"/>
      <w:bookmarkStart w:id="353" w:name="_Toc184310282"/>
      <w:bookmarkEnd w:id="353"/>
      <w:bookmarkStart w:id="354" w:name="_Toc184312068"/>
      <w:bookmarkEnd w:id="354"/>
      <w:bookmarkStart w:id="355" w:name="_Toc184312120"/>
      <w:bookmarkEnd w:id="355"/>
      <w:bookmarkStart w:id="356" w:name="_Toc184314448"/>
      <w:bookmarkEnd w:id="356"/>
      <w:bookmarkStart w:id="357" w:name="_Toc184312131"/>
      <w:bookmarkEnd w:id="357"/>
      <w:bookmarkStart w:id="358" w:name="_Toc184314421"/>
      <w:bookmarkEnd w:id="358"/>
      <w:bookmarkStart w:id="359" w:name="_Toc184308056"/>
      <w:bookmarkEnd w:id="359"/>
      <w:bookmarkStart w:id="360" w:name="_Toc184313243"/>
      <w:bookmarkEnd w:id="360"/>
      <w:bookmarkStart w:id="361" w:name="_Toc184308090"/>
      <w:bookmarkEnd w:id="361"/>
      <w:bookmarkStart w:id="362" w:name="_Toc184308065"/>
      <w:bookmarkEnd w:id="362"/>
      <w:bookmarkStart w:id="363" w:name="_Toc184310328"/>
      <w:bookmarkEnd w:id="363"/>
      <w:bookmarkStart w:id="364" w:name="_Toc184312082"/>
      <w:bookmarkEnd w:id="364"/>
      <w:bookmarkStart w:id="365" w:name="_Toc184312117"/>
      <w:bookmarkEnd w:id="365"/>
      <w:bookmarkStart w:id="366" w:name="_Toc184312091"/>
      <w:bookmarkEnd w:id="366"/>
      <w:bookmarkStart w:id="367" w:name="_Toc184313265"/>
      <w:bookmarkEnd w:id="367"/>
      <w:bookmarkStart w:id="368" w:name="_Toc184314437"/>
      <w:bookmarkEnd w:id="368"/>
      <w:bookmarkStart w:id="369" w:name="_Toc184313246"/>
      <w:bookmarkEnd w:id="369"/>
      <w:bookmarkStart w:id="370" w:name="_Toc184314480"/>
      <w:bookmarkEnd w:id="370"/>
      <w:bookmarkStart w:id="371" w:name="_Toc184314438"/>
      <w:bookmarkEnd w:id="371"/>
      <w:bookmarkStart w:id="372" w:name="_Toc184312071"/>
      <w:bookmarkEnd w:id="372"/>
      <w:bookmarkStart w:id="373" w:name="_Toc184313308"/>
      <w:bookmarkEnd w:id="373"/>
      <w:bookmarkStart w:id="374" w:name="_Toc184312118"/>
      <w:bookmarkEnd w:id="374"/>
      <w:bookmarkStart w:id="375" w:name="_Toc184314445"/>
      <w:bookmarkEnd w:id="375"/>
      <w:bookmarkStart w:id="376" w:name="_Toc184314479"/>
      <w:bookmarkEnd w:id="376"/>
      <w:bookmarkStart w:id="377" w:name="_Toc184313259"/>
      <w:bookmarkEnd w:id="377"/>
      <w:bookmarkStart w:id="378" w:name="_Toc184313270"/>
      <w:bookmarkEnd w:id="378"/>
      <w:bookmarkStart w:id="379" w:name="_Toc184310338"/>
      <w:bookmarkEnd w:id="379"/>
      <w:bookmarkStart w:id="380" w:name="_Toc184310274"/>
      <w:bookmarkEnd w:id="380"/>
      <w:bookmarkStart w:id="381" w:name="_Toc184314478"/>
      <w:bookmarkEnd w:id="381"/>
      <w:bookmarkStart w:id="382" w:name="_Toc184314461"/>
      <w:bookmarkEnd w:id="382"/>
      <w:bookmarkStart w:id="383" w:name="_Toc184308085"/>
      <w:bookmarkEnd w:id="383"/>
      <w:bookmarkStart w:id="384" w:name="_Toc184310316"/>
      <w:bookmarkEnd w:id="384"/>
      <w:bookmarkStart w:id="385" w:name="_Toc184310339"/>
      <w:bookmarkEnd w:id="385"/>
      <w:bookmarkStart w:id="386" w:name="_Toc184310283"/>
      <w:bookmarkEnd w:id="386"/>
      <w:bookmarkStart w:id="387" w:name="_Toc184308088"/>
      <w:bookmarkEnd w:id="387"/>
      <w:bookmarkStart w:id="388" w:name="_Toc184314469"/>
      <w:bookmarkEnd w:id="388"/>
      <w:bookmarkStart w:id="389" w:name="_Toc184308094"/>
      <w:bookmarkEnd w:id="389"/>
      <w:bookmarkStart w:id="390" w:name="_Toc184308054"/>
      <w:bookmarkEnd w:id="390"/>
      <w:bookmarkStart w:id="391" w:name="_Toc184312102"/>
      <w:bookmarkEnd w:id="391"/>
      <w:bookmarkStart w:id="392" w:name="_Toc184312122"/>
      <w:bookmarkEnd w:id="392"/>
      <w:bookmarkStart w:id="393" w:name="_Toc184314462"/>
      <w:bookmarkEnd w:id="393"/>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668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23" w:type="dxa"/>
            <w:vAlign w:val="center"/>
          </w:tcPr>
          <w:p>
            <w:pPr>
              <w:adjustRightInd w:val="0"/>
              <w:snapToGrid w:val="0"/>
              <w:spacing w:line="300" w:lineRule="exact"/>
              <w:jc w:val="center"/>
              <w:rPr>
                <w:rFonts w:hint="eastAsia" w:ascii="宋体" w:hAnsi="宋体" w:eastAsia="宋体" w:cs="宋体"/>
                <w:b/>
                <w:bCs/>
                <w:color w:val="auto"/>
                <w:kern w:val="0"/>
                <w:sz w:val="21"/>
                <w:szCs w:val="21"/>
                <w:highlight w:val="none"/>
                <w:lang w:val="zh-CN" w:eastAsia="zh-CN" w:bidi="ar-SA"/>
              </w:rPr>
            </w:pPr>
            <w:r>
              <w:rPr>
                <w:rFonts w:hint="eastAsia" w:ascii="宋体" w:hAnsi="宋体" w:cs="宋体"/>
                <w:b/>
                <w:bCs/>
                <w:color w:val="auto"/>
                <w:kern w:val="0"/>
                <w:szCs w:val="21"/>
                <w:highlight w:val="none"/>
                <w:lang w:val="zh-CN"/>
              </w:rPr>
              <w:t>名称</w:t>
            </w:r>
          </w:p>
        </w:tc>
        <w:tc>
          <w:tcPr>
            <w:tcW w:w="6680" w:type="dxa"/>
            <w:vAlign w:val="center"/>
          </w:tcPr>
          <w:p>
            <w:pPr>
              <w:adjustRightInd w:val="0"/>
              <w:snapToGrid w:val="0"/>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Cs w:val="21"/>
                <w:highlight w:val="none"/>
              </w:rPr>
              <w:t>评分</w:t>
            </w:r>
            <w:r>
              <w:rPr>
                <w:rFonts w:hint="eastAsia" w:ascii="宋体" w:hAnsi="宋体" w:cs="宋体"/>
                <w:b/>
                <w:bCs/>
                <w:color w:val="auto"/>
                <w:kern w:val="0"/>
                <w:szCs w:val="21"/>
                <w:highlight w:val="none"/>
                <w:lang w:val="en-US" w:eastAsia="zh-CN"/>
              </w:rPr>
              <w:t>标准</w:t>
            </w:r>
          </w:p>
        </w:tc>
        <w:tc>
          <w:tcPr>
            <w:tcW w:w="1095" w:type="dxa"/>
            <w:vAlign w:val="center"/>
          </w:tcPr>
          <w:p>
            <w:pPr>
              <w:adjustRightInd w:val="0"/>
              <w:snapToGrid w:val="0"/>
              <w:spacing w:line="300" w:lineRule="exact"/>
              <w:jc w:val="center"/>
              <w:rPr>
                <w:rFonts w:hint="eastAsia" w:ascii="宋体" w:hAnsi="宋体" w:eastAsia="宋体" w:cs="宋体"/>
                <w:b/>
                <w:bCs/>
                <w:color w:val="auto"/>
                <w:kern w:val="0"/>
                <w:sz w:val="21"/>
                <w:szCs w:val="21"/>
                <w:highlight w:val="none"/>
                <w:lang w:val="zh-CN" w:eastAsia="zh-CN" w:bidi="ar-SA"/>
              </w:rPr>
            </w:pPr>
            <w:r>
              <w:rPr>
                <w:rFonts w:hint="eastAsia" w:ascii="宋体" w:hAnsi="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23" w:type="dxa"/>
            <w:vMerge w:val="restart"/>
            <w:vAlign w:val="center"/>
          </w:tcPr>
          <w:p>
            <w:pPr>
              <w:adjustRightInd w:val="0"/>
              <w:snapToGrid w:val="0"/>
              <w:spacing w:line="30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报价得分</w:t>
            </w:r>
          </w:p>
        </w:tc>
        <w:tc>
          <w:tcPr>
            <w:tcW w:w="6680" w:type="dxa"/>
            <w:vAlign w:val="center"/>
          </w:tcPr>
          <w:p>
            <w:pPr>
              <w:adjustRightInd w:val="0"/>
              <w:snapToGrid w:val="0"/>
              <w:spacing w:line="360" w:lineRule="auto"/>
              <w:rPr>
                <w:rFonts w:hint="eastAsia" w:ascii="宋体" w:hAnsi="宋体" w:cs="宋体"/>
                <w:color w:val="auto"/>
                <w:kern w:val="0"/>
                <w:szCs w:val="21"/>
                <w:highlight w:val="none"/>
                <w:lang w:val="zh-CN" w:eastAsia="zh-CN"/>
              </w:rPr>
            </w:pPr>
            <w:r>
              <w:rPr>
                <w:rFonts w:hint="eastAsia" w:ascii="宋体" w:hAnsi="宋体" w:cs="宋体"/>
                <w:color w:val="auto"/>
                <w:kern w:val="0"/>
                <w:szCs w:val="21"/>
                <w:highlight w:val="none"/>
                <w:lang w:val="en-US" w:eastAsia="zh-CN"/>
              </w:rPr>
              <w:t>最佳评标价为满足评标要求且最低的投标价，投标报价得分=(最佳评标价／投标价)×30，四舍五入，保留两位小数。</w:t>
            </w:r>
          </w:p>
        </w:tc>
        <w:tc>
          <w:tcPr>
            <w:tcW w:w="1095" w:type="dxa"/>
            <w:vMerge w:val="restart"/>
            <w:vAlign w:val="center"/>
          </w:tcPr>
          <w:p>
            <w:pPr>
              <w:adjustRightInd w:val="0"/>
              <w:snapToGrid w:val="0"/>
              <w:spacing w:line="3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723" w:type="dxa"/>
            <w:vMerge w:val="continue"/>
            <w:vAlign w:val="center"/>
          </w:tcPr>
          <w:p>
            <w:pPr>
              <w:adjustRightInd w:val="0"/>
              <w:snapToGrid w:val="0"/>
              <w:spacing w:line="300" w:lineRule="exact"/>
              <w:jc w:val="left"/>
              <w:rPr>
                <w:rFonts w:hint="eastAsia" w:ascii="宋体" w:hAnsi="宋体" w:cs="宋体"/>
                <w:color w:val="auto"/>
                <w:kern w:val="0"/>
                <w:szCs w:val="21"/>
                <w:highlight w:val="none"/>
                <w:lang w:val="zh-CN"/>
              </w:rPr>
            </w:pPr>
          </w:p>
        </w:tc>
        <w:tc>
          <w:tcPr>
            <w:tcW w:w="6680" w:type="dxa"/>
            <w:vAlign w:val="center"/>
          </w:tcPr>
          <w:p>
            <w:pPr>
              <w:adjustRightInd w:val="0"/>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本项目对小型和微型企业的投标报价给予10%的扣除，用扣除后的价格参与评审。</w:t>
            </w:r>
          </w:p>
        </w:tc>
        <w:tc>
          <w:tcPr>
            <w:tcW w:w="1095" w:type="dxa"/>
            <w:vMerge w:val="continue"/>
            <w:vAlign w:val="center"/>
          </w:tcPr>
          <w:p>
            <w:pPr>
              <w:adjustRightInd w:val="0"/>
              <w:snapToGrid w:val="0"/>
              <w:spacing w:line="30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23" w:type="dxa"/>
            <w:vAlign w:val="center"/>
          </w:tcPr>
          <w:p>
            <w:pPr>
              <w:widowControl/>
              <w:adjustRightInd w:val="0"/>
              <w:snapToGrid w:val="0"/>
              <w:spacing w:line="300" w:lineRule="exact"/>
              <w:jc w:val="left"/>
              <w:rPr>
                <w:rFonts w:ascii="宋体" w:hAnsi="宋体" w:eastAsia="宋体" w:cs="宋体"/>
                <w:color w:val="auto"/>
                <w:szCs w:val="21"/>
                <w:highlight w:val="none"/>
              </w:rPr>
            </w:pPr>
            <w:r>
              <w:rPr>
                <w:rFonts w:ascii="宋体" w:hAnsi="宋体" w:eastAsia="宋体" w:cs="宋体"/>
                <w:color w:val="auto"/>
                <w:szCs w:val="21"/>
                <w:highlight w:val="none"/>
              </w:rPr>
              <w:t>同类项目业绩</w:t>
            </w:r>
          </w:p>
        </w:tc>
        <w:tc>
          <w:tcPr>
            <w:tcW w:w="6680" w:type="dxa"/>
            <w:vAlign w:val="center"/>
          </w:tcPr>
          <w:p>
            <w:pPr>
              <w:widowControl/>
              <w:pBdr>
                <w:top w:val="none" w:color="auto" w:sz="0" w:space="0"/>
                <w:left w:val="none" w:color="auto" w:sz="0" w:space="0"/>
                <w:bottom w:val="none" w:color="auto" w:sz="0" w:space="0"/>
                <w:right w:val="none" w:color="auto" w:sz="0" w:space="0"/>
              </w:pBdr>
              <w:adjustRightInd w:val="0"/>
              <w:snapToGrid w:val="0"/>
              <w:spacing w:line="300" w:lineRule="exact"/>
              <w:jc w:val="left"/>
              <w:rPr>
                <w:rFonts w:ascii="宋体" w:hAnsi="宋体" w:eastAsia="宋体" w:cs="宋体"/>
                <w:color w:val="auto"/>
                <w:szCs w:val="21"/>
                <w:highlight w:val="none"/>
              </w:rPr>
            </w:pPr>
            <w:r>
              <w:rPr>
                <w:rFonts w:hint="default" w:ascii="宋体" w:hAnsi="宋体" w:eastAsia="宋体" w:cs="宋体"/>
                <w:bCs w:val="0"/>
                <w:color w:val="auto"/>
                <w:sz w:val="21"/>
                <w:szCs w:val="21"/>
                <w:highlight w:val="none"/>
                <w:lang w:val="en-US" w:eastAsia="zh-CN"/>
              </w:rPr>
              <w:t>投标人</w:t>
            </w:r>
            <w:r>
              <w:rPr>
                <w:rFonts w:hint="eastAsia" w:ascii="宋体" w:hAnsi="宋体" w:cs="宋体"/>
                <w:bCs w:val="0"/>
                <w:color w:val="auto"/>
                <w:sz w:val="21"/>
                <w:szCs w:val="21"/>
                <w:highlight w:val="none"/>
                <w:lang w:val="en-US" w:eastAsia="zh-CN"/>
              </w:rPr>
              <w:t>2020</w:t>
            </w:r>
            <w:r>
              <w:rPr>
                <w:rFonts w:hint="default" w:ascii="宋体" w:hAnsi="宋体" w:eastAsia="宋体" w:cs="宋体"/>
                <w:bCs w:val="0"/>
                <w:color w:val="auto"/>
                <w:sz w:val="21"/>
                <w:szCs w:val="21"/>
                <w:highlight w:val="none"/>
              </w:rPr>
              <w:t>年1月1日以来同类业绩成交合同，</w:t>
            </w:r>
            <w:r>
              <w:rPr>
                <w:rFonts w:hint="default" w:ascii="宋体" w:hAnsi="宋体" w:eastAsia="宋体" w:cs="宋体"/>
                <w:bCs w:val="0"/>
                <w:color w:val="auto"/>
                <w:sz w:val="21"/>
                <w:szCs w:val="21"/>
                <w:highlight w:val="none"/>
                <w:lang w:val="en-US" w:eastAsia="zh-CN"/>
              </w:rPr>
              <w:t>每个</w:t>
            </w:r>
            <w:r>
              <w:rPr>
                <w:rFonts w:hint="default" w:ascii="宋体" w:hAnsi="宋体" w:eastAsia="宋体" w:cs="宋体"/>
                <w:bCs w:val="0"/>
                <w:color w:val="auto"/>
                <w:sz w:val="21"/>
                <w:szCs w:val="21"/>
                <w:highlight w:val="none"/>
              </w:rPr>
              <w:t>得1分，最高3分。</w:t>
            </w:r>
            <w:r>
              <w:rPr>
                <w:rFonts w:hint="default" w:ascii="宋体" w:hAnsi="宋体" w:eastAsia="宋体" w:cs="宋体"/>
                <w:bCs w:val="0"/>
                <w:color w:val="auto"/>
                <w:sz w:val="21"/>
                <w:szCs w:val="21"/>
                <w:highlight w:val="none"/>
                <w:lang w:val="en-US" w:eastAsia="zh-CN"/>
              </w:rPr>
              <w:t>提供合同扫描件，否则不得分。</w:t>
            </w:r>
            <w:r>
              <w:rPr>
                <w:rFonts w:hint="eastAsia" w:ascii="宋体" w:hAnsi="宋体" w:eastAsia="宋体" w:cs="宋体"/>
                <w:bCs w:val="0"/>
                <w:color w:val="auto"/>
                <w:sz w:val="21"/>
                <w:szCs w:val="21"/>
                <w:highlight w:val="none"/>
                <w:lang w:val="en-US" w:eastAsia="zh-CN"/>
              </w:rPr>
              <w:t>若</w:t>
            </w:r>
            <w:r>
              <w:rPr>
                <w:rFonts w:hint="eastAsia" w:ascii="宋体" w:hAnsi="宋体" w:eastAsia="宋体" w:cs="宋体"/>
                <w:bCs w:val="0"/>
                <w:color w:val="auto"/>
                <w:sz w:val="21"/>
                <w:szCs w:val="21"/>
                <w:highlight w:val="none"/>
                <w:lang w:val="zh-CN" w:eastAsia="zh-CN"/>
              </w:rPr>
              <w:t>投标产品为省级以上主管部门认定的首台套产品，自纳入《省推广应用指导目录》起三年内参加政府采购活动，视同已具备相应销售业绩，本项得满分（</w:t>
            </w:r>
            <w:r>
              <w:rPr>
                <w:rFonts w:hint="eastAsia" w:ascii="宋体" w:hAnsi="宋体" w:eastAsia="宋体" w:cs="宋体"/>
                <w:bCs w:val="0"/>
                <w:color w:val="auto"/>
                <w:sz w:val="21"/>
                <w:szCs w:val="21"/>
                <w:highlight w:val="none"/>
                <w:lang w:val="en-US" w:eastAsia="zh-CN"/>
              </w:rPr>
              <w:t>须提供纳入《省推广应用指导目录》等证明材料</w:t>
            </w:r>
            <w:r>
              <w:rPr>
                <w:rFonts w:hint="eastAsia" w:ascii="宋体" w:hAnsi="宋体" w:eastAsia="宋体" w:cs="宋体"/>
                <w:bCs w:val="0"/>
                <w:color w:val="auto"/>
                <w:sz w:val="21"/>
                <w:szCs w:val="21"/>
                <w:highlight w:val="none"/>
                <w:lang w:val="zh-CN" w:eastAsia="zh-CN"/>
              </w:rPr>
              <w:t>）。</w:t>
            </w:r>
          </w:p>
        </w:tc>
        <w:tc>
          <w:tcPr>
            <w:tcW w:w="1095" w:type="dxa"/>
            <w:vAlign w:val="center"/>
          </w:tcPr>
          <w:p>
            <w:pPr>
              <w:widowControl/>
              <w:pBdr>
                <w:top w:val="none" w:color="auto" w:sz="0" w:space="0"/>
                <w:left w:val="none" w:color="auto" w:sz="0" w:space="0"/>
                <w:bottom w:val="none" w:color="auto" w:sz="0" w:space="0"/>
                <w:right w:val="none" w:color="auto" w:sz="0" w:space="0"/>
              </w:pBdr>
              <w:adjustRightInd w:val="0"/>
              <w:snapToGrid w:val="0"/>
              <w:spacing w:line="300" w:lineRule="exact"/>
              <w:jc w:val="center"/>
              <w:rPr>
                <w:rFonts w:ascii="宋体" w:hAnsi="宋体" w:eastAsia="宋体" w:cs="宋体"/>
                <w:color w:val="auto"/>
                <w:szCs w:val="21"/>
                <w:highlight w:val="none"/>
              </w:rPr>
            </w:pPr>
            <w:r>
              <w:rPr>
                <w:rFonts w:hint="default" w:ascii="宋体" w:hAnsi="宋体" w:eastAsia="宋体" w:cs="宋体"/>
                <w:color w:val="auto"/>
                <w:kern w:val="2"/>
                <w:sz w:val="21"/>
                <w:szCs w:val="21"/>
                <w:highlight w:val="none"/>
                <w:lang w:eastAsia="zh-CN"/>
              </w:rPr>
              <w:t>0-</w:t>
            </w:r>
            <w:r>
              <w:rPr>
                <w:rFonts w:hint="default" w:ascii="宋体" w:hAnsi="宋体" w:eastAsia="宋体" w:cs="宋体"/>
                <w:color w:val="auto"/>
                <w:kern w:val="2"/>
                <w:sz w:val="21"/>
                <w:szCs w:val="21"/>
                <w:highlight w:val="none"/>
                <w:lang w:val="en-US" w:eastAsia="zh-CN"/>
              </w:rPr>
              <w:t>3</w:t>
            </w:r>
            <w:r>
              <w:rPr>
                <w:rFonts w:hint="default" w:ascii="宋体" w:hAnsi="宋体" w:eastAsia="宋体" w:cs="宋体"/>
                <w:color w:val="auto"/>
                <w:kern w:val="2"/>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23" w:type="dxa"/>
            <w:vAlign w:val="center"/>
          </w:tcPr>
          <w:p>
            <w:pPr>
              <w:widowControl/>
              <w:adjustRightInd w:val="0"/>
              <w:snapToGrid w:val="0"/>
              <w:spacing w:line="300" w:lineRule="exact"/>
              <w:jc w:val="left"/>
              <w:rPr>
                <w:rFonts w:hint="eastAsia" w:ascii="宋体" w:hAnsi="宋体" w:eastAsia="宋体" w:cs="宋体"/>
                <w:color w:val="auto"/>
                <w:szCs w:val="21"/>
                <w:highlight w:val="none"/>
                <w:lang w:val="en-US" w:eastAsia="zh-CN"/>
              </w:rPr>
            </w:pPr>
            <w:r>
              <w:rPr>
                <w:rFonts w:ascii="宋体" w:hAnsi="宋体" w:cs="宋体"/>
                <w:color w:val="auto"/>
                <w:szCs w:val="21"/>
                <w:highlight w:val="none"/>
              </w:rPr>
              <w:t>技术</w:t>
            </w:r>
            <w:r>
              <w:rPr>
                <w:rFonts w:hint="eastAsia" w:ascii="宋体" w:hAnsi="宋体" w:cs="宋体"/>
                <w:color w:val="auto"/>
                <w:kern w:val="0"/>
                <w:szCs w:val="21"/>
                <w:highlight w:val="none"/>
              </w:rPr>
              <w:t>参数</w:t>
            </w:r>
            <w:r>
              <w:rPr>
                <w:rFonts w:hint="eastAsia" w:ascii="宋体" w:hAnsi="宋体" w:cs="宋体"/>
                <w:color w:val="auto"/>
                <w:szCs w:val="21"/>
                <w:highlight w:val="none"/>
                <w:lang w:val="en-US" w:eastAsia="zh-CN"/>
              </w:rPr>
              <w:t>响应</w:t>
            </w:r>
          </w:p>
        </w:tc>
        <w:tc>
          <w:tcPr>
            <w:tcW w:w="6680" w:type="dxa"/>
            <w:vAlign w:val="center"/>
          </w:tcPr>
          <w:p>
            <w:pPr>
              <w:adjustRightInd w:val="0"/>
              <w:snapToGrid w:val="0"/>
              <w:spacing w:line="240" w:lineRule="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技术</w:t>
            </w:r>
            <w:r>
              <w:rPr>
                <w:rFonts w:hint="eastAsia" w:ascii="宋体" w:hAnsi="宋体" w:cs="宋体"/>
                <w:color w:val="auto"/>
                <w:kern w:val="0"/>
                <w:szCs w:val="21"/>
                <w:highlight w:val="none"/>
              </w:rPr>
              <w:t>参数</w:t>
            </w:r>
            <w:r>
              <w:rPr>
                <w:rFonts w:hint="eastAsia" w:ascii="宋体" w:hAnsi="宋体" w:cs="宋体"/>
                <w:color w:val="auto"/>
                <w:kern w:val="0"/>
                <w:szCs w:val="21"/>
                <w:highlight w:val="none"/>
                <w:lang w:val="en-US" w:eastAsia="zh-CN"/>
              </w:rPr>
              <w:t>全部满足采购文件要求的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32</w:t>
            </w:r>
            <w:r>
              <w:rPr>
                <w:rFonts w:hint="eastAsia" w:ascii="宋体" w:hAnsi="宋体" w:cs="宋体"/>
                <w:color w:val="auto"/>
                <w:kern w:val="0"/>
                <w:szCs w:val="21"/>
                <w:highlight w:val="none"/>
              </w:rPr>
              <w:t>分。</w:t>
            </w:r>
            <w:r>
              <w:rPr>
                <w:rFonts w:hint="eastAsia" w:ascii="宋体" w:hAnsi="宋体" w:cs="宋体"/>
                <w:color w:val="auto"/>
                <w:szCs w:val="21"/>
                <w:highlight w:val="none"/>
              </w:rPr>
              <w:t>“</w:t>
            </w:r>
            <w:r>
              <w:rPr>
                <w:rStyle w:val="961"/>
                <w:rFonts w:hint="eastAsia" w:ascii="宋体" w:hAnsi="宋体" w:eastAsia="宋体" w:cs="宋体"/>
                <w:color w:val="auto"/>
                <w:sz w:val="21"/>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号参数为实质性要求条款，不满足要求的投标无效，</w:t>
            </w:r>
            <w:r>
              <w:rPr>
                <w:rFonts w:hint="eastAsia" w:ascii="宋体" w:hAnsi="宋体" w:cs="宋体"/>
                <w:color w:val="auto"/>
                <w:szCs w:val="21"/>
                <w:highlight w:val="none"/>
              </w:rPr>
              <w:t>其他技术参数负偏</w:t>
            </w:r>
            <w:r>
              <w:rPr>
                <w:rFonts w:hint="eastAsia" w:ascii="宋体" w:hAnsi="宋体" w:cs="宋体"/>
                <w:color w:val="auto"/>
                <w:szCs w:val="21"/>
                <w:highlight w:val="none"/>
                <w:lang w:val="en-US" w:eastAsia="zh-CN"/>
              </w:rPr>
              <w:t>离扣分情况详见《第三部分 采购需求》，完全满足该条款得到该条款对应分值，如果不满足该条款则不得分</w:t>
            </w:r>
            <w:r>
              <w:rPr>
                <w:rFonts w:hint="eastAsia" w:ascii="宋体" w:hAnsi="宋体" w:cs="宋体"/>
                <w:color w:val="auto"/>
                <w:szCs w:val="21"/>
                <w:highlight w:val="none"/>
              </w:rPr>
              <w:t>。</w:t>
            </w:r>
          </w:p>
        </w:tc>
        <w:tc>
          <w:tcPr>
            <w:tcW w:w="1095" w:type="dxa"/>
            <w:vAlign w:val="center"/>
          </w:tcPr>
          <w:p>
            <w:pPr>
              <w:adjustRightInd w:val="0"/>
              <w:snapToGrid w:val="0"/>
              <w:spacing w:line="300" w:lineRule="exact"/>
              <w:jc w:val="center"/>
              <w:rPr>
                <w:rFonts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32</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723" w:type="dxa"/>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rPr>
              <w:t>性能</w:t>
            </w:r>
            <w:r>
              <w:rPr>
                <w:rFonts w:hint="eastAsia" w:ascii="宋体" w:hAnsi="宋体" w:eastAsia="宋体" w:cs="宋体"/>
                <w:color w:val="auto"/>
                <w:kern w:val="0"/>
                <w:sz w:val="21"/>
                <w:szCs w:val="21"/>
                <w:highlight w:val="none"/>
                <w:lang w:eastAsia="zh-CN"/>
              </w:rPr>
              <w:t>情况</w:t>
            </w:r>
          </w:p>
        </w:tc>
        <w:tc>
          <w:tcPr>
            <w:tcW w:w="6680" w:type="dxa"/>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 w:val="21"/>
                <w:szCs w:val="21"/>
                <w:highlight w:val="none"/>
                <w:lang w:eastAsia="zh-CN"/>
              </w:rPr>
              <w:t>投标产品功能、配置先进、完整、适用性强的得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分；投标产品功能、配置基本先进、基本完整和基本适用的得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分；投标产品功能、配置不够先进、不够完整、勉强适用的得</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分；其它不得分。</w:t>
            </w:r>
          </w:p>
        </w:tc>
        <w:tc>
          <w:tcPr>
            <w:tcW w:w="1095" w:type="dxa"/>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eastAsia="zh-CN"/>
              </w:rPr>
              <w:t>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723" w:type="dxa"/>
            <w:vAlign w:val="center"/>
          </w:tcPr>
          <w:p>
            <w:pPr>
              <w:widowControl/>
              <w:adjustRightInd w:val="0"/>
              <w:snapToGrid w:val="0"/>
              <w:spacing w:line="300" w:lineRule="exact"/>
              <w:jc w:val="left"/>
              <w:rPr>
                <w:rFonts w:ascii="宋体" w:hAnsi="宋体" w:cs="宋体"/>
                <w:color w:val="auto"/>
                <w:szCs w:val="21"/>
                <w:highlight w:val="none"/>
              </w:rPr>
            </w:pPr>
            <w:r>
              <w:rPr>
                <w:rFonts w:hint="eastAsia" w:ascii="宋体" w:hAnsi="宋体" w:eastAsia="宋体" w:cs="Times New Roman"/>
                <w:color w:val="auto"/>
                <w:sz w:val="21"/>
                <w:szCs w:val="24"/>
                <w:highlight w:val="none"/>
              </w:rPr>
              <w:t>节能环保产品</w:t>
            </w:r>
          </w:p>
        </w:tc>
        <w:tc>
          <w:tcPr>
            <w:tcW w:w="6680" w:type="dxa"/>
            <w:vAlign w:val="center"/>
          </w:tcPr>
          <w:p>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所投的核心关键设备产品型号有政府采购节能产品的（以《市场监管总局关于发布参与实施政府采购节能产品、环境标志产品认证机构名录的公告》（2019年第16号）中所列政府采购节能产品认证机构出具的节能产品认证证书或中国政府采购网节能产品查询结果截图为准）。核心关键设备全部列入的得1分，占核心关键设备产品50%（含）-100%（不含）的得0.5分，占核心关键设备产品50%（不含）以下的得0.2分，未提供的不得分。</w:t>
            </w:r>
          </w:p>
          <w:p>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所投的核心关键设备产品型号有政府采购环境标志产品的（以《市场监管总局关于发布参与实施政府采购节能产品、环境标志产品认证机构名录的公告》（2019年第16号）中所列环境标志产品认证机构出具的环境标志产品认证证书或中国政府采购网环境标志产品查询结果截图为准）。核心关键设备全部列入的得1分，占核心关键设备产品50%（含）-100%（不含）的得0.5分，占核心关键设备产品50%（不含）以下的得0.2分，未提供的不得分。</w:t>
            </w:r>
          </w:p>
          <w:p>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cs="宋体"/>
                <w:color w:val="auto"/>
                <w:kern w:val="2"/>
                <w:szCs w:val="21"/>
                <w:highlight w:val="none"/>
                <w:lang w:val="en-US" w:eastAsia="zh-CN"/>
              </w:rPr>
            </w:pPr>
            <w:r>
              <w:rPr>
                <w:rFonts w:hint="default" w:ascii="宋体" w:hAnsi="宋体" w:eastAsia="宋体" w:cs="宋体"/>
                <w:color w:val="auto"/>
                <w:sz w:val="21"/>
                <w:szCs w:val="21"/>
                <w:highlight w:val="none"/>
              </w:rPr>
              <w:t>注：政府强制采购的节能产品除外；未提供节能和环境标志产品认证证书或中国政府采购网查询结果截图的不得分。</w:t>
            </w:r>
          </w:p>
        </w:tc>
        <w:tc>
          <w:tcPr>
            <w:tcW w:w="1095" w:type="dxa"/>
            <w:vAlign w:val="center"/>
          </w:tcPr>
          <w:p>
            <w:pPr>
              <w:keepNext w:val="0"/>
              <w:keepLines w:val="0"/>
              <w:pageBreakBefore w:val="0"/>
              <w:widowControl/>
              <w:kinsoku/>
              <w:wordWrap/>
              <w:overflowPunct/>
              <w:topLinePunct w:val="0"/>
              <w:bidi w:val="0"/>
              <w:snapToGrid w:val="0"/>
              <w:spacing w:line="300" w:lineRule="exact"/>
              <w:ind w:left="0" w:leftChars="0" w:right="0" w:rightChars="0" w:firstLine="0" w:firstLineChars="0"/>
              <w:jc w:val="center"/>
              <w:textAlignment w:val="auto"/>
              <w:rPr>
                <w:rFonts w:hint="eastAsia" w:ascii="宋体" w:hAnsi="宋体" w:cs="宋体"/>
                <w:color w:val="auto"/>
                <w:kern w:val="0"/>
                <w:szCs w:val="21"/>
                <w:highlight w:val="none"/>
              </w:rPr>
            </w:pPr>
            <w:r>
              <w:rPr>
                <w:rFonts w:hint="default" w:ascii="宋体" w:hAnsi="宋体" w:eastAsia="宋体" w:cs="宋体"/>
                <w:color w:val="auto"/>
                <w:sz w:val="21"/>
                <w:szCs w:val="21"/>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723" w:type="dxa"/>
            <w:vAlign w:val="center"/>
          </w:tcPr>
          <w:p>
            <w:pPr>
              <w:widowControl/>
              <w:adjustRightInd w:val="0"/>
              <w:snapToGrid w:val="0"/>
              <w:spacing w:line="300" w:lineRule="exact"/>
              <w:jc w:val="center"/>
              <w:rPr>
                <w:rFonts w:ascii="宋体" w:hAnsi="宋体" w:cs="宋体"/>
                <w:color w:val="auto"/>
                <w:szCs w:val="21"/>
                <w:highlight w:val="none"/>
                <w:lang w:val="zh-CN"/>
              </w:rPr>
            </w:pPr>
            <w:r>
              <w:rPr>
                <w:rFonts w:ascii="宋体" w:hAnsi="宋体" w:cs="宋体"/>
                <w:color w:val="auto"/>
                <w:szCs w:val="21"/>
                <w:highlight w:val="none"/>
              </w:rPr>
              <w:t>供货、安装、调试、验收的方案和措施</w:t>
            </w:r>
          </w:p>
        </w:tc>
        <w:tc>
          <w:tcPr>
            <w:tcW w:w="6680" w:type="dxa"/>
            <w:vAlign w:val="center"/>
          </w:tcPr>
          <w:p>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货方案和措施，方案和措施科学合理、安全严密、条理清晰、完善、重点突出、专业性强的得2-3分；方案和措施基本合理、安全可行、具有一定条理、基本完善、专业性一般的得1-2分；方案和措施不够合理、可操作性不够强的得0-1分。</w:t>
            </w:r>
          </w:p>
          <w:p>
            <w:pPr>
              <w:keepNext w:val="0"/>
              <w:keepLines w:val="0"/>
              <w:pageBreakBefore w:val="0"/>
              <w:widowControl/>
              <w:kinsoku/>
              <w:wordWrap/>
              <w:overflowPunct/>
              <w:topLinePunct w:val="0"/>
              <w:bidi w:val="0"/>
              <w:snapToGrid w:val="0"/>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安装方案和措施，方案和措施科学合理、安全严密、条理清晰、完善、重点突出、专业性强的得2-3分；方案和措施基本合理、安全可行、具有一定条理、基本完善、专业性一般的得1-2分；方案和措施不够合理、可操作性不够强的得0-1分。</w:t>
            </w:r>
          </w:p>
          <w:p>
            <w:pPr>
              <w:keepNext w:val="0"/>
              <w:keepLines w:val="0"/>
              <w:pageBreakBefore w:val="0"/>
              <w:widowControl/>
              <w:kinsoku/>
              <w:wordWrap/>
              <w:overflowPunct/>
              <w:topLinePunct w:val="0"/>
              <w:bidi w:val="0"/>
              <w:snapToGrid w:val="0"/>
              <w:spacing w:line="3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调试方案和措施，方案和措施科学合理、安全严密、条理清晰、完善、重点突出、专业性强的得2-3分；方案和措施基本合理、安全可行、具有一定条理、基本完善、专业性一般的得1-2分；方案和措施不够合理、可操作性不够强的得0-1分。</w:t>
            </w:r>
          </w:p>
          <w:p>
            <w:pPr>
              <w:keepNext w:val="0"/>
              <w:keepLines w:val="0"/>
              <w:pageBreakBefore w:val="0"/>
              <w:widowControl/>
              <w:kinsoku/>
              <w:wordWrap/>
              <w:overflowPunct/>
              <w:topLinePunct w:val="0"/>
              <w:bidi w:val="0"/>
              <w:snapToGrid w:val="0"/>
              <w:spacing w:line="300" w:lineRule="exact"/>
              <w:jc w:val="left"/>
              <w:textAlignment w:val="auto"/>
              <w:rPr>
                <w:rFonts w:ascii="宋体" w:hAnsi="宋体" w:cs="宋体"/>
                <w:color w:val="auto"/>
                <w:kern w:val="0"/>
                <w:szCs w:val="21"/>
                <w:highlight w:val="none"/>
              </w:rPr>
            </w:pPr>
            <w:r>
              <w:rPr>
                <w:rFonts w:hint="eastAsia" w:ascii="宋体" w:hAnsi="宋体" w:eastAsia="宋体" w:cs="宋体"/>
                <w:color w:val="auto"/>
                <w:sz w:val="21"/>
                <w:szCs w:val="21"/>
                <w:highlight w:val="none"/>
                <w:lang w:val="en-US" w:eastAsia="zh-CN"/>
              </w:rPr>
              <w:t>④验收方案和措施，方案和措施科学合理、安全严密、条理清晰、完善、重点突出、专业性强的得2-3分；方案和措施基本合理、安全可行、具有一定条理、基本完善、专业性一般的得1-2分；方案和措施不够合理、可操作性不够强的得0-1分。</w:t>
            </w:r>
          </w:p>
        </w:tc>
        <w:tc>
          <w:tcPr>
            <w:tcW w:w="1095" w:type="dxa"/>
            <w:vAlign w:val="center"/>
          </w:tcPr>
          <w:p>
            <w:pPr>
              <w:widowControl/>
              <w:adjustRightInd w:val="0"/>
              <w:snapToGrid w:val="0"/>
              <w:spacing w:line="3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12</w:t>
            </w:r>
            <w:r>
              <w:rPr>
                <w:rFonts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23" w:type="dxa"/>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ascii="宋体" w:hAnsi="宋体" w:cs="宋体"/>
                <w:color w:val="auto"/>
                <w:kern w:val="0"/>
                <w:szCs w:val="21"/>
                <w:highlight w:val="none"/>
                <w:lang w:val="zh-CN"/>
              </w:rPr>
            </w:pPr>
            <w:r>
              <w:rPr>
                <w:rFonts w:hint="eastAsia" w:ascii="宋体" w:hAnsi="宋体" w:eastAsia="宋体" w:cs="宋体"/>
                <w:color w:val="auto"/>
                <w:kern w:val="0"/>
                <w:sz w:val="21"/>
                <w:szCs w:val="21"/>
                <w:highlight w:val="none"/>
                <w:lang w:val="en-US" w:eastAsia="zh-CN"/>
              </w:rPr>
              <w:t>售后服务方案</w:t>
            </w:r>
          </w:p>
        </w:tc>
        <w:tc>
          <w:tcPr>
            <w:tcW w:w="6680" w:type="dxa"/>
            <w:vAlign w:val="center"/>
          </w:tcPr>
          <w:p>
            <w:pPr>
              <w:numPr>
                <w:ilvl w:val="0"/>
                <w:numId w:val="0"/>
              </w:num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color w:val="auto"/>
                <w:highlight w:val="none"/>
                <w:lang w:val="en-US" w:eastAsia="zh-CN"/>
              </w:rPr>
            </w:pPr>
            <w:r>
              <w:rPr>
                <w:rFonts w:hint="eastAsia"/>
                <w:color w:val="auto"/>
                <w:highlight w:val="none"/>
                <w:lang w:val="en-US" w:eastAsia="zh-CN"/>
              </w:rPr>
              <w:t>1.提供详细完整且科学、合理、具体的售后服务方案、售后服务体系、服务承诺、本地化服务及维保方案内容（至少包括服务措施、设备维修</w:t>
            </w:r>
            <w:r>
              <w:rPr>
                <w:rFonts w:hint="eastAsia"/>
                <w:color w:val="auto"/>
                <w:highlight w:val="none"/>
              </w:rPr>
              <w:t>配件价格</w:t>
            </w:r>
            <w:r>
              <w:rPr>
                <w:rFonts w:hint="eastAsia"/>
                <w:color w:val="auto"/>
                <w:highlight w:val="none"/>
                <w:lang w:val="en-US" w:eastAsia="zh-CN"/>
              </w:rPr>
              <w:t>及</w:t>
            </w:r>
            <w:r>
              <w:rPr>
                <w:rFonts w:hint="eastAsia"/>
                <w:color w:val="auto"/>
                <w:highlight w:val="none"/>
              </w:rPr>
              <w:t>上门服务费价格</w:t>
            </w:r>
            <w:r>
              <w:rPr>
                <w:rFonts w:hint="eastAsia"/>
                <w:color w:val="auto"/>
                <w:highlight w:val="none"/>
                <w:lang w:val="en-US" w:eastAsia="zh-CN"/>
              </w:rPr>
              <w:t>清单</w:t>
            </w:r>
            <w:r>
              <w:rPr>
                <w:rFonts w:hint="eastAsia"/>
                <w:color w:val="auto"/>
                <w:highlight w:val="none"/>
              </w:rPr>
              <w:t>、</w:t>
            </w:r>
            <w:r>
              <w:rPr>
                <w:rFonts w:hint="eastAsia"/>
                <w:color w:val="auto"/>
                <w:highlight w:val="none"/>
                <w:lang w:val="en-US" w:eastAsia="zh-CN"/>
              </w:rPr>
              <w:t>设备装机清单、售后服务响应时间、回访等）。方案全面完善、配备合理、响应迅速、措施可行性强的得4-5分；方案基本全面、配备基本合理、响应基本迅速、措施基本可行的得2-3分；方案不够合理，响应不够及时、可行性不强的得0-1分。</w:t>
            </w:r>
          </w:p>
          <w:p>
            <w:pPr>
              <w:numPr>
                <w:ilvl w:val="0"/>
                <w:numId w:val="0"/>
              </w:num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color w:val="auto"/>
                <w:highlight w:val="none"/>
                <w:lang w:val="en-US" w:eastAsia="zh-CN"/>
              </w:rPr>
            </w:pPr>
            <w:r>
              <w:rPr>
                <w:rFonts w:hint="eastAsia"/>
                <w:color w:val="auto"/>
                <w:highlight w:val="none"/>
                <w:lang w:val="en-US" w:eastAsia="zh-CN"/>
              </w:rPr>
              <w:t>2.承诺质保期外五年内，每12个月提供1次免费的设备保养的得1分，提供2次免费的设备保养的得2分，不承诺的不得分（承诺书格式自拟）。</w:t>
            </w:r>
          </w:p>
          <w:p>
            <w:pPr>
              <w:numPr>
                <w:ilvl w:val="0"/>
                <w:numId w:val="0"/>
              </w:numPr>
              <w:pBdr>
                <w:top w:val="none" w:color="auto" w:sz="0" w:space="0"/>
                <w:left w:val="none" w:color="auto" w:sz="0" w:space="0"/>
                <w:bottom w:val="none" w:color="auto" w:sz="0" w:space="0"/>
                <w:right w:val="none" w:color="auto" w:sz="0" w:space="0"/>
              </w:pBdr>
              <w:adjustRightInd w:val="0"/>
              <w:snapToGrid w:val="0"/>
              <w:spacing w:line="300" w:lineRule="exact"/>
              <w:jc w:val="left"/>
              <w:rPr>
                <w:rFonts w:hint="default"/>
                <w:color w:val="auto"/>
                <w:highlight w:val="none"/>
                <w:lang w:val="en-US" w:eastAsia="zh-CN"/>
              </w:rPr>
            </w:pPr>
            <w:r>
              <w:rPr>
                <w:rFonts w:hint="eastAsia"/>
                <w:color w:val="auto"/>
                <w:highlight w:val="none"/>
                <w:lang w:val="en-US" w:eastAsia="zh-CN"/>
              </w:rPr>
              <w:t>3.承诺设备使用软件终生免费升级的得2分，不承诺的不得分（承诺书格式自拟）。</w:t>
            </w:r>
          </w:p>
        </w:tc>
        <w:tc>
          <w:tcPr>
            <w:tcW w:w="1095" w:type="dxa"/>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免费质保期</w:t>
            </w:r>
          </w:p>
        </w:tc>
        <w:tc>
          <w:tcPr>
            <w:tcW w:w="6680" w:type="dxa"/>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color w:val="auto"/>
                <w:highlight w:val="none"/>
              </w:rPr>
            </w:pPr>
            <w:r>
              <w:rPr>
                <w:rFonts w:hint="eastAsia" w:ascii="宋体" w:hAnsi="宋体" w:cs="宋体"/>
                <w:color w:val="auto"/>
                <w:szCs w:val="21"/>
                <w:highlight w:val="none"/>
              </w:rPr>
              <w:t>承诺在招标文件质保期</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基础上</w:t>
            </w:r>
            <w:r>
              <w:rPr>
                <w:rFonts w:hint="eastAsia" w:ascii="宋体" w:hAnsi="宋体" w:cs="宋体"/>
                <w:color w:val="auto"/>
                <w:szCs w:val="21"/>
                <w:highlight w:val="none"/>
                <w:lang w:eastAsia="zh-CN"/>
              </w:rPr>
              <w:t>，</w:t>
            </w:r>
            <w:r>
              <w:rPr>
                <w:rFonts w:hint="eastAsia" w:ascii="宋体" w:hAnsi="宋体" w:cs="宋体"/>
                <w:color w:val="auto"/>
                <w:szCs w:val="21"/>
                <w:highlight w:val="none"/>
              </w:rPr>
              <w:t>增加质保期的，每增加</w:t>
            </w:r>
            <w:r>
              <w:rPr>
                <w:rFonts w:hint="eastAsia" w:ascii="宋体" w:hAnsi="宋体" w:cs="宋体"/>
                <w:color w:val="auto"/>
                <w:szCs w:val="21"/>
                <w:highlight w:val="none"/>
                <w:lang w:val="en-US" w:eastAsia="zh-CN"/>
              </w:rPr>
              <w:t>1年</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承诺书格式自拟，</w:t>
            </w:r>
            <w:r>
              <w:rPr>
                <w:rFonts w:hint="eastAsia" w:ascii="宋体" w:hAnsi="宋体" w:cs="宋体"/>
                <w:color w:val="auto"/>
                <w:szCs w:val="21"/>
                <w:highlight w:val="none"/>
              </w:rPr>
              <w:t>不承诺的不得分。</w:t>
            </w:r>
          </w:p>
        </w:tc>
        <w:tc>
          <w:tcPr>
            <w:tcW w:w="1095" w:type="dxa"/>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723" w:type="dxa"/>
            <w:vAlign w:val="center"/>
          </w:tcPr>
          <w:p>
            <w:pPr>
              <w:pBdr>
                <w:top w:val="none" w:color="auto" w:sz="0" w:space="0"/>
                <w:left w:val="none" w:color="auto" w:sz="0" w:space="0"/>
                <w:bottom w:val="none" w:color="auto" w:sz="0" w:space="0"/>
                <w:right w:val="none" w:color="auto" w:sz="0" w:space="0"/>
              </w:pBdr>
              <w:adjustRightInd w:val="0"/>
              <w:snapToGrid w:val="0"/>
              <w:spacing w:line="300" w:lineRule="exact"/>
              <w:jc w:val="left"/>
              <w:rPr>
                <w:rFonts w:hint="default" w:ascii="宋体" w:hAnsi="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rPr>
              <w:t>培训</w:t>
            </w:r>
            <w:r>
              <w:rPr>
                <w:rFonts w:hint="eastAsia" w:ascii="宋体" w:hAnsi="宋体" w:cs="宋体"/>
                <w:color w:val="auto"/>
                <w:kern w:val="0"/>
                <w:sz w:val="21"/>
                <w:szCs w:val="21"/>
                <w:highlight w:val="none"/>
                <w:lang w:val="en-US" w:eastAsia="zh-CN"/>
              </w:rPr>
              <w:t>服务</w:t>
            </w:r>
          </w:p>
        </w:tc>
        <w:tc>
          <w:tcPr>
            <w:tcW w:w="6680" w:type="dxa"/>
            <w:vAlign w:val="center"/>
          </w:tcPr>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00" w:lineRule="exact"/>
              <w:ind w:right="0" w:rightChars="0"/>
              <w:jc w:val="left"/>
              <w:textAlignment w:val="auto"/>
              <w:rPr>
                <w:rFonts w:hint="eastAsia" w:ascii="宋体" w:hAnsi="宋体"/>
                <w:color w:val="auto"/>
                <w:highlight w:val="none"/>
              </w:rPr>
            </w:pPr>
            <w:r>
              <w:rPr>
                <w:rFonts w:hint="eastAsia" w:ascii="宋体" w:hAnsi="宋体" w:eastAsia="宋体" w:cs="宋体"/>
                <w:color w:val="auto"/>
                <w:sz w:val="21"/>
                <w:szCs w:val="21"/>
                <w:highlight w:val="none"/>
                <w:lang w:eastAsia="zh-CN"/>
              </w:rPr>
              <w:t>投标人提供的人员培训计划合理规范，培训课程具体丰富，师资配备合理的得2-3分；提供的人员培训计划基本合理规范，培训课程简单，师资配备基本合理的得1-2分；提供的人员培训计划不合理规范，培训课程空洞单一，师资配备不合理的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tc>
        <w:tc>
          <w:tcPr>
            <w:tcW w:w="1095" w:type="dxa"/>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line="300" w:lineRule="exact"/>
              <w:ind w:left="0" w:leftChars="0" w:right="0" w:rightChars="0" w:firstLine="0" w:firstLineChars="0"/>
              <w:jc w:val="center"/>
              <w:textAlignment w:val="auto"/>
              <w:rPr>
                <w:rFonts w:ascii="宋体" w:hAnsi="宋体" w:cs="宋体"/>
                <w:color w:val="auto"/>
                <w:kern w:val="0"/>
                <w:szCs w:val="21"/>
                <w:highlight w:val="none"/>
              </w:rPr>
            </w:pPr>
            <w:r>
              <w:rPr>
                <w:rFonts w:hint="eastAsia" w:ascii="宋体" w:hAnsi="宋体" w:eastAsia="宋体" w:cs="宋体"/>
                <w:color w:val="auto"/>
                <w:sz w:val="21"/>
                <w:szCs w:val="21"/>
                <w:highlight w:val="none"/>
                <w:lang w:eastAsia="zh-CN"/>
              </w:rPr>
              <w:t>0-3分</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w:t>
      </w:r>
      <w:r>
        <w:rPr>
          <w:rFonts w:hint="eastAsia" w:ascii="宋体" w:hAnsi="宋体" w:cs="宋体"/>
          <w:color w:val="auto"/>
          <w:sz w:val="24"/>
          <w:highlight w:val="none"/>
        </w:rPr>
        <w:t>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ind w:firstLine="48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360" w:lineRule="auto"/>
        <w:rPr>
          <w:rFonts w:cs="宋体"/>
          <w:color w:val="auto"/>
          <w:highlight w:val="none"/>
        </w:rPr>
      </w:pPr>
      <w:r>
        <w:rPr>
          <w:rFonts w:hint="eastAsia" w:cs="宋体"/>
          <w:color w:val="auto"/>
          <w:highlight w:val="none"/>
        </w:rPr>
        <w:t>5.4因重大变故，采购任务取消的。</w:t>
      </w:r>
    </w:p>
    <w:p>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rPr>
          <w:rFonts w:hint="eastAsia" w:cs="宋体"/>
          <w:color w:val="auto"/>
          <w:highlight w:val="none"/>
        </w:rPr>
      </w:pPr>
    </w:p>
    <w:p>
      <w:pPr>
        <w:pStyle w:val="26"/>
        <w:snapToGrid w:val="0"/>
        <w:spacing w:line="360" w:lineRule="auto"/>
        <w:rPr>
          <w:rFonts w:hint="eastAsia" w:cs="宋体"/>
          <w:color w:val="auto"/>
          <w:highlight w:val="none"/>
        </w:rPr>
      </w:pPr>
    </w:p>
    <w:p>
      <w:pPr>
        <w:pStyle w:val="26"/>
        <w:snapToGrid w:val="0"/>
        <w:spacing w:line="360" w:lineRule="auto"/>
        <w:rPr>
          <w:rFonts w:hint="eastAsia" w:cs="宋体"/>
          <w:color w:val="auto"/>
          <w:highlight w:val="none"/>
        </w:rPr>
      </w:pPr>
    </w:p>
    <w:p>
      <w:pPr>
        <w:pStyle w:val="26"/>
        <w:snapToGrid w:val="0"/>
        <w:spacing w:line="360" w:lineRule="auto"/>
        <w:rPr>
          <w:rFonts w:hint="eastAsia" w:cs="宋体"/>
          <w:color w:val="auto"/>
          <w:highlight w:val="none"/>
        </w:rPr>
      </w:pPr>
    </w:p>
    <w:p>
      <w:pPr>
        <w:pStyle w:val="26"/>
        <w:snapToGrid w:val="0"/>
        <w:spacing w:line="360" w:lineRule="auto"/>
        <w:rPr>
          <w:rFonts w:hint="eastAsia" w:cs="宋体"/>
          <w:color w:val="auto"/>
          <w:highlight w:val="none"/>
        </w:rPr>
      </w:pPr>
    </w:p>
    <w:p>
      <w:pPr>
        <w:pStyle w:val="26"/>
        <w:snapToGrid w:val="0"/>
        <w:spacing w:line="360" w:lineRule="auto"/>
        <w:rPr>
          <w:rFonts w:hint="eastAsia" w:cs="宋体"/>
          <w:color w:val="auto"/>
          <w:highlight w:val="none"/>
        </w:rPr>
      </w:pPr>
    </w:p>
    <w:p>
      <w:pPr>
        <w:pStyle w:val="26"/>
        <w:snapToGrid w:val="0"/>
        <w:spacing w:line="360" w:lineRule="auto"/>
        <w:rPr>
          <w:rFonts w:hint="eastAsia" w:cs="宋体"/>
          <w:color w:val="auto"/>
          <w:highlight w:val="none"/>
        </w:rPr>
      </w:pPr>
    </w:p>
    <w:bookmarkEnd w:id="28"/>
    <w:p>
      <w:pPr>
        <w:adjustRightInd w:val="0"/>
        <w:spacing w:line="500" w:lineRule="exact"/>
        <w:ind w:firstLine="2530" w:firstLineChars="700"/>
        <w:rPr>
          <w:rFonts w:hint="eastAsia" w:ascii="宋体" w:hAnsi="宋体" w:cs="宋体"/>
          <w:b/>
          <w:color w:val="auto"/>
          <w:sz w:val="36"/>
          <w:szCs w:val="36"/>
          <w:highlight w:val="none"/>
        </w:rPr>
      </w:pPr>
      <w:bookmarkStart w:id="394" w:name="第五部分"/>
      <w:bookmarkStart w:id="395" w:name="_Toc86217003"/>
      <w:r>
        <w:rPr>
          <w:rFonts w:hint="eastAsia" w:ascii="宋体" w:hAnsi="宋体" w:cs="宋体"/>
          <w:b/>
          <w:color w:val="auto"/>
          <w:sz w:val="36"/>
          <w:szCs w:val="36"/>
          <w:highlight w:val="none"/>
        </w:rPr>
        <w:t xml:space="preserve">第五部分 合同主要条款 </w:t>
      </w:r>
    </w:p>
    <w:p>
      <w:pPr>
        <w:spacing w:line="400" w:lineRule="exact"/>
        <w:ind w:firstLine="480" w:firstLineChars="200"/>
        <w:jc w:val="center"/>
        <w:rPr>
          <w:rFonts w:hint="eastAsia" w:ascii="仿宋" w:hAnsi="仿宋" w:eastAsia="仿宋"/>
          <w:color w:val="auto"/>
          <w:sz w:val="24"/>
          <w:szCs w:val="28"/>
          <w:highlight w:val="none"/>
        </w:rPr>
      </w:pPr>
      <w:r>
        <w:rPr>
          <w:rFonts w:hint="eastAsia" w:ascii="仿宋" w:hAnsi="仿宋" w:eastAsia="仿宋"/>
          <w:color w:val="auto"/>
          <w:sz w:val="24"/>
          <w:szCs w:val="28"/>
          <w:highlight w:val="none"/>
        </w:rPr>
        <w:t>（以双方实际签订合同为准）</w:t>
      </w:r>
    </w:p>
    <w:p>
      <w:pPr>
        <w:tabs>
          <w:tab w:val="right" w:pos="8306"/>
        </w:tabs>
        <w:spacing w:line="312" w:lineRule="auto"/>
        <w:jc w:val="both"/>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甲方：衢州市第三医院</w:t>
      </w:r>
    </w:p>
    <w:p>
      <w:pPr>
        <w:tabs>
          <w:tab w:val="right" w:pos="8306"/>
        </w:tabs>
        <w:spacing w:line="312" w:lineRule="auto"/>
        <w:jc w:val="both"/>
        <w:rPr>
          <w:rFonts w:hint="eastAsia"/>
          <w:color w:val="auto"/>
          <w:highlight w:val="none"/>
        </w:rPr>
      </w:pPr>
      <w:r>
        <w:rPr>
          <w:rFonts w:hint="eastAsia" w:ascii="黑体" w:hAnsi="黑体" w:eastAsia="黑体" w:cs="黑体"/>
          <w:b w:val="0"/>
          <w:bCs w:val="0"/>
          <w:color w:val="auto"/>
          <w:sz w:val="24"/>
          <w:szCs w:val="24"/>
          <w:highlight w:val="none"/>
        </w:rPr>
        <w:t>乙方：</w:t>
      </w:r>
    </w:p>
    <w:p>
      <w:pPr>
        <w:keepNext w:val="0"/>
        <w:keepLines w:val="0"/>
        <w:pageBreakBefore w:val="0"/>
        <w:widowControl w:val="0"/>
        <w:numPr>
          <w:ilvl w:val="0"/>
          <w:numId w:val="0"/>
        </w:numPr>
        <w:kinsoku/>
        <w:overflowPunct/>
        <w:topLinePunct w:val="0"/>
        <w:autoSpaceDE w:val="0"/>
        <w:autoSpaceDN w:val="0"/>
        <w:bidi w:val="0"/>
        <w:adjustRightInd w:val="0"/>
        <w:snapToGrid w:val="0"/>
        <w:spacing w:line="336" w:lineRule="auto"/>
        <w:jc w:val="center"/>
        <w:textAlignment w:val="auto"/>
        <w:outlineLvl w:val="1"/>
        <w:rPr>
          <w:rFonts w:hint="eastAsia" w:ascii="宋体" w:hAnsi="宋体" w:eastAsia="宋体" w:cs="Times New Roman"/>
          <w:b/>
          <w:bCs/>
          <w:color w:val="auto"/>
          <w:sz w:val="24"/>
          <w:szCs w:val="24"/>
          <w:highlight w:val="none"/>
          <w:lang w:val="zh-CN"/>
        </w:rPr>
      </w:pPr>
      <w:bookmarkStart w:id="396" w:name="_Toc15630516"/>
      <w:r>
        <w:rPr>
          <w:rFonts w:hint="eastAsia" w:ascii="宋体" w:hAnsi="宋体" w:eastAsia="宋体" w:cs="Times New Roman"/>
          <w:b/>
          <w:bCs/>
          <w:color w:val="auto"/>
          <w:sz w:val="24"/>
          <w:szCs w:val="24"/>
          <w:highlight w:val="none"/>
          <w:lang w:val="zh-CN"/>
        </w:rPr>
        <w:t>一、通用条款</w:t>
      </w:r>
      <w:bookmarkEnd w:id="396"/>
    </w:p>
    <w:p>
      <w:pPr>
        <w:spacing w:line="312" w:lineRule="auto"/>
        <w:jc w:val="both"/>
        <w:rPr>
          <w:rFonts w:hint="eastAsia" w:ascii="宋体" w:hAnsi="宋体" w:cs="宋体"/>
          <w:b w:val="0"/>
          <w:bCs w:val="0"/>
          <w:color w:val="auto"/>
          <w:sz w:val="21"/>
          <w:szCs w:val="21"/>
          <w:highlight w:val="none"/>
        </w:rPr>
      </w:pP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1货物和服务的名称、技术规范和数量</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应与招标文件及投标人提供的技术偏离表相一致。</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2货物和服务的质量、技术标准</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合同货物和服务的质量、技术标准如在招标文件中无相应说明，则按中华人民共和国有关部门颁发的最新的国标或专业（部）标准执行及相应的国际标准。没有国家或专业(部)标准的，按企业标准执行。</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3专利权</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乙方对—切可能的侵权指控负责。</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4风险责任</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执行本合同的过程中，确因在现有水平和条件下难以克服的技术困难，导致部分或全部失败所造成的损失，风险责任由乙方全部承担。</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5无瑕疵条款</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乙方在交付货物和服务后发现有瑕疵或漏项的，乙方应负担由此而产生的一切损失。</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6合同转让和分包</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本合同不得转让</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分包</w:t>
      </w:r>
      <w:r>
        <w:rPr>
          <w:rFonts w:hint="eastAsia" w:ascii="宋体" w:hAnsi="宋体" w:eastAsia="宋体" w:cs="宋体"/>
          <w:b w:val="0"/>
          <w:bCs w:val="0"/>
          <w:color w:val="auto"/>
          <w:sz w:val="24"/>
          <w:szCs w:val="24"/>
          <w:highlight w:val="none"/>
        </w:rPr>
        <w:t>。未经甲方书面同意，乙方不得将合同内容</w:t>
      </w:r>
      <w:r>
        <w:rPr>
          <w:rFonts w:hint="eastAsia" w:ascii="宋体" w:hAnsi="宋体" w:cs="宋体"/>
          <w:b w:val="0"/>
          <w:bCs w:val="0"/>
          <w:color w:val="auto"/>
          <w:sz w:val="24"/>
          <w:szCs w:val="24"/>
          <w:highlight w:val="none"/>
          <w:lang w:val="en-US" w:eastAsia="zh-CN"/>
        </w:rPr>
        <w:t>转让、</w:t>
      </w:r>
      <w:r>
        <w:rPr>
          <w:rFonts w:hint="eastAsia" w:ascii="宋体" w:hAnsi="宋体" w:eastAsia="宋体" w:cs="宋体"/>
          <w:b w:val="0"/>
          <w:bCs w:val="0"/>
          <w:color w:val="auto"/>
          <w:sz w:val="24"/>
          <w:szCs w:val="24"/>
          <w:highlight w:val="none"/>
        </w:rPr>
        <w:t>分包给第三方。将合同整体或者肢解后以内部承包协议将合同权益、义务转让给单位内部主体或者挂靠主体的，视为非法转让、分包</w:t>
      </w:r>
      <w:r>
        <w:rPr>
          <w:rFonts w:hint="eastAsia" w:ascii="宋体" w:hAnsi="宋体" w:cs="宋体"/>
          <w:b w:val="0"/>
          <w:bCs w:val="0"/>
          <w:color w:val="auto"/>
          <w:sz w:val="24"/>
          <w:szCs w:val="24"/>
          <w:highlight w:val="none"/>
          <w:lang w:eastAsia="zh-CN"/>
        </w:rPr>
        <w:t>。</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7 </w:t>
      </w:r>
      <w:r>
        <w:rPr>
          <w:rFonts w:hint="eastAsia" w:ascii="宋体" w:hAnsi="宋体" w:eastAsia="宋体" w:cs="宋体"/>
          <w:b w:val="0"/>
          <w:bCs w:val="0"/>
          <w:color w:val="auto"/>
          <w:sz w:val="24"/>
          <w:szCs w:val="24"/>
          <w:highlight w:val="none"/>
        </w:rPr>
        <w:t>不可抗力事件处理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lang w:val="en-US" w:eastAsia="zh-CN"/>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7.2</w:t>
      </w:r>
      <w:r>
        <w:rPr>
          <w:rFonts w:hint="eastAsia" w:ascii="宋体" w:hAnsi="宋体" w:eastAsia="宋体" w:cs="宋体"/>
          <w:color w:val="auto"/>
          <w:sz w:val="24"/>
          <w:szCs w:val="24"/>
          <w:highlight w:val="none"/>
          <w:lang w:val="en-US" w:eastAsia="zh-CN"/>
        </w:rPr>
        <w:t>本条所述的“不可抗力”系指那些双方不可预见、不可避免、不可克服的事件，但不包括双方的违约或疏忽。这些事件包括但不限于:战争、严重火灾、洪水、台风、地震、国家政策的重大变化，以及双方商定的其他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7.3</w:t>
      </w:r>
      <w:r>
        <w:rPr>
          <w:rFonts w:hint="eastAsia" w:ascii="宋体" w:hAnsi="宋体" w:eastAsia="宋体" w:cs="宋体"/>
          <w:color w:val="auto"/>
          <w:sz w:val="24"/>
          <w:szCs w:val="24"/>
          <w:highlight w:val="none"/>
          <w:lang w:val="en-US" w:eastAsia="zh-CN"/>
        </w:rPr>
        <w:t>不可抗力事件发生后，受不可抗力事件影响的一方应立即通知对方，并寄送有关权威机构出具的证明。同时应立即尽一切合理努力采取措施，消除影响，减少损失。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7.4</w:t>
      </w:r>
      <w:r>
        <w:rPr>
          <w:rFonts w:hint="eastAsia" w:ascii="宋体" w:hAnsi="宋体" w:eastAsia="宋体" w:cs="宋体"/>
          <w:color w:val="auto"/>
          <w:sz w:val="24"/>
          <w:szCs w:val="24"/>
          <w:highlight w:val="none"/>
          <w:lang w:val="en-US" w:eastAsia="zh-CN"/>
        </w:rPr>
        <w:t xml:space="preserve">如果不可抗力事件延续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日</w:t>
      </w:r>
      <w:r>
        <w:rPr>
          <w:rFonts w:hint="eastAsia" w:ascii="宋体" w:hAnsi="宋体" w:eastAsia="宋体" w:cs="宋体"/>
          <w:color w:val="auto"/>
          <w:sz w:val="24"/>
          <w:szCs w:val="24"/>
          <w:highlight w:val="none"/>
          <w:lang w:val="en-US" w:eastAsia="zh-CN"/>
        </w:rPr>
        <w:t>以上，双方应通过友好协商，确定是否继续履行合同。</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8 </w:t>
      </w:r>
      <w:r>
        <w:rPr>
          <w:rFonts w:hint="eastAsia" w:ascii="宋体" w:hAnsi="宋体" w:eastAsia="宋体" w:cs="宋体"/>
          <w:b w:val="0"/>
          <w:bCs w:val="0"/>
          <w:color w:val="auto"/>
          <w:sz w:val="24"/>
          <w:szCs w:val="24"/>
          <w:highlight w:val="none"/>
        </w:rPr>
        <w:t>延期责任</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甲乙双方因各自原因造成项目延期的，应分别承担相应责任。</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.1乙方如遇不能按时交付或不能及时提供服务的情况，应及时以书面形式通知甲方，并说明理由。</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.2因甲方原因造成安装延误。由甲方造成的</w:t>
      </w:r>
      <w:r>
        <w:rPr>
          <w:rFonts w:hint="eastAsia" w:ascii="宋体" w:hAnsi="宋体" w:cs="宋体"/>
          <w:b w:val="0"/>
          <w:bCs w:val="0"/>
          <w:color w:val="auto"/>
          <w:sz w:val="24"/>
          <w:szCs w:val="24"/>
          <w:highlight w:val="none"/>
          <w:lang w:val="en-US" w:eastAsia="zh-CN"/>
        </w:rPr>
        <w:t>自身</w:t>
      </w:r>
      <w:r>
        <w:rPr>
          <w:rFonts w:hint="eastAsia" w:ascii="宋体" w:hAnsi="宋体" w:eastAsia="宋体" w:cs="宋体"/>
          <w:b w:val="0"/>
          <w:bCs w:val="0"/>
          <w:color w:val="auto"/>
          <w:sz w:val="24"/>
          <w:szCs w:val="24"/>
          <w:highlight w:val="none"/>
        </w:rPr>
        <w:t>经济损失，甲方</w:t>
      </w:r>
      <w:r>
        <w:rPr>
          <w:rFonts w:hint="eastAsia" w:ascii="宋体" w:hAnsi="宋体" w:cs="宋体"/>
          <w:b w:val="0"/>
          <w:bCs w:val="0"/>
          <w:color w:val="auto"/>
          <w:sz w:val="24"/>
          <w:szCs w:val="24"/>
          <w:highlight w:val="none"/>
          <w:lang w:val="en-US" w:eastAsia="zh-CN"/>
        </w:rPr>
        <w:t>自行</w:t>
      </w:r>
      <w:r>
        <w:rPr>
          <w:rFonts w:hint="eastAsia" w:ascii="宋体" w:hAnsi="宋体" w:eastAsia="宋体" w:cs="宋体"/>
          <w:b w:val="0"/>
          <w:bCs w:val="0"/>
          <w:color w:val="auto"/>
          <w:sz w:val="24"/>
          <w:szCs w:val="24"/>
          <w:highlight w:val="none"/>
        </w:rPr>
        <w:t>承担相应责任。</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甲方应按合同约定时间支付相应货款，如有延误应</w:t>
      </w:r>
      <w:r>
        <w:rPr>
          <w:rFonts w:hint="eastAsia" w:ascii="宋体" w:hAnsi="宋体" w:cs="宋体"/>
          <w:b w:val="0"/>
          <w:bCs w:val="0"/>
          <w:color w:val="auto"/>
          <w:sz w:val="24"/>
          <w:szCs w:val="24"/>
          <w:highlight w:val="none"/>
          <w:lang w:val="en-US" w:eastAsia="zh-CN"/>
        </w:rPr>
        <w:t>每日</w:t>
      </w:r>
      <w:r>
        <w:rPr>
          <w:rFonts w:hint="eastAsia" w:ascii="宋体" w:hAnsi="宋体" w:eastAsia="宋体" w:cs="宋体"/>
          <w:b w:val="0"/>
          <w:bCs w:val="0"/>
          <w:color w:val="auto"/>
          <w:sz w:val="24"/>
          <w:szCs w:val="24"/>
          <w:highlight w:val="none"/>
        </w:rPr>
        <w:t>按</w:t>
      </w:r>
      <w:r>
        <w:rPr>
          <w:rFonts w:hint="eastAsia" w:ascii="宋体" w:hAnsi="宋体" w:cs="宋体"/>
          <w:b w:val="0"/>
          <w:bCs w:val="0"/>
          <w:color w:val="auto"/>
          <w:sz w:val="24"/>
          <w:szCs w:val="24"/>
          <w:highlight w:val="none"/>
          <w:lang w:val="en-US" w:eastAsia="zh-CN"/>
        </w:rPr>
        <w:t>逾期支付货款的1‰</w:t>
      </w:r>
      <w:r>
        <w:rPr>
          <w:rFonts w:hint="eastAsia" w:ascii="宋体" w:hAnsi="宋体" w:eastAsia="宋体" w:cs="宋体"/>
          <w:b w:val="0"/>
          <w:bCs w:val="0"/>
          <w:color w:val="auto"/>
          <w:sz w:val="24"/>
          <w:szCs w:val="24"/>
          <w:highlight w:val="none"/>
        </w:rPr>
        <w:t>支付延误时间的利息（由乙方原因造成的延误除外）。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w:t>
      </w:r>
      <w:r>
        <w:rPr>
          <w:rFonts w:hint="eastAsia" w:ascii="宋体" w:hAnsi="宋体" w:eastAsia="宋体" w:cs="宋体"/>
          <w:color w:val="auto"/>
          <w:sz w:val="24"/>
          <w:szCs w:val="24"/>
          <w:highlight w:val="none"/>
          <w:lang w:val="en-US" w:eastAsia="zh-CN"/>
        </w:rPr>
        <w:t>本合同项下货物在交货、安装调试、验收及质保期等任何阶段内不符合合同约定的技术规范要求和验收标准的，甲方有权向乙方索赔并选择下列一项或多项补救措施：</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（1）由乙方采取措施消除设备缺陷或不符合合同之处，如果乙方不能及时消除缺陷，甲方有权自行消除缺陷或不符合合同之处，由此产生的一切费用均由乙方承担。</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（2）由乙方在接到甲方通知后 </w:t>
      </w:r>
      <w:r>
        <w:rPr>
          <w:rFonts w:hint="eastAsia" w:ascii="宋体" w:hAnsi="宋体" w:eastAsia="宋体" w:cs="宋体"/>
          <w:color w:val="auto"/>
          <w:sz w:val="24"/>
          <w:szCs w:val="24"/>
          <w:highlight w:val="none"/>
          <w:u w:val="single"/>
          <w:lang w:val="en-US" w:eastAsia="zh-CN"/>
        </w:rPr>
        <w:t>7 日</w:t>
      </w:r>
      <w:r>
        <w:rPr>
          <w:rFonts w:hint="eastAsia" w:ascii="宋体" w:hAnsi="宋体" w:eastAsia="宋体" w:cs="宋体"/>
          <w:color w:val="auto"/>
          <w:sz w:val="24"/>
          <w:szCs w:val="24"/>
          <w:highlight w:val="none"/>
          <w:lang w:val="en-US" w:eastAsia="zh-CN"/>
        </w:rPr>
        <w:t>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（3）根据货物的低劣程度、损坏程度以及甲方所遭受损失的数额，乙方必须降低货物的价格。</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（4）退货，乙方应退还甲方支付的全部合同款，同时应承担该货物的直接费用（运输、保险、检验、货款利息及银行手续费等）。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9.2</w:t>
      </w:r>
      <w:r>
        <w:rPr>
          <w:rFonts w:hint="eastAsia" w:ascii="宋体" w:hAnsi="宋体" w:eastAsia="宋体" w:cs="宋体"/>
          <w:color w:val="auto"/>
          <w:sz w:val="24"/>
          <w:szCs w:val="24"/>
          <w:highlight w:val="none"/>
          <w:lang w:val="en-US" w:eastAsia="zh-CN"/>
        </w:rPr>
        <w:t>甲方无正当理由拒收货物的，应向乙方偿付拒收货款总值 1 %的违约金。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9.3</w:t>
      </w:r>
      <w:r>
        <w:rPr>
          <w:rFonts w:hint="eastAsia" w:ascii="宋体" w:hAnsi="宋体" w:eastAsia="宋体" w:cs="宋体"/>
          <w:color w:val="auto"/>
          <w:sz w:val="24"/>
          <w:szCs w:val="24"/>
          <w:highlight w:val="none"/>
          <w:lang w:val="en-US" w:eastAsia="zh-CN"/>
        </w:rPr>
        <w:t>甲方无故逾期验收和办理货款支付手续</w:t>
      </w:r>
      <w:r>
        <w:rPr>
          <w:rFonts w:hint="eastAsia" w:ascii="宋体" w:hAnsi="宋体" w:cs="宋体"/>
          <w:color w:val="auto"/>
          <w:sz w:val="24"/>
          <w:szCs w:val="24"/>
          <w:highlight w:val="none"/>
          <w:lang w:val="en-US" w:eastAsia="zh-CN"/>
        </w:rPr>
        <w:t>，导致未按合同约定时间支付相应货款</w:t>
      </w:r>
      <w:r>
        <w:rPr>
          <w:rFonts w:hint="eastAsia" w:ascii="宋体" w:hAnsi="宋体" w:eastAsia="宋体" w:cs="宋体"/>
          <w:color w:val="auto"/>
          <w:sz w:val="24"/>
          <w:szCs w:val="24"/>
          <w:highlight w:val="none"/>
          <w:lang w:val="en-US" w:eastAsia="zh-CN"/>
        </w:rPr>
        <w:t>的，每逾期一日，应按逾期付款总额</w:t>
      </w:r>
      <w:r>
        <w:rPr>
          <w:rFonts w:hint="eastAsia" w:ascii="宋体" w:hAnsi="宋体" w:cs="宋体"/>
          <w:color w:val="auto"/>
          <w:sz w:val="24"/>
          <w:szCs w:val="24"/>
          <w:highlight w:val="none"/>
          <w:lang w:val="en-US" w:eastAsia="zh-CN"/>
        </w:rPr>
        <w:t>的1‰</w:t>
      </w:r>
      <w:r>
        <w:rPr>
          <w:rFonts w:hint="eastAsia" w:ascii="宋体" w:hAnsi="宋体" w:eastAsia="宋体" w:cs="宋体"/>
          <w:color w:val="auto"/>
          <w:sz w:val="24"/>
          <w:szCs w:val="24"/>
          <w:highlight w:val="none"/>
          <w:lang w:val="en-US" w:eastAsia="zh-CN"/>
        </w:rPr>
        <w:t>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9.4乙方逾期交付货物的，每逾期一日，应按逾期交货总额 1 %向甲方支付违约金。逾期超过约定日期 10 个工作日不能交货的，甲方有权解除本合同，并要求乙方支付合同总额 10 %的违约金，并且有权扣除全部履约保证金。乙方未在约定时间内完成安装调试的，参照前款约定承担违约责任。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9.5</w:t>
      </w:r>
      <w:r>
        <w:rPr>
          <w:rFonts w:hint="eastAsia" w:ascii="宋体" w:hAnsi="宋体" w:eastAsia="宋体" w:cs="宋体"/>
          <w:color w:val="auto"/>
          <w:sz w:val="24"/>
          <w:szCs w:val="24"/>
          <w:highlight w:val="none"/>
          <w:lang w:val="en-US" w:eastAsia="zh-CN"/>
        </w:rPr>
        <w:t>乙方所交付的货物品种、型号、规格、技术参数、质量不符合合同规定及招标文件规定标准的，甲方有权拒收该货物，乙方愿意更换货物但逾期交货的，按乙方逾期交货处理。乙方拒绝更换货物的，甲方可单方面解除合同，并要求乙方支付合同总值 1 %的违约金，违约金不足以弥补甲方损失的，乙方还应负责赔偿。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9.6</w:t>
      </w:r>
      <w:r>
        <w:rPr>
          <w:rFonts w:hint="eastAsia" w:ascii="宋体" w:hAnsi="宋体" w:eastAsia="宋体" w:cs="宋体"/>
          <w:color w:val="auto"/>
          <w:sz w:val="24"/>
          <w:szCs w:val="24"/>
          <w:highlight w:val="none"/>
          <w:lang w:val="en-US" w:eastAsia="zh-CN"/>
        </w:rPr>
        <w:t>乙方未能按约定要求履行保修义务的，每发生一次应向甲方支付 2000 元的违约金，同时，甲方有权委托第三方进行保修，所产生的费用由乙方承担。若因货物缺陷或乙方服务质量等问题造成甲方或任何人员人身、财产损害的，乙方应承担有关责任并作出相应赔偿。</w:t>
      </w:r>
    </w:p>
    <w:p>
      <w:pPr>
        <w:pStyle w:val="24"/>
        <w:ind w:firstLine="480" w:firstLineChars="20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9.7</w:t>
      </w:r>
      <w:r>
        <w:rPr>
          <w:rFonts w:hint="eastAsia" w:ascii="宋体" w:hAnsi="宋体" w:eastAsia="宋体" w:cs="宋体"/>
          <w:b w:val="0"/>
          <w:bCs w:val="0"/>
          <w:color w:val="auto"/>
          <w:spacing w:val="0"/>
          <w:kern w:val="2"/>
          <w:sz w:val="24"/>
          <w:szCs w:val="24"/>
          <w:highlight w:val="none"/>
        </w:rPr>
        <w:t>乙方未经甲方书面同意将合同内容</w:t>
      </w:r>
      <w:r>
        <w:rPr>
          <w:rFonts w:hint="eastAsia" w:ascii="宋体" w:hAnsi="宋体" w:eastAsia="宋体" w:cs="宋体"/>
          <w:b w:val="0"/>
          <w:bCs w:val="0"/>
          <w:color w:val="auto"/>
          <w:spacing w:val="0"/>
          <w:kern w:val="2"/>
          <w:sz w:val="24"/>
          <w:szCs w:val="24"/>
          <w:highlight w:val="none"/>
          <w:lang w:val="en-US" w:eastAsia="zh-CN"/>
        </w:rPr>
        <w:t>转让、分包</w:t>
      </w:r>
      <w:r>
        <w:rPr>
          <w:rFonts w:hint="eastAsia" w:ascii="宋体" w:hAnsi="宋体" w:eastAsia="宋体" w:cs="宋体"/>
          <w:b w:val="0"/>
          <w:bCs w:val="0"/>
          <w:color w:val="auto"/>
          <w:spacing w:val="0"/>
          <w:kern w:val="2"/>
          <w:sz w:val="24"/>
          <w:szCs w:val="24"/>
          <w:highlight w:val="none"/>
        </w:rPr>
        <w:t>给第三方</w:t>
      </w:r>
      <w:r>
        <w:rPr>
          <w:rFonts w:hint="eastAsia" w:ascii="宋体" w:hAnsi="宋体" w:eastAsia="宋体" w:cs="宋体"/>
          <w:b w:val="0"/>
          <w:bCs w:val="0"/>
          <w:color w:val="auto"/>
          <w:spacing w:val="0"/>
          <w:kern w:val="2"/>
          <w:sz w:val="24"/>
          <w:szCs w:val="24"/>
          <w:highlight w:val="none"/>
          <w:lang w:val="en-US" w:eastAsia="zh-CN"/>
        </w:rPr>
        <w:t>的，甲方有权单方解除本合同，扣留履约保证金，并且有权要求乙方支付合同总值1%的违约金。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9.8</w:t>
      </w:r>
      <w:r>
        <w:rPr>
          <w:rFonts w:hint="eastAsia" w:ascii="宋体" w:hAnsi="宋体" w:eastAsia="宋体" w:cs="宋体"/>
          <w:color w:val="auto"/>
          <w:sz w:val="24"/>
          <w:szCs w:val="24"/>
          <w:highlight w:val="none"/>
          <w:lang w:val="en-US" w:eastAsia="zh-CN"/>
        </w:rPr>
        <w:t>因乙方其他违约行为导致甲方解除合同的，乙方应向甲方支付合同总值 1 %的违约金，如造成甲方损失超过违约金的，超出部分由乙方继续承担赔偿责任</w:t>
      </w:r>
      <w:r>
        <w:rPr>
          <w:rFonts w:hint="eastAsia" w:ascii="宋体" w:hAnsi="宋体" w:cs="宋体"/>
          <w:color w:val="auto"/>
          <w:sz w:val="24"/>
          <w:szCs w:val="24"/>
          <w:highlight w:val="none"/>
          <w:lang w:val="en-US" w:eastAsia="zh-CN"/>
        </w:rPr>
        <w:t>。</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 xml:space="preserve"> 争议的解决</w:t>
      </w:r>
    </w:p>
    <w:p>
      <w:pPr>
        <w:keepNext w:val="0"/>
        <w:keepLines w:val="0"/>
        <w:pageBreakBefore w:val="0"/>
        <w:kinsoku/>
        <w:wordWrap/>
        <w:overflowPunct/>
        <w:topLinePunct w:val="0"/>
        <w:bidi w:val="0"/>
        <w:spacing w:line="360" w:lineRule="auto"/>
        <w:ind w:firstLine="480" w:firstLineChars="200"/>
        <w:jc w:val="both"/>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双方在履行合同过程中产生争议时(1)请衢州市政府采购监管部门调解;(2)调解不成的，约定向甲方所在地人民法院提请诉讼。</w:t>
      </w:r>
    </w:p>
    <w:p>
      <w:pPr>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11 </w:t>
      </w:r>
      <w:r>
        <w:rPr>
          <w:rFonts w:hint="eastAsia" w:ascii="宋体" w:hAnsi="宋体" w:eastAsia="宋体" w:cs="宋体"/>
          <w:b w:val="0"/>
          <w:bCs w:val="0"/>
          <w:color w:val="auto"/>
          <w:sz w:val="24"/>
          <w:szCs w:val="24"/>
          <w:highlight w:val="none"/>
        </w:rPr>
        <w:t>合同的中止和终止</w:t>
      </w:r>
    </w:p>
    <w:p>
      <w:pPr>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11.1</w:t>
      </w:r>
      <w:r>
        <w:rPr>
          <w:rFonts w:hint="eastAsia" w:ascii="宋体" w:hAnsi="宋体" w:eastAsia="宋体" w:cs="宋体"/>
          <w:color w:val="auto"/>
          <w:sz w:val="24"/>
          <w:szCs w:val="24"/>
          <w:highlight w:val="none"/>
        </w:rPr>
        <w:t>合同的中止</w:t>
      </w:r>
    </w:p>
    <w:p>
      <w:pPr>
        <w:pStyle w:val="2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（1）合同在履行过程中，因采购计划调整，甲方可以要求中止履行，待计划确定后继续履行；中止履行应以书面形式告知乙方，对乙方造成经济损失的，甲方应给与一定的赔偿。</w:t>
      </w:r>
    </w:p>
    <w:p>
      <w:pPr>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合同履行过程中因供应商就采购过程或结果提起投诉的，甲方认为有必要或上级部门责令中止的，应当中止合同的履行，甲方不承担赔偿责任。</w:t>
      </w:r>
    </w:p>
    <w:p>
      <w:pPr>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11.2</w:t>
      </w:r>
      <w:r>
        <w:rPr>
          <w:rFonts w:hint="eastAsia" w:ascii="宋体" w:hAnsi="宋体" w:eastAsia="宋体" w:cs="宋体"/>
          <w:color w:val="auto"/>
          <w:sz w:val="24"/>
          <w:szCs w:val="24"/>
          <w:highlight w:val="none"/>
        </w:rPr>
        <w:t>合同的终止</w:t>
      </w:r>
    </w:p>
    <w:p>
      <w:pPr>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本合同正常履行完毕或合同有效期限届满而终止；</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如果乙方丧失履约能力或被宣告破产，甲方可在任何时候单方终止合同而不给乙方补偿。</w:t>
      </w:r>
    </w:p>
    <w:p>
      <w:pPr>
        <w:keepNext w:val="0"/>
        <w:keepLines w:val="0"/>
        <w:pageBreakBefore w:val="0"/>
        <w:widowControl w:val="0"/>
        <w:kinsoku/>
        <w:wordWrap/>
        <w:overflowPunct/>
        <w:topLinePunct w:val="0"/>
        <w:autoSpaceDE/>
        <w:autoSpaceDN/>
        <w:bidi w:val="0"/>
        <w:adjustRightInd/>
        <w:snapToGrid/>
        <w:spacing w:after="0" w:line="336"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lang w:val="en-US" w:eastAsia="zh-CN"/>
        </w:rPr>
        <w:t>合同的补充、修改和变更</w:t>
      </w:r>
    </w:p>
    <w:p>
      <w:pPr>
        <w:keepNext w:val="0"/>
        <w:keepLines w:val="0"/>
        <w:pageBreakBefore w:val="0"/>
        <w:widowControl w:val="0"/>
        <w:kinsoku/>
        <w:wordWrap/>
        <w:overflowPunct/>
        <w:topLinePunct w:val="0"/>
        <w:autoSpaceDE/>
        <w:autoSpaceDN/>
        <w:bidi w:val="0"/>
        <w:adjustRightInd/>
        <w:snapToGrid/>
        <w:spacing w:after="0" w:line="336"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12.1</w:t>
      </w:r>
      <w:r>
        <w:rPr>
          <w:rFonts w:hint="eastAsia" w:ascii="宋体" w:hAnsi="宋体" w:eastAsia="宋体" w:cs="宋体"/>
          <w:color w:val="auto"/>
          <w:sz w:val="24"/>
          <w:szCs w:val="24"/>
          <w:highlight w:val="none"/>
          <w:lang w:val="en-US" w:eastAsia="zh-CN"/>
        </w:rPr>
        <w:t>双方的任何一方对合同内容提出补充、修改和变更要求，征得双方协商一致后，可另行签订补充协议。</w:t>
      </w:r>
    </w:p>
    <w:p>
      <w:pPr>
        <w:keepNext w:val="0"/>
        <w:keepLines w:val="0"/>
        <w:pageBreakBefore w:val="0"/>
        <w:widowControl w:val="0"/>
        <w:kinsoku/>
        <w:wordWrap/>
        <w:overflowPunct/>
        <w:topLinePunct w:val="0"/>
        <w:autoSpaceDE/>
        <w:autoSpaceDN/>
        <w:bidi w:val="0"/>
        <w:adjustRightInd/>
        <w:snapToGrid/>
        <w:spacing w:after="0" w:line="336" w:lineRule="auto"/>
        <w:ind w:left="0" w:leftChars="0" w:firstLine="480" w:firstLineChars="200"/>
        <w:textAlignment w:val="auto"/>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12.2</w:t>
      </w:r>
      <w:r>
        <w:rPr>
          <w:rFonts w:hint="eastAsia" w:ascii="宋体" w:hAnsi="宋体" w:eastAsia="宋体" w:cs="宋体"/>
          <w:color w:val="auto"/>
          <w:sz w:val="24"/>
          <w:szCs w:val="24"/>
          <w:highlight w:val="none"/>
          <w:lang w:val="en-US" w:eastAsia="zh-CN"/>
        </w:rPr>
        <w:t>如双方未就补充、修改和变更达成一致并签订补充协议，双方应按本合同的约定继续履行其义务。</w:t>
      </w:r>
    </w:p>
    <w:p>
      <w:pPr>
        <w:keepNext w:val="0"/>
        <w:keepLines w:val="0"/>
        <w:pageBreakBefore w:val="0"/>
        <w:widowControl w:val="0"/>
        <w:numPr>
          <w:ilvl w:val="0"/>
          <w:numId w:val="0"/>
        </w:numPr>
        <w:kinsoku/>
        <w:overflowPunct/>
        <w:topLinePunct w:val="0"/>
        <w:autoSpaceDE w:val="0"/>
        <w:autoSpaceDN w:val="0"/>
        <w:bidi w:val="0"/>
        <w:adjustRightInd w:val="0"/>
        <w:snapToGrid w:val="0"/>
        <w:spacing w:line="336" w:lineRule="auto"/>
        <w:jc w:val="center"/>
        <w:textAlignment w:val="auto"/>
        <w:outlineLvl w:val="1"/>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en-US" w:eastAsia="zh-CN"/>
        </w:rPr>
        <w:t>二、</w:t>
      </w:r>
      <w:r>
        <w:rPr>
          <w:rFonts w:hint="eastAsia" w:ascii="宋体" w:hAnsi="宋体" w:eastAsia="宋体" w:cs="Times New Roman"/>
          <w:b/>
          <w:bCs/>
          <w:color w:val="auto"/>
          <w:sz w:val="24"/>
          <w:szCs w:val="24"/>
          <w:highlight w:val="none"/>
          <w:lang w:val="zh-CN"/>
        </w:rPr>
        <w:t>专用条款</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经公开招标（招标项目编号：</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），确定乙方为衢州市第三医院</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采购项目</w:t>
      </w:r>
      <w:r>
        <w:rPr>
          <w:rFonts w:hint="eastAsia" w:ascii="宋体" w:hAnsi="宋体" w:eastAsia="宋体" w:cs="宋体"/>
          <w:b w:val="0"/>
          <w:bCs w:val="0"/>
          <w:color w:val="auto"/>
          <w:sz w:val="24"/>
          <w:szCs w:val="24"/>
          <w:highlight w:val="none"/>
        </w:rPr>
        <w:t>中标单位。根据《中华人民共和国民法典》等法规的规定，为明确双方的权利和义务，经甲乙双方</w:t>
      </w:r>
      <w:r>
        <w:rPr>
          <w:rFonts w:hint="eastAsia" w:ascii="宋体" w:hAnsi="宋体" w:cs="宋体"/>
          <w:b w:val="0"/>
          <w:bCs w:val="0"/>
          <w:color w:val="auto"/>
          <w:sz w:val="24"/>
          <w:szCs w:val="24"/>
          <w:highlight w:val="none"/>
          <w:lang w:val="en-US" w:eastAsia="zh-CN"/>
        </w:rPr>
        <w:t>友好</w:t>
      </w:r>
      <w:r>
        <w:rPr>
          <w:rFonts w:hint="eastAsia" w:ascii="宋体" w:hAnsi="宋体" w:eastAsia="宋体" w:cs="宋体"/>
          <w:b w:val="0"/>
          <w:bCs w:val="0"/>
          <w:color w:val="auto"/>
          <w:sz w:val="24"/>
          <w:szCs w:val="24"/>
          <w:highlight w:val="none"/>
        </w:rPr>
        <w:t>协商，达成如下协议。</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 合同文件</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13.1 本合同专用条款</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通用条款</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13.2 中标/成交通知书</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13.3 中标单位投标文件</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13.4 变更补充文件</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13.5 招标文件</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 xml:space="preserve"> 标准、规范、图纸及有关技术文件</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 xml:space="preserve"> 其他</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上述所指合同文件应认为是互相补充和解释的，但是有模棱两可或互相矛盾之处，以</w:t>
      </w:r>
      <w:r>
        <w:rPr>
          <w:rFonts w:hint="eastAsia" w:ascii="宋体" w:hAnsi="宋体" w:cs="宋体"/>
          <w:b w:val="0"/>
          <w:bCs w:val="0"/>
          <w:color w:val="auto"/>
          <w:sz w:val="24"/>
          <w:szCs w:val="24"/>
          <w:highlight w:val="none"/>
          <w:lang w:val="en-US" w:eastAsia="zh-CN"/>
        </w:rPr>
        <w:t>其中较高要求者</w:t>
      </w:r>
      <w:r>
        <w:rPr>
          <w:rFonts w:hint="eastAsia" w:ascii="宋体" w:hAnsi="宋体" w:eastAsia="宋体" w:cs="宋体"/>
          <w:b w:val="0"/>
          <w:bCs w:val="0"/>
          <w:color w:val="auto"/>
          <w:sz w:val="24"/>
          <w:szCs w:val="24"/>
          <w:highlight w:val="none"/>
        </w:rPr>
        <w:t>为准。但必须符合强制性国家标准与最新的变更补充文件。</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 xml:space="preserve">14 </w:t>
      </w:r>
      <w:r>
        <w:rPr>
          <w:rFonts w:hint="eastAsia" w:ascii="宋体" w:hAnsi="宋体" w:cs="宋体"/>
          <w:b w:val="0"/>
          <w:bCs w:val="0"/>
          <w:color w:val="auto"/>
          <w:sz w:val="24"/>
          <w:szCs w:val="24"/>
          <w:highlight w:val="none"/>
          <w:u w:val="none"/>
          <w:lang w:val="en-US" w:eastAsia="zh-CN"/>
        </w:rPr>
        <w:t>采购标的及</w:t>
      </w:r>
      <w:r>
        <w:rPr>
          <w:rFonts w:hint="eastAsia" w:ascii="宋体" w:hAnsi="宋体" w:eastAsia="宋体" w:cs="宋体"/>
          <w:b w:val="0"/>
          <w:bCs w:val="0"/>
          <w:color w:val="auto"/>
          <w:sz w:val="24"/>
          <w:szCs w:val="24"/>
          <w:highlight w:val="none"/>
          <w:u w:val="none"/>
        </w:rPr>
        <w:t>合同金额</w:t>
      </w:r>
    </w:p>
    <w:p>
      <w:pPr>
        <w:pStyle w:val="24"/>
        <w:ind w:firstLine="480" w:firstLineChars="200"/>
        <w:rPr>
          <w:rFonts w:hint="default" w:eastAsia="宋体"/>
          <w:color w:val="auto"/>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14.1采购标的</w:t>
      </w:r>
    </w:p>
    <w:tbl>
      <w:tblPr>
        <w:tblStyle w:val="63"/>
        <w:tblpPr w:leftFromText="180" w:rightFromText="180" w:vertAnchor="text" w:horzAnchor="page" w:tblpX="1883" w:tblpY="7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46"/>
        <w:gridCol w:w="696"/>
        <w:gridCol w:w="1466"/>
        <w:gridCol w:w="1523"/>
        <w:gridCol w:w="144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27" w:type="dxa"/>
            <w:noWrap w:val="0"/>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44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设备</w:t>
            </w:r>
            <w:r>
              <w:rPr>
                <w:rFonts w:hint="eastAsia" w:ascii="宋体" w:hAnsi="宋体" w:eastAsia="宋体" w:cs="宋体"/>
                <w:b w:val="0"/>
                <w:bCs w:val="0"/>
                <w:color w:val="auto"/>
                <w:sz w:val="24"/>
                <w:szCs w:val="24"/>
                <w:highlight w:val="none"/>
              </w:rPr>
              <w:t>名称</w:t>
            </w:r>
          </w:p>
        </w:tc>
        <w:tc>
          <w:tcPr>
            <w:tcW w:w="696" w:type="dxa"/>
            <w:noWrap w:val="0"/>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c>
          <w:tcPr>
            <w:tcW w:w="1466" w:type="dxa"/>
            <w:noWrap w:val="0"/>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金额</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eastAsia="zh-CN"/>
              </w:rPr>
              <w:t>）</w:t>
            </w:r>
          </w:p>
        </w:tc>
        <w:tc>
          <w:tcPr>
            <w:tcW w:w="1523" w:type="dxa"/>
            <w:noWrap w:val="0"/>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规格</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型号</w:t>
            </w:r>
          </w:p>
        </w:tc>
        <w:tc>
          <w:tcPr>
            <w:tcW w:w="144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制造商</w:t>
            </w:r>
            <w:r>
              <w:rPr>
                <w:rFonts w:hint="eastAsia" w:ascii="宋体" w:hAnsi="宋体" w:cs="宋体"/>
                <w:b w:val="0"/>
                <w:bCs w:val="0"/>
                <w:color w:val="auto"/>
                <w:sz w:val="24"/>
                <w:szCs w:val="24"/>
                <w:highlight w:val="none"/>
                <w:lang w:val="en-US" w:eastAsia="zh-CN"/>
              </w:rPr>
              <w:t>名称</w:t>
            </w:r>
          </w:p>
        </w:tc>
        <w:tc>
          <w:tcPr>
            <w:tcW w:w="1012" w:type="dxa"/>
            <w:noWrap w:val="0"/>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7" w:type="dxa"/>
            <w:noWrap w:val="0"/>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val="0"/>
                <w:bCs w:val="0"/>
                <w:color w:val="auto"/>
                <w:sz w:val="24"/>
                <w:szCs w:val="24"/>
                <w:highlight w:val="none"/>
                <w:lang w:val="en-US" w:eastAsia="zh-CN"/>
              </w:rPr>
            </w:pPr>
          </w:p>
        </w:tc>
        <w:tc>
          <w:tcPr>
            <w:tcW w:w="144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eastAsia="宋体" w:cs="宋体"/>
                <w:b w:val="0"/>
                <w:bCs w:val="0"/>
                <w:color w:val="auto"/>
                <w:sz w:val="24"/>
                <w:szCs w:val="24"/>
                <w:highlight w:val="none"/>
              </w:rPr>
            </w:pPr>
          </w:p>
        </w:tc>
        <w:tc>
          <w:tcPr>
            <w:tcW w:w="69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default" w:ascii="宋体" w:hAnsi="宋体" w:eastAsia="宋体" w:cs="宋体"/>
                <w:b w:val="0"/>
                <w:bCs w:val="0"/>
                <w:color w:val="auto"/>
                <w:sz w:val="24"/>
                <w:szCs w:val="24"/>
                <w:highlight w:val="none"/>
                <w:lang w:val="en-US" w:eastAsia="zh-CN"/>
              </w:rPr>
            </w:pPr>
          </w:p>
        </w:tc>
        <w:tc>
          <w:tcPr>
            <w:tcW w:w="146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default" w:ascii="宋体" w:hAnsi="宋体" w:eastAsia="宋体" w:cs="宋体"/>
                <w:b w:val="0"/>
                <w:bCs w:val="0"/>
                <w:color w:val="auto"/>
                <w:sz w:val="24"/>
                <w:szCs w:val="24"/>
                <w:highlight w:val="none"/>
                <w:lang w:val="en-US" w:eastAsia="zh-CN"/>
              </w:rPr>
            </w:pPr>
          </w:p>
        </w:tc>
        <w:tc>
          <w:tcPr>
            <w:tcW w:w="1523"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eastAsia="宋体" w:cs="宋体"/>
                <w:b w:val="0"/>
                <w:bCs w:val="0"/>
                <w:color w:val="auto"/>
                <w:sz w:val="24"/>
                <w:szCs w:val="24"/>
                <w:highlight w:val="none"/>
                <w:lang w:val="en-US" w:eastAsia="zh-CN"/>
              </w:rPr>
            </w:pPr>
          </w:p>
        </w:tc>
        <w:tc>
          <w:tcPr>
            <w:tcW w:w="144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eastAsia="宋体" w:cs="宋体"/>
                <w:b w:val="0"/>
                <w:bCs w:val="0"/>
                <w:color w:val="auto"/>
                <w:sz w:val="24"/>
                <w:szCs w:val="24"/>
                <w:highlight w:val="none"/>
                <w:lang w:val="en-US" w:eastAsia="zh-CN"/>
              </w:rPr>
            </w:pPr>
          </w:p>
        </w:tc>
        <w:tc>
          <w:tcPr>
            <w:tcW w:w="1012" w:type="dxa"/>
            <w:noWrap w:val="0"/>
            <w:vAlign w:val="center"/>
          </w:tcPr>
          <w:p>
            <w:pPr>
              <w:keepNext w:val="0"/>
              <w:keepLines w:val="0"/>
              <w:pageBreakBefore w:val="0"/>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7" w:type="dxa"/>
            <w:noWrap w:val="0"/>
            <w:vAlign w:val="center"/>
          </w:tcPr>
          <w:p>
            <w:pPr>
              <w:keepNext w:val="0"/>
              <w:keepLines w:val="0"/>
              <w:pageBreakBefore w:val="0"/>
              <w:kinsoku/>
              <w:wordWrap/>
              <w:overflowPunct/>
              <w:topLinePunct w:val="0"/>
              <w:bidi w:val="0"/>
              <w:spacing w:line="360" w:lineRule="auto"/>
              <w:jc w:val="both"/>
              <w:textAlignment w:val="auto"/>
              <w:rPr>
                <w:rFonts w:hint="default" w:ascii="宋体" w:hAnsi="宋体" w:cs="宋体"/>
                <w:b w:val="0"/>
                <w:bCs w:val="0"/>
                <w:color w:val="auto"/>
                <w:sz w:val="24"/>
                <w:szCs w:val="24"/>
                <w:highlight w:val="none"/>
                <w:lang w:val="en-US" w:eastAsia="zh-CN"/>
              </w:rPr>
            </w:pPr>
          </w:p>
        </w:tc>
        <w:tc>
          <w:tcPr>
            <w:tcW w:w="144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eastAsia="宋体" w:cs="宋体"/>
                <w:b w:val="0"/>
                <w:bCs w:val="0"/>
                <w:color w:val="auto"/>
                <w:sz w:val="24"/>
                <w:szCs w:val="24"/>
                <w:highlight w:val="none"/>
              </w:rPr>
            </w:pPr>
          </w:p>
        </w:tc>
        <w:tc>
          <w:tcPr>
            <w:tcW w:w="69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eastAsia="宋体" w:cs="宋体"/>
                <w:b w:val="0"/>
                <w:bCs w:val="0"/>
                <w:color w:val="auto"/>
                <w:sz w:val="24"/>
                <w:szCs w:val="24"/>
                <w:highlight w:val="none"/>
                <w:lang w:val="en-US" w:eastAsia="zh-CN"/>
              </w:rPr>
            </w:pPr>
          </w:p>
        </w:tc>
        <w:tc>
          <w:tcPr>
            <w:tcW w:w="146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eastAsia="宋体" w:cs="宋体"/>
                <w:b w:val="0"/>
                <w:bCs w:val="0"/>
                <w:color w:val="auto"/>
                <w:sz w:val="24"/>
                <w:szCs w:val="24"/>
                <w:highlight w:val="none"/>
                <w:lang w:val="en-US" w:eastAsia="zh-CN"/>
              </w:rPr>
            </w:pPr>
          </w:p>
        </w:tc>
        <w:tc>
          <w:tcPr>
            <w:tcW w:w="1523"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eastAsia="宋体" w:cs="宋体"/>
                <w:b w:val="0"/>
                <w:bCs w:val="0"/>
                <w:color w:val="auto"/>
                <w:sz w:val="24"/>
                <w:szCs w:val="24"/>
                <w:highlight w:val="none"/>
                <w:lang w:val="en-US" w:eastAsia="zh-CN"/>
              </w:rPr>
            </w:pPr>
          </w:p>
        </w:tc>
        <w:tc>
          <w:tcPr>
            <w:tcW w:w="144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eastAsia="宋体" w:cs="宋体"/>
                <w:b w:val="0"/>
                <w:bCs w:val="0"/>
                <w:color w:val="auto"/>
                <w:sz w:val="24"/>
                <w:szCs w:val="24"/>
                <w:highlight w:val="none"/>
                <w:lang w:val="en-US" w:eastAsia="zh-CN"/>
              </w:rPr>
            </w:pPr>
          </w:p>
        </w:tc>
        <w:tc>
          <w:tcPr>
            <w:tcW w:w="1012" w:type="dxa"/>
            <w:noWrap w:val="0"/>
            <w:vAlign w:val="center"/>
          </w:tcPr>
          <w:p>
            <w:pPr>
              <w:keepNext w:val="0"/>
              <w:keepLines w:val="0"/>
              <w:pageBreakBefore w:val="0"/>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7" w:type="dxa"/>
            <w:noWrap w:val="0"/>
            <w:vAlign w:val="center"/>
          </w:tcPr>
          <w:p>
            <w:pPr>
              <w:keepNext w:val="0"/>
              <w:keepLines w:val="0"/>
              <w:pageBreakBefore w:val="0"/>
              <w:kinsoku/>
              <w:wordWrap/>
              <w:overflowPunct/>
              <w:topLinePunct w:val="0"/>
              <w:bidi w:val="0"/>
              <w:spacing w:line="360" w:lineRule="auto"/>
              <w:jc w:val="both"/>
              <w:textAlignment w:val="auto"/>
              <w:rPr>
                <w:rFonts w:hint="default" w:ascii="宋体" w:hAnsi="宋体" w:cs="宋体"/>
                <w:b w:val="0"/>
                <w:bCs w:val="0"/>
                <w:color w:val="auto"/>
                <w:sz w:val="24"/>
                <w:szCs w:val="24"/>
                <w:highlight w:val="none"/>
                <w:lang w:val="en-US" w:eastAsia="zh-CN"/>
              </w:rPr>
            </w:pPr>
          </w:p>
        </w:tc>
        <w:tc>
          <w:tcPr>
            <w:tcW w:w="144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eastAsia" w:ascii="宋体" w:hAnsi="宋体" w:eastAsia="宋体" w:cs="宋体"/>
                <w:b w:val="0"/>
                <w:bCs w:val="0"/>
                <w:color w:val="auto"/>
                <w:sz w:val="24"/>
                <w:szCs w:val="24"/>
                <w:highlight w:val="none"/>
                <w:lang w:eastAsia="zh-CN"/>
              </w:rPr>
            </w:pPr>
          </w:p>
        </w:tc>
        <w:tc>
          <w:tcPr>
            <w:tcW w:w="69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default" w:ascii="宋体" w:hAnsi="宋体" w:eastAsia="宋体" w:cs="宋体"/>
                <w:b w:val="0"/>
                <w:bCs w:val="0"/>
                <w:color w:val="auto"/>
                <w:sz w:val="24"/>
                <w:szCs w:val="24"/>
                <w:highlight w:val="none"/>
                <w:lang w:val="en-US" w:eastAsia="zh-CN"/>
              </w:rPr>
            </w:pPr>
          </w:p>
        </w:tc>
        <w:tc>
          <w:tcPr>
            <w:tcW w:w="1466" w:type="dxa"/>
            <w:noWrap w:val="0"/>
            <w:vAlign w:val="center"/>
          </w:tcPr>
          <w:p>
            <w:pPr>
              <w:keepNext w:val="0"/>
              <w:keepLines w:val="0"/>
              <w:pageBreakBefore w:val="0"/>
              <w:kinsoku/>
              <w:wordWrap/>
              <w:overflowPunct/>
              <w:topLinePunct w:val="0"/>
              <w:bidi w:val="0"/>
              <w:spacing w:line="360" w:lineRule="auto"/>
              <w:ind w:firstLine="0" w:firstLineChars="0"/>
              <w:jc w:val="both"/>
              <w:textAlignment w:val="auto"/>
              <w:rPr>
                <w:rFonts w:hint="default" w:ascii="宋体" w:hAnsi="宋体" w:eastAsia="宋体" w:cs="宋体"/>
                <w:b w:val="0"/>
                <w:bCs w:val="0"/>
                <w:color w:val="auto"/>
                <w:sz w:val="24"/>
                <w:szCs w:val="24"/>
                <w:highlight w:val="none"/>
                <w:lang w:val="en-US" w:eastAsia="zh-CN"/>
              </w:rPr>
            </w:pPr>
          </w:p>
        </w:tc>
        <w:tc>
          <w:tcPr>
            <w:tcW w:w="1523" w:type="dxa"/>
            <w:noWrap w:val="0"/>
            <w:vAlign w:val="center"/>
          </w:tcPr>
          <w:p>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p>
        </w:tc>
        <w:tc>
          <w:tcPr>
            <w:tcW w:w="1446" w:type="dxa"/>
            <w:noWrap w:val="0"/>
            <w:vAlign w:val="center"/>
          </w:tcPr>
          <w:p>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p>
        </w:tc>
        <w:tc>
          <w:tcPr>
            <w:tcW w:w="1012" w:type="dxa"/>
            <w:noWrap w:val="0"/>
            <w:vAlign w:val="center"/>
          </w:tcPr>
          <w:p>
            <w:pPr>
              <w:keepNext w:val="0"/>
              <w:keepLines w:val="0"/>
              <w:pageBreakBefore w:val="0"/>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7" w:type="dxa"/>
            <w:noWrap w:val="0"/>
            <w:vAlign w:val="center"/>
          </w:tcPr>
          <w:p>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p>
        </w:tc>
        <w:tc>
          <w:tcPr>
            <w:tcW w:w="1446" w:type="dxa"/>
            <w:noWrap w:val="0"/>
            <w:vAlign w:val="center"/>
          </w:tcPr>
          <w:p>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p>
        </w:tc>
        <w:tc>
          <w:tcPr>
            <w:tcW w:w="696" w:type="dxa"/>
            <w:noWrap w:val="0"/>
            <w:vAlign w:val="center"/>
          </w:tcPr>
          <w:p>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p>
        </w:tc>
        <w:tc>
          <w:tcPr>
            <w:tcW w:w="1466" w:type="dxa"/>
            <w:noWrap w:val="0"/>
            <w:vAlign w:val="center"/>
          </w:tcPr>
          <w:p>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p>
        </w:tc>
        <w:tc>
          <w:tcPr>
            <w:tcW w:w="1523" w:type="dxa"/>
            <w:noWrap w:val="0"/>
            <w:vAlign w:val="center"/>
          </w:tcPr>
          <w:p>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p>
        </w:tc>
        <w:tc>
          <w:tcPr>
            <w:tcW w:w="1446" w:type="dxa"/>
            <w:noWrap w:val="0"/>
            <w:vAlign w:val="center"/>
          </w:tcPr>
          <w:p>
            <w:pPr>
              <w:keepNext w:val="0"/>
              <w:keepLines w:val="0"/>
              <w:pageBreakBefore w:val="0"/>
              <w:widowControl/>
              <w:kinsoku/>
              <w:wordWrap/>
              <w:overflowPunct/>
              <w:topLinePunct w:val="0"/>
              <w:bidi w:val="0"/>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p>
        </w:tc>
        <w:tc>
          <w:tcPr>
            <w:tcW w:w="1012" w:type="dxa"/>
            <w:noWrap w:val="0"/>
            <w:vAlign w:val="center"/>
          </w:tcPr>
          <w:p>
            <w:pPr>
              <w:keepNext w:val="0"/>
              <w:keepLines w:val="0"/>
              <w:pageBreakBefore w:val="0"/>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p>
        </w:tc>
      </w:tr>
    </w:tbl>
    <w:p>
      <w:pPr>
        <w:keepNext w:val="0"/>
        <w:keepLines w:val="0"/>
        <w:pageBreakBefore w:val="0"/>
        <w:kinsoku/>
        <w:wordWrap/>
        <w:overflowPunct/>
        <w:topLinePunct w:val="0"/>
        <w:bidi w:val="0"/>
        <w:spacing w:line="360" w:lineRule="auto"/>
        <w:ind w:firstLine="480" w:firstLineChars="200"/>
        <w:jc w:val="righ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w:t>
      </w:r>
    </w:p>
    <w:p>
      <w:pPr>
        <w:keepNext w:val="0"/>
        <w:keepLines w:val="0"/>
        <w:pageBreakBefore w:val="0"/>
        <w:kinsoku/>
        <w:wordWrap/>
        <w:overflowPunct/>
        <w:topLinePunct w:val="0"/>
        <w:bidi w:val="0"/>
        <w:spacing w:line="360" w:lineRule="auto"/>
        <w:ind w:firstLine="480" w:firstLineChars="200"/>
        <w:jc w:val="both"/>
        <w:textAlignment w:val="auto"/>
        <w:rPr>
          <w:rFonts w:hint="default" w:ascii="宋体" w:hAnsi="宋体" w:cs="宋体"/>
          <w:b w:val="0"/>
          <w:bCs w:val="0"/>
          <w:color w:val="auto"/>
          <w:sz w:val="24"/>
          <w:szCs w:val="24"/>
          <w:highlight w:val="none"/>
          <w:u w:val="single"/>
          <w:lang w:val="en-US" w:eastAsia="zh-CN"/>
        </w:rPr>
      </w:pPr>
      <w:r>
        <w:rPr>
          <w:rFonts w:hint="eastAsia" w:ascii="宋体" w:hAnsi="宋体" w:cs="宋体"/>
          <w:b w:val="0"/>
          <w:bCs w:val="0"/>
          <w:color w:val="auto"/>
          <w:sz w:val="24"/>
          <w:szCs w:val="24"/>
          <w:highlight w:val="none"/>
          <w:u w:val="single"/>
          <w:lang w:val="en-US" w:eastAsia="zh-CN"/>
        </w:rPr>
        <w:t>14.2合同金额</w:t>
      </w:r>
    </w:p>
    <w:p>
      <w:pPr>
        <w:keepNext w:val="0"/>
        <w:keepLines w:val="0"/>
        <w:pageBreakBefore w:val="0"/>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u w:val="single"/>
        </w:rPr>
        <w:t>合同金额：（大写）</w:t>
      </w:r>
      <w:r>
        <w:rPr>
          <w:rFonts w:hint="eastAsia" w:ascii="宋体" w:hAnsi="宋体" w:cs="宋体"/>
          <w:b w:val="0"/>
          <w:bCs w:val="0"/>
          <w:color w:val="auto"/>
          <w:sz w:val="24"/>
          <w:szCs w:val="24"/>
          <w:highlight w:val="none"/>
          <w:u w:val="single"/>
          <w:lang w:val="en-US" w:eastAsia="zh-CN"/>
        </w:rPr>
        <w:t xml:space="preserve">       元整</w:t>
      </w:r>
      <w:r>
        <w:rPr>
          <w:rFonts w:hint="eastAsia" w:ascii="宋体" w:hAnsi="宋体" w:eastAsia="宋体" w:cs="宋体"/>
          <w:b w:val="0"/>
          <w:bCs w:val="0"/>
          <w:color w:val="auto"/>
          <w:sz w:val="24"/>
          <w:szCs w:val="24"/>
          <w:highlight w:val="none"/>
          <w:u w:val="single"/>
        </w:rPr>
        <w:t>，（小写）￥</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元 。其中包括货款、标准附件、备品备件、专用工具、包装、运输、装卸、保险、税金、货到检查以及安装、调试、培训、保修等一切税金和费用。另验收未通过的，验收费用由乙方支付。</w:t>
      </w:r>
    </w:p>
    <w:p>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 质量保证</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15.1 乙方应保证货物是全新、未使用过的原装合格正品，并完全符合招标文件及本合同规定的质量、规格和性能的要求。</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15.2 产品的技术标准按国家标准执行，无国家标准的，按行业标准执行，无国家和行业标准的，按企业标准执行；但在招标文件中有特别要求的，按招标文件中规定的要求执行，并且符合相关法律、法规规定的要求。</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15.3 产品的包装，国家或行业主管部门有规定的，按规定执行。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15.4 </w:t>
      </w:r>
      <w:r>
        <w:rPr>
          <w:rFonts w:hint="eastAsia" w:ascii="宋体" w:hAnsi="宋体" w:cs="宋体"/>
          <w:b w:val="0"/>
          <w:bCs w:val="0"/>
          <w:color w:val="auto"/>
          <w:sz w:val="24"/>
          <w:szCs w:val="24"/>
          <w:highlight w:val="none"/>
          <w:lang w:val="en-US" w:eastAsia="zh-CN"/>
        </w:rPr>
        <w:t>质保期：</w:t>
      </w:r>
      <w:r>
        <w:rPr>
          <w:rFonts w:hint="eastAsia" w:ascii="宋体" w:hAnsi="宋体" w:eastAsia="宋体" w:cs="宋体"/>
          <w:b w:val="0"/>
          <w:bCs w:val="0"/>
          <w:color w:val="auto"/>
          <w:sz w:val="24"/>
          <w:szCs w:val="24"/>
          <w:highlight w:val="none"/>
        </w:rPr>
        <w:t>设备的质保期自</w:t>
      </w:r>
      <w:r>
        <w:rPr>
          <w:rFonts w:hint="eastAsia" w:ascii="宋体" w:hAnsi="宋体" w:cs="宋体"/>
          <w:b w:val="0"/>
          <w:bCs w:val="0"/>
          <w:color w:val="auto"/>
          <w:sz w:val="24"/>
          <w:szCs w:val="24"/>
          <w:highlight w:val="none"/>
          <w:lang w:val="en-US" w:eastAsia="zh-CN"/>
        </w:rPr>
        <w:t>终验</w:t>
      </w:r>
      <w:r>
        <w:rPr>
          <w:rFonts w:hint="eastAsia" w:ascii="宋体" w:hAnsi="宋体" w:eastAsia="宋体" w:cs="宋体"/>
          <w:b w:val="0"/>
          <w:bCs w:val="0"/>
          <w:color w:val="auto"/>
          <w:sz w:val="24"/>
          <w:szCs w:val="24"/>
          <w:highlight w:val="none"/>
        </w:rPr>
        <w:t>验收合格之后的</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个月。在质保期内因产品本身的质量问题发生故障，乙方应负责免费修理和更换。</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15.5 所提供的货物及服务完全符合合同规定的运行性能和安全要求，乙方应保护甲方在使用该系统或其任何一部分时不受第三方提出侵犯专利权、商标权或工业设备等知识产权的指控，如果第三方提出侵权指控，乙方须与第三方交涉并承担可能发生的一切法律责任和费用。</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15.6 项目完成后，运行结果符合产品标准和本招标文件及相关文件的要求；在进行测试和验收运行过程中发生的故障已被消除并得到甲方的认可；所有合同中规定的货物和材料均已提交；整套产品资料及技术文件均已提交并得到接受。系统即可通过初验。</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 到货验收及调试</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16.1 乙方将所供设备运至交货地点，并向甲方提供到货证明。采购人在收到到货证明5天内，对货物的外观、规格、数量、进行检验。如发现货物的外观、规格、数量与合同规定不符，甲方有权拒绝接受。设备到货时，须提供设备正常途径的供货证明。</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16.2 所供设备现场设备安装时，根据要求决定是否由(原厂/乙方)工程师负责实施。主要内容如下：</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16.3 乙方应完成供货、安装，并协助用户完成整套设备系统的正常、稳定运行。包括：协助用户完成设备安装环境准备并验收，负责设备系统的初期维护等，并完成验收前期的各项准备工作等。</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16.4 乙方将投标设备与现有的设备进行集成，所有系统和设备能够连通并正常运转，所有硬件能够在相应平台上正常运行，同时达到招标/谈判需求要求的性能和投标产品技术规格中的性能。设备安装、调试所需的工具、仪器及安装材料由乙方负责。</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16.5 验收分到货清点验收、系统集成初验、项目终验三阶段。乙方将所供设备运至交货地点，在甲方人员在场时拆箱，由甲方当场清点验收。安装调试完毕后，协助甲方完成系统集成初验。</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16.6 设备从初验合格次日起</w:t>
      </w:r>
      <w:r>
        <w:rPr>
          <w:rFonts w:hint="eastAsia" w:ascii="宋体" w:hAnsi="宋体" w:cs="宋体"/>
          <w:b w:val="0"/>
          <w:bCs w:val="0"/>
          <w:color w:val="auto"/>
          <w:sz w:val="24"/>
          <w:szCs w:val="24"/>
          <w:highlight w:val="none"/>
          <w:lang w:val="en-US" w:eastAsia="zh-CN"/>
        </w:rPr>
        <w:t>3个月</w:t>
      </w:r>
      <w:r>
        <w:rPr>
          <w:rFonts w:hint="eastAsia" w:ascii="宋体" w:hAnsi="宋体" w:eastAsia="宋体" w:cs="宋体"/>
          <w:b w:val="0"/>
          <w:bCs w:val="0"/>
          <w:color w:val="auto"/>
          <w:sz w:val="24"/>
          <w:szCs w:val="24"/>
          <w:highlight w:val="none"/>
        </w:rPr>
        <w:t>内，出现非甲方人为因素造成的无法排除的故障，由乙方予以整机调换。</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16.7 项目终验在设备安装调试完毕，乙方为甲方临床应用培训结束且各类商检、计量等检测完成合格后组织实施。项目终验时，乙方须提供已办妥相应质保及售后服务手续，同时，协助甲方通过电话查询售后服务手续办理情况予以验证。</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 安装试运行</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17.1 乙方负责设备购置、安装、调试、试运行等全过程的工作。</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17.2 乙方应提供安装计划给甲方认可。安装时乙方按需提供分派针对相对应设备的各个认证工程师负责安装、调试及运行工作，以检测其设计、制造、运行效果等，并提供所有测试和调试所需的工具、材料、仪器和劳务人员，直到保证正常稳定运行。安装结束前，乙方应提交测试和调试方法及记录表格给甲方。</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17.3 设备试运行应在甲方的监督下进行，此类监督不免除乙方应承担的相关责任。</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18 需提供的资料</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18.1 乙方须在合同签订后五天内提交供甲方认可的需求分析报告、设计方案、设计说明书、项目实施计划书各一份，其中项目实施计划书的内容包括：设计、购置、交货、安装调试、质保期内规定完成的所有工作及活动。</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18.2 乙方应对合同中提供的设备主要部件建立质量保证计划。</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18.3 提供所有技术说明文档和设备安装、维护使用说明书。</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18.4 设备及其和安装有关的技术原理图、接线图。</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18.5 随机的辅助设备、专用电线电缆、随机软件、维修密钥、技术资料（包括操作手册、使用指南、维修指南和含维修网点在内的服务手册等）。</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18.6 设备运行所必需的随机消耗材料，相应的技术服务与质量保证。投标方应提供所供产品备件、附件和耗材的使用、消耗情况说明并推荐相应供应商及供货单价。</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18.7 在所供设备交付使用时，乙方必须向甲方提供产品说明书、质量保证书、保修卡、配置文档、使用手册、测试文档等必须具备的相关资料和必备的附件。</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18.8 </w:t>
      </w:r>
      <w:r>
        <w:rPr>
          <w:rFonts w:hint="eastAsia" w:ascii="宋体" w:hAnsi="宋体" w:cs="宋体"/>
          <w:b w:val="0"/>
          <w:bCs w:val="0"/>
          <w:color w:val="auto"/>
          <w:sz w:val="24"/>
          <w:szCs w:val="24"/>
          <w:highlight w:val="none"/>
          <w:lang w:val="en-US" w:eastAsia="zh-CN"/>
        </w:rPr>
        <w:t>甲</w:t>
      </w:r>
      <w:r>
        <w:rPr>
          <w:rFonts w:hint="eastAsia" w:ascii="宋体" w:hAnsi="宋体" w:eastAsia="宋体" w:cs="宋体"/>
          <w:b w:val="0"/>
          <w:bCs w:val="0"/>
          <w:color w:val="auto"/>
          <w:sz w:val="24"/>
          <w:szCs w:val="24"/>
          <w:highlight w:val="none"/>
        </w:rPr>
        <w:t>方认为可能需要的其它文件。</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19 付款方式</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19.1 </w:t>
      </w:r>
      <w:r>
        <w:rPr>
          <w:rFonts w:hint="eastAsia" w:ascii="宋体" w:hAnsi="宋体" w:cs="宋体"/>
          <w:b w:val="0"/>
          <w:bCs w:val="0"/>
          <w:color w:val="auto"/>
          <w:sz w:val="24"/>
          <w:szCs w:val="24"/>
          <w:highlight w:val="none"/>
          <w:u w:val="single"/>
          <w:lang w:val="en-US" w:eastAsia="zh-CN"/>
        </w:rPr>
        <w:t>合同签订生效且项目具备实施条件后7个工作日内支付合同价40%的货款（提供银行保函或保险公司保单）；</w:t>
      </w:r>
      <w:r>
        <w:rPr>
          <w:rFonts w:hint="eastAsia" w:ascii="宋体" w:hAnsi="宋体" w:eastAsia="宋体" w:cs="宋体"/>
          <w:b w:val="0"/>
          <w:bCs w:val="0"/>
          <w:color w:val="auto"/>
          <w:sz w:val="24"/>
          <w:szCs w:val="24"/>
          <w:highlight w:val="none"/>
          <w:u w:val="single"/>
        </w:rPr>
        <w:t>设备安装调试完成及项目终验合格后且乙方培训结束、使用方操作人员能熟练操作后，由甲方根据资金支付程序进行支付审批，审批完成后，</w:t>
      </w:r>
      <w:r>
        <w:rPr>
          <w:rFonts w:hint="eastAsia" w:ascii="宋体" w:hAnsi="宋体" w:cs="宋体"/>
          <w:b w:val="0"/>
          <w:bCs w:val="0"/>
          <w:color w:val="auto"/>
          <w:sz w:val="24"/>
          <w:szCs w:val="24"/>
          <w:highlight w:val="none"/>
          <w:u w:val="single"/>
          <w:lang w:val="en-US" w:eastAsia="zh-CN"/>
        </w:rPr>
        <w:t>7个工作日内</w:t>
      </w:r>
      <w:r>
        <w:rPr>
          <w:rFonts w:hint="eastAsia" w:ascii="宋体" w:hAnsi="宋体" w:eastAsia="宋体" w:cs="宋体"/>
          <w:b w:val="0"/>
          <w:bCs w:val="0"/>
          <w:color w:val="auto"/>
          <w:sz w:val="24"/>
          <w:szCs w:val="24"/>
          <w:highlight w:val="none"/>
          <w:u w:val="single"/>
        </w:rPr>
        <w:t>甲方向乙方支付</w:t>
      </w:r>
      <w:r>
        <w:rPr>
          <w:rFonts w:hint="eastAsia" w:ascii="宋体" w:hAnsi="宋体" w:cs="宋体"/>
          <w:b w:val="0"/>
          <w:bCs w:val="0"/>
          <w:color w:val="auto"/>
          <w:sz w:val="24"/>
          <w:szCs w:val="24"/>
          <w:highlight w:val="none"/>
          <w:u w:val="single"/>
          <w:lang w:val="en-US" w:eastAsia="zh-CN"/>
        </w:rPr>
        <w:t>至</w:t>
      </w:r>
      <w:r>
        <w:rPr>
          <w:rFonts w:hint="eastAsia" w:ascii="宋体" w:hAnsi="宋体" w:eastAsia="宋体" w:cs="宋体"/>
          <w:b w:val="0"/>
          <w:bCs w:val="0"/>
          <w:color w:val="auto"/>
          <w:sz w:val="24"/>
          <w:szCs w:val="24"/>
          <w:highlight w:val="none"/>
          <w:u w:val="single"/>
        </w:rPr>
        <w:t>合同款的100%。</w:t>
      </w:r>
    </w:p>
    <w:p>
      <w:pPr>
        <w:pStyle w:val="25"/>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rPr>
        <w:t>19.2 甲方应当且仅可向乙方指定的以下账户支付本协议下的所有合同金额、费用、赔偿、违约金等应付款项</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lang w:val="en-US" w:eastAsia="zh-CN"/>
        </w:rPr>
        <w:t>乙方未及时通知，导致甲方已向原定账户支付款项的，视为甲方已经履行支付义务。</w:t>
      </w:r>
    </w:p>
    <w:p>
      <w:pPr>
        <w:keepNext w:val="0"/>
        <w:keepLines w:val="0"/>
        <w:pageBreakBefore w:val="0"/>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rPr>
        <w:t>户  名：</w:t>
      </w:r>
      <w:r>
        <w:rPr>
          <w:rFonts w:hint="eastAsia" w:ascii="宋体" w:hAnsi="宋体" w:cs="宋体"/>
          <w:b w:val="0"/>
          <w:bCs w:val="0"/>
          <w:color w:val="auto"/>
          <w:sz w:val="24"/>
          <w:szCs w:val="24"/>
          <w:highlight w:val="none"/>
          <w:u w:val="single"/>
          <w:lang w:val="en-US" w:eastAsia="zh-CN"/>
        </w:rPr>
        <w:t xml:space="preserve">                              </w:t>
      </w:r>
    </w:p>
    <w:p>
      <w:pPr>
        <w:keepNext w:val="0"/>
        <w:keepLines w:val="0"/>
        <w:pageBreakBefore w:val="0"/>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u w:val="single"/>
          <w:lang w:val="en-US"/>
        </w:rPr>
      </w:pPr>
      <w:r>
        <w:rPr>
          <w:rFonts w:hint="eastAsia" w:ascii="宋体" w:hAnsi="宋体" w:eastAsia="宋体" w:cs="宋体"/>
          <w:b w:val="0"/>
          <w:bCs w:val="0"/>
          <w:color w:val="auto"/>
          <w:sz w:val="24"/>
          <w:szCs w:val="24"/>
          <w:highlight w:val="none"/>
          <w:u w:val="single"/>
        </w:rPr>
        <w:t>账  号：</w:t>
      </w:r>
      <w:r>
        <w:rPr>
          <w:rFonts w:hint="eastAsia" w:ascii="宋体" w:hAnsi="宋体" w:cs="宋体"/>
          <w:b w:val="0"/>
          <w:bCs w:val="0"/>
          <w:color w:val="auto"/>
          <w:sz w:val="24"/>
          <w:szCs w:val="24"/>
          <w:highlight w:val="none"/>
          <w:u w:val="single"/>
          <w:lang w:val="en-US" w:eastAsia="zh-CN"/>
        </w:rPr>
        <w:t xml:space="preserve">                              </w:t>
      </w:r>
    </w:p>
    <w:p>
      <w:pPr>
        <w:keepNext w:val="0"/>
        <w:keepLines w:val="0"/>
        <w:pageBreakBefore w:val="0"/>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rPr>
        <w:t>开户行：</w:t>
      </w:r>
      <w:r>
        <w:rPr>
          <w:rFonts w:hint="eastAsia" w:ascii="宋体" w:hAnsi="宋体" w:cs="宋体"/>
          <w:b w:val="0"/>
          <w:bCs w:val="0"/>
          <w:color w:val="auto"/>
          <w:sz w:val="24"/>
          <w:szCs w:val="24"/>
          <w:highlight w:val="none"/>
          <w:u w:val="single"/>
          <w:lang w:val="en-US" w:eastAsia="zh-CN"/>
        </w:rPr>
        <w:t xml:space="preserve">                              </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20 履约保证金</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rPr>
        <w:t>合同签订后7日内乙方向甲方支付1%合同总金额的履约保证金</w:t>
      </w:r>
      <w:r>
        <w:rPr>
          <w:rFonts w:hint="eastAsia" w:ascii="宋体" w:hAnsi="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cs="宋体"/>
          <w:b w:val="0"/>
          <w:bCs w:val="0"/>
          <w:color w:val="auto"/>
          <w:sz w:val="24"/>
          <w:szCs w:val="24"/>
          <w:highlight w:val="none"/>
          <w:u w:val="single"/>
          <w:lang w:val="en-US" w:eastAsia="zh-CN"/>
        </w:rPr>
        <w:t xml:space="preserve">     元）</w:t>
      </w:r>
      <w:r>
        <w:rPr>
          <w:rFonts w:hint="eastAsia" w:ascii="宋体" w:hAnsi="宋体" w:eastAsia="宋体" w:cs="宋体"/>
          <w:b w:val="0"/>
          <w:bCs w:val="0"/>
          <w:color w:val="auto"/>
          <w:sz w:val="24"/>
          <w:szCs w:val="24"/>
          <w:highlight w:val="none"/>
          <w:u w:val="single"/>
        </w:rPr>
        <w:t>，</w:t>
      </w:r>
      <w:r>
        <w:rPr>
          <w:rFonts w:hint="eastAsia" w:ascii="宋体" w:hAnsi="宋体" w:cs="宋体"/>
          <w:b w:val="0"/>
          <w:bCs w:val="0"/>
          <w:color w:val="auto"/>
          <w:sz w:val="24"/>
          <w:szCs w:val="24"/>
          <w:highlight w:val="none"/>
          <w:u w:val="single"/>
          <w:lang w:val="en-US" w:eastAsia="zh-CN"/>
        </w:rPr>
        <w:t>履约完成</w:t>
      </w:r>
      <w:r>
        <w:rPr>
          <w:rFonts w:hint="eastAsia" w:ascii="宋体" w:hAnsi="宋体" w:eastAsia="宋体" w:cs="宋体"/>
          <w:b w:val="0"/>
          <w:bCs w:val="0"/>
          <w:color w:val="auto"/>
          <w:sz w:val="24"/>
          <w:szCs w:val="24"/>
          <w:highlight w:val="none"/>
          <w:u w:val="single"/>
        </w:rPr>
        <w:t>后无质量问题发生甲方无息退还乙方1%合同总金额的履约保证金。</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rPr>
        <w:t>账户户名：衢州市卫生财会管理中心</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rPr>
        <w:t>账号：33050168360000000056-300</w:t>
      </w:r>
      <w:r>
        <w:rPr>
          <w:rFonts w:hint="eastAsia" w:ascii="宋体" w:hAnsi="宋体" w:cs="宋体"/>
          <w:b w:val="0"/>
          <w:bCs w:val="0"/>
          <w:color w:val="auto"/>
          <w:sz w:val="24"/>
          <w:szCs w:val="24"/>
          <w:highlight w:val="none"/>
          <w:u w:val="single"/>
          <w:lang w:val="en-US" w:eastAsia="zh-CN"/>
        </w:rPr>
        <w:t>2</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开户行：中国建设银行股份有限公司衢州开发区支行</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cs="宋体"/>
          <w:b w:val="0"/>
          <w:bCs w:val="0"/>
          <w:color w:val="auto"/>
          <w:sz w:val="24"/>
          <w:szCs w:val="24"/>
          <w:highlight w:val="none"/>
          <w:u w:val="single"/>
          <w:lang w:val="en-US" w:eastAsia="zh-CN"/>
        </w:rPr>
        <w:t>支付方式</w:t>
      </w:r>
      <w:r>
        <w:rPr>
          <w:rFonts w:hint="eastAsia" w:ascii="宋体" w:hAnsi="宋体" w:eastAsia="宋体" w:cs="宋体"/>
          <w:b w:val="0"/>
          <w:bCs w:val="0"/>
          <w:color w:val="auto"/>
          <w:sz w:val="24"/>
          <w:szCs w:val="24"/>
          <w:highlight w:val="none"/>
          <w:u w:val="single"/>
          <w:lang w:val="en-US" w:eastAsia="zh-CN"/>
        </w:rPr>
        <w:t>：通过中标人的基本账户以银行转账方式缴纳或采用银行保函或保险公司保函；银行保函必须由衢州设有分支机构的银行出具，保险公司保函必须由在衢州设有分支机构的保险公司出具；保函格式必须经采购人审核，委托人同意后方可办理，否则采购人将不予接收。</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 培训</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21.1 培训在项目实施过程中按采购人确定的时间进行。</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21.2 本项目培训要求：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应就设备的安装、调试、维修、保养等对</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医技和维修技术人员进行现场免费培训，直至</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医技人员完全掌握操作、基本维护技术为止。</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22 售后服务</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22.1 售后服务内容以乙方承诺及相关要求等为准。备品备件的替换应按同等性能、同等配置要求进行。</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22.2 乙方承诺</w:t>
      </w:r>
      <w:r>
        <w:rPr>
          <w:rFonts w:hint="eastAsia" w:ascii="宋体" w:hAnsi="宋体" w:cs="宋体"/>
          <w:b w:val="0"/>
          <w:bCs w:val="0"/>
          <w:color w:val="auto"/>
          <w:sz w:val="24"/>
          <w:szCs w:val="24"/>
          <w:highlight w:val="none"/>
          <w:lang w:val="en-US" w:eastAsia="zh-CN"/>
        </w:rPr>
        <w:t>提供免费安装服务，并在</w:t>
      </w:r>
      <w:r>
        <w:rPr>
          <w:rFonts w:hint="eastAsia" w:ascii="宋体" w:hAnsi="宋体" w:eastAsia="宋体" w:cs="宋体"/>
          <w:b w:val="0"/>
          <w:bCs w:val="0"/>
          <w:color w:val="auto"/>
          <w:sz w:val="24"/>
          <w:szCs w:val="24"/>
          <w:highlight w:val="none"/>
        </w:rPr>
        <w:t>设备安装调试合格后</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lang w:val="en-US" w:eastAsia="zh-CN"/>
        </w:rPr>
        <w:t>日</w:t>
      </w:r>
      <w:r>
        <w:rPr>
          <w:rFonts w:hint="eastAsia" w:ascii="宋体" w:hAnsi="宋体" w:eastAsia="宋体" w:cs="宋体"/>
          <w:b w:val="0"/>
          <w:bCs w:val="0"/>
          <w:color w:val="auto"/>
          <w:sz w:val="24"/>
          <w:szCs w:val="24"/>
          <w:highlight w:val="none"/>
        </w:rPr>
        <w:t>内出现任何故障问题时免费换新，遇到设备故障，乙方</w:t>
      </w:r>
      <w:r>
        <w:rPr>
          <w:rFonts w:hint="eastAsia" w:ascii="宋体" w:hAnsi="宋体" w:cs="宋体"/>
          <w:b w:val="0"/>
          <w:bCs w:val="0"/>
          <w:color w:val="auto"/>
          <w:sz w:val="24"/>
          <w:szCs w:val="24"/>
          <w:highlight w:val="none"/>
          <w:lang w:eastAsia="zh-CN"/>
        </w:rPr>
        <w:t>应按照投标文件承诺进行及时</w:t>
      </w:r>
      <w:r>
        <w:rPr>
          <w:rFonts w:hint="eastAsia" w:ascii="宋体" w:hAnsi="宋体" w:eastAsia="宋体" w:cs="宋体"/>
          <w:b w:val="0"/>
          <w:bCs w:val="0"/>
          <w:color w:val="auto"/>
          <w:sz w:val="24"/>
          <w:szCs w:val="24"/>
          <w:highlight w:val="none"/>
        </w:rPr>
        <w:t>响应，如需要工程师现场维修，</w:t>
      </w:r>
      <w:r>
        <w:rPr>
          <w:rFonts w:hint="eastAsia" w:ascii="宋体" w:hAnsi="宋体" w:cs="宋体"/>
          <w:b w:val="0"/>
          <w:bCs w:val="0"/>
          <w:color w:val="auto"/>
          <w:sz w:val="24"/>
          <w:szCs w:val="24"/>
          <w:highlight w:val="none"/>
          <w:lang w:val="en-US" w:eastAsia="zh-CN"/>
        </w:rPr>
        <w:t>24小时到达现场，48小时内初步排除故障</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3个工作日</w:t>
      </w:r>
      <w:r>
        <w:rPr>
          <w:rFonts w:hint="eastAsia" w:ascii="宋体" w:hAnsi="宋体" w:eastAsia="宋体" w:cs="宋体"/>
          <w:b w:val="0"/>
          <w:bCs w:val="0"/>
          <w:color w:val="auto"/>
          <w:sz w:val="24"/>
          <w:szCs w:val="24"/>
          <w:highlight w:val="none"/>
        </w:rPr>
        <w:t>内无法修复则提供备用机或其他替代解决方案。</w:t>
      </w:r>
      <w:r>
        <w:rPr>
          <w:rFonts w:hint="eastAsia" w:ascii="宋体" w:hAnsi="宋体" w:cs="宋体"/>
          <w:b w:val="0"/>
          <w:bCs w:val="0"/>
          <w:color w:val="auto"/>
          <w:sz w:val="24"/>
          <w:szCs w:val="24"/>
          <w:highlight w:val="none"/>
          <w:lang w:eastAsia="zh-CN"/>
        </w:rPr>
        <w:t>乙方应按照投标文件承诺进行</w:t>
      </w:r>
      <w:r>
        <w:rPr>
          <w:rFonts w:hint="eastAsia" w:ascii="宋体" w:hAnsi="宋体" w:eastAsia="宋体" w:cs="宋体"/>
          <w:b w:val="0"/>
          <w:bCs w:val="0"/>
          <w:color w:val="auto"/>
          <w:sz w:val="24"/>
          <w:szCs w:val="24"/>
          <w:highlight w:val="none"/>
        </w:rPr>
        <w:t>维护保养。售后联系人：</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联系方式：</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22.3 质保期符合或优于国家标准（采购需求表中另有约定的例外）。在质保期内，设备的维修和保养所发生的一切费用均由乙方承担。</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22.4 乙方提供质保期后配件维修及设备维保服务费用清单</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相关费用不得高于市场价,具体内容详见附件</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p>
    <w:p>
      <w:pPr>
        <w:keepNext w:val="0"/>
        <w:keepLines w:val="0"/>
        <w:pageBreakBefore w:val="0"/>
        <w:kinsoku/>
        <w:wordWrap/>
        <w:overflowPunct/>
        <w:topLinePunct w:val="0"/>
        <w:bidi w:val="0"/>
        <w:spacing w:line="360" w:lineRule="auto"/>
        <w:ind w:firstLine="480" w:firstLineChars="200"/>
        <w:jc w:val="both"/>
        <w:textAlignment w:val="auto"/>
        <w:rPr>
          <w:rFonts w:hint="default" w:eastAsia="宋体"/>
          <w:color w:val="auto"/>
          <w:highlight w:val="none"/>
          <w:lang w:val="en-US" w:eastAsia="zh-CN"/>
        </w:rPr>
      </w:pPr>
      <w:r>
        <w:rPr>
          <w:rFonts w:hint="eastAsia" w:ascii="宋体" w:hAnsi="宋体" w:eastAsia="宋体" w:cs="宋体"/>
          <w:b w:val="0"/>
          <w:bCs w:val="0"/>
          <w:color w:val="auto"/>
          <w:sz w:val="24"/>
          <w:szCs w:val="24"/>
          <w:highlight w:val="none"/>
          <w:lang w:val="en-US" w:eastAsia="zh-CN"/>
        </w:rPr>
        <w:t>22.5</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乙方提供</w:t>
      </w:r>
      <w:r>
        <w:rPr>
          <w:rFonts w:hint="eastAsia" w:ascii="宋体" w:hAnsi="宋体" w:cs="宋体"/>
          <w:b w:val="0"/>
          <w:bCs w:val="0"/>
          <w:color w:val="auto"/>
          <w:sz w:val="24"/>
          <w:szCs w:val="24"/>
          <w:highlight w:val="none"/>
          <w:lang w:val="en-US" w:eastAsia="zh-CN"/>
        </w:rPr>
        <w:t>设备安装配件清单</w:t>
      </w:r>
      <w:r>
        <w:rPr>
          <w:rFonts w:hint="eastAsia" w:ascii="宋体" w:hAnsi="宋体" w:eastAsia="宋体" w:cs="宋体"/>
          <w:b w:val="0"/>
          <w:bCs w:val="0"/>
          <w:color w:val="auto"/>
          <w:sz w:val="24"/>
          <w:szCs w:val="24"/>
          <w:highlight w:val="none"/>
        </w:rPr>
        <w:t>，具体内容详见</w:t>
      </w:r>
      <w:r>
        <w:rPr>
          <w:rFonts w:hint="eastAsia" w:ascii="宋体" w:hAnsi="宋体" w:cs="宋体"/>
          <w:b w:val="0"/>
          <w:bCs w:val="0"/>
          <w:color w:val="auto"/>
          <w:sz w:val="24"/>
          <w:szCs w:val="24"/>
          <w:highlight w:val="none"/>
          <w:lang w:val="en-US" w:eastAsia="zh-CN"/>
        </w:rPr>
        <w:t>附件2</w:t>
      </w:r>
      <w:r>
        <w:rPr>
          <w:rFonts w:hint="eastAsia" w:ascii="宋体" w:hAnsi="宋体" w:eastAsia="宋体" w:cs="宋体"/>
          <w:b w:val="0"/>
          <w:bCs w:val="0"/>
          <w:color w:val="auto"/>
          <w:sz w:val="24"/>
          <w:szCs w:val="24"/>
          <w:highlight w:val="none"/>
        </w:rPr>
        <w:t>。</w:t>
      </w:r>
    </w:p>
    <w:p>
      <w:pPr>
        <w:keepNext w:val="0"/>
        <w:keepLines w:val="0"/>
        <w:pageBreakBefore w:val="0"/>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lang w:val="en-US" w:eastAsia="zh-CN"/>
        </w:rPr>
        <w:t>乙方应</w:t>
      </w:r>
      <w:r>
        <w:rPr>
          <w:rFonts w:hint="eastAsia" w:ascii="宋体" w:hAnsi="宋体" w:cs="宋体"/>
          <w:b w:val="0"/>
          <w:bCs w:val="0"/>
          <w:color w:val="auto"/>
          <w:sz w:val="24"/>
          <w:szCs w:val="24"/>
          <w:highlight w:val="none"/>
          <w:lang w:eastAsia="zh-CN"/>
        </w:rPr>
        <w:t>按照投标文件承诺</w:t>
      </w:r>
      <w:r>
        <w:rPr>
          <w:rFonts w:hint="eastAsia" w:ascii="宋体" w:hAnsi="宋体" w:eastAsia="宋体" w:cs="宋体"/>
          <w:b w:val="0"/>
          <w:bCs w:val="0"/>
          <w:color w:val="auto"/>
          <w:sz w:val="24"/>
          <w:szCs w:val="24"/>
          <w:highlight w:val="none"/>
          <w:lang w:val="en-US" w:eastAsia="zh-CN"/>
        </w:rPr>
        <w:t>提供设备所需配件和技术支持。</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 工期要求</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合同签</w:t>
      </w:r>
      <w:r>
        <w:rPr>
          <w:rFonts w:hint="eastAsia" w:ascii="宋体" w:hAnsi="宋体" w:cs="宋体"/>
          <w:b w:val="0"/>
          <w:bCs w:val="0"/>
          <w:color w:val="auto"/>
          <w:sz w:val="24"/>
          <w:szCs w:val="24"/>
          <w:highlight w:val="none"/>
          <w:lang w:val="en-US" w:eastAsia="zh-CN"/>
        </w:rPr>
        <w:t>订</w:t>
      </w:r>
      <w:r>
        <w:rPr>
          <w:rFonts w:hint="eastAsia" w:ascii="宋体" w:hAnsi="宋体" w:eastAsia="宋体" w:cs="宋体"/>
          <w:b w:val="0"/>
          <w:bCs w:val="0"/>
          <w:color w:val="auto"/>
          <w:sz w:val="24"/>
          <w:szCs w:val="24"/>
          <w:highlight w:val="none"/>
        </w:rPr>
        <w:t>后</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个工作</w:t>
      </w:r>
      <w:r>
        <w:rPr>
          <w:rFonts w:hint="eastAsia" w:ascii="宋体" w:hAnsi="宋体" w:eastAsia="宋体" w:cs="宋体"/>
          <w:b w:val="0"/>
          <w:bCs w:val="0"/>
          <w:color w:val="auto"/>
          <w:sz w:val="24"/>
          <w:szCs w:val="24"/>
          <w:highlight w:val="none"/>
        </w:rPr>
        <w:t>日内完成安装调试成功并交付使用。</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 xml:space="preserve"> 合同的生效</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.1 本合同经甲方、乙方法定代表人或其委托人签字并加盖双方公章后生效。</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.2 本合同一式</w:t>
      </w:r>
      <w:r>
        <w:rPr>
          <w:rFonts w:hint="eastAsia" w:ascii="宋体" w:hAnsi="宋体" w:eastAsia="宋体" w:cs="宋体"/>
          <w:b w:val="0"/>
          <w:bCs w:val="0"/>
          <w:color w:val="auto"/>
          <w:sz w:val="24"/>
          <w:szCs w:val="24"/>
          <w:highlight w:val="none"/>
          <w:lang w:val="en-US" w:eastAsia="zh-CN"/>
        </w:rPr>
        <w:t>两</w:t>
      </w:r>
      <w:r>
        <w:rPr>
          <w:rFonts w:hint="eastAsia" w:ascii="宋体" w:hAnsi="宋体" w:eastAsia="宋体" w:cs="宋体"/>
          <w:b w:val="0"/>
          <w:bCs w:val="0"/>
          <w:color w:val="auto"/>
          <w:sz w:val="24"/>
          <w:szCs w:val="24"/>
          <w:highlight w:val="none"/>
        </w:rPr>
        <w:t>份，甲、乙双方各执</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份。</w:t>
      </w:r>
    </w:p>
    <w:p>
      <w:pPr>
        <w:pStyle w:val="24"/>
        <w:rPr>
          <w:rFonts w:hint="eastAsia" w:ascii="宋体" w:hAnsi="宋体" w:eastAsia="宋体" w:cs="宋体"/>
          <w:b w:val="0"/>
          <w:bCs w:val="0"/>
          <w:color w:val="auto"/>
          <w:sz w:val="24"/>
          <w:szCs w:val="24"/>
          <w:highlight w:val="none"/>
        </w:rPr>
      </w:pPr>
    </w:p>
    <w:p>
      <w:pPr>
        <w:pStyle w:val="25"/>
        <w:rPr>
          <w:rFonts w:hint="eastAsia"/>
          <w:color w:val="auto"/>
          <w:highlight w:val="none"/>
        </w:rPr>
      </w:pPr>
    </w:p>
    <w:p>
      <w:pPr>
        <w:keepNext w:val="0"/>
        <w:keepLines w:val="0"/>
        <w:pageBreakBefore w:val="0"/>
        <w:kinsoku/>
        <w:wordWrap/>
        <w:overflowPunct/>
        <w:topLinePunct w:val="0"/>
        <w:bidi w:val="0"/>
        <w:spacing w:line="360" w:lineRule="auto"/>
        <w:ind w:left="6719" w:leftChars="228" w:hanging="6240" w:hangingChars="26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甲方（盖章）： 衢州市第三医院            乙方（盖章）：</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法定（授权）代表人（签字）：             法定（授权）代表人（签字）：</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联系人：                                 联系人：</w:t>
      </w:r>
    </w:p>
    <w:p>
      <w:pPr>
        <w:keepNext w:val="0"/>
        <w:keepLines w:val="0"/>
        <w:pageBreakBefore w:val="0"/>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联系电话：                               联系电话：</w:t>
      </w:r>
    </w:p>
    <w:p>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签署日期：</w:t>
      </w:r>
      <w:r>
        <w:rPr>
          <w:rFonts w:hint="eastAsia" w:ascii="宋体" w:hAnsi="宋体" w:cs="宋体"/>
          <w:b w:val="0"/>
          <w:bCs w:val="0"/>
          <w:color w:val="auto"/>
          <w:sz w:val="24"/>
          <w:szCs w:val="24"/>
          <w:highlight w:val="none"/>
          <w:lang w:val="en-US" w:eastAsia="zh-CN"/>
        </w:rPr>
        <w:t xml:space="preserve">    年   月   日               </w:t>
      </w:r>
      <w:r>
        <w:rPr>
          <w:rFonts w:hint="eastAsia" w:ascii="宋体" w:hAnsi="宋体" w:eastAsia="宋体" w:cs="宋体"/>
          <w:b w:val="0"/>
          <w:bCs w:val="0"/>
          <w:color w:val="auto"/>
          <w:sz w:val="24"/>
          <w:szCs w:val="24"/>
          <w:highlight w:val="none"/>
        </w:rPr>
        <w:t>签署日期：</w:t>
      </w:r>
      <w:r>
        <w:rPr>
          <w:rFonts w:hint="eastAsia" w:ascii="宋体" w:hAnsi="宋体" w:cs="宋体"/>
          <w:b w:val="0"/>
          <w:bCs w:val="0"/>
          <w:color w:val="auto"/>
          <w:sz w:val="24"/>
          <w:szCs w:val="24"/>
          <w:highlight w:val="none"/>
          <w:lang w:val="en-US" w:eastAsia="zh-CN"/>
        </w:rPr>
        <w:t xml:space="preserve">    年   月   日</w:t>
      </w:r>
    </w:p>
    <w:p>
      <w:pPr>
        <w:pStyle w:val="24"/>
        <w:rPr>
          <w:rFonts w:hint="eastAsia"/>
          <w:color w:val="auto"/>
          <w:highlight w:val="none"/>
          <w:lang w:val="en-US" w:eastAsia="zh-CN"/>
        </w:rPr>
      </w:pPr>
    </w:p>
    <w:p>
      <w:pPr>
        <w:pStyle w:val="25"/>
        <w:rPr>
          <w:rFonts w:hint="eastAsia"/>
          <w:color w:val="auto"/>
          <w:highlight w:val="none"/>
          <w:lang w:val="en-US" w:eastAsia="zh-CN"/>
        </w:rPr>
      </w:pPr>
    </w:p>
    <w:p>
      <w:pPr>
        <w:pStyle w:val="25"/>
        <w:ind w:left="0" w:leftChars="0" w:firstLine="0" w:firstLineChars="0"/>
        <w:rPr>
          <w:rFonts w:hint="eastAsia"/>
          <w:color w:val="auto"/>
          <w:highlight w:val="none"/>
          <w:lang w:val="en-US" w:eastAsia="zh-CN"/>
        </w:rPr>
      </w:pPr>
    </w:p>
    <w:p>
      <w:pPr>
        <w:rPr>
          <w:rFonts w:hint="eastAsia"/>
          <w:color w:val="auto"/>
          <w:highlight w:val="none"/>
          <w:lang w:val="en-US" w:eastAsia="zh-CN"/>
        </w:rPr>
      </w:pPr>
    </w:p>
    <w:p>
      <w:pPr>
        <w:pStyle w:val="24"/>
        <w:rPr>
          <w:rFonts w:hint="eastAsia"/>
          <w:color w:val="auto"/>
          <w:highlight w:val="none"/>
          <w:lang w:val="en-US" w:eastAsia="zh-CN"/>
        </w:rPr>
      </w:pPr>
    </w:p>
    <w:p>
      <w:pPr>
        <w:pStyle w:val="25"/>
        <w:rPr>
          <w:rFonts w:hint="eastAsia"/>
          <w:color w:val="auto"/>
          <w:highlight w:val="none"/>
          <w:lang w:val="en-US" w:eastAsia="zh-CN"/>
        </w:rPr>
      </w:pPr>
    </w:p>
    <w:p>
      <w:pPr>
        <w:rPr>
          <w:rFonts w:hint="eastAsia"/>
          <w:color w:val="auto"/>
          <w:highlight w:val="none"/>
          <w:lang w:val="en-US" w:eastAsia="zh-CN"/>
        </w:rPr>
      </w:pPr>
    </w:p>
    <w:p>
      <w:pPr>
        <w:pStyle w:val="24"/>
        <w:rPr>
          <w:rFonts w:hint="eastAsia"/>
          <w:color w:val="auto"/>
          <w:highlight w:val="none"/>
          <w:lang w:val="en-US" w:eastAsia="zh-CN"/>
        </w:rPr>
      </w:pPr>
    </w:p>
    <w:p>
      <w:pPr>
        <w:pStyle w:val="25"/>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4"/>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附件1</w:t>
      </w:r>
    </w:p>
    <w:p>
      <w:pPr>
        <w:keepNext w:val="0"/>
        <w:keepLines w:val="0"/>
        <w:pageBreakBefore w:val="0"/>
        <w:kinsoku/>
        <w:wordWrap/>
        <w:overflowPunct/>
        <w:topLinePunct w:val="0"/>
        <w:bidi w:val="0"/>
        <w:spacing w:line="360" w:lineRule="auto"/>
        <w:ind w:firstLine="643" w:firstLineChars="200"/>
        <w:jc w:val="center"/>
        <w:textAlignment w:val="auto"/>
        <w:rPr>
          <w:rFonts w:hint="eastAsia"/>
          <w:color w:val="auto"/>
          <w:highlight w:val="none"/>
          <w:lang w:val="en-US" w:eastAsia="zh-CN"/>
        </w:rPr>
      </w:pPr>
      <w:r>
        <w:rPr>
          <w:rFonts w:hint="eastAsia" w:ascii="宋体" w:hAnsi="宋体" w:cs="宋体"/>
          <w:b/>
          <w:bCs/>
          <w:color w:val="auto"/>
          <w:sz w:val="32"/>
          <w:szCs w:val="32"/>
          <w:highlight w:val="none"/>
          <w:lang w:val="en-US" w:eastAsia="zh-CN"/>
        </w:rPr>
        <w:t>设备</w:t>
      </w:r>
      <w:r>
        <w:rPr>
          <w:rFonts w:hint="eastAsia" w:ascii="宋体" w:hAnsi="宋体" w:eastAsia="宋体" w:cs="宋体"/>
          <w:b/>
          <w:bCs/>
          <w:color w:val="auto"/>
          <w:sz w:val="32"/>
          <w:szCs w:val="32"/>
          <w:highlight w:val="none"/>
        </w:rPr>
        <w:t>维修配件及维保服务费用清单</w:t>
      </w:r>
    </w:p>
    <w:tbl>
      <w:tblPr>
        <w:tblStyle w:val="6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371"/>
        <w:gridCol w:w="1621"/>
        <w:gridCol w:w="1088"/>
        <w:gridCol w:w="806"/>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jc w:val="center"/>
              <w:rPr>
                <w:rFonts w:hint="eastAsia" w:asciiTheme="majorEastAsia" w:hAnsiTheme="majorEastAsia" w:eastAsiaTheme="majorEastAsia" w:cstheme="majorEastAsia"/>
                <w:b/>
                <w:bCs/>
                <w:color w:val="auto"/>
                <w:sz w:val="24"/>
                <w:highlight w:val="none"/>
                <w:vertAlign w:val="baseline"/>
                <w:lang w:eastAsia="zh-CN"/>
              </w:rPr>
            </w:pPr>
            <w:r>
              <w:rPr>
                <w:rFonts w:hint="eastAsia" w:asciiTheme="majorEastAsia" w:hAnsiTheme="majorEastAsia" w:eastAsiaTheme="majorEastAsia" w:cstheme="majorEastAsia"/>
                <w:b/>
                <w:bCs/>
                <w:color w:val="auto"/>
                <w:sz w:val="24"/>
                <w:highlight w:val="none"/>
                <w:vertAlign w:val="baseline"/>
                <w:lang w:eastAsia="zh-CN"/>
              </w:rPr>
              <w:t>序号</w:t>
            </w:r>
          </w:p>
        </w:tc>
        <w:tc>
          <w:tcPr>
            <w:tcW w:w="3371" w:type="dxa"/>
          </w:tcPr>
          <w:p>
            <w:pPr>
              <w:pStyle w:val="24"/>
              <w:jc w:val="center"/>
              <w:rPr>
                <w:rFonts w:hint="eastAsia" w:asciiTheme="majorEastAsia" w:hAnsiTheme="majorEastAsia" w:eastAsiaTheme="majorEastAsia" w:cstheme="majorEastAsia"/>
                <w:b/>
                <w:bCs/>
                <w:color w:val="auto"/>
                <w:sz w:val="24"/>
                <w:highlight w:val="none"/>
                <w:vertAlign w:val="baseline"/>
                <w:lang w:val="en-US"/>
              </w:rPr>
            </w:pPr>
            <w:r>
              <w:rPr>
                <w:rFonts w:hint="eastAsia" w:asciiTheme="majorEastAsia" w:hAnsiTheme="majorEastAsia" w:eastAsiaTheme="majorEastAsia" w:cstheme="majorEastAsia"/>
                <w:b/>
                <w:bCs/>
                <w:color w:val="auto"/>
                <w:sz w:val="24"/>
                <w:highlight w:val="none"/>
                <w:vertAlign w:val="baseline"/>
                <w:lang w:val="en-US" w:eastAsia="zh-CN"/>
              </w:rPr>
              <w:t>配件/服务名称</w:t>
            </w:r>
          </w:p>
        </w:tc>
        <w:tc>
          <w:tcPr>
            <w:tcW w:w="1621" w:type="dxa"/>
          </w:tcPr>
          <w:p>
            <w:pPr>
              <w:pStyle w:val="24"/>
              <w:jc w:val="center"/>
              <w:rPr>
                <w:rFonts w:hint="default" w:asciiTheme="majorEastAsia" w:hAnsiTheme="majorEastAsia" w:eastAsiaTheme="majorEastAsia" w:cstheme="majorEastAsia"/>
                <w:b/>
                <w:bCs/>
                <w:color w:val="auto"/>
                <w:sz w:val="24"/>
                <w:highlight w:val="none"/>
                <w:vertAlign w:val="baseline"/>
                <w:lang w:val="en-US"/>
              </w:rPr>
            </w:pPr>
            <w:r>
              <w:rPr>
                <w:rFonts w:hint="eastAsia" w:asciiTheme="majorEastAsia" w:hAnsiTheme="majorEastAsia" w:eastAsiaTheme="majorEastAsia" w:cstheme="majorEastAsia"/>
                <w:b/>
                <w:bCs/>
                <w:color w:val="auto"/>
                <w:sz w:val="24"/>
                <w:highlight w:val="none"/>
                <w:vertAlign w:val="baseline"/>
                <w:lang w:eastAsia="zh-CN"/>
              </w:rPr>
              <w:t>规格</w:t>
            </w:r>
            <w:r>
              <w:rPr>
                <w:rFonts w:hint="eastAsia" w:asciiTheme="majorEastAsia" w:hAnsiTheme="majorEastAsia" w:eastAsiaTheme="majorEastAsia" w:cstheme="majorEastAsia"/>
                <w:b/>
                <w:bCs/>
                <w:color w:val="auto"/>
                <w:sz w:val="24"/>
                <w:highlight w:val="none"/>
                <w:vertAlign w:val="baseline"/>
                <w:lang w:val="en-US" w:eastAsia="zh-CN"/>
              </w:rPr>
              <w:t>/型号</w:t>
            </w:r>
          </w:p>
        </w:tc>
        <w:tc>
          <w:tcPr>
            <w:tcW w:w="1088" w:type="dxa"/>
          </w:tcPr>
          <w:p>
            <w:pPr>
              <w:pStyle w:val="24"/>
              <w:jc w:val="center"/>
              <w:rPr>
                <w:rFonts w:hint="eastAsia" w:asciiTheme="majorEastAsia" w:hAnsiTheme="majorEastAsia" w:eastAsiaTheme="majorEastAsia" w:cstheme="majorEastAsia"/>
                <w:b/>
                <w:bCs/>
                <w:color w:val="auto"/>
                <w:sz w:val="24"/>
                <w:highlight w:val="none"/>
                <w:vertAlign w:val="baseline"/>
              </w:rPr>
            </w:pPr>
            <w:r>
              <w:rPr>
                <w:rFonts w:hint="eastAsia" w:asciiTheme="majorEastAsia" w:hAnsiTheme="majorEastAsia" w:eastAsiaTheme="majorEastAsia" w:cstheme="majorEastAsia"/>
                <w:b/>
                <w:bCs/>
                <w:color w:val="auto"/>
                <w:sz w:val="24"/>
                <w:highlight w:val="none"/>
                <w:vertAlign w:val="baseline"/>
                <w:lang w:eastAsia="zh-CN"/>
              </w:rPr>
              <w:t>数量</w:t>
            </w:r>
          </w:p>
        </w:tc>
        <w:tc>
          <w:tcPr>
            <w:tcW w:w="806" w:type="dxa"/>
          </w:tcPr>
          <w:p>
            <w:pPr>
              <w:pStyle w:val="24"/>
              <w:jc w:val="center"/>
              <w:rPr>
                <w:rFonts w:hint="eastAsia" w:asciiTheme="majorEastAsia" w:hAnsiTheme="majorEastAsia" w:eastAsiaTheme="majorEastAsia" w:cstheme="majorEastAsia"/>
                <w:b/>
                <w:bCs/>
                <w:color w:val="auto"/>
                <w:sz w:val="24"/>
                <w:highlight w:val="none"/>
                <w:vertAlign w:val="baseline"/>
              </w:rPr>
            </w:pPr>
            <w:r>
              <w:rPr>
                <w:rFonts w:hint="eastAsia" w:asciiTheme="majorEastAsia" w:hAnsiTheme="majorEastAsia" w:eastAsiaTheme="majorEastAsia" w:cstheme="majorEastAsia"/>
                <w:b/>
                <w:bCs/>
                <w:color w:val="auto"/>
                <w:sz w:val="24"/>
                <w:highlight w:val="none"/>
                <w:vertAlign w:val="baseline"/>
                <w:lang w:eastAsia="zh-CN"/>
              </w:rPr>
              <w:t>单位</w:t>
            </w:r>
          </w:p>
        </w:tc>
        <w:tc>
          <w:tcPr>
            <w:tcW w:w="1510" w:type="dxa"/>
          </w:tcPr>
          <w:p>
            <w:pPr>
              <w:pStyle w:val="24"/>
              <w:jc w:val="center"/>
              <w:rPr>
                <w:rFonts w:hint="eastAsia" w:asciiTheme="majorEastAsia" w:hAnsiTheme="majorEastAsia" w:eastAsiaTheme="majorEastAsia" w:cstheme="majorEastAsia"/>
                <w:b/>
                <w:bCs/>
                <w:color w:val="auto"/>
                <w:sz w:val="24"/>
                <w:highlight w:val="none"/>
                <w:vertAlign w:val="baseline"/>
              </w:rPr>
            </w:pPr>
            <w:r>
              <w:rPr>
                <w:rFonts w:hint="eastAsia" w:asciiTheme="majorEastAsia" w:hAnsiTheme="majorEastAsia" w:eastAsiaTheme="majorEastAsia" w:cstheme="majorEastAsia"/>
                <w:b/>
                <w:bCs/>
                <w:color w:val="auto"/>
                <w:sz w:val="24"/>
                <w:highlight w:val="none"/>
                <w:vertAlign w:val="baseline"/>
                <w:lang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eastAsia"/>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widowControl/>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pStyle w:val="24"/>
              <w:rPr>
                <w:rFonts w:hint="eastAsia"/>
                <w:b w:val="0"/>
                <w:bCs w:val="0"/>
                <w:color w:val="auto"/>
                <w:sz w:val="24"/>
                <w:highlight w:val="none"/>
                <w:vertAlign w:val="baseline"/>
              </w:rPr>
            </w:pPr>
          </w:p>
        </w:tc>
        <w:tc>
          <w:tcPr>
            <w:tcW w:w="3371" w:type="dxa"/>
          </w:tcPr>
          <w:p>
            <w:pPr>
              <w:widowControl/>
              <w:jc w:val="left"/>
              <w:rPr>
                <w:rFonts w:hint="eastAsia"/>
                <w:b w:val="0"/>
                <w:bCs w:val="0"/>
                <w:color w:val="auto"/>
                <w:sz w:val="24"/>
                <w:highlight w:val="none"/>
                <w:vertAlign w:val="baseline"/>
              </w:rPr>
            </w:pPr>
          </w:p>
        </w:tc>
        <w:tc>
          <w:tcPr>
            <w:tcW w:w="1621" w:type="dxa"/>
          </w:tcPr>
          <w:p>
            <w:pPr>
              <w:pStyle w:val="24"/>
              <w:rPr>
                <w:rFonts w:hint="eastAsia"/>
                <w:b w:val="0"/>
                <w:bCs w:val="0"/>
                <w:color w:val="auto"/>
                <w:sz w:val="24"/>
                <w:highlight w:val="none"/>
                <w:vertAlign w:val="baseline"/>
              </w:rPr>
            </w:pPr>
          </w:p>
        </w:tc>
        <w:tc>
          <w:tcPr>
            <w:tcW w:w="1088" w:type="dxa"/>
          </w:tcPr>
          <w:p>
            <w:pPr>
              <w:pStyle w:val="24"/>
              <w:jc w:val="center"/>
              <w:rPr>
                <w:rFonts w:hint="eastAsia"/>
                <w:b w:val="0"/>
                <w:bCs w:val="0"/>
                <w:color w:val="auto"/>
                <w:sz w:val="24"/>
                <w:highlight w:val="none"/>
                <w:vertAlign w:val="baseline"/>
              </w:rPr>
            </w:pPr>
          </w:p>
        </w:tc>
        <w:tc>
          <w:tcPr>
            <w:tcW w:w="806" w:type="dxa"/>
          </w:tcPr>
          <w:p>
            <w:pPr>
              <w:pStyle w:val="24"/>
              <w:jc w:val="center"/>
              <w:rPr>
                <w:rFonts w:hint="eastAsia"/>
                <w:b w:val="0"/>
                <w:bCs w:val="0"/>
                <w:color w:val="auto"/>
                <w:sz w:val="24"/>
                <w:highlight w:val="none"/>
                <w:vertAlign w:val="baseline"/>
              </w:rPr>
            </w:pPr>
          </w:p>
        </w:tc>
        <w:tc>
          <w:tcPr>
            <w:tcW w:w="1510" w:type="dxa"/>
          </w:tcPr>
          <w:p>
            <w:pPr>
              <w:pStyle w:val="24"/>
              <w:jc w:val="center"/>
              <w:rPr>
                <w:rFonts w:hint="default"/>
                <w:b w:val="0"/>
                <w:bCs w:val="0"/>
                <w:color w:val="auto"/>
                <w:sz w:val="24"/>
                <w:highlight w:val="none"/>
                <w:vertAlign w:val="baseline"/>
              </w:rPr>
            </w:pPr>
          </w:p>
        </w:tc>
      </w:tr>
    </w:tbl>
    <w:p>
      <w:pPr>
        <w:pStyle w:val="24"/>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附件2</w:t>
      </w:r>
    </w:p>
    <w:p>
      <w:pPr>
        <w:keepNext w:val="0"/>
        <w:keepLines w:val="0"/>
        <w:pageBreakBefore w:val="0"/>
        <w:kinsoku/>
        <w:wordWrap/>
        <w:overflowPunct/>
        <w:topLinePunct w:val="0"/>
        <w:bidi w:val="0"/>
        <w:spacing w:line="360" w:lineRule="auto"/>
        <w:ind w:firstLine="643" w:firstLineChars="2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设备安装配件</w:t>
      </w:r>
      <w:r>
        <w:rPr>
          <w:rFonts w:hint="eastAsia" w:ascii="宋体" w:hAnsi="宋体" w:eastAsia="宋体" w:cs="宋体"/>
          <w:b/>
          <w:bCs/>
          <w:color w:val="auto"/>
          <w:sz w:val="32"/>
          <w:szCs w:val="32"/>
          <w:highlight w:val="none"/>
        </w:rPr>
        <w:t>清单</w:t>
      </w:r>
    </w:p>
    <w:p>
      <w:pPr>
        <w:pStyle w:val="25"/>
        <w:rPr>
          <w:rFonts w:hint="eastAsia"/>
          <w:color w:val="auto"/>
          <w:highlight w:val="none"/>
          <w:lang w:val="en-US" w:eastAsia="zh-CN"/>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263"/>
        <w:gridCol w:w="768"/>
        <w:gridCol w:w="760"/>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ind w:firstLine="0"/>
              <w:jc w:val="both"/>
              <w:rPr>
                <w:rFonts w:hint="eastAsia" w:asciiTheme="majorEastAsia" w:hAnsiTheme="majorEastAsia" w:eastAsiaTheme="majorEastAsia" w:cstheme="majorEastAsia"/>
                <w:color w:val="auto"/>
                <w:highlight w:val="none"/>
                <w:vertAlign w:val="baseline"/>
                <w:lang w:val="en-US" w:eastAsia="zh-CN"/>
              </w:rPr>
            </w:pPr>
            <w:r>
              <w:rPr>
                <w:rFonts w:hint="eastAsia" w:asciiTheme="majorEastAsia" w:hAnsiTheme="majorEastAsia" w:eastAsiaTheme="majorEastAsia" w:cstheme="majorEastAsia"/>
                <w:color w:val="auto"/>
                <w:highlight w:val="none"/>
                <w:vertAlign w:val="baseline"/>
                <w:lang w:val="en-US" w:eastAsia="zh-CN"/>
              </w:rPr>
              <w:t>序号</w:t>
            </w:r>
          </w:p>
        </w:tc>
        <w:tc>
          <w:tcPr>
            <w:tcW w:w="3263" w:type="dxa"/>
          </w:tcPr>
          <w:p>
            <w:pPr>
              <w:pStyle w:val="25"/>
              <w:ind w:firstLine="960" w:firstLineChars="400"/>
              <w:jc w:val="both"/>
              <w:rPr>
                <w:rFonts w:hint="eastAsia" w:asciiTheme="majorEastAsia" w:hAnsiTheme="majorEastAsia" w:eastAsiaTheme="majorEastAsia" w:cstheme="majorEastAsia"/>
                <w:color w:val="auto"/>
                <w:highlight w:val="none"/>
                <w:vertAlign w:val="baseline"/>
                <w:lang w:val="en-US" w:eastAsia="zh-CN"/>
              </w:rPr>
            </w:pPr>
            <w:r>
              <w:rPr>
                <w:rFonts w:hint="eastAsia" w:asciiTheme="majorEastAsia" w:hAnsiTheme="majorEastAsia" w:eastAsiaTheme="majorEastAsia" w:cstheme="majorEastAsia"/>
                <w:color w:val="auto"/>
                <w:highlight w:val="none"/>
                <w:vertAlign w:val="baseline"/>
                <w:lang w:val="en-US" w:eastAsia="zh-CN"/>
              </w:rPr>
              <w:t>配件名称</w:t>
            </w:r>
          </w:p>
        </w:tc>
        <w:tc>
          <w:tcPr>
            <w:tcW w:w="768" w:type="dxa"/>
          </w:tcPr>
          <w:p>
            <w:pPr>
              <w:pStyle w:val="25"/>
              <w:ind w:left="0" w:leftChars="0" w:firstLine="0" w:firstLineChars="0"/>
              <w:jc w:val="both"/>
              <w:rPr>
                <w:rFonts w:hint="eastAsia" w:asciiTheme="majorEastAsia" w:hAnsiTheme="majorEastAsia" w:eastAsiaTheme="majorEastAsia" w:cstheme="majorEastAsia"/>
                <w:color w:val="auto"/>
                <w:highlight w:val="none"/>
                <w:vertAlign w:val="baseline"/>
                <w:lang w:val="en-US" w:eastAsia="zh-CN"/>
              </w:rPr>
            </w:pPr>
            <w:r>
              <w:rPr>
                <w:rFonts w:hint="eastAsia" w:asciiTheme="majorEastAsia" w:hAnsiTheme="majorEastAsia" w:eastAsiaTheme="majorEastAsia" w:cstheme="majorEastAsia"/>
                <w:color w:val="auto"/>
                <w:highlight w:val="none"/>
                <w:vertAlign w:val="baseline"/>
                <w:lang w:val="en-US" w:eastAsia="zh-CN"/>
              </w:rPr>
              <w:t>数量</w:t>
            </w:r>
          </w:p>
        </w:tc>
        <w:tc>
          <w:tcPr>
            <w:tcW w:w="760" w:type="dxa"/>
          </w:tcPr>
          <w:p>
            <w:pPr>
              <w:pStyle w:val="25"/>
              <w:ind w:left="0" w:leftChars="0" w:firstLine="0" w:firstLineChars="0"/>
              <w:jc w:val="both"/>
              <w:rPr>
                <w:rFonts w:hint="default" w:asciiTheme="majorEastAsia" w:hAnsiTheme="majorEastAsia" w:eastAsiaTheme="majorEastAsia" w:cstheme="majorEastAsia"/>
                <w:color w:val="auto"/>
                <w:highlight w:val="none"/>
                <w:vertAlign w:val="baseline"/>
                <w:lang w:val="en-US" w:eastAsia="zh-CN"/>
              </w:rPr>
            </w:pPr>
            <w:r>
              <w:rPr>
                <w:rFonts w:hint="eastAsia" w:asciiTheme="majorEastAsia" w:hAnsiTheme="majorEastAsia" w:eastAsiaTheme="majorEastAsia" w:cstheme="majorEastAsia"/>
                <w:color w:val="auto"/>
                <w:highlight w:val="none"/>
                <w:vertAlign w:val="baseline"/>
                <w:lang w:val="en-US" w:eastAsia="zh-CN"/>
              </w:rPr>
              <w:t>单位</w:t>
            </w:r>
          </w:p>
        </w:tc>
        <w:tc>
          <w:tcPr>
            <w:tcW w:w="3207" w:type="dxa"/>
          </w:tcPr>
          <w:p>
            <w:pPr>
              <w:pStyle w:val="25"/>
              <w:ind w:firstLine="720" w:firstLineChars="300"/>
              <w:jc w:val="both"/>
              <w:rPr>
                <w:rFonts w:hint="eastAsia" w:asciiTheme="majorEastAsia" w:hAnsiTheme="majorEastAsia" w:eastAsiaTheme="majorEastAsia" w:cstheme="majorEastAsia"/>
                <w:color w:val="auto"/>
                <w:highlight w:val="none"/>
                <w:vertAlign w:val="baseline"/>
                <w:lang w:val="en-US" w:eastAsia="zh-CN"/>
              </w:rPr>
            </w:pPr>
            <w:r>
              <w:rPr>
                <w:rFonts w:hint="eastAsia" w:asciiTheme="majorEastAsia" w:hAnsiTheme="majorEastAsia" w:eastAsiaTheme="majorEastAsia" w:cstheme="majorEastAsia"/>
                <w:color w:val="auto"/>
                <w:highlight w:val="none"/>
                <w:vertAlign w:val="baseline"/>
                <w:lang w:val="en-US" w:eastAsia="zh-CN"/>
              </w:rPr>
              <w:t>品牌（规格型号）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color w:val="auto"/>
                <w:highlight w:val="none"/>
                <w:vertAlign w:val="baseline"/>
                <w:lang w:val="en-US" w:eastAsia="zh-CN"/>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eastAsia"/>
                <w:color w:val="auto"/>
                <w:highlight w:val="none"/>
                <w:vertAlign w:val="baseline"/>
                <w:lang w:val="en-US" w:eastAsia="zh-CN"/>
              </w:rPr>
            </w:pPr>
          </w:p>
        </w:tc>
        <w:tc>
          <w:tcPr>
            <w:tcW w:w="3207" w:type="dxa"/>
          </w:tcPr>
          <w:p>
            <w:pPr>
              <w:pStyle w:val="25"/>
              <w:ind w:firstLine="0"/>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color w:val="auto"/>
                <w:highlight w:val="none"/>
                <w:vertAlign w:val="baseline"/>
                <w:lang w:val="en-US" w:eastAsia="zh-CN"/>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eastAsia"/>
                <w:color w:val="auto"/>
                <w:highlight w:val="none"/>
                <w:vertAlign w:val="baseline"/>
                <w:lang w:val="en-US" w:eastAsia="zh-CN"/>
              </w:rPr>
            </w:pPr>
          </w:p>
        </w:tc>
        <w:tc>
          <w:tcPr>
            <w:tcW w:w="3207" w:type="dxa"/>
          </w:tcPr>
          <w:p>
            <w:pPr>
              <w:pStyle w:val="25"/>
              <w:ind w:firstLine="0"/>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color w:val="auto"/>
                <w:highlight w:val="none"/>
                <w:vertAlign w:val="baseline"/>
                <w:lang w:val="en-US" w:eastAsia="zh-CN"/>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eastAsia"/>
                <w:color w:val="auto"/>
                <w:highlight w:val="none"/>
                <w:vertAlign w:val="baseline"/>
                <w:lang w:val="en-US" w:eastAsia="zh-CN"/>
              </w:rPr>
            </w:pPr>
          </w:p>
        </w:tc>
        <w:tc>
          <w:tcPr>
            <w:tcW w:w="3207" w:type="dxa"/>
          </w:tcPr>
          <w:p>
            <w:pPr>
              <w:pStyle w:val="25"/>
              <w:ind w:firstLine="0"/>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color w:val="auto"/>
                <w:highlight w:val="none"/>
                <w:vertAlign w:val="baseline"/>
                <w:lang w:val="en-US" w:eastAsia="zh-CN"/>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eastAsia"/>
                <w:color w:val="auto"/>
                <w:highlight w:val="none"/>
                <w:vertAlign w:val="baseline"/>
                <w:lang w:val="en-US" w:eastAsia="zh-CN"/>
              </w:rPr>
            </w:pPr>
          </w:p>
        </w:tc>
        <w:tc>
          <w:tcPr>
            <w:tcW w:w="3207" w:type="dxa"/>
          </w:tcPr>
          <w:p>
            <w:pPr>
              <w:pStyle w:val="25"/>
              <w:ind w:firstLine="0"/>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color w:val="auto"/>
                <w:highlight w:val="none"/>
                <w:vertAlign w:val="baseline"/>
                <w:lang w:val="en-US" w:eastAsia="zh-CN"/>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eastAsia"/>
                <w:color w:val="auto"/>
                <w:highlight w:val="none"/>
                <w:vertAlign w:val="baseline"/>
                <w:lang w:val="en-US" w:eastAsia="zh-CN"/>
              </w:rPr>
            </w:pPr>
          </w:p>
        </w:tc>
        <w:tc>
          <w:tcPr>
            <w:tcW w:w="3207" w:type="dxa"/>
          </w:tcPr>
          <w:p>
            <w:pPr>
              <w:pStyle w:val="25"/>
              <w:ind w:firstLine="0"/>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color w:val="auto"/>
                <w:highlight w:val="none"/>
                <w:vertAlign w:val="baseline"/>
                <w:lang w:val="en-US" w:eastAsia="zh-CN"/>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default"/>
                <w:color w:val="auto"/>
                <w:highlight w:val="none"/>
                <w:vertAlign w:val="baseline"/>
                <w:lang w:val="en-US" w:eastAsia="zh-CN"/>
              </w:rPr>
            </w:pPr>
          </w:p>
        </w:tc>
        <w:tc>
          <w:tcPr>
            <w:tcW w:w="3207" w:type="dxa"/>
          </w:tcPr>
          <w:p>
            <w:pPr>
              <w:pStyle w:val="25"/>
              <w:ind w:firstLine="0"/>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ascii="宋体" w:hAnsi="宋体" w:eastAsia="宋体" w:cs="宋体"/>
                <w:color w:val="auto"/>
                <w:kern w:val="0"/>
                <w:sz w:val="24"/>
                <w:szCs w:val="24"/>
                <w:highlight w:val="none"/>
                <w:lang w:val="en-US" w:eastAsia="zh-CN" w:bidi="ar"/>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eastAsia"/>
                <w:color w:val="auto"/>
                <w:highlight w:val="none"/>
                <w:vertAlign w:val="baseline"/>
                <w:lang w:val="en-US" w:eastAsia="zh-CN"/>
              </w:rPr>
            </w:pPr>
          </w:p>
        </w:tc>
        <w:tc>
          <w:tcPr>
            <w:tcW w:w="3207" w:type="dxa"/>
          </w:tcPr>
          <w:p>
            <w:pPr>
              <w:pStyle w:val="25"/>
              <w:ind w:firstLine="0"/>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ascii="宋体" w:hAnsi="宋体" w:eastAsia="宋体" w:cs="宋体"/>
                <w:color w:val="auto"/>
                <w:kern w:val="0"/>
                <w:sz w:val="24"/>
                <w:szCs w:val="24"/>
                <w:highlight w:val="none"/>
                <w:lang w:val="en-US" w:eastAsia="zh-CN" w:bidi="ar"/>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eastAsia"/>
                <w:color w:val="auto"/>
                <w:highlight w:val="none"/>
                <w:vertAlign w:val="baseline"/>
                <w:lang w:val="en-US" w:eastAsia="zh-CN"/>
              </w:rPr>
            </w:pPr>
          </w:p>
        </w:tc>
        <w:tc>
          <w:tcPr>
            <w:tcW w:w="3207" w:type="dxa"/>
          </w:tcPr>
          <w:p>
            <w:pPr>
              <w:pStyle w:val="25"/>
              <w:ind w:firstLine="0"/>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ascii="宋体" w:hAnsi="宋体" w:eastAsia="宋体" w:cs="宋体"/>
                <w:color w:val="auto"/>
                <w:kern w:val="0"/>
                <w:sz w:val="24"/>
                <w:szCs w:val="24"/>
                <w:highlight w:val="none"/>
                <w:lang w:val="en-US" w:eastAsia="zh-CN" w:bidi="ar"/>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eastAsia"/>
                <w:color w:val="auto"/>
                <w:highlight w:val="none"/>
                <w:vertAlign w:val="baseline"/>
                <w:lang w:val="en-US" w:eastAsia="zh-CN"/>
              </w:rPr>
            </w:pPr>
          </w:p>
        </w:tc>
        <w:tc>
          <w:tcPr>
            <w:tcW w:w="3207" w:type="dxa"/>
          </w:tcPr>
          <w:p>
            <w:pPr>
              <w:pStyle w:val="25"/>
              <w:ind w:firstLine="0"/>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ascii="宋体" w:hAnsi="宋体" w:eastAsia="宋体" w:cs="宋体"/>
                <w:color w:val="auto"/>
                <w:kern w:val="0"/>
                <w:sz w:val="24"/>
                <w:szCs w:val="24"/>
                <w:highlight w:val="none"/>
                <w:lang w:val="en-US" w:eastAsia="zh-CN" w:bidi="ar"/>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eastAsia"/>
                <w:color w:val="auto"/>
                <w:highlight w:val="none"/>
                <w:vertAlign w:val="baseline"/>
                <w:lang w:val="en-US" w:eastAsia="zh-CN"/>
              </w:rPr>
            </w:pPr>
          </w:p>
        </w:tc>
        <w:tc>
          <w:tcPr>
            <w:tcW w:w="3207" w:type="dxa"/>
          </w:tcPr>
          <w:p>
            <w:pPr>
              <w:pStyle w:val="25"/>
              <w:ind w:firstLine="0"/>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ascii="宋体" w:hAnsi="宋体" w:eastAsia="宋体" w:cs="宋体"/>
                <w:color w:val="auto"/>
                <w:kern w:val="0"/>
                <w:sz w:val="24"/>
                <w:szCs w:val="24"/>
                <w:highlight w:val="none"/>
                <w:lang w:val="en-US" w:eastAsia="zh-CN" w:bidi="ar"/>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eastAsia"/>
                <w:color w:val="auto"/>
                <w:highlight w:val="none"/>
                <w:vertAlign w:val="baseline"/>
                <w:lang w:val="en-US" w:eastAsia="zh-CN"/>
              </w:rPr>
            </w:pPr>
          </w:p>
        </w:tc>
        <w:tc>
          <w:tcPr>
            <w:tcW w:w="3207" w:type="dxa"/>
          </w:tcPr>
          <w:p>
            <w:pPr>
              <w:pStyle w:val="25"/>
              <w:ind w:firstLine="0"/>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25"/>
              <w:rPr>
                <w:rFonts w:hint="default"/>
                <w:color w:val="auto"/>
                <w:highlight w:val="none"/>
                <w:vertAlign w:val="baseline"/>
                <w:lang w:val="en-US" w:eastAsia="zh-CN"/>
              </w:rPr>
            </w:pPr>
          </w:p>
        </w:tc>
        <w:tc>
          <w:tcPr>
            <w:tcW w:w="3263" w:type="dxa"/>
          </w:tcPr>
          <w:p>
            <w:pPr>
              <w:widowControl/>
              <w:jc w:val="left"/>
              <w:rPr>
                <w:rFonts w:hint="eastAsia" w:ascii="宋体" w:hAnsi="宋体" w:eastAsia="宋体" w:cs="宋体"/>
                <w:color w:val="auto"/>
                <w:kern w:val="0"/>
                <w:sz w:val="24"/>
                <w:szCs w:val="24"/>
                <w:highlight w:val="none"/>
                <w:lang w:val="en-US" w:eastAsia="zh-CN" w:bidi="ar"/>
              </w:rPr>
            </w:pPr>
          </w:p>
        </w:tc>
        <w:tc>
          <w:tcPr>
            <w:tcW w:w="768" w:type="dxa"/>
          </w:tcPr>
          <w:p>
            <w:pPr>
              <w:pStyle w:val="25"/>
              <w:ind w:firstLine="0"/>
              <w:rPr>
                <w:rFonts w:hint="default"/>
                <w:color w:val="auto"/>
                <w:highlight w:val="none"/>
                <w:vertAlign w:val="baseline"/>
                <w:lang w:val="en-US" w:eastAsia="zh-CN"/>
              </w:rPr>
            </w:pPr>
          </w:p>
        </w:tc>
        <w:tc>
          <w:tcPr>
            <w:tcW w:w="760" w:type="dxa"/>
          </w:tcPr>
          <w:p>
            <w:pPr>
              <w:pStyle w:val="25"/>
              <w:ind w:firstLine="0"/>
              <w:rPr>
                <w:rFonts w:hint="eastAsia"/>
                <w:color w:val="auto"/>
                <w:highlight w:val="none"/>
                <w:vertAlign w:val="baseline"/>
                <w:lang w:val="en-US" w:eastAsia="zh-CN"/>
              </w:rPr>
            </w:pPr>
          </w:p>
        </w:tc>
        <w:tc>
          <w:tcPr>
            <w:tcW w:w="3207" w:type="dxa"/>
          </w:tcPr>
          <w:p>
            <w:pPr>
              <w:pStyle w:val="25"/>
              <w:ind w:firstLine="0"/>
              <w:rPr>
                <w:rFonts w:hint="eastAsia"/>
                <w:color w:val="auto"/>
                <w:highlight w:val="none"/>
                <w:vertAlign w:val="baseline"/>
                <w:lang w:val="en-US" w:eastAsia="zh-CN"/>
              </w:rPr>
            </w:pPr>
          </w:p>
        </w:tc>
      </w:tr>
    </w:tbl>
    <w:p>
      <w:pPr>
        <w:pStyle w:val="34"/>
        <w:tabs>
          <w:tab w:val="left" w:pos="2472"/>
        </w:tabs>
        <w:snapToGrid w:val="0"/>
        <w:spacing w:before="0" w:beforeLines="0" w:after="0" w:afterLines="0" w:line="240" w:lineRule="auto"/>
        <w:jc w:val="center"/>
        <w:rPr>
          <w:rFonts w:hint="eastAsia" w:hAnsi="宋体" w:cs="宋体"/>
          <w:color w:val="auto"/>
          <w:szCs w:val="21"/>
          <w:highlight w:val="none"/>
        </w:rPr>
      </w:pPr>
    </w:p>
    <w:p>
      <w:pPr>
        <w:spacing w:line="360" w:lineRule="auto"/>
        <w:ind w:left="-420" w:leftChars="-200" w:right="-420" w:rightChars="-200"/>
        <w:rPr>
          <w:rFonts w:ascii="宋体" w:hAnsi="宋体" w:cs="宋体"/>
          <w:color w:val="auto"/>
          <w:sz w:val="24"/>
          <w:highlight w:val="none"/>
        </w:rPr>
      </w:pPr>
    </w:p>
    <w:p>
      <w:pPr>
        <w:pStyle w:val="4"/>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24"/>
        <w:rPr>
          <w:color w:val="auto"/>
          <w:highlight w:val="none"/>
        </w:rPr>
      </w:pPr>
    </w:p>
    <w:p>
      <w:pPr>
        <w:pStyle w:val="8"/>
        <w:rPr>
          <w:color w:val="auto"/>
          <w:highlight w:val="none"/>
        </w:r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before="312" w:beforeLines="100" w:line="240" w:lineRule="atLeast"/>
        <w:ind w:right="-108"/>
        <w:jc w:val="center"/>
        <w:rPr>
          <w:rFonts w:hint="eastAsia" w:ascii="宋体" w:hAnsi="宋体" w:cs="宋体"/>
          <w:b/>
          <w:color w:val="auto"/>
          <w:kern w:val="0"/>
          <w:sz w:val="36"/>
          <w:szCs w:val="36"/>
          <w:highlight w:val="none"/>
          <w:lang w:val="en-US" w:eastAsia="zh-CN"/>
        </w:rPr>
      </w:pPr>
      <w:r>
        <w:rPr>
          <w:rFonts w:hint="eastAsia" w:ascii="宋体" w:hAnsi="宋体" w:cs="宋体"/>
          <w:b/>
          <w:color w:val="auto"/>
          <w:kern w:val="0"/>
          <w:sz w:val="36"/>
          <w:szCs w:val="36"/>
          <w:highlight w:val="none"/>
        </w:rPr>
        <w:t>商务技术</w:t>
      </w:r>
      <w:r>
        <w:rPr>
          <w:rFonts w:hint="eastAsia" w:ascii="宋体" w:hAnsi="宋体" w:cs="宋体"/>
          <w:b/>
          <w:color w:val="auto"/>
          <w:kern w:val="0"/>
          <w:sz w:val="36"/>
          <w:szCs w:val="36"/>
          <w:highlight w:val="none"/>
          <w:lang w:val="zh-CN"/>
        </w:rPr>
        <w:t>文件</w:t>
      </w:r>
      <w:r>
        <w:rPr>
          <w:rFonts w:hint="eastAsia" w:ascii="宋体" w:hAnsi="宋体" w:cs="宋体"/>
          <w:b/>
          <w:color w:val="auto"/>
          <w:kern w:val="0"/>
          <w:sz w:val="36"/>
          <w:szCs w:val="36"/>
          <w:highlight w:val="none"/>
          <w:lang w:val="en-US" w:eastAsia="zh-CN"/>
        </w:rPr>
        <w:t>格式</w:t>
      </w:r>
    </w:p>
    <w:p>
      <w:pPr>
        <w:spacing w:before="312" w:beforeLines="100" w:line="240" w:lineRule="atLeast"/>
        <w:ind w:right="-108"/>
        <w:jc w:val="both"/>
        <w:rPr>
          <w:rFonts w:hint="eastAsia" w:ascii="宋体" w:hAnsi="宋体" w:cs="Times New Roman"/>
          <w:color w:val="auto"/>
          <w:sz w:val="36"/>
          <w:szCs w:val="36"/>
          <w:highlight w:val="none"/>
          <w:lang w:val="en-US" w:eastAsia="zh-CN"/>
        </w:rPr>
      </w:pPr>
      <w:r>
        <w:rPr>
          <w:rFonts w:hint="eastAsia" w:ascii="宋体" w:hAnsi="宋体" w:cs="Times New Roman"/>
          <w:color w:val="auto"/>
          <w:sz w:val="36"/>
          <w:szCs w:val="36"/>
          <w:highlight w:val="none"/>
          <w:lang w:val="en-US" w:eastAsia="zh-CN"/>
        </w:rPr>
        <w:t>一、封面</w:t>
      </w:r>
    </w:p>
    <w:p>
      <w:pPr>
        <w:spacing w:before="312" w:beforeLines="100" w:line="240" w:lineRule="atLeast"/>
        <w:ind w:right="-108"/>
        <w:jc w:val="both"/>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t xml:space="preserve">  </w:t>
      </w:r>
    </w:p>
    <w:p>
      <w:pPr>
        <w:spacing w:line="500" w:lineRule="exact"/>
        <w:ind w:right="532"/>
        <w:jc w:val="center"/>
        <w:rPr>
          <w:rFonts w:hint="eastAsia" w:ascii="宋体" w:hAnsi="宋体" w:eastAsia="宋体"/>
          <w:color w:val="auto"/>
          <w:sz w:val="36"/>
          <w:szCs w:val="36"/>
          <w:highlight w:val="none"/>
          <w:lang w:eastAsia="zh-CN"/>
        </w:rPr>
      </w:pPr>
      <w:r>
        <w:rPr>
          <w:rFonts w:hint="eastAsia" w:ascii="宋体" w:hAnsi="宋体" w:cs="Times New Roman"/>
          <w:color w:val="auto"/>
          <w:sz w:val="36"/>
          <w:szCs w:val="36"/>
          <w:highlight w:val="none"/>
          <w:lang w:eastAsia="zh-CN"/>
        </w:rPr>
        <w:t>衢州市第三医院精神疾病伴发传染病隔离病区项目-医疗设备采购-磁共振成像系统（MR）采购项目</w:t>
      </w:r>
    </w:p>
    <w:p>
      <w:pPr>
        <w:spacing w:before="312" w:beforeLines="100" w:line="240" w:lineRule="atLeast"/>
        <w:ind w:right="-108"/>
        <w:jc w:val="center"/>
        <w:rPr>
          <w:rFonts w:hint="eastAsia" w:ascii="宋体" w:hAnsi="宋体" w:cs="Times New Roman"/>
          <w:color w:val="auto"/>
          <w:sz w:val="36"/>
          <w:szCs w:val="36"/>
          <w:highlight w:val="none"/>
        </w:rPr>
      </w:pPr>
    </w:p>
    <w:p>
      <w:pPr>
        <w:spacing w:before="312" w:beforeLines="100" w:line="240" w:lineRule="atLeast"/>
        <w:ind w:right="-108"/>
        <w:jc w:val="center"/>
        <w:rPr>
          <w:rFonts w:hint="eastAsia" w:ascii="宋体" w:hAnsi="宋体"/>
          <w:color w:val="auto"/>
          <w:sz w:val="36"/>
          <w:szCs w:val="36"/>
          <w:highlight w:val="none"/>
        </w:rPr>
      </w:pPr>
    </w:p>
    <w:p>
      <w:pPr>
        <w:spacing w:before="312" w:beforeLines="100" w:line="240" w:lineRule="atLeast"/>
        <w:ind w:right="-108"/>
        <w:jc w:val="center"/>
        <w:rPr>
          <w:rFonts w:hint="eastAsia" w:ascii="宋体" w:hAnsi="宋体"/>
          <w:color w:val="auto"/>
          <w:sz w:val="36"/>
          <w:szCs w:val="36"/>
          <w:highlight w:val="none"/>
        </w:rPr>
      </w:pPr>
      <w:r>
        <w:rPr>
          <w:rFonts w:hint="eastAsia" w:ascii="宋体" w:hAnsi="宋体"/>
          <w:color w:val="auto"/>
          <w:sz w:val="36"/>
          <w:szCs w:val="36"/>
          <w:highlight w:val="none"/>
        </w:rPr>
        <w:t>编号：</w:t>
      </w:r>
      <w:r>
        <w:rPr>
          <w:rFonts w:hint="eastAsia" w:ascii="宋体" w:hAnsi="宋体"/>
          <w:color w:val="auto"/>
          <w:sz w:val="36"/>
          <w:szCs w:val="36"/>
          <w:highlight w:val="none"/>
          <w:lang w:eastAsia="zh-CN"/>
        </w:rPr>
        <w:t>ZJXSJ2023198</w:t>
      </w:r>
      <w:r>
        <w:rPr>
          <w:rFonts w:hint="eastAsia" w:ascii="宋体" w:hAnsi="宋体"/>
          <w:color w:val="auto"/>
          <w:sz w:val="36"/>
          <w:szCs w:val="36"/>
          <w:highlight w:val="none"/>
        </w:rPr>
        <w:t xml:space="preserve"> </w:t>
      </w:r>
    </w:p>
    <w:p>
      <w:pPr>
        <w:spacing w:after="100" w:afterAutospacing="1" w:line="800" w:lineRule="exact"/>
        <w:ind w:right="-108"/>
        <w:jc w:val="center"/>
        <w:rPr>
          <w:rFonts w:hint="eastAsia" w:ascii="黑体" w:hAnsi="宋体" w:eastAsia="黑体"/>
          <w:b/>
          <w:color w:val="auto"/>
          <w:spacing w:val="40"/>
          <w:sz w:val="84"/>
          <w:szCs w:val="84"/>
          <w:highlight w:val="none"/>
        </w:rPr>
      </w:pPr>
    </w:p>
    <w:p>
      <w:pPr>
        <w:spacing w:line="500" w:lineRule="exact"/>
        <w:ind w:right="532"/>
        <w:jc w:val="center"/>
        <w:rPr>
          <w:rFonts w:hint="eastAsia" w:ascii="宋体" w:hAnsi="宋体"/>
          <w:color w:val="auto"/>
          <w:sz w:val="36"/>
          <w:szCs w:val="36"/>
          <w:highlight w:val="none"/>
        </w:rPr>
      </w:pPr>
      <w:r>
        <w:rPr>
          <w:rFonts w:hint="eastAsia" w:ascii="宋体" w:hAnsi="宋体" w:cs="Times New Roman"/>
          <w:color w:val="auto"/>
          <w:sz w:val="36"/>
          <w:szCs w:val="36"/>
          <w:highlight w:val="none"/>
        </w:rPr>
        <w:t>商务技术</w:t>
      </w:r>
      <w:r>
        <w:rPr>
          <w:rFonts w:hint="eastAsia" w:ascii="宋体" w:hAnsi="宋体" w:cs="Times New Roman"/>
          <w:color w:val="auto"/>
          <w:sz w:val="36"/>
          <w:szCs w:val="36"/>
          <w:highlight w:val="none"/>
          <w:lang w:val="zh-CN"/>
        </w:rPr>
        <w:t>文件</w:t>
      </w:r>
    </w:p>
    <w:p>
      <w:pPr>
        <w:spacing w:line="500" w:lineRule="exact"/>
        <w:ind w:right="532"/>
        <w:jc w:val="center"/>
        <w:rPr>
          <w:rFonts w:hint="eastAsia" w:ascii="宋体" w:hAnsi="宋体"/>
          <w:color w:val="auto"/>
          <w:sz w:val="36"/>
          <w:szCs w:val="36"/>
          <w:highlight w:val="none"/>
        </w:rPr>
      </w:pPr>
    </w:p>
    <w:p>
      <w:pPr>
        <w:spacing w:line="500" w:lineRule="exact"/>
        <w:ind w:right="532"/>
        <w:jc w:val="center"/>
        <w:rPr>
          <w:rFonts w:hint="eastAsia" w:ascii="宋体" w:hAnsi="宋体"/>
          <w:color w:val="auto"/>
          <w:sz w:val="36"/>
          <w:szCs w:val="36"/>
          <w:highlight w:val="none"/>
        </w:rPr>
      </w:pPr>
    </w:p>
    <w:p>
      <w:pPr>
        <w:spacing w:line="500" w:lineRule="exact"/>
        <w:ind w:right="532"/>
        <w:jc w:val="center"/>
        <w:rPr>
          <w:rFonts w:hint="eastAsia" w:ascii="宋体" w:hAnsi="宋体"/>
          <w:color w:val="auto"/>
          <w:sz w:val="36"/>
          <w:szCs w:val="36"/>
          <w:highlight w:val="none"/>
        </w:rPr>
      </w:pPr>
    </w:p>
    <w:p>
      <w:pPr>
        <w:spacing w:line="6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单位全称（公章）：</w:t>
      </w:r>
    </w:p>
    <w:p>
      <w:pPr>
        <w:spacing w:line="600" w:lineRule="exact"/>
        <w:ind w:right="532" w:firstLine="720" w:firstLineChars="200"/>
        <w:rPr>
          <w:rFonts w:hint="eastAsia" w:ascii="宋体" w:hAnsi="宋体"/>
          <w:color w:val="auto"/>
          <w:sz w:val="36"/>
          <w:szCs w:val="36"/>
          <w:highlight w:val="none"/>
        </w:rPr>
      </w:pPr>
    </w:p>
    <w:p>
      <w:pPr>
        <w:spacing w:line="6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地    址：</w:t>
      </w:r>
    </w:p>
    <w:p>
      <w:pPr>
        <w:snapToGrid w:val="0"/>
        <w:spacing w:before="50" w:after="50"/>
        <w:rPr>
          <w:rFonts w:hint="eastAsia" w:ascii="宋体" w:hAnsi="宋体"/>
          <w:color w:val="auto"/>
          <w:sz w:val="24"/>
          <w:highlight w:val="none"/>
        </w:rPr>
      </w:pPr>
      <w:r>
        <w:rPr>
          <w:rFonts w:hint="eastAsia" w:ascii="宋体" w:hAnsi="宋体"/>
          <w:b/>
          <w:color w:val="auto"/>
          <w:sz w:val="30"/>
          <w:szCs w:val="30"/>
          <w:highlight w:val="none"/>
        </w:rPr>
        <w:t xml:space="preserve">  </w:t>
      </w:r>
    </w:p>
    <w:p>
      <w:pPr>
        <w:spacing w:line="360" w:lineRule="auto"/>
        <w:ind w:firstLine="480" w:firstLineChars="200"/>
        <w:rPr>
          <w:rFonts w:ascii="宋体" w:hAnsi="宋体" w:cs="宋体"/>
          <w:color w:val="auto"/>
          <w:sz w:val="24"/>
          <w:highlight w:val="none"/>
        </w:rPr>
      </w:pPr>
    </w:p>
    <w:p>
      <w:pPr>
        <w:snapToGrid w:val="0"/>
        <w:spacing w:line="360" w:lineRule="auto"/>
        <w:ind w:right="480" w:firstLine="720" w:firstLineChars="200"/>
        <w:jc w:val="both"/>
        <w:rPr>
          <w:rFonts w:ascii="宋体" w:hAnsi="宋体" w:cs="宋体"/>
          <w:b/>
          <w:color w:val="auto"/>
          <w:kern w:val="0"/>
          <w:sz w:val="32"/>
          <w:szCs w:val="32"/>
          <w:highlight w:val="none"/>
        </w:rPr>
      </w:pPr>
      <w:r>
        <w:rPr>
          <w:rFonts w:hint="eastAsia" w:ascii="宋体" w:hAnsi="宋体"/>
          <w:color w:val="auto"/>
          <w:sz w:val="36"/>
          <w:szCs w:val="36"/>
          <w:highlight w:val="none"/>
        </w:rPr>
        <w:t>时    间：</w:t>
      </w: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衢州市第三医院</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衢州市第三医院精神疾病伴发传染病隔离病区项目-医疗设备采购-磁共振成像系统（MR）采购项目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ZJXSJ2023198</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单位负责人为同一人或者存在直接控股、管理关系的不同供应商参加同一合同项下的政府采购活动的；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投标人名称(加盖公章)：</w:t>
      </w:r>
    </w:p>
    <w:p>
      <w:pPr>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firstLine="720" w:firstLineChars="200"/>
        <w:jc w:val="both"/>
        <w:rPr>
          <w:rFonts w:ascii="宋体" w:hAnsi="宋体" w:cs="宋体"/>
          <w:b/>
          <w:color w:val="auto"/>
          <w:kern w:val="0"/>
          <w:sz w:val="32"/>
          <w:szCs w:val="32"/>
          <w:highlight w:val="none"/>
          <w:lang w:val="zh-CN"/>
        </w:rPr>
      </w:pPr>
      <w:r>
        <w:rPr>
          <w:rFonts w:hint="eastAsia" w:ascii="宋体" w:hAnsi="宋体" w:cs="Times New Roman"/>
          <w:color w:val="auto"/>
          <w:sz w:val="36"/>
          <w:szCs w:val="36"/>
          <w:highlight w:val="none"/>
        </w:rPr>
        <w:t xml:space="preserve"> </w:t>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衢州市第三医院</w:t>
      </w:r>
      <w:r>
        <w:rPr>
          <w:rFonts w:hint="eastAsia" w:ascii="宋体" w:hAnsi="宋体" w:cs="宋体"/>
          <w:color w:val="auto"/>
          <w:sz w:val="24"/>
          <w:highlight w:val="none"/>
        </w:rPr>
        <w:t>：</w:t>
      </w:r>
    </w:p>
    <w:p>
      <w:pPr>
        <w:tabs>
          <w:tab w:val="left" w:pos="378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衢州市第三医院精神疾病伴发传染病隔离病区项目-医疗设备采购-磁共振成像系统（MR）采购项目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ZJXSJ2023198</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hint="eastAsia" w:ascii="宋体" w:hAnsi="宋体" w:cs="宋体"/>
          <w:color w:val="auto"/>
          <w:sz w:val="24"/>
          <w:highlight w:val="none"/>
        </w:rPr>
      </w:pPr>
    </w:p>
    <w:p>
      <w:pPr>
        <w:spacing w:line="360" w:lineRule="auto"/>
        <w:ind w:firstLine="3600" w:firstLineChars="1500"/>
        <w:rPr>
          <w:rFonts w:hint="eastAsia" w:ascii="宋体" w:hAnsi="宋体" w:cs="宋体"/>
          <w:color w:val="auto"/>
          <w:sz w:val="24"/>
          <w:highlight w:val="none"/>
        </w:rPr>
      </w:pP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lang w:eastAsia="zh-CN"/>
        </w:rPr>
        <w:t>加盖公章</w:t>
      </w:r>
      <w:r>
        <w:rPr>
          <w:rFonts w:hint="eastAsia" w:ascii="宋体" w:hAnsi="宋体" w:cs="宋体"/>
          <w:color w:val="auto"/>
          <w:sz w:val="24"/>
          <w:highlight w:val="none"/>
        </w:rPr>
        <w:t xml:space="preserve">）：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
        <w:rPr>
          <w:color w:val="auto"/>
        </w:rPr>
      </w:pPr>
    </w:p>
    <w:p>
      <w:pPr>
        <w:jc w:val="center"/>
        <w:rPr>
          <w:rFonts w:ascii="宋体" w:hAnsi="宋体" w:cs="宋体"/>
          <w:b/>
          <w:color w:val="auto"/>
          <w:kern w:val="0"/>
          <w:sz w:val="32"/>
          <w:szCs w:val="32"/>
          <w:highlight w:val="none"/>
        </w:rPr>
      </w:pPr>
    </w:p>
    <w:p>
      <w:pPr>
        <w:pStyle w:val="24"/>
        <w:rPr>
          <w:color w:val="auto"/>
          <w:highlight w:val="none"/>
        </w:rPr>
      </w:pP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lang w:val="zh-CN"/>
        </w:rPr>
        <w:t>、授权委托书或法定代表人（单位负责人、自然人本人）</w:t>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衢州市第三医院</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衢州市第三医院精神疾病伴发传染病隔离病区项目-医疗设备采购-磁共振成像系统（MR）采购项目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ZJXSJ2023198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投标人名称(加盖公章)：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ind w:firstLine="7710" w:firstLineChars="2400"/>
        <w:rPr>
          <w:rFonts w:ascii="宋体" w:hAnsi="宋体" w:cs="宋体"/>
          <w:color w:val="auto"/>
          <w:highlight w:val="none"/>
        </w:rPr>
      </w:pPr>
      <w:r>
        <w:rPr>
          <w:rFonts w:hint="eastAsia" w:ascii="宋体" w:hAnsi="宋体" w:cs="宋体"/>
          <w:b/>
          <w:color w:val="auto"/>
          <w:kern w:val="0"/>
          <w:sz w:val="32"/>
          <w:szCs w:val="32"/>
          <w:highlight w:val="none"/>
          <w:lang w:val="zh-CN"/>
        </w:rPr>
        <w:t xml:space="preserve">   </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pStyle w:val="799"/>
        <w:rPr>
          <w:color w:val="auto"/>
          <w:highlight w:val="none"/>
          <w:lang w:val="zh-CN"/>
        </w:rPr>
      </w:pPr>
    </w:p>
    <w:p>
      <w:pPr>
        <w:pStyle w:val="799"/>
        <w:rPr>
          <w:color w:val="auto"/>
          <w:highlight w:val="none"/>
          <w:lang w:val="zh-CN"/>
        </w:rPr>
      </w:pPr>
    </w:p>
    <w:p>
      <w:pPr>
        <w:pStyle w:val="799"/>
        <w:rPr>
          <w:color w:val="auto"/>
          <w:highlight w:val="none"/>
          <w:lang w:val="zh-CN"/>
        </w:rPr>
      </w:pPr>
    </w:p>
    <w:p>
      <w:pPr>
        <w:pStyle w:val="799"/>
        <w:rPr>
          <w:color w:val="auto"/>
          <w:highlight w:val="none"/>
          <w:lang w:val="zh-CN"/>
        </w:rPr>
      </w:pPr>
    </w:p>
    <w:p>
      <w:pPr>
        <w:pStyle w:val="799"/>
        <w:rPr>
          <w:color w:val="auto"/>
          <w:highlight w:val="none"/>
          <w:lang w:val="zh-CN"/>
        </w:rPr>
      </w:pPr>
    </w:p>
    <w:p>
      <w:pPr>
        <w:pStyle w:val="799"/>
        <w:rPr>
          <w:color w:val="auto"/>
          <w:highlight w:val="none"/>
          <w:lang w:val="zh-CN"/>
        </w:rPr>
      </w:pPr>
    </w:p>
    <w:p>
      <w:pPr>
        <w:pStyle w:val="799"/>
        <w:rPr>
          <w:color w:val="auto"/>
          <w:highlight w:val="none"/>
          <w:lang w:val="zh-CN"/>
        </w:rPr>
      </w:pPr>
    </w:p>
    <w:p>
      <w:pPr>
        <w:pStyle w:val="799"/>
        <w:rPr>
          <w:color w:val="auto"/>
          <w:highlight w:val="none"/>
          <w:lang w:val="zh-CN"/>
        </w:rPr>
      </w:pPr>
    </w:p>
    <w:p>
      <w:pPr>
        <w:pStyle w:val="799"/>
        <w:rPr>
          <w:color w:val="auto"/>
          <w:highlight w:val="none"/>
          <w:lang w:val="zh-CN"/>
        </w:rPr>
      </w:pPr>
    </w:p>
    <w:p>
      <w:pPr>
        <w:pStyle w:val="799"/>
        <w:rPr>
          <w:color w:val="auto"/>
          <w:highlight w:val="none"/>
          <w:lang w:val="zh-CN"/>
        </w:rPr>
      </w:pPr>
    </w:p>
    <w:p>
      <w:pPr>
        <w:pStyle w:val="799"/>
        <w:rPr>
          <w:color w:val="auto"/>
          <w:highlight w:val="none"/>
          <w:lang w:val="zh-CN"/>
        </w:rPr>
      </w:pPr>
    </w:p>
    <w:p>
      <w:pPr>
        <w:pStyle w:val="799"/>
        <w:rPr>
          <w:color w:val="auto"/>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投标人名称(加盖公章)：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w:t>
      </w:r>
      <w:r>
        <w:rPr>
          <w:rFonts w:hint="eastAsia" w:ascii="宋体" w:hAnsi="宋体" w:cs="宋体"/>
          <w:b/>
          <w:color w:val="auto"/>
          <w:kern w:val="0"/>
          <w:sz w:val="36"/>
          <w:szCs w:val="36"/>
          <w:highlight w:val="none"/>
          <w:lang w:val="en-US" w:eastAsia="zh-CN"/>
        </w:rPr>
        <w:t>格式</w:t>
      </w:r>
    </w:p>
    <w:p>
      <w:pPr>
        <w:spacing w:before="312" w:beforeLines="100" w:line="240" w:lineRule="atLeast"/>
        <w:ind w:right="-108"/>
        <w:jc w:val="both"/>
        <w:rPr>
          <w:rFonts w:hint="eastAsia" w:ascii="宋体" w:hAnsi="宋体" w:cs="Times New Roman"/>
          <w:color w:val="auto"/>
          <w:sz w:val="36"/>
          <w:szCs w:val="36"/>
          <w:highlight w:val="none"/>
          <w:lang w:val="en-US" w:eastAsia="zh-CN"/>
        </w:rPr>
      </w:pPr>
      <w:r>
        <w:rPr>
          <w:rFonts w:hint="eastAsia" w:ascii="宋体" w:hAnsi="宋体" w:cs="Times New Roman"/>
          <w:color w:val="auto"/>
          <w:sz w:val="36"/>
          <w:szCs w:val="36"/>
          <w:highlight w:val="none"/>
          <w:lang w:val="en-US" w:eastAsia="zh-CN"/>
        </w:rPr>
        <w:t>一、封面</w:t>
      </w:r>
    </w:p>
    <w:p>
      <w:pPr>
        <w:spacing w:before="312" w:beforeLines="100" w:line="240" w:lineRule="atLeast"/>
        <w:ind w:right="-108"/>
        <w:jc w:val="left"/>
        <w:rPr>
          <w:rFonts w:hint="eastAsia" w:ascii="宋体" w:hAnsi="宋体" w:cs="Times New Roman"/>
          <w:color w:val="auto"/>
          <w:sz w:val="36"/>
          <w:szCs w:val="36"/>
          <w:highlight w:val="none"/>
        </w:rPr>
      </w:pPr>
    </w:p>
    <w:p>
      <w:pPr>
        <w:spacing w:before="312" w:beforeLines="100" w:line="240" w:lineRule="atLeast"/>
        <w:ind w:right="-108"/>
        <w:jc w:val="cente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lang w:eastAsia="zh-CN"/>
        </w:rPr>
        <w:t>衢州市第三医院精神疾病伴发传染病隔离病区项目-医疗设备采购-磁共振成像系统（MR）采购项目</w:t>
      </w:r>
    </w:p>
    <w:p>
      <w:pPr>
        <w:spacing w:before="312" w:beforeLines="100" w:line="240" w:lineRule="atLeast"/>
        <w:ind w:right="-108"/>
        <w:jc w:val="center"/>
        <w:rPr>
          <w:rFonts w:hint="eastAsia" w:ascii="宋体" w:hAnsi="宋体"/>
          <w:color w:val="auto"/>
          <w:sz w:val="36"/>
          <w:szCs w:val="36"/>
          <w:highlight w:val="none"/>
        </w:rPr>
      </w:pPr>
    </w:p>
    <w:p>
      <w:pPr>
        <w:spacing w:before="312" w:beforeLines="100" w:line="240" w:lineRule="atLeast"/>
        <w:ind w:right="-108"/>
        <w:jc w:val="center"/>
        <w:rPr>
          <w:rFonts w:hint="eastAsia" w:ascii="宋体" w:hAnsi="宋体"/>
          <w:color w:val="auto"/>
          <w:sz w:val="36"/>
          <w:szCs w:val="36"/>
          <w:highlight w:val="none"/>
        </w:rPr>
      </w:pPr>
      <w:r>
        <w:rPr>
          <w:rFonts w:hint="eastAsia" w:ascii="宋体" w:hAnsi="宋体"/>
          <w:color w:val="auto"/>
          <w:sz w:val="36"/>
          <w:szCs w:val="36"/>
          <w:highlight w:val="none"/>
        </w:rPr>
        <w:t>编号：</w:t>
      </w:r>
      <w:r>
        <w:rPr>
          <w:rFonts w:hint="eastAsia" w:ascii="宋体" w:hAnsi="宋体"/>
          <w:color w:val="auto"/>
          <w:sz w:val="36"/>
          <w:szCs w:val="36"/>
          <w:highlight w:val="none"/>
          <w:lang w:eastAsia="zh-CN"/>
        </w:rPr>
        <w:t>ZJXSJ2023198</w:t>
      </w:r>
      <w:r>
        <w:rPr>
          <w:rFonts w:hint="eastAsia" w:ascii="宋体" w:hAnsi="宋体"/>
          <w:color w:val="auto"/>
          <w:sz w:val="36"/>
          <w:szCs w:val="36"/>
          <w:highlight w:val="none"/>
        </w:rPr>
        <w:t xml:space="preserve"> </w:t>
      </w:r>
    </w:p>
    <w:p>
      <w:pPr>
        <w:spacing w:after="100" w:afterAutospacing="1" w:line="800" w:lineRule="exact"/>
        <w:ind w:right="-108"/>
        <w:jc w:val="center"/>
        <w:rPr>
          <w:rFonts w:hint="eastAsia" w:ascii="黑体" w:hAnsi="宋体" w:eastAsia="黑体"/>
          <w:b/>
          <w:color w:val="auto"/>
          <w:spacing w:val="40"/>
          <w:sz w:val="84"/>
          <w:szCs w:val="84"/>
          <w:highlight w:val="none"/>
        </w:rPr>
      </w:pPr>
    </w:p>
    <w:p>
      <w:pPr>
        <w:spacing w:before="312" w:beforeLines="100" w:line="240" w:lineRule="atLeast"/>
        <w:ind w:right="-108"/>
        <w:jc w:val="cente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t>商务技术</w:t>
      </w:r>
      <w:r>
        <w:rPr>
          <w:rFonts w:hint="eastAsia" w:ascii="宋体" w:hAnsi="宋体" w:cs="Times New Roman"/>
          <w:color w:val="auto"/>
          <w:sz w:val="36"/>
          <w:szCs w:val="36"/>
          <w:highlight w:val="none"/>
          <w:lang w:val="zh-CN"/>
        </w:rPr>
        <w:t>文件</w:t>
      </w:r>
    </w:p>
    <w:p>
      <w:pPr>
        <w:spacing w:line="500" w:lineRule="exact"/>
        <w:ind w:right="532"/>
        <w:jc w:val="center"/>
        <w:rPr>
          <w:rFonts w:hint="eastAsia" w:ascii="宋体" w:hAnsi="宋体"/>
          <w:color w:val="auto"/>
          <w:sz w:val="36"/>
          <w:szCs w:val="36"/>
          <w:highlight w:val="none"/>
        </w:rPr>
      </w:pPr>
    </w:p>
    <w:p>
      <w:pPr>
        <w:spacing w:line="500" w:lineRule="exact"/>
        <w:ind w:right="532"/>
        <w:jc w:val="center"/>
        <w:rPr>
          <w:rFonts w:hint="eastAsia" w:ascii="宋体" w:hAnsi="宋体"/>
          <w:color w:val="auto"/>
          <w:sz w:val="36"/>
          <w:szCs w:val="36"/>
          <w:highlight w:val="none"/>
        </w:rPr>
      </w:pPr>
    </w:p>
    <w:p>
      <w:pPr>
        <w:spacing w:line="500" w:lineRule="exact"/>
        <w:ind w:right="532"/>
        <w:jc w:val="center"/>
        <w:rPr>
          <w:rFonts w:hint="eastAsia" w:ascii="宋体" w:hAnsi="宋体"/>
          <w:color w:val="auto"/>
          <w:sz w:val="36"/>
          <w:szCs w:val="36"/>
          <w:highlight w:val="none"/>
        </w:rPr>
      </w:pPr>
    </w:p>
    <w:p>
      <w:pPr>
        <w:spacing w:line="500" w:lineRule="exact"/>
        <w:ind w:right="532"/>
        <w:jc w:val="center"/>
        <w:rPr>
          <w:rFonts w:hint="eastAsia" w:ascii="宋体" w:hAnsi="宋体"/>
          <w:color w:val="auto"/>
          <w:sz w:val="36"/>
          <w:szCs w:val="36"/>
          <w:highlight w:val="none"/>
        </w:rPr>
      </w:pPr>
    </w:p>
    <w:p>
      <w:pPr>
        <w:spacing w:line="500" w:lineRule="exact"/>
        <w:ind w:right="532"/>
        <w:jc w:val="center"/>
        <w:rPr>
          <w:rFonts w:hint="eastAsia" w:ascii="宋体" w:hAnsi="宋体"/>
          <w:color w:val="auto"/>
          <w:sz w:val="36"/>
          <w:szCs w:val="36"/>
          <w:highlight w:val="none"/>
        </w:rPr>
      </w:pPr>
    </w:p>
    <w:p>
      <w:pPr>
        <w:spacing w:line="500" w:lineRule="exact"/>
        <w:ind w:right="532"/>
        <w:jc w:val="center"/>
        <w:rPr>
          <w:rFonts w:hint="eastAsia" w:ascii="宋体" w:hAnsi="宋体"/>
          <w:color w:val="auto"/>
          <w:sz w:val="36"/>
          <w:szCs w:val="36"/>
          <w:highlight w:val="none"/>
        </w:rPr>
      </w:pPr>
    </w:p>
    <w:p>
      <w:pPr>
        <w:spacing w:line="500" w:lineRule="exact"/>
        <w:ind w:right="532"/>
        <w:jc w:val="center"/>
        <w:rPr>
          <w:rFonts w:hint="eastAsia" w:ascii="宋体" w:hAnsi="宋体"/>
          <w:color w:val="auto"/>
          <w:sz w:val="36"/>
          <w:szCs w:val="36"/>
          <w:highlight w:val="none"/>
        </w:rPr>
      </w:pPr>
    </w:p>
    <w:p>
      <w:pPr>
        <w:spacing w:line="6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单位全称（公章）：</w:t>
      </w:r>
    </w:p>
    <w:p>
      <w:pPr>
        <w:spacing w:line="600" w:lineRule="exact"/>
        <w:ind w:right="532" w:firstLine="720" w:firstLineChars="200"/>
        <w:rPr>
          <w:rFonts w:hint="eastAsia" w:ascii="宋体" w:hAnsi="宋体"/>
          <w:color w:val="auto"/>
          <w:sz w:val="36"/>
          <w:szCs w:val="36"/>
          <w:highlight w:val="none"/>
        </w:rPr>
      </w:pPr>
    </w:p>
    <w:p>
      <w:pPr>
        <w:spacing w:line="6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地    址：</w:t>
      </w:r>
    </w:p>
    <w:p>
      <w:pPr>
        <w:snapToGrid w:val="0"/>
        <w:spacing w:before="50" w:after="50"/>
        <w:rPr>
          <w:rFonts w:hint="eastAsia" w:ascii="宋体" w:hAnsi="宋体"/>
          <w:color w:val="auto"/>
          <w:sz w:val="24"/>
          <w:highlight w:val="none"/>
        </w:rPr>
      </w:pPr>
      <w:r>
        <w:rPr>
          <w:rFonts w:hint="eastAsia" w:ascii="宋体" w:hAnsi="宋体"/>
          <w:b/>
          <w:color w:val="auto"/>
          <w:sz w:val="30"/>
          <w:szCs w:val="30"/>
          <w:highlight w:val="none"/>
        </w:rPr>
        <w:t xml:space="preserve">  </w:t>
      </w:r>
    </w:p>
    <w:p>
      <w:pPr>
        <w:spacing w:line="360" w:lineRule="auto"/>
        <w:ind w:firstLine="480" w:firstLineChars="200"/>
        <w:rPr>
          <w:rFonts w:ascii="宋体" w:hAnsi="宋体" w:cs="宋体"/>
          <w:color w:val="auto"/>
          <w:sz w:val="24"/>
          <w:highlight w:val="none"/>
        </w:rPr>
      </w:pPr>
    </w:p>
    <w:p>
      <w:pPr>
        <w:snapToGrid w:val="0"/>
        <w:spacing w:line="360" w:lineRule="auto"/>
        <w:ind w:firstLine="720" w:firstLineChars="200"/>
        <w:jc w:val="both"/>
        <w:rPr>
          <w:rFonts w:ascii="宋体" w:hAnsi="宋体" w:cs="宋体"/>
          <w:b/>
          <w:color w:val="auto"/>
          <w:kern w:val="0"/>
          <w:sz w:val="32"/>
          <w:szCs w:val="32"/>
          <w:highlight w:val="none"/>
        </w:rPr>
      </w:pPr>
      <w:r>
        <w:rPr>
          <w:rFonts w:hint="eastAsia" w:ascii="宋体" w:hAnsi="宋体"/>
          <w:color w:val="auto"/>
          <w:sz w:val="36"/>
          <w:szCs w:val="36"/>
          <w:highlight w:val="none"/>
        </w:rPr>
        <w:t>时    间：</w:t>
      </w: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衢州市第三医院</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衢州市第三医院精神疾病伴发传染病隔离病区项目-医疗设备采购-磁共振成像系统（MR）采购项目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ZJXSJ2023198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6" w:type="default"/>
          <w:footerReference r:id="rId17" w:type="default"/>
          <w:pgSz w:w="16838" w:h="11906" w:orient="landscape"/>
          <w:pgMar w:top="1418" w:right="1247" w:bottom="1418" w:left="1276" w:header="851" w:footer="992" w:gutter="0"/>
          <w:cols w:space="720" w:num="1"/>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397" w:name="_Toc465665161"/>
      <w:r>
        <w:rPr>
          <w:rFonts w:hint="eastAsia" w:ascii="宋体" w:hAnsi="宋体" w:cs="宋体"/>
          <w:color w:val="auto"/>
          <w:highlight w:val="none"/>
        </w:rPr>
        <w:t>附件</w:t>
      </w:r>
      <w:bookmarkEnd w:id="39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8" w:name="OLE_LINK13"/>
      <w:bookmarkStart w:id="399" w:name="OLE_LINK14"/>
      <w:r>
        <w:rPr>
          <w:rFonts w:hint="eastAsia" w:ascii="宋体" w:hAnsi="宋体" w:cs="宋体"/>
          <w:b/>
          <w:color w:val="auto"/>
          <w:spacing w:val="6"/>
          <w:sz w:val="32"/>
          <w:szCs w:val="32"/>
          <w:highlight w:val="none"/>
        </w:rPr>
        <w:t>残疾人福利性单位声明函</w:t>
      </w:r>
    </w:p>
    <w:bookmarkEnd w:id="398"/>
    <w:bookmarkEnd w:id="39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衢州市第三医院</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衢州市第三医院精神疾病伴发传染病隔离病区项目-医疗设备采购-磁共振成像系统（MR）采购项目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投标人名称（加盖公章）</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hint="eastAsia" w:ascii="宋体" w:hAnsi="宋体" w:cs="宋体"/>
          <w:b/>
          <w:color w:val="auto"/>
          <w:kern w:val="0"/>
          <w:sz w:val="44"/>
          <w:szCs w:val="44"/>
          <w:highlight w:val="none"/>
          <w:lang w:val="en-US" w:eastAsia="zh-CN"/>
        </w:rPr>
        <w:t>2</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衢州市第三医院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衢州市第三医院精神疾病伴发传染病隔离病区项目-医疗设备采购-磁共振成像系统（MR）采购项目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投标人名称(加盖公章)：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bCs/>
          <w:sz w:val="24"/>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FuturaA Bk BT">
    <w:altName w:val="Arial"/>
    <w:panose1 w:val="00000000000000000000"/>
    <w:charset w:val="00"/>
    <w:family w:val="swiss"/>
    <w:pitch w:val="default"/>
    <w:sig w:usb0="00000000" w:usb1="00000000" w:usb2="00000000" w:usb3="00000000" w:csb0="0000001B"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0" w:name="_Toc131845147"/>
    <w:bookmarkStart w:id="401" w:name="_Toc164085800"/>
    <w:bookmarkStart w:id="402" w:name="_Toc36110187"/>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pPr>
    <w:r>
      <w:t></w:t>
    </w:r>
  </w:p>
  <w:p>
    <w:pPr>
      <w:pStyle w:val="60"/>
      <w:pBdr>
        <w:bottom w:val="none" w:color="auto" w:sz="0" w:space="0"/>
      </w:pBdr>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u w:val="single"/>
      </w:rPr>
    </w:pPr>
    <w:r>
      <w:rPr>
        <w:rFonts w:hint="eastAsia"/>
      </w:rPr>
      <w:t xml:space="preserve">                             </w:t>
    </w:r>
  </w:p>
  <w:p>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u w:val="single"/>
      </w:rPr>
    </w:pPr>
    <w:r>
      <w:rPr>
        <w:rFonts w:hint="eastAsia"/>
      </w:rPr>
      <w:t xml:space="preserve">                             </w:t>
    </w:r>
  </w:p>
  <w:p>
    <w:pPr>
      <w:pBdr>
        <w:bottom w:val="none" w:color="auto" w:sz="0" w:space="0"/>
      </w:pBd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E461B"/>
    <w:multiLevelType w:val="singleLevel"/>
    <w:tmpl w:val="231E461B"/>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TNiMWI2MjkxZmJhNWViOWRmMzRiMGU4ZjQ4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30B08"/>
    <w:rsid w:val="04076900"/>
    <w:rsid w:val="041A5A3B"/>
    <w:rsid w:val="042311BA"/>
    <w:rsid w:val="042B157A"/>
    <w:rsid w:val="048F763B"/>
    <w:rsid w:val="049F330E"/>
    <w:rsid w:val="04AA775C"/>
    <w:rsid w:val="04AF1889"/>
    <w:rsid w:val="04F66F48"/>
    <w:rsid w:val="05251E14"/>
    <w:rsid w:val="05A16594"/>
    <w:rsid w:val="05A212BF"/>
    <w:rsid w:val="05A7762D"/>
    <w:rsid w:val="060E5941"/>
    <w:rsid w:val="06110FAF"/>
    <w:rsid w:val="06493CA7"/>
    <w:rsid w:val="065A6178"/>
    <w:rsid w:val="066F1CF3"/>
    <w:rsid w:val="06930BB8"/>
    <w:rsid w:val="06E74BC1"/>
    <w:rsid w:val="07245D42"/>
    <w:rsid w:val="07264C62"/>
    <w:rsid w:val="0779354C"/>
    <w:rsid w:val="07C3465B"/>
    <w:rsid w:val="07F9173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C53C7"/>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F18B6"/>
    <w:rsid w:val="10646583"/>
    <w:rsid w:val="107D4B15"/>
    <w:rsid w:val="108A3C80"/>
    <w:rsid w:val="10C26171"/>
    <w:rsid w:val="10F33360"/>
    <w:rsid w:val="10FC16EA"/>
    <w:rsid w:val="110F1D40"/>
    <w:rsid w:val="11266F33"/>
    <w:rsid w:val="118963A1"/>
    <w:rsid w:val="11A240C4"/>
    <w:rsid w:val="11C6522A"/>
    <w:rsid w:val="11E104CC"/>
    <w:rsid w:val="11E20309"/>
    <w:rsid w:val="122457A3"/>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9F796A"/>
    <w:rsid w:val="14A7619D"/>
    <w:rsid w:val="150536C3"/>
    <w:rsid w:val="150C1963"/>
    <w:rsid w:val="151447A0"/>
    <w:rsid w:val="15406F43"/>
    <w:rsid w:val="154A6454"/>
    <w:rsid w:val="15762120"/>
    <w:rsid w:val="157E0622"/>
    <w:rsid w:val="16A8729C"/>
    <w:rsid w:val="16AC78C5"/>
    <w:rsid w:val="16B33777"/>
    <w:rsid w:val="16BC70A7"/>
    <w:rsid w:val="16C6339E"/>
    <w:rsid w:val="172F2D79"/>
    <w:rsid w:val="17557BEF"/>
    <w:rsid w:val="1771276B"/>
    <w:rsid w:val="17CF6621"/>
    <w:rsid w:val="17D349C1"/>
    <w:rsid w:val="17E74E45"/>
    <w:rsid w:val="181B43B6"/>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95FB0"/>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C21535"/>
    <w:rsid w:val="1F0A0FF3"/>
    <w:rsid w:val="1F5771FF"/>
    <w:rsid w:val="1FCC5022"/>
    <w:rsid w:val="1FD52574"/>
    <w:rsid w:val="1FE868A9"/>
    <w:rsid w:val="1FFA320D"/>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522E4"/>
    <w:rsid w:val="22BE6801"/>
    <w:rsid w:val="22F242DA"/>
    <w:rsid w:val="233500BF"/>
    <w:rsid w:val="23377FF7"/>
    <w:rsid w:val="236B425F"/>
    <w:rsid w:val="23836192"/>
    <w:rsid w:val="23901F29"/>
    <w:rsid w:val="239C0061"/>
    <w:rsid w:val="23B908A4"/>
    <w:rsid w:val="23C84111"/>
    <w:rsid w:val="23E95BEF"/>
    <w:rsid w:val="23FD0064"/>
    <w:rsid w:val="245375B0"/>
    <w:rsid w:val="24642C0A"/>
    <w:rsid w:val="24B22173"/>
    <w:rsid w:val="24B95AD9"/>
    <w:rsid w:val="24BE24DA"/>
    <w:rsid w:val="24CF5825"/>
    <w:rsid w:val="24D663E6"/>
    <w:rsid w:val="24D77F2B"/>
    <w:rsid w:val="258B00E2"/>
    <w:rsid w:val="25A917A6"/>
    <w:rsid w:val="25BE27CC"/>
    <w:rsid w:val="25C65F24"/>
    <w:rsid w:val="25F74A5C"/>
    <w:rsid w:val="2628662C"/>
    <w:rsid w:val="262D45DE"/>
    <w:rsid w:val="26871DC8"/>
    <w:rsid w:val="26A53EF9"/>
    <w:rsid w:val="26A94201"/>
    <w:rsid w:val="26AC274F"/>
    <w:rsid w:val="27044A29"/>
    <w:rsid w:val="271D34C8"/>
    <w:rsid w:val="276142BF"/>
    <w:rsid w:val="27783712"/>
    <w:rsid w:val="27907362"/>
    <w:rsid w:val="27FE654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DC22B0"/>
    <w:rsid w:val="2B437463"/>
    <w:rsid w:val="2B7807EE"/>
    <w:rsid w:val="2BA50BF7"/>
    <w:rsid w:val="2BBF00EC"/>
    <w:rsid w:val="2BC37CFD"/>
    <w:rsid w:val="2BD5237F"/>
    <w:rsid w:val="2BE536CE"/>
    <w:rsid w:val="2BE758D9"/>
    <w:rsid w:val="2BF346BB"/>
    <w:rsid w:val="2C09049E"/>
    <w:rsid w:val="2C0A653C"/>
    <w:rsid w:val="2C191F85"/>
    <w:rsid w:val="2C3D4AC3"/>
    <w:rsid w:val="2CE82D6F"/>
    <w:rsid w:val="2D343236"/>
    <w:rsid w:val="2D575011"/>
    <w:rsid w:val="2DD15014"/>
    <w:rsid w:val="2DF72DE4"/>
    <w:rsid w:val="2E0220AF"/>
    <w:rsid w:val="2E4B082A"/>
    <w:rsid w:val="2E5D4E86"/>
    <w:rsid w:val="2E5D790B"/>
    <w:rsid w:val="2E9A3C18"/>
    <w:rsid w:val="2EBB0FEE"/>
    <w:rsid w:val="2EC63002"/>
    <w:rsid w:val="2ED061DB"/>
    <w:rsid w:val="2F0A6B38"/>
    <w:rsid w:val="2F55138A"/>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120BFA"/>
    <w:rsid w:val="34211214"/>
    <w:rsid w:val="342E63AB"/>
    <w:rsid w:val="34506D13"/>
    <w:rsid w:val="34950E68"/>
    <w:rsid w:val="34986E94"/>
    <w:rsid w:val="34AF62C9"/>
    <w:rsid w:val="34CB4388"/>
    <w:rsid w:val="34FA6E12"/>
    <w:rsid w:val="354549F4"/>
    <w:rsid w:val="354D7158"/>
    <w:rsid w:val="358D5588"/>
    <w:rsid w:val="35CB51A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81119"/>
    <w:rsid w:val="38586797"/>
    <w:rsid w:val="385D15DF"/>
    <w:rsid w:val="38BC0149"/>
    <w:rsid w:val="38D87D1C"/>
    <w:rsid w:val="39636459"/>
    <w:rsid w:val="396B7F6C"/>
    <w:rsid w:val="39B417A9"/>
    <w:rsid w:val="39FC5695"/>
    <w:rsid w:val="3A006D8E"/>
    <w:rsid w:val="3A11591B"/>
    <w:rsid w:val="3A3651E5"/>
    <w:rsid w:val="3A744481"/>
    <w:rsid w:val="3A8C7BEF"/>
    <w:rsid w:val="3A906246"/>
    <w:rsid w:val="3B2349B7"/>
    <w:rsid w:val="3B616CFF"/>
    <w:rsid w:val="3B6259F6"/>
    <w:rsid w:val="3B976654"/>
    <w:rsid w:val="3BC01EFC"/>
    <w:rsid w:val="3BCA2EA7"/>
    <w:rsid w:val="3BCA786A"/>
    <w:rsid w:val="3BD31E2F"/>
    <w:rsid w:val="3BDE53B0"/>
    <w:rsid w:val="3BF15831"/>
    <w:rsid w:val="3C105946"/>
    <w:rsid w:val="3C471448"/>
    <w:rsid w:val="3C5F759A"/>
    <w:rsid w:val="3C646646"/>
    <w:rsid w:val="3C6C525A"/>
    <w:rsid w:val="3CCE23CB"/>
    <w:rsid w:val="3CD17D17"/>
    <w:rsid w:val="3D3C7F39"/>
    <w:rsid w:val="3D440F09"/>
    <w:rsid w:val="3D4504A0"/>
    <w:rsid w:val="3D666575"/>
    <w:rsid w:val="3D8734BB"/>
    <w:rsid w:val="3D9A11D4"/>
    <w:rsid w:val="3DA16D89"/>
    <w:rsid w:val="3DA364BE"/>
    <w:rsid w:val="3DA8404A"/>
    <w:rsid w:val="3DC24B71"/>
    <w:rsid w:val="3DE041CB"/>
    <w:rsid w:val="3E0D48F6"/>
    <w:rsid w:val="3E1868B4"/>
    <w:rsid w:val="3E2D72BA"/>
    <w:rsid w:val="3E377251"/>
    <w:rsid w:val="3E42664B"/>
    <w:rsid w:val="3E452E51"/>
    <w:rsid w:val="3E5A7334"/>
    <w:rsid w:val="3E7B5D6B"/>
    <w:rsid w:val="3E843E66"/>
    <w:rsid w:val="3E8F51FE"/>
    <w:rsid w:val="3E926F87"/>
    <w:rsid w:val="3E9A59DE"/>
    <w:rsid w:val="3EAF4836"/>
    <w:rsid w:val="3EC33DFA"/>
    <w:rsid w:val="3EDE0C12"/>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96F4D"/>
    <w:rsid w:val="41D01505"/>
    <w:rsid w:val="41F231B0"/>
    <w:rsid w:val="42474939"/>
    <w:rsid w:val="424C391C"/>
    <w:rsid w:val="424C3C57"/>
    <w:rsid w:val="42613FF3"/>
    <w:rsid w:val="42660D96"/>
    <w:rsid w:val="428667D2"/>
    <w:rsid w:val="42BD4B55"/>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166F98"/>
    <w:rsid w:val="46422483"/>
    <w:rsid w:val="4659254A"/>
    <w:rsid w:val="465B0637"/>
    <w:rsid w:val="465E3F0D"/>
    <w:rsid w:val="466A16E6"/>
    <w:rsid w:val="46893F2B"/>
    <w:rsid w:val="46C4686E"/>
    <w:rsid w:val="477B778F"/>
    <w:rsid w:val="478203EC"/>
    <w:rsid w:val="47B025FA"/>
    <w:rsid w:val="47E51E78"/>
    <w:rsid w:val="4809698F"/>
    <w:rsid w:val="4811697D"/>
    <w:rsid w:val="487A3E25"/>
    <w:rsid w:val="488B5503"/>
    <w:rsid w:val="48937E21"/>
    <w:rsid w:val="489A0361"/>
    <w:rsid w:val="48B73885"/>
    <w:rsid w:val="48B94FF3"/>
    <w:rsid w:val="48E37AAB"/>
    <w:rsid w:val="48FD4B4C"/>
    <w:rsid w:val="490A68E0"/>
    <w:rsid w:val="491055FE"/>
    <w:rsid w:val="495F5B3E"/>
    <w:rsid w:val="496F77D7"/>
    <w:rsid w:val="497654FD"/>
    <w:rsid w:val="49B52386"/>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D80FDB"/>
    <w:rsid w:val="4E4149FB"/>
    <w:rsid w:val="4E793892"/>
    <w:rsid w:val="4E800872"/>
    <w:rsid w:val="4EC569ED"/>
    <w:rsid w:val="4ED50EA1"/>
    <w:rsid w:val="4EEC050C"/>
    <w:rsid w:val="4F104EC3"/>
    <w:rsid w:val="4F4332AA"/>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9094A"/>
    <w:rsid w:val="5142540C"/>
    <w:rsid w:val="518832C8"/>
    <w:rsid w:val="519D3C50"/>
    <w:rsid w:val="51A0432A"/>
    <w:rsid w:val="51A86090"/>
    <w:rsid w:val="51B7396D"/>
    <w:rsid w:val="522E4CC3"/>
    <w:rsid w:val="5244713B"/>
    <w:rsid w:val="52615633"/>
    <w:rsid w:val="526F4DE4"/>
    <w:rsid w:val="527C7DB0"/>
    <w:rsid w:val="52977FD4"/>
    <w:rsid w:val="52A25790"/>
    <w:rsid w:val="52A96B6F"/>
    <w:rsid w:val="52B45975"/>
    <w:rsid w:val="52D62776"/>
    <w:rsid w:val="52D94AA4"/>
    <w:rsid w:val="52EA3A62"/>
    <w:rsid w:val="52F50BB8"/>
    <w:rsid w:val="53097272"/>
    <w:rsid w:val="53544462"/>
    <w:rsid w:val="536E6C48"/>
    <w:rsid w:val="5397158E"/>
    <w:rsid w:val="54013861"/>
    <w:rsid w:val="540C6300"/>
    <w:rsid w:val="54487265"/>
    <w:rsid w:val="544D6070"/>
    <w:rsid w:val="54605E1E"/>
    <w:rsid w:val="54B3506A"/>
    <w:rsid w:val="54B8345B"/>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F67D1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3F0C2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36C7"/>
    <w:rsid w:val="5C80234E"/>
    <w:rsid w:val="5C8A680C"/>
    <w:rsid w:val="5D0C4701"/>
    <w:rsid w:val="5D0F0395"/>
    <w:rsid w:val="5D221076"/>
    <w:rsid w:val="5D397964"/>
    <w:rsid w:val="5D5A391C"/>
    <w:rsid w:val="5D5F10C0"/>
    <w:rsid w:val="5D891B7B"/>
    <w:rsid w:val="5DAD38EE"/>
    <w:rsid w:val="5E006862"/>
    <w:rsid w:val="5E0207B9"/>
    <w:rsid w:val="5E057A8B"/>
    <w:rsid w:val="5E1834A1"/>
    <w:rsid w:val="5E261785"/>
    <w:rsid w:val="5E4A7017"/>
    <w:rsid w:val="5E552BBA"/>
    <w:rsid w:val="5E611C10"/>
    <w:rsid w:val="5E7A0F3F"/>
    <w:rsid w:val="5E806AF2"/>
    <w:rsid w:val="5EC01C88"/>
    <w:rsid w:val="5ECF3569"/>
    <w:rsid w:val="5EFC7377"/>
    <w:rsid w:val="5F06174D"/>
    <w:rsid w:val="5F0F5B49"/>
    <w:rsid w:val="5F3A3602"/>
    <w:rsid w:val="5F45733B"/>
    <w:rsid w:val="5F6277C6"/>
    <w:rsid w:val="5F6D0B1D"/>
    <w:rsid w:val="5F8D0B82"/>
    <w:rsid w:val="5FCC5339"/>
    <w:rsid w:val="5FE34A5B"/>
    <w:rsid w:val="5FFE1E36"/>
    <w:rsid w:val="60232584"/>
    <w:rsid w:val="607330CE"/>
    <w:rsid w:val="60825176"/>
    <w:rsid w:val="608655E0"/>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9966E8"/>
    <w:rsid w:val="62F40B65"/>
    <w:rsid w:val="62FC2CFE"/>
    <w:rsid w:val="63024505"/>
    <w:rsid w:val="63361F4C"/>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7FF51E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30A8B"/>
    <w:rsid w:val="6C8C67B7"/>
    <w:rsid w:val="6C9D744C"/>
    <w:rsid w:val="6CA677FF"/>
    <w:rsid w:val="6D167928"/>
    <w:rsid w:val="6D26299B"/>
    <w:rsid w:val="6D4772EC"/>
    <w:rsid w:val="6D9078AF"/>
    <w:rsid w:val="6DAA3FEF"/>
    <w:rsid w:val="6DC0172B"/>
    <w:rsid w:val="6DCB690C"/>
    <w:rsid w:val="6DD41A5B"/>
    <w:rsid w:val="6DF43C2E"/>
    <w:rsid w:val="6DF51CA3"/>
    <w:rsid w:val="6E8335BD"/>
    <w:rsid w:val="6E846BDC"/>
    <w:rsid w:val="6E8E12EF"/>
    <w:rsid w:val="6E972936"/>
    <w:rsid w:val="6ED446C5"/>
    <w:rsid w:val="6F2A7D94"/>
    <w:rsid w:val="6F8331F1"/>
    <w:rsid w:val="6F8B2131"/>
    <w:rsid w:val="6FAE1A09"/>
    <w:rsid w:val="6FD75BF8"/>
    <w:rsid w:val="6FF460A8"/>
    <w:rsid w:val="70121D6E"/>
    <w:rsid w:val="7040020D"/>
    <w:rsid w:val="707723D0"/>
    <w:rsid w:val="70F5661B"/>
    <w:rsid w:val="71360107"/>
    <w:rsid w:val="713B688E"/>
    <w:rsid w:val="71D43752"/>
    <w:rsid w:val="71F1796A"/>
    <w:rsid w:val="72154626"/>
    <w:rsid w:val="72262B5D"/>
    <w:rsid w:val="72283FF7"/>
    <w:rsid w:val="722E7212"/>
    <w:rsid w:val="723A0474"/>
    <w:rsid w:val="725923E4"/>
    <w:rsid w:val="72693B8A"/>
    <w:rsid w:val="72864BF7"/>
    <w:rsid w:val="729023FC"/>
    <w:rsid w:val="73C0646E"/>
    <w:rsid w:val="742222F5"/>
    <w:rsid w:val="74476126"/>
    <w:rsid w:val="74706664"/>
    <w:rsid w:val="747F3682"/>
    <w:rsid w:val="749C4185"/>
    <w:rsid w:val="74DE2D88"/>
    <w:rsid w:val="75067759"/>
    <w:rsid w:val="752E6DCD"/>
    <w:rsid w:val="7551380D"/>
    <w:rsid w:val="75600BE5"/>
    <w:rsid w:val="7564475C"/>
    <w:rsid w:val="75714AD3"/>
    <w:rsid w:val="7583797F"/>
    <w:rsid w:val="75D20F1D"/>
    <w:rsid w:val="75DA2C18"/>
    <w:rsid w:val="75F54412"/>
    <w:rsid w:val="761D08E0"/>
    <w:rsid w:val="765D347C"/>
    <w:rsid w:val="76826699"/>
    <w:rsid w:val="76C87133"/>
    <w:rsid w:val="76CD08D5"/>
    <w:rsid w:val="76DB4B92"/>
    <w:rsid w:val="77052AA4"/>
    <w:rsid w:val="770C5719"/>
    <w:rsid w:val="77136511"/>
    <w:rsid w:val="772C7649"/>
    <w:rsid w:val="77340A39"/>
    <w:rsid w:val="77351FD0"/>
    <w:rsid w:val="77472422"/>
    <w:rsid w:val="777F31F2"/>
    <w:rsid w:val="77BE6564"/>
    <w:rsid w:val="77D1700D"/>
    <w:rsid w:val="77EC04CC"/>
    <w:rsid w:val="78775729"/>
    <w:rsid w:val="78A42DB0"/>
    <w:rsid w:val="78A656AB"/>
    <w:rsid w:val="78B2245C"/>
    <w:rsid w:val="78E172CC"/>
    <w:rsid w:val="78EA1D1F"/>
    <w:rsid w:val="78FF512F"/>
    <w:rsid w:val="7904172F"/>
    <w:rsid w:val="790F7E27"/>
    <w:rsid w:val="792A231A"/>
    <w:rsid w:val="79316829"/>
    <w:rsid w:val="797E66A9"/>
    <w:rsid w:val="798518A4"/>
    <w:rsid w:val="79A97383"/>
    <w:rsid w:val="79E27E8B"/>
    <w:rsid w:val="79F850CE"/>
    <w:rsid w:val="79FD443C"/>
    <w:rsid w:val="7A1D1975"/>
    <w:rsid w:val="7A2031CB"/>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E37ACE"/>
    <w:rsid w:val="7FE549E1"/>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26"/>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目录 71"/>
    <w:next w:val="1"/>
    <w:qFormat/>
    <w:locked/>
    <w:uiPriority w:val="0"/>
    <w:pPr>
      <w:wordWrap w:val="0"/>
      <w:ind w:left="2550"/>
      <w:jc w:val="both"/>
    </w:pPr>
    <w:rPr>
      <w:rFonts w:ascii="Calibri" w:hAnsi="Calibri" w:eastAsia="宋体" w:cs="Times New Roman"/>
      <w:sz w:val="21"/>
      <w:szCs w:val="22"/>
      <w:lang w:val="en-US" w:eastAsia="zh-CN" w:bidi="ar-SA"/>
    </w:rPr>
  </w:style>
  <w:style w:type="paragraph" w:customStyle="1" w:styleId="81">
    <w:name w:val="UserStyle_0"/>
    <w:basedOn w:val="1"/>
    <w:qFormat/>
    <w:uiPriority w:val="0"/>
    <w:pPr>
      <w:spacing w:after="120"/>
      <w:jc w:val="left"/>
    </w:pPr>
    <w:rPr>
      <w:rFonts w:ascii="FuturaA Bk BT" w:hAnsi="FuturaA Bk BT" w:eastAsia="仿宋_GB2312"/>
      <w:kern w:val="0"/>
      <w:sz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basedOn w:val="70"/>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
    <w:next w:val="2"/>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
    <w:next w:val="2"/>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basedOn w:val="70"/>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NormalCharacter"/>
    <w:qFormat/>
    <w:uiPriority w:val="0"/>
    <w:rPr>
      <w:rFonts w:ascii="Times New Roman" w:hAnsi="Times New Roman" w:eastAsia="宋体"/>
      <w:lang w:val="en-US" w:eastAsia="zh-CN" w:bidi="ar-SA"/>
    </w:rPr>
  </w:style>
  <w:style w:type="character" w:customStyle="1" w:styleId="965">
    <w:name w:val="无"/>
    <w:qFormat/>
    <w:uiPriority w:val="99"/>
  </w:style>
  <w:style w:type="paragraph" w:customStyle="1" w:styleId="966">
    <w:name w:val="BodyText1I"/>
    <w:basedOn w:val="1"/>
    <w:qFormat/>
    <w:uiPriority w:val="0"/>
    <w:pPr>
      <w:ind w:firstLine="420" w:firstLineChars="100"/>
      <w:textAlignment w:val="baseline"/>
    </w:pPr>
    <w:rPr>
      <w:rFonts w:ascii="宋体" w:hAnsi="宋体"/>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50</Pages>
  <Words>27566</Words>
  <Characters>30232</Characters>
  <Lines>279</Lines>
  <Paragraphs>78</Paragraphs>
  <TotalTime>18</TotalTime>
  <ScaleCrop>false</ScaleCrop>
  <LinksUpToDate>false</LinksUpToDate>
  <CharactersWithSpaces>31742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语</cp:lastModifiedBy>
  <cp:lastPrinted>2021-12-27T11:06:00Z</cp:lastPrinted>
  <dcterms:modified xsi:type="dcterms:W3CDTF">2023-09-14T08:11:36Z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AB04CA3AAC3241D2B829FC42F0FE26B4_13</vt:lpwstr>
  </property>
</Properties>
</file>