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87EBE">
      <w:pPr>
        <w:spacing w:line="360" w:lineRule="auto"/>
        <w:jc w:val="center"/>
        <w:textAlignment w:val="baseline"/>
        <w:rPr>
          <w:rFonts w:hint="eastAsia" w:ascii="宋体" w:hAnsi="宋体"/>
          <w:b/>
          <w:color w:val="auto"/>
          <w:spacing w:val="2"/>
          <w:position w:val="-3"/>
          <w:sz w:val="44"/>
          <w:szCs w:val="44"/>
          <w:highlight w:val="none"/>
          <w:lang w:eastAsia="zh-CN"/>
        </w:rPr>
      </w:pPr>
    </w:p>
    <w:p w14:paraId="3838B03B">
      <w:pPr>
        <w:rPr>
          <w:rFonts w:hint="eastAsia"/>
          <w:highlight w:val="none"/>
          <w:lang w:eastAsia="zh-CN"/>
        </w:rPr>
      </w:pPr>
    </w:p>
    <w:p w14:paraId="5B19B3EF">
      <w:pPr>
        <w:pStyle w:val="50"/>
        <w:ind w:left="0" w:leftChars="0" w:firstLine="0" w:firstLineChars="0"/>
        <w:jc w:val="center"/>
        <w:rPr>
          <w:rFonts w:hint="eastAsia"/>
          <w:highlight w:val="none"/>
          <w:lang w:eastAsia="zh-CN"/>
        </w:rPr>
      </w:pPr>
      <w:r>
        <w:rPr>
          <w:rFonts w:hint="eastAsia" w:ascii="宋体" w:hAnsi="宋体" w:cs="宋体"/>
          <w:b/>
          <w:color w:val="auto"/>
          <w:spacing w:val="2"/>
          <w:position w:val="-3"/>
          <w:sz w:val="32"/>
          <w:szCs w:val="32"/>
          <w:highlight w:val="none"/>
          <w:lang w:eastAsia="zh-CN"/>
        </w:rPr>
        <w:t>常山县招贤镇2024-2025年松材线虫病枯死松树第二轮清理</w:t>
      </w:r>
    </w:p>
    <w:p w14:paraId="548C7E4C">
      <w:pPr>
        <w:pStyle w:val="50"/>
        <w:rPr>
          <w:rFonts w:hint="eastAsia"/>
          <w:color w:val="auto"/>
          <w:highlight w:val="none"/>
        </w:rPr>
      </w:pPr>
    </w:p>
    <w:p w14:paraId="5A597A9E">
      <w:pPr>
        <w:spacing w:line="360" w:lineRule="auto"/>
        <w:jc w:val="center"/>
        <w:textAlignment w:val="baseline"/>
        <w:rPr>
          <w:rFonts w:hint="eastAsia" w:ascii="宋体" w:hAnsi="宋体" w:cs="宋体"/>
          <w:b/>
          <w:color w:val="auto"/>
          <w:spacing w:val="2"/>
          <w:position w:val="-3"/>
          <w:sz w:val="44"/>
          <w:szCs w:val="44"/>
          <w:highlight w:val="none"/>
        </w:rPr>
      </w:pPr>
    </w:p>
    <w:p w14:paraId="6253BFC5">
      <w:pPr>
        <w:spacing w:line="360" w:lineRule="auto"/>
        <w:jc w:val="center"/>
        <w:textAlignment w:val="baseline"/>
        <w:rPr>
          <w:rFonts w:hint="eastAsia" w:ascii="宋体" w:hAnsi="宋体" w:cs="宋体"/>
          <w:b/>
          <w:color w:val="auto"/>
          <w:spacing w:val="2"/>
          <w:position w:val="-3"/>
          <w:sz w:val="32"/>
          <w:szCs w:val="32"/>
          <w:highlight w:val="none"/>
        </w:rPr>
      </w:pPr>
    </w:p>
    <w:p w14:paraId="6E58926E">
      <w:pPr>
        <w:spacing w:line="360" w:lineRule="auto"/>
        <w:jc w:val="center"/>
        <w:textAlignment w:val="baseline"/>
        <w:rPr>
          <w:rFonts w:hint="eastAsia" w:ascii="宋体" w:hAnsi="宋体" w:cs="宋体"/>
          <w:b/>
          <w:color w:val="auto"/>
          <w:spacing w:val="2"/>
          <w:position w:val="-3"/>
          <w:sz w:val="32"/>
          <w:szCs w:val="32"/>
          <w:highlight w:val="none"/>
        </w:rPr>
      </w:pPr>
      <w:r>
        <w:rPr>
          <w:rFonts w:hint="eastAsia" w:ascii="宋体" w:hAnsi="宋体" w:cs="宋体"/>
          <w:b/>
          <w:color w:val="auto"/>
          <w:spacing w:val="2"/>
          <w:position w:val="-3"/>
          <w:sz w:val="32"/>
          <w:szCs w:val="32"/>
          <w:highlight w:val="none"/>
        </w:rPr>
        <w:t>竞争性磋商文件</w:t>
      </w:r>
    </w:p>
    <w:p w14:paraId="3A0E2573">
      <w:pPr>
        <w:pStyle w:val="26"/>
        <w:rPr>
          <w:rFonts w:hint="eastAsia"/>
        </w:rPr>
      </w:pPr>
    </w:p>
    <w:p w14:paraId="5E0795EC">
      <w:pPr>
        <w:spacing w:line="360" w:lineRule="auto"/>
        <w:jc w:val="center"/>
        <w:textAlignment w:val="baseline"/>
        <w:rPr>
          <w:rFonts w:hint="eastAsia" w:ascii="宋体" w:hAnsi="宋体" w:cs="宋体"/>
          <w:b/>
          <w:color w:val="auto"/>
          <w:spacing w:val="2"/>
          <w:position w:val="-3"/>
          <w:sz w:val="32"/>
          <w:szCs w:val="32"/>
          <w:highlight w:val="none"/>
        </w:rPr>
      </w:pPr>
      <w:r>
        <w:rPr>
          <w:rFonts w:hint="eastAsia" w:ascii="宋体" w:hAnsi="宋体" w:cs="宋体"/>
          <w:b/>
          <w:color w:val="auto"/>
          <w:spacing w:val="2"/>
          <w:position w:val="-3"/>
          <w:sz w:val="32"/>
          <w:szCs w:val="32"/>
          <w:highlight w:val="none"/>
        </w:rPr>
        <w:t>（线上电子招投标）</w:t>
      </w:r>
    </w:p>
    <w:p w14:paraId="7B8E0136">
      <w:pPr>
        <w:spacing w:line="360" w:lineRule="auto"/>
        <w:jc w:val="center"/>
        <w:textAlignment w:val="baseline"/>
        <w:rPr>
          <w:rFonts w:ascii="宋体" w:hAnsi="宋体" w:cs="宋体"/>
          <w:bCs/>
          <w:color w:val="auto"/>
          <w:sz w:val="24"/>
          <w:szCs w:val="24"/>
          <w:highlight w:val="none"/>
        </w:rPr>
      </w:pPr>
    </w:p>
    <w:p w14:paraId="1D0B1571">
      <w:pPr>
        <w:spacing w:line="360" w:lineRule="auto"/>
        <w:jc w:val="center"/>
        <w:textAlignment w:val="baseline"/>
        <w:rPr>
          <w:rFonts w:ascii="宋体" w:hAnsi="宋体" w:cs="宋体"/>
          <w:bCs/>
          <w:color w:val="auto"/>
          <w:sz w:val="24"/>
          <w:szCs w:val="24"/>
          <w:highlight w:val="none"/>
        </w:rPr>
      </w:pPr>
    </w:p>
    <w:p w14:paraId="5DF380DC">
      <w:pPr>
        <w:pStyle w:val="11"/>
        <w:textAlignment w:val="baseline"/>
        <w:rPr>
          <w:rFonts w:ascii="宋体" w:hAnsi="宋体" w:cs="宋体"/>
          <w:color w:val="auto"/>
          <w:highlight w:val="none"/>
        </w:rPr>
      </w:pPr>
    </w:p>
    <w:p w14:paraId="4F22EC81">
      <w:pPr>
        <w:spacing w:line="360" w:lineRule="auto"/>
        <w:jc w:val="center"/>
        <w:textAlignment w:val="baseline"/>
        <w:rPr>
          <w:rFonts w:ascii="宋体" w:hAnsi="宋体" w:cs="宋体"/>
          <w:bCs/>
          <w:color w:val="auto"/>
          <w:sz w:val="24"/>
          <w:szCs w:val="24"/>
          <w:highlight w:val="none"/>
        </w:rPr>
      </w:pPr>
    </w:p>
    <w:p w14:paraId="7D01615A">
      <w:pPr>
        <w:keepNext w:val="0"/>
        <w:keepLines w:val="0"/>
        <w:pageBreakBefore w:val="0"/>
        <w:widowControl w:val="0"/>
        <w:kinsoku/>
        <w:wordWrap/>
        <w:overflowPunct/>
        <w:topLinePunct w:val="0"/>
        <w:autoSpaceDE/>
        <w:autoSpaceDN/>
        <w:bidi w:val="0"/>
        <w:adjustRightInd/>
        <w:snapToGrid/>
        <w:spacing w:line="760" w:lineRule="exact"/>
        <w:ind w:left="0" w:leftChars="0" w:firstLine="1952" w:firstLineChars="600"/>
        <w:textAlignment w:val="baseline"/>
        <w:rPr>
          <w:rFonts w:hint="eastAsia" w:ascii="宋体" w:hAnsi="宋体" w:cs="宋体"/>
          <w:b/>
          <w:color w:val="auto"/>
          <w:spacing w:val="2"/>
          <w:position w:val="-3"/>
          <w:sz w:val="32"/>
          <w:szCs w:val="32"/>
          <w:highlight w:val="none"/>
        </w:rPr>
      </w:pPr>
    </w:p>
    <w:p w14:paraId="046AE1B5">
      <w:pPr>
        <w:keepNext w:val="0"/>
        <w:keepLines w:val="0"/>
        <w:pageBreakBefore w:val="0"/>
        <w:widowControl w:val="0"/>
        <w:kinsoku/>
        <w:wordWrap/>
        <w:overflowPunct/>
        <w:topLinePunct w:val="0"/>
        <w:autoSpaceDE/>
        <w:autoSpaceDN/>
        <w:bidi w:val="0"/>
        <w:adjustRightInd/>
        <w:snapToGrid/>
        <w:spacing w:line="760" w:lineRule="exact"/>
        <w:ind w:left="0" w:leftChars="0" w:firstLine="1952" w:firstLineChars="600"/>
        <w:textAlignment w:val="baseline"/>
        <w:rPr>
          <w:rFonts w:hint="eastAsia" w:ascii="宋体" w:hAnsi="宋体" w:cs="宋体"/>
          <w:b/>
          <w:color w:val="auto"/>
          <w:spacing w:val="2"/>
          <w:position w:val="-3"/>
          <w:sz w:val="32"/>
          <w:szCs w:val="32"/>
          <w:highlight w:val="none"/>
        </w:rPr>
      </w:pPr>
    </w:p>
    <w:p w14:paraId="03298B8D">
      <w:pPr>
        <w:keepNext w:val="0"/>
        <w:keepLines w:val="0"/>
        <w:pageBreakBefore w:val="0"/>
        <w:widowControl w:val="0"/>
        <w:kinsoku/>
        <w:wordWrap/>
        <w:overflowPunct/>
        <w:topLinePunct w:val="0"/>
        <w:autoSpaceDE/>
        <w:autoSpaceDN/>
        <w:bidi w:val="0"/>
        <w:adjustRightInd/>
        <w:snapToGrid/>
        <w:spacing w:line="760" w:lineRule="exact"/>
        <w:ind w:left="0" w:leftChars="0" w:firstLine="1831" w:firstLineChars="600"/>
        <w:textAlignment w:val="baseline"/>
        <w:rPr>
          <w:rFonts w:hint="eastAsia" w:ascii="宋体" w:hAnsi="宋体" w:eastAsia="宋体" w:cs="宋体"/>
          <w:b/>
          <w:color w:val="auto"/>
          <w:spacing w:val="2"/>
          <w:position w:val="-3"/>
          <w:sz w:val="30"/>
          <w:szCs w:val="30"/>
          <w:highlight w:val="none"/>
          <w:u w:val="single"/>
          <w:lang w:eastAsia="zh-CN"/>
        </w:rPr>
      </w:pPr>
      <w:r>
        <w:rPr>
          <w:rFonts w:hint="eastAsia" w:ascii="宋体" w:hAnsi="宋体" w:cs="宋体"/>
          <w:b/>
          <w:color w:val="auto"/>
          <w:spacing w:val="2"/>
          <w:position w:val="-3"/>
          <w:sz w:val="30"/>
          <w:szCs w:val="30"/>
          <w:highlight w:val="none"/>
        </w:rPr>
        <w:t>项目编号：</w:t>
      </w:r>
      <w:r>
        <w:rPr>
          <w:rFonts w:hint="eastAsia" w:ascii="宋体" w:hAnsi="宋体" w:cs="宋体"/>
          <w:b/>
          <w:color w:val="auto"/>
          <w:spacing w:val="2"/>
          <w:position w:val="-3"/>
          <w:sz w:val="30"/>
          <w:szCs w:val="30"/>
          <w:highlight w:val="none"/>
          <w:lang w:eastAsia="zh-CN"/>
        </w:rPr>
        <w:t>CSKC-CS202506</w:t>
      </w:r>
    </w:p>
    <w:p w14:paraId="18B90140">
      <w:pPr>
        <w:keepNext w:val="0"/>
        <w:keepLines w:val="0"/>
        <w:pageBreakBefore w:val="0"/>
        <w:widowControl w:val="0"/>
        <w:kinsoku/>
        <w:wordWrap/>
        <w:overflowPunct/>
        <w:topLinePunct w:val="0"/>
        <w:autoSpaceDE/>
        <w:autoSpaceDN/>
        <w:bidi w:val="0"/>
        <w:adjustRightInd/>
        <w:snapToGrid/>
        <w:spacing w:line="760" w:lineRule="exact"/>
        <w:ind w:left="0" w:leftChars="0" w:firstLine="1831" w:firstLineChars="600"/>
        <w:jc w:val="both"/>
        <w:textAlignment w:val="baseline"/>
        <w:rPr>
          <w:rFonts w:hint="eastAsia" w:ascii="宋体" w:hAnsi="宋体" w:cs="宋体"/>
          <w:b/>
          <w:color w:val="auto"/>
          <w:spacing w:val="2"/>
          <w:position w:val="-3"/>
          <w:sz w:val="30"/>
          <w:szCs w:val="30"/>
          <w:highlight w:val="none"/>
          <w:lang w:eastAsia="zh-CN"/>
        </w:rPr>
      </w:pPr>
      <w:r>
        <w:rPr>
          <w:rFonts w:hint="eastAsia" w:ascii="宋体" w:hAnsi="宋体" w:cs="宋体"/>
          <w:b/>
          <w:color w:val="auto"/>
          <w:spacing w:val="2"/>
          <w:position w:val="-3"/>
          <w:sz w:val="30"/>
          <w:szCs w:val="30"/>
          <w:highlight w:val="none"/>
        </w:rPr>
        <w:t>采购人：</w:t>
      </w:r>
      <w:r>
        <w:rPr>
          <w:rFonts w:hint="eastAsia" w:ascii="宋体" w:hAnsi="宋体" w:cs="宋体"/>
          <w:b/>
          <w:color w:val="auto"/>
          <w:spacing w:val="2"/>
          <w:position w:val="-3"/>
          <w:sz w:val="30"/>
          <w:szCs w:val="30"/>
          <w:highlight w:val="none"/>
          <w:lang w:eastAsia="zh-CN"/>
        </w:rPr>
        <w:t>常山县招贤镇人民政府</w:t>
      </w:r>
    </w:p>
    <w:p w14:paraId="1F01D562">
      <w:pPr>
        <w:pStyle w:val="26"/>
      </w:pPr>
    </w:p>
    <w:p w14:paraId="0DA27E24">
      <w:pPr>
        <w:keepNext w:val="0"/>
        <w:keepLines w:val="0"/>
        <w:pageBreakBefore w:val="0"/>
        <w:widowControl w:val="0"/>
        <w:kinsoku/>
        <w:wordWrap/>
        <w:overflowPunct/>
        <w:topLinePunct w:val="0"/>
        <w:autoSpaceDE/>
        <w:autoSpaceDN/>
        <w:bidi w:val="0"/>
        <w:adjustRightInd/>
        <w:snapToGrid/>
        <w:spacing w:line="760" w:lineRule="exact"/>
        <w:ind w:left="0" w:leftChars="0" w:firstLine="1831" w:firstLineChars="600"/>
        <w:textAlignment w:val="baseline"/>
        <w:rPr>
          <w:rFonts w:hint="eastAsia" w:ascii="宋体" w:hAnsi="宋体" w:eastAsia="宋体" w:cs="宋体"/>
          <w:b/>
          <w:color w:val="auto"/>
          <w:spacing w:val="2"/>
          <w:position w:val="-3"/>
          <w:sz w:val="30"/>
          <w:szCs w:val="30"/>
          <w:highlight w:val="none"/>
          <w:lang w:eastAsia="zh-CN"/>
        </w:rPr>
      </w:pPr>
      <w:r>
        <w:rPr>
          <w:rFonts w:hint="eastAsia" w:ascii="宋体" w:hAnsi="宋体" w:cs="宋体"/>
          <w:b/>
          <w:color w:val="auto"/>
          <w:spacing w:val="2"/>
          <w:position w:val="-3"/>
          <w:sz w:val="30"/>
          <w:szCs w:val="30"/>
          <w:highlight w:val="none"/>
        </w:rPr>
        <w:t>代理机构：</w:t>
      </w:r>
      <w:r>
        <w:rPr>
          <w:rFonts w:hint="eastAsia" w:ascii="宋体" w:hAnsi="宋体" w:cs="宋体"/>
          <w:b/>
          <w:color w:val="auto"/>
          <w:spacing w:val="2"/>
          <w:position w:val="-3"/>
          <w:sz w:val="30"/>
          <w:szCs w:val="30"/>
          <w:highlight w:val="none"/>
          <w:lang w:eastAsia="zh-CN"/>
        </w:rPr>
        <w:t>衢州市开成工程造价咨询事务所有限公司</w:t>
      </w:r>
    </w:p>
    <w:p w14:paraId="6206B56A">
      <w:pPr>
        <w:spacing w:line="700" w:lineRule="exact"/>
        <w:jc w:val="center"/>
        <w:textAlignment w:val="baseline"/>
        <w:rPr>
          <w:rFonts w:hint="eastAsia" w:ascii="宋体" w:hAnsi="宋体" w:cs="宋体"/>
          <w:b/>
          <w:color w:val="auto"/>
          <w:spacing w:val="2"/>
          <w:position w:val="-3"/>
          <w:sz w:val="32"/>
          <w:szCs w:val="32"/>
          <w:highlight w:val="none"/>
        </w:rPr>
      </w:pPr>
    </w:p>
    <w:p w14:paraId="3160FE4C">
      <w:pPr>
        <w:spacing w:line="700" w:lineRule="exact"/>
        <w:jc w:val="center"/>
        <w:textAlignment w:val="baseline"/>
        <w:rPr>
          <w:rFonts w:hint="eastAsia" w:ascii="宋体" w:hAnsi="宋体" w:cs="宋体"/>
          <w:b/>
          <w:color w:val="auto"/>
          <w:spacing w:val="2"/>
          <w:position w:val="-3"/>
          <w:sz w:val="30"/>
          <w:szCs w:val="30"/>
          <w:highlight w:val="none"/>
        </w:rPr>
      </w:pPr>
      <w:r>
        <w:rPr>
          <w:rFonts w:hint="eastAsia" w:ascii="宋体" w:hAnsi="宋体" w:cs="宋体"/>
          <w:b/>
          <w:color w:val="auto"/>
          <w:spacing w:val="2"/>
          <w:position w:val="-3"/>
          <w:sz w:val="30"/>
          <w:szCs w:val="30"/>
          <w:highlight w:val="none"/>
        </w:rPr>
        <w:t>二〇二</w:t>
      </w:r>
      <w:r>
        <w:rPr>
          <w:rFonts w:hint="eastAsia" w:ascii="宋体" w:hAnsi="宋体" w:cs="宋体"/>
          <w:b/>
          <w:color w:val="auto"/>
          <w:spacing w:val="2"/>
          <w:position w:val="-3"/>
          <w:sz w:val="30"/>
          <w:szCs w:val="30"/>
          <w:highlight w:val="none"/>
          <w:lang w:eastAsia="zh-CN"/>
        </w:rPr>
        <w:t>五</w:t>
      </w:r>
      <w:r>
        <w:rPr>
          <w:rFonts w:hint="eastAsia" w:ascii="宋体" w:hAnsi="宋体" w:cs="宋体"/>
          <w:b/>
          <w:color w:val="auto"/>
          <w:spacing w:val="2"/>
          <w:position w:val="-3"/>
          <w:sz w:val="30"/>
          <w:szCs w:val="30"/>
          <w:highlight w:val="none"/>
        </w:rPr>
        <w:t>年</w:t>
      </w:r>
      <w:r>
        <w:rPr>
          <w:rFonts w:hint="eastAsia" w:ascii="宋体" w:hAnsi="宋体" w:cs="宋体"/>
          <w:b/>
          <w:color w:val="auto"/>
          <w:spacing w:val="2"/>
          <w:position w:val="-3"/>
          <w:sz w:val="30"/>
          <w:szCs w:val="30"/>
          <w:highlight w:val="none"/>
          <w:lang w:eastAsia="zh-CN"/>
        </w:rPr>
        <w:t>七</w:t>
      </w:r>
      <w:r>
        <w:rPr>
          <w:rFonts w:hint="eastAsia" w:ascii="宋体" w:hAnsi="宋体" w:cs="宋体"/>
          <w:b/>
          <w:color w:val="auto"/>
          <w:spacing w:val="2"/>
          <w:position w:val="-3"/>
          <w:sz w:val="30"/>
          <w:szCs w:val="30"/>
          <w:highlight w:val="none"/>
        </w:rPr>
        <w:t>月</w:t>
      </w:r>
    </w:p>
    <w:p w14:paraId="7760F0BF">
      <w:pPr>
        <w:bidi w:val="0"/>
        <w:rPr>
          <w:rFonts w:ascii="Calibri" w:hAnsi="Calibri" w:eastAsia="宋体" w:cs="Times New Roman"/>
          <w:color w:val="auto"/>
          <w:kern w:val="2"/>
          <w:sz w:val="21"/>
          <w:szCs w:val="22"/>
          <w:highlight w:val="none"/>
          <w:lang w:val="en-US" w:eastAsia="zh-CN" w:bidi="ar-SA"/>
        </w:rPr>
      </w:pPr>
    </w:p>
    <w:p w14:paraId="3423C1EE">
      <w:pPr>
        <w:tabs>
          <w:tab w:val="left" w:pos="3311"/>
        </w:tabs>
        <w:bidi w:val="0"/>
        <w:jc w:val="left"/>
        <w:rPr>
          <w:color w:val="auto"/>
          <w:highlight w:val="none"/>
          <w:lang w:val="en-US" w:eastAsia="zh-CN"/>
        </w:rPr>
        <w:sectPr>
          <w:pgSz w:w="11906" w:h="16838"/>
          <w:pgMar w:top="1440" w:right="1083" w:bottom="1440" w:left="1083" w:header="851" w:footer="992" w:gutter="0"/>
          <w:cols w:space="720" w:num="1"/>
          <w:docGrid w:type="lines" w:linePitch="312" w:charSpace="0"/>
        </w:sectPr>
      </w:pPr>
      <w:r>
        <w:rPr>
          <w:rFonts w:hint="eastAsia"/>
          <w:color w:val="auto"/>
          <w:highlight w:val="none"/>
          <w:lang w:val="en-US" w:eastAsia="zh-CN"/>
        </w:rPr>
        <w:tab/>
      </w:r>
    </w:p>
    <w:p w14:paraId="405E13A9">
      <w:pPr>
        <w:spacing w:after="312" w:afterAutospacing="1" w:line="360" w:lineRule="auto"/>
        <w:textAlignment w:val="baseline"/>
        <w:rPr>
          <w:rFonts w:ascii="宋体" w:hAnsi="宋体" w:cs="宋体"/>
          <w:color w:val="auto"/>
          <w:sz w:val="28"/>
          <w:szCs w:val="28"/>
          <w:highlight w:val="none"/>
        </w:rPr>
      </w:pPr>
    </w:p>
    <w:p w14:paraId="57CCBAA9">
      <w:pPr>
        <w:spacing w:before="24" w:after="24" w:line="360" w:lineRule="auto"/>
        <w:jc w:val="center"/>
        <w:textAlignment w:val="baseline"/>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sdt>
      <w:sdtPr>
        <w:rPr>
          <w:rFonts w:ascii="宋体" w:hAnsi="宋体"/>
          <w:color w:val="auto"/>
          <w:kern w:val="0"/>
          <w:sz w:val="24"/>
          <w:highlight w:val="none"/>
          <w:lang w:val="zh-CN"/>
        </w:rPr>
        <w:id w:val="147455864"/>
        <w15:color w:val="DBDBDB"/>
      </w:sdtPr>
      <w:sdtEndPr>
        <w:rPr>
          <w:rFonts w:hint="eastAsia" w:ascii="宋体" w:hAnsi="宋体" w:cs="宋体"/>
          <w:bCs/>
          <w:color w:val="auto"/>
          <w:kern w:val="0"/>
          <w:sz w:val="24"/>
          <w:szCs w:val="28"/>
          <w:highlight w:val="none"/>
          <w:lang w:val="zh-CN"/>
        </w:rPr>
      </w:sdtEndPr>
      <w:sdtContent>
        <w:p w14:paraId="22D1E770">
          <w:pPr>
            <w:jc w:val="center"/>
            <w:rPr>
              <w:color w:val="auto"/>
              <w:highlight w:val="none"/>
            </w:rPr>
          </w:pPr>
        </w:p>
        <w:p w14:paraId="14E00C61">
          <w:pPr>
            <w:pStyle w:val="99"/>
            <w:tabs>
              <w:tab w:val="right" w:leader="dot" w:pos="10206"/>
            </w:tabs>
            <w:rPr>
              <w:rFonts w:ascii="宋体" w:hAnsi="宋体" w:cs="宋体"/>
              <w:color w:val="auto"/>
              <w:sz w:val="28"/>
              <w:szCs w:val="28"/>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TOC \o "1-1" \h \u </w:instrText>
          </w:r>
          <w:r>
            <w:rPr>
              <w:rFonts w:hint="eastAsia" w:ascii="宋体" w:hAnsi="宋体" w:cs="宋体"/>
              <w:b/>
              <w:bCs/>
              <w:color w:val="auto"/>
              <w:sz w:val="28"/>
              <w:szCs w:val="28"/>
              <w:highlight w:val="none"/>
            </w:rPr>
            <w:fldChar w:fldCharType="separate"/>
          </w:r>
          <w:r>
            <w:rPr>
              <w:color w:val="auto"/>
              <w:highlight w:val="none"/>
            </w:rPr>
            <w:fldChar w:fldCharType="begin"/>
          </w:r>
          <w:r>
            <w:rPr>
              <w:color w:val="auto"/>
              <w:highlight w:val="none"/>
            </w:rPr>
            <w:instrText xml:space="preserve"> HYPERLINK \l "_Toc3203" </w:instrText>
          </w:r>
          <w:r>
            <w:rPr>
              <w:color w:val="auto"/>
              <w:highlight w:val="none"/>
            </w:rPr>
            <w:fldChar w:fldCharType="separate"/>
          </w:r>
          <w:r>
            <w:rPr>
              <w:rFonts w:hint="eastAsia" w:ascii="宋体" w:hAnsi="宋体" w:cs="宋体"/>
              <w:bCs/>
              <w:color w:val="auto"/>
              <w:sz w:val="28"/>
              <w:szCs w:val="28"/>
              <w:highlight w:val="none"/>
            </w:rPr>
            <w:t>第一章  竞争性磋商公告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_Toc3203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28E91949">
          <w:pPr>
            <w:pStyle w:val="99"/>
            <w:tabs>
              <w:tab w:val="right" w:leader="dot" w:pos="10206"/>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"_Toc16791" </w:instrText>
          </w:r>
          <w:r>
            <w:rPr>
              <w:color w:val="auto"/>
              <w:highlight w:val="none"/>
            </w:rPr>
            <w:fldChar w:fldCharType="separate"/>
          </w:r>
          <w:r>
            <w:rPr>
              <w:rFonts w:hint="eastAsia" w:ascii="宋体" w:hAnsi="宋体" w:cs="宋体"/>
              <w:bCs/>
              <w:color w:val="auto"/>
              <w:sz w:val="28"/>
              <w:szCs w:val="28"/>
              <w:highlight w:val="none"/>
            </w:rPr>
            <w:t>第二章  磋商供应商须知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_Toc16791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EA8609D">
          <w:pPr>
            <w:pStyle w:val="99"/>
            <w:tabs>
              <w:tab w:val="right" w:leader="dot" w:pos="10206"/>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"_Toc26093" </w:instrText>
          </w:r>
          <w:r>
            <w:rPr>
              <w:color w:val="auto"/>
              <w:highlight w:val="none"/>
            </w:rPr>
            <w:fldChar w:fldCharType="separate"/>
          </w:r>
          <w:r>
            <w:rPr>
              <w:rFonts w:hint="eastAsia" w:ascii="宋体" w:hAnsi="宋体" w:cs="宋体"/>
              <w:bCs/>
              <w:color w:val="auto"/>
              <w:kern w:val="2"/>
              <w:sz w:val="28"/>
              <w:szCs w:val="28"/>
              <w:highlight w:val="none"/>
            </w:rPr>
            <w:t xml:space="preserve">第三章  </w:t>
          </w:r>
          <w:r>
            <w:rPr>
              <w:rFonts w:hint="eastAsia" w:ascii="宋体" w:hAnsi="宋体" w:cs="宋体"/>
              <w:bCs/>
              <w:color w:val="auto"/>
              <w:kern w:val="2"/>
              <w:sz w:val="28"/>
              <w:szCs w:val="28"/>
              <w:highlight w:val="none"/>
              <w:lang w:val="zh-CN"/>
            </w:rPr>
            <w:t>采购内容及要求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_Toc26093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3D9A2DC">
          <w:pPr>
            <w:pStyle w:val="99"/>
            <w:tabs>
              <w:tab w:val="right" w:leader="dot" w:pos="10206"/>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"_Toc21547" </w:instrText>
          </w:r>
          <w:r>
            <w:rPr>
              <w:color w:val="auto"/>
              <w:highlight w:val="none"/>
            </w:rPr>
            <w:fldChar w:fldCharType="separate"/>
          </w:r>
          <w:r>
            <w:rPr>
              <w:rFonts w:hint="eastAsia" w:ascii="宋体" w:hAnsi="宋体" w:cs="宋体"/>
              <w:color w:val="auto"/>
              <w:sz w:val="28"/>
              <w:szCs w:val="28"/>
              <w:highlight w:val="none"/>
            </w:rPr>
            <w:t>第四章  合同格式样本</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_Toc21547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20</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5343F3C9">
          <w:pPr>
            <w:pStyle w:val="99"/>
            <w:tabs>
              <w:tab w:val="right" w:leader="dot" w:pos="10206"/>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"_Toc17895" </w:instrText>
          </w:r>
          <w:r>
            <w:rPr>
              <w:color w:val="auto"/>
              <w:highlight w:val="none"/>
            </w:rPr>
            <w:fldChar w:fldCharType="separate"/>
          </w:r>
          <w:r>
            <w:rPr>
              <w:rFonts w:hint="eastAsia" w:ascii="宋体" w:hAnsi="宋体" w:cs="宋体"/>
              <w:color w:val="auto"/>
              <w:sz w:val="28"/>
              <w:szCs w:val="28"/>
              <w:highlight w:val="none"/>
            </w:rPr>
            <w:t xml:space="preserve">第五章  </w:t>
          </w:r>
          <w:r>
            <w:rPr>
              <w:rFonts w:hint="eastAsia" w:ascii="宋体" w:hAnsi="宋体" w:cs="宋体"/>
              <w:color w:val="auto"/>
              <w:sz w:val="28"/>
              <w:szCs w:val="28"/>
              <w:highlight w:val="none"/>
              <w:lang w:val="zh-CN"/>
            </w:rPr>
            <w:t>评标办法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_Toc17895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427DB308">
          <w:pPr>
            <w:pStyle w:val="99"/>
            <w:tabs>
              <w:tab w:val="right" w:leader="dot" w:pos="10206"/>
            </w:tabs>
            <w:rPr>
              <w:color w:val="auto"/>
              <w:highlight w:val="none"/>
            </w:rPr>
          </w:pPr>
          <w:r>
            <w:rPr>
              <w:color w:val="auto"/>
              <w:highlight w:val="none"/>
            </w:rPr>
            <w:fldChar w:fldCharType="begin"/>
          </w:r>
          <w:r>
            <w:rPr>
              <w:color w:val="auto"/>
              <w:highlight w:val="none"/>
            </w:rPr>
            <w:instrText xml:space="preserve"> HYPERLINK \l "_Toc4286" </w:instrText>
          </w:r>
          <w:r>
            <w:rPr>
              <w:color w:val="auto"/>
              <w:highlight w:val="none"/>
            </w:rPr>
            <w:fldChar w:fldCharType="separate"/>
          </w:r>
          <w:r>
            <w:rPr>
              <w:rFonts w:hint="eastAsia" w:ascii="宋体" w:hAnsi="宋体" w:cs="宋体"/>
              <w:bCs/>
              <w:color w:val="auto"/>
              <w:sz w:val="28"/>
              <w:szCs w:val="28"/>
              <w:highlight w:val="none"/>
            </w:rPr>
            <w:t>第六章  响应文件格式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_Toc4286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30</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6270955B">
          <w:pPr>
            <w:pStyle w:val="99"/>
            <w:tabs>
              <w:tab w:val="right" w:leader="dot" w:pos="10206"/>
            </w:tabs>
            <w:rPr>
              <w:color w:val="auto"/>
              <w:highlight w:val="none"/>
            </w:rPr>
          </w:pPr>
        </w:p>
        <w:p w14:paraId="1FC985E4">
          <w:pPr>
            <w:pStyle w:val="61"/>
            <w:jc w:val="both"/>
            <w:textAlignment w:val="baseline"/>
            <w:rPr>
              <w:rFonts w:cs="宋体"/>
              <w:bCs/>
              <w:color w:val="auto"/>
              <w:szCs w:val="28"/>
              <w:highlight w:val="none"/>
            </w:rPr>
            <w:sectPr>
              <w:footerReference r:id="rId4" w:type="default"/>
              <w:pgSz w:w="11906" w:h="16838"/>
              <w:pgMar w:top="1440" w:right="850" w:bottom="1440" w:left="850" w:header="851" w:footer="992" w:gutter="0"/>
              <w:pgNumType w:start="1"/>
              <w:cols w:space="720" w:num="1"/>
              <w:docGrid w:type="lines" w:linePitch="312" w:charSpace="0"/>
            </w:sectPr>
          </w:pPr>
          <w:r>
            <w:rPr>
              <w:rFonts w:hint="eastAsia" w:cs="宋体"/>
              <w:bCs/>
              <w:color w:val="auto"/>
              <w:szCs w:val="28"/>
              <w:highlight w:val="none"/>
            </w:rPr>
            <w:fldChar w:fldCharType="end"/>
          </w:r>
        </w:p>
      </w:sdtContent>
    </w:sdt>
    <w:p w14:paraId="243C2AF4">
      <w:pPr>
        <w:spacing w:after="312" w:afterAutospacing="1" w:line="360" w:lineRule="auto"/>
        <w:jc w:val="center"/>
        <w:textAlignment w:val="baseline"/>
        <w:outlineLvl w:val="0"/>
        <w:rPr>
          <w:rFonts w:ascii="宋体" w:hAnsi="宋体" w:cs="宋体"/>
          <w:b/>
          <w:bCs/>
          <w:color w:val="auto"/>
          <w:sz w:val="30"/>
          <w:szCs w:val="30"/>
          <w:highlight w:val="none"/>
        </w:rPr>
      </w:pPr>
      <w:bookmarkStart w:id="0" w:name="_Toc421834139"/>
      <w:bookmarkStart w:id="1" w:name="_Toc3203"/>
      <w:bookmarkStart w:id="2" w:name="_Toc32466"/>
      <w:r>
        <w:rPr>
          <w:rFonts w:hint="eastAsia" w:ascii="宋体" w:hAnsi="宋体" w:cs="宋体"/>
          <w:b/>
          <w:bCs/>
          <w:color w:val="auto"/>
          <w:sz w:val="30"/>
          <w:szCs w:val="30"/>
          <w:highlight w:val="none"/>
        </w:rPr>
        <w:t>第一章</w:t>
      </w:r>
      <w:bookmarkEnd w:id="0"/>
      <w:r>
        <w:rPr>
          <w:rFonts w:hint="eastAsia" w:ascii="宋体" w:hAnsi="宋体" w:cs="宋体"/>
          <w:b/>
          <w:bCs/>
          <w:color w:val="auto"/>
          <w:sz w:val="30"/>
          <w:szCs w:val="30"/>
          <w:highlight w:val="none"/>
        </w:rPr>
        <w:t xml:space="preserve">  竞争性磋商公告</w:t>
      </w:r>
      <w:bookmarkEnd w:id="1"/>
      <w:bookmarkEnd w:id="2"/>
    </w:p>
    <w:tbl>
      <w:tblPr>
        <w:tblStyle w:val="32"/>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712B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tcPr>
          <w:p w14:paraId="36052570">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项目概况</w:t>
            </w:r>
          </w:p>
          <w:p w14:paraId="589970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lang w:eastAsia="zh-CN"/>
              </w:rPr>
              <w:t>常山县招贤镇2024-2025年松材线虫病枯死松树第二轮清理</w:t>
            </w:r>
            <w:r>
              <w:rPr>
                <w:rFonts w:hint="eastAsia" w:ascii="宋体" w:hAnsi="宋体" w:cs="宋体"/>
                <w:color w:val="auto"/>
                <w:szCs w:val="21"/>
                <w:highlight w:val="none"/>
              </w:rPr>
              <w:t>的潜在供应商应在</w:t>
            </w:r>
            <w:r>
              <w:rPr>
                <w:rFonts w:hint="eastAsia" w:ascii="宋体" w:hAnsi="宋体" w:cs="宋体"/>
                <w:b/>
                <w:bCs/>
                <w:color w:val="auto"/>
                <w:szCs w:val="21"/>
                <w:highlight w:val="none"/>
                <w:u w:val="single" w:color="000000"/>
              </w:rPr>
              <w:t>政府采购云平台（www.zcygov.cn）</w:t>
            </w:r>
            <w:r>
              <w:rPr>
                <w:rFonts w:hint="eastAsia" w:ascii="宋体" w:hAnsi="宋体" w:cs="宋体"/>
                <w:color w:val="auto"/>
                <w:szCs w:val="21"/>
                <w:highlight w:val="none"/>
              </w:rPr>
              <w:t>获取</w:t>
            </w:r>
            <w:r>
              <w:rPr>
                <w:rFonts w:hint="eastAsia" w:ascii="宋体" w:hAnsi="宋体" w:cs="宋体"/>
                <w:color w:val="auto"/>
                <w:szCs w:val="21"/>
                <w:highlight w:val="none"/>
                <w:lang w:eastAsia="zh-CN"/>
              </w:rPr>
              <w:t>（下载）</w:t>
            </w:r>
            <w:r>
              <w:rPr>
                <w:rFonts w:hint="eastAsia" w:ascii="宋体" w:hAnsi="宋体" w:cs="宋体"/>
                <w:color w:val="auto"/>
                <w:szCs w:val="21"/>
                <w:highlight w:val="none"/>
              </w:rPr>
              <w:t>采购文件，并于</w:t>
            </w:r>
            <w:r>
              <w:rPr>
                <w:rFonts w:hint="eastAsia" w:ascii="宋体" w:hAnsi="宋体" w:cs="宋体"/>
                <w:b/>
                <w:bCs/>
                <w:color w:val="auto"/>
                <w:szCs w:val="21"/>
                <w:highlight w:val="none"/>
                <w:u w:val="single" w:color="000000"/>
                <w:lang w:eastAsia="zh-CN"/>
              </w:rPr>
              <w:t>202</w:t>
            </w:r>
            <w:r>
              <w:rPr>
                <w:rFonts w:hint="eastAsia" w:ascii="宋体" w:hAnsi="宋体" w:cs="宋体"/>
                <w:b/>
                <w:bCs/>
                <w:color w:val="auto"/>
                <w:szCs w:val="21"/>
                <w:highlight w:val="none"/>
                <w:u w:val="single" w:color="000000"/>
                <w:lang w:val="en-US" w:eastAsia="zh-CN"/>
              </w:rPr>
              <w:t>5</w:t>
            </w:r>
            <w:r>
              <w:rPr>
                <w:rFonts w:hint="eastAsia" w:ascii="宋体" w:hAnsi="宋体" w:cs="宋体"/>
                <w:b/>
                <w:bCs/>
                <w:color w:val="auto"/>
                <w:szCs w:val="21"/>
                <w:highlight w:val="none"/>
                <w:u w:val="single" w:color="000000"/>
                <w:lang w:eastAsia="zh-CN"/>
              </w:rPr>
              <w:t>年</w:t>
            </w:r>
            <w:r>
              <w:rPr>
                <w:rFonts w:hint="eastAsia" w:ascii="宋体" w:hAnsi="宋体" w:cs="宋体"/>
                <w:b/>
                <w:bCs/>
                <w:color w:val="auto"/>
                <w:szCs w:val="21"/>
                <w:highlight w:val="none"/>
                <w:u w:val="single" w:color="000000"/>
                <w:lang w:val="en-US" w:eastAsia="zh-CN"/>
              </w:rPr>
              <w:t>7</w:t>
            </w:r>
            <w:r>
              <w:rPr>
                <w:rFonts w:hint="eastAsia" w:ascii="宋体" w:hAnsi="宋体" w:cs="宋体"/>
                <w:b/>
                <w:bCs/>
                <w:color w:val="auto"/>
                <w:szCs w:val="21"/>
                <w:highlight w:val="none"/>
                <w:u w:val="single" w:color="000000"/>
              </w:rPr>
              <w:t>月</w:t>
            </w:r>
            <w:r>
              <w:rPr>
                <w:rFonts w:hint="eastAsia" w:ascii="宋体" w:hAnsi="宋体" w:cs="宋体"/>
                <w:b/>
                <w:bCs/>
                <w:color w:val="auto"/>
                <w:szCs w:val="21"/>
                <w:highlight w:val="none"/>
                <w:u w:val="single" w:color="000000"/>
                <w:lang w:val="en-US" w:eastAsia="zh-CN"/>
              </w:rPr>
              <w:t>24</w:t>
            </w:r>
            <w:r>
              <w:rPr>
                <w:rFonts w:hint="eastAsia" w:ascii="宋体" w:hAnsi="宋体" w:cs="宋体"/>
                <w:b/>
                <w:bCs/>
                <w:color w:val="auto"/>
                <w:szCs w:val="21"/>
                <w:highlight w:val="none"/>
                <w:u w:val="single" w:color="000000"/>
              </w:rPr>
              <w:t>日</w:t>
            </w:r>
            <w:r>
              <w:rPr>
                <w:rFonts w:hint="eastAsia" w:ascii="宋体" w:hAnsi="宋体" w:cs="宋体"/>
                <w:b/>
                <w:bCs/>
                <w:color w:val="auto"/>
                <w:szCs w:val="21"/>
                <w:highlight w:val="none"/>
                <w:u w:val="single" w:color="000000"/>
                <w:lang w:val="en-US" w:eastAsia="zh-CN"/>
              </w:rPr>
              <w:t>14</w:t>
            </w:r>
            <w:r>
              <w:rPr>
                <w:rFonts w:hint="eastAsia" w:ascii="宋体" w:hAnsi="宋体" w:cs="宋体"/>
                <w:b/>
                <w:bCs/>
                <w:color w:val="auto"/>
                <w:szCs w:val="21"/>
                <w:highlight w:val="none"/>
                <w:u w:val="single" w:color="000000"/>
              </w:rPr>
              <w:t>时</w:t>
            </w:r>
            <w:r>
              <w:rPr>
                <w:rFonts w:hint="eastAsia" w:ascii="宋体" w:hAnsi="宋体" w:cs="宋体"/>
                <w:b/>
                <w:bCs/>
                <w:color w:val="auto"/>
                <w:szCs w:val="21"/>
                <w:highlight w:val="none"/>
                <w:u w:val="single" w:color="000000"/>
                <w:lang w:val="en-US" w:eastAsia="zh-CN"/>
              </w:rPr>
              <w:t>30</w:t>
            </w:r>
            <w:r>
              <w:rPr>
                <w:rFonts w:hint="eastAsia" w:ascii="宋体" w:hAnsi="宋体" w:cs="宋体"/>
                <w:b/>
                <w:bCs/>
                <w:color w:val="auto"/>
                <w:szCs w:val="21"/>
                <w:highlight w:val="none"/>
                <w:u w:val="single" w:color="000000"/>
              </w:rPr>
              <w:t>分</w:t>
            </w:r>
            <w:r>
              <w:rPr>
                <w:rFonts w:hint="eastAsia" w:ascii="宋体" w:hAnsi="宋体" w:cs="宋体"/>
                <w:color w:val="auto"/>
                <w:szCs w:val="21"/>
                <w:highlight w:val="none"/>
              </w:rPr>
              <w:t>（北京时间）前提交</w:t>
            </w:r>
            <w:r>
              <w:rPr>
                <w:rFonts w:hint="eastAsia" w:ascii="宋体" w:hAnsi="宋体" w:cs="宋体"/>
                <w:color w:val="auto"/>
                <w:szCs w:val="21"/>
                <w:highlight w:val="none"/>
                <w:lang w:eastAsia="zh-CN"/>
              </w:rPr>
              <w:t>（上传）</w:t>
            </w:r>
            <w:r>
              <w:rPr>
                <w:rFonts w:hint="eastAsia" w:ascii="宋体" w:hAnsi="宋体" w:cs="宋体"/>
                <w:color w:val="auto"/>
                <w:szCs w:val="21"/>
                <w:highlight w:val="none"/>
              </w:rPr>
              <w:t>响应文件。</w:t>
            </w:r>
          </w:p>
        </w:tc>
      </w:tr>
    </w:tbl>
    <w:p w14:paraId="13520EF2">
      <w:pPr>
        <w:keepNext w:val="0"/>
        <w:keepLines w:val="0"/>
        <w:pageBreakBefore w:val="0"/>
        <w:widowControl/>
        <w:kinsoku/>
        <w:overflowPunct/>
        <w:topLinePunct w:val="0"/>
        <w:autoSpaceDE/>
        <w:autoSpaceDN/>
        <w:bidi w:val="0"/>
        <w:adjustRightInd/>
        <w:snapToGrid/>
        <w:spacing w:line="440" w:lineRule="exact"/>
        <w:ind w:firstLine="422" w:firstLineChars="200"/>
        <w:textAlignment w:val="baseline"/>
        <w:rPr>
          <w:rFonts w:ascii="宋体" w:hAnsi="宋体" w:cs="宋体"/>
          <w:b/>
          <w:bCs/>
          <w:color w:val="auto"/>
          <w:sz w:val="20"/>
          <w:highlight w:val="none"/>
        </w:rPr>
      </w:pPr>
      <w:bookmarkStart w:id="3" w:name="_Toc28359013"/>
      <w:bookmarkStart w:id="4" w:name="_Toc28359090"/>
      <w:bookmarkStart w:id="5" w:name="_Toc35393630"/>
      <w:bookmarkStart w:id="6" w:name="_Toc35393799"/>
      <w:r>
        <w:rPr>
          <w:rFonts w:hint="eastAsia" w:ascii="宋体" w:hAnsi="宋体" w:cs="宋体"/>
          <w:b/>
          <w:bCs/>
          <w:color w:val="auto"/>
          <w:highlight w:val="none"/>
        </w:rPr>
        <w:t>一、项目基本情况</w:t>
      </w:r>
    </w:p>
    <w:p w14:paraId="1945D44A">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0"/>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CSKC-CS202506</w:t>
      </w:r>
    </w:p>
    <w:p w14:paraId="794B6211">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Cs w:val="21"/>
          <w:highlight w:val="none"/>
          <w:u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u w:val="none"/>
          <w:lang w:eastAsia="zh-CN"/>
        </w:rPr>
        <w:t>常山县招贤镇2024-2025年松材线虫病枯死松树第二轮清理</w:t>
      </w:r>
    </w:p>
    <w:p w14:paraId="5A188FCD">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采购方式：竞争性磋商</w:t>
      </w:r>
    </w:p>
    <w:p w14:paraId="5C4BB0DB">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default" w:ascii="宋体" w:hAnsi="宋体" w:cs="宋体"/>
          <w:color w:val="auto"/>
          <w:szCs w:val="21"/>
          <w:highlight w:val="none"/>
          <w:lang w:val="en-US" w:eastAsia="zh-CN"/>
        </w:rPr>
      </w:pPr>
      <w:r>
        <w:rPr>
          <w:rFonts w:hint="eastAsia" w:ascii="宋体" w:hAnsi="宋体" w:cs="宋体"/>
          <w:color w:val="auto"/>
          <w:szCs w:val="21"/>
          <w:highlight w:val="none"/>
        </w:rPr>
        <w:t>预算金额（元）：</w:t>
      </w:r>
      <w:r>
        <w:rPr>
          <w:rFonts w:hint="eastAsia" w:ascii="宋体" w:hAnsi="宋体" w:cs="宋体"/>
          <w:color w:val="auto"/>
          <w:szCs w:val="21"/>
          <w:highlight w:val="none"/>
          <w:lang w:val="en-US" w:eastAsia="zh-CN"/>
        </w:rPr>
        <w:t>620000</w:t>
      </w:r>
    </w:p>
    <w:p w14:paraId="4247AC58">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default" w:ascii="宋体" w:hAnsi="宋体" w:cs="宋体"/>
          <w:color w:val="auto"/>
          <w:szCs w:val="21"/>
          <w:highlight w:val="none"/>
          <w:lang w:val="en-US" w:eastAsia="zh-CN"/>
        </w:rPr>
      </w:pPr>
      <w:r>
        <w:rPr>
          <w:rFonts w:hint="eastAsia" w:ascii="宋体" w:hAnsi="宋体" w:cs="宋体"/>
          <w:color w:val="auto"/>
          <w:szCs w:val="21"/>
          <w:highlight w:val="none"/>
        </w:rPr>
        <w:t>最高限价（元）：</w:t>
      </w:r>
      <w:r>
        <w:rPr>
          <w:rFonts w:hint="eastAsia" w:ascii="宋体" w:hAnsi="宋体" w:cs="宋体"/>
          <w:color w:val="auto"/>
          <w:szCs w:val="21"/>
          <w:highlight w:val="none"/>
          <w:lang w:val="en-US" w:eastAsia="zh-CN"/>
        </w:rPr>
        <w:t>620000</w:t>
      </w:r>
    </w:p>
    <w:p w14:paraId="56BC3197">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Cs w:val="21"/>
          <w:highlight w:val="none"/>
          <w:lang w:val="en-US" w:eastAsia="zh-CN"/>
        </w:rPr>
      </w:pPr>
      <w:r>
        <w:rPr>
          <w:rFonts w:hint="eastAsia" w:ascii="宋体" w:hAnsi="宋体" w:cs="宋体"/>
          <w:color w:val="auto"/>
          <w:szCs w:val="21"/>
          <w:highlight w:val="none"/>
        </w:rPr>
        <w:t>采购需求：</w:t>
      </w:r>
      <w:r>
        <w:rPr>
          <w:rFonts w:hint="eastAsia" w:ascii="宋体" w:hAnsi="宋体" w:cs="宋体"/>
          <w:color w:val="auto"/>
          <w:szCs w:val="21"/>
          <w:highlight w:val="none"/>
          <w:lang w:val="en-US" w:eastAsia="zh-CN"/>
        </w:rPr>
        <w:t>常山县招贤镇2024-2025年松材线虫病枯死松树第二轮清理</w:t>
      </w:r>
    </w:p>
    <w:p w14:paraId="6EB192CD">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 xml:space="preserve">数量：1 </w:t>
      </w:r>
    </w:p>
    <w:p w14:paraId="1F463201">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预算金额（元）：</w:t>
      </w:r>
      <w:r>
        <w:rPr>
          <w:rFonts w:hint="eastAsia" w:ascii="宋体" w:hAnsi="宋体" w:cs="宋体"/>
          <w:color w:val="auto"/>
          <w:szCs w:val="21"/>
          <w:highlight w:val="none"/>
          <w:lang w:val="en-US" w:eastAsia="zh-CN"/>
        </w:rPr>
        <w:t>620000</w:t>
      </w:r>
    </w:p>
    <w:p w14:paraId="6E8148A4">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szCs w:val="21"/>
          <w:highlight w:val="none"/>
          <w:lang w:val="en-US" w:eastAsia="zh-CN"/>
        </w:rPr>
      </w:pPr>
      <w:r>
        <w:rPr>
          <w:rFonts w:hint="eastAsia" w:ascii="宋体" w:hAnsi="宋体" w:cs="宋体"/>
          <w:color w:val="auto"/>
          <w:szCs w:val="21"/>
          <w:highlight w:val="none"/>
          <w:lang w:eastAsia="zh-CN"/>
        </w:rPr>
        <w:t>单价最高限价：</w:t>
      </w:r>
      <w:r>
        <w:rPr>
          <w:rFonts w:hint="eastAsia" w:ascii="宋体" w:hAnsi="宋体" w:cs="宋体"/>
          <w:szCs w:val="21"/>
          <w:highlight w:val="none"/>
          <w:lang w:val="en-US" w:eastAsia="zh-CN"/>
        </w:rPr>
        <w:t>1550元/吨</w:t>
      </w:r>
    </w:p>
    <w:p w14:paraId="7F3A051F">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单位：项</w:t>
      </w:r>
    </w:p>
    <w:p w14:paraId="26601364">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简要规格描述：详见</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文件第三章</w:t>
      </w:r>
    </w:p>
    <w:p w14:paraId="23A7F3FD">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备注：</w:t>
      </w:r>
    </w:p>
    <w:p w14:paraId="21D9CAE0">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合同履约期限：详见</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文件第三章。</w:t>
      </w:r>
    </w:p>
    <w:p w14:paraId="5D456C8C">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否</w:t>
      </w:r>
      <w:r>
        <w:rPr>
          <w:rFonts w:hint="eastAsia" w:ascii="宋体" w:hAnsi="宋体" w:cs="宋体"/>
          <w:color w:val="auto"/>
          <w:szCs w:val="21"/>
          <w:highlight w:val="none"/>
        </w:rPr>
        <w:t>）接受联合体。</w:t>
      </w:r>
    </w:p>
    <w:p w14:paraId="06DFFEF2">
      <w:pPr>
        <w:keepNext w:val="0"/>
        <w:keepLines w:val="0"/>
        <w:pageBreakBefore w:val="0"/>
        <w:kinsoku/>
        <w:overflowPunct/>
        <w:topLinePunct w:val="0"/>
        <w:autoSpaceDE/>
        <w:autoSpaceDN/>
        <w:bidi w:val="0"/>
        <w:adjustRightInd/>
        <w:snapToGrid/>
        <w:spacing w:line="440" w:lineRule="exact"/>
        <w:ind w:firstLine="422" w:firstLineChars="200"/>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二、申请人的资格要求：</w:t>
      </w:r>
      <w:bookmarkEnd w:id="3"/>
      <w:bookmarkEnd w:id="4"/>
      <w:bookmarkEnd w:id="5"/>
      <w:bookmarkEnd w:id="6"/>
      <w:bookmarkStart w:id="7" w:name="_Toc35393631"/>
      <w:bookmarkStart w:id="8" w:name="_Toc28359014"/>
      <w:bookmarkStart w:id="9" w:name="_Toc35393800"/>
      <w:bookmarkStart w:id="10" w:name="_Toc28359091"/>
    </w:p>
    <w:p w14:paraId="28EF1F38">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73E83C7">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b/>
          <w:bCs/>
          <w:color w:val="auto"/>
          <w:sz w:val="20"/>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.落实政府采购政策需满足的资格要求：</w:t>
      </w:r>
      <w:r>
        <w:rPr>
          <w:rFonts w:hint="eastAsia" w:ascii="宋体" w:hAnsi="宋体" w:eastAsia="宋体" w:cs="宋体"/>
          <w:b/>
          <w:bCs/>
          <w:color w:val="0000FF"/>
          <w:szCs w:val="21"/>
          <w:lang w:eastAsia="zh-CN"/>
        </w:rPr>
        <w:t>本项目资金为中小企业预留，投标人为中小企业（符合中小企业划分标准的个体工商户视同中小企业，监狱企业、残疾人福利单位视同小型、微型企业）。</w:t>
      </w:r>
    </w:p>
    <w:p w14:paraId="1FA846C0">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highlight w:val="none"/>
        </w:rPr>
      </w:pPr>
      <w:r>
        <w:rPr>
          <w:rFonts w:hint="eastAsia" w:ascii="宋体" w:hAnsi="宋体" w:cs="宋体"/>
          <w:b w:val="0"/>
          <w:bCs w:val="0"/>
          <w:color w:val="auto"/>
          <w:szCs w:val="21"/>
          <w:highlight w:val="none"/>
          <w:lang w:val="en-US" w:eastAsia="zh-CN"/>
        </w:rPr>
        <w:t>3</w:t>
      </w:r>
      <w:r>
        <w:rPr>
          <w:rFonts w:hint="eastAsia" w:ascii="宋体" w:hAnsi="宋体" w:cs="宋体"/>
          <w:b w:val="0"/>
          <w:bCs w:val="0"/>
          <w:color w:val="auto"/>
          <w:szCs w:val="21"/>
          <w:highlight w:val="none"/>
        </w:rPr>
        <w:t>.本项目的特定资格要求：</w:t>
      </w:r>
      <w:r>
        <w:rPr>
          <w:rFonts w:hint="eastAsia" w:ascii="宋体" w:hAnsi="宋体" w:cs="宋体"/>
          <w:b w:val="0"/>
          <w:bCs w:val="0"/>
          <w:color w:val="auto"/>
          <w:szCs w:val="21"/>
          <w:highlight w:val="none"/>
          <w:lang w:eastAsia="zh-CN"/>
        </w:rPr>
        <w:t>无</w:t>
      </w:r>
      <w:r>
        <w:rPr>
          <w:rFonts w:hint="eastAsia" w:ascii="宋体" w:hAnsi="宋体" w:cs="宋体"/>
          <w:b/>
          <w:szCs w:val="21"/>
          <w:highlight w:val="none"/>
          <w:lang w:eastAsia="zh-CN"/>
        </w:rPr>
        <w:t>。</w:t>
      </w:r>
    </w:p>
    <w:p w14:paraId="7E51F77C">
      <w:pPr>
        <w:pStyle w:val="22"/>
        <w:rPr>
          <w:rFonts w:ascii="宋体" w:hAnsi="宋体" w:cs="宋体"/>
          <w:b/>
          <w:bCs/>
          <w:color w:val="auto"/>
          <w:sz w:val="20"/>
          <w:szCs w:val="21"/>
          <w:highlight w:val="none"/>
        </w:rPr>
      </w:pPr>
      <w:r>
        <w:rPr>
          <w:rFonts w:hint="eastAsia" w:ascii="宋体" w:hAnsi="宋体" w:eastAsia="宋体" w:cs="宋体"/>
          <w:b/>
          <w:bCs/>
          <w:highlight w:val="none"/>
          <w:lang w:val="en-US" w:eastAsia="zh-CN"/>
        </w:rPr>
        <w:t xml:space="preserve">  </w:t>
      </w:r>
      <w:r>
        <w:rPr>
          <w:rFonts w:hint="eastAsia" w:ascii="宋体" w:hAnsi="宋体" w:cs="宋体"/>
          <w:b/>
          <w:bCs/>
          <w:color w:val="auto"/>
          <w:szCs w:val="21"/>
          <w:highlight w:val="none"/>
        </w:rPr>
        <w:t>三、获取采购文件</w:t>
      </w:r>
      <w:bookmarkEnd w:id="7"/>
      <w:bookmarkEnd w:id="8"/>
      <w:bookmarkEnd w:id="9"/>
      <w:bookmarkEnd w:id="10"/>
      <w:bookmarkStart w:id="11" w:name="_Toc28359092"/>
      <w:bookmarkStart w:id="12" w:name="_Toc35393632"/>
      <w:bookmarkStart w:id="13" w:name="_Toc35393801"/>
      <w:bookmarkStart w:id="14" w:name="_Toc28359015"/>
    </w:p>
    <w:p w14:paraId="3C64D022">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0"/>
          <w:szCs w:val="21"/>
          <w:highlight w:val="none"/>
          <w:lang w:eastAsia="zh-CN"/>
        </w:rPr>
      </w:pPr>
      <w:r>
        <w:rPr>
          <w:rFonts w:hint="eastAsia" w:ascii="宋体" w:hAnsi="宋体" w:cs="宋体"/>
          <w:color w:val="auto"/>
          <w:szCs w:val="21"/>
          <w:highlight w:val="none"/>
        </w:rPr>
        <w:t>时间：公告发布之日起至投标文件递交截止时间前</w:t>
      </w:r>
      <w:r>
        <w:rPr>
          <w:rFonts w:hint="eastAsia" w:ascii="宋体" w:hAnsi="宋体" w:cs="宋体"/>
          <w:color w:val="auto"/>
          <w:szCs w:val="21"/>
          <w:highlight w:val="none"/>
          <w:lang w:eastAsia="zh-CN"/>
        </w:rPr>
        <w:t>线上获取法定节假日均可，线下获取文件法定节假日除外；</w:t>
      </w:r>
    </w:p>
    <w:p w14:paraId="1961C657">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0"/>
          <w:szCs w:val="21"/>
          <w:highlight w:val="none"/>
          <w:u w:val="single"/>
          <w:lang w:eastAsia="zh-CN"/>
        </w:rPr>
      </w:pPr>
      <w:r>
        <w:rPr>
          <w:rFonts w:hint="eastAsia" w:ascii="宋体" w:hAnsi="宋体" w:cs="宋体"/>
          <w:color w:val="auto"/>
          <w:szCs w:val="21"/>
          <w:highlight w:val="none"/>
        </w:rPr>
        <w:t>地点（网址）：政府采购云平台（www.zcygov.cn）</w:t>
      </w:r>
      <w:r>
        <w:rPr>
          <w:rFonts w:hint="eastAsia" w:ascii="宋体" w:hAnsi="宋体" w:cs="宋体"/>
          <w:color w:val="auto"/>
          <w:szCs w:val="21"/>
          <w:highlight w:val="none"/>
          <w:lang w:eastAsia="zh-CN"/>
        </w:rPr>
        <w:t>；</w:t>
      </w:r>
    </w:p>
    <w:p w14:paraId="7CF0AF7A">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u w:val="single"/>
        </w:rPr>
      </w:pPr>
      <w:r>
        <w:rPr>
          <w:rFonts w:hint="eastAsia" w:ascii="宋体" w:hAnsi="宋体" w:cs="宋体"/>
          <w:color w:val="auto"/>
          <w:szCs w:val="21"/>
          <w:highlight w:val="none"/>
        </w:rPr>
        <w:t>方式：网上下载。拟参加本项目采购活动的潜在供应商直接登录“政采云”平台（www.zcygov.cn）或点击浙江政府采购网本项目公告附件“潜在供应商--获取采购文件”链接跳转登录后，在线申请获取采购文件（进入“项目采购”应用，在“获取采购文件”菜单中选择本项目并申请获取采购文件）。仅需浏览采购文件的供应商可点击“游客--浏览采购文件”直接下载采购文件用于浏览。</w:t>
      </w:r>
    </w:p>
    <w:p w14:paraId="4352E480">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售价（元）：0</w:t>
      </w:r>
    </w:p>
    <w:p w14:paraId="2AE5A26B">
      <w:pPr>
        <w:keepNext w:val="0"/>
        <w:keepLines w:val="0"/>
        <w:pageBreakBefore w:val="0"/>
        <w:kinsoku/>
        <w:overflowPunct/>
        <w:topLinePunct w:val="0"/>
        <w:autoSpaceDE/>
        <w:autoSpaceDN/>
        <w:bidi w:val="0"/>
        <w:adjustRightInd/>
        <w:snapToGrid/>
        <w:spacing w:line="440" w:lineRule="exact"/>
        <w:ind w:firstLine="422" w:firstLineChars="200"/>
        <w:textAlignment w:val="baseline"/>
        <w:rPr>
          <w:rFonts w:hint="eastAsia" w:ascii="宋体" w:hAnsi="宋体" w:eastAsia="宋体" w:cs="宋体"/>
          <w:b/>
          <w:bCs/>
          <w:color w:val="auto"/>
          <w:sz w:val="20"/>
          <w:szCs w:val="21"/>
          <w:highlight w:val="none"/>
          <w:lang w:eastAsia="zh-CN"/>
        </w:rPr>
      </w:pPr>
      <w:r>
        <w:rPr>
          <w:rFonts w:hint="eastAsia" w:ascii="宋体" w:hAnsi="宋体" w:cs="宋体"/>
          <w:b/>
          <w:bCs/>
          <w:color w:val="auto"/>
          <w:szCs w:val="21"/>
          <w:highlight w:val="none"/>
        </w:rPr>
        <w:t>四、响应文件提交</w:t>
      </w:r>
      <w:bookmarkEnd w:id="11"/>
      <w:bookmarkEnd w:id="12"/>
      <w:bookmarkEnd w:id="13"/>
      <w:bookmarkEnd w:id="14"/>
      <w:r>
        <w:rPr>
          <w:rFonts w:hint="eastAsia" w:ascii="宋体" w:hAnsi="宋体" w:cs="宋体"/>
          <w:b/>
          <w:bCs/>
          <w:color w:val="auto"/>
          <w:szCs w:val="21"/>
          <w:highlight w:val="none"/>
          <w:lang w:eastAsia="zh-CN"/>
        </w:rPr>
        <w:t>（上传）</w:t>
      </w:r>
    </w:p>
    <w:p w14:paraId="58A7FA30">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b/>
          <w:bCs/>
          <w:color w:val="auto"/>
          <w:sz w:val="20"/>
          <w:szCs w:val="21"/>
          <w:highlight w:val="none"/>
        </w:rPr>
      </w:pPr>
      <w:r>
        <w:rPr>
          <w:rFonts w:hint="eastAsia" w:ascii="宋体" w:hAnsi="宋体" w:cs="宋体"/>
          <w:color w:val="auto"/>
          <w:szCs w:val="21"/>
          <w:highlight w:val="none"/>
        </w:rPr>
        <w:t>投标截止时间：</w:t>
      </w:r>
      <w:r>
        <w:rPr>
          <w:rFonts w:hint="eastAsia" w:ascii="宋体" w:hAnsi="宋体" w:cs="宋体"/>
          <w:b/>
          <w:bCs/>
          <w:color w:val="auto"/>
          <w:szCs w:val="21"/>
          <w:highlight w:val="none"/>
          <w:lang w:eastAsia="zh-CN"/>
        </w:rPr>
        <w:t>202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lang w:eastAsia="zh-CN"/>
        </w:rPr>
        <w:t>年</w:t>
      </w: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月</w:t>
      </w:r>
      <w:r>
        <w:rPr>
          <w:rFonts w:hint="eastAsia" w:ascii="宋体" w:hAnsi="宋体" w:cs="宋体"/>
          <w:b/>
          <w:bCs/>
          <w:color w:val="auto"/>
          <w:szCs w:val="21"/>
          <w:highlight w:val="none"/>
          <w:lang w:val="en-US" w:eastAsia="zh-CN"/>
        </w:rPr>
        <w:t>24</w:t>
      </w:r>
      <w:r>
        <w:rPr>
          <w:rFonts w:hint="eastAsia" w:ascii="宋体" w:hAnsi="宋体" w:cs="宋体"/>
          <w:b/>
          <w:bCs/>
          <w:color w:val="auto"/>
          <w:szCs w:val="21"/>
          <w:highlight w:val="none"/>
        </w:rPr>
        <w:t>日</w:t>
      </w:r>
      <w:r>
        <w:rPr>
          <w:rFonts w:hint="eastAsia" w:ascii="宋体" w:hAnsi="宋体" w:cs="宋体"/>
          <w:b/>
          <w:bCs/>
          <w:color w:val="auto"/>
          <w:szCs w:val="21"/>
          <w:highlight w:val="none"/>
          <w:lang w:val="en-US" w:eastAsia="zh-CN"/>
        </w:rPr>
        <w:t>14</w:t>
      </w:r>
      <w:r>
        <w:rPr>
          <w:rFonts w:hint="eastAsia" w:ascii="宋体" w:hAnsi="宋体" w:cs="宋体"/>
          <w:b/>
          <w:bCs/>
          <w:color w:val="auto"/>
          <w:szCs w:val="21"/>
          <w:highlight w:val="none"/>
        </w:rPr>
        <w:t>时</w:t>
      </w:r>
      <w:r>
        <w:rPr>
          <w:rFonts w:hint="eastAsia" w:ascii="宋体" w:hAnsi="宋体" w:cs="宋体"/>
          <w:b/>
          <w:bCs/>
          <w:color w:val="auto"/>
          <w:szCs w:val="21"/>
          <w:highlight w:val="none"/>
          <w:lang w:val="en-US" w:eastAsia="zh-CN"/>
        </w:rPr>
        <w:t>30</w:t>
      </w:r>
      <w:r>
        <w:rPr>
          <w:rFonts w:hint="eastAsia" w:ascii="宋体" w:hAnsi="宋体" w:cs="宋体"/>
          <w:b/>
          <w:bCs/>
          <w:color w:val="auto"/>
          <w:szCs w:val="21"/>
          <w:highlight w:val="none"/>
        </w:rPr>
        <w:t>分（北京时间）</w:t>
      </w:r>
    </w:p>
    <w:p w14:paraId="7E1690A4">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投标地点：“政府采购云平台（www.zcygov.cn）”在线提交（上传）。</w:t>
      </w:r>
    </w:p>
    <w:p w14:paraId="5BA00D73">
      <w:pPr>
        <w:keepNext w:val="0"/>
        <w:keepLines w:val="0"/>
        <w:pageBreakBefore w:val="0"/>
        <w:kinsoku/>
        <w:overflowPunct/>
        <w:topLinePunct w:val="0"/>
        <w:autoSpaceDE/>
        <w:autoSpaceDN/>
        <w:bidi w:val="0"/>
        <w:adjustRightInd/>
        <w:snapToGrid/>
        <w:spacing w:line="440" w:lineRule="exact"/>
        <w:ind w:firstLine="422" w:firstLineChars="200"/>
        <w:textAlignment w:val="baseline"/>
        <w:rPr>
          <w:rFonts w:ascii="宋体" w:hAnsi="宋体" w:cs="宋体"/>
          <w:b/>
          <w:bCs/>
          <w:color w:val="auto"/>
          <w:sz w:val="20"/>
          <w:szCs w:val="21"/>
          <w:highlight w:val="none"/>
        </w:rPr>
      </w:pPr>
      <w:bookmarkStart w:id="15" w:name="_Toc28359016"/>
      <w:bookmarkStart w:id="16" w:name="_Toc35393802"/>
      <w:bookmarkStart w:id="17" w:name="_Toc28359093"/>
      <w:bookmarkStart w:id="18" w:name="_Toc35393633"/>
      <w:r>
        <w:rPr>
          <w:rFonts w:hint="eastAsia" w:ascii="宋体" w:hAnsi="宋体" w:cs="宋体"/>
          <w:b/>
          <w:bCs/>
          <w:color w:val="auto"/>
          <w:szCs w:val="21"/>
          <w:highlight w:val="none"/>
        </w:rPr>
        <w:t>五、</w:t>
      </w:r>
      <w:bookmarkEnd w:id="15"/>
      <w:bookmarkEnd w:id="16"/>
      <w:bookmarkEnd w:id="17"/>
      <w:bookmarkEnd w:id="18"/>
      <w:r>
        <w:rPr>
          <w:rFonts w:hint="eastAsia" w:ascii="宋体" w:hAnsi="宋体" w:cs="宋体"/>
          <w:b/>
          <w:bCs/>
          <w:color w:val="auto"/>
          <w:szCs w:val="21"/>
          <w:highlight w:val="none"/>
        </w:rPr>
        <w:t>响应文件开启</w:t>
      </w:r>
    </w:p>
    <w:p w14:paraId="13C1BF07">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时间：</w:t>
      </w:r>
      <w:r>
        <w:rPr>
          <w:rFonts w:hint="eastAsia" w:ascii="宋体" w:hAnsi="宋体" w:cs="宋体"/>
          <w:b/>
          <w:bCs/>
          <w:color w:val="auto"/>
          <w:szCs w:val="21"/>
          <w:highlight w:val="none"/>
          <w:lang w:eastAsia="zh-CN"/>
        </w:rPr>
        <w:t>202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lang w:eastAsia="zh-CN"/>
        </w:rPr>
        <w:t>年</w:t>
      </w: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月</w:t>
      </w:r>
      <w:r>
        <w:rPr>
          <w:rFonts w:hint="eastAsia" w:ascii="宋体" w:hAnsi="宋体" w:cs="宋体"/>
          <w:b/>
          <w:bCs/>
          <w:color w:val="auto"/>
          <w:szCs w:val="21"/>
          <w:highlight w:val="none"/>
          <w:lang w:val="en-US" w:eastAsia="zh-CN"/>
        </w:rPr>
        <w:t>24</w:t>
      </w:r>
      <w:r>
        <w:rPr>
          <w:rFonts w:hint="eastAsia" w:ascii="宋体" w:hAnsi="宋体" w:cs="宋体"/>
          <w:b/>
          <w:bCs/>
          <w:color w:val="auto"/>
          <w:szCs w:val="21"/>
          <w:highlight w:val="none"/>
        </w:rPr>
        <w:t>日</w:t>
      </w:r>
      <w:r>
        <w:rPr>
          <w:rFonts w:hint="eastAsia" w:ascii="宋体" w:hAnsi="宋体" w:cs="宋体"/>
          <w:b/>
          <w:bCs/>
          <w:color w:val="auto"/>
          <w:szCs w:val="21"/>
          <w:highlight w:val="none"/>
          <w:lang w:val="en-US" w:eastAsia="zh-CN"/>
        </w:rPr>
        <w:t>14</w:t>
      </w:r>
      <w:r>
        <w:rPr>
          <w:rFonts w:hint="eastAsia" w:ascii="宋体" w:hAnsi="宋体" w:cs="宋体"/>
          <w:b/>
          <w:bCs/>
          <w:color w:val="auto"/>
          <w:szCs w:val="21"/>
          <w:highlight w:val="none"/>
        </w:rPr>
        <w:t>时</w:t>
      </w:r>
      <w:r>
        <w:rPr>
          <w:rFonts w:hint="eastAsia" w:ascii="宋体" w:hAnsi="宋体" w:cs="宋体"/>
          <w:b/>
          <w:bCs/>
          <w:color w:val="auto"/>
          <w:szCs w:val="21"/>
          <w:highlight w:val="none"/>
          <w:lang w:val="en-US" w:eastAsia="zh-CN"/>
        </w:rPr>
        <w:t>30</w:t>
      </w:r>
      <w:r>
        <w:rPr>
          <w:rFonts w:hint="eastAsia" w:ascii="宋体" w:hAnsi="宋体" w:cs="宋体"/>
          <w:b/>
          <w:bCs/>
          <w:color w:val="auto"/>
          <w:szCs w:val="21"/>
          <w:highlight w:val="none"/>
        </w:rPr>
        <w:t>分（北京时间）</w:t>
      </w:r>
      <w:bookmarkStart w:id="101" w:name="_GoBack"/>
      <w:bookmarkEnd w:id="101"/>
    </w:p>
    <w:p w14:paraId="70C06ADA">
      <w:pPr>
        <w:keepNext w:val="0"/>
        <w:keepLines w:val="0"/>
        <w:pageBreakBefore w:val="0"/>
        <w:kinsoku/>
        <w:overflowPunct/>
        <w:topLinePunct w:val="0"/>
        <w:autoSpaceDE/>
        <w:autoSpaceDN/>
        <w:bidi w:val="0"/>
        <w:adjustRightInd/>
        <w:snapToGrid/>
        <w:spacing w:line="440" w:lineRule="exact"/>
        <w:ind w:firstLine="420" w:firstLineChars="200"/>
        <w:rPr>
          <w:rFonts w:ascii="宋体" w:hAnsi="宋体" w:cs="宋体"/>
          <w:color w:val="auto"/>
          <w:sz w:val="20"/>
          <w:szCs w:val="21"/>
          <w:highlight w:val="none"/>
        </w:rPr>
      </w:pPr>
      <w:r>
        <w:rPr>
          <w:rFonts w:hint="eastAsia" w:ascii="宋体" w:hAnsi="宋体" w:cs="宋体"/>
          <w:color w:val="auto"/>
          <w:szCs w:val="21"/>
          <w:highlight w:val="none"/>
        </w:rPr>
        <w:t>地点：</w:t>
      </w:r>
      <w:bookmarkStart w:id="19" w:name="_Toc35393803"/>
      <w:bookmarkStart w:id="20" w:name="_Toc28359094"/>
      <w:bookmarkStart w:id="21" w:name="_Toc35393634"/>
      <w:bookmarkStart w:id="22" w:name="_Toc28359017"/>
      <w:r>
        <w:rPr>
          <w:rFonts w:hint="eastAsia" w:ascii="宋体" w:hAnsi="宋体" w:cs="宋体"/>
          <w:color w:val="auto"/>
          <w:szCs w:val="21"/>
          <w:highlight w:val="none"/>
        </w:rPr>
        <w:t>衢州市公共资源交易常山分中心【常山县紫港路2号常山县行政服务中心东边附属楼2楼】 。同步在“政采云远程开标大厅”在线开标。</w:t>
      </w:r>
    </w:p>
    <w:p w14:paraId="42A77863">
      <w:pPr>
        <w:keepNext w:val="0"/>
        <w:keepLines w:val="0"/>
        <w:pageBreakBefore w:val="0"/>
        <w:kinsoku/>
        <w:overflowPunct/>
        <w:topLinePunct w:val="0"/>
        <w:autoSpaceDE/>
        <w:autoSpaceDN/>
        <w:bidi w:val="0"/>
        <w:adjustRightInd/>
        <w:snapToGrid/>
        <w:spacing w:line="440" w:lineRule="exact"/>
        <w:ind w:firstLine="422" w:firstLineChars="200"/>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六、公告期限</w:t>
      </w:r>
      <w:bookmarkEnd w:id="19"/>
      <w:bookmarkEnd w:id="20"/>
      <w:bookmarkEnd w:id="21"/>
      <w:bookmarkEnd w:id="22"/>
    </w:p>
    <w:p w14:paraId="5149CD2C">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自本公告发布之日起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个工作日。</w:t>
      </w:r>
    </w:p>
    <w:p w14:paraId="0B40C082">
      <w:pPr>
        <w:keepNext w:val="0"/>
        <w:keepLines w:val="0"/>
        <w:pageBreakBefore w:val="0"/>
        <w:kinsoku/>
        <w:overflowPunct/>
        <w:topLinePunct w:val="0"/>
        <w:autoSpaceDE/>
        <w:autoSpaceDN/>
        <w:bidi w:val="0"/>
        <w:adjustRightInd/>
        <w:snapToGrid/>
        <w:spacing w:line="440" w:lineRule="exact"/>
        <w:ind w:firstLine="422" w:firstLineChars="200"/>
        <w:textAlignment w:val="baseline"/>
        <w:rPr>
          <w:rFonts w:ascii="宋体" w:hAnsi="宋体" w:cs="宋体"/>
          <w:b/>
          <w:bCs/>
          <w:color w:val="auto"/>
          <w:sz w:val="20"/>
          <w:szCs w:val="21"/>
          <w:highlight w:val="none"/>
        </w:rPr>
      </w:pPr>
      <w:bookmarkStart w:id="23" w:name="_Toc35393626"/>
      <w:bookmarkStart w:id="24" w:name="_Toc35393795"/>
      <w:bookmarkStart w:id="25" w:name="_Toc35393636"/>
      <w:bookmarkStart w:id="26" w:name="_Toc28359095"/>
      <w:bookmarkStart w:id="27" w:name="_Toc28359018"/>
      <w:bookmarkStart w:id="28" w:name="_Toc35393805"/>
      <w:r>
        <w:rPr>
          <w:rFonts w:hint="eastAsia" w:ascii="宋体" w:hAnsi="宋体" w:cs="宋体"/>
          <w:b/>
          <w:bCs/>
          <w:color w:val="auto"/>
          <w:szCs w:val="21"/>
          <w:highlight w:val="none"/>
        </w:rPr>
        <w:t>七、其他补充事宜</w:t>
      </w:r>
      <w:bookmarkEnd w:id="23"/>
      <w:bookmarkEnd w:id="24"/>
    </w:p>
    <w:p w14:paraId="78850689">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8E5906C">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sz w:val="21"/>
          <w:szCs w:val="21"/>
          <w:highlight w:val="none"/>
          <w:lang w:eastAsia="zh-CN"/>
        </w:rPr>
        <w:t>政务</w:t>
      </w:r>
      <w:r>
        <w:rPr>
          <w:rFonts w:hint="eastAsia" w:ascii="宋体" w:hAnsi="宋体" w:cs="宋体"/>
          <w:color w:val="auto"/>
          <w:sz w:val="21"/>
          <w:szCs w:val="21"/>
          <w:highlight w:val="none"/>
        </w:rPr>
        <w:t>服务网-政府采购投诉处理-在线办理</w:t>
      </w:r>
      <w:r>
        <w:rPr>
          <w:rFonts w:hint="eastAsia" w:ascii="宋体" w:hAnsi="宋体" w:cs="宋体"/>
          <w:color w:val="auto"/>
          <w:sz w:val="21"/>
          <w:szCs w:val="21"/>
          <w:highlight w:val="none"/>
          <w:lang w:eastAsia="zh-CN"/>
        </w:rPr>
        <w:t>。</w:t>
      </w:r>
    </w:p>
    <w:p w14:paraId="4D276EFB">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0482990">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4.其他事项：</w:t>
      </w:r>
    </w:p>
    <w:p w14:paraId="76C6EB3E">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4.1</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应在投标前完成CA数字证书办理。（办理流程详见http://zfcg.czt.zj.gov.cn/bidClientTemplate/2019-05-27/12945.html，或登录“浙江政府采购网-下载专区-电子投标客户端-CA驱动和申领流程”）。完成CA数字证书办理预计一周左右，建议各</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抓紧时间办理。</w:t>
      </w:r>
    </w:p>
    <w:p w14:paraId="0D21E893">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4.2</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通过“政采云电子交易客户端”制作响应文件。（“政采云电子交易客户端”下载详见http://zfcg.czt.zj.gov.cn/bidClientTemplate/2019-09-24/12975.html或登录“ 浙江政府采购网-下载专区- 电子投标客户端- 政采云电子交易客户端”）。</w:t>
      </w:r>
    </w:p>
    <w:p w14:paraId="383A96C0">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4.3电子投标制作具体流程详见政府采购项目电子交易管理操作指南：【请投标供应商点击链接https://service.zcygov.cn/#/knowledges/CW1EtGwBFdiHxlNd6I3m/6IMVAG0BFdiHxlNdQ8Na或登录“政府采购云平台（www.zcygov.cn）”，从首页-服务中心-帮助文档-项目采购-操作流程-电子招投标，查看文档和视频】。供应商在使用系统进行投标的过程中遇到涉及平台使用的任何问题，可致电政府采购云平台技术支持热线咨询，联系方式：400-881-7190。</w:t>
      </w:r>
    </w:p>
    <w:p w14:paraId="015F3DCA">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4.4本项目投标文件的解密、报价文件确认等所使用的CA必须和制作电子加密投标文件时使用的CA为同一个。为确保网上操作合法、有效和安全，投标供应商应当在投标截止时间前完成在“政府采购云平台”的身份认证，确保在电子投标过程中能够对相关数据电文进行加密和使用电子签章。</w:t>
      </w:r>
    </w:p>
    <w:p w14:paraId="66DC1E61">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4.5本项目采用电子投标，供应商代表无需出席开标现场会议。开标时间前供应商登录“政府采购云平台”进入开标大厅等候开标。</w:t>
      </w:r>
    </w:p>
    <w:p w14:paraId="73652117">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5.政采贷：</w:t>
      </w:r>
    </w:p>
    <w:p w14:paraId="0B9EE1DC">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0"/>
          <w:szCs w:val="21"/>
          <w:highlight w:val="none"/>
          <w:lang w:eastAsia="zh-CN"/>
        </w:rPr>
      </w:pPr>
      <w:r>
        <w:rPr>
          <w:rFonts w:hint="eastAsia" w:ascii="宋体" w:hAnsi="宋体" w:cs="宋体"/>
          <w:color w:val="auto"/>
          <w:sz w:val="21"/>
          <w:szCs w:val="21"/>
          <w:highlight w:val="none"/>
        </w:rPr>
        <w:t>本采购项目，中标人与采购单位签订的政府采购合同适用于衢州市常山县政府采购贷款政策，简称“政采贷”，具体内容可参阅《常山县“政采贷”办理指引》</w:t>
      </w:r>
      <w:r>
        <w:rPr>
          <w:rFonts w:hint="eastAsia" w:ascii="宋体" w:hAnsi="宋体" w:cs="宋体"/>
          <w:color w:val="auto"/>
          <w:sz w:val="21"/>
          <w:szCs w:val="21"/>
          <w:highlight w:val="none"/>
          <w:lang w:eastAsia="zh-CN"/>
        </w:rPr>
        <w:t>。</w:t>
      </w:r>
    </w:p>
    <w:p w14:paraId="7DC70334">
      <w:pPr>
        <w:keepNext w:val="0"/>
        <w:keepLines w:val="0"/>
        <w:pageBreakBefore w:val="0"/>
        <w:kinsoku/>
        <w:overflowPunct/>
        <w:topLinePunct w:val="0"/>
        <w:autoSpaceDE/>
        <w:autoSpaceDN/>
        <w:bidi w:val="0"/>
        <w:adjustRightInd/>
        <w:snapToGrid/>
        <w:spacing w:line="440" w:lineRule="exact"/>
        <w:ind w:firstLine="422" w:firstLineChars="200"/>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lang w:eastAsia="zh-CN"/>
        </w:rPr>
        <w:t>八</w:t>
      </w:r>
      <w:r>
        <w:rPr>
          <w:rFonts w:hint="eastAsia" w:ascii="宋体" w:hAnsi="宋体" w:cs="宋体"/>
          <w:b/>
          <w:bCs/>
          <w:color w:val="auto"/>
          <w:szCs w:val="21"/>
          <w:highlight w:val="none"/>
        </w:rPr>
        <w:t>、凡对本次招标提出询问、质疑、投诉，请按以下方式联系。</w:t>
      </w:r>
      <w:bookmarkEnd w:id="25"/>
      <w:bookmarkEnd w:id="26"/>
      <w:bookmarkEnd w:id="27"/>
      <w:bookmarkEnd w:id="28"/>
    </w:p>
    <w:p w14:paraId="08C49F3B">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1.采购人信息</w:t>
      </w:r>
    </w:p>
    <w:p w14:paraId="19FBF92C">
      <w:pPr>
        <w:keepNext w:val="0"/>
        <w:keepLines w:val="0"/>
        <w:pageBreakBefore w:val="0"/>
        <w:widowControl w:val="0"/>
        <w:kinsoku/>
        <w:overflowPunct/>
        <w:topLinePunct w:val="0"/>
        <w:autoSpaceDE/>
        <w:autoSpaceDN/>
        <w:bidi w:val="0"/>
        <w:adjustRightInd/>
        <w:snapToGrid/>
        <w:spacing w:line="440" w:lineRule="exact"/>
        <w:ind w:firstLine="420" w:firstLineChars="200"/>
        <w:jc w:val="both"/>
        <w:textAlignment w:val="baseline"/>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常山县招贤镇人民政府</w:t>
      </w:r>
      <w:r>
        <w:rPr>
          <w:rFonts w:hint="eastAsia" w:ascii="宋体" w:hAnsi="宋体" w:cs="宋体"/>
          <w:color w:val="auto"/>
          <w:szCs w:val="21"/>
          <w:highlight w:val="none"/>
        </w:rPr>
        <w:t xml:space="preserve">          </w:t>
      </w:r>
    </w:p>
    <w:p w14:paraId="2C274B93">
      <w:pPr>
        <w:keepNext w:val="0"/>
        <w:keepLines w:val="0"/>
        <w:pageBreakBefore w:val="0"/>
        <w:kinsoku/>
        <w:overflowPunct/>
        <w:topLinePunct w:val="0"/>
        <w:autoSpaceDE/>
        <w:autoSpaceDN/>
        <w:bidi w:val="0"/>
        <w:adjustRightInd/>
        <w:snapToGrid/>
        <w:spacing w:line="44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联系人</w:t>
      </w:r>
      <w:r>
        <w:rPr>
          <w:rFonts w:hint="eastAsia" w:ascii="宋体" w:hAnsi="宋体" w:cs="宋体"/>
          <w:color w:val="auto"/>
          <w:szCs w:val="21"/>
          <w:highlight w:val="none"/>
          <w:lang w:eastAsia="zh-CN"/>
        </w:rPr>
        <w:t>：胡先生</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电话：18989861210</w:t>
      </w:r>
      <w:r>
        <w:rPr>
          <w:rFonts w:hint="eastAsia" w:ascii="宋体" w:hAnsi="宋体" w:eastAsia="宋体" w:cs="宋体"/>
          <w:color w:val="auto"/>
          <w:szCs w:val="21"/>
          <w:highlight w:val="none"/>
          <w:lang w:val="en-US" w:eastAsia="zh-CN"/>
        </w:rPr>
        <w:t xml:space="preserve">    </w:t>
      </w:r>
    </w:p>
    <w:p w14:paraId="1CB294F2">
      <w:pPr>
        <w:keepNext w:val="0"/>
        <w:keepLines w:val="0"/>
        <w:pageBreakBefore w:val="0"/>
        <w:kinsoku/>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地址：常山县招贤镇人民政府</w:t>
      </w:r>
    </w:p>
    <w:p w14:paraId="1344615F">
      <w:pPr>
        <w:keepNext w:val="0"/>
        <w:keepLines w:val="0"/>
        <w:pageBreakBefore w:val="0"/>
        <w:kinsoku/>
        <w:overflowPunct/>
        <w:topLinePunct w:val="0"/>
        <w:autoSpaceDE/>
        <w:autoSpaceDN/>
        <w:bidi w:val="0"/>
        <w:adjustRightInd/>
        <w:snapToGrid/>
        <w:spacing w:line="440" w:lineRule="exact"/>
        <w:ind w:firstLine="420" w:firstLineChars="200"/>
        <w:textAlignment w:val="auto"/>
        <w:rPr>
          <w:rFonts w:ascii="宋体" w:hAnsi="宋体" w:cs="宋体"/>
          <w:color w:val="auto"/>
          <w:sz w:val="20"/>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2.采购代理机构信息</w:t>
      </w:r>
    </w:p>
    <w:p w14:paraId="1CC28E40">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衢州市开成工程造价咨询事务所有限公司</w:t>
      </w:r>
      <w:r>
        <w:rPr>
          <w:rFonts w:hint="eastAsia" w:ascii="宋体" w:hAnsi="宋体" w:cs="宋体"/>
          <w:color w:val="auto"/>
          <w:szCs w:val="21"/>
          <w:highlight w:val="none"/>
        </w:rPr>
        <w:t>　　　　　　　　</w:t>
      </w:r>
    </w:p>
    <w:p w14:paraId="6C269201">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0"/>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浙江省常山县浙西世贸城15号楼3338号</w:t>
      </w:r>
    </w:p>
    <w:p w14:paraId="6E61CE1D">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孔爱丽</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电话：</w:t>
      </w:r>
      <w:r>
        <w:rPr>
          <w:rFonts w:hint="eastAsia" w:ascii="宋体" w:hAnsi="宋体" w:cs="宋体"/>
          <w:color w:val="auto"/>
          <w:szCs w:val="21"/>
          <w:highlight w:val="none"/>
          <w:lang w:val="en-US" w:eastAsia="zh-CN"/>
        </w:rPr>
        <w:t>13567035102</w:t>
      </w:r>
      <w:r>
        <w:rPr>
          <w:rFonts w:hint="eastAsia" w:ascii="宋体" w:hAnsi="宋体" w:cs="宋体"/>
          <w:color w:val="auto"/>
          <w:szCs w:val="21"/>
          <w:highlight w:val="none"/>
        </w:rPr>
        <w:t> </w:t>
      </w:r>
    </w:p>
    <w:p w14:paraId="56FEB7D7">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lang w:eastAsia="zh-CN"/>
        </w:rPr>
        <w:t>质疑人：王俊</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电话：</w:t>
      </w:r>
      <w:r>
        <w:rPr>
          <w:rFonts w:hint="eastAsia" w:ascii="宋体" w:hAnsi="宋体" w:cs="宋体"/>
          <w:color w:val="auto"/>
          <w:szCs w:val="21"/>
          <w:highlight w:val="none"/>
          <w:lang w:val="en-US" w:eastAsia="zh-CN"/>
        </w:rPr>
        <w:t>0570-5021909</w:t>
      </w:r>
      <w:r>
        <w:rPr>
          <w:rFonts w:hint="eastAsia" w:ascii="宋体" w:hAnsi="宋体" w:cs="宋体"/>
          <w:color w:val="auto"/>
          <w:szCs w:val="21"/>
          <w:highlight w:val="none"/>
        </w:rPr>
        <w:t xml:space="preserve"> 　　　　　　　　　　　</w:t>
      </w:r>
    </w:p>
    <w:p w14:paraId="7E221EB6">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3.同级政府采购监管部门：</w:t>
      </w:r>
    </w:p>
    <w:p w14:paraId="72D1A4BB">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名称：常山县财政局政府采购监管科</w:t>
      </w:r>
    </w:p>
    <w:p w14:paraId="6C984335">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地址：常山县天马街道定阳北路415号</w:t>
      </w:r>
    </w:p>
    <w:p w14:paraId="3DA3E1C0">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联系人：李</w:t>
      </w:r>
      <w:r>
        <w:rPr>
          <w:rFonts w:hint="eastAsia" w:ascii="宋体" w:hAnsi="宋体" w:cs="宋体"/>
          <w:color w:val="auto"/>
          <w:szCs w:val="21"/>
          <w:highlight w:val="none"/>
          <w:lang w:val="en-US" w:eastAsia="zh-CN"/>
        </w:rPr>
        <w:t xml:space="preserve">科长   </w:t>
      </w:r>
      <w:r>
        <w:rPr>
          <w:rFonts w:hint="eastAsia" w:ascii="宋体" w:hAnsi="宋体" w:cs="宋体"/>
          <w:color w:val="auto"/>
          <w:szCs w:val="21"/>
          <w:highlight w:val="none"/>
        </w:rPr>
        <w:t>监督投诉电话：0570-5015373</w:t>
      </w:r>
      <w:bookmarkStart w:id="29" w:name="_Toc8258"/>
      <w:bookmarkStart w:id="30" w:name="_Toc421834140"/>
    </w:p>
    <w:p w14:paraId="4A337564">
      <w:pPr>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p>
    <w:p w14:paraId="2134CE9E">
      <w:pPr>
        <w:spacing w:after="156" w:line="360" w:lineRule="auto"/>
        <w:jc w:val="center"/>
        <w:textAlignment w:val="baseline"/>
        <w:outlineLvl w:val="0"/>
        <w:rPr>
          <w:rFonts w:ascii="宋体" w:hAnsi="宋体" w:cs="宋体"/>
          <w:b/>
          <w:bCs/>
          <w:color w:val="auto"/>
          <w:sz w:val="30"/>
          <w:szCs w:val="30"/>
          <w:highlight w:val="none"/>
        </w:rPr>
      </w:pPr>
      <w:bookmarkStart w:id="31" w:name="_Toc16791"/>
      <w:r>
        <w:rPr>
          <w:rFonts w:hint="eastAsia" w:ascii="宋体" w:hAnsi="宋体" w:cs="宋体"/>
          <w:b/>
          <w:bCs/>
          <w:color w:val="auto"/>
          <w:sz w:val="30"/>
          <w:szCs w:val="30"/>
          <w:highlight w:val="none"/>
        </w:rPr>
        <w:t>第二章  磋商供应商须知</w:t>
      </w:r>
      <w:bookmarkEnd w:id="29"/>
      <w:bookmarkEnd w:id="30"/>
      <w:bookmarkEnd w:id="31"/>
    </w:p>
    <w:p w14:paraId="10DEF3E3">
      <w:pPr>
        <w:spacing w:before="156" w:after="312" w:afterAutospacing="1" w:line="360" w:lineRule="auto"/>
        <w:jc w:val="center"/>
        <w:textAlignment w:val="baseline"/>
        <w:rPr>
          <w:rFonts w:ascii="宋体" w:hAnsi="宋体" w:cs="宋体"/>
          <w:color w:val="auto"/>
          <w:sz w:val="24"/>
          <w:szCs w:val="24"/>
          <w:highlight w:val="none"/>
        </w:rPr>
      </w:pPr>
      <w:bookmarkStart w:id="32" w:name="_Toc8417"/>
      <w:bookmarkStart w:id="33" w:name="_Toc421834141"/>
      <w:bookmarkStart w:id="34" w:name="_Toc469273548"/>
      <w:bookmarkStart w:id="35" w:name="_Toc469694892"/>
      <w:r>
        <w:rPr>
          <w:rFonts w:hint="eastAsia" w:ascii="宋体" w:hAnsi="宋体" w:cs="宋体"/>
          <w:color w:val="auto"/>
          <w:sz w:val="24"/>
          <w:szCs w:val="24"/>
          <w:highlight w:val="none"/>
        </w:rPr>
        <w:t>磋商供应商须知前附表</w:t>
      </w:r>
      <w:bookmarkEnd w:id="32"/>
      <w:bookmarkEnd w:id="33"/>
      <w:bookmarkEnd w:id="34"/>
      <w:bookmarkEnd w:id="35"/>
    </w:p>
    <w:tbl>
      <w:tblPr>
        <w:tblStyle w:val="31"/>
        <w:tblW w:w="10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708"/>
        <w:gridCol w:w="7092"/>
      </w:tblGrid>
      <w:tr w14:paraId="72E0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99" w:type="dxa"/>
            <w:vAlign w:val="center"/>
          </w:tcPr>
          <w:p w14:paraId="6B018680">
            <w:pPr>
              <w:spacing w:line="360" w:lineRule="exact"/>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序号</w:t>
            </w:r>
          </w:p>
        </w:tc>
        <w:tc>
          <w:tcPr>
            <w:tcW w:w="2708" w:type="dxa"/>
            <w:vAlign w:val="center"/>
          </w:tcPr>
          <w:p w14:paraId="32C8696B">
            <w:pPr>
              <w:spacing w:line="360" w:lineRule="exact"/>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条款名称</w:t>
            </w:r>
          </w:p>
        </w:tc>
        <w:tc>
          <w:tcPr>
            <w:tcW w:w="7092" w:type="dxa"/>
            <w:vAlign w:val="center"/>
          </w:tcPr>
          <w:p w14:paraId="4D0B445F">
            <w:pPr>
              <w:spacing w:line="360" w:lineRule="exact"/>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编列内容</w:t>
            </w:r>
          </w:p>
        </w:tc>
      </w:tr>
      <w:tr w14:paraId="1F27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10FA596A">
            <w:pPr>
              <w:numPr>
                <w:ilvl w:val="0"/>
                <w:numId w:val="6"/>
              </w:numPr>
              <w:spacing w:line="360" w:lineRule="exact"/>
              <w:jc w:val="center"/>
              <w:textAlignment w:val="baseline"/>
              <w:rPr>
                <w:rFonts w:ascii="宋体" w:hAnsi="宋体" w:cs="宋体"/>
                <w:color w:val="auto"/>
                <w:sz w:val="20"/>
                <w:szCs w:val="21"/>
                <w:highlight w:val="none"/>
              </w:rPr>
            </w:pPr>
          </w:p>
        </w:tc>
        <w:tc>
          <w:tcPr>
            <w:tcW w:w="2708" w:type="dxa"/>
            <w:vAlign w:val="center"/>
          </w:tcPr>
          <w:p w14:paraId="5E1F9E33">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采购人</w:t>
            </w:r>
          </w:p>
        </w:tc>
        <w:tc>
          <w:tcPr>
            <w:tcW w:w="7092" w:type="dxa"/>
            <w:vAlign w:val="center"/>
          </w:tcPr>
          <w:p w14:paraId="5ECCD72F">
            <w:pPr>
              <w:widowControl w:val="0"/>
              <w:spacing w:line="360" w:lineRule="exact"/>
              <w:jc w:val="both"/>
              <w:textAlignment w:val="baseline"/>
              <w:rPr>
                <w:rFonts w:ascii="宋体" w:hAnsi="宋体" w:cs="宋体"/>
                <w:color w:val="auto"/>
                <w:sz w:val="20"/>
                <w:szCs w:val="21"/>
                <w:highlight w:val="none"/>
              </w:rPr>
            </w:pPr>
            <w:r>
              <w:rPr>
                <w:rFonts w:hint="eastAsia" w:ascii="宋体" w:hAnsi="宋体" w:cs="宋体"/>
                <w:bCs/>
                <w:color w:val="auto"/>
                <w:szCs w:val="21"/>
                <w:highlight w:val="none"/>
                <w:lang w:eastAsia="zh-CN"/>
              </w:rPr>
              <w:t>常山县招贤镇人民政府</w:t>
            </w:r>
            <w:r>
              <w:rPr>
                <w:rFonts w:hint="eastAsia" w:ascii="宋体" w:hAnsi="宋体" w:cs="宋体"/>
                <w:bCs/>
                <w:color w:val="auto"/>
                <w:szCs w:val="21"/>
                <w:highlight w:val="none"/>
              </w:rPr>
              <w:t>　　</w:t>
            </w:r>
          </w:p>
        </w:tc>
      </w:tr>
      <w:tr w14:paraId="4032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094F1833">
            <w:pPr>
              <w:numPr>
                <w:ilvl w:val="0"/>
                <w:numId w:val="6"/>
              </w:numPr>
              <w:spacing w:line="360" w:lineRule="exact"/>
              <w:jc w:val="center"/>
              <w:textAlignment w:val="baseline"/>
              <w:rPr>
                <w:rFonts w:ascii="宋体" w:hAnsi="宋体" w:cs="宋体"/>
                <w:color w:val="auto"/>
                <w:sz w:val="20"/>
                <w:szCs w:val="21"/>
                <w:highlight w:val="none"/>
              </w:rPr>
            </w:pPr>
          </w:p>
        </w:tc>
        <w:tc>
          <w:tcPr>
            <w:tcW w:w="2708" w:type="dxa"/>
            <w:vAlign w:val="center"/>
          </w:tcPr>
          <w:p w14:paraId="0BB22E97">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项目名称</w:t>
            </w:r>
          </w:p>
        </w:tc>
        <w:tc>
          <w:tcPr>
            <w:tcW w:w="7092" w:type="dxa"/>
            <w:vAlign w:val="center"/>
          </w:tcPr>
          <w:p w14:paraId="12EF8562">
            <w:pPr>
              <w:spacing w:line="360" w:lineRule="exact"/>
              <w:textAlignment w:val="baseline"/>
              <w:rPr>
                <w:rFonts w:hint="eastAsia" w:ascii="宋体" w:hAnsi="宋体" w:eastAsia="宋体" w:cs="宋体"/>
                <w:bCs/>
                <w:color w:val="auto"/>
                <w:sz w:val="20"/>
                <w:szCs w:val="21"/>
                <w:highlight w:val="none"/>
                <w:lang w:eastAsia="zh-CN"/>
              </w:rPr>
            </w:pPr>
            <w:r>
              <w:rPr>
                <w:rFonts w:hint="eastAsia" w:ascii="宋体" w:hAnsi="宋体" w:cs="宋体"/>
                <w:color w:val="auto"/>
                <w:szCs w:val="21"/>
                <w:highlight w:val="none"/>
                <w:lang w:eastAsia="zh-CN"/>
              </w:rPr>
              <w:t>常山县招贤镇2024-2025年松材线虫病枯死松树第二轮清理</w:t>
            </w:r>
          </w:p>
        </w:tc>
      </w:tr>
      <w:tr w14:paraId="0824C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0C3DEC6B">
            <w:pPr>
              <w:numPr>
                <w:ilvl w:val="0"/>
                <w:numId w:val="6"/>
              </w:numPr>
              <w:spacing w:line="360" w:lineRule="exact"/>
              <w:jc w:val="center"/>
              <w:textAlignment w:val="baseline"/>
              <w:rPr>
                <w:rFonts w:ascii="宋体" w:hAnsi="宋体" w:cs="宋体"/>
                <w:color w:val="auto"/>
                <w:sz w:val="20"/>
                <w:szCs w:val="21"/>
                <w:highlight w:val="none"/>
              </w:rPr>
            </w:pPr>
          </w:p>
        </w:tc>
        <w:tc>
          <w:tcPr>
            <w:tcW w:w="2708" w:type="dxa"/>
            <w:vAlign w:val="center"/>
          </w:tcPr>
          <w:p w14:paraId="0D05FB07">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投标有效期</w:t>
            </w:r>
          </w:p>
        </w:tc>
        <w:tc>
          <w:tcPr>
            <w:tcW w:w="7092" w:type="dxa"/>
            <w:vAlign w:val="center"/>
          </w:tcPr>
          <w:p w14:paraId="0C40ACC2">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90日历天（从投标截止之日起算）</w:t>
            </w:r>
          </w:p>
        </w:tc>
      </w:tr>
      <w:tr w14:paraId="5ED9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99" w:type="dxa"/>
            <w:vAlign w:val="center"/>
          </w:tcPr>
          <w:p w14:paraId="522E6C14">
            <w:pPr>
              <w:numPr>
                <w:ilvl w:val="0"/>
                <w:numId w:val="6"/>
              </w:numPr>
              <w:spacing w:line="360" w:lineRule="exact"/>
              <w:jc w:val="center"/>
              <w:textAlignment w:val="baseline"/>
              <w:rPr>
                <w:rFonts w:ascii="宋体" w:hAnsi="宋体" w:cs="宋体"/>
                <w:color w:val="auto"/>
                <w:sz w:val="20"/>
                <w:szCs w:val="21"/>
                <w:highlight w:val="none"/>
              </w:rPr>
            </w:pPr>
          </w:p>
        </w:tc>
        <w:tc>
          <w:tcPr>
            <w:tcW w:w="2708" w:type="dxa"/>
            <w:vAlign w:val="center"/>
          </w:tcPr>
          <w:p w14:paraId="163D48A3">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供应商要求澄清磋商文件的截止时间及方式</w:t>
            </w:r>
          </w:p>
        </w:tc>
        <w:tc>
          <w:tcPr>
            <w:tcW w:w="7092" w:type="dxa"/>
            <w:vAlign w:val="center"/>
          </w:tcPr>
          <w:p w14:paraId="5D0CD8CF">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在提交首次响应文件截止时间五日前，供应商将要求澄清的问题以书面形式加盖公章后</w:t>
            </w:r>
            <w:r>
              <w:rPr>
                <w:rFonts w:hint="eastAsia" w:ascii="宋体" w:hAnsi="宋体" w:cs="宋体"/>
                <w:color w:val="auto"/>
                <w:highlight w:val="none"/>
              </w:rPr>
              <w:t>，信函、传真或者直接送达方式至代理机构，</w:t>
            </w:r>
            <w:r>
              <w:rPr>
                <w:rFonts w:hint="eastAsia" w:ascii="宋体" w:hAnsi="宋体" w:cs="宋体"/>
                <w:color w:val="auto"/>
                <w:szCs w:val="21"/>
                <w:highlight w:val="none"/>
              </w:rPr>
              <w:t>其他形式无效。</w:t>
            </w:r>
          </w:p>
        </w:tc>
      </w:tr>
      <w:tr w14:paraId="0C3C4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99" w:type="dxa"/>
            <w:vAlign w:val="center"/>
          </w:tcPr>
          <w:p w14:paraId="21858E26">
            <w:pPr>
              <w:numPr>
                <w:ilvl w:val="0"/>
                <w:numId w:val="6"/>
              </w:numPr>
              <w:spacing w:line="360" w:lineRule="exact"/>
              <w:jc w:val="center"/>
              <w:textAlignment w:val="baseline"/>
              <w:rPr>
                <w:rFonts w:ascii="宋体" w:hAnsi="宋体" w:cs="宋体"/>
                <w:color w:val="auto"/>
                <w:sz w:val="20"/>
                <w:szCs w:val="21"/>
                <w:highlight w:val="none"/>
              </w:rPr>
            </w:pPr>
          </w:p>
        </w:tc>
        <w:tc>
          <w:tcPr>
            <w:tcW w:w="2708" w:type="dxa"/>
            <w:vAlign w:val="center"/>
          </w:tcPr>
          <w:p w14:paraId="0B5AF2FF">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采购人书面澄清、修改的时间</w:t>
            </w:r>
          </w:p>
        </w:tc>
        <w:tc>
          <w:tcPr>
            <w:tcW w:w="7092" w:type="dxa"/>
            <w:vAlign w:val="center"/>
          </w:tcPr>
          <w:p w14:paraId="3F37AC8B">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提交首次响应文件截止时间5日前。</w:t>
            </w:r>
          </w:p>
        </w:tc>
      </w:tr>
      <w:tr w14:paraId="148B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99" w:type="dxa"/>
            <w:vAlign w:val="center"/>
          </w:tcPr>
          <w:p w14:paraId="34065E6E">
            <w:pPr>
              <w:numPr>
                <w:ilvl w:val="0"/>
                <w:numId w:val="6"/>
              </w:numPr>
              <w:spacing w:line="360" w:lineRule="exact"/>
              <w:jc w:val="center"/>
              <w:textAlignment w:val="baseline"/>
              <w:rPr>
                <w:rFonts w:ascii="宋体" w:hAnsi="宋体" w:cs="宋体"/>
                <w:color w:val="auto"/>
                <w:sz w:val="20"/>
                <w:szCs w:val="21"/>
                <w:highlight w:val="none"/>
              </w:rPr>
            </w:pPr>
          </w:p>
        </w:tc>
        <w:tc>
          <w:tcPr>
            <w:tcW w:w="2708" w:type="dxa"/>
            <w:vAlign w:val="center"/>
          </w:tcPr>
          <w:p w14:paraId="0500C6D0">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供应商确认收到磋商文件澄清、补充、修改的时间</w:t>
            </w:r>
          </w:p>
        </w:tc>
        <w:tc>
          <w:tcPr>
            <w:tcW w:w="7092" w:type="dxa"/>
            <w:vAlign w:val="center"/>
          </w:tcPr>
          <w:p w14:paraId="07319CAB">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发出澄清、修改、补充公告后</w:t>
            </w:r>
            <w:r>
              <w:rPr>
                <w:rFonts w:hint="eastAsia" w:ascii="宋体" w:hAnsi="宋体" w:cs="宋体"/>
                <w:color w:val="auto"/>
                <w:szCs w:val="21"/>
                <w:highlight w:val="none"/>
                <w:u w:val="single" w:color="000000"/>
              </w:rPr>
              <w:t xml:space="preserve">  24  </w:t>
            </w:r>
            <w:r>
              <w:rPr>
                <w:rFonts w:hint="eastAsia" w:ascii="宋体" w:hAnsi="宋体" w:cs="宋体"/>
                <w:color w:val="auto"/>
                <w:szCs w:val="21"/>
                <w:highlight w:val="none"/>
              </w:rPr>
              <w:t>小时内。</w:t>
            </w:r>
          </w:p>
        </w:tc>
      </w:tr>
      <w:tr w14:paraId="402D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44694518">
            <w:pPr>
              <w:numPr>
                <w:ilvl w:val="0"/>
                <w:numId w:val="6"/>
              </w:numPr>
              <w:spacing w:line="360" w:lineRule="exact"/>
              <w:jc w:val="center"/>
              <w:textAlignment w:val="baseline"/>
              <w:rPr>
                <w:rFonts w:ascii="宋体" w:hAnsi="宋体" w:cs="宋体"/>
                <w:color w:val="auto"/>
                <w:sz w:val="20"/>
                <w:szCs w:val="21"/>
                <w:highlight w:val="none"/>
              </w:rPr>
            </w:pPr>
          </w:p>
        </w:tc>
        <w:tc>
          <w:tcPr>
            <w:tcW w:w="2708" w:type="dxa"/>
            <w:vAlign w:val="center"/>
          </w:tcPr>
          <w:p w14:paraId="25A1C9ED">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提交首次响应文件截止时间</w:t>
            </w:r>
          </w:p>
        </w:tc>
        <w:tc>
          <w:tcPr>
            <w:tcW w:w="7092" w:type="dxa"/>
            <w:vAlign w:val="center"/>
          </w:tcPr>
          <w:p w14:paraId="40B2C734">
            <w:pPr>
              <w:spacing w:line="360" w:lineRule="exact"/>
              <w:textAlignment w:val="baseline"/>
              <w:rPr>
                <w:rFonts w:hint="eastAsia" w:ascii="宋体" w:hAnsi="宋体" w:eastAsia="宋体" w:cs="宋体"/>
                <w:color w:val="auto"/>
                <w:sz w:val="20"/>
                <w:highlight w:val="none"/>
                <w:lang w:eastAsia="zh-CN"/>
              </w:rPr>
            </w:pPr>
            <w:r>
              <w:rPr>
                <w:rFonts w:hint="eastAsia" w:ascii="宋体" w:hAnsi="宋体" w:cs="宋体"/>
                <w:b/>
                <w:bCs/>
                <w:color w:val="auto"/>
                <w:szCs w:val="21"/>
                <w:highlight w:val="none"/>
                <w:lang w:eastAsia="zh-CN"/>
              </w:rPr>
              <w:t>详见磋商公告</w:t>
            </w:r>
          </w:p>
        </w:tc>
      </w:tr>
      <w:tr w14:paraId="7BA7A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99" w:type="dxa"/>
            <w:vAlign w:val="center"/>
          </w:tcPr>
          <w:p w14:paraId="48504EBA">
            <w:pPr>
              <w:numPr>
                <w:ilvl w:val="0"/>
                <w:numId w:val="6"/>
              </w:numPr>
              <w:spacing w:line="360" w:lineRule="exact"/>
              <w:jc w:val="center"/>
              <w:textAlignment w:val="baseline"/>
              <w:rPr>
                <w:rFonts w:ascii="宋体" w:hAnsi="宋体" w:cs="宋体"/>
                <w:color w:val="auto"/>
                <w:sz w:val="20"/>
                <w:szCs w:val="21"/>
                <w:highlight w:val="none"/>
              </w:rPr>
            </w:pPr>
          </w:p>
        </w:tc>
        <w:tc>
          <w:tcPr>
            <w:tcW w:w="2708" w:type="dxa"/>
            <w:vAlign w:val="center"/>
          </w:tcPr>
          <w:p w14:paraId="6222D43B">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报价的次数</w:t>
            </w:r>
          </w:p>
        </w:tc>
        <w:tc>
          <w:tcPr>
            <w:tcW w:w="7092" w:type="dxa"/>
            <w:vAlign w:val="center"/>
          </w:tcPr>
          <w:p w14:paraId="1BF7EF44">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2 次。</w:t>
            </w:r>
          </w:p>
        </w:tc>
      </w:tr>
      <w:tr w14:paraId="17165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336C8572">
            <w:pPr>
              <w:numPr>
                <w:ilvl w:val="0"/>
                <w:numId w:val="6"/>
              </w:numPr>
              <w:spacing w:line="360" w:lineRule="exact"/>
              <w:jc w:val="center"/>
              <w:textAlignment w:val="baseline"/>
              <w:rPr>
                <w:rFonts w:ascii="宋体" w:hAnsi="宋体" w:cs="宋体"/>
                <w:color w:val="auto"/>
                <w:sz w:val="20"/>
                <w:szCs w:val="21"/>
                <w:highlight w:val="none"/>
              </w:rPr>
            </w:pPr>
          </w:p>
        </w:tc>
        <w:tc>
          <w:tcPr>
            <w:tcW w:w="2708" w:type="dxa"/>
            <w:vAlign w:val="center"/>
          </w:tcPr>
          <w:p w14:paraId="6A6315BB">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磋商保证金</w:t>
            </w:r>
          </w:p>
        </w:tc>
        <w:tc>
          <w:tcPr>
            <w:tcW w:w="7092" w:type="dxa"/>
            <w:vAlign w:val="center"/>
          </w:tcPr>
          <w:p w14:paraId="12FB0FB9">
            <w:pPr>
              <w:spacing w:line="360" w:lineRule="exact"/>
              <w:textAlignment w:val="baseline"/>
              <w:rPr>
                <w:rFonts w:ascii="宋体" w:hAnsi="宋体" w:cs="宋体"/>
                <w:color w:val="auto"/>
                <w:sz w:val="20"/>
                <w:szCs w:val="21"/>
                <w:highlight w:val="none"/>
                <w:lang w:val="zh-CN"/>
              </w:rPr>
            </w:pPr>
            <w:r>
              <w:rPr>
                <w:rFonts w:hint="eastAsia" w:ascii="宋体" w:hAnsi="宋体" w:cs="宋体"/>
                <w:color w:val="auto"/>
                <w:szCs w:val="21"/>
                <w:highlight w:val="none"/>
                <w:lang w:val="zh-CN"/>
              </w:rPr>
              <w:t>详见磋商公告。</w:t>
            </w:r>
          </w:p>
        </w:tc>
      </w:tr>
      <w:tr w14:paraId="12CC8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58F60C81">
            <w:pPr>
              <w:numPr>
                <w:ilvl w:val="0"/>
                <w:numId w:val="6"/>
              </w:numPr>
              <w:spacing w:line="360" w:lineRule="exact"/>
              <w:jc w:val="center"/>
              <w:textAlignment w:val="baseline"/>
              <w:rPr>
                <w:rFonts w:ascii="宋体" w:hAnsi="宋体" w:cs="宋体"/>
                <w:color w:val="auto"/>
                <w:sz w:val="20"/>
                <w:szCs w:val="21"/>
                <w:highlight w:val="none"/>
              </w:rPr>
            </w:pPr>
          </w:p>
        </w:tc>
        <w:tc>
          <w:tcPr>
            <w:tcW w:w="2708" w:type="dxa"/>
            <w:vAlign w:val="center"/>
          </w:tcPr>
          <w:p w14:paraId="627A5C88">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是否允许提交备选响应方案</w:t>
            </w:r>
          </w:p>
        </w:tc>
        <w:tc>
          <w:tcPr>
            <w:tcW w:w="7092" w:type="dxa"/>
            <w:vAlign w:val="center"/>
          </w:tcPr>
          <w:p w14:paraId="16A95413">
            <w:pPr>
              <w:spacing w:line="36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不允许。</w:t>
            </w:r>
          </w:p>
        </w:tc>
      </w:tr>
      <w:tr w14:paraId="715B7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99" w:type="dxa"/>
            <w:vAlign w:val="center"/>
          </w:tcPr>
          <w:p w14:paraId="6B58AB4B">
            <w:pPr>
              <w:numPr>
                <w:ilvl w:val="0"/>
                <w:numId w:val="6"/>
              </w:numPr>
              <w:spacing w:line="360" w:lineRule="exact"/>
              <w:jc w:val="center"/>
              <w:textAlignment w:val="baseline"/>
              <w:rPr>
                <w:rFonts w:ascii="宋体" w:hAnsi="宋体" w:cs="宋体"/>
                <w:color w:val="auto"/>
                <w:sz w:val="20"/>
                <w:szCs w:val="21"/>
                <w:highlight w:val="none"/>
              </w:rPr>
            </w:pPr>
          </w:p>
        </w:tc>
        <w:tc>
          <w:tcPr>
            <w:tcW w:w="2708" w:type="dxa"/>
            <w:vAlign w:val="center"/>
          </w:tcPr>
          <w:p w14:paraId="15787A98">
            <w:pPr>
              <w:spacing w:line="360" w:lineRule="exact"/>
              <w:textAlignment w:val="baseline"/>
              <w:rPr>
                <w:rFonts w:ascii="宋体" w:hAnsi="宋体" w:cs="宋体"/>
                <w:color w:val="auto"/>
                <w:sz w:val="20"/>
                <w:szCs w:val="21"/>
                <w:highlight w:val="none"/>
              </w:rPr>
            </w:pPr>
            <w:r>
              <w:rPr>
                <w:rFonts w:hint="eastAsia" w:ascii="宋体" w:hAnsi="宋体" w:cs="宋体"/>
                <w:bCs/>
                <w:color w:val="auto"/>
                <w:kern w:val="0"/>
                <w:szCs w:val="21"/>
                <w:highlight w:val="none"/>
                <w:lang w:val="zh-CN"/>
              </w:rPr>
              <w:t>磋商小组的组建</w:t>
            </w:r>
          </w:p>
        </w:tc>
        <w:tc>
          <w:tcPr>
            <w:tcW w:w="7092" w:type="dxa"/>
            <w:vAlign w:val="center"/>
          </w:tcPr>
          <w:p w14:paraId="38090942">
            <w:pPr>
              <w:spacing w:line="360" w:lineRule="exact"/>
              <w:textAlignment w:val="baseline"/>
              <w:rPr>
                <w:rFonts w:ascii="宋体" w:hAnsi="宋体" w:cs="宋体"/>
                <w:bCs/>
                <w:color w:val="auto"/>
                <w:kern w:val="0"/>
                <w:sz w:val="20"/>
                <w:szCs w:val="21"/>
                <w:highlight w:val="none"/>
              </w:rPr>
            </w:pPr>
            <w:r>
              <w:rPr>
                <w:rFonts w:hint="eastAsia" w:ascii="宋体" w:hAnsi="宋体" w:cs="宋体"/>
                <w:bCs/>
                <w:color w:val="auto"/>
                <w:kern w:val="0"/>
                <w:szCs w:val="21"/>
                <w:highlight w:val="none"/>
              </w:rPr>
              <w:t>按规定组建磋商小组。</w:t>
            </w:r>
          </w:p>
          <w:p w14:paraId="354FC98F">
            <w:pPr>
              <w:snapToGrid w:val="0"/>
              <w:spacing w:line="360" w:lineRule="exact"/>
              <w:textAlignment w:val="baseline"/>
              <w:rPr>
                <w:rFonts w:ascii="宋体" w:hAnsi="宋体" w:cs="宋体"/>
                <w:color w:val="auto"/>
                <w:sz w:val="20"/>
                <w:szCs w:val="21"/>
                <w:highlight w:val="none"/>
              </w:rPr>
            </w:pPr>
            <w:r>
              <w:rPr>
                <w:rFonts w:hint="eastAsia" w:ascii="宋体" w:hAnsi="宋体" w:cs="宋体"/>
                <w:bCs/>
                <w:color w:val="auto"/>
                <w:kern w:val="0"/>
                <w:szCs w:val="21"/>
                <w:highlight w:val="none"/>
              </w:rPr>
              <w:t>评标专家确定方式：</w:t>
            </w:r>
            <w:r>
              <w:rPr>
                <w:rFonts w:hint="eastAsia" w:ascii="宋体" w:hAnsi="宋体" w:cs="宋体"/>
                <w:color w:val="auto"/>
                <w:highlight w:val="none"/>
              </w:rPr>
              <w:t>共3人</w:t>
            </w:r>
            <w:r>
              <w:rPr>
                <w:rFonts w:hint="eastAsia" w:ascii="宋体" w:hAnsi="宋体" w:cs="宋体"/>
                <w:color w:val="auto"/>
                <w:highlight w:val="none"/>
                <w:lang w:eastAsia="zh-CN"/>
              </w:rPr>
              <w:t>，</w:t>
            </w:r>
            <w:r>
              <w:rPr>
                <w:rFonts w:hint="eastAsia" w:ascii="宋体" w:hAnsi="宋体" w:cs="宋体"/>
                <w:bCs/>
                <w:color w:val="auto"/>
                <w:kern w:val="0"/>
                <w:szCs w:val="21"/>
                <w:highlight w:val="none"/>
              </w:rPr>
              <w:t>由</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名有关经济、技术专家</w:t>
            </w:r>
            <w:r>
              <w:rPr>
                <w:rFonts w:hint="eastAsia" w:ascii="宋体" w:hAnsi="宋体" w:cs="宋体"/>
                <w:bCs/>
                <w:color w:val="auto"/>
                <w:kern w:val="0"/>
                <w:szCs w:val="21"/>
                <w:highlight w:val="none"/>
                <w:lang w:val="en-US" w:eastAsia="zh-CN"/>
              </w:rPr>
              <w:t>和采购人代表1人</w:t>
            </w:r>
            <w:r>
              <w:rPr>
                <w:rFonts w:hint="eastAsia" w:ascii="宋体" w:hAnsi="宋体" w:cs="宋体"/>
                <w:bCs/>
                <w:color w:val="auto"/>
                <w:kern w:val="0"/>
                <w:szCs w:val="21"/>
                <w:highlight w:val="none"/>
              </w:rPr>
              <w:t>组成。</w:t>
            </w:r>
          </w:p>
        </w:tc>
      </w:tr>
      <w:tr w14:paraId="1D81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3" w:hRule="atLeast"/>
          <w:jc w:val="center"/>
        </w:trPr>
        <w:tc>
          <w:tcPr>
            <w:tcW w:w="699" w:type="dxa"/>
            <w:vAlign w:val="center"/>
          </w:tcPr>
          <w:p w14:paraId="658038D9">
            <w:pPr>
              <w:numPr>
                <w:ilvl w:val="0"/>
                <w:numId w:val="6"/>
              </w:numPr>
              <w:spacing w:line="360" w:lineRule="exact"/>
              <w:jc w:val="center"/>
              <w:textAlignment w:val="baseline"/>
              <w:rPr>
                <w:rFonts w:ascii="宋体" w:hAnsi="宋体" w:cs="宋体"/>
                <w:color w:val="auto"/>
                <w:sz w:val="20"/>
                <w:szCs w:val="21"/>
                <w:highlight w:val="none"/>
              </w:rPr>
            </w:pPr>
          </w:p>
        </w:tc>
        <w:tc>
          <w:tcPr>
            <w:tcW w:w="2708" w:type="dxa"/>
            <w:vAlign w:val="center"/>
          </w:tcPr>
          <w:p w14:paraId="34152B7B">
            <w:pPr>
              <w:spacing w:line="360" w:lineRule="exact"/>
              <w:textAlignment w:val="baseline"/>
              <w:rPr>
                <w:rFonts w:hint="eastAsia" w:ascii="宋体" w:hAnsi="宋体" w:eastAsia="宋体" w:cs="宋体"/>
                <w:color w:val="auto"/>
                <w:sz w:val="20"/>
                <w:szCs w:val="21"/>
                <w:highlight w:val="none"/>
                <w:lang w:eastAsia="zh-CN"/>
              </w:rPr>
            </w:pPr>
            <w:r>
              <w:rPr>
                <w:rFonts w:hint="eastAsia" w:ascii="宋体" w:hAnsi="宋体" w:cs="宋体"/>
                <w:bCs/>
                <w:color w:val="auto"/>
                <w:kern w:val="0"/>
                <w:szCs w:val="21"/>
                <w:highlight w:val="none"/>
              </w:rPr>
              <w:t>响应文件的组成、编制及在线投标响应（电子投标）说明</w:t>
            </w:r>
          </w:p>
        </w:tc>
        <w:tc>
          <w:tcPr>
            <w:tcW w:w="7092" w:type="dxa"/>
            <w:vAlign w:val="center"/>
          </w:tcPr>
          <w:p w14:paraId="7A7E01BF">
            <w:pPr>
              <w:pStyle w:val="30"/>
              <w:spacing w:line="360" w:lineRule="exact"/>
              <w:ind w:left="0" w:leftChars="0" w:firstLine="0" w:firstLineChars="0"/>
              <w:textAlignment w:val="baseline"/>
              <w:rPr>
                <w:rFonts w:ascii="宋体" w:hAnsi="宋体" w:eastAsia="宋体"/>
                <w:color w:val="auto"/>
                <w:highlight w:val="none"/>
              </w:rPr>
            </w:pPr>
            <w:r>
              <w:rPr>
                <w:rFonts w:hint="eastAsia" w:ascii="宋体" w:hAnsi="宋体" w:eastAsia="宋体"/>
                <w:color w:val="auto"/>
                <w:highlight w:val="none"/>
              </w:rPr>
              <w:t>1.响应文件由</w:t>
            </w:r>
            <w:r>
              <w:rPr>
                <w:rFonts w:hint="eastAsia" w:ascii="宋体" w:hAnsi="宋体" w:eastAsia="宋体"/>
                <w:color w:val="auto"/>
                <w:highlight w:val="none"/>
                <w:lang w:eastAsia="zh-CN"/>
              </w:rPr>
              <w:t>资格审查文件</w:t>
            </w:r>
            <w:r>
              <w:rPr>
                <w:rFonts w:hint="eastAsia" w:ascii="宋体" w:hAnsi="宋体" w:eastAsia="宋体"/>
                <w:color w:val="auto"/>
                <w:highlight w:val="none"/>
              </w:rPr>
              <w:t>、商务技术文件、报价文件组成。</w:t>
            </w:r>
          </w:p>
          <w:p w14:paraId="69A2E58D">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2</w:t>
            </w:r>
            <w:r>
              <w:rPr>
                <w:rFonts w:hint="eastAsia" w:ascii="宋体" w:hAnsi="宋体" w:cs="宋体"/>
                <w:color w:val="auto"/>
                <w:highlight w:val="none"/>
              </w:rPr>
              <w:t>.</w:t>
            </w:r>
            <w:r>
              <w:rPr>
                <w:rFonts w:hint="eastAsia" w:ascii="宋体" w:hAnsi="宋体" w:cs="宋体"/>
                <w:color w:val="auto"/>
                <w:highlight w:val="none"/>
                <w:lang w:val="zh-CN"/>
              </w:rPr>
              <w:t>投标文件编制：供应商应先安装“政采云电子交易客户端”，并按照本采购文件和“政府采购云平台”的要求，通过“政采云电子交易客户端”编制并加密投标文件。</w:t>
            </w:r>
          </w:p>
          <w:p w14:paraId="7233623A">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3</w:t>
            </w:r>
            <w:r>
              <w:rPr>
                <w:rFonts w:hint="eastAsia" w:ascii="宋体" w:hAnsi="宋体" w:cs="宋体"/>
                <w:color w:val="auto"/>
                <w:highlight w:val="none"/>
              </w:rPr>
              <w:t>.</w:t>
            </w:r>
            <w:r>
              <w:rPr>
                <w:rFonts w:hint="eastAsia" w:ascii="宋体" w:hAnsi="宋体" w:cs="宋体"/>
                <w:color w:val="auto"/>
                <w:highlight w:val="none"/>
                <w:lang w:val="zh-CN"/>
              </w:rPr>
              <w:t>投标文件的形式：☑电子投标文件（包括“电子加密投标文件”和“备份投标文件”，在投标文件编制完成后同时生成）；</w:t>
            </w:r>
          </w:p>
          <w:p w14:paraId="79682D75">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（1）“电子加密投标文件”是指通过“政采云电子交易客户端”完成投标文件编制后生成并加密的数据电文形式的投标文件。</w:t>
            </w:r>
          </w:p>
          <w:p w14:paraId="3A7F911D">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（2）“备份投标文件”是指与“电子加密投标文件”同时生成的数据电文形式的电子文件（备份标书），其他方式编制的备份投标文件视为无效备份投标文件。</w:t>
            </w:r>
          </w:p>
          <w:p w14:paraId="0FDCFC52">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4</w:t>
            </w:r>
            <w:r>
              <w:rPr>
                <w:rFonts w:hint="eastAsia" w:ascii="宋体" w:hAnsi="宋体" w:cs="宋体"/>
                <w:color w:val="auto"/>
                <w:highlight w:val="none"/>
              </w:rPr>
              <w:t>.</w:t>
            </w:r>
            <w:r>
              <w:rPr>
                <w:rFonts w:hint="eastAsia" w:ascii="宋体" w:hAnsi="宋体" w:cs="宋体"/>
                <w:color w:val="auto"/>
                <w:highlight w:val="none"/>
                <w:lang w:val="zh-CN"/>
              </w:rPr>
              <w:t>投标文件份数：（1）“电子加密投标文件”：在线上传递交、一份。（2）“备份投标文件”：发送至邮箱：</w:t>
            </w:r>
            <w:r>
              <w:rPr>
                <w:rFonts w:hint="eastAsia" w:ascii="宋体" w:hAnsi="宋体" w:cs="宋体"/>
                <w:b/>
                <w:bCs/>
                <w:color w:val="auto"/>
                <w:kern w:val="0"/>
                <w:szCs w:val="21"/>
                <w:highlight w:val="none"/>
                <w:u w:val="single" w:color="000000"/>
                <w:lang w:eastAsia="zh-CN"/>
              </w:rPr>
              <w:t>283199225@qq.com</w:t>
            </w:r>
            <w:r>
              <w:rPr>
                <w:rFonts w:hint="eastAsia" w:ascii="宋体" w:hAnsi="宋体" w:cs="宋体"/>
                <w:b/>
                <w:bCs/>
                <w:color w:val="auto"/>
                <w:kern w:val="0"/>
                <w:szCs w:val="21"/>
                <w:highlight w:val="none"/>
                <w:u w:val="single" w:color="000000"/>
              </w:rPr>
              <w:t>，</w:t>
            </w:r>
            <w:r>
              <w:rPr>
                <w:rFonts w:hint="eastAsia" w:ascii="宋体" w:hAnsi="宋体" w:cs="宋体"/>
                <w:color w:val="auto"/>
                <w:kern w:val="0"/>
                <w:szCs w:val="21"/>
                <w:highlight w:val="none"/>
              </w:rPr>
              <w:t>按接收方邮箱收件箱所显示时间为准</w:t>
            </w:r>
            <w:r>
              <w:rPr>
                <w:rFonts w:hint="eastAsia" w:ascii="宋体" w:hAnsi="宋体" w:cs="宋体"/>
                <w:color w:val="auto"/>
                <w:highlight w:val="none"/>
                <w:lang w:val="zh-CN"/>
              </w:rPr>
              <w:t>。</w:t>
            </w:r>
          </w:p>
          <w:p w14:paraId="3247DAEC">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5</w:t>
            </w:r>
            <w:r>
              <w:rPr>
                <w:rFonts w:hint="eastAsia" w:ascii="宋体" w:hAnsi="宋体" w:cs="宋体"/>
                <w:color w:val="auto"/>
                <w:highlight w:val="none"/>
              </w:rPr>
              <w:t>.</w:t>
            </w:r>
            <w:r>
              <w:rPr>
                <w:rFonts w:hint="eastAsia" w:ascii="宋体" w:hAnsi="宋体" w:cs="宋体"/>
                <w:color w:val="auto"/>
                <w:highlight w:val="none"/>
                <w:lang w:val="zh-CN"/>
              </w:rPr>
              <w:t>投标文件的上传和递交：</w:t>
            </w:r>
          </w:p>
          <w:p w14:paraId="7151B589">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（1）“电子加密投标文件”的上传、递交：</w:t>
            </w:r>
          </w:p>
          <w:p w14:paraId="012C5FF2">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供应商应在投标截止时间前将“电子加密投标文件”成功上传递交至“政府采购云平台”，否则投标无效。</w:t>
            </w:r>
          </w:p>
          <w:p w14:paraId="04FB5DC1">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（2）“备份投标文件”的递交：</w:t>
            </w:r>
          </w:p>
          <w:p w14:paraId="6A1F1567">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a.供应商在“政府采购云平台”完成“电子加密投标文件”的上传递交后，还可以（以</w:t>
            </w:r>
            <w:r>
              <w:rPr>
                <w:rFonts w:hint="eastAsia" w:ascii="宋体" w:hAnsi="宋体" w:cs="宋体"/>
                <w:color w:val="auto"/>
                <w:highlight w:val="none"/>
              </w:rPr>
              <w:t>电子邮件的</w:t>
            </w:r>
            <w:r>
              <w:rPr>
                <w:rFonts w:hint="eastAsia" w:ascii="宋体" w:hAnsi="宋体" w:cs="宋体"/>
                <w:color w:val="auto"/>
                <w:highlight w:val="none"/>
                <w:lang w:val="zh-CN"/>
              </w:rPr>
              <w:t>形式）在投标截止时间前发送一份加密压缩文件的“备份投标文件”（一份）；</w:t>
            </w:r>
          </w:p>
          <w:p w14:paraId="7639A299">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b.“备份投标文件”以压缩文件形式加密发送至邮箱：</w:t>
            </w:r>
            <w:r>
              <w:rPr>
                <w:rFonts w:hint="eastAsia" w:ascii="宋体" w:hAnsi="宋体" w:cs="宋体"/>
                <w:b/>
                <w:bCs/>
                <w:color w:val="auto"/>
                <w:kern w:val="0"/>
                <w:szCs w:val="21"/>
                <w:highlight w:val="none"/>
                <w:u w:val="single" w:color="000000"/>
                <w:lang w:eastAsia="zh-CN"/>
              </w:rPr>
              <w:t>283199225@qq.com</w:t>
            </w:r>
            <w:r>
              <w:rPr>
                <w:rFonts w:hint="eastAsia" w:ascii="宋体" w:hAnsi="宋体" w:cs="宋体"/>
                <w:b/>
                <w:bCs/>
                <w:color w:val="auto"/>
                <w:kern w:val="0"/>
                <w:szCs w:val="21"/>
                <w:highlight w:val="none"/>
                <w:u w:val="single" w:color="000000"/>
              </w:rPr>
              <w:t>，</w:t>
            </w:r>
            <w:r>
              <w:rPr>
                <w:rFonts w:hint="eastAsia" w:ascii="宋体" w:hAnsi="宋体" w:cs="宋体"/>
                <w:color w:val="auto"/>
                <w:kern w:val="0"/>
                <w:szCs w:val="21"/>
                <w:highlight w:val="none"/>
              </w:rPr>
              <w:t>压缩文件命名为</w:t>
            </w:r>
            <w:r>
              <w:rPr>
                <w:rFonts w:hint="eastAsia" w:ascii="宋体" w:hAnsi="宋体" w:cs="宋体"/>
                <w:color w:val="auto"/>
                <w:highlight w:val="none"/>
                <w:lang w:val="zh-CN"/>
              </w:rPr>
              <w:t>投标项目编号和投标单位简称。开标时间起半小时内发送压缩文件密码至邮箱：</w:t>
            </w:r>
            <w:r>
              <w:rPr>
                <w:rFonts w:hint="eastAsia" w:ascii="宋体" w:hAnsi="宋体" w:cs="宋体"/>
                <w:b/>
                <w:bCs/>
                <w:color w:val="auto"/>
                <w:kern w:val="0"/>
                <w:szCs w:val="21"/>
                <w:highlight w:val="none"/>
                <w:u w:val="single" w:color="000000"/>
                <w:lang w:eastAsia="zh-CN"/>
              </w:rPr>
              <w:t>283199225@qq.com</w:t>
            </w:r>
            <w:r>
              <w:rPr>
                <w:rFonts w:hint="eastAsia" w:ascii="宋体" w:hAnsi="宋体" w:cs="宋体"/>
                <w:color w:val="auto"/>
                <w:highlight w:val="none"/>
                <w:lang w:val="zh-CN"/>
              </w:rPr>
              <w:t>。</w:t>
            </w:r>
          </w:p>
          <w:p w14:paraId="3FE7070E">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c.通过“政府采购云平台”成功上传递交的“电子加密投标文件”已按时解密的，“备份投标文件”自动失效。投标截止时间前，供应商仅递交了“备份投标文件”而未将“电子加密投标文件”成功上传至“政府采购云平台”的，投标无效。</w:t>
            </w:r>
          </w:p>
          <w:p w14:paraId="3EB40491">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6</w:t>
            </w:r>
            <w:r>
              <w:rPr>
                <w:rFonts w:hint="eastAsia" w:ascii="宋体" w:hAnsi="宋体" w:cs="宋体"/>
                <w:color w:val="auto"/>
                <w:highlight w:val="none"/>
              </w:rPr>
              <w:t>.</w:t>
            </w:r>
            <w:r>
              <w:rPr>
                <w:rFonts w:hint="eastAsia" w:ascii="宋体" w:hAnsi="宋体" w:cs="宋体"/>
                <w:color w:val="auto"/>
                <w:highlight w:val="none"/>
                <w:lang w:val="zh-CN"/>
              </w:rPr>
              <w:t>电子加密投标文件的解密和异常情况处理：</w:t>
            </w:r>
          </w:p>
          <w:p w14:paraId="55616C86">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（1）开标后，采购组织机构将向各供应商发出“电子加密投标文件”的解密通知，各供应商代表应当在接到解密通知后</w:t>
            </w:r>
            <w:r>
              <w:rPr>
                <w:rFonts w:hint="eastAsia" w:ascii="宋体" w:hAnsi="宋体" w:cs="宋体"/>
                <w:b/>
                <w:bCs/>
                <w:color w:val="auto"/>
                <w:highlight w:val="none"/>
              </w:rPr>
              <w:t>30</w:t>
            </w:r>
            <w:r>
              <w:rPr>
                <w:rFonts w:hint="eastAsia" w:ascii="宋体" w:hAnsi="宋体" w:cs="宋体"/>
                <w:b/>
                <w:bCs/>
                <w:color w:val="auto"/>
                <w:highlight w:val="none"/>
                <w:lang w:val="zh-CN"/>
              </w:rPr>
              <w:t>分钟内</w:t>
            </w:r>
            <w:r>
              <w:rPr>
                <w:rFonts w:hint="eastAsia" w:ascii="宋体" w:hAnsi="宋体" w:cs="宋体"/>
                <w:color w:val="auto"/>
                <w:highlight w:val="none"/>
                <w:lang w:val="zh-CN"/>
              </w:rPr>
              <w:t>自行完成“电子加密投标文件”的在线解密，超过解密时限，默认供应商自动放弃。</w:t>
            </w:r>
          </w:p>
          <w:p w14:paraId="0C690250">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43A44658">
            <w:pPr>
              <w:spacing w:line="360" w:lineRule="exact"/>
              <w:textAlignment w:val="baseline"/>
              <w:rPr>
                <w:rFonts w:ascii="宋体" w:hAnsi="宋体" w:cs="宋体"/>
                <w:color w:val="auto"/>
                <w:sz w:val="20"/>
                <w:highlight w:val="none"/>
                <w:lang w:val="zh-CN"/>
              </w:rPr>
            </w:pPr>
            <w:r>
              <w:rPr>
                <w:rFonts w:hint="eastAsia" w:ascii="宋体" w:hAnsi="宋体" w:cs="宋体"/>
                <w:color w:val="auto"/>
                <w:highlight w:val="none"/>
                <w:lang w:val="zh-CN"/>
              </w:rPr>
              <w:t>（3）投标截止时间前，供应商仅递交了“备份投标文件”而未将电子加密投标文件上传至“政府采购云平台”的，投标无效。</w:t>
            </w:r>
          </w:p>
          <w:p w14:paraId="1B96CDD6">
            <w:pPr>
              <w:spacing w:line="360" w:lineRule="exact"/>
              <w:jc w:val="left"/>
              <w:textAlignment w:val="baseline"/>
              <w:rPr>
                <w:rFonts w:ascii="宋体" w:hAnsi="宋体" w:cs="宋体"/>
                <w:color w:val="auto"/>
                <w:sz w:val="20"/>
                <w:szCs w:val="21"/>
                <w:highlight w:val="none"/>
              </w:rPr>
            </w:pPr>
            <w:r>
              <w:rPr>
                <w:rFonts w:hint="eastAsia" w:ascii="宋体" w:hAnsi="宋体" w:cs="宋体"/>
                <w:color w:val="auto"/>
                <w:highlight w:val="none"/>
                <w:lang w:val="zh-CN"/>
              </w:rPr>
              <w:t>7</w:t>
            </w:r>
            <w:r>
              <w:rPr>
                <w:rFonts w:hint="eastAsia" w:ascii="宋体" w:hAnsi="宋体" w:cs="宋体"/>
                <w:color w:val="auto"/>
                <w:highlight w:val="none"/>
              </w:rPr>
              <w:t>.</w:t>
            </w:r>
            <w:r>
              <w:rPr>
                <w:rFonts w:hint="eastAsia" w:ascii="宋体" w:hAnsi="宋体" w:cs="宋体"/>
                <w:color w:val="auto"/>
                <w:highlight w:val="none"/>
                <w:lang w:val="zh-CN"/>
              </w:rPr>
              <w:t>投标截止后，在投标有效期内，供应商不能撤销投标文件。供应商强行撤销投标文件的，应按预算金额的2%赔偿对招标代理机构造成的损失。</w:t>
            </w:r>
          </w:p>
        </w:tc>
      </w:tr>
      <w:tr w14:paraId="55AD0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76A3F799">
            <w:pPr>
              <w:numPr>
                <w:ilvl w:val="0"/>
                <w:numId w:val="6"/>
              </w:numPr>
              <w:spacing w:line="360" w:lineRule="exact"/>
              <w:jc w:val="center"/>
              <w:textAlignment w:val="baseline"/>
              <w:rPr>
                <w:rFonts w:ascii="宋体" w:hAnsi="宋体" w:cs="宋体"/>
                <w:color w:val="auto"/>
                <w:sz w:val="20"/>
                <w:szCs w:val="21"/>
                <w:highlight w:val="none"/>
              </w:rPr>
            </w:pPr>
          </w:p>
        </w:tc>
        <w:tc>
          <w:tcPr>
            <w:tcW w:w="2708" w:type="dxa"/>
            <w:vAlign w:val="center"/>
          </w:tcPr>
          <w:p w14:paraId="2704FEB6">
            <w:pPr>
              <w:spacing w:line="360" w:lineRule="exact"/>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中标结果公告期限</w:t>
            </w:r>
          </w:p>
        </w:tc>
        <w:tc>
          <w:tcPr>
            <w:tcW w:w="7092" w:type="dxa"/>
            <w:vAlign w:val="center"/>
          </w:tcPr>
          <w:p w14:paraId="030700ED">
            <w:pPr>
              <w:snapToGrid w:val="0"/>
              <w:spacing w:line="360" w:lineRule="exact"/>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1个工作日</w:t>
            </w:r>
            <w:r>
              <w:rPr>
                <w:rFonts w:hint="eastAsia" w:ascii="宋体" w:hAnsi="宋体" w:cs="宋体"/>
                <w:color w:val="auto"/>
                <w:highlight w:val="none"/>
              </w:rPr>
              <w:t>（中标结果公告发布之日起至第2个工作日止）</w:t>
            </w:r>
            <w:r>
              <w:rPr>
                <w:rFonts w:hint="eastAsia" w:ascii="宋体" w:hAnsi="宋体" w:cs="宋体"/>
                <w:color w:val="auto"/>
                <w:kern w:val="0"/>
                <w:szCs w:val="21"/>
                <w:highlight w:val="none"/>
              </w:rPr>
              <w:t>。</w:t>
            </w:r>
          </w:p>
        </w:tc>
      </w:tr>
      <w:tr w14:paraId="77AD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7B6ED88D">
            <w:pPr>
              <w:numPr>
                <w:ilvl w:val="0"/>
                <w:numId w:val="6"/>
              </w:numPr>
              <w:spacing w:line="360" w:lineRule="exact"/>
              <w:jc w:val="center"/>
              <w:textAlignment w:val="baseline"/>
              <w:rPr>
                <w:rFonts w:ascii="宋体" w:hAnsi="宋体" w:cs="宋体"/>
                <w:color w:val="auto"/>
                <w:sz w:val="20"/>
                <w:szCs w:val="21"/>
                <w:highlight w:val="none"/>
              </w:rPr>
            </w:pPr>
          </w:p>
        </w:tc>
        <w:tc>
          <w:tcPr>
            <w:tcW w:w="2708" w:type="dxa"/>
            <w:vAlign w:val="center"/>
          </w:tcPr>
          <w:p w14:paraId="07E4C7C9">
            <w:pPr>
              <w:spacing w:line="360" w:lineRule="exact"/>
              <w:textAlignment w:val="baseline"/>
              <w:rPr>
                <w:rFonts w:ascii="宋体" w:hAnsi="宋体" w:cs="宋体"/>
                <w:b/>
                <w:bCs/>
                <w:color w:val="auto"/>
                <w:sz w:val="20"/>
                <w:szCs w:val="21"/>
                <w:highlight w:val="none"/>
              </w:rPr>
            </w:pPr>
            <w:r>
              <w:rPr>
                <w:rFonts w:hint="eastAsia" w:ascii="宋体" w:hAnsi="宋体" w:cs="宋体"/>
                <w:color w:val="auto"/>
                <w:kern w:val="0"/>
                <w:szCs w:val="21"/>
                <w:highlight w:val="none"/>
              </w:rPr>
              <w:t>签订合同</w:t>
            </w:r>
          </w:p>
        </w:tc>
        <w:tc>
          <w:tcPr>
            <w:tcW w:w="7092" w:type="dxa"/>
            <w:vAlign w:val="center"/>
          </w:tcPr>
          <w:p w14:paraId="10A39263">
            <w:pPr>
              <w:snapToGrid w:val="0"/>
              <w:spacing w:line="360" w:lineRule="exact"/>
              <w:textAlignment w:val="baseline"/>
              <w:rPr>
                <w:rFonts w:ascii="宋体" w:hAnsi="宋体" w:cs="宋体"/>
                <w:color w:val="auto"/>
                <w:sz w:val="20"/>
                <w:szCs w:val="21"/>
                <w:highlight w:val="none"/>
              </w:rPr>
            </w:pPr>
            <w:r>
              <w:rPr>
                <w:rFonts w:hint="eastAsia" w:ascii="宋体" w:hAnsi="宋体" w:cs="宋体"/>
                <w:color w:val="auto"/>
                <w:kern w:val="0"/>
                <w:szCs w:val="21"/>
                <w:highlight w:val="none"/>
              </w:rPr>
              <w:t>公示期结束无异议后发出中标通知书30天内。</w:t>
            </w:r>
          </w:p>
        </w:tc>
      </w:tr>
      <w:tr w14:paraId="10D0A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99" w:type="dxa"/>
            <w:vAlign w:val="center"/>
          </w:tcPr>
          <w:p w14:paraId="53FB5B79">
            <w:pPr>
              <w:numPr>
                <w:ilvl w:val="0"/>
                <w:numId w:val="6"/>
              </w:numPr>
              <w:spacing w:line="360" w:lineRule="exact"/>
              <w:jc w:val="center"/>
              <w:textAlignment w:val="baseline"/>
              <w:rPr>
                <w:rFonts w:ascii="宋体" w:hAnsi="宋体" w:cs="宋体"/>
                <w:color w:val="auto"/>
                <w:sz w:val="20"/>
                <w:szCs w:val="21"/>
                <w:highlight w:val="none"/>
              </w:rPr>
            </w:pPr>
          </w:p>
        </w:tc>
        <w:tc>
          <w:tcPr>
            <w:tcW w:w="2708" w:type="dxa"/>
            <w:vAlign w:val="center"/>
          </w:tcPr>
          <w:p w14:paraId="50F76A04">
            <w:pPr>
              <w:spacing w:line="360" w:lineRule="exact"/>
              <w:textAlignment w:val="baseline"/>
              <w:rPr>
                <w:rFonts w:ascii="宋体" w:hAnsi="宋体" w:cs="宋体"/>
                <w:b w:val="0"/>
                <w:bCs w:val="0"/>
                <w:color w:val="auto"/>
                <w:kern w:val="0"/>
                <w:sz w:val="20"/>
                <w:szCs w:val="21"/>
                <w:highlight w:val="none"/>
              </w:rPr>
            </w:pPr>
            <w:r>
              <w:rPr>
                <w:rFonts w:hint="eastAsia" w:ascii="宋体" w:hAnsi="宋体" w:cs="宋体"/>
                <w:b w:val="0"/>
                <w:bCs w:val="0"/>
                <w:color w:val="auto"/>
                <w:sz w:val="22"/>
                <w:highlight w:val="none"/>
              </w:rPr>
              <w:t>合同备案</w:t>
            </w:r>
          </w:p>
        </w:tc>
        <w:tc>
          <w:tcPr>
            <w:tcW w:w="7092" w:type="dxa"/>
            <w:vAlign w:val="center"/>
          </w:tcPr>
          <w:p w14:paraId="15B4341B">
            <w:pPr>
              <w:snapToGrid w:val="0"/>
              <w:spacing w:line="360" w:lineRule="exact"/>
              <w:textAlignment w:val="baseline"/>
              <w:rPr>
                <w:rFonts w:ascii="宋体" w:hAnsi="宋体" w:cs="宋体"/>
                <w:b w:val="0"/>
                <w:bCs w:val="0"/>
                <w:color w:val="auto"/>
                <w:kern w:val="0"/>
                <w:sz w:val="20"/>
                <w:szCs w:val="21"/>
                <w:highlight w:val="none"/>
              </w:rPr>
            </w:pPr>
            <w:r>
              <w:rPr>
                <w:rFonts w:hint="eastAsia" w:ascii="宋体" w:hAnsi="宋体" w:cs="宋体"/>
                <w:b w:val="0"/>
                <w:bCs w:val="0"/>
                <w:color w:val="auto"/>
                <w:kern w:val="0"/>
                <w:szCs w:val="21"/>
                <w:highlight w:val="none"/>
              </w:rPr>
              <w:t>中标人与采购人签订合同后，2日历天内将合同扫描件电子版发送至邮箱：</w:t>
            </w:r>
            <w:r>
              <w:rPr>
                <w:rFonts w:hint="eastAsia" w:ascii="宋体" w:hAnsi="宋体" w:cs="宋体"/>
                <w:b w:val="0"/>
                <w:bCs w:val="0"/>
                <w:color w:val="auto"/>
                <w:kern w:val="0"/>
                <w:szCs w:val="21"/>
                <w:highlight w:val="none"/>
                <w:u w:val="single" w:color="000000"/>
                <w:lang w:eastAsia="zh-CN"/>
              </w:rPr>
              <w:t>283199225@qq.com</w:t>
            </w:r>
            <w:r>
              <w:rPr>
                <w:rFonts w:hint="eastAsia" w:ascii="宋体" w:hAnsi="宋体" w:cs="宋体"/>
                <w:b w:val="0"/>
                <w:bCs w:val="0"/>
                <w:color w:val="auto"/>
                <w:kern w:val="0"/>
                <w:szCs w:val="21"/>
                <w:highlight w:val="none"/>
              </w:rPr>
              <w:t>；本项目政府采购合同按规定在浙江政府采购网（http://www.zjzfcg.gov.cn）予以公告。</w:t>
            </w:r>
          </w:p>
        </w:tc>
      </w:tr>
      <w:tr w14:paraId="197D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99" w:type="dxa"/>
            <w:vAlign w:val="center"/>
          </w:tcPr>
          <w:p w14:paraId="324EAF86">
            <w:pPr>
              <w:pStyle w:val="30"/>
              <w:spacing w:line="360" w:lineRule="exact"/>
              <w:ind w:left="0" w:leftChars="0" w:firstLine="0" w:firstLineChars="0"/>
              <w:jc w:val="center"/>
              <w:textAlignment w:val="baseline"/>
              <w:rPr>
                <w:rFonts w:ascii="宋体" w:hAnsi="宋体" w:eastAsia="宋体"/>
                <w:color w:val="auto"/>
                <w:highlight w:val="none"/>
              </w:rPr>
            </w:pPr>
            <w:r>
              <w:rPr>
                <w:rFonts w:hint="eastAsia" w:ascii="宋体" w:hAnsi="宋体" w:eastAsia="宋体"/>
                <w:color w:val="auto"/>
                <w:highlight w:val="none"/>
              </w:rPr>
              <w:t>16</w:t>
            </w:r>
          </w:p>
        </w:tc>
        <w:tc>
          <w:tcPr>
            <w:tcW w:w="2708" w:type="dxa"/>
            <w:vAlign w:val="center"/>
          </w:tcPr>
          <w:p w14:paraId="3F1478C4">
            <w:pPr>
              <w:snapToGrid w:val="0"/>
              <w:spacing w:line="360" w:lineRule="exact"/>
              <w:textAlignment w:val="baseline"/>
              <w:rPr>
                <w:rFonts w:hint="eastAsia"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履约保证金</w:t>
            </w:r>
          </w:p>
        </w:tc>
        <w:tc>
          <w:tcPr>
            <w:tcW w:w="7092" w:type="dxa"/>
            <w:vAlign w:val="center"/>
          </w:tcPr>
          <w:p w14:paraId="19D03DBA">
            <w:pPr>
              <w:snapToGrid w:val="0"/>
              <w:spacing w:line="360" w:lineRule="exact"/>
              <w:textAlignment w:val="baseline"/>
              <w:rPr>
                <w:rFonts w:hint="default" w:ascii="宋体" w:hAnsi="宋体" w:cs="宋体"/>
                <w:b w:val="0"/>
                <w:bCs w:val="0"/>
                <w:color w:val="auto"/>
                <w:kern w:val="0"/>
                <w:szCs w:val="21"/>
                <w:highlight w:val="none"/>
                <w:lang w:val="en-US" w:eastAsia="zh-CN"/>
              </w:rPr>
            </w:pPr>
            <w:r>
              <w:rPr>
                <w:rFonts w:hint="default" w:ascii="宋体" w:hAnsi="宋体" w:cs="宋体"/>
                <w:b w:val="0"/>
                <w:bCs w:val="0"/>
                <w:color w:val="auto"/>
                <w:kern w:val="0"/>
                <w:szCs w:val="21"/>
                <w:highlight w:val="none"/>
                <w:lang w:val="en-US" w:eastAsia="zh-CN"/>
              </w:rPr>
              <w:t>中标人在合同签订前向采购单位交纳中标金额1%的履约保证金。供应商可以银行、保险公司出具的保函形式提交。在项目验收结束后退还履约保证金（不计息）。</w:t>
            </w:r>
          </w:p>
        </w:tc>
      </w:tr>
      <w:tr w14:paraId="03F5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0B4EDABB">
            <w:pPr>
              <w:spacing w:line="360" w:lineRule="exact"/>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17</w:t>
            </w:r>
          </w:p>
        </w:tc>
        <w:tc>
          <w:tcPr>
            <w:tcW w:w="2708" w:type="dxa"/>
            <w:vAlign w:val="center"/>
          </w:tcPr>
          <w:p w14:paraId="2E0ABC8A">
            <w:pPr>
              <w:spacing w:line="360" w:lineRule="exact"/>
              <w:jc w:val="center"/>
              <w:textAlignment w:val="baseline"/>
              <w:rPr>
                <w:rFonts w:hint="eastAsia" w:ascii="宋体" w:hAnsi="宋体" w:cs="宋体"/>
                <w:b/>
                <w:bCs/>
                <w:color w:val="auto"/>
                <w:kern w:val="0"/>
                <w:szCs w:val="21"/>
                <w:highlight w:val="none"/>
                <w:lang w:eastAsia="zh-CN"/>
              </w:rPr>
            </w:pPr>
            <w:r>
              <w:rPr>
                <w:rFonts w:hint="eastAsia" w:ascii="宋体" w:hAnsi="宋体" w:cs="宋体"/>
                <w:b/>
                <w:bCs/>
                <w:color w:val="auto"/>
                <w:kern w:val="0"/>
                <w:szCs w:val="21"/>
                <w:highlight w:val="none"/>
              </w:rPr>
              <w:t>成交候选供应商</w:t>
            </w:r>
          </w:p>
        </w:tc>
        <w:tc>
          <w:tcPr>
            <w:tcW w:w="7092" w:type="dxa"/>
            <w:vAlign w:val="center"/>
          </w:tcPr>
          <w:p w14:paraId="5D1297CE">
            <w:pPr>
              <w:spacing w:line="360" w:lineRule="exact"/>
              <w:jc w:val="both"/>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本项目推荐3名成交候选供应商，最终确定1名成交供应商。</w:t>
            </w:r>
          </w:p>
        </w:tc>
      </w:tr>
      <w:tr w14:paraId="11EE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9" w:hRule="atLeast"/>
          <w:jc w:val="center"/>
        </w:trPr>
        <w:tc>
          <w:tcPr>
            <w:tcW w:w="699" w:type="dxa"/>
            <w:vAlign w:val="center"/>
          </w:tcPr>
          <w:p w14:paraId="03552C9D">
            <w:pPr>
              <w:pStyle w:val="30"/>
              <w:spacing w:line="360" w:lineRule="exact"/>
              <w:ind w:left="0" w:leftChars="0" w:firstLine="0" w:firstLineChars="0"/>
              <w:jc w:val="center"/>
              <w:textAlignment w:val="baseline"/>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18</w:t>
            </w:r>
          </w:p>
        </w:tc>
        <w:tc>
          <w:tcPr>
            <w:tcW w:w="2708" w:type="dxa"/>
            <w:vAlign w:val="center"/>
          </w:tcPr>
          <w:p w14:paraId="28A46A4E">
            <w:pPr>
              <w:spacing w:line="360" w:lineRule="exact"/>
              <w:jc w:val="center"/>
              <w:textAlignment w:val="baseline"/>
              <w:rPr>
                <w:rFonts w:ascii="宋体" w:hAnsi="宋体" w:cs="宋体"/>
                <w:b w:val="0"/>
                <w:bCs w:val="0"/>
                <w:color w:val="auto"/>
                <w:sz w:val="20"/>
                <w:szCs w:val="21"/>
                <w:highlight w:val="none"/>
              </w:rPr>
            </w:pPr>
            <w:r>
              <w:rPr>
                <w:rFonts w:hint="eastAsia" w:ascii="宋体" w:hAnsi="宋体" w:cs="宋体"/>
                <w:b w:val="0"/>
                <w:bCs w:val="0"/>
                <w:color w:val="auto"/>
                <w:kern w:val="0"/>
                <w:szCs w:val="21"/>
                <w:highlight w:val="none"/>
              </w:rPr>
              <w:t>招标代理费</w:t>
            </w:r>
          </w:p>
        </w:tc>
        <w:tc>
          <w:tcPr>
            <w:tcW w:w="7092" w:type="dxa"/>
            <w:vAlign w:val="center"/>
          </w:tcPr>
          <w:p w14:paraId="1D919A14">
            <w:pPr>
              <w:spacing w:line="360" w:lineRule="exact"/>
              <w:ind w:firstLine="420" w:firstLineChars="200"/>
              <w:textAlignment w:val="baseline"/>
              <w:rPr>
                <w:rFonts w:ascii="宋体" w:hAnsi="宋体" w:cs="宋体"/>
                <w:b w:val="0"/>
                <w:bCs w:val="0"/>
                <w:color w:val="auto"/>
                <w:sz w:val="20"/>
                <w:szCs w:val="21"/>
                <w:highlight w:val="none"/>
              </w:rPr>
            </w:pPr>
            <w:r>
              <w:rPr>
                <w:rFonts w:hint="eastAsia" w:ascii="宋体" w:hAnsi="宋体" w:cs="宋体"/>
                <w:b w:val="0"/>
                <w:bCs w:val="0"/>
                <w:color w:val="auto"/>
                <w:szCs w:val="21"/>
                <w:highlight w:val="none"/>
              </w:rPr>
              <w:t>本项目招标代理费(招标代理费收费标准按照国家计委关于印发《招标代理服务费管理暂行办法》的通知（计价格【2002】1980号）规定的收费标准执行，按服务招标计算），由中标人支付给代理机构。各</w:t>
            </w:r>
            <w:r>
              <w:rPr>
                <w:rFonts w:hint="eastAsia" w:ascii="宋体" w:hAnsi="宋体" w:cs="宋体"/>
                <w:b w:val="0"/>
                <w:bCs w:val="0"/>
                <w:color w:val="auto"/>
                <w:szCs w:val="21"/>
                <w:highlight w:val="none"/>
                <w:lang w:eastAsia="zh-CN"/>
              </w:rPr>
              <w:t>供应商</w:t>
            </w:r>
            <w:r>
              <w:rPr>
                <w:rFonts w:hint="eastAsia" w:ascii="宋体" w:hAnsi="宋体" w:cs="宋体"/>
                <w:b w:val="0"/>
                <w:bCs w:val="0"/>
                <w:color w:val="auto"/>
                <w:szCs w:val="21"/>
                <w:highlight w:val="none"/>
              </w:rPr>
              <w:t>在投标报价时自行考虑在投标报价中，由中标人在领取中标通知书前一次性支付给代理机构。</w:t>
            </w:r>
          </w:p>
          <w:p w14:paraId="710A680F">
            <w:pPr>
              <w:pStyle w:val="30"/>
              <w:spacing w:line="360" w:lineRule="exact"/>
              <w:ind w:firstLine="42"/>
              <w:textAlignment w:val="baseline"/>
              <w:rPr>
                <w:rFonts w:hint="eastAsia" w:ascii="宋体" w:hAnsi="宋体" w:eastAsia="宋体"/>
                <w:b w:val="0"/>
                <w:bCs w:val="0"/>
                <w:color w:val="auto"/>
                <w:highlight w:val="none"/>
                <w:lang w:eastAsia="zh-CN"/>
              </w:rPr>
            </w:pPr>
            <w:r>
              <w:rPr>
                <w:rFonts w:hint="eastAsia" w:ascii="宋体" w:hAnsi="宋体" w:eastAsia="宋体"/>
                <w:b w:val="0"/>
                <w:bCs w:val="0"/>
                <w:color w:val="auto"/>
                <w:highlight w:val="none"/>
              </w:rPr>
              <w:t>《招标代理服务费管理暂行办法》的通知规定的收费标准</w:t>
            </w:r>
          </w:p>
          <w:tbl>
            <w:tblPr>
              <w:tblStyle w:val="31"/>
              <w:tblW w:w="6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2"/>
              <w:gridCol w:w="2293"/>
              <w:gridCol w:w="2280"/>
            </w:tblGrid>
            <w:tr w14:paraId="4B4EC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Borders>
                    <w:top w:val="single" w:color="000000" w:sz="4" w:space="0"/>
                    <w:left w:val="single" w:color="000000" w:sz="4" w:space="0"/>
                    <w:bottom w:val="single" w:color="000000" w:sz="4" w:space="0"/>
                    <w:right w:val="single" w:color="000000" w:sz="4" w:space="0"/>
                  </w:tcBorders>
                </w:tcPr>
                <w:p w14:paraId="3D97A12A">
                  <w:pPr>
                    <w:snapToGrid w:val="0"/>
                    <w:spacing w:before="100" w:after="100" w:line="360" w:lineRule="exact"/>
                    <w:jc w:val="center"/>
                    <w:textAlignment w:val="baseline"/>
                    <w:rPr>
                      <w:rFonts w:ascii="宋体" w:hAnsi="宋体" w:cs="宋体"/>
                      <w:b w:val="0"/>
                      <w:bCs w:val="0"/>
                      <w:color w:val="auto"/>
                      <w:sz w:val="20"/>
                      <w:szCs w:val="21"/>
                      <w:highlight w:val="none"/>
                    </w:rPr>
                  </w:pPr>
                  <w:r>
                    <w:rPr>
                      <w:rFonts w:hint="eastAsia" w:ascii="宋体" w:hAnsi="宋体" w:cs="宋体"/>
                      <w:b w:val="0"/>
                      <w:bCs w:val="0"/>
                      <w:color w:val="auto"/>
                      <w:szCs w:val="21"/>
                      <w:highlight w:val="none"/>
                    </w:rPr>
                    <w:t>中标金额（万元）</w:t>
                  </w:r>
                </w:p>
              </w:tc>
              <w:tc>
                <w:tcPr>
                  <w:tcW w:w="2293" w:type="dxa"/>
                  <w:tcBorders>
                    <w:top w:val="single" w:color="000000" w:sz="4" w:space="0"/>
                    <w:left w:val="single" w:color="000000" w:sz="4" w:space="0"/>
                    <w:bottom w:val="single" w:color="000000" w:sz="4" w:space="0"/>
                    <w:right w:val="single" w:color="000000" w:sz="4" w:space="0"/>
                  </w:tcBorders>
                </w:tcPr>
                <w:p w14:paraId="2CCDC5A3">
                  <w:pPr>
                    <w:snapToGrid w:val="0"/>
                    <w:spacing w:before="100" w:after="100" w:line="360" w:lineRule="exact"/>
                    <w:jc w:val="center"/>
                    <w:textAlignment w:val="baseline"/>
                    <w:rPr>
                      <w:rFonts w:ascii="宋体" w:hAnsi="宋体" w:cs="宋体"/>
                      <w:b w:val="0"/>
                      <w:bCs w:val="0"/>
                      <w:color w:val="auto"/>
                      <w:sz w:val="20"/>
                      <w:szCs w:val="21"/>
                      <w:highlight w:val="none"/>
                    </w:rPr>
                  </w:pPr>
                  <w:r>
                    <w:rPr>
                      <w:rFonts w:hint="eastAsia" w:ascii="宋体" w:hAnsi="宋体" w:cs="宋体"/>
                      <w:b w:val="0"/>
                      <w:bCs w:val="0"/>
                      <w:color w:val="auto"/>
                      <w:szCs w:val="21"/>
                      <w:highlight w:val="none"/>
                    </w:rPr>
                    <w:t>货物费率</w:t>
                  </w:r>
                </w:p>
              </w:tc>
              <w:tc>
                <w:tcPr>
                  <w:tcW w:w="2280" w:type="dxa"/>
                  <w:tcBorders>
                    <w:top w:val="single" w:color="000000" w:sz="4" w:space="0"/>
                    <w:left w:val="single" w:color="000000" w:sz="4" w:space="0"/>
                    <w:bottom w:val="single" w:color="000000" w:sz="4" w:space="0"/>
                    <w:right w:val="single" w:color="000000" w:sz="4" w:space="0"/>
                  </w:tcBorders>
                </w:tcPr>
                <w:p w14:paraId="30ABD3B0">
                  <w:pPr>
                    <w:snapToGrid w:val="0"/>
                    <w:spacing w:before="100" w:after="100" w:line="360" w:lineRule="exact"/>
                    <w:jc w:val="center"/>
                    <w:textAlignment w:val="baseline"/>
                    <w:rPr>
                      <w:rFonts w:ascii="宋体" w:hAnsi="宋体" w:cs="宋体"/>
                      <w:b w:val="0"/>
                      <w:bCs w:val="0"/>
                      <w:color w:val="auto"/>
                      <w:sz w:val="20"/>
                      <w:szCs w:val="21"/>
                      <w:highlight w:val="none"/>
                    </w:rPr>
                  </w:pPr>
                  <w:r>
                    <w:rPr>
                      <w:rFonts w:hint="eastAsia" w:ascii="宋体" w:hAnsi="宋体" w:cs="宋体"/>
                      <w:b w:val="0"/>
                      <w:bCs w:val="0"/>
                      <w:color w:val="auto"/>
                      <w:szCs w:val="21"/>
                      <w:highlight w:val="none"/>
                    </w:rPr>
                    <w:t>服务费率</w:t>
                  </w:r>
                </w:p>
              </w:tc>
            </w:tr>
            <w:tr w14:paraId="74303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Borders>
                    <w:top w:val="single" w:color="000000" w:sz="4" w:space="0"/>
                    <w:left w:val="single" w:color="000000" w:sz="4" w:space="0"/>
                    <w:bottom w:val="single" w:color="000000" w:sz="4" w:space="0"/>
                    <w:right w:val="single" w:color="000000" w:sz="4" w:space="0"/>
                  </w:tcBorders>
                </w:tcPr>
                <w:p w14:paraId="7D929529">
                  <w:pPr>
                    <w:snapToGrid w:val="0"/>
                    <w:spacing w:before="100" w:after="100" w:line="360" w:lineRule="exact"/>
                    <w:jc w:val="center"/>
                    <w:textAlignment w:val="baseline"/>
                    <w:rPr>
                      <w:rFonts w:ascii="宋体" w:hAnsi="宋体" w:cs="宋体"/>
                      <w:b w:val="0"/>
                      <w:bCs w:val="0"/>
                      <w:color w:val="auto"/>
                      <w:sz w:val="20"/>
                      <w:szCs w:val="21"/>
                      <w:highlight w:val="none"/>
                    </w:rPr>
                  </w:pPr>
                  <w:r>
                    <w:rPr>
                      <w:rFonts w:hint="eastAsia" w:ascii="宋体" w:hAnsi="宋体" w:cs="宋体"/>
                      <w:b w:val="0"/>
                      <w:bCs w:val="0"/>
                      <w:color w:val="auto"/>
                      <w:szCs w:val="21"/>
                      <w:highlight w:val="none"/>
                    </w:rPr>
                    <w:t>100以下</w:t>
                  </w:r>
                </w:p>
              </w:tc>
              <w:tc>
                <w:tcPr>
                  <w:tcW w:w="2293" w:type="dxa"/>
                  <w:tcBorders>
                    <w:top w:val="single" w:color="000000" w:sz="4" w:space="0"/>
                    <w:left w:val="single" w:color="000000" w:sz="4" w:space="0"/>
                    <w:bottom w:val="single" w:color="000000" w:sz="4" w:space="0"/>
                    <w:right w:val="single" w:color="000000" w:sz="4" w:space="0"/>
                  </w:tcBorders>
                </w:tcPr>
                <w:p w14:paraId="3025A684">
                  <w:pPr>
                    <w:snapToGrid w:val="0"/>
                    <w:spacing w:before="100" w:after="100" w:line="360" w:lineRule="exact"/>
                    <w:jc w:val="center"/>
                    <w:textAlignment w:val="baseline"/>
                    <w:rPr>
                      <w:rFonts w:ascii="宋体" w:hAnsi="宋体" w:cs="宋体"/>
                      <w:b w:val="0"/>
                      <w:bCs w:val="0"/>
                      <w:color w:val="auto"/>
                      <w:sz w:val="20"/>
                      <w:szCs w:val="21"/>
                      <w:highlight w:val="none"/>
                    </w:rPr>
                  </w:pPr>
                  <w:r>
                    <w:rPr>
                      <w:rFonts w:hint="eastAsia" w:ascii="宋体" w:hAnsi="宋体" w:cs="宋体"/>
                      <w:b w:val="0"/>
                      <w:bCs w:val="0"/>
                      <w:color w:val="auto"/>
                      <w:szCs w:val="21"/>
                      <w:highlight w:val="none"/>
                    </w:rPr>
                    <w:t>1.5%</w:t>
                  </w:r>
                </w:p>
              </w:tc>
              <w:tc>
                <w:tcPr>
                  <w:tcW w:w="2280" w:type="dxa"/>
                  <w:tcBorders>
                    <w:top w:val="single" w:color="000000" w:sz="4" w:space="0"/>
                    <w:left w:val="single" w:color="000000" w:sz="4" w:space="0"/>
                    <w:bottom w:val="single" w:color="000000" w:sz="4" w:space="0"/>
                    <w:right w:val="single" w:color="000000" w:sz="4" w:space="0"/>
                  </w:tcBorders>
                </w:tcPr>
                <w:p w14:paraId="26A05A3B">
                  <w:pPr>
                    <w:snapToGrid w:val="0"/>
                    <w:spacing w:before="100" w:after="100" w:line="360" w:lineRule="exact"/>
                    <w:jc w:val="center"/>
                    <w:textAlignment w:val="baseline"/>
                    <w:rPr>
                      <w:rFonts w:ascii="宋体" w:hAnsi="宋体" w:cs="宋体"/>
                      <w:b w:val="0"/>
                      <w:bCs w:val="0"/>
                      <w:color w:val="auto"/>
                      <w:sz w:val="20"/>
                      <w:szCs w:val="21"/>
                      <w:highlight w:val="none"/>
                    </w:rPr>
                  </w:pPr>
                  <w:r>
                    <w:rPr>
                      <w:rFonts w:hint="eastAsia" w:ascii="宋体" w:hAnsi="宋体" w:cs="宋体"/>
                      <w:b w:val="0"/>
                      <w:bCs w:val="0"/>
                      <w:color w:val="auto"/>
                      <w:szCs w:val="21"/>
                      <w:highlight w:val="none"/>
                    </w:rPr>
                    <w:t>1.5%</w:t>
                  </w:r>
                </w:p>
              </w:tc>
            </w:tr>
            <w:tr w14:paraId="52B38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Borders>
                    <w:top w:val="single" w:color="000000" w:sz="4" w:space="0"/>
                    <w:left w:val="single" w:color="000000" w:sz="4" w:space="0"/>
                    <w:bottom w:val="single" w:color="000000" w:sz="4" w:space="0"/>
                    <w:right w:val="single" w:color="000000" w:sz="4" w:space="0"/>
                  </w:tcBorders>
                </w:tcPr>
                <w:p w14:paraId="61765056">
                  <w:pPr>
                    <w:snapToGrid w:val="0"/>
                    <w:spacing w:before="100" w:after="100" w:line="360" w:lineRule="exact"/>
                    <w:jc w:val="center"/>
                    <w:textAlignment w:val="baseline"/>
                    <w:rPr>
                      <w:rFonts w:ascii="宋体" w:hAnsi="宋体" w:cs="宋体"/>
                      <w:b w:val="0"/>
                      <w:bCs w:val="0"/>
                      <w:color w:val="auto"/>
                      <w:sz w:val="20"/>
                      <w:szCs w:val="21"/>
                      <w:highlight w:val="none"/>
                    </w:rPr>
                  </w:pPr>
                  <w:r>
                    <w:rPr>
                      <w:rFonts w:hint="eastAsia" w:ascii="宋体" w:hAnsi="宋体" w:cs="宋体"/>
                      <w:b w:val="0"/>
                      <w:bCs w:val="0"/>
                      <w:color w:val="auto"/>
                      <w:szCs w:val="21"/>
                      <w:highlight w:val="none"/>
                    </w:rPr>
                    <w:t>100-500</w:t>
                  </w:r>
                </w:p>
              </w:tc>
              <w:tc>
                <w:tcPr>
                  <w:tcW w:w="2293" w:type="dxa"/>
                  <w:tcBorders>
                    <w:top w:val="single" w:color="000000" w:sz="4" w:space="0"/>
                    <w:left w:val="single" w:color="000000" w:sz="4" w:space="0"/>
                    <w:bottom w:val="single" w:color="000000" w:sz="4" w:space="0"/>
                    <w:right w:val="single" w:color="000000" w:sz="4" w:space="0"/>
                  </w:tcBorders>
                </w:tcPr>
                <w:p w14:paraId="791D3561">
                  <w:pPr>
                    <w:snapToGrid w:val="0"/>
                    <w:spacing w:before="100" w:after="100" w:line="360" w:lineRule="exact"/>
                    <w:jc w:val="center"/>
                    <w:textAlignment w:val="baseline"/>
                    <w:rPr>
                      <w:rFonts w:ascii="宋体" w:hAnsi="宋体" w:cs="宋体"/>
                      <w:b w:val="0"/>
                      <w:bCs w:val="0"/>
                      <w:color w:val="auto"/>
                      <w:sz w:val="20"/>
                      <w:szCs w:val="21"/>
                      <w:highlight w:val="none"/>
                    </w:rPr>
                  </w:pPr>
                  <w:r>
                    <w:rPr>
                      <w:rFonts w:hint="eastAsia" w:ascii="宋体" w:hAnsi="宋体" w:cs="宋体"/>
                      <w:b w:val="0"/>
                      <w:bCs w:val="0"/>
                      <w:color w:val="auto"/>
                      <w:szCs w:val="21"/>
                      <w:highlight w:val="none"/>
                    </w:rPr>
                    <w:t>1.1%</w:t>
                  </w:r>
                </w:p>
              </w:tc>
              <w:tc>
                <w:tcPr>
                  <w:tcW w:w="2280" w:type="dxa"/>
                  <w:tcBorders>
                    <w:top w:val="single" w:color="000000" w:sz="4" w:space="0"/>
                    <w:left w:val="single" w:color="000000" w:sz="4" w:space="0"/>
                    <w:bottom w:val="single" w:color="000000" w:sz="4" w:space="0"/>
                    <w:right w:val="single" w:color="000000" w:sz="4" w:space="0"/>
                  </w:tcBorders>
                </w:tcPr>
                <w:p w14:paraId="6CB12A84">
                  <w:pPr>
                    <w:snapToGrid w:val="0"/>
                    <w:spacing w:before="100" w:after="100" w:line="360" w:lineRule="exact"/>
                    <w:jc w:val="center"/>
                    <w:textAlignment w:val="baseline"/>
                    <w:rPr>
                      <w:rFonts w:ascii="宋体" w:hAnsi="宋体" w:cs="宋体"/>
                      <w:b w:val="0"/>
                      <w:bCs w:val="0"/>
                      <w:color w:val="auto"/>
                      <w:sz w:val="20"/>
                      <w:szCs w:val="21"/>
                      <w:highlight w:val="none"/>
                    </w:rPr>
                  </w:pPr>
                  <w:r>
                    <w:rPr>
                      <w:rFonts w:hint="eastAsia" w:ascii="宋体" w:hAnsi="宋体" w:cs="宋体"/>
                      <w:b w:val="0"/>
                      <w:bCs w:val="0"/>
                      <w:color w:val="auto"/>
                      <w:szCs w:val="21"/>
                      <w:highlight w:val="none"/>
                    </w:rPr>
                    <w:t>0.8%</w:t>
                  </w:r>
                </w:p>
              </w:tc>
            </w:tr>
            <w:tr w14:paraId="571BC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Borders>
                    <w:top w:val="single" w:color="000000" w:sz="4" w:space="0"/>
                    <w:left w:val="single" w:color="000000" w:sz="4" w:space="0"/>
                    <w:bottom w:val="single" w:color="000000" w:sz="4" w:space="0"/>
                    <w:right w:val="single" w:color="000000" w:sz="4" w:space="0"/>
                  </w:tcBorders>
                </w:tcPr>
                <w:p w14:paraId="66604835">
                  <w:pPr>
                    <w:snapToGrid w:val="0"/>
                    <w:spacing w:before="100" w:after="100" w:line="360" w:lineRule="exact"/>
                    <w:jc w:val="center"/>
                    <w:textAlignment w:val="baseline"/>
                    <w:rPr>
                      <w:rFonts w:ascii="宋体" w:hAnsi="宋体" w:cs="宋体"/>
                      <w:b w:val="0"/>
                      <w:bCs w:val="0"/>
                      <w:color w:val="auto"/>
                      <w:sz w:val="20"/>
                      <w:szCs w:val="21"/>
                      <w:highlight w:val="none"/>
                    </w:rPr>
                  </w:pPr>
                  <w:r>
                    <w:rPr>
                      <w:rFonts w:hint="eastAsia" w:ascii="宋体" w:hAnsi="宋体" w:cs="宋体"/>
                      <w:b w:val="0"/>
                      <w:bCs w:val="0"/>
                      <w:color w:val="auto"/>
                      <w:szCs w:val="21"/>
                      <w:highlight w:val="none"/>
                    </w:rPr>
                    <w:t>500-1000</w:t>
                  </w:r>
                </w:p>
              </w:tc>
              <w:tc>
                <w:tcPr>
                  <w:tcW w:w="2293" w:type="dxa"/>
                  <w:tcBorders>
                    <w:top w:val="single" w:color="000000" w:sz="4" w:space="0"/>
                    <w:left w:val="single" w:color="000000" w:sz="4" w:space="0"/>
                    <w:bottom w:val="single" w:color="000000" w:sz="4" w:space="0"/>
                    <w:right w:val="single" w:color="000000" w:sz="4" w:space="0"/>
                  </w:tcBorders>
                </w:tcPr>
                <w:p w14:paraId="62229F51">
                  <w:pPr>
                    <w:snapToGrid w:val="0"/>
                    <w:spacing w:before="100" w:after="100" w:line="360" w:lineRule="exact"/>
                    <w:jc w:val="center"/>
                    <w:textAlignment w:val="baseline"/>
                    <w:rPr>
                      <w:rFonts w:ascii="宋体" w:hAnsi="宋体" w:cs="宋体"/>
                      <w:b w:val="0"/>
                      <w:bCs w:val="0"/>
                      <w:color w:val="auto"/>
                      <w:sz w:val="20"/>
                      <w:szCs w:val="21"/>
                      <w:highlight w:val="none"/>
                    </w:rPr>
                  </w:pPr>
                  <w:r>
                    <w:rPr>
                      <w:rFonts w:hint="eastAsia" w:ascii="宋体" w:hAnsi="宋体" w:cs="宋体"/>
                      <w:b w:val="0"/>
                      <w:bCs w:val="0"/>
                      <w:color w:val="auto"/>
                      <w:szCs w:val="21"/>
                      <w:highlight w:val="none"/>
                    </w:rPr>
                    <w:t>0.8%</w:t>
                  </w:r>
                </w:p>
              </w:tc>
              <w:tc>
                <w:tcPr>
                  <w:tcW w:w="2280" w:type="dxa"/>
                  <w:tcBorders>
                    <w:top w:val="single" w:color="000000" w:sz="4" w:space="0"/>
                    <w:left w:val="single" w:color="000000" w:sz="4" w:space="0"/>
                    <w:bottom w:val="single" w:color="000000" w:sz="4" w:space="0"/>
                    <w:right w:val="single" w:color="000000" w:sz="4" w:space="0"/>
                  </w:tcBorders>
                </w:tcPr>
                <w:p w14:paraId="3AE93664">
                  <w:pPr>
                    <w:snapToGrid w:val="0"/>
                    <w:spacing w:before="100" w:after="100" w:line="360" w:lineRule="exact"/>
                    <w:jc w:val="center"/>
                    <w:textAlignment w:val="baseline"/>
                    <w:rPr>
                      <w:rFonts w:ascii="宋体" w:hAnsi="宋体" w:cs="宋体"/>
                      <w:b w:val="0"/>
                      <w:bCs w:val="0"/>
                      <w:color w:val="auto"/>
                      <w:sz w:val="20"/>
                      <w:szCs w:val="21"/>
                      <w:highlight w:val="none"/>
                    </w:rPr>
                  </w:pPr>
                  <w:r>
                    <w:rPr>
                      <w:rFonts w:hint="eastAsia" w:ascii="宋体" w:hAnsi="宋体" w:cs="宋体"/>
                      <w:b w:val="0"/>
                      <w:bCs w:val="0"/>
                      <w:color w:val="auto"/>
                      <w:szCs w:val="21"/>
                      <w:highlight w:val="none"/>
                    </w:rPr>
                    <w:t>0.45%</w:t>
                  </w:r>
                </w:p>
              </w:tc>
            </w:tr>
          </w:tbl>
          <w:p w14:paraId="45D49215">
            <w:pPr>
              <w:pStyle w:val="58"/>
              <w:spacing w:line="360" w:lineRule="exact"/>
              <w:textAlignment w:val="baseline"/>
              <w:rPr>
                <w:rFonts w:ascii="宋体" w:hAnsi="宋体"/>
                <w:b w:val="0"/>
                <w:bCs w:val="0"/>
                <w:color w:val="auto"/>
                <w:highlight w:val="none"/>
              </w:rPr>
            </w:pPr>
          </w:p>
        </w:tc>
      </w:tr>
      <w:tr w14:paraId="0588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699" w:type="dxa"/>
            <w:vAlign w:val="center"/>
          </w:tcPr>
          <w:p w14:paraId="5AC35861">
            <w:pPr>
              <w:pStyle w:val="30"/>
              <w:spacing w:line="360" w:lineRule="exact"/>
              <w:ind w:left="0" w:leftChars="0" w:firstLine="0" w:firstLineChars="0"/>
              <w:jc w:val="center"/>
              <w:textAlignment w:val="baseline"/>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19</w:t>
            </w:r>
          </w:p>
        </w:tc>
        <w:tc>
          <w:tcPr>
            <w:tcW w:w="2708" w:type="dxa"/>
            <w:vAlign w:val="center"/>
          </w:tcPr>
          <w:p w14:paraId="7586A71B">
            <w:pPr>
              <w:spacing w:line="360" w:lineRule="exact"/>
              <w:jc w:val="center"/>
              <w:textAlignment w:val="baseline"/>
              <w:rPr>
                <w:rFonts w:ascii="宋体" w:hAnsi="宋体" w:cs="宋体"/>
                <w:b w:val="0"/>
                <w:bCs w:val="0"/>
                <w:color w:val="auto"/>
                <w:kern w:val="0"/>
                <w:sz w:val="20"/>
                <w:szCs w:val="21"/>
                <w:highlight w:val="none"/>
              </w:rPr>
            </w:pPr>
            <w:r>
              <w:rPr>
                <w:rFonts w:hint="eastAsia" w:ascii="宋体" w:hAnsi="宋体" w:cs="宋体"/>
                <w:b w:val="0"/>
                <w:bCs w:val="0"/>
                <w:color w:val="auto"/>
                <w:kern w:val="0"/>
                <w:szCs w:val="21"/>
                <w:highlight w:val="none"/>
              </w:rPr>
              <w:t>特别说明</w:t>
            </w:r>
          </w:p>
        </w:tc>
        <w:tc>
          <w:tcPr>
            <w:tcW w:w="7092" w:type="dxa"/>
            <w:vAlign w:val="center"/>
          </w:tcPr>
          <w:p w14:paraId="7196449C">
            <w:pPr>
              <w:spacing w:line="360" w:lineRule="exact"/>
              <w:textAlignment w:val="baseline"/>
              <w:rPr>
                <w:rFonts w:ascii="宋体" w:hAnsi="宋体" w:cs="宋体"/>
                <w:b w:val="0"/>
                <w:bCs w:val="0"/>
                <w:color w:val="auto"/>
                <w:kern w:val="0"/>
                <w:sz w:val="20"/>
                <w:szCs w:val="21"/>
                <w:highlight w:val="none"/>
              </w:rPr>
            </w:pPr>
            <w:r>
              <w:rPr>
                <w:rFonts w:hint="eastAsia" w:ascii="宋体" w:hAnsi="宋体" w:cs="宋体"/>
                <w:b w:val="0"/>
                <w:bCs w:val="0"/>
                <w:color w:val="auto"/>
                <w:kern w:val="0"/>
                <w:szCs w:val="21"/>
                <w:highlight w:val="none"/>
              </w:rPr>
              <w:t>未注册加入浙江省政府采购</w:t>
            </w:r>
            <w:r>
              <w:rPr>
                <w:rFonts w:hint="eastAsia" w:ascii="宋体" w:hAnsi="宋体" w:cs="宋体"/>
                <w:b w:val="0"/>
                <w:bCs w:val="0"/>
                <w:color w:val="auto"/>
                <w:kern w:val="0"/>
                <w:szCs w:val="21"/>
                <w:highlight w:val="none"/>
                <w:lang w:eastAsia="zh-CN"/>
              </w:rPr>
              <w:t>供应商</w:t>
            </w:r>
            <w:r>
              <w:rPr>
                <w:rFonts w:hint="eastAsia" w:ascii="宋体" w:hAnsi="宋体" w:cs="宋体"/>
                <w:b w:val="0"/>
                <w:bCs w:val="0"/>
                <w:color w:val="auto"/>
                <w:kern w:val="0"/>
                <w:szCs w:val="21"/>
                <w:highlight w:val="none"/>
              </w:rPr>
              <w:t>库的</w:t>
            </w:r>
            <w:r>
              <w:rPr>
                <w:rFonts w:hint="eastAsia" w:ascii="宋体" w:hAnsi="宋体" w:cs="宋体"/>
                <w:b w:val="0"/>
                <w:bCs w:val="0"/>
                <w:color w:val="auto"/>
                <w:kern w:val="0"/>
                <w:szCs w:val="21"/>
                <w:highlight w:val="none"/>
                <w:lang w:eastAsia="zh-CN"/>
              </w:rPr>
              <w:t>供应商</w:t>
            </w:r>
            <w:r>
              <w:rPr>
                <w:rFonts w:hint="eastAsia" w:ascii="宋体" w:hAnsi="宋体" w:cs="宋体"/>
                <w:b w:val="0"/>
                <w:bCs w:val="0"/>
                <w:color w:val="auto"/>
                <w:kern w:val="0"/>
                <w:szCs w:val="21"/>
                <w:highlight w:val="none"/>
              </w:rPr>
              <w:t>一旦被确定为中标人的，应当在《中标通知书》发出前的三个工作日内按《关于印发浙江省政府</w:t>
            </w:r>
            <w:r>
              <w:rPr>
                <w:rFonts w:hint="eastAsia" w:ascii="宋体" w:hAnsi="宋体" w:cs="宋体"/>
                <w:b w:val="0"/>
                <w:bCs w:val="0"/>
                <w:color w:val="auto"/>
                <w:kern w:val="0"/>
                <w:szCs w:val="21"/>
                <w:highlight w:val="none"/>
                <w:lang w:eastAsia="zh-CN"/>
              </w:rPr>
              <w:t>供应商</w:t>
            </w:r>
            <w:r>
              <w:rPr>
                <w:rFonts w:hint="eastAsia" w:ascii="宋体" w:hAnsi="宋体" w:cs="宋体"/>
                <w:b w:val="0"/>
                <w:bCs w:val="0"/>
                <w:color w:val="auto"/>
                <w:kern w:val="0"/>
                <w:szCs w:val="21"/>
                <w:highlight w:val="none"/>
              </w:rPr>
              <w:t>注册及诚信管理暂行办法通知》[浙财采监字〔2009〕28号]文件的规定进行注册申请，否则，采购单位将拒绝向其发出《中标通知书》，视为未中标。</w:t>
            </w:r>
          </w:p>
        </w:tc>
      </w:tr>
      <w:tr w14:paraId="21978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6" w:hRule="atLeast"/>
          <w:jc w:val="center"/>
        </w:trPr>
        <w:tc>
          <w:tcPr>
            <w:tcW w:w="699" w:type="dxa"/>
            <w:vAlign w:val="center"/>
          </w:tcPr>
          <w:p w14:paraId="4435A919">
            <w:pPr>
              <w:pStyle w:val="30"/>
              <w:spacing w:line="360" w:lineRule="exact"/>
              <w:ind w:left="0" w:leftChars="0" w:firstLine="0" w:firstLineChars="0"/>
              <w:jc w:val="center"/>
              <w:textAlignment w:val="baseline"/>
              <w:rPr>
                <w:rFonts w:hint="eastAsia" w:ascii="宋体" w:hAnsi="宋体" w:eastAsia="宋体"/>
                <w:color w:val="auto"/>
                <w:highlight w:val="none"/>
                <w:lang w:eastAsia="zh-CN"/>
              </w:rPr>
            </w:pPr>
            <w:r>
              <w:rPr>
                <w:rFonts w:hint="eastAsia" w:ascii="宋体" w:hAnsi="宋体" w:eastAsia="宋体"/>
                <w:color w:val="auto"/>
                <w:highlight w:val="none"/>
              </w:rPr>
              <w:t>2</w:t>
            </w:r>
            <w:r>
              <w:rPr>
                <w:rFonts w:hint="eastAsia" w:ascii="宋体" w:hAnsi="宋体" w:eastAsia="宋体"/>
                <w:color w:val="auto"/>
                <w:highlight w:val="none"/>
                <w:lang w:val="en-US" w:eastAsia="zh-CN"/>
              </w:rPr>
              <w:t>0</w:t>
            </w:r>
          </w:p>
        </w:tc>
        <w:tc>
          <w:tcPr>
            <w:tcW w:w="2708" w:type="dxa"/>
            <w:vAlign w:val="center"/>
          </w:tcPr>
          <w:p w14:paraId="14C8E01F">
            <w:pPr>
              <w:pStyle w:val="9"/>
              <w:snapToGrid w:val="0"/>
              <w:spacing w:before="0" w:line="360" w:lineRule="exact"/>
              <w:textAlignment w:val="baseline"/>
              <w:rPr>
                <w:rFonts w:ascii="宋体" w:hAnsi="宋体" w:eastAsia="宋体" w:cs="宋体"/>
                <w:b w:val="0"/>
                <w:bCs w:val="0"/>
                <w:color w:val="auto"/>
                <w:highlight w:val="none"/>
              </w:rPr>
            </w:pPr>
            <w:r>
              <w:rPr>
                <w:rFonts w:hint="eastAsia" w:ascii="宋体" w:hAnsi="宋体" w:eastAsia="宋体" w:cs="宋体"/>
                <w:b w:val="0"/>
                <w:bCs w:val="0"/>
                <w:color w:val="auto"/>
                <w:kern w:val="2"/>
                <w:sz w:val="21"/>
                <w:highlight w:val="none"/>
              </w:rPr>
              <w:t>磋商供应商信用查询</w:t>
            </w:r>
          </w:p>
        </w:tc>
        <w:tc>
          <w:tcPr>
            <w:tcW w:w="7092" w:type="dxa"/>
            <w:vAlign w:val="center"/>
          </w:tcPr>
          <w:p w14:paraId="5F12645A">
            <w:pPr>
              <w:pStyle w:val="9"/>
              <w:snapToGrid w:val="0"/>
              <w:spacing w:before="0" w:line="360" w:lineRule="exact"/>
              <w:textAlignment w:val="baseline"/>
              <w:rPr>
                <w:rFonts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根据《关于在政府采购活动中查询及使用信用记录有关问题的通知》财库[2016]125号的规定：</w:t>
            </w:r>
          </w:p>
          <w:p w14:paraId="64912D76">
            <w:pPr>
              <w:pStyle w:val="9"/>
              <w:snapToGrid w:val="0"/>
              <w:spacing w:before="0" w:line="360" w:lineRule="exact"/>
              <w:textAlignment w:val="baseline"/>
              <w:rPr>
                <w:rFonts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1）采购代理机构将对本项目投标供应商的信用信息进行查询和甄别，查询渠道为信用中国网站（www.creditchina.gov.cn）、中国政府采购网（www.ccgp.gov.cn）。</w:t>
            </w:r>
          </w:p>
          <w:p w14:paraId="25C8E55D">
            <w:pPr>
              <w:pStyle w:val="9"/>
              <w:snapToGrid w:val="0"/>
              <w:spacing w:before="0" w:line="360" w:lineRule="exact"/>
              <w:textAlignment w:val="baseline"/>
              <w:rPr>
                <w:rFonts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2）截止时点：提交投标文件（响应文件）截止时间前3年内。</w:t>
            </w:r>
          </w:p>
          <w:p w14:paraId="742FFAEA">
            <w:pPr>
              <w:pStyle w:val="9"/>
              <w:snapToGrid w:val="0"/>
              <w:spacing w:before="0" w:line="360" w:lineRule="exact"/>
              <w:textAlignment w:val="baseline"/>
              <w:rPr>
                <w:rFonts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3）信用信息查询记录和证据以网页截图方式留存。</w:t>
            </w:r>
          </w:p>
          <w:p w14:paraId="04A2435B">
            <w:pPr>
              <w:pStyle w:val="9"/>
              <w:snapToGrid w:val="0"/>
              <w:spacing w:before="0" w:line="360" w:lineRule="exact"/>
              <w:textAlignment w:val="baseline"/>
              <w:rPr>
                <w:rFonts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4）不良信用记录指：1.被列入信用中国网站“失信被执行人”“重大税收违法案件当事人”名单； 2.被列入中国政府采购网政府采购严重违法失信行为记录名单；</w:t>
            </w:r>
          </w:p>
          <w:p w14:paraId="4FFED7C2">
            <w:pPr>
              <w:pStyle w:val="9"/>
              <w:snapToGrid w:val="0"/>
              <w:spacing w:before="0" w:line="360" w:lineRule="exact"/>
              <w:textAlignment w:val="baseline"/>
              <w:rPr>
                <w:rFonts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5）信用信息的使用规则：供应商存在不良信用记录的，其投标文件将被拒绝。</w:t>
            </w:r>
          </w:p>
          <w:p w14:paraId="79F5F71E">
            <w:pPr>
              <w:spacing w:line="360" w:lineRule="exact"/>
              <w:jc w:val="left"/>
              <w:textAlignment w:val="baseline"/>
              <w:rPr>
                <w:rFonts w:ascii="宋体" w:hAnsi="宋体" w:cs="宋体"/>
                <w:b w:val="0"/>
                <w:bCs w:val="0"/>
                <w:color w:val="auto"/>
                <w:kern w:val="0"/>
                <w:sz w:val="20"/>
                <w:szCs w:val="21"/>
                <w:highlight w:val="none"/>
              </w:rPr>
            </w:pPr>
            <w:r>
              <w:rPr>
                <w:rFonts w:hint="eastAsia" w:ascii="宋体" w:hAnsi="宋体" w:cs="宋体"/>
                <w:b w:val="0"/>
                <w:bCs w:val="0"/>
                <w:color w:val="auto"/>
                <w:highlight w:val="none"/>
              </w:rPr>
              <w:t>6）如允许联合体投标的，联合体成员存在不良信用记录视同联合体存在不良信用记录。</w:t>
            </w:r>
          </w:p>
        </w:tc>
      </w:tr>
      <w:tr w14:paraId="1CE7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99" w:type="dxa"/>
            <w:vAlign w:val="center"/>
          </w:tcPr>
          <w:p w14:paraId="1758812F">
            <w:pPr>
              <w:pStyle w:val="12"/>
              <w:ind w:firstLine="0" w:firstLineChars="0"/>
              <w:jc w:val="center"/>
              <w:rPr>
                <w:rFonts w:hint="default" w:ascii="宋体" w:hAnsi="宋体" w:eastAsia="宋体" w:cs="宋体"/>
                <w:color w:val="auto"/>
                <w:highlight w:val="none"/>
                <w:lang w:val="en-US" w:eastAsia="zh-CN"/>
              </w:rPr>
            </w:pPr>
            <w:r>
              <w:rPr>
                <w:rFonts w:hint="eastAsia" w:ascii="宋体" w:hAnsi="宋体" w:cs="宋体"/>
                <w:color w:val="auto"/>
                <w:sz w:val="21"/>
                <w:szCs w:val="21"/>
                <w:highlight w:val="none"/>
                <w:lang w:val="en-US" w:eastAsia="zh-CN"/>
              </w:rPr>
              <w:t>21</w:t>
            </w:r>
          </w:p>
        </w:tc>
        <w:tc>
          <w:tcPr>
            <w:tcW w:w="2708" w:type="dxa"/>
            <w:vAlign w:val="center"/>
          </w:tcPr>
          <w:p w14:paraId="6AF4C6F7">
            <w:pPr>
              <w:pStyle w:val="28"/>
              <w:spacing w:beforeAutospacing="0" w:afterAutospacing="0" w:line="360" w:lineRule="exact"/>
              <w:jc w:val="center"/>
              <w:rPr>
                <w:rFonts w:cs="宋体"/>
                <w:color w:val="auto"/>
                <w:kern w:val="2"/>
                <w:sz w:val="21"/>
                <w:szCs w:val="21"/>
                <w:highlight w:val="none"/>
              </w:rPr>
            </w:pPr>
            <w:r>
              <w:rPr>
                <w:rFonts w:hint="eastAsia" w:cs="宋体"/>
                <w:color w:val="auto"/>
                <w:kern w:val="2"/>
                <w:sz w:val="21"/>
                <w:szCs w:val="21"/>
                <w:highlight w:val="none"/>
              </w:rPr>
              <w:t>本项目落实的政府</w:t>
            </w:r>
          </w:p>
          <w:p w14:paraId="39490D73">
            <w:pPr>
              <w:pStyle w:val="28"/>
              <w:spacing w:beforeAutospacing="0" w:afterAutospacing="0" w:line="360" w:lineRule="exact"/>
              <w:jc w:val="center"/>
              <w:rPr>
                <w:rFonts w:ascii="宋体" w:hAnsi="宋体" w:eastAsia="宋体" w:cs="宋体"/>
                <w:b w:val="0"/>
                <w:bCs w:val="0"/>
                <w:color w:val="auto"/>
                <w:kern w:val="2"/>
                <w:sz w:val="21"/>
                <w:highlight w:val="none"/>
              </w:rPr>
            </w:pPr>
            <w:r>
              <w:rPr>
                <w:rFonts w:hint="eastAsia" w:cs="宋体"/>
                <w:color w:val="auto"/>
                <w:kern w:val="2"/>
                <w:sz w:val="21"/>
                <w:szCs w:val="21"/>
                <w:highlight w:val="none"/>
              </w:rPr>
              <w:t>采购政策</w:t>
            </w:r>
          </w:p>
        </w:tc>
        <w:tc>
          <w:tcPr>
            <w:tcW w:w="7092" w:type="dxa"/>
            <w:vAlign w:val="center"/>
          </w:tcPr>
          <w:p w14:paraId="3B402960">
            <w:pPr>
              <w:pStyle w:val="28"/>
              <w:numPr>
                <w:ilvl w:val="0"/>
                <w:numId w:val="7"/>
              </w:numPr>
              <w:tabs>
                <w:tab w:val="left" w:pos="6930"/>
              </w:tabs>
              <w:spacing w:beforeAutospacing="0" w:afterAutospacing="0" w:line="360" w:lineRule="exact"/>
              <w:rPr>
                <w:rFonts w:cs="宋体"/>
                <w:color w:val="auto"/>
                <w:sz w:val="21"/>
                <w:szCs w:val="21"/>
                <w:highlight w:val="none"/>
              </w:rPr>
            </w:pPr>
            <w:r>
              <w:rPr>
                <w:rFonts w:hint="eastAsia" w:cs="宋体"/>
                <w:color w:val="auto"/>
                <w:sz w:val="21"/>
                <w:szCs w:val="21"/>
                <w:highlight w:val="none"/>
              </w:rPr>
              <w:t>政府采购促进中小企业发展扶持政策</w:t>
            </w:r>
          </w:p>
          <w:p w14:paraId="5D704AF3">
            <w:pPr>
              <w:pStyle w:val="28"/>
              <w:tabs>
                <w:tab w:val="left" w:pos="6930"/>
              </w:tabs>
              <w:spacing w:beforeAutospacing="0" w:afterAutospacing="0" w:line="360" w:lineRule="exact"/>
              <w:rPr>
                <w:rFonts w:cs="宋体"/>
                <w:b/>
                <w:bCs/>
                <w:color w:val="auto"/>
                <w:sz w:val="21"/>
                <w:szCs w:val="21"/>
                <w:highlight w:val="none"/>
              </w:rPr>
            </w:pPr>
            <w:r>
              <w:rPr>
                <w:rFonts w:hint="eastAsia" w:cs="宋体"/>
                <w:color w:val="auto"/>
                <w:sz w:val="21"/>
                <w:szCs w:val="21"/>
                <w:highlight w:val="none"/>
              </w:rPr>
              <w:t>1.根据《政府采购促进中小企业发展管理办法》（财库[2020]46 号）、《财政部、司法部关于政府采购支持监狱企业发展有关问题的通知》（财库〔2014〕68号）、《关于促进残疾人就业政府采购政策的通知》（财库〔2017〕141号）、《关于进一步发挥政府采购政策功能全力推动经济稳进提质的通知》（浙财采监〔2022〕3号）规定及《浙江省财政厅关于进一步加大政府采购支持中小企业力度 助力扎实稳住经济的通知》（浙财采监〔2022〕8号），本项目对小型或微型企业执行价格扣除优惠政策（符合规定条件的监狱企业或残疾人福利性单位视同小微企业），具体措施为：对小型和微型企业（监狱企业、残疾人福利性单位）制造的货物或承接的服务报价给予</w:t>
            </w:r>
            <w:r>
              <w:rPr>
                <w:rFonts w:hint="eastAsia" w:cs="宋体"/>
                <w:color w:val="auto"/>
                <w:sz w:val="21"/>
                <w:szCs w:val="21"/>
                <w:highlight w:val="none"/>
                <w:lang w:val="en-US" w:eastAsia="zh-CN"/>
              </w:rPr>
              <w:t>1</w:t>
            </w:r>
            <w:r>
              <w:rPr>
                <w:rFonts w:hint="eastAsia" w:cs="宋体"/>
                <w:color w:val="auto"/>
                <w:sz w:val="21"/>
                <w:szCs w:val="21"/>
                <w:highlight w:val="none"/>
              </w:rPr>
              <w:t>0%的扣除、承建的工程项目报价给予5%的扣除；对于联合体协议或者分包意向协议约定小微企业的合同份额占到合同总金额30%以上的，对于联合体或者大中型企业制造的货物或承接的服务报价给予6%的扣除、承建的工程项目报价给予2%的扣除。用扣除后的价格参加报价分评审，欢迎符合规定的供应商参与本项目采购活动。</w:t>
            </w:r>
            <w:r>
              <w:rPr>
                <w:rFonts w:hint="eastAsia" w:cs="宋体"/>
                <w:b/>
                <w:bCs/>
                <w:color w:val="auto"/>
                <w:sz w:val="21"/>
                <w:szCs w:val="21"/>
                <w:highlight w:val="none"/>
              </w:rPr>
              <w:t>专门面向中小企业采购的项目或者采购包，不再执行价格评审优惠的扶持政策。</w:t>
            </w:r>
          </w:p>
          <w:p w14:paraId="64C4A595">
            <w:pPr>
              <w:pStyle w:val="28"/>
              <w:tabs>
                <w:tab w:val="left" w:pos="6930"/>
              </w:tabs>
              <w:spacing w:beforeAutospacing="0" w:afterAutospacing="0" w:line="360" w:lineRule="exact"/>
              <w:rPr>
                <w:rFonts w:cs="宋体"/>
                <w:color w:val="auto"/>
                <w:sz w:val="21"/>
                <w:szCs w:val="21"/>
                <w:highlight w:val="none"/>
              </w:rPr>
            </w:pPr>
            <w:r>
              <w:rPr>
                <w:rFonts w:hint="eastAsia" w:cs="宋体"/>
                <w:color w:val="auto"/>
                <w:sz w:val="21"/>
                <w:szCs w:val="21"/>
                <w:highlight w:val="none"/>
              </w:rPr>
              <w:t>2.满足相关规定且有意享受价格扣除优惠政策的供应商，应当根据自身企业类型或所投产品制造商企业类型不同，按采购文件要求分别如实填写并提供证明材料供评审小组核实、认定，经评审小组认定填写内容错误或未提供所需证明材料的，不给予评标价格扣除。</w:t>
            </w:r>
          </w:p>
          <w:p w14:paraId="358B6D14">
            <w:pPr>
              <w:pStyle w:val="28"/>
              <w:tabs>
                <w:tab w:val="left" w:pos="6930"/>
              </w:tabs>
              <w:spacing w:beforeAutospacing="0" w:afterAutospacing="0" w:line="360" w:lineRule="exact"/>
              <w:rPr>
                <w:rFonts w:cs="宋体"/>
                <w:color w:val="auto"/>
                <w:sz w:val="21"/>
                <w:szCs w:val="21"/>
                <w:highlight w:val="none"/>
              </w:rPr>
            </w:pPr>
            <w:r>
              <w:rPr>
                <w:rFonts w:hint="eastAsia" w:cs="宋体"/>
                <w:color w:val="auto"/>
                <w:sz w:val="21"/>
                <w:szCs w:val="21"/>
                <w:highlight w:val="none"/>
              </w:rPr>
              <w:t>3.依据《政府采购促进中小企业发展管理办法》（财库〔2020〕46号）规定享受价格扣除优惠政策而中标（成交）获得政府采购合同的小微企业，不得将合同分包给大中型企业。否则按提供虚假材料谋取中标（成交）处理。</w:t>
            </w:r>
          </w:p>
          <w:p w14:paraId="2239098C">
            <w:pPr>
              <w:pStyle w:val="28"/>
              <w:tabs>
                <w:tab w:val="left" w:pos="6930"/>
              </w:tabs>
              <w:spacing w:beforeAutospacing="0" w:afterAutospacing="0" w:line="360" w:lineRule="exact"/>
              <w:rPr>
                <w:rFonts w:cs="宋体"/>
                <w:color w:val="auto"/>
                <w:sz w:val="21"/>
                <w:szCs w:val="21"/>
                <w:highlight w:val="none"/>
              </w:rPr>
            </w:pPr>
            <w:r>
              <w:rPr>
                <w:rFonts w:hint="eastAsia" w:cs="宋体"/>
                <w:color w:val="auto"/>
                <w:sz w:val="21"/>
                <w:szCs w:val="21"/>
                <w:highlight w:val="none"/>
              </w:rPr>
              <w:t>4.本采购文件所称中小企业，是指在中华人民共和国境内依法设立，依据国务院批准的中小企业划分标准确定的中型企业、小型企业和微型企业，但与大企业的负责人为同一人，或者与大企业存在直接控股、管理关系的除外。符合小微企业划分标准的个体工商户，视同小微企业。</w:t>
            </w:r>
          </w:p>
          <w:p w14:paraId="5C93763C">
            <w:pPr>
              <w:pStyle w:val="28"/>
              <w:tabs>
                <w:tab w:val="left" w:pos="6930"/>
              </w:tabs>
              <w:spacing w:beforeAutospacing="0" w:afterAutospacing="0" w:line="360" w:lineRule="exact"/>
              <w:rPr>
                <w:rFonts w:cs="宋体"/>
                <w:color w:val="auto"/>
                <w:sz w:val="21"/>
                <w:szCs w:val="21"/>
                <w:highlight w:val="none"/>
              </w:rPr>
            </w:pPr>
            <w:r>
              <w:rPr>
                <w:rFonts w:hint="eastAsia" w:cs="宋体"/>
                <w:color w:val="auto"/>
                <w:sz w:val="21"/>
                <w:szCs w:val="21"/>
                <w:highlight w:val="none"/>
              </w:rPr>
              <w:t>二、政府采购节能环保政策（适用于货物采购项目）</w:t>
            </w:r>
          </w:p>
          <w:p w14:paraId="52443856">
            <w:pPr>
              <w:pStyle w:val="28"/>
              <w:tabs>
                <w:tab w:val="left" w:pos="6930"/>
              </w:tabs>
              <w:spacing w:beforeAutospacing="0" w:afterAutospacing="0" w:line="360" w:lineRule="exact"/>
              <w:rPr>
                <w:rFonts w:cs="宋体"/>
                <w:color w:val="auto"/>
                <w:sz w:val="21"/>
                <w:szCs w:val="21"/>
                <w:highlight w:val="none"/>
              </w:rPr>
            </w:pPr>
            <w:r>
              <w:rPr>
                <w:rFonts w:hint="eastAsia" w:cs="宋体"/>
                <w:color w:val="auto"/>
                <w:sz w:val="21"/>
                <w:szCs w:val="21"/>
                <w:highlight w:val="none"/>
              </w:rPr>
              <w:t>1.根据《关于调整优化节能产品、环境标志产品政府采购执行机制的通知》（财库〔 2019 〕9号）规定，采购需求产品在《环境标志产品政府采购品目清单》范围内或在《节能产品政府采购品目清单》中属于未标注“★”的一般节能产品的，实施优先采购。供应商提供的产品属于节能、环保产品且按照采购文件要求提供国家确定的认证机构出具的、处于有效期之内的《环境标志产品认证证书》或《节能产品认证证书》的，将依据评审标准给予其相应得分。认证机构范围以《市场监管总局关于发布参与实施政府采购节能产品、环境标志产品认证机构名录的公告》中公布的认证机构名录为准。</w:t>
            </w:r>
          </w:p>
          <w:p w14:paraId="2416035C">
            <w:pPr>
              <w:pStyle w:val="28"/>
              <w:tabs>
                <w:tab w:val="left" w:pos="6930"/>
              </w:tabs>
              <w:spacing w:beforeAutospacing="0" w:afterAutospacing="0" w:line="360" w:lineRule="exact"/>
              <w:rPr>
                <w:rFonts w:ascii="宋体" w:hAnsi="宋体" w:cs="宋体"/>
                <w:color w:val="auto"/>
                <w:szCs w:val="24"/>
                <w:highlight w:val="none"/>
              </w:rPr>
            </w:pPr>
            <w:r>
              <w:rPr>
                <w:rFonts w:hint="eastAsia" w:cs="宋体"/>
                <w:color w:val="auto"/>
                <w:sz w:val="21"/>
                <w:szCs w:val="21"/>
                <w:highlight w:val="none"/>
              </w:rPr>
              <w:t>2.采购需求产品属于《节能产品政府采购品目清单》中标注“ ★ ”的节能产品的，实施强制采购。供应商应当根据采购文件要求提供国家确定的认证机构（范围同上一条）出具的、处于有效期之内的《节能产品认证证书》，否则按无效响应处理。</w:t>
            </w:r>
          </w:p>
        </w:tc>
      </w:tr>
      <w:tr w14:paraId="31FD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9" w:type="dxa"/>
            <w:vAlign w:val="center"/>
          </w:tcPr>
          <w:p w14:paraId="0B8CE3B8">
            <w:pPr>
              <w:pStyle w:val="12"/>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22</w:t>
            </w:r>
          </w:p>
        </w:tc>
        <w:tc>
          <w:tcPr>
            <w:tcW w:w="2708" w:type="dxa"/>
            <w:vAlign w:val="center"/>
          </w:tcPr>
          <w:p w14:paraId="1DE1FD4C">
            <w:pPr>
              <w:pStyle w:val="9"/>
              <w:keepNext w:val="0"/>
              <w:keepLines w:val="0"/>
              <w:pageBreakBefore w:val="0"/>
              <w:kinsoku/>
              <w:overflowPunct/>
              <w:topLinePunct w:val="0"/>
              <w:bidi w:val="0"/>
              <w:snapToGrid w:val="0"/>
              <w:spacing w:before="0" w:line="300" w:lineRule="auto"/>
              <w:jc w:val="center"/>
              <w:rPr>
                <w:rFonts w:hint="eastAsia"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专门面向中小企业预留采购份额情况</w:t>
            </w:r>
          </w:p>
        </w:tc>
        <w:tc>
          <w:tcPr>
            <w:tcW w:w="7092" w:type="dxa"/>
            <w:vAlign w:val="center"/>
          </w:tcPr>
          <w:p w14:paraId="422D22DA">
            <w:pPr>
              <w:pStyle w:val="28"/>
              <w:keepNext w:val="0"/>
              <w:keepLines w:val="0"/>
              <w:pageBreakBefore w:val="0"/>
              <w:tabs>
                <w:tab w:val="left" w:pos="6930"/>
              </w:tabs>
              <w:kinsoku/>
              <w:overflowPunct/>
              <w:topLinePunct w:val="0"/>
              <w:bidi w:val="0"/>
              <w:spacing w:beforeAutospacing="0" w:after="0" w:afterAutospacing="0" w:line="300" w:lineRule="auto"/>
              <w:rPr>
                <w:rFonts w:hint="eastAsia" w:ascii="宋体" w:hAnsi="宋体" w:cs="宋体"/>
                <w:color w:val="auto"/>
                <w:highlight w:val="none"/>
                <w:lang w:val="en-US" w:eastAsia="zh-CN"/>
              </w:rPr>
            </w:pPr>
            <w:r>
              <w:rPr>
                <w:rFonts w:hint="eastAsia" w:cs="宋体"/>
                <w:b/>
                <w:bCs/>
                <w:color w:val="auto"/>
                <w:sz w:val="21"/>
                <w:szCs w:val="21"/>
                <w:highlight w:val="none"/>
              </w:rPr>
              <w:t>本项目</w:t>
            </w:r>
            <w:r>
              <w:rPr>
                <w:rFonts w:hint="eastAsia" w:cs="宋体"/>
                <w:b/>
                <w:bCs/>
                <w:color w:val="auto"/>
                <w:sz w:val="21"/>
                <w:szCs w:val="21"/>
                <w:highlight w:val="none"/>
                <w:lang w:eastAsia="zh-CN"/>
              </w:rPr>
              <w:t>【</w:t>
            </w:r>
            <w:r>
              <w:rPr>
                <w:rFonts w:hint="eastAsia" w:cs="宋体"/>
                <w:b w:val="0"/>
                <w:bCs w:val="0"/>
                <w:color w:val="auto"/>
                <w:sz w:val="21"/>
                <w:szCs w:val="21"/>
                <w:highlight w:val="none"/>
                <w:lang w:eastAsia="zh-CN"/>
              </w:rPr>
              <w:t>（</w:t>
            </w:r>
            <w:r>
              <w:rPr>
                <w:rFonts w:hint="eastAsia" w:cs="宋体"/>
                <w:b w:val="0"/>
                <w:bCs w:val="0"/>
                <w:color w:val="auto"/>
                <w:sz w:val="21"/>
                <w:szCs w:val="21"/>
                <w:highlight w:val="none"/>
                <w:lang w:val="en-US" w:eastAsia="zh-CN"/>
              </w:rPr>
              <w:t xml:space="preserve"> </w:t>
            </w:r>
            <w:r>
              <w:rPr>
                <w:rFonts w:hint="default" w:ascii="Arial" w:hAnsi="Arial" w:cs="Arial"/>
                <w:b w:val="0"/>
                <w:bCs w:val="0"/>
                <w:color w:val="auto"/>
                <w:sz w:val="21"/>
                <w:szCs w:val="21"/>
                <w:highlight w:val="none"/>
                <w:lang w:eastAsia="zh-CN"/>
              </w:rPr>
              <w:t>√</w:t>
            </w:r>
            <w:r>
              <w:rPr>
                <w:rFonts w:hint="eastAsia" w:cs="宋体"/>
                <w:b w:val="0"/>
                <w:bCs w:val="0"/>
                <w:color w:val="auto"/>
                <w:sz w:val="21"/>
                <w:szCs w:val="21"/>
                <w:highlight w:val="none"/>
                <w:lang w:eastAsia="zh-CN"/>
              </w:rPr>
              <w:t>）</w:t>
            </w:r>
            <w:r>
              <w:rPr>
                <w:rFonts w:hint="eastAsia" w:cs="宋体"/>
                <w:b/>
                <w:bCs/>
                <w:color w:val="auto"/>
                <w:sz w:val="21"/>
                <w:szCs w:val="21"/>
                <w:highlight w:val="none"/>
                <w:lang w:eastAsia="zh-CN"/>
              </w:rPr>
              <w:t>是</w:t>
            </w:r>
            <w:r>
              <w:rPr>
                <w:rFonts w:hint="eastAsia" w:cs="宋体"/>
                <w:b w:val="0"/>
                <w:bCs w:val="0"/>
                <w:color w:val="auto"/>
                <w:sz w:val="21"/>
                <w:szCs w:val="21"/>
                <w:highlight w:val="none"/>
                <w:lang w:eastAsia="zh-CN"/>
              </w:rPr>
              <w:t>（）</w:t>
            </w:r>
            <w:r>
              <w:rPr>
                <w:rFonts w:hint="eastAsia" w:cs="宋体"/>
                <w:b/>
                <w:bCs/>
                <w:color w:val="auto"/>
                <w:sz w:val="21"/>
                <w:szCs w:val="21"/>
                <w:highlight w:val="none"/>
                <w:lang w:eastAsia="zh-CN"/>
              </w:rPr>
              <w:t>非】</w:t>
            </w:r>
            <w:r>
              <w:rPr>
                <w:rFonts w:hint="eastAsia" w:cs="宋体"/>
                <w:b/>
                <w:bCs/>
                <w:color w:val="auto"/>
                <w:sz w:val="21"/>
                <w:szCs w:val="21"/>
                <w:highlight w:val="none"/>
              </w:rPr>
              <w:t>预留（或部分预留）份额专门面向中小企业采购的采购项目。</w:t>
            </w:r>
          </w:p>
        </w:tc>
      </w:tr>
      <w:tr w14:paraId="0CB9E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699" w:type="dxa"/>
            <w:vAlign w:val="center"/>
          </w:tcPr>
          <w:p w14:paraId="23903881">
            <w:pPr>
              <w:pStyle w:val="12"/>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23</w:t>
            </w:r>
          </w:p>
        </w:tc>
        <w:tc>
          <w:tcPr>
            <w:tcW w:w="2708" w:type="dxa"/>
            <w:vAlign w:val="center"/>
          </w:tcPr>
          <w:p w14:paraId="43B5233D">
            <w:pPr>
              <w:pStyle w:val="9"/>
              <w:keepNext w:val="0"/>
              <w:keepLines w:val="0"/>
              <w:pageBreakBefore w:val="0"/>
              <w:kinsoku/>
              <w:overflowPunct/>
              <w:topLinePunct w:val="0"/>
              <w:bidi w:val="0"/>
              <w:snapToGrid/>
              <w:spacing w:before="0" w:line="300" w:lineRule="auto"/>
              <w:jc w:val="center"/>
              <w:rPr>
                <w:rFonts w:hint="eastAsia"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采购标的及对应的中小企业划型标准所属行业</w:t>
            </w:r>
          </w:p>
        </w:tc>
        <w:tc>
          <w:tcPr>
            <w:tcW w:w="7092" w:type="dxa"/>
            <w:vAlign w:val="center"/>
          </w:tcPr>
          <w:p w14:paraId="72E933FC">
            <w:pPr>
              <w:pStyle w:val="28"/>
              <w:keepNext w:val="0"/>
              <w:keepLines w:val="0"/>
              <w:pageBreakBefore w:val="0"/>
              <w:tabs>
                <w:tab w:val="left" w:pos="6930"/>
              </w:tabs>
              <w:kinsoku/>
              <w:overflowPunct/>
              <w:topLinePunct w:val="0"/>
              <w:bidi w:val="0"/>
              <w:snapToGrid/>
              <w:spacing w:beforeAutospacing="0" w:after="0" w:afterAutospacing="0"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本项目采购标的</w:t>
            </w:r>
            <w:r>
              <w:rPr>
                <w:rFonts w:hint="eastAsia" w:ascii="宋体" w:hAnsi="宋体" w:eastAsia="宋体" w:cs="宋体"/>
                <w:color w:val="auto"/>
                <w:sz w:val="21"/>
                <w:szCs w:val="21"/>
                <w:highlight w:val="none"/>
                <w:lang w:val="en-US" w:eastAsia="zh-CN"/>
              </w:rPr>
              <w:t>内容</w:t>
            </w:r>
            <w:r>
              <w:rPr>
                <w:rFonts w:hint="eastAsia" w:ascii="宋体" w:hAnsi="宋体" w:eastAsia="宋体" w:cs="宋体"/>
                <w:color w:val="auto"/>
                <w:sz w:val="21"/>
                <w:szCs w:val="21"/>
                <w:highlight w:val="none"/>
              </w:rPr>
              <w:t>为</w:t>
            </w:r>
            <w:r>
              <w:rPr>
                <w:rFonts w:hint="eastAsia" w:ascii="宋体" w:hAnsi="宋体" w:cs="宋体"/>
                <w:b/>
                <w:bCs/>
                <w:color w:val="auto"/>
                <w:sz w:val="21"/>
                <w:szCs w:val="21"/>
                <w:highlight w:val="none"/>
                <w:u w:val="single"/>
                <w:lang w:eastAsia="zh-CN"/>
              </w:rPr>
              <w:t>常山县招贤镇2024-2025年松材线虫病枯死松树第二轮清理</w:t>
            </w:r>
            <w:r>
              <w:rPr>
                <w:rFonts w:hint="eastAsia" w:ascii="宋体" w:hAnsi="宋体" w:eastAsia="宋体" w:cs="宋体"/>
                <w:color w:val="auto"/>
                <w:sz w:val="21"/>
                <w:szCs w:val="21"/>
                <w:highlight w:val="none"/>
              </w:rPr>
              <w:t>。根据《关于印发中小企业划型标准规定的</w:t>
            </w:r>
            <w:r>
              <w:rPr>
                <w:rFonts w:hint="eastAsia" w:ascii="宋体" w:hAnsi="宋体" w:eastAsia="宋体" w:cs="宋体"/>
                <w:bCs/>
                <w:color w:val="auto"/>
                <w:sz w:val="21"/>
                <w:szCs w:val="21"/>
                <w:highlight w:val="none"/>
              </w:rPr>
              <w:t>通知</w:t>
            </w:r>
            <w:r>
              <w:rPr>
                <w:rFonts w:hint="eastAsia" w:ascii="宋体" w:hAnsi="宋体" w:eastAsia="宋体" w:cs="宋体"/>
                <w:color w:val="auto"/>
                <w:sz w:val="21"/>
                <w:szCs w:val="21"/>
                <w:highlight w:val="none"/>
              </w:rPr>
              <w:t>》（工信部联企业〔2011〕300号），对应的中小企业划型标准所属行业</w:t>
            </w:r>
            <w:r>
              <w:rPr>
                <w:rFonts w:hint="eastAsia" w:ascii="宋体" w:hAnsi="宋体" w:eastAsia="宋体" w:cs="宋体"/>
                <w:color w:val="auto"/>
                <w:sz w:val="21"/>
                <w:szCs w:val="21"/>
                <w:highlight w:val="none"/>
                <w:lang w:eastAsia="zh-CN"/>
              </w:rPr>
              <w:t>均</w:t>
            </w:r>
            <w:r>
              <w:rPr>
                <w:rFonts w:hint="eastAsia" w:ascii="宋体" w:hAnsi="宋体" w:eastAsia="宋体" w:cs="宋体"/>
                <w:color w:val="auto"/>
                <w:sz w:val="21"/>
                <w:szCs w:val="21"/>
                <w:highlight w:val="none"/>
              </w:rPr>
              <w:t>为</w:t>
            </w:r>
            <w:r>
              <w:rPr>
                <w:rFonts w:hint="eastAsia" w:ascii="宋体" w:hAnsi="宋体" w:eastAsia="宋体" w:cs="宋体"/>
                <w:b/>
                <w:bCs/>
                <w:color w:val="auto"/>
                <w:sz w:val="21"/>
                <w:szCs w:val="21"/>
                <w:highlight w:val="none"/>
                <w:u w:val="single"/>
                <w:lang w:val="en-US" w:eastAsia="zh-CN"/>
              </w:rPr>
              <w:t xml:space="preserve"> 农、林、牧、渔业</w:t>
            </w:r>
            <w:r>
              <w:rPr>
                <w:rFonts w:hint="eastAsia" w:ascii="宋体" w:hAnsi="宋体" w:eastAsia="宋体" w:cs="宋体"/>
                <w:color w:val="auto"/>
                <w:sz w:val="21"/>
                <w:szCs w:val="21"/>
                <w:highlight w:val="none"/>
              </w:rPr>
              <w:t>。</w:t>
            </w:r>
          </w:p>
          <w:p w14:paraId="3BE2929B">
            <w:pPr>
              <w:pStyle w:val="28"/>
              <w:keepNext w:val="0"/>
              <w:keepLines w:val="0"/>
              <w:pageBreakBefore w:val="0"/>
              <w:widowControl/>
              <w:tabs>
                <w:tab w:val="left" w:pos="6930"/>
              </w:tabs>
              <w:kinsoku/>
              <w:wordWrap w:val="0"/>
              <w:overflowPunct/>
              <w:topLinePunct w:val="0"/>
              <w:autoSpaceDE/>
              <w:autoSpaceDN/>
              <w:bidi w:val="0"/>
              <w:adjustRightInd/>
              <w:snapToGrid/>
              <w:spacing w:beforeAutospacing="0" w:after="0" w:afterAutospacing="0" w:line="300" w:lineRule="auto"/>
              <w:textAlignment w:val="auto"/>
              <w:rPr>
                <w:rFonts w:hint="eastAsia" w:ascii="宋体" w:hAnsi="宋体" w:cs="宋体"/>
                <w:color w:val="auto"/>
                <w:highlight w:val="none"/>
                <w:lang w:val="en-US" w:eastAsia="zh-CN"/>
              </w:rPr>
            </w:pPr>
            <w:r>
              <w:rPr>
                <w:rFonts w:hint="eastAsia" w:ascii="宋体" w:hAnsi="宋体" w:eastAsia="宋体" w:cs="宋体"/>
                <w:color w:val="auto"/>
                <w:sz w:val="21"/>
                <w:szCs w:val="21"/>
                <w:highlight w:val="none"/>
              </w:rPr>
              <w:t>供应商可根据工业和信息化部中小企业局《中小企业规模类型自测小程序《中小企业规模类型自测小程序》（</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"http://sme.miit.gov.cn/baosong/appweb/orgScale.html" </w:instrText>
            </w:r>
            <w:r>
              <w:rPr>
                <w:rFonts w:hint="eastAsia" w:ascii="宋体" w:hAnsi="宋体" w:eastAsia="宋体" w:cs="宋体"/>
                <w:color w:val="auto"/>
                <w:highlight w:val="none"/>
              </w:rPr>
              <w:fldChar w:fldCharType="separate"/>
            </w:r>
            <w:r>
              <w:rPr>
                <w:rStyle w:val="36"/>
                <w:rFonts w:hint="eastAsia" w:ascii="宋体" w:hAnsi="宋体" w:eastAsia="宋体" w:cs="宋体"/>
                <w:color w:val="auto"/>
                <w:sz w:val="21"/>
                <w:szCs w:val="21"/>
                <w:highlight w:val="none"/>
              </w:rPr>
              <w:t>http://sme.miit.gov.cn/baosong/appweb/orgScale.html</w:t>
            </w:r>
            <w:r>
              <w:rPr>
                <w:rStyle w:val="36"/>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）结合本项目采购标的对应的中小企业划型标准所属行业和自身（或所投产品</w:t>
            </w:r>
            <w:r>
              <w:rPr>
                <w:rFonts w:hint="eastAsia" w:ascii="宋体" w:hAnsi="宋体" w:eastAsia="宋体" w:cs="宋体"/>
                <w:bCs/>
                <w:color w:val="auto"/>
                <w:sz w:val="21"/>
                <w:szCs w:val="21"/>
                <w:highlight w:val="none"/>
              </w:rPr>
              <w:t>制造商</w:t>
            </w:r>
            <w:r>
              <w:rPr>
                <w:rFonts w:hint="eastAsia" w:ascii="宋体" w:hAnsi="宋体" w:eastAsia="宋体" w:cs="宋体"/>
                <w:color w:val="auto"/>
                <w:sz w:val="21"/>
                <w:szCs w:val="21"/>
                <w:highlight w:val="none"/>
              </w:rPr>
              <w:t>）各项指标自测相关企业规模类型。</w:t>
            </w:r>
          </w:p>
        </w:tc>
      </w:tr>
      <w:tr w14:paraId="0D9B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99" w:type="dxa"/>
            <w:vAlign w:val="center"/>
          </w:tcPr>
          <w:p w14:paraId="4E8C068B">
            <w:pPr>
              <w:pStyle w:val="30"/>
              <w:spacing w:line="360" w:lineRule="exact"/>
              <w:ind w:left="0" w:leftChars="0" w:firstLine="0" w:firstLineChars="0"/>
              <w:jc w:val="center"/>
              <w:textAlignment w:val="baseline"/>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24</w:t>
            </w:r>
          </w:p>
        </w:tc>
        <w:tc>
          <w:tcPr>
            <w:tcW w:w="2708" w:type="dxa"/>
            <w:vAlign w:val="center"/>
          </w:tcPr>
          <w:p w14:paraId="05E51CDA">
            <w:pPr>
              <w:pStyle w:val="9"/>
              <w:snapToGrid w:val="0"/>
              <w:spacing w:before="0" w:line="360" w:lineRule="auto"/>
              <w:jc w:val="center"/>
              <w:textAlignment w:val="baseline"/>
              <w:rPr>
                <w:rFonts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特别说明</w:t>
            </w:r>
          </w:p>
        </w:tc>
        <w:tc>
          <w:tcPr>
            <w:tcW w:w="7092" w:type="dxa"/>
            <w:vAlign w:val="center"/>
          </w:tcPr>
          <w:p w14:paraId="53819B2D">
            <w:pPr>
              <w:rPr>
                <w:highlight w:val="none"/>
              </w:rPr>
            </w:pPr>
            <w:r>
              <w:rPr>
                <w:rFonts w:hint="eastAsia"/>
                <w:highlight w:val="none"/>
              </w:rPr>
              <w:t>中标人应提供与电子投标文件内容一致的纸质投标文件（</w:t>
            </w:r>
            <w:r>
              <w:rPr>
                <w:rFonts w:hint="eastAsia"/>
                <w:highlight w:val="none"/>
                <w:lang w:eastAsia="zh-CN"/>
              </w:rPr>
              <w:t>资格审查文件</w:t>
            </w:r>
            <w:r>
              <w:rPr>
                <w:rFonts w:hint="eastAsia"/>
                <w:highlight w:val="none"/>
              </w:rPr>
              <w:t>、商务技术文件、报价文件）一正三副。中标人在领取中标通知书时提供纸质投标文件。</w:t>
            </w:r>
          </w:p>
        </w:tc>
      </w:tr>
    </w:tbl>
    <w:p w14:paraId="32FB2BFF">
      <w:pPr>
        <w:rPr>
          <w:rFonts w:hint="eastAsia" w:ascii="宋体" w:hAnsi="宋体" w:eastAsia="宋体" w:cs="宋体"/>
          <w:b/>
          <w:bCs/>
          <w:color w:val="auto"/>
          <w:kern w:val="2"/>
          <w:szCs w:val="32"/>
          <w:highlight w:val="none"/>
        </w:rPr>
      </w:pPr>
      <w:r>
        <w:rPr>
          <w:rFonts w:hint="eastAsia" w:ascii="宋体" w:hAnsi="宋体" w:eastAsia="宋体" w:cs="宋体"/>
          <w:b/>
          <w:bCs/>
          <w:color w:val="auto"/>
          <w:kern w:val="2"/>
          <w:szCs w:val="32"/>
          <w:highlight w:val="none"/>
        </w:rPr>
        <w:br w:type="page"/>
      </w:r>
    </w:p>
    <w:p w14:paraId="6CDE25D8">
      <w:pPr>
        <w:pStyle w:val="13"/>
        <w:spacing w:line="360" w:lineRule="auto"/>
        <w:ind w:left="422" w:firstLine="64"/>
        <w:jc w:val="center"/>
        <w:textAlignment w:val="baseline"/>
        <w:rPr>
          <w:rFonts w:ascii="宋体" w:hAnsi="宋体" w:eastAsia="宋体" w:cs="宋体"/>
          <w:color w:val="auto"/>
          <w:szCs w:val="21"/>
          <w:highlight w:val="none"/>
        </w:rPr>
      </w:pPr>
      <w:r>
        <w:rPr>
          <w:rFonts w:hint="eastAsia" w:ascii="宋体" w:hAnsi="宋体" w:eastAsia="宋体" w:cs="宋体"/>
          <w:b/>
          <w:bCs/>
          <w:color w:val="auto"/>
          <w:kern w:val="2"/>
          <w:szCs w:val="32"/>
          <w:highlight w:val="none"/>
        </w:rPr>
        <w:t>一、总则</w:t>
      </w:r>
    </w:p>
    <w:p w14:paraId="65DF667B">
      <w:pPr>
        <w:pStyle w:val="13"/>
        <w:spacing w:line="440" w:lineRule="exact"/>
        <w:ind w:left="422" w:firstLine="464" w:firstLineChars="220"/>
        <w:textAlignment w:val="baseline"/>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适用范围</w:t>
      </w:r>
    </w:p>
    <w:p w14:paraId="0528F62C">
      <w:pPr>
        <w:pStyle w:val="13"/>
        <w:spacing w:line="440" w:lineRule="exact"/>
        <w:ind w:left="420" w:firstLine="42"/>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1.1本磋商文件适用于本次采购活动中所叙述的</w:t>
      </w:r>
      <w:r>
        <w:rPr>
          <w:rFonts w:hint="eastAsia" w:ascii="宋体" w:hAnsi="宋体" w:eastAsia="宋体" w:cs="宋体"/>
          <w:color w:val="auto"/>
          <w:sz w:val="21"/>
          <w:szCs w:val="21"/>
          <w:highlight w:val="none"/>
          <w:lang w:eastAsia="zh-CN"/>
        </w:rPr>
        <w:t>常山县招贤镇2024-2025年松材线虫病枯死松树第二轮清理</w:t>
      </w:r>
      <w:r>
        <w:rPr>
          <w:rFonts w:hint="eastAsia" w:ascii="宋体" w:hAnsi="宋体" w:eastAsia="宋体" w:cs="宋体"/>
          <w:color w:val="auto"/>
          <w:sz w:val="21"/>
          <w:szCs w:val="21"/>
          <w:highlight w:val="none"/>
        </w:rPr>
        <w:t>。</w:t>
      </w:r>
    </w:p>
    <w:p w14:paraId="367A7E96">
      <w:pPr>
        <w:pStyle w:val="13"/>
        <w:spacing w:line="440" w:lineRule="exact"/>
        <w:ind w:left="422" w:firstLine="464" w:firstLineChars="22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定义解释</w:t>
      </w:r>
    </w:p>
    <w:p w14:paraId="63E524FB">
      <w:pPr>
        <w:pStyle w:val="13"/>
        <w:spacing w:line="440" w:lineRule="exact"/>
        <w:ind w:left="420" w:firstLine="42"/>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2.1“采购代理机构”是指</w:t>
      </w:r>
      <w:r>
        <w:rPr>
          <w:rFonts w:hint="eastAsia" w:ascii="宋体" w:hAnsi="宋体" w:eastAsia="宋体" w:cs="宋体"/>
          <w:color w:val="auto"/>
          <w:sz w:val="21"/>
          <w:szCs w:val="21"/>
          <w:highlight w:val="none"/>
          <w:lang w:eastAsia="zh-CN"/>
        </w:rPr>
        <w:t>衢州市开成工程造价咨询事务所有限公司</w:t>
      </w:r>
      <w:r>
        <w:rPr>
          <w:rFonts w:hint="eastAsia" w:ascii="宋体" w:hAnsi="宋体" w:eastAsia="宋体" w:cs="宋体"/>
          <w:color w:val="auto"/>
          <w:sz w:val="21"/>
          <w:szCs w:val="21"/>
          <w:highlight w:val="none"/>
        </w:rPr>
        <w:t>。</w:t>
      </w:r>
    </w:p>
    <w:p w14:paraId="7E999C69">
      <w:pPr>
        <w:pStyle w:val="13"/>
        <w:widowControl w:val="0"/>
        <w:spacing w:line="440" w:lineRule="exact"/>
        <w:ind w:left="420" w:leftChars="0" w:firstLine="42" w:firstLineChars="20"/>
        <w:jc w:val="both"/>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2.2“采购人”是指</w:t>
      </w:r>
      <w:r>
        <w:rPr>
          <w:rFonts w:hint="eastAsia" w:ascii="宋体" w:hAnsi="宋体" w:eastAsia="宋体" w:cs="宋体"/>
          <w:color w:val="auto"/>
          <w:sz w:val="21"/>
          <w:szCs w:val="21"/>
          <w:highlight w:val="none"/>
          <w:lang w:eastAsia="zh-CN"/>
        </w:rPr>
        <w:t>常山县招贤镇人民政府</w:t>
      </w:r>
      <w:r>
        <w:rPr>
          <w:rFonts w:hint="eastAsia" w:ascii="宋体" w:hAnsi="宋体" w:eastAsia="宋体" w:cs="宋体"/>
          <w:color w:val="auto"/>
          <w:sz w:val="21"/>
          <w:szCs w:val="21"/>
          <w:highlight w:val="none"/>
        </w:rPr>
        <w:t>。</w:t>
      </w:r>
    </w:p>
    <w:p w14:paraId="2C0C6062">
      <w:pPr>
        <w:pStyle w:val="13"/>
        <w:spacing w:line="440" w:lineRule="exact"/>
        <w:ind w:left="420" w:firstLine="42"/>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2.3“采购项目”是指本磋商文件所要求的</w:t>
      </w:r>
      <w:r>
        <w:rPr>
          <w:rFonts w:hint="eastAsia" w:ascii="宋体" w:hAnsi="宋体" w:eastAsia="宋体" w:cs="宋体"/>
          <w:color w:val="auto"/>
          <w:sz w:val="21"/>
          <w:szCs w:val="21"/>
          <w:highlight w:val="none"/>
          <w:lang w:eastAsia="zh-CN"/>
        </w:rPr>
        <w:t>常山县招贤镇2024-2025年松材线虫病枯死松树第二轮清理</w:t>
      </w:r>
      <w:r>
        <w:rPr>
          <w:rFonts w:hint="eastAsia" w:ascii="宋体" w:hAnsi="宋体" w:eastAsia="宋体" w:cs="宋体"/>
          <w:color w:val="auto"/>
          <w:sz w:val="21"/>
          <w:szCs w:val="21"/>
          <w:highlight w:val="none"/>
        </w:rPr>
        <w:t>。</w:t>
      </w:r>
    </w:p>
    <w:p w14:paraId="694284F5">
      <w:pPr>
        <w:pStyle w:val="13"/>
        <w:spacing w:line="440" w:lineRule="exact"/>
        <w:ind w:left="420" w:firstLine="42"/>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2.4“磋商供应商”是指获得磋商文件并向采购代理机构提交响应文件的磋商供应商。</w:t>
      </w:r>
    </w:p>
    <w:p w14:paraId="74D784B4">
      <w:pPr>
        <w:pStyle w:val="13"/>
        <w:spacing w:line="440" w:lineRule="exact"/>
        <w:ind w:left="420" w:firstLine="42"/>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2.5“潜在磋商供应商”是指符合磋商文件规定的磋商供应商。</w:t>
      </w:r>
    </w:p>
    <w:p w14:paraId="7F1C658A">
      <w:pPr>
        <w:pStyle w:val="13"/>
        <w:spacing w:line="440" w:lineRule="exact"/>
        <w:ind w:left="420" w:firstLine="42"/>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2.6 “中标人”是指经磋商小组审查通过，并经公示无异议的磋商供应商。</w:t>
      </w:r>
    </w:p>
    <w:p w14:paraId="6EAD9FE3">
      <w:pPr>
        <w:pStyle w:val="13"/>
        <w:spacing w:line="440" w:lineRule="exact"/>
        <w:ind w:left="420" w:firstLine="42"/>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2.7“磋商供应商代表”是指磋商供应商法定代表人或磋商供应商法定代表人授权委托的人。</w:t>
      </w:r>
    </w:p>
    <w:p w14:paraId="043BFEE0">
      <w:pPr>
        <w:pStyle w:val="13"/>
        <w:spacing w:line="440" w:lineRule="exact"/>
        <w:ind w:left="420" w:firstLine="462" w:firstLineChars="22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2.8“产品（货物）”是指按采购文件要求配置的一切设备、机械、仪器仪表、备品备件、工具、手册及其它有关技术资料和文字材料；</w:t>
      </w:r>
    </w:p>
    <w:p w14:paraId="776B1C00">
      <w:pPr>
        <w:pStyle w:val="13"/>
        <w:spacing w:line="440" w:lineRule="exact"/>
        <w:ind w:left="420" w:firstLine="462" w:firstLineChars="22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2.9“服务”在货物类采购项目中是指采购文件规定供方须承担的货物运输、操作使用、技术支持、培训、维修保养服务；在服务类采购项目是指采购采购内容本身及相关的售后技术支持、培训服务；</w:t>
      </w:r>
    </w:p>
    <w:p w14:paraId="7271BD82">
      <w:pPr>
        <w:pStyle w:val="13"/>
        <w:spacing w:line="440" w:lineRule="exact"/>
        <w:ind w:left="420" w:firstLine="462" w:firstLineChars="22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2.10“书面形式”包括纸质文件、电子邮件、信函、传真等。</w:t>
      </w:r>
    </w:p>
    <w:p w14:paraId="50495B5C">
      <w:pPr>
        <w:pStyle w:val="13"/>
        <w:spacing w:line="440" w:lineRule="exact"/>
        <w:ind w:left="420" w:firstLine="42"/>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2.11实质性响应：是指投标文件相关内容符合招标（采购）文件规定的实质性内容、条款和规定。</w:t>
      </w:r>
    </w:p>
    <w:p w14:paraId="182723FF">
      <w:pPr>
        <w:pStyle w:val="13"/>
        <w:spacing w:line="440" w:lineRule="exact"/>
        <w:ind w:left="420" w:firstLine="462" w:firstLineChars="22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r>
        <w:rPr>
          <w:rFonts w:hint="eastAsia" w:ascii="宋体" w:hAnsi="宋体" w:eastAsia="宋体" w:cs="宋体"/>
          <w:b/>
          <w:bCs/>
          <w:color w:val="auto"/>
          <w:sz w:val="21"/>
          <w:szCs w:val="21"/>
          <w:highlight w:val="none"/>
        </w:rPr>
        <w:t>采购文件中所有标示“▲”的均为采购人提出的实质性条款，如未实质性响应的，将按无效投标处理</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标有“★”符号为重要指标。</w:t>
      </w:r>
    </w:p>
    <w:p w14:paraId="5B231934">
      <w:pPr>
        <w:spacing w:line="440" w:lineRule="exact"/>
        <w:textAlignment w:val="baseline"/>
        <w:rPr>
          <w:rFonts w:ascii="宋体" w:hAnsi="宋体" w:cs="宋体"/>
          <w:color w:val="auto"/>
          <w:sz w:val="20"/>
          <w:szCs w:val="21"/>
          <w:highlight w:val="none"/>
        </w:rPr>
      </w:pPr>
      <w:r>
        <w:rPr>
          <w:rFonts w:hint="eastAsia" w:ascii="宋体" w:hAnsi="宋体" w:cs="宋体"/>
          <w:color w:val="auto"/>
          <w:szCs w:val="21"/>
          <w:highlight w:val="none"/>
        </w:rPr>
        <w:t xml:space="preserve">        2.13  “电子投标文件”系指</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通过政采云电子投标工具编制的数据电文形式的加密标书。</w:t>
      </w:r>
    </w:p>
    <w:p w14:paraId="10A3939D">
      <w:pPr>
        <w:pStyle w:val="13"/>
        <w:spacing w:line="440" w:lineRule="exact"/>
        <w:ind w:firstLine="253" w:firstLineChars="12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项目说明</w:t>
      </w:r>
    </w:p>
    <w:p w14:paraId="5703493E">
      <w:pPr>
        <w:pStyle w:val="13"/>
        <w:spacing w:line="440" w:lineRule="exact"/>
        <w:ind w:left="0" w:firstLine="0" w:firstLineChars="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3.1《中华人民共和国政府采购法》、《中华人民共和国政府采购法实施条例》、《政府采购竞争性磋商采购方式管理暂行办法》、《财政部关于政府采购竞争性磋商采购方式管理暂行办法有关问题的补充通知》和其他有关法律、行政法规以及省市规范性文件规定。</w:t>
      </w:r>
    </w:p>
    <w:p w14:paraId="65DC5CFF">
      <w:pPr>
        <w:pStyle w:val="13"/>
        <w:spacing w:line="440" w:lineRule="exact"/>
        <w:ind w:left="422" w:firstLine="42"/>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合格磋商供应商的条件</w:t>
      </w:r>
    </w:p>
    <w:p w14:paraId="0B0BB4E8">
      <w:pPr>
        <w:pStyle w:val="13"/>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4.1凡符合本磋商文件第一章竞争性磋商公告磋商供应商资格要求的均为合格的磋商供应商。</w:t>
      </w:r>
    </w:p>
    <w:p w14:paraId="7F3478A1">
      <w:pPr>
        <w:pStyle w:val="13"/>
        <w:spacing w:line="440" w:lineRule="exact"/>
        <w:ind w:left="422" w:firstLine="42"/>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5</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投标费用</w:t>
      </w:r>
    </w:p>
    <w:p w14:paraId="220AF7CF">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5.1磋商供应商应承担参加本次投标有关的全部费用，无论结果如何，采购人和采购代理机构在任何情况下均无义务和责任承担这些费用。</w:t>
      </w:r>
    </w:p>
    <w:p w14:paraId="309BE7FE">
      <w:pPr>
        <w:spacing w:line="440" w:lineRule="exact"/>
        <w:ind w:firstLine="422" w:firstLineChars="200"/>
        <w:jc w:val="left"/>
        <w:textAlignment w:val="baseline"/>
        <w:rPr>
          <w:rFonts w:ascii="宋体" w:hAnsi="宋体" w:cs="宋体"/>
          <w:b/>
          <w:bCs/>
          <w:color w:val="auto"/>
          <w:sz w:val="20"/>
          <w:szCs w:val="21"/>
          <w:highlight w:val="none"/>
        </w:rPr>
      </w:pPr>
      <w:r>
        <w:rPr>
          <w:rFonts w:hint="eastAsia" w:ascii="宋体" w:hAnsi="宋体" w:cs="宋体"/>
          <w:b/>
          <w:color w:val="auto"/>
          <w:szCs w:val="21"/>
          <w:highlight w:val="none"/>
        </w:rPr>
        <w:t>6</w:t>
      </w:r>
      <w:r>
        <w:rPr>
          <w:rFonts w:hint="eastAsia" w:ascii="宋体" w:hAnsi="宋体" w:cs="宋体"/>
          <w:b/>
          <w:color w:val="auto"/>
          <w:szCs w:val="21"/>
          <w:highlight w:val="none"/>
          <w:lang w:val="en-US" w:eastAsia="zh-CN"/>
        </w:rPr>
        <w:t>.</w:t>
      </w:r>
      <w:r>
        <w:rPr>
          <w:rFonts w:hint="eastAsia" w:ascii="宋体" w:hAnsi="宋体" w:cs="宋体"/>
          <w:b/>
          <w:bCs/>
          <w:color w:val="auto"/>
          <w:szCs w:val="21"/>
          <w:highlight w:val="none"/>
        </w:rPr>
        <w:t>特别说明</w:t>
      </w:r>
    </w:p>
    <w:p w14:paraId="4EE0A391">
      <w:pPr>
        <w:pStyle w:val="65"/>
        <w:spacing w:line="440" w:lineRule="exact"/>
        <w:ind w:firstLine="420" w:firstLineChars="200"/>
        <w:rPr>
          <w:rFonts w:ascii="宋体" w:hAnsi="宋体" w:cs="宋体"/>
          <w:color w:val="auto"/>
          <w:highlight w:val="none"/>
        </w:rPr>
      </w:pPr>
      <w:r>
        <w:rPr>
          <w:rFonts w:hint="eastAsia" w:ascii="宋体" w:hAnsi="宋体" w:cs="宋体"/>
          <w:color w:val="auto"/>
          <w:highlight w:val="none"/>
        </w:rPr>
        <w:t>6.1</w:t>
      </w:r>
      <w:r>
        <w:rPr>
          <w:rFonts w:hint="eastAsia" w:ascii="宋体" w:hAnsi="宋体" w:cs="宋体"/>
          <w:color w:val="auto"/>
          <w:highlight w:val="none"/>
          <w:lang w:eastAsia="zh-CN"/>
        </w:rPr>
        <w:t>供应商</w:t>
      </w:r>
      <w:r>
        <w:rPr>
          <w:rFonts w:hint="eastAsia" w:ascii="宋体" w:hAnsi="宋体" w:cs="宋体"/>
          <w:color w:val="auto"/>
          <w:highlight w:val="none"/>
        </w:rPr>
        <w:t>投标所使用的资格、信誉、荣誉、业绩与企业认证必须为本企业所拥有。</w:t>
      </w:r>
      <w:r>
        <w:rPr>
          <w:rFonts w:hint="eastAsia" w:ascii="宋体" w:hAnsi="宋体" w:cs="宋体"/>
          <w:color w:val="auto"/>
          <w:highlight w:val="none"/>
          <w:lang w:eastAsia="zh-CN"/>
        </w:rPr>
        <w:t>供应商</w:t>
      </w:r>
      <w:r>
        <w:rPr>
          <w:rFonts w:hint="eastAsia" w:ascii="宋体" w:hAnsi="宋体" w:cs="宋体"/>
          <w:color w:val="auto"/>
          <w:highlight w:val="none"/>
        </w:rPr>
        <w:t>投标所使用的采购项目实施人员可以为其控股公司的工作人员。</w:t>
      </w:r>
    </w:p>
    <w:p w14:paraId="2E475000">
      <w:pPr>
        <w:pStyle w:val="65"/>
        <w:spacing w:line="440" w:lineRule="exact"/>
        <w:ind w:firstLine="420" w:firstLineChars="200"/>
        <w:rPr>
          <w:rFonts w:ascii="宋体" w:hAnsi="宋体" w:cs="宋体"/>
          <w:color w:val="auto"/>
          <w:highlight w:val="none"/>
        </w:rPr>
      </w:pPr>
      <w:r>
        <w:rPr>
          <w:rFonts w:hint="eastAsia" w:ascii="宋体" w:hAnsi="宋体" w:cs="宋体"/>
          <w:color w:val="auto"/>
          <w:highlight w:val="none"/>
        </w:rPr>
        <w:t>6.2</w:t>
      </w:r>
      <w:r>
        <w:rPr>
          <w:rFonts w:hint="eastAsia" w:ascii="宋体" w:hAnsi="宋体" w:cs="宋体"/>
          <w:color w:val="auto"/>
          <w:highlight w:val="none"/>
          <w:lang w:eastAsia="zh-CN"/>
        </w:rPr>
        <w:t>供应商</w:t>
      </w:r>
      <w:r>
        <w:rPr>
          <w:rFonts w:hint="eastAsia" w:ascii="宋体" w:hAnsi="宋体" w:cs="宋体"/>
          <w:color w:val="auto"/>
          <w:highlight w:val="none"/>
        </w:rPr>
        <w:t>在投标活动中提供任何虚假材料或从事其他违法活动的,其投标无效，并报监管部门查处；成交后发现的,中标人须依照《中华人民共和国消费者权益保护法》之规定赔偿采购单位。且民事赔偿并不免除违法</w:t>
      </w:r>
      <w:r>
        <w:rPr>
          <w:rFonts w:hint="eastAsia" w:ascii="宋体" w:hAnsi="宋体" w:cs="宋体"/>
          <w:color w:val="auto"/>
          <w:highlight w:val="none"/>
          <w:lang w:eastAsia="zh-CN"/>
        </w:rPr>
        <w:t>供应商</w:t>
      </w:r>
      <w:r>
        <w:rPr>
          <w:rFonts w:hint="eastAsia" w:ascii="宋体" w:hAnsi="宋体" w:cs="宋体"/>
          <w:color w:val="auto"/>
          <w:highlight w:val="none"/>
        </w:rPr>
        <w:t>的行政与刑事责任。</w:t>
      </w:r>
    </w:p>
    <w:p w14:paraId="6C85645C">
      <w:pPr>
        <w:pStyle w:val="65"/>
        <w:spacing w:line="440" w:lineRule="exact"/>
        <w:ind w:firstLine="420" w:firstLineChars="200"/>
        <w:rPr>
          <w:rFonts w:ascii="宋体" w:hAnsi="宋体" w:cs="宋体"/>
          <w:color w:val="auto"/>
          <w:highlight w:val="none"/>
        </w:rPr>
      </w:pPr>
      <w:r>
        <w:rPr>
          <w:rFonts w:hint="eastAsia" w:ascii="宋体" w:hAnsi="宋体" w:cs="宋体"/>
          <w:color w:val="auto"/>
          <w:highlight w:val="none"/>
        </w:rPr>
        <w:t>6.3</w:t>
      </w:r>
      <w:r>
        <w:rPr>
          <w:rFonts w:hint="eastAsia" w:ascii="宋体" w:hAnsi="宋体" w:cs="宋体"/>
          <w:color w:val="auto"/>
          <w:highlight w:val="none"/>
          <w:lang w:eastAsia="zh-CN"/>
        </w:rPr>
        <w:t>供应商</w:t>
      </w:r>
      <w:r>
        <w:rPr>
          <w:rFonts w:hint="eastAsia" w:ascii="宋体" w:hAnsi="宋体" w:cs="宋体"/>
          <w:color w:val="auto"/>
          <w:highlight w:val="none"/>
        </w:rPr>
        <w:t>应仔细阅读招标文件的所有内容，按照招标文件的要求提交投标文件。投标文件应对招标文件的要求作出实质性响应，并对所提供的全部资料的真实性承担法律责任。</w:t>
      </w:r>
    </w:p>
    <w:p w14:paraId="26445B24">
      <w:pPr>
        <w:spacing w:line="440" w:lineRule="exact"/>
        <w:ind w:firstLine="422" w:firstLineChars="200"/>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6.4本项目提供相同品牌产品且通过资格审查、符合性审查的不同</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参加同一合同项下投标的，按一家</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计算，评审后得分最高的同品牌</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获得中标人推荐资格；评审得分相同的，由采购单位现场抽签确定中标人推荐资格，其他同品牌</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不作为成交候选人。</w:t>
      </w:r>
    </w:p>
    <w:p w14:paraId="5125D54F">
      <w:pPr>
        <w:spacing w:line="440" w:lineRule="exact"/>
        <w:ind w:firstLine="422" w:firstLineChars="200"/>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6.5与参加本次项目同一合同项下政府采购活动的其他供应商不存在单位负责人为同一人或者直接控股、管理关系。</w:t>
      </w:r>
    </w:p>
    <w:p w14:paraId="2B5986E1">
      <w:pPr>
        <w:pStyle w:val="4"/>
        <w:keepLines/>
        <w:widowControl w:val="0"/>
        <w:numPr>
          <w:ilvl w:val="2"/>
          <w:numId w:val="0"/>
        </w:numPr>
        <w:spacing w:before="156" w:after="156"/>
        <w:jc w:val="center"/>
        <w:textAlignment w:val="baseline"/>
        <w:rPr>
          <w:rFonts w:ascii="宋体" w:hAnsi="宋体" w:cs="宋体"/>
          <w:b/>
          <w:bCs/>
          <w:color w:val="auto"/>
          <w:kern w:val="2"/>
          <w:sz w:val="32"/>
          <w:szCs w:val="32"/>
          <w:highlight w:val="none"/>
        </w:rPr>
      </w:pPr>
      <w:bookmarkStart w:id="36" w:name="_Toc20292"/>
      <w:r>
        <w:rPr>
          <w:rFonts w:hint="eastAsia" w:ascii="宋体" w:hAnsi="宋体" w:cs="宋体"/>
          <w:b/>
          <w:bCs/>
          <w:color w:val="auto"/>
          <w:kern w:val="2"/>
          <w:sz w:val="32"/>
          <w:szCs w:val="32"/>
          <w:highlight w:val="none"/>
        </w:rPr>
        <w:t>二、磋商文件</w:t>
      </w:r>
      <w:bookmarkEnd w:id="36"/>
    </w:p>
    <w:p w14:paraId="7566E003">
      <w:pPr>
        <w:pStyle w:val="4"/>
        <w:keepNext w:val="0"/>
        <w:keepLines w:val="0"/>
        <w:pageBreakBefore w:val="0"/>
        <w:numPr>
          <w:ilvl w:val="0"/>
          <w:numId w:val="0"/>
        </w:numPr>
        <w:kinsoku/>
        <w:wordWrap/>
        <w:overflowPunct/>
        <w:topLinePunct w:val="0"/>
        <w:bidi w:val="0"/>
        <w:snapToGrid/>
        <w:spacing w:beforeLines="0" w:afterLines="0" w:line="440" w:lineRule="exact"/>
        <w:ind w:left="0" w:firstLine="422" w:firstLineChars="200"/>
        <w:textAlignment w:val="baseline"/>
        <w:rPr>
          <w:rFonts w:ascii="宋体" w:hAnsi="宋体" w:cs="宋体"/>
          <w:b/>
          <w:color w:val="auto"/>
          <w:sz w:val="21"/>
          <w:szCs w:val="21"/>
          <w:highlight w:val="none"/>
        </w:rPr>
      </w:pPr>
      <w:bookmarkStart w:id="37" w:name="_Toc15455"/>
      <w:r>
        <w:rPr>
          <w:rFonts w:hint="eastAsia" w:ascii="宋体" w:hAnsi="宋体" w:cs="宋体"/>
          <w:b/>
          <w:color w:val="auto"/>
          <w:sz w:val="21"/>
          <w:szCs w:val="21"/>
          <w:highlight w:val="none"/>
        </w:rPr>
        <w:t>1</w:t>
      </w:r>
      <w:r>
        <w:rPr>
          <w:rFonts w:hint="eastAsia" w:ascii="宋体" w:hAnsi="宋体" w:cs="宋体"/>
          <w:b/>
          <w:color w:val="auto"/>
          <w:sz w:val="21"/>
          <w:szCs w:val="21"/>
          <w:highlight w:val="none"/>
          <w:lang w:val="en-US" w:eastAsia="zh-CN"/>
        </w:rPr>
        <w:t>.</w:t>
      </w:r>
      <w:r>
        <w:rPr>
          <w:rFonts w:hint="eastAsia" w:ascii="宋体" w:hAnsi="宋体" w:cs="宋体"/>
          <w:b/>
          <w:color w:val="auto"/>
          <w:sz w:val="21"/>
          <w:szCs w:val="21"/>
          <w:highlight w:val="none"/>
        </w:rPr>
        <w:t>磋商文件的组成</w:t>
      </w:r>
      <w:bookmarkEnd w:id="37"/>
    </w:p>
    <w:p w14:paraId="43A28030">
      <w:pPr>
        <w:pStyle w:val="13"/>
        <w:keepNext w:val="0"/>
        <w:keepLines w:val="0"/>
        <w:pageBreakBefore w:val="0"/>
        <w:kinsoku/>
        <w:wordWrap/>
        <w:overflowPunct/>
        <w:topLinePunct w:val="0"/>
        <w:bidi w:val="0"/>
        <w:snapToGrid/>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1.1磋商文件共分为6部分，其内容如下：</w:t>
      </w:r>
    </w:p>
    <w:p w14:paraId="0FDC3838">
      <w:pPr>
        <w:pStyle w:val="13"/>
        <w:keepNext w:val="0"/>
        <w:keepLines w:val="0"/>
        <w:pageBreakBefore w:val="0"/>
        <w:kinsoku/>
        <w:wordWrap/>
        <w:overflowPunct/>
        <w:topLinePunct w:val="0"/>
        <w:bidi w:val="0"/>
        <w:snapToGrid/>
        <w:spacing w:line="440" w:lineRule="exact"/>
        <w:ind w:left="0" w:firstLine="462" w:firstLineChars="22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第一章 竞争性磋商公告</w:t>
      </w:r>
    </w:p>
    <w:p w14:paraId="0C081649">
      <w:pPr>
        <w:pStyle w:val="13"/>
        <w:keepNext w:val="0"/>
        <w:keepLines w:val="0"/>
        <w:pageBreakBefore w:val="0"/>
        <w:kinsoku/>
        <w:wordWrap/>
        <w:overflowPunct/>
        <w:topLinePunct w:val="0"/>
        <w:bidi w:val="0"/>
        <w:snapToGrid/>
        <w:spacing w:line="440" w:lineRule="exact"/>
        <w:ind w:left="0" w:firstLine="462" w:firstLineChars="22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 磋商供应商须知</w:t>
      </w:r>
    </w:p>
    <w:p w14:paraId="3C33FEF4">
      <w:pPr>
        <w:pStyle w:val="13"/>
        <w:keepNext w:val="0"/>
        <w:keepLines w:val="0"/>
        <w:pageBreakBefore w:val="0"/>
        <w:kinsoku/>
        <w:wordWrap/>
        <w:overflowPunct/>
        <w:topLinePunct w:val="0"/>
        <w:bidi w:val="0"/>
        <w:snapToGrid/>
        <w:spacing w:line="440" w:lineRule="exact"/>
        <w:ind w:left="0" w:firstLine="462" w:firstLineChars="22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 采购内容及要求</w:t>
      </w:r>
    </w:p>
    <w:p w14:paraId="60AB01FC">
      <w:pPr>
        <w:pStyle w:val="13"/>
        <w:keepNext w:val="0"/>
        <w:keepLines w:val="0"/>
        <w:pageBreakBefore w:val="0"/>
        <w:kinsoku/>
        <w:wordWrap/>
        <w:overflowPunct/>
        <w:topLinePunct w:val="0"/>
        <w:bidi w:val="0"/>
        <w:snapToGrid/>
        <w:spacing w:line="440" w:lineRule="exact"/>
        <w:ind w:left="0" w:firstLine="462" w:firstLineChars="22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第四章 合同条款</w:t>
      </w:r>
    </w:p>
    <w:p w14:paraId="30CCBD9A">
      <w:pPr>
        <w:pStyle w:val="13"/>
        <w:keepNext w:val="0"/>
        <w:keepLines w:val="0"/>
        <w:pageBreakBefore w:val="0"/>
        <w:kinsoku/>
        <w:wordWrap/>
        <w:overflowPunct/>
        <w:topLinePunct w:val="0"/>
        <w:bidi w:val="0"/>
        <w:snapToGrid/>
        <w:spacing w:line="440" w:lineRule="exact"/>
        <w:ind w:left="0" w:firstLine="462" w:firstLineChars="22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第五章 评标原则及办法</w:t>
      </w:r>
    </w:p>
    <w:p w14:paraId="5C98A7D2">
      <w:pPr>
        <w:pStyle w:val="13"/>
        <w:keepNext w:val="0"/>
        <w:keepLines w:val="0"/>
        <w:pageBreakBefore w:val="0"/>
        <w:kinsoku/>
        <w:wordWrap/>
        <w:overflowPunct/>
        <w:topLinePunct w:val="0"/>
        <w:bidi w:val="0"/>
        <w:snapToGrid/>
        <w:spacing w:line="440" w:lineRule="exact"/>
        <w:ind w:left="0" w:firstLine="462" w:firstLineChars="22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第六章  响应文件格式</w:t>
      </w:r>
    </w:p>
    <w:p w14:paraId="4C0ECA34">
      <w:pPr>
        <w:pStyle w:val="13"/>
        <w:keepNext w:val="0"/>
        <w:keepLines w:val="0"/>
        <w:pageBreakBefore w:val="0"/>
        <w:kinsoku/>
        <w:wordWrap/>
        <w:overflowPunct/>
        <w:topLinePunct w:val="0"/>
        <w:bidi w:val="0"/>
        <w:snapToGrid/>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1.2除上条1.1内容外，采购人、采购代理机构在规定时间前，以书面形式发出的对磋商文件的澄清或修改内容，均为磋商文件的组成部分。</w:t>
      </w:r>
    </w:p>
    <w:p w14:paraId="4A7366DA">
      <w:pPr>
        <w:pStyle w:val="13"/>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磋商供应商获取磋商文件后，应仔细检查磋商文件的所有内容，如有残缺等问题，应在获得磋商文件3日内向采购人提出，否则，由此引起的损失由磋商供应商自己承担。磋商供应商同时应认真审阅磋商文件中所有的事项、格式、条款和规范要求等，若磋商供应商的响应文件没有按磋商文件要求提交全部资料，或响应文件没有对磋商文件做出实质性响应，并根据有关条款规定，其风险由磋商供应商自行承担。</w:t>
      </w:r>
    </w:p>
    <w:p w14:paraId="09E3B363">
      <w:pPr>
        <w:pStyle w:val="13"/>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招标采购人允许潜在磋商供应商在磋商文件发售截止时间后至投标截止时间前允许潜在磋商供应商前来认购磋商文件，但该磋商供应商如在法律、法规规定的时间内逾期对磋商文件提出异议的，招标采购人可不予受理、答复。</w:t>
      </w:r>
    </w:p>
    <w:p w14:paraId="31F77414">
      <w:pPr>
        <w:pStyle w:val="13"/>
        <w:spacing w:line="440" w:lineRule="exact"/>
        <w:ind w:left="422" w:firstLine="42"/>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磋商文件的澄清与修改</w:t>
      </w:r>
    </w:p>
    <w:p w14:paraId="36CA7EF1">
      <w:pPr>
        <w:pStyle w:val="17"/>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2.1</w:t>
      </w:r>
      <w:r>
        <w:rPr>
          <w:rFonts w:hint="eastAsia" w:hAnsi="宋体" w:cs="宋体"/>
          <w:bCs/>
          <w:color w:val="auto"/>
          <w:highlight w:val="none"/>
        </w:rPr>
        <w:t>磋商供应商应认真阅读本磋商文件，发现其中有误或有不合理要求的，磋商供应商必须在前附表规定的时间内以书面形式要求招标采购人澄清</w:t>
      </w:r>
      <w:r>
        <w:rPr>
          <w:rFonts w:hint="eastAsia" w:hAnsi="宋体" w:cs="宋体"/>
          <w:color w:val="auto"/>
          <w:highlight w:val="none"/>
        </w:rPr>
        <w:t>。采购代理机构对已发出的磋商文件进行必要澄清、答复、修改或补充的，应当在提交首次响应文件截止时间至少5日前，在财政部门指定的政府采购信息发布媒体上发布更正公告，并以书面形式通知所有获取磋商文件的供应商。</w:t>
      </w:r>
    </w:p>
    <w:p w14:paraId="121138E3">
      <w:pPr>
        <w:pStyle w:val="17"/>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2.2采购代理机构必须以书面形式答复磋商供应商要求澄清的问题，并将不包含问题来源的答复书面通知所有购买磋商文件的磋商供应商；除书面答复以外的其他澄清方式及澄清内容均无效。</w:t>
      </w:r>
    </w:p>
    <w:p w14:paraId="46A04585">
      <w:pPr>
        <w:pStyle w:val="17"/>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2.3磋商文件澄清、答复、修改、补充的内容为磋商文件的组成部分。当磋商文件与磋商文件的答复、澄清、修改、补充通知就同一内容的表述不一致时，以最后发出的书面文件为准。</w:t>
      </w:r>
    </w:p>
    <w:p w14:paraId="1C94A30C">
      <w:pPr>
        <w:pStyle w:val="17"/>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2.4磋商文件的澄清、答复、修改或补充都应该通过本代理机构以法定形式发布，采购人非通过本机构，不得擅自澄清、答复、修改或补充磋商文件。</w:t>
      </w:r>
    </w:p>
    <w:p w14:paraId="5F474C7C">
      <w:pPr>
        <w:pStyle w:val="4"/>
        <w:keepLines/>
        <w:widowControl w:val="0"/>
        <w:numPr>
          <w:ilvl w:val="2"/>
          <w:numId w:val="0"/>
        </w:numPr>
        <w:spacing w:before="156" w:after="156" w:line="440" w:lineRule="exact"/>
        <w:jc w:val="center"/>
        <w:textAlignment w:val="baseline"/>
        <w:rPr>
          <w:rFonts w:ascii="宋体" w:hAnsi="宋体" w:cs="宋体"/>
          <w:b/>
          <w:bCs/>
          <w:color w:val="auto"/>
          <w:kern w:val="2"/>
          <w:sz w:val="32"/>
          <w:szCs w:val="32"/>
          <w:highlight w:val="none"/>
        </w:rPr>
      </w:pPr>
      <w:bookmarkStart w:id="38" w:name="_Toc16910"/>
      <w:r>
        <w:rPr>
          <w:rFonts w:hint="eastAsia" w:ascii="宋体" w:hAnsi="宋体" w:cs="宋体"/>
          <w:b/>
          <w:bCs/>
          <w:color w:val="auto"/>
          <w:kern w:val="2"/>
          <w:sz w:val="32"/>
          <w:szCs w:val="32"/>
          <w:highlight w:val="none"/>
        </w:rPr>
        <w:t>三、响应文件</w:t>
      </w:r>
      <w:bookmarkEnd w:id="38"/>
    </w:p>
    <w:p w14:paraId="1EF465C2">
      <w:pPr>
        <w:pStyle w:val="13"/>
        <w:spacing w:line="440" w:lineRule="exact"/>
        <w:ind w:left="0" w:firstLine="422" w:firstLineChars="20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响应文件的语言及度量衡单位</w:t>
      </w:r>
    </w:p>
    <w:p w14:paraId="1E513A7A">
      <w:pPr>
        <w:pStyle w:val="13"/>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1.1除采购货物有关专用名称外，响应文件和与投标有关的所有文件说明均应使用中文。</w:t>
      </w:r>
    </w:p>
    <w:p w14:paraId="7E252DE9">
      <w:pPr>
        <w:pStyle w:val="13"/>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1.2除采购项目规范另有规定外，响应文件使用的度量衡单位，均采用中华人民共和国法定计量单位。</w:t>
      </w:r>
    </w:p>
    <w:p w14:paraId="4DD2FDB9">
      <w:pPr>
        <w:snapToGrid w:val="0"/>
        <w:spacing w:line="440" w:lineRule="exact"/>
        <w:ind w:firstLine="422" w:firstLineChars="200"/>
        <w:textAlignment w:val="baseline"/>
        <w:rPr>
          <w:rFonts w:ascii="宋体" w:hAnsi="宋体" w:cs="宋体"/>
          <w:color w:val="auto"/>
          <w:sz w:val="20"/>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响应文件的形式和效力</w:t>
      </w:r>
    </w:p>
    <w:p w14:paraId="55C7B7A0">
      <w:pPr>
        <w:snapToGrid w:val="0"/>
        <w:spacing w:line="440" w:lineRule="exact"/>
        <w:ind w:firstLine="422" w:firstLineChars="200"/>
        <w:textAlignment w:val="baseline"/>
        <w:rPr>
          <w:rFonts w:ascii="宋体" w:hAnsi="宋体" w:cs="宋体"/>
          <w:color w:val="auto"/>
          <w:sz w:val="20"/>
          <w:highlight w:val="none"/>
        </w:rPr>
      </w:pPr>
      <w:r>
        <w:rPr>
          <w:rFonts w:hint="eastAsia" w:ascii="宋体" w:hAnsi="宋体" w:cs="宋体"/>
          <w:b/>
          <w:color w:val="auto"/>
          <w:szCs w:val="21"/>
          <w:highlight w:val="none"/>
        </w:rPr>
        <w:t>2.1响应文件为电子响应文件。电子响应文件</w:t>
      </w:r>
      <w:r>
        <w:rPr>
          <w:rFonts w:hint="eastAsia" w:ascii="宋体" w:hAnsi="宋体" w:cs="宋体"/>
          <w:b/>
          <w:bCs/>
          <w:color w:val="auto"/>
          <w:szCs w:val="21"/>
          <w:highlight w:val="none"/>
        </w:rPr>
        <w:t>按政采云平台</w:t>
      </w:r>
      <w:r>
        <w:rPr>
          <w:rFonts w:hint="eastAsia" w:ascii="宋体" w:hAnsi="宋体" w:cs="宋体"/>
          <w:b/>
          <w:bCs/>
          <w:color w:val="auto"/>
          <w:kern w:val="0"/>
          <w:szCs w:val="21"/>
          <w:highlight w:val="none"/>
        </w:rPr>
        <w:t>“供应商-政府采购项目电子交易操作指南”</w:t>
      </w:r>
      <w:r>
        <w:rPr>
          <w:rFonts w:hint="eastAsia" w:ascii="宋体" w:hAnsi="宋体" w:cs="宋体"/>
          <w:b/>
          <w:color w:val="auto"/>
          <w:szCs w:val="21"/>
          <w:highlight w:val="none"/>
        </w:rPr>
        <w:t>及本招标文件要求制作、加密并递交。</w:t>
      </w:r>
    </w:p>
    <w:p w14:paraId="06C638C2">
      <w:pPr>
        <w:pStyle w:val="13"/>
        <w:spacing w:line="440" w:lineRule="exact"/>
        <w:ind w:left="0" w:firstLine="422" w:firstLineChars="200"/>
        <w:textAlignment w:val="baseline"/>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响应文件的组成</w:t>
      </w:r>
    </w:p>
    <w:p w14:paraId="0573D78D">
      <w:pPr>
        <w:tabs>
          <w:tab w:val="left" w:pos="0"/>
          <w:tab w:val="left" w:pos="900"/>
          <w:tab w:val="left" w:pos="7020"/>
          <w:tab w:val="left" w:pos="8460"/>
        </w:tabs>
        <w:snapToGrid w:val="0"/>
        <w:spacing w:line="440" w:lineRule="exact"/>
        <w:ind w:firstLine="420" w:firstLineChars="200"/>
        <w:textAlignment w:val="baseline"/>
        <w:rPr>
          <w:rFonts w:ascii="宋体" w:hAnsi="宋体" w:cs="宋体"/>
          <w:b/>
          <w:bCs/>
          <w:color w:val="auto"/>
          <w:sz w:val="20"/>
          <w:szCs w:val="21"/>
          <w:highlight w:val="none"/>
        </w:rPr>
      </w:pPr>
      <w:r>
        <w:rPr>
          <w:rFonts w:hint="eastAsia" w:ascii="宋体" w:hAnsi="宋体" w:cs="宋体"/>
          <w:color w:val="auto"/>
          <w:szCs w:val="21"/>
          <w:highlight w:val="none"/>
        </w:rPr>
        <w:t>2.1响应文件由</w:t>
      </w:r>
      <w:r>
        <w:rPr>
          <w:rFonts w:hint="eastAsia" w:ascii="宋体" w:hAnsi="宋体" w:cs="宋体"/>
          <w:color w:val="auto"/>
          <w:szCs w:val="21"/>
          <w:highlight w:val="none"/>
          <w:lang w:eastAsia="zh-CN"/>
        </w:rPr>
        <w:t>资格审查文件</w:t>
      </w:r>
      <w:r>
        <w:rPr>
          <w:rFonts w:hint="eastAsia" w:ascii="宋体" w:hAnsi="宋体" w:cs="宋体"/>
          <w:color w:val="auto"/>
          <w:szCs w:val="21"/>
          <w:highlight w:val="none"/>
        </w:rPr>
        <w:t>、商务技术文件、报价文件三部分组成。</w:t>
      </w:r>
      <w:r>
        <w:rPr>
          <w:rFonts w:hint="eastAsia" w:ascii="宋体" w:hAnsi="宋体" w:cs="宋体"/>
          <w:b/>
          <w:color w:val="auto"/>
          <w:szCs w:val="21"/>
          <w:highlight w:val="none"/>
        </w:rPr>
        <w:t>电子响应文件中所须加盖公章部分均采用CA签章。</w:t>
      </w:r>
    </w:p>
    <w:p w14:paraId="157B8C2D">
      <w:pPr>
        <w:pStyle w:val="13"/>
        <w:spacing w:line="440" w:lineRule="exact"/>
        <w:ind w:left="422" w:firstLine="42"/>
        <w:textAlignment w:val="baseline"/>
        <w:rPr>
          <w:rFonts w:hint="eastAsia" w:ascii="宋体" w:hAnsi="宋体" w:eastAsia="宋体" w:cs="宋体"/>
          <w:b/>
          <w:bCs/>
          <w:color w:val="auto"/>
          <w:sz w:val="21"/>
          <w:szCs w:val="21"/>
          <w:highlight w:val="none"/>
          <w:lang w:eastAsia="zh-CN"/>
        </w:rPr>
      </w:pPr>
      <w:r>
        <w:rPr>
          <w:rFonts w:hint="eastAsia" w:ascii="仿宋" w:hAnsi="仿宋" w:eastAsia="仿宋" w:cs="仿宋"/>
          <w:b/>
          <w:bCs/>
          <w:sz w:val="24"/>
          <w:highlight w:val="none"/>
        </w:rPr>
        <w:t>▲</w:t>
      </w:r>
      <w:r>
        <w:rPr>
          <w:rFonts w:hint="eastAsia" w:ascii="宋体" w:hAnsi="宋体" w:eastAsia="宋体" w:cs="宋体"/>
          <w:b/>
          <w:bCs/>
          <w:color w:val="auto"/>
          <w:sz w:val="21"/>
          <w:szCs w:val="21"/>
          <w:highlight w:val="none"/>
          <w:lang w:eastAsia="zh-CN"/>
        </w:rPr>
        <w:t>资格审查文件</w:t>
      </w:r>
    </w:p>
    <w:p w14:paraId="0126DFE1">
      <w:pPr>
        <w:pageBreakBefore w:val="0"/>
        <w:tabs>
          <w:tab w:val="left" w:pos="0"/>
          <w:tab w:val="left" w:pos="900"/>
          <w:tab w:val="left" w:pos="7020"/>
          <w:tab w:val="left" w:pos="8460"/>
        </w:tabs>
        <w:kinsoku/>
        <w:topLinePunct w:val="0"/>
        <w:bidi w:val="0"/>
        <w:snapToGrid w:val="0"/>
        <w:spacing w:line="50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提供</w:t>
      </w:r>
      <w:r>
        <w:rPr>
          <w:rFonts w:hint="eastAsia" w:ascii="宋体" w:hAnsi="宋体" w:eastAsia="宋体" w:cs="宋体"/>
          <w:color w:val="auto"/>
          <w:szCs w:val="21"/>
          <w:highlight w:val="none"/>
        </w:rPr>
        <w:t>有效期内</w:t>
      </w:r>
      <w:r>
        <w:rPr>
          <w:rFonts w:hint="eastAsia" w:ascii="宋体" w:hAnsi="宋体" w:eastAsia="宋体" w:cs="宋体"/>
          <w:color w:val="auto"/>
          <w:szCs w:val="21"/>
          <w:highlight w:val="none"/>
          <w:lang w:val="zh-CN"/>
        </w:rPr>
        <w:t>营业执照原件扫描件；</w:t>
      </w:r>
    </w:p>
    <w:p w14:paraId="0BF86BB6">
      <w:pPr>
        <w:pageBreakBefore w:val="0"/>
        <w:tabs>
          <w:tab w:val="left" w:pos="0"/>
          <w:tab w:val="left" w:pos="900"/>
          <w:tab w:val="left" w:pos="7020"/>
          <w:tab w:val="left" w:pos="8460"/>
        </w:tabs>
        <w:kinsoku/>
        <w:topLinePunct w:val="0"/>
        <w:bidi w:val="0"/>
        <w:snapToGrid w:val="0"/>
        <w:spacing w:line="500" w:lineRule="exact"/>
        <w:ind w:left="0" w:lef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符合参与政府采购活动资格条件的承诺函</w:t>
      </w:r>
      <w:r>
        <w:rPr>
          <w:rFonts w:hint="eastAsia" w:ascii="宋体" w:hAnsi="宋体" w:cs="宋体"/>
          <w:color w:val="auto"/>
          <w:szCs w:val="21"/>
          <w:highlight w:val="none"/>
        </w:rPr>
        <w:t>【格式见附件】</w:t>
      </w:r>
      <w:r>
        <w:rPr>
          <w:rFonts w:hint="eastAsia" w:ascii="宋体" w:hAnsi="宋体" w:cs="宋体"/>
          <w:color w:val="auto"/>
          <w:szCs w:val="21"/>
          <w:highlight w:val="none"/>
          <w:lang w:eastAsia="zh-CN"/>
        </w:rPr>
        <w:t>；</w:t>
      </w:r>
    </w:p>
    <w:p w14:paraId="6A04E323">
      <w:pPr>
        <w:pageBreakBefore w:val="0"/>
        <w:tabs>
          <w:tab w:val="left" w:pos="720"/>
          <w:tab w:val="left" w:pos="5355"/>
        </w:tabs>
        <w:kinsoku/>
        <w:topLinePunct w:val="0"/>
        <w:bidi w:val="0"/>
        <w:spacing w:line="500" w:lineRule="exact"/>
        <w:ind w:left="0" w:leftChars="0" w:firstLine="420" w:firstLineChars="200"/>
        <w:rPr>
          <w:rFonts w:hint="eastAsia" w:ascii="宋体" w:hAnsi="宋体" w:eastAsia="宋体" w:cs="宋体"/>
          <w:bCs/>
          <w:color w:val="auto"/>
          <w:highlight w:val="none"/>
          <w:lang w:val="zh-CN"/>
        </w:rPr>
      </w:pP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lang w:val="zh-CN"/>
        </w:rPr>
        <w:t>）法定代表人身份证明和本人身份证复印件</w:t>
      </w:r>
      <w:r>
        <w:rPr>
          <w:rFonts w:hint="eastAsia" w:ascii="宋体" w:hAnsi="宋体" w:eastAsia="宋体" w:cs="宋体"/>
          <w:b/>
          <w:bCs w:val="0"/>
          <w:color w:val="auto"/>
          <w:highlight w:val="none"/>
          <w:lang w:val="zh-CN"/>
        </w:rPr>
        <w:t>（</w:t>
      </w:r>
      <w:r>
        <w:rPr>
          <w:rFonts w:hint="eastAsia" w:ascii="宋体" w:hAnsi="宋体" w:eastAsia="宋体" w:cs="宋体"/>
          <w:b/>
          <w:bCs w:val="0"/>
          <w:color w:val="auto"/>
          <w:highlight w:val="none"/>
          <w:lang w:val="en-US" w:eastAsia="zh-CN"/>
        </w:rPr>
        <w:t>法定代表人参与投标的提供</w:t>
      </w:r>
      <w:r>
        <w:rPr>
          <w:rFonts w:hint="eastAsia" w:ascii="宋体" w:hAnsi="宋体" w:eastAsia="宋体" w:cs="宋体"/>
          <w:b/>
          <w:bCs w:val="0"/>
          <w:color w:val="auto"/>
          <w:highlight w:val="none"/>
          <w:lang w:val="zh-CN"/>
        </w:rPr>
        <w:t>）</w:t>
      </w:r>
      <w:r>
        <w:rPr>
          <w:rFonts w:hint="eastAsia" w:ascii="宋体" w:hAnsi="宋体" w:eastAsia="宋体" w:cs="宋体"/>
          <w:bCs/>
          <w:color w:val="auto"/>
          <w:highlight w:val="none"/>
          <w:lang w:val="zh-CN"/>
        </w:rPr>
        <w:t>或法定代表人授权委托书和委托代理人身份证复印件</w:t>
      </w:r>
      <w:r>
        <w:rPr>
          <w:rFonts w:hint="eastAsia" w:ascii="宋体" w:hAnsi="宋体" w:eastAsia="宋体" w:cs="宋体"/>
          <w:b/>
          <w:bCs w:val="0"/>
          <w:i w:val="0"/>
          <w:iCs w:val="0"/>
          <w:color w:val="auto"/>
          <w:highlight w:val="none"/>
          <w:lang w:val="zh-CN"/>
        </w:rPr>
        <w:t>（</w:t>
      </w:r>
      <w:r>
        <w:rPr>
          <w:rFonts w:hint="eastAsia" w:ascii="宋体" w:hAnsi="宋体" w:eastAsia="宋体" w:cs="宋体"/>
          <w:b/>
          <w:bCs w:val="0"/>
          <w:i w:val="0"/>
          <w:iCs w:val="0"/>
          <w:color w:val="auto"/>
          <w:highlight w:val="none"/>
          <w:lang w:val="en-US" w:eastAsia="zh-CN"/>
        </w:rPr>
        <w:t>授权委托人参与投标的提供</w:t>
      </w:r>
      <w:r>
        <w:rPr>
          <w:rFonts w:hint="eastAsia" w:ascii="宋体" w:hAnsi="宋体" w:eastAsia="宋体" w:cs="宋体"/>
          <w:b/>
          <w:bCs w:val="0"/>
          <w:i w:val="0"/>
          <w:iCs w:val="0"/>
          <w:color w:val="auto"/>
          <w:highlight w:val="none"/>
          <w:lang w:val="zh-CN"/>
        </w:rPr>
        <w:t>）</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格式详见附件，</w:t>
      </w:r>
      <w:r>
        <w:rPr>
          <w:rFonts w:hint="eastAsia" w:ascii="宋体" w:hAnsi="宋体" w:eastAsia="宋体" w:cs="宋体"/>
          <w:b/>
          <w:bCs/>
          <w:color w:val="auto"/>
          <w:szCs w:val="21"/>
          <w:highlight w:val="none"/>
        </w:rPr>
        <w:t>电子标书内法定代表人授权委托书需签字的可线下签字后再将其放入线上投标文件内）</w:t>
      </w:r>
      <w:r>
        <w:rPr>
          <w:rFonts w:hint="eastAsia" w:ascii="宋体" w:hAnsi="宋体" w:eastAsia="宋体" w:cs="宋体"/>
          <w:bCs/>
          <w:color w:val="auto"/>
          <w:highlight w:val="none"/>
          <w:lang w:val="zh-CN"/>
        </w:rPr>
        <w:t>；</w:t>
      </w:r>
    </w:p>
    <w:p w14:paraId="27FA1920">
      <w:pPr>
        <w:pageBreakBefore w:val="0"/>
        <w:tabs>
          <w:tab w:val="left" w:pos="720"/>
          <w:tab w:val="left" w:pos="5355"/>
        </w:tabs>
        <w:kinsoku/>
        <w:topLinePunct w:val="0"/>
        <w:bidi w:val="0"/>
        <w:spacing w:line="500" w:lineRule="exact"/>
        <w:ind w:left="0" w:leftChars="0" w:firstLine="420" w:firstLineChars="200"/>
        <w:rPr>
          <w:rFonts w:hint="eastAsia"/>
          <w:lang w:val="en-US"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本项目是专门面向中小企业采购的项目，供应商须在资格证明文件中提供《中小企业声明函》或《残疾人福利性单位声明函》或省级以上监狱管理局、戒毒管理局（含新疆生产建设兵团）出具的属于监狱企业的证明文件</w:t>
      </w:r>
      <w:r>
        <w:rPr>
          <w:rFonts w:hint="eastAsia" w:ascii="宋体" w:hAnsi="宋体" w:cs="宋体"/>
          <w:b w:val="0"/>
          <w:bCs w:val="0"/>
          <w:color w:val="auto"/>
          <w:szCs w:val="21"/>
          <w:highlight w:val="none"/>
          <w:lang w:val="en-US" w:eastAsia="zh-CN"/>
        </w:rPr>
        <w:t>（格式详见附件）；</w:t>
      </w:r>
    </w:p>
    <w:p w14:paraId="48C2B6F1">
      <w:pPr>
        <w:pStyle w:val="13"/>
        <w:spacing w:line="440" w:lineRule="exact"/>
        <w:ind w:left="420" w:firstLine="42"/>
        <w:textAlignment w:val="baseline"/>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商务技术文件（请附“供应商自评表”【格式见附件】，以便评审）：</w:t>
      </w:r>
    </w:p>
    <w:p w14:paraId="729F37F5">
      <w:pPr>
        <w:pStyle w:val="13"/>
        <w:spacing w:line="360" w:lineRule="auto"/>
        <w:ind w:firstLine="42"/>
        <w:textAlignment w:val="baseline"/>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商务技术</w:t>
      </w:r>
      <w:r>
        <w:rPr>
          <w:rFonts w:hint="eastAsia" w:ascii="宋体" w:hAnsi="宋体" w:eastAsia="宋体" w:cs="宋体"/>
          <w:b/>
          <w:color w:val="auto"/>
          <w:sz w:val="21"/>
          <w:szCs w:val="21"/>
          <w:highlight w:val="none"/>
        </w:rPr>
        <w:t>部分</w:t>
      </w:r>
    </w:p>
    <w:p w14:paraId="660FCF97">
      <w:pPr>
        <w:tabs>
          <w:tab w:val="left" w:pos="720"/>
          <w:tab w:val="left" w:pos="5355"/>
        </w:tabs>
        <w:spacing w:line="360" w:lineRule="auto"/>
        <w:ind w:left="420" w:left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1）投标声明书【格式见附件】；</w:t>
      </w:r>
    </w:p>
    <w:p w14:paraId="72743880">
      <w:pPr>
        <w:tabs>
          <w:tab w:val="left" w:pos="720"/>
          <w:tab w:val="left" w:pos="5355"/>
        </w:tabs>
        <w:spacing w:line="360" w:lineRule="auto"/>
        <w:ind w:left="420" w:left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基本情况表【格式见附件】；</w:t>
      </w:r>
    </w:p>
    <w:p w14:paraId="66CE6B1A">
      <w:pPr>
        <w:tabs>
          <w:tab w:val="left" w:pos="720"/>
          <w:tab w:val="left" w:pos="5355"/>
        </w:tabs>
        <w:spacing w:line="360" w:lineRule="auto"/>
        <w:ind w:firstLine="421"/>
        <w:textAlignment w:val="baseline"/>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）偏离表【格式见附件】；</w:t>
      </w:r>
    </w:p>
    <w:p w14:paraId="3E07F8B9">
      <w:pPr>
        <w:tabs>
          <w:tab w:val="left" w:pos="720"/>
          <w:tab w:val="left" w:pos="5355"/>
        </w:tabs>
        <w:spacing w:line="360" w:lineRule="auto"/>
        <w:ind w:left="420" w:leftChars="200"/>
        <w:textAlignment w:val="baseline"/>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eastAsia="zh-CN"/>
        </w:rPr>
        <w:t>根据商务技术评审内容进行编制；</w:t>
      </w:r>
    </w:p>
    <w:p w14:paraId="6ABF0E2E">
      <w:pPr>
        <w:tabs>
          <w:tab w:val="left" w:pos="720"/>
          <w:tab w:val="left" w:pos="5355"/>
        </w:tabs>
        <w:spacing w:line="360" w:lineRule="auto"/>
        <w:ind w:firstLine="421"/>
        <w:textAlignment w:val="baseline"/>
        <w:rPr>
          <w:rFonts w:ascii="宋体" w:hAnsi="宋体" w:cs="宋体"/>
          <w:color w:val="auto"/>
          <w:sz w:val="20"/>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认为有必要提供的其他文件和说明（格式自拟）。</w:t>
      </w:r>
    </w:p>
    <w:p w14:paraId="50D05141">
      <w:pPr>
        <w:tabs>
          <w:tab w:val="left" w:pos="720"/>
          <w:tab w:val="left" w:pos="5355"/>
        </w:tabs>
        <w:spacing w:line="440" w:lineRule="exact"/>
        <w:ind w:firstLine="422" w:firstLineChars="200"/>
        <w:textAlignment w:val="baseline"/>
        <w:rPr>
          <w:rFonts w:ascii="宋体" w:hAnsi="宋体" w:cs="宋体"/>
          <w:b/>
          <w:color w:val="auto"/>
          <w:sz w:val="20"/>
          <w:szCs w:val="21"/>
          <w:highlight w:val="none"/>
        </w:rPr>
      </w:pPr>
      <w:r>
        <w:rPr>
          <w:rFonts w:hint="eastAsia" w:ascii="宋体" w:hAnsi="宋体" w:cs="宋体"/>
          <w:b/>
          <w:color w:val="auto"/>
          <w:szCs w:val="21"/>
          <w:highlight w:val="none"/>
        </w:rPr>
        <w:t>报价文件：</w:t>
      </w:r>
    </w:p>
    <w:p w14:paraId="4C3B8570">
      <w:pPr>
        <w:tabs>
          <w:tab w:val="left" w:pos="720"/>
          <w:tab w:val="left" w:pos="5355"/>
        </w:tabs>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1）磋商报价一览表（首次报价）</w:t>
      </w:r>
    </w:p>
    <w:p w14:paraId="1105DE3B">
      <w:pPr>
        <w:tabs>
          <w:tab w:val="left" w:pos="720"/>
          <w:tab w:val="left" w:pos="5355"/>
        </w:tabs>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）最终报价表；</w:t>
      </w:r>
      <w:r>
        <w:rPr>
          <w:rFonts w:hint="eastAsia" w:ascii="宋体" w:hAnsi="宋体" w:cs="宋体"/>
          <w:b/>
          <w:bCs/>
          <w:color w:val="auto"/>
          <w:highlight w:val="none"/>
        </w:rPr>
        <w:t>（根据系统要求在线填写。）</w:t>
      </w:r>
    </w:p>
    <w:p w14:paraId="37FBC5CE">
      <w:pPr>
        <w:tabs>
          <w:tab w:val="left" w:pos="720"/>
          <w:tab w:val="left" w:pos="5355"/>
        </w:tabs>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）磋商供应商针对报价需要说明的其他文件和资料（格式自拟）。</w:t>
      </w:r>
    </w:p>
    <w:p w14:paraId="3D1B4C54">
      <w:pPr>
        <w:pStyle w:val="13"/>
        <w:spacing w:line="440" w:lineRule="exact"/>
        <w:ind w:left="0" w:firstLine="422" w:firstLineChars="20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响应文件的编制格式及说明</w:t>
      </w:r>
    </w:p>
    <w:p w14:paraId="216D5FE0">
      <w:pPr>
        <w:pStyle w:val="13"/>
        <w:spacing w:line="440" w:lineRule="exact"/>
        <w:ind w:left="0" w:firstLine="420" w:firstLineChars="200"/>
        <w:textAlignment w:val="baseline"/>
        <w:rPr>
          <w:rFonts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4.1响应文件应包括规定的内容，磋商供应商提交的响应文件应当使用磋商文件所提供的响应文件全部格式（格式可以按同样格式扩展）；未提供响应文件标准格式的，由磋商供应商自行编写：</w:t>
      </w:r>
      <w:r>
        <w:rPr>
          <w:rFonts w:hint="eastAsia" w:ascii="宋体" w:hAnsi="宋体" w:eastAsia="宋体" w:cs="宋体"/>
          <w:b/>
          <w:bCs/>
          <w:color w:val="auto"/>
          <w:sz w:val="21"/>
          <w:szCs w:val="21"/>
          <w:highlight w:val="none"/>
        </w:rPr>
        <w:t>电子响应文件按政采云平台“供应商-政府采购项目电子交易操作指南”及本竞争性磋商要求制作、加密。</w:t>
      </w:r>
    </w:p>
    <w:p w14:paraId="0795E836">
      <w:pPr>
        <w:pStyle w:val="13"/>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4.2</w:t>
      </w:r>
      <w:r>
        <w:rPr>
          <w:rFonts w:hint="eastAsia" w:ascii="宋体" w:hAnsi="宋体" w:eastAsia="宋体" w:cs="宋体"/>
          <w:color w:val="auto"/>
          <w:sz w:val="21"/>
          <w:szCs w:val="21"/>
          <w:highlight w:val="none"/>
        </w:rPr>
        <w:t>磋商供应商必须保证响应文件所提供的全部资料真实可靠，并接受对其中任何资料进一步审查的要求。</w:t>
      </w:r>
    </w:p>
    <w:p w14:paraId="45F9D186">
      <w:pPr>
        <w:pStyle w:val="13"/>
        <w:spacing w:line="440" w:lineRule="exact"/>
        <w:ind w:left="42" w:leftChars="20" w:firstLine="422" w:firstLineChars="200"/>
        <w:textAlignment w:val="baseline"/>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5</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投标报价</w:t>
      </w:r>
    </w:p>
    <w:p w14:paraId="42DC68A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val="0"/>
        <w:autoSpaceDE/>
        <w:autoSpaceDN/>
        <w:bidi w:val="0"/>
        <w:adjustRightInd/>
        <w:snapToGrid/>
        <w:spacing w:line="300" w:lineRule="auto"/>
        <w:ind w:firstLine="420" w:firstLineChars="200"/>
        <w:jc w:val="left"/>
        <w:textAlignment w:val="baseline"/>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5.1</w:t>
      </w:r>
      <w:r>
        <w:rPr>
          <w:rFonts w:hint="eastAsia" w:ascii="宋体" w:hAnsi="宋体" w:eastAsia="宋体" w:cs="宋体"/>
          <w:b/>
          <w:bCs/>
          <w:color w:val="000000"/>
          <w:sz w:val="21"/>
          <w:szCs w:val="21"/>
          <w:highlight w:val="none"/>
        </w:rPr>
        <w:t>本次报价非一次性报价，在磋商后根据磋商情况（包括细化采购方案和要求，增补部分采购内容等），供应商须进行最终报价</w:t>
      </w:r>
      <w:r>
        <w:rPr>
          <w:rFonts w:hint="eastAsia" w:ascii="宋体" w:hAnsi="宋体" w:eastAsia="宋体" w:cs="宋体"/>
          <w:b/>
          <w:bCs/>
          <w:color w:val="auto"/>
          <w:szCs w:val="21"/>
          <w:highlight w:val="none"/>
        </w:rPr>
        <w:t>。</w:t>
      </w:r>
      <w:r>
        <w:rPr>
          <w:rFonts w:hint="eastAsia" w:ascii="宋体" w:hAnsi="宋体" w:eastAsia="宋体" w:cs="宋体"/>
          <w:b/>
          <w:bCs/>
          <w:color w:val="000000"/>
          <w:sz w:val="21"/>
          <w:szCs w:val="21"/>
          <w:highlight w:val="none"/>
        </w:rPr>
        <w:t>除响应文件中要求提供的初次报价外，磋商环节结束后，评审小组将根据磋商结果要求供应商在政采云系统上进行最后报价（或二次报价）。</w:t>
      </w:r>
    </w:p>
    <w:p w14:paraId="3C3B072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val="0"/>
        <w:autoSpaceDE/>
        <w:autoSpaceDN/>
        <w:bidi w:val="0"/>
        <w:adjustRightInd/>
        <w:snapToGrid/>
        <w:spacing w:line="300" w:lineRule="auto"/>
        <w:ind w:firstLine="420" w:firstLineChars="200"/>
        <w:jc w:val="left"/>
        <w:textAlignment w:val="baseline"/>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投标报价以人民币为结算货币。</w:t>
      </w:r>
      <w:r>
        <w:rPr>
          <w:rFonts w:hint="eastAsia" w:ascii="宋体" w:hAnsi="宋体" w:eastAsia="宋体" w:cs="宋体"/>
          <w:color w:val="000000"/>
          <w:sz w:val="21"/>
          <w:szCs w:val="21"/>
          <w:highlight w:val="none"/>
          <w:lang w:val="en-US"/>
        </w:rPr>
        <w:t>投标报价应是本采购文件确定的采购需求范围内全部工作内容的价格表现。完成本项目采购需求范围内全部工作内容所需支付的一切成本费用、企业应缴纳的税费及</w:t>
      </w:r>
      <w:r>
        <w:rPr>
          <w:rStyle w:val="79"/>
          <w:rFonts w:hint="eastAsia" w:ascii="宋体" w:hAnsi="宋体" w:cs="宋体"/>
          <w:szCs w:val="21"/>
          <w:highlight w:val="none"/>
          <w:lang w:val="en-US"/>
        </w:rPr>
        <w:t>合理</w:t>
      </w:r>
      <w:r>
        <w:rPr>
          <w:rFonts w:hint="eastAsia" w:ascii="宋体" w:hAnsi="宋体" w:eastAsia="宋体" w:cs="宋体"/>
          <w:color w:val="000000"/>
          <w:sz w:val="21"/>
          <w:szCs w:val="21"/>
          <w:highlight w:val="none"/>
          <w:lang w:val="en-US"/>
        </w:rPr>
        <w:t>利润等所有采购文件提及的费用，以及诸如项目实施过程中合理存在的风险等采购文件未列明但可能产生额外成本的因素，</w:t>
      </w:r>
      <w:r>
        <w:rPr>
          <w:rFonts w:hint="eastAsia" w:ascii="宋体" w:hAnsi="宋体" w:eastAsia="宋体" w:cs="宋体"/>
          <w:color w:val="000000"/>
          <w:sz w:val="21"/>
          <w:szCs w:val="21"/>
          <w:highlight w:val="none"/>
        </w:rPr>
        <w:t>均应计入投标报价。报价精确至人民币“元”。</w:t>
      </w:r>
    </w:p>
    <w:p w14:paraId="45F8033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val="0"/>
        <w:autoSpaceDE/>
        <w:autoSpaceDN/>
        <w:bidi w:val="0"/>
        <w:adjustRightInd/>
        <w:snapToGrid/>
        <w:spacing w:line="300" w:lineRule="auto"/>
        <w:ind w:firstLine="420" w:firstLineChars="200"/>
        <w:jc w:val="left"/>
        <w:textAlignment w:val="baseline"/>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采购人不接受任何选择报价，对每一种货物或服务只接受一个报价。</w:t>
      </w:r>
    </w:p>
    <w:p w14:paraId="47889EDB">
      <w:pPr>
        <w:pStyle w:val="13"/>
        <w:spacing w:line="440" w:lineRule="exact"/>
        <w:ind w:left="0" w:firstLine="0" w:firstLineChars="0"/>
        <w:textAlignment w:val="baseline"/>
        <w:rPr>
          <w:rFonts w:ascii="宋体" w:hAnsi="宋体" w:eastAsia="宋体" w:cs="宋体"/>
          <w:b/>
          <w:color w:val="auto"/>
          <w:sz w:val="21"/>
          <w:szCs w:val="21"/>
          <w:highlight w:val="none"/>
        </w:rPr>
      </w:pPr>
      <w:bookmarkStart w:id="39" w:name="_Toc223715998"/>
      <w:bookmarkStart w:id="40" w:name="_Toc245722281"/>
      <w:bookmarkStart w:id="41" w:name="_Toc249758712"/>
      <w:bookmarkStart w:id="42" w:name="_Toc222114879"/>
      <w:bookmarkStart w:id="43" w:name="_Toc221356951"/>
      <w:bookmarkStart w:id="44" w:name="_Toc245191314"/>
      <w:bookmarkStart w:id="45" w:name="_Toc249758864"/>
      <w:bookmarkStart w:id="46" w:name="_Toc262049418"/>
      <w:bookmarkStart w:id="47" w:name="_Toc239145354"/>
      <w:bookmarkStart w:id="48" w:name="_Toc246261265"/>
      <w:bookmarkStart w:id="49" w:name="_Toc410031816"/>
      <w:bookmarkStart w:id="50" w:name="_Toc221356887"/>
      <w:bookmarkStart w:id="51" w:name="_Toc221423619"/>
      <w:bookmarkStart w:id="52" w:name="_Toc221374626"/>
      <w:bookmarkStart w:id="53" w:name="_Toc241404202"/>
      <w:bookmarkStart w:id="54" w:name="_Toc262105503"/>
      <w:r>
        <w:rPr>
          <w:rFonts w:hint="eastAsia" w:ascii="宋体" w:hAnsi="宋体" w:eastAsia="宋体" w:cs="宋体"/>
          <w:b/>
          <w:color w:val="auto"/>
          <w:sz w:val="21"/>
          <w:szCs w:val="21"/>
          <w:highlight w:val="none"/>
          <w:lang w:val="en-US" w:eastAsia="zh-CN"/>
        </w:rPr>
        <w:t xml:space="preserve">    6.</w:t>
      </w:r>
      <w:r>
        <w:rPr>
          <w:rFonts w:hint="eastAsia" w:ascii="宋体" w:hAnsi="宋体" w:eastAsia="宋体" w:cs="宋体"/>
          <w:b/>
          <w:color w:val="auto"/>
          <w:sz w:val="21"/>
          <w:szCs w:val="21"/>
          <w:highlight w:val="none"/>
        </w:rPr>
        <w:t>响应文件的格式和顺序</w:t>
      </w:r>
    </w:p>
    <w:p w14:paraId="6A5D9BE3">
      <w:pPr>
        <w:snapToGrid w:val="0"/>
        <w:spacing w:line="440" w:lineRule="exact"/>
        <w:ind w:firstLine="422" w:firstLineChars="200"/>
        <w:textAlignment w:val="baseline"/>
        <w:rPr>
          <w:rFonts w:ascii="宋体" w:hAnsi="宋体" w:cs="宋体"/>
          <w:color w:val="auto"/>
          <w:sz w:val="20"/>
          <w:highlight w:val="none"/>
        </w:rPr>
      </w:pPr>
      <w:bookmarkStart w:id="55" w:name="_Toc22960"/>
      <w:r>
        <w:rPr>
          <w:rFonts w:hint="eastAsia" w:ascii="宋体" w:hAnsi="宋体" w:cs="宋体"/>
          <w:b/>
          <w:color w:val="auto"/>
          <w:szCs w:val="21"/>
          <w:highlight w:val="none"/>
        </w:rPr>
        <w:t>电子响应文件</w:t>
      </w:r>
      <w:r>
        <w:rPr>
          <w:rFonts w:hint="eastAsia" w:ascii="宋体" w:hAnsi="宋体" w:cs="宋体"/>
          <w:b/>
          <w:bCs/>
          <w:color w:val="auto"/>
          <w:szCs w:val="21"/>
          <w:highlight w:val="none"/>
        </w:rPr>
        <w:t>按政采云平台“供应商-政府采购项目电子交易操作指南”</w:t>
      </w:r>
      <w:r>
        <w:rPr>
          <w:color w:val="auto"/>
          <w:highlight w:val="none"/>
        </w:rPr>
        <w:fldChar w:fldCharType="begin"/>
      </w:r>
      <w:r>
        <w:rPr>
          <w:color w:val="auto"/>
          <w:highlight w:val="none"/>
        </w:rPr>
        <w:instrText xml:space="preserve"> HYPERLINK "https://help.zcy.gov.cn/web/site_2/2018/12-28/2573.html）及本招标文件规定的格式和顺序编制电子投标文件并进行关联定位。" </w:instrText>
      </w:r>
      <w:r>
        <w:rPr>
          <w:color w:val="auto"/>
          <w:highlight w:val="none"/>
        </w:rPr>
        <w:fldChar w:fldCharType="separate"/>
      </w:r>
      <w:r>
        <w:rPr>
          <w:rStyle w:val="41"/>
          <w:rFonts w:hint="eastAsia" w:ascii="宋体" w:hAnsi="宋体" w:cs="宋体"/>
          <w:b/>
          <w:bCs/>
          <w:color w:val="auto"/>
          <w:szCs w:val="21"/>
          <w:highlight w:val="none"/>
        </w:rPr>
        <w:t>及本竞争性磋商文件规定的格式和顺序编制电子响应文件并进行关联定位。</w:t>
      </w:r>
      <w:r>
        <w:rPr>
          <w:rStyle w:val="41"/>
          <w:rFonts w:hint="eastAsia" w:ascii="宋体" w:hAnsi="宋体" w:cs="宋体"/>
          <w:b/>
          <w:bCs/>
          <w:color w:val="auto"/>
          <w:szCs w:val="21"/>
          <w:highlight w:val="none"/>
        </w:rPr>
        <w:fldChar w:fldCharType="end"/>
      </w:r>
      <w:bookmarkEnd w:id="55"/>
    </w:p>
    <w:p w14:paraId="3D34BA5D">
      <w:pPr>
        <w:pStyle w:val="13"/>
        <w:spacing w:line="440" w:lineRule="exact"/>
        <w:ind w:left="0" w:firstLine="422" w:firstLineChars="20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投标有效期</w:t>
      </w:r>
    </w:p>
    <w:p w14:paraId="7073DB17">
      <w:pPr>
        <w:pStyle w:val="13"/>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7.1投标有效期见本磋商文件中前附表所规定的期限，在此期限内，凡符合磋商文件要求的响应文件均保持有效。</w:t>
      </w:r>
    </w:p>
    <w:p w14:paraId="34D0B7DC">
      <w:pPr>
        <w:pStyle w:val="13"/>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7.2在特殊情况下，招标采购人在原定投标有效期内，可以根据需要以书面形式向磋商供应商提出延长投标有效期的要求，对此要求磋商供应商须以书面形式予以答复。磋商供应商可以拒绝招标采购人这种要求。同意延长投标有效期的磋商供应商既不能要求也不允许修改其响应文件。</w:t>
      </w:r>
    </w:p>
    <w:p w14:paraId="77F90F1F">
      <w:pPr>
        <w:pStyle w:val="4"/>
        <w:keepLines/>
        <w:widowControl w:val="0"/>
        <w:numPr>
          <w:ilvl w:val="2"/>
          <w:numId w:val="0"/>
        </w:numPr>
        <w:spacing w:before="156" w:after="156"/>
        <w:jc w:val="center"/>
        <w:textAlignment w:val="baseline"/>
        <w:rPr>
          <w:rFonts w:ascii="宋体" w:hAnsi="宋体" w:cs="宋体"/>
          <w:b/>
          <w:bCs/>
          <w:color w:val="auto"/>
          <w:kern w:val="2"/>
          <w:sz w:val="32"/>
          <w:szCs w:val="32"/>
          <w:highlight w:val="none"/>
        </w:rPr>
      </w:pPr>
      <w:bookmarkStart w:id="56" w:name="_Toc10667"/>
      <w:r>
        <w:rPr>
          <w:rFonts w:hint="eastAsia" w:ascii="宋体" w:hAnsi="宋体" w:cs="宋体"/>
          <w:b/>
          <w:bCs/>
          <w:color w:val="auto"/>
          <w:kern w:val="2"/>
          <w:sz w:val="32"/>
          <w:szCs w:val="32"/>
          <w:highlight w:val="none"/>
        </w:rPr>
        <w:t>四、投标</w:t>
      </w:r>
      <w:bookmarkEnd w:id="56"/>
    </w:p>
    <w:p w14:paraId="540CD303">
      <w:pPr>
        <w:pStyle w:val="13"/>
        <w:spacing w:line="440" w:lineRule="exact"/>
        <w:ind w:left="0" w:firstLine="422" w:firstLineChars="200"/>
        <w:textAlignment w:val="baseline"/>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响应文件的提交</w:t>
      </w:r>
    </w:p>
    <w:p w14:paraId="5294E688">
      <w:pPr>
        <w:widowControl/>
        <w:spacing w:line="360" w:lineRule="auto"/>
        <w:ind w:firstLine="420"/>
        <w:rPr>
          <w:rFonts w:ascii="宋体" w:cs="宋体"/>
          <w:color w:val="auto"/>
          <w:kern w:val="0"/>
          <w:szCs w:val="21"/>
          <w:highlight w:val="none"/>
        </w:rPr>
      </w:pPr>
      <w:r>
        <w:rPr>
          <w:rFonts w:ascii="宋体" w:hAnsi="宋体" w:cs="宋体"/>
          <w:color w:val="auto"/>
          <w:kern w:val="0"/>
          <w:szCs w:val="21"/>
          <w:highlight w:val="none"/>
        </w:rPr>
        <w:t>1.1</w:t>
      </w:r>
      <w:r>
        <w:rPr>
          <w:rFonts w:hint="eastAsia" w:ascii="宋体" w:hAnsi="宋体" w:cs="宋体"/>
          <w:b/>
          <w:bCs/>
          <w:color w:val="auto"/>
          <w:kern w:val="0"/>
          <w:szCs w:val="21"/>
          <w:highlight w:val="none"/>
        </w:rPr>
        <w:t>电子加密投标文件：</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应当于投标文件提交截止时间前</w:t>
      </w:r>
      <w:r>
        <w:rPr>
          <w:rFonts w:hint="eastAsia" w:ascii="宋体" w:hAnsi="宋体" w:cs="宋体"/>
          <w:color w:val="auto"/>
          <w:szCs w:val="21"/>
          <w:highlight w:val="none"/>
        </w:rPr>
        <w:t>通过“政采云电子投标客户端”上传至政采云平台</w:t>
      </w:r>
      <w:r>
        <w:rPr>
          <w:rFonts w:hint="eastAsia" w:ascii="宋体" w:hAnsi="宋体" w:cs="宋体"/>
          <w:color w:val="auto"/>
          <w:kern w:val="0"/>
          <w:szCs w:val="21"/>
          <w:highlight w:val="none"/>
        </w:rPr>
        <w:t>上</w:t>
      </w:r>
      <w:r>
        <w:rPr>
          <w:rFonts w:hint="eastAsia" w:ascii="宋体" w:hAnsi="宋体" w:cs="宋体"/>
          <w:b/>
          <w:bCs/>
          <w:color w:val="auto"/>
          <w:kern w:val="0"/>
          <w:szCs w:val="21"/>
          <w:highlight w:val="none"/>
        </w:rPr>
        <w:t>。（逾期上传的投标文件将被拒收）</w:t>
      </w:r>
    </w:p>
    <w:p w14:paraId="216977ED">
      <w:pPr>
        <w:widowControl/>
        <w:wordWrap w:val="0"/>
        <w:spacing w:line="360" w:lineRule="auto"/>
        <w:ind w:firstLine="420"/>
        <w:rPr>
          <w:rFonts w:ascii="宋体" w:cs="宋体"/>
          <w:b/>
          <w:bCs/>
          <w:color w:val="auto"/>
          <w:highlight w:val="none"/>
          <w:lang w:val="zh-CN"/>
        </w:rPr>
      </w:pPr>
      <w:r>
        <w:rPr>
          <w:rFonts w:ascii="宋体" w:hAnsi="宋体" w:cs="宋体"/>
          <w:color w:val="auto"/>
          <w:kern w:val="0"/>
          <w:szCs w:val="21"/>
          <w:highlight w:val="none"/>
        </w:rPr>
        <w:t>1.2</w:t>
      </w:r>
      <w:r>
        <w:rPr>
          <w:rFonts w:hint="eastAsia" w:ascii="宋体" w:hAnsi="宋体" w:cs="宋体"/>
          <w:b/>
          <w:bCs/>
          <w:color w:val="auto"/>
          <w:kern w:val="0"/>
          <w:szCs w:val="21"/>
          <w:highlight w:val="none"/>
        </w:rPr>
        <w:t>备份投标文件（非强制要求提供）</w:t>
      </w:r>
      <w:r>
        <w:rPr>
          <w:rFonts w:hint="eastAsia" w:ascii="宋体" w:hAnsi="宋体" w:cs="宋体"/>
          <w:color w:val="auto"/>
          <w:kern w:val="0"/>
          <w:szCs w:val="21"/>
          <w:highlight w:val="none"/>
        </w:rPr>
        <w:t>：可在</w:t>
      </w:r>
      <w:r>
        <w:rPr>
          <w:color w:val="auto"/>
          <w:highlight w:val="none"/>
        </w:rPr>
        <w:fldChar w:fldCharType="begin"/>
      </w:r>
      <w:r>
        <w:rPr>
          <w:color w:val="auto"/>
          <w:highlight w:val="none"/>
        </w:rPr>
        <w:instrText xml:space="preserve"> HYPERLINK "mailto:按政采云平台项目采购-电子招投标操作指南制作备份投标文件（后缀名为.bfbs），在开标时间后15分钟内以电子邮件形式递交至采购代理机构邮箱（103874679@qq.com）。" </w:instrText>
      </w:r>
      <w:r>
        <w:rPr>
          <w:color w:val="auto"/>
          <w:highlight w:val="none"/>
        </w:rPr>
        <w:fldChar w:fldCharType="separate"/>
      </w:r>
      <w:r>
        <w:rPr>
          <w:rStyle w:val="41"/>
          <w:rFonts w:hint="eastAsia" w:ascii="宋体" w:hAnsi="宋体" w:cs="宋体"/>
          <w:color w:val="auto"/>
          <w:kern w:val="0"/>
          <w:szCs w:val="21"/>
          <w:highlight w:val="none"/>
          <w:u w:val="none"/>
        </w:rPr>
        <w:t>投标文件提交截止时间前以加密的压缩文件形式（即将压缩文件设置为需要密码才能打开）发送至采购代理机构邮箱</w:t>
      </w:r>
      <w:r>
        <w:rPr>
          <w:rStyle w:val="41"/>
          <w:rFonts w:hint="eastAsia" w:ascii="宋体" w:hAnsi="宋体" w:cs="宋体"/>
          <w:color w:val="auto"/>
          <w:kern w:val="0"/>
          <w:szCs w:val="21"/>
          <w:highlight w:val="none"/>
          <w:u w:val="none"/>
        </w:rPr>
        <w:fldChar w:fldCharType="end"/>
      </w:r>
      <w:r>
        <w:rPr>
          <w:rFonts w:hint="eastAsia" w:ascii="宋体" w:hAnsi="宋体" w:cs="宋体"/>
          <w:color w:val="auto"/>
          <w:kern w:val="0"/>
          <w:szCs w:val="21"/>
          <w:highlight w:val="none"/>
        </w:rPr>
        <w:t>，并在</w:t>
      </w:r>
      <w:r>
        <w:rPr>
          <w:rFonts w:hint="eastAsia" w:ascii="宋体" w:hAnsi="宋体" w:cs="宋体"/>
          <w:color w:val="auto"/>
          <w:highlight w:val="none"/>
          <w:lang w:val="zh-CN"/>
        </w:rPr>
        <w:t>接到在线解密通</w:t>
      </w:r>
      <w:r>
        <w:rPr>
          <w:rFonts w:hint="eastAsia" w:ascii="宋体" w:hAnsi="宋体" w:cs="宋体"/>
          <w:color w:val="auto"/>
          <w:szCs w:val="21"/>
          <w:highlight w:val="none"/>
          <w:lang w:val="zh-CN"/>
        </w:rPr>
        <w:t>知</w:t>
      </w:r>
      <w:r>
        <w:rPr>
          <w:rFonts w:hint="eastAsia" w:ascii="宋体" w:hAnsi="宋体" w:cs="宋体"/>
          <w:color w:val="auto"/>
          <w:highlight w:val="none"/>
          <w:lang w:val="zh-CN"/>
        </w:rPr>
        <w:t>后</w:t>
      </w:r>
      <w:r>
        <w:rPr>
          <w:rFonts w:ascii="宋体" w:hAnsi="宋体" w:cs="宋体"/>
          <w:color w:val="auto"/>
          <w:szCs w:val="21"/>
          <w:highlight w:val="none"/>
        </w:rPr>
        <w:t>30</w:t>
      </w:r>
      <w:r>
        <w:rPr>
          <w:rFonts w:hint="eastAsia" w:ascii="宋体" w:hAnsi="宋体" w:cs="宋体"/>
          <w:color w:val="auto"/>
          <w:highlight w:val="none"/>
        </w:rPr>
        <w:t>分钟</w:t>
      </w:r>
      <w:r>
        <w:rPr>
          <w:rFonts w:hint="eastAsia" w:ascii="宋体" w:hAnsi="宋体" w:cs="宋体"/>
          <w:color w:val="auto"/>
          <w:highlight w:val="none"/>
          <w:lang w:val="zh-CN"/>
        </w:rPr>
        <w:t>内发送压缩文件密码至</w:t>
      </w:r>
      <w:r>
        <w:rPr>
          <w:rStyle w:val="41"/>
          <w:rFonts w:hint="eastAsia" w:ascii="宋体" w:hAnsi="宋体" w:cs="宋体"/>
          <w:color w:val="auto"/>
          <w:kern w:val="0"/>
          <w:szCs w:val="21"/>
          <w:highlight w:val="none"/>
          <w:u w:val="none"/>
        </w:rPr>
        <w:t>采购代理机构邮箱（邮箱号码：</w:t>
      </w:r>
      <w:r>
        <w:rPr>
          <w:color w:val="auto"/>
          <w:highlight w:val="none"/>
        </w:rPr>
        <w:fldChar w:fldCharType="begin"/>
      </w:r>
      <w:r>
        <w:rPr>
          <w:color w:val="auto"/>
          <w:highlight w:val="none"/>
        </w:rPr>
        <w:instrText xml:space="preserve"> HYPERLINK "mailto:103874679@qq.com）。" </w:instrText>
      </w:r>
      <w:r>
        <w:rPr>
          <w:color w:val="auto"/>
          <w:highlight w:val="none"/>
        </w:rPr>
        <w:fldChar w:fldCharType="separate"/>
      </w:r>
      <w:r>
        <w:rPr>
          <w:rStyle w:val="41"/>
          <w:rFonts w:hint="eastAsia" w:ascii="宋体" w:hAnsi="宋体" w:cs="宋体"/>
          <w:color w:val="auto"/>
          <w:highlight w:val="none"/>
          <w:u w:val="none"/>
          <w:lang w:val="en-US" w:eastAsia="zh-CN"/>
        </w:rPr>
        <w:t>283199225@qq.com</w:t>
      </w:r>
      <w:r>
        <w:rPr>
          <w:rStyle w:val="41"/>
          <w:rFonts w:hint="eastAsia" w:ascii="宋体" w:hAnsi="宋体" w:cs="宋体"/>
          <w:color w:val="auto"/>
          <w:highlight w:val="none"/>
          <w:u w:val="none"/>
        </w:rPr>
        <w:t>）</w:t>
      </w:r>
      <w:r>
        <w:rPr>
          <w:rStyle w:val="41"/>
          <w:rFonts w:hint="eastAsia" w:ascii="宋体" w:hAnsi="宋体" w:cs="宋体"/>
          <w:color w:val="auto"/>
          <w:highlight w:val="none"/>
          <w:u w:val="none"/>
        </w:rPr>
        <w:fldChar w:fldCharType="end"/>
      </w:r>
      <w:r>
        <w:rPr>
          <w:rStyle w:val="41"/>
          <w:rFonts w:hint="eastAsia" w:ascii="宋体" w:hAnsi="宋体" w:cs="宋体"/>
          <w:color w:val="auto"/>
          <w:highlight w:val="none"/>
          <w:u w:val="none"/>
          <w:lang w:val="zh-CN"/>
        </w:rPr>
        <w:t>。</w:t>
      </w:r>
      <w:r>
        <w:rPr>
          <w:rFonts w:hint="eastAsia" w:ascii="宋体" w:hAnsi="宋体" w:cs="宋体"/>
          <w:b/>
          <w:bCs/>
          <w:color w:val="auto"/>
          <w:kern w:val="0"/>
          <w:szCs w:val="21"/>
          <w:highlight w:val="none"/>
        </w:rPr>
        <w:t>（逾期提交的备份投标文件将被拒收）</w:t>
      </w:r>
    </w:p>
    <w:p w14:paraId="3FD4FB38">
      <w:pPr>
        <w:widowControl/>
        <w:spacing w:line="360" w:lineRule="auto"/>
        <w:ind w:firstLine="420"/>
        <w:rPr>
          <w:rFonts w:ascii="宋体" w:cs="宋体"/>
          <w:b/>
          <w:bCs/>
          <w:color w:val="auto"/>
          <w:highlight w:val="none"/>
          <w:lang w:val="zh-CN"/>
        </w:rPr>
      </w:pPr>
      <w:r>
        <w:rPr>
          <w:rFonts w:hint="eastAsia" w:ascii="宋体" w:hAnsi="宋体" w:cs="宋体"/>
          <w:b/>
          <w:bCs/>
          <w:color w:val="auto"/>
          <w:szCs w:val="21"/>
          <w:highlight w:val="none"/>
          <w:lang w:val="zh-CN"/>
        </w:rPr>
        <w:t>提示：①为确保采购项目顺利实施，供应商可以按照采购文件要求在投标文件提交截止时间前向采购代理机构</w:t>
      </w:r>
      <w:r>
        <w:rPr>
          <w:rFonts w:hint="eastAsia" w:ascii="宋体" w:hAnsi="宋体" w:cs="宋体"/>
          <w:b/>
          <w:bCs/>
          <w:color w:val="auto"/>
          <w:szCs w:val="21"/>
          <w:highlight w:val="none"/>
        </w:rPr>
        <w:t>提交</w:t>
      </w:r>
      <w:r>
        <w:rPr>
          <w:rFonts w:hint="eastAsia" w:ascii="宋体" w:hAnsi="宋体" w:cs="宋体"/>
          <w:b/>
          <w:bCs/>
          <w:color w:val="auto"/>
          <w:szCs w:val="21"/>
          <w:highlight w:val="none"/>
          <w:lang w:val="zh-CN"/>
        </w:rPr>
        <w:t>备份投标文件，但非强制性要求。如</w:t>
      </w:r>
      <w:r>
        <w:rPr>
          <w:rFonts w:hint="eastAsia" w:ascii="宋体" w:hAnsi="宋体" w:cs="宋体"/>
          <w:b/>
          <w:bCs/>
          <w:color w:val="auto"/>
          <w:szCs w:val="21"/>
          <w:highlight w:val="none"/>
        </w:rPr>
        <w:t>在</w:t>
      </w:r>
      <w:r>
        <w:rPr>
          <w:rFonts w:hint="eastAsia" w:ascii="宋体" w:hAnsi="宋体" w:cs="宋体"/>
          <w:b/>
          <w:bCs/>
          <w:color w:val="auto"/>
          <w:szCs w:val="21"/>
          <w:highlight w:val="none"/>
          <w:lang w:val="zh-CN"/>
        </w:rPr>
        <w:t>投标文件提交截止时间前</w:t>
      </w:r>
      <w:r>
        <w:rPr>
          <w:rFonts w:hint="eastAsia" w:ascii="宋体" w:hAnsi="宋体" w:cs="宋体"/>
          <w:b/>
          <w:bCs/>
          <w:color w:val="auto"/>
          <w:szCs w:val="21"/>
          <w:highlight w:val="none"/>
        </w:rPr>
        <w:t>未提交</w:t>
      </w:r>
      <w:r>
        <w:rPr>
          <w:rFonts w:hint="eastAsia" w:ascii="宋体" w:hAnsi="宋体" w:cs="宋体"/>
          <w:b/>
          <w:bCs/>
          <w:color w:val="auto"/>
          <w:szCs w:val="21"/>
          <w:highlight w:val="none"/>
          <w:lang w:val="zh-CN"/>
        </w:rPr>
        <w:t>备份投标文件，因遇电子加密投标文件解密失败等情况造成投标撤回或无效的，其后果由供应商自行承担。</w:t>
      </w:r>
    </w:p>
    <w:p w14:paraId="448B89E5">
      <w:pPr>
        <w:spacing w:line="360" w:lineRule="auto"/>
        <w:ind w:firstLine="420"/>
        <w:rPr>
          <w:rFonts w:ascii="宋体" w:cs="宋体"/>
          <w:b/>
          <w:bCs/>
          <w:color w:val="auto"/>
          <w:szCs w:val="21"/>
          <w:highlight w:val="none"/>
          <w:lang w:val="zh-CN"/>
        </w:rPr>
      </w:pPr>
      <w:r>
        <w:rPr>
          <w:rFonts w:hint="eastAsia" w:ascii="宋体" w:hAnsi="宋体" w:cs="宋体"/>
          <w:b/>
          <w:bCs/>
          <w:color w:val="auto"/>
          <w:szCs w:val="21"/>
          <w:highlight w:val="none"/>
        </w:rPr>
        <w:t>②</w:t>
      </w:r>
      <w:r>
        <w:rPr>
          <w:rFonts w:hint="eastAsia" w:ascii="宋体" w:hAnsi="宋体" w:cs="宋体"/>
          <w:b/>
          <w:bCs/>
          <w:color w:val="auto"/>
          <w:szCs w:val="21"/>
          <w:highlight w:val="none"/>
          <w:lang w:val="zh-CN"/>
        </w:rPr>
        <w:t>本次采购活动采用电子交易，实行网上交易（非现场方式实施）。供应商代表无需到达现场，但应当准时在线参加开标，直至评审结束，并保证开标、评审过程中采购代理机构能够随时与其代表人取得联系。</w:t>
      </w:r>
    </w:p>
    <w:p w14:paraId="7F3BC963">
      <w:pPr>
        <w:pStyle w:val="13"/>
        <w:spacing w:line="440" w:lineRule="exact"/>
        <w:ind w:left="0" w:firstLine="422" w:firstLineChars="20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响应文件提交的截止时间</w:t>
      </w:r>
    </w:p>
    <w:p w14:paraId="6DA9AD67">
      <w:pPr>
        <w:pStyle w:val="13"/>
        <w:spacing w:line="440" w:lineRule="exact"/>
        <w:ind w:left="420" w:firstLine="42"/>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2.1响应文件提交的截止时间见磋商文件投标须知前附表规定。</w:t>
      </w:r>
    </w:p>
    <w:p w14:paraId="7D2D96BB">
      <w:pPr>
        <w:pStyle w:val="13"/>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2.2招标采购人可按本磋商文件规定以修改补充通知的方式，酌情延长提交响应文件的截止时间。在此情况下，磋商供应商的所有权利和义务以及磋商供应商受制约的截止时间，均以延长后新的投标截止时间为准。</w:t>
      </w:r>
    </w:p>
    <w:p w14:paraId="6F88CE7D">
      <w:pPr>
        <w:pStyle w:val="13"/>
        <w:spacing w:line="440" w:lineRule="exact"/>
        <w:ind w:left="420" w:firstLine="42"/>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2.3磋商供应商在投标截止时间以后送达的响应文件将被拒绝接受。</w:t>
      </w:r>
    </w:p>
    <w:p w14:paraId="3EC1605B">
      <w:pPr>
        <w:pStyle w:val="13"/>
        <w:spacing w:line="440" w:lineRule="exact"/>
        <w:ind w:left="0" w:firstLine="422" w:firstLineChars="20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响应文件的补充、修改与撤回</w:t>
      </w:r>
    </w:p>
    <w:p w14:paraId="6B393776">
      <w:pPr>
        <w:pStyle w:val="13"/>
        <w:spacing w:line="440" w:lineRule="exact"/>
        <w:ind w:lef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3.1磋商供应商在提交响应文件以后，在规定的投标截止时间之前，可以补充修改或撤回已提交的响应文件：</w:t>
      </w:r>
    </w:p>
    <w:p w14:paraId="058F807E">
      <w:pPr>
        <w:pStyle w:val="13"/>
        <w:spacing w:line="440" w:lineRule="exact"/>
        <w:ind w:left="0" w:firstLine="422"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递交响应文件截止时间之前补充或者修改电子响应文件的，应当先行撤回原文件，补充、修改后重新传输递交。</w:t>
      </w:r>
    </w:p>
    <w:p w14:paraId="0561A2C6">
      <w:pPr>
        <w:pStyle w:val="13"/>
        <w:spacing w:line="440" w:lineRule="exact"/>
        <w:ind w:left="0" w:firstLine="525" w:firstLineChars="25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3.2在投标截止时间之后，磋商供应商不得补充、修改响应文件。</w:t>
      </w:r>
    </w:p>
    <w:p w14:paraId="75E9CFA1">
      <w:pPr>
        <w:pStyle w:val="13"/>
        <w:spacing w:line="440" w:lineRule="exact"/>
        <w:ind w:left="0" w:firstLine="525" w:firstLineChars="25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3.3根据磋商文件规定，在投标截止时间之后至磋商供应商在投标声明书中规定的投标有效期满之前的这段时间内，磋商供应商不得撤回其响应文件，否则应当按照本项目采购预算价2%的标准承担因此给采购单位造成的损失的赔偿责任及相应的法律责任。</w:t>
      </w:r>
    </w:p>
    <w:p w14:paraId="75C3454A">
      <w:pPr>
        <w:pStyle w:val="4"/>
        <w:keepLines/>
        <w:widowControl w:val="0"/>
        <w:numPr>
          <w:ilvl w:val="2"/>
          <w:numId w:val="0"/>
        </w:numPr>
        <w:spacing w:before="156" w:after="156"/>
        <w:jc w:val="center"/>
        <w:textAlignment w:val="baseline"/>
        <w:rPr>
          <w:rFonts w:ascii="宋体" w:hAnsi="宋体" w:cs="宋体"/>
          <w:b/>
          <w:bCs/>
          <w:color w:val="auto"/>
          <w:kern w:val="2"/>
          <w:sz w:val="32"/>
          <w:szCs w:val="32"/>
          <w:highlight w:val="none"/>
        </w:rPr>
      </w:pPr>
      <w:bookmarkStart w:id="57" w:name="_Toc582"/>
      <w:r>
        <w:rPr>
          <w:rFonts w:hint="eastAsia" w:ascii="宋体" w:hAnsi="宋体" w:cs="宋体"/>
          <w:b/>
          <w:bCs/>
          <w:color w:val="auto"/>
          <w:kern w:val="2"/>
          <w:sz w:val="32"/>
          <w:szCs w:val="32"/>
          <w:highlight w:val="none"/>
        </w:rPr>
        <w:t xml:space="preserve"> 五、开标</w:t>
      </w:r>
      <w:bookmarkEnd w:id="57"/>
    </w:p>
    <w:p w14:paraId="3876337D">
      <w:pPr>
        <w:pStyle w:val="13"/>
        <w:spacing w:line="440" w:lineRule="exact"/>
        <w:ind w:left="0" w:firstLine="422" w:firstLineChars="20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开标</w:t>
      </w:r>
    </w:p>
    <w:p w14:paraId="050763E1">
      <w:pPr>
        <w:pStyle w:val="13"/>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1.1招标采购人按本磋商文件磋商供应商须知前附表规定的时间和地点公开开标。</w:t>
      </w:r>
    </w:p>
    <w:p w14:paraId="28060D98">
      <w:pPr>
        <w:pStyle w:val="13"/>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1.2采购代理机构核验出席开标活动现场的相关单位人员身份，并组织其分别登记、签到，无关人员不得进入现场。</w:t>
      </w:r>
    </w:p>
    <w:p w14:paraId="62DF3DB4">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1.3采购组织机构将按照磋商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15938BA1">
      <w:pPr>
        <w:pStyle w:val="13"/>
        <w:spacing w:line="440" w:lineRule="exact"/>
        <w:ind w:left="0" w:firstLine="422" w:firstLineChars="200"/>
        <w:textAlignment w:val="baseline"/>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开标程序</w:t>
      </w:r>
    </w:p>
    <w:p w14:paraId="4D67F57B">
      <w:pPr>
        <w:pStyle w:val="13"/>
        <w:spacing w:line="440" w:lineRule="exact"/>
        <w:ind w:left="42" w:leftChars="2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2.1主持人宣布投标截止时间，投标截止时间以北京时间为准。</w:t>
      </w:r>
    </w:p>
    <w:p w14:paraId="1CD86A4B">
      <w:pPr>
        <w:pStyle w:val="17"/>
        <w:snapToGrid w:val="0"/>
        <w:spacing w:line="440" w:lineRule="exact"/>
        <w:ind w:firstLine="422" w:firstLineChars="200"/>
        <w:textAlignment w:val="baseline"/>
        <w:rPr>
          <w:rFonts w:hAnsi="宋体" w:cs="宋体"/>
          <w:b/>
          <w:bCs/>
          <w:color w:val="auto"/>
          <w:highlight w:val="none"/>
        </w:rPr>
      </w:pPr>
      <w:r>
        <w:rPr>
          <w:rFonts w:hint="eastAsia" w:hAnsi="宋体" w:cs="宋体"/>
          <w:b/>
          <w:bCs/>
          <w:color w:val="auto"/>
          <w:highlight w:val="none"/>
        </w:rPr>
        <w:t>2.2 电子投标开标及评审程序</w:t>
      </w:r>
    </w:p>
    <w:p w14:paraId="0CD18916">
      <w:pPr>
        <w:snapToGrid w:val="0"/>
        <w:spacing w:line="440" w:lineRule="exact"/>
        <w:ind w:firstLine="420" w:firstLineChars="200"/>
        <w:textAlignment w:val="baseline"/>
        <w:rPr>
          <w:rFonts w:hint="eastAsia" w:ascii="宋体" w:hAnsi="宋体" w:eastAsia="宋体" w:cs="宋体"/>
          <w:color w:val="auto"/>
          <w:szCs w:val="21"/>
          <w:highlight w:val="none"/>
        </w:rPr>
      </w:pPr>
      <w:bookmarkStart w:id="58" w:name="_Toc14145"/>
      <w:r>
        <w:rPr>
          <w:rFonts w:hint="eastAsia" w:ascii="宋体" w:hAnsi="宋体" w:eastAsia="宋体" w:cs="宋体"/>
          <w:color w:val="auto"/>
          <w:szCs w:val="21"/>
          <w:highlight w:val="none"/>
        </w:rPr>
        <w:t>1.采购代理机构通过政采云平台向各供应商发出电子加密响应文件【开始解密】通知，由供应商在30分钟内完成响应文件解密。在规定的时间内无法完成“电子加密响应文件”解密的，如已按规定递交了备份响应文件的，将由采购组织机构按“政府采购云平台”操作规范将备份响应文件上传至“政府采购云平台”，上传成功后，“电子加密响应文件”自动失效。</w:t>
      </w:r>
    </w:p>
    <w:p w14:paraId="513B6C70">
      <w:pPr>
        <w:snapToGrid w:val="0"/>
        <w:spacing w:line="440" w:lineRule="exact"/>
        <w:ind w:firstLine="420" w:firstLineChars="200"/>
        <w:textAlignment w:val="baseline"/>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2.响应文件解密结束，组织供应商签署《政府采购活动现场确认声明书》（格式见第六章附件），声明书扫描件以邮件的形式发送至代理邮箱</w:t>
      </w:r>
      <w:r>
        <w:rPr>
          <w:rFonts w:hint="eastAsia" w:ascii="宋体" w:hAnsi="宋体" w:eastAsia="宋体" w:cs="宋体"/>
          <w:color w:val="auto"/>
          <w:szCs w:val="21"/>
          <w:highlight w:val="none"/>
          <w:lang w:eastAsia="zh-CN"/>
        </w:rPr>
        <w:t>。</w:t>
      </w:r>
    </w:p>
    <w:p w14:paraId="5BD5B3D9">
      <w:pPr>
        <w:snapToGrid w:val="0"/>
        <w:spacing w:line="44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3.评审小组对各供应商的</w:t>
      </w:r>
      <w:r>
        <w:rPr>
          <w:rFonts w:hint="eastAsia" w:ascii="宋体" w:hAnsi="宋体" w:cs="宋体"/>
          <w:color w:val="auto"/>
          <w:szCs w:val="21"/>
          <w:highlight w:val="none"/>
          <w:lang w:eastAsia="zh-CN"/>
        </w:rPr>
        <w:t>资格审查文件</w:t>
      </w:r>
      <w:r>
        <w:rPr>
          <w:rFonts w:hint="eastAsia" w:ascii="宋体" w:hAnsi="宋体" w:eastAsia="宋体" w:cs="宋体"/>
          <w:color w:val="auto"/>
          <w:szCs w:val="21"/>
          <w:highlight w:val="none"/>
        </w:rPr>
        <w:t>进行评审，资格审查结果在政采云系统上公布。若资格审查不合格的，将告知原因并由供应商通过政采云系统签章确认。资格审查不合格的供应商，其商务技术文件及报价文件不进入评审阶段。</w:t>
      </w:r>
    </w:p>
    <w:p w14:paraId="3D75B495">
      <w:pPr>
        <w:snapToGrid w:val="0"/>
        <w:spacing w:line="44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审小组对各供应商的商务技术文件、报价文件进行评审，评审内容包括符合性审查，技术、商务评估及比较等。商务技术文件或报价文件符合性审查不通过的，将告知原因并由供应商通过政采云系统签章确认。</w:t>
      </w:r>
    </w:p>
    <w:p w14:paraId="3D378B41">
      <w:pPr>
        <w:snapToGrid w:val="0"/>
        <w:spacing w:line="44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5.评审小组与各供应商就项目需求、技术人员安排、价格构成等要素分别进行一对一的磋商（采用在线询标方式），磋商轮次由评审小组视情况决定。磋商过程中，评审小组可以根据磋商情况实质性变动采购需求中的技术、商务条款以及合同条款，但不得变动磋商文件中的其他内容。实质性变动的内容，须经采购人代表确认。</w:t>
      </w:r>
    </w:p>
    <w:p w14:paraId="7D6AC185">
      <w:pPr>
        <w:snapToGrid w:val="0"/>
        <w:spacing w:line="44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6.对磋商文件作出的实质性变动（如有）是磋商文件的有效组成部分，评审小组将以书面形式同时通知所有参加磋商的供应商。供应商应当按照磋商文件的变动情况和评审小组的要求重新提交响应文件，并由其法定代表人或授权代表签字或者加盖公章。由授权代表签字的，应当附法定代表人授权书。供应商为自然人的，应当由本人签字并附身份证明。</w:t>
      </w:r>
    </w:p>
    <w:p w14:paraId="11072C5C">
      <w:pPr>
        <w:snapToGrid w:val="0"/>
        <w:spacing w:line="44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7.磋商结束后，评审小组对各供应商资信及商务、技术情况进行评分</w:t>
      </w:r>
      <w:r>
        <w:rPr>
          <w:rFonts w:hint="eastAsia" w:ascii="宋体" w:hAnsi="宋体" w:eastAsia="宋体" w:cs="宋体"/>
          <w:color w:val="auto"/>
          <w:szCs w:val="21"/>
          <w:highlight w:val="none"/>
          <w:lang w:eastAsia="zh-CN"/>
        </w:rPr>
        <w:t>。同时</w:t>
      </w:r>
      <w:r>
        <w:rPr>
          <w:rFonts w:hint="eastAsia" w:ascii="宋体" w:hAnsi="宋体" w:eastAsia="宋体" w:cs="宋体"/>
          <w:color w:val="auto"/>
          <w:szCs w:val="21"/>
          <w:highlight w:val="none"/>
        </w:rPr>
        <w:t>系统开启最后报价</w:t>
      </w:r>
      <w:r>
        <w:rPr>
          <w:rFonts w:hint="eastAsia" w:ascii="宋体" w:hAnsi="宋体" w:eastAsia="宋体" w:cs="宋体"/>
          <w:color w:val="auto"/>
          <w:szCs w:val="21"/>
          <w:highlight w:val="none"/>
          <w:lang w:eastAsia="zh-CN"/>
        </w:rPr>
        <w:t>填报</w:t>
      </w:r>
      <w:r>
        <w:rPr>
          <w:rFonts w:hint="eastAsia" w:ascii="宋体" w:hAnsi="宋体" w:eastAsia="宋体" w:cs="宋体"/>
          <w:color w:val="auto"/>
          <w:szCs w:val="21"/>
          <w:highlight w:val="none"/>
        </w:rPr>
        <w:t>，各供应商在规定的时间内提交最后报价。规定时间内</w:t>
      </w:r>
      <w:r>
        <w:rPr>
          <w:rFonts w:hint="eastAsia" w:ascii="宋体" w:hAnsi="宋体" w:eastAsia="宋体" w:cs="宋体"/>
          <w:color w:val="auto"/>
          <w:szCs w:val="21"/>
          <w:highlight w:val="none"/>
          <w:lang w:eastAsia="zh-CN"/>
        </w:rPr>
        <w:t>未</w:t>
      </w:r>
      <w:r>
        <w:rPr>
          <w:rFonts w:hint="eastAsia" w:ascii="宋体" w:hAnsi="宋体" w:eastAsia="宋体" w:cs="宋体"/>
          <w:color w:val="auto"/>
          <w:szCs w:val="21"/>
          <w:highlight w:val="none"/>
        </w:rPr>
        <w:t>提交最后报价的供应商，视为自动放弃报价资格。</w:t>
      </w:r>
    </w:p>
    <w:p w14:paraId="54E38F6E">
      <w:pPr>
        <w:snapToGrid w:val="0"/>
        <w:spacing w:line="44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系统</w:t>
      </w:r>
      <w:r>
        <w:rPr>
          <w:rFonts w:hint="eastAsia" w:ascii="宋体" w:hAnsi="宋体" w:eastAsia="宋体" w:cs="宋体"/>
          <w:color w:val="auto"/>
          <w:szCs w:val="21"/>
          <w:highlight w:val="none"/>
        </w:rPr>
        <w:t>公布各供应商资信及商务技术评审结果，供应商如对资信、商务、技术评分结果有异议的，应当场提出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相关异议（如有）将由评审小组作出澄清；</w:t>
      </w:r>
    </w:p>
    <w:p w14:paraId="05842B0E">
      <w:pPr>
        <w:snapToGrid w:val="0"/>
        <w:spacing w:line="44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.采购组织机构协助完成</w:t>
      </w:r>
      <w:r>
        <w:rPr>
          <w:rFonts w:hint="eastAsia" w:ascii="宋体" w:hAnsi="宋体" w:eastAsia="宋体" w:cs="宋体"/>
          <w:color w:val="auto"/>
          <w:szCs w:val="21"/>
          <w:highlight w:val="none"/>
          <w:lang w:eastAsia="zh-CN"/>
        </w:rPr>
        <w:t>最后</w:t>
      </w:r>
      <w:r>
        <w:rPr>
          <w:rFonts w:hint="eastAsia" w:ascii="宋体" w:hAnsi="宋体" w:eastAsia="宋体" w:cs="宋体"/>
          <w:color w:val="auto"/>
          <w:szCs w:val="21"/>
          <w:highlight w:val="none"/>
        </w:rPr>
        <w:t>报价评分及综合得分计算（报评审小组确认），评审小组编写、签署评审报告，并按综合得分排名由高到低推荐成交候选人；</w:t>
      </w:r>
    </w:p>
    <w:p w14:paraId="677550A0">
      <w:pPr>
        <w:snapToGrid w:val="0"/>
        <w:spacing w:line="44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系统</w:t>
      </w:r>
      <w:r>
        <w:rPr>
          <w:rFonts w:hint="eastAsia" w:ascii="宋体" w:hAnsi="宋体" w:eastAsia="宋体" w:cs="宋体"/>
          <w:color w:val="auto"/>
          <w:szCs w:val="21"/>
          <w:highlight w:val="none"/>
        </w:rPr>
        <w:t>公布最终评审结果</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会议结束。</w:t>
      </w:r>
    </w:p>
    <w:p w14:paraId="22670278">
      <w:pPr>
        <w:pStyle w:val="13"/>
        <w:spacing w:line="500" w:lineRule="exact"/>
        <w:ind w:left="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特别说明：如“政采云”系统对电子化开标及评审程序有调整的，按调整后的程序操作。</w:t>
      </w:r>
    </w:p>
    <w:p w14:paraId="7A78A6C8">
      <w:pPr>
        <w:pStyle w:val="13"/>
        <w:spacing w:line="500" w:lineRule="exact"/>
        <w:ind w:left="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注：本项目采用政采云电子招投标开标及评审程序，采购过程中出现以下情形，导致电子交易平台无法正常运行，或者无法保证电子交易的公平、公正和安全时，采购代理机构可中止电子交易活动：</w:t>
      </w:r>
    </w:p>
    <w:p w14:paraId="7A9F1101">
      <w:pPr>
        <w:pStyle w:val="13"/>
        <w:spacing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（一）电子交易平台发生故障而无法登录访问的； </w:t>
      </w:r>
    </w:p>
    <w:p w14:paraId="1991D936">
      <w:pPr>
        <w:pStyle w:val="13"/>
        <w:spacing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（二）电子交易平台应用或数据库出现错误，不能进行正常操作的；</w:t>
      </w:r>
    </w:p>
    <w:p w14:paraId="5B932FEC">
      <w:pPr>
        <w:pStyle w:val="13"/>
        <w:spacing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（三）电子交易平台发现严重安全漏洞，有潜在泄密危险的；</w:t>
      </w:r>
    </w:p>
    <w:p w14:paraId="7C535E8D">
      <w:pPr>
        <w:pStyle w:val="13"/>
        <w:spacing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（四）病毒发作导致不能进行正常操作的；</w:t>
      </w:r>
    </w:p>
    <w:p w14:paraId="5B9A1A13">
      <w:pPr>
        <w:pStyle w:val="13"/>
        <w:spacing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（五）其他无法保证电子交易的公平、公正和安全的情况。</w:t>
      </w:r>
    </w:p>
    <w:p w14:paraId="1096CD3D">
      <w:pPr>
        <w:pStyle w:val="13"/>
        <w:spacing w:line="500" w:lineRule="exact"/>
        <w:ind w:left="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出现前款规定情形，不影响采购公平、公正性的，采购代理机构可以待上述情形消除后继续组织电子交易活动。</w:t>
      </w:r>
    </w:p>
    <w:p w14:paraId="6B6A05B4">
      <w:pPr>
        <w:pStyle w:val="4"/>
        <w:keepLines/>
        <w:widowControl w:val="0"/>
        <w:numPr>
          <w:ilvl w:val="2"/>
          <w:numId w:val="0"/>
        </w:numPr>
        <w:spacing w:before="156" w:after="156"/>
        <w:jc w:val="center"/>
        <w:textAlignment w:val="baseline"/>
        <w:rPr>
          <w:rFonts w:ascii="宋体" w:hAnsi="宋体" w:cs="宋体"/>
          <w:b/>
          <w:bCs/>
          <w:color w:val="auto"/>
          <w:kern w:val="2"/>
          <w:sz w:val="32"/>
          <w:szCs w:val="32"/>
          <w:highlight w:val="none"/>
        </w:rPr>
      </w:pPr>
      <w:r>
        <w:rPr>
          <w:rFonts w:hint="eastAsia" w:ascii="宋体" w:hAnsi="宋体" w:cs="宋体"/>
          <w:b/>
          <w:bCs/>
          <w:color w:val="auto"/>
          <w:kern w:val="2"/>
          <w:sz w:val="32"/>
          <w:szCs w:val="32"/>
          <w:highlight w:val="none"/>
        </w:rPr>
        <w:t>六、评标</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8"/>
    </w:p>
    <w:p w14:paraId="74112800">
      <w:pPr>
        <w:pStyle w:val="17"/>
        <w:snapToGrid w:val="0"/>
        <w:spacing w:line="440" w:lineRule="exact"/>
        <w:ind w:firstLine="422" w:firstLineChars="200"/>
        <w:textAlignment w:val="baseline"/>
        <w:rPr>
          <w:rFonts w:hAnsi="宋体" w:cs="宋体"/>
          <w:b/>
          <w:color w:val="auto"/>
          <w:highlight w:val="none"/>
        </w:rPr>
      </w:pPr>
      <w:r>
        <w:rPr>
          <w:rFonts w:hint="eastAsia" w:hAnsi="宋体" w:cs="宋体"/>
          <w:b/>
          <w:color w:val="auto"/>
          <w:highlight w:val="none"/>
        </w:rPr>
        <w:t>1</w:t>
      </w:r>
      <w:r>
        <w:rPr>
          <w:rFonts w:hint="eastAsia" w:hAnsi="宋体" w:cs="宋体"/>
          <w:b/>
          <w:color w:val="auto"/>
          <w:highlight w:val="none"/>
          <w:lang w:val="en-US" w:eastAsia="zh-CN"/>
        </w:rPr>
        <w:t>.</w:t>
      </w:r>
      <w:r>
        <w:rPr>
          <w:rFonts w:hint="eastAsia" w:hAnsi="宋体" w:cs="宋体"/>
          <w:b/>
          <w:color w:val="auto"/>
          <w:highlight w:val="none"/>
        </w:rPr>
        <w:t>组建磋商小组</w:t>
      </w:r>
    </w:p>
    <w:p w14:paraId="5D4CB066">
      <w:pPr>
        <w:pStyle w:val="17"/>
        <w:snapToGrid w:val="0"/>
        <w:spacing w:line="440" w:lineRule="exact"/>
        <w:ind w:firstLine="420" w:firstLineChars="200"/>
        <w:textAlignment w:val="baseline"/>
        <w:rPr>
          <w:rFonts w:hint="eastAsia" w:ascii="宋体" w:hAnsi="宋体" w:cs="宋体"/>
          <w:bCs/>
          <w:color w:val="auto"/>
          <w:kern w:val="0"/>
          <w:szCs w:val="21"/>
          <w:highlight w:val="none"/>
        </w:rPr>
      </w:pPr>
      <w:r>
        <w:rPr>
          <w:rFonts w:hint="eastAsia" w:ascii="宋体" w:hAnsi="宋体" w:cs="宋体"/>
          <w:color w:val="auto"/>
          <w:highlight w:val="none"/>
        </w:rPr>
        <w:t>采购人依法组建磋商小组，共3人组成，</w:t>
      </w:r>
      <w:r>
        <w:rPr>
          <w:rFonts w:hint="eastAsia" w:ascii="宋体" w:hAnsi="宋体" w:cs="宋体"/>
          <w:bCs/>
          <w:color w:val="auto"/>
          <w:kern w:val="0"/>
          <w:szCs w:val="21"/>
          <w:highlight w:val="none"/>
        </w:rPr>
        <w:t>由</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名有关经济、技术专家</w:t>
      </w:r>
      <w:r>
        <w:rPr>
          <w:rFonts w:hint="eastAsia" w:ascii="宋体" w:hAnsi="宋体" w:cs="宋体"/>
          <w:bCs/>
          <w:color w:val="auto"/>
          <w:kern w:val="0"/>
          <w:szCs w:val="21"/>
          <w:highlight w:val="none"/>
          <w:lang w:val="en-US" w:eastAsia="zh-CN"/>
        </w:rPr>
        <w:t>和采购人代表1人</w:t>
      </w:r>
      <w:r>
        <w:rPr>
          <w:rFonts w:hint="eastAsia" w:ascii="宋体" w:hAnsi="宋体" w:cs="宋体"/>
          <w:bCs/>
          <w:color w:val="auto"/>
          <w:kern w:val="0"/>
          <w:szCs w:val="21"/>
          <w:highlight w:val="none"/>
        </w:rPr>
        <w:t>组成。</w:t>
      </w:r>
    </w:p>
    <w:p w14:paraId="7C0A10A1">
      <w:pPr>
        <w:pStyle w:val="17"/>
        <w:snapToGrid w:val="0"/>
        <w:spacing w:line="440" w:lineRule="exact"/>
        <w:ind w:firstLine="422" w:firstLineChars="200"/>
        <w:textAlignment w:val="baseline"/>
        <w:rPr>
          <w:rFonts w:hAnsi="宋体" w:cs="宋体"/>
          <w:b/>
          <w:color w:val="auto"/>
          <w:highlight w:val="none"/>
        </w:rPr>
      </w:pPr>
      <w:r>
        <w:rPr>
          <w:rFonts w:hint="eastAsia" w:hAnsi="宋体" w:cs="宋体"/>
          <w:b/>
          <w:color w:val="auto"/>
          <w:highlight w:val="none"/>
        </w:rPr>
        <w:t>2</w:t>
      </w:r>
      <w:r>
        <w:rPr>
          <w:rFonts w:hint="eastAsia" w:hAnsi="宋体" w:cs="宋体"/>
          <w:b/>
          <w:color w:val="auto"/>
          <w:highlight w:val="none"/>
          <w:lang w:val="en-US" w:eastAsia="zh-CN"/>
        </w:rPr>
        <w:t>.</w:t>
      </w:r>
      <w:r>
        <w:rPr>
          <w:rFonts w:hint="eastAsia" w:hAnsi="宋体" w:cs="宋体"/>
          <w:b/>
          <w:color w:val="auto"/>
          <w:highlight w:val="none"/>
        </w:rPr>
        <w:t>评标的方式</w:t>
      </w:r>
    </w:p>
    <w:p w14:paraId="4259732E">
      <w:pPr>
        <w:pStyle w:val="17"/>
        <w:snapToGrid w:val="0"/>
        <w:spacing w:line="440" w:lineRule="exact"/>
        <w:ind w:left="689" w:leftChars="228" w:hanging="210" w:hangingChars="100"/>
        <w:textAlignment w:val="baseline"/>
        <w:rPr>
          <w:rFonts w:hAnsi="宋体" w:cs="宋体"/>
          <w:color w:val="auto"/>
          <w:highlight w:val="none"/>
        </w:rPr>
      </w:pPr>
      <w:r>
        <w:rPr>
          <w:rFonts w:hint="eastAsia" w:hAnsi="宋体" w:cs="宋体"/>
          <w:color w:val="auto"/>
          <w:highlight w:val="none"/>
        </w:rPr>
        <w:t>本项目采用不公开方式评标，评标的依据为磋商文件和响应文件。</w:t>
      </w:r>
    </w:p>
    <w:p w14:paraId="4444840C">
      <w:pPr>
        <w:pStyle w:val="17"/>
        <w:snapToGrid w:val="0"/>
        <w:spacing w:line="440" w:lineRule="exact"/>
        <w:ind w:firstLine="422" w:firstLineChars="200"/>
        <w:textAlignment w:val="baseline"/>
        <w:rPr>
          <w:rFonts w:hAnsi="宋体" w:cs="宋体"/>
          <w:b/>
          <w:color w:val="auto"/>
          <w:highlight w:val="none"/>
        </w:rPr>
      </w:pPr>
      <w:r>
        <w:rPr>
          <w:rFonts w:hint="eastAsia" w:hAnsi="宋体" w:cs="宋体"/>
          <w:b/>
          <w:bCs/>
          <w:color w:val="auto"/>
          <w:highlight w:val="none"/>
        </w:rPr>
        <w:t>3</w:t>
      </w:r>
      <w:r>
        <w:rPr>
          <w:rFonts w:hint="eastAsia" w:hAnsi="宋体" w:cs="宋体"/>
          <w:b/>
          <w:bCs/>
          <w:color w:val="auto"/>
          <w:highlight w:val="none"/>
          <w:lang w:val="en-US" w:eastAsia="zh-CN"/>
        </w:rPr>
        <w:t>.</w:t>
      </w:r>
      <w:r>
        <w:rPr>
          <w:rFonts w:hint="eastAsia" w:hAnsi="宋体" w:cs="宋体"/>
          <w:b/>
          <w:bCs/>
          <w:color w:val="auto"/>
          <w:highlight w:val="none"/>
        </w:rPr>
        <w:t>评标程序</w:t>
      </w:r>
    </w:p>
    <w:p w14:paraId="04C2AFCE">
      <w:pPr>
        <w:snapToGrid w:val="0"/>
        <w:spacing w:line="440" w:lineRule="exact"/>
        <w:ind w:firstLine="413" w:firstLineChars="196"/>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3.1形式审查</w:t>
      </w:r>
    </w:p>
    <w:p w14:paraId="348E4C60">
      <w:pPr>
        <w:snapToGrid w:val="0"/>
        <w:spacing w:line="440" w:lineRule="exact"/>
        <w:ind w:firstLine="420" w:firstLineChars="200"/>
        <w:textAlignment w:val="baseline"/>
        <w:rPr>
          <w:rFonts w:ascii="宋体" w:hAnsi="宋体" w:cs="宋体"/>
          <w:b/>
          <w:color w:val="auto"/>
          <w:sz w:val="20"/>
          <w:szCs w:val="21"/>
          <w:highlight w:val="none"/>
        </w:rPr>
      </w:pPr>
      <w:r>
        <w:rPr>
          <w:rFonts w:hint="eastAsia" w:ascii="宋体" w:hAnsi="宋体" w:cs="宋体"/>
          <w:color w:val="auto"/>
          <w:szCs w:val="21"/>
          <w:highlight w:val="none"/>
        </w:rPr>
        <w:t>采购人代表和代理机构工作人员协助磋商小组对磋商供应商的响应文件的完整性、合法性等进行审查。</w:t>
      </w:r>
    </w:p>
    <w:p w14:paraId="4D69D37B">
      <w:pPr>
        <w:snapToGrid w:val="0"/>
        <w:spacing w:line="440" w:lineRule="exact"/>
        <w:ind w:firstLine="413" w:firstLineChars="196"/>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3.2实质审查与比较</w:t>
      </w:r>
    </w:p>
    <w:p w14:paraId="422F86D0">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（1）磋商小组审查响应文件的实质性内容是否符合磋商文件的实质性要求。</w:t>
      </w:r>
    </w:p>
    <w:p w14:paraId="279F09B1">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2）磋商小组将根据磋商供应商的响应文件进行审查、核对,如有疑问,将对磋商供应商进行询标,磋商供应商要向磋商小组澄清有关问题,并最终以书面形式进行答复。磋商供应商代表未到场或者拒绝澄清或者澄清的内容改变了响应文件的实质性内容的，磋商小组有权对该响应文件作出不利于磋商供应商的评判。</w:t>
      </w:r>
    </w:p>
    <w:p w14:paraId="20A7CC05">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（3）各磋商供应商的技术分为所有评委的有效评分的算术平均数，资信分由评委统一打分，由代理机构工作人员进行计算复核。</w:t>
      </w:r>
    </w:p>
    <w:p w14:paraId="2812B272">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（4）代理机构工作人员协助磋商小组根据本项目的评分标准计算各磋商供应商的商务报价得分。</w:t>
      </w:r>
    </w:p>
    <w:p w14:paraId="3191F8C7">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（5）磋商小组完成评标后,评委对各部分得分汇总,计算出本项目最终得分、性价比、评标价等。磋商小组按评标原则推荐成交候选供应商同时起草评标报告。</w:t>
      </w:r>
    </w:p>
    <w:p w14:paraId="27313126">
      <w:pPr>
        <w:snapToGrid w:val="0"/>
        <w:spacing w:line="440" w:lineRule="exact"/>
        <w:ind w:firstLine="422" w:firstLineChars="200"/>
        <w:textAlignment w:val="baseline"/>
        <w:rPr>
          <w:rFonts w:ascii="宋体" w:hAnsi="宋体" w:cs="宋体"/>
          <w:b/>
          <w:color w:val="auto"/>
          <w:sz w:val="20"/>
          <w:szCs w:val="21"/>
          <w:highlight w:val="none"/>
        </w:rPr>
      </w:pPr>
      <w:r>
        <w:rPr>
          <w:rFonts w:hint="eastAsia" w:ascii="宋体" w:hAnsi="宋体" w:cs="宋体"/>
          <w:b/>
          <w:color w:val="auto"/>
          <w:szCs w:val="21"/>
          <w:highlight w:val="none"/>
        </w:rPr>
        <w:t>4</w:t>
      </w: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澄清问题的形式</w:t>
      </w:r>
    </w:p>
    <w:p w14:paraId="1278CEB2">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对响应文件中含义不明确、同类问题表述不一致或者有明显文字和计算错误的内容，磋商小组可要求磋商供应商作出必要的澄清、说明或者纠正。磋商供应商的澄清、说明或者补正应当采用书面形式，由其授权代表签字或盖章确认，并不得超出响应文件的范围或者改变响应文件的实质性内容。</w:t>
      </w:r>
    </w:p>
    <w:p w14:paraId="0EB2D6C4">
      <w:pPr>
        <w:pStyle w:val="17"/>
        <w:snapToGrid w:val="0"/>
        <w:spacing w:line="440" w:lineRule="exact"/>
        <w:ind w:firstLine="422" w:firstLineChars="200"/>
        <w:textAlignment w:val="baseline"/>
        <w:rPr>
          <w:rFonts w:hAnsi="宋体" w:cs="宋体"/>
          <w:b/>
          <w:color w:val="auto"/>
          <w:highlight w:val="none"/>
        </w:rPr>
      </w:pPr>
      <w:r>
        <w:rPr>
          <w:rFonts w:hint="eastAsia" w:hAnsi="宋体" w:cs="宋体"/>
          <w:b/>
          <w:color w:val="auto"/>
          <w:highlight w:val="none"/>
        </w:rPr>
        <w:t>5</w:t>
      </w:r>
      <w:r>
        <w:rPr>
          <w:rFonts w:hint="eastAsia" w:hAnsi="宋体" w:cs="宋体"/>
          <w:b/>
          <w:color w:val="auto"/>
          <w:highlight w:val="none"/>
          <w:lang w:val="en-US" w:eastAsia="zh-CN"/>
        </w:rPr>
        <w:t>.</w:t>
      </w:r>
      <w:r>
        <w:rPr>
          <w:rFonts w:hint="eastAsia" w:hAnsi="宋体" w:cs="宋体"/>
          <w:b/>
          <w:color w:val="auto"/>
          <w:highlight w:val="none"/>
        </w:rPr>
        <w:t>错误修正</w:t>
      </w:r>
    </w:p>
    <w:p w14:paraId="317F6AF0">
      <w:pPr>
        <w:pStyle w:val="17"/>
        <w:snapToGrid w:val="0"/>
        <w:spacing w:line="440" w:lineRule="exact"/>
        <w:ind w:left="689" w:leftChars="228" w:hanging="210" w:hangingChars="100"/>
        <w:textAlignment w:val="baseline"/>
        <w:rPr>
          <w:rFonts w:hAnsi="宋体" w:cs="宋体"/>
          <w:color w:val="auto"/>
          <w:highlight w:val="none"/>
        </w:rPr>
      </w:pPr>
      <w:r>
        <w:rPr>
          <w:rFonts w:hint="eastAsia" w:hAnsi="宋体" w:cs="宋体"/>
          <w:color w:val="auto"/>
          <w:highlight w:val="none"/>
        </w:rPr>
        <w:t>响应文件如果出现计算或表达上的错误，修正错误的原则如下：</w:t>
      </w:r>
    </w:p>
    <w:p w14:paraId="45E0AF3A">
      <w:pPr>
        <w:pStyle w:val="17"/>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（一）响应文件中开标一览表内容与响应文件中相应内容不一致的，以开标一览表为准；</w:t>
      </w:r>
    </w:p>
    <w:p w14:paraId="437275A5">
      <w:pPr>
        <w:pStyle w:val="17"/>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（二）大写金额和小写金额不一致的，以大写金额为准；</w:t>
      </w:r>
    </w:p>
    <w:p w14:paraId="7B9A62FD">
      <w:pPr>
        <w:pStyle w:val="17"/>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（三）单价金额小数点或者百分比有明显错位的，以开标一览表的总价为准，并修改单价；</w:t>
      </w:r>
    </w:p>
    <w:p w14:paraId="013EB96D">
      <w:pPr>
        <w:pStyle w:val="17"/>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（四）总价金额与按单价汇总金额不一致的，以单价金额计算结果为准。</w:t>
      </w:r>
    </w:p>
    <w:p w14:paraId="1AD5FC58">
      <w:pPr>
        <w:pStyle w:val="17"/>
        <w:snapToGrid w:val="0"/>
        <w:spacing w:line="440" w:lineRule="exact"/>
        <w:ind w:firstLine="422" w:firstLineChars="200"/>
        <w:textAlignment w:val="baseline"/>
        <w:rPr>
          <w:rFonts w:hAnsi="宋体" w:cs="宋体"/>
          <w:b/>
          <w:bCs/>
          <w:color w:val="auto"/>
          <w:highlight w:val="none"/>
        </w:rPr>
      </w:pPr>
      <w:r>
        <w:rPr>
          <w:rFonts w:hint="eastAsia" w:hAnsi="宋体" w:cs="宋体"/>
          <w:b/>
          <w:bCs/>
          <w:color w:val="auto"/>
          <w:highlight w:val="none"/>
        </w:rPr>
        <w:t>同时出现两种以上不一致的，按照前款规定的顺序修正。按上述修正错误的原则及方法调整或修正响应文件的投标报价，磋商供应商同意并签字确认后，调整后的投标报价对磋商供应商具有约束作用。如果磋商供应商不接受修正后的报价，则其投标将作为无效投标处理。</w:t>
      </w:r>
    </w:p>
    <w:p w14:paraId="302118CD">
      <w:pPr>
        <w:pStyle w:val="17"/>
        <w:tabs>
          <w:tab w:val="left" w:pos="630"/>
        </w:tabs>
        <w:snapToGrid w:val="0"/>
        <w:spacing w:line="440" w:lineRule="exact"/>
        <w:ind w:firstLine="422" w:firstLineChars="200"/>
        <w:textAlignment w:val="baseline"/>
        <w:rPr>
          <w:rFonts w:hAnsi="宋体" w:cs="宋体"/>
          <w:b/>
          <w:color w:val="auto"/>
          <w:highlight w:val="none"/>
        </w:rPr>
      </w:pPr>
      <w:r>
        <w:rPr>
          <w:rFonts w:hint="eastAsia" w:hAnsi="宋体" w:cs="宋体"/>
          <w:b/>
          <w:color w:val="auto"/>
          <w:highlight w:val="none"/>
        </w:rPr>
        <w:t>6</w:t>
      </w:r>
      <w:r>
        <w:rPr>
          <w:rFonts w:hint="eastAsia" w:hAnsi="宋体" w:cs="宋体"/>
          <w:b/>
          <w:color w:val="auto"/>
          <w:highlight w:val="none"/>
          <w:lang w:val="en-US" w:eastAsia="zh-CN"/>
        </w:rPr>
        <w:t>.</w:t>
      </w:r>
      <w:r>
        <w:rPr>
          <w:rFonts w:hint="eastAsia" w:hAnsi="宋体" w:cs="宋体"/>
          <w:b/>
          <w:color w:val="auto"/>
          <w:highlight w:val="none"/>
        </w:rPr>
        <w:t>评标原则和评标办法</w:t>
      </w:r>
    </w:p>
    <w:p w14:paraId="7C2637A3">
      <w:pPr>
        <w:pStyle w:val="17"/>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6.1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3644F6FD">
      <w:pPr>
        <w:pStyle w:val="17"/>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6.2评标办法。本项目评标办法是综合评分法，具体评标内容及评分标准等详见《第五章：评标原则及方法》。</w:t>
      </w:r>
    </w:p>
    <w:p w14:paraId="6C18DC0A">
      <w:pPr>
        <w:pStyle w:val="17"/>
        <w:tabs>
          <w:tab w:val="left" w:pos="630"/>
        </w:tabs>
        <w:snapToGrid w:val="0"/>
        <w:spacing w:line="440" w:lineRule="exact"/>
        <w:ind w:firstLine="422" w:firstLineChars="200"/>
        <w:textAlignment w:val="baseline"/>
        <w:rPr>
          <w:rFonts w:hAnsi="宋体" w:cs="宋体"/>
          <w:b/>
          <w:color w:val="auto"/>
          <w:highlight w:val="none"/>
        </w:rPr>
      </w:pPr>
      <w:r>
        <w:rPr>
          <w:rFonts w:hint="eastAsia" w:hAnsi="宋体" w:cs="宋体"/>
          <w:b/>
          <w:color w:val="auto"/>
          <w:highlight w:val="none"/>
        </w:rPr>
        <w:t>7</w:t>
      </w:r>
      <w:r>
        <w:rPr>
          <w:rFonts w:hint="eastAsia" w:hAnsi="宋体" w:cs="宋体"/>
          <w:b/>
          <w:color w:val="auto"/>
          <w:highlight w:val="none"/>
          <w:lang w:val="en-US" w:eastAsia="zh-CN"/>
        </w:rPr>
        <w:t>.</w:t>
      </w:r>
      <w:r>
        <w:rPr>
          <w:rFonts w:hint="eastAsia" w:hAnsi="宋体" w:cs="宋体"/>
          <w:b/>
          <w:color w:val="auto"/>
          <w:highlight w:val="none"/>
        </w:rPr>
        <w:t>无效标条款</w:t>
      </w:r>
    </w:p>
    <w:p w14:paraId="226C94C6">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7.1开标时，如出现以下情况之一的，则响应文件不予启封或唱标，即使已启封或唱标的，其响应文件仍然无效：</w:t>
      </w:r>
    </w:p>
    <w:p w14:paraId="4B52D407">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（一）响应文件未按磋商文件要求签署、盖章的；</w:t>
      </w:r>
    </w:p>
    <w:p w14:paraId="56C1F802">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（二）不具备磋商文件中规定的资格要求的；</w:t>
      </w:r>
    </w:p>
    <w:p w14:paraId="7D15C991">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（三）报价超过磋商文件中规定的预算金额或者最高限价的；</w:t>
      </w:r>
    </w:p>
    <w:p w14:paraId="7B5936C1">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（四）响应文件含有采购人不能接受的附加条件的;</w:t>
      </w:r>
    </w:p>
    <w:p w14:paraId="570AA017">
      <w:pPr>
        <w:snapToGrid w:val="0"/>
        <w:spacing w:line="440" w:lineRule="exact"/>
        <w:ind w:firstLine="420" w:firstLineChars="200"/>
        <w:textAlignment w:val="baseline"/>
        <w:rPr>
          <w:rFonts w:hint="eastAsia" w:ascii="宋体" w:hAnsi="宋体" w:cs="宋体"/>
          <w:color w:val="auto"/>
          <w:szCs w:val="21"/>
          <w:highlight w:val="none"/>
        </w:rPr>
      </w:pPr>
      <w:r>
        <w:rPr>
          <w:rFonts w:hint="eastAsia" w:ascii="宋体" w:hAnsi="宋体" w:cs="宋体"/>
          <w:bCs/>
          <w:color w:val="auto"/>
          <w:szCs w:val="21"/>
          <w:highlight w:val="none"/>
        </w:rPr>
        <w:t>（五）</w:t>
      </w:r>
      <w:r>
        <w:rPr>
          <w:rFonts w:hint="eastAsia" w:ascii="宋体" w:hAnsi="宋体" w:cs="宋体"/>
          <w:color w:val="auto"/>
          <w:szCs w:val="21"/>
          <w:highlight w:val="none"/>
        </w:rPr>
        <w:t>竞争性磋商文件标注“▲”的条款发生实质性负偏离的；</w:t>
      </w:r>
    </w:p>
    <w:p w14:paraId="0CA7FBD9">
      <w:pPr>
        <w:snapToGrid w:val="0"/>
        <w:spacing w:line="440" w:lineRule="exact"/>
        <w:ind w:firstLine="420" w:firstLineChars="200"/>
        <w:textAlignment w:val="baseline"/>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六</w:t>
      </w:r>
      <w:r>
        <w:rPr>
          <w:rFonts w:hint="eastAsia" w:ascii="宋体" w:hAnsi="宋体" w:cs="宋体"/>
          <w:bCs/>
          <w:color w:val="auto"/>
          <w:szCs w:val="21"/>
          <w:highlight w:val="none"/>
        </w:rPr>
        <w:t>）投标文件解密失败的</w:t>
      </w:r>
      <w:r>
        <w:rPr>
          <w:rFonts w:hint="eastAsia" w:ascii="宋体" w:hAnsi="宋体" w:cs="宋体"/>
          <w:bCs/>
          <w:color w:val="auto"/>
          <w:szCs w:val="21"/>
          <w:highlight w:val="none"/>
          <w:lang w:eastAsia="zh-CN"/>
        </w:rPr>
        <w:t>；</w:t>
      </w:r>
    </w:p>
    <w:p w14:paraId="771B83BF">
      <w:pPr>
        <w:snapToGrid w:val="0"/>
        <w:spacing w:line="440" w:lineRule="exact"/>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七</w:t>
      </w:r>
      <w:r>
        <w:rPr>
          <w:rFonts w:hint="eastAsia" w:ascii="宋体" w:hAnsi="宋体" w:cs="宋体"/>
          <w:bCs/>
          <w:color w:val="auto"/>
          <w:szCs w:val="21"/>
          <w:highlight w:val="none"/>
        </w:rPr>
        <w:t>）供应商存在下列情形之一旦无法合理解释的，其投标(响应)文件无效:</w:t>
      </w:r>
    </w:p>
    <w:p w14:paraId="136B9F2A">
      <w:pPr>
        <w:snapToGrid w:val="0"/>
        <w:spacing w:line="440" w:lineRule="exact"/>
        <w:ind w:firstLine="630" w:firstLineChars="3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a.不同供应商的电子投标(响应)文件上传计算机的网卡MAC地址或硬盘序列号等硬件信息相同的；</w:t>
      </w:r>
    </w:p>
    <w:p w14:paraId="3379C289">
      <w:pPr>
        <w:snapToGrid w:val="0"/>
        <w:spacing w:line="440" w:lineRule="exact"/>
        <w:ind w:firstLine="630" w:firstLineChars="3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b.上传的电子投标(响应)文件若出现使用本项目其他投标(响应)供应商的数字证书加密的，或者加盖本项目其他投标(响应)供应商的电子印章的；</w:t>
      </w:r>
    </w:p>
    <w:p w14:paraId="47162422">
      <w:pPr>
        <w:snapToGrid w:val="0"/>
        <w:spacing w:line="440" w:lineRule="exact"/>
        <w:ind w:firstLine="630" w:firstLineChars="3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c.不同供应商的投标(响应)文件的内容存在3处(含)以上错误一致的；</w:t>
      </w:r>
    </w:p>
    <w:p w14:paraId="12C9D048">
      <w:pPr>
        <w:snapToGrid w:val="0"/>
        <w:spacing w:line="440" w:lineRule="exact"/>
        <w:ind w:firstLine="630" w:firstLineChars="3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d.不同供应商联系人为同一人或不同联系人的联系电话一致的。</w:t>
      </w:r>
    </w:p>
    <w:p w14:paraId="7F19D323">
      <w:pPr>
        <w:snapToGrid w:val="0"/>
        <w:spacing w:line="440" w:lineRule="exact"/>
        <w:ind w:firstLine="420" w:firstLineChars="20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八</w:t>
      </w:r>
      <w:r>
        <w:rPr>
          <w:rFonts w:hint="eastAsia" w:ascii="宋体" w:hAnsi="宋体" w:cs="宋体"/>
          <w:bCs/>
          <w:color w:val="auto"/>
          <w:szCs w:val="21"/>
          <w:highlight w:val="none"/>
        </w:rPr>
        <w:t>）法律、法规和招标文件规定的其他无效情形。</w:t>
      </w:r>
    </w:p>
    <w:p w14:paraId="66B83368">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7.2有下列情形之一的，视为磋商供应商串通投标，其投标无效：</w:t>
      </w:r>
    </w:p>
    <w:p w14:paraId="42D1BE36">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（一）不同磋商供应商的响应文件由同一单位或者个人编制；</w:t>
      </w:r>
    </w:p>
    <w:p w14:paraId="3B330346">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（二）不同磋商供应商委托同一单位或者个人办理投标事宜；</w:t>
      </w:r>
    </w:p>
    <w:p w14:paraId="6DFD5C3D">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（三）不同磋商供应商的响应文件载明的项目管理成员或者联系人员为同一人；</w:t>
      </w:r>
    </w:p>
    <w:p w14:paraId="61D1E291">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（四）不同磋商供应商的响应文件异常一致或者投标报价呈规律性差异；</w:t>
      </w:r>
    </w:p>
    <w:p w14:paraId="6CBEC0E3">
      <w:pPr>
        <w:snapToGrid w:val="0"/>
        <w:spacing w:line="440" w:lineRule="exact"/>
        <w:ind w:firstLine="422" w:firstLineChars="200"/>
        <w:textAlignment w:val="baseline"/>
        <w:rPr>
          <w:rFonts w:ascii="宋体" w:hAnsi="宋体" w:cs="宋体"/>
          <w:b/>
          <w:color w:val="auto"/>
          <w:sz w:val="20"/>
          <w:szCs w:val="21"/>
          <w:highlight w:val="none"/>
        </w:rPr>
      </w:pPr>
      <w:r>
        <w:rPr>
          <w:rFonts w:hint="eastAsia" w:ascii="宋体" w:hAnsi="宋体" w:cs="宋体"/>
          <w:b/>
          <w:color w:val="auto"/>
          <w:szCs w:val="21"/>
          <w:highlight w:val="none"/>
        </w:rPr>
        <w:t>7.3磋商小组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磋商小组应当将其作为无效投标处理。</w:t>
      </w:r>
    </w:p>
    <w:p w14:paraId="7CF15B87">
      <w:pPr>
        <w:pStyle w:val="17"/>
        <w:snapToGrid w:val="0"/>
        <w:spacing w:line="440" w:lineRule="exact"/>
        <w:ind w:firstLine="422" w:firstLineChars="200"/>
        <w:textAlignment w:val="baseline"/>
        <w:rPr>
          <w:rFonts w:hAnsi="宋体" w:cs="宋体"/>
          <w:b/>
          <w:color w:val="auto"/>
          <w:highlight w:val="none"/>
        </w:rPr>
      </w:pPr>
      <w:r>
        <w:rPr>
          <w:rFonts w:hint="eastAsia" w:hAnsi="宋体" w:cs="宋体"/>
          <w:b/>
          <w:color w:val="auto"/>
          <w:highlight w:val="none"/>
        </w:rPr>
        <w:t>8</w:t>
      </w:r>
      <w:r>
        <w:rPr>
          <w:rFonts w:hint="eastAsia" w:hAnsi="宋体" w:cs="宋体"/>
          <w:b/>
          <w:color w:val="auto"/>
          <w:highlight w:val="none"/>
          <w:lang w:val="en-US" w:eastAsia="zh-CN"/>
        </w:rPr>
        <w:t>.</w:t>
      </w:r>
      <w:r>
        <w:rPr>
          <w:rFonts w:hint="eastAsia" w:hAnsi="宋体" w:cs="宋体"/>
          <w:b/>
          <w:color w:val="auto"/>
          <w:highlight w:val="none"/>
        </w:rPr>
        <w:t>终止竞争性磋商采购活动的情形</w:t>
      </w:r>
    </w:p>
    <w:p w14:paraId="586C43A7">
      <w:pPr>
        <w:pStyle w:val="17"/>
        <w:snapToGrid w:val="0"/>
        <w:spacing w:line="440" w:lineRule="exact"/>
        <w:ind w:firstLine="420"/>
        <w:textAlignment w:val="baseline"/>
        <w:rPr>
          <w:rFonts w:hAnsi="宋体" w:cs="宋体"/>
          <w:bCs/>
          <w:color w:val="auto"/>
          <w:highlight w:val="none"/>
        </w:rPr>
      </w:pPr>
      <w:r>
        <w:rPr>
          <w:rFonts w:hint="eastAsia" w:hAnsi="宋体" w:cs="宋体"/>
          <w:bCs/>
          <w:color w:val="auto"/>
          <w:highlight w:val="none"/>
        </w:rPr>
        <w:t>8.1出现下列情形之一的，采购人或采购代理机构应当终止竞争性磋商采购活动，发布项目终止公告并说明原因，重新开展采购活动：</w:t>
      </w:r>
    </w:p>
    <w:p w14:paraId="56EB766A">
      <w:pPr>
        <w:pStyle w:val="17"/>
        <w:numPr>
          <w:ilvl w:val="0"/>
          <w:numId w:val="8"/>
        </w:numPr>
        <w:snapToGrid w:val="0"/>
        <w:spacing w:line="440" w:lineRule="exact"/>
        <w:ind w:left="210" w:leftChars="0" w:firstLine="420" w:firstLineChars="0"/>
        <w:textAlignment w:val="baseline"/>
        <w:rPr>
          <w:rFonts w:hAnsi="宋体" w:cs="宋体"/>
          <w:bCs/>
          <w:color w:val="auto"/>
          <w:highlight w:val="none"/>
        </w:rPr>
      </w:pPr>
      <w:r>
        <w:rPr>
          <w:rFonts w:hint="eastAsia" w:hAnsi="宋体" w:cs="宋体"/>
          <w:bCs/>
          <w:color w:val="auto"/>
          <w:highlight w:val="none"/>
        </w:rPr>
        <w:t>因情况变化，不再符合规定的竞争性磋商采购方式适用情形的；</w:t>
      </w:r>
    </w:p>
    <w:p w14:paraId="3AD6E721">
      <w:pPr>
        <w:pStyle w:val="17"/>
        <w:numPr>
          <w:ilvl w:val="0"/>
          <w:numId w:val="8"/>
        </w:numPr>
        <w:snapToGrid w:val="0"/>
        <w:spacing w:line="440" w:lineRule="exact"/>
        <w:ind w:left="210" w:leftChars="0" w:firstLine="420" w:firstLineChars="0"/>
        <w:textAlignment w:val="baseline"/>
        <w:rPr>
          <w:rFonts w:hAnsi="宋体" w:cs="宋体"/>
          <w:bCs/>
          <w:color w:val="auto"/>
          <w:highlight w:val="none"/>
        </w:rPr>
      </w:pPr>
      <w:r>
        <w:rPr>
          <w:rFonts w:hint="eastAsia" w:hAnsi="宋体" w:cs="宋体"/>
          <w:bCs/>
          <w:color w:val="auto"/>
          <w:highlight w:val="none"/>
        </w:rPr>
        <w:t>出现影响采购公正的违法、违规行为的；</w:t>
      </w:r>
    </w:p>
    <w:p w14:paraId="74AA00B3">
      <w:pPr>
        <w:pStyle w:val="17"/>
        <w:snapToGrid w:val="0"/>
        <w:spacing w:line="440" w:lineRule="exact"/>
        <w:ind w:firstLine="420"/>
        <w:textAlignment w:val="baseline"/>
        <w:rPr>
          <w:rFonts w:hint="eastAsia" w:hAnsi="宋体" w:cs="宋体"/>
          <w:b/>
          <w:bCs w:val="0"/>
          <w:color w:val="auto"/>
          <w:highlight w:val="none"/>
        </w:rPr>
      </w:pPr>
      <w:r>
        <w:rPr>
          <w:rFonts w:hint="eastAsia" w:hAnsi="宋体" w:cs="宋体"/>
          <w:b/>
          <w:bCs w:val="0"/>
          <w:color w:val="auto"/>
          <w:highlight w:val="none"/>
          <w:lang w:val="en-US" w:eastAsia="zh-CN"/>
        </w:rPr>
        <w:t>9.</w:t>
      </w:r>
      <w:r>
        <w:rPr>
          <w:rFonts w:hint="eastAsia" w:hAnsi="宋体" w:cs="宋体"/>
          <w:b/>
          <w:bCs w:val="0"/>
          <w:color w:val="auto"/>
          <w:highlight w:val="none"/>
        </w:rPr>
        <w:t>根据《财政部关于政府采购竞争性磋商采购方式管理暂行办法有关问题的补充通知》（财库【2015】124号）采用竞争性磋商采购方式的政府购买服务项目在采购过程中符合要求的供应商只有2家的，竞争性磋商采购活动可以继续进行。采购过程中符合要求的供应商只有1家的，采购人终止竞争性磋商采购活动。</w:t>
      </w:r>
    </w:p>
    <w:p w14:paraId="1E1E741F">
      <w:pPr>
        <w:pStyle w:val="17"/>
        <w:snapToGrid w:val="0"/>
        <w:spacing w:line="440" w:lineRule="exact"/>
        <w:ind w:firstLine="422" w:firstLineChars="200"/>
        <w:textAlignment w:val="baseline"/>
        <w:rPr>
          <w:rFonts w:hAnsi="宋体" w:cs="宋体"/>
          <w:b/>
          <w:color w:val="auto"/>
          <w:highlight w:val="none"/>
        </w:rPr>
      </w:pPr>
      <w:r>
        <w:rPr>
          <w:rFonts w:hint="eastAsia" w:hAnsi="宋体" w:cs="宋体"/>
          <w:b/>
          <w:color w:val="auto"/>
          <w:highlight w:val="none"/>
          <w:lang w:val="en-US" w:eastAsia="zh-CN"/>
        </w:rPr>
        <w:t>10.</w:t>
      </w:r>
      <w:r>
        <w:rPr>
          <w:rFonts w:hint="eastAsia" w:hAnsi="宋体" w:cs="宋体"/>
          <w:b/>
          <w:color w:val="auto"/>
          <w:highlight w:val="none"/>
        </w:rPr>
        <w:t>评标过程的监控</w:t>
      </w:r>
    </w:p>
    <w:p w14:paraId="7DAD51AE">
      <w:pPr>
        <w:pStyle w:val="17"/>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本项目评标过程实行全程录音、录像监控，磋商供应商在评标过程中所进行的试图影响评标结果的不公正活动，可能导致其投标被拒绝。</w:t>
      </w:r>
    </w:p>
    <w:p w14:paraId="42160387">
      <w:pPr>
        <w:pStyle w:val="4"/>
        <w:numPr>
          <w:ilvl w:val="0"/>
          <w:numId w:val="0"/>
        </w:numPr>
        <w:spacing w:before="156" w:after="156"/>
        <w:jc w:val="center"/>
        <w:textAlignment w:val="baseline"/>
        <w:rPr>
          <w:rFonts w:ascii="宋体" w:hAnsi="宋体" w:cs="宋体"/>
          <w:b/>
          <w:bCs/>
          <w:color w:val="auto"/>
          <w:sz w:val="32"/>
          <w:szCs w:val="32"/>
          <w:highlight w:val="none"/>
        </w:rPr>
      </w:pPr>
      <w:bookmarkStart w:id="59" w:name="_Toc21143"/>
      <w:r>
        <w:rPr>
          <w:rFonts w:hint="eastAsia" w:ascii="宋体" w:hAnsi="宋体" w:cs="宋体"/>
          <w:b/>
          <w:bCs/>
          <w:color w:val="auto"/>
          <w:sz w:val="32"/>
          <w:szCs w:val="32"/>
          <w:highlight w:val="none"/>
        </w:rPr>
        <w:t>七、定标</w:t>
      </w:r>
      <w:bookmarkEnd w:id="59"/>
    </w:p>
    <w:p w14:paraId="690034C9">
      <w:pPr>
        <w:pStyle w:val="17"/>
        <w:snapToGrid w:val="0"/>
        <w:spacing w:line="440" w:lineRule="exact"/>
        <w:ind w:firstLine="422" w:firstLineChars="200"/>
        <w:textAlignment w:val="baseline"/>
        <w:rPr>
          <w:rFonts w:hint="eastAsia" w:hAnsi="宋体" w:eastAsia="宋体" w:cs="宋体"/>
          <w:b/>
          <w:bCs/>
          <w:color w:val="auto"/>
          <w:highlight w:val="none"/>
          <w:lang w:eastAsia="zh-CN"/>
        </w:rPr>
      </w:pPr>
      <w:r>
        <w:rPr>
          <w:rFonts w:hint="eastAsia" w:hAnsi="宋体" w:cs="宋体"/>
          <w:b/>
          <w:bCs/>
          <w:color w:val="auto"/>
          <w:highlight w:val="none"/>
        </w:rPr>
        <w:t>1</w:t>
      </w:r>
      <w:r>
        <w:rPr>
          <w:rFonts w:hint="eastAsia" w:hAnsi="宋体" w:cs="宋体"/>
          <w:b/>
          <w:bCs/>
          <w:color w:val="auto"/>
          <w:highlight w:val="none"/>
          <w:lang w:val="en-US" w:eastAsia="zh-CN"/>
        </w:rPr>
        <w:t>.</w:t>
      </w:r>
      <w:r>
        <w:rPr>
          <w:rFonts w:hint="eastAsia" w:hAnsi="宋体" w:cs="宋体"/>
          <w:b/>
          <w:bCs/>
          <w:color w:val="auto"/>
          <w:highlight w:val="none"/>
        </w:rPr>
        <w:t>确定中标单位</w:t>
      </w:r>
    </w:p>
    <w:p w14:paraId="591BE18A">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1.1采购代理机构在评标结束后2个工作日内将评标报告交采购人确认。</w:t>
      </w:r>
    </w:p>
    <w:p w14:paraId="2F0B22B8">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1.2磋商供应商对评标结果无异议的，采购人应在收到评标报告后5个工作日内对评标结果进行确认。如有磋商供应商对评标结果提出质疑的，采购人可在质疑处理完毕后确定中标单位。</w:t>
      </w:r>
    </w:p>
    <w:p w14:paraId="3DA6ECD4">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1.3采购人依法确定中标单位后2个工作日内，在</w:t>
      </w:r>
      <w:r>
        <w:rPr>
          <w:rFonts w:hint="eastAsia" w:ascii="宋体" w:hAnsi="宋体" w:cs="宋体"/>
          <w:color w:val="auto"/>
          <w:spacing w:val="-4"/>
          <w:highlight w:val="none"/>
          <w:lang w:eastAsia="zh-CN"/>
        </w:rPr>
        <w:t>常山县政府网</w:t>
      </w:r>
      <w:r>
        <w:rPr>
          <w:rFonts w:hint="eastAsia" w:ascii="宋体" w:hAnsi="宋体" w:cs="宋体"/>
          <w:color w:val="auto"/>
          <w:spacing w:val="-4"/>
          <w:highlight w:val="none"/>
        </w:rPr>
        <w:t>、浙江政府采购网上</w:t>
      </w:r>
      <w:r>
        <w:rPr>
          <w:rFonts w:hint="eastAsia" w:ascii="宋体" w:hAnsi="宋体" w:cs="宋体"/>
          <w:color w:val="auto"/>
          <w:szCs w:val="21"/>
          <w:highlight w:val="none"/>
        </w:rPr>
        <w:t>公告中标结果，同时采购人或采购代理机构应当向中标人以书面形式发出《中标通知书》。</w:t>
      </w:r>
    </w:p>
    <w:p w14:paraId="74FD86C1">
      <w:pPr>
        <w:pStyle w:val="4"/>
        <w:keepLines/>
        <w:widowControl w:val="0"/>
        <w:numPr>
          <w:ilvl w:val="2"/>
          <w:numId w:val="0"/>
        </w:numPr>
        <w:spacing w:before="156" w:after="156" w:line="440" w:lineRule="exact"/>
        <w:jc w:val="center"/>
        <w:textAlignment w:val="baseline"/>
        <w:rPr>
          <w:rFonts w:ascii="宋体" w:hAnsi="宋体" w:cs="宋体"/>
          <w:b/>
          <w:bCs/>
          <w:color w:val="auto"/>
          <w:sz w:val="32"/>
          <w:szCs w:val="32"/>
          <w:highlight w:val="none"/>
        </w:rPr>
      </w:pPr>
      <w:bookmarkStart w:id="60" w:name="_Toc18706"/>
      <w:bookmarkStart w:id="61" w:name="_Toc11700"/>
      <w:r>
        <w:rPr>
          <w:rFonts w:hint="eastAsia" w:ascii="宋体" w:hAnsi="宋体" w:cs="宋体"/>
          <w:b/>
          <w:bCs/>
          <w:color w:val="auto"/>
          <w:sz w:val="32"/>
          <w:szCs w:val="32"/>
          <w:highlight w:val="none"/>
        </w:rPr>
        <w:t>八、合同授予</w:t>
      </w:r>
      <w:bookmarkEnd w:id="60"/>
      <w:bookmarkEnd w:id="61"/>
    </w:p>
    <w:p w14:paraId="6C62E705">
      <w:pPr>
        <w:snapToGrid w:val="0"/>
        <w:spacing w:line="440" w:lineRule="exact"/>
        <w:ind w:firstLine="422" w:firstLineChars="200"/>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签订合同</w:t>
      </w:r>
    </w:p>
    <w:p w14:paraId="42350715">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1.1中标通知书于中标公告发布之日签发，中标人应于中标结果公告发布之日起两个工作日内，凭法定代表人（负责人）授权委托书及被授权人身份证原件至</w:t>
      </w:r>
      <w:r>
        <w:rPr>
          <w:rFonts w:hint="eastAsia" w:ascii="宋体" w:hAnsi="宋体" w:cs="宋体"/>
          <w:color w:val="auto"/>
          <w:szCs w:val="21"/>
          <w:highlight w:val="none"/>
          <w:lang w:eastAsia="zh-CN"/>
        </w:rPr>
        <w:t>衢州市开成工程造价咨询事务所有限公司</w:t>
      </w:r>
      <w:r>
        <w:rPr>
          <w:rFonts w:hint="eastAsia" w:ascii="宋体" w:hAnsi="宋体" w:cs="宋体"/>
          <w:color w:val="auto"/>
          <w:szCs w:val="21"/>
          <w:highlight w:val="none"/>
        </w:rPr>
        <w:t>领取中标通知书，逾期领取的后果自负。中标人与采购单位须在中标结果公告发出两个工作日后的三十天内签订合同。《中标通知书》一经发出即发生法律效力。采购单位无义务向未中标人解释落选原因，不退回投标文件。《中标通知书》作为签订合同的重要依据，对采购单位和中标人具有法律效力。采购单位改变中标结果或者中标人放弃中标项目的都应承担法律责任。</w:t>
      </w:r>
    </w:p>
    <w:p w14:paraId="59B9E33A">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1.2中标人拖延、拒签合同的,应当按照本项目采购预算价2%的标准承担因此给采购单位造成的损失的赔偿责任及相应的法律责任。</w:t>
      </w:r>
    </w:p>
    <w:p w14:paraId="0A685054">
      <w:pPr>
        <w:pStyle w:val="4"/>
        <w:keepLines/>
        <w:widowControl w:val="0"/>
        <w:numPr>
          <w:ilvl w:val="2"/>
          <w:numId w:val="0"/>
        </w:numPr>
        <w:spacing w:before="156" w:after="156" w:line="440" w:lineRule="exact"/>
        <w:jc w:val="center"/>
        <w:textAlignment w:val="baseline"/>
        <w:rPr>
          <w:rFonts w:ascii="宋体" w:hAnsi="宋体" w:cs="宋体"/>
          <w:b/>
          <w:bCs/>
          <w:color w:val="auto"/>
          <w:sz w:val="32"/>
          <w:szCs w:val="32"/>
          <w:highlight w:val="none"/>
        </w:rPr>
      </w:pPr>
      <w:bookmarkStart w:id="62" w:name="_Toc16691"/>
      <w:bookmarkEnd w:id="62"/>
      <w:bookmarkStart w:id="63" w:name="_Toc16204"/>
      <w:bookmarkEnd w:id="63"/>
    </w:p>
    <w:p w14:paraId="1997C6E6">
      <w:pPr>
        <w:pStyle w:val="29"/>
        <w:spacing w:line="360" w:lineRule="auto"/>
        <w:textAlignment w:val="baseline"/>
        <w:outlineLvl w:val="0"/>
        <w:rPr>
          <w:rFonts w:ascii="宋体" w:hAnsi="宋体" w:cs="宋体"/>
          <w:bCs/>
          <w:color w:val="auto"/>
          <w:kern w:val="2"/>
          <w:sz w:val="32"/>
          <w:szCs w:val="32"/>
          <w:highlight w:val="none"/>
          <w:lang w:val="zh-CN" w:eastAsia="zh-CN"/>
        </w:rPr>
      </w:pPr>
      <w:bookmarkStart w:id="64" w:name="_Toc487209066"/>
      <w:bookmarkStart w:id="65" w:name="_Toc26093"/>
      <w:bookmarkStart w:id="66" w:name="_Toc5684"/>
      <w:bookmarkStart w:id="67" w:name="_Toc18498_WPSOffice_Level1"/>
      <w:r>
        <w:rPr>
          <w:rFonts w:hint="eastAsia" w:ascii="宋体" w:hAnsi="宋体" w:cs="宋体"/>
          <w:bCs/>
          <w:color w:val="auto"/>
          <w:kern w:val="2"/>
          <w:sz w:val="32"/>
          <w:szCs w:val="32"/>
          <w:highlight w:val="none"/>
          <w:lang w:eastAsia="zh-CN"/>
        </w:rPr>
        <w:br w:type="column"/>
      </w:r>
      <w:r>
        <w:rPr>
          <w:rFonts w:hint="eastAsia" w:ascii="宋体" w:hAnsi="宋体" w:cs="宋体"/>
          <w:bCs/>
          <w:color w:val="auto"/>
          <w:kern w:val="2"/>
          <w:sz w:val="32"/>
          <w:szCs w:val="32"/>
          <w:highlight w:val="none"/>
          <w:lang w:eastAsia="zh-CN"/>
        </w:rPr>
        <w:t xml:space="preserve">第三章  </w:t>
      </w:r>
      <w:r>
        <w:rPr>
          <w:rFonts w:hint="eastAsia" w:ascii="宋体" w:hAnsi="宋体" w:cs="宋体"/>
          <w:bCs/>
          <w:color w:val="auto"/>
          <w:kern w:val="2"/>
          <w:sz w:val="32"/>
          <w:szCs w:val="32"/>
          <w:highlight w:val="none"/>
          <w:lang w:val="zh-CN" w:eastAsia="zh-CN"/>
        </w:rPr>
        <w:t>采购内容及要求</w:t>
      </w:r>
      <w:bookmarkEnd w:id="64"/>
      <w:bookmarkEnd w:id="65"/>
      <w:bookmarkEnd w:id="66"/>
      <w:bookmarkEnd w:id="67"/>
    </w:p>
    <w:p w14:paraId="20F30C80">
      <w:pPr>
        <w:pStyle w:val="3"/>
        <w:keepNext/>
        <w:keepLines/>
        <w:pageBreakBefore w:val="0"/>
        <w:widowControl w:val="0"/>
        <w:numPr>
          <w:ilvl w:val="1"/>
          <w:numId w:val="0"/>
        </w:numPr>
        <w:kinsoku/>
        <w:wordWrap/>
        <w:overflowPunct/>
        <w:topLinePunct w:val="0"/>
        <w:autoSpaceDE/>
        <w:autoSpaceDN/>
        <w:bidi w:val="0"/>
        <w:adjustRightInd/>
        <w:snapToGrid/>
        <w:spacing w:before="191" w:beforeLines="50" w:after="191" w:afterLines="50" w:line="360" w:lineRule="auto"/>
        <w:ind w:leftChars="0" w:firstLine="422" w:firstLineChars="200"/>
        <w:textAlignment w:val="auto"/>
        <w:rPr>
          <w:rFonts w:hint="eastAsia" w:ascii="宋体" w:hAnsi="宋体" w:eastAsia="宋体" w:cs="宋体"/>
          <w:sz w:val="21"/>
          <w:szCs w:val="21"/>
          <w:highlight w:val="none"/>
        </w:rPr>
      </w:pPr>
      <w:bookmarkStart w:id="68" w:name="_Toc21547"/>
      <w:r>
        <w:rPr>
          <w:rFonts w:hint="eastAsia" w:ascii="宋体" w:hAnsi="宋体" w:eastAsia="宋体" w:cs="宋体"/>
          <w:sz w:val="21"/>
          <w:szCs w:val="21"/>
          <w:highlight w:val="none"/>
        </w:rPr>
        <w:t>一、项目概况</w:t>
      </w:r>
    </w:p>
    <w:p w14:paraId="14CFFAAA">
      <w:pPr>
        <w:spacing w:line="360" w:lineRule="auto"/>
        <w:ind w:firstLine="480"/>
        <w:rPr>
          <w:rFonts w:hint="eastAsia" w:ascii="宋体" w:hAnsi="宋体" w:eastAsia="宋体" w:cs="宋体"/>
          <w:b/>
          <w:sz w:val="21"/>
          <w:szCs w:val="21"/>
          <w:highlight w:val="none"/>
        </w:rPr>
      </w:pPr>
      <w:r>
        <w:rPr>
          <w:rFonts w:hint="eastAsia" w:ascii="宋体" w:hAnsi="宋体" w:eastAsia="宋体" w:cs="宋体"/>
          <w:sz w:val="21"/>
          <w:szCs w:val="21"/>
          <w:highlight w:val="none"/>
        </w:rPr>
        <w:t>对本乡范围内未腐烂的病死、枯死、濒死松树，</w:t>
      </w:r>
      <w:r>
        <w:rPr>
          <w:rFonts w:hint="eastAsia" w:ascii="宋体" w:hAnsi="宋体" w:eastAsia="宋体" w:cs="宋体"/>
          <w:sz w:val="21"/>
          <w:szCs w:val="21"/>
          <w:highlight w:val="none"/>
          <w:lang w:eastAsia="zh-CN"/>
        </w:rPr>
        <w:t>进行</w:t>
      </w:r>
      <w:r>
        <w:rPr>
          <w:rFonts w:hint="eastAsia" w:ascii="宋体" w:hAnsi="宋体" w:eastAsia="宋体" w:cs="宋体"/>
          <w:sz w:val="21"/>
          <w:szCs w:val="21"/>
          <w:highlight w:val="none"/>
        </w:rPr>
        <w:t>清理。</w:t>
      </w:r>
    </w:p>
    <w:tbl>
      <w:tblPr>
        <w:tblStyle w:val="31"/>
        <w:tblW w:w="10208"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249"/>
        <w:gridCol w:w="4640"/>
        <w:gridCol w:w="2650"/>
      </w:tblGrid>
      <w:tr w14:paraId="02991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69" w:type="dxa"/>
            <w:noWrap w:val="0"/>
            <w:vAlign w:val="top"/>
          </w:tcPr>
          <w:p w14:paraId="5D821902">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2249" w:type="dxa"/>
            <w:noWrap w:val="0"/>
            <w:vAlign w:val="top"/>
          </w:tcPr>
          <w:p w14:paraId="492BCCCF">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采购内容</w:t>
            </w:r>
          </w:p>
        </w:tc>
        <w:tc>
          <w:tcPr>
            <w:tcW w:w="4640" w:type="dxa"/>
            <w:noWrap w:val="0"/>
            <w:vAlign w:val="top"/>
          </w:tcPr>
          <w:p w14:paraId="6D9BD9F6">
            <w:pPr>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最高限价</w:t>
            </w:r>
            <w:r>
              <w:rPr>
                <w:rFonts w:hint="eastAsia" w:ascii="宋体" w:hAnsi="宋体" w:eastAsia="宋体" w:cs="宋体"/>
                <w:sz w:val="21"/>
                <w:szCs w:val="21"/>
                <w:highlight w:val="none"/>
                <w:lang w:eastAsia="zh-CN"/>
              </w:rPr>
              <w:t>（元）</w:t>
            </w:r>
          </w:p>
        </w:tc>
        <w:tc>
          <w:tcPr>
            <w:tcW w:w="2650" w:type="dxa"/>
            <w:noWrap w:val="0"/>
            <w:vAlign w:val="top"/>
          </w:tcPr>
          <w:p w14:paraId="2F3A4BA2">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分布范围</w:t>
            </w:r>
          </w:p>
        </w:tc>
      </w:tr>
      <w:tr w14:paraId="66152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669" w:type="dxa"/>
            <w:noWrap w:val="0"/>
            <w:vAlign w:val="center"/>
          </w:tcPr>
          <w:p w14:paraId="3ED6AA14">
            <w:pPr>
              <w:spacing w:line="360" w:lineRule="auto"/>
              <w:ind w:left="0" w:leftChars="-200" w:hanging="420" w:hangingChars="20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1</w:t>
            </w:r>
          </w:p>
        </w:tc>
        <w:tc>
          <w:tcPr>
            <w:tcW w:w="2249" w:type="dxa"/>
            <w:noWrap w:val="0"/>
            <w:vAlign w:val="center"/>
          </w:tcPr>
          <w:p w14:paraId="42F89136">
            <w:pPr>
              <w:spacing w:line="360" w:lineRule="auto"/>
              <w:rPr>
                <w:rFonts w:hint="eastAsia" w:ascii="宋体" w:hAnsi="宋体" w:eastAsia="宋体" w:cs="宋体"/>
                <w:sz w:val="21"/>
                <w:szCs w:val="21"/>
                <w:highlight w:val="none"/>
              </w:rPr>
            </w:pPr>
            <w:r>
              <w:rPr>
                <w:rFonts w:hint="eastAsia" w:ascii="宋体" w:hAnsi="宋体" w:cs="宋体"/>
                <w:sz w:val="21"/>
                <w:szCs w:val="21"/>
                <w:highlight w:val="none"/>
                <w:lang w:eastAsia="zh-CN"/>
              </w:rPr>
              <w:t>常山县招贤镇2024-2025年松材线虫病枯死松树第二轮清理</w:t>
            </w:r>
          </w:p>
        </w:tc>
        <w:tc>
          <w:tcPr>
            <w:tcW w:w="4640" w:type="dxa"/>
            <w:noWrap w:val="0"/>
            <w:vAlign w:val="center"/>
          </w:tcPr>
          <w:p w14:paraId="5E9FE1BB">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sz w:val="21"/>
                <w:szCs w:val="21"/>
                <w:highlight w:val="none"/>
                <w:lang w:eastAsia="zh-CN"/>
              </w:rPr>
              <w:t>最高单价限价：</w:t>
            </w:r>
            <w:r>
              <w:rPr>
                <w:rFonts w:hint="eastAsia" w:ascii="宋体" w:hAnsi="宋体" w:cs="宋体"/>
                <w:sz w:val="21"/>
                <w:szCs w:val="21"/>
                <w:highlight w:val="none"/>
                <w:lang w:val="en-US" w:eastAsia="zh-CN"/>
              </w:rPr>
              <w:t>155</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元/吨</w:t>
            </w:r>
            <w:r>
              <w:rPr>
                <w:rFonts w:hint="eastAsia" w:ascii="宋体" w:hAnsi="宋体" w:eastAsia="宋体" w:cs="宋体"/>
                <w:sz w:val="21"/>
                <w:szCs w:val="21"/>
                <w:highlight w:val="none"/>
                <w:lang w:eastAsia="zh-CN"/>
              </w:rPr>
              <w:t>，总价：</w:t>
            </w:r>
            <w:r>
              <w:rPr>
                <w:rFonts w:hint="eastAsia" w:ascii="宋体" w:hAnsi="宋体" w:cs="宋体"/>
                <w:sz w:val="21"/>
                <w:szCs w:val="21"/>
                <w:highlight w:val="none"/>
                <w:lang w:val="en-US" w:eastAsia="zh-CN"/>
              </w:rPr>
              <w:t>620000</w:t>
            </w:r>
            <w:r>
              <w:rPr>
                <w:rFonts w:hint="eastAsia" w:ascii="宋体" w:hAnsi="宋体" w:eastAsia="宋体" w:cs="宋体"/>
                <w:sz w:val="21"/>
                <w:szCs w:val="21"/>
                <w:highlight w:val="none"/>
                <w:lang w:val="en-US" w:eastAsia="zh-CN"/>
              </w:rPr>
              <w:t>元，</w:t>
            </w:r>
            <w:r>
              <w:rPr>
                <w:rFonts w:hint="eastAsia"/>
                <w:b/>
                <w:bCs/>
                <w:highlight w:val="none"/>
                <w:lang w:eastAsia="zh-CN"/>
              </w:rPr>
              <w:t>本项目采用综合单价进行报价评审，请供应商报综合单价且总价不得超过最高限价，否则作废标处理。</w:t>
            </w:r>
            <w:r>
              <w:rPr>
                <w:rFonts w:hint="eastAsia" w:ascii="宋体" w:hAnsi="宋体" w:eastAsia="宋体" w:cs="宋体"/>
                <w:sz w:val="21"/>
                <w:szCs w:val="21"/>
                <w:highlight w:val="none"/>
                <w:lang w:val="en-US" w:eastAsia="zh-CN"/>
              </w:rPr>
              <w:t>数量根据实际清理的吨数进行结算。</w:t>
            </w:r>
          </w:p>
        </w:tc>
        <w:tc>
          <w:tcPr>
            <w:tcW w:w="2650" w:type="dxa"/>
            <w:noWrap w:val="0"/>
            <w:vAlign w:val="center"/>
          </w:tcPr>
          <w:p w14:paraId="7A4BA3A8">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招贤镇行政服务区域内（18个行政村）枯死松木</w:t>
            </w:r>
            <w:r>
              <w:rPr>
                <w:rFonts w:hint="eastAsia" w:ascii="宋体" w:hAnsi="宋体" w:cs="宋体"/>
                <w:sz w:val="21"/>
                <w:szCs w:val="21"/>
                <w:highlight w:val="none"/>
                <w:lang w:eastAsia="zh-CN"/>
              </w:rPr>
              <w:t>第二轮清理</w:t>
            </w:r>
            <w:r>
              <w:rPr>
                <w:rFonts w:hint="eastAsia" w:ascii="宋体" w:hAnsi="宋体" w:eastAsia="宋体" w:cs="宋体"/>
                <w:sz w:val="21"/>
                <w:szCs w:val="21"/>
                <w:highlight w:val="none"/>
                <w:lang w:val="en-US" w:eastAsia="zh-CN"/>
              </w:rPr>
              <w:t>服务</w:t>
            </w:r>
            <w:r>
              <w:rPr>
                <w:rFonts w:hint="eastAsia" w:ascii="宋体" w:hAnsi="宋体" w:cs="宋体"/>
                <w:sz w:val="21"/>
                <w:szCs w:val="21"/>
                <w:highlight w:val="none"/>
                <w:lang w:val="en-US" w:eastAsia="zh-CN"/>
              </w:rPr>
              <w:t>。</w:t>
            </w:r>
          </w:p>
        </w:tc>
      </w:tr>
    </w:tbl>
    <w:p w14:paraId="4BC94F03">
      <w:pPr>
        <w:pStyle w:val="30"/>
        <w:spacing w:line="360" w:lineRule="auto"/>
        <w:ind w:left="0" w:leftChars="0" w:firstLine="630" w:firstLineChars="300"/>
        <w:rPr>
          <w:rFonts w:hint="eastAsia" w:ascii="宋体" w:hAnsi="宋体" w:eastAsia="宋体" w:cs="宋体"/>
          <w:sz w:val="21"/>
          <w:szCs w:val="21"/>
          <w:highlight w:val="none"/>
        </w:rPr>
      </w:pPr>
      <w:r>
        <w:rPr>
          <w:rFonts w:hint="eastAsia" w:ascii="宋体" w:hAnsi="宋体" w:eastAsia="宋体" w:cs="宋体"/>
          <w:sz w:val="21"/>
          <w:szCs w:val="21"/>
          <w:highlight w:val="none"/>
        </w:rPr>
        <w:t>说明：投标报价为投标方所能承受的一次性最低、最终报价，以人民币为结算币种，报价是履行合同的最终价格。本次报价采用</w:t>
      </w:r>
      <w:r>
        <w:rPr>
          <w:rFonts w:hint="eastAsia" w:ascii="宋体" w:hAnsi="宋体" w:eastAsia="宋体" w:cs="宋体"/>
          <w:b/>
          <w:bCs/>
          <w:color w:val="auto"/>
          <w:sz w:val="21"/>
          <w:szCs w:val="21"/>
          <w:highlight w:val="none"/>
        </w:rPr>
        <w:t>综合单价报价</w:t>
      </w:r>
      <w:r>
        <w:rPr>
          <w:rFonts w:hint="eastAsia" w:ascii="宋体" w:hAnsi="宋体" w:eastAsia="宋体" w:cs="宋体"/>
          <w:color w:val="auto"/>
          <w:sz w:val="21"/>
          <w:szCs w:val="21"/>
          <w:highlight w:val="none"/>
        </w:rPr>
        <w:t>（包</w:t>
      </w:r>
      <w:r>
        <w:rPr>
          <w:rFonts w:hint="eastAsia" w:ascii="宋体" w:hAnsi="宋体" w:eastAsia="宋体" w:cs="宋体"/>
          <w:sz w:val="21"/>
          <w:szCs w:val="21"/>
          <w:highlight w:val="none"/>
        </w:rPr>
        <w:t>括本次项目实施所需的设备及物资、运费</w:t>
      </w:r>
      <w:r>
        <w:rPr>
          <w:rFonts w:hint="eastAsia" w:ascii="宋体" w:hAnsi="宋体" w:eastAsia="宋体" w:cs="宋体"/>
          <w:sz w:val="21"/>
          <w:szCs w:val="21"/>
          <w:highlight w:val="none"/>
          <w:lang w:eastAsia="zh-CN"/>
        </w:rPr>
        <w:t>、农户政策处理费、</w:t>
      </w:r>
      <w:r>
        <w:rPr>
          <w:rFonts w:hint="eastAsia" w:ascii="宋体" w:hAnsi="宋体" w:eastAsia="宋体" w:cs="宋体"/>
          <w:sz w:val="21"/>
          <w:szCs w:val="21"/>
          <w:highlight w:val="none"/>
        </w:rPr>
        <w:t>装卸费、</w:t>
      </w:r>
      <w:r>
        <w:rPr>
          <w:rFonts w:hint="eastAsia" w:ascii="宋体" w:hAnsi="宋体" w:eastAsia="宋体" w:cs="宋体"/>
          <w:sz w:val="21"/>
          <w:szCs w:val="21"/>
          <w:highlight w:val="none"/>
          <w:lang w:eastAsia="zh-CN"/>
        </w:rPr>
        <w:t>砍伐疫木的审批费用、采伐设计费（或伐区作业设计书费）、</w:t>
      </w:r>
      <w:r>
        <w:rPr>
          <w:rFonts w:hint="eastAsia" w:ascii="宋体" w:hAnsi="宋体" w:eastAsia="宋体" w:cs="宋体"/>
          <w:sz w:val="21"/>
          <w:szCs w:val="21"/>
          <w:highlight w:val="none"/>
        </w:rPr>
        <w:t>税费、利润、验收费、保险费、</w:t>
      </w:r>
      <w:r>
        <w:rPr>
          <w:rFonts w:hint="eastAsia" w:ascii="宋体" w:hAnsi="宋体" w:eastAsia="宋体" w:cs="宋体"/>
          <w:bCs/>
          <w:sz w:val="21"/>
          <w:szCs w:val="21"/>
          <w:highlight w:val="none"/>
        </w:rPr>
        <w:t>雇员费用、</w:t>
      </w:r>
      <w:r>
        <w:rPr>
          <w:rFonts w:hint="eastAsia" w:ascii="宋体" w:hAnsi="宋体" w:eastAsia="宋体" w:cs="宋体"/>
          <w:sz w:val="21"/>
          <w:szCs w:val="21"/>
          <w:highlight w:val="none"/>
        </w:rPr>
        <w:t>政策性文件规定及合同包含的所有风险、责任等全部费用。投标单位应列入而未列入其中的费用，均视为已包含在内，风险由投标单位承担），采购人不再支付其他任何费用。</w:t>
      </w:r>
    </w:p>
    <w:p w14:paraId="4BFD2C2A">
      <w:pPr>
        <w:pStyle w:val="30"/>
        <w:spacing w:line="360" w:lineRule="auto"/>
        <w:ind w:left="0" w:leftChars="0" w:firstLine="630" w:firstLineChars="300"/>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疫木收购款：定点疫木加工企业收购疫木所得款项由甲方统一与定点疫木加工厂结算，用于支付除治费用或上交财政。</w:t>
      </w:r>
    </w:p>
    <w:p w14:paraId="5B8D2369">
      <w:pPr>
        <w:spacing w:line="360" w:lineRule="auto"/>
        <w:jc w:val="left"/>
        <w:rPr>
          <w:rFonts w:hint="eastAsia" w:ascii="宋体" w:hAnsi="宋体" w:eastAsia="宋体" w:cs="宋体"/>
          <w:sz w:val="21"/>
          <w:szCs w:val="21"/>
          <w:highlight w:val="none"/>
        </w:rPr>
      </w:pPr>
      <w:r>
        <w:rPr>
          <w:rFonts w:hint="eastAsia" w:ascii="宋体" w:hAnsi="宋体" w:eastAsia="宋体" w:cs="宋体"/>
          <w:b/>
          <w:bCs/>
          <w:sz w:val="21"/>
          <w:szCs w:val="21"/>
          <w:highlight w:val="none"/>
          <w:lang w:val="en-US" w:eastAsia="zh-CN"/>
        </w:rPr>
        <w:t xml:space="preserve">  二</w:t>
      </w:r>
      <w:r>
        <w:rPr>
          <w:rFonts w:hint="eastAsia" w:ascii="宋体" w:hAnsi="宋体" w:eastAsia="宋体" w:cs="宋体"/>
          <w:b/>
          <w:bCs/>
          <w:sz w:val="21"/>
          <w:szCs w:val="21"/>
          <w:highlight w:val="none"/>
        </w:rPr>
        <w:t>、</w:t>
      </w:r>
      <w:r>
        <w:rPr>
          <w:rFonts w:hint="eastAsia" w:ascii="宋体" w:hAnsi="宋体" w:eastAsia="宋体" w:cs="宋体"/>
          <w:sz w:val="21"/>
          <w:szCs w:val="21"/>
          <w:highlight w:val="none"/>
        </w:rPr>
        <w:t>清理处置要求</w:t>
      </w:r>
    </w:p>
    <w:p w14:paraId="56A1F6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严格执行《松材线虫病防治技术方案（2022年版）》相关规定（若技术要求更新，则按照新版要求执行）。采伐的每株枯死木需拍照上传省“数字森防”系统，每株上传3张清理照片，包含“清理前立木+胸径测量照片+伐桩测量照片”。</w:t>
      </w:r>
    </w:p>
    <w:p w14:paraId="617532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1.伐桩处理：对疫木伐除后，伐桩最高处上坡度面的高度不得超过5cm。</w:t>
      </w:r>
    </w:p>
    <w:p w14:paraId="03C711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主干、枝桠处理：除治山场范围内，伐除的疫木主干和所有直径大于1cm的疫木枝桠必须当天下山，运到指定的疫木定点企业进行安全除害处理。加强对疫木的监管，造成疫木人为流失的，按有关法律规定追究相关责任。</w:t>
      </w:r>
    </w:p>
    <w:p w14:paraId="4EDF71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3.伐桩标记：在伐桩边的其他树木上绑宽度2cm以上的红色带子，一桩一标记。</w:t>
      </w:r>
    </w:p>
    <w:p w14:paraId="32B245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疫木装车前乙方必须填写好常山县病疫木除害处理联系单（正副联），并通知监理单位人员或护林员到场，在专人监管下过磅秤重，联系单（正副联）由到场的监管人员或护林员签字确认，同时做好装车前、装车后、疫木过磅照片记录。</w:t>
      </w:r>
    </w:p>
    <w:p w14:paraId="32CFF2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5.其他：采伐过程中，严禁砍伐活立木。</w:t>
      </w:r>
    </w:p>
    <w:p w14:paraId="10F146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6、其他业务主管部门要求做到的工作。</w:t>
      </w:r>
    </w:p>
    <w:p w14:paraId="61DC2669">
      <w:pPr>
        <w:spacing w:line="500" w:lineRule="exact"/>
        <w:ind w:firstLine="422" w:firstLineChars="200"/>
        <w:rPr>
          <w:rFonts w:hint="eastAsia" w:ascii="宋体" w:hAnsi="宋体" w:cs="宋体"/>
          <w:b/>
          <w:bCs/>
          <w:szCs w:val="21"/>
          <w:highlight w:val="none"/>
          <w:lang w:eastAsia="zh-CN"/>
        </w:rPr>
      </w:pPr>
      <w:r>
        <w:rPr>
          <w:rFonts w:hint="eastAsia" w:ascii="宋体" w:hAnsi="宋体" w:cs="宋体"/>
          <w:b/>
          <w:bCs/>
          <w:szCs w:val="21"/>
          <w:highlight w:val="none"/>
        </w:rPr>
        <w:t>三、</w:t>
      </w:r>
      <w:r>
        <w:rPr>
          <w:rFonts w:hint="eastAsia" w:ascii="宋体" w:hAnsi="宋体" w:cs="宋体"/>
          <w:b/>
          <w:bCs/>
          <w:szCs w:val="21"/>
          <w:highlight w:val="none"/>
          <w:lang w:eastAsia="zh-CN"/>
        </w:rPr>
        <w:t>商务要求</w:t>
      </w:r>
    </w:p>
    <w:p w14:paraId="59434A87">
      <w:pPr>
        <w:pStyle w:val="8"/>
        <w:rPr>
          <w:rFonts w:hint="eastAsia"/>
          <w:highlight w:val="none"/>
          <w:lang w:eastAsia="zh-CN"/>
        </w:rPr>
      </w:pPr>
      <w:r>
        <w:rPr>
          <w:rFonts w:hint="eastAsia" w:ascii="宋体" w:hAnsi="宋体" w:cs="宋体"/>
          <w:b/>
          <w:bCs/>
          <w:szCs w:val="21"/>
          <w:highlight w:val="none"/>
          <w:lang w:eastAsia="zh-CN"/>
        </w:rPr>
        <w:t>（一）人员要求</w:t>
      </w:r>
    </w:p>
    <w:p w14:paraId="25D66A33">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1.枯死、濒死松树由专业队清理，专业队必须具备法人资格，并落实清理人员人身意外伤害保险，枯死松树清理前必须对所有的清理人员进行技术培训，开展安全教育，严格按照技术标准开展清理并确保人身安全。</w:t>
      </w:r>
    </w:p>
    <w:p w14:paraId="2A2D01F7">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2.清理专业队须建立枯死松树清理台账，每天详细记录清理时间、地点、数量、除害处理方式等内容，并由相关责任人员签字确认。</w:t>
      </w:r>
    </w:p>
    <w:p w14:paraId="43CD8B93">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3.需拍摄枯死松树清理前、清理后现场对比图片，销毁枯死松树枝条的图片或视频，运输车辆现场装好车后及运到疫木定点处理厂过磅时图片。</w:t>
      </w:r>
    </w:p>
    <w:p w14:paraId="2235D0C6">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4.需凭《常山县病疫木除害处理联系单》运往疫木定点处理企业，并保存过磅单（销售发票）等原始凭证，作为支付款项及备核查依据。</w:t>
      </w:r>
    </w:p>
    <w:p w14:paraId="64E0548D">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5.配合当地政府做好枯死松树管理工作，防止农户擅自拿回家当薪柴。</w:t>
      </w:r>
    </w:p>
    <w:p w14:paraId="4F5E0303">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6.每个清理区域指定专人负责清理质量，确保每位清理人员严格按照技术要求彻底清理枯死松树，树干及1厘米以上枝桠全部清理下山。同时做好销毁监督工作，严防森林火灾等安全事故发生。</w:t>
      </w:r>
    </w:p>
    <w:p w14:paraId="5ADEEA50">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7.不采伐正常活松树、阔叶树、杉树，服从乡镇及林业局的监管（监督）。</w:t>
      </w:r>
    </w:p>
    <w:p w14:paraId="3FD2029C">
      <w:pPr>
        <w:spacing w:line="500" w:lineRule="exact"/>
        <w:ind w:firstLine="422" w:firstLineChars="200"/>
        <w:rPr>
          <w:rFonts w:hint="eastAsia" w:ascii="宋体" w:hAnsi="宋体" w:cs="宋体"/>
          <w:szCs w:val="21"/>
          <w:highlight w:val="none"/>
        </w:rPr>
      </w:pPr>
      <w:r>
        <w:rPr>
          <w:rFonts w:hint="eastAsia" w:ascii="宋体" w:hAnsi="宋体" w:cs="宋体"/>
          <w:b/>
          <w:bCs/>
          <w:szCs w:val="21"/>
          <w:highlight w:val="none"/>
          <w:lang w:eastAsia="zh-CN"/>
        </w:rPr>
        <w:t>（二）</w:t>
      </w:r>
      <w:r>
        <w:rPr>
          <w:rFonts w:hint="eastAsia" w:ascii="宋体" w:hAnsi="宋体" w:cs="宋体"/>
          <w:b/>
          <w:bCs/>
          <w:szCs w:val="21"/>
          <w:highlight w:val="none"/>
        </w:rPr>
        <w:t>工期要求</w:t>
      </w:r>
      <w:r>
        <w:rPr>
          <w:rFonts w:hint="eastAsia" w:ascii="宋体" w:hAnsi="宋体" w:cs="宋体"/>
          <w:szCs w:val="21"/>
          <w:highlight w:val="none"/>
        </w:rPr>
        <w:t>：</w:t>
      </w:r>
    </w:p>
    <w:p w14:paraId="58B7D280">
      <w:pPr>
        <w:spacing w:line="5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疫木清理除治服务期：</w:t>
      </w:r>
      <w:r>
        <w:rPr>
          <w:rFonts w:hint="eastAsia" w:ascii="宋体" w:hAnsi="宋体" w:cs="宋体"/>
          <w:b/>
          <w:bCs/>
          <w:color w:val="auto"/>
          <w:szCs w:val="21"/>
          <w:highlight w:val="none"/>
          <w:lang w:eastAsia="zh-CN"/>
        </w:rPr>
        <w:t>自合同签订之日起</w:t>
      </w:r>
      <w:r>
        <w:rPr>
          <w:rFonts w:hint="eastAsia" w:ascii="宋体" w:hAnsi="宋体" w:cs="宋体"/>
          <w:b/>
          <w:bCs/>
          <w:color w:val="auto"/>
          <w:szCs w:val="21"/>
          <w:highlight w:val="none"/>
        </w:rPr>
        <w:t>至202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年</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月</w:t>
      </w:r>
      <w:r>
        <w:rPr>
          <w:rFonts w:hint="eastAsia" w:ascii="宋体" w:hAnsi="宋体" w:cs="宋体"/>
          <w:b/>
          <w:bCs/>
          <w:color w:val="auto"/>
          <w:szCs w:val="21"/>
          <w:highlight w:val="none"/>
          <w:lang w:val="en-US" w:eastAsia="zh-CN"/>
        </w:rPr>
        <w:t>30</w:t>
      </w:r>
      <w:r>
        <w:rPr>
          <w:rFonts w:hint="eastAsia" w:ascii="宋体" w:hAnsi="宋体" w:cs="宋体"/>
          <w:b/>
          <w:bCs/>
          <w:color w:val="auto"/>
          <w:szCs w:val="21"/>
          <w:highlight w:val="none"/>
        </w:rPr>
        <w:t>日。</w:t>
      </w:r>
    </w:p>
    <w:p w14:paraId="6196B53F">
      <w:pPr>
        <w:spacing w:line="500" w:lineRule="exact"/>
        <w:ind w:firstLine="422" w:firstLineChars="200"/>
        <w:rPr>
          <w:rFonts w:hint="eastAsia" w:ascii="宋体" w:hAnsi="宋体" w:cs="宋体"/>
          <w:b/>
          <w:bCs/>
          <w:szCs w:val="21"/>
          <w:highlight w:val="none"/>
        </w:rPr>
      </w:pPr>
      <w:r>
        <w:rPr>
          <w:rFonts w:hint="eastAsia" w:ascii="宋体" w:hAnsi="宋体" w:cs="宋体"/>
          <w:b/>
          <w:bCs/>
          <w:szCs w:val="21"/>
          <w:highlight w:val="none"/>
          <w:lang w:eastAsia="zh-CN"/>
        </w:rPr>
        <w:t>（三）</w:t>
      </w:r>
      <w:r>
        <w:rPr>
          <w:rFonts w:hint="eastAsia" w:ascii="宋体" w:hAnsi="宋体" w:cs="宋体"/>
          <w:b/>
          <w:bCs/>
          <w:szCs w:val="21"/>
          <w:highlight w:val="none"/>
        </w:rPr>
        <w:t>验收</w:t>
      </w:r>
    </w:p>
    <w:p w14:paraId="3714E57C">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清理完成后验收标准。须按规定的清理标准进行验收。清理质量不达标或有零星漏清枯死松树的，认定1处不合格，扣款1000元</w:t>
      </w:r>
      <w:r>
        <w:rPr>
          <w:rFonts w:hint="eastAsia" w:ascii="宋体" w:hAnsi="宋体" w:cs="宋体"/>
          <w:szCs w:val="21"/>
          <w:highlight w:val="none"/>
          <w:lang w:eastAsia="zh-CN"/>
        </w:rPr>
        <w:t>，</w:t>
      </w:r>
      <w:r>
        <w:rPr>
          <w:rFonts w:hint="eastAsia" w:ascii="宋体" w:hAnsi="宋体" w:cs="宋体"/>
          <w:szCs w:val="21"/>
          <w:highlight w:val="none"/>
        </w:rPr>
        <w:t>且须返工清理，对于未返工清理的，按比例扣款项目总额1%—5%费用，可视情况另加以总金额1%—5 %处罚措施；成片（块）未作清理或者清理作假的，按照枯死松树量比例扣款项目总额的3%—5%费用，待结算时要按工程实际完成量的百分比基础上，可视情况另加以 1%—10 %的处罚措施，然后再行结算清理费用或工资，且乙方须返工清理，对于未返工清理的，可依法解除合同。</w:t>
      </w:r>
    </w:p>
    <w:p w14:paraId="2E533BD3">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lang w:eastAsia="zh-CN"/>
        </w:rPr>
        <w:t>（三）</w:t>
      </w:r>
      <w:r>
        <w:rPr>
          <w:rFonts w:hint="eastAsia" w:ascii="宋体" w:hAnsi="宋体" w:cs="宋体"/>
          <w:b/>
          <w:bCs/>
          <w:szCs w:val="21"/>
          <w:highlight w:val="none"/>
        </w:rPr>
        <w:t>支付方式：</w:t>
      </w:r>
    </w:p>
    <w:p w14:paraId="6F4632EC">
      <w:pPr>
        <w:spacing w:line="360" w:lineRule="auto"/>
        <w:ind w:firstLine="420" w:firstLineChars="200"/>
        <w:rPr>
          <w:rFonts w:hint="default" w:eastAsia="宋体"/>
          <w:color w:val="FF0000"/>
          <w:highlight w:val="none"/>
          <w:lang w:val="en-US" w:eastAsia="zh-CN"/>
        </w:rPr>
      </w:pPr>
      <w:r>
        <w:rPr>
          <w:rFonts w:hint="eastAsia" w:ascii="宋体" w:hAnsi="宋体" w:cs="宋体"/>
          <w:color w:val="auto"/>
          <w:szCs w:val="21"/>
          <w:highlight w:val="none"/>
        </w:rPr>
        <w:t>最终结算金额：</w:t>
      </w: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30日</w:t>
      </w:r>
      <w:r>
        <w:rPr>
          <w:rFonts w:hint="eastAsia" w:ascii="宋体" w:hAnsi="宋体" w:eastAsia="宋体" w:cs="宋体"/>
          <w:color w:val="auto"/>
          <w:sz w:val="21"/>
          <w:szCs w:val="21"/>
          <w:highlight w:val="none"/>
        </w:rPr>
        <w:t>完成</w:t>
      </w:r>
      <w:r>
        <w:rPr>
          <w:rFonts w:hint="eastAsia" w:ascii="宋体" w:hAnsi="宋体" w:cs="宋体"/>
          <w:color w:val="auto"/>
          <w:sz w:val="21"/>
          <w:szCs w:val="21"/>
          <w:highlight w:val="none"/>
          <w:lang w:eastAsia="zh-CN"/>
        </w:rPr>
        <w:t>清理</w:t>
      </w:r>
      <w:r>
        <w:rPr>
          <w:rFonts w:hint="eastAsia" w:ascii="宋体" w:hAnsi="宋体" w:eastAsia="宋体" w:cs="宋体"/>
          <w:color w:val="auto"/>
          <w:sz w:val="21"/>
          <w:szCs w:val="21"/>
          <w:highlight w:val="none"/>
        </w:rPr>
        <w:t>工作，</w:t>
      </w:r>
      <w:r>
        <w:rPr>
          <w:rFonts w:hint="eastAsia" w:ascii="宋体" w:hAnsi="宋体" w:eastAsia="宋体" w:cs="宋体"/>
          <w:color w:val="auto"/>
          <w:sz w:val="21"/>
          <w:szCs w:val="21"/>
          <w:highlight w:val="none"/>
          <w:lang w:eastAsia="zh-CN"/>
        </w:rPr>
        <w:t>经</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lang w:eastAsia="zh-CN"/>
        </w:rPr>
        <w:t>和县级</w:t>
      </w:r>
      <w:r>
        <w:rPr>
          <w:rFonts w:hint="eastAsia" w:ascii="宋体" w:hAnsi="宋体" w:eastAsia="宋体" w:cs="宋体"/>
          <w:color w:val="auto"/>
          <w:sz w:val="21"/>
          <w:szCs w:val="21"/>
          <w:highlight w:val="none"/>
        </w:rPr>
        <w:t>验收</w:t>
      </w:r>
      <w:r>
        <w:rPr>
          <w:rFonts w:hint="eastAsia" w:ascii="宋体" w:hAnsi="宋体" w:cs="宋体"/>
          <w:color w:val="auto"/>
          <w:sz w:val="21"/>
          <w:szCs w:val="21"/>
          <w:highlight w:val="none"/>
          <w:lang w:eastAsia="zh-CN"/>
        </w:rPr>
        <w:t>合格</w:t>
      </w:r>
      <w:r>
        <w:rPr>
          <w:rFonts w:hint="eastAsia" w:ascii="宋体" w:hAnsi="宋体" w:eastAsia="宋体" w:cs="宋体"/>
          <w:color w:val="auto"/>
          <w:sz w:val="21"/>
          <w:szCs w:val="21"/>
          <w:highlight w:val="none"/>
        </w:rPr>
        <w:t>后</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支付</w:t>
      </w:r>
      <w:r>
        <w:rPr>
          <w:rFonts w:hint="eastAsia" w:ascii="宋体" w:hAnsi="宋体" w:cs="宋体"/>
          <w:color w:val="auto"/>
          <w:sz w:val="21"/>
          <w:szCs w:val="21"/>
          <w:highlight w:val="none"/>
          <w:lang w:eastAsia="zh-CN"/>
        </w:rPr>
        <w:t>实际完成清理的</w:t>
      </w:r>
      <w:r>
        <w:rPr>
          <w:rFonts w:hint="eastAsia" w:ascii="宋体" w:hAnsi="宋体" w:eastAsia="宋体" w:cs="宋体"/>
          <w:color w:val="auto"/>
          <w:sz w:val="21"/>
          <w:szCs w:val="21"/>
          <w:highlight w:val="none"/>
        </w:rPr>
        <w:t>费用</w:t>
      </w:r>
      <w:r>
        <w:rPr>
          <w:rFonts w:hint="default" w:eastAsia="宋体"/>
          <w:color w:val="auto"/>
          <w:highlight w:val="none"/>
          <w:lang w:val="en-US" w:eastAsia="zh-CN"/>
        </w:rPr>
        <w:t>。</w:t>
      </w:r>
      <w:r>
        <w:rPr>
          <w:rFonts w:hint="eastAsia"/>
          <w:color w:val="auto"/>
          <w:highlight w:val="none"/>
          <w:lang w:val="en-US" w:eastAsia="zh-CN"/>
        </w:rPr>
        <w:t>结算方式：</w:t>
      </w:r>
      <w:r>
        <w:rPr>
          <w:rFonts w:hint="eastAsia" w:ascii="宋体" w:hAnsi="宋体" w:cs="宋体"/>
          <w:color w:val="auto"/>
          <w:szCs w:val="21"/>
          <w:highlight w:val="none"/>
        </w:rPr>
        <w:t>中标单价乘以实际清理数量</w:t>
      </w:r>
      <w:r>
        <w:rPr>
          <w:rFonts w:hint="eastAsia" w:ascii="宋体" w:hAnsi="宋体" w:cs="宋体"/>
          <w:color w:val="auto"/>
          <w:szCs w:val="21"/>
          <w:highlight w:val="none"/>
          <w:lang w:eastAsia="zh-CN"/>
        </w:rPr>
        <w:t>（吨）。</w:t>
      </w:r>
    </w:p>
    <w:p w14:paraId="0645EBAD">
      <w:pPr>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br w:type="page"/>
      </w:r>
    </w:p>
    <w:p w14:paraId="68684618">
      <w:pPr>
        <w:pStyle w:val="29"/>
        <w:spacing w:line="360" w:lineRule="auto"/>
        <w:textAlignment w:val="baseline"/>
        <w:outlineLvl w:val="0"/>
        <w:rPr>
          <w:rFonts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第四章合同格式样本</w:t>
      </w:r>
      <w:bookmarkEnd w:id="68"/>
    </w:p>
    <w:p w14:paraId="65A86415">
      <w:pPr>
        <w:autoSpaceDE w:val="0"/>
        <w:autoSpaceDN w:val="0"/>
        <w:adjustRightInd w:val="0"/>
        <w:spacing w:line="360" w:lineRule="auto"/>
        <w:jc w:val="center"/>
        <w:rPr>
          <w:rFonts w:hint="eastAsia" w:ascii="宋体" w:hAnsi="宋体" w:eastAsia="宋体" w:cs="宋体"/>
          <w:sz w:val="21"/>
          <w:szCs w:val="21"/>
          <w:highlight w:val="none"/>
        </w:rPr>
      </w:pPr>
      <w:bookmarkStart w:id="69" w:name="_Toc6691"/>
      <w:bookmarkStart w:id="70" w:name="_Toc17895"/>
      <w:r>
        <w:rPr>
          <w:rStyle w:val="79"/>
          <w:rFonts w:ascii="宋体" w:hAnsi="宋体"/>
          <w:b w:val="0"/>
          <w:i w:val="0"/>
          <w:caps w:val="0"/>
          <w:color w:val="000000"/>
          <w:spacing w:val="0"/>
          <w:w w:val="100"/>
          <w:kern w:val="2"/>
          <w:sz w:val="24"/>
          <w:szCs w:val="22"/>
          <w:highlight w:val="none"/>
          <w:lang w:val="en-US" w:eastAsia="zh-CN" w:bidi="ar-SA"/>
        </w:rPr>
        <w:t xml:space="preserve">   </w:t>
      </w:r>
      <w:r>
        <w:rPr>
          <w:rFonts w:hint="eastAsia" w:ascii="宋体" w:hAnsi="宋体" w:eastAsia="宋体" w:cs="宋体"/>
          <w:sz w:val="21"/>
          <w:szCs w:val="21"/>
          <w:highlight w:val="none"/>
        </w:rPr>
        <w:t>（以最终合同为准）</w:t>
      </w:r>
    </w:p>
    <w:p w14:paraId="76F6ACF8">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甲方(以下简称甲方)</w:t>
      </w:r>
      <w:r>
        <w:rPr>
          <w:rFonts w:hint="eastAsia" w:ascii="宋体" w:hAnsi="宋体" w:eastAsia="宋体" w:cs="宋体"/>
          <w:sz w:val="21"/>
          <w:szCs w:val="21"/>
          <w:u w:val="single"/>
        </w:rPr>
        <w:t>:_</w:t>
      </w:r>
      <w:r>
        <w:rPr>
          <w:rFonts w:hint="eastAsia" w:ascii="宋体" w:hAnsi="宋体" w:cs="宋体"/>
          <w:sz w:val="21"/>
          <w:szCs w:val="21"/>
          <w:u w:val="single"/>
          <w:lang w:val="en-US" w:eastAsia="zh-CN"/>
        </w:rPr>
        <w:t xml:space="preserve">                       </w:t>
      </w:r>
    </w:p>
    <w:p w14:paraId="19E9C55C">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乙方(以下简称乙方):</w:t>
      </w:r>
      <w:r>
        <w:rPr>
          <w:rFonts w:hint="eastAsia" w:ascii="宋体" w:hAnsi="宋体" w:eastAsia="宋体" w:cs="宋体"/>
          <w:sz w:val="21"/>
          <w:szCs w:val="21"/>
          <w:u w:val="single"/>
        </w:rPr>
        <w:t>_</w:t>
      </w:r>
      <w:r>
        <w:rPr>
          <w:rFonts w:hint="eastAsia" w:ascii="宋体" w:hAnsi="宋体" w:cs="宋体"/>
          <w:sz w:val="21"/>
          <w:szCs w:val="21"/>
          <w:u w:val="single"/>
          <w:lang w:val="en-US" w:eastAsia="zh-CN"/>
        </w:rPr>
        <w:t xml:space="preserve">                       </w:t>
      </w:r>
    </w:p>
    <w:p w14:paraId="11E6F237">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为有效开展松材线虫病防治工作，根据《中华人民共和国民法典》《松材线虫病疫区和疫木管理办法》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松材线虫病防治技术方案（</w:t>
      </w:r>
      <w:r>
        <w:rPr>
          <w:rFonts w:hint="eastAsia" w:ascii="宋体" w:hAnsi="宋体" w:eastAsia="宋体" w:cs="宋体"/>
          <w:sz w:val="21"/>
          <w:szCs w:val="21"/>
          <w:highlight w:val="none"/>
          <w:lang w:val="en-US" w:eastAsia="zh-CN"/>
        </w:rPr>
        <w:t>2022年版）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《浙江省松</w:t>
      </w:r>
      <w:r>
        <w:rPr>
          <w:rFonts w:hint="eastAsia" w:ascii="宋体" w:hAnsi="宋体" w:eastAsia="宋体" w:cs="宋体"/>
          <w:sz w:val="21"/>
          <w:szCs w:val="21"/>
        </w:rPr>
        <w:t>材线虫病防治条例》等有关规定，双方秉持自愿平等、公平守信原则，就松材线虫病枯死树</w:t>
      </w:r>
      <w:r>
        <w:rPr>
          <w:rFonts w:hint="eastAsia" w:ascii="宋体" w:hAnsi="宋体" w:eastAsia="宋体" w:cs="宋体"/>
          <w:sz w:val="21"/>
          <w:szCs w:val="21"/>
          <w:lang w:val="en-US" w:eastAsia="zh-CN"/>
        </w:rPr>
        <w:t>除治</w:t>
      </w:r>
      <w:r>
        <w:rPr>
          <w:rFonts w:hint="eastAsia" w:ascii="宋体" w:hAnsi="宋体" w:eastAsia="宋体" w:cs="宋体"/>
          <w:sz w:val="21"/>
          <w:szCs w:val="21"/>
        </w:rPr>
        <w:t>工程施工有关事项协商一致，订立本合同，具体内容如下：</w:t>
      </w:r>
    </w:p>
    <w:p w14:paraId="4744D22E">
      <w:pPr>
        <w:pStyle w:val="115"/>
        <w:keepNext w:val="0"/>
        <w:keepLines w:val="0"/>
        <w:pageBreakBefore w:val="0"/>
        <w:widowControl/>
        <w:kinsoku/>
        <w:wordWrap/>
        <w:overflowPunct/>
        <w:topLinePunct w:val="0"/>
        <w:autoSpaceDE/>
        <w:autoSpaceDN/>
        <w:bidi w:val="0"/>
        <w:adjustRightInd/>
        <w:snapToGrid/>
        <w:spacing w:line="560" w:lineRule="exact"/>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一、工程概况</w:t>
      </w:r>
    </w:p>
    <w:p w14:paraId="67959E8A">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工程内容：采用择伐</w:t>
      </w:r>
      <w:r>
        <w:rPr>
          <w:rFonts w:hint="eastAsia" w:ascii="宋体" w:hAnsi="宋体" w:eastAsia="宋体" w:cs="宋体"/>
          <w:sz w:val="21"/>
          <w:szCs w:val="21"/>
          <w:lang w:val="en-US" w:eastAsia="zh-CN"/>
        </w:rPr>
        <w:t>等</w:t>
      </w:r>
      <w:r>
        <w:rPr>
          <w:rFonts w:hint="eastAsia" w:ascii="宋体" w:hAnsi="宋体" w:eastAsia="宋体" w:cs="宋体"/>
          <w:sz w:val="21"/>
          <w:szCs w:val="21"/>
        </w:rPr>
        <w:t>方式，</w:t>
      </w:r>
      <w:r>
        <w:rPr>
          <w:rFonts w:hint="eastAsia" w:ascii="宋体" w:hAnsi="宋体" w:eastAsia="宋体" w:cs="宋体"/>
          <w:sz w:val="21"/>
          <w:szCs w:val="21"/>
          <w:lang w:val="en-US" w:eastAsia="zh-CN"/>
        </w:rPr>
        <w:t>在规定期限</w:t>
      </w:r>
      <w:r>
        <w:rPr>
          <w:rFonts w:hint="eastAsia" w:ascii="宋体" w:hAnsi="宋体" w:eastAsia="宋体" w:cs="宋体"/>
          <w:sz w:val="21"/>
          <w:szCs w:val="21"/>
        </w:rPr>
        <w:t>对约定范围内所有病死（枯死、濒死）</w:t>
      </w:r>
      <w:r>
        <w:rPr>
          <w:rFonts w:hint="eastAsia" w:ascii="宋体" w:hAnsi="宋体" w:eastAsia="宋体" w:cs="宋体"/>
          <w:color w:val="auto"/>
          <w:sz w:val="21"/>
          <w:szCs w:val="21"/>
          <w:lang w:val="en-US" w:eastAsia="zh-CN"/>
        </w:rPr>
        <w:t>和因</w:t>
      </w:r>
      <w:r>
        <w:rPr>
          <w:rFonts w:hint="eastAsia" w:ascii="宋体" w:hAnsi="宋体" w:eastAsia="宋体" w:cs="宋体"/>
          <w:color w:val="auto"/>
          <w:sz w:val="21"/>
          <w:szCs w:val="21"/>
          <w:lang w:eastAsia="zh-CN"/>
        </w:rPr>
        <w:t>干旱、风折、雪压等死亡的</w:t>
      </w:r>
      <w:r>
        <w:rPr>
          <w:rFonts w:hint="eastAsia" w:ascii="宋体" w:hAnsi="宋体" w:eastAsia="宋体" w:cs="宋体"/>
          <w:sz w:val="21"/>
          <w:szCs w:val="21"/>
        </w:rPr>
        <w:t>松树进行</w:t>
      </w:r>
      <w:r>
        <w:rPr>
          <w:rFonts w:hint="eastAsia" w:ascii="宋体" w:hAnsi="宋体" w:eastAsia="宋体" w:cs="宋体"/>
          <w:sz w:val="21"/>
          <w:szCs w:val="21"/>
          <w:lang w:val="en-US" w:eastAsia="zh-CN"/>
        </w:rPr>
        <w:t>除治</w:t>
      </w:r>
      <w:r>
        <w:rPr>
          <w:rFonts w:hint="eastAsia" w:ascii="宋体" w:hAnsi="宋体" w:eastAsia="宋体" w:cs="宋体"/>
          <w:sz w:val="21"/>
          <w:szCs w:val="21"/>
        </w:rPr>
        <w:t>，并对伐除的</w:t>
      </w:r>
      <w:r>
        <w:rPr>
          <w:rFonts w:hint="eastAsia" w:ascii="宋体" w:hAnsi="宋体" w:eastAsia="宋体" w:cs="宋体"/>
          <w:sz w:val="21"/>
          <w:szCs w:val="21"/>
          <w:lang w:val="en-US" w:eastAsia="zh-CN"/>
        </w:rPr>
        <w:t>松木</w:t>
      </w:r>
      <w:r>
        <w:rPr>
          <w:rFonts w:hint="eastAsia" w:ascii="宋体" w:hAnsi="宋体" w:eastAsia="宋体" w:cs="宋体"/>
          <w:sz w:val="21"/>
          <w:szCs w:val="21"/>
          <w:lang w:eastAsia="zh-CN"/>
        </w:rPr>
        <w:t>、</w:t>
      </w:r>
      <w:r>
        <w:rPr>
          <w:rFonts w:hint="eastAsia" w:ascii="宋体" w:hAnsi="宋体" w:eastAsia="宋体" w:cs="宋体"/>
          <w:sz w:val="21"/>
          <w:szCs w:val="21"/>
        </w:rPr>
        <w:t>清理的枝桠</w:t>
      </w:r>
      <w:r>
        <w:rPr>
          <w:rFonts w:hint="eastAsia" w:ascii="宋体" w:hAnsi="宋体" w:eastAsia="宋体" w:cs="宋体"/>
          <w:sz w:val="21"/>
          <w:szCs w:val="21"/>
          <w:lang w:val="en-US" w:eastAsia="zh-CN"/>
        </w:rPr>
        <w:t>以及伐桩</w:t>
      </w:r>
      <w:r>
        <w:rPr>
          <w:rFonts w:hint="eastAsia" w:ascii="宋体" w:hAnsi="宋体" w:eastAsia="宋体" w:cs="宋体"/>
          <w:sz w:val="21"/>
          <w:szCs w:val="21"/>
        </w:rPr>
        <w:t>进行管理、处理。</w:t>
      </w:r>
    </w:p>
    <w:p w14:paraId="022344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2" w:firstLineChars="200"/>
        <w:textAlignment w:val="auto"/>
        <w:outlineLvl w:val="9"/>
        <w:rPr>
          <w:rFonts w:hint="eastAsia" w:ascii="宋体" w:hAnsi="宋体" w:eastAsia="宋体" w:cs="宋体"/>
          <w:b/>
          <w:sz w:val="21"/>
          <w:szCs w:val="21"/>
        </w:rPr>
      </w:pPr>
      <w:r>
        <w:rPr>
          <w:rFonts w:hint="eastAsia" w:ascii="宋体" w:hAnsi="宋体" w:eastAsia="宋体" w:cs="宋体"/>
          <w:b/>
          <w:sz w:val="21"/>
          <w:szCs w:val="21"/>
        </w:rPr>
        <w:t>二、</w:t>
      </w:r>
      <w:r>
        <w:rPr>
          <w:rFonts w:hint="eastAsia" w:ascii="宋体" w:hAnsi="宋体" w:eastAsia="宋体" w:cs="宋体"/>
          <w:b/>
          <w:kern w:val="2"/>
          <w:sz w:val="21"/>
          <w:szCs w:val="21"/>
          <w:lang w:val="en-US" w:eastAsia="zh-CN" w:bidi="ar-SA"/>
        </w:rPr>
        <w:t>施工范围、时间、合同价格及支付方式</w:t>
      </w:r>
    </w:p>
    <w:p w14:paraId="1E79EF50">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sz w:val="21"/>
          <w:szCs w:val="21"/>
          <w:u w:val="none"/>
          <w:lang w:eastAsia="zh-CN"/>
        </w:rPr>
      </w:pPr>
      <w:r>
        <w:rPr>
          <w:rFonts w:hint="eastAsia" w:ascii="宋体" w:hAnsi="宋体" w:eastAsia="宋体" w:cs="宋体"/>
          <w:sz w:val="21"/>
          <w:szCs w:val="21"/>
        </w:rPr>
        <w:t>施工范围：</w:t>
      </w:r>
      <w:r>
        <w:rPr>
          <w:rFonts w:hint="eastAsia" w:ascii="宋体" w:hAnsi="宋体" w:eastAsia="宋体" w:cs="宋体"/>
          <w:sz w:val="21"/>
          <w:szCs w:val="21"/>
          <w:u w:val="none"/>
        </w:rPr>
        <w:t xml:space="preserve"> </w:t>
      </w:r>
      <w:r>
        <w:rPr>
          <w:rFonts w:hint="eastAsia" w:ascii="宋体" w:hAnsi="宋体" w:cs="宋体"/>
          <w:sz w:val="21"/>
          <w:szCs w:val="21"/>
          <w:u w:val="none"/>
          <w:lang w:val="en-US" w:eastAsia="zh-CN"/>
        </w:rPr>
        <w:t>招贤镇全域</w:t>
      </w:r>
      <w:r>
        <w:rPr>
          <w:rFonts w:hint="eastAsia" w:ascii="宋体" w:hAnsi="宋体" w:eastAsia="宋体" w:cs="宋体"/>
          <w:sz w:val="21"/>
          <w:szCs w:val="21"/>
          <w:u w:val="none"/>
          <w:lang w:eastAsia="zh-CN"/>
        </w:rPr>
        <w:t>。</w:t>
      </w:r>
    </w:p>
    <w:p w14:paraId="595BECCC">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 xml:space="preserve">施工面积： </w:t>
      </w:r>
    </w:p>
    <w:p w14:paraId="0DCB2025">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outlineLvl w:val="9"/>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lang w:eastAsia="zh-CN"/>
        </w:rPr>
        <w:t>疫木清理除治服务期</w:t>
      </w:r>
      <w:r>
        <w:rPr>
          <w:rFonts w:hint="eastAsia" w:ascii="宋体" w:hAnsi="宋体" w:eastAsia="宋体" w:cs="宋体"/>
          <w:color w:val="auto"/>
          <w:sz w:val="21"/>
          <w:szCs w:val="21"/>
          <w:lang w:eastAsia="zh-CN"/>
        </w:rPr>
        <w:t>：</w:t>
      </w:r>
      <w:r>
        <w:rPr>
          <w:rFonts w:hint="eastAsia" w:ascii="宋体" w:hAnsi="宋体" w:cs="宋体"/>
          <w:b/>
          <w:bCs/>
          <w:color w:val="auto"/>
          <w:szCs w:val="21"/>
          <w:highlight w:val="none"/>
          <w:lang w:eastAsia="zh-CN"/>
        </w:rPr>
        <w:t>自合同签订之日起</w:t>
      </w:r>
      <w:r>
        <w:rPr>
          <w:rFonts w:hint="eastAsia" w:ascii="宋体" w:hAnsi="宋体" w:cs="宋体"/>
          <w:b/>
          <w:bCs/>
          <w:color w:val="auto"/>
          <w:szCs w:val="21"/>
          <w:highlight w:val="none"/>
        </w:rPr>
        <w:t>至202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年</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月</w:t>
      </w:r>
      <w:r>
        <w:rPr>
          <w:rFonts w:hint="eastAsia" w:ascii="宋体" w:hAnsi="宋体" w:cs="宋体"/>
          <w:b/>
          <w:bCs/>
          <w:color w:val="auto"/>
          <w:szCs w:val="21"/>
          <w:highlight w:val="none"/>
          <w:lang w:val="en-US" w:eastAsia="zh-CN"/>
        </w:rPr>
        <w:t>30</w:t>
      </w:r>
      <w:r>
        <w:rPr>
          <w:rFonts w:hint="eastAsia" w:ascii="宋体" w:hAnsi="宋体" w:cs="宋体"/>
          <w:b/>
          <w:bCs/>
          <w:color w:val="auto"/>
          <w:szCs w:val="21"/>
          <w:highlight w:val="none"/>
        </w:rPr>
        <w:t>日</w:t>
      </w:r>
      <w:r>
        <w:rPr>
          <w:rFonts w:hint="eastAsia" w:ascii="宋体" w:hAnsi="宋体" w:eastAsia="宋体" w:cs="宋体"/>
          <w:color w:val="auto"/>
          <w:sz w:val="21"/>
          <w:szCs w:val="21"/>
          <w:highlight w:val="none"/>
          <w:u w:val="none"/>
          <w:lang w:val="en-US" w:eastAsia="zh-CN"/>
        </w:rPr>
        <w:t>。</w:t>
      </w:r>
    </w:p>
    <w:p w14:paraId="7F61496E">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除治</w:t>
      </w:r>
      <w:r>
        <w:rPr>
          <w:rFonts w:hint="eastAsia" w:ascii="宋体" w:hAnsi="宋体" w:eastAsia="宋体" w:cs="宋体"/>
          <w:color w:val="auto"/>
          <w:sz w:val="21"/>
          <w:szCs w:val="21"/>
          <w:highlight w:val="none"/>
        </w:rPr>
        <w:t>对象：</w:t>
      </w:r>
      <w:r>
        <w:rPr>
          <w:rFonts w:hint="eastAsia" w:ascii="宋体" w:hAnsi="宋体" w:cs="宋体"/>
          <w:color w:val="auto"/>
          <w:sz w:val="21"/>
          <w:szCs w:val="21"/>
          <w:highlight w:val="none"/>
          <w:lang w:eastAsia="zh-CN"/>
        </w:rPr>
        <w:t>服务期内</w:t>
      </w:r>
      <w:r>
        <w:rPr>
          <w:rFonts w:hint="eastAsia" w:ascii="宋体" w:hAnsi="宋体" w:eastAsia="宋体" w:cs="宋体"/>
          <w:color w:val="auto"/>
          <w:sz w:val="21"/>
          <w:szCs w:val="21"/>
          <w:highlight w:val="none"/>
          <w:lang w:val="en-US" w:eastAsia="zh-CN"/>
        </w:rPr>
        <w:t>除治</w:t>
      </w:r>
      <w:r>
        <w:rPr>
          <w:rFonts w:hint="eastAsia" w:ascii="宋体" w:hAnsi="宋体" w:eastAsia="宋体" w:cs="宋体"/>
          <w:color w:val="auto"/>
          <w:sz w:val="21"/>
          <w:szCs w:val="21"/>
          <w:highlight w:val="none"/>
          <w:lang w:eastAsia="zh-CN"/>
        </w:rPr>
        <w:t>阶段，</w:t>
      </w:r>
      <w:r>
        <w:rPr>
          <w:rFonts w:hint="eastAsia" w:ascii="宋体" w:hAnsi="宋体" w:eastAsia="宋体" w:cs="宋体"/>
          <w:color w:val="auto"/>
          <w:sz w:val="21"/>
          <w:szCs w:val="21"/>
          <w:highlight w:val="none"/>
        </w:rPr>
        <w:t>施工范围内所有</w:t>
      </w:r>
      <w:bookmarkStart w:id="71" w:name="_Hlk112940484"/>
      <w:r>
        <w:rPr>
          <w:rFonts w:hint="eastAsia" w:ascii="宋体" w:hAnsi="宋体" w:eastAsia="宋体" w:cs="宋体"/>
          <w:color w:val="auto"/>
          <w:spacing w:val="0"/>
          <w:sz w:val="21"/>
          <w:szCs w:val="21"/>
          <w:highlight w:val="none"/>
        </w:rPr>
        <w:t>病死（病死、不明原因枯死、濒死）</w:t>
      </w:r>
      <w:bookmarkEnd w:id="71"/>
      <w:r>
        <w:rPr>
          <w:rFonts w:hint="eastAsia" w:ascii="宋体" w:hAnsi="宋体" w:eastAsia="宋体" w:cs="宋体"/>
          <w:color w:val="auto"/>
          <w:spacing w:val="0"/>
          <w:sz w:val="21"/>
          <w:szCs w:val="21"/>
          <w:highlight w:val="none"/>
        </w:rPr>
        <w:t>和其他原因（确认由干旱、风折、雪压、环剥等）</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松树，除治其主干、</w:t>
      </w:r>
      <w:r>
        <w:rPr>
          <w:rFonts w:hint="eastAsia" w:ascii="宋体" w:hAnsi="宋体" w:eastAsia="宋体" w:cs="宋体"/>
          <w:color w:val="auto"/>
          <w:sz w:val="21"/>
          <w:szCs w:val="21"/>
          <w:highlight w:val="none"/>
          <w:lang w:eastAsia="zh-CN"/>
        </w:rPr>
        <w:t>枝桠</w:t>
      </w:r>
      <w:r>
        <w:rPr>
          <w:rFonts w:hint="eastAsia" w:ascii="宋体" w:hAnsi="宋体" w:eastAsia="宋体" w:cs="宋体"/>
          <w:color w:val="auto"/>
          <w:sz w:val="21"/>
          <w:szCs w:val="21"/>
          <w:highlight w:val="none"/>
          <w:lang w:val="en-US" w:eastAsia="zh-CN"/>
        </w:rPr>
        <w:t>和伐桩</w:t>
      </w:r>
      <w:r>
        <w:rPr>
          <w:rFonts w:hint="eastAsia" w:ascii="宋体" w:hAnsi="宋体" w:eastAsia="宋体" w:cs="宋体"/>
          <w:color w:val="auto"/>
          <w:sz w:val="21"/>
          <w:szCs w:val="21"/>
          <w:highlight w:val="none"/>
          <w:lang w:eastAsia="zh-CN"/>
        </w:rPr>
        <w:t>。</w:t>
      </w:r>
    </w:p>
    <w:p w14:paraId="7492137D">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eastAsia="zh-CN"/>
        </w:rPr>
        <w:t>价格：除治单价</w:t>
      </w:r>
      <w:r>
        <w:rPr>
          <w:rFonts w:hint="eastAsia" w:ascii="宋体" w:hAnsi="宋体" w:eastAsia="宋体" w:cs="宋体"/>
          <w:color w:val="auto"/>
          <w:sz w:val="21"/>
          <w:szCs w:val="21"/>
          <w:highlight w:val="none"/>
          <w:u w:val="none"/>
          <w:lang w:val="en-US" w:eastAsia="zh-CN"/>
        </w:rPr>
        <w:t>xxx</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val="en-US" w:eastAsia="zh-CN"/>
        </w:rPr>
        <w:t>/吨，除治总重量xx吨（包括枯死松木主干和枝桠重量），除治总价xx万元</w:t>
      </w:r>
      <w:r>
        <w:rPr>
          <w:rFonts w:hint="eastAsia" w:ascii="宋体" w:hAnsi="宋体" w:eastAsia="宋体" w:cs="宋体"/>
          <w:color w:val="auto"/>
          <w:sz w:val="21"/>
          <w:szCs w:val="21"/>
          <w:highlight w:val="none"/>
        </w:rPr>
        <w:t>。</w:t>
      </w:r>
      <w:r>
        <w:rPr>
          <w:rFonts w:hint="eastAsia" w:ascii="宋体" w:hAnsi="宋体" w:eastAsia="宋体" w:cs="宋体"/>
          <w:spacing w:val="8"/>
          <w:kern w:val="0"/>
          <w:sz w:val="21"/>
          <w:szCs w:val="21"/>
          <w:highlight w:val="none"/>
        </w:rPr>
        <w:t>清理单价包括采伐、造材、伐桩处理、枝桠处理、人工搬</w:t>
      </w:r>
      <w:r>
        <w:rPr>
          <w:rFonts w:hint="eastAsia" w:ascii="宋体" w:hAnsi="宋体" w:eastAsia="宋体" w:cs="宋体"/>
          <w:spacing w:val="8"/>
          <w:kern w:val="0"/>
          <w:sz w:val="21"/>
          <w:szCs w:val="21"/>
        </w:rPr>
        <w:t>运、运输、安全（保险）等费用，</w:t>
      </w:r>
      <w:r>
        <w:rPr>
          <w:rFonts w:hint="eastAsia" w:ascii="宋体" w:hAnsi="宋体" w:eastAsia="宋体" w:cs="宋体"/>
          <w:color w:val="auto"/>
          <w:sz w:val="21"/>
          <w:szCs w:val="21"/>
        </w:rPr>
        <w:t>技术资料、调查费用、人员管理、保险费用、税费等，涉及到本项目所有相关费用（包括开具履约保证金、农民工工资保证金等费用）均包含在投标报价中。</w:t>
      </w:r>
    </w:p>
    <w:p w14:paraId="311942FC">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称重计量：根据</w:t>
      </w:r>
      <w:r>
        <w:rPr>
          <w:rFonts w:hint="eastAsia" w:ascii="宋体" w:hAnsi="宋体" w:eastAsia="宋体" w:cs="宋体"/>
          <w:sz w:val="21"/>
          <w:szCs w:val="21"/>
          <w:lang w:eastAsia="zh-CN"/>
        </w:rPr>
        <w:t>实际过磅</w:t>
      </w:r>
      <w:r>
        <w:rPr>
          <w:rFonts w:hint="eastAsia" w:ascii="宋体" w:hAnsi="宋体" w:eastAsia="宋体" w:cs="宋体"/>
          <w:sz w:val="21"/>
          <w:szCs w:val="21"/>
        </w:rPr>
        <w:t>枯</w:t>
      </w:r>
      <w:r>
        <w:rPr>
          <w:rFonts w:hint="eastAsia" w:ascii="宋体" w:hAnsi="宋体" w:eastAsia="宋体" w:cs="宋体"/>
          <w:sz w:val="21"/>
          <w:szCs w:val="21"/>
          <w:lang w:eastAsia="zh-CN"/>
        </w:rPr>
        <w:t>枯</w:t>
      </w:r>
      <w:r>
        <w:rPr>
          <w:rFonts w:hint="eastAsia" w:ascii="宋体" w:hAnsi="宋体" w:eastAsia="宋体" w:cs="宋体"/>
          <w:sz w:val="21"/>
          <w:szCs w:val="21"/>
        </w:rPr>
        <w:t>死松树总重量</w:t>
      </w:r>
      <w:r>
        <w:rPr>
          <w:rFonts w:hint="eastAsia" w:ascii="宋体" w:hAnsi="宋体" w:eastAsia="宋体" w:cs="宋体"/>
          <w:sz w:val="21"/>
          <w:szCs w:val="21"/>
          <w:lang w:eastAsia="zh-CN"/>
        </w:rPr>
        <w:t>（不高于合同总价）</w:t>
      </w:r>
      <w:r>
        <w:rPr>
          <w:rFonts w:hint="eastAsia" w:ascii="宋体" w:hAnsi="宋体" w:eastAsia="宋体" w:cs="宋体"/>
          <w:sz w:val="21"/>
          <w:szCs w:val="21"/>
        </w:rPr>
        <w:t>计算实价。</w:t>
      </w:r>
    </w:p>
    <w:p w14:paraId="5B5B3588">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cs="宋体"/>
          <w:szCs w:val="21"/>
        </w:rPr>
      </w:pPr>
      <w:r>
        <w:rPr>
          <w:rFonts w:hint="eastAsia" w:ascii="宋体" w:hAnsi="宋体" w:eastAsia="宋体" w:cs="宋体"/>
          <w:sz w:val="21"/>
          <w:szCs w:val="21"/>
          <w:lang w:eastAsia="zh-CN"/>
        </w:rPr>
        <w:t>疫木收购</w:t>
      </w:r>
      <w:r>
        <w:rPr>
          <w:rFonts w:hint="eastAsia" w:ascii="宋体" w:hAnsi="宋体" w:eastAsia="宋体" w:cs="宋体"/>
          <w:kern w:val="0"/>
          <w:sz w:val="21"/>
          <w:szCs w:val="21"/>
          <w:lang w:eastAsia="zh-CN"/>
        </w:rPr>
        <w:t>款：</w:t>
      </w:r>
      <w:r>
        <w:rPr>
          <w:rFonts w:hint="eastAsia" w:ascii="宋体" w:hAnsi="宋体" w:eastAsia="宋体" w:cs="宋体"/>
          <w:color w:val="auto"/>
          <w:kern w:val="0"/>
          <w:sz w:val="21"/>
          <w:szCs w:val="21"/>
          <w:lang w:val="en-US" w:eastAsia="zh-CN"/>
        </w:rPr>
        <w:t>定点疫木加工企业收购</w:t>
      </w:r>
      <w:r>
        <w:rPr>
          <w:rFonts w:hint="eastAsia" w:ascii="宋体" w:hAnsi="宋体" w:eastAsia="宋体" w:cs="宋体"/>
          <w:color w:val="auto"/>
          <w:kern w:val="0"/>
          <w:sz w:val="21"/>
          <w:szCs w:val="21"/>
          <w:lang w:eastAsia="zh-CN"/>
        </w:rPr>
        <w:t>疫木</w:t>
      </w:r>
      <w:r>
        <w:rPr>
          <w:rFonts w:hint="eastAsia" w:ascii="宋体" w:hAnsi="宋体" w:eastAsia="宋体" w:cs="宋体"/>
          <w:color w:val="auto"/>
          <w:kern w:val="0"/>
          <w:sz w:val="21"/>
          <w:szCs w:val="21"/>
          <w:lang w:val="en-US" w:eastAsia="zh-CN"/>
        </w:rPr>
        <w:t>所得</w:t>
      </w:r>
      <w:r>
        <w:rPr>
          <w:rFonts w:hint="eastAsia" w:ascii="宋体" w:hAnsi="宋体" w:eastAsia="宋体" w:cs="宋体"/>
          <w:color w:val="auto"/>
          <w:kern w:val="0"/>
          <w:sz w:val="21"/>
          <w:szCs w:val="21"/>
          <w:u w:val="none"/>
          <w:lang w:val="en-US" w:eastAsia="zh-CN"/>
        </w:rPr>
        <w:t>款项由甲方统一与</w:t>
      </w:r>
      <w:r>
        <w:rPr>
          <w:rFonts w:hint="eastAsia" w:ascii="宋体" w:hAnsi="宋体" w:eastAsia="宋体" w:cs="宋体"/>
          <w:color w:val="auto"/>
          <w:kern w:val="0"/>
          <w:sz w:val="21"/>
          <w:szCs w:val="21"/>
          <w:lang w:val="en-US" w:eastAsia="zh-CN"/>
        </w:rPr>
        <w:t>定点疫木加工厂</w:t>
      </w:r>
      <w:r>
        <w:rPr>
          <w:rFonts w:hint="eastAsia" w:ascii="宋体" w:hAnsi="宋体" w:eastAsia="宋体" w:cs="宋体"/>
          <w:color w:val="auto"/>
          <w:kern w:val="0"/>
          <w:sz w:val="21"/>
          <w:szCs w:val="21"/>
          <w:u w:val="none"/>
          <w:lang w:val="en-US" w:eastAsia="zh-CN"/>
        </w:rPr>
        <w:t>结算，</w:t>
      </w:r>
      <w:r>
        <w:rPr>
          <w:rFonts w:hint="eastAsia" w:ascii="宋体" w:hAnsi="宋体" w:eastAsia="宋体" w:cs="宋体"/>
          <w:color w:val="auto"/>
          <w:spacing w:val="0"/>
          <w:kern w:val="0"/>
          <w:sz w:val="21"/>
          <w:szCs w:val="21"/>
          <w:lang w:eastAsia="zh-CN"/>
        </w:rPr>
        <w:t>用于支付除治费用或上交财政</w:t>
      </w:r>
      <w:r>
        <w:rPr>
          <w:rFonts w:hint="eastAsia" w:ascii="宋体" w:hAnsi="宋体" w:eastAsia="宋体" w:cs="宋体"/>
          <w:color w:val="auto"/>
          <w:kern w:val="0"/>
          <w:sz w:val="21"/>
          <w:szCs w:val="21"/>
          <w:u w:val="none"/>
          <w:lang w:val="en-US" w:eastAsia="zh-CN"/>
        </w:rPr>
        <w:t>。</w:t>
      </w:r>
    </w:p>
    <w:p w14:paraId="1EBC4980">
      <w:pPr>
        <w:pStyle w:val="8"/>
        <w:keepNext w:val="0"/>
        <w:keepLines w:val="0"/>
        <w:pageBreakBefore w:val="0"/>
        <w:kinsoku/>
        <w:wordWrap/>
        <w:overflowPunct/>
        <w:topLinePunct w:val="0"/>
        <w:autoSpaceDE/>
        <w:autoSpaceDN/>
        <w:bidi w:val="0"/>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其他承包方式：</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3D1C9B86">
      <w:pPr>
        <w:keepNext w:val="0"/>
        <w:keepLines w:val="0"/>
        <w:pageBreakBefore w:val="0"/>
        <w:numPr>
          <w:ilvl w:val="0"/>
          <w:numId w:val="0"/>
        </w:numPr>
        <w:kinsoku/>
        <w:wordWrap/>
        <w:overflowPunct/>
        <w:topLinePunct w:val="0"/>
        <w:autoSpaceDE/>
        <w:autoSpaceDN/>
        <w:bidi w:val="0"/>
        <w:adjustRightInd/>
        <w:snapToGrid/>
        <w:spacing w:line="56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eastAsia="zh-CN"/>
        </w:rPr>
        <w:t>三、</w:t>
      </w:r>
      <w:r>
        <w:rPr>
          <w:rFonts w:hint="eastAsia" w:ascii="宋体" w:hAnsi="宋体" w:eastAsia="宋体" w:cs="宋体"/>
          <w:b/>
          <w:sz w:val="21"/>
          <w:szCs w:val="21"/>
        </w:rPr>
        <w:t>支付方式</w:t>
      </w:r>
    </w:p>
    <w:p w14:paraId="79FEE78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30日</w:t>
      </w:r>
      <w:r>
        <w:rPr>
          <w:rFonts w:hint="eastAsia" w:ascii="宋体" w:hAnsi="宋体" w:eastAsia="宋体" w:cs="宋体"/>
          <w:color w:val="auto"/>
          <w:sz w:val="21"/>
          <w:szCs w:val="21"/>
          <w:highlight w:val="none"/>
        </w:rPr>
        <w:t>完成</w:t>
      </w:r>
      <w:r>
        <w:rPr>
          <w:rFonts w:hint="eastAsia" w:ascii="宋体" w:hAnsi="宋体" w:cs="宋体"/>
          <w:color w:val="auto"/>
          <w:sz w:val="21"/>
          <w:szCs w:val="21"/>
          <w:highlight w:val="none"/>
          <w:lang w:eastAsia="zh-CN"/>
        </w:rPr>
        <w:t>清理</w:t>
      </w:r>
      <w:r>
        <w:rPr>
          <w:rFonts w:hint="eastAsia" w:ascii="宋体" w:hAnsi="宋体" w:eastAsia="宋体" w:cs="宋体"/>
          <w:color w:val="auto"/>
          <w:sz w:val="21"/>
          <w:szCs w:val="21"/>
          <w:highlight w:val="none"/>
        </w:rPr>
        <w:t>工作，</w:t>
      </w:r>
      <w:r>
        <w:rPr>
          <w:rFonts w:hint="eastAsia" w:ascii="宋体" w:hAnsi="宋体" w:eastAsia="宋体" w:cs="宋体"/>
          <w:color w:val="auto"/>
          <w:sz w:val="21"/>
          <w:szCs w:val="21"/>
          <w:highlight w:val="none"/>
          <w:lang w:eastAsia="zh-CN"/>
        </w:rPr>
        <w:t>经</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lang w:eastAsia="zh-CN"/>
        </w:rPr>
        <w:t>和县级</w:t>
      </w:r>
      <w:r>
        <w:rPr>
          <w:rFonts w:hint="eastAsia" w:ascii="宋体" w:hAnsi="宋体" w:eastAsia="宋体" w:cs="宋体"/>
          <w:color w:val="auto"/>
          <w:sz w:val="21"/>
          <w:szCs w:val="21"/>
          <w:highlight w:val="none"/>
        </w:rPr>
        <w:t>验收</w:t>
      </w:r>
      <w:r>
        <w:rPr>
          <w:rFonts w:hint="eastAsia" w:ascii="宋体" w:hAnsi="宋体" w:cs="宋体"/>
          <w:color w:val="auto"/>
          <w:sz w:val="21"/>
          <w:szCs w:val="21"/>
          <w:highlight w:val="none"/>
          <w:lang w:eastAsia="zh-CN"/>
        </w:rPr>
        <w:t>合格</w:t>
      </w:r>
      <w:r>
        <w:rPr>
          <w:rFonts w:hint="eastAsia" w:ascii="宋体" w:hAnsi="宋体" w:eastAsia="宋体" w:cs="宋体"/>
          <w:color w:val="auto"/>
          <w:sz w:val="21"/>
          <w:szCs w:val="21"/>
          <w:highlight w:val="none"/>
        </w:rPr>
        <w:t>后</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支付</w:t>
      </w:r>
      <w:r>
        <w:rPr>
          <w:rFonts w:hint="eastAsia" w:ascii="宋体" w:hAnsi="宋体" w:cs="宋体"/>
          <w:color w:val="auto"/>
          <w:sz w:val="21"/>
          <w:szCs w:val="21"/>
          <w:highlight w:val="none"/>
          <w:lang w:eastAsia="zh-CN"/>
        </w:rPr>
        <w:t>实际完成清理的</w:t>
      </w:r>
      <w:r>
        <w:rPr>
          <w:rFonts w:hint="eastAsia" w:ascii="宋体" w:hAnsi="宋体" w:eastAsia="宋体" w:cs="宋体"/>
          <w:color w:val="auto"/>
          <w:sz w:val="21"/>
          <w:szCs w:val="21"/>
          <w:highlight w:val="none"/>
        </w:rPr>
        <w:t>费用</w:t>
      </w:r>
      <w:r>
        <w:rPr>
          <w:rFonts w:hint="default" w:eastAsia="宋体"/>
          <w:color w:val="auto"/>
          <w:highlight w:val="none"/>
          <w:lang w:val="en-US" w:eastAsia="zh-CN"/>
        </w:rPr>
        <w:t>。</w:t>
      </w:r>
      <w:r>
        <w:rPr>
          <w:rFonts w:hint="eastAsia"/>
          <w:color w:val="auto"/>
          <w:highlight w:val="none"/>
          <w:lang w:val="en-US" w:eastAsia="zh-CN"/>
        </w:rPr>
        <w:t>结算方式：</w:t>
      </w:r>
      <w:r>
        <w:rPr>
          <w:rFonts w:hint="eastAsia" w:ascii="宋体" w:hAnsi="宋体" w:cs="宋体"/>
          <w:color w:val="auto"/>
          <w:szCs w:val="21"/>
          <w:highlight w:val="none"/>
        </w:rPr>
        <w:t>中标单价乘以实际清理数量</w:t>
      </w:r>
      <w:r>
        <w:rPr>
          <w:rFonts w:hint="eastAsia" w:ascii="宋体" w:hAnsi="宋体" w:cs="宋体"/>
          <w:color w:val="auto"/>
          <w:szCs w:val="21"/>
          <w:highlight w:val="none"/>
          <w:lang w:eastAsia="zh-CN"/>
        </w:rPr>
        <w:t>（吨）</w:t>
      </w:r>
      <w:r>
        <w:rPr>
          <w:rFonts w:hint="default" w:ascii="宋体" w:hAnsi="宋体" w:cs="宋体"/>
          <w:color w:val="auto"/>
          <w:szCs w:val="21"/>
          <w:highlight w:val="none"/>
          <w:lang w:val="en-US" w:eastAsia="zh-CN"/>
        </w:rPr>
        <w:t>。</w:t>
      </w:r>
      <w:r>
        <w:rPr>
          <w:rFonts w:hint="eastAsia" w:ascii="宋体" w:hAnsi="宋体" w:cs="宋体"/>
          <w:color w:val="auto"/>
          <w:szCs w:val="21"/>
          <w:highlight w:val="none"/>
        </w:rPr>
        <w:t xml:space="preserve"> </w:t>
      </w:r>
      <w:r>
        <w:rPr>
          <w:rFonts w:hint="eastAsia" w:ascii="宋体" w:hAnsi="宋体" w:eastAsia="宋体" w:cs="宋体"/>
          <w:color w:val="auto"/>
          <w:kern w:val="2"/>
          <w:sz w:val="21"/>
          <w:szCs w:val="21"/>
          <w:highlight w:val="none"/>
        </w:rPr>
        <w:t xml:space="preserve"> </w:t>
      </w:r>
    </w:p>
    <w:p w14:paraId="6DCE04BB">
      <w:pPr>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四</w:t>
      </w:r>
      <w:r>
        <w:rPr>
          <w:rFonts w:hint="eastAsia" w:ascii="宋体" w:hAnsi="宋体" w:eastAsia="宋体" w:cs="宋体"/>
          <w:b w:val="0"/>
          <w:color w:val="auto"/>
          <w:sz w:val="21"/>
          <w:szCs w:val="21"/>
          <w:highlight w:val="none"/>
        </w:rPr>
        <w:t>、技术规程要求</w:t>
      </w:r>
    </w:p>
    <w:p w14:paraId="1D5502C4">
      <w:pPr>
        <w:pStyle w:val="115"/>
        <w:keepNext w:val="0"/>
        <w:keepLines w:val="0"/>
        <w:pageBreakBefore w:val="0"/>
        <w:widowControl/>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b w:val="0"/>
          <w:color w:val="auto"/>
          <w:kern w:val="0"/>
          <w:sz w:val="21"/>
          <w:szCs w:val="21"/>
          <w:highlight w:val="none"/>
          <w:lang w:val="en-US"/>
        </w:rPr>
      </w:pPr>
      <w:r>
        <w:rPr>
          <w:rFonts w:hint="eastAsia" w:ascii="宋体" w:hAnsi="宋体" w:eastAsia="宋体" w:cs="宋体"/>
          <w:color w:val="auto"/>
          <w:kern w:val="0"/>
          <w:sz w:val="21"/>
          <w:szCs w:val="21"/>
          <w:highlight w:val="none"/>
        </w:rPr>
        <w:t>严格执行《松材线虫病防治技术方案（2022年版）》相关规定</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采伐的每株枯死木需拍照上传省“数字森防”系统，每株上传3张清理照片，包含“清理前立木+胸径测量照片+伐桩测量照片”。</w:t>
      </w:r>
    </w:p>
    <w:p w14:paraId="24408336">
      <w:pPr>
        <w:pStyle w:val="115"/>
        <w:keepNext w:val="0"/>
        <w:keepLines w:val="0"/>
        <w:pageBreakBefore w:val="0"/>
        <w:widowControl/>
        <w:kinsoku/>
        <w:wordWrap/>
        <w:overflowPunct/>
        <w:topLinePunct w:val="0"/>
        <w:autoSpaceDE/>
        <w:autoSpaceDN/>
        <w:bidi w:val="0"/>
        <w:adjustRightInd/>
        <w:snapToGrid/>
        <w:spacing w:line="5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rPr>
        <w:t>1.伐桩</w:t>
      </w:r>
      <w:r>
        <w:rPr>
          <w:rFonts w:hint="eastAsia" w:ascii="宋体" w:hAnsi="宋体" w:eastAsia="宋体" w:cs="宋体"/>
          <w:sz w:val="21"/>
          <w:szCs w:val="21"/>
          <w:highlight w:val="none"/>
          <w:lang w:val="en-US" w:eastAsia="zh-CN"/>
        </w:rPr>
        <w:t>处理</w:t>
      </w:r>
      <w:r>
        <w:rPr>
          <w:rFonts w:hint="eastAsia" w:ascii="宋体" w:hAnsi="宋体" w:eastAsia="宋体" w:cs="宋体"/>
          <w:sz w:val="21"/>
          <w:szCs w:val="21"/>
          <w:highlight w:val="none"/>
        </w:rPr>
        <w:t>：对疫木伐除后，伐桩</w:t>
      </w:r>
      <w:r>
        <w:rPr>
          <w:rFonts w:hint="eastAsia" w:ascii="宋体" w:hAnsi="宋体" w:eastAsia="宋体" w:cs="宋体"/>
          <w:sz w:val="21"/>
          <w:szCs w:val="21"/>
          <w:highlight w:val="none"/>
          <w:lang w:val="en-US" w:eastAsia="zh-CN"/>
        </w:rPr>
        <w:t>最高处</w:t>
      </w:r>
      <w:r>
        <w:rPr>
          <w:rFonts w:hint="eastAsia" w:ascii="宋体" w:hAnsi="宋体" w:eastAsia="宋体" w:cs="宋体"/>
          <w:sz w:val="21"/>
          <w:szCs w:val="21"/>
          <w:highlight w:val="none"/>
        </w:rPr>
        <w:t>上坡度面</w:t>
      </w:r>
      <w:r>
        <w:rPr>
          <w:rFonts w:hint="eastAsia" w:ascii="宋体" w:hAnsi="宋体" w:eastAsia="宋体" w:cs="宋体"/>
          <w:sz w:val="21"/>
          <w:szCs w:val="21"/>
        </w:rPr>
        <w:t>的高度不得超过5cm。</w:t>
      </w:r>
    </w:p>
    <w:p w14:paraId="1856FCE6">
      <w:pPr>
        <w:pStyle w:val="115"/>
        <w:keepNext w:val="0"/>
        <w:keepLines w:val="0"/>
        <w:pageBreakBefore w:val="0"/>
        <w:widowControl/>
        <w:kinsoku/>
        <w:wordWrap/>
        <w:overflowPunct/>
        <w:topLinePunct w:val="0"/>
        <w:autoSpaceDE/>
        <w:autoSpaceDN/>
        <w:bidi w:val="0"/>
        <w:adjustRightInd/>
        <w:snapToGrid/>
        <w:spacing w:line="56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主干、</w:t>
      </w:r>
      <w:r>
        <w:rPr>
          <w:rFonts w:hint="eastAsia" w:ascii="宋体" w:hAnsi="宋体" w:eastAsia="宋体" w:cs="宋体"/>
          <w:sz w:val="21"/>
          <w:szCs w:val="21"/>
        </w:rPr>
        <w:t>枝桠处理：除治山场范围内，</w:t>
      </w:r>
      <w:r>
        <w:rPr>
          <w:rFonts w:hint="eastAsia" w:ascii="宋体" w:hAnsi="宋体" w:eastAsia="宋体" w:cs="宋体"/>
          <w:color w:val="auto"/>
          <w:kern w:val="2"/>
          <w:sz w:val="21"/>
          <w:szCs w:val="21"/>
          <w:lang w:val="en-US" w:eastAsia="zh-CN" w:bidi="ar-SA"/>
        </w:rPr>
        <w:t>伐除的疫木</w:t>
      </w:r>
      <w:r>
        <w:rPr>
          <w:rFonts w:hint="eastAsia" w:ascii="宋体" w:hAnsi="宋体" w:eastAsia="宋体" w:cs="宋体"/>
          <w:color w:val="auto"/>
          <w:sz w:val="21"/>
          <w:szCs w:val="21"/>
          <w:lang w:eastAsia="zh-CN"/>
        </w:rPr>
        <w:t>主干和</w:t>
      </w:r>
      <w:r>
        <w:rPr>
          <w:rFonts w:hint="eastAsia" w:ascii="宋体" w:hAnsi="宋体" w:eastAsia="宋体" w:cs="宋体"/>
          <w:sz w:val="21"/>
          <w:szCs w:val="21"/>
        </w:rPr>
        <w:t>所有直径大于1cm的</w:t>
      </w:r>
      <w:r>
        <w:rPr>
          <w:rFonts w:hint="eastAsia" w:ascii="宋体" w:hAnsi="宋体" w:eastAsia="宋体" w:cs="宋体"/>
          <w:sz w:val="21"/>
          <w:szCs w:val="21"/>
          <w:lang w:eastAsia="zh-CN"/>
        </w:rPr>
        <w:t>疫木</w:t>
      </w:r>
      <w:r>
        <w:rPr>
          <w:rFonts w:hint="eastAsia" w:ascii="宋体" w:hAnsi="宋体" w:eastAsia="宋体" w:cs="宋体"/>
          <w:sz w:val="21"/>
          <w:szCs w:val="21"/>
        </w:rPr>
        <w:t>枝桠</w:t>
      </w:r>
      <w:r>
        <w:rPr>
          <w:rFonts w:hint="eastAsia" w:ascii="宋体" w:hAnsi="宋体" w:eastAsia="宋体" w:cs="宋体"/>
          <w:color w:val="auto"/>
          <w:sz w:val="21"/>
          <w:szCs w:val="21"/>
        </w:rPr>
        <w:t>必须当天下山</w:t>
      </w:r>
      <w:r>
        <w:rPr>
          <w:rFonts w:hint="eastAsia" w:ascii="宋体" w:hAnsi="宋体" w:eastAsia="宋体" w:cs="宋体"/>
          <w:sz w:val="21"/>
          <w:szCs w:val="21"/>
          <w:lang w:eastAsia="zh-CN"/>
        </w:rPr>
        <w:t>，</w:t>
      </w:r>
      <w:r>
        <w:rPr>
          <w:rFonts w:hint="eastAsia" w:ascii="宋体" w:hAnsi="宋体" w:eastAsia="宋体" w:cs="宋体"/>
          <w:color w:val="auto"/>
          <w:sz w:val="21"/>
          <w:szCs w:val="21"/>
        </w:rPr>
        <w:t>运到指定的疫木定点企业进行安全</w:t>
      </w:r>
      <w:r>
        <w:rPr>
          <w:rFonts w:hint="eastAsia" w:ascii="宋体" w:hAnsi="宋体" w:eastAsia="宋体" w:cs="宋体"/>
          <w:color w:val="auto"/>
          <w:sz w:val="21"/>
          <w:szCs w:val="21"/>
          <w:lang w:val="en-US" w:eastAsia="zh-CN"/>
        </w:rPr>
        <w:t>除害</w:t>
      </w:r>
      <w:r>
        <w:rPr>
          <w:rFonts w:hint="eastAsia" w:ascii="宋体" w:hAnsi="宋体" w:eastAsia="宋体" w:cs="宋体"/>
          <w:color w:val="auto"/>
          <w:sz w:val="21"/>
          <w:szCs w:val="21"/>
        </w:rPr>
        <w:t>处理</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加强对</w:t>
      </w:r>
      <w:r>
        <w:rPr>
          <w:rFonts w:hint="eastAsia" w:ascii="宋体" w:hAnsi="宋体" w:eastAsia="宋体" w:cs="宋体"/>
          <w:color w:val="auto"/>
          <w:sz w:val="21"/>
          <w:szCs w:val="21"/>
          <w:lang w:val="en-US" w:eastAsia="zh-CN"/>
        </w:rPr>
        <w:t>疫木</w:t>
      </w:r>
      <w:r>
        <w:rPr>
          <w:rFonts w:hint="eastAsia" w:ascii="宋体" w:hAnsi="宋体" w:eastAsia="宋体" w:cs="宋体"/>
          <w:color w:val="auto"/>
          <w:sz w:val="21"/>
          <w:szCs w:val="21"/>
        </w:rPr>
        <w:t>的监管</w:t>
      </w:r>
      <w:r>
        <w:rPr>
          <w:rFonts w:hint="eastAsia" w:ascii="宋体" w:hAnsi="宋体" w:eastAsia="宋体" w:cs="宋体"/>
          <w:color w:val="auto"/>
          <w:sz w:val="21"/>
          <w:szCs w:val="21"/>
          <w:lang w:eastAsia="zh-CN"/>
        </w:rPr>
        <w:t>，造成疫木人为流失的，按有关法律规定追究相关责任</w:t>
      </w:r>
      <w:r>
        <w:rPr>
          <w:rFonts w:hint="eastAsia" w:ascii="宋体" w:hAnsi="宋体" w:eastAsia="宋体" w:cs="宋体"/>
          <w:color w:val="auto"/>
          <w:sz w:val="21"/>
          <w:szCs w:val="21"/>
        </w:rPr>
        <w:t>。</w:t>
      </w:r>
    </w:p>
    <w:p w14:paraId="60F5EDD7">
      <w:pPr>
        <w:pStyle w:val="115"/>
        <w:keepNext w:val="0"/>
        <w:keepLines w:val="0"/>
        <w:pageBreakBefore w:val="0"/>
        <w:widowControl/>
        <w:kinsoku/>
        <w:wordWrap/>
        <w:overflowPunct/>
        <w:topLinePunct w:val="0"/>
        <w:autoSpaceDE/>
        <w:autoSpaceDN/>
        <w:bidi w:val="0"/>
        <w:adjustRightInd/>
        <w:snapToGrid/>
        <w:spacing w:line="56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3.伐桩标记：在伐桩边的其他树木上绑宽度2cm以上的红色带子，一桩一标记。</w:t>
      </w:r>
    </w:p>
    <w:p w14:paraId="4ED032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outlineLvl w:val="9"/>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lang w:val="en-US" w:eastAsia="zh-CN"/>
        </w:rPr>
        <w:t>4.疫木装车前乙方必须填写好常山县病疫木除害处理联系单（正副联），并通知监管单位人员或护林员到场，在专人监管下过磅称重，联系单（正副联）由到场的监管人员或护林员签字确认</w:t>
      </w:r>
      <w:r>
        <w:rPr>
          <w:rFonts w:hint="eastAsia" w:ascii="宋体" w:hAnsi="宋体" w:eastAsia="宋体" w:cs="宋体"/>
          <w:color w:val="auto"/>
          <w:sz w:val="21"/>
          <w:szCs w:val="21"/>
          <w:u w:val="none"/>
          <w:lang w:eastAsia="zh-CN"/>
        </w:rPr>
        <w:t>，同时做好装车前、装车后、疫木过磅照片记录。</w:t>
      </w:r>
    </w:p>
    <w:p w14:paraId="32EC2E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outlineLvl w:val="9"/>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lang w:val="en-US" w:eastAsia="zh-CN"/>
        </w:rPr>
        <w:t>5.其他：采伐过程中，严禁砍伐活立木</w:t>
      </w:r>
      <w:r>
        <w:rPr>
          <w:rFonts w:hint="eastAsia" w:ascii="宋体" w:hAnsi="宋体" w:eastAsia="宋体" w:cs="宋体"/>
          <w:color w:val="auto"/>
          <w:sz w:val="21"/>
          <w:szCs w:val="21"/>
          <w:u w:val="none"/>
          <w:lang w:val="en-US" w:eastAsia="zh-CN"/>
        </w:rPr>
        <w:t>。</w:t>
      </w:r>
    </w:p>
    <w:p w14:paraId="57AD9475">
      <w:pPr>
        <w:pStyle w:val="115"/>
        <w:keepNext w:val="0"/>
        <w:keepLines w:val="0"/>
        <w:pageBreakBefore w:val="0"/>
        <w:widowControl/>
        <w:kinsoku/>
        <w:wordWrap/>
        <w:overflowPunct/>
        <w:topLinePunct w:val="0"/>
        <w:autoSpaceDE/>
        <w:autoSpaceDN/>
        <w:bidi w:val="0"/>
        <w:adjustRightInd/>
        <w:snapToGrid/>
        <w:spacing w:line="560" w:lineRule="exact"/>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eastAsia="zh-CN"/>
        </w:rPr>
        <w:t>五</w:t>
      </w:r>
      <w:r>
        <w:rPr>
          <w:rFonts w:hint="eastAsia" w:ascii="宋体" w:hAnsi="宋体" w:eastAsia="宋体" w:cs="宋体"/>
          <w:b/>
          <w:sz w:val="21"/>
          <w:szCs w:val="21"/>
        </w:rPr>
        <w:t>、其他事项</w:t>
      </w:r>
    </w:p>
    <w:p w14:paraId="5532D4CE">
      <w:pPr>
        <w:pStyle w:val="115"/>
        <w:keepNext w:val="0"/>
        <w:keepLines w:val="0"/>
        <w:pageBreakBefore w:val="0"/>
        <w:widowControl/>
        <w:kinsoku/>
        <w:wordWrap/>
        <w:overflowPunct/>
        <w:topLinePunct w:val="0"/>
        <w:autoSpaceDE/>
        <w:autoSpaceDN/>
        <w:bidi w:val="0"/>
        <w:adjustRightInd/>
        <w:snapToGrid/>
        <w:spacing w:line="56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1.甲方应维护乙方合法的权利，及时支付合同约定的款项。乙方要服从质量监管单位的工作指导。</w:t>
      </w:r>
    </w:p>
    <w:p w14:paraId="26129F7C">
      <w:pPr>
        <w:pStyle w:val="115"/>
        <w:keepNext w:val="0"/>
        <w:keepLines w:val="0"/>
        <w:pageBreakBefore w:val="0"/>
        <w:widowControl/>
        <w:kinsoku/>
        <w:wordWrap/>
        <w:overflowPunct/>
        <w:topLinePunct w:val="0"/>
        <w:autoSpaceDE/>
        <w:autoSpaceDN/>
        <w:bidi w:val="0"/>
        <w:adjustRightInd/>
        <w:snapToGrid/>
        <w:spacing w:line="5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2</w:t>
      </w:r>
      <w:r>
        <w:rPr>
          <w:rFonts w:hint="eastAsia" w:ascii="宋体" w:hAnsi="宋体" w:eastAsia="宋体" w:cs="宋体"/>
          <w:sz w:val="21"/>
          <w:szCs w:val="21"/>
        </w:rPr>
        <w:t>.乙方在履行合同义务期间，应遵守国家有关法律、法规</w:t>
      </w:r>
      <w:r>
        <w:rPr>
          <w:rFonts w:hint="eastAsia" w:ascii="宋体" w:hAnsi="宋体" w:eastAsia="宋体" w:cs="宋体"/>
          <w:sz w:val="21"/>
          <w:szCs w:val="21"/>
          <w:lang w:eastAsia="zh-CN"/>
        </w:rPr>
        <w:t>，</w:t>
      </w:r>
      <w:r>
        <w:rPr>
          <w:rFonts w:hint="eastAsia" w:ascii="宋体" w:hAnsi="宋体" w:eastAsia="宋体" w:cs="宋体"/>
          <w:sz w:val="21"/>
          <w:szCs w:val="21"/>
        </w:rPr>
        <w:t>维护甲方的合法权益。</w:t>
      </w:r>
      <w:r>
        <w:rPr>
          <w:rFonts w:hint="eastAsia" w:ascii="宋体" w:hAnsi="宋体" w:eastAsia="宋体" w:cs="宋体"/>
          <w:sz w:val="21"/>
          <w:szCs w:val="21"/>
          <w:lang w:eastAsia="zh-CN"/>
        </w:rPr>
        <w:t>确保安全生产，如因乙方违规操作造成的一切后果由乙方自行承担</w:t>
      </w:r>
      <w:r>
        <w:rPr>
          <w:rFonts w:hint="eastAsia" w:ascii="宋体" w:hAnsi="宋体" w:eastAsia="宋体" w:cs="宋体"/>
          <w:sz w:val="21"/>
          <w:szCs w:val="21"/>
        </w:rPr>
        <w:t>。</w:t>
      </w:r>
    </w:p>
    <w:p w14:paraId="5CE0EEF6">
      <w:pPr>
        <w:pStyle w:val="115"/>
        <w:keepNext w:val="0"/>
        <w:keepLines w:val="0"/>
        <w:pageBreakBefore w:val="0"/>
        <w:widowControl/>
        <w:kinsoku/>
        <w:wordWrap/>
        <w:overflowPunct/>
        <w:topLinePunct w:val="0"/>
        <w:autoSpaceDE/>
        <w:autoSpaceDN/>
        <w:bidi w:val="0"/>
        <w:adjustRightInd/>
        <w:snapToGrid/>
        <w:spacing w:line="5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3</w:t>
      </w:r>
      <w:r>
        <w:rPr>
          <w:rFonts w:hint="eastAsia" w:ascii="宋体" w:hAnsi="宋体" w:eastAsia="宋体" w:cs="宋体"/>
          <w:sz w:val="21"/>
          <w:szCs w:val="21"/>
        </w:rPr>
        <w:t>.乙方应组建能够</w:t>
      </w:r>
      <w:r>
        <w:rPr>
          <w:rFonts w:hint="eastAsia" w:ascii="宋体" w:hAnsi="宋体" w:eastAsia="宋体" w:cs="宋体"/>
          <w:sz w:val="21"/>
          <w:szCs w:val="21"/>
          <w:lang w:eastAsia="zh-CN"/>
        </w:rPr>
        <w:t>完成合同要求的疫木除治工作</w:t>
      </w:r>
      <w:r>
        <w:rPr>
          <w:rFonts w:hint="eastAsia" w:ascii="宋体" w:hAnsi="宋体" w:eastAsia="宋体" w:cs="宋体"/>
          <w:sz w:val="21"/>
          <w:szCs w:val="21"/>
        </w:rPr>
        <w:t>需要的队伍，</w:t>
      </w:r>
      <w:r>
        <w:rPr>
          <w:rFonts w:hint="eastAsia" w:ascii="宋体" w:hAnsi="宋体" w:eastAsia="宋体" w:cs="宋体"/>
          <w:sz w:val="21"/>
          <w:szCs w:val="21"/>
          <w:lang w:val="en-US" w:eastAsia="zh-CN"/>
        </w:rPr>
        <w:t>并为所有施工、监管等除治工作相关人员进行投保；乙方需</w:t>
      </w:r>
      <w:r>
        <w:rPr>
          <w:rFonts w:hint="eastAsia" w:ascii="宋体" w:hAnsi="宋体" w:eastAsia="宋体" w:cs="宋体"/>
          <w:sz w:val="21"/>
          <w:szCs w:val="21"/>
        </w:rPr>
        <w:t>按照工程管理的有关规定，交足履约保证金、农民工工资保证金</w:t>
      </w:r>
      <w:r>
        <w:rPr>
          <w:rFonts w:hint="eastAsia" w:ascii="宋体" w:hAnsi="宋体" w:eastAsia="宋体" w:cs="宋体"/>
          <w:sz w:val="21"/>
          <w:szCs w:val="21"/>
          <w:lang w:val="en-US" w:eastAsia="zh-CN"/>
        </w:rPr>
        <w:t>等</w:t>
      </w:r>
      <w:r>
        <w:rPr>
          <w:rFonts w:hint="eastAsia" w:ascii="宋体" w:hAnsi="宋体" w:eastAsia="宋体" w:cs="宋体"/>
          <w:sz w:val="21"/>
          <w:szCs w:val="21"/>
        </w:rPr>
        <w:t>。乙方不得以任何理由，拖欠支付农民工工资</w:t>
      </w:r>
      <w:r>
        <w:rPr>
          <w:rFonts w:hint="eastAsia" w:ascii="宋体" w:hAnsi="宋体" w:eastAsia="宋体" w:cs="宋体"/>
          <w:sz w:val="21"/>
          <w:szCs w:val="21"/>
          <w:lang w:eastAsia="zh-CN"/>
        </w:rPr>
        <w:t>，保障工人的合法权益</w:t>
      </w:r>
      <w:r>
        <w:rPr>
          <w:rFonts w:hint="eastAsia" w:ascii="宋体" w:hAnsi="宋体" w:eastAsia="宋体" w:cs="宋体"/>
          <w:sz w:val="21"/>
          <w:szCs w:val="21"/>
        </w:rPr>
        <w:t>。</w:t>
      </w:r>
    </w:p>
    <w:p w14:paraId="4285866E">
      <w:pPr>
        <w:pStyle w:val="115"/>
        <w:keepNext w:val="0"/>
        <w:keepLines w:val="0"/>
        <w:pageBreakBefore w:val="0"/>
        <w:widowControl/>
        <w:kinsoku/>
        <w:wordWrap/>
        <w:overflowPunct/>
        <w:topLinePunct w:val="0"/>
        <w:autoSpaceDE/>
        <w:autoSpaceDN/>
        <w:bidi w:val="0"/>
        <w:adjustRightInd/>
        <w:snapToGrid/>
        <w:spacing w:line="5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4</w:t>
      </w:r>
      <w:r>
        <w:rPr>
          <w:rFonts w:hint="eastAsia" w:ascii="宋体" w:hAnsi="宋体" w:eastAsia="宋体" w:cs="宋体"/>
          <w:sz w:val="21"/>
          <w:szCs w:val="21"/>
        </w:rPr>
        <w:t>.乙方应按照除治工作范围和内容，按时完成所有与松材线虫病除治相关工作，并定期向甲方汇报除治工作进展。</w:t>
      </w:r>
    </w:p>
    <w:p w14:paraId="1315C6CD">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5</w:t>
      </w:r>
      <w:r>
        <w:rPr>
          <w:rFonts w:hint="eastAsia" w:ascii="宋体" w:hAnsi="宋体" w:eastAsia="宋体" w:cs="宋体"/>
          <w:sz w:val="21"/>
          <w:szCs w:val="21"/>
        </w:rPr>
        <w:t>.乙方在施工作业范围内应做好森林防火工作，必须指定专人负责清</w:t>
      </w:r>
      <w:r>
        <w:rPr>
          <w:rFonts w:hint="eastAsia" w:ascii="宋体" w:hAnsi="宋体" w:eastAsia="宋体" w:cs="宋体"/>
          <w:color w:val="auto"/>
          <w:sz w:val="21"/>
          <w:szCs w:val="21"/>
        </w:rPr>
        <w:t>理工作质量、安全，经常对作业人员进行安全教育，禁止作业人员上山用火，如</w:t>
      </w:r>
      <w:r>
        <w:rPr>
          <w:rFonts w:hint="eastAsia" w:ascii="宋体" w:hAnsi="宋体" w:eastAsia="宋体" w:cs="宋体"/>
          <w:sz w:val="21"/>
          <w:szCs w:val="21"/>
        </w:rPr>
        <w:t>吸烟等，安全用具装备完整，上下班及</w:t>
      </w:r>
      <w:r>
        <w:rPr>
          <w:rFonts w:hint="eastAsia" w:ascii="宋体" w:hAnsi="宋体" w:eastAsia="宋体" w:cs="宋体"/>
          <w:sz w:val="21"/>
          <w:szCs w:val="21"/>
          <w:lang w:eastAsia="zh-CN"/>
        </w:rPr>
        <w:t>疫木</w:t>
      </w:r>
      <w:r>
        <w:rPr>
          <w:rFonts w:hint="eastAsia" w:ascii="宋体" w:hAnsi="宋体" w:eastAsia="宋体" w:cs="宋体"/>
          <w:sz w:val="21"/>
          <w:szCs w:val="21"/>
        </w:rPr>
        <w:t>除治</w:t>
      </w:r>
      <w:r>
        <w:rPr>
          <w:rFonts w:hint="eastAsia" w:ascii="宋体" w:hAnsi="宋体" w:eastAsia="宋体" w:cs="宋体"/>
          <w:sz w:val="21"/>
          <w:szCs w:val="21"/>
          <w:lang w:eastAsia="zh-CN"/>
        </w:rPr>
        <w:t>和</w:t>
      </w:r>
      <w:r>
        <w:rPr>
          <w:rFonts w:hint="eastAsia" w:ascii="宋体" w:hAnsi="宋体" w:eastAsia="宋体" w:cs="宋体"/>
          <w:sz w:val="21"/>
          <w:szCs w:val="21"/>
        </w:rPr>
        <w:t>运输期间发生工伤事故、森林火灾、损害他人利益等由乙方负责。</w:t>
      </w:r>
    </w:p>
    <w:p w14:paraId="6292B9F1">
      <w:pPr>
        <w:pStyle w:val="115"/>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6</w:t>
      </w:r>
      <w:r>
        <w:rPr>
          <w:rFonts w:hint="eastAsia" w:ascii="宋体" w:hAnsi="宋体" w:eastAsia="宋体" w:cs="宋体"/>
          <w:sz w:val="21"/>
          <w:szCs w:val="21"/>
        </w:rPr>
        <w:t>.乙方应接受甲方或其委托的第三方机构及</w:t>
      </w:r>
      <w:r>
        <w:rPr>
          <w:rFonts w:hint="eastAsia" w:ascii="宋体" w:hAnsi="宋体" w:eastAsia="宋体" w:cs="宋体"/>
          <w:sz w:val="21"/>
          <w:szCs w:val="21"/>
          <w:lang w:eastAsia="zh-CN"/>
        </w:rPr>
        <w:t>各级</w:t>
      </w:r>
      <w:r>
        <w:rPr>
          <w:rFonts w:hint="eastAsia" w:ascii="宋体" w:hAnsi="宋体" w:eastAsia="宋体" w:cs="宋体"/>
          <w:sz w:val="21"/>
          <w:szCs w:val="21"/>
        </w:rPr>
        <w:t>森防部门或其委托的第三方机构对除治工作的核查指导。</w:t>
      </w:r>
    </w:p>
    <w:p w14:paraId="7EF83E98">
      <w:pPr>
        <w:pStyle w:val="115"/>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7</w:t>
      </w:r>
      <w:r>
        <w:rPr>
          <w:rFonts w:hint="eastAsia" w:ascii="宋体" w:hAnsi="宋体" w:eastAsia="宋体" w:cs="宋体"/>
          <w:sz w:val="21"/>
          <w:szCs w:val="21"/>
          <w:lang w:val="en-US" w:eastAsia="zh-CN"/>
        </w:rPr>
        <w:t>.</w:t>
      </w:r>
      <w:r>
        <w:rPr>
          <w:rFonts w:hint="eastAsia" w:ascii="宋体" w:hAnsi="宋体" w:eastAsia="宋体" w:cs="宋体"/>
          <w:color w:val="auto"/>
          <w:sz w:val="21"/>
          <w:szCs w:val="21"/>
          <w:lang w:eastAsia="zh-CN"/>
        </w:rPr>
        <w:t>乙方应根据甲方要求，落实专人负责施工质量现场管理，上报清理队所有施工人员名单，</w:t>
      </w:r>
      <w:r>
        <w:rPr>
          <w:rFonts w:hint="eastAsia" w:ascii="宋体" w:hAnsi="宋体" w:eastAsia="宋体" w:cs="宋体"/>
          <w:sz w:val="21"/>
          <w:szCs w:val="21"/>
          <w:lang w:eastAsia="zh-CN"/>
        </w:rPr>
        <w:t>并安装应用数字森防</w:t>
      </w:r>
      <w:r>
        <w:rPr>
          <w:rFonts w:hint="eastAsia" w:ascii="宋体" w:hAnsi="宋体" w:eastAsia="宋体" w:cs="宋体"/>
          <w:sz w:val="21"/>
          <w:szCs w:val="21"/>
          <w:lang w:val="en-US" w:eastAsia="zh-CN"/>
        </w:rPr>
        <w:t>APP，严格按照数字森防APP质量要求对疫木采伐和运输过程实施拍照留痕，确保甲方能随时了解除治进程。</w:t>
      </w:r>
    </w:p>
    <w:p w14:paraId="7963C75C">
      <w:pPr>
        <w:keepNext w:val="0"/>
        <w:keepLines w:val="0"/>
        <w:pageBreakBefore w:val="0"/>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甲方做好林农的</w:t>
      </w:r>
      <w:r>
        <w:rPr>
          <w:rFonts w:hint="eastAsia" w:ascii="宋体" w:hAnsi="宋体" w:eastAsia="宋体" w:cs="宋体"/>
          <w:sz w:val="21"/>
          <w:szCs w:val="21"/>
          <w:lang w:eastAsia="zh-CN"/>
        </w:rPr>
        <w:t>宣</w:t>
      </w:r>
      <w:r>
        <w:rPr>
          <w:rFonts w:hint="eastAsia" w:ascii="宋体" w:hAnsi="宋体" w:eastAsia="宋体" w:cs="宋体"/>
          <w:sz w:val="21"/>
          <w:szCs w:val="21"/>
        </w:rPr>
        <w:t>传教育工作，指定专人加强对</w:t>
      </w:r>
      <w:r>
        <w:rPr>
          <w:rFonts w:hint="eastAsia" w:ascii="宋体" w:hAnsi="宋体" w:eastAsia="宋体" w:cs="宋体"/>
          <w:spacing w:val="8"/>
          <w:kern w:val="0"/>
          <w:sz w:val="21"/>
          <w:szCs w:val="21"/>
        </w:rPr>
        <w:t>疫木</w:t>
      </w:r>
      <w:r>
        <w:rPr>
          <w:rFonts w:hint="eastAsia" w:ascii="宋体" w:hAnsi="宋体" w:eastAsia="宋体" w:cs="宋体"/>
          <w:sz w:val="21"/>
          <w:szCs w:val="21"/>
        </w:rPr>
        <w:t>除治、堆放、运输等环节的监管，防止林农私自上山砍伐枯死松树。清理过程中如遇非乙方直接原因引起的乙方与当地群众发生矛盾时，甲方有义务出面调解矛盾，以保证清理顺利进行，按期完成。</w:t>
      </w:r>
    </w:p>
    <w:p w14:paraId="07577EE6">
      <w:pPr>
        <w:keepNext w:val="0"/>
        <w:keepLines w:val="0"/>
        <w:pageBreakBefore w:val="0"/>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清理期间乙方的人工工资、保险费、生活费、生产用具费、安全机具费、运输费等一切施工费用由乙方负责。</w:t>
      </w:r>
    </w:p>
    <w:p w14:paraId="3AD044DA">
      <w:pPr>
        <w:pStyle w:val="115"/>
        <w:keepNext w:val="0"/>
        <w:keepLines w:val="0"/>
        <w:pageBreakBefore w:val="0"/>
        <w:widowControl/>
        <w:kinsoku/>
        <w:wordWrap/>
        <w:overflowPunct/>
        <w:topLinePunct w:val="0"/>
        <w:autoSpaceDE/>
        <w:autoSpaceDN/>
        <w:bidi w:val="0"/>
        <w:adjustRightInd/>
        <w:snapToGrid/>
        <w:spacing w:line="5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10.无法提供疫木过磅单和装车前、装车后、疫木过磅照片等有效台账记录的，不纳入清理</w:t>
      </w:r>
      <w:r>
        <w:rPr>
          <w:rFonts w:hint="eastAsia" w:ascii="宋体" w:hAnsi="宋体" w:eastAsia="宋体" w:cs="宋体"/>
          <w:sz w:val="21"/>
          <w:szCs w:val="21"/>
          <w:lang w:eastAsia="zh-CN"/>
        </w:rPr>
        <w:t>除治重量总量。</w:t>
      </w:r>
    </w:p>
    <w:p w14:paraId="538F0FFA">
      <w:pPr>
        <w:pStyle w:val="115"/>
        <w:keepNext w:val="0"/>
        <w:keepLines w:val="0"/>
        <w:pageBreakBefore w:val="0"/>
        <w:widowControl/>
        <w:kinsoku/>
        <w:wordWrap/>
        <w:overflowPunct/>
        <w:topLinePunct w:val="0"/>
        <w:autoSpaceDE/>
        <w:autoSpaceDN/>
        <w:bidi w:val="0"/>
        <w:adjustRightInd/>
        <w:snapToGrid/>
        <w:spacing w:line="560" w:lineRule="exact"/>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eastAsia="zh-CN"/>
        </w:rPr>
        <w:t>六</w:t>
      </w:r>
      <w:r>
        <w:rPr>
          <w:rFonts w:hint="eastAsia" w:ascii="宋体" w:hAnsi="宋体" w:eastAsia="宋体" w:cs="宋体"/>
          <w:b/>
          <w:sz w:val="21"/>
          <w:szCs w:val="21"/>
        </w:rPr>
        <w:t>、违约责任</w:t>
      </w:r>
    </w:p>
    <w:p w14:paraId="1EE7D7E5">
      <w:pPr>
        <w:pStyle w:val="20"/>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pacing w:val="0"/>
          <w:kern w:val="2"/>
          <w:sz w:val="21"/>
          <w:szCs w:val="21"/>
          <w:lang w:eastAsia="zh-CN"/>
        </w:rPr>
      </w:pPr>
      <w:r>
        <w:rPr>
          <w:rFonts w:hint="eastAsia" w:ascii="宋体" w:hAnsi="宋体" w:eastAsia="宋体" w:cs="宋体"/>
          <w:color w:val="auto"/>
          <w:kern w:val="2"/>
          <w:sz w:val="21"/>
          <w:szCs w:val="21"/>
          <w:lang w:val="en-US" w:eastAsia="zh-CN" w:bidi="ar-SA"/>
        </w:rPr>
        <w:t>1.由甲方或市、县级相关单位检查、验收等过程中发现小班内存在质量（枝桠、伐桩、未清理松树）问题的，每个问题扣款500元，且乙方须7天内返工清理，</w:t>
      </w:r>
      <w:r>
        <w:rPr>
          <w:rFonts w:hint="eastAsia" w:ascii="宋体" w:hAnsi="宋体" w:eastAsia="宋体" w:cs="宋体"/>
          <w:color w:val="auto"/>
          <w:sz w:val="21"/>
          <w:szCs w:val="21"/>
          <w:lang w:val="en-US" w:eastAsia="zh-CN"/>
        </w:rPr>
        <w:t>对于该小班未返工清理、返工清理不达标的、</w:t>
      </w:r>
      <w:r>
        <w:rPr>
          <w:rFonts w:hint="eastAsia" w:ascii="宋体" w:hAnsi="宋体" w:eastAsia="宋体" w:cs="宋体"/>
          <w:color w:val="auto"/>
          <w:sz w:val="21"/>
          <w:szCs w:val="21"/>
          <w:highlight w:val="none"/>
          <w:lang w:val="en-US" w:eastAsia="zh-CN"/>
        </w:rPr>
        <w:t>超期未清理完成的</w:t>
      </w:r>
      <w:r>
        <w:rPr>
          <w:rFonts w:hint="eastAsia" w:ascii="宋体" w:hAnsi="宋体" w:eastAsia="宋体" w:cs="宋体"/>
          <w:color w:val="auto"/>
          <w:sz w:val="21"/>
          <w:szCs w:val="21"/>
          <w:lang w:val="en-US" w:eastAsia="zh-CN"/>
        </w:rPr>
        <w:t>，</w:t>
      </w:r>
      <w:r>
        <w:rPr>
          <w:rFonts w:hint="eastAsia" w:ascii="宋体" w:hAnsi="宋体" w:eastAsia="宋体" w:cs="宋体"/>
          <w:color w:val="auto"/>
          <w:kern w:val="2"/>
          <w:sz w:val="21"/>
          <w:szCs w:val="21"/>
          <w:lang w:val="en-US" w:eastAsia="zh-CN" w:bidi="ar-SA"/>
        </w:rPr>
        <w:t>每个问题再扣款500元。由国家、省级相关单位检查、验收等过程中发现小班内存在质量（枝桠、伐桩、未清理松树）问题的，每个问题扣款1000元，且乙方须7天内返工清理，</w:t>
      </w:r>
      <w:r>
        <w:rPr>
          <w:rFonts w:hint="eastAsia" w:ascii="宋体" w:hAnsi="宋体" w:eastAsia="宋体" w:cs="宋体"/>
          <w:color w:val="auto"/>
          <w:sz w:val="21"/>
          <w:szCs w:val="21"/>
          <w:lang w:val="en-US" w:eastAsia="zh-CN"/>
        </w:rPr>
        <w:t>对于该小班内未返工清理、返工清理不达标的、</w:t>
      </w:r>
      <w:r>
        <w:rPr>
          <w:rFonts w:hint="eastAsia" w:ascii="宋体" w:hAnsi="宋体" w:eastAsia="宋体" w:cs="宋体"/>
          <w:color w:val="auto"/>
          <w:sz w:val="21"/>
          <w:szCs w:val="21"/>
          <w:highlight w:val="none"/>
          <w:lang w:val="en-US" w:eastAsia="zh-CN"/>
        </w:rPr>
        <w:t>超期未清理完成的</w:t>
      </w:r>
      <w:r>
        <w:rPr>
          <w:rFonts w:hint="eastAsia" w:ascii="宋体" w:hAnsi="宋体" w:eastAsia="宋体" w:cs="宋体"/>
          <w:color w:val="auto"/>
          <w:sz w:val="21"/>
          <w:szCs w:val="21"/>
          <w:lang w:val="en-US" w:eastAsia="zh-CN"/>
        </w:rPr>
        <w:t>，</w:t>
      </w:r>
      <w:r>
        <w:rPr>
          <w:rFonts w:hint="eastAsia" w:ascii="宋体" w:hAnsi="宋体" w:eastAsia="宋体" w:cs="宋体"/>
          <w:color w:val="auto"/>
          <w:kern w:val="2"/>
          <w:sz w:val="21"/>
          <w:szCs w:val="21"/>
          <w:lang w:val="en-US" w:eastAsia="zh-CN" w:bidi="ar-SA"/>
        </w:rPr>
        <w:t>每个问题再扣款1000元。</w:t>
      </w:r>
      <w:r>
        <w:rPr>
          <w:rFonts w:hint="eastAsia" w:ascii="宋体" w:hAnsi="宋体" w:eastAsia="宋体" w:cs="宋体"/>
          <w:color w:val="auto"/>
          <w:spacing w:val="0"/>
          <w:kern w:val="2"/>
          <w:sz w:val="21"/>
          <w:szCs w:val="21"/>
        </w:rPr>
        <w:t>对成片未清理的(枯死松树数量≥10株)，依据枯死松树量每处扣款</w:t>
      </w:r>
      <w:r>
        <w:rPr>
          <w:rFonts w:hint="eastAsia" w:ascii="宋体" w:hAnsi="宋体" w:eastAsia="宋体" w:cs="宋体"/>
          <w:color w:val="auto"/>
          <w:spacing w:val="0"/>
          <w:kern w:val="2"/>
          <w:sz w:val="21"/>
          <w:szCs w:val="21"/>
          <w:lang w:val="en-US" w:eastAsia="zh-CN"/>
        </w:rPr>
        <w:t>5</w:t>
      </w:r>
      <w:r>
        <w:rPr>
          <w:rFonts w:hint="eastAsia" w:ascii="宋体" w:hAnsi="宋体" w:eastAsia="宋体" w:cs="宋体"/>
          <w:color w:val="auto"/>
          <w:spacing w:val="0"/>
          <w:kern w:val="2"/>
          <w:sz w:val="21"/>
          <w:szCs w:val="21"/>
        </w:rPr>
        <w:t>000-</w:t>
      </w:r>
      <w:r>
        <w:rPr>
          <w:rFonts w:hint="eastAsia" w:ascii="宋体" w:hAnsi="宋体" w:eastAsia="宋体" w:cs="宋体"/>
          <w:color w:val="auto"/>
          <w:spacing w:val="0"/>
          <w:kern w:val="2"/>
          <w:sz w:val="21"/>
          <w:szCs w:val="21"/>
          <w:lang w:val="en-US" w:eastAsia="zh-CN"/>
        </w:rPr>
        <w:t>10</w:t>
      </w:r>
      <w:r>
        <w:rPr>
          <w:rFonts w:hint="eastAsia" w:ascii="宋体" w:hAnsi="宋体" w:eastAsia="宋体" w:cs="宋体"/>
          <w:color w:val="auto"/>
          <w:spacing w:val="0"/>
          <w:kern w:val="2"/>
          <w:sz w:val="21"/>
          <w:szCs w:val="21"/>
        </w:rPr>
        <w:t>000元</w:t>
      </w:r>
      <w:r>
        <w:rPr>
          <w:rFonts w:hint="eastAsia" w:ascii="宋体" w:hAnsi="宋体" w:eastAsia="宋体" w:cs="宋体"/>
          <w:color w:val="auto"/>
          <w:spacing w:val="0"/>
          <w:kern w:val="2"/>
          <w:sz w:val="21"/>
          <w:szCs w:val="21"/>
          <w:lang w:eastAsia="zh-CN"/>
        </w:rPr>
        <w:t>。</w:t>
      </w:r>
    </w:p>
    <w:p w14:paraId="44895F99">
      <w:pPr>
        <w:pStyle w:val="20"/>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pacing w:val="0"/>
          <w:kern w:val="2"/>
          <w:sz w:val="21"/>
          <w:szCs w:val="21"/>
          <w:lang w:eastAsia="zh-CN"/>
        </w:rPr>
      </w:pP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lang w:eastAsia="zh-CN"/>
        </w:rPr>
        <w:t>未按要求落实和拒不整改的，每个不合格小班扣除清理队伍补助资金5000元，并由甲方另行委托其他清理队伍整改至合格，委托费用由原清理队伍承担。因乙方责任造成的增加补充验收或者复验的费用由乙方承担。</w:t>
      </w:r>
    </w:p>
    <w:p w14:paraId="54771683">
      <w:pPr>
        <w:pStyle w:val="20"/>
        <w:keepNext w:val="0"/>
        <w:keepLines w:val="0"/>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kern w:val="2"/>
          <w:sz w:val="21"/>
          <w:szCs w:val="21"/>
          <w:lang w:val="en-US" w:eastAsia="zh-CN"/>
        </w:rPr>
        <w:t>2.</w:t>
      </w:r>
      <w:r>
        <w:rPr>
          <w:rFonts w:hint="eastAsia" w:ascii="宋体" w:hAnsi="宋体" w:eastAsia="宋体" w:cs="宋体"/>
          <w:color w:val="auto"/>
          <w:sz w:val="21"/>
          <w:szCs w:val="21"/>
          <w:highlight w:val="none"/>
          <w:u w:val="none"/>
          <w:lang w:val="en-US" w:eastAsia="zh-CN"/>
        </w:rPr>
        <w:t>必须整株松树的松针全部枯黄才能按枯病死松木进行清理,未按规定砍伐视同砍伐活树。</w:t>
      </w:r>
      <w:r>
        <w:rPr>
          <w:rFonts w:hint="eastAsia" w:ascii="宋体" w:hAnsi="宋体" w:eastAsia="宋体" w:cs="宋体"/>
          <w:color w:val="auto"/>
          <w:sz w:val="21"/>
          <w:szCs w:val="21"/>
          <w:highlight w:val="none"/>
          <w:lang w:val="en-US" w:eastAsia="zh-CN"/>
        </w:rPr>
        <w:t>过磅的枝桠必须是干枯的，发现新鲜枝桠过磅或混入其他物质过磅的的一次扣款2000元，且该车枝桠不计入清理总量。发现采伐活树的，每株扣除违约清理经费2000元。</w:t>
      </w:r>
    </w:p>
    <w:p w14:paraId="0B73523C">
      <w:pPr>
        <w:pStyle w:val="20"/>
        <w:keepNext w:val="0"/>
        <w:keepLines w:val="0"/>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若发现有历年疫木及其他树木进厂的由县林业主管部门派驻的监管员扣减相应的重量，其中活松木、其他树木按每段（不分大小长短）扣减200公斤；往年疫木按每段（不分大小长短）扣减100公斤重量；历年疫木、非法采伐的活松木、工程项目合法审批采伐的活松木、火烧迹地等松木和其他阔叶树不计入补助重量。</w:t>
      </w:r>
      <w:r>
        <w:rPr>
          <w:rFonts w:hint="eastAsia" w:ascii="宋体" w:hAnsi="宋体" w:eastAsia="宋体" w:cs="宋体"/>
          <w:color w:val="auto"/>
          <w:sz w:val="21"/>
          <w:szCs w:val="21"/>
          <w:lang w:val="en-US" w:eastAsia="zh-CN"/>
        </w:rPr>
        <w:t>对于将其他项目砍伐的松木混为清理疫木过磅，一经发现</w:t>
      </w:r>
      <w:r>
        <w:rPr>
          <w:rFonts w:hint="eastAsia" w:ascii="宋体" w:hAnsi="宋体" w:eastAsia="宋体" w:cs="宋体"/>
          <w:color w:val="auto"/>
          <w:sz w:val="21"/>
          <w:szCs w:val="21"/>
          <w:lang w:eastAsia="zh-CN"/>
        </w:rPr>
        <w:t>扣</w:t>
      </w:r>
      <w:r>
        <w:rPr>
          <w:rFonts w:hint="eastAsia" w:ascii="宋体" w:hAnsi="宋体" w:eastAsia="宋体" w:cs="宋体"/>
          <w:color w:val="auto"/>
          <w:sz w:val="21"/>
          <w:szCs w:val="21"/>
          <w:highlight w:val="none"/>
          <w:lang w:eastAsia="zh-CN"/>
        </w:rPr>
        <w:t>款20000元并</w:t>
      </w:r>
      <w:r>
        <w:rPr>
          <w:rFonts w:hint="eastAsia" w:ascii="宋体" w:hAnsi="宋体" w:eastAsia="宋体" w:cs="宋体"/>
          <w:color w:val="auto"/>
          <w:sz w:val="21"/>
          <w:szCs w:val="21"/>
          <w:highlight w:val="none"/>
          <w:lang w:val="en-US" w:eastAsia="zh-CN"/>
        </w:rPr>
        <w:t>中止合同</w:t>
      </w:r>
      <w:r>
        <w:rPr>
          <w:rFonts w:hint="eastAsia" w:ascii="宋体" w:hAnsi="宋体" w:eastAsia="宋体" w:cs="宋体"/>
          <w:color w:val="auto"/>
          <w:sz w:val="21"/>
          <w:szCs w:val="21"/>
          <w:highlight w:val="none"/>
          <w:lang w:eastAsia="zh-CN"/>
        </w:rPr>
        <w:t>，移交司法机构。</w:t>
      </w:r>
    </w:p>
    <w:p w14:paraId="2BE96B2B">
      <w:pPr>
        <w:pStyle w:val="20"/>
        <w:keepNext w:val="0"/>
        <w:keepLines w:val="0"/>
        <w:pageBreakBefore w:val="0"/>
        <w:kinsoku/>
        <w:wordWrap/>
        <w:overflowPunct/>
        <w:topLinePunct w:val="0"/>
        <w:autoSpaceDE/>
        <w:autoSpaceDN/>
        <w:bidi w:val="0"/>
        <w:snapToGrid w:val="0"/>
        <w:spacing w:line="5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3.对故意藏匿主干、枝桠、伐桩高于10cm的行为，按照</w:t>
      </w:r>
      <w:r>
        <w:rPr>
          <w:rFonts w:hint="eastAsia" w:ascii="宋体" w:hAnsi="宋体" w:eastAsia="宋体" w:cs="宋体"/>
          <w:color w:val="auto"/>
          <w:spacing w:val="0"/>
          <w:kern w:val="2"/>
          <w:sz w:val="21"/>
          <w:szCs w:val="21"/>
          <w:highlight w:val="none"/>
        </w:rPr>
        <w:t>疫木</w:t>
      </w:r>
      <w:r>
        <w:rPr>
          <w:rFonts w:hint="eastAsia" w:ascii="宋体" w:hAnsi="宋体" w:eastAsia="宋体" w:cs="宋体"/>
          <w:color w:val="auto"/>
          <w:sz w:val="21"/>
          <w:szCs w:val="21"/>
          <w:highlight w:val="none"/>
          <w:lang w:val="en-US" w:eastAsia="zh-CN"/>
        </w:rPr>
        <w:t>量比例扣款项目总额的3%-5%费用，待结算时要按工程实际完成量的百分比基础上，甲方可视情况另加以1%-10%的处罚措施，然后再行结算清理费用或工资，且乙方须返工清理，对于未返工清理的，甲方可依法解除合同。</w:t>
      </w:r>
    </w:p>
    <w:p w14:paraId="2BAEB291">
      <w:pPr>
        <w:pStyle w:val="20"/>
        <w:keepNext w:val="0"/>
        <w:keepLines w:val="0"/>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4.在伐桩边的其他树木上未绑宽度2cm以上的红色带子作为标记的，每一个伐桩扣款200元。</w:t>
      </w:r>
    </w:p>
    <w:p w14:paraId="1257698C">
      <w:pPr>
        <w:pStyle w:val="115"/>
        <w:keepNext w:val="0"/>
        <w:keepLines w:val="0"/>
        <w:pageBreakBefore w:val="0"/>
        <w:widowControl/>
        <w:kinsoku/>
        <w:wordWrap/>
        <w:overflowPunct/>
        <w:topLinePunct w:val="0"/>
        <w:autoSpaceDE/>
        <w:autoSpaceDN/>
        <w:bidi w:val="0"/>
        <w:adjustRightInd/>
        <w:snapToGrid/>
        <w:spacing w:line="56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由于乙方原因，造成施工质量</w:t>
      </w:r>
      <w:r>
        <w:rPr>
          <w:rFonts w:hint="eastAsia" w:ascii="宋体" w:hAnsi="宋体" w:eastAsia="宋体" w:cs="宋体"/>
          <w:color w:val="auto"/>
          <w:sz w:val="21"/>
          <w:szCs w:val="21"/>
          <w:lang w:val="en-US" w:eastAsia="zh-CN"/>
        </w:rPr>
        <w:t>整体</w:t>
      </w:r>
      <w:r>
        <w:rPr>
          <w:rFonts w:hint="eastAsia" w:ascii="宋体" w:hAnsi="宋体" w:eastAsia="宋体" w:cs="宋体"/>
          <w:color w:val="auto"/>
          <w:sz w:val="21"/>
          <w:szCs w:val="21"/>
          <w:lang w:eastAsia="zh-CN"/>
        </w:rPr>
        <w:t>不达标</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lang w:eastAsia="zh-CN"/>
        </w:rPr>
        <w:t>疫木流失且无法追回的，</w:t>
      </w:r>
      <w:r>
        <w:rPr>
          <w:rFonts w:hint="eastAsia" w:ascii="宋体" w:hAnsi="宋体" w:eastAsia="宋体" w:cs="宋体"/>
          <w:color w:val="auto"/>
          <w:sz w:val="21"/>
          <w:szCs w:val="21"/>
          <w:lang w:val="en-US" w:eastAsia="zh-CN"/>
        </w:rPr>
        <w:t>一经发现，甲方将按骗取疫木清理经费依法追究责任。</w:t>
      </w:r>
    </w:p>
    <w:p w14:paraId="398CE4F4">
      <w:pPr>
        <w:pStyle w:val="115"/>
        <w:keepNext w:val="0"/>
        <w:keepLines w:val="0"/>
        <w:pageBreakBefore w:val="0"/>
        <w:widowControl/>
        <w:kinsoku/>
        <w:wordWrap/>
        <w:overflowPunct/>
        <w:topLinePunct w:val="0"/>
        <w:autoSpaceDE/>
        <w:autoSpaceDN/>
        <w:bidi w:val="0"/>
        <w:adjustRightInd/>
        <w:snapToGrid/>
        <w:spacing w:line="56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6.乙方对除治的疫木及其枝桠负有监管责任，因乙方监管问题导致疫木及其枝桠流失，或未按要求运至指定疫木定点加工企业的，以不低于项目总额的10%的比例扣减。</w:t>
      </w:r>
    </w:p>
    <w:p w14:paraId="4175EF47">
      <w:pPr>
        <w:pStyle w:val="115"/>
        <w:keepNext w:val="0"/>
        <w:keepLines w:val="0"/>
        <w:pageBreakBefore w:val="0"/>
        <w:widowControl/>
        <w:kinsoku/>
        <w:wordWrap/>
        <w:overflowPunct/>
        <w:topLinePunct w:val="0"/>
        <w:autoSpaceDE/>
        <w:autoSpaceDN/>
        <w:bidi w:val="0"/>
        <w:adjustRightInd/>
        <w:snapToGrid/>
        <w:spacing w:line="56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7</w:t>
      </w:r>
      <w:r>
        <w:rPr>
          <w:rFonts w:hint="eastAsia" w:ascii="宋体" w:hAnsi="宋体" w:eastAsia="宋体" w:cs="宋体"/>
          <w:color w:val="auto"/>
          <w:sz w:val="21"/>
          <w:szCs w:val="21"/>
          <w:lang w:val="en-US" w:eastAsia="zh-CN"/>
        </w:rPr>
        <w:t>.乙方把其他非本标段（合同）疫木充入本标段（合同）疫木除治总量的，一经查实，乙方在本标段（合同）除治的所有疫木按合同清理单价的50%进行结算。</w:t>
      </w:r>
    </w:p>
    <w:p w14:paraId="199820A5">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8</w:t>
      </w:r>
      <w:r>
        <w:rPr>
          <w:rFonts w:hint="eastAsia" w:ascii="宋体" w:hAnsi="宋体" w:eastAsia="宋体" w:cs="宋体"/>
          <w:sz w:val="21"/>
          <w:szCs w:val="21"/>
          <w:lang w:val="en-US" w:eastAsia="zh-CN"/>
        </w:rPr>
        <w:t>.</w:t>
      </w:r>
      <w:r>
        <w:rPr>
          <w:rFonts w:hint="eastAsia" w:ascii="宋体" w:hAnsi="宋体" w:eastAsia="宋体" w:cs="宋体"/>
          <w:sz w:val="21"/>
          <w:szCs w:val="21"/>
        </w:rPr>
        <w:t>由于乙方原因（除不可抗力外）不能按期</w:t>
      </w:r>
      <w:r>
        <w:rPr>
          <w:rFonts w:hint="eastAsia" w:ascii="宋体" w:hAnsi="宋体" w:eastAsia="宋体" w:cs="宋体"/>
          <w:sz w:val="21"/>
          <w:szCs w:val="21"/>
          <w:lang w:val="en-US" w:eastAsia="zh-CN"/>
        </w:rPr>
        <w:t>完成除治的</w:t>
      </w:r>
      <w:r>
        <w:rPr>
          <w:rFonts w:hint="eastAsia" w:ascii="宋体" w:hAnsi="宋体" w:eastAsia="宋体" w:cs="宋体"/>
          <w:sz w:val="21"/>
          <w:szCs w:val="21"/>
        </w:rPr>
        <w:t>，对超出交付的每一天，乙方按合同总价款的千分之</w:t>
      </w:r>
      <w:r>
        <w:rPr>
          <w:rFonts w:hint="eastAsia" w:ascii="宋体" w:hAnsi="宋体" w:eastAsia="宋体" w:cs="宋体"/>
          <w:sz w:val="21"/>
          <w:szCs w:val="21"/>
          <w:lang w:eastAsia="zh-CN"/>
        </w:rPr>
        <w:t>一</w:t>
      </w:r>
      <w:r>
        <w:rPr>
          <w:rFonts w:hint="eastAsia" w:ascii="宋体" w:hAnsi="宋体" w:eastAsia="宋体" w:cs="宋体"/>
          <w:sz w:val="21"/>
          <w:szCs w:val="21"/>
        </w:rPr>
        <w:t>承担违约金，在合同</w:t>
      </w:r>
      <w:r>
        <w:rPr>
          <w:rFonts w:hint="eastAsia" w:ascii="宋体" w:hAnsi="宋体" w:eastAsia="宋体" w:cs="宋体"/>
          <w:sz w:val="21"/>
          <w:szCs w:val="21"/>
          <w:lang w:val="en-US" w:eastAsia="zh-CN"/>
        </w:rPr>
        <w:t>款项</w:t>
      </w:r>
      <w:r>
        <w:rPr>
          <w:rFonts w:hint="eastAsia" w:ascii="宋体" w:hAnsi="宋体" w:eastAsia="宋体" w:cs="宋体"/>
          <w:sz w:val="21"/>
          <w:szCs w:val="21"/>
        </w:rPr>
        <w:t>支付时一次性扣除。若超出交付期十天或以上的，甲方有权终止合同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并追偿已支付的合同款项</w:t>
      </w:r>
      <w:r>
        <w:rPr>
          <w:rFonts w:hint="eastAsia" w:ascii="宋体" w:hAnsi="宋体" w:eastAsia="宋体" w:cs="宋体"/>
          <w:sz w:val="21"/>
          <w:szCs w:val="21"/>
        </w:rPr>
        <w:t>。</w:t>
      </w:r>
    </w:p>
    <w:p w14:paraId="4B35BEA6">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9</w:t>
      </w:r>
      <w:r>
        <w:rPr>
          <w:rFonts w:hint="eastAsia" w:ascii="宋体" w:hAnsi="宋体" w:eastAsia="宋体" w:cs="宋体"/>
          <w:sz w:val="21"/>
          <w:szCs w:val="21"/>
          <w:lang w:val="en-US" w:eastAsia="zh-CN"/>
        </w:rPr>
        <w:t>.</w:t>
      </w:r>
      <w:r>
        <w:rPr>
          <w:rFonts w:hint="eastAsia" w:ascii="宋体" w:hAnsi="宋体" w:eastAsia="宋体" w:cs="宋体"/>
          <w:sz w:val="21"/>
          <w:szCs w:val="21"/>
        </w:rPr>
        <w:t>乙方按合同要求完成服务后，超出付款期，甲方每逾一天，</w:t>
      </w:r>
    </w:p>
    <w:p w14:paraId="25A638EC">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b w:val="0"/>
          <w:color w:val="auto"/>
          <w:sz w:val="21"/>
          <w:szCs w:val="21"/>
          <w:lang w:eastAsia="zh-CN"/>
        </w:rPr>
      </w:pPr>
      <w:r>
        <w:rPr>
          <w:rFonts w:hint="eastAsia" w:ascii="宋体" w:hAnsi="宋体" w:eastAsia="宋体" w:cs="宋体"/>
          <w:sz w:val="21"/>
          <w:szCs w:val="21"/>
        </w:rPr>
        <w:t>应向乙方支付合同总价款的千分之</w:t>
      </w:r>
      <w:r>
        <w:rPr>
          <w:rFonts w:hint="eastAsia" w:ascii="宋体" w:hAnsi="宋体" w:eastAsia="宋体" w:cs="宋体"/>
          <w:sz w:val="21"/>
          <w:szCs w:val="21"/>
          <w:lang w:eastAsia="zh-CN"/>
        </w:rPr>
        <w:t>一</w:t>
      </w:r>
      <w:r>
        <w:rPr>
          <w:rFonts w:hint="eastAsia" w:ascii="宋体" w:hAnsi="宋体" w:eastAsia="宋体" w:cs="宋体"/>
          <w:sz w:val="21"/>
          <w:szCs w:val="21"/>
        </w:rPr>
        <w:t>滞纳金</w:t>
      </w:r>
      <w:r>
        <w:rPr>
          <w:rFonts w:hint="eastAsia" w:ascii="宋体" w:hAnsi="宋体" w:eastAsia="宋体" w:cs="宋体"/>
          <w:sz w:val="21"/>
          <w:szCs w:val="21"/>
          <w:lang w:eastAsia="zh-CN"/>
        </w:rPr>
        <w:t>，最多不超过合同支付款项的</w:t>
      </w:r>
      <w:r>
        <w:rPr>
          <w:rFonts w:hint="eastAsia" w:ascii="宋体" w:hAnsi="宋体" w:eastAsia="宋体" w:cs="宋体"/>
          <w:sz w:val="21"/>
          <w:szCs w:val="21"/>
          <w:lang w:val="en-US" w:eastAsia="zh-CN"/>
        </w:rPr>
        <w:t>5%</w:t>
      </w:r>
      <w:r>
        <w:rPr>
          <w:rFonts w:hint="eastAsia" w:ascii="宋体" w:hAnsi="宋体" w:eastAsia="宋体" w:cs="宋体"/>
          <w:sz w:val="21"/>
          <w:szCs w:val="21"/>
        </w:rPr>
        <w:t>。如遇特殊情况甲方要求推迟验收的，必须事先征得</w:t>
      </w:r>
      <w:r>
        <w:rPr>
          <w:rFonts w:hint="eastAsia" w:ascii="宋体" w:hAnsi="宋体" w:eastAsia="宋体" w:cs="宋体"/>
          <w:color w:val="auto"/>
          <w:sz w:val="21"/>
          <w:szCs w:val="21"/>
        </w:rPr>
        <w:t>乙方的同意，否则应承担由此给乙方造成的损失。</w:t>
      </w:r>
    </w:p>
    <w:p w14:paraId="0E7A45B7">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0</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乙方对疫木运输车辆采用专车、专人，每辆运输车实行GPS定位，疫木</w:t>
      </w:r>
      <w:r>
        <w:rPr>
          <w:rFonts w:hint="eastAsia" w:ascii="宋体" w:hAnsi="宋体" w:eastAsia="宋体" w:cs="宋体"/>
          <w:color w:val="auto"/>
          <w:sz w:val="21"/>
          <w:szCs w:val="21"/>
          <w:lang w:eastAsia="zh-CN"/>
        </w:rPr>
        <w:t>装车前空车照，</w:t>
      </w:r>
      <w:r>
        <w:rPr>
          <w:rFonts w:hint="eastAsia" w:ascii="宋体" w:hAnsi="宋体" w:eastAsia="宋体" w:cs="宋体"/>
          <w:color w:val="auto"/>
          <w:sz w:val="21"/>
          <w:szCs w:val="21"/>
        </w:rPr>
        <w:t>起运前</w:t>
      </w:r>
      <w:r>
        <w:rPr>
          <w:rFonts w:hint="eastAsia" w:ascii="宋体" w:hAnsi="宋体" w:eastAsia="宋体" w:cs="宋体"/>
          <w:sz w:val="21"/>
          <w:szCs w:val="21"/>
          <w:lang w:eastAsia="zh-CN"/>
        </w:rPr>
        <w:t>（车辆前后）</w:t>
      </w:r>
      <w:r>
        <w:rPr>
          <w:rFonts w:hint="eastAsia" w:ascii="宋体" w:hAnsi="宋体" w:eastAsia="宋体" w:cs="宋体"/>
          <w:color w:val="auto"/>
          <w:sz w:val="21"/>
          <w:szCs w:val="21"/>
        </w:rPr>
        <w:t>、过磅时</w:t>
      </w:r>
      <w:r>
        <w:rPr>
          <w:rFonts w:hint="eastAsia" w:ascii="宋体" w:hAnsi="宋体" w:eastAsia="宋体" w:cs="宋体"/>
          <w:color w:val="auto"/>
          <w:sz w:val="21"/>
          <w:szCs w:val="21"/>
          <w:lang w:eastAsia="zh-CN"/>
        </w:rPr>
        <w:t>（车辆前后）</w:t>
      </w:r>
      <w:r>
        <w:rPr>
          <w:rFonts w:hint="eastAsia" w:ascii="宋体" w:hAnsi="宋体" w:eastAsia="宋体" w:cs="宋体"/>
          <w:color w:val="auto"/>
          <w:sz w:val="21"/>
          <w:szCs w:val="21"/>
        </w:rPr>
        <w:t>及卸货后空车由驾驶员拍摄</w:t>
      </w:r>
      <w:r>
        <w:rPr>
          <w:rFonts w:hint="eastAsia" w:ascii="宋体" w:hAnsi="宋体" w:eastAsia="宋体" w:cs="宋体"/>
          <w:color w:val="auto"/>
          <w:sz w:val="21"/>
          <w:szCs w:val="21"/>
          <w:lang w:eastAsia="zh-CN"/>
        </w:rPr>
        <w:t>六</w:t>
      </w:r>
      <w:r>
        <w:rPr>
          <w:rFonts w:hint="eastAsia" w:ascii="宋体" w:hAnsi="宋体" w:eastAsia="宋体" w:cs="宋体"/>
          <w:color w:val="auto"/>
          <w:sz w:val="21"/>
          <w:szCs w:val="21"/>
        </w:rPr>
        <w:t>张照片留存。无照片或者</w:t>
      </w:r>
      <w:r>
        <w:rPr>
          <w:rFonts w:hint="eastAsia" w:ascii="宋体" w:hAnsi="宋体" w:eastAsia="宋体" w:cs="宋体"/>
          <w:color w:val="auto"/>
          <w:sz w:val="21"/>
          <w:szCs w:val="21"/>
          <w:lang w:eastAsia="zh-CN"/>
        </w:rPr>
        <w:t>六</w:t>
      </w:r>
      <w:r>
        <w:rPr>
          <w:rFonts w:hint="eastAsia" w:ascii="宋体" w:hAnsi="宋体" w:eastAsia="宋体" w:cs="宋体"/>
          <w:color w:val="auto"/>
          <w:sz w:val="21"/>
          <w:szCs w:val="21"/>
        </w:rPr>
        <w:t>张照片不全的车次甲方有权不予承认。</w:t>
      </w:r>
    </w:p>
    <w:p w14:paraId="04227082">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sz w:val="21"/>
          <w:szCs w:val="21"/>
        </w:rPr>
      </w:pPr>
      <w:r>
        <w:rPr>
          <w:rFonts w:hint="eastAsia" w:ascii="宋体" w:hAnsi="宋体" w:eastAsia="宋体" w:cs="宋体"/>
          <w:b w:val="0"/>
          <w:sz w:val="21"/>
          <w:szCs w:val="21"/>
          <w:lang w:eastAsia="zh-CN"/>
        </w:rPr>
        <w:t>七</w:t>
      </w:r>
      <w:r>
        <w:rPr>
          <w:rFonts w:hint="eastAsia" w:ascii="宋体" w:hAnsi="宋体" w:eastAsia="宋体" w:cs="宋体"/>
          <w:b w:val="0"/>
          <w:sz w:val="21"/>
          <w:szCs w:val="21"/>
        </w:rPr>
        <w:t>、合同的生效</w:t>
      </w:r>
    </w:p>
    <w:p w14:paraId="57693082">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本合同一式六份，经甲、乙双方法定代表人或者委托代理人签字并加盖公章后即生效</w:t>
      </w:r>
      <w:r>
        <w:rPr>
          <w:rFonts w:hint="eastAsia" w:ascii="宋体" w:hAnsi="宋体" w:cs="宋体"/>
          <w:sz w:val="21"/>
          <w:szCs w:val="21"/>
          <w:lang w:eastAsia="zh-CN"/>
        </w:rPr>
        <w:t>，甲方三份，乙方两份，代理公司一份</w:t>
      </w:r>
      <w:r>
        <w:rPr>
          <w:rFonts w:hint="eastAsia" w:ascii="宋体" w:hAnsi="宋体" w:eastAsia="宋体" w:cs="宋体"/>
          <w:sz w:val="21"/>
          <w:szCs w:val="21"/>
        </w:rPr>
        <w:t>。</w:t>
      </w:r>
    </w:p>
    <w:p w14:paraId="7F871BE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合同执行中，若产生纠纷，由甲方所在地的法院或仲裁机构进行管辖。</w:t>
      </w:r>
    </w:p>
    <w:p w14:paraId="433923EE">
      <w:pPr>
        <w:pStyle w:val="115"/>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3、本合同未尽事宜，遵照《中华人民共和国民法典》有关条文执行。</w:t>
      </w:r>
    </w:p>
    <w:p w14:paraId="743D1BB2">
      <w:pPr>
        <w:pStyle w:val="115"/>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甲方：（盖章）                   乙方：（盖章）</w:t>
      </w:r>
    </w:p>
    <w:p w14:paraId="0B0FEB2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法定代表人或者委托代理人        法定代表人或者委托代理人</w:t>
      </w:r>
    </w:p>
    <w:p w14:paraId="0440B86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（签字）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（签字）</w:t>
      </w:r>
    </w:p>
    <w:p w14:paraId="74927669">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签订日期：  年  月  日                   年  月  日</w:t>
      </w:r>
    </w:p>
    <w:p w14:paraId="65C7AA0E">
      <w:pPr>
        <w:rPr>
          <w:rFonts w:hint="eastAsia" w:ascii="宋体" w:hAnsi="宋体" w:cs="宋体"/>
          <w:szCs w:val="21"/>
        </w:rPr>
      </w:pPr>
    </w:p>
    <w:p w14:paraId="348F0D62">
      <w:pPr>
        <w:spacing w:line="560" w:lineRule="exact"/>
        <w:ind w:firstLine="720" w:firstLineChars="300"/>
        <w:rPr>
          <w:rFonts w:hint="eastAsia" w:ascii="宋体" w:hAnsi="宋体" w:eastAsia="宋体" w:cs="宋体"/>
          <w:b/>
          <w:bCs/>
          <w:sz w:val="21"/>
          <w:szCs w:val="21"/>
          <w:highlight w:val="none"/>
        </w:rPr>
      </w:pPr>
      <w:r>
        <w:rPr>
          <w:rStyle w:val="79"/>
          <w:rFonts w:ascii="宋体" w:hAnsi="宋体"/>
          <w:b w:val="0"/>
          <w:i w:val="0"/>
          <w:caps w:val="0"/>
          <w:color w:val="000000"/>
          <w:spacing w:val="0"/>
          <w:w w:val="100"/>
          <w:kern w:val="2"/>
          <w:sz w:val="24"/>
          <w:szCs w:val="22"/>
          <w:highlight w:val="none"/>
          <w:lang w:val="en-US" w:eastAsia="zh-CN" w:bidi="ar-SA"/>
        </w:rPr>
        <w:t xml:space="preserve">  </w:t>
      </w:r>
    </w:p>
    <w:p w14:paraId="530C3756">
      <w:pPr>
        <w:rPr>
          <w:rFonts w:hint="eastAsia" w:ascii="宋体" w:hAnsi="宋体" w:eastAsia="宋体" w:cs="宋体"/>
          <w:sz w:val="21"/>
          <w:szCs w:val="21"/>
          <w:highlight w:val="none"/>
          <w:lang w:val="zh-CN"/>
        </w:rPr>
      </w:pPr>
    </w:p>
    <w:p w14:paraId="68795E09">
      <w:pPr>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br w:type="page"/>
      </w:r>
    </w:p>
    <w:p w14:paraId="15C02EB5">
      <w:pPr>
        <w:pStyle w:val="29"/>
        <w:spacing w:line="360" w:lineRule="auto"/>
        <w:textAlignment w:val="baseline"/>
        <w:outlineLvl w:val="0"/>
        <w:rPr>
          <w:rFonts w:ascii="宋体" w:hAnsi="宋体" w:cs="宋体"/>
          <w:color w:val="auto"/>
          <w:sz w:val="30"/>
          <w:szCs w:val="32"/>
          <w:highlight w:val="none"/>
          <w:lang w:val="zh-CN" w:eastAsia="zh-CN"/>
        </w:rPr>
      </w:pPr>
      <w:r>
        <w:rPr>
          <w:rFonts w:hint="eastAsia" w:ascii="宋体" w:hAnsi="宋体" w:cs="宋体"/>
          <w:color w:val="auto"/>
          <w:sz w:val="32"/>
          <w:szCs w:val="32"/>
          <w:highlight w:val="none"/>
          <w:lang w:eastAsia="zh-CN"/>
        </w:rPr>
        <w:t xml:space="preserve">第五章  </w:t>
      </w:r>
      <w:r>
        <w:rPr>
          <w:rFonts w:hint="eastAsia" w:ascii="宋体" w:hAnsi="宋体" w:cs="宋体"/>
          <w:color w:val="auto"/>
          <w:sz w:val="30"/>
          <w:szCs w:val="32"/>
          <w:highlight w:val="none"/>
          <w:lang w:val="zh-CN" w:eastAsia="zh-CN"/>
        </w:rPr>
        <w:t>评标办法</w:t>
      </w:r>
      <w:bookmarkEnd w:id="69"/>
      <w:bookmarkEnd w:id="70"/>
    </w:p>
    <w:p w14:paraId="5215B69F">
      <w:pPr>
        <w:spacing w:line="360" w:lineRule="auto"/>
        <w:ind w:left="439" w:leftChars="209"/>
        <w:textAlignment w:val="baseline"/>
        <w:rPr>
          <w:rFonts w:ascii="宋体" w:hAnsi="宋体" w:cs="宋体"/>
          <w:color w:val="auto"/>
          <w:sz w:val="20"/>
          <w:highlight w:val="none"/>
        </w:rPr>
      </w:pPr>
      <w:r>
        <w:rPr>
          <w:rFonts w:hint="eastAsia" w:ascii="宋体" w:hAnsi="宋体" w:cs="宋体"/>
          <w:b/>
          <w:color w:val="auto"/>
          <w:szCs w:val="21"/>
          <w:highlight w:val="none"/>
        </w:rPr>
        <w:t>据《中华人民共和国政府采购法》等相关法规特制定以下评标办法。</w:t>
      </w:r>
    </w:p>
    <w:p w14:paraId="5349C4BF">
      <w:pPr>
        <w:spacing w:line="360" w:lineRule="auto"/>
        <w:ind w:firstLine="422" w:firstLineChars="200"/>
        <w:textAlignment w:val="baseline"/>
        <w:rPr>
          <w:rFonts w:ascii="宋体" w:hAnsi="宋体" w:cs="宋体"/>
          <w:b/>
          <w:color w:val="auto"/>
          <w:sz w:val="20"/>
          <w:szCs w:val="21"/>
          <w:highlight w:val="none"/>
        </w:rPr>
      </w:pPr>
      <w:r>
        <w:rPr>
          <w:rFonts w:hint="eastAsia" w:ascii="宋体" w:hAnsi="宋体" w:cs="宋体"/>
          <w:b/>
          <w:color w:val="auto"/>
          <w:szCs w:val="21"/>
          <w:highlight w:val="none"/>
        </w:rPr>
        <w:t>一、评标组织</w:t>
      </w:r>
    </w:p>
    <w:p w14:paraId="3A0783A7">
      <w:pPr>
        <w:snapToGrid w:val="0"/>
        <w:spacing w:line="540" w:lineRule="exact"/>
        <w:ind w:firstLine="420" w:firstLineChars="200"/>
        <w:textAlignment w:val="baseline"/>
        <w:rPr>
          <w:rFonts w:ascii="宋体" w:hAnsi="宋体" w:cs="宋体"/>
          <w:color w:val="auto"/>
          <w:sz w:val="20"/>
          <w:highlight w:val="none"/>
        </w:rPr>
      </w:pPr>
      <w:r>
        <w:rPr>
          <w:rFonts w:hint="eastAsia" w:ascii="宋体" w:hAnsi="宋体" w:cs="宋体"/>
          <w:color w:val="auto"/>
          <w:highlight w:val="none"/>
        </w:rPr>
        <w:t>1.采购人依法组建磋商小组，共3人组成，</w:t>
      </w:r>
      <w:r>
        <w:rPr>
          <w:rFonts w:hint="eastAsia" w:ascii="宋体" w:hAnsi="宋体" w:cs="宋体"/>
          <w:bCs/>
          <w:color w:val="auto"/>
          <w:kern w:val="0"/>
          <w:szCs w:val="21"/>
          <w:highlight w:val="none"/>
        </w:rPr>
        <w:t>由</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名有关经济、技术专家</w:t>
      </w:r>
      <w:r>
        <w:rPr>
          <w:rFonts w:hint="eastAsia" w:ascii="宋体" w:hAnsi="宋体" w:cs="宋体"/>
          <w:bCs/>
          <w:color w:val="auto"/>
          <w:kern w:val="0"/>
          <w:szCs w:val="21"/>
          <w:highlight w:val="none"/>
          <w:lang w:val="en-US" w:eastAsia="zh-CN"/>
        </w:rPr>
        <w:t>和采购人代表1人</w:t>
      </w:r>
      <w:r>
        <w:rPr>
          <w:rFonts w:hint="eastAsia" w:ascii="宋体" w:hAnsi="宋体" w:cs="宋体"/>
          <w:bCs/>
          <w:color w:val="auto"/>
          <w:kern w:val="0"/>
          <w:szCs w:val="21"/>
          <w:highlight w:val="none"/>
        </w:rPr>
        <w:t>组成。</w:t>
      </w:r>
    </w:p>
    <w:p w14:paraId="3753161B">
      <w:pPr>
        <w:spacing w:line="360" w:lineRule="auto"/>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2.询标（如有）期间，磋商供应商法定代表人或法人委托人必须在场，负责解答有关事宜。如不在场，则事后不得对采购过程及结果提出异议。</w:t>
      </w:r>
    </w:p>
    <w:p w14:paraId="3E0A93BE">
      <w:pPr>
        <w:spacing w:line="360" w:lineRule="auto"/>
        <w:ind w:firstLine="422" w:firstLineChars="200"/>
        <w:textAlignment w:val="baseline"/>
        <w:rPr>
          <w:rFonts w:ascii="宋体" w:hAnsi="宋体" w:cs="宋体"/>
          <w:b/>
          <w:color w:val="auto"/>
          <w:sz w:val="20"/>
          <w:szCs w:val="21"/>
          <w:highlight w:val="none"/>
        </w:rPr>
      </w:pPr>
      <w:r>
        <w:rPr>
          <w:rFonts w:hint="eastAsia" w:ascii="宋体" w:hAnsi="宋体" w:cs="宋体"/>
          <w:b/>
          <w:color w:val="auto"/>
          <w:szCs w:val="21"/>
          <w:highlight w:val="none"/>
        </w:rPr>
        <w:t>二、评标原则</w:t>
      </w:r>
    </w:p>
    <w:p w14:paraId="6976DC15">
      <w:pPr>
        <w:spacing w:line="360" w:lineRule="auto"/>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评标工作遵循公平、公正、科学、择优原则和诚实、信誉、效率的服务原则。本着科学、严谨的态度，认真进行评标。择优选用，推进技术进步，确保</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质量、交货按期，节约投资，最大限度的保护当事人权益。严格按照竞争性磋商文件的商务、技术要求，对响应文件进行综合评定，提出优选方案，编写评标报告。对落标单位，磋商小组不做任何落标解释。磋商供应商不得以任何方式干扰招投标工作的进行，一经发现其响应文件将被拒绝。</w:t>
      </w:r>
    </w:p>
    <w:p w14:paraId="32EC00EB">
      <w:pPr>
        <w:spacing w:line="360" w:lineRule="auto"/>
        <w:ind w:firstLine="422" w:firstLineChars="200"/>
        <w:textAlignment w:val="baseline"/>
        <w:rPr>
          <w:rFonts w:ascii="宋体" w:hAnsi="宋体" w:cs="宋体"/>
          <w:b/>
          <w:color w:val="auto"/>
          <w:sz w:val="20"/>
          <w:szCs w:val="21"/>
          <w:highlight w:val="none"/>
        </w:rPr>
      </w:pPr>
      <w:r>
        <w:rPr>
          <w:rFonts w:hint="eastAsia" w:ascii="宋体" w:hAnsi="宋体" w:cs="宋体"/>
          <w:b/>
          <w:color w:val="auto"/>
          <w:szCs w:val="21"/>
          <w:highlight w:val="none"/>
        </w:rPr>
        <w:t>三、评标办法</w:t>
      </w:r>
    </w:p>
    <w:p w14:paraId="1B5EE9E9">
      <w:pPr>
        <w:spacing w:line="360" w:lineRule="auto"/>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1.投标报价是指报价合计。</w:t>
      </w:r>
    </w:p>
    <w:p w14:paraId="55B836D1">
      <w:pPr>
        <w:spacing w:line="360" w:lineRule="auto"/>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2.本项目采用综合评分法，即以</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完全响应招标文件设定的全部责任条款为前提。由磋商小组按招标文件中规定的各项因素进行综合评审，确定综合得分最高的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为中标人。如最高综合得分相同，投标报价低者为中标人；如综合得分和投标报价均相同，则采购单位现场抽签确定中标人。计算结果按四舍五入取小数点后一位。</w:t>
      </w:r>
    </w:p>
    <w:p w14:paraId="022B67D3">
      <w:pPr>
        <w:spacing w:line="360" w:lineRule="auto"/>
        <w:ind w:firstLine="422" w:firstLineChars="200"/>
        <w:textAlignment w:val="baseline"/>
        <w:rPr>
          <w:rFonts w:hint="eastAsia" w:ascii="宋体" w:hAnsi="宋体" w:eastAsia="宋体" w:cs="宋体"/>
          <w:b/>
          <w:bCs/>
          <w:color w:val="auto"/>
          <w:sz w:val="20"/>
          <w:highlight w:val="none"/>
          <w:lang w:eastAsia="zh-CN"/>
        </w:rPr>
      </w:pPr>
      <w:r>
        <w:rPr>
          <w:rFonts w:hint="eastAsia" w:ascii="宋体" w:hAnsi="宋体" w:cs="宋体"/>
          <w:b/>
          <w:bCs/>
          <w:color w:val="auto"/>
          <w:highlight w:val="none"/>
        </w:rPr>
        <w:t>3.评标标准</w:t>
      </w:r>
    </w:p>
    <w:p w14:paraId="59239FAA">
      <w:pPr>
        <w:spacing w:line="500" w:lineRule="exact"/>
        <w:ind w:firstLine="420" w:firstLineChars="200"/>
        <w:textAlignment w:val="baseline"/>
        <w:rPr>
          <w:rFonts w:ascii="宋体" w:hAnsi="宋体" w:cs="宋体"/>
          <w:color w:val="auto"/>
          <w:sz w:val="20"/>
          <w:highlight w:val="none"/>
        </w:rPr>
      </w:pPr>
      <w:r>
        <w:rPr>
          <w:rFonts w:hint="eastAsia" w:ascii="宋体" w:hAnsi="宋体" w:cs="宋体"/>
          <w:color w:val="auto"/>
          <w:highlight w:val="none"/>
        </w:rPr>
        <w:t>各</w:t>
      </w:r>
      <w:r>
        <w:rPr>
          <w:rFonts w:hint="eastAsia" w:ascii="宋体" w:hAnsi="宋体" w:cs="宋体"/>
          <w:color w:val="auto"/>
          <w:highlight w:val="none"/>
          <w:lang w:eastAsia="zh-CN"/>
        </w:rPr>
        <w:t>供应商</w:t>
      </w:r>
      <w:r>
        <w:rPr>
          <w:rFonts w:hint="eastAsia" w:ascii="宋体" w:hAnsi="宋体" w:cs="宋体"/>
          <w:color w:val="auto"/>
          <w:highlight w:val="none"/>
        </w:rPr>
        <w:t>的综合得分为报价得分和技术资信得分之和，总分为100分，其中：报价分</w:t>
      </w:r>
      <w:r>
        <w:rPr>
          <w:rFonts w:hint="eastAsia" w:ascii="宋体" w:hAnsi="宋体" w:cs="宋体"/>
          <w:color w:val="auto"/>
          <w:highlight w:val="none"/>
          <w:lang w:val="en-US" w:eastAsia="zh-CN"/>
        </w:rPr>
        <w:t>20</w:t>
      </w:r>
      <w:r>
        <w:rPr>
          <w:rFonts w:hint="eastAsia" w:ascii="宋体" w:hAnsi="宋体" w:cs="宋体"/>
          <w:color w:val="auto"/>
          <w:highlight w:val="none"/>
        </w:rPr>
        <w:t>分，技术资信分</w:t>
      </w:r>
      <w:r>
        <w:rPr>
          <w:rFonts w:hint="eastAsia" w:ascii="宋体" w:hAnsi="宋体" w:cs="宋体"/>
          <w:color w:val="auto"/>
          <w:highlight w:val="none"/>
          <w:lang w:val="en-US" w:eastAsia="zh-CN"/>
        </w:rPr>
        <w:t>80</w:t>
      </w:r>
      <w:r>
        <w:rPr>
          <w:rFonts w:hint="eastAsia" w:ascii="宋体" w:hAnsi="宋体" w:cs="宋体"/>
          <w:color w:val="auto"/>
          <w:highlight w:val="none"/>
        </w:rPr>
        <w:t>分。各</w:t>
      </w:r>
      <w:r>
        <w:rPr>
          <w:rFonts w:hint="eastAsia" w:ascii="宋体" w:hAnsi="宋体" w:cs="宋体"/>
          <w:color w:val="auto"/>
          <w:highlight w:val="none"/>
          <w:lang w:eastAsia="zh-CN"/>
        </w:rPr>
        <w:t>供应商</w:t>
      </w:r>
      <w:r>
        <w:rPr>
          <w:rFonts w:hint="eastAsia" w:ascii="宋体" w:hAnsi="宋体" w:cs="宋体"/>
          <w:color w:val="auto"/>
          <w:highlight w:val="none"/>
        </w:rPr>
        <w:t>的资信评分由磋商小组统一打分，技术评分按照磋商小组成员的独立评分结果汇总后的算术平均分计算；各</w:t>
      </w:r>
      <w:r>
        <w:rPr>
          <w:rFonts w:hint="eastAsia" w:ascii="宋体" w:hAnsi="宋体" w:cs="宋体"/>
          <w:color w:val="auto"/>
          <w:highlight w:val="none"/>
          <w:lang w:eastAsia="zh-CN"/>
        </w:rPr>
        <w:t>供应商</w:t>
      </w:r>
      <w:r>
        <w:rPr>
          <w:rFonts w:hint="eastAsia" w:ascii="宋体" w:hAnsi="宋体" w:cs="宋体"/>
          <w:color w:val="auto"/>
          <w:highlight w:val="none"/>
        </w:rPr>
        <w:t>的报价分得分按低价优先法计算。</w:t>
      </w:r>
    </w:p>
    <w:p w14:paraId="301D50C0">
      <w:pPr>
        <w:spacing w:line="500" w:lineRule="exact"/>
        <w:ind w:firstLine="420" w:firstLineChars="200"/>
        <w:textAlignment w:val="baseline"/>
        <w:rPr>
          <w:rFonts w:ascii="宋体" w:hAnsi="宋体" w:cs="宋体"/>
          <w:color w:val="auto"/>
          <w:sz w:val="20"/>
          <w:highlight w:val="none"/>
        </w:rPr>
      </w:pPr>
      <w:r>
        <w:rPr>
          <w:rFonts w:hint="eastAsia" w:ascii="宋体" w:hAnsi="宋体" w:cs="宋体"/>
          <w:color w:val="auto"/>
          <w:highlight w:val="none"/>
        </w:rPr>
        <w:t>3.1报价分（</w:t>
      </w:r>
      <w:r>
        <w:rPr>
          <w:rFonts w:hint="eastAsia" w:ascii="宋体" w:hAnsi="宋体" w:cs="宋体"/>
          <w:color w:val="auto"/>
          <w:highlight w:val="none"/>
          <w:lang w:val="en-US" w:eastAsia="zh-CN"/>
        </w:rPr>
        <w:t>20</w:t>
      </w:r>
      <w:r>
        <w:rPr>
          <w:rFonts w:hint="eastAsia" w:ascii="宋体" w:hAnsi="宋体" w:cs="宋体"/>
          <w:color w:val="auto"/>
          <w:highlight w:val="none"/>
        </w:rPr>
        <w:t>分）：</w:t>
      </w:r>
    </w:p>
    <w:p w14:paraId="03FB811E">
      <w:pPr>
        <w:spacing w:line="500" w:lineRule="exact"/>
        <w:ind w:firstLine="420" w:firstLineChars="200"/>
        <w:textAlignment w:val="baseline"/>
        <w:rPr>
          <w:rFonts w:ascii="宋体" w:hAnsi="宋体" w:cs="宋体"/>
          <w:color w:val="auto"/>
          <w:sz w:val="20"/>
          <w:highlight w:val="none"/>
        </w:rPr>
      </w:pPr>
      <w:r>
        <w:rPr>
          <w:rFonts w:hint="eastAsia" w:ascii="宋体" w:hAnsi="宋体" w:cs="宋体"/>
          <w:color w:val="auto"/>
          <w:highlight w:val="none"/>
        </w:rPr>
        <w:t>3.1.1报价分采用低价优先法计算，即满足磋商文件要求且最后报价最低的供应商的价格为磋商基准价。</w:t>
      </w:r>
    </w:p>
    <w:p w14:paraId="6F85E7B1">
      <w:pPr>
        <w:spacing w:line="500" w:lineRule="exact"/>
        <w:ind w:firstLine="420" w:firstLineChars="200"/>
        <w:textAlignment w:val="baseline"/>
        <w:rPr>
          <w:rFonts w:ascii="宋体" w:hAnsi="宋体" w:cs="宋体"/>
          <w:color w:val="auto"/>
          <w:sz w:val="20"/>
          <w:highlight w:val="none"/>
        </w:rPr>
      </w:pPr>
      <w:r>
        <w:rPr>
          <w:rFonts w:hint="eastAsia" w:ascii="宋体" w:hAnsi="宋体" w:cs="宋体"/>
          <w:color w:val="auto"/>
          <w:highlight w:val="none"/>
        </w:rPr>
        <w:t>3.1.2其他供应商的报价分按照下列公式计算：</w:t>
      </w:r>
    </w:p>
    <w:p w14:paraId="059578E0">
      <w:pPr>
        <w:spacing w:line="500" w:lineRule="exact"/>
        <w:ind w:firstLine="420" w:firstLineChars="200"/>
        <w:textAlignment w:val="baseline"/>
        <w:rPr>
          <w:rFonts w:ascii="宋体" w:hAnsi="宋体" w:cs="宋体"/>
          <w:color w:val="auto"/>
          <w:sz w:val="20"/>
          <w:highlight w:val="none"/>
          <w:lang w:val="zh-CN"/>
        </w:rPr>
      </w:pPr>
      <w:r>
        <w:rPr>
          <w:rFonts w:hint="eastAsia" w:ascii="宋体" w:hAnsi="宋体" w:cs="宋体"/>
          <w:color w:val="auto"/>
          <w:highlight w:val="none"/>
        </w:rPr>
        <w:t>磋商报价得分=(磋商基准价／最后磋商报价)×</w:t>
      </w:r>
      <w:r>
        <w:rPr>
          <w:rFonts w:hint="eastAsia" w:ascii="宋体" w:hAnsi="宋体" w:cs="宋体"/>
          <w:color w:val="auto"/>
          <w:highlight w:val="none"/>
          <w:lang w:val="en-US" w:eastAsia="zh-CN"/>
        </w:rPr>
        <w:t>20</w:t>
      </w:r>
      <w:r>
        <w:rPr>
          <w:rFonts w:hint="eastAsia" w:ascii="宋体" w:hAnsi="宋体" w:cs="宋体"/>
          <w:color w:val="auto"/>
          <w:highlight w:val="none"/>
        </w:rPr>
        <w:t>%×100，结果四舍五入后保留两位小数</w:t>
      </w:r>
      <w:r>
        <w:rPr>
          <w:rFonts w:hint="eastAsia" w:ascii="宋体" w:hAnsi="宋体" w:cs="宋体"/>
          <w:color w:val="auto"/>
          <w:highlight w:val="none"/>
          <w:lang w:val="zh-CN"/>
        </w:rPr>
        <w:t>。</w:t>
      </w:r>
    </w:p>
    <w:p w14:paraId="354184ED">
      <w:pPr>
        <w:spacing w:line="420" w:lineRule="exact"/>
        <w:ind w:firstLine="422" w:firstLineChars="200"/>
        <w:jc w:val="left"/>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3.2商务资信技术分(</w:t>
      </w:r>
      <w:r>
        <w:rPr>
          <w:rFonts w:hint="eastAsia" w:ascii="宋体" w:hAnsi="宋体" w:cs="宋体"/>
          <w:b/>
          <w:bCs/>
          <w:color w:val="auto"/>
          <w:szCs w:val="21"/>
          <w:highlight w:val="none"/>
          <w:lang w:val="en-US" w:eastAsia="zh-CN"/>
        </w:rPr>
        <w:t>80</w:t>
      </w:r>
      <w:r>
        <w:rPr>
          <w:rFonts w:hint="eastAsia" w:ascii="宋体" w:hAnsi="宋体" w:cs="宋体"/>
          <w:b/>
          <w:bCs/>
          <w:color w:val="auto"/>
          <w:szCs w:val="21"/>
          <w:highlight w:val="none"/>
        </w:rPr>
        <w:t>分）</w:t>
      </w:r>
    </w:p>
    <w:p w14:paraId="3E0D5E9C">
      <w:pPr>
        <w:pStyle w:val="30"/>
        <w:rPr>
          <w:rFonts w:hint="eastAsia"/>
          <w:highlight w:val="none"/>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64"/>
        <w:gridCol w:w="1545"/>
        <w:gridCol w:w="7020"/>
        <w:gridCol w:w="720"/>
      </w:tblGrid>
      <w:tr w14:paraId="6056D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0" w:hRule="atLeast"/>
        </w:trPr>
        <w:tc>
          <w:tcPr>
            <w:tcW w:w="764" w:type="dxa"/>
            <w:noWrap w:val="0"/>
            <w:vAlign w:val="center"/>
          </w:tcPr>
          <w:p w14:paraId="4F84DC2C">
            <w:pPr>
              <w:spacing w:line="240" w:lineRule="auto"/>
              <w:rPr>
                <w:rFonts w:hint="eastAsia" w:eastAsia="宋体"/>
                <w:sz w:val="21"/>
                <w:szCs w:val="21"/>
                <w:highlight w:val="none"/>
              </w:rPr>
            </w:pPr>
          </w:p>
        </w:tc>
        <w:tc>
          <w:tcPr>
            <w:tcW w:w="1545" w:type="dxa"/>
            <w:noWrap w:val="0"/>
            <w:vAlign w:val="center"/>
          </w:tcPr>
          <w:p w14:paraId="4CB12A0A">
            <w:pPr>
              <w:spacing w:line="240" w:lineRule="auto"/>
              <w:jc w:val="center"/>
              <w:rPr>
                <w:rFonts w:hint="eastAsia" w:eastAsia="宋体"/>
                <w:sz w:val="21"/>
                <w:szCs w:val="21"/>
                <w:highlight w:val="none"/>
              </w:rPr>
            </w:pPr>
            <w:r>
              <w:rPr>
                <w:rFonts w:hint="eastAsia" w:eastAsia="宋体"/>
                <w:sz w:val="21"/>
                <w:szCs w:val="21"/>
                <w:highlight w:val="none"/>
              </w:rPr>
              <w:t>评审项目</w:t>
            </w:r>
          </w:p>
        </w:tc>
        <w:tc>
          <w:tcPr>
            <w:tcW w:w="7020" w:type="dxa"/>
            <w:noWrap w:val="0"/>
            <w:vAlign w:val="center"/>
          </w:tcPr>
          <w:p w14:paraId="7A46CEDE">
            <w:pPr>
              <w:spacing w:line="240" w:lineRule="auto"/>
              <w:rPr>
                <w:rFonts w:hint="eastAsia" w:eastAsia="宋体"/>
                <w:sz w:val="21"/>
                <w:szCs w:val="21"/>
                <w:highlight w:val="none"/>
              </w:rPr>
            </w:pPr>
            <w:r>
              <w:rPr>
                <w:rFonts w:hint="eastAsia" w:eastAsia="宋体"/>
                <w:sz w:val="21"/>
                <w:szCs w:val="21"/>
                <w:highlight w:val="none"/>
              </w:rPr>
              <w:t>评分标准</w:t>
            </w:r>
          </w:p>
        </w:tc>
        <w:tc>
          <w:tcPr>
            <w:tcW w:w="720" w:type="dxa"/>
            <w:noWrap w:val="0"/>
            <w:vAlign w:val="center"/>
          </w:tcPr>
          <w:p w14:paraId="7F081979">
            <w:pPr>
              <w:spacing w:line="240" w:lineRule="auto"/>
              <w:jc w:val="center"/>
              <w:rPr>
                <w:rFonts w:hint="eastAsia" w:eastAsia="宋体"/>
                <w:sz w:val="21"/>
                <w:szCs w:val="21"/>
                <w:highlight w:val="none"/>
              </w:rPr>
            </w:pPr>
            <w:r>
              <w:rPr>
                <w:rFonts w:hint="eastAsia" w:eastAsia="宋体"/>
                <w:sz w:val="21"/>
                <w:szCs w:val="21"/>
                <w:highlight w:val="none"/>
              </w:rPr>
              <w:t>分值</w:t>
            </w:r>
          </w:p>
        </w:tc>
      </w:tr>
      <w:tr w14:paraId="2ED5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0" w:hRule="atLeast"/>
        </w:trPr>
        <w:tc>
          <w:tcPr>
            <w:tcW w:w="764" w:type="dxa"/>
            <w:noWrap w:val="0"/>
            <w:vAlign w:val="center"/>
          </w:tcPr>
          <w:p w14:paraId="442FD430">
            <w:pPr>
              <w:spacing w:line="240" w:lineRule="auto"/>
              <w:rPr>
                <w:rFonts w:hint="eastAsia" w:eastAsia="宋体"/>
                <w:sz w:val="21"/>
                <w:szCs w:val="21"/>
                <w:highlight w:val="none"/>
              </w:rPr>
            </w:pPr>
            <w:r>
              <w:rPr>
                <w:rFonts w:hint="eastAsia" w:eastAsia="宋体"/>
                <w:sz w:val="21"/>
                <w:szCs w:val="21"/>
                <w:highlight w:val="none"/>
              </w:rPr>
              <w:t>资信分</w:t>
            </w:r>
          </w:p>
          <w:p w14:paraId="7B766D23">
            <w:pPr>
              <w:spacing w:line="240" w:lineRule="auto"/>
              <w:rPr>
                <w:rFonts w:hint="eastAsia" w:eastAsia="宋体"/>
                <w:sz w:val="21"/>
                <w:szCs w:val="21"/>
                <w:highlight w:val="none"/>
              </w:rPr>
            </w:pPr>
            <w:r>
              <w:rPr>
                <w:rFonts w:hint="eastAsia" w:eastAsia="宋体"/>
                <w:sz w:val="21"/>
                <w:szCs w:val="21"/>
                <w:highlight w:val="none"/>
              </w:rPr>
              <w:t>（</w:t>
            </w:r>
            <w:r>
              <w:rPr>
                <w:rFonts w:hint="eastAsia"/>
                <w:sz w:val="21"/>
                <w:szCs w:val="21"/>
                <w:highlight w:val="none"/>
                <w:lang w:val="en-US" w:eastAsia="zh-CN"/>
              </w:rPr>
              <w:t>2</w:t>
            </w:r>
            <w:r>
              <w:rPr>
                <w:rFonts w:hint="eastAsia" w:eastAsia="宋体"/>
                <w:sz w:val="21"/>
                <w:szCs w:val="21"/>
                <w:highlight w:val="none"/>
              </w:rPr>
              <w:t>）</w:t>
            </w:r>
          </w:p>
        </w:tc>
        <w:tc>
          <w:tcPr>
            <w:tcW w:w="1545" w:type="dxa"/>
            <w:noWrap w:val="0"/>
            <w:vAlign w:val="center"/>
          </w:tcPr>
          <w:p w14:paraId="4707B2A0">
            <w:pPr>
              <w:spacing w:line="240" w:lineRule="auto"/>
              <w:jc w:val="center"/>
              <w:rPr>
                <w:rFonts w:hint="eastAsia" w:eastAsia="宋体"/>
                <w:sz w:val="21"/>
                <w:szCs w:val="21"/>
                <w:highlight w:val="none"/>
              </w:rPr>
            </w:pPr>
            <w:r>
              <w:rPr>
                <w:rFonts w:hint="eastAsia" w:eastAsia="宋体"/>
                <w:sz w:val="21"/>
                <w:szCs w:val="21"/>
                <w:highlight w:val="none"/>
              </w:rPr>
              <w:t>企业综合实力</w:t>
            </w:r>
          </w:p>
        </w:tc>
        <w:tc>
          <w:tcPr>
            <w:tcW w:w="7020" w:type="dxa"/>
            <w:noWrap w:val="0"/>
            <w:vAlign w:val="center"/>
          </w:tcPr>
          <w:p w14:paraId="3725AD1C">
            <w:pPr>
              <w:spacing w:line="240" w:lineRule="auto"/>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lang w:eastAsia="zh-CN"/>
              </w:rPr>
              <w:t>供应商</w:t>
            </w:r>
            <w:r>
              <w:rPr>
                <w:rFonts w:hint="eastAsia" w:ascii="宋体" w:hAnsi="宋体" w:eastAsia="宋体"/>
                <w:sz w:val="21"/>
                <w:szCs w:val="21"/>
                <w:highlight w:val="none"/>
              </w:rPr>
              <w:t>承诺中标后为本项目人员办理意外伤害险（至少20人以上）或企业团体险得2分。（未购买的意外伤害险的提供承诺书</w:t>
            </w:r>
            <w:r>
              <w:rPr>
                <w:rFonts w:hint="eastAsia" w:ascii="宋体" w:hAnsi="宋体"/>
                <w:sz w:val="21"/>
                <w:szCs w:val="21"/>
                <w:highlight w:val="none"/>
                <w:lang w:eastAsia="zh-CN"/>
              </w:rPr>
              <w:t>（格式自拟）</w:t>
            </w:r>
            <w:r>
              <w:rPr>
                <w:rFonts w:hint="eastAsia" w:ascii="宋体" w:hAnsi="宋体" w:eastAsia="宋体"/>
                <w:sz w:val="21"/>
                <w:szCs w:val="21"/>
                <w:highlight w:val="none"/>
              </w:rPr>
              <w:t>（盖章），已购买的提供企业保险合同原件扫描件，否则不得分）。</w:t>
            </w:r>
          </w:p>
        </w:tc>
        <w:tc>
          <w:tcPr>
            <w:tcW w:w="720" w:type="dxa"/>
            <w:noWrap w:val="0"/>
            <w:vAlign w:val="center"/>
          </w:tcPr>
          <w:p w14:paraId="44C5A699">
            <w:pPr>
              <w:spacing w:line="240"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sz w:val="21"/>
                <w:szCs w:val="21"/>
                <w:highlight w:val="none"/>
              </w:rPr>
              <w:t>2分</w:t>
            </w:r>
          </w:p>
        </w:tc>
      </w:tr>
      <w:tr w14:paraId="3E5A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9" w:hRule="atLeast"/>
        </w:trPr>
        <w:tc>
          <w:tcPr>
            <w:tcW w:w="764" w:type="dxa"/>
            <w:vMerge w:val="restart"/>
            <w:noWrap w:val="0"/>
            <w:vAlign w:val="center"/>
          </w:tcPr>
          <w:p w14:paraId="106B021C">
            <w:pPr>
              <w:spacing w:line="240" w:lineRule="auto"/>
              <w:rPr>
                <w:rFonts w:hint="eastAsia"/>
                <w:sz w:val="21"/>
                <w:szCs w:val="21"/>
                <w:highlight w:val="none"/>
              </w:rPr>
            </w:pPr>
            <w:r>
              <w:rPr>
                <w:rFonts w:hint="eastAsia" w:eastAsia="宋体"/>
                <w:sz w:val="21"/>
                <w:szCs w:val="21"/>
                <w:highlight w:val="none"/>
              </w:rPr>
              <w:t>技术分（</w:t>
            </w:r>
            <w:r>
              <w:rPr>
                <w:rFonts w:hint="eastAsia"/>
                <w:sz w:val="21"/>
                <w:szCs w:val="21"/>
                <w:highlight w:val="none"/>
                <w:lang w:val="en-US" w:eastAsia="zh-CN"/>
              </w:rPr>
              <w:t>78</w:t>
            </w:r>
            <w:r>
              <w:rPr>
                <w:rFonts w:hint="eastAsia" w:eastAsia="宋体"/>
                <w:sz w:val="21"/>
                <w:szCs w:val="21"/>
                <w:highlight w:val="none"/>
              </w:rPr>
              <w:t>）</w:t>
            </w:r>
          </w:p>
        </w:tc>
        <w:tc>
          <w:tcPr>
            <w:tcW w:w="1545" w:type="dxa"/>
            <w:noWrap w:val="0"/>
            <w:vAlign w:val="center"/>
          </w:tcPr>
          <w:p w14:paraId="0BD1E937">
            <w:pPr>
              <w:spacing w:line="240" w:lineRule="auto"/>
              <w:jc w:val="center"/>
              <w:rPr>
                <w:rFonts w:hint="eastAsia" w:ascii="Times New Roman" w:hAnsi="Times New Roman" w:eastAsia="宋体" w:cs="Times New Roman"/>
                <w:kern w:val="2"/>
                <w:sz w:val="21"/>
                <w:szCs w:val="21"/>
                <w:highlight w:val="none"/>
                <w:lang w:val="en-US" w:eastAsia="zh-CN" w:bidi="ar-SA"/>
              </w:rPr>
            </w:pPr>
            <w:r>
              <w:rPr>
                <w:rFonts w:hint="eastAsia" w:eastAsia="宋体"/>
                <w:sz w:val="21"/>
                <w:szCs w:val="21"/>
                <w:highlight w:val="none"/>
              </w:rPr>
              <w:t>规划编制方案</w:t>
            </w:r>
          </w:p>
        </w:tc>
        <w:tc>
          <w:tcPr>
            <w:tcW w:w="7020" w:type="dxa"/>
            <w:noWrap w:val="0"/>
            <w:vAlign w:val="center"/>
          </w:tcPr>
          <w:p w14:paraId="100404BF">
            <w:pPr>
              <w:spacing w:line="240" w:lineRule="auto"/>
              <w:rPr>
                <w:rFonts w:hint="eastAsia" w:eastAsia="宋体"/>
                <w:sz w:val="21"/>
                <w:szCs w:val="21"/>
                <w:highlight w:val="none"/>
              </w:rPr>
            </w:pPr>
            <w:r>
              <w:rPr>
                <w:rFonts w:hint="eastAsia"/>
                <w:sz w:val="21"/>
                <w:szCs w:val="21"/>
                <w:highlight w:val="none"/>
                <w:lang w:eastAsia="zh-CN"/>
              </w:rPr>
              <w:t>供应商</w:t>
            </w:r>
            <w:r>
              <w:rPr>
                <w:rFonts w:hint="eastAsia" w:eastAsia="宋体"/>
                <w:sz w:val="21"/>
                <w:szCs w:val="21"/>
                <w:highlight w:val="none"/>
              </w:rPr>
              <w:t>对编制方案的计划安排、进度安排是否紧凑、合理、可行，能否满足项目工期的要求进行评审。</w:t>
            </w:r>
          </w:p>
          <w:p w14:paraId="0ED23450">
            <w:pPr>
              <w:spacing w:line="240" w:lineRule="auto"/>
              <w:rPr>
                <w:rFonts w:hint="eastAsia" w:eastAsia="宋体"/>
                <w:sz w:val="21"/>
                <w:szCs w:val="21"/>
                <w:highlight w:val="none"/>
              </w:rPr>
            </w:pPr>
            <w:r>
              <w:rPr>
                <w:rFonts w:hint="eastAsia" w:eastAsia="宋体"/>
                <w:sz w:val="21"/>
                <w:szCs w:val="21"/>
                <w:highlight w:val="none"/>
              </w:rPr>
              <w:t>编制的进度方案计划安排、紧凑、合理、可行得</w:t>
            </w:r>
            <w:r>
              <w:rPr>
                <w:rFonts w:hint="eastAsia"/>
                <w:sz w:val="21"/>
                <w:szCs w:val="21"/>
                <w:highlight w:val="none"/>
                <w:lang w:val="en-US" w:eastAsia="zh-CN"/>
              </w:rPr>
              <w:t>4</w:t>
            </w:r>
            <w:r>
              <w:rPr>
                <w:rFonts w:hint="eastAsia" w:eastAsia="宋体"/>
                <w:sz w:val="21"/>
                <w:szCs w:val="21"/>
                <w:highlight w:val="none"/>
              </w:rPr>
              <w:t>-</w:t>
            </w:r>
            <w:r>
              <w:rPr>
                <w:rFonts w:hint="eastAsia"/>
                <w:sz w:val="21"/>
                <w:szCs w:val="21"/>
                <w:highlight w:val="none"/>
                <w:lang w:val="en-US" w:eastAsia="zh-CN"/>
              </w:rPr>
              <w:t>6</w:t>
            </w:r>
            <w:r>
              <w:rPr>
                <w:rFonts w:hint="eastAsia" w:eastAsia="宋体"/>
                <w:sz w:val="21"/>
                <w:szCs w:val="21"/>
                <w:highlight w:val="none"/>
              </w:rPr>
              <w:t>分；</w:t>
            </w:r>
          </w:p>
          <w:p w14:paraId="72987F21">
            <w:pPr>
              <w:spacing w:line="240" w:lineRule="auto"/>
              <w:rPr>
                <w:rFonts w:hint="eastAsia" w:eastAsia="宋体"/>
                <w:sz w:val="21"/>
                <w:szCs w:val="21"/>
                <w:highlight w:val="none"/>
              </w:rPr>
            </w:pPr>
            <w:r>
              <w:rPr>
                <w:rFonts w:hint="eastAsia" w:eastAsia="宋体"/>
                <w:sz w:val="21"/>
                <w:szCs w:val="21"/>
                <w:highlight w:val="none"/>
              </w:rPr>
              <w:t>编制的进度方案计划安排、紧凑、合理、一般可行得</w:t>
            </w:r>
            <w:r>
              <w:rPr>
                <w:rFonts w:hint="eastAsia"/>
                <w:sz w:val="21"/>
                <w:szCs w:val="21"/>
                <w:highlight w:val="none"/>
                <w:lang w:val="en-US" w:eastAsia="zh-CN"/>
              </w:rPr>
              <w:t>2</w:t>
            </w:r>
            <w:r>
              <w:rPr>
                <w:rFonts w:hint="eastAsia" w:eastAsia="宋体"/>
                <w:sz w:val="21"/>
                <w:szCs w:val="21"/>
                <w:highlight w:val="none"/>
              </w:rPr>
              <w:t>-</w:t>
            </w:r>
            <w:r>
              <w:rPr>
                <w:rFonts w:hint="eastAsia"/>
                <w:sz w:val="21"/>
                <w:szCs w:val="21"/>
                <w:highlight w:val="none"/>
                <w:lang w:val="en-US" w:eastAsia="zh-CN"/>
              </w:rPr>
              <w:t>4</w:t>
            </w:r>
            <w:r>
              <w:rPr>
                <w:rFonts w:hint="eastAsia" w:eastAsia="宋体"/>
                <w:sz w:val="21"/>
                <w:szCs w:val="21"/>
                <w:highlight w:val="none"/>
              </w:rPr>
              <w:t>分；</w:t>
            </w:r>
          </w:p>
          <w:p w14:paraId="0634CD29">
            <w:pPr>
              <w:spacing w:line="240" w:lineRule="auto"/>
              <w:rPr>
                <w:rFonts w:hint="eastAsia" w:ascii="Times New Roman" w:hAnsi="Times New Roman" w:eastAsia="宋体" w:cs="Times New Roman"/>
                <w:kern w:val="2"/>
                <w:sz w:val="21"/>
                <w:szCs w:val="21"/>
                <w:highlight w:val="none"/>
                <w:lang w:val="en-US" w:eastAsia="zh-CN" w:bidi="ar-SA"/>
              </w:rPr>
            </w:pPr>
            <w:r>
              <w:rPr>
                <w:rFonts w:hint="eastAsia" w:eastAsia="宋体"/>
                <w:sz w:val="21"/>
                <w:szCs w:val="21"/>
                <w:highlight w:val="none"/>
              </w:rPr>
              <w:t>编制的进度方案计划安排不合理紧凑的0-</w:t>
            </w:r>
            <w:r>
              <w:rPr>
                <w:rFonts w:hint="eastAsia"/>
                <w:sz w:val="21"/>
                <w:szCs w:val="21"/>
                <w:highlight w:val="none"/>
                <w:lang w:val="en-US" w:eastAsia="zh-CN"/>
              </w:rPr>
              <w:t>2</w:t>
            </w:r>
            <w:r>
              <w:rPr>
                <w:rFonts w:hint="eastAsia" w:eastAsia="宋体"/>
                <w:sz w:val="21"/>
                <w:szCs w:val="21"/>
                <w:highlight w:val="none"/>
              </w:rPr>
              <w:t>分；</w:t>
            </w:r>
          </w:p>
        </w:tc>
        <w:tc>
          <w:tcPr>
            <w:tcW w:w="720" w:type="dxa"/>
            <w:noWrap w:val="0"/>
            <w:vAlign w:val="center"/>
          </w:tcPr>
          <w:p w14:paraId="7D23BF48">
            <w:pPr>
              <w:spacing w:line="240" w:lineRule="auto"/>
              <w:jc w:val="center"/>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6</w:t>
            </w:r>
            <w:r>
              <w:rPr>
                <w:rFonts w:hint="eastAsia" w:eastAsia="宋体"/>
                <w:sz w:val="21"/>
                <w:szCs w:val="21"/>
                <w:highlight w:val="none"/>
              </w:rPr>
              <w:t>分</w:t>
            </w:r>
          </w:p>
        </w:tc>
      </w:tr>
      <w:tr w14:paraId="3A92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trPr>
        <w:tc>
          <w:tcPr>
            <w:tcW w:w="764" w:type="dxa"/>
            <w:vMerge w:val="continue"/>
            <w:noWrap w:val="0"/>
            <w:vAlign w:val="center"/>
          </w:tcPr>
          <w:p w14:paraId="675F5F83">
            <w:pPr>
              <w:spacing w:line="240" w:lineRule="auto"/>
              <w:rPr>
                <w:rFonts w:eastAsia="宋体"/>
                <w:sz w:val="21"/>
                <w:szCs w:val="21"/>
                <w:highlight w:val="none"/>
              </w:rPr>
            </w:pPr>
          </w:p>
        </w:tc>
        <w:tc>
          <w:tcPr>
            <w:tcW w:w="1545" w:type="dxa"/>
            <w:noWrap w:val="0"/>
            <w:vAlign w:val="center"/>
          </w:tcPr>
          <w:p w14:paraId="23AC4E4C">
            <w:pPr>
              <w:spacing w:line="240" w:lineRule="auto"/>
              <w:jc w:val="center"/>
              <w:rPr>
                <w:rFonts w:hint="eastAsia" w:eastAsia="宋体"/>
                <w:sz w:val="21"/>
                <w:szCs w:val="21"/>
                <w:highlight w:val="none"/>
              </w:rPr>
            </w:pPr>
            <w:r>
              <w:rPr>
                <w:rFonts w:hint="eastAsia" w:eastAsia="宋体"/>
                <w:sz w:val="21"/>
                <w:szCs w:val="21"/>
                <w:highlight w:val="none"/>
              </w:rPr>
              <w:t>项目整体理解</w:t>
            </w:r>
          </w:p>
        </w:tc>
        <w:tc>
          <w:tcPr>
            <w:tcW w:w="7020" w:type="dxa"/>
            <w:noWrap w:val="0"/>
            <w:vAlign w:val="center"/>
          </w:tcPr>
          <w:p w14:paraId="656E4E79">
            <w:pPr>
              <w:spacing w:line="240" w:lineRule="auto"/>
              <w:rPr>
                <w:rFonts w:hint="eastAsia" w:eastAsia="宋体"/>
                <w:sz w:val="21"/>
                <w:szCs w:val="21"/>
                <w:highlight w:val="none"/>
              </w:rPr>
            </w:pPr>
            <w:r>
              <w:rPr>
                <w:rFonts w:hint="eastAsia" w:eastAsia="宋体"/>
                <w:sz w:val="21"/>
                <w:szCs w:val="21"/>
                <w:highlight w:val="none"/>
              </w:rPr>
              <w:t>对项目背景、现状的理解与分析进行评审；</w:t>
            </w:r>
          </w:p>
          <w:p w14:paraId="43CB6646">
            <w:pPr>
              <w:spacing w:line="240" w:lineRule="auto"/>
              <w:rPr>
                <w:rFonts w:hint="eastAsia" w:eastAsia="宋体"/>
                <w:sz w:val="21"/>
                <w:szCs w:val="21"/>
                <w:highlight w:val="none"/>
              </w:rPr>
            </w:pPr>
            <w:r>
              <w:rPr>
                <w:rFonts w:hint="eastAsia" w:eastAsia="宋体"/>
                <w:sz w:val="21"/>
                <w:szCs w:val="21"/>
                <w:highlight w:val="none"/>
              </w:rPr>
              <w:t>充分对项目背景、现状的理解与分析的得</w:t>
            </w:r>
            <w:r>
              <w:rPr>
                <w:rFonts w:hint="eastAsia"/>
                <w:sz w:val="21"/>
                <w:szCs w:val="21"/>
                <w:highlight w:val="none"/>
                <w:lang w:val="en-US" w:eastAsia="zh-CN"/>
              </w:rPr>
              <w:t>4</w:t>
            </w:r>
            <w:r>
              <w:rPr>
                <w:rFonts w:hint="eastAsia" w:eastAsia="宋体"/>
                <w:sz w:val="21"/>
                <w:szCs w:val="21"/>
                <w:highlight w:val="none"/>
              </w:rPr>
              <w:t>-</w:t>
            </w:r>
            <w:r>
              <w:rPr>
                <w:rFonts w:hint="eastAsia"/>
                <w:sz w:val="21"/>
                <w:szCs w:val="21"/>
                <w:highlight w:val="none"/>
                <w:lang w:val="en-US" w:eastAsia="zh-CN"/>
              </w:rPr>
              <w:t>6</w:t>
            </w:r>
            <w:r>
              <w:rPr>
                <w:rFonts w:hint="eastAsia" w:eastAsia="宋体"/>
                <w:sz w:val="21"/>
                <w:szCs w:val="21"/>
                <w:highlight w:val="none"/>
              </w:rPr>
              <w:t>分；</w:t>
            </w:r>
          </w:p>
          <w:p w14:paraId="5101BA5F">
            <w:pPr>
              <w:spacing w:line="240" w:lineRule="auto"/>
              <w:rPr>
                <w:rFonts w:hint="eastAsia" w:eastAsia="宋体"/>
                <w:sz w:val="21"/>
                <w:szCs w:val="21"/>
                <w:highlight w:val="none"/>
              </w:rPr>
            </w:pPr>
            <w:r>
              <w:rPr>
                <w:rFonts w:hint="eastAsia" w:eastAsia="宋体"/>
                <w:sz w:val="21"/>
                <w:szCs w:val="21"/>
                <w:highlight w:val="none"/>
              </w:rPr>
              <w:t>一般对项目背景、现状理解的得</w:t>
            </w:r>
            <w:r>
              <w:rPr>
                <w:rFonts w:hint="eastAsia" w:eastAsia="宋体"/>
                <w:sz w:val="21"/>
                <w:szCs w:val="21"/>
                <w:highlight w:val="none"/>
                <w:lang w:val="en-US" w:eastAsia="zh-CN"/>
              </w:rPr>
              <w:t>2</w:t>
            </w:r>
            <w:r>
              <w:rPr>
                <w:rFonts w:hint="eastAsia" w:eastAsia="宋体"/>
                <w:sz w:val="21"/>
                <w:szCs w:val="21"/>
                <w:highlight w:val="none"/>
              </w:rPr>
              <w:t>-</w:t>
            </w:r>
            <w:r>
              <w:rPr>
                <w:rFonts w:hint="eastAsia" w:eastAsia="宋体"/>
                <w:sz w:val="21"/>
                <w:szCs w:val="21"/>
                <w:highlight w:val="none"/>
                <w:lang w:val="en-US" w:eastAsia="zh-CN"/>
              </w:rPr>
              <w:t>4</w:t>
            </w:r>
            <w:r>
              <w:rPr>
                <w:rFonts w:hint="eastAsia" w:eastAsia="宋体"/>
                <w:sz w:val="21"/>
                <w:szCs w:val="21"/>
                <w:highlight w:val="none"/>
              </w:rPr>
              <w:t>分；</w:t>
            </w:r>
          </w:p>
          <w:p w14:paraId="258D0E9D">
            <w:pPr>
              <w:spacing w:line="240" w:lineRule="auto"/>
              <w:rPr>
                <w:rFonts w:hint="eastAsia" w:eastAsia="宋体"/>
                <w:sz w:val="21"/>
                <w:szCs w:val="21"/>
                <w:highlight w:val="none"/>
              </w:rPr>
            </w:pPr>
            <w:r>
              <w:rPr>
                <w:rFonts w:hint="eastAsia" w:eastAsia="宋体"/>
                <w:sz w:val="21"/>
                <w:szCs w:val="21"/>
                <w:highlight w:val="none"/>
              </w:rPr>
              <w:t>不理解项目背景、现状得0-</w:t>
            </w:r>
            <w:r>
              <w:rPr>
                <w:rFonts w:hint="eastAsia" w:eastAsia="宋体"/>
                <w:sz w:val="21"/>
                <w:szCs w:val="21"/>
                <w:highlight w:val="none"/>
                <w:lang w:val="en-US" w:eastAsia="zh-CN"/>
              </w:rPr>
              <w:t>2</w:t>
            </w:r>
            <w:r>
              <w:rPr>
                <w:rFonts w:hint="eastAsia" w:eastAsia="宋体"/>
                <w:sz w:val="21"/>
                <w:szCs w:val="21"/>
                <w:highlight w:val="none"/>
              </w:rPr>
              <w:t>分；</w:t>
            </w:r>
          </w:p>
        </w:tc>
        <w:tc>
          <w:tcPr>
            <w:tcW w:w="720" w:type="dxa"/>
            <w:noWrap w:val="0"/>
            <w:vAlign w:val="center"/>
          </w:tcPr>
          <w:p w14:paraId="6A182FA1">
            <w:pPr>
              <w:spacing w:line="240" w:lineRule="auto"/>
              <w:jc w:val="center"/>
              <w:rPr>
                <w:rFonts w:hint="eastAsia" w:eastAsia="宋体"/>
                <w:sz w:val="21"/>
                <w:szCs w:val="21"/>
                <w:highlight w:val="none"/>
              </w:rPr>
            </w:pPr>
            <w:r>
              <w:rPr>
                <w:rFonts w:hint="eastAsia"/>
                <w:sz w:val="21"/>
                <w:szCs w:val="21"/>
                <w:highlight w:val="none"/>
                <w:lang w:val="en-US" w:eastAsia="zh-CN"/>
              </w:rPr>
              <w:t>6</w:t>
            </w:r>
            <w:r>
              <w:rPr>
                <w:rFonts w:hint="eastAsia" w:eastAsia="宋体"/>
                <w:sz w:val="21"/>
                <w:szCs w:val="21"/>
                <w:highlight w:val="none"/>
              </w:rPr>
              <w:t>分</w:t>
            </w:r>
          </w:p>
        </w:tc>
      </w:tr>
      <w:tr w14:paraId="4A6C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1" w:hRule="atLeast"/>
        </w:trPr>
        <w:tc>
          <w:tcPr>
            <w:tcW w:w="764" w:type="dxa"/>
            <w:vMerge w:val="continue"/>
            <w:noWrap w:val="0"/>
            <w:vAlign w:val="center"/>
          </w:tcPr>
          <w:p w14:paraId="4195FD96">
            <w:pPr>
              <w:spacing w:line="240" w:lineRule="auto"/>
              <w:rPr>
                <w:rFonts w:hint="eastAsia" w:eastAsia="宋体"/>
                <w:sz w:val="21"/>
                <w:szCs w:val="21"/>
                <w:highlight w:val="none"/>
              </w:rPr>
            </w:pPr>
          </w:p>
        </w:tc>
        <w:tc>
          <w:tcPr>
            <w:tcW w:w="1545" w:type="dxa"/>
            <w:noWrap w:val="0"/>
            <w:vAlign w:val="center"/>
          </w:tcPr>
          <w:p w14:paraId="36940551">
            <w:pPr>
              <w:spacing w:line="240" w:lineRule="auto"/>
              <w:jc w:val="center"/>
              <w:rPr>
                <w:rFonts w:hint="eastAsia" w:eastAsia="宋体"/>
                <w:sz w:val="21"/>
                <w:szCs w:val="21"/>
                <w:highlight w:val="none"/>
              </w:rPr>
            </w:pPr>
            <w:r>
              <w:rPr>
                <w:rFonts w:hint="eastAsia" w:eastAsia="宋体"/>
                <w:sz w:val="21"/>
                <w:szCs w:val="21"/>
                <w:highlight w:val="none"/>
              </w:rPr>
              <w:t>对本项目清理区域熟悉情况</w:t>
            </w:r>
          </w:p>
        </w:tc>
        <w:tc>
          <w:tcPr>
            <w:tcW w:w="7020" w:type="dxa"/>
            <w:noWrap w:val="0"/>
            <w:vAlign w:val="center"/>
          </w:tcPr>
          <w:p w14:paraId="6A102488">
            <w:pPr>
              <w:spacing w:line="240" w:lineRule="auto"/>
              <w:rPr>
                <w:rFonts w:hint="eastAsia" w:eastAsia="宋体"/>
                <w:sz w:val="21"/>
                <w:szCs w:val="21"/>
                <w:highlight w:val="none"/>
              </w:rPr>
            </w:pPr>
            <w:r>
              <w:rPr>
                <w:rFonts w:hint="eastAsia" w:eastAsia="宋体"/>
                <w:sz w:val="21"/>
                <w:szCs w:val="21"/>
                <w:highlight w:val="none"/>
              </w:rPr>
              <w:t>根据各</w:t>
            </w:r>
            <w:r>
              <w:rPr>
                <w:rFonts w:hint="eastAsia"/>
                <w:sz w:val="21"/>
                <w:szCs w:val="21"/>
                <w:highlight w:val="none"/>
                <w:lang w:eastAsia="zh-CN"/>
              </w:rPr>
              <w:t>供应商</w:t>
            </w:r>
            <w:r>
              <w:rPr>
                <w:rFonts w:hint="eastAsia" w:eastAsia="宋体"/>
                <w:sz w:val="21"/>
                <w:szCs w:val="21"/>
                <w:highlight w:val="none"/>
              </w:rPr>
              <w:t>针对本项目的理解的深度、透彻程度及对清理区域枯死松树分布情况的了解程度，能妥善安排相关工作，是否具有创新的方案及合理化建议，创新及合理化建议的可行性、可操作性等进行评审。</w:t>
            </w:r>
          </w:p>
          <w:p w14:paraId="53B01294">
            <w:pPr>
              <w:spacing w:line="240" w:lineRule="auto"/>
              <w:rPr>
                <w:rFonts w:hint="eastAsia" w:eastAsia="宋体"/>
                <w:sz w:val="21"/>
                <w:szCs w:val="21"/>
                <w:highlight w:val="none"/>
              </w:rPr>
            </w:pPr>
            <w:r>
              <w:rPr>
                <w:rFonts w:hint="eastAsia" w:eastAsia="宋体"/>
                <w:sz w:val="21"/>
                <w:szCs w:val="21"/>
                <w:highlight w:val="none"/>
              </w:rPr>
              <w:t>方案是否有创新、合理、可操作得</w:t>
            </w:r>
            <w:r>
              <w:rPr>
                <w:rFonts w:hint="eastAsia" w:eastAsia="宋体"/>
                <w:sz w:val="21"/>
                <w:szCs w:val="21"/>
                <w:highlight w:val="none"/>
                <w:lang w:val="en-US" w:eastAsia="zh-CN"/>
              </w:rPr>
              <w:t>7-</w:t>
            </w:r>
            <w:r>
              <w:rPr>
                <w:rFonts w:hint="eastAsia"/>
                <w:sz w:val="21"/>
                <w:szCs w:val="21"/>
                <w:highlight w:val="none"/>
                <w:lang w:val="en-US" w:eastAsia="zh-CN"/>
              </w:rPr>
              <w:t>11</w:t>
            </w:r>
            <w:r>
              <w:rPr>
                <w:rFonts w:hint="eastAsia" w:eastAsia="宋体"/>
                <w:sz w:val="21"/>
                <w:szCs w:val="21"/>
                <w:highlight w:val="none"/>
              </w:rPr>
              <w:t>分；</w:t>
            </w:r>
          </w:p>
          <w:p w14:paraId="3FCD1216">
            <w:pPr>
              <w:spacing w:line="240" w:lineRule="auto"/>
              <w:rPr>
                <w:rFonts w:hint="eastAsia" w:eastAsia="宋体"/>
                <w:sz w:val="21"/>
                <w:szCs w:val="21"/>
                <w:highlight w:val="none"/>
              </w:rPr>
            </w:pPr>
            <w:r>
              <w:rPr>
                <w:rFonts w:hint="eastAsia" w:eastAsia="宋体"/>
                <w:sz w:val="21"/>
                <w:szCs w:val="21"/>
                <w:highlight w:val="none"/>
              </w:rPr>
              <w:t>方案一般创新、一般合理、可操作得</w:t>
            </w:r>
            <w:r>
              <w:rPr>
                <w:rFonts w:hint="eastAsia" w:eastAsia="宋体"/>
                <w:sz w:val="21"/>
                <w:szCs w:val="21"/>
                <w:highlight w:val="none"/>
                <w:lang w:val="en-US" w:eastAsia="zh-CN"/>
              </w:rPr>
              <w:t>2</w:t>
            </w:r>
            <w:r>
              <w:rPr>
                <w:rFonts w:hint="eastAsia" w:eastAsia="宋体"/>
                <w:sz w:val="21"/>
                <w:szCs w:val="21"/>
                <w:highlight w:val="none"/>
              </w:rPr>
              <w:t>-</w:t>
            </w:r>
            <w:r>
              <w:rPr>
                <w:rFonts w:hint="eastAsia" w:eastAsia="宋体"/>
                <w:sz w:val="21"/>
                <w:szCs w:val="21"/>
                <w:highlight w:val="none"/>
                <w:lang w:val="en-US" w:eastAsia="zh-CN"/>
              </w:rPr>
              <w:t>7</w:t>
            </w:r>
            <w:r>
              <w:rPr>
                <w:rFonts w:hint="eastAsia" w:eastAsia="宋体"/>
                <w:sz w:val="21"/>
                <w:szCs w:val="21"/>
                <w:highlight w:val="none"/>
              </w:rPr>
              <w:t>分；</w:t>
            </w:r>
          </w:p>
          <w:p w14:paraId="2868AC47">
            <w:pPr>
              <w:spacing w:line="240" w:lineRule="auto"/>
              <w:rPr>
                <w:rFonts w:hint="eastAsia" w:eastAsia="宋体"/>
                <w:sz w:val="21"/>
                <w:szCs w:val="21"/>
                <w:highlight w:val="none"/>
              </w:rPr>
            </w:pPr>
            <w:r>
              <w:rPr>
                <w:rFonts w:hint="eastAsia" w:eastAsia="宋体"/>
                <w:sz w:val="21"/>
                <w:szCs w:val="21"/>
                <w:highlight w:val="none"/>
              </w:rPr>
              <w:t>方案不创新、不可操作得0-</w:t>
            </w:r>
            <w:r>
              <w:rPr>
                <w:rFonts w:hint="eastAsia" w:eastAsia="宋体"/>
                <w:sz w:val="21"/>
                <w:szCs w:val="21"/>
                <w:highlight w:val="none"/>
                <w:lang w:val="en-US" w:eastAsia="zh-CN"/>
              </w:rPr>
              <w:t>2</w:t>
            </w:r>
            <w:r>
              <w:rPr>
                <w:rFonts w:hint="eastAsia" w:eastAsia="宋体"/>
                <w:sz w:val="21"/>
                <w:szCs w:val="21"/>
                <w:highlight w:val="none"/>
              </w:rPr>
              <w:t>分；</w:t>
            </w:r>
          </w:p>
        </w:tc>
        <w:tc>
          <w:tcPr>
            <w:tcW w:w="720" w:type="dxa"/>
            <w:noWrap w:val="0"/>
            <w:vAlign w:val="center"/>
          </w:tcPr>
          <w:p w14:paraId="29149FCE">
            <w:pPr>
              <w:spacing w:line="240" w:lineRule="auto"/>
              <w:jc w:val="center"/>
              <w:rPr>
                <w:rFonts w:hint="eastAsia" w:eastAsia="宋体"/>
                <w:sz w:val="21"/>
                <w:szCs w:val="21"/>
                <w:highlight w:val="none"/>
              </w:rPr>
            </w:pPr>
            <w:r>
              <w:rPr>
                <w:rFonts w:hint="eastAsia"/>
                <w:sz w:val="21"/>
                <w:szCs w:val="21"/>
                <w:highlight w:val="none"/>
                <w:lang w:val="en-US" w:eastAsia="zh-CN"/>
              </w:rPr>
              <w:t>11</w:t>
            </w:r>
            <w:r>
              <w:rPr>
                <w:rFonts w:hint="eastAsia" w:eastAsia="宋体"/>
                <w:sz w:val="21"/>
                <w:szCs w:val="21"/>
                <w:highlight w:val="none"/>
              </w:rPr>
              <w:t>分</w:t>
            </w:r>
          </w:p>
        </w:tc>
      </w:tr>
      <w:tr w14:paraId="21B21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9" w:hRule="atLeast"/>
        </w:trPr>
        <w:tc>
          <w:tcPr>
            <w:tcW w:w="764" w:type="dxa"/>
            <w:vMerge w:val="continue"/>
            <w:noWrap w:val="0"/>
            <w:vAlign w:val="center"/>
          </w:tcPr>
          <w:p w14:paraId="7B1DA863">
            <w:pPr>
              <w:spacing w:line="240" w:lineRule="auto"/>
              <w:rPr>
                <w:rFonts w:eastAsia="宋体"/>
                <w:sz w:val="21"/>
                <w:szCs w:val="21"/>
                <w:highlight w:val="none"/>
              </w:rPr>
            </w:pPr>
          </w:p>
        </w:tc>
        <w:tc>
          <w:tcPr>
            <w:tcW w:w="1545" w:type="dxa"/>
            <w:noWrap w:val="0"/>
            <w:vAlign w:val="center"/>
          </w:tcPr>
          <w:p w14:paraId="673C9856">
            <w:pPr>
              <w:spacing w:line="240" w:lineRule="auto"/>
              <w:jc w:val="center"/>
              <w:rPr>
                <w:rFonts w:hint="eastAsia" w:eastAsia="宋体"/>
                <w:sz w:val="21"/>
                <w:szCs w:val="21"/>
                <w:highlight w:val="none"/>
              </w:rPr>
            </w:pPr>
            <w:r>
              <w:rPr>
                <w:rFonts w:hint="eastAsia" w:eastAsia="宋体"/>
                <w:sz w:val="21"/>
                <w:szCs w:val="21"/>
                <w:highlight w:val="none"/>
              </w:rPr>
              <w:t>项目实施人员情况</w:t>
            </w:r>
          </w:p>
        </w:tc>
        <w:tc>
          <w:tcPr>
            <w:tcW w:w="7020" w:type="dxa"/>
            <w:noWrap w:val="0"/>
            <w:vAlign w:val="center"/>
          </w:tcPr>
          <w:p w14:paraId="53A3D9F4">
            <w:pPr>
              <w:spacing w:line="240" w:lineRule="auto"/>
              <w:rPr>
                <w:rFonts w:hint="eastAsia" w:eastAsia="宋体"/>
                <w:sz w:val="21"/>
                <w:szCs w:val="21"/>
                <w:highlight w:val="none"/>
              </w:rPr>
            </w:pPr>
            <w:r>
              <w:rPr>
                <w:rFonts w:hint="eastAsia" w:eastAsia="宋体"/>
                <w:sz w:val="21"/>
                <w:szCs w:val="21"/>
                <w:highlight w:val="none"/>
              </w:rPr>
              <w:t>根据各</w:t>
            </w:r>
            <w:r>
              <w:rPr>
                <w:rFonts w:hint="eastAsia"/>
                <w:sz w:val="21"/>
                <w:szCs w:val="21"/>
                <w:highlight w:val="none"/>
                <w:lang w:eastAsia="zh-CN"/>
              </w:rPr>
              <w:t>供应商</w:t>
            </w:r>
            <w:r>
              <w:rPr>
                <w:rFonts w:hint="eastAsia" w:eastAsia="宋体"/>
                <w:sz w:val="21"/>
                <w:szCs w:val="21"/>
                <w:highlight w:val="none"/>
              </w:rPr>
              <w:t>项目团队优势情况，项目成员的配置（配置的人员具有意外保险）、服务经验、职责分工、组织协调能力等进行评审。</w:t>
            </w:r>
          </w:p>
          <w:p w14:paraId="054A63E2">
            <w:pPr>
              <w:spacing w:line="240" w:lineRule="auto"/>
              <w:rPr>
                <w:rFonts w:hint="eastAsia" w:eastAsia="宋体"/>
                <w:sz w:val="21"/>
                <w:szCs w:val="21"/>
                <w:highlight w:val="none"/>
              </w:rPr>
            </w:pPr>
            <w:r>
              <w:rPr>
                <w:rFonts w:hint="eastAsia" w:eastAsia="宋体"/>
                <w:sz w:val="21"/>
                <w:szCs w:val="21"/>
                <w:highlight w:val="none"/>
              </w:rPr>
              <w:t>项目团队配备合理、分工明确，经验丰富的得3-</w:t>
            </w:r>
            <w:r>
              <w:rPr>
                <w:rFonts w:hint="eastAsia"/>
                <w:sz w:val="21"/>
                <w:szCs w:val="21"/>
                <w:highlight w:val="none"/>
                <w:lang w:val="en-US" w:eastAsia="zh-CN"/>
              </w:rPr>
              <w:t>6</w:t>
            </w:r>
            <w:r>
              <w:rPr>
                <w:rFonts w:hint="eastAsia" w:eastAsia="宋体"/>
                <w:sz w:val="21"/>
                <w:szCs w:val="21"/>
                <w:highlight w:val="none"/>
              </w:rPr>
              <w:t>分；</w:t>
            </w:r>
          </w:p>
          <w:p w14:paraId="687E8E9C">
            <w:pPr>
              <w:spacing w:line="240" w:lineRule="auto"/>
              <w:rPr>
                <w:rFonts w:hint="eastAsia" w:eastAsia="宋体"/>
                <w:sz w:val="21"/>
                <w:szCs w:val="21"/>
                <w:highlight w:val="none"/>
              </w:rPr>
            </w:pPr>
            <w:r>
              <w:rPr>
                <w:rFonts w:hint="eastAsia" w:eastAsia="宋体"/>
                <w:sz w:val="21"/>
                <w:szCs w:val="21"/>
                <w:highlight w:val="none"/>
              </w:rPr>
              <w:t>项目团队配备较合理、分工、经验一般得1-3分；</w:t>
            </w:r>
          </w:p>
          <w:p w14:paraId="4F7BC83C">
            <w:pPr>
              <w:spacing w:line="240" w:lineRule="auto"/>
              <w:rPr>
                <w:rFonts w:eastAsia="宋体"/>
                <w:sz w:val="21"/>
                <w:szCs w:val="21"/>
                <w:highlight w:val="none"/>
              </w:rPr>
            </w:pPr>
            <w:r>
              <w:rPr>
                <w:rFonts w:hint="eastAsia" w:eastAsia="宋体"/>
                <w:sz w:val="21"/>
                <w:szCs w:val="21"/>
                <w:highlight w:val="none"/>
              </w:rPr>
              <w:t>项目团队配备不合理，经验不足得0-1分；</w:t>
            </w:r>
          </w:p>
        </w:tc>
        <w:tc>
          <w:tcPr>
            <w:tcW w:w="720" w:type="dxa"/>
            <w:noWrap w:val="0"/>
            <w:vAlign w:val="center"/>
          </w:tcPr>
          <w:p w14:paraId="02446B85">
            <w:pPr>
              <w:spacing w:line="240" w:lineRule="auto"/>
              <w:jc w:val="center"/>
              <w:rPr>
                <w:rFonts w:hint="eastAsia" w:eastAsia="宋体"/>
                <w:sz w:val="21"/>
                <w:szCs w:val="21"/>
                <w:highlight w:val="none"/>
              </w:rPr>
            </w:pPr>
            <w:r>
              <w:rPr>
                <w:rFonts w:hint="eastAsia"/>
                <w:sz w:val="21"/>
                <w:szCs w:val="21"/>
                <w:highlight w:val="none"/>
                <w:lang w:val="en-US" w:eastAsia="zh-CN"/>
              </w:rPr>
              <w:t>6</w:t>
            </w:r>
            <w:r>
              <w:rPr>
                <w:rFonts w:hint="eastAsia" w:eastAsia="宋体"/>
                <w:sz w:val="21"/>
                <w:szCs w:val="21"/>
                <w:highlight w:val="none"/>
              </w:rPr>
              <w:t>分</w:t>
            </w:r>
          </w:p>
        </w:tc>
      </w:tr>
      <w:tr w14:paraId="2952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9" w:hRule="atLeast"/>
        </w:trPr>
        <w:tc>
          <w:tcPr>
            <w:tcW w:w="764" w:type="dxa"/>
            <w:vMerge w:val="continue"/>
            <w:noWrap w:val="0"/>
            <w:vAlign w:val="center"/>
          </w:tcPr>
          <w:p w14:paraId="5D851F81">
            <w:pPr>
              <w:spacing w:line="240" w:lineRule="auto"/>
              <w:rPr>
                <w:sz w:val="21"/>
                <w:szCs w:val="21"/>
                <w:highlight w:val="none"/>
              </w:rPr>
            </w:pPr>
          </w:p>
        </w:tc>
        <w:tc>
          <w:tcPr>
            <w:tcW w:w="1545" w:type="dxa"/>
            <w:noWrap w:val="0"/>
            <w:vAlign w:val="center"/>
          </w:tcPr>
          <w:p w14:paraId="06CF964C">
            <w:pPr>
              <w:spacing w:line="240" w:lineRule="auto"/>
              <w:jc w:val="center"/>
              <w:rPr>
                <w:rFonts w:eastAsia="宋体"/>
                <w:sz w:val="21"/>
                <w:szCs w:val="21"/>
                <w:highlight w:val="none"/>
              </w:rPr>
            </w:pPr>
            <w:r>
              <w:rPr>
                <w:rFonts w:hint="eastAsia" w:eastAsia="宋体"/>
                <w:sz w:val="21"/>
                <w:szCs w:val="21"/>
                <w:highlight w:val="none"/>
              </w:rPr>
              <w:t>项目质量的保障措施情况</w:t>
            </w:r>
          </w:p>
        </w:tc>
        <w:tc>
          <w:tcPr>
            <w:tcW w:w="7020" w:type="dxa"/>
            <w:noWrap w:val="0"/>
            <w:vAlign w:val="center"/>
          </w:tcPr>
          <w:p w14:paraId="26C7D4DB">
            <w:pPr>
              <w:spacing w:line="240" w:lineRule="auto"/>
              <w:rPr>
                <w:rFonts w:hint="eastAsia" w:eastAsia="宋体"/>
                <w:sz w:val="21"/>
                <w:szCs w:val="21"/>
                <w:highlight w:val="none"/>
              </w:rPr>
            </w:pPr>
            <w:r>
              <w:rPr>
                <w:rFonts w:hint="eastAsia" w:eastAsia="宋体"/>
                <w:sz w:val="21"/>
                <w:szCs w:val="21"/>
                <w:highlight w:val="none"/>
              </w:rPr>
              <w:t>根据各村枯死木清理易、难、销毁枯死松树枝条、及大条运输到指定地点销毁、以及防治病虫害等质量保证措施进行评审；</w:t>
            </w:r>
          </w:p>
          <w:p w14:paraId="4AA0AC59">
            <w:pPr>
              <w:spacing w:line="240" w:lineRule="auto"/>
              <w:rPr>
                <w:rFonts w:hint="eastAsia" w:eastAsia="宋体"/>
                <w:sz w:val="21"/>
                <w:szCs w:val="21"/>
                <w:highlight w:val="none"/>
              </w:rPr>
            </w:pPr>
            <w:r>
              <w:rPr>
                <w:rFonts w:hint="eastAsia" w:eastAsia="宋体"/>
                <w:sz w:val="21"/>
                <w:szCs w:val="21"/>
                <w:highlight w:val="none"/>
              </w:rPr>
              <w:t>根据编制容易、难清理、防治病虫害措施的质量保证措施可行、合理得</w:t>
            </w:r>
            <w:r>
              <w:rPr>
                <w:rFonts w:hint="eastAsia" w:eastAsia="宋体"/>
                <w:sz w:val="21"/>
                <w:szCs w:val="21"/>
                <w:highlight w:val="none"/>
                <w:lang w:val="en-US" w:eastAsia="zh-CN"/>
              </w:rPr>
              <w:t>4</w:t>
            </w:r>
            <w:r>
              <w:rPr>
                <w:rFonts w:hint="eastAsia" w:eastAsia="宋体"/>
                <w:sz w:val="21"/>
                <w:szCs w:val="21"/>
                <w:highlight w:val="none"/>
              </w:rPr>
              <w:t>-</w:t>
            </w:r>
            <w:r>
              <w:rPr>
                <w:rFonts w:hint="eastAsia"/>
                <w:sz w:val="21"/>
                <w:szCs w:val="21"/>
                <w:highlight w:val="none"/>
                <w:lang w:val="en-US" w:eastAsia="zh-CN"/>
              </w:rPr>
              <w:t>6</w:t>
            </w:r>
            <w:r>
              <w:rPr>
                <w:rFonts w:hint="eastAsia" w:eastAsia="宋体"/>
                <w:sz w:val="21"/>
                <w:szCs w:val="21"/>
                <w:highlight w:val="none"/>
              </w:rPr>
              <w:t>分；</w:t>
            </w:r>
          </w:p>
          <w:p w14:paraId="7C99BEA4">
            <w:pPr>
              <w:spacing w:line="240" w:lineRule="auto"/>
              <w:rPr>
                <w:rFonts w:hint="eastAsia" w:eastAsia="宋体"/>
                <w:sz w:val="21"/>
                <w:szCs w:val="21"/>
                <w:highlight w:val="none"/>
              </w:rPr>
            </w:pPr>
            <w:r>
              <w:rPr>
                <w:rFonts w:hint="eastAsia" w:eastAsia="宋体"/>
                <w:sz w:val="21"/>
                <w:szCs w:val="21"/>
                <w:highlight w:val="none"/>
              </w:rPr>
              <w:t>根据编制容易、难清理的质量保证措施一般可行、合理得</w:t>
            </w:r>
            <w:r>
              <w:rPr>
                <w:rFonts w:hint="eastAsia" w:eastAsia="宋体"/>
                <w:sz w:val="21"/>
                <w:szCs w:val="21"/>
                <w:highlight w:val="none"/>
                <w:lang w:val="en-US" w:eastAsia="zh-CN"/>
              </w:rPr>
              <w:t>2</w:t>
            </w:r>
            <w:r>
              <w:rPr>
                <w:rFonts w:hint="eastAsia" w:eastAsia="宋体"/>
                <w:sz w:val="21"/>
                <w:szCs w:val="21"/>
                <w:highlight w:val="none"/>
              </w:rPr>
              <w:t>-</w:t>
            </w:r>
            <w:r>
              <w:rPr>
                <w:rFonts w:hint="eastAsia" w:eastAsia="宋体"/>
                <w:sz w:val="21"/>
                <w:szCs w:val="21"/>
                <w:highlight w:val="none"/>
                <w:lang w:val="en-US" w:eastAsia="zh-CN"/>
              </w:rPr>
              <w:t>4</w:t>
            </w:r>
            <w:r>
              <w:rPr>
                <w:rFonts w:hint="eastAsia" w:eastAsia="宋体"/>
                <w:sz w:val="21"/>
                <w:szCs w:val="21"/>
                <w:highlight w:val="none"/>
              </w:rPr>
              <w:t>分；</w:t>
            </w:r>
          </w:p>
          <w:p w14:paraId="0277D026">
            <w:pPr>
              <w:spacing w:line="240" w:lineRule="auto"/>
              <w:rPr>
                <w:rFonts w:hint="eastAsia" w:eastAsia="宋体"/>
                <w:sz w:val="21"/>
                <w:szCs w:val="21"/>
                <w:highlight w:val="none"/>
              </w:rPr>
            </w:pPr>
            <w:r>
              <w:rPr>
                <w:rFonts w:hint="eastAsia" w:eastAsia="宋体"/>
                <w:sz w:val="21"/>
                <w:szCs w:val="21"/>
                <w:highlight w:val="none"/>
              </w:rPr>
              <w:t>根据编制容易、难清理的质量保证措施不可行得0-</w:t>
            </w:r>
            <w:r>
              <w:rPr>
                <w:rFonts w:hint="eastAsia" w:eastAsia="宋体"/>
                <w:sz w:val="21"/>
                <w:szCs w:val="21"/>
                <w:highlight w:val="none"/>
                <w:lang w:val="en-US" w:eastAsia="zh-CN"/>
              </w:rPr>
              <w:t>2</w:t>
            </w:r>
            <w:r>
              <w:rPr>
                <w:rFonts w:hint="eastAsia" w:eastAsia="宋体"/>
                <w:sz w:val="21"/>
                <w:szCs w:val="21"/>
                <w:highlight w:val="none"/>
              </w:rPr>
              <w:t>分；</w:t>
            </w:r>
          </w:p>
        </w:tc>
        <w:tc>
          <w:tcPr>
            <w:tcW w:w="720" w:type="dxa"/>
            <w:noWrap w:val="0"/>
            <w:vAlign w:val="center"/>
          </w:tcPr>
          <w:p w14:paraId="0F8C74BD">
            <w:pPr>
              <w:spacing w:line="240" w:lineRule="auto"/>
              <w:jc w:val="center"/>
              <w:rPr>
                <w:rFonts w:hint="eastAsia" w:eastAsia="宋体"/>
                <w:sz w:val="21"/>
                <w:szCs w:val="21"/>
                <w:highlight w:val="none"/>
              </w:rPr>
            </w:pPr>
            <w:r>
              <w:rPr>
                <w:rFonts w:hint="eastAsia"/>
                <w:sz w:val="21"/>
                <w:szCs w:val="21"/>
                <w:highlight w:val="none"/>
                <w:lang w:val="en-US" w:eastAsia="zh-CN"/>
              </w:rPr>
              <w:t>6</w:t>
            </w:r>
            <w:r>
              <w:rPr>
                <w:rFonts w:hint="eastAsia" w:eastAsia="宋体"/>
                <w:sz w:val="21"/>
                <w:szCs w:val="21"/>
                <w:highlight w:val="none"/>
              </w:rPr>
              <w:t>分</w:t>
            </w:r>
          </w:p>
        </w:tc>
      </w:tr>
      <w:tr w14:paraId="4AB39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9" w:hRule="atLeast"/>
        </w:trPr>
        <w:tc>
          <w:tcPr>
            <w:tcW w:w="764" w:type="dxa"/>
            <w:vMerge w:val="continue"/>
            <w:noWrap w:val="0"/>
            <w:vAlign w:val="center"/>
          </w:tcPr>
          <w:p w14:paraId="1D2EFB5C">
            <w:pPr>
              <w:spacing w:line="240" w:lineRule="auto"/>
              <w:rPr>
                <w:rFonts w:hint="eastAsia"/>
                <w:sz w:val="21"/>
                <w:szCs w:val="21"/>
                <w:highlight w:val="none"/>
              </w:rPr>
            </w:pPr>
          </w:p>
        </w:tc>
        <w:tc>
          <w:tcPr>
            <w:tcW w:w="1545" w:type="dxa"/>
            <w:noWrap w:val="0"/>
            <w:vAlign w:val="center"/>
          </w:tcPr>
          <w:p w14:paraId="2A615D05">
            <w:pPr>
              <w:spacing w:line="240" w:lineRule="auto"/>
              <w:jc w:val="center"/>
              <w:rPr>
                <w:rFonts w:hint="eastAsia" w:eastAsia="宋体"/>
                <w:sz w:val="21"/>
                <w:szCs w:val="21"/>
                <w:highlight w:val="none"/>
              </w:rPr>
            </w:pPr>
            <w:r>
              <w:rPr>
                <w:rFonts w:hint="eastAsia" w:eastAsia="宋体"/>
                <w:sz w:val="21"/>
                <w:szCs w:val="21"/>
                <w:highlight w:val="none"/>
              </w:rPr>
              <w:t>安全保障措施</w:t>
            </w:r>
          </w:p>
        </w:tc>
        <w:tc>
          <w:tcPr>
            <w:tcW w:w="7020" w:type="dxa"/>
            <w:noWrap w:val="0"/>
            <w:vAlign w:val="center"/>
          </w:tcPr>
          <w:p w14:paraId="415E24C3">
            <w:pPr>
              <w:spacing w:line="240" w:lineRule="auto"/>
              <w:rPr>
                <w:rFonts w:hint="eastAsia" w:eastAsia="宋体"/>
                <w:sz w:val="21"/>
                <w:szCs w:val="21"/>
                <w:highlight w:val="none"/>
              </w:rPr>
            </w:pPr>
            <w:r>
              <w:rPr>
                <w:rFonts w:hint="eastAsia" w:eastAsia="宋体"/>
                <w:sz w:val="21"/>
                <w:szCs w:val="21"/>
                <w:highlight w:val="none"/>
              </w:rPr>
              <w:t>根据</w:t>
            </w:r>
            <w:r>
              <w:rPr>
                <w:rFonts w:hint="eastAsia"/>
                <w:sz w:val="21"/>
                <w:szCs w:val="21"/>
                <w:highlight w:val="none"/>
                <w:lang w:eastAsia="zh-CN"/>
              </w:rPr>
              <w:t>供应商</w:t>
            </w:r>
            <w:r>
              <w:rPr>
                <w:rFonts w:hint="eastAsia" w:eastAsia="宋体"/>
                <w:sz w:val="21"/>
                <w:szCs w:val="21"/>
                <w:highlight w:val="none"/>
              </w:rPr>
              <w:t>编制的人员安全保证措施、可行性、安全性、购买了意外团队险或其他意外险进行评审。</w:t>
            </w:r>
          </w:p>
          <w:p w14:paraId="1921EB70">
            <w:pPr>
              <w:spacing w:line="240" w:lineRule="auto"/>
              <w:rPr>
                <w:rFonts w:hint="eastAsia" w:eastAsia="宋体"/>
                <w:sz w:val="21"/>
                <w:szCs w:val="21"/>
                <w:highlight w:val="none"/>
              </w:rPr>
            </w:pPr>
            <w:r>
              <w:rPr>
                <w:rFonts w:hint="eastAsia" w:eastAsia="宋体"/>
                <w:sz w:val="21"/>
                <w:szCs w:val="21"/>
                <w:highlight w:val="none"/>
              </w:rPr>
              <w:t>安全保障措施方案可行、安全、并购买了意外团体险种得</w:t>
            </w:r>
            <w:r>
              <w:rPr>
                <w:rFonts w:hint="eastAsia" w:eastAsia="宋体"/>
                <w:sz w:val="21"/>
                <w:szCs w:val="21"/>
                <w:highlight w:val="none"/>
                <w:lang w:val="en-US" w:eastAsia="zh-CN"/>
              </w:rPr>
              <w:t>4</w:t>
            </w:r>
            <w:r>
              <w:rPr>
                <w:rFonts w:hint="eastAsia" w:eastAsia="宋体"/>
                <w:sz w:val="21"/>
                <w:szCs w:val="21"/>
                <w:highlight w:val="none"/>
              </w:rPr>
              <w:t>-</w:t>
            </w:r>
            <w:r>
              <w:rPr>
                <w:rFonts w:hint="eastAsia"/>
                <w:sz w:val="21"/>
                <w:szCs w:val="21"/>
                <w:highlight w:val="none"/>
                <w:lang w:val="en-US" w:eastAsia="zh-CN"/>
              </w:rPr>
              <w:t>6</w:t>
            </w:r>
            <w:r>
              <w:rPr>
                <w:rFonts w:hint="eastAsia" w:eastAsia="宋体"/>
                <w:sz w:val="21"/>
                <w:szCs w:val="21"/>
                <w:highlight w:val="none"/>
              </w:rPr>
              <w:t>分；</w:t>
            </w:r>
          </w:p>
          <w:p w14:paraId="71CFDF9C">
            <w:pPr>
              <w:spacing w:line="240" w:lineRule="auto"/>
              <w:rPr>
                <w:rFonts w:hint="eastAsia" w:eastAsia="宋体"/>
                <w:sz w:val="21"/>
                <w:szCs w:val="21"/>
                <w:highlight w:val="none"/>
              </w:rPr>
            </w:pPr>
            <w:r>
              <w:rPr>
                <w:rFonts w:hint="eastAsia" w:eastAsia="宋体"/>
                <w:sz w:val="21"/>
                <w:szCs w:val="21"/>
                <w:highlight w:val="none"/>
              </w:rPr>
              <w:t>安全保障措施方案一般可行、安全、并购买了意外险种得</w:t>
            </w:r>
            <w:r>
              <w:rPr>
                <w:rFonts w:hint="eastAsia" w:eastAsia="宋体"/>
                <w:sz w:val="21"/>
                <w:szCs w:val="21"/>
                <w:highlight w:val="none"/>
                <w:lang w:val="en-US" w:eastAsia="zh-CN"/>
              </w:rPr>
              <w:t>2</w:t>
            </w:r>
            <w:r>
              <w:rPr>
                <w:rFonts w:hint="eastAsia" w:eastAsia="宋体"/>
                <w:sz w:val="21"/>
                <w:szCs w:val="21"/>
                <w:highlight w:val="none"/>
              </w:rPr>
              <w:t>-</w:t>
            </w:r>
            <w:r>
              <w:rPr>
                <w:rFonts w:hint="eastAsia" w:eastAsia="宋体"/>
                <w:sz w:val="21"/>
                <w:szCs w:val="21"/>
                <w:highlight w:val="none"/>
                <w:lang w:val="en-US" w:eastAsia="zh-CN"/>
              </w:rPr>
              <w:t>4</w:t>
            </w:r>
            <w:r>
              <w:rPr>
                <w:rFonts w:hint="eastAsia" w:eastAsia="宋体"/>
                <w:sz w:val="21"/>
                <w:szCs w:val="21"/>
                <w:highlight w:val="none"/>
              </w:rPr>
              <w:t>分；</w:t>
            </w:r>
          </w:p>
          <w:p w14:paraId="2391461E">
            <w:pPr>
              <w:spacing w:line="240" w:lineRule="auto"/>
              <w:rPr>
                <w:rFonts w:hint="eastAsia" w:eastAsia="宋体"/>
                <w:sz w:val="21"/>
                <w:szCs w:val="21"/>
                <w:highlight w:val="none"/>
              </w:rPr>
            </w:pPr>
            <w:r>
              <w:rPr>
                <w:rFonts w:hint="eastAsia" w:eastAsia="宋体"/>
                <w:sz w:val="21"/>
                <w:szCs w:val="21"/>
                <w:highlight w:val="none"/>
              </w:rPr>
              <w:t>安全保障措施方案不可行、不安全、未购买意外险种得0-</w:t>
            </w:r>
            <w:r>
              <w:rPr>
                <w:rFonts w:hint="eastAsia" w:eastAsia="宋体"/>
                <w:sz w:val="21"/>
                <w:szCs w:val="21"/>
                <w:highlight w:val="none"/>
                <w:lang w:val="en-US" w:eastAsia="zh-CN"/>
              </w:rPr>
              <w:t>2</w:t>
            </w:r>
            <w:r>
              <w:rPr>
                <w:rFonts w:hint="eastAsia" w:eastAsia="宋体"/>
                <w:sz w:val="21"/>
                <w:szCs w:val="21"/>
                <w:highlight w:val="none"/>
              </w:rPr>
              <w:t>分；</w:t>
            </w:r>
          </w:p>
        </w:tc>
        <w:tc>
          <w:tcPr>
            <w:tcW w:w="720" w:type="dxa"/>
            <w:noWrap w:val="0"/>
            <w:vAlign w:val="center"/>
          </w:tcPr>
          <w:p w14:paraId="2BCA6180">
            <w:pPr>
              <w:spacing w:line="240" w:lineRule="auto"/>
              <w:jc w:val="center"/>
              <w:rPr>
                <w:rFonts w:hint="eastAsia" w:eastAsia="宋体"/>
                <w:sz w:val="21"/>
                <w:szCs w:val="21"/>
                <w:highlight w:val="none"/>
              </w:rPr>
            </w:pPr>
            <w:r>
              <w:rPr>
                <w:rFonts w:hint="eastAsia"/>
                <w:sz w:val="21"/>
                <w:szCs w:val="21"/>
                <w:highlight w:val="none"/>
                <w:lang w:val="en-US" w:eastAsia="zh-CN"/>
              </w:rPr>
              <w:t>6</w:t>
            </w:r>
            <w:r>
              <w:rPr>
                <w:rFonts w:hint="eastAsia" w:eastAsia="宋体"/>
                <w:sz w:val="21"/>
                <w:szCs w:val="21"/>
                <w:highlight w:val="none"/>
              </w:rPr>
              <w:t>分</w:t>
            </w:r>
          </w:p>
        </w:tc>
      </w:tr>
      <w:tr w14:paraId="1CBC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9" w:hRule="atLeast"/>
        </w:trPr>
        <w:tc>
          <w:tcPr>
            <w:tcW w:w="764" w:type="dxa"/>
            <w:vMerge w:val="continue"/>
            <w:noWrap w:val="0"/>
            <w:vAlign w:val="center"/>
          </w:tcPr>
          <w:p w14:paraId="2D6063A8">
            <w:pPr>
              <w:spacing w:line="240" w:lineRule="auto"/>
              <w:rPr>
                <w:rFonts w:hint="eastAsia"/>
                <w:sz w:val="21"/>
                <w:szCs w:val="21"/>
                <w:highlight w:val="none"/>
              </w:rPr>
            </w:pPr>
          </w:p>
        </w:tc>
        <w:tc>
          <w:tcPr>
            <w:tcW w:w="1545" w:type="dxa"/>
            <w:noWrap w:val="0"/>
            <w:vAlign w:val="center"/>
          </w:tcPr>
          <w:p w14:paraId="6596BEAD">
            <w:pPr>
              <w:pStyle w:val="25"/>
              <w:spacing w:line="240" w:lineRule="auto"/>
              <w:ind w:firstLine="0" w:firstLineChars="0"/>
              <w:jc w:val="both"/>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olor w:val="auto"/>
                <w:sz w:val="21"/>
                <w:szCs w:val="21"/>
                <w:highlight w:val="none"/>
                <w:lang w:val="en-US" w:eastAsia="zh-CN"/>
              </w:rPr>
              <w:t>工期保证措施</w:t>
            </w:r>
          </w:p>
        </w:tc>
        <w:tc>
          <w:tcPr>
            <w:tcW w:w="7020" w:type="dxa"/>
            <w:noWrap w:val="0"/>
            <w:vAlign w:val="center"/>
          </w:tcPr>
          <w:p w14:paraId="0B0B78B0">
            <w:pPr>
              <w:pStyle w:val="25"/>
              <w:spacing w:line="240" w:lineRule="auto"/>
              <w:ind w:firstLine="0" w:firstLineChars="0"/>
              <w:jc w:val="both"/>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供应商按照采购人的要求，针对第二轮清理提供详实的进度计划。根据进度计划安排的合理性进行评审；</w:t>
            </w:r>
          </w:p>
          <w:p w14:paraId="16F202B8">
            <w:pPr>
              <w:pStyle w:val="25"/>
              <w:spacing w:line="240" w:lineRule="auto"/>
              <w:ind w:firstLine="0" w:firstLineChars="0"/>
              <w:jc w:val="both"/>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编制的工期计划、安排合理、可行得4-7分；</w:t>
            </w:r>
          </w:p>
          <w:p w14:paraId="5C855488">
            <w:pPr>
              <w:pStyle w:val="25"/>
              <w:spacing w:line="240" w:lineRule="auto"/>
              <w:ind w:firstLine="0" w:firstLineChars="0"/>
              <w:jc w:val="both"/>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编制的工期计划、安排一般合理、一般可行得2-4分；</w:t>
            </w:r>
          </w:p>
          <w:p w14:paraId="4C98034B">
            <w:pPr>
              <w:pStyle w:val="25"/>
              <w:spacing w:line="240" w:lineRule="auto"/>
              <w:ind w:firstLine="0" w:firstLineChars="0"/>
              <w:jc w:val="both"/>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olor w:val="auto"/>
                <w:sz w:val="21"/>
                <w:szCs w:val="21"/>
                <w:highlight w:val="none"/>
                <w:lang w:val="en-US" w:eastAsia="zh-CN"/>
              </w:rPr>
              <w:t>编制的工期计划不合理、不可行得0-2分</w:t>
            </w:r>
          </w:p>
        </w:tc>
        <w:tc>
          <w:tcPr>
            <w:tcW w:w="720" w:type="dxa"/>
            <w:noWrap w:val="0"/>
            <w:vAlign w:val="center"/>
          </w:tcPr>
          <w:p w14:paraId="2593753A">
            <w:pPr>
              <w:spacing w:line="240" w:lineRule="auto"/>
              <w:jc w:val="center"/>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7</w:t>
            </w:r>
            <w:r>
              <w:rPr>
                <w:rFonts w:hint="eastAsia" w:eastAsia="宋体"/>
                <w:sz w:val="21"/>
                <w:szCs w:val="21"/>
                <w:highlight w:val="none"/>
              </w:rPr>
              <w:t>分</w:t>
            </w:r>
          </w:p>
        </w:tc>
      </w:tr>
      <w:tr w14:paraId="6C127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0" w:hRule="atLeast"/>
        </w:trPr>
        <w:tc>
          <w:tcPr>
            <w:tcW w:w="764" w:type="dxa"/>
            <w:vMerge w:val="continue"/>
            <w:noWrap w:val="0"/>
            <w:vAlign w:val="center"/>
          </w:tcPr>
          <w:p w14:paraId="6633F115">
            <w:pPr>
              <w:spacing w:line="240" w:lineRule="auto"/>
              <w:rPr>
                <w:rFonts w:hint="eastAsia" w:eastAsia="宋体"/>
                <w:sz w:val="21"/>
                <w:szCs w:val="21"/>
                <w:highlight w:val="none"/>
              </w:rPr>
            </w:pPr>
          </w:p>
        </w:tc>
        <w:tc>
          <w:tcPr>
            <w:tcW w:w="1545" w:type="dxa"/>
            <w:noWrap w:val="0"/>
            <w:vAlign w:val="center"/>
          </w:tcPr>
          <w:p w14:paraId="5D0DF739">
            <w:pPr>
              <w:pStyle w:val="25"/>
              <w:spacing w:line="240" w:lineRule="auto"/>
              <w:ind w:firstLine="0" w:firstLineChars="0"/>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针对本项目的应急预案</w:t>
            </w:r>
          </w:p>
        </w:tc>
        <w:tc>
          <w:tcPr>
            <w:tcW w:w="7020" w:type="dxa"/>
            <w:noWrap w:val="0"/>
            <w:vAlign w:val="center"/>
          </w:tcPr>
          <w:p w14:paraId="164D0D21">
            <w:pPr>
              <w:pStyle w:val="25"/>
              <w:spacing w:line="240" w:lineRule="auto"/>
              <w:ind w:firstLine="0" w:firstLineChars="0"/>
              <w:jc w:val="both"/>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根据投标文件中突发事件的应急抢险方案（包括应急抢险队伍的组织，大风季节、森林火灾、雨雪天气的预防、抢险措施）进行评审；</w:t>
            </w:r>
          </w:p>
          <w:p w14:paraId="5AD9DA01">
            <w:pPr>
              <w:pStyle w:val="25"/>
              <w:spacing w:line="240" w:lineRule="auto"/>
              <w:ind w:firstLine="0" w:firstLineChars="0"/>
              <w:jc w:val="both"/>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方案中针对突发事件的应急抢险方案可行得4-7分；</w:t>
            </w:r>
          </w:p>
          <w:p w14:paraId="70C257BF">
            <w:pPr>
              <w:pStyle w:val="25"/>
              <w:spacing w:line="240" w:lineRule="auto"/>
              <w:ind w:firstLine="0" w:firstLineChars="0"/>
              <w:jc w:val="both"/>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方案中针对突发事件的应急抢险方案一般可行得2-4分；</w:t>
            </w:r>
          </w:p>
          <w:p w14:paraId="620AA525">
            <w:pPr>
              <w:pStyle w:val="25"/>
              <w:spacing w:line="240" w:lineRule="auto"/>
              <w:ind w:firstLine="0" w:firstLineChars="0"/>
              <w:jc w:val="both"/>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方案中针对突发事件的应急抢险方案不可行得0-2分；</w:t>
            </w:r>
          </w:p>
        </w:tc>
        <w:tc>
          <w:tcPr>
            <w:tcW w:w="720" w:type="dxa"/>
            <w:noWrap w:val="0"/>
            <w:vAlign w:val="center"/>
          </w:tcPr>
          <w:p w14:paraId="70D9DB7A">
            <w:pPr>
              <w:spacing w:line="240" w:lineRule="auto"/>
              <w:jc w:val="center"/>
              <w:rPr>
                <w:rFonts w:hint="eastAsia" w:eastAsia="宋体"/>
                <w:sz w:val="21"/>
                <w:szCs w:val="21"/>
                <w:highlight w:val="none"/>
              </w:rPr>
            </w:pPr>
            <w:r>
              <w:rPr>
                <w:rFonts w:hint="eastAsia" w:eastAsia="宋体"/>
                <w:sz w:val="21"/>
                <w:szCs w:val="21"/>
                <w:highlight w:val="none"/>
                <w:lang w:val="en-US" w:eastAsia="zh-CN"/>
              </w:rPr>
              <w:t>7</w:t>
            </w:r>
            <w:r>
              <w:rPr>
                <w:rFonts w:hint="eastAsia" w:eastAsia="宋体"/>
                <w:sz w:val="21"/>
                <w:szCs w:val="21"/>
                <w:highlight w:val="none"/>
              </w:rPr>
              <w:t>分</w:t>
            </w:r>
          </w:p>
        </w:tc>
      </w:tr>
      <w:tr w14:paraId="3E92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0" w:hRule="atLeast"/>
        </w:trPr>
        <w:tc>
          <w:tcPr>
            <w:tcW w:w="764" w:type="dxa"/>
            <w:vMerge w:val="continue"/>
            <w:noWrap w:val="0"/>
            <w:vAlign w:val="center"/>
          </w:tcPr>
          <w:p w14:paraId="55F245AE">
            <w:pPr>
              <w:spacing w:line="240" w:lineRule="auto"/>
              <w:rPr>
                <w:rFonts w:eastAsia="宋体"/>
                <w:sz w:val="21"/>
                <w:szCs w:val="21"/>
                <w:highlight w:val="none"/>
              </w:rPr>
            </w:pPr>
          </w:p>
        </w:tc>
        <w:tc>
          <w:tcPr>
            <w:tcW w:w="1545" w:type="dxa"/>
            <w:noWrap w:val="0"/>
            <w:vAlign w:val="center"/>
          </w:tcPr>
          <w:p w14:paraId="0A95DEB0">
            <w:pPr>
              <w:pStyle w:val="25"/>
              <w:spacing w:line="240" w:lineRule="auto"/>
              <w:ind w:firstLine="0" w:firstLineChars="0"/>
              <w:jc w:val="both"/>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服务配合及合理化建议</w:t>
            </w:r>
          </w:p>
        </w:tc>
        <w:tc>
          <w:tcPr>
            <w:tcW w:w="7020" w:type="dxa"/>
            <w:noWrap w:val="0"/>
            <w:vAlign w:val="center"/>
          </w:tcPr>
          <w:p w14:paraId="7DA01FD8">
            <w:pPr>
              <w:pStyle w:val="25"/>
              <w:spacing w:line="240" w:lineRule="auto"/>
              <w:ind w:firstLine="0" w:firstLineChars="0"/>
              <w:jc w:val="both"/>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由评标委员会根据供应商针对采购人如何做好配合采购人完成服务内容、针对验收后续工作提出建议或整改措施，并作出各项服务承诺综合打分。</w:t>
            </w:r>
          </w:p>
          <w:p w14:paraId="668FD853">
            <w:pPr>
              <w:pStyle w:val="25"/>
              <w:spacing w:line="240" w:lineRule="auto"/>
              <w:ind w:firstLine="0" w:firstLineChars="0"/>
              <w:jc w:val="both"/>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内容全面合理可行，针对性强得4-7分；内容基本全面合理可行，有一定针对性得2-4分；内容有缺漏、方案欠合理，无针对性得0-2分。</w:t>
            </w:r>
          </w:p>
        </w:tc>
        <w:tc>
          <w:tcPr>
            <w:tcW w:w="720" w:type="dxa"/>
            <w:noWrap w:val="0"/>
            <w:vAlign w:val="center"/>
          </w:tcPr>
          <w:p w14:paraId="6F8D905B">
            <w:pPr>
              <w:spacing w:line="240" w:lineRule="auto"/>
              <w:jc w:val="center"/>
              <w:rPr>
                <w:rFonts w:hint="eastAsia" w:eastAsia="宋体"/>
                <w:sz w:val="21"/>
                <w:szCs w:val="21"/>
                <w:highlight w:val="none"/>
                <w:lang w:val="en-US" w:eastAsia="zh-CN"/>
              </w:rPr>
            </w:pPr>
            <w:r>
              <w:rPr>
                <w:rFonts w:hint="eastAsia" w:eastAsia="宋体"/>
                <w:sz w:val="21"/>
                <w:szCs w:val="21"/>
                <w:highlight w:val="none"/>
                <w:lang w:val="en-US" w:eastAsia="zh-CN"/>
              </w:rPr>
              <w:t>7分</w:t>
            </w:r>
          </w:p>
        </w:tc>
      </w:tr>
      <w:tr w14:paraId="7E9AA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6" w:hRule="atLeast"/>
        </w:trPr>
        <w:tc>
          <w:tcPr>
            <w:tcW w:w="764" w:type="dxa"/>
            <w:vMerge w:val="continue"/>
            <w:noWrap w:val="0"/>
            <w:vAlign w:val="center"/>
          </w:tcPr>
          <w:p w14:paraId="6578B615">
            <w:pPr>
              <w:spacing w:line="240" w:lineRule="auto"/>
              <w:rPr>
                <w:rFonts w:hint="eastAsia" w:eastAsia="宋体"/>
                <w:sz w:val="21"/>
                <w:szCs w:val="21"/>
                <w:highlight w:val="none"/>
              </w:rPr>
            </w:pPr>
          </w:p>
        </w:tc>
        <w:tc>
          <w:tcPr>
            <w:tcW w:w="1545" w:type="dxa"/>
            <w:noWrap w:val="0"/>
            <w:vAlign w:val="center"/>
          </w:tcPr>
          <w:p w14:paraId="5FB55D83">
            <w:pPr>
              <w:pStyle w:val="25"/>
              <w:spacing w:line="240" w:lineRule="auto"/>
              <w:ind w:firstLine="0" w:firstLineChars="0"/>
              <w:jc w:val="both"/>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砍伐技术方案</w:t>
            </w:r>
          </w:p>
        </w:tc>
        <w:tc>
          <w:tcPr>
            <w:tcW w:w="7020" w:type="dxa"/>
            <w:noWrap w:val="0"/>
            <w:vAlign w:val="center"/>
          </w:tcPr>
          <w:p w14:paraId="15AEC71D">
            <w:pPr>
              <w:pStyle w:val="25"/>
              <w:spacing w:line="240" w:lineRule="auto"/>
              <w:ind w:firstLine="0" w:firstLineChars="0"/>
              <w:jc w:val="both"/>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砍伐技术措施方案可行性、可操作性以及进场开工组织方案，施工技术路线、砍伐时间最优方案等情况进行评审；</w:t>
            </w:r>
          </w:p>
          <w:p w14:paraId="6D56BE2B">
            <w:pPr>
              <w:pStyle w:val="25"/>
              <w:spacing w:line="240" w:lineRule="auto"/>
              <w:ind w:firstLine="0" w:firstLineChars="0"/>
              <w:jc w:val="both"/>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针对砍伐技术措施方案具有可行性、可操作性、开工组织方案，施工技术路线、砍伐时间优的得4-7分；</w:t>
            </w:r>
          </w:p>
          <w:p w14:paraId="6C5685A5">
            <w:pPr>
              <w:pStyle w:val="25"/>
              <w:spacing w:line="240" w:lineRule="auto"/>
              <w:ind w:firstLine="0" w:firstLineChars="0"/>
              <w:jc w:val="both"/>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针对砍伐技术措施方案一般可行、可操作的、进场开工组织方案，施工技术路线一般的得2-4分；</w:t>
            </w:r>
          </w:p>
          <w:p w14:paraId="023C5764">
            <w:pPr>
              <w:pStyle w:val="25"/>
              <w:spacing w:line="240" w:lineRule="auto"/>
              <w:ind w:firstLine="0" w:firstLineChars="0"/>
              <w:jc w:val="both"/>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砍伐技术措施方案不可行、不可操作性得0-2分；</w:t>
            </w:r>
          </w:p>
        </w:tc>
        <w:tc>
          <w:tcPr>
            <w:tcW w:w="720" w:type="dxa"/>
            <w:noWrap w:val="0"/>
            <w:vAlign w:val="center"/>
          </w:tcPr>
          <w:p w14:paraId="4468E31B">
            <w:pPr>
              <w:spacing w:line="240" w:lineRule="auto"/>
              <w:jc w:val="center"/>
              <w:rPr>
                <w:rFonts w:hint="eastAsia" w:eastAsia="宋体"/>
                <w:sz w:val="21"/>
                <w:szCs w:val="21"/>
                <w:highlight w:val="none"/>
              </w:rPr>
            </w:pPr>
            <w:r>
              <w:rPr>
                <w:rFonts w:hint="eastAsia" w:eastAsia="宋体"/>
                <w:sz w:val="21"/>
                <w:szCs w:val="21"/>
                <w:highlight w:val="none"/>
                <w:lang w:val="en-US" w:eastAsia="zh-CN"/>
              </w:rPr>
              <w:t>7</w:t>
            </w:r>
            <w:r>
              <w:rPr>
                <w:rFonts w:hint="eastAsia" w:eastAsia="宋体"/>
                <w:sz w:val="21"/>
                <w:szCs w:val="21"/>
                <w:highlight w:val="none"/>
              </w:rPr>
              <w:t>分</w:t>
            </w:r>
          </w:p>
        </w:tc>
      </w:tr>
      <w:tr w14:paraId="140B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5" w:hRule="atLeast"/>
        </w:trPr>
        <w:tc>
          <w:tcPr>
            <w:tcW w:w="764" w:type="dxa"/>
            <w:vMerge w:val="continue"/>
            <w:noWrap w:val="0"/>
            <w:vAlign w:val="center"/>
          </w:tcPr>
          <w:p w14:paraId="27780212">
            <w:pPr>
              <w:spacing w:line="240" w:lineRule="auto"/>
              <w:rPr>
                <w:rFonts w:eastAsia="宋体"/>
                <w:sz w:val="21"/>
                <w:szCs w:val="21"/>
                <w:highlight w:val="none"/>
              </w:rPr>
            </w:pPr>
          </w:p>
        </w:tc>
        <w:tc>
          <w:tcPr>
            <w:tcW w:w="1545" w:type="dxa"/>
            <w:noWrap w:val="0"/>
            <w:vAlign w:val="center"/>
          </w:tcPr>
          <w:p w14:paraId="1463A574">
            <w:pPr>
              <w:pStyle w:val="25"/>
              <w:spacing w:line="240" w:lineRule="auto"/>
              <w:ind w:firstLine="0" w:firstLineChars="0"/>
              <w:jc w:val="both"/>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拟投入实施设备情况</w:t>
            </w:r>
          </w:p>
        </w:tc>
        <w:tc>
          <w:tcPr>
            <w:tcW w:w="7020" w:type="dxa"/>
            <w:noWrap w:val="0"/>
            <w:vAlign w:val="center"/>
          </w:tcPr>
          <w:p w14:paraId="30662FEC">
            <w:pPr>
              <w:pStyle w:val="25"/>
              <w:spacing w:line="240" w:lineRule="auto"/>
              <w:ind w:firstLine="0" w:firstLineChars="0"/>
              <w:jc w:val="both"/>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根据供应商拟投入本项目设备的情况、伐木油锯套数、运输车辆情况（轻型或小型货车），可提供车辆照片、行驶证、车辆租赁合同、设备清单、发票或照片进行评审；</w:t>
            </w:r>
          </w:p>
          <w:p w14:paraId="437402D3">
            <w:pPr>
              <w:pStyle w:val="25"/>
              <w:spacing w:line="240" w:lineRule="auto"/>
              <w:ind w:firstLine="0" w:firstLineChars="0"/>
              <w:jc w:val="both"/>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拟投入的设备满足本项目需求（有证明材料并齐全）的得4-7分；</w:t>
            </w:r>
          </w:p>
          <w:p w14:paraId="4E09BF9E">
            <w:pPr>
              <w:pStyle w:val="25"/>
              <w:spacing w:line="240" w:lineRule="auto"/>
              <w:ind w:firstLine="0" w:firstLineChars="0"/>
              <w:jc w:val="both"/>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拟投入的设备一般满足项目需求（证明材料不齐全）的得2-4分；</w:t>
            </w:r>
          </w:p>
          <w:p w14:paraId="7C47031E">
            <w:pPr>
              <w:pStyle w:val="25"/>
              <w:spacing w:line="240" w:lineRule="auto"/>
              <w:ind w:firstLine="0" w:firstLineChars="0"/>
              <w:jc w:val="both"/>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投入的设备不满足本项目需求（无证明材料）的得0-2分；</w:t>
            </w:r>
          </w:p>
        </w:tc>
        <w:tc>
          <w:tcPr>
            <w:tcW w:w="720" w:type="dxa"/>
            <w:noWrap w:val="0"/>
            <w:vAlign w:val="center"/>
          </w:tcPr>
          <w:p w14:paraId="5A086644">
            <w:pPr>
              <w:spacing w:line="240" w:lineRule="auto"/>
              <w:jc w:val="center"/>
              <w:rPr>
                <w:rFonts w:hint="eastAsia" w:eastAsia="宋体"/>
                <w:sz w:val="21"/>
                <w:szCs w:val="21"/>
                <w:highlight w:val="none"/>
              </w:rPr>
            </w:pPr>
            <w:r>
              <w:rPr>
                <w:rFonts w:hint="eastAsia" w:eastAsia="宋体"/>
                <w:sz w:val="21"/>
                <w:szCs w:val="21"/>
                <w:highlight w:val="none"/>
                <w:lang w:val="en-US" w:eastAsia="zh-CN"/>
              </w:rPr>
              <w:t>7</w:t>
            </w:r>
            <w:r>
              <w:rPr>
                <w:rFonts w:hint="eastAsia" w:eastAsia="宋体"/>
                <w:sz w:val="21"/>
                <w:szCs w:val="21"/>
                <w:highlight w:val="none"/>
              </w:rPr>
              <w:t>分</w:t>
            </w:r>
          </w:p>
        </w:tc>
      </w:tr>
      <w:tr w14:paraId="46D3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4" w:hRule="atLeast"/>
        </w:trPr>
        <w:tc>
          <w:tcPr>
            <w:tcW w:w="764" w:type="dxa"/>
            <w:vMerge w:val="continue"/>
            <w:noWrap w:val="0"/>
            <w:vAlign w:val="center"/>
          </w:tcPr>
          <w:p w14:paraId="0AF804D6">
            <w:pPr>
              <w:spacing w:line="240" w:lineRule="auto"/>
              <w:rPr>
                <w:sz w:val="21"/>
                <w:szCs w:val="21"/>
                <w:highlight w:val="none"/>
              </w:rPr>
            </w:pPr>
          </w:p>
        </w:tc>
        <w:tc>
          <w:tcPr>
            <w:tcW w:w="1545" w:type="dxa"/>
            <w:noWrap w:val="0"/>
            <w:vAlign w:val="center"/>
          </w:tcPr>
          <w:p w14:paraId="3A07A3C5">
            <w:pPr>
              <w:pStyle w:val="25"/>
              <w:spacing w:line="240" w:lineRule="auto"/>
              <w:ind w:firstLine="0" w:firstLineChars="0"/>
              <w:jc w:val="both"/>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标书质量</w:t>
            </w:r>
          </w:p>
        </w:tc>
        <w:tc>
          <w:tcPr>
            <w:tcW w:w="7020" w:type="dxa"/>
            <w:noWrap w:val="0"/>
            <w:vAlign w:val="center"/>
          </w:tcPr>
          <w:p w14:paraId="26E9C0E7">
            <w:pPr>
              <w:pStyle w:val="25"/>
              <w:spacing w:line="240" w:lineRule="auto"/>
              <w:ind w:firstLine="0" w:firstLineChars="0"/>
              <w:jc w:val="both"/>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根据供应商提供的投标文件标书编制质量、目录、是否详细无缺陷漏项、关联定位进行综合评审。</w:t>
            </w:r>
          </w:p>
        </w:tc>
        <w:tc>
          <w:tcPr>
            <w:tcW w:w="720" w:type="dxa"/>
            <w:noWrap w:val="0"/>
            <w:vAlign w:val="center"/>
          </w:tcPr>
          <w:p w14:paraId="3BD62B21">
            <w:pPr>
              <w:spacing w:line="240" w:lineRule="auto"/>
              <w:jc w:val="center"/>
              <w:rPr>
                <w:rFonts w:hint="eastAsia" w:eastAsia="宋体"/>
                <w:sz w:val="21"/>
                <w:szCs w:val="21"/>
                <w:highlight w:val="none"/>
              </w:rPr>
            </w:pPr>
            <w:r>
              <w:rPr>
                <w:rFonts w:hint="eastAsia" w:eastAsia="宋体"/>
                <w:sz w:val="21"/>
                <w:szCs w:val="21"/>
                <w:highlight w:val="none"/>
              </w:rPr>
              <w:t>2分</w:t>
            </w:r>
          </w:p>
        </w:tc>
      </w:tr>
    </w:tbl>
    <w:p w14:paraId="415E8125">
      <w:pPr>
        <w:keepNext w:val="0"/>
        <w:keepLines w:val="0"/>
        <w:pageBreakBefore w:val="0"/>
        <w:widowControl w:val="0"/>
        <w:kinsoku/>
        <w:wordWrap/>
        <w:overflowPunct/>
        <w:topLinePunct w:val="0"/>
        <w:autoSpaceDE/>
        <w:autoSpaceDN/>
        <w:bidi w:val="0"/>
        <w:adjustRightInd/>
        <w:spacing w:line="440" w:lineRule="exact"/>
        <w:ind w:firstLine="422" w:firstLineChars="200"/>
        <w:textAlignment w:val="baseline"/>
        <w:rPr>
          <w:rFonts w:hint="eastAsia" w:ascii="宋体" w:hAnsi="宋体" w:eastAsia="宋体" w:cs="宋体"/>
          <w:b/>
          <w:color w:val="auto"/>
          <w:sz w:val="20"/>
          <w:szCs w:val="21"/>
          <w:highlight w:val="none"/>
          <w:lang w:eastAsia="zh-CN"/>
        </w:rPr>
      </w:pPr>
      <w:r>
        <w:rPr>
          <w:rFonts w:hint="eastAsia" w:ascii="宋体" w:hAnsi="宋体" w:cs="宋体"/>
          <w:b/>
          <w:bCs/>
          <w:color w:val="auto"/>
          <w:highlight w:val="none"/>
        </w:rPr>
        <w:t>四、</w:t>
      </w:r>
      <w:r>
        <w:rPr>
          <w:rFonts w:hint="eastAsia" w:ascii="宋体" w:hAnsi="宋体" w:cs="宋体"/>
          <w:b/>
          <w:color w:val="auto"/>
          <w:szCs w:val="21"/>
          <w:highlight w:val="none"/>
        </w:rPr>
        <w:t>定标办法</w:t>
      </w:r>
    </w:p>
    <w:p w14:paraId="7FB9F617">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1.本次招标由磋商小组推荐成交候选人，采购单位根据磋商小组的推荐结果进行最终确认。</w:t>
      </w:r>
    </w:p>
    <w:p w14:paraId="11B924C5">
      <w:pPr>
        <w:keepNext w:val="0"/>
        <w:keepLines w:val="0"/>
        <w:pageBreakBefore w:val="0"/>
        <w:widowControl w:val="0"/>
        <w:tabs>
          <w:tab w:val="left" w:pos="540"/>
        </w:tabs>
        <w:kinsoku/>
        <w:wordWrap/>
        <w:overflowPunct/>
        <w:topLinePunct w:val="0"/>
        <w:autoSpaceDE/>
        <w:autoSpaceDN/>
        <w:bidi w:val="0"/>
        <w:adjustRightIn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2.磋商小组依据法律、法规及招标文件有关规定在有效标中按</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的最终得分【即技术资信分与报价分之和】）由高到低进行排序，综合得分最高的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作为本项目的成交候选人（得分相同的，按投标报价由低到高顺序排列；得分且投标报价相同的，由招标人现场抽签产生成交候选人）。</w:t>
      </w:r>
    </w:p>
    <w:p w14:paraId="56C07122">
      <w:pPr>
        <w:keepNext w:val="0"/>
        <w:keepLines w:val="0"/>
        <w:pageBreakBefore w:val="0"/>
        <w:widowControl w:val="0"/>
        <w:tabs>
          <w:tab w:val="left" w:pos="540"/>
        </w:tabs>
        <w:kinsoku/>
        <w:wordWrap/>
        <w:overflowPunct/>
        <w:topLinePunct w:val="0"/>
        <w:autoSpaceDE/>
        <w:autoSpaceDN/>
        <w:bidi w:val="0"/>
        <w:adjustRightInd/>
        <w:spacing w:line="440" w:lineRule="exact"/>
        <w:ind w:firstLine="420" w:firstLineChars="200"/>
        <w:textAlignment w:val="baseline"/>
        <w:rPr>
          <w:rFonts w:ascii="宋体" w:hAnsi="宋体" w:cs="宋体"/>
          <w:color w:val="auto"/>
          <w:sz w:val="20"/>
          <w:highlight w:val="none"/>
        </w:rPr>
      </w:pPr>
      <w:r>
        <w:rPr>
          <w:rFonts w:hint="eastAsia" w:ascii="宋体" w:hAnsi="宋体" w:cs="宋体"/>
          <w:color w:val="auto"/>
          <w:szCs w:val="21"/>
          <w:highlight w:val="none"/>
        </w:rPr>
        <w:t>3.排名第一的中标候选人因不可抗力提出不能履行合同；或者采购文件规定应当提交履约保证金而在规定的期限内未能提交的；或未能在规定时间内与采购单位签订合同的；或者经质疑，采购单位审查后，确因排名第一的候选人在本次采购活动中存在违法违规行为或其他原因使质疑成立的，采购单位可以按照评标委员会提出的中标候选人名单排序依次确定其他中标候选人为中标人，也可以重新招标。</w:t>
      </w:r>
    </w:p>
    <w:p w14:paraId="5095F55B">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baseline"/>
        <w:rPr>
          <w:rFonts w:ascii="宋体" w:hAnsi="宋体" w:cs="宋体"/>
          <w:b/>
          <w:bCs/>
          <w:color w:val="auto"/>
          <w:sz w:val="20"/>
          <w:szCs w:val="21"/>
          <w:highlight w:val="none"/>
          <w:lang w:val="zh-CN"/>
        </w:rPr>
      </w:pPr>
      <w:r>
        <w:rPr>
          <w:rFonts w:hint="eastAsia" w:ascii="宋体" w:hAnsi="宋体" w:cs="宋体"/>
          <w:b/>
          <w:bCs/>
          <w:color w:val="auto"/>
          <w:szCs w:val="21"/>
          <w:highlight w:val="none"/>
        </w:rPr>
        <w:t>五</w:t>
      </w:r>
      <w:r>
        <w:rPr>
          <w:rFonts w:hint="eastAsia" w:ascii="宋体" w:hAnsi="宋体" w:cs="宋体"/>
          <w:b/>
          <w:bCs/>
          <w:color w:val="auto"/>
          <w:szCs w:val="21"/>
          <w:highlight w:val="none"/>
          <w:lang w:val="zh-CN"/>
        </w:rPr>
        <w:t>、</w:t>
      </w:r>
      <w:bookmarkStart w:id="72" w:name="注意事项"/>
      <w:r>
        <w:rPr>
          <w:rFonts w:hint="eastAsia" w:ascii="宋体" w:hAnsi="宋体" w:cs="宋体"/>
          <w:b/>
          <w:bCs/>
          <w:color w:val="auto"/>
          <w:szCs w:val="21"/>
          <w:highlight w:val="none"/>
          <w:lang w:val="zh-CN"/>
        </w:rPr>
        <w:t>注意事项</w:t>
      </w:r>
      <w:bookmarkEnd w:id="72"/>
    </w:p>
    <w:p w14:paraId="3F4BBD72">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评审时磋商小组认为</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的报价明显低于其他通过符合性审查</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的报价，有可能影响产品质量或者不能诚信履约的，应当要求其在评标现场合理的时间内提供书面说明，必要时提交相关证明材料；</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不能证明其报价合理性的，磋商小组应当将其作为无效投标处理。</w:t>
      </w:r>
    </w:p>
    <w:p w14:paraId="7872F618">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baseline"/>
        <w:rPr>
          <w:rFonts w:ascii="宋体" w:hAnsi="宋体" w:cs="宋体"/>
          <w:b/>
          <w:color w:val="auto"/>
          <w:sz w:val="20"/>
          <w:szCs w:val="21"/>
          <w:highlight w:val="none"/>
        </w:rPr>
      </w:pPr>
      <w:r>
        <w:rPr>
          <w:rFonts w:hint="eastAsia" w:ascii="宋体" w:hAnsi="宋体" w:cs="宋体"/>
          <w:b/>
          <w:color w:val="auto"/>
          <w:szCs w:val="21"/>
          <w:highlight w:val="none"/>
        </w:rPr>
        <w:t>六、</w:t>
      </w:r>
      <w:bookmarkStart w:id="73" w:name="_Toc221356968"/>
      <w:bookmarkStart w:id="74" w:name="_Toc221356905"/>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义务</w:t>
      </w:r>
      <w:bookmarkEnd w:id="73"/>
      <w:bookmarkEnd w:id="74"/>
    </w:p>
    <w:p w14:paraId="26CBB892">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baseline"/>
        <w:rPr>
          <w:rFonts w:ascii="宋体" w:hAnsi="宋体" w:cs="宋体"/>
          <w:color w:val="auto"/>
          <w:sz w:val="32"/>
          <w:szCs w:val="32"/>
          <w:highlight w:val="non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应随时接受磋商小组的询标，解答包括有关的商务、技术问题等。评标结束，所有评标资料存招标人备查。</w:t>
      </w:r>
    </w:p>
    <w:p w14:paraId="25FE12D2">
      <w:pPr>
        <w:spacing w:line="360" w:lineRule="auto"/>
        <w:jc w:val="center"/>
        <w:textAlignment w:val="baseline"/>
        <w:rPr>
          <w:rFonts w:ascii="宋体" w:hAnsi="宋体" w:cs="宋体"/>
          <w:color w:val="auto"/>
          <w:sz w:val="32"/>
          <w:szCs w:val="32"/>
          <w:highlight w:val="none"/>
        </w:rPr>
      </w:pPr>
      <w:r>
        <w:rPr>
          <w:rFonts w:hint="eastAsia" w:ascii="宋体" w:hAnsi="宋体" w:cs="宋体"/>
          <w:color w:val="auto"/>
          <w:sz w:val="32"/>
          <w:szCs w:val="32"/>
          <w:highlight w:val="none"/>
        </w:rPr>
        <w:br w:type="page"/>
      </w:r>
    </w:p>
    <w:p w14:paraId="71CA7A13">
      <w:pPr>
        <w:spacing w:line="360" w:lineRule="auto"/>
        <w:jc w:val="center"/>
        <w:textAlignment w:val="baseline"/>
        <w:outlineLvl w:val="0"/>
        <w:rPr>
          <w:rFonts w:ascii="宋体" w:hAnsi="宋体" w:cs="宋体"/>
          <w:b/>
          <w:bCs/>
          <w:color w:val="auto"/>
          <w:sz w:val="36"/>
          <w:szCs w:val="36"/>
          <w:highlight w:val="none"/>
        </w:rPr>
      </w:pPr>
      <w:bookmarkStart w:id="75" w:name="_Toc4286"/>
      <w:r>
        <w:rPr>
          <w:rFonts w:hint="eastAsia" w:ascii="宋体" w:hAnsi="宋体" w:cs="宋体"/>
          <w:b/>
          <w:bCs/>
          <w:color w:val="auto"/>
          <w:sz w:val="32"/>
          <w:szCs w:val="32"/>
          <w:highlight w:val="none"/>
        </w:rPr>
        <w:t>第六章   响应文件格式</w:t>
      </w:r>
      <w:bookmarkEnd w:id="75"/>
    </w:p>
    <w:p w14:paraId="5DD9D450">
      <w:pPr>
        <w:spacing w:line="460" w:lineRule="exact"/>
        <w:textAlignment w:val="baseline"/>
        <w:rPr>
          <w:rFonts w:ascii="宋体" w:hAnsi="宋体" w:cs="宋体"/>
          <w:b/>
          <w:color w:val="auto"/>
          <w:sz w:val="24"/>
          <w:highlight w:val="none"/>
        </w:rPr>
      </w:pPr>
      <w:bookmarkStart w:id="76" w:name="_Toc4973"/>
      <w:bookmarkStart w:id="77" w:name="_Toc20872"/>
      <w:bookmarkStart w:id="78" w:name="_Toc1460"/>
      <w:bookmarkStart w:id="79" w:name="_Toc17187"/>
      <w:r>
        <w:rPr>
          <w:rFonts w:hint="eastAsia" w:ascii="宋体" w:hAnsi="宋体" w:cs="宋体"/>
          <w:b/>
          <w:color w:val="auto"/>
          <w:sz w:val="24"/>
          <w:highlight w:val="none"/>
        </w:rPr>
        <w:t>响应文件封面格式：</w:t>
      </w:r>
      <w:bookmarkEnd w:id="76"/>
      <w:bookmarkEnd w:id="77"/>
      <w:bookmarkEnd w:id="78"/>
      <w:bookmarkEnd w:id="79"/>
      <w:r>
        <w:rPr>
          <w:rFonts w:hint="eastAsia" w:ascii="宋体" w:hAnsi="宋体" w:cs="宋体"/>
          <w:b/>
          <w:color w:val="auto"/>
          <w:sz w:val="24"/>
          <w:highlight w:val="none"/>
        </w:rPr>
        <w:t xml:space="preserve">          </w:t>
      </w:r>
    </w:p>
    <w:p w14:paraId="26ADA8CC">
      <w:pPr>
        <w:pStyle w:val="65"/>
        <w:jc w:val="right"/>
        <w:rPr>
          <w:rFonts w:ascii="宋体" w:hAnsi="宋体" w:cs="宋体"/>
          <w:color w:val="auto"/>
          <w:sz w:val="32"/>
          <w:szCs w:val="32"/>
          <w:highlight w:val="none"/>
        </w:rPr>
      </w:pPr>
    </w:p>
    <w:p w14:paraId="53F9BE09">
      <w:pPr>
        <w:spacing w:before="185"/>
        <w:ind w:right="210"/>
        <w:jc w:val="center"/>
        <w:textAlignment w:val="baseline"/>
        <w:rPr>
          <w:rFonts w:ascii="宋体" w:hAnsi="宋体" w:cs="宋体"/>
          <w:b/>
          <w:bCs/>
          <w:color w:val="auto"/>
          <w:sz w:val="22"/>
          <w:highlight w:val="none"/>
        </w:rPr>
      </w:pPr>
    </w:p>
    <w:p w14:paraId="62977EBE">
      <w:pPr>
        <w:spacing w:before="185"/>
        <w:ind w:right="210"/>
        <w:jc w:val="center"/>
        <w:textAlignment w:val="baseline"/>
        <w:outlineLvl w:val="0"/>
        <w:rPr>
          <w:rFonts w:ascii="宋体" w:hAnsi="宋体" w:cs="宋体"/>
          <w:b/>
          <w:color w:val="auto"/>
          <w:sz w:val="52"/>
          <w:highlight w:val="none"/>
        </w:rPr>
      </w:pPr>
      <w:bookmarkStart w:id="80" w:name="_Toc4036"/>
      <w:bookmarkStart w:id="81" w:name="_Toc11145"/>
      <w:bookmarkStart w:id="82" w:name="_Toc24957"/>
      <w:r>
        <w:rPr>
          <w:rFonts w:hint="eastAsia" w:ascii="宋体" w:hAnsi="宋体" w:cs="宋体"/>
          <w:b/>
          <w:color w:val="auto"/>
          <w:sz w:val="52"/>
          <w:highlight w:val="none"/>
        </w:rPr>
        <w:t>投 标 文 件</w:t>
      </w:r>
      <w:bookmarkEnd w:id="80"/>
      <w:bookmarkEnd w:id="81"/>
      <w:bookmarkEnd w:id="82"/>
    </w:p>
    <w:p w14:paraId="2CD02AB2">
      <w:pPr>
        <w:pStyle w:val="11"/>
        <w:spacing w:before="11"/>
        <w:textAlignment w:val="baseline"/>
        <w:rPr>
          <w:rFonts w:ascii="宋体" w:hAnsi="宋体" w:cs="宋体"/>
          <w:b/>
          <w:color w:val="auto"/>
          <w:sz w:val="69"/>
          <w:highlight w:val="none"/>
        </w:rPr>
      </w:pPr>
    </w:p>
    <w:p w14:paraId="50DBCC4C">
      <w:pPr>
        <w:ind w:right="208"/>
        <w:jc w:val="center"/>
        <w:textAlignment w:val="baseline"/>
        <w:outlineLvl w:val="0"/>
        <w:rPr>
          <w:rFonts w:ascii="宋体" w:hAnsi="宋体" w:cs="宋体"/>
          <w:b/>
          <w:color w:val="auto"/>
          <w:sz w:val="32"/>
          <w:highlight w:val="none"/>
        </w:rPr>
      </w:pPr>
      <w:bookmarkStart w:id="83" w:name="_Toc29951"/>
      <w:bookmarkStart w:id="84" w:name="_Toc6466"/>
      <w:r>
        <w:rPr>
          <w:rFonts w:hint="eastAsia" w:ascii="宋体" w:hAnsi="宋体" w:cs="宋体"/>
          <w:b/>
          <w:color w:val="auto"/>
          <w:sz w:val="32"/>
          <w:highlight w:val="none"/>
          <w:lang w:eastAsia="zh-CN"/>
        </w:rPr>
        <w:t>资格审查文件</w:t>
      </w:r>
      <w:bookmarkEnd w:id="83"/>
      <w:bookmarkEnd w:id="84"/>
    </w:p>
    <w:p w14:paraId="5A216426">
      <w:pPr>
        <w:pStyle w:val="65"/>
        <w:rPr>
          <w:rFonts w:ascii="宋体" w:hAnsi="宋体" w:cs="宋体"/>
          <w:b/>
          <w:color w:val="auto"/>
          <w:sz w:val="32"/>
          <w:highlight w:val="none"/>
        </w:rPr>
      </w:pPr>
    </w:p>
    <w:p w14:paraId="47B46797">
      <w:pPr>
        <w:pStyle w:val="65"/>
        <w:rPr>
          <w:rFonts w:ascii="宋体" w:hAnsi="宋体" w:cs="宋体"/>
          <w:b/>
          <w:color w:val="auto"/>
          <w:sz w:val="32"/>
          <w:highlight w:val="none"/>
        </w:rPr>
      </w:pPr>
    </w:p>
    <w:p w14:paraId="02A6E75E">
      <w:pPr>
        <w:snapToGrid w:val="0"/>
        <w:spacing w:line="720" w:lineRule="auto"/>
        <w:ind w:firstLine="1120" w:firstLineChars="400"/>
        <w:textAlignment w:val="baseline"/>
        <w:rPr>
          <w:rFonts w:ascii="宋体" w:hAnsi="宋体" w:cs="宋体"/>
          <w:color w:val="auto"/>
          <w:sz w:val="28"/>
          <w:szCs w:val="28"/>
          <w:highlight w:val="none"/>
          <w:u w:val="single" w:color="000000"/>
        </w:rPr>
      </w:pP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u w:val="single" w:color="000000"/>
        </w:rPr>
        <w:t xml:space="preserve">                       </w:t>
      </w:r>
    </w:p>
    <w:p w14:paraId="344864E5">
      <w:pPr>
        <w:snapToGrid w:val="0"/>
        <w:spacing w:line="720" w:lineRule="auto"/>
        <w:ind w:firstLine="1120" w:firstLineChars="400"/>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u w:val="single" w:color="000000"/>
        </w:rPr>
        <w:t>                       </w:t>
      </w:r>
      <w:r>
        <w:rPr>
          <w:rFonts w:hint="eastAsia" w:ascii="宋体" w:hAnsi="宋体" w:cs="宋体"/>
          <w:color w:val="auto"/>
          <w:sz w:val="28"/>
          <w:szCs w:val="28"/>
          <w:highlight w:val="none"/>
        </w:rPr>
        <w:t xml:space="preserve"> </w:t>
      </w:r>
    </w:p>
    <w:p w14:paraId="48622117">
      <w:pPr>
        <w:snapToGrid w:val="0"/>
        <w:spacing w:line="720" w:lineRule="auto"/>
        <w:ind w:firstLine="1120" w:firstLineChars="400"/>
        <w:textAlignment w:val="baseline"/>
        <w:rPr>
          <w:rFonts w:ascii="宋体" w:hAnsi="宋体" w:cs="宋体"/>
          <w:color w:val="auto"/>
          <w:sz w:val="28"/>
          <w:szCs w:val="28"/>
          <w:highlight w:val="none"/>
        </w:rPr>
      </w:pP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（全称）：</w:t>
      </w:r>
      <w:r>
        <w:rPr>
          <w:rFonts w:hint="eastAsia" w:ascii="宋体" w:hAnsi="宋体" w:cs="宋体"/>
          <w:color w:val="auto"/>
          <w:sz w:val="28"/>
          <w:szCs w:val="28"/>
          <w:highlight w:val="none"/>
          <w:u w:val="single" w:color="000000"/>
        </w:rPr>
        <w:t>            （盖章）</w:t>
      </w:r>
    </w:p>
    <w:p w14:paraId="5D335ECB">
      <w:pPr>
        <w:snapToGrid w:val="0"/>
        <w:spacing w:line="720" w:lineRule="auto"/>
        <w:ind w:firstLine="1120" w:firstLineChars="400"/>
        <w:textAlignment w:val="baseline"/>
        <w:rPr>
          <w:rFonts w:ascii="宋体" w:hAnsi="宋体" w:cs="宋体"/>
          <w:color w:val="auto"/>
          <w:sz w:val="28"/>
          <w:szCs w:val="28"/>
          <w:highlight w:val="none"/>
          <w:u w:val="single" w:color="000000"/>
        </w:rPr>
      </w:pP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地址：</w:t>
      </w:r>
      <w:r>
        <w:rPr>
          <w:rFonts w:hint="eastAsia" w:ascii="宋体" w:hAnsi="宋体" w:cs="宋体"/>
          <w:color w:val="auto"/>
          <w:sz w:val="28"/>
          <w:szCs w:val="28"/>
          <w:highlight w:val="none"/>
          <w:u w:val="single" w:color="000000"/>
        </w:rPr>
        <w:t>                     </w:t>
      </w:r>
    </w:p>
    <w:p w14:paraId="50540116">
      <w:pPr>
        <w:pStyle w:val="65"/>
        <w:rPr>
          <w:rFonts w:ascii="宋体" w:hAnsi="宋体" w:cs="宋体"/>
          <w:color w:val="auto"/>
          <w:sz w:val="28"/>
          <w:szCs w:val="28"/>
          <w:highlight w:val="none"/>
          <w:u w:val="single"/>
        </w:rPr>
      </w:pPr>
    </w:p>
    <w:p w14:paraId="537CBD8D">
      <w:pPr>
        <w:pStyle w:val="30"/>
        <w:spacing w:line="360" w:lineRule="auto"/>
        <w:ind w:firstLine="44"/>
        <w:textAlignment w:val="baseline"/>
        <w:rPr>
          <w:rFonts w:ascii="宋体" w:hAnsi="宋体" w:eastAsia="宋体"/>
          <w:color w:val="auto"/>
          <w:sz w:val="22"/>
          <w:szCs w:val="22"/>
          <w:highlight w:val="none"/>
          <w:u w:val="single"/>
        </w:rPr>
      </w:pPr>
      <w:r>
        <w:rPr>
          <w:rFonts w:hint="eastAsia" w:ascii="宋体" w:hAnsi="宋体" w:eastAsia="宋体"/>
          <w:b/>
          <w:bCs/>
          <w:color w:val="auto"/>
          <w:sz w:val="22"/>
          <w:szCs w:val="22"/>
          <w:highlight w:val="none"/>
        </w:rPr>
        <w:br w:type="page"/>
      </w:r>
    </w:p>
    <w:p w14:paraId="089EB52B">
      <w:pPr>
        <w:spacing w:line="460" w:lineRule="exact"/>
        <w:textAlignment w:val="baseline"/>
        <w:outlineLvl w:val="0"/>
        <w:rPr>
          <w:rFonts w:hint="default" w:ascii="宋体" w:hAnsi="宋体" w:eastAsia="宋体" w:cs="宋体"/>
          <w:b/>
          <w:bCs/>
          <w:color w:val="auto"/>
          <w:sz w:val="22"/>
          <w:highlight w:val="none"/>
          <w:lang w:val="en-US" w:eastAsia="zh-CN"/>
        </w:rPr>
      </w:pPr>
      <w:bookmarkStart w:id="85" w:name="_Toc23446"/>
      <w:r>
        <w:rPr>
          <w:rFonts w:hint="eastAsia" w:ascii="宋体" w:hAnsi="宋体" w:cs="宋体"/>
          <w:b/>
          <w:bCs/>
          <w:color w:val="auto"/>
          <w:sz w:val="22"/>
          <w:highlight w:val="none"/>
          <w:lang w:val="en-US" w:eastAsia="zh-CN"/>
        </w:rPr>
        <w:t>资格审查文件内容</w:t>
      </w:r>
    </w:p>
    <w:p w14:paraId="1DB93447">
      <w:pPr>
        <w:spacing w:line="460" w:lineRule="exact"/>
        <w:textAlignment w:val="baseline"/>
        <w:outlineLvl w:val="0"/>
        <w:rPr>
          <w:rFonts w:ascii="宋体" w:hAnsi="宋体" w:cs="宋体"/>
          <w:b/>
          <w:bCs/>
          <w:color w:val="auto"/>
          <w:sz w:val="22"/>
          <w:highlight w:val="none"/>
        </w:rPr>
      </w:pPr>
      <w:r>
        <w:rPr>
          <w:rFonts w:hint="eastAsia" w:ascii="宋体" w:hAnsi="宋体" w:cs="宋体"/>
          <w:b/>
          <w:bCs/>
          <w:color w:val="auto"/>
          <w:sz w:val="22"/>
          <w:highlight w:val="none"/>
        </w:rPr>
        <w:t>附件1</w:t>
      </w:r>
      <w:bookmarkEnd w:id="85"/>
    </w:p>
    <w:p w14:paraId="54DEF48A">
      <w:pPr>
        <w:spacing w:line="460" w:lineRule="exact"/>
        <w:textAlignment w:val="baseline"/>
        <w:rPr>
          <w:rFonts w:ascii="宋体" w:hAnsi="宋体" w:cs="宋体"/>
          <w:color w:val="auto"/>
          <w:sz w:val="22"/>
          <w:highlight w:val="none"/>
        </w:rPr>
      </w:pPr>
    </w:p>
    <w:p w14:paraId="460D16DD">
      <w:pPr>
        <w:widowControl/>
        <w:spacing w:line="420" w:lineRule="atLeast"/>
        <w:jc w:val="center"/>
        <w:rPr>
          <w:rFonts w:hint="eastAsia" w:ascii="宋体" w:hAnsi="宋体" w:eastAsia="宋体" w:cs="宋体"/>
          <w:b/>
          <w:bCs/>
          <w:color w:val="auto"/>
          <w:kern w:val="0"/>
          <w:sz w:val="30"/>
          <w:szCs w:val="30"/>
          <w:highlight w:val="none"/>
        </w:rPr>
      </w:pPr>
      <w:r>
        <w:rPr>
          <w:rFonts w:hint="eastAsia" w:ascii="宋体" w:hAnsi="宋体" w:cs="宋体"/>
          <w:b/>
          <w:bCs/>
          <w:color w:val="auto"/>
          <w:kern w:val="0"/>
          <w:sz w:val="30"/>
          <w:szCs w:val="30"/>
          <w:highlight w:val="none"/>
          <w:lang w:eastAsia="zh-CN"/>
        </w:rPr>
        <w:t>供应商</w:t>
      </w:r>
      <w:r>
        <w:rPr>
          <w:rFonts w:hint="eastAsia" w:ascii="宋体" w:hAnsi="宋体" w:eastAsia="宋体" w:cs="宋体"/>
          <w:b/>
          <w:bCs/>
          <w:color w:val="auto"/>
          <w:kern w:val="0"/>
          <w:sz w:val="30"/>
          <w:szCs w:val="30"/>
          <w:highlight w:val="none"/>
        </w:rPr>
        <w:t>资格承诺函</w:t>
      </w:r>
    </w:p>
    <w:p w14:paraId="30F5D1F4">
      <w:pPr>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常山县招贤镇人民政府</w:t>
      </w:r>
      <w:r>
        <w:rPr>
          <w:rFonts w:hint="eastAsia" w:ascii="宋体" w:hAnsi="宋体" w:eastAsia="宋体" w:cs="宋体"/>
          <w:color w:val="auto"/>
          <w:sz w:val="21"/>
          <w:szCs w:val="21"/>
          <w:highlight w:val="none"/>
        </w:rPr>
        <w:t>：</w:t>
      </w:r>
    </w:p>
    <w:p w14:paraId="769B44D1">
      <w:pPr>
        <w:keepNext w:val="0"/>
        <w:keepLines w:val="0"/>
        <w:pageBreakBefore w:val="0"/>
        <w:widowControl w:val="0"/>
        <w:kinsoku/>
        <w:wordWrap/>
        <w:overflowPunct/>
        <w:topLinePunct w:val="0"/>
        <w:autoSpaceDE/>
        <w:autoSpaceDN/>
        <w:bidi w:val="0"/>
        <w:adjustRightInd/>
        <w:snapToGrid w:val="0"/>
        <w:spacing w:line="560" w:lineRule="exact"/>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名称）符合参加本次政府采购活动的资格条件并承诺如下。</w:t>
      </w:r>
    </w:p>
    <w:p w14:paraId="3E6EB300">
      <w:pPr>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一、满足《中华人民共和国政府采购法》第二十二条规定</w:t>
      </w:r>
    </w:p>
    <w:p w14:paraId="56A57908">
      <w:pPr>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1、具有独立承担民事责任的能力；</w:t>
      </w:r>
    </w:p>
    <w:p w14:paraId="5944AA76">
      <w:pPr>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、具有良好的商业信誉和健全的财务会计制度；</w:t>
      </w:r>
    </w:p>
    <w:p w14:paraId="41BE1AB0">
      <w:pPr>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3、具有履行合同所必需的设备和专业技术能力；</w:t>
      </w:r>
    </w:p>
    <w:p w14:paraId="37D27857">
      <w:pPr>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4、有依法缴纳税收和社会保障资金的良好记录；</w:t>
      </w:r>
    </w:p>
    <w:p w14:paraId="10778FC2">
      <w:pPr>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5、参加政府采购活动前三年内，在经营活动中没有重大违法记录；</w:t>
      </w:r>
    </w:p>
    <w:p w14:paraId="5086AEA3">
      <w:pPr>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二、未被“信用中国”（www.creditchina.gov.cn)、中国政府采购网（www.ccgp.gov.cn）列入失信被执行人、</w:t>
      </w:r>
      <w:r>
        <w:rPr>
          <w:rFonts w:hint="eastAsia" w:ascii="宋体" w:hAnsi="宋体" w:cs="宋体"/>
          <w:color w:val="auto"/>
          <w:kern w:val="0"/>
          <w:sz w:val="21"/>
          <w:szCs w:val="21"/>
          <w:highlight w:val="none"/>
          <w:lang w:eastAsia="zh-CN"/>
        </w:rPr>
        <w:t>重大税收违法失信主体名单</w:t>
      </w:r>
      <w:r>
        <w:rPr>
          <w:rFonts w:hint="eastAsia" w:ascii="宋体" w:hAnsi="宋体" w:eastAsia="宋体" w:cs="宋体"/>
          <w:color w:val="auto"/>
          <w:kern w:val="0"/>
          <w:sz w:val="21"/>
          <w:szCs w:val="21"/>
          <w:highlight w:val="none"/>
        </w:rPr>
        <w:t>、政府采购严重违法失信行为记录名单。</w:t>
      </w:r>
    </w:p>
    <w:p w14:paraId="53A06F26">
      <w:pPr>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三、落实政府采购政策需满足的资格要求：供应商为中小企业/小微企业。</w:t>
      </w:r>
    </w:p>
    <w:p w14:paraId="09FDEDA5">
      <w:pPr>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eastAsia" w:ascii="宋体" w:hAnsi="宋体" w:eastAsia="宋体" w:cs="宋体"/>
          <w:color w:val="auto"/>
          <w:kern w:val="0"/>
          <w:sz w:val="21"/>
          <w:szCs w:val="21"/>
          <w:highlight w:val="none"/>
          <w:lang w:val="en-US" w:eastAsia="zh-CN"/>
        </w:rPr>
      </w:pPr>
    </w:p>
    <w:p w14:paraId="3A26C60C">
      <w:pPr>
        <w:rPr>
          <w:rFonts w:hint="eastAsia" w:ascii="宋体" w:hAnsi="宋体" w:cs="宋体"/>
          <w:color w:val="auto"/>
          <w:sz w:val="21"/>
          <w:szCs w:val="21"/>
          <w:highlight w:val="none"/>
        </w:rPr>
      </w:pPr>
    </w:p>
    <w:p w14:paraId="0128FB95">
      <w:pPr>
        <w:pStyle w:val="22"/>
        <w:rPr>
          <w:rFonts w:hint="eastAsia" w:ascii="宋体" w:hAnsi="宋体" w:cs="宋体"/>
          <w:color w:val="auto"/>
          <w:sz w:val="21"/>
          <w:szCs w:val="21"/>
          <w:highlight w:val="none"/>
        </w:rPr>
      </w:pPr>
    </w:p>
    <w:p w14:paraId="11E46A11">
      <w:pPr>
        <w:rPr>
          <w:rFonts w:hint="eastAsia" w:ascii="宋体" w:hAnsi="宋体" w:cs="宋体"/>
          <w:color w:val="auto"/>
          <w:sz w:val="21"/>
          <w:szCs w:val="21"/>
          <w:highlight w:val="none"/>
        </w:rPr>
      </w:pPr>
    </w:p>
    <w:p w14:paraId="2C4D2CE9">
      <w:pPr>
        <w:pStyle w:val="22"/>
        <w:rPr>
          <w:rFonts w:hint="eastAsia" w:ascii="宋体" w:hAnsi="宋体" w:cs="宋体"/>
          <w:color w:val="auto"/>
          <w:sz w:val="21"/>
          <w:szCs w:val="21"/>
          <w:highlight w:val="none"/>
        </w:rPr>
      </w:pPr>
    </w:p>
    <w:p w14:paraId="61EC33C8">
      <w:pPr>
        <w:rPr>
          <w:rFonts w:hint="eastAsia" w:ascii="宋体" w:hAnsi="宋体" w:cs="宋体"/>
          <w:color w:val="auto"/>
          <w:sz w:val="21"/>
          <w:szCs w:val="21"/>
          <w:highlight w:val="none"/>
        </w:rPr>
      </w:pPr>
    </w:p>
    <w:p w14:paraId="656F5039">
      <w:pPr>
        <w:pStyle w:val="22"/>
        <w:rPr>
          <w:rFonts w:hint="eastAsia" w:ascii="宋体" w:hAnsi="宋体" w:cs="宋体"/>
          <w:color w:val="auto"/>
          <w:sz w:val="21"/>
          <w:szCs w:val="21"/>
          <w:highlight w:val="none"/>
        </w:rPr>
      </w:pPr>
    </w:p>
    <w:p w14:paraId="58E2F8C3">
      <w:pPr>
        <w:rPr>
          <w:rFonts w:hint="eastAsia"/>
          <w:highlight w:val="none"/>
        </w:rPr>
      </w:pPr>
    </w:p>
    <w:p w14:paraId="7718C69E">
      <w:pPr>
        <w:widowControl/>
        <w:ind w:firstLine="480"/>
        <w:jc w:val="left"/>
        <w:rPr>
          <w:rFonts w:hint="eastAsia" w:ascii="宋体" w:hAnsi="宋体" w:cs="宋体"/>
          <w:color w:val="auto"/>
          <w:kern w:val="0"/>
          <w:sz w:val="21"/>
          <w:szCs w:val="21"/>
          <w:highlight w:val="none"/>
        </w:rPr>
      </w:pPr>
      <w:r>
        <w:rPr>
          <w:rFonts w:hint="eastAsia" w:ascii="宋体" w:hAnsi="宋体" w:cs="宋体"/>
          <w:b/>
          <w:bCs/>
          <w:color w:val="auto"/>
          <w:sz w:val="24"/>
          <w:highlight w:val="none"/>
        </w:rPr>
        <w:t>供应商名称（盖章）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年    月    日</w:t>
      </w:r>
    </w:p>
    <w:p w14:paraId="0E1E0C96">
      <w:pPr>
        <w:widowControl/>
        <w:spacing w:line="420" w:lineRule="atLeast"/>
        <w:rPr>
          <w:rFonts w:hint="eastAsia" w:ascii="宋体" w:hAnsi="宋体" w:eastAsia="宋体" w:cs="宋体"/>
          <w:b/>
          <w:bCs/>
          <w:color w:val="auto"/>
          <w:kern w:val="0"/>
          <w:sz w:val="21"/>
          <w:szCs w:val="21"/>
          <w:highlight w:val="none"/>
        </w:rPr>
      </w:pPr>
    </w:p>
    <w:p w14:paraId="291D6305">
      <w:pPr>
        <w:widowControl/>
        <w:spacing w:line="420" w:lineRule="atLeast"/>
        <w:textAlignment w:val="baseline"/>
        <w:rPr>
          <w:rFonts w:ascii="宋体" w:hAnsi="宋体" w:cs="宋体"/>
          <w:b/>
          <w:bCs/>
          <w:color w:val="auto"/>
          <w:kern w:val="0"/>
          <w:sz w:val="24"/>
          <w:highlight w:val="none"/>
        </w:rPr>
      </w:pPr>
    </w:p>
    <w:p w14:paraId="36853C74">
      <w:pPr>
        <w:widowControl/>
        <w:spacing w:line="420" w:lineRule="atLeast"/>
        <w:textAlignment w:val="baseline"/>
        <w:rPr>
          <w:rFonts w:ascii="宋体" w:hAnsi="宋体" w:cs="宋体"/>
          <w:b/>
          <w:bCs/>
          <w:color w:val="auto"/>
          <w:kern w:val="0"/>
          <w:sz w:val="24"/>
          <w:highlight w:val="none"/>
        </w:rPr>
      </w:pPr>
    </w:p>
    <w:p w14:paraId="73FAFC0A">
      <w:pPr>
        <w:spacing w:line="420" w:lineRule="atLeast"/>
        <w:jc w:val="left"/>
        <w:textAlignment w:val="baseline"/>
        <w:outlineLvl w:val="0"/>
        <w:rPr>
          <w:rFonts w:hint="eastAsia" w:ascii="宋体" w:hAnsi="宋体" w:cs="宋体"/>
          <w:b/>
          <w:bCs/>
          <w:color w:val="auto"/>
          <w:sz w:val="22"/>
          <w:highlight w:val="none"/>
        </w:rPr>
      </w:pPr>
      <w:bookmarkStart w:id="86" w:name="_Toc340777668"/>
      <w:bookmarkEnd w:id="86"/>
    </w:p>
    <w:p w14:paraId="1BAE7123">
      <w:pPr>
        <w:rPr>
          <w:rFonts w:hint="eastAsia" w:ascii="宋体" w:hAnsi="宋体" w:cs="宋体"/>
          <w:b/>
          <w:bCs/>
          <w:color w:val="auto"/>
          <w:sz w:val="22"/>
          <w:highlight w:val="none"/>
        </w:rPr>
      </w:pPr>
      <w:r>
        <w:rPr>
          <w:rFonts w:hint="eastAsia" w:ascii="宋体" w:hAnsi="宋体" w:cs="宋体"/>
          <w:b/>
          <w:bCs/>
          <w:color w:val="auto"/>
          <w:sz w:val="22"/>
          <w:highlight w:val="none"/>
        </w:rPr>
        <w:br w:type="page"/>
      </w:r>
    </w:p>
    <w:p w14:paraId="6CECC697">
      <w:pPr>
        <w:spacing w:line="420" w:lineRule="atLeast"/>
        <w:jc w:val="left"/>
        <w:textAlignment w:val="baseline"/>
        <w:outlineLvl w:val="0"/>
        <w:rPr>
          <w:rFonts w:ascii="宋体" w:hAnsi="宋体" w:cs="宋体"/>
          <w:b/>
          <w:color w:val="auto"/>
          <w:sz w:val="30"/>
          <w:highlight w:val="none"/>
        </w:rPr>
      </w:pPr>
      <w:r>
        <w:rPr>
          <w:rFonts w:hint="eastAsia" w:ascii="宋体" w:hAnsi="宋体" w:cs="宋体"/>
          <w:b/>
          <w:bCs/>
          <w:color w:val="auto"/>
          <w:sz w:val="22"/>
          <w:highlight w:val="none"/>
        </w:rPr>
        <w:t>附件</w:t>
      </w:r>
      <w:r>
        <w:rPr>
          <w:rFonts w:hint="eastAsia" w:ascii="宋体" w:hAnsi="宋体" w:cs="宋体"/>
          <w:b/>
          <w:bCs/>
          <w:color w:val="auto"/>
          <w:sz w:val="22"/>
          <w:highlight w:val="none"/>
          <w:lang w:val="en-US" w:eastAsia="zh-CN"/>
        </w:rPr>
        <w:t>2</w:t>
      </w:r>
    </w:p>
    <w:p w14:paraId="335D2AE0">
      <w:pPr>
        <w:widowControl/>
        <w:spacing w:line="420" w:lineRule="atLeast"/>
        <w:jc w:val="center"/>
        <w:textAlignment w:val="baseline"/>
        <w:rPr>
          <w:rFonts w:hint="eastAsia" w:ascii="宋体" w:hAnsi="宋体" w:cs="宋体"/>
          <w:b/>
          <w:bCs/>
          <w:color w:val="auto"/>
          <w:kern w:val="0"/>
          <w:sz w:val="30"/>
          <w:szCs w:val="30"/>
          <w:highlight w:val="none"/>
        </w:rPr>
      </w:pPr>
    </w:p>
    <w:p w14:paraId="31F57223">
      <w:pPr>
        <w:widowControl/>
        <w:spacing w:line="420" w:lineRule="atLeast"/>
        <w:jc w:val="center"/>
        <w:textAlignment w:val="baseline"/>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 xml:space="preserve">   </w:t>
      </w:r>
      <w:bookmarkStart w:id="87" w:name="_Toc22404_WPSOffice_Level1"/>
      <w:r>
        <w:rPr>
          <w:rFonts w:hint="eastAsia" w:ascii="宋体" w:hAnsi="宋体" w:cs="宋体"/>
          <w:b/>
          <w:bCs/>
          <w:color w:val="auto"/>
          <w:kern w:val="0"/>
          <w:sz w:val="30"/>
          <w:szCs w:val="30"/>
          <w:highlight w:val="none"/>
        </w:rPr>
        <w:t>法定代表人身份证明</w:t>
      </w:r>
      <w:bookmarkEnd w:id="87"/>
    </w:p>
    <w:p w14:paraId="103A153F">
      <w:pPr>
        <w:widowControl/>
        <w:spacing w:line="420" w:lineRule="atLeast"/>
        <w:jc w:val="center"/>
        <w:textAlignment w:val="baseline"/>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 </w:t>
      </w:r>
    </w:p>
    <w:p w14:paraId="31D2D7C3">
      <w:pPr>
        <w:widowControl/>
        <w:spacing w:line="420" w:lineRule="atLeast"/>
        <w:ind w:firstLine="480"/>
        <w:jc w:val="lef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14:paraId="450469CF">
      <w:pPr>
        <w:widowControl/>
        <w:spacing w:line="440" w:lineRule="exact"/>
        <w:ind w:firstLine="1077"/>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单位名称：</w:t>
      </w:r>
      <w:r>
        <w:rPr>
          <w:rFonts w:hint="eastAsia" w:ascii="宋体" w:hAnsi="宋体" w:cs="宋体"/>
          <w:color w:val="auto"/>
          <w:kern w:val="0"/>
          <w:szCs w:val="21"/>
          <w:highlight w:val="none"/>
          <w:u w:val="single" w:color="000000"/>
        </w:rPr>
        <w:t xml:space="preserve">                                               </w:t>
      </w:r>
    </w:p>
    <w:p w14:paraId="1ECBDECD">
      <w:pPr>
        <w:widowControl/>
        <w:spacing w:line="440" w:lineRule="exact"/>
        <w:ind w:firstLine="1077"/>
        <w:textAlignment w:val="baseline"/>
        <w:rPr>
          <w:rFonts w:ascii="宋体" w:hAnsi="宋体" w:cs="宋体"/>
          <w:color w:val="auto"/>
          <w:kern w:val="0"/>
          <w:sz w:val="20"/>
          <w:szCs w:val="21"/>
          <w:highlight w:val="none"/>
          <w:u w:val="single"/>
        </w:rPr>
      </w:pPr>
      <w:r>
        <w:rPr>
          <w:rFonts w:hint="eastAsia" w:ascii="宋体" w:hAnsi="宋体" w:cs="宋体"/>
          <w:color w:val="auto"/>
          <w:kern w:val="0"/>
          <w:szCs w:val="21"/>
          <w:highlight w:val="none"/>
        </w:rPr>
        <w:t>单位性质：</w:t>
      </w:r>
      <w:r>
        <w:rPr>
          <w:rFonts w:hint="eastAsia" w:ascii="宋体" w:hAnsi="宋体" w:cs="宋体"/>
          <w:color w:val="auto"/>
          <w:kern w:val="0"/>
          <w:szCs w:val="21"/>
          <w:highlight w:val="none"/>
          <w:u w:val="single" w:color="000000"/>
        </w:rPr>
        <w:t xml:space="preserve">                                               </w:t>
      </w:r>
    </w:p>
    <w:p w14:paraId="6AFF7DFB">
      <w:pPr>
        <w:widowControl/>
        <w:spacing w:line="440" w:lineRule="exact"/>
        <w:ind w:firstLine="1077"/>
        <w:textAlignment w:val="baseline"/>
        <w:rPr>
          <w:rFonts w:ascii="宋体" w:hAnsi="宋体" w:cs="宋体"/>
          <w:color w:val="auto"/>
          <w:kern w:val="0"/>
          <w:sz w:val="20"/>
          <w:szCs w:val="21"/>
          <w:highlight w:val="none"/>
          <w:u w:val="single"/>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u w:val="single" w:color="000000"/>
        </w:rPr>
        <w:t xml:space="preserve">                                               </w:t>
      </w:r>
    </w:p>
    <w:p w14:paraId="6DDF3821">
      <w:pPr>
        <w:widowControl/>
        <w:spacing w:line="440" w:lineRule="exact"/>
        <w:ind w:firstLine="1077"/>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成立时间：</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日</w:t>
      </w:r>
    </w:p>
    <w:p w14:paraId="68685DEF">
      <w:pPr>
        <w:widowControl/>
        <w:spacing w:line="440" w:lineRule="exact"/>
        <w:ind w:firstLine="1077"/>
        <w:textAlignment w:val="baseline"/>
        <w:rPr>
          <w:rFonts w:ascii="宋体" w:hAnsi="宋体" w:cs="宋体"/>
          <w:color w:val="auto"/>
          <w:kern w:val="0"/>
          <w:sz w:val="20"/>
          <w:szCs w:val="21"/>
          <w:highlight w:val="none"/>
          <w:u w:val="single"/>
        </w:rPr>
      </w:pPr>
      <w:r>
        <w:rPr>
          <w:rFonts w:hint="eastAsia" w:ascii="宋体" w:hAnsi="宋体" w:cs="宋体"/>
          <w:color w:val="auto"/>
          <w:kern w:val="0"/>
          <w:szCs w:val="21"/>
          <w:highlight w:val="none"/>
        </w:rPr>
        <w:t>经营期限：</w:t>
      </w:r>
      <w:r>
        <w:rPr>
          <w:rFonts w:hint="eastAsia" w:ascii="宋体" w:hAnsi="宋体" w:cs="宋体"/>
          <w:color w:val="auto"/>
          <w:kern w:val="0"/>
          <w:szCs w:val="21"/>
          <w:highlight w:val="none"/>
          <w:u w:val="single" w:color="000000"/>
        </w:rPr>
        <w:t xml:space="preserve">                                               </w:t>
      </w:r>
    </w:p>
    <w:p w14:paraId="19C17E04">
      <w:pPr>
        <w:widowControl/>
        <w:spacing w:line="440" w:lineRule="exact"/>
        <w:ind w:firstLine="1077"/>
        <w:textAlignment w:val="baseline"/>
        <w:rPr>
          <w:rFonts w:ascii="宋体" w:hAnsi="宋体" w:cs="宋体"/>
          <w:color w:val="auto"/>
          <w:kern w:val="0"/>
          <w:sz w:val="20"/>
          <w:szCs w:val="21"/>
          <w:highlight w:val="none"/>
          <w:u w:val="single"/>
        </w:rPr>
      </w:pPr>
      <w:r>
        <w:rPr>
          <w:rFonts w:hint="eastAsia" w:ascii="宋体" w:hAnsi="宋体" w:cs="宋体"/>
          <w:color w:val="auto"/>
          <w:kern w:val="0"/>
          <w:szCs w:val="21"/>
          <w:highlight w:val="none"/>
        </w:rPr>
        <w:t>姓    名：</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性    别：</w:t>
      </w:r>
      <w:r>
        <w:rPr>
          <w:rFonts w:hint="eastAsia" w:ascii="宋体" w:hAnsi="宋体" w:cs="宋体"/>
          <w:color w:val="auto"/>
          <w:kern w:val="0"/>
          <w:szCs w:val="21"/>
          <w:highlight w:val="none"/>
          <w:u w:val="single" w:color="000000"/>
        </w:rPr>
        <w:t xml:space="preserve">            </w:t>
      </w:r>
    </w:p>
    <w:p w14:paraId="584D2C8C">
      <w:pPr>
        <w:widowControl/>
        <w:spacing w:line="440" w:lineRule="exact"/>
        <w:ind w:firstLine="1077"/>
        <w:textAlignment w:val="baseline"/>
        <w:rPr>
          <w:rFonts w:ascii="宋体" w:hAnsi="宋体" w:cs="宋体"/>
          <w:color w:val="auto"/>
          <w:kern w:val="0"/>
          <w:sz w:val="20"/>
          <w:szCs w:val="21"/>
          <w:highlight w:val="none"/>
          <w:u w:val="single"/>
        </w:rPr>
      </w:pPr>
      <w:r>
        <w:rPr>
          <w:rFonts w:hint="eastAsia" w:ascii="宋体" w:hAnsi="宋体" w:cs="宋体"/>
          <w:color w:val="auto"/>
          <w:kern w:val="0"/>
          <w:szCs w:val="21"/>
          <w:highlight w:val="none"/>
        </w:rPr>
        <w:t>年    龄：</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职    务：</w:t>
      </w:r>
      <w:r>
        <w:rPr>
          <w:rFonts w:hint="eastAsia" w:ascii="宋体" w:hAnsi="宋体" w:cs="宋体"/>
          <w:color w:val="auto"/>
          <w:kern w:val="0"/>
          <w:szCs w:val="21"/>
          <w:highlight w:val="none"/>
          <w:u w:val="single" w:color="000000"/>
        </w:rPr>
        <w:t xml:space="preserve">            </w:t>
      </w:r>
    </w:p>
    <w:p w14:paraId="0C31FD9F">
      <w:pPr>
        <w:widowControl/>
        <w:spacing w:line="440" w:lineRule="exact"/>
        <w:ind w:firstLine="1077"/>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名称）的法定代表人。</w:t>
      </w:r>
    </w:p>
    <w:p w14:paraId="4F3B1283">
      <w:pPr>
        <w:widowControl/>
        <w:spacing w:line="440" w:lineRule="exact"/>
        <w:ind w:firstLine="1077"/>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特此证明。</w:t>
      </w:r>
    </w:p>
    <w:p w14:paraId="2C6F3C96">
      <w:pPr>
        <w:widowControl/>
        <w:spacing w:line="420" w:lineRule="atLeast"/>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 xml:space="preserve">  </w:t>
      </w:r>
    </w:p>
    <w:p w14:paraId="6D4A65F1">
      <w:pPr>
        <w:widowControl/>
        <w:spacing w:line="420" w:lineRule="atLeast"/>
        <w:ind w:right="-64" w:firstLine="3600"/>
        <w:textAlignment w:val="baseline"/>
        <w:rPr>
          <w:rFonts w:ascii="宋体" w:hAnsi="宋体" w:cs="宋体"/>
          <w:color w:val="auto"/>
          <w:kern w:val="0"/>
          <w:sz w:val="20"/>
          <w:szCs w:val="21"/>
          <w:highlight w:val="none"/>
        </w:rPr>
      </w:pPr>
      <w:r>
        <w:rPr>
          <w:rFonts w:hint="eastAsia" w:ascii="宋体" w:hAnsi="宋体" w:cs="宋体"/>
          <w:b/>
          <w:bCs/>
          <w:color w:val="auto"/>
          <w:szCs w:val="21"/>
          <w:highlight w:val="none"/>
        </w:rPr>
        <w:t>供应商</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（盖单位章）</w:t>
      </w:r>
    </w:p>
    <w:p w14:paraId="1A570BBB">
      <w:pPr>
        <w:widowControl/>
        <w:spacing w:line="420" w:lineRule="atLeast"/>
        <w:ind w:right="420"/>
        <w:textAlignment w:val="baseline"/>
        <w:rPr>
          <w:rFonts w:ascii="宋体" w:hAnsi="宋体" w:cs="宋体"/>
          <w:color w:val="auto"/>
          <w:kern w:val="0"/>
          <w:sz w:val="20"/>
          <w:szCs w:val="21"/>
          <w:highlight w:val="none"/>
          <w:u w:val="single"/>
        </w:rPr>
      </w:pPr>
    </w:p>
    <w:p w14:paraId="2BD73D99">
      <w:pPr>
        <w:widowControl/>
        <w:spacing w:line="420" w:lineRule="atLeast"/>
        <w:ind w:right="-64" w:firstLine="4320"/>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 xml:space="preserve">日 </w:t>
      </w:r>
    </w:p>
    <w:p w14:paraId="4CACEFCC">
      <w:pPr>
        <w:widowControl/>
        <w:spacing w:line="420" w:lineRule="atLeast"/>
        <w:jc w:val="center"/>
        <w:textAlignment w:val="baseline"/>
        <w:rPr>
          <w:rFonts w:ascii="宋体" w:hAnsi="宋体" w:cs="宋体"/>
          <w:color w:val="auto"/>
          <w:kern w:val="0"/>
          <w:sz w:val="20"/>
          <w:szCs w:val="21"/>
          <w:highlight w:val="none"/>
        </w:rPr>
      </w:pPr>
    </w:p>
    <w:p w14:paraId="48DC5387">
      <w:pPr>
        <w:widowControl/>
        <w:spacing w:line="420" w:lineRule="atLeast"/>
        <w:textAlignment w:val="baseline"/>
        <w:rPr>
          <w:rFonts w:ascii="宋体" w:hAnsi="宋体" w:cs="宋体"/>
          <w:b/>
          <w:color w:val="auto"/>
          <w:kern w:val="0"/>
          <w:sz w:val="20"/>
          <w:szCs w:val="21"/>
          <w:highlight w:val="none"/>
        </w:rPr>
      </w:pPr>
      <w:r>
        <w:rPr>
          <w:rFonts w:hint="eastAsia" w:ascii="宋体" w:hAnsi="宋体" w:cs="宋体"/>
          <w:b/>
          <w:color w:val="auto"/>
          <w:kern w:val="0"/>
          <w:szCs w:val="21"/>
          <w:highlight w:val="none"/>
        </w:rPr>
        <w:t xml:space="preserve">后附法定代表人身份证复印件： </w:t>
      </w:r>
    </w:p>
    <w:p w14:paraId="4CEFB890">
      <w:pPr>
        <w:widowControl/>
        <w:spacing w:line="420" w:lineRule="atLeast"/>
        <w:textAlignment w:val="baseline"/>
        <w:rPr>
          <w:rFonts w:ascii="宋体" w:hAnsi="宋体" w:cs="宋体"/>
          <w:color w:val="auto"/>
          <w:kern w:val="0"/>
          <w:sz w:val="20"/>
          <w:szCs w:val="21"/>
          <w:highlight w:val="none"/>
        </w:rPr>
      </w:pPr>
    </w:p>
    <w:p w14:paraId="211441CD">
      <w:pPr>
        <w:widowControl/>
        <w:spacing w:line="420" w:lineRule="atLeast"/>
        <w:textAlignment w:val="baseline"/>
        <w:rPr>
          <w:rFonts w:ascii="宋体" w:hAnsi="宋体" w:cs="宋体"/>
          <w:color w:val="auto"/>
          <w:kern w:val="0"/>
          <w:sz w:val="20"/>
          <w:szCs w:val="21"/>
          <w:highlight w:val="none"/>
        </w:rPr>
      </w:pPr>
    </w:p>
    <w:p w14:paraId="313A2260">
      <w:pPr>
        <w:pStyle w:val="11"/>
        <w:ind w:left="1020"/>
        <w:textAlignment w:val="baseline"/>
        <w:rPr>
          <w:rFonts w:ascii="宋体" w:hAnsi="宋体" w:cs="宋体"/>
          <w:color w:val="auto"/>
          <w:highlight w:val="none"/>
        </w:rPr>
      </w:pPr>
    </w:p>
    <w:p w14:paraId="388DAB27">
      <w:pPr>
        <w:pStyle w:val="11"/>
        <w:textAlignment w:val="baseline"/>
        <w:rPr>
          <w:rFonts w:ascii="宋体" w:hAnsi="宋体" w:cs="宋体"/>
          <w:color w:val="auto"/>
          <w:kern w:val="0"/>
          <w:sz w:val="24"/>
          <w:highlight w:val="none"/>
        </w:rPr>
      </w:pPr>
    </w:p>
    <w:p w14:paraId="73F21157">
      <w:pPr>
        <w:widowControl/>
        <w:spacing w:line="420" w:lineRule="atLeast"/>
        <w:jc w:val="left"/>
        <w:textAlignment w:val="baseline"/>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198C2728">
      <w:pPr>
        <w:spacing w:line="420" w:lineRule="atLeast"/>
        <w:jc w:val="left"/>
        <w:textAlignment w:val="baseline"/>
        <w:outlineLvl w:val="0"/>
        <w:rPr>
          <w:rFonts w:hint="default" w:ascii="宋体" w:hAnsi="宋体" w:eastAsia="宋体" w:cs="宋体"/>
          <w:b/>
          <w:color w:val="auto"/>
          <w:sz w:val="30"/>
          <w:highlight w:val="none"/>
          <w:lang w:val="en-US" w:eastAsia="zh-CN"/>
        </w:rPr>
      </w:pPr>
      <w:bookmarkStart w:id="88" w:name="_Toc28011"/>
      <w:r>
        <w:rPr>
          <w:rFonts w:hint="eastAsia" w:ascii="宋体" w:hAnsi="宋体" w:cs="宋体"/>
          <w:b/>
          <w:bCs/>
          <w:color w:val="auto"/>
          <w:sz w:val="22"/>
          <w:highlight w:val="none"/>
        </w:rPr>
        <w:t>附件</w:t>
      </w:r>
      <w:bookmarkEnd w:id="88"/>
      <w:r>
        <w:rPr>
          <w:rFonts w:hint="eastAsia" w:ascii="宋体" w:hAnsi="宋体" w:cs="宋体"/>
          <w:b/>
          <w:bCs/>
          <w:color w:val="auto"/>
          <w:sz w:val="22"/>
          <w:highlight w:val="none"/>
          <w:lang w:val="en-US" w:eastAsia="zh-CN"/>
        </w:rPr>
        <w:t>2-2</w:t>
      </w:r>
    </w:p>
    <w:p w14:paraId="4BE585C8">
      <w:pPr>
        <w:widowControl/>
        <w:spacing w:line="420" w:lineRule="atLeast"/>
        <w:jc w:val="center"/>
        <w:textAlignment w:val="baseline"/>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法定代表人授权委托书</w:t>
      </w:r>
    </w:p>
    <w:p w14:paraId="1DC30321">
      <w:pPr>
        <w:widowControl/>
        <w:spacing w:line="420" w:lineRule="atLeast"/>
        <w:ind w:left="120"/>
        <w:jc w:val="left"/>
        <w:textAlignment w:val="baseline"/>
        <w:rPr>
          <w:rFonts w:ascii="宋体" w:hAnsi="宋体" w:cs="宋体"/>
          <w:color w:val="auto"/>
          <w:kern w:val="0"/>
          <w:sz w:val="24"/>
          <w:highlight w:val="none"/>
        </w:rPr>
      </w:pPr>
    </w:p>
    <w:p w14:paraId="52D18E2E">
      <w:pPr>
        <w:widowControl/>
        <w:spacing w:line="460" w:lineRule="exact"/>
        <w:ind w:left="120" w:firstLine="482"/>
        <w:jc w:val="left"/>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本授权书声明：我</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（法人代表姓名、职务）是</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（单位名称）的法人代表，现代表本单位授权</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（被授权人的姓名、职务）为本单位的合法代理人，就参加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常山县招贤镇2024-2025年松材线虫病枯死松树第二轮清理</w:t>
      </w:r>
      <w:r>
        <w:rPr>
          <w:rFonts w:hint="eastAsia" w:ascii="宋体" w:hAnsi="宋体" w:cs="宋体"/>
          <w:color w:val="auto"/>
          <w:kern w:val="0"/>
          <w:szCs w:val="21"/>
          <w:highlight w:val="none"/>
          <w:u w:val="single"/>
        </w:rPr>
        <w:t>（项目编号：</w:t>
      </w:r>
      <w:r>
        <w:rPr>
          <w:rFonts w:hint="eastAsia" w:ascii="宋体" w:hAnsi="宋体" w:cs="宋体"/>
          <w:color w:val="auto"/>
          <w:kern w:val="0"/>
          <w:szCs w:val="21"/>
          <w:highlight w:val="none"/>
          <w:u w:val="single"/>
          <w:lang w:eastAsia="zh-CN"/>
        </w:rPr>
        <w:t>CSKC-CS202506</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招标的投标、签订合同以及合同的执行、完成和服务，及以本单位名义处理一切与之有关的事务。</w:t>
      </w:r>
    </w:p>
    <w:p w14:paraId="78E33471">
      <w:pPr>
        <w:widowControl/>
        <w:spacing w:line="460" w:lineRule="exact"/>
        <w:ind w:firstLine="482"/>
        <w:jc w:val="left"/>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 xml:space="preserve"> 本授权书于</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日签字生效，特此声明。</w:t>
      </w:r>
    </w:p>
    <w:p w14:paraId="53D75FE5">
      <w:pPr>
        <w:pStyle w:val="65"/>
        <w:rPr>
          <w:rFonts w:ascii="宋体" w:hAnsi="宋体" w:cs="宋体"/>
          <w:color w:val="auto"/>
          <w:highlight w:val="none"/>
        </w:rPr>
      </w:pPr>
    </w:p>
    <w:p w14:paraId="195B7AC4">
      <w:pPr>
        <w:widowControl/>
        <w:spacing w:line="360" w:lineRule="auto"/>
        <w:ind w:firstLine="600"/>
        <w:jc w:val="left"/>
        <w:textAlignment w:val="baseline"/>
        <w:rPr>
          <w:rFonts w:ascii="宋体" w:hAnsi="宋体" w:cs="宋体"/>
          <w:b/>
          <w:bCs/>
          <w:color w:val="auto"/>
          <w:kern w:val="0"/>
          <w:sz w:val="20"/>
          <w:szCs w:val="21"/>
          <w:highlight w:val="none"/>
        </w:rPr>
      </w:pPr>
      <w:r>
        <w:rPr>
          <w:rFonts w:hint="eastAsia" w:ascii="宋体" w:hAnsi="宋体" w:cs="宋体"/>
          <w:b/>
          <w:bCs/>
          <w:color w:val="auto"/>
          <w:kern w:val="0"/>
          <w:szCs w:val="21"/>
          <w:highlight w:val="none"/>
        </w:rPr>
        <w:t>法人代表（签字）</w:t>
      </w:r>
      <w:r>
        <w:rPr>
          <w:rFonts w:hint="eastAsia" w:ascii="宋体" w:hAnsi="宋体" w:cs="宋体"/>
          <w:b/>
          <w:bCs/>
          <w:color w:val="auto"/>
          <w:kern w:val="0"/>
          <w:szCs w:val="21"/>
          <w:highlight w:val="none"/>
          <w:u w:val="single" w:color="000000"/>
        </w:rPr>
        <w:t xml:space="preserve">                          </w:t>
      </w:r>
    </w:p>
    <w:p w14:paraId="53EBE977">
      <w:pPr>
        <w:widowControl/>
        <w:spacing w:line="360" w:lineRule="auto"/>
        <w:ind w:firstLine="600"/>
        <w:jc w:val="left"/>
        <w:textAlignment w:val="baseline"/>
        <w:rPr>
          <w:rFonts w:ascii="宋体" w:hAnsi="宋体" w:cs="宋体"/>
          <w:b/>
          <w:bCs/>
          <w:color w:val="auto"/>
          <w:kern w:val="0"/>
          <w:sz w:val="20"/>
          <w:szCs w:val="21"/>
          <w:highlight w:val="none"/>
        </w:rPr>
      </w:pPr>
      <w:r>
        <w:rPr>
          <w:rFonts w:hint="eastAsia" w:ascii="宋体" w:hAnsi="宋体" w:cs="宋体"/>
          <w:b/>
          <w:bCs/>
          <w:color w:val="auto"/>
          <w:kern w:val="0"/>
          <w:szCs w:val="21"/>
          <w:highlight w:val="none"/>
        </w:rPr>
        <w:t>授权委托人（签字）</w:t>
      </w:r>
      <w:r>
        <w:rPr>
          <w:rFonts w:hint="eastAsia" w:ascii="宋体" w:hAnsi="宋体" w:cs="宋体"/>
          <w:b/>
          <w:bCs/>
          <w:color w:val="auto"/>
          <w:kern w:val="0"/>
          <w:szCs w:val="21"/>
          <w:highlight w:val="none"/>
          <w:u w:val="single" w:color="000000"/>
        </w:rPr>
        <w:t xml:space="preserve">                        </w:t>
      </w:r>
    </w:p>
    <w:p w14:paraId="66D88927">
      <w:pPr>
        <w:widowControl/>
        <w:spacing w:line="360" w:lineRule="auto"/>
        <w:ind w:firstLine="600"/>
        <w:jc w:val="left"/>
        <w:textAlignment w:val="baseline"/>
        <w:rPr>
          <w:rFonts w:ascii="宋体" w:hAnsi="宋体" w:cs="宋体"/>
          <w:b/>
          <w:bCs/>
          <w:color w:val="auto"/>
          <w:kern w:val="0"/>
          <w:sz w:val="20"/>
          <w:szCs w:val="21"/>
          <w:highlight w:val="none"/>
        </w:rPr>
      </w:pPr>
      <w:r>
        <w:rPr>
          <w:rFonts w:hint="eastAsia" w:ascii="宋体" w:hAnsi="宋体" w:cs="宋体"/>
          <w:b/>
          <w:bCs/>
          <w:color w:val="auto"/>
          <w:kern w:val="0"/>
          <w:szCs w:val="21"/>
          <w:highlight w:val="none"/>
        </w:rPr>
        <w:t>单位名称（公章）</w:t>
      </w:r>
      <w:r>
        <w:rPr>
          <w:rFonts w:hint="eastAsia" w:ascii="宋体" w:hAnsi="宋体" w:cs="宋体"/>
          <w:b/>
          <w:bCs/>
          <w:color w:val="auto"/>
          <w:kern w:val="0"/>
          <w:szCs w:val="21"/>
          <w:highlight w:val="none"/>
          <w:u w:val="single" w:color="000000"/>
        </w:rPr>
        <w:t xml:space="preserve">                              </w:t>
      </w:r>
    </w:p>
    <w:p w14:paraId="6252A63D">
      <w:pPr>
        <w:widowControl/>
        <w:spacing w:line="360" w:lineRule="auto"/>
        <w:ind w:firstLine="480"/>
        <w:jc w:val="left"/>
        <w:textAlignment w:val="baseline"/>
        <w:rPr>
          <w:rFonts w:ascii="宋体" w:hAnsi="宋体" w:cs="宋体"/>
          <w:b/>
          <w:bCs/>
          <w:color w:val="auto"/>
          <w:kern w:val="0"/>
          <w:sz w:val="20"/>
          <w:szCs w:val="21"/>
          <w:highlight w:val="none"/>
        </w:rPr>
      </w:pPr>
      <w:r>
        <w:rPr>
          <w:rFonts w:hint="eastAsia" w:ascii="宋体" w:hAnsi="宋体" w:cs="宋体"/>
          <w:b/>
          <w:bCs/>
          <w:color w:val="auto"/>
          <w:kern w:val="0"/>
          <w:szCs w:val="21"/>
          <w:highlight w:val="none"/>
        </w:rPr>
        <w:t xml:space="preserve"> 日    期：</w:t>
      </w:r>
      <w:r>
        <w:rPr>
          <w:rFonts w:hint="eastAsia" w:ascii="宋体" w:hAnsi="宋体" w:cs="宋体"/>
          <w:b/>
          <w:bCs/>
          <w:color w:val="auto"/>
          <w:kern w:val="0"/>
          <w:szCs w:val="21"/>
          <w:highlight w:val="none"/>
          <w:u w:val="single" w:color="000000"/>
        </w:rPr>
        <w:t xml:space="preserve">                                    </w:t>
      </w:r>
    </w:p>
    <w:p w14:paraId="6EB933DC">
      <w:pPr>
        <w:widowControl/>
        <w:spacing w:line="360" w:lineRule="auto"/>
        <w:ind w:firstLine="600"/>
        <w:jc w:val="left"/>
        <w:textAlignment w:val="baseline"/>
        <w:rPr>
          <w:rFonts w:ascii="宋体" w:hAnsi="宋体" w:cs="宋体"/>
          <w:color w:val="auto"/>
          <w:kern w:val="0"/>
          <w:sz w:val="20"/>
          <w:szCs w:val="21"/>
          <w:highlight w:val="none"/>
        </w:rPr>
      </w:pPr>
    </w:p>
    <w:p w14:paraId="6FB6E335">
      <w:pPr>
        <w:widowControl/>
        <w:spacing w:line="360" w:lineRule="auto"/>
        <w:textAlignment w:val="baseline"/>
        <w:rPr>
          <w:rFonts w:ascii="宋体" w:hAnsi="宋体" w:cs="宋体"/>
          <w:b/>
          <w:color w:val="auto"/>
          <w:kern w:val="0"/>
          <w:sz w:val="20"/>
          <w:szCs w:val="21"/>
          <w:highlight w:val="none"/>
        </w:rPr>
      </w:pPr>
      <w:r>
        <w:rPr>
          <w:rFonts w:hint="eastAsia" w:ascii="宋体" w:hAnsi="宋体" w:cs="宋体"/>
          <w:b/>
          <w:color w:val="auto"/>
          <w:kern w:val="0"/>
          <w:szCs w:val="21"/>
          <w:highlight w:val="none"/>
        </w:rPr>
        <w:t>后附委托代理人身份证复印件：</w:t>
      </w:r>
    </w:p>
    <w:p w14:paraId="46E9F492">
      <w:pPr>
        <w:pStyle w:val="11"/>
        <w:textAlignment w:val="baseline"/>
        <w:rPr>
          <w:rFonts w:ascii="宋体" w:hAnsi="宋体" w:cs="宋体"/>
          <w:color w:val="auto"/>
          <w:kern w:val="0"/>
          <w:sz w:val="24"/>
          <w:highlight w:val="none"/>
        </w:rPr>
      </w:pPr>
    </w:p>
    <w:p w14:paraId="50E86882">
      <w:pPr>
        <w:spacing w:line="460" w:lineRule="exact"/>
        <w:jc w:val="left"/>
        <w:textAlignment w:val="baseline"/>
        <w:rPr>
          <w:rFonts w:ascii="宋体" w:hAnsi="宋体" w:cs="宋体"/>
          <w:b/>
          <w:bCs/>
          <w:color w:val="auto"/>
          <w:sz w:val="22"/>
          <w:highlight w:val="none"/>
        </w:rPr>
      </w:pPr>
    </w:p>
    <w:p w14:paraId="75D359CC">
      <w:pPr>
        <w:pStyle w:val="30"/>
        <w:spacing w:line="360" w:lineRule="auto"/>
        <w:ind w:firstLine="60"/>
        <w:textAlignment w:val="baseline"/>
        <w:rPr>
          <w:rFonts w:ascii="宋体" w:hAnsi="宋体" w:eastAsia="宋体"/>
          <w:color w:val="auto"/>
          <w:sz w:val="22"/>
          <w:szCs w:val="22"/>
          <w:highlight w:val="none"/>
          <w:u w:val="single"/>
        </w:rPr>
      </w:pPr>
      <w:r>
        <w:rPr>
          <w:rFonts w:hint="eastAsia" w:ascii="宋体" w:hAnsi="宋体" w:eastAsia="宋体"/>
          <w:b/>
          <w:color w:val="auto"/>
          <w:sz w:val="30"/>
          <w:highlight w:val="none"/>
        </w:rPr>
        <w:br w:type="page"/>
      </w:r>
    </w:p>
    <w:p w14:paraId="5E2FD3A7">
      <w:pPr>
        <w:widowControl/>
        <w:spacing w:line="420" w:lineRule="atLeast"/>
        <w:textAlignment w:val="baseline"/>
        <w:outlineLvl w:val="0"/>
        <w:rPr>
          <w:rFonts w:hint="eastAsia" w:ascii="宋体" w:hAnsi="宋体" w:eastAsia="宋体" w:cs="宋体"/>
          <w:b/>
          <w:bCs/>
          <w:color w:val="auto"/>
          <w:sz w:val="28"/>
          <w:szCs w:val="28"/>
          <w:highlight w:val="none"/>
        </w:rPr>
      </w:pPr>
      <w:bookmarkStart w:id="89" w:name="_Toc14559"/>
      <w:r>
        <w:rPr>
          <w:rFonts w:hint="eastAsia" w:ascii="宋体" w:hAnsi="宋体" w:cs="宋体"/>
          <w:b/>
          <w:bCs/>
          <w:color w:val="auto"/>
          <w:kern w:val="0"/>
          <w:sz w:val="24"/>
          <w:szCs w:val="24"/>
          <w:highlight w:val="none"/>
        </w:rPr>
        <w:t>附件</w:t>
      </w:r>
      <w:r>
        <w:rPr>
          <w:rFonts w:hint="eastAsia" w:ascii="宋体" w:hAnsi="宋体" w:cs="宋体"/>
          <w:b/>
          <w:bCs/>
          <w:color w:val="auto"/>
          <w:kern w:val="0"/>
          <w:sz w:val="24"/>
          <w:szCs w:val="24"/>
          <w:highlight w:val="none"/>
          <w:lang w:val="en-US" w:eastAsia="zh-CN"/>
        </w:rPr>
        <w:t>3</w:t>
      </w:r>
    </w:p>
    <w:p w14:paraId="3F47E277">
      <w:pPr>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中小企业声明函</w:t>
      </w:r>
      <w:r>
        <w:rPr>
          <w:rFonts w:hint="eastAsia" w:ascii="宋体" w:hAnsi="宋体" w:cs="宋体"/>
          <w:b/>
          <w:bCs/>
          <w:color w:val="auto"/>
          <w:sz w:val="28"/>
          <w:szCs w:val="28"/>
          <w:highlight w:val="none"/>
          <w:lang w:eastAsia="zh-CN"/>
        </w:rPr>
        <w:t>（服务）</w:t>
      </w:r>
    </w:p>
    <w:p w14:paraId="18A5AA2F">
      <w:pPr>
        <w:pStyle w:val="19"/>
        <w:spacing w:line="360" w:lineRule="auto"/>
        <w:jc w:val="center"/>
        <w:rPr>
          <w:rFonts w:hint="eastAsia" w:ascii="宋体" w:hAnsi="宋体" w:eastAsia="宋体" w:cs="宋体"/>
          <w:bCs/>
          <w:color w:val="auto"/>
          <w:sz w:val="18"/>
          <w:szCs w:val="18"/>
          <w:highlight w:val="none"/>
          <w:u w:val="single"/>
        </w:rPr>
      </w:pPr>
    </w:p>
    <w:p w14:paraId="5C4096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w:t>
      </w:r>
      <w:r>
        <w:rPr>
          <w:rFonts w:hint="eastAsia" w:ascii="宋体" w:hAnsi="宋体" w:cs="宋体"/>
          <w:color w:val="auto"/>
          <w:szCs w:val="21"/>
          <w:highlight w:val="none"/>
          <w:lang w:eastAsia="zh-CN"/>
        </w:rPr>
        <w:t>（联合体）</w:t>
      </w:r>
      <w:r>
        <w:rPr>
          <w:rFonts w:hint="eastAsia" w:ascii="宋体" w:hAnsi="宋体" w:eastAsia="宋体" w:cs="宋体"/>
          <w:color w:val="auto"/>
          <w:szCs w:val="21"/>
          <w:highlight w:val="none"/>
        </w:rPr>
        <w:t>郑重声明，根据《政府采购促进中小企业发展管理办法》（财库 ﹝2020﹞46号）的规定，本公司</w:t>
      </w:r>
      <w:r>
        <w:rPr>
          <w:rFonts w:hint="eastAsia" w:ascii="宋体" w:hAnsi="宋体" w:cs="宋体"/>
          <w:color w:val="auto"/>
          <w:szCs w:val="21"/>
          <w:highlight w:val="none"/>
          <w:lang w:eastAsia="zh-CN"/>
        </w:rPr>
        <w:t>（联合体）</w:t>
      </w:r>
      <w:r>
        <w:rPr>
          <w:rFonts w:hint="eastAsia" w:ascii="宋体" w:hAnsi="宋体" w:eastAsia="宋体" w:cs="宋体"/>
          <w:color w:val="auto"/>
          <w:szCs w:val="21"/>
          <w:highlight w:val="none"/>
        </w:rPr>
        <w:t>参加</w:t>
      </w:r>
      <w:r>
        <w:rPr>
          <w:rFonts w:hint="eastAsia" w:ascii="宋体" w:hAnsi="宋体" w:eastAsia="宋体" w:cs="宋体"/>
          <w:color w:val="auto"/>
          <w:szCs w:val="21"/>
          <w:highlight w:val="none"/>
          <w:u w:val="single"/>
        </w:rPr>
        <w:t>（单位名称）</w:t>
      </w:r>
      <w:r>
        <w:rPr>
          <w:rFonts w:hint="eastAsia" w:ascii="宋体" w:hAnsi="宋体" w:eastAsia="宋体" w:cs="宋体"/>
          <w:color w:val="auto"/>
          <w:szCs w:val="21"/>
          <w:highlight w:val="none"/>
        </w:rPr>
        <w:t>的</w:t>
      </w:r>
      <w:r>
        <w:rPr>
          <w:rFonts w:hint="eastAsia"/>
          <w:color w:val="auto"/>
          <w:szCs w:val="21"/>
          <w:highlight w:val="none"/>
          <w:u w:val="single"/>
        </w:rPr>
        <w:t>（项目名称）</w:t>
      </w:r>
      <w:r>
        <w:rPr>
          <w:rFonts w:hint="eastAsia"/>
          <w:color w:val="auto"/>
          <w:szCs w:val="21"/>
          <w:highlight w:val="none"/>
          <w:u w:val="single"/>
          <w:lang w:eastAsia="zh-CN"/>
        </w:rPr>
        <w:t>（项目编号）</w:t>
      </w:r>
      <w:r>
        <w:rPr>
          <w:rFonts w:hint="eastAsia" w:ascii="宋体" w:hAnsi="宋体" w:eastAsia="宋体" w:cs="宋体"/>
          <w:color w:val="auto"/>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A2D5951">
      <w:pPr>
        <w:spacing w:line="300" w:lineRule="auto"/>
        <w:ind w:firstLine="420" w:firstLineChars="200"/>
        <w:rPr>
          <w:rFonts w:hint="eastAsia" w:asciiTheme="minorEastAsia" w:hAnsiTheme="minorEastAsia" w:eastAsiaTheme="minorEastAsia" w:cstheme="minorEastAsia"/>
          <w:color w:val="auto"/>
          <w:szCs w:val="21"/>
          <w:highlight w:val="none"/>
        </w:rPr>
      </w:pPr>
      <w:r>
        <w:rPr>
          <w:rFonts w:hint="eastAsia" w:ascii="宋体" w:hAnsi="宋体" w:eastAsia="宋体" w:cs="宋体"/>
          <w:color w:val="auto"/>
          <w:szCs w:val="21"/>
          <w:highlight w:val="none"/>
          <w:u w:val="none"/>
          <w:lang w:val="en-US" w:eastAsia="zh-CN"/>
        </w:rPr>
        <w:t>1.</w:t>
      </w:r>
      <w:r>
        <w:rPr>
          <w:rFonts w:hint="eastAsia" w:ascii="宋体" w:hAnsi="宋体" w:eastAsia="宋体" w:cs="宋体"/>
          <w:color w:val="auto"/>
          <w:szCs w:val="21"/>
          <w:highlight w:val="none"/>
          <w:u w:val="single"/>
        </w:rPr>
        <w:t xml:space="preserve">（标的名称） </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 xml:space="preserve">  （采购文件中明确的所属行业）  </w:t>
      </w:r>
      <w:r>
        <w:rPr>
          <w:rFonts w:hint="eastAsia" w:ascii="宋体" w:hAnsi="宋体" w:eastAsia="宋体" w:cs="宋体"/>
          <w:color w:val="auto"/>
          <w:szCs w:val="21"/>
          <w:highlight w:val="none"/>
        </w:rPr>
        <w:t>行业；制造商</w:t>
      </w:r>
      <w:r>
        <w:rPr>
          <w:rFonts w:hint="eastAsia" w:ascii="宋体" w:hAnsi="宋体" w:eastAsia="宋体" w:cs="宋体"/>
          <w:color w:val="auto"/>
          <w:szCs w:val="21"/>
          <w:highlight w:val="none"/>
          <w:lang w:val="en-US" w:eastAsia="zh-CN"/>
        </w:rPr>
        <w:t>或服务承接商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w:t>
      </w:r>
      <w:r>
        <w:rPr>
          <w:rFonts w:hint="eastAsia" w:asciiTheme="minorEastAsia" w:hAnsiTheme="minorEastAsia" w:eastAsiaTheme="minorEastAsia" w:cstheme="minorEastAsia"/>
          <w:color w:val="auto"/>
          <w:szCs w:val="21"/>
          <w:highlight w:val="none"/>
        </w:rPr>
        <w:t>属于</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none"/>
          <w:lang w:val="en-US" w:eastAsia="zh-CN"/>
        </w:rPr>
        <w:t>型企业</w:t>
      </w:r>
      <w:r>
        <w:rPr>
          <w:rFonts w:hint="eastAsia" w:asciiTheme="minorEastAsia" w:hAnsiTheme="minorEastAsia" w:eastAsiaTheme="minorEastAsia" w:cstheme="minorEastAsia"/>
          <w:color w:val="auto"/>
          <w:szCs w:val="21"/>
          <w:highlight w:val="none"/>
          <w:u w:val="none"/>
          <w:lang w:eastAsia="zh-CN"/>
        </w:rPr>
        <w:t>（选填：</w:t>
      </w:r>
      <w:r>
        <w:rPr>
          <w:rFonts w:hint="eastAsia" w:asciiTheme="minorEastAsia" w:hAnsiTheme="minorEastAsia" w:eastAsiaTheme="minorEastAsia" w:cstheme="minorEastAsia"/>
          <w:color w:val="auto"/>
          <w:szCs w:val="20"/>
          <w:highlight w:val="none"/>
          <w:u w:val="none"/>
        </w:rPr>
        <w:t>①</w:t>
      </w:r>
      <w:r>
        <w:rPr>
          <w:rFonts w:hint="eastAsia" w:asciiTheme="minorEastAsia" w:hAnsiTheme="minorEastAsia" w:eastAsiaTheme="minorEastAsia" w:cstheme="minorEastAsia"/>
          <w:color w:val="auto"/>
          <w:szCs w:val="21"/>
          <w:highlight w:val="none"/>
          <w:u w:val="none"/>
        </w:rPr>
        <w:t>中型企业、</w:t>
      </w:r>
      <w:r>
        <w:rPr>
          <w:rFonts w:hint="eastAsia" w:asciiTheme="minorEastAsia" w:hAnsiTheme="minorEastAsia" w:eastAsiaTheme="minorEastAsia" w:cstheme="minorEastAsia"/>
          <w:color w:val="auto"/>
          <w:szCs w:val="20"/>
          <w:highlight w:val="none"/>
          <w:u w:val="none"/>
        </w:rPr>
        <w:t>②</w:t>
      </w:r>
      <w:r>
        <w:rPr>
          <w:rFonts w:hint="eastAsia" w:asciiTheme="minorEastAsia" w:hAnsiTheme="minorEastAsia" w:eastAsiaTheme="minorEastAsia" w:cstheme="minorEastAsia"/>
          <w:color w:val="auto"/>
          <w:szCs w:val="21"/>
          <w:highlight w:val="none"/>
          <w:u w:val="none"/>
        </w:rPr>
        <w:t>小型企业、</w:t>
      </w:r>
      <w:r>
        <w:rPr>
          <w:rFonts w:hint="eastAsia" w:asciiTheme="minorEastAsia" w:hAnsiTheme="minorEastAsia" w:eastAsiaTheme="minorEastAsia" w:cstheme="minorEastAsia"/>
          <w:color w:val="auto"/>
          <w:szCs w:val="20"/>
          <w:highlight w:val="none"/>
          <w:u w:val="none"/>
        </w:rPr>
        <w:t>③</w:t>
      </w:r>
      <w:r>
        <w:rPr>
          <w:rFonts w:hint="eastAsia" w:asciiTheme="minorEastAsia" w:hAnsiTheme="minorEastAsia" w:eastAsiaTheme="minorEastAsia" w:cstheme="minorEastAsia"/>
          <w:color w:val="auto"/>
          <w:szCs w:val="21"/>
          <w:highlight w:val="none"/>
          <w:u w:val="none"/>
        </w:rPr>
        <w:t>微型企业）</w:t>
      </w:r>
      <w:r>
        <w:rPr>
          <w:rFonts w:hint="eastAsia" w:asciiTheme="minorEastAsia" w:hAnsiTheme="minorEastAsia" w:eastAsiaTheme="minorEastAsia" w:cstheme="minorEastAsia"/>
          <w:color w:val="auto"/>
          <w:szCs w:val="21"/>
          <w:highlight w:val="none"/>
        </w:rPr>
        <w:t>；</w:t>
      </w:r>
    </w:p>
    <w:p w14:paraId="7A027DBB">
      <w:pPr>
        <w:spacing w:line="300" w:lineRule="auto"/>
        <w:ind w:firstLine="420" w:firstLineChars="200"/>
        <w:rPr>
          <w:rFonts w:hint="eastAsia" w:asciiTheme="minorEastAsia" w:hAnsiTheme="minorEastAsia" w:eastAsiaTheme="minorEastAsia" w:cstheme="minorEastAsia"/>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 xml:space="preserve">（标的名称） </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 xml:space="preserve">  （采购文件中明确的所属行业）   </w:t>
      </w:r>
      <w:r>
        <w:rPr>
          <w:rFonts w:hint="eastAsia" w:ascii="宋体" w:hAnsi="宋体" w:eastAsia="宋体" w:cs="宋体"/>
          <w:color w:val="auto"/>
          <w:szCs w:val="21"/>
          <w:highlight w:val="none"/>
        </w:rPr>
        <w:t>行业；制造商</w:t>
      </w:r>
      <w:r>
        <w:rPr>
          <w:rFonts w:hint="eastAsia" w:ascii="宋体" w:hAnsi="宋体" w:eastAsia="宋体" w:cs="宋体"/>
          <w:color w:val="auto"/>
          <w:szCs w:val="21"/>
          <w:highlight w:val="none"/>
          <w:lang w:val="en-US" w:eastAsia="zh-CN"/>
        </w:rPr>
        <w:t>或服务承接商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lang w:val="en-US" w:eastAsia="zh-CN"/>
        </w:rPr>
        <w:t>企</w:t>
      </w:r>
      <w:r>
        <w:rPr>
          <w:rFonts w:hint="eastAsia" w:ascii="宋体" w:hAnsi="宋体" w:eastAsia="宋体" w:cs="宋体"/>
          <w:color w:val="auto"/>
          <w:szCs w:val="21"/>
          <w:highlight w:val="none"/>
          <w:u w:val="single"/>
          <w:lang w:val="en-US" w:eastAsia="zh-CN"/>
        </w:rPr>
        <w:t>业名</w:t>
      </w:r>
      <w:r>
        <w:rPr>
          <w:rFonts w:hint="eastAsia" w:ascii="宋体" w:hAnsi="宋体" w:eastAsia="宋体" w:cs="宋体"/>
          <w:color w:val="auto"/>
          <w:szCs w:val="21"/>
          <w:highlight w:val="none"/>
          <w:u w:val="single"/>
        </w:rPr>
        <w:t xml:space="preserve">称） </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w:t>
      </w:r>
      <w:r>
        <w:rPr>
          <w:rStyle w:val="45"/>
          <w:rFonts w:ascii="宋体" w:hAnsi="宋体"/>
          <w:highlight w:val="none"/>
        </w:rPr>
        <w:footnoteReference w:id="0"/>
      </w:r>
      <w:r>
        <w:rPr>
          <w:rFonts w:hint="eastAsia" w:ascii="宋体" w:hAnsi="宋体" w:eastAsia="宋体" w:cs="宋体"/>
          <w:color w:val="auto"/>
          <w:szCs w:val="21"/>
          <w:highlight w:val="none"/>
        </w:rPr>
        <w:t>，</w:t>
      </w:r>
      <w:r>
        <w:rPr>
          <w:rFonts w:hint="eastAsia" w:asciiTheme="minorEastAsia" w:hAnsiTheme="minorEastAsia" w:eastAsiaTheme="minorEastAsia" w:cstheme="minorEastAsia"/>
          <w:color w:val="auto"/>
          <w:szCs w:val="21"/>
          <w:highlight w:val="none"/>
        </w:rPr>
        <w:t>属于</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none"/>
          <w:lang w:val="en-US" w:eastAsia="zh-CN"/>
        </w:rPr>
        <w:t>型企业</w:t>
      </w:r>
      <w:r>
        <w:rPr>
          <w:rFonts w:hint="eastAsia" w:asciiTheme="minorEastAsia" w:hAnsiTheme="minorEastAsia" w:eastAsiaTheme="minorEastAsia" w:cstheme="minorEastAsia"/>
          <w:color w:val="auto"/>
          <w:szCs w:val="21"/>
          <w:highlight w:val="none"/>
          <w:u w:val="none"/>
          <w:lang w:eastAsia="zh-CN"/>
        </w:rPr>
        <w:t>（选填：</w:t>
      </w:r>
      <w:r>
        <w:rPr>
          <w:rFonts w:hint="eastAsia" w:asciiTheme="minorEastAsia" w:hAnsiTheme="minorEastAsia" w:eastAsiaTheme="minorEastAsia" w:cstheme="minorEastAsia"/>
          <w:color w:val="auto"/>
          <w:szCs w:val="20"/>
          <w:highlight w:val="none"/>
          <w:u w:val="none"/>
        </w:rPr>
        <w:t>①</w:t>
      </w:r>
      <w:r>
        <w:rPr>
          <w:rFonts w:hint="eastAsia" w:asciiTheme="minorEastAsia" w:hAnsiTheme="minorEastAsia" w:eastAsiaTheme="minorEastAsia" w:cstheme="minorEastAsia"/>
          <w:color w:val="auto"/>
          <w:szCs w:val="21"/>
          <w:highlight w:val="none"/>
          <w:u w:val="none"/>
        </w:rPr>
        <w:t>中型企业、</w:t>
      </w:r>
      <w:r>
        <w:rPr>
          <w:rFonts w:hint="eastAsia" w:asciiTheme="minorEastAsia" w:hAnsiTheme="minorEastAsia" w:eastAsiaTheme="minorEastAsia" w:cstheme="minorEastAsia"/>
          <w:color w:val="auto"/>
          <w:szCs w:val="20"/>
          <w:highlight w:val="none"/>
          <w:u w:val="none"/>
        </w:rPr>
        <w:t>②</w:t>
      </w:r>
      <w:r>
        <w:rPr>
          <w:rFonts w:hint="eastAsia" w:asciiTheme="minorEastAsia" w:hAnsiTheme="minorEastAsia" w:eastAsiaTheme="minorEastAsia" w:cstheme="minorEastAsia"/>
          <w:color w:val="auto"/>
          <w:szCs w:val="21"/>
          <w:highlight w:val="none"/>
          <w:u w:val="none"/>
        </w:rPr>
        <w:t>小型企业、</w:t>
      </w:r>
      <w:r>
        <w:rPr>
          <w:rFonts w:hint="eastAsia" w:asciiTheme="minorEastAsia" w:hAnsiTheme="minorEastAsia" w:eastAsiaTheme="minorEastAsia" w:cstheme="minorEastAsia"/>
          <w:color w:val="auto"/>
          <w:szCs w:val="20"/>
          <w:highlight w:val="none"/>
          <w:u w:val="none"/>
        </w:rPr>
        <w:t>③</w:t>
      </w:r>
      <w:r>
        <w:rPr>
          <w:rFonts w:hint="eastAsia" w:asciiTheme="minorEastAsia" w:hAnsiTheme="minorEastAsia" w:eastAsiaTheme="minorEastAsia" w:cstheme="minorEastAsia"/>
          <w:color w:val="auto"/>
          <w:szCs w:val="21"/>
          <w:highlight w:val="none"/>
          <w:u w:val="none"/>
        </w:rPr>
        <w:t>微型企业）</w:t>
      </w:r>
      <w:r>
        <w:rPr>
          <w:rFonts w:hint="eastAsia" w:asciiTheme="minorEastAsia" w:hAnsiTheme="minorEastAsia" w:eastAsiaTheme="minorEastAsia" w:cstheme="minorEastAsia"/>
          <w:color w:val="auto"/>
          <w:szCs w:val="21"/>
          <w:highlight w:val="none"/>
        </w:rPr>
        <w:t>；</w:t>
      </w:r>
    </w:p>
    <w:p w14:paraId="41B29DD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3EBCC15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以上企业，不属于大企业的分支机构，不存在控股股东为大企业的情形，也不存在与大企业的负责人为同一人的情形。</w:t>
      </w:r>
    </w:p>
    <w:p w14:paraId="22EA0EB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本企业对上述声明内容的真实性负责。如有虚假，将依法承担相应责任。</w:t>
      </w:r>
    </w:p>
    <w:p w14:paraId="47AAAD8A">
      <w:pPr>
        <w:rPr>
          <w:rFonts w:hint="eastAsia" w:ascii="宋体" w:hAnsi="宋体" w:eastAsia="宋体" w:cs="宋体"/>
          <w:b/>
          <w:color w:val="auto"/>
          <w:szCs w:val="21"/>
          <w:highlight w:val="none"/>
        </w:rPr>
      </w:pPr>
    </w:p>
    <w:p w14:paraId="739D4F82">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供应商名称（盖章）</w:t>
      </w:r>
      <w:r>
        <w:rPr>
          <w:rFonts w:hint="eastAsia"/>
          <w:highlight w:val="none"/>
        </w:rPr>
        <w:t xml:space="preserve">：                           </w:t>
      </w:r>
    </w:p>
    <w:p w14:paraId="5FF731BC">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37BCBFDA">
      <w:pPr>
        <w:pStyle w:val="30"/>
        <w:rPr>
          <w:rFonts w:hint="eastAsia" w:ascii="宋体" w:hAnsi="宋体" w:eastAsia="宋体" w:cs="宋体"/>
          <w:color w:val="auto"/>
          <w:szCs w:val="21"/>
          <w:highlight w:val="none"/>
        </w:rPr>
      </w:pPr>
    </w:p>
    <w:p w14:paraId="5B7A3794">
      <w:pPr>
        <w:rPr>
          <w:rFonts w:hint="eastAsia"/>
          <w:highlight w:val="none"/>
        </w:rPr>
      </w:pPr>
    </w:p>
    <w:p w14:paraId="57226F53">
      <w:pPr>
        <w:rPr>
          <w:highlight w:val="none"/>
        </w:rPr>
      </w:pPr>
    </w:p>
    <w:p w14:paraId="73E9CF86">
      <w:pPr>
        <w:rPr>
          <w:highlight w:val="none"/>
        </w:rPr>
      </w:pPr>
      <w:r>
        <w:rPr>
          <w:highlight w:val="none"/>
        </w:rPr>
        <w:br w:type="page"/>
      </w:r>
    </w:p>
    <w:p w14:paraId="5B5E26E4">
      <w:pPr>
        <w:widowControl/>
        <w:spacing w:line="420" w:lineRule="atLeast"/>
        <w:textAlignment w:val="baseline"/>
        <w:outlineLvl w:val="0"/>
        <w:rPr>
          <w:rFonts w:hint="default" w:ascii="宋体" w:hAnsi="宋体" w:cs="宋体"/>
          <w:b/>
          <w:bCs/>
          <w:color w:val="auto"/>
          <w:kern w:val="0"/>
          <w:sz w:val="24"/>
          <w:szCs w:val="24"/>
          <w:highlight w:val="none"/>
          <w:lang w:val="en-US"/>
        </w:rPr>
      </w:pPr>
      <w:r>
        <w:rPr>
          <w:rFonts w:hint="eastAsia" w:ascii="宋体" w:hAnsi="宋体" w:cs="宋体"/>
          <w:b/>
          <w:bCs/>
          <w:color w:val="auto"/>
          <w:kern w:val="0"/>
          <w:sz w:val="24"/>
          <w:szCs w:val="24"/>
          <w:highlight w:val="none"/>
        </w:rPr>
        <w:t>附件</w:t>
      </w:r>
      <w:r>
        <w:rPr>
          <w:rFonts w:hint="eastAsia" w:ascii="宋体" w:hAnsi="宋体" w:cs="宋体"/>
          <w:b/>
          <w:bCs/>
          <w:color w:val="auto"/>
          <w:kern w:val="0"/>
          <w:sz w:val="24"/>
          <w:szCs w:val="24"/>
          <w:highlight w:val="none"/>
          <w:lang w:val="en-US" w:eastAsia="zh-CN"/>
        </w:rPr>
        <w:t>4</w:t>
      </w:r>
    </w:p>
    <w:p w14:paraId="7FA6FAAA">
      <w:pPr>
        <w:keepNext w:val="0"/>
        <w:keepLines w:val="0"/>
        <w:pageBreakBefore w:val="0"/>
        <w:widowControl/>
        <w:tabs>
          <w:tab w:val="left" w:pos="4860"/>
        </w:tabs>
        <w:kinsoku/>
        <w:wordWrap/>
        <w:overflowPunct/>
        <w:topLinePunct w:val="0"/>
        <w:autoSpaceDE/>
        <w:autoSpaceDN/>
        <w:bidi w:val="0"/>
        <w:adjustRightInd/>
        <w:snapToGrid/>
        <w:spacing w:line="288" w:lineRule="auto"/>
        <w:ind w:firstLine="420" w:firstLineChars="200"/>
        <w:jc w:val="center"/>
        <w:textAlignment w:val="auto"/>
        <w:rPr>
          <w:rFonts w:ascii="宋体" w:cs="宋体"/>
          <w:color w:val="auto"/>
          <w:szCs w:val="21"/>
          <w:highlight w:val="none"/>
        </w:rPr>
      </w:pPr>
    </w:p>
    <w:p w14:paraId="58076CE8">
      <w:pPr>
        <w:keepNext w:val="0"/>
        <w:keepLines w:val="0"/>
        <w:pageBreakBefore w:val="0"/>
        <w:widowControl/>
        <w:tabs>
          <w:tab w:val="left" w:pos="4860"/>
        </w:tabs>
        <w:kinsoku/>
        <w:wordWrap/>
        <w:overflowPunct/>
        <w:topLinePunct w:val="0"/>
        <w:autoSpaceDE/>
        <w:autoSpaceDN/>
        <w:bidi w:val="0"/>
        <w:adjustRightInd/>
        <w:snapToGrid/>
        <w:spacing w:line="288" w:lineRule="auto"/>
        <w:ind w:firstLine="562" w:firstLineChars="200"/>
        <w:jc w:val="center"/>
        <w:textAlignment w:val="auto"/>
        <w:rPr>
          <w:rFonts w:ascii="宋体" w:hAnsi="宋体" w:cs="宋体"/>
          <w:b/>
          <w:bCs/>
          <w:color w:val="auto"/>
          <w:sz w:val="28"/>
          <w:szCs w:val="28"/>
          <w:highlight w:val="none"/>
        </w:rPr>
      </w:pPr>
      <w:r>
        <w:rPr>
          <w:rFonts w:hint="eastAsia" w:ascii="宋体" w:hAnsi="宋体" w:cs="宋体"/>
          <w:b/>
          <w:bCs/>
          <w:color w:val="auto"/>
          <w:sz w:val="28"/>
          <w:szCs w:val="28"/>
          <w:highlight w:val="none"/>
        </w:rPr>
        <w:t>残疾人福利性单位声明函</w:t>
      </w:r>
    </w:p>
    <w:p w14:paraId="31DC8468">
      <w:pPr>
        <w:pStyle w:val="19"/>
        <w:spacing w:line="360" w:lineRule="auto"/>
        <w:ind w:firstLine="2835" w:firstLineChars="1350"/>
        <w:rPr>
          <w:rFonts w:ascii="宋体" w:hAnsi="宋体" w:cs="宋体"/>
          <w:color w:val="auto"/>
          <w:sz w:val="21"/>
          <w:szCs w:val="21"/>
          <w:highlight w:val="none"/>
        </w:rPr>
      </w:pPr>
      <w:r>
        <w:rPr>
          <w:rFonts w:hint="eastAsia" w:ascii="宋体" w:hAnsi="宋体" w:cs="宋体"/>
          <w:color w:val="auto"/>
          <w:sz w:val="21"/>
          <w:szCs w:val="21"/>
          <w:highlight w:val="none"/>
        </w:rPr>
        <w:t>【不属于残疾人福利性单位无需提供】</w:t>
      </w:r>
    </w:p>
    <w:p w14:paraId="2697E8EF">
      <w:pPr>
        <w:widowControl/>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采购活动提供本单位制造的货物（由本单位承担工程/提供服务），或者提供其他残疾人福利性单位制造的货物（不包括使用非残疾人福利性单位注册商标的货物）。</w:t>
      </w:r>
    </w:p>
    <w:p w14:paraId="7EB464B5">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12FD27DC">
      <w:pPr>
        <w:spacing w:line="360" w:lineRule="auto"/>
        <w:jc w:val="left"/>
        <w:rPr>
          <w:rFonts w:ascii="宋体" w:hAnsi="宋体" w:cs="宋体"/>
          <w:color w:val="auto"/>
          <w:szCs w:val="21"/>
          <w:highlight w:val="none"/>
        </w:rPr>
      </w:pPr>
    </w:p>
    <w:p w14:paraId="11370F50">
      <w:pPr>
        <w:spacing w:line="360" w:lineRule="auto"/>
        <w:jc w:val="left"/>
        <w:rPr>
          <w:rFonts w:ascii="宋体" w:hAnsi="宋体" w:cs="宋体"/>
          <w:color w:val="auto"/>
          <w:szCs w:val="21"/>
          <w:highlight w:val="none"/>
        </w:rPr>
      </w:pPr>
    </w:p>
    <w:p w14:paraId="499EC57D">
      <w:pPr>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 xml:space="preserve">供应商名称（盖章）： </w:t>
      </w:r>
      <w:r>
        <w:rPr>
          <w:rFonts w:hint="eastAsia" w:ascii="宋体" w:hAnsi="宋体" w:cs="宋体"/>
          <w:color w:val="auto"/>
          <w:szCs w:val="21"/>
          <w:highlight w:val="none"/>
          <w:u w:val="single"/>
        </w:rPr>
        <w:t xml:space="preserve">                          </w:t>
      </w:r>
    </w:p>
    <w:p w14:paraId="0C4DCFE2">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日期：      年   月   日</w:t>
      </w:r>
    </w:p>
    <w:p w14:paraId="4DB684A9">
      <w:pPr>
        <w:rPr>
          <w:rFonts w:ascii="宋体" w:hAnsi="宋体" w:cs="宋体"/>
          <w:color w:val="auto"/>
          <w:highlight w:val="none"/>
        </w:rPr>
      </w:pPr>
    </w:p>
    <w:p w14:paraId="5F7074EA">
      <w:pPr>
        <w:tabs>
          <w:tab w:val="left" w:pos="4860"/>
        </w:tabs>
        <w:ind w:right="1560"/>
        <w:jc w:val="left"/>
        <w:rPr>
          <w:rFonts w:ascii="宋体" w:hAnsi="宋体" w:cs="宋体"/>
          <w:b/>
          <w:color w:val="auto"/>
          <w:sz w:val="22"/>
          <w:highlight w:val="none"/>
        </w:rPr>
      </w:pPr>
      <w:r>
        <w:rPr>
          <w:rFonts w:hint="eastAsia" w:ascii="宋体" w:hAnsi="宋体" w:cs="宋体"/>
          <w:b/>
          <w:color w:val="auto"/>
          <w:sz w:val="22"/>
          <w:highlight w:val="none"/>
        </w:rPr>
        <w:t>说明：</w:t>
      </w:r>
    </w:p>
    <w:p w14:paraId="3DB10A71">
      <w:pPr>
        <w:widowControl/>
        <w:tabs>
          <w:tab w:val="left" w:pos="4860"/>
        </w:tabs>
        <w:ind w:right="-21"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1.如成交，将在成交公示中将此残疾人福利性单位声明函予以公示，接受社会监督；</w:t>
      </w:r>
    </w:p>
    <w:p w14:paraId="742889CA">
      <w:pPr>
        <w:widowControl/>
        <w:tabs>
          <w:tab w:val="left" w:pos="4860"/>
        </w:tabs>
        <w:ind w:right="-21" w:firstLine="422" w:firstLineChars="200"/>
        <w:jc w:val="left"/>
        <w:rPr>
          <w:rFonts w:ascii="宋体" w:hAnsi="宋体" w:cs="宋体"/>
          <w:b/>
          <w:color w:val="auto"/>
          <w:spacing w:val="6"/>
          <w:szCs w:val="21"/>
          <w:highlight w:val="none"/>
        </w:rPr>
      </w:pPr>
      <w:r>
        <w:rPr>
          <w:rFonts w:hint="eastAsia" w:ascii="宋体" w:hAnsi="宋体" w:cs="宋体"/>
          <w:b/>
          <w:color w:val="auto"/>
          <w:szCs w:val="21"/>
          <w:highlight w:val="none"/>
        </w:rPr>
        <w:t>2.供应商提供的《残疾人福利性单位声明函》与事实不符的，依照《</w:t>
      </w:r>
      <w:r>
        <w:rPr>
          <w:rFonts w:hint="eastAsia" w:ascii="宋体" w:hAnsi="宋体" w:cs="宋体"/>
          <w:b/>
          <w:color w:val="auto"/>
          <w:szCs w:val="21"/>
          <w:highlight w:val="none"/>
          <w:lang w:eastAsia="zh-CN"/>
        </w:rPr>
        <w:t>中华人民共和国</w:t>
      </w:r>
      <w:r>
        <w:rPr>
          <w:rFonts w:hint="eastAsia" w:ascii="宋体" w:hAnsi="宋体" w:cs="宋体"/>
          <w:b/>
          <w:color w:val="auto"/>
          <w:szCs w:val="21"/>
          <w:highlight w:val="none"/>
        </w:rPr>
        <w:t>政府采购法》第七十七条第一款的规定追究法律责任。</w:t>
      </w:r>
    </w:p>
    <w:p w14:paraId="0BB45BFF">
      <w:pPr>
        <w:spacing w:line="360" w:lineRule="auto"/>
        <w:jc w:val="left"/>
        <w:textAlignment w:val="baseline"/>
        <w:outlineLvl w:val="0"/>
        <w:rPr>
          <w:rFonts w:hint="eastAsia" w:ascii="宋体" w:hAnsi="宋体" w:cs="宋体"/>
          <w:b/>
          <w:bCs/>
          <w:color w:val="auto"/>
          <w:sz w:val="24"/>
          <w:szCs w:val="24"/>
          <w:highlight w:val="none"/>
        </w:rPr>
      </w:pPr>
    </w:p>
    <w:p w14:paraId="6D014E50">
      <w:pPr>
        <w:spacing w:line="360" w:lineRule="auto"/>
        <w:jc w:val="left"/>
        <w:textAlignment w:val="baseline"/>
        <w:outlineLvl w:val="0"/>
        <w:rPr>
          <w:rFonts w:hint="eastAsia" w:ascii="宋体" w:hAnsi="宋体" w:cs="宋体"/>
          <w:b/>
          <w:bCs/>
          <w:color w:val="auto"/>
          <w:sz w:val="24"/>
          <w:szCs w:val="24"/>
          <w:highlight w:val="none"/>
        </w:rPr>
      </w:pPr>
    </w:p>
    <w:p w14:paraId="5726DD06">
      <w:pPr>
        <w:spacing w:line="360" w:lineRule="auto"/>
        <w:jc w:val="left"/>
        <w:textAlignment w:val="baseline"/>
        <w:outlineLvl w:val="0"/>
        <w:rPr>
          <w:rFonts w:hint="eastAsia" w:ascii="宋体" w:hAnsi="宋体" w:cs="宋体"/>
          <w:b/>
          <w:bCs/>
          <w:color w:val="auto"/>
          <w:sz w:val="24"/>
          <w:szCs w:val="24"/>
          <w:highlight w:val="none"/>
        </w:rPr>
      </w:pPr>
    </w:p>
    <w:p w14:paraId="7FB8409D">
      <w:pPr>
        <w:spacing w:line="360" w:lineRule="auto"/>
        <w:jc w:val="left"/>
        <w:textAlignment w:val="baseline"/>
        <w:outlineLvl w:val="0"/>
        <w:rPr>
          <w:rFonts w:hint="eastAsia" w:ascii="宋体" w:hAnsi="宋体" w:cs="宋体"/>
          <w:b/>
          <w:bCs/>
          <w:color w:val="auto"/>
          <w:sz w:val="24"/>
          <w:szCs w:val="24"/>
          <w:highlight w:val="none"/>
        </w:rPr>
      </w:pPr>
    </w:p>
    <w:p w14:paraId="37761713">
      <w:pPr>
        <w:spacing w:line="360" w:lineRule="auto"/>
        <w:jc w:val="left"/>
        <w:textAlignment w:val="baseline"/>
        <w:outlineLvl w:val="0"/>
        <w:rPr>
          <w:rFonts w:hint="eastAsia" w:ascii="宋体" w:hAnsi="宋体" w:cs="宋体"/>
          <w:b/>
          <w:bCs/>
          <w:color w:val="auto"/>
          <w:sz w:val="24"/>
          <w:szCs w:val="24"/>
          <w:highlight w:val="none"/>
        </w:rPr>
      </w:pPr>
    </w:p>
    <w:p w14:paraId="1B4E4741">
      <w:pPr>
        <w:spacing w:line="360" w:lineRule="auto"/>
        <w:jc w:val="left"/>
        <w:textAlignment w:val="baseline"/>
        <w:outlineLvl w:val="0"/>
        <w:rPr>
          <w:rFonts w:hint="eastAsia" w:ascii="宋体" w:hAnsi="宋体" w:cs="宋体"/>
          <w:b/>
          <w:bCs/>
          <w:color w:val="auto"/>
          <w:sz w:val="24"/>
          <w:szCs w:val="24"/>
          <w:highlight w:val="none"/>
        </w:rPr>
      </w:pPr>
    </w:p>
    <w:p w14:paraId="20655ADE">
      <w:pPr>
        <w:spacing w:line="360" w:lineRule="auto"/>
        <w:jc w:val="left"/>
        <w:textAlignment w:val="baseline"/>
        <w:outlineLvl w:val="0"/>
        <w:rPr>
          <w:rFonts w:hint="eastAsia" w:ascii="宋体" w:hAnsi="宋体" w:cs="宋体"/>
          <w:b/>
          <w:bCs/>
          <w:color w:val="auto"/>
          <w:sz w:val="24"/>
          <w:szCs w:val="24"/>
          <w:highlight w:val="none"/>
        </w:rPr>
      </w:pPr>
    </w:p>
    <w:p w14:paraId="5A05C6E2">
      <w:pPr>
        <w:spacing w:line="360" w:lineRule="auto"/>
        <w:jc w:val="left"/>
        <w:textAlignment w:val="baseline"/>
        <w:outlineLvl w:val="0"/>
        <w:rPr>
          <w:rFonts w:hint="eastAsia" w:ascii="宋体" w:hAnsi="宋体" w:cs="宋体"/>
          <w:b/>
          <w:bCs/>
          <w:color w:val="auto"/>
          <w:sz w:val="24"/>
          <w:szCs w:val="24"/>
          <w:highlight w:val="none"/>
        </w:rPr>
      </w:pPr>
    </w:p>
    <w:p w14:paraId="2E06BA3C">
      <w:pPr>
        <w:spacing w:line="360" w:lineRule="auto"/>
        <w:jc w:val="left"/>
        <w:textAlignment w:val="baseline"/>
        <w:outlineLvl w:val="0"/>
        <w:rPr>
          <w:rFonts w:hint="eastAsia" w:ascii="宋体" w:hAnsi="宋体" w:cs="宋体"/>
          <w:b/>
          <w:bCs/>
          <w:color w:val="auto"/>
          <w:sz w:val="24"/>
          <w:szCs w:val="24"/>
          <w:highlight w:val="none"/>
        </w:rPr>
      </w:pPr>
    </w:p>
    <w:p w14:paraId="01FC56DA">
      <w:pPr>
        <w:spacing w:line="360" w:lineRule="auto"/>
        <w:jc w:val="left"/>
        <w:textAlignment w:val="baseline"/>
        <w:outlineLvl w:val="0"/>
        <w:rPr>
          <w:rFonts w:hint="eastAsia" w:ascii="宋体" w:hAnsi="宋体" w:cs="宋体"/>
          <w:b/>
          <w:bCs/>
          <w:color w:val="auto"/>
          <w:sz w:val="24"/>
          <w:szCs w:val="24"/>
          <w:highlight w:val="none"/>
        </w:rPr>
      </w:pPr>
    </w:p>
    <w:p w14:paraId="1A2AE48E">
      <w:pPr>
        <w:spacing w:line="360" w:lineRule="auto"/>
        <w:jc w:val="left"/>
        <w:textAlignment w:val="baseline"/>
        <w:outlineLvl w:val="0"/>
        <w:rPr>
          <w:rFonts w:hint="eastAsia" w:ascii="宋体" w:hAnsi="宋体" w:cs="宋体"/>
          <w:b/>
          <w:bCs/>
          <w:color w:val="auto"/>
          <w:sz w:val="24"/>
          <w:szCs w:val="24"/>
          <w:highlight w:val="none"/>
        </w:rPr>
      </w:pPr>
    </w:p>
    <w:bookmarkEnd w:id="89"/>
    <w:p w14:paraId="74FC872E">
      <w:pPr>
        <w:rPr>
          <w:color w:val="auto"/>
          <w:highlight w:val="none"/>
        </w:rPr>
      </w:pPr>
    </w:p>
    <w:p w14:paraId="78F7F1FA">
      <w:pPr>
        <w:spacing w:line="360" w:lineRule="auto"/>
        <w:jc w:val="center"/>
        <w:textAlignment w:val="baseline"/>
        <w:outlineLvl w:val="0"/>
        <w:rPr>
          <w:rFonts w:hint="eastAsia" w:ascii="宋体" w:hAnsi="宋体" w:cs="宋体"/>
          <w:b/>
          <w:bCs/>
          <w:color w:val="auto"/>
          <w:sz w:val="36"/>
          <w:szCs w:val="36"/>
          <w:highlight w:val="none"/>
          <w:lang w:val="en-US" w:eastAsia="zh-CN"/>
        </w:rPr>
      </w:pPr>
    </w:p>
    <w:p w14:paraId="2A043CE2">
      <w:pPr>
        <w:spacing w:line="360" w:lineRule="auto"/>
        <w:jc w:val="center"/>
        <w:textAlignment w:val="baseline"/>
        <w:outlineLvl w:val="0"/>
        <w:rPr>
          <w:rFonts w:hint="default" w:ascii="宋体" w:hAnsi="宋体" w:eastAsia="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t>商务技术文件格式</w:t>
      </w:r>
    </w:p>
    <w:p w14:paraId="7BDFF103">
      <w:pPr>
        <w:spacing w:before="185"/>
        <w:ind w:right="210"/>
        <w:jc w:val="center"/>
        <w:textAlignment w:val="baseline"/>
        <w:outlineLvl w:val="0"/>
        <w:rPr>
          <w:rFonts w:ascii="宋体" w:hAnsi="宋体" w:cs="宋体"/>
          <w:b/>
          <w:color w:val="auto"/>
          <w:sz w:val="52"/>
          <w:highlight w:val="none"/>
        </w:rPr>
      </w:pPr>
      <w:bookmarkStart w:id="90" w:name="_Toc9861"/>
      <w:r>
        <w:rPr>
          <w:rFonts w:hint="eastAsia" w:ascii="宋体" w:hAnsi="宋体" w:cs="宋体"/>
          <w:b/>
          <w:color w:val="auto"/>
          <w:sz w:val="52"/>
          <w:highlight w:val="none"/>
        </w:rPr>
        <w:t>投 标 文 件</w:t>
      </w:r>
    </w:p>
    <w:p w14:paraId="1C02B10C">
      <w:pPr>
        <w:pStyle w:val="11"/>
        <w:spacing w:before="11"/>
        <w:textAlignment w:val="baseline"/>
        <w:rPr>
          <w:rFonts w:ascii="宋体" w:hAnsi="宋体" w:cs="宋体"/>
          <w:b/>
          <w:color w:val="auto"/>
          <w:sz w:val="69"/>
          <w:highlight w:val="none"/>
        </w:rPr>
      </w:pPr>
    </w:p>
    <w:p w14:paraId="5B7C7599">
      <w:pPr>
        <w:ind w:right="208"/>
        <w:jc w:val="center"/>
        <w:textAlignment w:val="baseline"/>
        <w:outlineLvl w:val="0"/>
        <w:rPr>
          <w:rFonts w:ascii="宋体" w:hAnsi="宋体" w:cs="宋体"/>
          <w:b/>
          <w:color w:val="auto"/>
          <w:sz w:val="32"/>
          <w:highlight w:val="none"/>
        </w:rPr>
      </w:pPr>
      <w:r>
        <w:rPr>
          <w:rFonts w:hint="eastAsia" w:ascii="宋体" w:hAnsi="宋体" w:cs="宋体"/>
          <w:b/>
          <w:color w:val="auto"/>
          <w:sz w:val="32"/>
          <w:highlight w:val="none"/>
        </w:rPr>
        <w:t>商务技术文件</w:t>
      </w:r>
    </w:p>
    <w:p w14:paraId="0B672E1C">
      <w:pPr>
        <w:pStyle w:val="65"/>
        <w:rPr>
          <w:rFonts w:ascii="宋体" w:hAnsi="宋体" w:cs="宋体"/>
          <w:b/>
          <w:color w:val="auto"/>
          <w:sz w:val="32"/>
          <w:highlight w:val="none"/>
        </w:rPr>
      </w:pPr>
    </w:p>
    <w:p w14:paraId="0C75EA44">
      <w:pPr>
        <w:pStyle w:val="65"/>
        <w:rPr>
          <w:rFonts w:ascii="宋体" w:hAnsi="宋体" w:cs="宋体"/>
          <w:b/>
          <w:color w:val="auto"/>
          <w:sz w:val="32"/>
          <w:highlight w:val="none"/>
        </w:rPr>
      </w:pPr>
    </w:p>
    <w:p w14:paraId="44A5DE37">
      <w:pPr>
        <w:snapToGrid w:val="0"/>
        <w:spacing w:line="720" w:lineRule="auto"/>
        <w:ind w:firstLine="1120" w:firstLineChars="400"/>
        <w:textAlignment w:val="baseline"/>
        <w:rPr>
          <w:rFonts w:ascii="宋体" w:hAnsi="宋体" w:cs="宋体"/>
          <w:color w:val="auto"/>
          <w:sz w:val="28"/>
          <w:szCs w:val="28"/>
          <w:highlight w:val="none"/>
          <w:u w:val="single" w:color="000000"/>
        </w:rPr>
      </w:pP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u w:val="single" w:color="000000"/>
        </w:rPr>
        <w:t xml:space="preserve">                       </w:t>
      </w:r>
    </w:p>
    <w:p w14:paraId="302F8174">
      <w:pPr>
        <w:snapToGrid w:val="0"/>
        <w:spacing w:line="720" w:lineRule="auto"/>
        <w:ind w:firstLine="1120" w:firstLineChars="400"/>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u w:val="single" w:color="000000"/>
        </w:rPr>
        <w:t>                       </w:t>
      </w:r>
      <w:r>
        <w:rPr>
          <w:rFonts w:hint="eastAsia" w:ascii="宋体" w:hAnsi="宋体" w:cs="宋体"/>
          <w:color w:val="auto"/>
          <w:sz w:val="28"/>
          <w:szCs w:val="28"/>
          <w:highlight w:val="none"/>
        </w:rPr>
        <w:t xml:space="preserve"> </w:t>
      </w:r>
    </w:p>
    <w:p w14:paraId="77671230">
      <w:pPr>
        <w:snapToGrid w:val="0"/>
        <w:spacing w:line="720" w:lineRule="auto"/>
        <w:ind w:firstLine="1120" w:firstLineChars="400"/>
        <w:textAlignment w:val="baseline"/>
        <w:rPr>
          <w:rFonts w:ascii="宋体" w:hAnsi="宋体" w:cs="宋体"/>
          <w:color w:val="auto"/>
          <w:sz w:val="28"/>
          <w:szCs w:val="28"/>
          <w:highlight w:val="none"/>
        </w:rPr>
      </w:pP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（全称）：</w:t>
      </w:r>
      <w:r>
        <w:rPr>
          <w:rFonts w:hint="eastAsia" w:ascii="宋体" w:hAnsi="宋体" w:cs="宋体"/>
          <w:color w:val="auto"/>
          <w:sz w:val="28"/>
          <w:szCs w:val="28"/>
          <w:highlight w:val="none"/>
          <w:u w:val="single" w:color="000000"/>
        </w:rPr>
        <w:t>            （盖章）</w:t>
      </w:r>
    </w:p>
    <w:p w14:paraId="0C3734D1">
      <w:pPr>
        <w:snapToGrid w:val="0"/>
        <w:spacing w:line="720" w:lineRule="auto"/>
        <w:ind w:firstLine="1120" w:firstLineChars="400"/>
        <w:textAlignment w:val="baseline"/>
        <w:rPr>
          <w:rFonts w:ascii="宋体" w:hAnsi="宋体" w:cs="宋体"/>
          <w:color w:val="auto"/>
          <w:sz w:val="28"/>
          <w:szCs w:val="28"/>
          <w:highlight w:val="none"/>
          <w:u w:val="single" w:color="000000"/>
        </w:rPr>
      </w:pP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地址：</w:t>
      </w:r>
      <w:r>
        <w:rPr>
          <w:rFonts w:hint="eastAsia" w:ascii="宋体" w:hAnsi="宋体" w:cs="宋体"/>
          <w:color w:val="auto"/>
          <w:sz w:val="28"/>
          <w:szCs w:val="28"/>
          <w:highlight w:val="none"/>
          <w:u w:val="single" w:color="000000"/>
        </w:rPr>
        <w:t>                     </w:t>
      </w:r>
    </w:p>
    <w:p w14:paraId="5052F42D">
      <w:pPr>
        <w:spacing w:line="360" w:lineRule="auto"/>
        <w:jc w:val="left"/>
        <w:textAlignment w:val="baseline"/>
        <w:outlineLvl w:val="0"/>
        <w:rPr>
          <w:rFonts w:hint="eastAsia" w:ascii="宋体" w:hAnsi="宋体" w:cs="宋体"/>
          <w:b/>
          <w:bCs/>
          <w:color w:val="auto"/>
          <w:sz w:val="24"/>
          <w:szCs w:val="24"/>
          <w:highlight w:val="none"/>
        </w:rPr>
      </w:pPr>
    </w:p>
    <w:p w14:paraId="214A89BB">
      <w:pPr>
        <w:pStyle w:val="22"/>
        <w:rPr>
          <w:rFonts w:hint="eastAsia" w:ascii="宋体" w:hAnsi="宋体" w:cs="宋体"/>
          <w:b/>
          <w:bCs/>
          <w:color w:val="auto"/>
          <w:sz w:val="24"/>
          <w:szCs w:val="24"/>
          <w:highlight w:val="none"/>
        </w:rPr>
      </w:pPr>
    </w:p>
    <w:p w14:paraId="403472F8">
      <w:pPr>
        <w:rPr>
          <w:rFonts w:hint="eastAsia" w:ascii="宋体" w:hAnsi="宋体" w:cs="宋体"/>
          <w:b/>
          <w:bCs/>
          <w:color w:val="auto"/>
          <w:sz w:val="24"/>
          <w:szCs w:val="24"/>
          <w:highlight w:val="none"/>
        </w:rPr>
      </w:pPr>
    </w:p>
    <w:p w14:paraId="00CB402F">
      <w:pPr>
        <w:pStyle w:val="22"/>
        <w:rPr>
          <w:rFonts w:hint="eastAsia" w:ascii="宋体" w:hAnsi="宋体" w:cs="宋体"/>
          <w:b/>
          <w:bCs/>
          <w:color w:val="auto"/>
          <w:sz w:val="24"/>
          <w:szCs w:val="24"/>
          <w:highlight w:val="none"/>
        </w:rPr>
      </w:pPr>
    </w:p>
    <w:p w14:paraId="696EB827">
      <w:pPr>
        <w:rPr>
          <w:rFonts w:hint="eastAsia" w:ascii="宋体" w:hAnsi="宋体" w:cs="宋体"/>
          <w:b/>
          <w:bCs/>
          <w:color w:val="auto"/>
          <w:sz w:val="24"/>
          <w:szCs w:val="24"/>
          <w:highlight w:val="none"/>
        </w:rPr>
      </w:pPr>
    </w:p>
    <w:p w14:paraId="7FC1475B">
      <w:pPr>
        <w:pStyle w:val="22"/>
        <w:rPr>
          <w:rFonts w:hint="eastAsia" w:ascii="宋体" w:hAnsi="宋体" w:cs="宋体"/>
          <w:b/>
          <w:bCs/>
          <w:color w:val="auto"/>
          <w:sz w:val="24"/>
          <w:szCs w:val="24"/>
          <w:highlight w:val="none"/>
        </w:rPr>
      </w:pPr>
    </w:p>
    <w:p w14:paraId="114BA214">
      <w:pPr>
        <w:rPr>
          <w:rFonts w:hint="eastAsia" w:ascii="宋体" w:hAnsi="宋体" w:cs="宋体"/>
          <w:b/>
          <w:bCs/>
          <w:color w:val="auto"/>
          <w:sz w:val="24"/>
          <w:szCs w:val="24"/>
          <w:highlight w:val="none"/>
        </w:rPr>
      </w:pPr>
    </w:p>
    <w:p w14:paraId="39F2BC95">
      <w:pP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br w:type="page"/>
      </w:r>
    </w:p>
    <w:p w14:paraId="24655BAD">
      <w:pPr>
        <w:spacing w:line="360" w:lineRule="auto"/>
        <w:jc w:val="left"/>
        <w:textAlignment w:val="baseline"/>
        <w:outlineLvl w:val="0"/>
        <w:rPr>
          <w:rFonts w:ascii="宋体" w:hAnsi="宋体" w:cs="宋体"/>
          <w:b/>
          <w:bCs/>
          <w:color w:val="auto"/>
          <w:sz w:val="24"/>
          <w:szCs w:val="24"/>
          <w:highlight w:val="none"/>
        </w:rPr>
      </w:pPr>
      <w:r>
        <w:rPr>
          <w:rFonts w:hint="eastAsia" w:ascii="宋体" w:hAnsi="宋体" w:cs="宋体"/>
          <w:b/>
          <w:bCs/>
          <w:color w:val="auto"/>
          <w:sz w:val="24"/>
          <w:szCs w:val="24"/>
          <w:highlight w:val="none"/>
        </w:rPr>
        <w:t>附件</w:t>
      </w: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 xml:space="preserve">                     </w:t>
      </w:r>
    </w:p>
    <w:p w14:paraId="7C50B723">
      <w:pPr>
        <w:spacing w:line="360" w:lineRule="auto"/>
        <w:jc w:val="center"/>
        <w:textAlignment w:val="baseline"/>
        <w:rPr>
          <w:rFonts w:ascii="宋体" w:hAnsi="宋体" w:cs="宋体"/>
          <w:b/>
          <w:bCs/>
          <w:color w:val="auto"/>
          <w:sz w:val="32"/>
          <w:szCs w:val="32"/>
          <w:highlight w:val="none"/>
        </w:rPr>
      </w:pPr>
      <w:r>
        <w:rPr>
          <w:rFonts w:hint="eastAsia" w:ascii="宋体" w:hAnsi="宋体" w:cs="宋体"/>
          <w:b/>
          <w:bCs/>
          <w:color w:val="auto"/>
          <w:sz w:val="32"/>
          <w:szCs w:val="32"/>
          <w:highlight w:val="none"/>
        </w:rPr>
        <w:t>供应商自评表</w:t>
      </w:r>
    </w:p>
    <w:tbl>
      <w:tblPr>
        <w:tblStyle w:val="31"/>
        <w:tblW w:w="10265" w:type="dxa"/>
        <w:tblInd w:w="0" w:type="dxa"/>
        <w:tblLayout w:type="fixed"/>
        <w:tblCellMar>
          <w:top w:w="15" w:type="dxa"/>
          <w:left w:w="15" w:type="dxa"/>
          <w:bottom w:w="15" w:type="dxa"/>
          <w:right w:w="15" w:type="dxa"/>
        </w:tblCellMar>
      </w:tblPr>
      <w:tblGrid>
        <w:gridCol w:w="1276"/>
        <w:gridCol w:w="4057"/>
        <w:gridCol w:w="933"/>
        <w:gridCol w:w="1117"/>
        <w:gridCol w:w="1448"/>
        <w:gridCol w:w="1434"/>
      </w:tblGrid>
      <w:tr w14:paraId="1C1BBDD4">
        <w:tblPrEx>
          <w:tblCellMar>
            <w:top w:w="15" w:type="dxa"/>
            <w:left w:w="15" w:type="dxa"/>
            <w:bottom w:w="15" w:type="dxa"/>
            <w:right w:w="15" w:type="dxa"/>
          </w:tblCellMar>
        </w:tblPrEx>
        <w:trPr>
          <w:trHeight w:val="440" w:hRule="atLeast"/>
        </w:trPr>
        <w:tc>
          <w:tcPr>
            <w:tcW w:w="1276" w:type="dxa"/>
            <w:tcBorders>
              <w:top w:val="single" w:color="auto" w:sz="4" w:space="0"/>
              <w:left w:val="single" w:color="auto" w:sz="4" w:space="0"/>
              <w:bottom w:val="single" w:color="auto" w:sz="4" w:space="0"/>
              <w:right w:val="single" w:color="auto" w:sz="4" w:space="0"/>
            </w:tcBorders>
            <w:vAlign w:val="center"/>
          </w:tcPr>
          <w:p w14:paraId="5EF89DC5">
            <w:pPr>
              <w:widowControl/>
              <w:spacing w:line="360" w:lineRule="auto"/>
              <w:jc w:val="center"/>
              <w:textAlignment w:val="center"/>
              <w:rPr>
                <w:rFonts w:ascii="宋体" w:hAnsi="宋体" w:cs="宋体"/>
                <w:b/>
                <w:bCs/>
                <w:color w:val="auto"/>
                <w:sz w:val="20"/>
                <w:szCs w:val="21"/>
                <w:highlight w:val="none"/>
              </w:rPr>
            </w:pPr>
            <w:r>
              <w:rPr>
                <w:rFonts w:hint="eastAsia" w:ascii="宋体" w:hAnsi="宋体" w:cs="宋体"/>
                <w:b/>
                <w:bCs/>
                <w:color w:val="auto"/>
                <w:szCs w:val="21"/>
                <w:highlight w:val="none"/>
              </w:rPr>
              <w:t>评审项目</w:t>
            </w:r>
          </w:p>
        </w:tc>
        <w:tc>
          <w:tcPr>
            <w:tcW w:w="4057" w:type="dxa"/>
            <w:tcBorders>
              <w:top w:val="single" w:color="auto" w:sz="4" w:space="0"/>
              <w:left w:val="single" w:color="auto" w:sz="4" w:space="0"/>
              <w:bottom w:val="single" w:color="auto" w:sz="4" w:space="0"/>
              <w:right w:val="single" w:color="auto" w:sz="4" w:space="0"/>
            </w:tcBorders>
            <w:vAlign w:val="center"/>
          </w:tcPr>
          <w:p w14:paraId="6A8631DC">
            <w:pPr>
              <w:widowControl/>
              <w:spacing w:line="360" w:lineRule="auto"/>
              <w:jc w:val="center"/>
              <w:textAlignment w:val="center"/>
              <w:rPr>
                <w:rFonts w:ascii="宋体" w:hAnsi="宋体" w:cs="宋体"/>
                <w:b/>
                <w:bCs/>
                <w:color w:val="auto"/>
                <w:sz w:val="20"/>
                <w:szCs w:val="21"/>
                <w:highlight w:val="none"/>
              </w:rPr>
            </w:pPr>
            <w:r>
              <w:rPr>
                <w:rFonts w:hint="eastAsia" w:ascii="宋体" w:hAnsi="宋体" w:cs="宋体"/>
                <w:b/>
                <w:bCs/>
                <w:color w:val="auto"/>
                <w:szCs w:val="21"/>
                <w:highlight w:val="none"/>
              </w:rPr>
              <w:t>评分标准</w:t>
            </w:r>
          </w:p>
        </w:tc>
        <w:tc>
          <w:tcPr>
            <w:tcW w:w="933" w:type="dxa"/>
            <w:tcBorders>
              <w:top w:val="single" w:color="auto" w:sz="4" w:space="0"/>
              <w:left w:val="single" w:color="auto" w:sz="4" w:space="0"/>
              <w:bottom w:val="single" w:color="auto" w:sz="4" w:space="0"/>
              <w:right w:val="single" w:color="auto" w:sz="4" w:space="0"/>
            </w:tcBorders>
            <w:vAlign w:val="center"/>
          </w:tcPr>
          <w:p w14:paraId="208ED2B4">
            <w:pPr>
              <w:widowControl/>
              <w:spacing w:line="360" w:lineRule="auto"/>
              <w:jc w:val="center"/>
              <w:textAlignment w:val="center"/>
              <w:rPr>
                <w:rFonts w:ascii="宋体" w:hAnsi="宋体" w:cs="宋体"/>
                <w:b/>
                <w:bCs/>
                <w:color w:val="auto"/>
                <w:sz w:val="20"/>
                <w:szCs w:val="21"/>
                <w:highlight w:val="none"/>
              </w:rPr>
            </w:pPr>
            <w:r>
              <w:rPr>
                <w:rFonts w:hint="eastAsia" w:ascii="宋体" w:hAnsi="宋体" w:cs="宋体"/>
                <w:b/>
                <w:bCs/>
                <w:color w:val="auto"/>
                <w:szCs w:val="21"/>
                <w:highlight w:val="none"/>
              </w:rPr>
              <w:t>分值</w:t>
            </w:r>
          </w:p>
        </w:tc>
        <w:tc>
          <w:tcPr>
            <w:tcW w:w="1117" w:type="dxa"/>
            <w:tcBorders>
              <w:top w:val="single" w:color="auto" w:sz="4" w:space="0"/>
              <w:left w:val="single" w:color="auto" w:sz="4" w:space="0"/>
              <w:bottom w:val="single" w:color="auto" w:sz="4" w:space="0"/>
              <w:right w:val="single" w:color="auto" w:sz="4" w:space="0"/>
            </w:tcBorders>
            <w:vAlign w:val="center"/>
          </w:tcPr>
          <w:p w14:paraId="6DA8F41F">
            <w:pPr>
              <w:widowControl/>
              <w:spacing w:line="360" w:lineRule="auto"/>
              <w:jc w:val="center"/>
              <w:textAlignment w:val="center"/>
              <w:rPr>
                <w:rFonts w:ascii="宋体" w:hAnsi="宋体" w:cs="宋体"/>
                <w:b/>
                <w:bCs/>
                <w:color w:val="auto"/>
                <w:sz w:val="20"/>
                <w:szCs w:val="21"/>
                <w:highlight w:val="none"/>
              </w:rPr>
            </w:pPr>
            <w:r>
              <w:rPr>
                <w:rFonts w:hint="eastAsia" w:ascii="宋体" w:hAnsi="宋体" w:cs="宋体"/>
                <w:b/>
                <w:bCs/>
                <w:color w:val="auto"/>
                <w:szCs w:val="21"/>
                <w:highlight w:val="none"/>
              </w:rPr>
              <w:t>自评</w:t>
            </w:r>
          </w:p>
          <w:p w14:paraId="19793CD7">
            <w:pPr>
              <w:widowControl/>
              <w:spacing w:line="360" w:lineRule="auto"/>
              <w:jc w:val="center"/>
              <w:textAlignment w:val="center"/>
              <w:rPr>
                <w:rFonts w:ascii="宋体" w:hAnsi="宋体" w:cs="宋体"/>
                <w:b/>
                <w:bCs/>
                <w:color w:val="auto"/>
                <w:sz w:val="20"/>
                <w:szCs w:val="21"/>
                <w:highlight w:val="none"/>
              </w:rPr>
            </w:pPr>
            <w:r>
              <w:rPr>
                <w:rFonts w:hint="eastAsia" w:ascii="宋体" w:hAnsi="宋体" w:cs="宋体"/>
                <w:b/>
                <w:bCs/>
                <w:color w:val="auto"/>
                <w:szCs w:val="21"/>
                <w:highlight w:val="none"/>
              </w:rPr>
              <w:t>分值</w:t>
            </w:r>
          </w:p>
        </w:tc>
        <w:tc>
          <w:tcPr>
            <w:tcW w:w="1448" w:type="dxa"/>
            <w:tcBorders>
              <w:top w:val="single" w:color="auto" w:sz="4" w:space="0"/>
              <w:left w:val="single" w:color="auto" w:sz="4" w:space="0"/>
              <w:bottom w:val="single" w:color="auto" w:sz="4" w:space="0"/>
              <w:right w:val="single" w:color="auto" w:sz="4" w:space="0"/>
            </w:tcBorders>
            <w:vAlign w:val="center"/>
          </w:tcPr>
          <w:p w14:paraId="2619BDD0">
            <w:pPr>
              <w:widowControl/>
              <w:spacing w:line="360" w:lineRule="auto"/>
              <w:jc w:val="center"/>
              <w:textAlignment w:val="center"/>
              <w:rPr>
                <w:rFonts w:ascii="宋体" w:hAnsi="宋体" w:cs="宋体"/>
                <w:b/>
                <w:bCs/>
                <w:color w:val="auto"/>
                <w:sz w:val="20"/>
                <w:szCs w:val="21"/>
                <w:highlight w:val="none"/>
              </w:rPr>
            </w:pPr>
            <w:r>
              <w:rPr>
                <w:rFonts w:hint="eastAsia" w:ascii="宋体" w:hAnsi="宋体" w:cs="宋体"/>
                <w:b/>
                <w:bCs/>
                <w:color w:val="auto"/>
                <w:szCs w:val="21"/>
                <w:highlight w:val="none"/>
              </w:rPr>
              <w:t>评分</w:t>
            </w:r>
          </w:p>
          <w:p w14:paraId="6E0E615D">
            <w:pPr>
              <w:widowControl/>
              <w:spacing w:line="360" w:lineRule="auto"/>
              <w:jc w:val="center"/>
              <w:textAlignment w:val="center"/>
              <w:rPr>
                <w:rFonts w:ascii="宋体" w:hAnsi="宋体" w:cs="宋体"/>
                <w:b/>
                <w:bCs/>
                <w:color w:val="auto"/>
                <w:sz w:val="20"/>
                <w:szCs w:val="21"/>
                <w:highlight w:val="none"/>
              </w:rPr>
            </w:pPr>
            <w:r>
              <w:rPr>
                <w:rFonts w:hint="eastAsia" w:ascii="宋体" w:hAnsi="宋体" w:cs="宋体"/>
                <w:b/>
                <w:bCs/>
                <w:color w:val="auto"/>
                <w:szCs w:val="21"/>
                <w:highlight w:val="none"/>
              </w:rPr>
              <w:t>依据</w:t>
            </w:r>
          </w:p>
        </w:tc>
        <w:tc>
          <w:tcPr>
            <w:tcW w:w="1434" w:type="dxa"/>
            <w:tcBorders>
              <w:top w:val="single" w:color="auto" w:sz="4" w:space="0"/>
              <w:left w:val="single" w:color="auto" w:sz="4" w:space="0"/>
              <w:bottom w:val="single" w:color="auto" w:sz="4" w:space="0"/>
              <w:right w:val="single" w:color="auto" w:sz="4" w:space="0"/>
            </w:tcBorders>
            <w:vAlign w:val="center"/>
          </w:tcPr>
          <w:p w14:paraId="433E1618">
            <w:pPr>
              <w:widowControl/>
              <w:spacing w:line="360" w:lineRule="auto"/>
              <w:jc w:val="center"/>
              <w:textAlignment w:val="center"/>
              <w:rPr>
                <w:rFonts w:ascii="宋体" w:hAnsi="宋体" w:cs="宋体"/>
                <w:b/>
                <w:bCs/>
                <w:color w:val="auto"/>
                <w:sz w:val="20"/>
                <w:szCs w:val="21"/>
                <w:highlight w:val="none"/>
              </w:rPr>
            </w:pPr>
            <w:r>
              <w:rPr>
                <w:rFonts w:hint="eastAsia" w:ascii="宋体" w:hAnsi="宋体" w:cs="宋体"/>
                <w:b/>
                <w:bCs/>
                <w:color w:val="auto"/>
                <w:szCs w:val="21"/>
                <w:highlight w:val="none"/>
              </w:rPr>
              <w:t>评分对</w:t>
            </w:r>
          </w:p>
          <w:p w14:paraId="216A92C1">
            <w:pPr>
              <w:widowControl/>
              <w:spacing w:line="360" w:lineRule="auto"/>
              <w:jc w:val="center"/>
              <w:textAlignment w:val="center"/>
              <w:rPr>
                <w:rFonts w:ascii="宋体" w:hAnsi="宋体" w:cs="宋体"/>
                <w:b/>
                <w:bCs/>
                <w:color w:val="auto"/>
                <w:sz w:val="20"/>
                <w:szCs w:val="21"/>
                <w:highlight w:val="none"/>
              </w:rPr>
            </w:pPr>
            <w:r>
              <w:rPr>
                <w:rFonts w:hint="eastAsia" w:ascii="宋体" w:hAnsi="宋体" w:cs="宋体"/>
                <w:b/>
                <w:bCs/>
                <w:color w:val="auto"/>
                <w:szCs w:val="21"/>
                <w:highlight w:val="none"/>
              </w:rPr>
              <w:t>应页码</w:t>
            </w:r>
          </w:p>
        </w:tc>
      </w:tr>
      <w:tr w14:paraId="2D1EEAD5">
        <w:tblPrEx>
          <w:tblCellMar>
            <w:top w:w="15" w:type="dxa"/>
            <w:left w:w="15" w:type="dxa"/>
            <w:bottom w:w="15" w:type="dxa"/>
            <w:right w:w="15" w:type="dxa"/>
          </w:tblCellMar>
        </w:tblPrEx>
        <w:trPr>
          <w:trHeight w:val="1279" w:hRule="atLeast"/>
        </w:trPr>
        <w:tc>
          <w:tcPr>
            <w:tcW w:w="1276" w:type="dxa"/>
            <w:tcBorders>
              <w:top w:val="single" w:color="auto" w:sz="4" w:space="0"/>
              <w:left w:val="single" w:color="auto" w:sz="4" w:space="0"/>
              <w:bottom w:val="single" w:color="auto" w:sz="4" w:space="0"/>
              <w:right w:val="single" w:color="auto" w:sz="4" w:space="0"/>
            </w:tcBorders>
            <w:vAlign w:val="center"/>
          </w:tcPr>
          <w:p w14:paraId="74C0FC3E">
            <w:pPr>
              <w:widowControl/>
              <w:spacing w:line="360" w:lineRule="auto"/>
              <w:jc w:val="center"/>
              <w:textAlignment w:val="center"/>
              <w:rPr>
                <w:rFonts w:ascii="宋体" w:hAnsi="宋体" w:cs="宋体"/>
                <w:color w:val="auto"/>
                <w:sz w:val="20"/>
                <w:szCs w:val="21"/>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14:paraId="5040DEFC">
            <w:pPr>
              <w:widowControl/>
              <w:spacing w:line="360" w:lineRule="auto"/>
              <w:jc w:val="left"/>
              <w:textAlignment w:val="center"/>
              <w:rPr>
                <w:rFonts w:ascii="宋体" w:hAnsi="宋体" w:cs="宋体"/>
                <w:color w:val="auto"/>
                <w:sz w:val="20"/>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2A182CB7">
            <w:pPr>
              <w:widowControl/>
              <w:spacing w:line="360" w:lineRule="auto"/>
              <w:jc w:val="center"/>
              <w:textAlignment w:val="baseline"/>
              <w:rPr>
                <w:rFonts w:ascii="宋体" w:hAnsi="宋体" w:cs="宋体"/>
                <w:color w:val="auto"/>
                <w:sz w:val="20"/>
                <w:szCs w:val="21"/>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14:paraId="735B1DA6">
            <w:pPr>
              <w:widowControl/>
              <w:spacing w:line="360" w:lineRule="auto"/>
              <w:jc w:val="center"/>
              <w:textAlignment w:val="baseline"/>
              <w:rPr>
                <w:rFonts w:ascii="宋体" w:hAnsi="宋体" w:cs="宋体"/>
                <w:color w:val="auto"/>
                <w:sz w:val="20"/>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14:paraId="4BA2B596">
            <w:pPr>
              <w:widowControl/>
              <w:spacing w:line="360" w:lineRule="auto"/>
              <w:jc w:val="center"/>
              <w:textAlignment w:val="baseline"/>
              <w:rPr>
                <w:rFonts w:ascii="宋体" w:hAnsi="宋体" w:cs="宋体"/>
                <w:color w:val="auto"/>
                <w:sz w:val="20"/>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2087846E">
            <w:pPr>
              <w:widowControl/>
              <w:spacing w:line="360" w:lineRule="auto"/>
              <w:jc w:val="center"/>
              <w:textAlignment w:val="baseline"/>
              <w:rPr>
                <w:rFonts w:ascii="宋体" w:hAnsi="宋体" w:cs="宋体"/>
                <w:color w:val="auto"/>
                <w:sz w:val="20"/>
                <w:szCs w:val="21"/>
                <w:highlight w:val="none"/>
              </w:rPr>
            </w:pPr>
          </w:p>
        </w:tc>
      </w:tr>
      <w:tr w14:paraId="67885776">
        <w:tblPrEx>
          <w:tblCellMar>
            <w:top w:w="15" w:type="dxa"/>
            <w:left w:w="15" w:type="dxa"/>
            <w:bottom w:w="15" w:type="dxa"/>
            <w:right w:w="15" w:type="dxa"/>
          </w:tblCellMar>
        </w:tblPrEx>
        <w:trPr>
          <w:trHeight w:val="1597" w:hRule="atLeast"/>
        </w:trPr>
        <w:tc>
          <w:tcPr>
            <w:tcW w:w="1276" w:type="dxa"/>
            <w:tcBorders>
              <w:top w:val="single" w:color="auto" w:sz="4" w:space="0"/>
              <w:left w:val="single" w:color="auto" w:sz="4" w:space="0"/>
              <w:bottom w:val="single" w:color="auto" w:sz="4" w:space="0"/>
              <w:right w:val="single" w:color="auto" w:sz="4" w:space="0"/>
            </w:tcBorders>
            <w:vAlign w:val="center"/>
          </w:tcPr>
          <w:p w14:paraId="505580D8">
            <w:pPr>
              <w:widowControl/>
              <w:spacing w:line="360" w:lineRule="auto"/>
              <w:jc w:val="center"/>
              <w:textAlignment w:val="center"/>
              <w:rPr>
                <w:rFonts w:ascii="宋体" w:hAnsi="宋体" w:cs="宋体"/>
                <w:color w:val="auto"/>
                <w:sz w:val="20"/>
                <w:szCs w:val="21"/>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14:paraId="141BA8B3">
            <w:pPr>
              <w:widowControl/>
              <w:spacing w:line="360" w:lineRule="auto"/>
              <w:jc w:val="left"/>
              <w:textAlignment w:val="center"/>
              <w:rPr>
                <w:rFonts w:ascii="宋体" w:hAnsi="宋体" w:cs="宋体"/>
                <w:color w:val="auto"/>
                <w:sz w:val="20"/>
                <w:szCs w:val="21"/>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760CED37">
            <w:pPr>
              <w:widowControl/>
              <w:spacing w:line="360" w:lineRule="auto"/>
              <w:jc w:val="center"/>
              <w:textAlignment w:val="center"/>
              <w:rPr>
                <w:rFonts w:ascii="宋体" w:hAnsi="宋体" w:cs="宋体"/>
                <w:color w:val="auto"/>
                <w:sz w:val="20"/>
                <w:szCs w:val="21"/>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14:paraId="7F972807">
            <w:pPr>
              <w:widowControl/>
              <w:spacing w:line="360" w:lineRule="auto"/>
              <w:jc w:val="center"/>
              <w:textAlignment w:val="center"/>
              <w:rPr>
                <w:rFonts w:ascii="宋体" w:hAnsi="宋体" w:cs="宋体"/>
                <w:color w:val="auto"/>
                <w:sz w:val="20"/>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14:paraId="34E3F729">
            <w:pPr>
              <w:widowControl/>
              <w:spacing w:line="360" w:lineRule="auto"/>
              <w:jc w:val="center"/>
              <w:textAlignment w:val="center"/>
              <w:rPr>
                <w:rFonts w:ascii="宋体" w:hAnsi="宋体" w:cs="宋体"/>
                <w:color w:val="auto"/>
                <w:sz w:val="20"/>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24794EDF">
            <w:pPr>
              <w:widowControl/>
              <w:spacing w:line="360" w:lineRule="auto"/>
              <w:jc w:val="center"/>
              <w:textAlignment w:val="center"/>
              <w:rPr>
                <w:rFonts w:ascii="宋体" w:hAnsi="宋体" w:cs="宋体"/>
                <w:color w:val="auto"/>
                <w:sz w:val="20"/>
                <w:szCs w:val="21"/>
                <w:highlight w:val="none"/>
              </w:rPr>
            </w:pPr>
          </w:p>
        </w:tc>
      </w:tr>
      <w:tr w14:paraId="33FDFC2F">
        <w:tblPrEx>
          <w:tblCellMar>
            <w:top w:w="15" w:type="dxa"/>
            <w:left w:w="15" w:type="dxa"/>
            <w:bottom w:w="15" w:type="dxa"/>
            <w:right w:w="15" w:type="dxa"/>
          </w:tblCellMar>
        </w:tblPrEx>
        <w:trPr>
          <w:trHeight w:val="1545" w:hRule="atLeast"/>
        </w:trPr>
        <w:tc>
          <w:tcPr>
            <w:tcW w:w="1276" w:type="dxa"/>
            <w:tcBorders>
              <w:top w:val="single" w:color="auto" w:sz="4" w:space="0"/>
              <w:left w:val="single" w:color="auto" w:sz="4" w:space="0"/>
              <w:bottom w:val="single" w:color="auto" w:sz="4" w:space="0"/>
              <w:right w:val="single" w:color="auto" w:sz="4" w:space="0"/>
            </w:tcBorders>
            <w:vAlign w:val="center"/>
          </w:tcPr>
          <w:p w14:paraId="0F3E73C4">
            <w:pPr>
              <w:widowControl/>
              <w:spacing w:line="360" w:lineRule="auto"/>
              <w:jc w:val="center"/>
              <w:textAlignment w:val="baseline"/>
              <w:rPr>
                <w:rFonts w:ascii="宋体" w:hAnsi="宋体" w:cs="宋体"/>
                <w:color w:val="auto"/>
                <w:sz w:val="20"/>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14:paraId="63064224">
            <w:pPr>
              <w:widowControl/>
              <w:spacing w:line="360" w:lineRule="auto"/>
              <w:textAlignment w:val="baseline"/>
              <w:rPr>
                <w:rFonts w:ascii="宋体" w:hAnsi="宋体" w:cs="宋体"/>
                <w:color w:val="auto"/>
                <w:sz w:val="20"/>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252C1BD2">
            <w:pPr>
              <w:widowControl/>
              <w:spacing w:line="360" w:lineRule="auto"/>
              <w:jc w:val="center"/>
              <w:textAlignment w:val="center"/>
              <w:rPr>
                <w:rFonts w:ascii="宋体" w:hAnsi="宋体" w:cs="宋体"/>
                <w:color w:val="auto"/>
                <w:sz w:val="20"/>
                <w:szCs w:val="21"/>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14:paraId="2A68D3B1">
            <w:pPr>
              <w:widowControl/>
              <w:spacing w:line="360" w:lineRule="auto"/>
              <w:jc w:val="center"/>
              <w:textAlignment w:val="center"/>
              <w:rPr>
                <w:rFonts w:ascii="宋体" w:hAnsi="宋体" w:cs="宋体"/>
                <w:color w:val="auto"/>
                <w:sz w:val="20"/>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14:paraId="1B9A95E0">
            <w:pPr>
              <w:widowControl/>
              <w:spacing w:line="360" w:lineRule="auto"/>
              <w:jc w:val="center"/>
              <w:textAlignment w:val="center"/>
              <w:rPr>
                <w:rFonts w:ascii="宋体" w:hAnsi="宋体" w:cs="宋体"/>
                <w:color w:val="auto"/>
                <w:sz w:val="20"/>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752AB9F5">
            <w:pPr>
              <w:widowControl/>
              <w:spacing w:line="360" w:lineRule="auto"/>
              <w:jc w:val="center"/>
              <w:textAlignment w:val="center"/>
              <w:rPr>
                <w:rFonts w:ascii="宋体" w:hAnsi="宋体" w:cs="宋体"/>
                <w:color w:val="auto"/>
                <w:sz w:val="20"/>
                <w:szCs w:val="21"/>
                <w:highlight w:val="none"/>
              </w:rPr>
            </w:pPr>
          </w:p>
        </w:tc>
      </w:tr>
      <w:tr w14:paraId="38425236">
        <w:tblPrEx>
          <w:tblCellMar>
            <w:top w:w="15" w:type="dxa"/>
            <w:left w:w="15" w:type="dxa"/>
            <w:bottom w:w="15" w:type="dxa"/>
            <w:right w:w="15" w:type="dxa"/>
          </w:tblCellMar>
        </w:tblPrEx>
        <w:trPr>
          <w:trHeight w:val="1320" w:hRule="atLeast"/>
        </w:trPr>
        <w:tc>
          <w:tcPr>
            <w:tcW w:w="1276" w:type="dxa"/>
            <w:tcBorders>
              <w:top w:val="single" w:color="auto" w:sz="4" w:space="0"/>
              <w:left w:val="single" w:color="auto" w:sz="4" w:space="0"/>
              <w:bottom w:val="single" w:color="auto" w:sz="4" w:space="0"/>
              <w:right w:val="single" w:color="auto" w:sz="4" w:space="0"/>
            </w:tcBorders>
            <w:vAlign w:val="center"/>
          </w:tcPr>
          <w:p w14:paraId="67B74856">
            <w:pPr>
              <w:widowControl/>
              <w:spacing w:line="360" w:lineRule="auto"/>
              <w:jc w:val="center"/>
              <w:textAlignment w:val="baseline"/>
              <w:rPr>
                <w:rFonts w:ascii="宋体" w:hAnsi="宋体" w:cs="宋体"/>
                <w:color w:val="auto"/>
                <w:sz w:val="20"/>
                <w:highlight w:val="none"/>
              </w:rPr>
            </w:pPr>
            <w:r>
              <w:rPr>
                <w:rFonts w:hint="eastAsia" w:ascii="宋体" w:hAnsi="宋体" w:cs="宋体"/>
                <w:color w:val="auto"/>
                <w:sz w:val="20"/>
                <w:highlight w:val="none"/>
              </w:rPr>
              <w:t>…</w:t>
            </w:r>
          </w:p>
        </w:tc>
        <w:tc>
          <w:tcPr>
            <w:tcW w:w="4057" w:type="dxa"/>
            <w:tcBorders>
              <w:top w:val="single" w:color="auto" w:sz="4" w:space="0"/>
              <w:left w:val="single" w:color="auto" w:sz="4" w:space="0"/>
              <w:bottom w:val="single" w:color="auto" w:sz="4" w:space="0"/>
              <w:right w:val="single" w:color="auto" w:sz="4" w:space="0"/>
            </w:tcBorders>
            <w:vAlign w:val="center"/>
          </w:tcPr>
          <w:p w14:paraId="6AB299C7">
            <w:pPr>
              <w:widowControl/>
              <w:spacing w:line="380" w:lineRule="exact"/>
              <w:jc w:val="left"/>
              <w:textAlignment w:val="baseline"/>
              <w:rPr>
                <w:rFonts w:ascii="宋体" w:hAnsi="宋体" w:cs="宋体"/>
                <w:color w:val="auto"/>
                <w:sz w:val="20"/>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31358264">
            <w:pPr>
              <w:widowControl/>
              <w:spacing w:line="360" w:lineRule="auto"/>
              <w:jc w:val="center"/>
              <w:textAlignment w:val="center"/>
              <w:rPr>
                <w:rFonts w:ascii="宋体" w:hAnsi="宋体" w:cs="宋体"/>
                <w:color w:val="auto"/>
                <w:sz w:val="20"/>
                <w:szCs w:val="21"/>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14:paraId="64AFD60E">
            <w:pPr>
              <w:widowControl/>
              <w:spacing w:line="360" w:lineRule="auto"/>
              <w:jc w:val="center"/>
              <w:textAlignment w:val="center"/>
              <w:rPr>
                <w:rFonts w:ascii="宋体" w:hAnsi="宋体" w:cs="宋体"/>
                <w:color w:val="auto"/>
                <w:sz w:val="20"/>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14:paraId="3D08FBDC">
            <w:pPr>
              <w:widowControl/>
              <w:spacing w:line="360" w:lineRule="auto"/>
              <w:jc w:val="center"/>
              <w:textAlignment w:val="center"/>
              <w:rPr>
                <w:rFonts w:ascii="宋体" w:hAnsi="宋体" w:cs="宋体"/>
                <w:color w:val="auto"/>
                <w:sz w:val="20"/>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095C05C6">
            <w:pPr>
              <w:widowControl/>
              <w:spacing w:line="360" w:lineRule="auto"/>
              <w:jc w:val="center"/>
              <w:textAlignment w:val="center"/>
              <w:rPr>
                <w:rFonts w:ascii="宋体" w:hAnsi="宋体" w:cs="宋体"/>
                <w:color w:val="auto"/>
                <w:sz w:val="20"/>
                <w:szCs w:val="21"/>
                <w:highlight w:val="none"/>
              </w:rPr>
            </w:pPr>
          </w:p>
        </w:tc>
      </w:tr>
    </w:tbl>
    <w:p w14:paraId="026D5F95">
      <w:pPr>
        <w:spacing w:line="440" w:lineRule="exact"/>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注：评审项目、评分标准、分值对应“第五章  评标原则及方法”技术资信分评审内容。</w:t>
      </w:r>
    </w:p>
    <w:p w14:paraId="596FD6C5">
      <w:pPr>
        <w:spacing w:line="440" w:lineRule="exact"/>
        <w:ind w:firstLine="4860"/>
        <w:textAlignment w:val="baseline"/>
        <w:rPr>
          <w:rFonts w:ascii="宋体" w:hAnsi="宋体" w:cs="宋体"/>
          <w:b/>
          <w:bCs/>
          <w:color w:val="auto"/>
          <w:sz w:val="20"/>
          <w:szCs w:val="21"/>
          <w:highlight w:val="none"/>
        </w:rPr>
      </w:pPr>
    </w:p>
    <w:p w14:paraId="15F8BCD2">
      <w:pPr>
        <w:spacing w:line="440" w:lineRule="exact"/>
        <w:ind w:firstLine="4860"/>
        <w:textAlignment w:val="baseline"/>
        <w:rPr>
          <w:rFonts w:ascii="宋体" w:hAnsi="宋体" w:cs="宋体"/>
          <w:b/>
          <w:bCs/>
          <w:color w:val="auto"/>
          <w:sz w:val="20"/>
          <w:szCs w:val="21"/>
          <w:highlight w:val="none"/>
        </w:rPr>
      </w:pPr>
    </w:p>
    <w:p w14:paraId="19C5173D">
      <w:pPr>
        <w:spacing w:line="440" w:lineRule="exact"/>
        <w:ind w:firstLine="4860"/>
        <w:jc w:val="left"/>
        <w:textAlignment w:val="baseline"/>
        <w:rPr>
          <w:rFonts w:ascii="宋体" w:hAnsi="宋体" w:cs="宋体"/>
          <w:b/>
          <w:bCs/>
          <w:color w:val="auto"/>
          <w:sz w:val="20"/>
          <w:szCs w:val="21"/>
          <w:highlight w:val="none"/>
          <w:u w:val="single" w:color="000000"/>
        </w:rPr>
      </w:pPr>
      <w:r>
        <w:rPr>
          <w:rFonts w:hint="eastAsia" w:ascii="宋体" w:hAnsi="宋体" w:cs="宋体"/>
          <w:b/>
          <w:bCs/>
          <w:color w:val="auto"/>
          <w:sz w:val="24"/>
          <w:highlight w:val="none"/>
        </w:rPr>
        <w:t>供应商名称（盖章）：</w:t>
      </w:r>
      <w:r>
        <w:rPr>
          <w:rFonts w:hint="eastAsia" w:ascii="宋体" w:hAnsi="宋体" w:cs="宋体"/>
          <w:b/>
          <w:bCs/>
          <w:color w:val="auto"/>
          <w:szCs w:val="21"/>
          <w:highlight w:val="none"/>
          <w:u w:val="single" w:color="000000"/>
        </w:rPr>
        <w:t xml:space="preserve">                               </w:t>
      </w:r>
    </w:p>
    <w:p w14:paraId="1A30B029">
      <w:pPr>
        <w:spacing w:line="440" w:lineRule="exact"/>
        <w:ind w:firstLine="4860"/>
        <w:jc w:val="left"/>
        <w:textAlignment w:val="baseline"/>
        <w:rPr>
          <w:rFonts w:ascii="宋体" w:hAnsi="宋体" w:cs="宋体"/>
          <w:color w:val="auto"/>
          <w:sz w:val="20"/>
          <w:szCs w:val="21"/>
          <w:highlight w:val="none"/>
          <w:u w:val="single" w:color="000000"/>
        </w:rPr>
      </w:pPr>
      <w:r>
        <w:rPr>
          <w:rFonts w:hint="eastAsia" w:ascii="宋体" w:hAnsi="宋体" w:cs="宋体"/>
          <w:b/>
          <w:bCs/>
          <w:color w:val="auto"/>
          <w:szCs w:val="21"/>
          <w:highlight w:val="none"/>
        </w:rPr>
        <w:t>日   期：    年     月     日</w:t>
      </w:r>
      <w:r>
        <w:rPr>
          <w:rFonts w:hint="eastAsia" w:ascii="宋体" w:hAnsi="宋体" w:cs="宋体"/>
          <w:color w:val="auto"/>
          <w:szCs w:val="21"/>
          <w:highlight w:val="none"/>
        </w:rPr>
        <w:t xml:space="preserve">                            </w:t>
      </w:r>
    </w:p>
    <w:p w14:paraId="01CDCE2A">
      <w:pPr>
        <w:pStyle w:val="30"/>
        <w:spacing w:line="360" w:lineRule="auto"/>
        <w:ind w:firstLine="44"/>
        <w:textAlignment w:val="baseline"/>
        <w:rPr>
          <w:rFonts w:ascii="宋体" w:hAnsi="宋体" w:eastAsia="宋体"/>
          <w:color w:val="auto"/>
          <w:sz w:val="22"/>
          <w:szCs w:val="22"/>
          <w:highlight w:val="none"/>
          <w:u w:val="single" w:color="000000"/>
        </w:rPr>
      </w:pPr>
    </w:p>
    <w:p w14:paraId="4874633B">
      <w:pPr>
        <w:spacing w:line="360" w:lineRule="auto"/>
        <w:ind w:firstLine="442" w:firstLineChars="200"/>
        <w:jc w:val="left"/>
        <w:textAlignment w:val="baseline"/>
        <w:outlineLvl w:val="0"/>
        <w:rPr>
          <w:rFonts w:hint="eastAsia" w:ascii="宋体" w:hAnsi="宋体" w:cs="宋体"/>
          <w:b/>
          <w:bCs/>
          <w:color w:val="auto"/>
          <w:sz w:val="22"/>
          <w:highlight w:val="none"/>
        </w:rPr>
      </w:pPr>
    </w:p>
    <w:p w14:paraId="35F5663E">
      <w:pPr>
        <w:pStyle w:val="11"/>
        <w:rPr>
          <w:rFonts w:hint="eastAsia" w:ascii="宋体" w:hAnsi="宋体" w:cs="宋体"/>
          <w:b/>
          <w:bCs/>
          <w:color w:val="auto"/>
          <w:sz w:val="22"/>
          <w:highlight w:val="none"/>
        </w:rPr>
      </w:pPr>
    </w:p>
    <w:p w14:paraId="2D63F6B4">
      <w:pPr>
        <w:pStyle w:val="49"/>
        <w:rPr>
          <w:rFonts w:hint="eastAsia" w:ascii="宋体" w:hAnsi="宋体" w:cs="宋体"/>
          <w:b/>
          <w:bCs/>
          <w:color w:val="auto"/>
          <w:sz w:val="22"/>
          <w:highlight w:val="none"/>
        </w:rPr>
      </w:pPr>
    </w:p>
    <w:p w14:paraId="6EE0CE87">
      <w:pPr>
        <w:pStyle w:val="50"/>
        <w:rPr>
          <w:rFonts w:hint="eastAsia" w:ascii="宋体" w:hAnsi="宋体" w:cs="宋体"/>
          <w:b/>
          <w:bCs/>
          <w:color w:val="auto"/>
          <w:sz w:val="22"/>
          <w:highlight w:val="none"/>
        </w:rPr>
      </w:pPr>
    </w:p>
    <w:p w14:paraId="4A477CB3">
      <w:pPr>
        <w:rPr>
          <w:rFonts w:hint="eastAsia" w:ascii="宋体" w:hAnsi="宋体" w:cs="宋体"/>
          <w:b/>
          <w:bCs/>
          <w:color w:val="auto"/>
          <w:sz w:val="22"/>
          <w:highlight w:val="none"/>
        </w:rPr>
      </w:pPr>
    </w:p>
    <w:p w14:paraId="6521A99D">
      <w:pPr>
        <w:pStyle w:val="11"/>
        <w:rPr>
          <w:rFonts w:hint="eastAsia"/>
          <w:color w:val="auto"/>
          <w:highlight w:val="none"/>
        </w:rPr>
      </w:pPr>
    </w:p>
    <w:p w14:paraId="25C7ECD4">
      <w:pPr>
        <w:spacing w:line="360" w:lineRule="auto"/>
        <w:ind w:firstLine="442" w:firstLineChars="200"/>
        <w:jc w:val="left"/>
        <w:textAlignment w:val="baseline"/>
        <w:outlineLvl w:val="0"/>
        <w:rPr>
          <w:rFonts w:hint="eastAsia" w:ascii="宋体" w:hAnsi="宋体" w:cs="宋体"/>
          <w:b/>
          <w:bCs/>
          <w:color w:val="auto"/>
          <w:sz w:val="22"/>
          <w:highlight w:val="none"/>
        </w:rPr>
      </w:pPr>
    </w:p>
    <w:p w14:paraId="15F1778B">
      <w:pPr>
        <w:spacing w:line="360" w:lineRule="auto"/>
        <w:ind w:firstLine="442" w:firstLineChars="200"/>
        <w:jc w:val="left"/>
        <w:textAlignment w:val="baseline"/>
        <w:outlineLvl w:val="0"/>
        <w:rPr>
          <w:rFonts w:hint="default" w:ascii="宋体" w:hAnsi="宋体" w:eastAsia="宋体" w:cs="宋体"/>
          <w:b/>
          <w:bCs/>
          <w:color w:val="auto"/>
          <w:sz w:val="22"/>
          <w:highlight w:val="none"/>
          <w:lang w:val="en-US" w:eastAsia="zh-CN"/>
        </w:rPr>
      </w:pPr>
      <w:r>
        <w:rPr>
          <w:rFonts w:hint="eastAsia" w:ascii="宋体" w:hAnsi="宋体" w:cs="宋体"/>
          <w:b/>
          <w:bCs/>
          <w:color w:val="auto"/>
          <w:sz w:val="22"/>
          <w:highlight w:val="none"/>
        </w:rPr>
        <w:t>附件</w:t>
      </w:r>
      <w:bookmarkEnd w:id="90"/>
      <w:r>
        <w:rPr>
          <w:rFonts w:hint="eastAsia" w:ascii="宋体" w:hAnsi="宋体" w:cs="宋体"/>
          <w:b/>
          <w:bCs/>
          <w:color w:val="auto"/>
          <w:sz w:val="22"/>
          <w:highlight w:val="none"/>
          <w:lang w:val="en-US" w:eastAsia="zh-CN"/>
        </w:rPr>
        <w:t>6</w:t>
      </w:r>
    </w:p>
    <w:p w14:paraId="2691F555">
      <w:pPr>
        <w:widowControl/>
        <w:spacing w:line="420" w:lineRule="atLeast"/>
        <w:jc w:val="center"/>
        <w:textAlignment w:val="baseline"/>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投标声明书</w:t>
      </w:r>
    </w:p>
    <w:p w14:paraId="6A8AE1F7">
      <w:pPr>
        <w:widowControl w:val="0"/>
        <w:spacing w:line="360" w:lineRule="auto"/>
        <w:ind w:firstLine="420" w:firstLineChars="200"/>
        <w:jc w:val="both"/>
        <w:textAlignment w:val="baseline"/>
        <w:rPr>
          <w:rFonts w:ascii="宋体" w:hAnsi="宋体" w:cs="宋体"/>
          <w:color w:val="auto"/>
          <w:sz w:val="20"/>
          <w:szCs w:val="21"/>
          <w:highlight w:val="none"/>
        </w:rPr>
      </w:pPr>
      <w:r>
        <w:rPr>
          <w:rFonts w:hint="eastAsia" w:ascii="宋体" w:hAnsi="宋体" w:cs="宋体"/>
          <w:color w:val="auto"/>
          <w:szCs w:val="21"/>
          <w:highlight w:val="none"/>
          <w:lang w:eastAsia="zh-CN"/>
        </w:rPr>
        <w:t>常山县招贤镇人民政府</w:t>
      </w:r>
      <w:r>
        <w:rPr>
          <w:rFonts w:hint="eastAsia" w:ascii="宋体" w:hAnsi="宋体" w:cs="宋体"/>
          <w:color w:val="auto"/>
          <w:szCs w:val="21"/>
          <w:highlight w:val="none"/>
        </w:rPr>
        <w:t>：</w:t>
      </w:r>
    </w:p>
    <w:p w14:paraId="76CD7FB9">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根据贵方为</w:t>
      </w:r>
      <w:r>
        <w:rPr>
          <w:rFonts w:hint="eastAsia" w:ascii="宋体" w:hAnsi="宋体" w:cs="宋体"/>
          <w:color w:val="auto"/>
          <w:szCs w:val="21"/>
          <w:highlight w:val="none"/>
          <w:u w:val="single"/>
          <w:lang w:eastAsia="zh-CN"/>
        </w:rPr>
        <w:t>常山县招贤镇2024-2025年松材线虫病枯死松树第二轮清理</w:t>
      </w:r>
      <w:r>
        <w:rPr>
          <w:rFonts w:hint="eastAsia" w:ascii="宋体" w:hAnsi="宋体" w:cs="宋体"/>
          <w:color w:val="auto"/>
          <w:szCs w:val="21"/>
          <w:highlight w:val="none"/>
          <w:u w:val="single"/>
          <w:lang w:val="en-US" w:eastAsia="zh-CN"/>
        </w:rPr>
        <w:t xml:space="preserve"> ，</w:t>
      </w:r>
      <w:r>
        <w:rPr>
          <w:rFonts w:hint="eastAsia" w:ascii="宋体" w:hAnsi="宋体" w:cs="宋体"/>
          <w:color w:val="auto"/>
          <w:kern w:val="0"/>
          <w:szCs w:val="21"/>
          <w:highlight w:val="none"/>
          <w:u w:val="single"/>
        </w:rPr>
        <w:t>（项目编号：</w:t>
      </w:r>
      <w:r>
        <w:rPr>
          <w:rFonts w:hint="eastAsia" w:ascii="宋体" w:hAnsi="宋体" w:cs="宋体"/>
          <w:color w:val="auto"/>
          <w:kern w:val="0"/>
          <w:szCs w:val="21"/>
          <w:highlight w:val="none"/>
          <w:u w:val="single"/>
          <w:lang w:eastAsia="zh-CN"/>
        </w:rPr>
        <w:t>CSKC-CS202506</w:t>
      </w:r>
      <w:r>
        <w:rPr>
          <w:rFonts w:hint="eastAsia" w:ascii="宋体" w:hAnsi="宋体" w:cs="宋体"/>
          <w:color w:val="auto"/>
          <w:kern w:val="0"/>
          <w:szCs w:val="21"/>
          <w:highlight w:val="none"/>
          <w:u w:val="single"/>
        </w:rPr>
        <w:t>）</w:t>
      </w:r>
      <w:r>
        <w:rPr>
          <w:rFonts w:hint="eastAsia" w:ascii="宋体" w:hAnsi="宋体" w:cs="宋体"/>
          <w:color w:val="auto"/>
          <w:szCs w:val="21"/>
          <w:highlight w:val="none"/>
        </w:rPr>
        <w:t>的招标文件，我方</w:t>
      </w:r>
      <w:r>
        <w:rPr>
          <w:rFonts w:hint="eastAsia" w:ascii="宋体" w:hAnsi="宋体" w:cs="宋体"/>
          <w:color w:val="auto"/>
          <w:szCs w:val="21"/>
          <w:highlight w:val="none"/>
          <w:u w:val="single" w:color="000000"/>
        </w:rPr>
        <w:t>　　</w:t>
      </w:r>
      <w:r>
        <w:rPr>
          <w:rFonts w:hint="eastAsia" w:ascii="宋体" w:hAnsi="宋体" w:cs="宋体"/>
          <w:color w:val="auto"/>
          <w:szCs w:val="21"/>
          <w:highlight w:val="none"/>
          <w:u w:val="single" w:color="000000"/>
          <w:lang w:val="en-US" w:eastAsia="zh-CN"/>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名称）作为</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正式授权</w:t>
      </w:r>
      <w:r>
        <w:rPr>
          <w:rFonts w:hint="eastAsia" w:ascii="宋体" w:hAnsi="宋体" w:cs="宋体"/>
          <w:color w:val="auto"/>
          <w:szCs w:val="21"/>
          <w:highlight w:val="none"/>
          <w:u w:val="single" w:color="000000"/>
        </w:rPr>
        <w:t>　   （</w:t>
      </w:r>
      <w:r>
        <w:rPr>
          <w:rFonts w:hint="eastAsia" w:ascii="宋体" w:hAnsi="宋体" w:cs="宋体"/>
          <w:color w:val="auto"/>
          <w:szCs w:val="21"/>
          <w:highlight w:val="none"/>
        </w:rPr>
        <w:t>授权代表全名，职务）代表我方处理有关本投标的一切事宜。</w:t>
      </w:r>
    </w:p>
    <w:p w14:paraId="21CF6EC9">
      <w:pPr>
        <w:pStyle w:val="8"/>
        <w:spacing w:line="440" w:lineRule="exact"/>
        <w:ind w:firstLine="440"/>
        <w:textAlignment w:val="baseline"/>
        <w:rPr>
          <w:rFonts w:ascii="宋体" w:hAnsi="宋体" w:cs="宋体"/>
          <w:color w:val="auto"/>
          <w:szCs w:val="21"/>
          <w:highlight w:val="none"/>
        </w:rPr>
      </w:pPr>
      <w:r>
        <w:rPr>
          <w:rFonts w:hint="eastAsia" w:ascii="宋体" w:hAnsi="宋体" w:cs="宋体"/>
          <w:color w:val="auto"/>
          <w:szCs w:val="21"/>
          <w:highlight w:val="none"/>
        </w:rPr>
        <w:t>在此</w:t>
      </w:r>
      <w:r>
        <w:rPr>
          <w:rFonts w:hint="eastAsia" w:ascii="宋体" w:hAnsi="宋体" w:cs="宋体"/>
          <w:color w:val="auto"/>
          <w:spacing w:val="-3"/>
          <w:highlight w:val="none"/>
        </w:rPr>
        <w:t>提</w:t>
      </w:r>
      <w:r>
        <w:rPr>
          <w:rFonts w:hint="eastAsia" w:ascii="宋体" w:hAnsi="宋体" w:cs="宋体"/>
          <w:color w:val="auto"/>
          <w:highlight w:val="none"/>
        </w:rPr>
        <w:t>供</w:t>
      </w:r>
      <w:r>
        <w:rPr>
          <w:rFonts w:hint="eastAsia" w:ascii="宋体" w:hAnsi="宋体" w:cs="宋体"/>
          <w:color w:val="auto"/>
          <w:spacing w:val="-3"/>
          <w:highlight w:val="none"/>
          <w:lang w:eastAsia="zh-CN"/>
        </w:rPr>
        <w:t>供应商</w:t>
      </w:r>
      <w:r>
        <w:rPr>
          <w:rFonts w:hint="eastAsia" w:ascii="宋体" w:hAnsi="宋体" w:cs="宋体"/>
          <w:color w:val="auto"/>
          <w:highlight w:val="none"/>
        </w:rPr>
        <w:t>须知规</w:t>
      </w:r>
      <w:r>
        <w:rPr>
          <w:rFonts w:hint="eastAsia" w:ascii="宋体" w:hAnsi="宋体" w:cs="宋体"/>
          <w:color w:val="auto"/>
          <w:spacing w:val="-3"/>
          <w:highlight w:val="none"/>
        </w:rPr>
        <w:t>定的</w:t>
      </w:r>
      <w:r>
        <w:rPr>
          <w:rFonts w:hint="eastAsia" w:ascii="宋体" w:hAnsi="宋体" w:cs="宋体"/>
          <w:color w:val="auto"/>
          <w:highlight w:val="none"/>
        </w:rPr>
        <w:t>全部</w:t>
      </w:r>
      <w:r>
        <w:rPr>
          <w:rFonts w:hint="eastAsia" w:ascii="宋体" w:hAnsi="宋体" w:cs="宋体"/>
          <w:color w:val="auto"/>
          <w:spacing w:val="-3"/>
          <w:highlight w:val="none"/>
        </w:rPr>
        <w:t>投</w:t>
      </w:r>
      <w:r>
        <w:rPr>
          <w:rFonts w:hint="eastAsia" w:ascii="宋体" w:hAnsi="宋体" w:cs="宋体"/>
          <w:color w:val="auto"/>
          <w:highlight w:val="none"/>
        </w:rPr>
        <w:t>标</w:t>
      </w:r>
      <w:r>
        <w:rPr>
          <w:rFonts w:hint="eastAsia" w:ascii="宋体" w:hAnsi="宋体" w:cs="宋体"/>
          <w:color w:val="auto"/>
          <w:spacing w:val="-3"/>
          <w:highlight w:val="none"/>
        </w:rPr>
        <w:t>文</w:t>
      </w:r>
      <w:r>
        <w:rPr>
          <w:rFonts w:hint="eastAsia" w:ascii="宋体" w:hAnsi="宋体" w:cs="宋体"/>
          <w:color w:val="auto"/>
          <w:highlight w:val="none"/>
        </w:rPr>
        <w:t>件。</w:t>
      </w:r>
    </w:p>
    <w:p w14:paraId="593B1D9B">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我方己完全明白招标文件的所有条款要求，并重申以下几点：</w:t>
      </w:r>
    </w:p>
    <w:p w14:paraId="16823141">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（一）</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已详细审查全部“招标文件”，包括修改、澄清文件（如有的话）以及全部参考资料和有关附件，已经了解我方对于招标文件、采购过程、采购结果有依法进行询问、质疑、投诉的权利及相关渠道和要求。</w:t>
      </w:r>
    </w:p>
    <w:p w14:paraId="7035E239">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在投标之前已经与贵方进行了充分的沟通，完全理解并接受招标文件的各项规定和要求，对招标文件的合理性、合法性不再有异议。</w:t>
      </w:r>
    </w:p>
    <w:p w14:paraId="430AD288">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（三）本投标有效期自开标日起90日。</w:t>
      </w:r>
    </w:p>
    <w:p w14:paraId="4B59C5D6">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（四）如中标，本投标文件至本项目合同履行完毕止均保持有效，本</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将按“招标文件”及政府采购法律、法规的规定履行合同责任和义务。</w:t>
      </w:r>
    </w:p>
    <w:p w14:paraId="42997BD0">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（五）</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同意按照贵方要求提供与投标有关的一切数据或资料。</w:t>
      </w:r>
    </w:p>
    <w:p w14:paraId="140C8D5B">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（六）我方向贵方提交的所有投标文件、资料都是准确的和真实的。</w:t>
      </w:r>
    </w:p>
    <w:p w14:paraId="22FD830B">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（七）我方不是采购人的附属机构；在获知本项目采购信息后，与采购人聘请的为此项目提供咨询服务的公司及其附属机构没有任何联系。</w:t>
      </w:r>
    </w:p>
    <w:p w14:paraId="36DC9A5B">
      <w:pPr>
        <w:spacing w:line="440" w:lineRule="exact"/>
        <w:ind w:firstLine="420" w:firstLineChars="200"/>
        <w:textAlignment w:val="baseline"/>
        <w:rPr>
          <w:rFonts w:ascii="宋体" w:hAnsi="宋体" w:cs="宋体"/>
          <w:color w:val="auto"/>
          <w:sz w:val="20"/>
          <w:szCs w:val="21"/>
          <w:highlight w:val="none"/>
          <w:u w:val="single"/>
        </w:rPr>
      </w:pPr>
      <w:r>
        <w:rPr>
          <w:rFonts w:hint="eastAsia" w:ascii="宋体" w:hAnsi="宋体" w:cs="宋体"/>
          <w:color w:val="auto"/>
          <w:szCs w:val="21"/>
          <w:highlight w:val="none"/>
        </w:rPr>
        <w:t>（八）以上事项如有虚假或隐瞒，我方愿意承担一切后果，并不再寻求任何旨在减轻或免除法律责任的辩解。</w:t>
      </w:r>
    </w:p>
    <w:p w14:paraId="26B82B7E">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（九）本投标有关的一切正式往来信函请寄：</w:t>
      </w:r>
    </w:p>
    <w:p w14:paraId="7BD45F41">
      <w:pPr>
        <w:spacing w:line="440" w:lineRule="exact"/>
        <w:ind w:firstLine="435"/>
        <w:textAlignment w:val="baseline"/>
        <w:rPr>
          <w:rFonts w:ascii="宋体" w:hAnsi="宋体" w:cs="宋体"/>
          <w:color w:val="auto"/>
          <w:sz w:val="20"/>
          <w:szCs w:val="21"/>
          <w:highlight w:val="none"/>
          <w:u w:val="single"/>
        </w:rPr>
      </w:pPr>
      <w:r>
        <w:rPr>
          <w:rFonts w:hint="eastAsia" w:ascii="宋体" w:hAnsi="宋体" w:cs="宋体"/>
          <w:color w:val="auto"/>
          <w:szCs w:val="21"/>
          <w:highlight w:val="none"/>
        </w:rPr>
        <w:t>地址：</w:t>
      </w:r>
    </w:p>
    <w:p w14:paraId="7DF83B4A">
      <w:pPr>
        <w:spacing w:line="440" w:lineRule="exact"/>
        <w:ind w:firstLine="435"/>
        <w:textAlignment w:val="baseline"/>
        <w:rPr>
          <w:rFonts w:ascii="宋体" w:hAnsi="宋体" w:cs="宋体"/>
          <w:color w:val="auto"/>
          <w:sz w:val="20"/>
          <w:szCs w:val="21"/>
          <w:highlight w:val="none"/>
        </w:rPr>
      </w:pPr>
      <w:r>
        <w:rPr>
          <w:rFonts w:hint="eastAsia" w:ascii="宋体" w:hAnsi="宋体" w:cs="宋体"/>
          <w:color w:val="auto"/>
          <w:szCs w:val="21"/>
          <w:highlight w:val="none"/>
        </w:rPr>
        <w:t>电话：</w:t>
      </w:r>
    </w:p>
    <w:p w14:paraId="6E1D4F7C">
      <w:pPr>
        <w:spacing w:line="440" w:lineRule="exact"/>
        <w:ind w:firstLine="435"/>
        <w:textAlignment w:val="baseline"/>
        <w:rPr>
          <w:rFonts w:ascii="宋体" w:hAnsi="宋体" w:cs="宋体"/>
          <w:color w:val="auto"/>
          <w:sz w:val="20"/>
          <w:szCs w:val="21"/>
          <w:highlight w:val="none"/>
        </w:rPr>
      </w:pPr>
      <w:r>
        <w:rPr>
          <w:rFonts w:hint="eastAsia" w:ascii="宋体" w:hAnsi="宋体" w:cs="宋体"/>
          <w:color w:val="auto"/>
          <w:szCs w:val="21"/>
          <w:highlight w:val="none"/>
        </w:rPr>
        <w:t>传真：</w:t>
      </w:r>
    </w:p>
    <w:p w14:paraId="1B11B2B2">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电子邮件：</w:t>
      </w:r>
    </w:p>
    <w:p w14:paraId="1A334D98">
      <w:pPr>
        <w:spacing w:line="440" w:lineRule="exact"/>
        <w:ind w:firstLine="4860"/>
        <w:jc w:val="left"/>
        <w:textAlignment w:val="baseline"/>
        <w:rPr>
          <w:rFonts w:ascii="宋体" w:hAnsi="宋体" w:cs="宋体"/>
          <w:b/>
          <w:bCs/>
          <w:color w:val="auto"/>
          <w:sz w:val="20"/>
          <w:szCs w:val="21"/>
          <w:highlight w:val="none"/>
          <w:u w:val="single" w:color="000000"/>
        </w:rPr>
      </w:pPr>
      <w:r>
        <w:rPr>
          <w:rFonts w:hint="eastAsia" w:ascii="宋体" w:hAnsi="宋体" w:cs="宋体"/>
          <w:b/>
          <w:bCs/>
          <w:color w:val="auto"/>
          <w:sz w:val="24"/>
          <w:highlight w:val="none"/>
        </w:rPr>
        <w:t>供应商名称（盖章）：</w:t>
      </w:r>
    </w:p>
    <w:p w14:paraId="0CA38252">
      <w:pPr>
        <w:spacing w:line="440" w:lineRule="exact"/>
        <w:ind w:firstLine="4860"/>
        <w:jc w:val="left"/>
        <w:textAlignment w:val="baseline"/>
        <w:rPr>
          <w:rFonts w:ascii="宋体" w:hAnsi="宋体" w:cs="宋体"/>
          <w:color w:val="auto"/>
          <w:sz w:val="20"/>
          <w:szCs w:val="21"/>
          <w:highlight w:val="none"/>
          <w:u w:val="single" w:color="000000"/>
        </w:rPr>
      </w:pPr>
      <w:r>
        <w:rPr>
          <w:rFonts w:hint="eastAsia" w:ascii="宋体" w:hAnsi="宋体" w:cs="宋体"/>
          <w:b/>
          <w:bCs/>
          <w:color w:val="auto"/>
          <w:szCs w:val="21"/>
          <w:highlight w:val="none"/>
        </w:rPr>
        <w:t>日期：年月日</w:t>
      </w:r>
    </w:p>
    <w:p w14:paraId="507E6E82">
      <w:pPr>
        <w:pStyle w:val="30"/>
        <w:ind w:left="0" w:leftChars="0" w:firstLine="0" w:firstLineChars="0"/>
        <w:textAlignment w:val="baseline"/>
        <w:rPr>
          <w:rFonts w:ascii="宋体" w:hAnsi="宋体" w:eastAsia="宋体"/>
          <w:b/>
          <w:bCs/>
          <w:color w:val="auto"/>
          <w:sz w:val="22"/>
          <w:highlight w:val="none"/>
        </w:rPr>
      </w:pPr>
    </w:p>
    <w:p w14:paraId="7680DB62">
      <w:pPr>
        <w:spacing w:line="360" w:lineRule="auto"/>
        <w:textAlignment w:val="baseline"/>
        <w:outlineLvl w:val="0"/>
        <w:rPr>
          <w:rFonts w:hint="eastAsia" w:ascii="宋体" w:hAnsi="宋体" w:cs="宋体"/>
          <w:b/>
          <w:bCs/>
          <w:color w:val="auto"/>
          <w:sz w:val="22"/>
          <w:highlight w:val="none"/>
        </w:rPr>
      </w:pPr>
      <w:bookmarkStart w:id="91" w:name="_Toc231"/>
    </w:p>
    <w:p w14:paraId="133FD61C">
      <w:pPr>
        <w:rPr>
          <w:rFonts w:hint="eastAsia" w:ascii="宋体" w:hAnsi="宋体" w:cs="宋体"/>
          <w:b/>
          <w:bCs/>
          <w:color w:val="auto"/>
          <w:sz w:val="22"/>
          <w:highlight w:val="none"/>
        </w:rPr>
      </w:pPr>
      <w:r>
        <w:rPr>
          <w:rFonts w:hint="eastAsia" w:ascii="宋体" w:hAnsi="宋体" w:cs="宋体"/>
          <w:b/>
          <w:bCs/>
          <w:color w:val="auto"/>
          <w:sz w:val="22"/>
          <w:highlight w:val="none"/>
        </w:rPr>
        <w:br w:type="page"/>
      </w:r>
    </w:p>
    <w:p w14:paraId="59F101B6">
      <w:pPr>
        <w:spacing w:line="360" w:lineRule="auto"/>
        <w:textAlignment w:val="baseline"/>
        <w:outlineLvl w:val="0"/>
        <w:rPr>
          <w:rFonts w:hint="eastAsia" w:ascii="宋体" w:hAnsi="宋体" w:eastAsia="宋体" w:cs="宋体"/>
          <w:b/>
          <w:bCs/>
          <w:color w:val="auto"/>
          <w:sz w:val="22"/>
          <w:highlight w:val="none"/>
          <w:lang w:eastAsia="zh-CN"/>
        </w:rPr>
      </w:pPr>
      <w:r>
        <w:rPr>
          <w:rFonts w:hint="eastAsia" w:ascii="宋体" w:hAnsi="宋体" w:cs="宋体"/>
          <w:b/>
          <w:bCs/>
          <w:color w:val="auto"/>
          <w:sz w:val="22"/>
          <w:highlight w:val="none"/>
        </w:rPr>
        <w:t>附件</w:t>
      </w:r>
      <w:bookmarkEnd w:id="91"/>
      <w:r>
        <w:rPr>
          <w:rFonts w:hint="eastAsia" w:ascii="宋体" w:hAnsi="宋体" w:cs="宋体"/>
          <w:b/>
          <w:bCs/>
          <w:color w:val="auto"/>
          <w:sz w:val="22"/>
          <w:highlight w:val="none"/>
          <w:lang w:val="en-US" w:eastAsia="zh-CN"/>
        </w:rPr>
        <w:t>7</w:t>
      </w:r>
    </w:p>
    <w:p w14:paraId="70F5769B">
      <w:pPr>
        <w:widowControl/>
        <w:spacing w:line="360" w:lineRule="auto"/>
        <w:jc w:val="center"/>
        <w:textAlignment w:val="baseline"/>
        <w:rPr>
          <w:rFonts w:ascii="宋体" w:hAnsi="宋体" w:cs="宋体"/>
          <w:b/>
          <w:bCs/>
          <w:color w:val="auto"/>
          <w:kern w:val="0"/>
          <w:sz w:val="30"/>
          <w:szCs w:val="30"/>
          <w:highlight w:val="none"/>
        </w:rPr>
      </w:pPr>
      <w:bookmarkStart w:id="92" w:name="_Toc13405_WPSOffice_Level1"/>
      <w:bookmarkStart w:id="93" w:name="_Toc8847_WPSOffice_Level1"/>
      <w:r>
        <w:rPr>
          <w:rFonts w:hint="eastAsia" w:ascii="宋体" w:hAnsi="宋体" w:cs="宋体"/>
          <w:b/>
          <w:bCs/>
          <w:color w:val="auto"/>
          <w:kern w:val="0"/>
          <w:sz w:val="30"/>
          <w:szCs w:val="30"/>
          <w:highlight w:val="none"/>
        </w:rPr>
        <w:t>磋商供应商基本情况表</w:t>
      </w:r>
      <w:bookmarkEnd w:id="92"/>
      <w:bookmarkEnd w:id="93"/>
    </w:p>
    <w:tbl>
      <w:tblPr>
        <w:tblStyle w:val="31"/>
        <w:tblW w:w="92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8"/>
        <w:gridCol w:w="1209"/>
        <w:gridCol w:w="1423"/>
        <w:gridCol w:w="1431"/>
        <w:gridCol w:w="1533"/>
        <w:gridCol w:w="308"/>
        <w:gridCol w:w="1571"/>
      </w:tblGrid>
      <w:tr w14:paraId="7241C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tcBorders>
              <w:top w:val="single" w:color="auto" w:sz="4" w:space="0"/>
              <w:bottom w:val="single" w:color="auto" w:sz="4" w:space="0"/>
              <w:right w:val="single" w:color="auto" w:sz="4" w:space="0"/>
            </w:tcBorders>
            <w:vAlign w:val="center"/>
          </w:tcPr>
          <w:p w14:paraId="6305A642">
            <w:pPr>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磋商供应商名称</w:t>
            </w:r>
          </w:p>
        </w:tc>
        <w:tc>
          <w:tcPr>
            <w:tcW w:w="7475" w:type="dxa"/>
            <w:gridSpan w:val="6"/>
            <w:tcBorders>
              <w:top w:val="single" w:color="auto" w:sz="4" w:space="0"/>
              <w:left w:val="single" w:color="auto" w:sz="4" w:space="0"/>
              <w:bottom w:val="single" w:color="auto" w:sz="4" w:space="0"/>
            </w:tcBorders>
            <w:vAlign w:val="center"/>
          </w:tcPr>
          <w:p w14:paraId="2ED6F003">
            <w:pPr>
              <w:spacing w:line="360" w:lineRule="auto"/>
              <w:textAlignment w:val="baseline"/>
              <w:rPr>
                <w:rFonts w:ascii="宋体" w:hAnsi="宋体" w:cs="宋体"/>
                <w:color w:val="auto"/>
                <w:sz w:val="20"/>
                <w:szCs w:val="21"/>
                <w:highlight w:val="none"/>
              </w:rPr>
            </w:pPr>
          </w:p>
        </w:tc>
      </w:tr>
      <w:tr w14:paraId="5050C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tcBorders>
              <w:top w:val="single" w:color="auto" w:sz="4" w:space="0"/>
              <w:bottom w:val="single" w:color="auto" w:sz="4" w:space="0"/>
              <w:right w:val="single" w:color="auto" w:sz="4" w:space="0"/>
            </w:tcBorders>
            <w:vAlign w:val="center"/>
          </w:tcPr>
          <w:p w14:paraId="71461696">
            <w:pPr>
              <w:spacing w:line="360" w:lineRule="auto"/>
              <w:ind w:left="-38" w:leftChars="-51" w:right="-107" w:hanging="69" w:hangingChars="33"/>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法定代表人</w:t>
            </w:r>
          </w:p>
        </w:tc>
        <w:tc>
          <w:tcPr>
            <w:tcW w:w="1209" w:type="dxa"/>
            <w:tcBorders>
              <w:top w:val="single" w:color="auto" w:sz="4" w:space="0"/>
              <w:left w:val="single" w:color="auto" w:sz="4" w:space="0"/>
              <w:bottom w:val="single" w:color="auto" w:sz="4" w:space="0"/>
              <w:right w:val="single" w:color="auto" w:sz="4" w:space="0"/>
            </w:tcBorders>
            <w:vAlign w:val="center"/>
          </w:tcPr>
          <w:p w14:paraId="31C8A139">
            <w:pPr>
              <w:spacing w:line="360" w:lineRule="auto"/>
              <w:jc w:val="center"/>
              <w:textAlignment w:val="baseline"/>
              <w:rPr>
                <w:rFonts w:ascii="宋体" w:hAnsi="宋体" w:cs="宋体"/>
                <w:bCs/>
                <w:color w:val="auto"/>
                <w:sz w:val="20"/>
                <w:szCs w:val="21"/>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14:paraId="49564268">
            <w:pPr>
              <w:spacing w:line="360" w:lineRule="auto"/>
              <w:ind w:left="-38" w:leftChars="-51" w:right="-107" w:hanging="69" w:hangingChars="33"/>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授权代表人</w:t>
            </w:r>
          </w:p>
        </w:tc>
        <w:tc>
          <w:tcPr>
            <w:tcW w:w="1431" w:type="dxa"/>
            <w:tcBorders>
              <w:top w:val="single" w:color="auto" w:sz="4" w:space="0"/>
              <w:left w:val="single" w:color="auto" w:sz="4" w:space="0"/>
              <w:bottom w:val="single" w:color="auto" w:sz="4" w:space="0"/>
              <w:right w:val="single" w:color="auto" w:sz="4" w:space="0"/>
            </w:tcBorders>
            <w:vAlign w:val="center"/>
          </w:tcPr>
          <w:p w14:paraId="4D5431F2">
            <w:pPr>
              <w:spacing w:line="360" w:lineRule="auto"/>
              <w:jc w:val="center"/>
              <w:textAlignment w:val="baseline"/>
              <w:rPr>
                <w:rFonts w:ascii="宋体" w:hAnsi="宋体" w:cs="宋体"/>
                <w:bCs/>
                <w:color w:val="auto"/>
                <w:sz w:val="20"/>
                <w:szCs w:val="21"/>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48B13CBA">
            <w:pPr>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营业（经营）执照号码</w:t>
            </w:r>
          </w:p>
        </w:tc>
        <w:tc>
          <w:tcPr>
            <w:tcW w:w="1879" w:type="dxa"/>
            <w:gridSpan w:val="2"/>
            <w:tcBorders>
              <w:top w:val="single" w:color="auto" w:sz="4" w:space="0"/>
              <w:left w:val="single" w:color="auto" w:sz="4" w:space="0"/>
              <w:bottom w:val="single" w:color="auto" w:sz="4" w:space="0"/>
            </w:tcBorders>
            <w:vAlign w:val="center"/>
          </w:tcPr>
          <w:p w14:paraId="04C69209">
            <w:pPr>
              <w:spacing w:line="360" w:lineRule="auto"/>
              <w:textAlignment w:val="baseline"/>
              <w:rPr>
                <w:rFonts w:ascii="宋体" w:hAnsi="宋体" w:cs="宋体"/>
                <w:bCs/>
                <w:color w:val="auto"/>
                <w:sz w:val="20"/>
                <w:szCs w:val="21"/>
                <w:highlight w:val="none"/>
              </w:rPr>
            </w:pPr>
          </w:p>
        </w:tc>
      </w:tr>
      <w:tr w14:paraId="03B43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tcBorders>
              <w:top w:val="single" w:color="auto" w:sz="4" w:space="0"/>
              <w:bottom w:val="single" w:color="auto" w:sz="4" w:space="0"/>
              <w:right w:val="single" w:color="auto" w:sz="4" w:space="0"/>
            </w:tcBorders>
            <w:vAlign w:val="center"/>
          </w:tcPr>
          <w:p w14:paraId="4EA9FF85">
            <w:pPr>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职工人数</w:t>
            </w:r>
          </w:p>
        </w:tc>
        <w:tc>
          <w:tcPr>
            <w:tcW w:w="1209" w:type="dxa"/>
            <w:tcBorders>
              <w:top w:val="single" w:color="auto" w:sz="4" w:space="0"/>
              <w:left w:val="single" w:color="auto" w:sz="4" w:space="0"/>
              <w:bottom w:val="single" w:color="auto" w:sz="4" w:space="0"/>
              <w:right w:val="single" w:color="auto" w:sz="4" w:space="0"/>
            </w:tcBorders>
            <w:vAlign w:val="center"/>
          </w:tcPr>
          <w:p w14:paraId="04BD1867">
            <w:pPr>
              <w:spacing w:line="360" w:lineRule="auto"/>
              <w:jc w:val="center"/>
              <w:textAlignment w:val="baseline"/>
              <w:rPr>
                <w:rFonts w:ascii="宋体" w:hAnsi="宋体" w:cs="宋体"/>
                <w:bCs/>
                <w:color w:val="auto"/>
                <w:sz w:val="20"/>
                <w:szCs w:val="21"/>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14:paraId="14271D51">
            <w:pPr>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3317F25B">
            <w:pPr>
              <w:spacing w:line="360" w:lineRule="auto"/>
              <w:ind w:right="-89"/>
              <w:jc w:val="center"/>
              <w:textAlignment w:val="baseline"/>
              <w:rPr>
                <w:rFonts w:ascii="宋体" w:hAnsi="宋体" w:cs="宋体"/>
                <w:bCs/>
                <w:color w:val="auto"/>
                <w:sz w:val="20"/>
                <w:szCs w:val="21"/>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422F1EC6">
            <w:pPr>
              <w:spacing w:line="360" w:lineRule="auto"/>
              <w:ind w:left="-38" w:leftChars="-51" w:hanging="69" w:hangingChars="33"/>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注册资金</w:t>
            </w:r>
          </w:p>
        </w:tc>
        <w:tc>
          <w:tcPr>
            <w:tcW w:w="1879" w:type="dxa"/>
            <w:gridSpan w:val="2"/>
            <w:tcBorders>
              <w:top w:val="single" w:color="auto" w:sz="4" w:space="0"/>
              <w:left w:val="single" w:color="auto" w:sz="4" w:space="0"/>
              <w:bottom w:val="single" w:color="auto" w:sz="4" w:space="0"/>
            </w:tcBorders>
            <w:vAlign w:val="center"/>
          </w:tcPr>
          <w:p w14:paraId="3717F713">
            <w:pPr>
              <w:spacing w:line="360" w:lineRule="auto"/>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万元</w:t>
            </w:r>
          </w:p>
        </w:tc>
      </w:tr>
      <w:tr w14:paraId="7AA0F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tcBorders>
              <w:top w:val="single" w:color="auto" w:sz="4" w:space="0"/>
              <w:bottom w:val="single" w:color="auto" w:sz="4" w:space="0"/>
              <w:right w:val="single" w:color="auto" w:sz="4" w:space="0"/>
            </w:tcBorders>
            <w:vAlign w:val="center"/>
          </w:tcPr>
          <w:p w14:paraId="71B62B33">
            <w:pPr>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地址</w:t>
            </w:r>
          </w:p>
        </w:tc>
        <w:tc>
          <w:tcPr>
            <w:tcW w:w="7475" w:type="dxa"/>
            <w:gridSpan w:val="6"/>
            <w:tcBorders>
              <w:top w:val="single" w:color="auto" w:sz="4" w:space="0"/>
              <w:left w:val="single" w:color="auto" w:sz="4" w:space="0"/>
              <w:bottom w:val="single" w:color="auto" w:sz="4" w:space="0"/>
            </w:tcBorders>
            <w:vAlign w:val="center"/>
          </w:tcPr>
          <w:p w14:paraId="52AF0398">
            <w:pPr>
              <w:spacing w:line="360" w:lineRule="auto"/>
              <w:jc w:val="center"/>
              <w:textAlignment w:val="baseline"/>
              <w:rPr>
                <w:rFonts w:ascii="宋体" w:hAnsi="宋体" w:cs="宋体"/>
                <w:bCs/>
                <w:color w:val="auto"/>
                <w:sz w:val="20"/>
                <w:szCs w:val="21"/>
                <w:highlight w:val="none"/>
              </w:rPr>
            </w:pPr>
          </w:p>
        </w:tc>
      </w:tr>
      <w:tr w14:paraId="65606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restart"/>
            <w:tcBorders>
              <w:top w:val="single" w:color="auto" w:sz="4" w:space="0"/>
              <w:right w:val="single" w:color="auto" w:sz="4" w:space="0"/>
            </w:tcBorders>
            <w:vAlign w:val="center"/>
          </w:tcPr>
          <w:p w14:paraId="288E9659">
            <w:pPr>
              <w:spacing w:line="360" w:lineRule="auto"/>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所获资质</w:t>
            </w:r>
          </w:p>
          <w:p w14:paraId="09970436">
            <w:pPr>
              <w:spacing w:line="360" w:lineRule="auto"/>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或认证</w:t>
            </w:r>
          </w:p>
        </w:tc>
        <w:tc>
          <w:tcPr>
            <w:tcW w:w="1209" w:type="dxa"/>
            <w:tcBorders>
              <w:top w:val="single" w:color="auto" w:sz="4" w:space="0"/>
              <w:left w:val="single" w:color="auto" w:sz="4" w:space="0"/>
              <w:bottom w:val="single" w:color="auto" w:sz="4" w:space="0"/>
              <w:right w:val="single" w:color="auto" w:sz="4" w:space="0"/>
            </w:tcBorders>
            <w:vAlign w:val="center"/>
          </w:tcPr>
          <w:p w14:paraId="52D59FB6">
            <w:pPr>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64C7F979">
            <w:pPr>
              <w:widowControl/>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E745154">
            <w:pPr>
              <w:widowControl/>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颁发时间</w:t>
            </w:r>
          </w:p>
        </w:tc>
        <w:tc>
          <w:tcPr>
            <w:tcW w:w="1571" w:type="dxa"/>
            <w:tcBorders>
              <w:top w:val="single" w:color="auto" w:sz="4" w:space="0"/>
              <w:left w:val="single" w:color="auto" w:sz="4" w:space="0"/>
              <w:bottom w:val="single" w:color="auto" w:sz="4" w:space="0"/>
            </w:tcBorders>
            <w:vAlign w:val="center"/>
          </w:tcPr>
          <w:p w14:paraId="02534C59">
            <w:pPr>
              <w:widowControl/>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有效期</w:t>
            </w:r>
          </w:p>
        </w:tc>
      </w:tr>
      <w:tr w14:paraId="6FBBB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14:paraId="65511EC6">
            <w:pPr>
              <w:spacing w:line="360" w:lineRule="auto"/>
              <w:jc w:val="center"/>
              <w:textAlignment w:val="baseline"/>
              <w:rPr>
                <w:rFonts w:ascii="宋体" w:hAnsi="宋体" w:cs="宋体"/>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065B9B51">
            <w:pPr>
              <w:spacing w:line="360" w:lineRule="auto"/>
              <w:textAlignment w:val="baseline"/>
              <w:rPr>
                <w:rFonts w:ascii="宋体" w:hAnsi="宋体" w:cs="宋体"/>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3024978">
            <w:pPr>
              <w:spacing w:line="360" w:lineRule="auto"/>
              <w:textAlignment w:val="baseline"/>
              <w:rPr>
                <w:rFonts w:ascii="宋体" w:hAnsi="宋体" w:cs="宋体"/>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25FC50D4">
            <w:pPr>
              <w:spacing w:line="360" w:lineRule="auto"/>
              <w:textAlignment w:val="baseline"/>
              <w:rPr>
                <w:rFonts w:ascii="宋体" w:hAnsi="宋体" w:cs="宋体"/>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14:paraId="7C6F7B6A">
            <w:pPr>
              <w:spacing w:line="360" w:lineRule="auto"/>
              <w:textAlignment w:val="baseline"/>
              <w:rPr>
                <w:rFonts w:ascii="宋体" w:hAnsi="宋体" w:cs="宋体"/>
                <w:color w:val="auto"/>
                <w:sz w:val="20"/>
                <w:szCs w:val="21"/>
                <w:highlight w:val="none"/>
                <w:u w:val="single"/>
              </w:rPr>
            </w:pPr>
          </w:p>
        </w:tc>
      </w:tr>
      <w:tr w14:paraId="41ED0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14:paraId="3F2399BF">
            <w:pPr>
              <w:spacing w:line="360" w:lineRule="auto"/>
              <w:jc w:val="center"/>
              <w:textAlignment w:val="baseline"/>
              <w:rPr>
                <w:rFonts w:ascii="宋体" w:hAnsi="宋体" w:cs="宋体"/>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0012487F">
            <w:pPr>
              <w:spacing w:line="360" w:lineRule="auto"/>
              <w:textAlignment w:val="baseline"/>
              <w:rPr>
                <w:rFonts w:ascii="宋体" w:hAnsi="宋体" w:cs="宋体"/>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00FF1F46">
            <w:pPr>
              <w:spacing w:line="360" w:lineRule="auto"/>
              <w:textAlignment w:val="baseline"/>
              <w:rPr>
                <w:rFonts w:ascii="宋体" w:hAnsi="宋体" w:cs="宋体"/>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2AC6C4C">
            <w:pPr>
              <w:spacing w:line="360" w:lineRule="auto"/>
              <w:textAlignment w:val="baseline"/>
              <w:rPr>
                <w:rFonts w:ascii="宋体" w:hAnsi="宋体" w:cs="宋体"/>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14:paraId="583A1FB7">
            <w:pPr>
              <w:spacing w:line="360" w:lineRule="auto"/>
              <w:textAlignment w:val="baseline"/>
              <w:rPr>
                <w:rFonts w:ascii="宋体" w:hAnsi="宋体" w:cs="宋体"/>
                <w:color w:val="auto"/>
                <w:sz w:val="20"/>
                <w:szCs w:val="21"/>
                <w:highlight w:val="none"/>
                <w:u w:val="single"/>
              </w:rPr>
            </w:pPr>
          </w:p>
        </w:tc>
      </w:tr>
      <w:tr w14:paraId="0EBD8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14:paraId="7D8B76CA">
            <w:pPr>
              <w:spacing w:line="360" w:lineRule="auto"/>
              <w:jc w:val="center"/>
              <w:textAlignment w:val="baseline"/>
              <w:rPr>
                <w:rFonts w:ascii="宋体" w:hAnsi="宋体" w:cs="宋体"/>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05827AC7">
            <w:pPr>
              <w:spacing w:line="360" w:lineRule="auto"/>
              <w:textAlignment w:val="baseline"/>
              <w:rPr>
                <w:rFonts w:ascii="宋体" w:hAnsi="宋体" w:cs="宋体"/>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F170444">
            <w:pPr>
              <w:spacing w:line="360" w:lineRule="auto"/>
              <w:textAlignment w:val="baseline"/>
              <w:rPr>
                <w:rFonts w:ascii="宋体" w:hAnsi="宋体" w:cs="宋体"/>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781C6946">
            <w:pPr>
              <w:spacing w:line="360" w:lineRule="auto"/>
              <w:textAlignment w:val="baseline"/>
              <w:rPr>
                <w:rFonts w:ascii="宋体" w:hAnsi="宋体" w:cs="宋体"/>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14:paraId="01CD6150">
            <w:pPr>
              <w:spacing w:line="360" w:lineRule="auto"/>
              <w:textAlignment w:val="baseline"/>
              <w:rPr>
                <w:rFonts w:ascii="宋体" w:hAnsi="宋体" w:cs="宋体"/>
                <w:color w:val="auto"/>
                <w:sz w:val="20"/>
                <w:szCs w:val="21"/>
                <w:highlight w:val="none"/>
                <w:u w:val="single"/>
              </w:rPr>
            </w:pPr>
          </w:p>
        </w:tc>
      </w:tr>
      <w:tr w14:paraId="65A22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14:paraId="77C07E5B">
            <w:pPr>
              <w:spacing w:line="360" w:lineRule="auto"/>
              <w:jc w:val="center"/>
              <w:textAlignment w:val="baseline"/>
              <w:rPr>
                <w:rFonts w:ascii="宋体" w:hAnsi="宋体" w:cs="宋体"/>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769A1603">
            <w:pPr>
              <w:spacing w:line="360" w:lineRule="auto"/>
              <w:textAlignment w:val="baseline"/>
              <w:rPr>
                <w:rFonts w:ascii="宋体" w:hAnsi="宋体" w:cs="宋体"/>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142B75A">
            <w:pPr>
              <w:spacing w:line="360" w:lineRule="auto"/>
              <w:textAlignment w:val="baseline"/>
              <w:rPr>
                <w:rFonts w:ascii="宋体" w:hAnsi="宋体" w:cs="宋体"/>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1AF59E42">
            <w:pPr>
              <w:spacing w:line="360" w:lineRule="auto"/>
              <w:textAlignment w:val="baseline"/>
              <w:rPr>
                <w:rFonts w:ascii="宋体" w:hAnsi="宋体" w:cs="宋体"/>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14:paraId="32FE7732">
            <w:pPr>
              <w:spacing w:line="360" w:lineRule="auto"/>
              <w:textAlignment w:val="baseline"/>
              <w:rPr>
                <w:rFonts w:ascii="宋体" w:hAnsi="宋体" w:cs="宋体"/>
                <w:color w:val="auto"/>
                <w:sz w:val="20"/>
                <w:szCs w:val="21"/>
                <w:highlight w:val="none"/>
                <w:u w:val="single"/>
              </w:rPr>
            </w:pPr>
          </w:p>
        </w:tc>
      </w:tr>
      <w:tr w14:paraId="05100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restart"/>
            <w:tcBorders>
              <w:top w:val="single" w:color="auto" w:sz="4" w:space="0"/>
              <w:right w:val="single" w:color="auto" w:sz="4" w:space="0"/>
            </w:tcBorders>
            <w:vAlign w:val="center"/>
          </w:tcPr>
          <w:p w14:paraId="597A308D">
            <w:pPr>
              <w:spacing w:line="360" w:lineRule="auto"/>
              <w:jc w:val="center"/>
              <w:textAlignment w:val="baseline"/>
              <w:rPr>
                <w:rFonts w:ascii="宋体" w:hAnsi="宋体" w:cs="宋体"/>
                <w:color w:val="auto"/>
                <w:sz w:val="20"/>
                <w:szCs w:val="21"/>
                <w:highlight w:val="none"/>
              </w:rPr>
            </w:pPr>
            <w:r>
              <w:rPr>
                <w:rFonts w:hint="eastAsia" w:ascii="宋体" w:hAnsi="宋体" w:cs="宋体"/>
                <w:bCs/>
                <w:color w:val="auto"/>
                <w:szCs w:val="21"/>
                <w:highlight w:val="none"/>
              </w:rPr>
              <w:t>所获荣誉</w:t>
            </w:r>
          </w:p>
        </w:tc>
        <w:tc>
          <w:tcPr>
            <w:tcW w:w="1209" w:type="dxa"/>
            <w:tcBorders>
              <w:top w:val="single" w:color="auto" w:sz="4" w:space="0"/>
              <w:left w:val="single" w:color="auto" w:sz="4" w:space="0"/>
              <w:bottom w:val="single" w:color="auto" w:sz="4" w:space="0"/>
              <w:right w:val="single" w:color="auto" w:sz="4" w:space="0"/>
            </w:tcBorders>
            <w:vAlign w:val="center"/>
          </w:tcPr>
          <w:p w14:paraId="31DFF3E3">
            <w:pPr>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B1B6A27">
            <w:pPr>
              <w:widowControl/>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3FD8B528">
            <w:pPr>
              <w:widowControl/>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颁发时间</w:t>
            </w:r>
          </w:p>
        </w:tc>
        <w:tc>
          <w:tcPr>
            <w:tcW w:w="1571" w:type="dxa"/>
            <w:tcBorders>
              <w:top w:val="single" w:color="auto" w:sz="4" w:space="0"/>
              <w:left w:val="single" w:color="auto" w:sz="4" w:space="0"/>
              <w:bottom w:val="single" w:color="auto" w:sz="4" w:space="0"/>
            </w:tcBorders>
            <w:vAlign w:val="center"/>
          </w:tcPr>
          <w:p w14:paraId="46A182C1">
            <w:pPr>
              <w:widowControl/>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有效期</w:t>
            </w:r>
          </w:p>
        </w:tc>
      </w:tr>
      <w:tr w14:paraId="0B693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14:paraId="6A39F77A">
            <w:pPr>
              <w:spacing w:line="360" w:lineRule="auto"/>
              <w:jc w:val="center"/>
              <w:textAlignment w:val="baseline"/>
              <w:rPr>
                <w:rFonts w:ascii="宋体" w:hAnsi="宋体" w:cs="宋体"/>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0F51BB7E">
            <w:pPr>
              <w:spacing w:line="360" w:lineRule="auto"/>
              <w:textAlignment w:val="baseline"/>
              <w:rPr>
                <w:rFonts w:ascii="宋体" w:hAnsi="宋体" w:cs="宋体"/>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22577CB">
            <w:pPr>
              <w:spacing w:line="360" w:lineRule="auto"/>
              <w:textAlignment w:val="baseline"/>
              <w:rPr>
                <w:rFonts w:ascii="宋体" w:hAnsi="宋体" w:cs="宋体"/>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0504B6EB">
            <w:pPr>
              <w:spacing w:line="360" w:lineRule="auto"/>
              <w:textAlignment w:val="baseline"/>
              <w:rPr>
                <w:rFonts w:ascii="宋体" w:hAnsi="宋体" w:cs="宋体"/>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14:paraId="01100F67">
            <w:pPr>
              <w:spacing w:line="360" w:lineRule="auto"/>
              <w:textAlignment w:val="baseline"/>
              <w:rPr>
                <w:rFonts w:ascii="宋体" w:hAnsi="宋体" w:cs="宋体"/>
                <w:color w:val="auto"/>
                <w:sz w:val="20"/>
                <w:szCs w:val="21"/>
                <w:highlight w:val="none"/>
                <w:u w:val="single"/>
              </w:rPr>
            </w:pPr>
          </w:p>
        </w:tc>
      </w:tr>
      <w:tr w14:paraId="78646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14:paraId="4BF8669A">
            <w:pPr>
              <w:spacing w:line="360" w:lineRule="auto"/>
              <w:jc w:val="center"/>
              <w:textAlignment w:val="baseline"/>
              <w:rPr>
                <w:rFonts w:ascii="宋体" w:hAnsi="宋体" w:cs="宋体"/>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2D12725C">
            <w:pPr>
              <w:spacing w:line="360" w:lineRule="auto"/>
              <w:textAlignment w:val="baseline"/>
              <w:rPr>
                <w:rFonts w:ascii="宋体" w:hAnsi="宋体" w:cs="宋体"/>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653B0C84">
            <w:pPr>
              <w:spacing w:line="360" w:lineRule="auto"/>
              <w:textAlignment w:val="baseline"/>
              <w:rPr>
                <w:rFonts w:ascii="宋体" w:hAnsi="宋体" w:cs="宋体"/>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79669984">
            <w:pPr>
              <w:spacing w:line="360" w:lineRule="auto"/>
              <w:textAlignment w:val="baseline"/>
              <w:rPr>
                <w:rFonts w:ascii="宋体" w:hAnsi="宋体" w:cs="宋体"/>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14:paraId="6937D7D7">
            <w:pPr>
              <w:spacing w:line="360" w:lineRule="auto"/>
              <w:textAlignment w:val="baseline"/>
              <w:rPr>
                <w:rFonts w:ascii="宋体" w:hAnsi="宋体" w:cs="宋体"/>
                <w:color w:val="auto"/>
                <w:sz w:val="20"/>
                <w:szCs w:val="21"/>
                <w:highlight w:val="none"/>
                <w:u w:val="single"/>
              </w:rPr>
            </w:pPr>
          </w:p>
        </w:tc>
      </w:tr>
      <w:tr w14:paraId="5E130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bottom w:val="single" w:color="auto" w:sz="4" w:space="0"/>
              <w:right w:val="single" w:color="auto" w:sz="4" w:space="0"/>
            </w:tcBorders>
            <w:vAlign w:val="center"/>
          </w:tcPr>
          <w:p w14:paraId="2CC2454A">
            <w:pPr>
              <w:spacing w:line="360" w:lineRule="auto"/>
              <w:jc w:val="center"/>
              <w:textAlignment w:val="baseline"/>
              <w:rPr>
                <w:rFonts w:ascii="宋体" w:hAnsi="宋体" w:cs="宋体"/>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57F091E8">
            <w:pPr>
              <w:spacing w:line="360" w:lineRule="auto"/>
              <w:textAlignment w:val="baseline"/>
              <w:rPr>
                <w:rFonts w:ascii="宋体" w:hAnsi="宋体" w:cs="宋体"/>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F84CB23">
            <w:pPr>
              <w:spacing w:line="360" w:lineRule="auto"/>
              <w:textAlignment w:val="baseline"/>
              <w:rPr>
                <w:rFonts w:ascii="宋体" w:hAnsi="宋体" w:cs="宋体"/>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2E124729">
            <w:pPr>
              <w:spacing w:line="360" w:lineRule="auto"/>
              <w:textAlignment w:val="baseline"/>
              <w:rPr>
                <w:rFonts w:ascii="宋体" w:hAnsi="宋体" w:cs="宋体"/>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14:paraId="7141E49B">
            <w:pPr>
              <w:spacing w:line="360" w:lineRule="auto"/>
              <w:textAlignment w:val="baseline"/>
              <w:rPr>
                <w:rFonts w:ascii="宋体" w:hAnsi="宋体" w:cs="宋体"/>
                <w:color w:val="auto"/>
                <w:sz w:val="20"/>
                <w:szCs w:val="21"/>
                <w:highlight w:val="none"/>
                <w:u w:val="single"/>
              </w:rPr>
            </w:pPr>
          </w:p>
        </w:tc>
      </w:tr>
      <w:tr w14:paraId="4F192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768" w:type="dxa"/>
            <w:tcBorders>
              <w:top w:val="single" w:color="auto" w:sz="4" w:space="0"/>
              <w:bottom w:val="single" w:color="auto" w:sz="4" w:space="0"/>
              <w:right w:val="single" w:color="auto" w:sz="4" w:space="0"/>
            </w:tcBorders>
            <w:vAlign w:val="center"/>
          </w:tcPr>
          <w:p w14:paraId="718B09C7">
            <w:pPr>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经营范围</w:t>
            </w:r>
          </w:p>
        </w:tc>
        <w:tc>
          <w:tcPr>
            <w:tcW w:w="7475" w:type="dxa"/>
            <w:gridSpan w:val="6"/>
            <w:tcBorders>
              <w:top w:val="single" w:color="auto" w:sz="4" w:space="0"/>
              <w:left w:val="single" w:color="auto" w:sz="4" w:space="0"/>
              <w:bottom w:val="single" w:color="auto" w:sz="4" w:space="0"/>
            </w:tcBorders>
            <w:vAlign w:val="center"/>
          </w:tcPr>
          <w:p w14:paraId="6B1CEE15">
            <w:pPr>
              <w:pStyle w:val="13"/>
              <w:tabs>
                <w:tab w:val="left" w:pos="1800"/>
                <w:tab w:val="left" w:pos="1980"/>
              </w:tabs>
              <w:spacing w:line="360" w:lineRule="auto"/>
              <w:ind w:left="420" w:firstLine="42"/>
              <w:textAlignment w:val="baseline"/>
              <w:rPr>
                <w:rFonts w:ascii="宋体" w:hAnsi="宋体" w:eastAsia="宋体" w:cs="宋体"/>
                <w:color w:val="auto"/>
                <w:sz w:val="21"/>
                <w:szCs w:val="21"/>
                <w:highlight w:val="none"/>
              </w:rPr>
            </w:pPr>
          </w:p>
        </w:tc>
      </w:tr>
      <w:tr w14:paraId="6EBB3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768" w:type="dxa"/>
            <w:tcBorders>
              <w:top w:val="single" w:color="auto" w:sz="4" w:space="0"/>
              <w:bottom w:val="single" w:color="auto" w:sz="4" w:space="0"/>
              <w:right w:val="single" w:color="auto" w:sz="4" w:space="0"/>
            </w:tcBorders>
            <w:vAlign w:val="center"/>
          </w:tcPr>
          <w:p w14:paraId="3D114A30">
            <w:pPr>
              <w:spacing w:line="36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其他</w:t>
            </w:r>
          </w:p>
        </w:tc>
        <w:tc>
          <w:tcPr>
            <w:tcW w:w="7475" w:type="dxa"/>
            <w:gridSpan w:val="6"/>
            <w:tcBorders>
              <w:top w:val="single" w:color="auto" w:sz="4" w:space="0"/>
              <w:left w:val="single" w:color="auto" w:sz="4" w:space="0"/>
              <w:bottom w:val="single" w:color="auto" w:sz="4" w:space="0"/>
            </w:tcBorders>
            <w:vAlign w:val="center"/>
          </w:tcPr>
          <w:p w14:paraId="01B21D5C">
            <w:pPr>
              <w:spacing w:line="360" w:lineRule="auto"/>
              <w:textAlignment w:val="baseline"/>
              <w:rPr>
                <w:rFonts w:ascii="宋体" w:hAnsi="宋体" w:cs="宋体"/>
                <w:bCs/>
                <w:color w:val="auto"/>
                <w:sz w:val="20"/>
                <w:szCs w:val="21"/>
                <w:highlight w:val="none"/>
              </w:rPr>
            </w:pPr>
          </w:p>
        </w:tc>
      </w:tr>
    </w:tbl>
    <w:p w14:paraId="69CB9FA9">
      <w:pPr>
        <w:spacing w:line="360" w:lineRule="auto"/>
        <w:ind w:firstLine="90"/>
        <w:textAlignment w:val="baseline"/>
        <w:rPr>
          <w:rFonts w:ascii="宋体" w:hAnsi="宋体" w:cs="宋体"/>
          <w:color w:val="auto"/>
          <w:sz w:val="18"/>
          <w:szCs w:val="18"/>
          <w:highlight w:val="none"/>
        </w:rPr>
      </w:pPr>
      <w:r>
        <w:rPr>
          <w:rFonts w:hint="eastAsia" w:ascii="宋体" w:hAnsi="宋体" w:cs="宋体"/>
          <w:color w:val="auto"/>
          <w:sz w:val="18"/>
          <w:szCs w:val="18"/>
          <w:highlight w:val="none"/>
        </w:rPr>
        <w:t>注：1、表格内容不够,可另附页。</w:t>
      </w:r>
    </w:p>
    <w:p w14:paraId="005AE7F2">
      <w:pPr>
        <w:spacing w:line="360" w:lineRule="auto"/>
        <w:ind w:firstLine="435"/>
        <w:textAlignment w:val="baseline"/>
        <w:rPr>
          <w:rFonts w:ascii="宋体" w:hAnsi="宋体" w:cs="宋体"/>
          <w:b/>
          <w:color w:val="auto"/>
          <w:sz w:val="24"/>
          <w:highlight w:val="none"/>
        </w:rPr>
      </w:pPr>
      <w:r>
        <w:rPr>
          <w:rFonts w:hint="eastAsia" w:ascii="宋体" w:hAnsi="宋体" w:cs="宋体"/>
          <w:color w:val="auto"/>
          <w:sz w:val="18"/>
          <w:szCs w:val="18"/>
          <w:highlight w:val="none"/>
        </w:rPr>
        <w:t>2、企业营业执照、所获认证证书、荣誉资料的复印件附后。</w:t>
      </w:r>
    </w:p>
    <w:p w14:paraId="597A668A">
      <w:pPr>
        <w:spacing w:line="440" w:lineRule="exact"/>
        <w:ind w:firstLine="4860"/>
        <w:jc w:val="left"/>
        <w:textAlignment w:val="baseline"/>
        <w:rPr>
          <w:rFonts w:ascii="宋体" w:hAnsi="宋体" w:cs="宋体"/>
          <w:b/>
          <w:bCs/>
          <w:color w:val="auto"/>
          <w:sz w:val="20"/>
          <w:szCs w:val="21"/>
          <w:highlight w:val="none"/>
          <w:u w:val="single" w:color="000000"/>
        </w:rPr>
      </w:pPr>
      <w:r>
        <w:rPr>
          <w:rFonts w:hint="eastAsia" w:ascii="宋体" w:hAnsi="宋体" w:cs="宋体"/>
          <w:b/>
          <w:bCs/>
          <w:color w:val="auto"/>
          <w:sz w:val="24"/>
          <w:highlight w:val="none"/>
        </w:rPr>
        <w:t>供应商名称（盖章）：</w:t>
      </w:r>
    </w:p>
    <w:p w14:paraId="0FDD894B">
      <w:pPr>
        <w:spacing w:line="440" w:lineRule="exact"/>
        <w:ind w:firstLine="4860"/>
        <w:jc w:val="left"/>
        <w:textAlignment w:val="baseline"/>
        <w:rPr>
          <w:rFonts w:ascii="宋体" w:hAnsi="宋体" w:cs="宋体"/>
          <w:color w:val="auto"/>
          <w:sz w:val="20"/>
          <w:szCs w:val="21"/>
          <w:highlight w:val="none"/>
          <w:u w:val="single" w:color="000000"/>
        </w:rPr>
      </w:pPr>
      <w:r>
        <w:rPr>
          <w:rFonts w:hint="eastAsia" w:ascii="宋体" w:hAnsi="宋体" w:cs="宋体"/>
          <w:b/>
          <w:bCs/>
          <w:color w:val="auto"/>
          <w:szCs w:val="21"/>
          <w:highlight w:val="none"/>
        </w:rPr>
        <w:t>日期：年月日</w:t>
      </w:r>
    </w:p>
    <w:p w14:paraId="60A6919B">
      <w:pPr>
        <w:spacing w:line="460" w:lineRule="exact"/>
        <w:textAlignment w:val="baseline"/>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00B2C9FE">
      <w:pPr>
        <w:spacing w:line="460" w:lineRule="exact"/>
        <w:textAlignment w:val="baseline"/>
        <w:outlineLvl w:val="0"/>
        <w:rPr>
          <w:rFonts w:hint="default" w:ascii="宋体" w:hAnsi="宋体" w:eastAsia="宋体" w:cs="宋体"/>
          <w:b/>
          <w:color w:val="auto"/>
          <w:sz w:val="30"/>
          <w:highlight w:val="none"/>
          <w:lang w:val="en-US" w:eastAsia="zh-CN"/>
        </w:rPr>
      </w:pPr>
      <w:bookmarkStart w:id="94" w:name="_Toc3763"/>
      <w:r>
        <w:rPr>
          <w:rFonts w:hint="eastAsia" w:ascii="宋体" w:hAnsi="宋体" w:cs="宋体"/>
          <w:b/>
          <w:bCs/>
          <w:color w:val="auto"/>
          <w:sz w:val="22"/>
          <w:highlight w:val="none"/>
        </w:rPr>
        <w:t>附件</w:t>
      </w:r>
      <w:bookmarkEnd w:id="94"/>
      <w:r>
        <w:rPr>
          <w:rFonts w:hint="eastAsia" w:ascii="宋体" w:hAnsi="宋体" w:cs="宋体"/>
          <w:b/>
          <w:bCs/>
          <w:color w:val="auto"/>
          <w:sz w:val="22"/>
          <w:highlight w:val="none"/>
          <w:lang w:val="en-US" w:eastAsia="zh-CN"/>
        </w:rPr>
        <w:t>8</w:t>
      </w:r>
    </w:p>
    <w:p w14:paraId="16E14772">
      <w:pPr>
        <w:widowControl/>
        <w:spacing w:line="420" w:lineRule="atLeast"/>
        <w:jc w:val="center"/>
        <w:textAlignment w:val="baseline"/>
        <w:rPr>
          <w:rFonts w:ascii="宋体" w:hAnsi="宋体" w:cs="宋体"/>
          <w:color w:val="auto"/>
          <w:highlight w:val="none"/>
        </w:rPr>
      </w:pPr>
      <w:r>
        <w:rPr>
          <w:rFonts w:hint="eastAsia" w:ascii="宋体" w:hAnsi="宋体" w:cs="宋体"/>
          <w:b/>
          <w:bCs/>
          <w:color w:val="auto"/>
          <w:kern w:val="0"/>
          <w:sz w:val="30"/>
          <w:szCs w:val="30"/>
          <w:highlight w:val="none"/>
        </w:rPr>
        <w:t>偏离表</w:t>
      </w:r>
    </w:p>
    <w:p w14:paraId="10844F91">
      <w:pPr>
        <w:pStyle w:val="52"/>
        <w:rPr>
          <w:rFonts w:ascii="宋体" w:hAnsi="宋体" w:cs="宋体"/>
          <w:color w:val="auto"/>
          <w:highlight w:val="none"/>
        </w:rPr>
      </w:pPr>
    </w:p>
    <w:p w14:paraId="745B3626">
      <w:pPr>
        <w:pStyle w:val="30"/>
        <w:ind w:firstLine="42"/>
        <w:rPr>
          <w:rFonts w:hint="eastAsia" w:ascii="宋体" w:hAnsi="宋体" w:eastAsia="宋体"/>
          <w:color w:val="auto"/>
          <w:highlight w:val="none"/>
          <w:lang w:eastAsia="zh-CN"/>
        </w:rPr>
      </w:pPr>
      <w:r>
        <w:rPr>
          <w:rFonts w:hint="eastAsia" w:ascii="宋体" w:hAnsi="宋体" w:eastAsia="宋体"/>
          <w:color w:val="auto"/>
          <w:highlight w:val="none"/>
        </w:rPr>
        <w:t xml:space="preserve">项目名称： </w:t>
      </w:r>
      <w:r>
        <w:rPr>
          <w:rFonts w:hint="eastAsia" w:ascii="宋体" w:hAnsi="宋体" w:eastAsia="宋体"/>
          <w:color w:val="auto"/>
          <w:highlight w:val="none"/>
          <w:lang w:eastAsia="zh-CN"/>
        </w:rPr>
        <w:t>常山县招贤镇2024-2025年松材线虫病枯死松树第二轮清理</w:t>
      </w:r>
    </w:p>
    <w:p w14:paraId="0AC6935D">
      <w:pPr>
        <w:pStyle w:val="30"/>
        <w:ind w:firstLine="42"/>
        <w:rPr>
          <w:rFonts w:hint="eastAsia" w:ascii="宋体" w:hAnsi="宋体" w:eastAsia="宋体"/>
          <w:color w:val="auto"/>
          <w:highlight w:val="none"/>
          <w:lang w:eastAsia="zh-CN"/>
        </w:rPr>
      </w:pPr>
      <w:r>
        <w:rPr>
          <w:rFonts w:hint="eastAsia" w:ascii="宋体" w:hAnsi="宋体" w:eastAsia="宋体"/>
          <w:color w:val="auto"/>
          <w:highlight w:val="none"/>
        </w:rPr>
        <w:t>项目编号：</w:t>
      </w:r>
      <w:r>
        <w:rPr>
          <w:rFonts w:hint="eastAsia" w:ascii="宋体" w:hAnsi="宋体" w:eastAsia="宋体"/>
          <w:color w:val="auto"/>
          <w:highlight w:val="none"/>
          <w:lang w:eastAsia="zh-CN"/>
        </w:rPr>
        <w:t>CSKC-CS202506</w:t>
      </w:r>
    </w:p>
    <w:tbl>
      <w:tblPr>
        <w:tblStyle w:val="31"/>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2148"/>
        <w:gridCol w:w="2040"/>
        <w:gridCol w:w="1942"/>
        <w:gridCol w:w="2543"/>
      </w:tblGrid>
      <w:tr w14:paraId="7B5C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915" w:type="dxa"/>
            <w:vAlign w:val="center"/>
          </w:tcPr>
          <w:p w14:paraId="38F1C6F5">
            <w:pPr>
              <w:spacing w:before="156" w:line="360" w:lineRule="auto"/>
              <w:jc w:val="center"/>
              <w:textAlignment w:val="baseline"/>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2148" w:type="dxa"/>
            <w:vAlign w:val="center"/>
          </w:tcPr>
          <w:p w14:paraId="688568B3">
            <w:pPr>
              <w:spacing w:before="156" w:line="360" w:lineRule="auto"/>
              <w:jc w:val="center"/>
              <w:textAlignment w:val="baseline"/>
              <w:rPr>
                <w:rFonts w:ascii="宋体" w:hAnsi="宋体" w:cs="宋体"/>
                <w:b/>
                <w:color w:val="auto"/>
                <w:sz w:val="24"/>
                <w:szCs w:val="24"/>
                <w:highlight w:val="none"/>
              </w:rPr>
            </w:pPr>
            <w:r>
              <w:rPr>
                <w:rFonts w:hint="eastAsia" w:ascii="宋体" w:hAnsi="宋体" w:cs="宋体"/>
                <w:b/>
                <w:color w:val="auto"/>
                <w:sz w:val="24"/>
                <w:szCs w:val="24"/>
                <w:highlight w:val="none"/>
              </w:rPr>
              <w:t>内容</w:t>
            </w:r>
          </w:p>
        </w:tc>
        <w:tc>
          <w:tcPr>
            <w:tcW w:w="2040" w:type="dxa"/>
            <w:vAlign w:val="center"/>
          </w:tcPr>
          <w:p w14:paraId="7776FFA9">
            <w:pPr>
              <w:spacing w:before="156" w:line="360" w:lineRule="auto"/>
              <w:jc w:val="center"/>
              <w:textAlignment w:val="baseline"/>
              <w:rPr>
                <w:rFonts w:ascii="宋体" w:hAnsi="宋体" w:cs="宋体"/>
                <w:b/>
                <w:color w:val="auto"/>
                <w:sz w:val="24"/>
                <w:szCs w:val="24"/>
                <w:highlight w:val="none"/>
              </w:rPr>
            </w:pPr>
            <w:r>
              <w:rPr>
                <w:rFonts w:hint="eastAsia" w:ascii="宋体" w:hAnsi="宋体" w:cs="宋体"/>
                <w:b/>
                <w:color w:val="auto"/>
                <w:sz w:val="24"/>
                <w:szCs w:val="24"/>
                <w:highlight w:val="none"/>
              </w:rPr>
              <w:t>招标文件规范要求</w:t>
            </w:r>
          </w:p>
        </w:tc>
        <w:tc>
          <w:tcPr>
            <w:tcW w:w="1942" w:type="dxa"/>
            <w:vAlign w:val="center"/>
          </w:tcPr>
          <w:p w14:paraId="198F668B">
            <w:pPr>
              <w:spacing w:before="156" w:line="360" w:lineRule="auto"/>
              <w:jc w:val="center"/>
              <w:textAlignment w:val="baseline"/>
              <w:rPr>
                <w:rFonts w:ascii="宋体" w:hAnsi="宋体" w:cs="宋体"/>
                <w:b/>
                <w:color w:val="auto"/>
                <w:sz w:val="24"/>
                <w:szCs w:val="24"/>
                <w:highlight w:val="none"/>
              </w:rPr>
            </w:pPr>
            <w:r>
              <w:rPr>
                <w:rFonts w:hint="eastAsia" w:ascii="宋体" w:hAnsi="宋体" w:cs="宋体"/>
                <w:b/>
                <w:color w:val="auto"/>
                <w:sz w:val="24"/>
                <w:szCs w:val="24"/>
                <w:highlight w:val="none"/>
              </w:rPr>
              <w:t>投标文件对应规范</w:t>
            </w:r>
          </w:p>
        </w:tc>
        <w:tc>
          <w:tcPr>
            <w:tcW w:w="2543" w:type="dxa"/>
            <w:vAlign w:val="center"/>
          </w:tcPr>
          <w:p w14:paraId="7680E6D4">
            <w:pPr>
              <w:spacing w:before="156" w:line="360" w:lineRule="auto"/>
              <w:jc w:val="center"/>
              <w:textAlignment w:val="baseline"/>
              <w:rPr>
                <w:rFonts w:ascii="宋体" w:hAnsi="宋体" w:cs="宋体"/>
                <w:b/>
                <w:color w:val="auto"/>
                <w:sz w:val="24"/>
                <w:szCs w:val="24"/>
                <w:highlight w:val="none"/>
              </w:rPr>
            </w:pPr>
            <w:r>
              <w:rPr>
                <w:rFonts w:hint="eastAsia" w:ascii="宋体" w:hAnsi="宋体" w:cs="宋体"/>
                <w:b/>
                <w:color w:val="auto"/>
                <w:sz w:val="24"/>
                <w:szCs w:val="24"/>
                <w:highlight w:val="none"/>
              </w:rPr>
              <w:t>偏离情况</w:t>
            </w:r>
          </w:p>
        </w:tc>
      </w:tr>
      <w:tr w14:paraId="53A2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vAlign w:val="center"/>
          </w:tcPr>
          <w:p w14:paraId="7FA6C680">
            <w:pPr>
              <w:numPr>
                <w:ilvl w:val="0"/>
                <w:numId w:val="9"/>
              </w:numPr>
              <w:spacing w:before="156" w:line="360" w:lineRule="auto"/>
              <w:jc w:val="center"/>
              <w:textAlignment w:val="baseline"/>
              <w:rPr>
                <w:rFonts w:ascii="宋体" w:hAnsi="宋体" w:cs="宋体"/>
                <w:color w:val="auto"/>
                <w:sz w:val="24"/>
                <w:szCs w:val="24"/>
                <w:highlight w:val="none"/>
              </w:rPr>
            </w:pPr>
          </w:p>
        </w:tc>
        <w:tc>
          <w:tcPr>
            <w:tcW w:w="2148" w:type="dxa"/>
          </w:tcPr>
          <w:p w14:paraId="1FDA7E85">
            <w:pPr>
              <w:spacing w:before="156" w:line="360" w:lineRule="auto"/>
              <w:ind w:firstLine="480" w:firstLineChars="200"/>
              <w:textAlignment w:val="baseline"/>
              <w:rPr>
                <w:rFonts w:ascii="宋体" w:hAnsi="宋体" w:cs="宋体"/>
                <w:color w:val="auto"/>
                <w:sz w:val="24"/>
                <w:szCs w:val="24"/>
                <w:highlight w:val="none"/>
              </w:rPr>
            </w:pPr>
          </w:p>
        </w:tc>
        <w:tc>
          <w:tcPr>
            <w:tcW w:w="2040" w:type="dxa"/>
          </w:tcPr>
          <w:p w14:paraId="1E1584AE">
            <w:pPr>
              <w:spacing w:before="156" w:line="360" w:lineRule="auto"/>
              <w:ind w:firstLine="480" w:firstLineChars="200"/>
              <w:textAlignment w:val="baseline"/>
              <w:rPr>
                <w:rFonts w:ascii="宋体" w:hAnsi="宋体" w:cs="宋体"/>
                <w:color w:val="auto"/>
                <w:sz w:val="24"/>
                <w:szCs w:val="24"/>
                <w:highlight w:val="none"/>
              </w:rPr>
            </w:pPr>
          </w:p>
        </w:tc>
        <w:tc>
          <w:tcPr>
            <w:tcW w:w="1942" w:type="dxa"/>
          </w:tcPr>
          <w:p w14:paraId="2F48D405">
            <w:pPr>
              <w:spacing w:before="156" w:line="360" w:lineRule="auto"/>
              <w:ind w:firstLine="480" w:firstLineChars="200"/>
              <w:textAlignment w:val="baseline"/>
              <w:rPr>
                <w:rFonts w:ascii="宋体" w:hAnsi="宋体" w:cs="宋体"/>
                <w:color w:val="auto"/>
                <w:sz w:val="24"/>
                <w:szCs w:val="24"/>
                <w:highlight w:val="none"/>
              </w:rPr>
            </w:pPr>
          </w:p>
        </w:tc>
        <w:tc>
          <w:tcPr>
            <w:tcW w:w="2543" w:type="dxa"/>
          </w:tcPr>
          <w:p w14:paraId="4A026937">
            <w:pPr>
              <w:spacing w:before="156" w:line="360" w:lineRule="auto"/>
              <w:ind w:firstLine="480" w:firstLineChars="200"/>
              <w:textAlignment w:val="baseline"/>
              <w:rPr>
                <w:rFonts w:ascii="宋体" w:hAnsi="宋体" w:cs="宋体"/>
                <w:color w:val="auto"/>
                <w:sz w:val="24"/>
                <w:szCs w:val="24"/>
                <w:highlight w:val="none"/>
              </w:rPr>
            </w:pPr>
          </w:p>
        </w:tc>
      </w:tr>
      <w:tr w14:paraId="69539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vAlign w:val="center"/>
          </w:tcPr>
          <w:p w14:paraId="1F9F9EE0">
            <w:pPr>
              <w:numPr>
                <w:ilvl w:val="0"/>
                <w:numId w:val="9"/>
              </w:numPr>
              <w:spacing w:before="156" w:line="360" w:lineRule="auto"/>
              <w:jc w:val="center"/>
              <w:textAlignment w:val="baseline"/>
              <w:rPr>
                <w:rFonts w:ascii="宋体" w:hAnsi="宋体" w:cs="宋体"/>
                <w:color w:val="auto"/>
                <w:sz w:val="24"/>
                <w:szCs w:val="24"/>
                <w:highlight w:val="none"/>
              </w:rPr>
            </w:pPr>
          </w:p>
        </w:tc>
        <w:tc>
          <w:tcPr>
            <w:tcW w:w="2148" w:type="dxa"/>
          </w:tcPr>
          <w:p w14:paraId="4A7A7F57">
            <w:pPr>
              <w:spacing w:before="156" w:line="360" w:lineRule="auto"/>
              <w:ind w:firstLine="480" w:firstLineChars="200"/>
              <w:textAlignment w:val="baseline"/>
              <w:rPr>
                <w:rFonts w:ascii="宋体" w:hAnsi="宋体" w:cs="宋体"/>
                <w:color w:val="auto"/>
                <w:sz w:val="24"/>
                <w:szCs w:val="24"/>
                <w:highlight w:val="none"/>
              </w:rPr>
            </w:pPr>
          </w:p>
        </w:tc>
        <w:tc>
          <w:tcPr>
            <w:tcW w:w="2040" w:type="dxa"/>
          </w:tcPr>
          <w:p w14:paraId="6B961664">
            <w:pPr>
              <w:spacing w:before="156" w:line="360" w:lineRule="auto"/>
              <w:ind w:firstLine="480" w:firstLineChars="200"/>
              <w:textAlignment w:val="baseline"/>
              <w:rPr>
                <w:rFonts w:ascii="宋体" w:hAnsi="宋体" w:cs="宋体"/>
                <w:color w:val="auto"/>
                <w:sz w:val="24"/>
                <w:szCs w:val="24"/>
                <w:highlight w:val="none"/>
              </w:rPr>
            </w:pPr>
          </w:p>
        </w:tc>
        <w:tc>
          <w:tcPr>
            <w:tcW w:w="1942" w:type="dxa"/>
          </w:tcPr>
          <w:p w14:paraId="2BA07CF1">
            <w:pPr>
              <w:spacing w:before="156" w:line="360" w:lineRule="auto"/>
              <w:ind w:firstLine="480" w:firstLineChars="200"/>
              <w:textAlignment w:val="baseline"/>
              <w:rPr>
                <w:rFonts w:ascii="宋体" w:hAnsi="宋体" w:cs="宋体"/>
                <w:color w:val="auto"/>
                <w:sz w:val="24"/>
                <w:szCs w:val="24"/>
                <w:highlight w:val="none"/>
              </w:rPr>
            </w:pPr>
          </w:p>
        </w:tc>
        <w:tc>
          <w:tcPr>
            <w:tcW w:w="2543" w:type="dxa"/>
          </w:tcPr>
          <w:p w14:paraId="3C405239">
            <w:pPr>
              <w:spacing w:before="156" w:line="360" w:lineRule="auto"/>
              <w:ind w:firstLine="480" w:firstLineChars="200"/>
              <w:textAlignment w:val="baseline"/>
              <w:rPr>
                <w:rFonts w:ascii="宋体" w:hAnsi="宋体" w:cs="宋体"/>
                <w:color w:val="auto"/>
                <w:sz w:val="24"/>
                <w:szCs w:val="24"/>
                <w:highlight w:val="none"/>
              </w:rPr>
            </w:pPr>
          </w:p>
        </w:tc>
      </w:tr>
      <w:tr w14:paraId="3228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vAlign w:val="center"/>
          </w:tcPr>
          <w:p w14:paraId="155C36C6">
            <w:pPr>
              <w:numPr>
                <w:ilvl w:val="0"/>
                <w:numId w:val="9"/>
              </w:numPr>
              <w:spacing w:before="156" w:line="360" w:lineRule="auto"/>
              <w:jc w:val="center"/>
              <w:textAlignment w:val="baseline"/>
              <w:rPr>
                <w:rFonts w:ascii="宋体" w:hAnsi="宋体" w:cs="宋体"/>
                <w:color w:val="auto"/>
                <w:sz w:val="24"/>
                <w:szCs w:val="24"/>
                <w:highlight w:val="none"/>
              </w:rPr>
            </w:pPr>
          </w:p>
        </w:tc>
        <w:tc>
          <w:tcPr>
            <w:tcW w:w="2148" w:type="dxa"/>
          </w:tcPr>
          <w:p w14:paraId="26AA5D8D">
            <w:pPr>
              <w:spacing w:before="156" w:line="360" w:lineRule="auto"/>
              <w:ind w:firstLine="480" w:firstLineChars="200"/>
              <w:textAlignment w:val="baseline"/>
              <w:rPr>
                <w:rFonts w:ascii="宋体" w:hAnsi="宋体" w:cs="宋体"/>
                <w:color w:val="auto"/>
                <w:sz w:val="24"/>
                <w:szCs w:val="24"/>
                <w:highlight w:val="none"/>
              </w:rPr>
            </w:pPr>
          </w:p>
        </w:tc>
        <w:tc>
          <w:tcPr>
            <w:tcW w:w="2040" w:type="dxa"/>
          </w:tcPr>
          <w:p w14:paraId="4490D7A1">
            <w:pPr>
              <w:spacing w:before="156" w:line="360" w:lineRule="auto"/>
              <w:ind w:firstLine="480" w:firstLineChars="200"/>
              <w:textAlignment w:val="baseline"/>
              <w:rPr>
                <w:rFonts w:ascii="宋体" w:hAnsi="宋体" w:cs="宋体"/>
                <w:color w:val="auto"/>
                <w:sz w:val="24"/>
                <w:szCs w:val="24"/>
                <w:highlight w:val="none"/>
              </w:rPr>
            </w:pPr>
          </w:p>
        </w:tc>
        <w:tc>
          <w:tcPr>
            <w:tcW w:w="1942" w:type="dxa"/>
          </w:tcPr>
          <w:p w14:paraId="7793AF5E">
            <w:pPr>
              <w:spacing w:before="156" w:line="360" w:lineRule="auto"/>
              <w:ind w:firstLine="480" w:firstLineChars="200"/>
              <w:textAlignment w:val="baseline"/>
              <w:rPr>
                <w:rFonts w:ascii="宋体" w:hAnsi="宋体" w:cs="宋体"/>
                <w:color w:val="auto"/>
                <w:sz w:val="24"/>
                <w:szCs w:val="24"/>
                <w:highlight w:val="none"/>
              </w:rPr>
            </w:pPr>
          </w:p>
        </w:tc>
        <w:tc>
          <w:tcPr>
            <w:tcW w:w="2543" w:type="dxa"/>
          </w:tcPr>
          <w:p w14:paraId="1D6AE442">
            <w:pPr>
              <w:spacing w:before="156" w:line="360" w:lineRule="auto"/>
              <w:ind w:firstLine="480" w:firstLineChars="200"/>
              <w:textAlignment w:val="baseline"/>
              <w:rPr>
                <w:rFonts w:ascii="宋体" w:hAnsi="宋体" w:cs="宋体"/>
                <w:color w:val="auto"/>
                <w:sz w:val="24"/>
                <w:szCs w:val="24"/>
                <w:highlight w:val="none"/>
              </w:rPr>
            </w:pPr>
          </w:p>
        </w:tc>
      </w:tr>
      <w:tr w14:paraId="7FEF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vAlign w:val="top"/>
          </w:tcPr>
          <w:p w14:paraId="335EAD95">
            <w:pPr>
              <w:spacing w:line="400" w:lineRule="exact"/>
              <w:jc w:val="center"/>
              <w:textAlignment w:val="baseline"/>
              <w:rPr>
                <w:rFonts w:ascii="宋体" w:hAnsi="宋体" w:eastAsia="宋体" w:cs="宋体"/>
                <w:bCs/>
                <w:color w:val="auto"/>
                <w:kern w:val="2"/>
                <w:sz w:val="24"/>
                <w:szCs w:val="22"/>
                <w:highlight w:val="none"/>
                <w:lang w:val="en-US" w:eastAsia="zh-CN" w:bidi="ar-SA"/>
              </w:rPr>
            </w:pPr>
            <w:r>
              <w:rPr>
                <w:rFonts w:hint="eastAsia" w:ascii="宋体" w:hAnsi="宋体" w:cs="宋体"/>
                <w:bCs/>
                <w:color w:val="auto"/>
                <w:sz w:val="24"/>
                <w:highlight w:val="none"/>
              </w:rPr>
              <w:t>…</w:t>
            </w:r>
          </w:p>
        </w:tc>
        <w:tc>
          <w:tcPr>
            <w:tcW w:w="2148" w:type="dxa"/>
          </w:tcPr>
          <w:p w14:paraId="234C075D">
            <w:pPr>
              <w:spacing w:before="156" w:line="360" w:lineRule="auto"/>
              <w:ind w:firstLine="480" w:firstLineChars="200"/>
              <w:textAlignment w:val="baseline"/>
              <w:rPr>
                <w:rFonts w:ascii="宋体" w:hAnsi="宋体" w:cs="宋体"/>
                <w:color w:val="auto"/>
                <w:sz w:val="24"/>
                <w:szCs w:val="24"/>
                <w:highlight w:val="none"/>
              </w:rPr>
            </w:pPr>
          </w:p>
        </w:tc>
        <w:tc>
          <w:tcPr>
            <w:tcW w:w="2040" w:type="dxa"/>
          </w:tcPr>
          <w:p w14:paraId="3F8CA573">
            <w:pPr>
              <w:spacing w:before="156" w:line="360" w:lineRule="auto"/>
              <w:ind w:firstLine="480" w:firstLineChars="200"/>
              <w:textAlignment w:val="baseline"/>
              <w:rPr>
                <w:rFonts w:ascii="宋体" w:hAnsi="宋体" w:cs="宋体"/>
                <w:color w:val="auto"/>
                <w:sz w:val="24"/>
                <w:szCs w:val="24"/>
                <w:highlight w:val="none"/>
              </w:rPr>
            </w:pPr>
          </w:p>
        </w:tc>
        <w:tc>
          <w:tcPr>
            <w:tcW w:w="1942" w:type="dxa"/>
          </w:tcPr>
          <w:p w14:paraId="109D7366">
            <w:pPr>
              <w:spacing w:before="156" w:line="360" w:lineRule="auto"/>
              <w:ind w:firstLine="480" w:firstLineChars="200"/>
              <w:textAlignment w:val="baseline"/>
              <w:rPr>
                <w:rFonts w:ascii="宋体" w:hAnsi="宋体" w:cs="宋体"/>
                <w:color w:val="auto"/>
                <w:sz w:val="24"/>
                <w:szCs w:val="24"/>
                <w:highlight w:val="none"/>
              </w:rPr>
            </w:pPr>
          </w:p>
        </w:tc>
        <w:tc>
          <w:tcPr>
            <w:tcW w:w="2543" w:type="dxa"/>
          </w:tcPr>
          <w:p w14:paraId="11740BE6">
            <w:pPr>
              <w:spacing w:before="156" w:line="360" w:lineRule="auto"/>
              <w:ind w:firstLine="480" w:firstLineChars="200"/>
              <w:textAlignment w:val="baseline"/>
              <w:rPr>
                <w:rFonts w:ascii="宋体" w:hAnsi="宋体" w:cs="宋体"/>
                <w:color w:val="auto"/>
                <w:sz w:val="24"/>
                <w:szCs w:val="24"/>
                <w:highlight w:val="none"/>
              </w:rPr>
            </w:pPr>
          </w:p>
        </w:tc>
      </w:tr>
    </w:tbl>
    <w:p w14:paraId="6A05E8F8">
      <w:pPr>
        <w:spacing w:before="156" w:line="360" w:lineRule="auto"/>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填表说明：</w:t>
      </w:r>
    </w:p>
    <w:p w14:paraId="75207C63">
      <w:pPr>
        <w:numPr>
          <w:ilvl w:val="0"/>
          <w:numId w:val="10"/>
        </w:numPr>
        <w:spacing w:before="156" w:line="360" w:lineRule="auto"/>
        <w:textAlignment w:val="baseline"/>
        <w:rPr>
          <w:rFonts w:ascii="宋体" w:hAnsi="宋体" w:cs="宋体"/>
          <w:color w:val="auto"/>
          <w:sz w:val="20"/>
          <w:szCs w:val="21"/>
          <w:highlight w:val="none"/>
        </w:rPr>
      </w:pPr>
      <w:r>
        <w:rPr>
          <w:rFonts w:hint="eastAsia" w:ascii="宋体" w:hAnsi="宋体" w:cs="宋体"/>
          <w:color w:val="auto"/>
          <w:szCs w:val="21"/>
          <w:highlight w:val="none"/>
        </w:rPr>
        <w:t>投标人承诺：对</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文件有任何偏离（包括正偏离及负偏离）均应汇总并填写在此表中，除偏离表列出的偏离外，承诺响应招标文件的全部要求。</w:t>
      </w:r>
    </w:p>
    <w:p w14:paraId="0510AC2C">
      <w:pPr>
        <w:numPr>
          <w:ilvl w:val="0"/>
          <w:numId w:val="10"/>
        </w:numPr>
        <w:spacing w:before="156" w:line="360" w:lineRule="auto"/>
        <w:textAlignment w:val="baseline"/>
        <w:rPr>
          <w:rFonts w:ascii="宋体" w:hAnsi="宋体" w:cs="宋体"/>
          <w:color w:val="auto"/>
          <w:sz w:val="20"/>
          <w:szCs w:val="21"/>
          <w:highlight w:val="none"/>
        </w:rPr>
      </w:pPr>
      <w:r>
        <w:rPr>
          <w:rFonts w:hint="eastAsia" w:ascii="宋体" w:hAnsi="宋体" w:cs="宋体"/>
          <w:color w:val="auto"/>
          <w:szCs w:val="21"/>
          <w:highlight w:val="none"/>
        </w:rPr>
        <w:t>此表可在不改变格式的情况下自行制作。</w:t>
      </w:r>
    </w:p>
    <w:p w14:paraId="53A53175">
      <w:pPr>
        <w:numPr>
          <w:ilvl w:val="0"/>
          <w:numId w:val="10"/>
        </w:numPr>
        <w:spacing w:before="156" w:line="360" w:lineRule="auto"/>
        <w:textAlignment w:val="baseline"/>
        <w:rPr>
          <w:rFonts w:ascii="宋体" w:hAnsi="宋体" w:cs="宋体"/>
          <w:b/>
          <w:color w:val="auto"/>
          <w:sz w:val="20"/>
          <w:szCs w:val="21"/>
          <w:highlight w:val="none"/>
        </w:rPr>
      </w:pPr>
      <w:r>
        <w:rPr>
          <w:rFonts w:hint="eastAsia" w:ascii="宋体" w:hAnsi="宋体" w:cs="宋体"/>
          <w:b/>
          <w:bCs/>
          <w:color w:val="auto"/>
          <w:szCs w:val="21"/>
          <w:highlight w:val="none"/>
        </w:rPr>
        <w:t>不填写此表视作完全响应本采购文件要求。</w:t>
      </w:r>
    </w:p>
    <w:p w14:paraId="0E84D517">
      <w:pPr>
        <w:pStyle w:val="30"/>
        <w:ind w:firstLine="42"/>
        <w:textAlignment w:val="baseline"/>
        <w:rPr>
          <w:rFonts w:ascii="宋体" w:hAnsi="宋体" w:eastAsia="宋体"/>
          <w:color w:val="auto"/>
          <w:highlight w:val="none"/>
        </w:rPr>
      </w:pPr>
    </w:p>
    <w:p w14:paraId="121B9D4E">
      <w:pPr>
        <w:spacing w:line="440" w:lineRule="exact"/>
        <w:ind w:firstLine="4860"/>
        <w:jc w:val="left"/>
        <w:textAlignment w:val="baseline"/>
        <w:rPr>
          <w:rFonts w:hint="eastAsia" w:ascii="宋体" w:hAnsi="宋体" w:cs="宋体"/>
          <w:b/>
          <w:bCs/>
          <w:color w:val="auto"/>
          <w:sz w:val="24"/>
          <w:highlight w:val="none"/>
        </w:rPr>
      </w:pPr>
    </w:p>
    <w:p w14:paraId="6727E2AA">
      <w:pPr>
        <w:spacing w:line="440" w:lineRule="exact"/>
        <w:ind w:firstLine="4860"/>
        <w:jc w:val="left"/>
        <w:textAlignment w:val="baseline"/>
        <w:rPr>
          <w:rFonts w:hint="eastAsia" w:ascii="宋体" w:hAnsi="宋体" w:cs="宋体"/>
          <w:b/>
          <w:bCs/>
          <w:color w:val="auto"/>
          <w:sz w:val="24"/>
          <w:highlight w:val="none"/>
        </w:rPr>
      </w:pPr>
    </w:p>
    <w:p w14:paraId="09F1907D">
      <w:pPr>
        <w:spacing w:line="440" w:lineRule="exact"/>
        <w:ind w:firstLine="4860"/>
        <w:jc w:val="left"/>
        <w:textAlignment w:val="baseline"/>
        <w:rPr>
          <w:rFonts w:ascii="宋体" w:hAnsi="宋体" w:cs="宋体"/>
          <w:b/>
          <w:bCs/>
          <w:color w:val="auto"/>
          <w:sz w:val="20"/>
          <w:szCs w:val="21"/>
          <w:highlight w:val="none"/>
          <w:u w:val="single" w:color="000000"/>
        </w:rPr>
      </w:pPr>
      <w:r>
        <w:rPr>
          <w:rFonts w:hint="eastAsia" w:ascii="宋体" w:hAnsi="宋体" w:cs="宋体"/>
          <w:b/>
          <w:bCs/>
          <w:color w:val="auto"/>
          <w:sz w:val="24"/>
          <w:highlight w:val="none"/>
        </w:rPr>
        <w:t>供应商名称（盖章）：</w:t>
      </w:r>
    </w:p>
    <w:p w14:paraId="7ADFB6B0">
      <w:pPr>
        <w:spacing w:line="440" w:lineRule="exact"/>
        <w:ind w:firstLine="4860"/>
        <w:jc w:val="left"/>
        <w:textAlignment w:val="baseline"/>
        <w:rPr>
          <w:rFonts w:ascii="宋体" w:hAnsi="宋体" w:cs="宋体"/>
          <w:color w:val="auto"/>
          <w:sz w:val="20"/>
          <w:szCs w:val="21"/>
          <w:highlight w:val="none"/>
          <w:u w:val="single" w:color="000000"/>
        </w:rPr>
      </w:pPr>
      <w:r>
        <w:rPr>
          <w:rFonts w:hint="eastAsia" w:ascii="宋体" w:hAnsi="宋体" w:cs="宋体"/>
          <w:b/>
          <w:bCs/>
          <w:color w:val="auto"/>
          <w:szCs w:val="21"/>
          <w:highlight w:val="none"/>
        </w:rPr>
        <w:t>日期：  年  月  日</w:t>
      </w:r>
    </w:p>
    <w:p w14:paraId="01F6830B">
      <w:pPr>
        <w:spacing w:line="460" w:lineRule="exact"/>
        <w:jc w:val="center"/>
        <w:textAlignment w:val="baseline"/>
        <w:rPr>
          <w:rFonts w:ascii="宋体" w:hAnsi="宋体" w:cs="宋体"/>
          <w:b/>
          <w:bCs/>
          <w:color w:val="auto"/>
          <w:sz w:val="28"/>
          <w:szCs w:val="28"/>
          <w:highlight w:val="none"/>
        </w:rPr>
      </w:pPr>
    </w:p>
    <w:p w14:paraId="0C5B8238">
      <w:pPr>
        <w:spacing w:line="460" w:lineRule="exact"/>
        <w:jc w:val="center"/>
        <w:textAlignment w:val="baseline"/>
        <w:rPr>
          <w:rFonts w:ascii="宋体" w:hAnsi="宋体" w:cs="宋体"/>
          <w:b/>
          <w:bCs/>
          <w:color w:val="auto"/>
          <w:sz w:val="28"/>
          <w:szCs w:val="28"/>
          <w:highlight w:val="none"/>
        </w:rPr>
      </w:pPr>
    </w:p>
    <w:p w14:paraId="7859F99A">
      <w:pPr>
        <w:spacing w:line="460" w:lineRule="exact"/>
        <w:jc w:val="center"/>
        <w:textAlignment w:val="baseline"/>
        <w:rPr>
          <w:rFonts w:ascii="宋体" w:hAnsi="宋体" w:cs="宋体"/>
          <w:b/>
          <w:bCs/>
          <w:color w:val="auto"/>
          <w:sz w:val="28"/>
          <w:szCs w:val="28"/>
          <w:highlight w:val="none"/>
        </w:rPr>
      </w:pPr>
    </w:p>
    <w:p w14:paraId="0346A560">
      <w:pPr>
        <w:spacing w:line="460" w:lineRule="exact"/>
        <w:jc w:val="center"/>
        <w:textAlignment w:val="baseline"/>
        <w:rPr>
          <w:rFonts w:ascii="宋体" w:hAnsi="宋体" w:cs="宋体"/>
          <w:b/>
          <w:bCs/>
          <w:color w:val="auto"/>
          <w:sz w:val="28"/>
          <w:szCs w:val="28"/>
          <w:highlight w:val="none"/>
        </w:rPr>
      </w:pPr>
    </w:p>
    <w:p w14:paraId="13951143">
      <w:pPr>
        <w:spacing w:line="460" w:lineRule="exact"/>
        <w:jc w:val="center"/>
        <w:textAlignment w:val="baseline"/>
        <w:rPr>
          <w:rFonts w:ascii="宋体" w:hAnsi="宋体" w:cs="宋体"/>
          <w:b/>
          <w:bCs/>
          <w:color w:val="auto"/>
          <w:sz w:val="28"/>
          <w:szCs w:val="28"/>
          <w:highlight w:val="none"/>
        </w:rPr>
      </w:pPr>
    </w:p>
    <w:p w14:paraId="2E0E12CF">
      <w:pPr>
        <w:spacing w:line="460" w:lineRule="exact"/>
        <w:jc w:val="center"/>
        <w:textAlignment w:val="baseline"/>
        <w:rPr>
          <w:rFonts w:ascii="宋体" w:hAnsi="宋体" w:cs="宋体"/>
          <w:b/>
          <w:bCs/>
          <w:color w:val="auto"/>
          <w:sz w:val="28"/>
          <w:szCs w:val="28"/>
          <w:highlight w:val="none"/>
        </w:rPr>
      </w:pPr>
    </w:p>
    <w:p w14:paraId="61C2D7AA">
      <w:pPr>
        <w:pStyle w:val="30"/>
        <w:ind w:firstLine="42"/>
        <w:textAlignment w:val="baseline"/>
        <w:rPr>
          <w:rFonts w:ascii="宋体" w:hAnsi="宋体" w:eastAsia="宋体"/>
          <w:color w:val="auto"/>
          <w:highlight w:val="none"/>
        </w:rPr>
      </w:pPr>
    </w:p>
    <w:p w14:paraId="2F664697">
      <w:pPr>
        <w:spacing w:line="440" w:lineRule="exact"/>
        <w:textAlignment w:val="baseline"/>
        <w:outlineLvl w:val="0"/>
        <w:rPr>
          <w:rFonts w:hint="default" w:ascii="宋体" w:hAnsi="宋体" w:eastAsia="宋体" w:cs="宋体"/>
          <w:b/>
          <w:bCs/>
          <w:color w:val="auto"/>
          <w:sz w:val="22"/>
          <w:highlight w:val="none"/>
          <w:lang w:val="en-US" w:eastAsia="zh-CN"/>
        </w:rPr>
      </w:pPr>
      <w:bookmarkStart w:id="95" w:name="_Toc14763"/>
      <w:r>
        <w:rPr>
          <w:rFonts w:hint="eastAsia" w:ascii="宋体" w:hAnsi="宋体" w:cs="宋体"/>
          <w:b/>
          <w:bCs/>
          <w:color w:val="auto"/>
          <w:sz w:val="22"/>
          <w:highlight w:val="none"/>
        </w:rPr>
        <w:t>附件</w:t>
      </w:r>
      <w:bookmarkEnd w:id="95"/>
      <w:r>
        <w:rPr>
          <w:rFonts w:hint="eastAsia" w:ascii="宋体" w:hAnsi="宋体" w:cs="宋体"/>
          <w:b/>
          <w:bCs/>
          <w:color w:val="auto"/>
          <w:sz w:val="22"/>
          <w:highlight w:val="none"/>
          <w:lang w:val="en-US" w:eastAsia="zh-CN"/>
        </w:rPr>
        <w:t>9</w:t>
      </w:r>
    </w:p>
    <w:p w14:paraId="5440CA0D">
      <w:pPr>
        <w:spacing w:line="440" w:lineRule="exact"/>
        <w:jc w:val="center"/>
        <w:textAlignment w:val="baseline"/>
        <w:rPr>
          <w:rFonts w:ascii="宋体" w:hAnsi="宋体" w:cs="宋体"/>
          <w:b/>
          <w:bCs/>
          <w:color w:val="auto"/>
          <w:sz w:val="28"/>
          <w:szCs w:val="28"/>
          <w:highlight w:val="none"/>
        </w:rPr>
      </w:pPr>
      <w:r>
        <w:rPr>
          <w:rFonts w:hint="eastAsia" w:ascii="宋体" w:hAnsi="宋体" w:cs="宋体"/>
          <w:b/>
          <w:bCs/>
          <w:color w:val="auto"/>
          <w:sz w:val="28"/>
          <w:szCs w:val="28"/>
          <w:highlight w:val="none"/>
        </w:rPr>
        <w:t>项目人员</w:t>
      </w:r>
      <w:r>
        <w:rPr>
          <w:rFonts w:hint="eastAsia" w:ascii="宋体" w:hAnsi="宋体" w:cs="宋体"/>
          <w:b/>
          <w:bCs/>
          <w:color w:val="auto"/>
          <w:sz w:val="28"/>
          <w:szCs w:val="28"/>
          <w:highlight w:val="none"/>
          <w:lang w:eastAsia="zh-CN"/>
        </w:rPr>
        <w:t>团队</w:t>
      </w:r>
      <w:r>
        <w:rPr>
          <w:rFonts w:hint="eastAsia" w:ascii="宋体" w:hAnsi="宋体" w:cs="宋体"/>
          <w:b/>
          <w:bCs/>
          <w:color w:val="auto"/>
          <w:sz w:val="28"/>
          <w:szCs w:val="28"/>
          <w:highlight w:val="none"/>
        </w:rPr>
        <w:t>配备情况表</w:t>
      </w:r>
    </w:p>
    <w:p w14:paraId="720B9306">
      <w:pPr>
        <w:pStyle w:val="11"/>
        <w:rPr>
          <w:rFonts w:ascii="宋体" w:hAnsi="宋体" w:cs="宋体"/>
          <w:color w:val="auto"/>
          <w:highlight w:val="none"/>
        </w:rPr>
      </w:pPr>
    </w:p>
    <w:p w14:paraId="45EC6CC5">
      <w:pPr>
        <w:pStyle w:val="30"/>
        <w:ind w:firstLine="42"/>
        <w:rPr>
          <w:rFonts w:hint="eastAsia" w:ascii="宋体" w:hAnsi="宋体" w:eastAsia="宋体"/>
          <w:color w:val="auto"/>
          <w:highlight w:val="none"/>
          <w:lang w:eastAsia="zh-CN"/>
        </w:rPr>
      </w:pPr>
      <w:r>
        <w:rPr>
          <w:rFonts w:hint="eastAsia" w:ascii="宋体" w:hAnsi="宋体" w:eastAsia="宋体"/>
          <w:color w:val="auto"/>
          <w:highlight w:val="none"/>
        </w:rPr>
        <w:t xml:space="preserve">项目名称： </w:t>
      </w:r>
      <w:r>
        <w:rPr>
          <w:rFonts w:hint="eastAsia" w:ascii="宋体" w:hAnsi="宋体" w:eastAsia="宋体"/>
          <w:color w:val="auto"/>
          <w:highlight w:val="none"/>
          <w:lang w:eastAsia="zh-CN"/>
        </w:rPr>
        <w:t>常山县招贤镇2024-2025年松材线虫病枯死松树第二轮清理</w:t>
      </w:r>
    </w:p>
    <w:p w14:paraId="71CFF68B">
      <w:pPr>
        <w:pStyle w:val="30"/>
        <w:ind w:firstLine="42"/>
        <w:rPr>
          <w:rFonts w:ascii="宋体" w:hAnsi="宋体" w:cs="宋体"/>
          <w:bCs/>
          <w:color w:val="auto"/>
          <w:sz w:val="24"/>
          <w:highlight w:val="none"/>
        </w:rPr>
      </w:pPr>
      <w:r>
        <w:rPr>
          <w:rFonts w:hint="eastAsia" w:ascii="宋体" w:hAnsi="宋体" w:eastAsia="宋体"/>
          <w:color w:val="auto"/>
          <w:highlight w:val="none"/>
        </w:rPr>
        <w:t>项目编号：</w:t>
      </w:r>
      <w:r>
        <w:rPr>
          <w:rFonts w:hint="eastAsia" w:ascii="宋体" w:hAnsi="宋体" w:eastAsia="宋体"/>
          <w:color w:val="auto"/>
          <w:highlight w:val="none"/>
          <w:lang w:eastAsia="zh-CN"/>
        </w:rPr>
        <w:t>CSKC-CS202506</w:t>
      </w:r>
    </w:p>
    <w:tbl>
      <w:tblPr>
        <w:tblStyle w:val="31"/>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2158"/>
        <w:gridCol w:w="1343"/>
        <w:gridCol w:w="1063"/>
        <w:gridCol w:w="1606"/>
        <w:gridCol w:w="1399"/>
      </w:tblGrid>
      <w:tr w14:paraId="61CF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568" w:type="dxa"/>
            <w:vAlign w:val="center"/>
          </w:tcPr>
          <w:p w14:paraId="0A4D6AC0">
            <w:pPr>
              <w:spacing w:line="500" w:lineRule="exact"/>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姓名</w:t>
            </w:r>
          </w:p>
        </w:tc>
        <w:tc>
          <w:tcPr>
            <w:tcW w:w="2158" w:type="dxa"/>
            <w:vAlign w:val="center"/>
          </w:tcPr>
          <w:p w14:paraId="18F1C12A">
            <w:pPr>
              <w:spacing w:line="500" w:lineRule="exact"/>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本项目</w:t>
            </w:r>
          </w:p>
          <w:p w14:paraId="330F62B3">
            <w:pPr>
              <w:spacing w:line="500" w:lineRule="exact"/>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拟任岗位</w:t>
            </w:r>
          </w:p>
        </w:tc>
        <w:tc>
          <w:tcPr>
            <w:tcW w:w="1343" w:type="dxa"/>
            <w:vAlign w:val="center"/>
          </w:tcPr>
          <w:p w14:paraId="5E42CADB">
            <w:pPr>
              <w:spacing w:line="500" w:lineRule="exact"/>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年龄</w:t>
            </w:r>
          </w:p>
        </w:tc>
        <w:tc>
          <w:tcPr>
            <w:tcW w:w="1063" w:type="dxa"/>
            <w:vAlign w:val="center"/>
          </w:tcPr>
          <w:p w14:paraId="7AAA2F9C">
            <w:pPr>
              <w:spacing w:line="500" w:lineRule="exact"/>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性别</w:t>
            </w:r>
          </w:p>
        </w:tc>
        <w:tc>
          <w:tcPr>
            <w:tcW w:w="1606" w:type="dxa"/>
            <w:vAlign w:val="center"/>
          </w:tcPr>
          <w:p w14:paraId="5A462909">
            <w:pPr>
              <w:spacing w:line="500" w:lineRule="exact"/>
              <w:jc w:val="center"/>
              <w:textAlignment w:val="baseline"/>
              <w:rPr>
                <w:rFonts w:hint="eastAsia" w:ascii="宋体" w:hAnsi="宋体" w:eastAsia="宋体" w:cs="宋体"/>
                <w:bCs/>
                <w:color w:val="auto"/>
                <w:sz w:val="24"/>
                <w:highlight w:val="none"/>
                <w:lang w:eastAsia="zh-Hans"/>
              </w:rPr>
            </w:pPr>
            <w:r>
              <w:rPr>
                <w:rFonts w:hint="eastAsia" w:ascii="宋体" w:hAnsi="宋体" w:cs="宋体"/>
                <w:bCs/>
                <w:color w:val="auto"/>
                <w:sz w:val="24"/>
                <w:highlight w:val="none"/>
                <w:lang w:val="en-US" w:eastAsia="zh-Hans"/>
              </w:rPr>
              <w:t>学历及专业</w:t>
            </w:r>
          </w:p>
        </w:tc>
        <w:tc>
          <w:tcPr>
            <w:tcW w:w="1399" w:type="dxa"/>
            <w:vAlign w:val="center"/>
          </w:tcPr>
          <w:p w14:paraId="62C55532">
            <w:pPr>
              <w:spacing w:line="500" w:lineRule="exact"/>
              <w:jc w:val="center"/>
              <w:textAlignment w:val="baseline"/>
              <w:rPr>
                <w:rFonts w:hint="eastAsia" w:ascii="宋体" w:hAnsi="宋体" w:eastAsia="宋体" w:cs="宋体"/>
                <w:bCs/>
                <w:color w:val="auto"/>
                <w:sz w:val="24"/>
                <w:highlight w:val="none"/>
                <w:lang w:eastAsia="zh-Hans"/>
              </w:rPr>
            </w:pPr>
            <w:r>
              <w:rPr>
                <w:rFonts w:hint="eastAsia" w:ascii="宋体" w:hAnsi="宋体" w:cs="宋体"/>
                <w:bCs/>
                <w:color w:val="auto"/>
                <w:sz w:val="24"/>
                <w:highlight w:val="none"/>
                <w:lang w:val="en-US" w:eastAsia="zh-Hans"/>
              </w:rPr>
              <w:t>工作经历</w:t>
            </w:r>
          </w:p>
        </w:tc>
      </w:tr>
      <w:tr w14:paraId="0CF97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568" w:type="dxa"/>
          </w:tcPr>
          <w:p w14:paraId="106DD4B5">
            <w:pPr>
              <w:spacing w:line="500" w:lineRule="exact"/>
              <w:jc w:val="center"/>
              <w:textAlignment w:val="baseline"/>
              <w:rPr>
                <w:rFonts w:ascii="宋体" w:hAnsi="宋体" w:cs="宋体"/>
                <w:bCs/>
                <w:color w:val="auto"/>
                <w:sz w:val="24"/>
                <w:highlight w:val="none"/>
              </w:rPr>
            </w:pPr>
          </w:p>
        </w:tc>
        <w:tc>
          <w:tcPr>
            <w:tcW w:w="2158" w:type="dxa"/>
          </w:tcPr>
          <w:p w14:paraId="2E5EAC4C">
            <w:pPr>
              <w:spacing w:line="500" w:lineRule="exact"/>
              <w:jc w:val="center"/>
              <w:textAlignment w:val="baseline"/>
              <w:rPr>
                <w:rFonts w:ascii="宋体" w:hAnsi="宋体" w:cs="宋体"/>
                <w:bCs/>
                <w:color w:val="auto"/>
                <w:sz w:val="24"/>
                <w:highlight w:val="none"/>
              </w:rPr>
            </w:pPr>
          </w:p>
        </w:tc>
        <w:tc>
          <w:tcPr>
            <w:tcW w:w="1343" w:type="dxa"/>
          </w:tcPr>
          <w:p w14:paraId="730223BA">
            <w:pPr>
              <w:spacing w:line="500" w:lineRule="exact"/>
              <w:jc w:val="center"/>
              <w:textAlignment w:val="baseline"/>
              <w:rPr>
                <w:rFonts w:ascii="宋体" w:hAnsi="宋体" w:cs="宋体"/>
                <w:bCs/>
                <w:color w:val="auto"/>
                <w:sz w:val="24"/>
                <w:highlight w:val="none"/>
              </w:rPr>
            </w:pPr>
          </w:p>
        </w:tc>
        <w:tc>
          <w:tcPr>
            <w:tcW w:w="1063" w:type="dxa"/>
          </w:tcPr>
          <w:p w14:paraId="5C618577">
            <w:pPr>
              <w:spacing w:line="500" w:lineRule="exact"/>
              <w:jc w:val="center"/>
              <w:textAlignment w:val="baseline"/>
              <w:rPr>
                <w:rFonts w:ascii="宋体" w:hAnsi="宋体" w:cs="宋体"/>
                <w:bCs/>
                <w:color w:val="auto"/>
                <w:sz w:val="24"/>
                <w:highlight w:val="none"/>
              </w:rPr>
            </w:pPr>
          </w:p>
        </w:tc>
        <w:tc>
          <w:tcPr>
            <w:tcW w:w="1606" w:type="dxa"/>
          </w:tcPr>
          <w:p w14:paraId="3959B369">
            <w:pPr>
              <w:spacing w:line="500" w:lineRule="exact"/>
              <w:jc w:val="center"/>
              <w:textAlignment w:val="baseline"/>
              <w:rPr>
                <w:rFonts w:ascii="宋体" w:hAnsi="宋体" w:cs="宋体"/>
                <w:bCs/>
                <w:color w:val="auto"/>
                <w:sz w:val="24"/>
                <w:highlight w:val="none"/>
              </w:rPr>
            </w:pPr>
          </w:p>
        </w:tc>
        <w:tc>
          <w:tcPr>
            <w:tcW w:w="1399" w:type="dxa"/>
          </w:tcPr>
          <w:p w14:paraId="163EC6CB">
            <w:pPr>
              <w:spacing w:line="500" w:lineRule="exact"/>
              <w:jc w:val="center"/>
              <w:textAlignment w:val="baseline"/>
              <w:rPr>
                <w:rFonts w:ascii="宋体" w:hAnsi="宋体" w:cs="宋体"/>
                <w:bCs/>
                <w:color w:val="auto"/>
                <w:sz w:val="24"/>
                <w:highlight w:val="none"/>
              </w:rPr>
            </w:pPr>
          </w:p>
        </w:tc>
      </w:tr>
      <w:tr w14:paraId="06BD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568" w:type="dxa"/>
          </w:tcPr>
          <w:p w14:paraId="0CE0F376">
            <w:pPr>
              <w:spacing w:line="500" w:lineRule="exact"/>
              <w:jc w:val="center"/>
              <w:textAlignment w:val="baseline"/>
              <w:rPr>
                <w:rFonts w:ascii="宋体" w:hAnsi="宋体" w:cs="宋体"/>
                <w:bCs/>
                <w:color w:val="auto"/>
                <w:sz w:val="24"/>
                <w:highlight w:val="none"/>
              </w:rPr>
            </w:pPr>
          </w:p>
        </w:tc>
        <w:tc>
          <w:tcPr>
            <w:tcW w:w="2158" w:type="dxa"/>
          </w:tcPr>
          <w:p w14:paraId="61A97ADA">
            <w:pPr>
              <w:spacing w:line="500" w:lineRule="exact"/>
              <w:jc w:val="center"/>
              <w:textAlignment w:val="baseline"/>
              <w:rPr>
                <w:rFonts w:ascii="宋体" w:hAnsi="宋体" w:cs="宋体"/>
                <w:bCs/>
                <w:color w:val="auto"/>
                <w:sz w:val="24"/>
                <w:highlight w:val="none"/>
              </w:rPr>
            </w:pPr>
          </w:p>
        </w:tc>
        <w:tc>
          <w:tcPr>
            <w:tcW w:w="1343" w:type="dxa"/>
          </w:tcPr>
          <w:p w14:paraId="3E9153E0">
            <w:pPr>
              <w:spacing w:line="500" w:lineRule="exact"/>
              <w:jc w:val="center"/>
              <w:textAlignment w:val="baseline"/>
              <w:rPr>
                <w:rFonts w:ascii="宋体" w:hAnsi="宋体" w:cs="宋体"/>
                <w:bCs/>
                <w:color w:val="auto"/>
                <w:sz w:val="24"/>
                <w:highlight w:val="none"/>
              </w:rPr>
            </w:pPr>
          </w:p>
        </w:tc>
        <w:tc>
          <w:tcPr>
            <w:tcW w:w="1063" w:type="dxa"/>
          </w:tcPr>
          <w:p w14:paraId="581B0D38">
            <w:pPr>
              <w:spacing w:line="500" w:lineRule="exact"/>
              <w:jc w:val="center"/>
              <w:textAlignment w:val="baseline"/>
              <w:rPr>
                <w:rFonts w:ascii="宋体" w:hAnsi="宋体" w:cs="宋体"/>
                <w:bCs/>
                <w:color w:val="auto"/>
                <w:sz w:val="24"/>
                <w:highlight w:val="none"/>
              </w:rPr>
            </w:pPr>
          </w:p>
        </w:tc>
        <w:tc>
          <w:tcPr>
            <w:tcW w:w="1606" w:type="dxa"/>
          </w:tcPr>
          <w:p w14:paraId="077CDB60">
            <w:pPr>
              <w:spacing w:line="500" w:lineRule="exact"/>
              <w:jc w:val="center"/>
              <w:textAlignment w:val="baseline"/>
              <w:rPr>
                <w:rFonts w:ascii="宋体" w:hAnsi="宋体" w:cs="宋体"/>
                <w:bCs/>
                <w:color w:val="auto"/>
                <w:sz w:val="24"/>
                <w:highlight w:val="none"/>
              </w:rPr>
            </w:pPr>
          </w:p>
        </w:tc>
        <w:tc>
          <w:tcPr>
            <w:tcW w:w="1399" w:type="dxa"/>
          </w:tcPr>
          <w:p w14:paraId="46B29631">
            <w:pPr>
              <w:spacing w:line="500" w:lineRule="exact"/>
              <w:jc w:val="center"/>
              <w:textAlignment w:val="baseline"/>
              <w:rPr>
                <w:rFonts w:ascii="宋体" w:hAnsi="宋体" w:cs="宋体"/>
                <w:bCs/>
                <w:color w:val="auto"/>
                <w:sz w:val="24"/>
                <w:highlight w:val="none"/>
              </w:rPr>
            </w:pPr>
          </w:p>
        </w:tc>
      </w:tr>
      <w:tr w14:paraId="6BAA8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568" w:type="dxa"/>
          </w:tcPr>
          <w:p w14:paraId="176FAB15">
            <w:pPr>
              <w:spacing w:line="500" w:lineRule="exact"/>
              <w:jc w:val="center"/>
              <w:textAlignment w:val="baseline"/>
              <w:rPr>
                <w:rFonts w:ascii="宋体" w:hAnsi="宋体" w:cs="宋体"/>
                <w:bCs/>
                <w:color w:val="auto"/>
                <w:sz w:val="24"/>
                <w:highlight w:val="none"/>
              </w:rPr>
            </w:pPr>
          </w:p>
        </w:tc>
        <w:tc>
          <w:tcPr>
            <w:tcW w:w="2158" w:type="dxa"/>
          </w:tcPr>
          <w:p w14:paraId="0CFB5876">
            <w:pPr>
              <w:spacing w:line="500" w:lineRule="exact"/>
              <w:jc w:val="center"/>
              <w:textAlignment w:val="baseline"/>
              <w:rPr>
                <w:rFonts w:ascii="宋体" w:hAnsi="宋体" w:cs="宋体"/>
                <w:bCs/>
                <w:color w:val="auto"/>
                <w:sz w:val="24"/>
                <w:highlight w:val="none"/>
              </w:rPr>
            </w:pPr>
          </w:p>
        </w:tc>
        <w:tc>
          <w:tcPr>
            <w:tcW w:w="1343" w:type="dxa"/>
          </w:tcPr>
          <w:p w14:paraId="166F7103">
            <w:pPr>
              <w:spacing w:line="500" w:lineRule="exact"/>
              <w:jc w:val="center"/>
              <w:textAlignment w:val="baseline"/>
              <w:rPr>
                <w:rFonts w:ascii="宋体" w:hAnsi="宋体" w:cs="宋体"/>
                <w:bCs/>
                <w:color w:val="auto"/>
                <w:sz w:val="24"/>
                <w:highlight w:val="none"/>
              </w:rPr>
            </w:pPr>
          </w:p>
        </w:tc>
        <w:tc>
          <w:tcPr>
            <w:tcW w:w="1063" w:type="dxa"/>
          </w:tcPr>
          <w:p w14:paraId="6CAAABBA">
            <w:pPr>
              <w:spacing w:line="500" w:lineRule="exact"/>
              <w:jc w:val="center"/>
              <w:textAlignment w:val="baseline"/>
              <w:rPr>
                <w:rFonts w:ascii="宋体" w:hAnsi="宋体" w:cs="宋体"/>
                <w:bCs/>
                <w:color w:val="auto"/>
                <w:sz w:val="24"/>
                <w:highlight w:val="none"/>
              </w:rPr>
            </w:pPr>
          </w:p>
        </w:tc>
        <w:tc>
          <w:tcPr>
            <w:tcW w:w="1606" w:type="dxa"/>
          </w:tcPr>
          <w:p w14:paraId="4B59980C">
            <w:pPr>
              <w:spacing w:line="500" w:lineRule="exact"/>
              <w:jc w:val="center"/>
              <w:textAlignment w:val="baseline"/>
              <w:rPr>
                <w:rFonts w:ascii="宋体" w:hAnsi="宋体" w:cs="宋体"/>
                <w:bCs/>
                <w:color w:val="auto"/>
                <w:sz w:val="24"/>
                <w:highlight w:val="none"/>
              </w:rPr>
            </w:pPr>
          </w:p>
        </w:tc>
        <w:tc>
          <w:tcPr>
            <w:tcW w:w="1399" w:type="dxa"/>
          </w:tcPr>
          <w:p w14:paraId="1A879624">
            <w:pPr>
              <w:spacing w:line="500" w:lineRule="exact"/>
              <w:jc w:val="center"/>
              <w:textAlignment w:val="baseline"/>
              <w:rPr>
                <w:rFonts w:ascii="宋体" w:hAnsi="宋体" w:cs="宋体"/>
                <w:bCs/>
                <w:color w:val="auto"/>
                <w:sz w:val="24"/>
                <w:highlight w:val="none"/>
              </w:rPr>
            </w:pPr>
          </w:p>
        </w:tc>
      </w:tr>
      <w:tr w14:paraId="65BB4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68" w:type="dxa"/>
          </w:tcPr>
          <w:p w14:paraId="48AAC97B">
            <w:pPr>
              <w:spacing w:line="400" w:lineRule="exact"/>
              <w:jc w:val="center"/>
              <w:textAlignment w:val="baseline"/>
              <w:rPr>
                <w:rFonts w:ascii="宋体" w:hAnsi="宋体" w:cs="宋体"/>
                <w:bCs/>
                <w:color w:val="auto"/>
                <w:sz w:val="24"/>
                <w:highlight w:val="none"/>
              </w:rPr>
            </w:pPr>
          </w:p>
        </w:tc>
        <w:tc>
          <w:tcPr>
            <w:tcW w:w="2158" w:type="dxa"/>
          </w:tcPr>
          <w:p w14:paraId="19E81CB0">
            <w:pPr>
              <w:spacing w:line="400" w:lineRule="exact"/>
              <w:jc w:val="center"/>
              <w:textAlignment w:val="baseline"/>
              <w:rPr>
                <w:rFonts w:ascii="宋体" w:hAnsi="宋体" w:cs="宋体"/>
                <w:bCs/>
                <w:color w:val="auto"/>
                <w:sz w:val="24"/>
                <w:highlight w:val="none"/>
              </w:rPr>
            </w:pPr>
          </w:p>
        </w:tc>
        <w:tc>
          <w:tcPr>
            <w:tcW w:w="1343" w:type="dxa"/>
          </w:tcPr>
          <w:p w14:paraId="48969C11">
            <w:pPr>
              <w:spacing w:line="400" w:lineRule="exact"/>
              <w:jc w:val="center"/>
              <w:textAlignment w:val="baseline"/>
              <w:rPr>
                <w:rFonts w:ascii="宋体" w:hAnsi="宋体" w:cs="宋体"/>
                <w:bCs/>
                <w:color w:val="auto"/>
                <w:sz w:val="24"/>
                <w:highlight w:val="none"/>
              </w:rPr>
            </w:pPr>
          </w:p>
        </w:tc>
        <w:tc>
          <w:tcPr>
            <w:tcW w:w="1063" w:type="dxa"/>
          </w:tcPr>
          <w:p w14:paraId="025073F3">
            <w:pPr>
              <w:spacing w:line="400" w:lineRule="exact"/>
              <w:jc w:val="center"/>
              <w:textAlignment w:val="baseline"/>
              <w:rPr>
                <w:rFonts w:ascii="宋体" w:hAnsi="宋体" w:cs="宋体"/>
                <w:bCs/>
                <w:color w:val="auto"/>
                <w:sz w:val="24"/>
                <w:highlight w:val="none"/>
              </w:rPr>
            </w:pPr>
          </w:p>
        </w:tc>
        <w:tc>
          <w:tcPr>
            <w:tcW w:w="1606" w:type="dxa"/>
          </w:tcPr>
          <w:p w14:paraId="1E75A28F">
            <w:pPr>
              <w:spacing w:line="400" w:lineRule="exact"/>
              <w:jc w:val="center"/>
              <w:textAlignment w:val="baseline"/>
              <w:rPr>
                <w:rFonts w:ascii="宋体" w:hAnsi="宋体" w:cs="宋体"/>
                <w:bCs/>
                <w:color w:val="auto"/>
                <w:sz w:val="24"/>
                <w:highlight w:val="none"/>
              </w:rPr>
            </w:pPr>
          </w:p>
        </w:tc>
        <w:tc>
          <w:tcPr>
            <w:tcW w:w="1399" w:type="dxa"/>
          </w:tcPr>
          <w:p w14:paraId="2EA876C9">
            <w:pPr>
              <w:spacing w:line="400" w:lineRule="exact"/>
              <w:jc w:val="center"/>
              <w:textAlignment w:val="baseline"/>
              <w:rPr>
                <w:rFonts w:ascii="宋体" w:hAnsi="宋体" w:cs="宋体"/>
                <w:bCs/>
                <w:color w:val="auto"/>
                <w:sz w:val="24"/>
                <w:highlight w:val="none"/>
              </w:rPr>
            </w:pPr>
          </w:p>
        </w:tc>
      </w:tr>
      <w:tr w14:paraId="5F061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68" w:type="dxa"/>
          </w:tcPr>
          <w:p w14:paraId="4FEC004A">
            <w:pPr>
              <w:spacing w:line="400" w:lineRule="exact"/>
              <w:jc w:val="center"/>
              <w:textAlignment w:val="baseline"/>
              <w:rPr>
                <w:rFonts w:ascii="宋体" w:hAnsi="宋体" w:cs="宋体"/>
                <w:bCs/>
                <w:color w:val="auto"/>
                <w:sz w:val="24"/>
                <w:highlight w:val="none"/>
              </w:rPr>
            </w:pPr>
          </w:p>
        </w:tc>
        <w:tc>
          <w:tcPr>
            <w:tcW w:w="2158" w:type="dxa"/>
          </w:tcPr>
          <w:p w14:paraId="57B8E62D">
            <w:pPr>
              <w:spacing w:line="400" w:lineRule="exact"/>
              <w:jc w:val="center"/>
              <w:textAlignment w:val="baseline"/>
              <w:rPr>
                <w:rFonts w:ascii="宋体" w:hAnsi="宋体" w:cs="宋体"/>
                <w:bCs/>
                <w:color w:val="auto"/>
                <w:sz w:val="24"/>
                <w:highlight w:val="none"/>
              </w:rPr>
            </w:pPr>
          </w:p>
        </w:tc>
        <w:tc>
          <w:tcPr>
            <w:tcW w:w="1343" w:type="dxa"/>
          </w:tcPr>
          <w:p w14:paraId="5043947C">
            <w:pPr>
              <w:spacing w:line="400" w:lineRule="exact"/>
              <w:jc w:val="center"/>
              <w:textAlignment w:val="baseline"/>
              <w:rPr>
                <w:rFonts w:ascii="宋体" w:hAnsi="宋体" w:cs="宋体"/>
                <w:bCs/>
                <w:color w:val="auto"/>
                <w:sz w:val="24"/>
                <w:highlight w:val="none"/>
              </w:rPr>
            </w:pPr>
          </w:p>
        </w:tc>
        <w:tc>
          <w:tcPr>
            <w:tcW w:w="1063" w:type="dxa"/>
          </w:tcPr>
          <w:p w14:paraId="36DAB68D">
            <w:pPr>
              <w:spacing w:line="400" w:lineRule="exact"/>
              <w:jc w:val="center"/>
              <w:textAlignment w:val="baseline"/>
              <w:rPr>
                <w:rFonts w:ascii="宋体" w:hAnsi="宋体" w:cs="宋体"/>
                <w:bCs/>
                <w:color w:val="auto"/>
                <w:sz w:val="24"/>
                <w:highlight w:val="none"/>
              </w:rPr>
            </w:pPr>
          </w:p>
        </w:tc>
        <w:tc>
          <w:tcPr>
            <w:tcW w:w="1606" w:type="dxa"/>
          </w:tcPr>
          <w:p w14:paraId="24960528">
            <w:pPr>
              <w:spacing w:line="400" w:lineRule="exact"/>
              <w:jc w:val="center"/>
              <w:textAlignment w:val="baseline"/>
              <w:rPr>
                <w:rFonts w:ascii="宋体" w:hAnsi="宋体" w:cs="宋体"/>
                <w:bCs/>
                <w:color w:val="auto"/>
                <w:sz w:val="24"/>
                <w:highlight w:val="none"/>
              </w:rPr>
            </w:pPr>
          </w:p>
        </w:tc>
        <w:tc>
          <w:tcPr>
            <w:tcW w:w="1399" w:type="dxa"/>
          </w:tcPr>
          <w:p w14:paraId="049DF7C9">
            <w:pPr>
              <w:spacing w:line="400" w:lineRule="exact"/>
              <w:jc w:val="center"/>
              <w:textAlignment w:val="baseline"/>
              <w:rPr>
                <w:rFonts w:ascii="宋体" w:hAnsi="宋体" w:cs="宋体"/>
                <w:bCs/>
                <w:color w:val="auto"/>
                <w:sz w:val="24"/>
                <w:highlight w:val="none"/>
              </w:rPr>
            </w:pPr>
          </w:p>
        </w:tc>
      </w:tr>
      <w:tr w14:paraId="5976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68" w:type="dxa"/>
          </w:tcPr>
          <w:p w14:paraId="19080E2C">
            <w:pPr>
              <w:spacing w:line="400" w:lineRule="exact"/>
              <w:jc w:val="center"/>
              <w:textAlignment w:val="baseline"/>
              <w:rPr>
                <w:rFonts w:ascii="宋体" w:hAnsi="宋体" w:cs="宋体"/>
                <w:bCs/>
                <w:color w:val="auto"/>
                <w:sz w:val="24"/>
                <w:highlight w:val="none"/>
              </w:rPr>
            </w:pPr>
          </w:p>
        </w:tc>
        <w:tc>
          <w:tcPr>
            <w:tcW w:w="2158" w:type="dxa"/>
          </w:tcPr>
          <w:p w14:paraId="51BCA6E9">
            <w:pPr>
              <w:spacing w:line="400" w:lineRule="exact"/>
              <w:jc w:val="center"/>
              <w:textAlignment w:val="baseline"/>
              <w:rPr>
                <w:rFonts w:ascii="宋体" w:hAnsi="宋体" w:cs="宋体"/>
                <w:bCs/>
                <w:color w:val="auto"/>
                <w:sz w:val="24"/>
                <w:highlight w:val="none"/>
              </w:rPr>
            </w:pPr>
          </w:p>
        </w:tc>
        <w:tc>
          <w:tcPr>
            <w:tcW w:w="1343" w:type="dxa"/>
          </w:tcPr>
          <w:p w14:paraId="5EFB81CE">
            <w:pPr>
              <w:spacing w:line="400" w:lineRule="exact"/>
              <w:jc w:val="center"/>
              <w:textAlignment w:val="baseline"/>
              <w:rPr>
                <w:rFonts w:ascii="宋体" w:hAnsi="宋体" w:cs="宋体"/>
                <w:bCs/>
                <w:color w:val="auto"/>
                <w:sz w:val="24"/>
                <w:highlight w:val="none"/>
              </w:rPr>
            </w:pPr>
          </w:p>
        </w:tc>
        <w:tc>
          <w:tcPr>
            <w:tcW w:w="1063" w:type="dxa"/>
          </w:tcPr>
          <w:p w14:paraId="56F9D2A0">
            <w:pPr>
              <w:spacing w:line="400" w:lineRule="exact"/>
              <w:jc w:val="center"/>
              <w:textAlignment w:val="baseline"/>
              <w:rPr>
                <w:rFonts w:ascii="宋体" w:hAnsi="宋体" w:cs="宋体"/>
                <w:bCs/>
                <w:color w:val="auto"/>
                <w:sz w:val="24"/>
                <w:highlight w:val="none"/>
              </w:rPr>
            </w:pPr>
          </w:p>
        </w:tc>
        <w:tc>
          <w:tcPr>
            <w:tcW w:w="1606" w:type="dxa"/>
          </w:tcPr>
          <w:p w14:paraId="51234D10">
            <w:pPr>
              <w:spacing w:line="400" w:lineRule="exact"/>
              <w:jc w:val="center"/>
              <w:textAlignment w:val="baseline"/>
              <w:rPr>
                <w:rFonts w:ascii="宋体" w:hAnsi="宋体" w:cs="宋体"/>
                <w:bCs/>
                <w:color w:val="auto"/>
                <w:sz w:val="24"/>
                <w:highlight w:val="none"/>
              </w:rPr>
            </w:pPr>
          </w:p>
        </w:tc>
        <w:tc>
          <w:tcPr>
            <w:tcW w:w="1399" w:type="dxa"/>
          </w:tcPr>
          <w:p w14:paraId="189BA600">
            <w:pPr>
              <w:spacing w:line="400" w:lineRule="exact"/>
              <w:jc w:val="center"/>
              <w:textAlignment w:val="baseline"/>
              <w:rPr>
                <w:rFonts w:ascii="宋体" w:hAnsi="宋体" w:cs="宋体"/>
                <w:bCs/>
                <w:color w:val="auto"/>
                <w:sz w:val="24"/>
                <w:highlight w:val="none"/>
              </w:rPr>
            </w:pPr>
          </w:p>
        </w:tc>
      </w:tr>
      <w:tr w14:paraId="505D3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568" w:type="dxa"/>
          </w:tcPr>
          <w:p w14:paraId="3469D096">
            <w:pPr>
              <w:spacing w:line="500" w:lineRule="exact"/>
              <w:jc w:val="center"/>
              <w:textAlignment w:val="baseline"/>
              <w:rPr>
                <w:rFonts w:ascii="宋体" w:hAnsi="宋体" w:cs="宋体"/>
                <w:bCs/>
                <w:color w:val="auto"/>
                <w:sz w:val="24"/>
                <w:highlight w:val="none"/>
              </w:rPr>
            </w:pPr>
          </w:p>
        </w:tc>
        <w:tc>
          <w:tcPr>
            <w:tcW w:w="2158" w:type="dxa"/>
          </w:tcPr>
          <w:p w14:paraId="0F371ACE">
            <w:pPr>
              <w:spacing w:line="500" w:lineRule="exact"/>
              <w:jc w:val="center"/>
              <w:textAlignment w:val="baseline"/>
              <w:rPr>
                <w:rFonts w:ascii="宋体" w:hAnsi="宋体" w:cs="宋体"/>
                <w:bCs/>
                <w:color w:val="auto"/>
                <w:sz w:val="24"/>
                <w:highlight w:val="none"/>
              </w:rPr>
            </w:pPr>
          </w:p>
        </w:tc>
        <w:tc>
          <w:tcPr>
            <w:tcW w:w="1343" w:type="dxa"/>
          </w:tcPr>
          <w:p w14:paraId="194AC4EA">
            <w:pPr>
              <w:spacing w:line="500" w:lineRule="exact"/>
              <w:jc w:val="center"/>
              <w:textAlignment w:val="baseline"/>
              <w:rPr>
                <w:rFonts w:ascii="宋体" w:hAnsi="宋体" w:cs="宋体"/>
                <w:bCs/>
                <w:color w:val="auto"/>
                <w:sz w:val="24"/>
                <w:highlight w:val="none"/>
              </w:rPr>
            </w:pPr>
          </w:p>
        </w:tc>
        <w:tc>
          <w:tcPr>
            <w:tcW w:w="1063" w:type="dxa"/>
          </w:tcPr>
          <w:p w14:paraId="06B9F138">
            <w:pPr>
              <w:spacing w:line="500" w:lineRule="exact"/>
              <w:jc w:val="center"/>
              <w:textAlignment w:val="baseline"/>
              <w:rPr>
                <w:rFonts w:ascii="宋体" w:hAnsi="宋体" w:cs="宋体"/>
                <w:bCs/>
                <w:color w:val="auto"/>
                <w:sz w:val="24"/>
                <w:highlight w:val="none"/>
              </w:rPr>
            </w:pPr>
          </w:p>
        </w:tc>
        <w:tc>
          <w:tcPr>
            <w:tcW w:w="1606" w:type="dxa"/>
          </w:tcPr>
          <w:p w14:paraId="712EB56B">
            <w:pPr>
              <w:spacing w:line="500" w:lineRule="exact"/>
              <w:jc w:val="center"/>
              <w:textAlignment w:val="baseline"/>
              <w:rPr>
                <w:rFonts w:ascii="宋体" w:hAnsi="宋体" w:cs="宋体"/>
                <w:bCs/>
                <w:color w:val="auto"/>
                <w:sz w:val="24"/>
                <w:highlight w:val="none"/>
              </w:rPr>
            </w:pPr>
          </w:p>
        </w:tc>
        <w:tc>
          <w:tcPr>
            <w:tcW w:w="1399" w:type="dxa"/>
          </w:tcPr>
          <w:p w14:paraId="4FD4A758">
            <w:pPr>
              <w:spacing w:line="500" w:lineRule="exact"/>
              <w:jc w:val="center"/>
              <w:textAlignment w:val="baseline"/>
              <w:rPr>
                <w:rFonts w:ascii="宋体" w:hAnsi="宋体" w:cs="宋体"/>
                <w:bCs/>
                <w:color w:val="auto"/>
                <w:sz w:val="24"/>
                <w:highlight w:val="none"/>
              </w:rPr>
            </w:pPr>
          </w:p>
        </w:tc>
      </w:tr>
      <w:tr w14:paraId="50F4D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568" w:type="dxa"/>
          </w:tcPr>
          <w:p w14:paraId="07710CB3">
            <w:pPr>
              <w:spacing w:line="500" w:lineRule="exact"/>
              <w:jc w:val="center"/>
              <w:textAlignment w:val="baseline"/>
              <w:rPr>
                <w:rFonts w:ascii="宋体" w:hAnsi="宋体" w:cs="宋体"/>
                <w:bCs/>
                <w:color w:val="auto"/>
                <w:sz w:val="24"/>
                <w:highlight w:val="none"/>
              </w:rPr>
            </w:pPr>
          </w:p>
        </w:tc>
        <w:tc>
          <w:tcPr>
            <w:tcW w:w="2158" w:type="dxa"/>
          </w:tcPr>
          <w:p w14:paraId="05FCDE21">
            <w:pPr>
              <w:spacing w:line="500" w:lineRule="exact"/>
              <w:jc w:val="center"/>
              <w:textAlignment w:val="baseline"/>
              <w:rPr>
                <w:rFonts w:ascii="宋体" w:hAnsi="宋体" w:cs="宋体"/>
                <w:bCs/>
                <w:color w:val="auto"/>
                <w:sz w:val="24"/>
                <w:highlight w:val="none"/>
              </w:rPr>
            </w:pPr>
          </w:p>
        </w:tc>
        <w:tc>
          <w:tcPr>
            <w:tcW w:w="1343" w:type="dxa"/>
          </w:tcPr>
          <w:p w14:paraId="6E8DD490">
            <w:pPr>
              <w:spacing w:line="500" w:lineRule="exact"/>
              <w:jc w:val="center"/>
              <w:textAlignment w:val="baseline"/>
              <w:rPr>
                <w:rFonts w:ascii="宋体" w:hAnsi="宋体" w:cs="宋体"/>
                <w:bCs/>
                <w:color w:val="auto"/>
                <w:sz w:val="24"/>
                <w:highlight w:val="none"/>
              </w:rPr>
            </w:pPr>
          </w:p>
        </w:tc>
        <w:tc>
          <w:tcPr>
            <w:tcW w:w="1063" w:type="dxa"/>
          </w:tcPr>
          <w:p w14:paraId="44E41B3B">
            <w:pPr>
              <w:spacing w:line="500" w:lineRule="exact"/>
              <w:jc w:val="center"/>
              <w:textAlignment w:val="baseline"/>
              <w:rPr>
                <w:rFonts w:ascii="宋体" w:hAnsi="宋体" w:cs="宋体"/>
                <w:bCs/>
                <w:color w:val="auto"/>
                <w:sz w:val="24"/>
                <w:highlight w:val="none"/>
              </w:rPr>
            </w:pPr>
          </w:p>
        </w:tc>
        <w:tc>
          <w:tcPr>
            <w:tcW w:w="1606" w:type="dxa"/>
          </w:tcPr>
          <w:p w14:paraId="696849A0">
            <w:pPr>
              <w:spacing w:line="500" w:lineRule="exact"/>
              <w:jc w:val="center"/>
              <w:textAlignment w:val="baseline"/>
              <w:rPr>
                <w:rFonts w:ascii="宋体" w:hAnsi="宋体" w:cs="宋体"/>
                <w:bCs/>
                <w:color w:val="auto"/>
                <w:sz w:val="24"/>
                <w:highlight w:val="none"/>
              </w:rPr>
            </w:pPr>
          </w:p>
        </w:tc>
        <w:tc>
          <w:tcPr>
            <w:tcW w:w="1399" w:type="dxa"/>
          </w:tcPr>
          <w:p w14:paraId="5F25B59E">
            <w:pPr>
              <w:spacing w:line="500" w:lineRule="exact"/>
              <w:jc w:val="center"/>
              <w:textAlignment w:val="baseline"/>
              <w:rPr>
                <w:rFonts w:ascii="宋体" w:hAnsi="宋体" w:cs="宋体"/>
                <w:bCs/>
                <w:color w:val="auto"/>
                <w:sz w:val="24"/>
                <w:highlight w:val="none"/>
              </w:rPr>
            </w:pPr>
          </w:p>
        </w:tc>
      </w:tr>
      <w:tr w14:paraId="78C9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68" w:type="dxa"/>
          </w:tcPr>
          <w:p w14:paraId="317D4824">
            <w:pPr>
              <w:spacing w:line="400" w:lineRule="exact"/>
              <w:jc w:val="center"/>
              <w:textAlignment w:val="baseline"/>
              <w:rPr>
                <w:rFonts w:ascii="宋体" w:hAnsi="宋体" w:cs="宋体"/>
                <w:bCs/>
                <w:color w:val="auto"/>
                <w:sz w:val="24"/>
                <w:highlight w:val="none"/>
              </w:rPr>
            </w:pPr>
          </w:p>
        </w:tc>
        <w:tc>
          <w:tcPr>
            <w:tcW w:w="2158" w:type="dxa"/>
          </w:tcPr>
          <w:p w14:paraId="5B87A0C6">
            <w:pPr>
              <w:spacing w:line="400" w:lineRule="exact"/>
              <w:jc w:val="center"/>
              <w:textAlignment w:val="baseline"/>
              <w:rPr>
                <w:rFonts w:ascii="宋体" w:hAnsi="宋体" w:cs="宋体"/>
                <w:bCs/>
                <w:color w:val="auto"/>
                <w:sz w:val="24"/>
                <w:highlight w:val="none"/>
              </w:rPr>
            </w:pPr>
          </w:p>
        </w:tc>
        <w:tc>
          <w:tcPr>
            <w:tcW w:w="1343" w:type="dxa"/>
          </w:tcPr>
          <w:p w14:paraId="2FE31DFC">
            <w:pPr>
              <w:spacing w:line="400" w:lineRule="exact"/>
              <w:jc w:val="center"/>
              <w:textAlignment w:val="baseline"/>
              <w:rPr>
                <w:rFonts w:ascii="宋体" w:hAnsi="宋体" w:cs="宋体"/>
                <w:bCs/>
                <w:color w:val="auto"/>
                <w:sz w:val="24"/>
                <w:highlight w:val="none"/>
              </w:rPr>
            </w:pPr>
          </w:p>
        </w:tc>
        <w:tc>
          <w:tcPr>
            <w:tcW w:w="1063" w:type="dxa"/>
          </w:tcPr>
          <w:p w14:paraId="7FA1834F">
            <w:pPr>
              <w:spacing w:line="400" w:lineRule="exact"/>
              <w:jc w:val="center"/>
              <w:textAlignment w:val="baseline"/>
              <w:rPr>
                <w:rFonts w:ascii="宋体" w:hAnsi="宋体" w:cs="宋体"/>
                <w:bCs/>
                <w:color w:val="auto"/>
                <w:sz w:val="24"/>
                <w:highlight w:val="none"/>
              </w:rPr>
            </w:pPr>
          </w:p>
        </w:tc>
        <w:tc>
          <w:tcPr>
            <w:tcW w:w="1606" w:type="dxa"/>
          </w:tcPr>
          <w:p w14:paraId="317CA691">
            <w:pPr>
              <w:spacing w:line="400" w:lineRule="exact"/>
              <w:jc w:val="center"/>
              <w:textAlignment w:val="baseline"/>
              <w:rPr>
                <w:rFonts w:ascii="宋体" w:hAnsi="宋体" w:cs="宋体"/>
                <w:bCs/>
                <w:color w:val="auto"/>
                <w:sz w:val="24"/>
                <w:highlight w:val="none"/>
              </w:rPr>
            </w:pPr>
          </w:p>
        </w:tc>
        <w:tc>
          <w:tcPr>
            <w:tcW w:w="1399" w:type="dxa"/>
          </w:tcPr>
          <w:p w14:paraId="38B06753">
            <w:pPr>
              <w:spacing w:line="400" w:lineRule="exact"/>
              <w:jc w:val="center"/>
              <w:textAlignment w:val="baseline"/>
              <w:rPr>
                <w:rFonts w:ascii="宋体" w:hAnsi="宋体" w:cs="宋体"/>
                <w:bCs/>
                <w:color w:val="auto"/>
                <w:sz w:val="24"/>
                <w:highlight w:val="none"/>
              </w:rPr>
            </w:pPr>
          </w:p>
        </w:tc>
      </w:tr>
      <w:tr w14:paraId="1319B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68" w:type="dxa"/>
          </w:tcPr>
          <w:p w14:paraId="33F368D3">
            <w:pPr>
              <w:spacing w:line="400" w:lineRule="exact"/>
              <w:jc w:val="center"/>
              <w:textAlignment w:val="baseline"/>
              <w:rPr>
                <w:rFonts w:ascii="宋体" w:hAnsi="宋体" w:cs="宋体"/>
                <w:bCs/>
                <w:color w:val="auto"/>
                <w:sz w:val="24"/>
                <w:highlight w:val="none"/>
              </w:rPr>
            </w:pPr>
          </w:p>
        </w:tc>
        <w:tc>
          <w:tcPr>
            <w:tcW w:w="2158" w:type="dxa"/>
          </w:tcPr>
          <w:p w14:paraId="06E19E48">
            <w:pPr>
              <w:spacing w:line="400" w:lineRule="exact"/>
              <w:jc w:val="center"/>
              <w:textAlignment w:val="baseline"/>
              <w:rPr>
                <w:rFonts w:ascii="宋体" w:hAnsi="宋体" w:cs="宋体"/>
                <w:bCs/>
                <w:color w:val="auto"/>
                <w:sz w:val="24"/>
                <w:highlight w:val="none"/>
              </w:rPr>
            </w:pPr>
          </w:p>
        </w:tc>
        <w:tc>
          <w:tcPr>
            <w:tcW w:w="1343" w:type="dxa"/>
          </w:tcPr>
          <w:p w14:paraId="182B53EB">
            <w:pPr>
              <w:spacing w:line="400" w:lineRule="exact"/>
              <w:jc w:val="center"/>
              <w:textAlignment w:val="baseline"/>
              <w:rPr>
                <w:rFonts w:ascii="宋体" w:hAnsi="宋体" w:cs="宋体"/>
                <w:bCs/>
                <w:color w:val="auto"/>
                <w:sz w:val="24"/>
                <w:highlight w:val="none"/>
              </w:rPr>
            </w:pPr>
          </w:p>
        </w:tc>
        <w:tc>
          <w:tcPr>
            <w:tcW w:w="1063" w:type="dxa"/>
          </w:tcPr>
          <w:p w14:paraId="71AFF545">
            <w:pPr>
              <w:spacing w:line="400" w:lineRule="exact"/>
              <w:jc w:val="center"/>
              <w:textAlignment w:val="baseline"/>
              <w:rPr>
                <w:rFonts w:ascii="宋体" w:hAnsi="宋体" w:cs="宋体"/>
                <w:bCs/>
                <w:color w:val="auto"/>
                <w:sz w:val="24"/>
                <w:highlight w:val="none"/>
              </w:rPr>
            </w:pPr>
          </w:p>
        </w:tc>
        <w:tc>
          <w:tcPr>
            <w:tcW w:w="1606" w:type="dxa"/>
          </w:tcPr>
          <w:p w14:paraId="5C37450A">
            <w:pPr>
              <w:spacing w:line="400" w:lineRule="exact"/>
              <w:jc w:val="center"/>
              <w:textAlignment w:val="baseline"/>
              <w:rPr>
                <w:rFonts w:ascii="宋体" w:hAnsi="宋体" w:cs="宋体"/>
                <w:bCs/>
                <w:color w:val="auto"/>
                <w:sz w:val="24"/>
                <w:highlight w:val="none"/>
              </w:rPr>
            </w:pPr>
          </w:p>
        </w:tc>
        <w:tc>
          <w:tcPr>
            <w:tcW w:w="1399" w:type="dxa"/>
          </w:tcPr>
          <w:p w14:paraId="1D954C7E">
            <w:pPr>
              <w:spacing w:line="400" w:lineRule="exact"/>
              <w:jc w:val="center"/>
              <w:textAlignment w:val="baseline"/>
              <w:rPr>
                <w:rFonts w:ascii="宋体" w:hAnsi="宋体" w:cs="宋体"/>
                <w:bCs/>
                <w:color w:val="auto"/>
                <w:sz w:val="24"/>
                <w:highlight w:val="none"/>
              </w:rPr>
            </w:pPr>
          </w:p>
        </w:tc>
      </w:tr>
      <w:tr w14:paraId="47A2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68" w:type="dxa"/>
          </w:tcPr>
          <w:p w14:paraId="53DF9C5B">
            <w:pPr>
              <w:spacing w:line="400" w:lineRule="exact"/>
              <w:jc w:val="center"/>
              <w:textAlignment w:val="baseline"/>
              <w:rPr>
                <w:rFonts w:ascii="宋体" w:hAnsi="宋体" w:cs="宋体"/>
                <w:bCs/>
                <w:color w:val="auto"/>
                <w:sz w:val="24"/>
                <w:highlight w:val="none"/>
              </w:rPr>
            </w:pPr>
          </w:p>
        </w:tc>
        <w:tc>
          <w:tcPr>
            <w:tcW w:w="2158" w:type="dxa"/>
          </w:tcPr>
          <w:p w14:paraId="1D2D4BA4">
            <w:pPr>
              <w:spacing w:line="400" w:lineRule="exact"/>
              <w:jc w:val="center"/>
              <w:textAlignment w:val="baseline"/>
              <w:rPr>
                <w:rFonts w:ascii="宋体" w:hAnsi="宋体" w:cs="宋体"/>
                <w:bCs/>
                <w:color w:val="auto"/>
                <w:sz w:val="24"/>
                <w:highlight w:val="none"/>
              </w:rPr>
            </w:pPr>
          </w:p>
        </w:tc>
        <w:tc>
          <w:tcPr>
            <w:tcW w:w="1343" w:type="dxa"/>
          </w:tcPr>
          <w:p w14:paraId="09268743">
            <w:pPr>
              <w:spacing w:line="400" w:lineRule="exact"/>
              <w:jc w:val="center"/>
              <w:textAlignment w:val="baseline"/>
              <w:rPr>
                <w:rFonts w:ascii="宋体" w:hAnsi="宋体" w:cs="宋体"/>
                <w:bCs/>
                <w:color w:val="auto"/>
                <w:sz w:val="24"/>
                <w:highlight w:val="none"/>
              </w:rPr>
            </w:pPr>
          </w:p>
        </w:tc>
        <w:tc>
          <w:tcPr>
            <w:tcW w:w="1063" w:type="dxa"/>
          </w:tcPr>
          <w:p w14:paraId="198F5BB4">
            <w:pPr>
              <w:spacing w:line="400" w:lineRule="exact"/>
              <w:jc w:val="center"/>
              <w:textAlignment w:val="baseline"/>
              <w:rPr>
                <w:rFonts w:ascii="宋体" w:hAnsi="宋体" w:cs="宋体"/>
                <w:bCs/>
                <w:color w:val="auto"/>
                <w:sz w:val="24"/>
                <w:highlight w:val="none"/>
              </w:rPr>
            </w:pPr>
          </w:p>
        </w:tc>
        <w:tc>
          <w:tcPr>
            <w:tcW w:w="1606" w:type="dxa"/>
          </w:tcPr>
          <w:p w14:paraId="1A2D8B30">
            <w:pPr>
              <w:spacing w:line="400" w:lineRule="exact"/>
              <w:jc w:val="center"/>
              <w:textAlignment w:val="baseline"/>
              <w:rPr>
                <w:rFonts w:ascii="宋体" w:hAnsi="宋体" w:cs="宋体"/>
                <w:bCs/>
                <w:color w:val="auto"/>
                <w:sz w:val="24"/>
                <w:highlight w:val="none"/>
              </w:rPr>
            </w:pPr>
          </w:p>
        </w:tc>
        <w:tc>
          <w:tcPr>
            <w:tcW w:w="1399" w:type="dxa"/>
          </w:tcPr>
          <w:p w14:paraId="54FA51EA">
            <w:pPr>
              <w:spacing w:line="400" w:lineRule="exact"/>
              <w:jc w:val="center"/>
              <w:textAlignment w:val="baseline"/>
              <w:rPr>
                <w:rFonts w:ascii="宋体" w:hAnsi="宋体" w:cs="宋体"/>
                <w:bCs/>
                <w:color w:val="auto"/>
                <w:sz w:val="24"/>
                <w:highlight w:val="none"/>
              </w:rPr>
            </w:pPr>
          </w:p>
        </w:tc>
      </w:tr>
      <w:tr w14:paraId="43FC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68" w:type="dxa"/>
          </w:tcPr>
          <w:p w14:paraId="3CDC79CE">
            <w:pPr>
              <w:spacing w:line="400" w:lineRule="exact"/>
              <w:jc w:val="center"/>
              <w:textAlignment w:val="baseline"/>
              <w:rPr>
                <w:rFonts w:ascii="宋体" w:hAnsi="宋体" w:cs="宋体"/>
                <w:bCs/>
                <w:color w:val="auto"/>
                <w:sz w:val="24"/>
                <w:highlight w:val="none"/>
              </w:rPr>
            </w:pPr>
          </w:p>
        </w:tc>
        <w:tc>
          <w:tcPr>
            <w:tcW w:w="2158" w:type="dxa"/>
          </w:tcPr>
          <w:p w14:paraId="555EA8FF">
            <w:pPr>
              <w:spacing w:line="400" w:lineRule="exact"/>
              <w:jc w:val="center"/>
              <w:textAlignment w:val="baseline"/>
              <w:rPr>
                <w:rFonts w:ascii="宋体" w:hAnsi="宋体" w:cs="宋体"/>
                <w:bCs/>
                <w:color w:val="auto"/>
                <w:sz w:val="24"/>
                <w:highlight w:val="none"/>
              </w:rPr>
            </w:pPr>
          </w:p>
        </w:tc>
        <w:tc>
          <w:tcPr>
            <w:tcW w:w="1343" w:type="dxa"/>
          </w:tcPr>
          <w:p w14:paraId="1BB8826C">
            <w:pPr>
              <w:spacing w:line="400" w:lineRule="exact"/>
              <w:jc w:val="center"/>
              <w:textAlignment w:val="baseline"/>
              <w:rPr>
                <w:rFonts w:ascii="宋体" w:hAnsi="宋体" w:cs="宋体"/>
                <w:bCs/>
                <w:color w:val="auto"/>
                <w:sz w:val="24"/>
                <w:highlight w:val="none"/>
              </w:rPr>
            </w:pPr>
          </w:p>
        </w:tc>
        <w:tc>
          <w:tcPr>
            <w:tcW w:w="1063" w:type="dxa"/>
          </w:tcPr>
          <w:p w14:paraId="45224410">
            <w:pPr>
              <w:spacing w:line="400" w:lineRule="exact"/>
              <w:jc w:val="center"/>
              <w:textAlignment w:val="baseline"/>
              <w:rPr>
                <w:rFonts w:ascii="宋体" w:hAnsi="宋体" w:cs="宋体"/>
                <w:bCs/>
                <w:color w:val="auto"/>
                <w:sz w:val="24"/>
                <w:highlight w:val="none"/>
              </w:rPr>
            </w:pPr>
          </w:p>
        </w:tc>
        <w:tc>
          <w:tcPr>
            <w:tcW w:w="1606" w:type="dxa"/>
          </w:tcPr>
          <w:p w14:paraId="6293C0CF">
            <w:pPr>
              <w:spacing w:line="400" w:lineRule="exact"/>
              <w:jc w:val="center"/>
              <w:textAlignment w:val="baseline"/>
              <w:rPr>
                <w:rFonts w:ascii="宋体" w:hAnsi="宋体" w:cs="宋体"/>
                <w:bCs/>
                <w:color w:val="auto"/>
                <w:sz w:val="24"/>
                <w:highlight w:val="none"/>
              </w:rPr>
            </w:pPr>
          </w:p>
        </w:tc>
        <w:tc>
          <w:tcPr>
            <w:tcW w:w="1399" w:type="dxa"/>
          </w:tcPr>
          <w:p w14:paraId="46878196">
            <w:pPr>
              <w:spacing w:line="400" w:lineRule="exact"/>
              <w:jc w:val="center"/>
              <w:textAlignment w:val="baseline"/>
              <w:rPr>
                <w:rFonts w:ascii="宋体" w:hAnsi="宋体" w:cs="宋体"/>
                <w:bCs/>
                <w:color w:val="auto"/>
                <w:sz w:val="24"/>
                <w:highlight w:val="none"/>
              </w:rPr>
            </w:pPr>
          </w:p>
        </w:tc>
      </w:tr>
      <w:tr w14:paraId="15A3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68" w:type="dxa"/>
          </w:tcPr>
          <w:p w14:paraId="6162C6B8">
            <w:pPr>
              <w:spacing w:line="400" w:lineRule="exact"/>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w:t>
            </w:r>
          </w:p>
        </w:tc>
        <w:tc>
          <w:tcPr>
            <w:tcW w:w="2158" w:type="dxa"/>
          </w:tcPr>
          <w:p w14:paraId="001937FC">
            <w:pPr>
              <w:spacing w:line="400" w:lineRule="exact"/>
              <w:jc w:val="center"/>
              <w:textAlignment w:val="baseline"/>
              <w:rPr>
                <w:rFonts w:ascii="宋体" w:hAnsi="宋体" w:cs="宋体"/>
                <w:bCs/>
                <w:color w:val="auto"/>
                <w:sz w:val="24"/>
                <w:highlight w:val="none"/>
              </w:rPr>
            </w:pPr>
          </w:p>
        </w:tc>
        <w:tc>
          <w:tcPr>
            <w:tcW w:w="1343" w:type="dxa"/>
          </w:tcPr>
          <w:p w14:paraId="2D906C17">
            <w:pPr>
              <w:spacing w:line="400" w:lineRule="exact"/>
              <w:jc w:val="center"/>
              <w:textAlignment w:val="baseline"/>
              <w:rPr>
                <w:rFonts w:ascii="宋体" w:hAnsi="宋体" w:cs="宋体"/>
                <w:bCs/>
                <w:color w:val="auto"/>
                <w:sz w:val="24"/>
                <w:highlight w:val="none"/>
              </w:rPr>
            </w:pPr>
          </w:p>
        </w:tc>
        <w:tc>
          <w:tcPr>
            <w:tcW w:w="1063" w:type="dxa"/>
          </w:tcPr>
          <w:p w14:paraId="3B73B592">
            <w:pPr>
              <w:spacing w:line="400" w:lineRule="exact"/>
              <w:jc w:val="center"/>
              <w:textAlignment w:val="baseline"/>
              <w:rPr>
                <w:rFonts w:ascii="宋体" w:hAnsi="宋体" w:cs="宋体"/>
                <w:bCs/>
                <w:color w:val="auto"/>
                <w:sz w:val="24"/>
                <w:highlight w:val="none"/>
              </w:rPr>
            </w:pPr>
          </w:p>
        </w:tc>
        <w:tc>
          <w:tcPr>
            <w:tcW w:w="1606" w:type="dxa"/>
          </w:tcPr>
          <w:p w14:paraId="6F8E922E">
            <w:pPr>
              <w:spacing w:line="400" w:lineRule="exact"/>
              <w:jc w:val="center"/>
              <w:textAlignment w:val="baseline"/>
              <w:rPr>
                <w:rFonts w:ascii="宋体" w:hAnsi="宋体" w:cs="宋体"/>
                <w:bCs/>
                <w:color w:val="auto"/>
                <w:sz w:val="24"/>
                <w:highlight w:val="none"/>
              </w:rPr>
            </w:pPr>
          </w:p>
        </w:tc>
        <w:tc>
          <w:tcPr>
            <w:tcW w:w="1399" w:type="dxa"/>
          </w:tcPr>
          <w:p w14:paraId="3675B9CF">
            <w:pPr>
              <w:spacing w:line="400" w:lineRule="exact"/>
              <w:jc w:val="center"/>
              <w:textAlignment w:val="baseline"/>
              <w:rPr>
                <w:rFonts w:ascii="宋体" w:hAnsi="宋体" w:cs="宋体"/>
                <w:bCs/>
                <w:color w:val="auto"/>
                <w:sz w:val="24"/>
                <w:highlight w:val="none"/>
              </w:rPr>
            </w:pPr>
          </w:p>
        </w:tc>
      </w:tr>
    </w:tbl>
    <w:p w14:paraId="132F97D1">
      <w:pPr>
        <w:spacing w:line="440" w:lineRule="exact"/>
        <w:ind w:firstLine="480" w:firstLineChars="200"/>
        <w:textAlignment w:val="baseline"/>
        <w:rPr>
          <w:rFonts w:ascii="宋体" w:hAnsi="宋体" w:cs="宋体"/>
          <w:bCs/>
          <w:color w:val="auto"/>
          <w:sz w:val="24"/>
          <w:highlight w:val="none"/>
        </w:rPr>
      </w:pPr>
      <w:r>
        <w:rPr>
          <w:rFonts w:hint="eastAsia" w:ascii="宋体" w:hAnsi="宋体" w:cs="宋体"/>
          <w:bCs/>
          <w:color w:val="auto"/>
          <w:sz w:val="24"/>
          <w:highlight w:val="none"/>
        </w:rPr>
        <w:t>注：拟派项目组人员须满足</w:t>
      </w:r>
      <w:r>
        <w:rPr>
          <w:rFonts w:hint="eastAsia" w:ascii="宋体" w:hAnsi="宋体" w:cs="宋体"/>
          <w:bCs/>
          <w:color w:val="auto"/>
          <w:sz w:val="24"/>
          <w:highlight w:val="none"/>
          <w:lang w:eastAsia="zh-CN"/>
        </w:rPr>
        <w:t>磋商</w:t>
      </w:r>
      <w:r>
        <w:rPr>
          <w:rFonts w:hint="eastAsia" w:ascii="宋体" w:hAnsi="宋体" w:cs="宋体"/>
          <w:bCs/>
          <w:color w:val="auto"/>
          <w:sz w:val="24"/>
          <w:highlight w:val="none"/>
        </w:rPr>
        <w:t>文件。</w:t>
      </w:r>
    </w:p>
    <w:p w14:paraId="06483D29">
      <w:pPr>
        <w:spacing w:line="440" w:lineRule="exact"/>
        <w:ind w:firstLine="3998" w:firstLineChars="1666"/>
        <w:textAlignment w:val="baseline"/>
        <w:rPr>
          <w:rFonts w:ascii="宋体" w:hAnsi="宋体" w:cs="宋体"/>
          <w:bCs/>
          <w:color w:val="auto"/>
          <w:sz w:val="24"/>
          <w:highlight w:val="none"/>
        </w:rPr>
      </w:pPr>
    </w:p>
    <w:p w14:paraId="4B169DEC">
      <w:pPr>
        <w:spacing w:line="440" w:lineRule="exact"/>
        <w:ind w:firstLine="3998" w:firstLineChars="1666"/>
        <w:textAlignment w:val="baseline"/>
        <w:rPr>
          <w:rFonts w:ascii="宋体" w:hAnsi="宋体" w:cs="宋体"/>
          <w:bCs/>
          <w:color w:val="auto"/>
          <w:sz w:val="24"/>
          <w:highlight w:val="none"/>
        </w:rPr>
      </w:pPr>
    </w:p>
    <w:p w14:paraId="638E01CA">
      <w:pPr>
        <w:spacing w:line="440" w:lineRule="exact"/>
        <w:ind w:firstLine="4860"/>
        <w:jc w:val="left"/>
        <w:textAlignment w:val="baseline"/>
        <w:rPr>
          <w:rFonts w:ascii="宋体" w:hAnsi="宋体" w:cs="宋体"/>
          <w:b/>
          <w:bCs/>
          <w:color w:val="auto"/>
          <w:sz w:val="20"/>
          <w:szCs w:val="21"/>
          <w:highlight w:val="none"/>
          <w:u w:val="single" w:color="000000"/>
        </w:rPr>
      </w:pPr>
      <w:r>
        <w:rPr>
          <w:rFonts w:hint="eastAsia" w:ascii="宋体" w:hAnsi="宋体" w:cs="宋体"/>
          <w:b/>
          <w:bCs/>
          <w:color w:val="auto"/>
          <w:sz w:val="24"/>
          <w:highlight w:val="none"/>
        </w:rPr>
        <w:t>供应商名称（盖章）：</w:t>
      </w:r>
    </w:p>
    <w:p w14:paraId="17DB3D5E">
      <w:pPr>
        <w:spacing w:line="440" w:lineRule="exact"/>
        <w:ind w:firstLine="4860"/>
        <w:jc w:val="left"/>
        <w:textAlignment w:val="baseline"/>
        <w:rPr>
          <w:rFonts w:ascii="宋体" w:hAnsi="宋体" w:cs="宋体"/>
          <w:color w:val="auto"/>
          <w:sz w:val="20"/>
          <w:szCs w:val="21"/>
          <w:highlight w:val="none"/>
          <w:u w:val="single" w:color="000000"/>
        </w:rPr>
      </w:pPr>
      <w:r>
        <w:rPr>
          <w:rFonts w:hint="eastAsia" w:ascii="宋体" w:hAnsi="宋体" w:cs="宋体"/>
          <w:b/>
          <w:bCs/>
          <w:color w:val="auto"/>
          <w:szCs w:val="21"/>
          <w:highlight w:val="none"/>
        </w:rPr>
        <w:t>日期：年月日</w:t>
      </w:r>
    </w:p>
    <w:p w14:paraId="692FA75F">
      <w:pPr>
        <w:spacing w:line="460" w:lineRule="exact"/>
        <w:textAlignment w:val="baseline"/>
        <w:rPr>
          <w:rFonts w:ascii="宋体" w:hAnsi="宋体" w:cs="宋体"/>
          <w:b/>
          <w:bCs/>
          <w:color w:val="auto"/>
          <w:sz w:val="22"/>
          <w:highlight w:val="none"/>
        </w:rPr>
      </w:pPr>
    </w:p>
    <w:p w14:paraId="3EC1AA72">
      <w:pPr>
        <w:pStyle w:val="30"/>
        <w:ind w:firstLine="44"/>
        <w:textAlignment w:val="baseline"/>
        <w:rPr>
          <w:rFonts w:ascii="宋体" w:hAnsi="宋体" w:eastAsia="宋体"/>
          <w:b/>
          <w:bCs/>
          <w:color w:val="auto"/>
          <w:sz w:val="22"/>
          <w:highlight w:val="none"/>
        </w:rPr>
      </w:pPr>
    </w:p>
    <w:p w14:paraId="577FBDAA">
      <w:pPr>
        <w:spacing w:line="440" w:lineRule="exact"/>
        <w:textAlignment w:val="baseline"/>
        <w:outlineLvl w:val="0"/>
        <w:rPr>
          <w:rFonts w:hint="eastAsia" w:ascii="宋体" w:hAnsi="宋体" w:cs="宋体"/>
          <w:b/>
          <w:bCs/>
          <w:color w:val="auto"/>
          <w:sz w:val="22"/>
          <w:highlight w:val="none"/>
        </w:rPr>
      </w:pPr>
      <w:bookmarkStart w:id="96" w:name="_Toc31261"/>
    </w:p>
    <w:p w14:paraId="44AAB07B">
      <w:pPr>
        <w:spacing w:line="440" w:lineRule="exact"/>
        <w:textAlignment w:val="baseline"/>
        <w:outlineLvl w:val="0"/>
        <w:rPr>
          <w:rFonts w:hint="eastAsia" w:ascii="宋体" w:hAnsi="宋体" w:cs="宋体"/>
          <w:b/>
          <w:bCs/>
          <w:color w:val="auto"/>
          <w:sz w:val="22"/>
          <w:highlight w:val="none"/>
        </w:rPr>
      </w:pPr>
    </w:p>
    <w:bookmarkEnd w:id="96"/>
    <w:p w14:paraId="751AB97D">
      <w:pPr>
        <w:spacing w:before="185"/>
        <w:ind w:right="210"/>
        <w:jc w:val="center"/>
        <w:textAlignment w:val="baseline"/>
        <w:outlineLvl w:val="0"/>
        <w:rPr>
          <w:rFonts w:ascii="宋体" w:hAnsi="宋体" w:cs="宋体"/>
          <w:b/>
          <w:color w:val="auto"/>
          <w:sz w:val="52"/>
          <w:highlight w:val="none"/>
        </w:rPr>
      </w:pPr>
      <w:bookmarkStart w:id="97" w:name="_Toc31082"/>
      <w:r>
        <w:rPr>
          <w:rFonts w:hint="eastAsia" w:ascii="宋体" w:hAnsi="宋体" w:cs="宋体"/>
          <w:b/>
          <w:color w:val="auto"/>
          <w:sz w:val="52"/>
          <w:highlight w:val="none"/>
        </w:rPr>
        <w:t>投 标 文 件</w:t>
      </w:r>
    </w:p>
    <w:p w14:paraId="5CD476E6">
      <w:pPr>
        <w:pStyle w:val="11"/>
        <w:spacing w:before="11"/>
        <w:textAlignment w:val="baseline"/>
        <w:rPr>
          <w:rFonts w:ascii="宋体" w:hAnsi="宋体" w:cs="宋体"/>
          <w:b/>
          <w:color w:val="auto"/>
          <w:sz w:val="69"/>
          <w:highlight w:val="none"/>
        </w:rPr>
      </w:pPr>
    </w:p>
    <w:p w14:paraId="2FD155AC">
      <w:pPr>
        <w:ind w:right="208"/>
        <w:jc w:val="center"/>
        <w:textAlignment w:val="baseline"/>
        <w:outlineLvl w:val="0"/>
        <w:rPr>
          <w:rFonts w:ascii="宋体" w:hAnsi="宋体" w:cs="宋体"/>
          <w:b/>
          <w:color w:val="auto"/>
          <w:sz w:val="32"/>
          <w:highlight w:val="none"/>
        </w:rPr>
      </w:pPr>
      <w:r>
        <w:rPr>
          <w:rFonts w:hint="eastAsia" w:ascii="宋体" w:hAnsi="宋体" w:cs="宋体"/>
          <w:b/>
          <w:color w:val="auto"/>
          <w:sz w:val="32"/>
          <w:highlight w:val="none"/>
        </w:rPr>
        <w:t>报价文件</w:t>
      </w:r>
    </w:p>
    <w:p w14:paraId="6EB3AFB5">
      <w:pPr>
        <w:pStyle w:val="65"/>
        <w:rPr>
          <w:rFonts w:ascii="宋体" w:hAnsi="宋体" w:cs="宋体"/>
          <w:b/>
          <w:color w:val="auto"/>
          <w:sz w:val="32"/>
          <w:highlight w:val="none"/>
        </w:rPr>
      </w:pPr>
    </w:p>
    <w:p w14:paraId="7AC01820">
      <w:pPr>
        <w:pStyle w:val="65"/>
        <w:rPr>
          <w:rFonts w:ascii="宋体" w:hAnsi="宋体" w:cs="宋体"/>
          <w:b/>
          <w:color w:val="auto"/>
          <w:sz w:val="32"/>
          <w:highlight w:val="none"/>
        </w:rPr>
      </w:pPr>
    </w:p>
    <w:p w14:paraId="10E8788B">
      <w:pPr>
        <w:snapToGrid w:val="0"/>
        <w:spacing w:line="720" w:lineRule="auto"/>
        <w:ind w:firstLine="1120" w:firstLineChars="400"/>
        <w:textAlignment w:val="baseline"/>
        <w:rPr>
          <w:rFonts w:ascii="宋体" w:hAnsi="宋体" w:cs="宋体"/>
          <w:color w:val="auto"/>
          <w:sz w:val="28"/>
          <w:szCs w:val="28"/>
          <w:highlight w:val="none"/>
          <w:u w:val="single" w:color="000000"/>
        </w:rPr>
      </w:pP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u w:val="single" w:color="000000"/>
        </w:rPr>
        <w:t xml:space="preserve">                       </w:t>
      </w:r>
    </w:p>
    <w:p w14:paraId="4628A097">
      <w:pPr>
        <w:snapToGrid w:val="0"/>
        <w:spacing w:line="720" w:lineRule="auto"/>
        <w:ind w:firstLine="1120" w:firstLineChars="400"/>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u w:val="single" w:color="000000"/>
        </w:rPr>
        <w:t>                       </w:t>
      </w:r>
      <w:r>
        <w:rPr>
          <w:rFonts w:hint="eastAsia" w:ascii="宋体" w:hAnsi="宋体" w:cs="宋体"/>
          <w:color w:val="auto"/>
          <w:sz w:val="28"/>
          <w:szCs w:val="28"/>
          <w:highlight w:val="none"/>
        </w:rPr>
        <w:t xml:space="preserve"> </w:t>
      </w:r>
    </w:p>
    <w:p w14:paraId="078C417A">
      <w:pPr>
        <w:snapToGrid w:val="0"/>
        <w:spacing w:line="720" w:lineRule="auto"/>
        <w:ind w:firstLine="1120" w:firstLineChars="400"/>
        <w:textAlignment w:val="baseline"/>
        <w:rPr>
          <w:rFonts w:ascii="宋体" w:hAnsi="宋体" w:cs="宋体"/>
          <w:color w:val="auto"/>
          <w:sz w:val="28"/>
          <w:szCs w:val="28"/>
          <w:highlight w:val="none"/>
        </w:rPr>
      </w:pP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（全称）：</w:t>
      </w:r>
      <w:r>
        <w:rPr>
          <w:rFonts w:hint="eastAsia" w:ascii="宋体" w:hAnsi="宋体" w:cs="宋体"/>
          <w:color w:val="auto"/>
          <w:sz w:val="28"/>
          <w:szCs w:val="28"/>
          <w:highlight w:val="none"/>
          <w:u w:val="single" w:color="000000"/>
        </w:rPr>
        <w:t>            （盖章）</w:t>
      </w:r>
    </w:p>
    <w:p w14:paraId="3602316F">
      <w:pPr>
        <w:snapToGrid w:val="0"/>
        <w:spacing w:line="720" w:lineRule="auto"/>
        <w:ind w:firstLine="1120" w:firstLineChars="400"/>
        <w:textAlignment w:val="baseline"/>
        <w:rPr>
          <w:rFonts w:ascii="宋体" w:hAnsi="宋体" w:cs="宋体"/>
          <w:color w:val="auto"/>
          <w:sz w:val="28"/>
          <w:szCs w:val="28"/>
          <w:highlight w:val="none"/>
          <w:u w:val="single" w:color="000000"/>
        </w:rPr>
      </w:pP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地址：</w:t>
      </w:r>
      <w:r>
        <w:rPr>
          <w:rFonts w:hint="eastAsia" w:ascii="宋体" w:hAnsi="宋体" w:cs="宋体"/>
          <w:color w:val="auto"/>
          <w:sz w:val="28"/>
          <w:szCs w:val="28"/>
          <w:highlight w:val="none"/>
          <w:u w:val="single" w:color="000000"/>
        </w:rPr>
        <w:t>                     </w:t>
      </w:r>
    </w:p>
    <w:p w14:paraId="048426A6">
      <w:pPr>
        <w:widowControl/>
        <w:spacing w:line="420" w:lineRule="atLeast"/>
        <w:textAlignment w:val="baseline"/>
        <w:outlineLvl w:val="0"/>
        <w:rPr>
          <w:rFonts w:hint="eastAsia" w:ascii="宋体" w:hAnsi="宋体" w:cs="宋体"/>
          <w:b/>
          <w:bCs/>
          <w:color w:val="auto"/>
          <w:kern w:val="0"/>
          <w:sz w:val="24"/>
          <w:szCs w:val="24"/>
          <w:highlight w:val="none"/>
        </w:rPr>
      </w:pPr>
    </w:p>
    <w:p w14:paraId="534D47C1">
      <w:pPr>
        <w:pStyle w:val="22"/>
        <w:rPr>
          <w:rFonts w:hint="eastAsia" w:ascii="宋体" w:hAnsi="宋体" w:cs="宋体"/>
          <w:b/>
          <w:bCs/>
          <w:color w:val="auto"/>
          <w:kern w:val="0"/>
          <w:sz w:val="24"/>
          <w:szCs w:val="24"/>
          <w:highlight w:val="none"/>
        </w:rPr>
      </w:pPr>
    </w:p>
    <w:p w14:paraId="2A1DA7D5">
      <w:pPr>
        <w:rPr>
          <w:rFonts w:hint="eastAsia" w:ascii="宋体" w:hAnsi="宋体" w:cs="宋体"/>
          <w:b/>
          <w:bCs/>
          <w:color w:val="auto"/>
          <w:kern w:val="0"/>
          <w:sz w:val="24"/>
          <w:szCs w:val="24"/>
          <w:highlight w:val="none"/>
        </w:rPr>
      </w:pPr>
    </w:p>
    <w:p w14:paraId="5BEF3987">
      <w:pPr>
        <w:pStyle w:val="22"/>
        <w:rPr>
          <w:rFonts w:hint="eastAsia" w:ascii="宋体" w:hAnsi="宋体" w:cs="宋体"/>
          <w:b/>
          <w:bCs/>
          <w:color w:val="auto"/>
          <w:kern w:val="0"/>
          <w:sz w:val="24"/>
          <w:szCs w:val="24"/>
          <w:highlight w:val="none"/>
        </w:rPr>
      </w:pPr>
    </w:p>
    <w:p w14:paraId="5145FEEC">
      <w:pPr>
        <w:rPr>
          <w:rFonts w:hint="eastAsia" w:ascii="宋体" w:hAnsi="宋体" w:cs="宋体"/>
          <w:b/>
          <w:bCs/>
          <w:color w:val="auto"/>
          <w:kern w:val="0"/>
          <w:sz w:val="24"/>
          <w:szCs w:val="24"/>
          <w:highlight w:val="none"/>
        </w:rPr>
      </w:pPr>
    </w:p>
    <w:p w14:paraId="3B5EDDD9">
      <w:pPr>
        <w:pStyle w:val="22"/>
        <w:rPr>
          <w:rFonts w:hint="eastAsia" w:ascii="宋体" w:hAnsi="宋体" w:cs="宋体"/>
          <w:b/>
          <w:bCs/>
          <w:color w:val="auto"/>
          <w:kern w:val="0"/>
          <w:sz w:val="24"/>
          <w:szCs w:val="24"/>
          <w:highlight w:val="none"/>
        </w:rPr>
      </w:pPr>
    </w:p>
    <w:p w14:paraId="4DAAFF79">
      <w:pPr>
        <w:rPr>
          <w:rFonts w:hint="eastAsia" w:ascii="宋体" w:hAnsi="宋体" w:cs="宋体"/>
          <w:b/>
          <w:bCs/>
          <w:color w:val="auto"/>
          <w:kern w:val="0"/>
          <w:sz w:val="24"/>
          <w:szCs w:val="24"/>
          <w:highlight w:val="none"/>
        </w:rPr>
      </w:pPr>
    </w:p>
    <w:p w14:paraId="5371EB33">
      <w:pPr>
        <w:pStyle w:val="22"/>
        <w:rPr>
          <w:rFonts w:hint="eastAsia" w:ascii="宋体" w:hAnsi="宋体" w:cs="宋体"/>
          <w:b/>
          <w:bCs/>
          <w:color w:val="auto"/>
          <w:kern w:val="0"/>
          <w:sz w:val="24"/>
          <w:szCs w:val="24"/>
          <w:highlight w:val="none"/>
        </w:rPr>
      </w:pPr>
    </w:p>
    <w:p w14:paraId="77C1593D">
      <w:pPr>
        <w:rPr>
          <w:rFonts w:hint="eastAsia" w:ascii="宋体" w:hAnsi="宋体" w:cs="宋体"/>
          <w:b/>
          <w:bCs/>
          <w:color w:val="auto"/>
          <w:kern w:val="0"/>
          <w:sz w:val="24"/>
          <w:szCs w:val="24"/>
          <w:highlight w:val="none"/>
        </w:rPr>
      </w:pPr>
    </w:p>
    <w:p w14:paraId="089141EC">
      <w:pPr>
        <w:pStyle w:val="22"/>
        <w:rPr>
          <w:rFonts w:hint="eastAsia"/>
          <w:highlight w:val="none"/>
        </w:rPr>
      </w:pPr>
    </w:p>
    <w:p w14:paraId="58A2F920">
      <w:pP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br w:type="page"/>
      </w:r>
    </w:p>
    <w:p w14:paraId="6722E7C3">
      <w:pPr>
        <w:widowControl/>
        <w:spacing w:line="420" w:lineRule="atLeast"/>
        <w:textAlignment w:val="baseline"/>
        <w:outlineLvl w:val="0"/>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rPr>
        <w:t>附件</w:t>
      </w:r>
      <w:bookmarkEnd w:id="97"/>
      <w:r>
        <w:rPr>
          <w:rFonts w:hint="eastAsia" w:ascii="宋体" w:hAnsi="宋体" w:cs="宋体"/>
          <w:b/>
          <w:bCs/>
          <w:color w:val="auto"/>
          <w:kern w:val="0"/>
          <w:sz w:val="24"/>
          <w:szCs w:val="24"/>
          <w:highlight w:val="none"/>
          <w:lang w:val="en-US" w:eastAsia="zh-CN"/>
        </w:rPr>
        <w:t>10</w:t>
      </w:r>
    </w:p>
    <w:p w14:paraId="525E3018">
      <w:pPr>
        <w:widowControl/>
        <w:spacing w:line="420" w:lineRule="atLeast"/>
        <w:jc w:val="center"/>
        <w:textAlignment w:val="baseline"/>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开标一览表（初次报价）</w:t>
      </w:r>
    </w:p>
    <w:p w14:paraId="0AC380F1">
      <w:pPr>
        <w:pStyle w:val="30"/>
        <w:ind w:firstLine="42"/>
        <w:rPr>
          <w:rFonts w:hint="eastAsia" w:ascii="宋体" w:hAnsi="宋体" w:eastAsia="宋体"/>
          <w:color w:val="auto"/>
          <w:highlight w:val="none"/>
          <w:lang w:eastAsia="zh-CN"/>
        </w:rPr>
      </w:pPr>
      <w:r>
        <w:rPr>
          <w:rFonts w:hint="eastAsia" w:ascii="宋体" w:hAnsi="宋体" w:eastAsia="宋体"/>
          <w:color w:val="auto"/>
          <w:highlight w:val="none"/>
        </w:rPr>
        <w:t xml:space="preserve">项目名称： </w:t>
      </w:r>
      <w:r>
        <w:rPr>
          <w:rFonts w:hint="eastAsia" w:ascii="宋体" w:hAnsi="宋体" w:eastAsia="宋体"/>
          <w:color w:val="auto"/>
          <w:highlight w:val="none"/>
          <w:lang w:eastAsia="zh-CN"/>
        </w:rPr>
        <w:t>常山县招贤镇2024-2025年松材线虫病枯死松树第二轮清理</w:t>
      </w:r>
    </w:p>
    <w:p w14:paraId="4096902E">
      <w:pPr>
        <w:pStyle w:val="30"/>
        <w:ind w:firstLine="42"/>
        <w:rPr>
          <w:rFonts w:hint="eastAsia" w:ascii="宋体" w:hAnsi="宋体" w:eastAsia="宋体"/>
          <w:color w:val="auto"/>
          <w:highlight w:val="none"/>
          <w:lang w:eastAsia="zh-CN"/>
        </w:rPr>
      </w:pPr>
      <w:r>
        <w:rPr>
          <w:rFonts w:hint="eastAsia" w:ascii="宋体" w:hAnsi="宋体" w:eastAsia="宋体"/>
          <w:color w:val="auto"/>
          <w:highlight w:val="none"/>
        </w:rPr>
        <w:t>项目编号：</w:t>
      </w:r>
      <w:r>
        <w:rPr>
          <w:rFonts w:hint="eastAsia" w:ascii="宋体" w:hAnsi="宋体" w:eastAsia="宋体"/>
          <w:color w:val="auto"/>
          <w:highlight w:val="none"/>
          <w:lang w:eastAsia="zh-CN"/>
        </w:rPr>
        <w:t>CSKC-CS202506</w:t>
      </w:r>
    </w:p>
    <w:tbl>
      <w:tblPr>
        <w:tblStyle w:val="3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520"/>
        <w:gridCol w:w="6437"/>
      </w:tblGrid>
      <w:tr w14:paraId="72F4E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09" w:type="dxa"/>
            <w:tcBorders>
              <w:bottom w:val="single" w:color="auto" w:sz="4" w:space="0"/>
              <w:right w:val="single" w:color="auto" w:sz="4" w:space="0"/>
            </w:tcBorders>
            <w:noWrap w:val="0"/>
            <w:vAlign w:val="center"/>
          </w:tcPr>
          <w:p w14:paraId="0D631A67">
            <w:pPr>
              <w:pStyle w:val="17"/>
              <w:jc w:val="center"/>
              <w:rPr>
                <w:rFonts w:hAnsi="宋体" w:eastAsia="宋体"/>
                <w:highlight w:val="none"/>
              </w:rPr>
            </w:pPr>
            <w:r>
              <w:rPr>
                <w:rFonts w:hint="eastAsia" w:hAnsi="宋体" w:eastAsia="宋体"/>
                <w:highlight w:val="none"/>
              </w:rPr>
              <w:t>序号</w:t>
            </w:r>
          </w:p>
        </w:tc>
        <w:tc>
          <w:tcPr>
            <w:tcW w:w="2520" w:type="dxa"/>
            <w:tcBorders>
              <w:left w:val="single" w:color="auto" w:sz="4" w:space="0"/>
              <w:bottom w:val="single" w:color="auto" w:sz="4" w:space="0"/>
              <w:right w:val="single" w:color="auto" w:sz="4" w:space="0"/>
            </w:tcBorders>
            <w:noWrap w:val="0"/>
            <w:vAlign w:val="center"/>
          </w:tcPr>
          <w:p w14:paraId="71B42DA5">
            <w:pPr>
              <w:pStyle w:val="17"/>
              <w:jc w:val="center"/>
              <w:rPr>
                <w:rFonts w:hAnsi="宋体" w:eastAsia="宋体"/>
                <w:highlight w:val="none"/>
              </w:rPr>
            </w:pPr>
            <w:r>
              <w:rPr>
                <w:rFonts w:hint="eastAsia" w:hAnsi="宋体" w:eastAsia="宋体"/>
                <w:highlight w:val="none"/>
              </w:rPr>
              <w:t>名称</w:t>
            </w:r>
          </w:p>
        </w:tc>
        <w:tc>
          <w:tcPr>
            <w:tcW w:w="6437" w:type="dxa"/>
            <w:tcBorders>
              <w:left w:val="single" w:color="auto" w:sz="4" w:space="0"/>
              <w:bottom w:val="single" w:color="auto" w:sz="4" w:space="0"/>
            </w:tcBorders>
            <w:noWrap w:val="0"/>
            <w:vAlign w:val="center"/>
          </w:tcPr>
          <w:p w14:paraId="66A64844">
            <w:pPr>
              <w:pStyle w:val="17"/>
              <w:jc w:val="center"/>
              <w:rPr>
                <w:rFonts w:hAnsi="宋体" w:eastAsia="宋体"/>
                <w:highlight w:val="none"/>
              </w:rPr>
            </w:pPr>
            <w:r>
              <w:rPr>
                <w:rFonts w:hint="eastAsia" w:hAnsi="宋体" w:eastAsia="宋体"/>
                <w:highlight w:val="none"/>
              </w:rPr>
              <w:t>内容</w:t>
            </w:r>
          </w:p>
        </w:tc>
      </w:tr>
      <w:tr w14:paraId="1C8BB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709" w:type="dxa"/>
            <w:tcBorders>
              <w:bottom w:val="single" w:color="auto" w:sz="4" w:space="0"/>
              <w:right w:val="single" w:color="auto" w:sz="4" w:space="0"/>
            </w:tcBorders>
            <w:noWrap w:val="0"/>
            <w:vAlign w:val="center"/>
          </w:tcPr>
          <w:p w14:paraId="230D9530">
            <w:pPr>
              <w:pStyle w:val="17"/>
              <w:jc w:val="center"/>
              <w:rPr>
                <w:rFonts w:hAnsi="宋体" w:eastAsia="宋体"/>
                <w:highlight w:val="none"/>
              </w:rPr>
            </w:pPr>
            <w:r>
              <w:rPr>
                <w:rFonts w:hint="eastAsia" w:hAnsi="宋体" w:eastAsia="宋体"/>
                <w:highlight w:val="none"/>
              </w:rPr>
              <w:t>一</w:t>
            </w:r>
          </w:p>
        </w:tc>
        <w:tc>
          <w:tcPr>
            <w:tcW w:w="2520" w:type="dxa"/>
            <w:tcBorders>
              <w:left w:val="single" w:color="auto" w:sz="4" w:space="0"/>
              <w:bottom w:val="single" w:color="auto" w:sz="4" w:space="0"/>
              <w:right w:val="single" w:color="auto" w:sz="4" w:space="0"/>
            </w:tcBorders>
            <w:noWrap w:val="0"/>
            <w:vAlign w:val="center"/>
          </w:tcPr>
          <w:p w14:paraId="0F16FB05">
            <w:pPr>
              <w:pStyle w:val="17"/>
              <w:rPr>
                <w:rFonts w:hAnsi="宋体" w:eastAsia="宋体"/>
                <w:highlight w:val="none"/>
              </w:rPr>
            </w:pPr>
            <w:r>
              <w:rPr>
                <w:rFonts w:hint="eastAsia" w:hAnsi="宋体" w:eastAsia="宋体"/>
                <w:highlight w:val="none"/>
              </w:rPr>
              <w:t>综合单价（元/吨）</w:t>
            </w:r>
          </w:p>
        </w:tc>
        <w:tc>
          <w:tcPr>
            <w:tcW w:w="6437" w:type="dxa"/>
            <w:tcBorders>
              <w:top w:val="single" w:color="auto" w:sz="4" w:space="0"/>
              <w:left w:val="single" w:color="auto" w:sz="4" w:space="0"/>
              <w:bottom w:val="single" w:color="auto" w:sz="4" w:space="0"/>
            </w:tcBorders>
            <w:noWrap w:val="0"/>
            <w:vAlign w:val="center"/>
          </w:tcPr>
          <w:p w14:paraId="1065C60F">
            <w:pPr>
              <w:pStyle w:val="17"/>
              <w:rPr>
                <w:rFonts w:hint="eastAsia"/>
                <w:highlight w:val="none"/>
              </w:rPr>
            </w:pPr>
            <w:r>
              <w:rPr>
                <w:rFonts w:hint="eastAsia"/>
                <w:highlight w:val="none"/>
              </w:rPr>
              <w:t xml:space="preserve">小写：             大写：     </w:t>
            </w:r>
          </w:p>
          <w:p w14:paraId="05B5AAFF">
            <w:pPr>
              <w:rPr>
                <w:rFonts w:hint="eastAsia"/>
                <w:highlight w:val="none"/>
                <w:lang w:eastAsia="zh-CN"/>
              </w:rPr>
            </w:pPr>
            <w:r>
              <w:rPr>
                <w:rFonts w:hint="eastAsia"/>
                <w:b/>
                <w:bCs/>
                <w:highlight w:val="none"/>
                <w:lang w:eastAsia="zh-CN"/>
              </w:rPr>
              <w:t>本项目采用综合单价进行报价评审，请供应商报综合单价且总价不得超过最高限价，否则作废标处理。</w:t>
            </w:r>
          </w:p>
        </w:tc>
      </w:tr>
      <w:tr w14:paraId="2E814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jc w:val="center"/>
        </w:trPr>
        <w:tc>
          <w:tcPr>
            <w:tcW w:w="709" w:type="dxa"/>
            <w:tcBorders>
              <w:bottom w:val="single" w:color="auto" w:sz="4" w:space="0"/>
              <w:right w:val="single" w:color="auto" w:sz="4" w:space="0"/>
            </w:tcBorders>
            <w:noWrap w:val="0"/>
            <w:vAlign w:val="center"/>
          </w:tcPr>
          <w:p w14:paraId="161F3E71">
            <w:pPr>
              <w:pStyle w:val="17"/>
              <w:jc w:val="center"/>
              <w:rPr>
                <w:rFonts w:hint="eastAsia" w:hAnsi="宋体"/>
                <w:highlight w:val="none"/>
              </w:rPr>
            </w:pPr>
            <w:r>
              <w:rPr>
                <w:rFonts w:hint="eastAsia" w:hAnsi="宋体" w:eastAsia="宋体"/>
                <w:highlight w:val="none"/>
              </w:rPr>
              <w:t>二</w:t>
            </w:r>
          </w:p>
        </w:tc>
        <w:tc>
          <w:tcPr>
            <w:tcW w:w="2520" w:type="dxa"/>
            <w:tcBorders>
              <w:left w:val="single" w:color="auto" w:sz="4" w:space="0"/>
              <w:bottom w:val="single" w:color="auto" w:sz="4" w:space="0"/>
              <w:right w:val="single" w:color="auto" w:sz="4" w:space="0"/>
            </w:tcBorders>
            <w:noWrap w:val="0"/>
            <w:vAlign w:val="center"/>
          </w:tcPr>
          <w:p w14:paraId="42EF4AC8">
            <w:pPr>
              <w:pStyle w:val="17"/>
              <w:rPr>
                <w:rFonts w:hint="eastAsia" w:hAnsi="宋体" w:eastAsia="宋体"/>
                <w:highlight w:val="none"/>
                <w:lang w:eastAsia="zh-CN"/>
              </w:rPr>
            </w:pPr>
            <w:r>
              <w:rPr>
                <w:rFonts w:hint="eastAsia" w:hAnsi="宋体" w:eastAsia="宋体"/>
                <w:highlight w:val="none"/>
              </w:rPr>
              <w:t>投标总价</w:t>
            </w:r>
          </w:p>
        </w:tc>
        <w:tc>
          <w:tcPr>
            <w:tcW w:w="6437" w:type="dxa"/>
            <w:tcBorders>
              <w:top w:val="single" w:color="auto" w:sz="4" w:space="0"/>
              <w:left w:val="single" w:color="auto" w:sz="4" w:space="0"/>
              <w:bottom w:val="single" w:color="auto" w:sz="4" w:space="0"/>
            </w:tcBorders>
            <w:noWrap w:val="0"/>
            <w:vAlign w:val="center"/>
          </w:tcPr>
          <w:p w14:paraId="11A06049">
            <w:pPr>
              <w:pStyle w:val="17"/>
              <w:rPr>
                <w:rFonts w:hint="eastAsia" w:hAnsi="宋体"/>
                <w:highlight w:val="none"/>
              </w:rPr>
            </w:pPr>
            <w:r>
              <w:rPr>
                <w:rFonts w:hint="eastAsia" w:hAnsi="宋体" w:eastAsia="宋体"/>
                <w:highlight w:val="none"/>
              </w:rPr>
              <w:t xml:space="preserve">小写：             大写：     </w:t>
            </w:r>
          </w:p>
        </w:tc>
      </w:tr>
      <w:tr w14:paraId="294EE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09" w:type="dxa"/>
            <w:tcBorders>
              <w:top w:val="single" w:color="auto" w:sz="4" w:space="0"/>
              <w:bottom w:val="single" w:color="auto" w:sz="4" w:space="0"/>
              <w:right w:val="single" w:color="auto" w:sz="4" w:space="0"/>
            </w:tcBorders>
            <w:noWrap w:val="0"/>
            <w:vAlign w:val="center"/>
          </w:tcPr>
          <w:p w14:paraId="00BE0E0B">
            <w:pPr>
              <w:pStyle w:val="17"/>
              <w:jc w:val="center"/>
              <w:rPr>
                <w:rFonts w:hAnsi="宋体" w:eastAsia="宋体"/>
                <w:highlight w:val="none"/>
              </w:rPr>
            </w:pPr>
            <w:r>
              <w:rPr>
                <w:rFonts w:hint="eastAsia" w:hAnsi="宋体" w:eastAsia="宋体"/>
                <w:highlight w:val="none"/>
              </w:rPr>
              <w:t>三</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777B828A">
            <w:pPr>
              <w:pStyle w:val="17"/>
              <w:rPr>
                <w:rFonts w:hint="eastAsia" w:hAnsi="宋体" w:eastAsia="宋体"/>
                <w:highlight w:val="none"/>
              </w:rPr>
            </w:pPr>
            <w:r>
              <w:rPr>
                <w:rFonts w:hint="eastAsia" w:hAnsi="宋体" w:eastAsia="宋体"/>
                <w:highlight w:val="none"/>
              </w:rPr>
              <w:t>服务期</w:t>
            </w:r>
          </w:p>
        </w:tc>
        <w:tc>
          <w:tcPr>
            <w:tcW w:w="6437" w:type="dxa"/>
            <w:tcBorders>
              <w:top w:val="single" w:color="auto" w:sz="4" w:space="0"/>
              <w:left w:val="single" w:color="auto" w:sz="4" w:space="0"/>
              <w:bottom w:val="single" w:color="auto" w:sz="4" w:space="0"/>
            </w:tcBorders>
            <w:noWrap w:val="0"/>
            <w:vAlign w:val="center"/>
          </w:tcPr>
          <w:p w14:paraId="625469D9">
            <w:pPr>
              <w:pStyle w:val="17"/>
              <w:rPr>
                <w:rFonts w:hint="eastAsia" w:hAnsi="宋体" w:eastAsia="宋体"/>
                <w:highlight w:val="none"/>
                <w:u w:val="single"/>
                <w:lang w:eastAsia="zh-CN"/>
              </w:rPr>
            </w:pPr>
            <w:r>
              <w:rPr>
                <w:rFonts w:hint="eastAsia" w:hAnsi="宋体" w:eastAsia="宋体"/>
                <w:b/>
                <w:bCs/>
                <w:highlight w:val="none"/>
                <w:u w:val="none"/>
                <w:lang w:eastAsia="zh-CN"/>
              </w:rPr>
              <w:t>自合同签订之日起至2025年9月30日</w:t>
            </w:r>
          </w:p>
        </w:tc>
      </w:tr>
      <w:tr w14:paraId="14930B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3229" w:type="dxa"/>
            <w:gridSpan w:val="2"/>
            <w:tcBorders>
              <w:top w:val="single" w:color="auto" w:sz="4" w:space="0"/>
              <w:right w:val="single" w:color="auto" w:sz="4" w:space="0"/>
            </w:tcBorders>
            <w:noWrap w:val="0"/>
            <w:vAlign w:val="center"/>
          </w:tcPr>
          <w:p w14:paraId="570E81C0">
            <w:pPr>
              <w:pStyle w:val="17"/>
              <w:jc w:val="center"/>
              <w:rPr>
                <w:rFonts w:hAnsi="宋体" w:eastAsia="宋体"/>
                <w:highlight w:val="none"/>
              </w:rPr>
            </w:pPr>
            <w:r>
              <w:rPr>
                <w:rFonts w:hint="eastAsia" w:hAnsi="宋体" w:eastAsia="宋体"/>
                <w:highlight w:val="none"/>
              </w:rPr>
              <w:t>备注</w:t>
            </w:r>
          </w:p>
        </w:tc>
        <w:tc>
          <w:tcPr>
            <w:tcW w:w="6437" w:type="dxa"/>
            <w:tcBorders>
              <w:top w:val="single" w:color="auto" w:sz="4" w:space="0"/>
              <w:left w:val="single" w:color="auto" w:sz="4" w:space="0"/>
            </w:tcBorders>
            <w:noWrap w:val="0"/>
            <w:vAlign w:val="center"/>
          </w:tcPr>
          <w:p w14:paraId="576D226A">
            <w:pPr>
              <w:pStyle w:val="17"/>
              <w:rPr>
                <w:rFonts w:hAnsi="宋体" w:eastAsia="宋体"/>
                <w:highlight w:val="none"/>
              </w:rPr>
            </w:pPr>
            <w:r>
              <w:rPr>
                <w:rFonts w:hint="eastAsia" w:hAnsi="宋体" w:eastAsia="宋体"/>
                <w:highlight w:val="none"/>
              </w:rPr>
              <w:t>上述报价是本项目采购文件确定的采购范围内全部工作内容的价格表现。完成本项目采购范围内全部工作内容所需价款、企业应缴纳的税费及合理利润、合同包含的风险等所有采购文件提及或采购文件未提及的全部开支均已计入投标报价。</w:t>
            </w:r>
          </w:p>
        </w:tc>
      </w:tr>
    </w:tbl>
    <w:p w14:paraId="51CCB503">
      <w:pPr>
        <w:spacing w:line="360" w:lineRule="auto"/>
        <w:ind w:firstLine="219" w:firstLineChars="104"/>
        <w:jc w:val="left"/>
        <w:rPr>
          <w:rFonts w:hint="eastAsia" w:ascii="宋体" w:hAnsi="宋体" w:cs="宋体"/>
          <w:b/>
          <w:bCs/>
          <w:szCs w:val="21"/>
          <w:highlight w:val="none"/>
        </w:rPr>
      </w:pPr>
      <w:r>
        <w:rPr>
          <w:rFonts w:hint="eastAsia" w:ascii="宋体" w:hAnsi="宋体" w:cs="宋体"/>
          <w:b/>
          <w:bCs/>
          <w:szCs w:val="21"/>
          <w:highlight w:val="none"/>
        </w:rPr>
        <w:t>注：1、报价一经涂改，应在涂改处加盖单位公章或者由法定代表人或授权委托人签字或盖章，否则其投标作无效标处理。</w:t>
      </w:r>
    </w:p>
    <w:p w14:paraId="6A619D9F">
      <w:pPr>
        <w:spacing w:line="360" w:lineRule="auto"/>
        <w:ind w:firstLine="219" w:firstLineChars="104"/>
        <w:jc w:val="left"/>
        <w:rPr>
          <w:rFonts w:hint="eastAsia" w:ascii="宋体" w:hAnsi="宋体" w:cs="宋体"/>
          <w:b/>
          <w:bCs/>
          <w:szCs w:val="21"/>
          <w:highlight w:val="none"/>
        </w:rPr>
      </w:pPr>
      <w:r>
        <w:rPr>
          <w:rFonts w:hint="eastAsia" w:ascii="宋体" w:hAnsi="宋体" w:cs="宋体"/>
          <w:b/>
          <w:bCs/>
          <w:szCs w:val="21"/>
          <w:highlight w:val="none"/>
        </w:rPr>
        <w:t>2、本次报价采用综合单价（除人工费用外，还应包括本次项目实施所需的设备及物资、运费、装卸费、税费、利润、采伐设计费、采伐监管费、保险费、政策性文件规定及合同包含的所有风险、责任等全部费用。</w:t>
      </w:r>
    </w:p>
    <w:p w14:paraId="0E5028DF">
      <w:pPr>
        <w:spacing w:line="360" w:lineRule="auto"/>
        <w:ind w:firstLine="219" w:firstLineChars="104"/>
        <w:jc w:val="left"/>
        <w:rPr>
          <w:rFonts w:hint="eastAsia" w:ascii="宋体" w:hAnsi="宋体" w:cs="宋体"/>
          <w:b/>
          <w:bCs/>
          <w:szCs w:val="21"/>
          <w:highlight w:val="none"/>
        </w:rPr>
      </w:pPr>
      <w:r>
        <w:rPr>
          <w:rFonts w:hint="eastAsia" w:ascii="宋体" w:hAnsi="宋体" w:cs="宋体"/>
          <w:b/>
          <w:bCs/>
          <w:szCs w:val="21"/>
          <w:highlight w:val="none"/>
        </w:rPr>
        <w:t>3、本项目松树枯死木的重量</w:t>
      </w:r>
      <w:r>
        <w:rPr>
          <w:rFonts w:hint="eastAsia" w:ascii="宋体" w:hAnsi="宋体" w:cs="宋体"/>
          <w:b/>
          <w:bCs/>
          <w:szCs w:val="21"/>
          <w:highlight w:val="none"/>
          <w:lang w:eastAsia="zh-CN"/>
        </w:rPr>
        <w:t>不定</w:t>
      </w:r>
      <w:r>
        <w:rPr>
          <w:rFonts w:hint="eastAsia" w:ascii="宋体" w:hAnsi="宋体" w:cs="宋体"/>
          <w:b/>
          <w:bCs/>
          <w:szCs w:val="21"/>
          <w:highlight w:val="none"/>
        </w:rPr>
        <w:t>，结算重量以实际的过磅重量为准（送定点加工企业的枯死松木，以企业过磅单据为准）。</w:t>
      </w:r>
    </w:p>
    <w:p w14:paraId="6DD0A34B">
      <w:pPr>
        <w:spacing w:line="360" w:lineRule="auto"/>
        <w:ind w:firstLine="219" w:firstLineChars="104"/>
        <w:jc w:val="left"/>
        <w:rPr>
          <w:rFonts w:hint="eastAsia" w:ascii="宋体" w:hAnsi="宋体" w:cs="宋体"/>
          <w:b/>
          <w:bCs/>
          <w:szCs w:val="21"/>
          <w:highlight w:val="none"/>
        </w:rPr>
      </w:pPr>
      <w:r>
        <w:rPr>
          <w:rFonts w:hint="eastAsia" w:ascii="宋体" w:hAnsi="宋体" w:cs="宋体"/>
          <w:b/>
          <w:bCs/>
          <w:szCs w:val="21"/>
          <w:highlight w:val="none"/>
        </w:rPr>
        <w:t>4、最终结算金额=中标单价乘以实际清理数量（吨）。</w:t>
      </w:r>
    </w:p>
    <w:p w14:paraId="4650283D">
      <w:pPr>
        <w:spacing w:line="360" w:lineRule="auto"/>
        <w:ind w:firstLine="602" w:firstLineChars="300"/>
        <w:textAlignment w:val="baseline"/>
        <w:rPr>
          <w:rFonts w:ascii="宋体" w:hAnsi="宋体" w:cs="宋体"/>
          <w:b/>
          <w:bCs/>
          <w:color w:val="auto"/>
          <w:sz w:val="20"/>
          <w:szCs w:val="21"/>
          <w:highlight w:val="none"/>
        </w:rPr>
      </w:pPr>
    </w:p>
    <w:p w14:paraId="5948455D">
      <w:pPr>
        <w:snapToGrid w:val="0"/>
        <w:spacing w:before="156" w:after="156"/>
        <w:ind w:firstLine="424" w:firstLineChars="177"/>
        <w:textAlignment w:val="baseline"/>
        <w:rPr>
          <w:rFonts w:ascii="宋体" w:hAnsi="宋体" w:cs="宋体"/>
          <w:color w:val="auto"/>
          <w:sz w:val="24"/>
          <w:highlight w:val="none"/>
        </w:rPr>
      </w:pPr>
    </w:p>
    <w:p w14:paraId="5D35CEA9">
      <w:pPr>
        <w:snapToGrid w:val="0"/>
        <w:spacing w:before="156" w:after="156"/>
        <w:ind w:firstLine="424" w:firstLineChars="177"/>
        <w:textAlignment w:val="baseline"/>
        <w:rPr>
          <w:rFonts w:ascii="宋体" w:hAnsi="宋体" w:cs="宋体"/>
          <w:color w:val="auto"/>
          <w:sz w:val="24"/>
          <w:highlight w:val="none"/>
        </w:rPr>
      </w:pPr>
    </w:p>
    <w:p w14:paraId="342C83A3">
      <w:pPr>
        <w:spacing w:line="440" w:lineRule="exact"/>
        <w:ind w:firstLine="4860"/>
        <w:jc w:val="left"/>
        <w:textAlignment w:val="baseline"/>
        <w:rPr>
          <w:rFonts w:ascii="宋体" w:hAnsi="宋体" w:cs="宋体"/>
          <w:b/>
          <w:bCs/>
          <w:color w:val="auto"/>
          <w:sz w:val="20"/>
          <w:szCs w:val="21"/>
          <w:highlight w:val="none"/>
          <w:u w:val="single" w:color="000000"/>
        </w:rPr>
      </w:pPr>
      <w:r>
        <w:rPr>
          <w:rFonts w:hint="eastAsia" w:ascii="宋体" w:hAnsi="宋体" w:cs="宋体"/>
          <w:b/>
          <w:bCs/>
          <w:color w:val="auto"/>
          <w:sz w:val="24"/>
          <w:highlight w:val="none"/>
        </w:rPr>
        <w:t>供应商名称（盖章）：</w:t>
      </w:r>
    </w:p>
    <w:p w14:paraId="6A965CBE">
      <w:pPr>
        <w:spacing w:line="440" w:lineRule="exact"/>
        <w:ind w:firstLine="4860"/>
        <w:jc w:val="left"/>
        <w:textAlignment w:val="baseline"/>
        <w:rPr>
          <w:rFonts w:ascii="宋体" w:hAnsi="宋体" w:cs="宋体"/>
          <w:color w:val="auto"/>
          <w:sz w:val="20"/>
          <w:szCs w:val="21"/>
          <w:highlight w:val="none"/>
          <w:u w:val="single" w:color="000000"/>
        </w:rPr>
      </w:pPr>
      <w:r>
        <w:rPr>
          <w:rFonts w:hint="eastAsia" w:ascii="宋体" w:hAnsi="宋体" w:cs="宋体"/>
          <w:b/>
          <w:bCs/>
          <w:color w:val="auto"/>
          <w:szCs w:val="21"/>
          <w:highlight w:val="none"/>
        </w:rPr>
        <w:t>日期：年月日</w:t>
      </w:r>
    </w:p>
    <w:p w14:paraId="387C1213">
      <w:pPr>
        <w:spacing w:line="380" w:lineRule="exact"/>
        <w:ind w:left="359" w:leftChars="171"/>
        <w:textAlignment w:val="baseline"/>
        <w:rPr>
          <w:rFonts w:ascii="宋体" w:hAnsi="宋体" w:cs="宋体"/>
          <w:color w:val="auto"/>
          <w:sz w:val="22"/>
          <w:highlight w:val="none"/>
        </w:rPr>
      </w:pPr>
    </w:p>
    <w:p w14:paraId="310EA0C0">
      <w:pPr>
        <w:spacing w:line="380" w:lineRule="exact"/>
        <w:ind w:left="359" w:leftChars="171"/>
        <w:textAlignment w:val="baseline"/>
        <w:rPr>
          <w:rFonts w:ascii="宋体" w:hAnsi="宋体" w:cs="宋体"/>
          <w:color w:val="auto"/>
          <w:sz w:val="22"/>
          <w:highlight w:val="none"/>
        </w:rPr>
      </w:pPr>
    </w:p>
    <w:p w14:paraId="4608B84B">
      <w:pPr>
        <w:rPr>
          <w:rFonts w:hint="eastAsia" w:hAnsi="宋体" w:cs="宋体"/>
          <w:b/>
          <w:bCs/>
          <w:color w:val="auto"/>
          <w:sz w:val="32"/>
          <w:szCs w:val="32"/>
          <w:highlight w:val="none"/>
        </w:rPr>
      </w:pPr>
      <w:bookmarkStart w:id="98" w:name="_Toc5875"/>
      <w:r>
        <w:rPr>
          <w:rFonts w:hint="eastAsia" w:hAnsi="宋体" w:cs="宋体"/>
          <w:b/>
          <w:bCs/>
          <w:color w:val="auto"/>
          <w:sz w:val="32"/>
          <w:szCs w:val="32"/>
          <w:highlight w:val="none"/>
        </w:rPr>
        <w:br w:type="page"/>
      </w:r>
    </w:p>
    <w:p w14:paraId="15BB86CE">
      <w:pPr>
        <w:jc w:val="center"/>
        <w:rPr>
          <w:rFonts w:hAnsi="宋体" w:cs="宋体"/>
          <w:b/>
          <w:bCs/>
          <w:color w:val="auto"/>
          <w:sz w:val="32"/>
          <w:szCs w:val="32"/>
          <w:highlight w:val="none"/>
        </w:rPr>
      </w:pPr>
      <w:r>
        <w:rPr>
          <w:rFonts w:hint="eastAsia" w:hAnsi="宋体" w:cs="宋体"/>
          <w:b/>
          <w:bCs/>
          <w:color w:val="auto"/>
          <w:sz w:val="32"/>
          <w:szCs w:val="32"/>
          <w:highlight w:val="none"/>
        </w:rPr>
        <w:t>政府采购活动现场确认声明书</w:t>
      </w:r>
      <w:bookmarkEnd w:id="98"/>
    </w:p>
    <w:p w14:paraId="30C0906B">
      <w:pPr>
        <w:pStyle w:val="98"/>
        <w:numPr>
          <w:ilvl w:val="0"/>
          <w:numId w:val="0"/>
        </w:numPr>
        <w:snapToGrid w:val="0"/>
        <w:spacing w:line="440" w:lineRule="exact"/>
        <w:ind w:left="227"/>
        <w:rPr>
          <w:rFonts w:hAnsi="宋体" w:cs="宋体"/>
          <w:bCs/>
          <w:color w:val="auto"/>
          <w:sz w:val="24"/>
          <w:szCs w:val="24"/>
          <w:highlight w:val="none"/>
        </w:rPr>
      </w:pPr>
      <w:r>
        <w:rPr>
          <w:rFonts w:hint="eastAsia" w:hAnsi="宋体" w:cs="宋体"/>
          <w:color w:val="auto"/>
          <w:sz w:val="24"/>
          <w:szCs w:val="24"/>
          <w:highlight w:val="none"/>
          <w:lang w:eastAsia="zh-CN"/>
        </w:rPr>
        <w:t>衢州市开成工程造价咨询事务所有限公司</w:t>
      </w:r>
      <w:r>
        <w:rPr>
          <w:rFonts w:hint="eastAsia" w:hAnsi="宋体" w:cs="宋体"/>
          <w:color w:val="auto"/>
          <w:sz w:val="24"/>
          <w:szCs w:val="24"/>
          <w:highlight w:val="none"/>
        </w:rPr>
        <w:t>：</w:t>
      </w:r>
    </w:p>
    <w:p w14:paraId="286FDD8E">
      <w:pPr>
        <w:pStyle w:val="98"/>
        <w:numPr>
          <w:ilvl w:val="0"/>
          <w:numId w:val="0"/>
        </w:numPr>
        <w:snapToGrid w:val="0"/>
        <w:spacing w:line="440" w:lineRule="exact"/>
        <w:ind w:left="420" w:leftChars="200"/>
        <w:rPr>
          <w:rFonts w:hAnsi="宋体" w:cs="宋体"/>
          <w:color w:val="auto"/>
          <w:spacing w:val="6"/>
          <w:sz w:val="24"/>
          <w:szCs w:val="24"/>
          <w:highlight w:val="none"/>
          <w:u w:val="single"/>
        </w:rPr>
      </w:pPr>
      <w:r>
        <w:rPr>
          <w:rFonts w:hint="eastAsia" w:hAnsi="宋体" w:cs="宋体"/>
          <w:color w:val="auto"/>
          <w:spacing w:val="6"/>
          <w:sz w:val="24"/>
          <w:szCs w:val="24"/>
          <w:highlight w:val="none"/>
        </w:rPr>
        <w:t>本人</w:t>
      </w:r>
      <w:r>
        <w:rPr>
          <w:rFonts w:hint="eastAsia" w:hAnsi="宋体" w:cs="宋体"/>
          <w:color w:val="auto"/>
          <w:spacing w:val="6"/>
          <w:sz w:val="24"/>
          <w:szCs w:val="24"/>
          <w:highlight w:val="none"/>
          <w:u w:val="single"/>
        </w:rPr>
        <w:t xml:space="preserve">        </w:t>
      </w:r>
      <w:r>
        <w:rPr>
          <w:rFonts w:hint="eastAsia" w:hAnsi="宋体" w:cs="宋体"/>
          <w:color w:val="auto"/>
          <w:spacing w:val="6"/>
          <w:sz w:val="24"/>
          <w:szCs w:val="24"/>
          <w:highlight w:val="none"/>
        </w:rPr>
        <w:t>（授权代表姓名），经由</w:t>
      </w:r>
      <w:r>
        <w:rPr>
          <w:rFonts w:hint="eastAsia" w:hAnsi="宋体" w:cs="宋体"/>
          <w:color w:val="auto"/>
          <w:spacing w:val="6"/>
          <w:sz w:val="24"/>
          <w:szCs w:val="24"/>
          <w:highlight w:val="none"/>
          <w:u w:val="single"/>
        </w:rPr>
        <w:t xml:space="preserve">                              </w:t>
      </w:r>
      <w:r>
        <w:rPr>
          <w:rFonts w:hint="eastAsia" w:hAnsi="宋体" w:cs="宋体"/>
          <w:color w:val="auto"/>
          <w:spacing w:val="6"/>
          <w:sz w:val="24"/>
          <w:szCs w:val="24"/>
          <w:highlight w:val="none"/>
        </w:rPr>
        <w:t>（单位）</w:t>
      </w:r>
      <w:r>
        <w:rPr>
          <w:rFonts w:hint="eastAsia" w:hAnsi="宋体" w:cs="宋体"/>
          <w:color w:val="auto"/>
          <w:spacing w:val="6"/>
          <w:sz w:val="24"/>
          <w:szCs w:val="24"/>
          <w:highlight w:val="none"/>
          <w:u w:val="single"/>
        </w:rPr>
        <w:t xml:space="preserve">         </w:t>
      </w:r>
    </w:p>
    <w:p w14:paraId="6760FD06">
      <w:pPr>
        <w:pStyle w:val="98"/>
        <w:numPr>
          <w:ilvl w:val="0"/>
          <w:numId w:val="0"/>
        </w:numPr>
        <w:wordWrap w:val="0"/>
        <w:snapToGrid w:val="0"/>
        <w:spacing w:line="440" w:lineRule="exact"/>
        <w:ind w:left="227"/>
        <w:rPr>
          <w:rFonts w:hAnsi="宋体" w:cs="宋体"/>
          <w:color w:val="auto"/>
          <w:spacing w:val="6"/>
          <w:sz w:val="24"/>
          <w:szCs w:val="24"/>
          <w:highlight w:val="none"/>
        </w:rPr>
      </w:pPr>
      <w:r>
        <w:rPr>
          <w:rFonts w:hint="eastAsia" w:hAnsi="宋体" w:cs="宋体"/>
          <w:color w:val="auto"/>
          <w:spacing w:val="6"/>
          <w:sz w:val="24"/>
          <w:szCs w:val="24"/>
          <w:highlight w:val="none"/>
          <w:u w:val="single"/>
        </w:rPr>
        <w:t xml:space="preserve">                 </w:t>
      </w:r>
      <w:r>
        <w:rPr>
          <w:rFonts w:hint="eastAsia" w:hAnsi="宋体" w:cs="宋体"/>
          <w:color w:val="auto"/>
          <w:spacing w:val="6"/>
          <w:sz w:val="24"/>
          <w:szCs w:val="24"/>
          <w:highlight w:val="none"/>
        </w:rPr>
        <w:t>（法定代表人姓名）合法授权参加</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eastAsia="zh-CN"/>
        </w:rPr>
        <w:t>常山县招贤镇2024-2025年松材线虫病枯死松树第二轮清理</w:t>
      </w:r>
      <w:r>
        <w:rPr>
          <w:rFonts w:hint="eastAsia" w:hAnsi="宋体" w:cs="宋体"/>
          <w:color w:val="auto"/>
          <w:spacing w:val="6"/>
          <w:sz w:val="24"/>
          <w:szCs w:val="24"/>
          <w:highlight w:val="none"/>
        </w:rPr>
        <w:t>（编号：</w:t>
      </w:r>
      <w:r>
        <w:rPr>
          <w:rFonts w:hint="eastAsia" w:hAnsi="宋体" w:cs="宋体"/>
          <w:color w:val="auto"/>
          <w:spacing w:val="6"/>
          <w:sz w:val="24"/>
          <w:szCs w:val="24"/>
          <w:highlight w:val="none"/>
          <w:u w:val="single"/>
          <w:lang w:eastAsia="zh-CN"/>
        </w:rPr>
        <w:t>CSKC-CS202506</w:t>
      </w:r>
      <w:r>
        <w:rPr>
          <w:rFonts w:hint="eastAsia" w:hAnsi="宋体" w:cs="宋体"/>
          <w:color w:val="auto"/>
          <w:spacing w:val="6"/>
          <w:sz w:val="24"/>
          <w:szCs w:val="24"/>
          <w:highlight w:val="none"/>
        </w:rPr>
        <w:t xml:space="preserve">）政府采购活动，经与本单位法人代表（负责人）联系确认，现就有关公平竞争事项郑重声明如下： </w:t>
      </w:r>
    </w:p>
    <w:p w14:paraId="0D5F27B3">
      <w:pPr>
        <w:pStyle w:val="53"/>
        <w:widowControl/>
        <w:numPr>
          <w:ilvl w:val="0"/>
          <w:numId w:val="11"/>
        </w:numPr>
        <w:snapToGrid w:val="0"/>
        <w:spacing w:line="440" w:lineRule="exact"/>
        <w:ind w:firstLine="453" w:firstLineChars="189"/>
        <w:rPr>
          <w:rFonts w:ascii="宋体" w:cs="宋体"/>
          <w:color w:val="auto"/>
          <w:kern w:val="0"/>
          <w:sz w:val="24"/>
          <w:highlight w:val="none"/>
        </w:rPr>
      </w:pPr>
      <w:r>
        <w:rPr>
          <w:rFonts w:hint="eastAsia" w:ascii="宋体" w:cs="宋体"/>
          <w:color w:val="auto"/>
          <w:kern w:val="0"/>
          <w:sz w:val="24"/>
          <w:highlight w:val="none"/>
        </w:rPr>
        <w:t>本单位与采购人之间 □不存在利害关系 □存在下列利害关系</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w:t>
      </w:r>
    </w:p>
    <w:p w14:paraId="5E64848B">
      <w:pPr>
        <w:pStyle w:val="53"/>
        <w:widowControl/>
        <w:numPr>
          <w:ilvl w:val="0"/>
          <w:numId w:val="0"/>
        </w:numPr>
        <w:snapToGrid w:val="0"/>
        <w:spacing w:line="440" w:lineRule="exact"/>
        <w:ind w:left="227"/>
        <w:rPr>
          <w:rFonts w:ascii="宋体" w:cs="宋体"/>
          <w:color w:val="auto"/>
          <w:kern w:val="0"/>
          <w:sz w:val="24"/>
          <w:highlight w:val="none"/>
        </w:rPr>
      </w:pPr>
      <w:r>
        <w:rPr>
          <w:rFonts w:hint="eastAsia" w:ascii="宋体" w:cs="宋体"/>
          <w:color w:val="auto"/>
          <w:kern w:val="0"/>
          <w:sz w:val="24"/>
          <w:highlight w:val="none"/>
        </w:rPr>
        <w:t xml:space="preserve">  A.投资关系    B.行政隶属关系    C.业务指导关系</w:t>
      </w:r>
    </w:p>
    <w:p w14:paraId="61C474D5">
      <w:pPr>
        <w:pStyle w:val="53"/>
        <w:widowControl/>
        <w:numPr>
          <w:ilvl w:val="0"/>
          <w:numId w:val="0"/>
        </w:numPr>
        <w:snapToGrid w:val="0"/>
        <w:spacing w:line="440" w:lineRule="exact"/>
        <w:ind w:left="227"/>
        <w:rPr>
          <w:rFonts w:ascii="宋体" w:cs="宋体"/>
          <w:color w:val="auto"/>
          <w:kern w:val="0"/>
          <w:sz w:val="24"/>
          <w:highlight w:val="none"/>
        </w:rPr>
      </w:pPr>
      <w:r>
        <w:rPr>
          <w:rFonts w:hint="eastAsia" w:ascii="宋体" w:cs="宋体"/>
          <w:color w:val="auto"/>
          <w:kern w:val="0"/>
          <w:sz w:val="24"/>
          <w:highlight w:val="none"/>
        </w:rPr>
        <w:t xml:space="preserve">  D.其他可能</w:t>
      </w:r>
      <w:r>
        <w:rPr>
          <w:rFonts w:hint="eastAsia" w:ascii="宋体" w:cs="宋体"/>
          <w:color w:val="auto"/>
          <w:sz w:val="24"/>
          <w:highlight w:val="none"/>
        </w:rPr>
        <w:t>影响采购公正的</w:t>
      </w:r>
      <w:r>
        <w:rPr>
          <w:rFonts w:hint="eastAsia" w:ascii="宋体" w:cs="宋体"/>
          <w:color w:val="auto"/>
          <w:kern w:val="0"/>
          <w:sz w:val="24"/>
          <w:highlight w:val="none"/>
        </w:rPr>
        <w:t xml:space="preserve">利害关系（如有，请如实说明） </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w:t>
      </w:r>
    </w:p>
    <w:p w14:paraId="1558C7F0">
      <w:pPr>
        <w:pStyle w:val="53"/>
        <w:widowControl/>
        <w:numPr>
          <w:ilvl w:val="0"/>
          <w:numId w:val="11"/>
        </w:numPr>
        <w:snapToGrid w:val="0"/>
        <w:spacing w:line="440" w:lineRule="exact"/>
        <w:ind w:firstLine="453" w:firstLineChars="189"/>
        <w:rPr>
          <w:rFonts w:ascii="宋体" w:cs="宋体"/>
          <w:color w:val="auto"/>
          <w:kern w:val="0"/>
          <w:sz w:val="24"/>
          <w:highlight w:val="none"/>
        </w:rPr>
      </w:pPr>
      <w:r>
        <w:rPr>
          <w:rFonts w:hint="eastAsia" w:ascii="宋体" w:cs="宋体"/>
          <w:color w:val="auto"/>
          <w:kern w:val="0"/>
          <w:sz w:val="24"/>
          <w:highlight w:val="none"/>
        </w:rPr>
        <w:t xml:space="preserve">现已清楚知道参加本项目采购活动的其他所有供应商名称，本单位 □与其他所有供应商之间均不存在利害关系 □与 </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（供应商名称）之间存在下列利害关系</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w:t>
      </w:r>
    </w:p>
    <w:p w14:paraId="3934219E">
      <w:pPr>
        <w:pStyle w:val="98"/>
        <w:numPr>
          <w:ilvl w:val="0"/>
          <w:numId w:val="0"/>
        </w:numPr>
        <w:snapToGrid w:val="0"/>
        <w:spacing w:line="440" w:lineRule="exact"/>
        <w:ind w:left="227"/>
        <w:rPr>
          <w:rFonts w:hAnsi="宋体" w:cs="宋体"/>
          <w:color w:val="auto"/>
          <w:sz w:val="24"/>
          <w:szCs w:val="24"/>
          <w:highlight w:val="none"/>
        </w:rPr>
      </w:pPr>
      <w:r>
        <w:rPr>
          <w:rFonts w:hint="eastAsia" w:hAnsi="宋体" w:cs="宋体"/>
          <w:color w:val="auto"/>
          <w:sz w:val="24"/>
          <w:szCs w:val="24"/>
          <w:highlight w:val="none"/>
        </w:rPr>
        <w:t>A.法定代表人或负责人或实际控制人是同一人</w:t>
      </w:r>
    </w:p>
    <w:p w14:paraId="2FD8478A">
      <w:pPr>
        <w:pStyle w:val="98"/>
        <w:numPr>
          <w:ilvl w:val="0"/>
          <w:numId w:val="0"/>
        </w:numPr>
        <w:snapToGrid w:val="0"/>
        <w:spacing w:line="440" w:lineRule="exact"/>
        <w:ind w:left="227"/>
        <w:rPr>
          <w:rFonts w:hAnsi="宋体" w:cs="宋体"/>
          <w:color w:val="auto"/>
          <w:spacing w:val="6"/>
          <w:sz w:val="24"/>
          <w:szCs w:val="24"/>
          <w:highlight w:val="none"/>
        </w:rPr>
      </w:pPr>
      <w:r>
        <w:rPr>
          <w:rFonts w:hint="eastAsia" w:hAnsi="宋体" w:cs="宋体"/>
          <w:color w:val="auto"/>
          <w:sz w:val="24"/>
          <w:szCs w:val="24"/>
          <w:highlight w:val="none"/>
        </w:rPr>
        <w:t>B.法定代表人或负责人或实际控制人是夫妻关系</w:t>
      </w:r>
    </w:p>
    <w:p w14:paraId="27AB6105">
      <w:pPr>
        <w:pStyle w:val="98"/>
        <w:numPr>
          <w:ilvl w:val="0"/>
          <w:numId w:val="0"/>
        </w:numPr>
        <w:snapToGrid w:val="0"/>
        <w:spacing w:line="440" w:lineRule="exact"/>
        <w:ind w:left="227"/>
        <w:rPr>
          <w:rFonts w:hAnsi="宋体" w:cs="宋体"/>
          <w:color w:val="auto"/>
          <w:sz w:val="24"/>
          <w:szCs w:val="24"/>
          <w:highlight w:val="none"/>
        </w:rPr>
      </w:pPr>
      <w:r>
        <w:rPr>
          <w:rFonts w:hint="eastAsia" w:hAnsi="宋体" w:cs="宋体"/>
          <w:color w:val="auto"/>
          <w:sz w:val="24"/>
          <w:szCs w:val="24"/>
          <w:highlight w:val="none"/>
        </w:rPr>
        <w:t>C.法定代表人或负责人或实际控制人是直系血亲关系</w:t>
      </w:r>
    </w:p>
    <w:p w14:paraId="165F9AF3">
      <w:pPr>
        <w:pStyle w:val="98"/>
        <w:numPr>
          <w:ilvl w:val="0"/>
          <w:numId w:val="0"/>
        </w:numPr>
        <w:snapToGrid w:val="0"/>
        <w:spacing w:line="440" w:lineRule="exact"/>
        <w:ind w:firstLine="240" w:firstLineChars="100"/>
        <w:rPr>
          <w:rFonts w:hAnsi="宋体" w:cs="宋体"/>
          <w:color w:val="auto"/>
          <w:spacing w:val="6"/>
          <w:sz w:val="24"/>
          <w:szCs w:val="24"/>
          <w:highlight w:val="none"/>
        </w:rPr>
      </w:pPr>
      <w:r>
        <w:rPr>
          <w:rFonts w:hint="eastAsia" w:hAnsi="宋体" w:cs="宋体"/>
          <w:color w:val="auto"/>
          <w:sz w:val="24"/>
          <w:szCs w:val="24"/>
          <w:highlight w:val="none"/>
        </w:rPr>
        <w:t>D.法定代表人或负责人或实际控制人存在三代以内旁系血亲关系</w:t>
      </w:r>
    </w:p>
    <w:p w14:paraId="20235837">
      <w:pPr>
        <w:pStyle w:val="98"/>
        <w:numPr>
          <w:ilvl w:val="0"/>
          <w:numId w:val="0"/>
        </w:numPr>
        <w:snapToGrid w:val="0"/>
        <w:spacing w:line="440" w:lineRule="exact"/>
        <w:ind w:left="227"/>
        <w:rPr>
          <w:rFonts w:hAnsi="宋体" w:cs="宋体"/>
          <w:color w:val="auto"/>
          <w:sz w:val="24"/>
          <w:szCs w:val="24"/>
          <w:highlight w:val="none"/>
        </w:rPr>
      </w:pPr>
      <w:r>
        <w:rPr>
          <w:rFonts w:hint="eastAsia" w:hAnsi="宋体" w:cs="宋体"/>
          <w:color w:val="auto"/>
          <w:sz w:val="24"/>
          <w:szCs w:val="24"/>
          <w:highlight w:val="none"/>
        </w:rPr>
        <w:t>E.法定代表人或负责人或实际控制人存在近姻亲关系</w:t>
      </w:r>
    </w:p>
    <w:p w14:paraId="658EC87A">
      <w:pPr>
        <w:pStyle w:val="98"/>
        <w:numPr>
          <w:ilvl w:val="0"/>
          <w:numId w:val="0"/>
        </w:numPr>
        <w:snapToGrid w:val="0"/>
        <w:spacing w:line="440" w:lineRule="exact"/>
        <w:ind w:left="227"/>
        <w:rPr>
          <w:rFonts w:hAnsi="宋体" w:cs="宋体"/>
          <w:color w:val="auto"/>
          <w:sz w:val="24"/>
          <w:szCs w:val="24"/>
          <w:highlight w:val="none"/>
        </w:rPr>
      </w:pPr>
      <w:r>
        <w:rPr>
          <w:rFonts w:hint="eastAsia" w:hAnsi="宋体" w:cs="宋体"/>
          <w:color w:val="auto"/>
          <w:sz w:val="24"/>
          <w:szCs w:val="24"/>
          <w:highlight w:val="none"/>
        </w:rPr>
        <w:t>F.法定代表人或负责人或实际控制人存在股份控制或实际控制关系</w:t>
      </w:r>
    </w:p>
    <w:p w14:paraId="62C62553">
      <w:pPr>
        <w:pStyle w:val="98"/>
        <w:numPr>
          <w:ilvl w:val="0"/>
          <w:numId w:val="0"/>
        </w:numPr>
        <w:snapToGrid w:val="0"/>
        <w:spacing w:line="440" w:lineRule="exact"/>
        <w:ind w:left="227"/>
        <w:rPr>
          <w:rFonts w:hAnsi="宋体" w:cs="宋体"/>
          <w:color w:val="auto"/>
          <w:sz w:val="24"/>
          <w:szCs w:val="24"/>
          <w:highlight w:val="none"/>
        </w:rPr>
      </w:pPr>
      <w:r>
        <w:rPr>
          <w:rFonts w:hint="eastAsia" w:hAnsi="宋体" w:cs="宋体"/>
          <w:color w:val="auto"/>
          <w:sz w:val="24"/>
          <w:szCs w:val="24"/>
          <w:highlight w:val="none"/>
        </w:rPr>
        <w:t>G.存在共同直接或间接投资设立子公司、联营企业和合营企业情况</w:t>
      </w:r>
    </w:p>
    <w:p w14:paraId="33909197">
      <w:pPr>
        <w:pStyle w:val="98"/>
        <w:numPr>
          <w:ilvl w:val="0"/>
          <w:numId w:val="0"/>
        </w:numPr>
        <w:snapToGrid w:val="0"/>
        <w:spacing w:line="440" w:lineRule="exact"/>
        <w:ind w:left="227"/>
        <w:rPr>
          <w:rFonts w:hAnsi="宋体" w:cs="宋体"/>
          <w:color w:val="auto"/>
          <w:sz w:val="24"/>
          <w:szCs w:val="24"/>
          <w:highlight w:val="none"/>
        </w:rPr>
      </w:pPr>
      <w:r>
        <w:rPr>
          <w:rFonts w:hint="eastAsia" w:hAnsi="宋体" w:cs="宋体"/>
          <w:color w:val="auto"/>
          <w:sz w:val="24"/>
          <w:szCs w:val="24"/>
          <w:highlight w:val="none"/>
        </w:rPr>
        <w:t>H.存在分级代理或代销关系、同一生产制造商关系、管理关系、重要业务（占主营业务收入50%以上）或重要财务往来关系（如融资）等其他实质性控制关系</w:t>
      </w:r>
    </w:p>
    <w:p w14:paraId="44E800CD">
      <w:pPr>
        <w:pStyle w:val="98"/>
        <w:numPr>
          <w:ilvl w:val="0"/>
          <w:numId w:val="0"/>
        </w:numPr>
        <w:snapToGrid w:val="0"/>
        <w:spacing w:line="440" w:lineRule="exact"/>
        <w:ind w:left="227"/>
        <w:outlineLvl w:val="0"/>
        <w:rPr>
          <w:rFonts w:hAnsi="宋体" w:cs="宋体"/>
          <w:color w:val="auto"/>
          <w:spacing w:val="6"/>
          <w:sz w:val="24"/>
          <w:szCs w:val="24"/>
          <w:highlight w:val="none"/>
        </w:rPr>
      </w:pPr>
      <w:bookmarkStart w:id="99" w:name="_Toc680"/>
      <w:bookmarkStart w:id="100" w:name="_Toc22681"/>
      <w:r>
        <w:rPr>
          <w:rFonts w:hint="eastAsia" w:hAnsi="宋体" w:cs="宋体"/>
          <w:color w:val="auto"/>
          <w:sz w:val="24"/>
          <w:szCs w:val="24"/>
          <w:highlight w:val="none"/>
        </w:rPr>
        <w:t>I.其他利害关系情况</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bookmarkEnd w:id="99"/>
      <w:bookmarkEnd w:id="100"/>
    </w:p>
    <w:p w14:paraId="1A501A5F">
      <w:pPr>
        <w:pStyle w:val="53"/>
        <w:widowControl/>
        <w:numPr>
          <w:ilvl w:val="0"/>
          <w:numId w:val="12"/>
        </w:numPr>
        <w:snapToGrid w:val="0"/>
        <w:spacing w:line="440" w:lineRule="exact"/>
        <w:ind w:firstLine="453" w:firstLineChars="189"/>
        <w:rPr>
          <w:rFonts w:ascii="宋体" w:cs="宋体"/>
          <w:color w:val="auto"/>
          <w:kern w:val="0"/>
          <w:sz w:val="24"/>
          <w:highlight w:val="none"/>
        </w:rPr>
      </w:pPr>
      <w:r>
        <w:rPr>
          <w:rFonts w:hint="eastAsia" w:ascii="宋体" w:cs="宋体"/>
          <w:color w:val="auto"/>
          <w:sz w:val="24"/>
          <w:highlight w:val="none"/>
        </w:rPr>
        <w:t>现已清楚知道并</w:t>
      </w:r>
      <w:r>
        <w:rPr>
          <w:rFonts w:hint="eastAsia" w:ascii="宋体" w:cs="宋体"/>
          <w:color w:val="auto"/>
          <w:kern w:val="0"/>
          <w:sz w:val="24"/>
          <w:highlight w:val="none"/>
        </w:rPr>
        <w:t>严格遵守政府采购法律法规和现场纪律。</w:t>
      </w:r>
    </w:p>
    <w:p w14:paraId="61E43DEF">
      <w:pPr>
        <w:pStyle w:val="53"/>
        <w:widowControl/>
        <w:numPr>
          <w:ilvl w:val="0"/>
          <w:numId w:val="12"/>
        </w:numPr>
        <w:snapToGrid w:val="0"/>
        <w:spacing w:line="440" w:lineRule="exact"/>
        <w:ind w:firstLine="453" w:firstLineChars="189"/>
        <w:rPr>
          <w:rFonts w:ascii="宋体" w:cs="宋体"/>
          <w:color w:val="auto"/>
          <w:kern w:val="0"/>
          <w:sz w:val="24"/>
          <w:highlight w:val="none"/>
        </w:rPr>
      </w:pPr>
      <w:r>
        <w:rPr>
          <w:rFonts w:hint="eastAsia" w:ascii="宋体" w:cs="宋体"/>
          <w:color w:val="auto"/>
          <w:kern w:val="0"/>
          <w:sz w:val="24"/>
          <w:highlight w:val="none"/>
        </w:rPr>
        <w:t>我发现</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供应商之间存在或可能存在上述第二条第</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项利害关系。</w:t>
      </w:r>
    </w:p>
    <w:p w14:paraId="69369258">
      <w:pPr>
        <w:pStyle w:val="98"/>
        <w:numPr>
          <w:ilvl w:val="0"/>
          <w:numId w:val="0"/>
        </w:numPr>
        <w:snapToGrid w:val="0"/>
        <w:spacing w:line="440" w:lineRule="exact"/>
        <w:ind w:left="227"/>
        <w:rPr>
          <w:rFonts w:hAnsi="宋体" w:cs="宋体"/>
          <w:color w:val="auto"/>
          <w:sz w:val="24"/>
          <w:szCs w:val="24"/>
          <w:highlight w:val="none"/>
        </w:rPr>
      </w:pPr>
      <w:r>
        <w:rPr>
          <w:rFonts w:hint="eastAsia" w:hAnsi="宋体" w:cs="宋体"/>
          <w:color w:val="auto"/>
          <w:sz w:val="24"/>
          <w:szCs w:val="24"/>
          <w:highlight w:val="none"/>
        </w:rPr>
        <w:t xml:space="preserve">（供应商代表签名）：                                </w:t>
      </w:r>
    </w:p>
    <w:p w14:paraId="5191FDB3">
      <w:pPr>
        <w:pStyle w:val="98"/>
        <w:numPr>
          <w:ilvl w:val="0"/>
          <w:numId w:val="0"/>
        </w:numPr>
        <w:snapToGrid w:val="0"/>
        <w:spacing w:line="440" w:lineRule="exact"/>
        <w:ind w:left="5250" w:leftChars="2500"/>
        <w:rPr>
          <w:rFonts w:hAnsi="宋体" w:cs="宋体"/>
          <w:color w:val="auto"/>
          <w:sz w:val="24"/>
          <w:szCs w:val="24"/>
          <w:highlight w:val="none"/>
        </w:rPr>
      </w:pPr>
      <w:r>
        <w:rPr>
          <w:rFonts w:hint="eastAsia" w:hAnsi="宋体" w:cs="宋体"/>
          <w:color w:val="auto"/>
          <w:sz w:val="24"/>
          <w:szCs w:val="24"/>
          <w:highlight w:val="none"/>
          <w:lang w:eastAsia="zh-CN"/>
        </w:rPr>
        <w:t>202</w:t>
      </w:r>
      <w:r>
        <w:rPr>
          <w:rFonts w:hint="eastAsia" w:hAnsi="宋体" w:cs="宋体"/>
          <w:color w:val="auto"/>
          <w:sz w:val="24"/>
          <w:szCs w:val="24"/>
          <w:highlight w:val="none"/>
          <w:lang w:val="en-US" w:eastAsia="zh-CN"/>
        </w:rPr>
        <w:t>5</w:t>
      </w:r>
      <w:r>
        <w:rPr>
          <w:rFonts w:hint="eastAsia" w:hAnsi="宋体" w:cs="宋体"/>
          <w:color w:val="auto"/>
          <w:sz w:val="24"/>
          <w:szCs w:val="24"/>
          <w:highlight w:val="none"/>
          <w:lang w:eastAsia="zh-CN"/>
        </w:rPr>
        <w:t>年</w:t>
      </w:r>
      <w:r>
        <w:rPr>
          <w:rFonts w:hint="eastAsia" w:hAnsi="宋体" w:cs="宋体"/>
          <w:color w:val="auto"/>
          <w:sz w:val="24"/>
          <w:szCs w:val="24"/>
          <w:highlight w:val="none"/>
        </w:rPr>
        <w:t xml:space="preserve">  月  日</w:t>
      </w:r>
    </w:p>
    <w:p w14:paraId="46EC1A66">
      <w:pPr>
        <w:pStyle w:val="98"/>
        <w:numPr>
          <w:ilvl w:val="0"/>
          <w:numId w:val="0"/>
        </w:numPr>
        <w:snapToGrid w:val="0"/>
        <w:spacing w:line="440" w:lineRule="exact"/>
        <w:ind w:left="227"/>
        <w:rPr>
          <w:rFonts w:hAnsi="宋体" w:cs="宋体"/>
          <w:color w:val="auto"/>
          <w:highlight w:val="none"/>
        </w:rPr>
      </w:pPr>
      <w:r>
        <w:rPr>
          <w:rFonts w:hint="eastAsia" w:hAnsi="宋体" w:cs="宋体"/>
          <w:b/>
          <w:bCs/>
          <w:color w:val="auto"/>
          <w:sz w:val="24"/>
          <w:szCs w:val="24"/>
          <w:highlight w:val="none"/>
        </w:rPr>
        <w:t>注：待完成解密后填写本确认书再以扫描件的形式发到QQ邮箱（</w:t>
      </w:r>
      <w:r>
        <w:rPr>
          <w:rFonts w:hint="eastAsia" w:hAnsi="宋体" w:cs="宋体"/>
          <w:b/>
          <w:bCs/>
          <w:color w:val="auto"/>
          <w:sz w:val="24"/>
          <w:szCs w:val="24"/>
          <w:highlight w:val="none"/>
          <w:lang w:eastAsia="zh-CN"/>
        </w:rPr>
        <w:t>283199225@qq.com</w:t>
      </w:r>
      <w:r>
        <w:rPr>
          <w:rFonts w:hint="eastAsia" w:hAnsi="宋体" w:cs="宋体"/>
          <w:b/>
          <w:bCs/>
          <w:color w:val="auto"/>
          <w:sz w:val="24"/>
          <w:szCs w:val="24"/>
          <w:highlight w:val="none"/>
        </w:rPr>
        <w:t>）内，打印时请删除此项注明。</w:t>
      </w:r>
    </w:p>
    <w:p w14:paraId="44C45310">
      <w:pPr>
        <w:pStyle w:val="30"/>
        <w:ind w:left="0" w:leftChars="0" w:firstLine="0" w:firstLineChars="0"/>
        <w:rPr>
          <w:rFonts w:ascii="宋体" w:hAnsi="宋体" w:eastAsia="宋体"/>
          <w:color w:val="auto"/>
          <w:highlight w:val="none"/>
        </w:rPr>
      </w:pPr>
    </w:p>
    <w:sectPr>
      <w:headerReference r:id="rId5" w:type="default"/>
      <w:footerReference r:id="rId6" w:type="default"/>
      <w:pgSz w:w="11906" w:h="16838"/>
      <w:pgMar w:top="1440" w:right="850" w:bottom="1440" w:left="850" w:header="850" w:footer="992" w:gutter="0"/>
      <w:cols w:space="72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G Times">
    <w:altName w:val="Times New Roman"/>
    <w:panose1 w:val="02020603050405020304"/>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542B2">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E793D">
    <w:pPr>
      <w:pStyle w:val="20"/>
      <w:tabs>
        <w:tab w:val="center" w:pos="510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6D9FAEB">
                          <w:pPr>
                            <w:pStyle w:val="20"/>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CdrcvLAQAAl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E1GKg/+wyFiC7mzhDpCTcVwXpnbtFtpIZ76Oevxf9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Ana3LywEAAJcDAAAOAAAAAAAAAAEAIAAAACIBAABkcnMv&#10;ZTJvRG9jLnhtbFBLBQYAAAAABgAGAFkBAABfBQAAAAA=&#10;">
              <v:fill on="f" focussize="0,0"/>
              <v:stroke on="f" weight="1.25pt"/>
              <v:imagedata o:title=""/>
              <o:lock v:ext="edit" aspectratio="f"/>
              <v:textbox inset="0mm,0mm,0mm,0mm" style="mso-fit-shape-to-text:t;">
                <w:txbxContent>
                  <w:p w14:paraId="06D9FAEB">
                    <w:pPr>
                      <w:pStyle w:val="20"/>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E3DD392">
      <w:pPr>
        <w:rPr>
          <w:rFonts w:hint="default"/>
        </w:rPr>
      </w:pPr>
      <w:r>
        <w:rPr>
          <w:rFonts w:hint="eastAsia"/>
          <w:vertAlign w:val="superscript"/>
          <w:lang w:val="en-US" w:eastAsia="zh-CN"/>
        </w:rPr>
        <w:t>1</w:t>
      </w:r>
      <w:r>
        <w:t>从业人员、营业收入、资产总额填报上一年度数据，无上一年度数据的新成立企业可不填报。</w:t>
      </w:r>
    </w:p>
    <w:p w14:paraId="7A86E402">
      <w:pPr>
        <w:rPr>
          <w:rFonts w:hint="default"/>
          <w:b/>
          <w:bC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C58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EAB738"/>
    <w:multiLevelType w:val="singleLevel"/>
    <w:tmpl w:val="ABEAB738"/>
    <w:lvl w:ilvl="0" w:tentative="0">
      <w:start w:val="1"/>
      <w:numFmt w:val="decimal"/>
      <w:lvlText w:val="%1"/>
      <w:lvlJc w:val="left"/>
      <w:pPr>
        <w:tabs>
          <w:tab w:val="left" w:pos="420"/>
        </w:tabs>
        <w:ind w:left="425" w:hanging="425"/>
      </w:pPr>
      <w:rPr>
        <w:rFonts w:hint="default"/>
      </w:rPr>
    </w:lvl>
  </w:abstractNum>
  <w:abstractNum w:abstractNumId="1">
    <w:nsid w:val="C441833F"/>
    <w:multiLevelType w:val="singleLevel"/>
    <w:tmpl w:val="C441833F"/>
    <w:lvl w:ilvl="0" w:tentative="0">
      <w:start w:val="1"/>
      <w:numFmt w:val="decimal"/>
      <w:lvlText w:val="%1"/>
      <w:lvlJc w:val="left"/>
      <w:pPr>
        <w:tabs>
          <w:tab w:val="left" w:pos="420"/>
        </w:tabs>
        <w:ind w:left="425" w:hanging="425"/>
      </w:pPr>
      <w:rPr>
        <w:rFonts w:hint="default"/>
      </w:rPr>
    </w:lvl>
  </w:abstractNum>
  <w:abstractNum w:abstractNumId="2">
    <w:nsid w:val="D093AF83"/>
    <w:multiLevelType w:val="multilevel"/>
    <w:tmpl w:val="D093AF83"/>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FFFFFF88"/>
    <w:multiLevelType w:val="singleLevel"/>
    <w:tmpl w:val="FFFFFF88"/>
    <w:lvl w:ilvl="0" w:tentative="0">
      <w:start w:val="1"/>
      <w:numFmt w:val="decimal"/>
      <w:pStyle w:val="71"/>
      <w:lvlText w:val="%1."/>
      <w:lvlJc w:val="left"/>
      <w:pPr>
        <w:tabs>
          <w:tab w:val="left" w:pos="360"/>
        </w:tabs>
        <w:ind w:left="360" w:hanging="360"/>
      </w:pPr>
      <w:rPr>
        <w:rFonts w:cs="Times New Roman"/>
      </w:rPr>
    </w:lvl>
  </w:abstractNum>
  <w:abstractNum w:abstractNumId="4">
    <w:nsid w:val="036C06B5"/>
    <w:multiLevelType w:val="multilevel"/>
    <w:tmpl w:val="036C06B5"/>
    <w:lvl w:ilvl="0" w:tentative="0">
      <w:start w:val="1"/>
      <w:numFmt w:val="bullet"/>
      <w:pStyle w:val="53"/>
      <w:lvlText w:val=""/>
      <w:lvlJc w:val="left"/>
      <w:pPr>
        <w:tabs>
          <w:tab w:val="left" w:pos="587"/>
        </w:tabs>
        <w:ind w:left="0" w:firstLine="227"/>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29391921"/>
    <w:multiLevelType w:val="singleLevel"/>
    <w:tmpl w:val="29391921"/>
    <w:lvl w:ilvl="0" w:tentative="0">
      <w:start w:val="1"/>
      <w:numFmt w:val="decimal"/>
      <w:suff w:val="nothing"/>
      <w:lvlText w:val="%1、"/>
      <w:lvlJc w:val="left"/>
    </w:lvl>
  </w:abstractNum>
  <w:abstractNum w:abstractNumId="6">
    <w:nsid w:val="3F5162E2"/>
    <w:multiLevelType w:val="multilevel"/>
    <w:tmpl w:val="3F5162E2"/>
    <w:lvl w:ilvl="0" w:tentative="0">
      <w:start w:val="1"/>
      <w:numFmt w:val="decimal"/>
      <w:suff w:val="space"/>
      <w:lvlText w:val="第%1章"/>
      <w:lvlJc w:val="left"/>
      <w:pPr>
        <w:ind w:left="0" w:firstLine="0"/>
      </w:pPr>
      <w:rPr>
        <w:rFonts w:hint="eastAsia" w:ascii="宋体" w:eastAsia="宋体" w:cs="Times New Roman"/>
        <w:b/>
        <w:bCs w:val="0"/>
        <w:i w:val="0"/>
        <w:iCs w:val="0"/>
        <w:caps w:val="0"/>
        <w:smallCaps w:val="0"/>
        <w:strike w:val="0"/>
        <w:dstrike w:val="0"/>
        <w:vanish w:val="0"/>
        <w:color w:val="000000"/>
        <w:spacing w:val="0"/>
        <w:kern w:val="0"/>
        <w:position w:val="0"/>
        <w:sz w:val="36"/>
        <w:u w:val="none"/>
        <w:vertAlign w:val="baseline"/>
      </w:rPr>
    </w:lvl>
    <w:lvl w:ilvl="1" w:tentative="0">
      <w:start w:val="1"/>
      <w:numFmt w:val="decimal"/>
      <w:pStyle w:val="3"/>
      <w:suff w:val="space"/>
      <w:lvlText w:val="%1.%2"/>
      <w:lvlJc w:val="left"/>
      <w:pPr>
        <w:ind w:left="0" w:firstLine="0"/>
      </w:pPr>
      <w:rPr>
        <w:rFonts w:hint="eastAsia" w:ascii="宋体" w:hAnsi="Times New Roman" w:eastAsia="宋体" w:cs="Times New Roman"/>
        <w:b/>
        <w:bCs w:val="0"/>
        <w:i w:val="0"/>
        <w:iCs w:val="0"/>
        <w:caps w:val="0"/>
        <w:smallCaps w:val="0"/>
        <w:strike w:val="0"/>
        <w:dstrike w:val="0"/>
        <w:vanish w:val="0"/>
        <w:color w:val="000000"/>
        <w:spacing w:val="0"/>
        <w:kern w:val="0"/>
        <w:position w:val="0"/>
        <w:sz w:val="32"/>
        <w:u w:val="none"/>
        <w:vertAlign w:val="baseline"/>
      </w:rPr>
    </w:lvl>
    <w:lvl w:ilvl="2" w:tentative="0">
      <w:start w:val="1"/>
      <w:numFmt w:val="decimal"/>
      <w:suff w:val="space"/>
      <w:lvlText w:val="%1.%2.%3"/>
      <w:lvlJc w:val="left"/>
      <w:pPr>
        <w:ind w:left="0" w:firstLine="0"/>
      </w:pPr>
      <w:rPr>
        <w:rFonts w:hint="eastAsia" w:ascii="宋体" w:eastAsia="宋体"/>
        <w:b/>
        <w:bCs w:val="0"/>
        <w:i w:val="0"/>
        <w:iCs w:val="0"/>
        <w:caps w:val="0"/>
        <w:smallCaps w:val="0"/>
        <w:strike w:val="0"/>
        <w:dstrike w:val="0"/>
        <w:vanish w:val="0"/>
        <w:color w:val="000000"/>
        <w:spacing w:val="0"/>
        <w:position w:val="0"/>
        <w:sz w:val="30"/>
        <w:u w:val="none"/>
        <w:vertAlign w:val="baseline"/>
      </w:rPr>
    </w:lvl>
    <w:lvl w:ilvl="3" w:tentative="0">
      <w:start w:val="1"/>
      <w:numFmt w:val="decimal"/>
      <w:pStyle w:val="5"/>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rPr>
    </w:lvl>
    <w:lvl w:ilvl="4" w:tentative="0">
      <w:start w:val="1"/>
      <w:numFmt w:val="decimal"/>
      <w:pStyle w:val="6"/>
      <w:suff w:val="space"/>
      <w:lvlText w:val="%1.%2.%3.%4.%5"/>
      <w:lvlJc w:val="left"/>
      <w:pPr>
        <w:ind w:left="0" w:firstLine="0"/>
      </w:pPr>
      <w:rPr>
        <w:rFonts w:hint="eastAsia" w:ascii="宋体" w:hAnsi="Times New Roman" w:eastAsia="宋体" w:cs="Times New Roman"/>
        <w:b/>
        <w:bCs w:val="0"/>
        <w:i w:val="0"/>
        <w:iCs w:val="0"/>
        <w:caps w:val="0"/>
        <w:smallCaps w:val="0"/>
        <w:strike w:val="0"/>
        <w:dstrike w:val="0"/>
        <w:vanish w:val="0"/>
        <w:color w:val="000000"/>
        <w:spacing w:val="0"/>
        <w:position w:val="0"/>
        <w:sz w:val="24"/>
        <w:u w:val="none"/>
        <w:vertAlign w:val="baseline"/>
      </w:rPr>
    </w:lvl>
    <w:lvl w:ilvl="5" w:tentative="0">
      <w:start w:val="1"/>
      <w:numFmt w:val="decimal"/>
      <w:pStyle w:val="7"/>
      <w:lvlText w:val="%1.%2.%3.%4.%5.%6."/>
      <w:lvlJc w:val="left"/>
      <w:pPr>
        <w:tabs>
          <w:tab w:val="left" w:pos="432"/>
        </w:tabs>
        <w:ind w:left="0" w:firstLine="0"/>
      </w:pPr>
      <w:rPr>
        <w:rFonts w:hint="default" w:ascii="Arial" w:hAnsi="Arial" w:eastAsia="仿宋"/>
      </w:rPr>
    </w:lvl>
    <w:lvl w:ilvl="6" w:tentative="0">
      <w:start w:val="1"/>
      <w:numFmt w:val="decimal"/>
      <w:lvlText w:val="%1.%2.%3.%4.%5.%6.%7."/>
      <w:lvlJc w:val="left"/>
      <w:pPr>
        <w:tabs>
          <w:tab w:val="left" w:pos="432"/>
        </w:tabs>
        <w:ind w:left="0" w:firstLine="0"/>
      </w:pPr>
      <w:rPr>
        <w:rFonts w:hint="default"/>
      </w:rPr>
    </w:lvl>
    <w:lvl w:ilvl="7" w:tentative="0">
      <w:start w:val="1"/>
      <w:numFmt w:val="decimal"/>
      <w:lvlText w:val="%1.%2.%3.%4.%5.%6.%7.%8."/>
      <w:lvlJc w:val="left"/>
      <w:pPr>
        <w:tabs>
          <w:tab w:val="left" w:pos="432"/>
        </w:tabs>
        <w:ind w:left="0" w:firstLine="0"/>
      </w:pPr>
      <w:rPr>
        <w:rFonts w:hint="default"/>
      </w:rPr>
    </w:lvl>
    <w:lvl w:ilvl="8" w:tentative="0">
      <w:start w:val="1"/>
      <w:numFmt w:val="decimal"/>
      <w:lvlText w:val="%1.%2.%3.%4.%5.%6.%7.%8.%9."/>
      <w:lvlJc w:val="left"/>
      <w:pPr>
        <w:tabs>
          <w:tab w:val="left" w:pos="432"/>
        </w:tabs>
        <w:ind w:left="0" w:firstLine="0"/>
      </w:pPr>
      <w:rPr>
        <w:rFonts w:hint="default"/>
      </w:rPr>
    </w:lvl>
  </w:abstractNum>
  <w:abstractNum w:abstractNumId="7">
    <w:nsid w:val="46B96B19"/>
    <w:multiLevelType w:val="singleLevel"/>
    <w:tmpl w:val="46B96B19"/>
    <w:lvl w:ilvl="0" w:tentative="0">
      <w:start w:val="1"/>
      <w:numFmt w:val="chineseCounting"/>
      <w:suff w:val="nothing"/>
      <w:lvlText w:val="（%1）"/>
      <w:lvlJc w:val="left"/>
      <w:pPr>
        <w:ind w:left="210"/>
      </w:pPr>
      <w:rPr>
        <w:rFonts w:hint="eastAsia"/>
      </w:r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765316F3"/>
    <w:multiLevelType w:val="multilevel"/>
    <w:tmpl w:val="765316F3"/>
    <w:lvl w:ilvl="0" w:tentative="0">
      <w:start w:val="1"/>
      <w:numFmt w:val="chineseCountingThousand"/>
      <w:pStyle w:val="108"/>
      <w:lvlText w:val="%1、"/>
      <w:lvlJc w:val="left"/>
      <w:pPr>
        <w:tabs>
          <w:tab w:val="left" w:pos="1110"/>
        </w:tabs>
        <w:ind w:left="106" w:firstLine="454"/>
      </w:pPr>
      <w:rPr>
        <w:rFonts w:hint="default" w:ascii="??" w:hAnsi="??" w:eastAsia="??"/>
        <w:b/>
        <w:i w:val="0"/>
        <w:iCs w:val="0"/>
        <w:caps w:val="0"/>
        <w:smallCaps w:val="0"/>
        <w:strike w:val="0"/>
        <w:dstrike w:val="0"/>
        <w:spacing w:val="0"/>
        <w:position w:val="0"/>
        <w:sz w:val="21"/>
        <w:szCs w:val="21"/>
        <w:u w:val="no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abstractNum w:abstractNumId="11">
    <w:nsid w:val="7F6053CB"/>
    <w:multiLevelType w:val="multilevel"/>
    <w:tmpl w:val="7F6053CB"/>
    <w:lvl w:ilvl="0" w:tentative="0">
      <w:start w:val="1"/>
      <w:numFmt w:val="decimal"/>
      <w:lvlText w:val="第 %1 条"/>
      <w:lvlJc w:val="center"/>
      <w:pPr>
        <w:tabs>
          <w:tab w:val="left" w:pos="3420"/>
        </w:tabs>
        <w:ind w:left="2581" w:firstLine="119"/>
      </w:pPr>
      <w:rPr>
        <w:rFonts w:hint="default" w:ascii="Times New Roman" w:hAnsi="Times New Roman" w:eastAsia="宋体" w:cs="Times New Roman"/>
        <w:b/>
        <w:i w:val="0"/>
        <w:sz w:val="30"/>
      </w:rPr>
    </w:lvl>
    <w:lvl w:ilvl="1" w:tentative="0">
      <w:start w:val="1"/>
      <w:numFmt w:val="decimal"/>
      <w:lvlText w:val="%1.%2"/>
      <w:lvlJc w:val="left"/>
      <w:pPr>
        <w:tabs>
          <w:tab w:val="left" w:pos="624"/>
        </w:tabs>
        <w:ind w:left="624" w:hanging="624"/>
      </w:pPr>
      <w:rPr>
        <w:rFonts w:hint="default" w:ascii="Times New Roman" w:hAnsi="Times New Roman" w:eastAsia="宋体" w:cs="Times New Roman"/>
        <w:b/>
        <w:i w:val="0"/>
        <w:sz w:val="28"/>
        <w:szCs w:val="28"/>
      </w:rPr>
    </w:lvl>
    <w:lvl w:ilvl="2" w:tentative="0">
      <w:start w:val="1"/>
      <w:numFmt w:val="decimal"/>
      <w:pStyle w:val="4"/>
      <w:suff w:val="space"/>
      <w:lvlText w:val="%1.%2.%3"/>
      <w:lvlJc w:val="left"/>
      <w:rPr>
        <w:rFonts w:hint="default" w:ascii="Times New Roman" w:hAnsi="Times New Roman" w:eastAsia="宋体" w:cs="Times New Roman"/>
        <w:b w:val="0"/>
        <w:i w:val="0"/>
        <w:sz w:val="24"/>
        <w:szCs w:val="24"/>
      </w:rPr>
    </w:lvl>
    <w:lvl w:ilvl="3" w:tentative="0">
      <w:start w:val="1"/>
      <w:numFmt w:val="lowerLetter"/>
      <w:lvlText w:val="（%4）"/>
      <w:lvlJc w:val="left"/>
      <w:pPr>
        <w:tabs>
          <w:tab w:val="left" w:pos="1006"/>
        </w:tabs>
        <w:ind w:left="1006" w:hanging="864"/>
      </w:pPr>
      <w:rPr>
        <w:rFonts w:hint="eastAsia" w:cs="Times New Roman"/>
      </w:rPr>
    </w:lvl>
    <w:lvl w:ilvl="4" w:tentative="0">
      <w:start w:val="1"/>
      <w:numFmt w:val="lowerRoman"/>
      <w:lvlText w:val="（%5）"/>
      <w:lvlJc w:val="left"/>
      <w:pPr>
        <w:tabs>
          <w:tab w:val="left" w:pos="720"/>
        </w:tabs>
        <w:ind w:left="720" w:hanging="1008"/>
      </w:pPr>
      <w:rPr>
        <w:rFonts w:hint="eastAsia" w:cs="Times New Roman"/>
        <w:color w:val="auto"/>
      </w:rPr>
    </w:lvl>
    <w:lvl w:ilvl="5" w:tentative="0">
      <w:start w:val="1"/>
      <w:numFmt w:val="decimal"/>
      <w:lvlText w:val="%1.%2.%3.%4.%5.%6"/>
      <w:lvlJc w:val="left"/>
      <w:pPr>
        <w:tabs>
          <w:tab w:val="left" w:pos="864"/>
        </w:tabs>
        <w:ind w:left="864" w:hanging="1152"/>
      </w:pPr>
      <w:rPr>
        <w:rFonts w:hint="eastAsia" w:cs="Times New Roman"/>
      </w:rPr>
    </w:lvl>
    <w:lvl w:ilvl="6" w:tentative="0">
      <w:start w:val="1"/>
      <w:numFmt w:val="decimal"/>
      <w:lvlText w:val="%1.%2.%3.%4.%5.%6.%7"/>
      <w:lvlJc w:val="left"/>
      <w:pPr>
        <w:tabs>
          <w:tab w:val="left" w:pos="1008"/>
        </w:tabs>
        <w:ind w:left="1008" w:hanging="1296"/>
      </w:pPr>
      <w:rPr>
        <w:rFonts w:hint="eastAsia" w:cs="Times New Roman"/>
      </w:rPr>
    </w:lvl>
    <w:lvl w:ilvl="7" w:tentative="0">
      <w:start w:val="1"/>
      <w:numFmt w:val="decimal"/>
      <w:lvlText w:val="%1.%2.%3.%4.%5.%6.%7.%8"/>
      <w:lvlJc w:val="left"/>
      <w:pPr>
        <w:tabs>
          <w:tab w:val="left" w:pos="1152"/>
        </w:tabs>
        <w:ind w:left="1152" w:hanging="1440"/>
      </w:pPr>
      <w:rPr>
        <w:rFonts w:hint="eastAsia" w:cs="Times New Roman"/>
      </w:rPr>
    </w:lvl>
    <w:lvl w:ilvl="8" w:tentative="0">
      <w:start w:val="1"/>
      <w:numFmt w:val="decimal"/>
      <w:lvlText w:val="%1.%2.%3.%4.%5.%6.%7.%8.%9"/>
      <w:lvlJc w:val="left"/>
      <w:pPr>
        <w:tabs>
          <w:tab w:val="left" w:pos="1296"/>
        </w:tabs>
        <w:ind w:left="1296" w:hanging="1584"/>
      </w:pPr>
      <w:rPr>
        <w:rFonts w:hint="eastAsia" w:cs="Times New Roman"/>
      </w:rPr>
    </w:lvl>
  </w:abstractNum>
  <w:num w:numId="1">
    <w:abstractNumId w:val="6"/>
  </w:num>
  <w:num w:numId="2">
    <w:abstractNumId w:val="11"/>
  </w:num>
  <w:num w:numId="3">
    <w:abstractNumId w:val="4"/>
  </w:num>
  <w:num w:numId="4">
    <w:abstractNumId w:val="3"/>
  </w:num>
  <w:num w:numId="5">
    <w:abstractNumId w:val="10"/>
  </w:num>
  <w:num w:numId="6">
    <w:abstractNumId w:val="1"/>
  </w:num>
  <w:num w:numId="7">
    <w:abstractNumId w:val="2"/>
  </w:num>
  <w:num w:numId="8">
    <w:abstractNumId w:val="7"/>
  </w:num>
  <w:num w:numId="9">
    <w:abstractNumId w:val="0"/>
  </w:num>
  <w:num w:numId="10">
    <w:abstractNumId w:val="5"/>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2OGY4OGVlMTlhYjFlNGE1OTBiNzFlM2QzNGJjNmYifQ=="/>
  </w:docVars>
  <w:rsids>
    <w:rsidRoot w:val="353B09A0"/>
    <w:rsid w:val="00010167"/>
    <w:rsid w:val="00010E4B"/>
    <w:rsid w:val="00050887"/>
    <w:rsid w:val="000C0881"/>
    <w:rsid w:val="000D5711"/>
    <w:rsid w:val="00133793"/>
    <w:rsid w:val="001E44E9"/>
    <w:rsid w:val="001F0A21"/>
    <w:rsid w:val="002012CF"/>
    <w:rsid w:val="00220AEB"/>
    <w:rsid w:val="002F659C"/>
    <w:rsid w:val="00311BBD"/>
    <w:rsid w:val="00387A77"/>
    <w:rsid w:val="003D3AFA"/>
    <w:rsid w:val="003D7267"/>
    <w:rsid w:val="003F3B8C"/>
    <w:rsid w:val="00410745"/>
    <w:rsid w:val="00476E27"/>
    <w:rsid w:val="004953CD"/>
    <w:rsid w:val="004F7371"/>
    <w:rsid w:val="0050752C"/>
    <w:rsid w:val="005266E5"/>
    <w:rsid w:val="0053423F"/>
    <w:rsid w:val="0054401D"/>
    <w:rsid w:val="00566BDF"/>
    <w:rsid w:val="00580FE9"/>
    <w:rsid w:val="005A21F2"/>
    <w:rsid w:val="005C0C86"/>
    <w:rsid w:val="00611502"/>
    <w:rsid w:val="006554C5"/>
    <w:rsid w:val="006925B7"/>
    <w:rsid w:val="006B6D1F"/>
    <w:rsid w:val="006D0562"/>
    <w:rsid w:val="006E1F52"/>
    <w:rsid w:val="007D3335"/>
    <w:rsid w:val="007F440E"/>
    <w:rsid w:val="00834467"/>
    <w:rsid w:val="008418E2"/>
    <w:rsid w:val="00853DF2"/>
    <w:rsid w:val="00877AE3"/>
    <w:rsid w:val="0088246D"/>
    <w:rsid w:val="0096056A"/>
    <w:rsid w:val="009A580A"/>
    <w:rsid w:val="009B154A"/>
    <w:rsid w:val="009C6EFF"/>
    <w:rsid w:val="009E7CE8"/>
    <w:rsid w:val="00A27A5E"/>
    <w:rsid w:val="00AC3364"/>
    <w:rsid w:val="00AF358D"/>
    <w:rsid w:val="00B27DE6"/>
    <w:rsid w:val="00BC3906"/>
    <w:rsid w:val="00C1486D"/>
    <w:rsid w:val="00C86FB1"/>
    <w:rsid w:val="00CD1554"/>
    <w:rsid w:val="00CD299C"/>
    <w:rsid w:val="00CE027E"/>
    <w:rsid w:val="00CF26B5"/>
    <w:rsid w:val="00D47403"/>
    <w:rsid w:val="00D6253C"/>
    <w:rsid w:val="00D72607"/>
    <w:rsid w:val="00DE6E56"/>
    <w:rsid w:val="00E54E75"/>
    <w:rsid w:val="00E96B4D"/>
    <w:rsid w:val="00EC4A63"/>
    <w:rsid w:val="00ED00F4"/>
    <w:rsid w:val="00EF4B06"/>
    <w:rsid w:val="00EF5AA6"/>
    <w:rsid w:val="00F03396"/>
    <w:rsid w:val="00F04226"/>
    <w:rsid w:val="00F61C8B"/>
    <w:rsid w:val="00F671F2"/>
    <w:rsid w:val="00F811DC"/>
    <w:rsid w:val="00FD1419"/>
    <w:rsid w:val="0114328C"/>
    <w:rsid w:val="012F43BC"/>
    <w:rsid w:val="0138117D"/>
    <w:rsid w:val="01396E1E"/>
    <w:rsid w:val="01490498"/>
    <w:rsid w:val="016C2D4F"/>
    <w:rsid w:val="01A26EDA"/>
    <w:rsid w:val="01B5529A"/>
    <w:rsid w:val="02105DD0"/>
    <w:rsid w:val="023201E5"/>
    <w:rsid w:val="02485899"/>
    <w:rsid w:val="0250246E"/>
    <w:rsid w:val="026A1835"/>
    <w:rsid w:val="029E5EBF"/>
    <w:rsid w:val="02A50652"/>
    <w:rsid w:val="02BA7CB2"/>
    <w:rsid w:val="02C46D8B"/>
    <w:rsid w:val="039743BD"/>
    <w:rsid w:val="03B170D7"/>
    <w:rsid w:val="03BF38F8"/>
    <w:rsid w:val="043B10FF"/>
    <w:rsid w:val="0499408B"/>
    <w:rsid w:val="04D64A5B"/>
    <w:rsid w:val="04DB088C"/>
    <w:rsid w:val="05465FAD"/>
    <w:rsid w:val="054962B1"/>
    <w:rsid w:val="054A3CDD"/>
    <w:rsid w:val="05504736"/>
    <w:rsid w:val="05663F59"/>
    <w:rsid w:val="056D7096"/>
    <w:rsid w:val="059E1B13"/>
    <w:rsid w:val="05CB7098"/>
    <w:rsid w:val="06016FF1"/>
    <w:rsid w:val="061C371F"/>
    <w:rsid w:val="064641C0"/>
    <w:rsid w:val="06464573"/>
    <w:rsid w:val="06581A11"/>
    <w:rsid w:val="066C4AE8"/>
    <w:rsid w:val="0694411F"/>
    <w:rsid w:val="06CC603E"/>
    <w:rsid w:val="06D7299F"/>
    <w:rsid w:val="06DF3856"/>
    <w:rsid w:val="070F3358"/>
    <w:rsid w:val="074E2F45"/>
    <w:rsid w:val="07621A0E"/>
    <w:rsid w:val="076808DF"/>
    <w:rsid w:val="07724E37"/>
    <w:rsid w:val="078A79B8"/>
    <w:rsid w:val="0793589F"/>
    <w:rsid w:val="07AF2977"/>
    <w:rsid w:val="07B216D8"/>
    <w:rsid w:val="07E95234"/>
    <w:rsid w:val="083D381F"/>
    <w:rsid w:val="08610AB4"/>
    <w:rsid w:val="08AD1F59"/>
    <w:rsid w:val="08CC1F74"/>
    <w:rsid w:val="08E104C7"/>
    <w:rsid w:val="08FC0E5C"/>
    <w:rsid w:val="091A2635"/>
    <w:rsid w:val="092A65E7"/>
    <w:rsid w:val="09554CD5"/>
    <w:rsid w:val="0971652A"/>
    <w:rsid w:val="09864BCA"/>
    <w:rsid w:val="09B21497"/>
    <w:rsid w:val="09CD0D4C"/>
    <w:rsid w:val="0A175CFE"/>
    <w:rsid w:val="0A894972"/>
    <w:rsid w:val="0AB1779B"/>
    <w:rsid w:val="0B0B140F"/>
    <w:rsid w:val="0B0B42CE"/>
    <w:rsid w:val="0B0B7898"/>
    <w:rsid w:val="0B1A3A0F"/>
    <w:rsid w:val="0B3B41AE"/>
    <w:rsid w:val="0B4B14E2"/>
    <w:rsid w:val="0B570DC0"/>
    <w:rsid w:val="0B662000"/>
    <w:rsid w:val="0B664CB3"/>
    <w:rsid w:val="0B835452"/>
    <w:rsid w:val="0BB93035"/>
    <w:rsid w:val="0C2648CE"/>
    <w:rsid w:val="0CB91FCD"/>
    <w:rsid w:val="0CB97065"/>
    <w:rsid w:val="0CCF22A8"/>
    <w:rsid w:val="0CCF3D5E"/>
    <w:rsid w:val="0D2C1755"/>
    <w:rsid w:val="0D392F32"/>
    <w:rsid w:val="0D7D66D2"/>
    <w:rsid w:val="0D7F15F2"/>
    <w:rsid w:val="0D8D29CB"/>
    <w:rsid w:val="0DAC53B2"/>
    <w:rsid w:val="0DBF0046"/>
    <w:rsid w:val="0DCB329C"/>
    <w:rsid w:val="0DDD6BA5"/>
    <w:rsid w:val="0DF53397"/>
    <w:rsid w:val="0DF5347F"/>
    <w:rsid w:val="0E05202C"/>
    <w:rsid w:val="0E1C78AB"/>
    <w:rsid w:val="0E2844A2"/>
    <w:rsid w:val="0E3D4F92"/>
    <w:rsid w:val="0E410B02"/>
    <w:rsid w:val="0E4479A7"/>
    <w:rsid w:val="0E5C7254"/>
    <w:rsid w:val="0EB73DD4"/>
    <w:rsid w:val="0F02767C"/>
    <w:rsid w:val="0F072309"/>
    <w:rsid w:val="0F0F5662"/>
    <w:rsid w:val="0F144A26"/>
    <w:rsid w:val="0F330759"/>
    <w:rsid w:val="0F4F5A5E"/>
    <w:rsid w:val="0F576A5B"/>
    <w:rsid w:val="0F5D0D7E"/>
    <w:rsid w:val="0F802A6E"/>
    <w:rsid w:val="0FA37038"/>
    <w:rsid w:val="107D60E2"/>
    <w:rsid w:val="10934FF1"/>
    <w:rsid w:val="10BA2DC3"/>
    <w:rsid w:val="10E5358A"/>
    <w:rsid w:val="113E1C9A"/>
    <w:rsid w:val="114001F7"/>
    <w:rsid w:val="11724C1B"/>
    <w:rsid w:val="11796EDC"/>
    <w:rsid w:val="11951E4E"/>
    <w:rsid w:val="11A307CE"/>
    <w:rsid w:val="11AF75A7"/>
    <w:rsid w:val="11EB1677"/>
    <w:rsid w:val="12240651"/>
    <w:rsid w:val="122E55B0"/>
    <w:rsid w:val="123B27D1"/>
    <w:rsid w:val="1265128C"/>
    <w:rsid w:val="12724F5E"/>
    <w:rsid w:val="127822B5"/>
    <w:rsid w:val="127C0BA7"/>
    <w:rsid w:val="12855389"/>
    <w:rsid w:val="12865757"/>
    <w:rsid w:val="128C7CD3"/>
    <w:rsid w:val="12C850CE"/>
    <w:rsid w:val="12E65181"/>
    <w:rsid w:val="12FE44E7"/>
    <w:rsid w:val="130F1D20"/>
    <w:rsid w:val="13477CA5"/>
    <w:rsid w:val="13AF41C9"/>
    <w:rsid w:val="13C545C7"/>
    <w:rsid w:val="13DA6F8D"/>
    <w:rsid w:val="13EF6C4A"/>
    <w:rsid w:val="143E4A1F"/>
    <w:rsid w:val="1441006B"/>
    <w:rsid w:val="1493085C"/>
    <w:rsid w:val="14C9727A"/>
    <w:rsid w:val="14F41FAC"/>
    <w:rsid w:val="14FC3F92"/>
    <w:rsid w:val="150948F0"/>
    <w:rsid w:val="15177BFE"/>
    <w:rsid w:val="152C0D1B"/>
    <w:rsid w:val="15393438"/>
    <w:rsid w:val="15623A24"/>
    <w:rsid w:val="157F432D"/>
    <w:rsid w:val="15BA49A3"/>
    <w:rsid w:val="15D3598F"/>
    <w:rsid w:val="15F26797"/>
    <w:rsid w:val="15F65792"/>
    <w:rsid w:val="16172D09"/>
    <w:rsid w:val="16522989"/>
    <w:rsid w:val="165C5AF2"/>
    <w:rsid w:val="16D451C7"/>
    <w:rsid w:val="16E20B3E"/>
    <w:rsid w:val="170C6713"/>
    <w:rsid w:val="171F21BA"/>
    <w:rsid w:val="172F4AF3"/>
    <w:rsid w:val="17886B7F"/>
    <w:rsid w:val="178D2675"/>
    <w:rsid w:val="17B648CC"/>
    <w:rsid w:val="17C931E2"/>
    <w:rsid w:val="17D901FF"/>
    <w:rsid w:val="17FA5F05"/>
    <w:rsid w:val="1800023D"/>
    <w:rsid w:val="18001FEB"/>
    <w:rsid w:val="186033AF"/>
    <w:rsid w:val="18742154"/>
    <w:rsid w:val="18CB43A7"/>
    <w:rsid w:val="18CE45EB"/>
    <w:rsid w:val="18D07C10"/>
    <w:rsid w:val="190E24E6"/>
    <w:rsid w:val="191331C3"/>
    <w:rsid w:val="1926721A"/>
    <w:rsid w:val="197B18BC"/>
    <w:rsid w:val="19914FCB"/>
    <w:rsid w:val="19B47531"/>
    <w:rsid w:val="19CF7EC7"/>
    <w:rsid w:val="1A030941"/>
    <w:rsid w:val="1A475995"/>
    <w:rsid w:val="1A5C1A78"/>
    <w:rsid w:val="1A603624"/>
    <w:rsid w:val="1A9219FB"/>
    <w:rsid w:val="1AB20659"/>
    <w:rsid w:val="1AC403AE"/>
    <w:rsid w:val="1AE11026"/>
    <w:rsid w:val="1AFF2A2E"/>
    <w:rsid w:val="1B4D21FE"/>
    <w:rsid w:val="1B6417B0"/>
    <w:rsid w:val="1B6672B1"/>
    <w:rsid w:val="1BD25B21"/>
    <w:rsid w:val="1BD4616D"/>
    <w:rsid w:val="1BE51C24"/>
    <w:rsid w:val="1BFB0E3A"/>
    <w:rsid w:val="1C4E37D5"/>
    <w:rsid w:val="1C6F209D"/>
    <w:rsid w:val="1CCE6D50"/>
    <w:rsid w:val="1CD42DAD"/>
    <w:rsid w:val="1D02315B"/>
    <w:rsid w:val="1D0F41FB"/>
    <w:rsid w:val="1D1642DD"/>
    <w:rsid w:val="1D2167DA"/>
    <w:rsid w:val="1D263DB2"/>
    <w:rsid w:val="1D433CF7"/>
    <w:rsid w:val="1D823D48"/>
    <w:rsid w:val="1D9527F4"/>
    <w:rsid w:val="1DA500C4"/>
    <w:rsid w:val="1DAC3EB1"/>
    <w:rsid w:val="1DB71E03"/>
    <w:rsid w:val="1DE33A59"/>
    <w:rsid w:val="1DF01E1B"/>
    <w:rsid w:val="1DF779ED"/>
    <w:rsid w:val="1E197963"/>
    <w:rsid w:val="1E283168"/>
    <w:rsid w:val="1E513FF3"/>
    <w:rsid w:val="1E5A48B2"/>
    <w:rsid w:val="1E5D32F8"/>
    <w:rsid w:val="1E933BB9"/>
    <w:rsid w:val="1E957AE6"/>
    <w:rsid w:val="1E990AA4"/>
    <w:rsid w:val="1EA02471"/>
    <w:rsid w:val="1F0B19A2"/>
    <w:rsid w:val="1F114ADE"/>
    <w:rsid w:val="1F207806"/>
    <w:rsid w:val="1F220A99"/>
    <w:rsid w:val="1F6966C8"/>
    <w:rsid w:val="1F6D7E0F"/>
    <w:rsid w:val="1F7E03C6"/>
    <w:rsid w:val="1F9061E2"/>
    <w:rsid w:val="1FA34B10"/>
    <w:rsid w:val="1FA470FA"/>
    <w:rsid w:val="1FAA0D66"/>
    <w:rsid w:val="1FAB57C7"/>
    <w:rsid w:val="1FCA144E"/>
    <w:rsid w:val="1FF95C9E"/>
    <w:rsid w:val="20014B53"/>
    <w:rsid w:val="200C7D9A"/>
    <w:rsid w:val="204F3E9C"/>
    <w:rsid w:val="20730A5A"/>
    <w:rsid w:val="20954E1B"/>
    <w:rsid w:val="20B0193D"/>
    <w:rsid w:val="20B73DE5"/>
    <w:rsid w:val="20BC2BA8"/>
    <w:rsid w:val="20F63892"/>
    <w:rsid w:val="20FB2DBF"/>
    <w:rsid w:val="210C5BD6"/>
    <w:rsid w:val="212A5F25"/>
    <w:rsid w:val="213F21C9"/>
    <w:rsid w:val="214116AB"/>
    <w:rsid w:val="215238B8"/>
    <w:rsid w:val="215556D8"/>
    <w:rsid w:val="2159709A"/>
    <w:rsid w:val="217F0425"/>
    <w:rsid w:val="21A47E8B"/>
    <w:rsid w:val="21B61CE9"/>
    <w:rsid w:val="21B856E5"/>
    <w:rsid w:val="21BA145D"/>
    <w:rsid w:val="21F04294"/>
    <w:rsid w:val="22126005"/>
    <w:rsid w:val="222B484B"/>
    <w:rsid w:val="22573BE0"/>
    <w:rsid w:val="22751EDA"/>
    <w:rsid w:val="22AC723B"/>
    <w:rsid w:val="22C024C9"/>
    <w:rsid w:val="22C024D6"/>
    <w:rsid w:val="22E36792"/>
    <w:rsid w:val="22FE7A36"/>
    <w:rsid w:val="23180FA5"/>
    <w:rsid w:val="23567131"/>
    <w:rsid w:val="236A7696"/>
    <w:rsid w:val="23B0207A"/>
    <w:rsid w:val="23E86965"/>
    <w:rsid w:val="24194909"/>
    <w:rsid w:val="24262DDA"/>
    <w:rsid w:val="242916BD"/>
    <w:rsid w:val="24613E12"/>
    <w:rsid w:val="24A0493A"/>
    <w:rsid w:val="24B722DA"/>
    <w:rsid w:val="24D447A2"/>
    <w:rsid w:val="24F66F84"/>
    <w:rsid w:val="25122F37"/>
    <w:rsid w:val="253C60EE"/>
    <w:rsid w:val="25850719"/>
    <w:rsid w:val="25852A52"/>
    <w:rsid w:val="259F2E44"/>
    <w:rsid w:val="25C11E0D"/>
    <w:rsid w:val="25EE7927"/>
    <w:rsid w:val="267539C7"/>
    <w:rsid w:val="268B33C8"/>
    <w:rsid w:val="26A96D22"/>
    <w:rsid w:val="26AB705C"/>
    <w:rsid w:val="26C2749D"/>
    <w:rsid w:val="26EE5B38"/>
    <w:rsid w:val="26F470CD"/>
    <w:rsid w:val="271B4612"/>
    <w:rsid w:val="27225A23"/>
    <w:rsid w:val="27520EF9"/>
    <w:rsid w:val="276247B6"/>
    <w:rsid w:val="276B7710"/>
    <w:rsid w:val="27867423"/>
    <w:rsid w:val="27D00F92"/>
    <w:rsid w:val="27DA0525"/>
    <w:rsid w:val="27F714D0"/>
    <w:rsid w:val="27FA5B95"/>
    <w:rsid w:val="28022433"/>
    <w:rsid w:val="28137B19"/>
    <w:rsid w:val="282969C9"/>
    <w:rsid w:val="282F096B"/>
    <w:rsid w:val="28350DE4"/>
    <w:rsid w:val="28BB57EB"/>
    <w:rsid w:val="290D4568"/>
    <w:rsid w:val="2915783B"/>
    <w:rsid w:val="292B19EC"/>
    <w:rsid w:val="293B74DB"/>
    <w:rsid w:val="294A44FA"/>
    <w:rsid w:val="295312BC"/>
    <w:rsid w:val="2971553E"/>
    <w:rsid w:val="29B923EA"/>
    <w:rsid w:val="29D82DC8"/>
    <w:rsid w:val="29DB2856"/>
    <w:rsid w:val="2A3679BC"/>
    <w:rsid w:val="2A750617"/>
    <w:rsid w:val="2AD7734B"/>
    <w:rsid w:val="2ADF1D9D"/>
    <w:rsid w:val="2B0A581E"/>
    <w:rsid w:val="2B0B1D57"/>
    <w:rsid w:val="2B177DCE"/>
    <w:rsid w:val="2B2362C5"/>
    <w:rsid w:val="2B2D7303"/>
    <w:rsid w:val="2B5920B8"/>
    <w:rsid w:val="2BCA5DAD"/>
    <w:rsid w:val="2BCC1090"/>
    <w:rsid w:val="2BEF61A7"/>
    <w:rsid w:val="2BF738BD"/>
    <w:rsid w:val="2C251BC9"/>
    <w:rsid w:val="2C26606D"/>
    <w:rsid w:val="2C7F0500"/>
    <w:rsid w:val="2CB43679"/>
    <w:rsid w:val="2CDA1D47"/>
    <w:rsid w:val="2D10499E"/>
    <w:rsid w:val="2D15393D"/>
    <w:rsid w:val="2D3E1194"/>
    <w:rsid w:val="2D4C3CE0"/>
    <w:rsid w:val="2D5770D8"/>
    <w:rsid w:val="2D732E94"/>
    <w:rsid w:val="2D932376"/>
    <w:rsid w:val="2DC97B2B"/>
    <w:rsid w:val="2DEC191C"/>
    <w:rsid w:val="2E0221C2"/>
    <w:rsid w:val="2E5C5D76"/>
    <w:rsid w:val="2E7A5E37"/>
    <w:rsid w:val="2EC14403"/>
    <w:rsid w:val="2F10271C"/>
    <w:rsid w:val="2F402024"/>
    <w:rsid w:val="2F61609B"/>
    <w:rsid w:val="2F7470EF"/>
    <w:rsid w:val="2F923A19"/>
    <w:rsid w:val="2FBC6C5A"/>
    <w:rsid w:val="2FE41442"/>
    <w:rsid w:val="2FED6D35"/>
    <w:rsid w:val="301A4137"/>
    <w:rsid w:val="30347D23"/>
    <w:rsid w:val="307D1FD3"/>
    <w:rsid w:val="30EB1E14"/>
    <w:rsid w:val="313E79B5"/>
    <w:rsid w:val="314A4F02"/>
    <w:rsid w:val="31605B7D"/>
    <w:rsid w:val="316B1D43"/>
    <w:rsid w:val="317A53A8"/>
    <w:rsid w:val="317F1D7B"/>
    <w:rsid w:val="319E66A5"/>
    <w:rsid w:val="31B44F8F"/>
    <w:rsid w:val="31B97B44"/>
    <w:rsid w:val="31C939C4"/>
    <w:rsid w:val="31CF1BE6"/>
    <w:rsid w:val="32004C6A"/>
    <w:rsid w:val="322272D6"/>
    <w:rsid w:val="323B0398"/>
    <w:rsid w:val="324C48A1"/>
    <w:rsid w:val="325C0BDA"/>
    <w:rsid w:val="326D08D9"/>
    <w:rsid w:val="3275333C"/>
    <w:rsid w:val="32D0254E"/>
    <w:rsid w:val="32F77971"/>
    <w:rsid w:val="33297D43"/>
    <w:rsid w:val="3341251D"/>
    <w:rsid w:val="336D3397"/>
    <w:rsid w:val="33700CD4"/>
    <w:rsid w:val="33811DDB"/>
    <w:rsid w:val="33D60378"/>
    <w:rsid w:val="34266E92"/>
    <w:rsid w:val="34324333"/>
    <w:rsid w:val="34751048"/>
    <w:rsid w:val="34795E8C"/>
    <w:rsid w:val="348F05CA"/>
    <w:rsid w:val="349D07B0"/>
    <w:rsid w:val="34E37A56"/>
    <w:rsid w:val="35346CAC"/>
    <w:rsid w:val="353B09A0"/>
    <w:rsid w:val="35830745"/>
    <w:rsid w:val="35865833"/>
    <w:rsid w:val="35BE10C4"/>
    <w:rsid w:val="35D01034"/>
    <w:rsid w:val="35EE1E51"/>
    <w:rsid w:val="35FA7F90"/>
    <w:rsid w:val="366156D0"/>
    <w:rsid w:val="36685CF0"/>
    <w:rsid w:val="36C7204F"/>
    <w:rsid w:val="3720190B"/>
    <w:rsid w:val="372C602D"/>
    <w:rsid w:val="37781C9F"/>
    <w:rsid w:val="37830680"/>
    <w:rsid w:val="37BE407E"/>
    <w:rsid w:val="37C2268E"/>
    <w:rsid w:val="37C27F0F"/>
    <w:rsid w:val="380D0AFB"/>
    <w:rsid w:val="383564BA"/>
    <w:rsid w:val="38651BCF"/>
    <w:rsid w:val="386F2B4A"/>
    <w:rsid w:val="3929260E"/>
    <w:rsid w:val="394C2823"/>
    <w:rsid w:val="39504729"/>
    <w:rsid w:val="395D31FD"/>
    <w:rsid w:val="396777DF"/>
    <w:rsid w:val="396B1830"/>
    <w:rsid w:val="39B27192"/>
    <w:rsid w:val="39C16A08"/>
    <w:rsid w:val="39C95C05"/>
    <w:rsid w:val="39E11BE3"/>
    <w:rsid w:val="39E80792"/>
    <w:rsid w:val="39F77BE4"/>
    <w:rsid w:val="39F80C9A"/>
    <w:rsid w:val="3A1C0AAF"/>
    <w:rsid w:val="3A357E2D"/>
    <w:rsid w:val="3A7727CD"/>
    <w:rsid w:val="3A79380C"/>
    <w:rsid w:val="3A931A1E"/>
    <w:rsid w:val="3B4007CD"/>
    <w:rsid w:val="3B497682"/>
    <w:rsid w:val="3B654373"/>
    <w:rsid w:val="3B7721FE"/>
    <w:rsid w:val="3B7D3B4D"/>
    <w:rsid w:val="3BB8547D"/>
    <w:rsid w:val="3BCE5DD9"/>
    <w:rsid w:val="3BF51E1C"/>
    <w:rsid w:val="3C08668D"/>
    <w:rsid w:val="3C1329A9"/>
    <w:rsid w:val="3C194C77"/>
    <w:rsid w:val="3C320116"/>
    <w:rsid w:val="3C60135A"/>
    <w:rsid w:val="3C7A0F4B"/>
    <w:rsid w:val="3C862362"/>
    <w:rsid w:val="3CC20A2F"/>
    <w:rsid w:val="3CC82DB1"/>
    <w:rsid w:val="3CDB255C"/>
    <w:rsid w:val="3CEB2B51"/>
    <w:rsid w:val="3CF40B0C"/>
    <w:rsid w:val="3D507DBA"/>
    <w:rsid w:val="3D5567B2"/>
    <w:rsid w:val="3D6B6207"/>
    <w:rsid w:val="3D733273"/>
    <w:rsid w:val="3D793B23"/>
    <w:rsid w:val="3D7C6A3A"/>
    <w:rsid w:val="3D891FB8"/>
    <w:rsid w:val="3DA23079"/>
    <w:rsid w:val="3DBA6615"/>
    <w:rsid w:val="3DBB413B"/>
    <w:rsid w:val="3DD376D7"/>
    <w:rsid w:val="3E047CEE"/>
    <w:rsid w:val="3E294501"/>
    <w:rsid w:val="3E294DBF"/>
    <w:rsid w:val="3E4E3201"/>
    <w:rsid w:val="3E8403B9"/>
    <w:rsid w:val="3E8409D1"/>
    <w:rsid w:val="3EBB30A6"/>
    <w:rsid w:val="3EC77396"/>
    <w:rsid w:val="3ED6123E"/>
    <w:rsid w:val="3ED656D0"/>
    <w:rsid w:val="3EF9316D"/>
    <w:rsid w:val="3F3423F7"/>
    <w:rsid w:val="3F4F586A"/>
    <w:rsid w:val="3F650802"/>
    <w:rsid w:val="3F8327DC"/>
    <w:rsid w:val="3F8C3FE1"/>
    <w:rsid w:val="3F8E5FAB"/>
    <w:rsid w:val="3F9F4A2D"/>
    <w:rsid w:val="3FA45105"/>
    <w:rsid w:val="3FAD1E21"/>
    <w:rsid w:val="3FAD3F2A"/>
    <w:rsid w:val="3FD17C46"/>
    <w:rsid w:val="3FD31402"/>
    <w:rsid w:val="401144AD"/>
    <w:rsid w:val="40477F08"/>
    <w:rsid w:val="405522F8"/>
    <w:rsid w:val="408F561E"/>
    <w:rsid w:val="409B4AFE"/>
    <w:rsid w:val="409D2E0B"/>
    <w:rsid w:val="40A37834"/>
    <w:rsid w:val="40C02A49"/>
    <w:rsid w:val="40C6655A"/>
    <w:rsid w:val="413D1610"/>
    <w:rsid w:val="41666E60"/>
    <w:rsid w:val="416C01C0"/>
    <w:rsid w:val="416D012D"/>
    <w:rsid w:val="419D5840"/>
    <w:rsid w:val="41A5138A"/>
    <w:rsid w:val="41C92A42"/>
    <w:rsid w:val="420144F6"/>
    <w:rsid w:val="424C451D"/>
    <w:rsid w:val="425C4F23"/>
    <w:rsid w:val="425C6F5E"/>
    <w:rsid w:val="427C0176"/>
    <w:rsid w:val="428321E8"/>
    <w:rsid w:val="42876CE2"/>
    <w:rsid w:val="429E63C6"/>
    <w:rsid w:val="42BD5080"/>
    <w:rsid w:val="430E44A8"/>
    <w:rsid w:val="43145F37"/>
    <w:rsid w:val="43191540"/>
    <w:rsid w:val="436037BB"/>
    <w:rsid w:val="43971FBB"/>
    <w:rsid w:val="43A806C0"/>
    <w:rsid w:val="43A85162"/>
    <w:rsid w:val="43C17374"/>
    <w:rsid w:val="43CF6DE7"/>
    <w:rsid w:val="43D30430"/>
    <w:rsid w:val="43E511A3"/>
    <w:rsid w:val="43EC0FB3"/>
    <w:rsid w:val="44042918"/>
    <w:rsid w:val="444F05C1"/>
    <w:rsid w:val="44521FDF"/>
    <w:rsid w:val="447A1126"/>
    <w:rsid w:val="448031DF"/>
    <w:rsid w:val="448536D9"/>
    <w:rsid w:val="449675BE"/>
    <w:rsid w:val="44982BA2"/>
    <w:rsid w:val="44B6565C"/>
    <w:rsid w:val="44F23662"/>
    <w:rsid w:val="44F57BCE"/>
    <w:rsid w:val="451203DC"/>
    <w:rsid w:val="451C58E6"/>
    <w:rsid w:val="456A0530"/>
    <w:rsid w:val="456D2BB8"/>
    <w:rsid w:val="45841897"/>
    <w:rsid w:val="458E5FA2"/>
    <w:rsid w:val="459578A3"/>
    <w:rsid w:val="45A30F67"/>
    <w:rsid w:val="45DA2D97"/>
    <w:rsid w:val="45E624DF"/>
    <w:rsid w:val="46347164"/>
    <w:rsid w:val="464130C1"/>
    <w:rsid w:val="46B300A5"/>
    <w:rsid w:val="46B93068"/>
    <w:rsid w:val="473B5AF9"/>
    <w:rsid w:val="4758493F"/>
    <w:rsid w:val="4783158D"/>
    <w:rsid w:val="47BA4CFD"/>
    <w:rsid w:val="47BD295D"/>
    <w:rsid w:val="47F21E53"/>
    <w:rsid w:val="48231874"/>
    <w:rsid w:val="482F37F3"/>
    <w:rsid w:val="48364911"/>
    <w:rsid w:val="48603B53"/>
    <w:rsid w:val="48A352F2"/>
    <w:rsid w:val="48A77517"/>
    <w:rsid w:val="48F81C9E"/>
    <w:rsid w:val="48FC4CE4"/>
    <w:rsid w:val="48FF3A76"/>
    <w:rsid w:val="49082AA9"/>
    <w:rsid w:val="492334DC"/>
    <w:rsid w:val="49554EDB"/>
    <w:rsid w:val="498E53FA"/>
    <w:rsid w:val="49A54C47"/>
    <w:rsid w:val="49B74350"/>
    <w:rsid w:val="49CE00ED"/>
    <w:rsid w:val="49F0775D"/>
    <w:rsid w:val="4A347F90"/>
    <w:rsid w:val="4A564D3D"/>
    <w:rsid w:val="4A5A5A80"/>
    <w:rsid w:val="4A622934"/>
    <w:rsid w:val="4A74000B"/>
    <w:rsid w:val="4A9265AB"/>
    <w:rsid w:val="4A960E2E"/>
    <w:rsid w:val="4AA555E3"/>
    <w:rsid w:val="4AD11C6E"/>
    <w:rsid w:val="4B3475A6"/>
    <w:rsid w:val="4B452887"/>
    <w:rsid w:val="4B46773A"/>
    <w:rsid w:val="4B5300A9"/>
    <w:rsid w:val="4B747717"/>
    <w:rsid w:val="4B863FDA"/>
    <w:rsid w:val="4BB6355F"/>
    <w:rsid w:val="4BBC5403"/>
    <w:rsid w:val="4BDA4C17"/>
    <w:rsid w:val="4BDF1A98"/>
    <w:rsid w:val="4BEB0423"/>
    <w:rsid w:val="4BF25F94"/>
    <w:rsid w:val="4BF436C9"/>
    <w:rsid w:val="4C262242"/>
    <w:rsid w:val="4C292FB7"/>
    <w:rsid w:val="4C3063D7"/>
    <w:rsid w:val="4C410343"/>
    <w:rsid w:val="4C5243A3"/>
    <w:rsid w:val="4C6068FA"/>
    <w:rsid w:val="4C7C5ED4"/>
    <w:rsid w:val="4C87000A"/>
    <w:rsid w:val="4C9B6BCF"/>
    <w:rsid w:val="4CA55BFE"/>
    <w:rsid w:val="4CCB5EA5"/>
    <w:rsid w:val="4D030417"/>
    <w:rsid w:val="4D3406B0"/>
    <w:rsid w:val="4D3F2693"/>
    <w:rsid w:val="4D782813"/>
    <w:rsid w:val="4D894FFF"/>
    <w:rsid w:val="4D8F21AB"/>
    <w:rsid w:val="4DA93FB0"/>
    <w:rsid w:val="4E493012"/>
    <w:rsid w:val="4E4E31AC"/>
    <w:rsid w:val="4E56283B"/>
    <w:rsid w:val="4E743E46"/>
    <w:rsid w:val="4E9915B0"/>
    <w:rsid w:val="4E9A2CD0"/>
    <w:rsid w:val="4ED86D93"/>
    <w:rsid w:val="4EE43F07"/>
    <w:rsid w:val="4F3124AF"/>
    <w:rsid w:val="4F47493D"/>
    <w:rsid w:val="4F4A32CC"/>
    <w:rsid w:val="4F600C2E"/>
    <w:rsid w:val="4F767BF0"/>
    <w:rsid w:val="4FAF1DDA"/>
    <w:rsid w:val="4FB235F0"/>
    <w:rsid w:val="4FDC066D"/>
    <w:rsid w:val="50061FBE"/>
    <w:rsid w:val="50324731"/>
    <w:rsid w:val="50406E4E"/>
    <w:rsid w:val="50487AB0"/>
    <w:rsid w:val="505C7F2D"/>
    <w:rsid w:val="50641485"/>
    <w:rsid w:val="50AD2009"/>
    <w:rsid w:val="50EC4999"/>
    <w:rsid w:val="51185252"/>
    <w:rsid w:val="514642BB"/>
    <w:rsid w:val="51573990"/>
    <w:rsid w:val="515D3A2F"/>
    <w:rsid w:val="515E6E0C"/>
    <w:rsid w:val="51A00668"/>
    <w:rsid w:val="51C70EA9"/>
    <w:rsid w:val="521855F1"/>
    <w:rsid w:val="52382532"/>
    <w:rsid w:val="525A1D1D"/>
    <w:rsid w:val="52692C4E"/>
    <w:rsid w:val="527C7CEA"/>
    <w:rsid w:val="529B37EE"/>
    <w:rsid w:val="529E401E"/>
    <w:rsid w:val="52C46194"/>
    <w:rsid w:val="53065190"/>
    <w:rsid w:val="533C6BFD"/>
    <w:rsid w:val="53411CCF"/>
    <w:rsid w:val="53534D8C"/>
    <w:rsid w:val="536D6D3B"/>
    <w:rsid w:val="53742406"/>
    <w:rsid w:val="53817C44"/>
    <w:rsid w:val="538E3C1A"/>
    <w:rsid w:val="53B63678"/>
    <w:rsid w:val="53BC24C4"/>
    <w:rsid w:val="53DC68B8"/>
    <w:rsid w:val="53EA7EAE"/>
    <w:rsid w:val="53F934C0"/>
    <w:rsid w:val="541B7496"/>
    <w:rsid w:val="54564958"/>
    <w:rsid w:val="54790B80"/>
    <w:rsid w:val="547B2582"/>
    <w:rsid w:val="54901D38"/>
    <w:rsid w:val="54C3746B"/>
    <w:rsid w:val="54C47FDD"/>
    <w:rsid w:val="54E05BFB"/>
    <w:rsid w:val="55124B31"/>
    <w:rsid w:val="551A222C"/>
    <w:rsid w:val="55402184"/>
    <w:rsid w:val="55492338"/>
    <w:rsid w:val="55516C81"/>
    <w:rsid w:val="55652EB2"/>
    <w:rsid w:val="55994ED3"/>
    <w:rsid w:val="55E64AA2"/>
    <w:rsid w:val="56024BA5"/>
    <w:rsid w:val="56355CE7"/>
    <w:rsid w:val="5689160E"/>
    <w:rsid w:val="56955C0E"/>
    <w:rsid w:val="56A42320"/>
    <w:rsid w:val="56BC618B"/>
    <w:rsid w:val="56C55E54"/>
    <w:rsid w:val="56C62F6E"/>
    <w:rsid w:val="56E83B25"/>
    <w:rsid w:val="57034731"/>
    <w:rsid w:val="571E156B"/>
    <w:rsid w:val="5726133B"/>
    <w:rsid w:val="572C6F2A"/>
    <w:rsid w:val="576D6A1E"/>
    <w:rsid w:val="57B26E8E"/>
    <w:rsid w:val="57C739B1"/>
    <w:rsid w:val="580C1D0B"/>
    <w:rsid w:val="5813056E"/>
    <w:rsid w:val="581C3C86"/>
    <w:rsid w:val="585E4E02"/>
    <w:rsid w:val="58B35AC8"/>
    <w:rsid w:val="58C03F2E"/>
    <w:rsid w:val="59340209"/>
    <w:rsid w:val="59576A84"/>
    <w:rsid w:val="59613991"/>
    <w:rsid w:val="596C01DD"/>
    <w:rsid w:val="597275C0"/>
    <w:rsid w:val="59A11816"/>
    <w:rsid w:val="59E76564"/>
    <w:rsid w:val="59EE791A"/>
    <w:rsid w:val="5A1334AA"/>
    <w:rsid w:val="5A2C7950"/>
    <w:rsid w:val="5A2D00B4"/>
    <w:rsid w:val="5A2F0FF4"/>
    <w:rsid w:val="5A572F81"/>
    <w:rsid w:val="5A6D3FB0"/>
    <w:rsid w:val="5A7B1324"/>
    <w:rsid w:val="5AA61FA3"/>
    <w:rsid w:val="5ACC69D3"/>
    <w:rsid w:val="5AD3594A"/>
    <w:rsid w:val="5AE058B6"/>
    <w:rsid w:val="5B013FFE"/>
    <w:rsid w:val="5B04199C"/>
    <w:rsid w:val="5B381344"/>
    <w:rsid w:val="5B3C13B7"/>
    <w:rsid w:val="5B4E3743"/>
    <w:rsid w:val="5B5163B3"/>
    <w:rsid w:val="5B5774F6"/>
    <w:rsid w:val="5BC86DE0"/>
    <w:rsid w:val="5BE334BC"/>
    <w:rsid w:val="5C060B77"/>
    <w:rsid w:val="5C336BC5"/>
    <w:rsid w:val="5C3D6937"/>
    <w:rsid w:val="5C407EBF"/>
    <w:rsid w:val="5C771C2B"/>
    <w:rsid w:val="5C797D48"/>
    <w:rsid w:val="5C9476E3"/>
    <w:rsid w:val="5CBB0698"/>
    <w:rsid w:val="5CD771D0"/>
    <w:rsid w:val="5CEC4AF6"/>
    <w:rsid w:val="5D1C36CA"/>
    <w:rsid w:val="5D6808D9"/>
    <w:rsid w:val="5D8559A9"/>
    <w:rsid w:val="5DA737AB"/>
    <w:rsid w:val="5DDB3802"/>
    <w:rsid w:val="5EAA0A9E"/>
    <w:rsid w:val="5EAF23C4"/>
    <w:rsid w:val="5EB338D1"/>
    <w:rsid w:val="5EB933E6"/>
    <w:rsid w:val="5EDA03DE"/>
    <w:rsid w:val="5F0609A9"/>
    <w:rsid w:val="5F2540C3"/>
    <w:rsid w:val="5F420DD1"/>
    <w:rsid w:val="5F645F89"/>
    <w:rsid w:val="5F9E4BFD"/>
    <w:rsid w:val="5FD131B5"/>
    <w:rsid w:val="5FD44EBD"/>
    <w:rsid w:val="5FDE5D3B"/>
    <w:rsid w:val="600973D9"/>
    <w:rsid w:val="600C30B8"/>
    <w:rsid w:val="60113286"/>
    <w:rsid w:val="60362E3C"/>
    <w:rsid w:val="605F3033"/>
    <w:rsid w:val="60BF02B8"/>
    <w:rsid w:val="60C018E5"/>
    <w:rsid w:val="60D854B9"/>
    <w:rsid w:val="60DE4BDB"/>
    <w:rsid w:val="60E2224F"/>
    <w:rsid w:val="61134759"/>
    <w:rsid w:val="61330309"/>
    <w:rsid w:val="614405A5"/>
    <w:rsid w:val="61480611"/>
    <w:rsid w:val="61880C9C"/>
    <w:rsid w:val="61967449"/>
    <w:rsid w:val="619D5782"/>
    <w:rsid w:val="61AB2550"/>
    <w:rsid w:val="61B054B5"/>
    <w:rsid w:val="61D83B07"/>
    <w:rsid w:val="62026685"/>
    <w:rsid w:val="62097C76"/>
    <w:rsid w:val="62234B37"/>
    <w:rsid w:val="62601A09"/>
    <w:rsid w:val="626A7E25"/>
    <w:rsid w:val="62840A39"/>
    <w:rsid w:val="62B22353"/>
    <w:rsid w:val="62BA5DDC"/>
    <w:rsid w:val="62CD4529"/>
    <w:rsid w:val="62E77A80"/>
    <w:rsid w:val="62FF0C08"/>
    <w:rsid w:val="63002F69"/>
    <w:rsid w:val="632A606F"/>
    <w:rsid w:val="632F4CB2"/>
    <w:rsid w:val="633C1C08"/>
    <w:rsid w:val="6343056E"/>
    <w:rsid w:val="636179CD"/>
    <w:rsid w:val="637C0777"/>
    <w:rsid w:val="63BD58EA"/>
    <w:rsid w:val="63DD33AA"/>
    <w:rsid w:val="63F675B5"/>
    <w:rsid w:val="640F0BB9"/>
    <w:rsid w:val="640F2A3F"/>
    <w:rsid w:val="642A2423"/>
    <w:rsid w:val="643E6BC1"/>
    <w:rsid w:val="64417DA8"/>
    <w:rsid w:val="650321AD"/>
    <w:rsid w:val="650C2B98"/>
    <w:rsid w:val="654B2510"/>
    <w:rsid w:val="655B1BCC"/>
    <w:rsid w:val="65622F6B"/>
    <w:rsid w:val="657555B7"/>
    <w:rsid w:val="657F1D6E"/>
    <w:rsid w:val="65B06E9D"/>
    <w:rsid w:val="65D87D0A"/>
    <w:rsid w:val="65E0431F"/>
    <w:rsid w:val="65F16189"/>
    <w:rsid w:val="65FA5357"/>
    <w:rsid w:val="664D10C7"/>
    <w:rsid w:val="66616073"/>
    <w:rsid w:val="667119CA"/>
    <w:rsid w:val="66C016C6"/>
    <w:rsid w:val="675A68D3"/>
    <w:rsid w:val="67677C61"/>
    <w:rsid w:val="676F7BC1"/>
    <w:rsid w:val="678777BE"/>
    <w:rsid w:val="678C2521"/>
    <w:rsid w:val="67B101D9"/>
    <w:rsid w:val="67E52D51"/>
    <w:rsid w:val="67EB2552"/>
    <w:rsid w:val="67EC6572"/>
    <w:rsid w:val="67F86E79"/>
    <w:rsid w:val="68254F50"/>
    <w:rsid w:val="68264723"/>
    <w:rsid w:val="6852337A"/>
    <w:rsid w:val="68855C6D"/>
    <w:rsid w:val="68A72A50"/>
    <w:rsid w:val="68F17085"/>
    <w:rsid w:val="69015896"/>
    <w:rsid w:val="69074555"/>
    <w:rsid w:val="692E2CB4"/>
    <w:rsid w:val="69322DA6"/>
    <w:rsid w:val="69685B5B"/>
    <w:rsid w:val="696C71F7"/>
    <w:rsid w:val="697670FA"/>
    <w:rsid w:val="69831701"/>
    <w:rsid w:val="69977A9B"/>
    <w:rsid w:val="699A391B"/>
    <w:rsid w:val="69E8281B"/>
    <w:rsid w:val="69F3799D"/>
    <w:rsid w:val="69FC1BE0"/>
    <w:rsid w:val="69FF522C"/>
    <w:rsid w:val="6A1C5DDE"/>
    <w:rsid w:val="6A260A0B"/>
    <w:rsid w:val="6A2B6021"/>
    <w:rsid w:val="6A4E7F61"/>
    <w:rsid w:val="6A505A87"/>
    <w:rsid w:val="6A8207A6"/>
    <w:rsid w:val="6A963105"/>
    <w:rsid w:val="6B1742BC"/>
    <w:rsid w:val="6B240DE5"/>
    <w:rsid w:val="6B4D3B92"/>
    <w:rsid w:val="6B56329B"/>
    <w:rsid w:val="6B634EB9"/>
    <w:rsid w:val="6B7105BF"/>
    <w:rsid w:val="6B7B7960"/>
    <w:rsid w:val="6B7E07B9"/>
    <w:rsid w:val="6B8A4FC9"/>
    <w:rsid w:val="6BA45610"/>
    <w:rsid w:val="6BB12E5B"/>
    <w:rsid w:val="6C345A2D"/>
    <w:rsid w:val="6C3E778F"/>
    <w:rsid w:val="6C67544D"/>
    <w:rsid w:val="6C7C0DB6"/>
    <w:rsid w:val="6C822881"/>
    <w:rsid w:val="6C9A5765"/>
    <w:rsid w:val="6CA51590"/>
    <w:rsid w:val="6CAE2105"/>
    <w:rsid w:val="6CCD7863"/>
    <w:rsid w:val="6CD91ACD"/>
    <w:rsid w:val="6CE632A0"/>
    <w:rsid w:val="6CF11BC7"/>
    <w:rsid w:val="6D181284"/>
    <w:rsid w:val="6D5953BC"/>
    <w:rsid w:val="6D664854"/>
    <w:rsid w:val="6D777539"/>
    <w:rsid w:val="6DC93584"/>
    <w:rsid w:val="6E026A1B"/>
    <w:rsid w:val="6E14017F"/>
    <w:rsid w:val="6E1D3ED3"/>
    <w:rsid w:val="6E5031D3"/>
    <w:rsid w:val="6EA41261"/>
    <w:rsid w:val="6F0B0CDB"/>
    <w:rsid w:val="6F183550"/>
    <w:rsid w:val="6F400286"/>
    <w:rsid w:val="6F6E4AFF"/>
    <w:rsid w:val="6F9F044F"/>
    <w:rsid w:val="6FCD1928"/>
    <w:rsid w:val="7017608F"/>
    <w:rsid w:val="704D11EE"/>
    <w:rsid w:val="705A0CD1"/>
    <w:rsid w:val="709D5DCF"/>
    <w:rsid w:val="70A729E1"/>
    <w:rsid w:val="70AD2E48"/>
    <w:rsid w:val="70E62CA2"/>
    <w:rsid w:val="711638AA"/>
    <w:rsid w:val="7169742F"/>
    <w:rsid w:val="717B788E"/>
    <w:rsid w:val="71B3150E"/>
    <w:rsid w:val="71E62D3B"/>
    <w:rsid w:val="71EE1295"/>
    <w:rsid w:val="71FD02E7"/>
    <w:rsid w:val="722C0B88"/>
    <w:rsid w:val="722E2EA9"/>
    <w:rsid w:val="729B5374"/>
    <w:rsid w:val="72CF071D"/>
    <w:rsid w:val="72D2048F"/>
    <w:rsid w:val="730E4E56"/>
    <w:rsid w:val="73374B7F"/>
    <w:rsid w:val="73402BC5"/>
    <w:rsid w:val="737A34D9"/>
    <w:rsid w:val="738C2151"/>
    <w:rsid w:val="738D5998"/>
    <w:rsid w:val="739710DE"/>
    <w:rsid w:val="739A1AFC"/>
    <w:rsid w:val="73A26DEB"/>
    <w:rsid w:val="73B806BE"/>
    <w:rsid w:val="73E6120B"/>
    <w:rsid w:val="73FB2F08"/>
    <w:rsid w:val="741D55BA"/>
    <w:rsid w:val="743106D8"/>
    <w:rsid w:val="74354239"/>
    <w:rsid w:val="74366D94"/>
    <w:rsid w:val="744D473B"/>
    <w:rsid w:val="74513AF1"/>
    <w:rsid w:val="746B3CAF"/>
    <w:rsid w:val="74754750"/>
    <w:rsid w:val="74C20ECB"/>
    <w:rsid w:val="74D70265"/>
    <w:rsid w:val="74FF4475"/>
    <w:rsid w:val="7501218E"/>
    <w:rsid w:val="754937FF"/>
    <w:rsid w:val="757232B9"/>
    <w:rsid w:val="757D9334"/>
    <w:rsid w:val="7580174E"/>
    <w:rsid w:val="75A74A5B"/>
    <w:rsid w:val="75AA747B"/>
    <w:rsid w:val="75D54D59"/>
    <w:rsid w:val="75D56130"/>
    <w:rsid w:val="76037E52"/>
    <w:rsid w:val="761C26EA"/>
    <w:rsid w:val="762754E7"/>
    <w:rsid w:val="763C24E0"/>
    <w:rsid w:val="7641097A"/>
    <w:rsid w:val="7654267A"/>
    <w:rsid w:val="7662793F"/>
    <w:rsid w:val="7671125F"/>
    <w:rsid w:val="76930D8F"/>
    <w:rsid w:val="76DA3215"/>
    <w:rsid w:val="76EE0B02"/>
    <w:rsid w:val="76F52177"/>
    <w:rsid w:val="775001F8"/>
    <w:rsid w:val="7755292F"/>
    <w:rsid w:val="77582649"/>
    <w:rsid w:val="77644784"/>
    <w:rsid w:val="77676A05"/>
    <w:rsid w:val="77710016"/>
    <w:rsid w:val="7777294F"/>
    <w:rsid w:val="77853D80"/>
    <w:rsid w:val="7791148D"/>
    <w:rsid w:val="77DB4757"/>
    <w:rsid w:val="781D017E"/>
    <w:rsid w:val="78281DF2"/>
    <w:rsid w:val="788D3082"/>
    <w:rsid w:val="78B10039"/>
    <w:rsid w:val="78BA4BE3"/>
    <w:rsid w:val="78D0322B"/>
    <w:rsid w:val="78E81581"/>
    <w:rsid w:val="78FE2225"/>
    <w:rsid w:val="79174419"/>
    <w:rsid w:val="793B3DA7"/>
    <w:rsid w:val="796F00A6"/>
    <w:rsid w:val="7977420F"/>
    <w:rsid w:val="79AE2763"/>
    <w:rsid w:val="79E306C6"/>
    <w:rsid w:val="7A0C3669"/>
    <w:rsid w:val="7A30210C"/>
    <w:rsid w:val="7A306423"/>
    <w:rsid w:val="7A527C0D"/>
    <w:rsid w:val="7A965FF5"/>
    <w:rsid w:val="7A9D69F8"/>
    <w:rsid w:val="7A9E45ED"/>
    <w:rsid w:val="7AAB68AA"/>
    <w:rsid w:val="7AC93465"/>
    <w:rsid w:val="7ACC5AD7"/>
    <w:rsid w:val="7AE85647"/>
    <w:rsid w:val="7AF23B57"/>
    <w:rsid w:val="7AF84C48"/>
    <w:rsid w:val="7B106671"/>
    <w:rsid w:val="7B9E40C9"/>
    <w:rsid w:val="7BA10A40"/>
    <w:rsid w:val="7BED0375"/>
    <w:rsid w:val="7BF605D5"/>
    <w:rsid w:val="7C2E7969"/>
    <w:rsid w:val="7C711F43"/>
    <w:rsid w:val="7C864AF6"/>
    <w:rsid w:val="7CAF4890"/>
    <w:rsid w:val="7CB665FC"/>
    <w:rsid w:val="7CB84E88"/>
    <w:rsid w:val="7CCF0A8E"/>
    <w:rsid w:val="7CCF6945"/>
    <w:rsid w:val="7CE80EC9"/>
    <w:rsid w:val="7CE85FF3"/>
    <w:rsid w:val="7CF1325B"/>
    <w:rsid w:val="7D575A72"/>
    <w:rsid w:val="7D5D1E07"/>
    <w:rsid w:val="7DA33863"/>
    <w:rsid w:val="7DAA43E4"/>
    <w:rsid w:val="7DEA1ACC"/>
    <w:rsid w:val="7DF05160"/>
    <w:rsid w:val="7DF70B6B"/>
    <w:rsid w:val="7DFA3259"/>
    <w:rsid w:val="7DFD061C"/>
    <w:rsid w:val="7E32455A"/>
    <w:rsid w:val="7E3A2EEA"/>
    <w:rsid w:val="7E7E048E"/>
    <w:rsid w:val="7E7E276B"/>
    <w:rsid w:val="7E903C73"/>
    <w:rsid w:val="7E9B4050"/>
    <w:rsid w:val="7EAC5AF2"/>
    <w:rsid w:val="7EB643A4"/>
    <w:rsid w:val="7EC87E8B"/>
    <w:rsid w:val="7EDB2536"/>
    <w:rsid w:val="7EE5287C"/>
    <w:rsid w:val="7EF6285C"/>
    <w:rsid w:val="7F0245CE"/>
    <w:rsid w:val="7F0A49F2"/>
    <w:rsid w:val="7F146331"/>
    <w:rsid w:val="7F777854"/>
    <w:rsid w:val="7F846928"/>
    <w:rsid w:val="7F8E5C58"/>
    <w:rsid w:val="7FBF27D5"/>
    <w:rsid w:val="7FDA1469"/>
    <w:rsid w:val="ABFF18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iPriority="0" w:semiHidden="0" w:name="heading 4"/>
    <w:lsdException w:qFormat="1" w:uiPriority="0"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9"/>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jc w:val="center"/>
      <w:outlineLvl w:val="0"/>
    </w:pPr>
    <w:rPr>
      <w:rFonts w:ascii="楷体_GB2312" w:eastAsia="楷体_GB2312"/>
      <w:b/>
      <w:bCs/>
    </w:rPr>
  </w:style>
  <w:style w:type="paragraph" w:styleId="3">
    <w:name w:val="heading 2"/>
    <w:basedOn w:val="1"/>
    <w:next w:val="1"/>
    <w:unhideWhenUsed/>
    <w:qFormat/>
    <w:uiPriority w:val="0"/>
    <w:pPr>
      <w:keepNext/>
      <w:keepLines/>
      <w:numPr>
        <w:ilvl w:val="1"/>
        <w:numId w:val="1"/>
      </w:numPr>
      <w:jc w:val="left"/>
      <w:outlineLvl w:val="1"/>
    </w:pPr>
    <w:rPr>
      <w:rFonts w:ascii="宋体" w:hAnsi="宋体" w:cstheme="majorBidi"/>
      <w:b/>
      <w:bCs/>
      <w:sz w:val="32"/>
      <w:szCs w:val="32"/>
    </w:rPr>
  </w:style>
  <w:style w:type="paragraph" w:styleId="4">
    <w:name w:val="heading 3"/>
    <w:basedOn w:val="1"/>
    <w:next w:val="1"/>
    <w:qFormat/>
    <w:uiPriority w:val="9"/>
    <w:pPr>
      <w:widowControl/>
      <w:numPr>
        <w:ilvl w:val="2"/>
        <w:numId w:val="2"/>
      </w:numPr>
      <w:autoSpaceDE w:val="0"/>
      <w:autoSpaceDN w:val="0"/>
      <w:adjustRightInd w:val="0"/>
      <w:spacing w:beforeLines="50" w:afterLines="50" w:line="360" w:lineRule="auto"/>
      <w:outlineLvl w:val="2"/>
    </w:pPr>
    <w:rPr>
      <w:rFonts w:ascii="CG Times" w:hAnsi="CG Times"/>
      <w:color w:val="000000"/>
      <w:kern w:val="0"/>
      <w:sz w:val="24"/>
      <w:szCs w:val="20"/>
    </w:rPr>
  </w:style>
  <w:style w:type="paragraph" w:styleId="5">
    <w:name w:val="heading 4"/>
    <w:basedOn w:val="1"/>
    <w:next w:val="1"/>
    <w:unhideWhenUsed/>
    <w:qFormat/>
    <w:uiPriority w:val="0"/>
    <w:pPr>
      <w:keepNext/>
      <w:keepLines/>
      <w:numPr>
        <w:ilvl w:val="3"/>
        <w:numId w:val="1"/>
      </w:numPr>
      <w:jc w:val="left"/>
      <w:outlineLvl w:val="3"/>
    </w:pPr>
    <w:rPr>
      <w:rFonts w:ascii="宋体" w:hAnsiTheme="majorHAnsi" w:cstheme="majorBidi"/>
      <w:b/>
      <w:bCs/>
      <w:sz w:val="28"/>
      <w:szCs w:val="28"/>
    </w:rPr>
  </w:style>
  <w:style w:type="paragraph" w:styleId="6">
    <w:name w:val="heading 5"/>
    <w:basedOn w:val="1"/>
    <w:next w:val="1"/>
    <w:unhideWhenUsed/>
    <w:qFormat/>
    <w:uiPriority w:val="0"/>
    <w:pPr>
      <w:keepNext/>
      <w:keepLines/>
      <w:numPr>
        <w:ilvl w:val="4"/>
        <w:numId w:val="1"/>
      </w:numPr>
      <w:tabs>
        <w:tab w:val="left" w:pos="576"/>
      </w:tabs>
      <w:jc w:val="left"/>
      <w:outlineLvl w:val="4"/>
    </w:pPr>
    <w:rPr>
      <w:rFonts w:ascii="宋体" w:hAnsi="宋体"/>
      <w:b/>
      <w:bCs/>
      <w:szCs w:val="20"/>
    </w:rPr>
  </w:style>
  <w:style w:type="paragraph" w:styleId="7">
    <w:name w:val="heading 6"/>
    <w:basedOn w:val="1"/>
    <w:next w:val="1"/>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Cs w:val="24"/>
    </w:rPr>
  </w:style>
  <w:style w:type="character" w:default="1" w:styleId="33">
    <w:name w:val="Default Paragraph Font"/>
    <w:unhideWhenUsed/>
    <w:qFormat/>
    <w:uiPriority w:val="1"/>
  </w:style>
  <w:style w:type="table" w:default="1" w:styleId="31">
    <w:name w:val="Normal Table"/>
    <w:unhideWhenUsed/>
    <w:qFormat/>
    <w:uiPriority w:val="99"/>
    <w:tblPr>
      <w:tblCellMar>
        <w:top w:w="0" w:type="dxa"/>
        <w:left w:w="108" w:type="dxa"/>
        <w:bottom w:w="0" w:type="dxa"/>
        <w:right w:w="108" w:type="dxa"/>
      </w:tblCellMar>
    </w:tblPr>
  </w:style>
  <w:style w:type="paragraph" w:styleId="8">
    <w:name w:val="Normal Indent"/>
    <w:basedOn w:val="1"/>
    <w:next w:val="1"/>
    <w:unhideWhenUsed/>
    <w:qFormat/>
    <w:uiPriority w:val="99"/>
    <w:pPr>
      <w:adjustRightInd w:val="0"/>
      <w:spacing w:line="312" w:lineRule="atLeast"/>
      <w:ind w:firstLine="420"/>
    </w:pPr>
    <w:rPr>
      <w:rFonts w:cs="黑体"/>
    </w:rPr>
  </w:style>
  <w:style w:type="paragraph" w:styleId="9">
    <w:name w:val="toa heading"/>
    <w:basedOn w:val="1"/>
    <w:next w:val="1"/>
    <w:unhideWhenUsed/>
    <w:qFormat/>
    <w:uiPriority w:val="99"/>
    <w:pPr>
      <w:spacing w:before="120"/>
    </w:pPr>
    <w:rPr>
      <w:rFonts w:ascii="Arial" w:hAnsi="Arial" w:eastAsia="仿宋_GB2312" w:cs="Arial"/>
      <w:b/>
      <w:bCs/>
      <w:color w:val="000000"/>
      <w:kern w:val="0"/>
      <w:sz w:val="24"/>
      <w:szCs w:val="21"/>
    </w:rPr>
  </w:style>
  <w:style w:type="paragraph" w:styleId="10">
    <w:name w:val="annotation text"/>
    <w:basedOn w:val="1"/>
    <w:qFormat/>
    <w:uiPriority w:val="0"/>
    <w:pPr>
      <w:jc w:val="left"/>
    </w:pPr>
  </w:style>
  <w:style w:type="paragraph" w:styleId="11">
    <w:name w:val="Body Text"/>
    <w:basedOn w:val="1"/>
    <w:next w:val="12"/>
    <w:unhideWhenUsed/>
    <w:qFormat/>
    <w:uiPriority w:val="0"/>
    <w:pPr>
      <w:spacing w:after="120"/>
    </w:pPr>
    <w:rPr>
      <w:rFonts w:ascii="Times New Roman" w:hAnsi="Times New Roman"/>
      <w:szCs w:val="24"/>
    </w:rPr>
  </w:style>
  <w:style w:type="paragraph" w:styleId="12">
    <w:name w:val="Body Text First Indent"/>
    <w:basedOn w:val="11"/>
    <w:next w:val="1"/>
    <w:qFormat/>
    <w:uiPriority w:val="0"/>
    <w:pPr>
      <w:autoSpaceDE w:val="0"/>
      <w:autoSpaceDN w:val="0"/>
      <w:adjustRightInd w:val="0"/>
      <w:ind w:firstLine="420" w:firstLineChars="100"/>
      <w:textAlignment w:val="baseline"/>
    </w:pPr>
    <w:rPr>
      <w:sz w:val="24"/>
      <w:szCs w:val="20"/>
    </w:rPr>
  </w:style>
  <w:style w:type="paragraph" w:styleId="13">
    <w:name w:val="Body Text Indent"/>
    <w:basedOn w:val="1"/>
    <w:next w:val="1"/>
    <w:qFormat/>
    <w:uiPriority w:val="0"/>
    <w:pPr>
      <w:ind w:left="360" w:firstLine="56" w:firstLineChars="20"/>
    </w:pPr>
    <w:rPr>
      <w:rFonts w:eastAsia="仿宋_GB2312"/>
      <w:kern w:val="0"/>
      <w:sz w:val="32"/>
      <w:szCs w:val="24"/>
    </w:rPr>
  </w:style>
  <w:style w:type="paragraph" w:styleId="14">
    <w:name w:val="List 2"/>
    <w:basedOn w:val="1"/>
    <w:unhideWhenUsed/>
    <w:qFormat/>
    <w:uiPriority w:val="99"/>
    <w:pPr>
      <w:ind w:left="100" w:leftChars="200" w:hanging="200" w:hangingChars="200"/>
      <w:contextualSpacing/>
    </w:pPr>
  </w:style>
  <w:style w:type="paragraph" w:styleId="15">
    <w:name w:val="Block Text"/>
    <w:basedOn w:val="1"/>
    <w:qFormat/>
    <w:uiPriority w:val="0"/>
    <w:pPr>
      <w:spacing w:beforeLines="50" w:afterLines="50"/>
      <w:ind w:left="426" w:right="-11" w:hanging="426" w:hangingChars="203"/>
    </w:pPr>
    <w:rPr>
      <w:rFonts w:eastAsia="楷体_GB2312"/>
    </w:rPr>
  </w:style>
  <w:style w:type="paragraph" w:styleId="16">
    <w:name w:val="toc 3"/>
    <w:basedOn w:val="1"/>
    <w:next w:val="1"/>
    <w:qFormat/>
    <w:uiPriority w:val="0"/>
    <w:pPr>
      <w:ind w:left="840" w:leftChars="400"/>
    </w:pPr>
  </w:style>
  <w:style w:type="paragraph" w:styleId="17">
    <w:name w:val="Plain Text"/>
    <w:basedOn w:val="1"/>
    <w:next w:val="1"/>
    <w:unhideWhenUsed/>
    <w:qFormat/>
    <w:uiPriority w:val="99"/>
    <w:pPr>
      <w:widowControl/>
      <w:overflowPunct w:val="0"/>
      <w:autoSpaceDE w:val="0"/>
      <w:autoSpaceDN w:val="0"/>
      <w:adjustRightInd w:val="0"/>
      <w:jc w:val="left"/>
    </w:pPr>
    <w:rPr>
      <w:rFonts w:ascii="宋体" w:hAnsi="Courier New" w:cs="黑体"/>
      <w:szCs w:val="21"/>
    </w:rPr>
  </w:style>
  <w:style w:type="paragraph" w:styleId="18">
    <w:name w:val="Date"/>
    <w:basedOn w:val="1"/>
    <w:next w:val="1"/>
    <w:qFormat/>
    <w:uiPriority w:val="0"/>
    <w:pPr>
      <w:ind w:left="100" w:leftChars="2500"/>
    </w:pPr>
    <w:rPr>
      <w:sz w:val="24"/>
    </w:rPr>
  </w:style>
  <w:style w:type="paragraph" w:styleId="19">
    <w:name w:val="Balloon Text"/>
    <w:basedOn w:val="1"/>
    <w:link w:val="76"/>
    <w:qFormat/>
    <w:uiPriority w:val="0"/>
    <w:rPr>
      <w:sz w:val="18"/>
      <w:szCs w:val="18"/>
    </w:rPr>
  </w:style>
  <w:style w:type="paragraph" w:styleId="20">
    <w:name w:val="footer"/>
    <w:basedOn w:val="1"/>
    <w:unhideWhenUsed/>
    <w:qFormat/>
    <w:uiPriority w:val="99"/>
    <w:pPr>
      <w:tabs>
        <w:tab w:val="center" w:pos="4153"/>
        <w:tab w:val="right" w:pos="8306"/>
      </w:tabs>
      <w:snapToGrid w:val="0"/>
      <w:jc w:val="left"/>
    </w:pPr>
    <w:rPr>
      <w:sz w:val="18"/>
      <w:szCs w:val="18"/>
    </w:rPr>
  </w:style>
  <w:style w:type="paragraph" w:styleId="21">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spacing w:line="340" w:lineRule="exact"/>
    </w:pPr>
  </w:style>
  <w:style w:type="paragraph" w:styleId="23">
    <w:name w:val="footnote text"/>
    <w:basedOn w:val="1"/>
    <w:unhideWhenUsed/>
    <w:qFormat/>
    <w:uiPriority w:val="99"/>
    <w:pPr>
      <w:snapToGrid w:val="0"/>
      <w:spacing w:beforeLines="0" w:afterLines="0"/>
      <w:jc w:val="left"/>
    </w:pPr>
    <w:rPr>
      <w:rFonts w:hint="eastAsia"/>
      <w:sz w:val="18"/>
    </w:rPr>
  </w:style>
  <w:style w:type="paragraph" w:styleId="24">
    <w:name w:val="toc 6"/>
    <w:basedOn w:val="1"/>
    <w:next w:val="1"/>
    <w:qFormat/>
    <w:uiPriority w:val="99"/>
    <w:pPr>
      <w:ind w:left="2100" w:leftChars="1000"/>
    </w:pPr>
  </w:style>
  <w:style w:type="paragraph" w:styleId="25">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26">
    <w:name w:val="table of figures"/>
    <w:basedOn w:val="1"/>
    <w:next w:val="1"/>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27">
    <w:name w:val="toc 2"/>
    <w:basedOn w:val="1"/>
    <w:next w:val="1"/>
    <w:qFormat/>
    <w:uiPriority w:val="0"/>
    <w:pPr>
      <w:ind w:left="420" w:leftChars="200"/>
    </w:pPr>
  </w:style>
  <w:style w:type="paragraph" w:styleId="28">
    <w:name w:val="Normal (Web)"/>
    <w:basedOn w:val="1"/>
    <w:next w:val="27"/>
    <w:qFormat/>
    <w:uiPriority w:val="0"/>
    <w:pPr>
      <w:spacing w:beforeAutospacing="1" w:afterAutospacing="1"/>
      <w:jc w:val="left"/>
    </w:pPr>
    <w:rPr>
      <w:kern w:val="0"/>
      <w:sz w:val="24"/>
    </w:rPr>
  </w:style>
  <w:style w:type="paragraph" w:styleId="29">
    <w:name w:val="Title"/>
    <w:basedOn w:val="1"/>
    <w:next w:val="1"/>
    <w:qFormat/>
    <w:uiPriority w:val="10"/>
    <w:pPr>
      <w:jc w:val="center"/>
    </w:pPr>
    <w:rPr>
      <w:rFonts w:ascii="Arial" w:hAnsi="Arial"/>
      <w:b/>
      <w:kern w:val="0"/>
      <w:sz w:val="36"/>
      <w:szCs w:val="20"/>
      <w:lang w:eastAsia="en-US"/>
    </w:rPr>
  </w:style>
  <w:style w:type="paragraph" w:styleId="30">
    <w:name w:val="Body Text First Indent 2"/>
    <w:basedOn w:val="13"/>
    <w:next w:val="12"/>
    <w:unhideWhenUsed/>
    <w:qFormat/>
    <w:uiPriority w:val="99"/>
    <w:pPr>
      <w:spacing w:after="120"/>
      <w:ind w:left="420" w:leftChars="200" w:firstLine="420"/>
    </w:pPr>
    <w:rPr>
      <w:rFonts w:cs="宋体"/>
      <w:sz w:val="21"/>
      <w:szCs w:val="21"/>
    </w:rPr>
  </w:style>
  <w:style w:type="table" w:styleId="32">
    <w:name w:val="Table Grid"/>
    <w:basedOn w:val="3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bCs/>
    </w:rPr>
  </w:style>
  <w:style w:type="character" w:styleId="35">
    <w:name w:val="page number"/>
    <w:basedOn w:val="33"/>
    <w:qFormat/>
    <w:uiPriority w:val="0"/>
  </w:style>
  <w:style w:type="character" w:styleId="36">
    <w:name w:val="FollowedHyperlink"/>
    <w:basedOn w:val="33"/>
    <w:qFormat/>
    <w:uiPriority w:val="0"/>
    <w:rPr>
      <w:color w:val="800080"/>
      <w:u w:val="none"/>
    </w:rPr>
  </w:style>
  <w:style w:type="character" w:styleId="37">
    <w:name w:val="HTML Definition"/>
    <w:basedOn w:val="33"/>
    <w:qFormat/>
    <w:uiPriority w:val="0"/>
  </w:style>
  <w:style w:type="character" w:styleId="38">
    <w:name w:val="HTML Typewriter"/>
    <w:basedOn w:val="33"/>
    <w:qFormat/>
    <w:uiPriority w:val="0"/>
    <w:rPr>
      <w:rFonts w:hint="default" w:ascii="monospace" w:hAnsi="monospace" w:eastAsia="monospace" w:cs="monospace"/>
      <w:sz w:val="20"/>
    </w:rPr>
  </w:style>
  <w:style w:type="character" w:styleId="39">
    <w:name w:val="HTML Acronym"/>
    <w:basedOn w:val="33"/>
    <w:qFormat/>
    <w:uiPriority w:val="0"/>
  </w:style>
  <w:style w:type="character" w:styleId="40">
    <w:name w:val="HTML Variable"/>
    <w:basedOn w:val="33"/>
    <w:qFormat/>
    <w:uiPriority w:val="0"/>
  </w:style>
  <w:style w:type="character" w:styleId="41">
    <w:name w:val="Hyperlink"/>
    <w:basedOn w:val="33"/>
    <w:unhideWhenUsed/>
    <w:qFormat/>
    <w:uiPriority w:val="99"/>
    <w:rPr>
      <w:color w:val="0563C1"/>
      <w:u w:val="single"/>
    </w:rPr>
  </w:style>
  <w:style w:type="character" w:styleId="42">
    <w:name w:val="HTML Code"/>
    <w:basedOn w:val="33"/>
    <w:qFormat/>
    <w:uiPriority w:val="0"/>
    <w:rPr>
      <w:rFonts w:ascii="monospace" w:hAnsi="monospace" w:eastAsia="monospace" w:cs="monospace"/>
      <w:sz w:val="20"/>
    </w:rPr>
  </w:style>
  <w:style w:type="character" w:styleId="43">
    <w:name w:val="annotation reference"/>
    <w:basedOn w:val="33"/>
    <w:qFormat/>
    <w:uiPriority w:val="0"/>
    <w:rPr>
      <w:sz w:val="21"/>
      <w:szCs w:val="21"/>
    </w:rPr>
  </w:style>
  <w:style w:type="character" w:styleId="44">
    <w:name w:val="HTML Cite"/>
    <w:basedOn w:val="33"/>
    <w:qFormat/>
    <w:uiPriority w:val="0"/>
  </w:style>
  <w:style w:type="character" w:styleId="45">
    <w:name w:val="footnote reference"/>
    <w:unhideWhenUsed/>
    <w:qFormat/>
    <w:uiPriority w:val="99"/>
    <w:rPr>
      <w:rFonts w:hint="default" w:ascii="Times New Roman"/>
      <w:sz w:val="24"/>
      <w:vertAlign w:val="superscript"/>
    </w:rPr>
  </w:style>
  <w:style w:type="character" w:styleId="46">
    <w:name w:val="HTML Keyboard"/>
    <w:basedOn w:val="33"/>
    <w:qFormat/>
    <w:uiPriority w:val="0"/>
    <w:rPr>
      <w:rFonts w:hint="default" w:ascii="monospace" w:hAnsi="monospace" w:eastAsia="monospace" w:cs="monospace"/>
      <w:sz w:val="20"/>
    </w:rPr>
  </w:style>
  <w:style w:type="character" w:styleId="47">
    <w:name w:val="HTML Sample"/>
    <w:basedOn w:val="33"/>
    <w:qFormat/>
    <w:uiPriority w:val="0"/>
    <w:rPr>
      <w:rFonts w:hint="default" w:ascii="monospace" w:hAnsi="monospace" w:eastAsia="monospace" w:cs="monospace"/>
    </w:rPr>
  </w:style>
  <w:style w:type="paragraph" w:customStyle="1" w:styleId="48">
    <w:name w:val="正文文本首行缩进 2"/>
    <w:basedOn w:val="13"/>
    <w:qFormat/>
    <w:uiPriority w:val="99"/>
    <w:pPr>
      <w:spacing w:line="200" w:lineRule="atLeast"/>
      <w:ind w:firstLine="420"/>
    </w:pPr>
    <w:rPr>
      <w:rFonts w:hAnsi="Courier New"/>
      <w:spacing w:val="-4"/>
      <w:sz w:val="18"/>
      <w:szCs w:val="18"/>
    </w:rPr>
  </w:style>
  <w:style w:type="paragraph" w:customStyle="1" w:styleId="49">
    <w:name w:val="Default"/>
    <w:next w:val="50"/>
    <w:qFormat/>
    <w:uiPriority w:val="0"/>
    <w:pPr>
      <w:widowControl w:val="0"/>
      <w:autoSpaceDE w:val="0"/>
      <w:autoSpaceDN w:val="0"/>
      <w:adjustRightInd w:val="0"/>
      <w:spacing w:line="360" w:lineRule="auto"/>
      <w:jc w:val="both"/>
    </w:pPr>
    <w:rPr>
      <w:rFonts w:ascii="黑体" w:hAnsi="Times New Roman" w:eastAsia="黑体" w:cs="黑体"/>
      <w:color w:val="000000"/>
      <w:sz w:val="24"/>
      <w:szCs w:val="24"/>
      <w:lang w:val="en-US" w:eastAsia="zh-CN" w:bidi="ar-SA"/>
    </w:rPr>
  </w:style>
  <w:style w:type="paragraph" w:customStyle="1" w:styleId="5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1">
    <w:name w:val="样式1"/>
    <w:basedOn w:val="21"/>
    <w:next w:val="11"/>
    <w:qFormat/>
    <w:uiPriority w:val="0"/>
    <w:pPr>
      <w:widowControl/>
      <w:tabs>
        <w:tab w:val="left" w:pos="1212"/>
        <w:tab w:val="left" w:pos="3888"/>
        <w:tab w:val="clear" w:pos="4153"/>
        <w:tab w:val="clear" w:pos="8306"/>
      </w:tabs>
      <w:spacing w:line="336" w:lineRule="auto"/>
      <w:ind w:firstLine="432"/>
      <w:jc w:val="left"/>
    </w:pPr>
    <w:rPr>
      <w:rFonts w:ascii="宋体" w:hAnsi="宋体"/>
      <w:kern w:val="0"/>
      <w:sz w:val="24"/>
      <w:szCs w:val="20"/>
    </w:rPr>
  </w:style>
  <w:style w:type="paragraph" w:customStyle="1" w:styleId="52">
    <w:name w:val="样式 表格正文 + 两端对齐"/>
    <w:basedOn w:val="1"/>
    <w:next w:val="53"/>
    <w:qFormat/>
    <w:uiPriority w:val="0"/>
    <w:pPr>
      <w:spacing w:line="300" w:lineRule="auto"/>
    </w:pPr>
    <w:rPr>
      <w:rFonts w:ascii="Times New Roman"/>
      <w:sz w:val="24"/>
    </w:rPr>
  </w:style>
  <w:style w:type="paragraph" w:customStyle="1" w:styleId="53">
    <w:name w:val="正文1"/>
    <w:basedOn w:val="1"/>
    <w:next w:val="54"/>
    <w:qFormat/>
    <w:uiPriority w:val="0"/>
    <w:pPr>
      <w:numPr>
        <w:ilvl w:val="0"/>
        <w:numId w:val="3"/>
      </w:numPr>
      <w:spacing w:line="500" w:lineRule="exact"/>
    </w:pPr>
    <w:rPr>
      <w:rFonts w:ascii="黑体" w:hAnsi="宋体"/>
    </w:rPr>
  </w:style>
  <w:style w:type="paragraph" w:customStyle="1" w:styleId="54">
    <w:name w:val="自动更正"/>
    <w:next w:val="55"/>
    <w:qFormat/>
    <w:uiPriority w:val="0"/>
    <w:pPr>
      <w:widowControl w:val="0"/>
      <w:jc w:val="both"/>
    </w:pPr>
    <w:rPr>
      <w:rFonts w:ascii="Calibri" w:hAnsi="Calibri" w:eastAsia="宋体" w:cs="Times New Roman"/>
      <w:kern w:val="2"/>
      <w:sz w:val="21"/>
      <w:szCs w:val="24"/>
      <w:lang w:val="en-US" w:eastAsia="zh-CN" w:bidi="ar-SA"/>
    </w:rPr>
  </w:style>
  <w:style w:type="paragraph" w:customStyle="1" w:styleId="55">
    <w:name w:val="xl39"/>
    <w:basedOn w:val="1"/>
    <w:next w:val="56"/>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56">
    <w:name w:val="分手多日，近况如何？"/>
    <w:next w:val="1"/>
    <w:qFormat/>
    <w:uiPriority w:val="0"/>
    <w:pPr>
      <w:widowControl w:val="0"/>
      <w:jc w:val="both"/>
    </w:pPr>
    <w:rPr>
      <w:rFonts w:ascii="Calibri" w:hAnsi="Calibri" w:eastAsia="宋体" w:cs="Times New Roman"/>
      <w:sz w:val="21"/>
      <w:lang w:val="en-US" w:eastAsia="zh-CN" w:bidi="ar-SA"/>
    </w:rPr>
  </w:style>
  <w:style w:type="paragraph" w:customStyle="1" w:styleId="57">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58">
    <w:name w:val="Body Text First Indent 21"/>
    <w:basedOn w:val="59"/>
    <w:qFormat/>
    <w:uiPriority w:val="0"/>
    <w:pPr>
      <w:ind w:firstLine="420"/>
    </w:pPr>
    <w:rPr>
      <w:rFonts w:ascii="Times New Roman" w:hAnsi="Times New Roman" w:cs="宋体"/>
    </w:rPr>
  </w:style>
  <w:style w:type="paragraph" w:customStyle="1" w:styleId="59">
    <w:name w:val="Body Text Indent1"/>
    <w:basedOn w:val="1"/>
    <w:next w:val="1"/>
    <w:qFormat/>
    <w:uiPriority w:val="0"/>
    <w:pPr>
      <w:ind w:left="420" w:leftChars="200"/>
    </w:pPr>
    <w:rPr>
      <w:color w:val="000000"/>
      <w:szCs w:val="21"/>
    </w:rPr>
  </w:style>
  <w:style w:type="paragraph" w:customStyle="1" w:styleId="60">
    <w:name w:val="Normal Indent1"/>
    <w:basedOn w:val="1"/>
    <w:qFormat/>
    <w:uiPriority w:val="0"/>
    <w:pPr>
      <w:ind w:firstLine="420" w:firstLineChars="200"/>
    </w:pPr>
  </w:style>
  <w:style w:type="paragraph" w:customStyle="1" w:styleId="61">
    <w:name w:val="[Normal]"/>
    <w:qFormat/>
    <w:uiPriority w:val="0"/>
    <w:rPr>
      <w:rFonts w:ascii="宋体" w:hAnsi="宋体" w:eastAsia="宋体" w:cs="Times New Roman"/>
      <w:sz w:val="24"/>
      <w:szCs w:val="22"/>
      <w:lang w:val="zh-CN" w:eastAsia="zh-CN" w:bidi="ar-SA"/>
    </w:rPr>
  </w:style>
  <w:style w:type="paragraph" w:customStyle="1" w:styleId="62">
    <w:name w:val="Char"/>
    <w:basedOn w:val="1"/>
    <w:qFormat/>
    <w:uiPriority w:val="0"/>
    <w:rPr>
      <w:rFonts w:ascii="仿宋_GB2312" w:eastAsia="仿宋_GB2312"/>
      <w:b/>
      <w:sz w:val="32"/>
      <w:szCs w:val="32"/>
    </w:rPr>
  </w:style>
  <w:style w:type="paragraph" w:customStyle="1" w:styleId="63">
    <w:name w:val="列出段落1"/>
    <w:basedOn w:val="1"/>
    <w:qFormat/>
    <w:uiPriority w:val="99"/>
    <w:pPr>
      <w:ind w:firstLine="420" w:firstLineChars="200"/>
    </w:pPr>
  </w:style>
  <w:style w:type="paragraph" w:customStyle="1" w:styleId="64">
    <w:name w:val="Table Paragraph"/>
    <w:basedOn w:val="1"/>
    <w:qFormat/>
    <w:uiPriority w:val="1"/>
    <w:rPr>
      <w:rFonts w:ascii="宋体" w:hAnsi="宋体" w:cs="宋体"/>
      <w:lang w:val="zh-CN" w:bidi="zh-CN"/>
    </w:rPr>
  </w:style>
  <w:style w:type="paragraph" w:customStyle="1" w:styleId="65">
    <w:name w:val="Fließtext"/>
    <w:basedOn w:val="1"/>
    <w:qFormat/>
    <w:uiPriority w:val="0"/>
    <w:pPr>
      <w:overflowPunct w:val="0"/>
      <w:autoSpaceDE w:val="0"/>
      <w:autoSpaceDN w:val="0"/>
      <w:adjustRightInd w:val="0"/>
      <w:textAlignment w:val="baseline"/>
    </w:pPr>
    <w:rPr>
      <w:kern w:val="28"/>
      <w:szCs w:val="20"/>
    </w:rPr>
  </w:style>
  <w:style w:type="paragraph" w:customStyle="1" w:styleId="6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List Paragraph1"/>
    <w:basedOn w:val="1"/>
    <w:qFormat/>
    <w:uiPriority w:val="0"/>
    <w:pPr>
      <w:ind w:firstLine="420" w:firstLineChars="200"/>
    </w:pPr>
    <w:rPr>
      <w:rFonts w:ascii="Times New Roman" w:hAnsi="Times New Roman"/>
      <w:szCs w:val="24"/>
    </w:rPr>
  </w:style>
  <w:style w:type="paragraph" w:customStyle="1" w:styleId="68">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69">
    <w:name w:val="正常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
    <w:basedOn w:val="1"/>
    <w:qFormat/>
    <w:uiPriority w:val="0"/>
    <w:rPr>
      <w:rFonts w:eastAsia="仿宋"/>
      <w:sz w:val="32"/>
    </w:rPr>
  </w:style>
  <w:style w:type="paragraph" w:customStyle="1" w:styleId="71">
    <w:name w:val="11样式2"/>
    <w:basedOn w:val="1"/>
    <w:qFormat/>
    <w:uiPriority w:val="99"/>
    <w:pPr>
      <w:numPr>
        <w:ilvl w:val="0"/>
        <w:numId w:val="4"/>
      </w:numPr>
      <w:ind w:firstLine="0"/>
    </w:pPr>
    <w:rPr>
      <w:rFonts w:ascii="Times New Roman" w:hAnsi="Times New Roman"/>
      <w:szCs w:val="24"/>
    </w:rPr>
  </w:style>
  <w:style w:type="character" w:customStyle="1" w:styleId="72">
    <w:name w:val="font21"/>
    <w:basedOn w:val="33"/>
    <w:qFormat/>
    <w:uiPriority w:val="99"/>
    <w:rPr>
      <w:rFonts w:ascii="宋体" w:hAnsi="宋体" w:eastAsia="宋体" w:cs="宋体"/>
      <w:color w:val="000000"/>
      <w:sz w:val="21"/>
      <w:szCs w:val="21"/>
      <w:u w:val="none"/>
    </w:rPr>
  </w:style>
  <w:style w:type="paragraph" w:customStyle="1" w:styleId="7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5">
    <w:name w:val="正文_4"/>
    <w:qFormat/>
    <w:uiPriority w:val="0"/>
    <w:pPr>
      <w:widowControl w:val="0"/>
      <w:jc w:val="both"/>
    </w:pPr>
    <w:rPr>
      <w:rFonts w:ascii="Calibri" w:hAnsi="Calibri" w:eastAsia="宋体" w:cs="Times New Roman"/>
      <w:kern w:val="2"/>
      <w:sz w:val="21"/>
      <w:szCs w:val="24"/>
      <w:lang w:val="en-US" w:eastAsia="zh-CN" w:bidi="ar-SA"/>
    </w:rPr>
  </w:style>
  <w:style w:type="character" w:customStyle="1" w:styleId="76">
    <w:name w:val="批注框文本 字符"/>
    <w:basedOn w:val="33"/>
    <w:link w:val="19"/>
    <w:qFormat/>
    <w:uiPriority w:val="0"/>
    <w:rPr>
      <w:kern w:val="2"/>
      <w:sz w:val="18"/>
      <w:szCs w:val="18"/>
    </w:rPr>
  </w:style>
  <w:style w:type="paragraph" w:customStyle="1" w:styleId="77">
    <w:name w:val="p0"/>
    <w:basedOn w:val="1"/>
    <w:qFormat/>
    <w:uiPriority w:val="0"/>
    <w:pPr>
      <w:widowControl/>
      <w:spacing w:line="360" w:lineRule="atLeast"/>
      <w:ind w:firstLine="641"/>
    </w:pPr>
    <w:rPr>
      <w:kern w:val="0"/>
    </w:rPr>
  </w:style>
  <w:style w:type="paragraph" w:customStyle="1" w:styleId="78">
    <w:name w:val="content5"/>
    <w:basedOn w:val="1"/>
    <w:qFormat/>
    <w:uiPriority w:val="0"/>
    <w:pPr>
      <w:widowControl/>
      <w:spacing w:before="100" w:beforeAutospacing="1" w:after="100" w:afterAutospacing="1"/>
      <w:jc w:val="left"/>
    </w:pPr>
    <w:rPr>
      <w:rFonts w:ascii="幼圆" w:hAnsi="幼圆" w:eastAsia="幼圆" w:cs="幼圆"/>
      <w:b/>
      <w:color w:val="000000"/>
      <w:kern w:val="0"/>
      <w:sz w:val="84"/>
    </w:rPr>
  </w:style>
  <w:style w:type="character" w:customStyle="1" w:styleId="79">
    <w:name w:val="NormalCharacter"/>
    <w:link w:val="1"/>
    <w:qFormat/>
    <w:uiPriority w:val="0"/>
    <w:rPr>
      <w:rFonts w:ascii="Calibri" w:hAnsi="Calibri" w:eastAsia="宋体" w:cs="Times New Roman"/>
      <w:kern w:val="2"/>
      <w:sz w:val="21"/>
      <w:szCs w:val="22"/>
      <w:lang w:val="en-US" w:eastAsia="zh-CN" w:bidi="ar-SA"/>
    </w:rPr>
  </w:style>
  <w:style w:type="paragraph" w:customStyle="1" w:styleId="8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1">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82">
    <w:name w:val="表格内容"/>
    <w:basedOn w:val="11"/>
    <w:qFormat/>
    <w:uiPriority w:val="99"/>
    <w:pPr>
      <w:suppressLineNumbers/>
      <w:suppressAutoHyphens/>
    </w:pPr>
    <w:rPr>
      <w:kern w:val="1"/>
      <w:lang w:eastAsia="ar-SA"/>
    </w:rPr>
  </w:style>
  <w:style w:type="paragraph" w:customStyle="1" w:styleId="83">
    <w:name w:val="1册标题1"/>
    <w:basedOn w:val="1"/>
    <w:next w:val="1"/>
    <w:qFormat/>
    <w:uiPriority w:val="0"/>
    <w:pPr>
      <w:spacing w:beforeLines="50" w:afterLines="50" w:line="300" w:lineRule="auto"/>
      <w:jc w:val="center"/>
      <w:outlineLvl w:val="0"/>
    </w:pPr>
    <w:rPr>
      <w:rFonts w:ascii="Arial" w:hAnsi="Arial" w:eastAsia="黑体"/>
      <w:b/>
      <w:bCs/>
      <w:sz w:val="48"/>
      <w:szCs w:val="20"/>
    </w:rPr>
  </w:style>
  <w:style w:type="paragraph" w:customStyle="1" w:styleId="84">
    <w:name w:val="正文2"/>
    <w:basedOn w:val="1"/>
    <w:qFormat/>
    <w:uiPriority w:val="0"/>
    <w:pPr>
      <w:spacing w:before="156" w:line="360" w:lineRule="auto"/>
      <w:ind w:firstLine="510" w:firstLineChars="200"/>
    </w:pPr>
    <w:rPr>
      <w:sz w:val="24"/>
      <w:szCs w:val="20"/>
    </w:rPr>
  </w:style>
  <w:style w:type="paragraph" w:customStyle="1" w:styleId="85">
    <w:name w:val="_Style 17"/>
    <w:basedOn w:val="1"/>
    <w:next w:val="86"/>
    <w:qFormat/>
    <w:uiPriority w:val="0"/>
    <w:pPr>
      <w:ind w:firstLine="420" w:firstLineChars="200"/>
    </w:pPr>
  </w:style>
  <w:style w:type="paragraph" w:customStyle="1" w:styleId="86">
    <w:name w:val="List Paragraph"/>
    <w:basedOn w:val="1"/>
    <w:qFormat/>
    <w:uiPriority w:val="0"/>
    <w:pPr>
      <w:ind w:firstLine="420" w:firstLineChars="200"/>
    </w:pPr>
    <w:rPr>
      <w:rFonts w:eastAsia="仿宋_GB2312"/>
      <w:sz w:val="24"/>
      <w:szCs w:val="21"/>
    </w:rPr>
  </w:style>
  <w:style w:type="paragraph" w:customStyle="1" w:styleId="87">
    <w:name w:val="表格文字"/>
    <w:basedOn w:val="1"/>
    <w:next w:val="11"/>
    <w:qFormat/>
    <w:uiPriority w:val="0"/>
    <w:pPr>
      <w:adjustRightInd w:val="0"/>
      <w:spacing w:line="420" w:lineRule="atLeast"/>
      <w:jc w:val="left"/>
      <w:textAlignment w:val="baseline"/>
    </w:pPr>
    <w:rPr>
      <w:rFonts w:ascii="Times New Roman" w:hAnsi="Times New Roman"/>
      <w:kern w:val="0"/>
      <w:szCs w:val="24"/>
    </w:rPr>
  </w:style>
  <w:style w:type="paragraph" w:customStyle="1" w:styleId="88">
    <w:name w:val="正文 A"/>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9">
    <w:name w:val="列出段落111"/>
    <w:basedOn w:val="1"/>
    <w:qFormat/>
    <w:uiPriority w:val="99"/>
    <w:pPr>
      <w:ind w:firstLine="420" w:firstLineChars="200"/>
    </w:pPr>
    <w:rPr>
      <w:rFonts w:eastAsia="仿宋_GB2312" w:cs="仿宋_GB2312"/>
      <w:b/>
      <w:spacing w:val="4"/>
      <w:sz w:val="24"/>
    </w:rPr>
  </w:style>
  <w:style w:type="paragraph" w:customStyle="1" w:styleId="90">
    <w:name w:val="DAS正文"/>
    <w:basedOn w:val="1"/>
    <w:qFormat/>
    <w:uiPriority w:val="0"/>
    <w:pPr>
      <w:spacing w:line="360" w:lineRule="auto"/>
      <w:ind w:right="181" w:firstLine="480" w:firstLineChars="200"/>
    </w:pPr>
    <w:rPr>
      <w:rFonts w:ascii="Verdana" w:hAnsi="Verdana"/>
      <w:szCs w:val="20"/>
    </w:rPr>
  </w:style>
  <w:style w:type="paragraph" w:customStyle="1" w:styleId="91">
    <w:name w:val="正文首行缩进 21"/>
    <w:basedOn w:val="92"/>
    <w:qFormat/>
    <w:uiPriority w:val="0"/>
  </w:style>
  <w:style w:type="paragraph" w:customStyle="1" w:styleId="92">
    <w:name w:val="正文文本缩进1"/>
    <w:basedOn w:val="1"/>
    <w:qFormat/>
    <w:uiPriority w:val="0"/>
    <w:pPr>
      <w:spacing w:after="120"/>
      <w:ind w:left="420" w:leftChars="200"/>
    </w:pPr>
  </w:style>
  <w:style w:type="paragraph" w:customStyle="1" w:styleId="93">
    <w:name w:val="列出段落12"/>
    <w:basedOn w:val="1"/>
    <w:qFormat/>
    <w:uiPriority w:val="34"/>
    <w:pPr>
      <w:widowControl/>
      <w:ind w:firstLine="420" w:firstLineChars="200"/>
      <w:jc w:val="left"/>
    </w:pPr>
    <w:rPr>
      <w:rFonts w:ascii="宋体" w:hAnsi="宋体" w:cs="宋体"/>
      <w:kern w:val="0"/>
      <w:sz w:val="24"/>
    </w:rPr>
  </w:style>
  <w:style w:type="paragraph" w:customStyle="1" w:styleId="94">
    <w:name w:val="Other|1"/>
    <w:basedOn w:val="1"/>
    <w:qFormat/>
    <w:uiPriority w:val="0"/>
    <w:pPr>
      <w:spacing w:line="238" w:lineRule="exact"/>
      <w:jc w:val="center"/>
    </w:pPr>
    <w:rPr>
      <w:rFonts w:ascii="宋体" w:hAnsi="宋体" w:cs="宋体"/>
      <w:sz w:val="20"/>
      <w:szCs w:val="20"/>
      <w:lang w:val="zh-TW" w:eastAsia="zh-TW" w:bidi="zh-TW"/>
    </w:rPr>
  </w:style>
  <w:style w:type="character" w:customStyle="1" w:styleId="95">
    <w:name w:val="font31"/>
    <w:basedOn w:val="33"/>
    <w:qFormat/>
    <w:uiPriority w:val="0"/>
    <w:rPr>
      <w:rFonts w:hint="eastAsia" w:ascii="宋体" w:hAnsi="宋体" w:eastAsia="宋体" w:cs="宋体"/>
      <w:color w:val="FF0000"/>
      <w:sz w:val="20"/>
      <w:szCs w:val="20"/>
      <w:u w:val="none"/>
    </w:rPr>
  </w:style>
  <w:style w:type="paragraph" w:customStyle="1" w:styleId="96">
    <w:name w:val="批注框文本1"/>
    <w:basedOn w:val="1"/>
    <w:qFormat/>
    <w:uiPriority w:val="0"/>
    <w:rPr>
      <w:sz w:val="18"/>
      <w:szCs w:val="18"/>
    </w:rPr>
  </w:style>
  <w:style w:type="character" w:customStyle="1" w:styleId="97">
    <w:name w:val="font11"/>
    <w:basedOn w:val="33"/>
    <w:qFormat/>
    <w:uiPriority w:val="0"/>
    <w:rPr>
      <w:rFonts w:hint="eastAsia" w:ascii="宋体" w:hAnsi="宋体" w:eastAsia="宋体" w:cs="宋体"/>
      <w:color w:val="000000"/>
      <w:sz w:val="21"/>
      <w:szCs w:val="21"/>
      <w:u w:val="none"/>
    </w:rPr>
  </w:style>
  <w:style w:type="paragraph" w:customStyle="1" w:styleId="98">
    <w:name w:val="纯文本1"/>
    <w:basedOn w:val="53"/>
    <w:qFormat/>
    <w:uiPriority w:val="0"/>
    <w:rPr>
      <w:rFonts w:ascii="宋体" w:hAnsi="Courier New"/>
      <w:kern w:val="0"/>
      <w:sz w:val="20"/>
      <w:szCs w:val="20"/>
    </w:rPr>
  </w:style>
  <w:style w:type="paragraph" w:customStyle="1" w:styleId="99">
    <w:name w:val="WPSOffice手动目录 1"/>
    <w:qFormat/>
    <w:uiPriority w:val="0"/>
    <w:rPr>
      <w:rFonts w:ascii="Calibri" w:hAnsi="Calibri" w:eastAsia="宋体" w:cs="Times New Roman"/>
      <w:lang w:val="en-US" w:eastAsia="zh-CN" w:bidi="ar-SA"/>
    </w:rPr>
  </w:style>
  <w:style w:type="character" w:customStyle="1" w:styleId="100">
    <w:name w:val="font01"/>
    <w:basedOn w:val="33"/>
    <w:qFormat/>
    <w:uiPriority w:val="0"/>
    <w:rPr>
      <w:rFonts w:hint="eastAsia" w:ascii="宋体" w:hAnsi="宋体" w:eastAsia="宋体" w:cs="宋体"/>
      <w:color w:val="000000"/>
      <w:sz w:val="22"/>
      <w:szCs w:val="22"/>
      <w:u w:val="none"/>
    </w:rPr>
  </w:style>
  <w:style w:type="paragraph" w:customStyle="1" w:styleId="101">
    <w:name w:val="HtmlNormal"/>
    <w:basedOn w:val="1"/>
    <w:qFormat/>
    <w:uiPriority w:val="0"/>
    <w:pPr>
      <w:widowControl/>
      <w:spacing w:before="100" w:beforeAutospacing="1" w:after="100" w:afterAutospacing="1"/>
      <w:jc w:val="left"/>
      <w:textAlignment w:val="baseline"/>
    </w:pPr>
    <w:rPr>
      <w:rFonts w:ascii="宋体" w:hAnsi="宋体"/>
      <w:kern w:val="0"/>
      <w:sz w:val="24"/>
    </w:rPr>
  </w:style>
  <w:style w:type="character" w:customStyle="1" w:styleId="102">
    <w:name w:val="layui-this"/>
    <w:basedOn w:val="33"/>
    <w:qFormat/>
    <w:uiPriority w:val="0"/>
    <w:rPr>
      <w:bdr w:val="single" w:color="EEEEEE" w:sz="6" w:space="0"/>
      <w:shd w:val="clear" w:fill="FFFFFF"/>
    </w:rPr>
  </w:style>
  <w:style w:type="character" w:customStyle="1" w:styleId="103">
    <w:name w:val="first-child"/>
    <w:basedOn w:val="33"/>
    <w:qFormat/>
    <w:uiPriority w:val="0"/>
  </w:style>
  <w:style w:type="paragraph" w:customStyle="1" w:styleId="104">
    <w:name w:val="样式 首行缩进:  2 字符"/>
    <w:basedOn w:val="1"/>
    <w:qFormat/>
    <w:uiPriority w:val="0"/>
    <w:pPr>
      <w:spacing w:line="360" w:lineRule="auto"/>
      <w:ind w:firstLine="480" w:firstLineChars="200"/>
    </w:pPr>
    <w:rPr>
      <w:rFonts w:ascii="宋体" w:hAnsi="宋体" w:cs="宋体"/>
      <w:color w:val="000000"/>
      <w:sz w:val="24"/>
    </w:rPr>
  </w:style>
  <w:style w:type="paragraph" w:customStyle="1" w:styleId="105">
    <w:name w:val="正文缩进1"/>
    <w:basedOn w:val="1"/>
    <w:next w:val="13"/>
    <w:qFormat/>
    <w:uiPriority w:val="99"/>
    <w:pPr>
      <w:autoSpaceDE w:val="0"/>
      <w:autoSpaceDN w:val="0"/>
      <w:snapToGrid w:val="0"/>
      <w:spacing w:after="120" w:line="360" w:lineRule="auto"/>
      <w:ind w:left="420" w:leftChars="200" w:firstLine="480" w:firstLineChars="200"/>
    </w:pPr>
    <w:rPr>
      <w:sz w:val="24"/>
      <w:szCs w:val="24"/>
    </w:rPr>
  </w:style>
  <w:style w:type="paragraph" w:customStyle="1" w:styleId="106">
    <w:name w:val="索引 11"/>
    <w:basedOn w:val="1"/>
    <w:next w:val="1"/>
    <w:qFormat/>
    <w:uiPriority w:val="99"/>
    <w:pPr>
      <w:adjustRightInd/>
      <w:spacing w:line="360" w:lineRule="auto"/>
    </w:pPr>
    <w:rPr>
      <w:rFonts w:ascii="??_GB2312" w:eastAsia="Times New Roman" w:cs="??_GB2312"/>
      <w:sz w:val="24"/>
      <w:szCs w:val="24"/>
    </w:rPr>
  </w:style>
  <w:style w:type="paragraph" w:customStyle="1" w:styleId="107">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08">
    <w:name w:val="Heading2"/>
    <w:basedOn w:val="1"/>
    <w:next w:val="1"/>
    <w:qFormat/>
    <w:uiPriority w:val="0"/>
    <w:pPr>
      <w:keepNext/>
      <w:keepLines/>
      <w:numPr>
        <w:ilvl w:val="0"/>
        <w:numId w:val="5"/>
      </w:numPr>
      <w:tabs>
        <w:tab w:val="left" w:pos="706"/>
      </w:tabs>
      <w:spacing w:line="360" w:lineRule="auto"/>
      <w:jc w:val="both"/>
      <w:textAlignment w:val="baseline"/>
    </w:pPr>
    <w:rPr>
      <w:rFonts w:ascii="Arial" w:hAnsi="Arial" w:eastAsia="??" w:cs="Arial"/>
      <w:b/>
      <w:bCs/>
      <w:kern w:val="2"/>
      <w:sz w:val="21"/>
      <w:szCs w:val="32"/>
      <w:lang w:val="en-US" w:eastAsia="zh-CN" w:bidi="ar-SA"/>
    </w:rPr>
  </w:style>
  <w:style w:type="paragraph" w:customStyle="1" w:styleId="109">
    <w:name w:val="UserStyle_186"/>
    <w:basedOn w:val="110"/>
    <w:qFormat/>
    <w:uiPriority w:val="0"/>
    <w:pPr>
      <w:widowControl/>
      <w:spacing w:before="100" w:beforeAutospacing="1" w:after="100" w:afterAutospacing="1"/>
      <w:jc w:val="left"/>
      <w:textAlignment w:val="baseline"/>
    </w:pPr>
    <w:rPr>
      <w:rFonts w:ascii="宋体" w:hAnsi="宋体"/>
      <w:kern w:val="0"/>
      <w:sz w:val="24"/>
      <w:szCs w:val="22"/>
      <w:lang w:val="en-US" w:eastAsia="zh-CN" w:bidi="ar-SA"/>
    </w:rPr>
  </w:style>
  <w:style w:type="paragraph" w:customStyle="1" w:styleId="110">
    <w:name w:val="UserStyle_59"/>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11">
    <w:name w:val="UserStyle_91"/>
    <w:basedOn w:val="1"/>
    <w:qFormat/>
    <w:uiPriority w:val="0"/>
    <w:pPr>
      <w:ind w:firstLine="420" w:firstLineChars="200"/>
      <w:jc w:val="both"/>
      <w:textAlignment w:val="baseline"/>
    </w:pPr>
    <w:rPr>
      <w:rFonts w:ascii="Calibri" w:hAnsi="Calibri"/>
      <w:color w:val="000000"/>
      <w:kern w:val="2"/>
      <w:sz w:val="21"/>
      <w:szCs w:val="22"/>
      <w:lang w:val="en-US" w:eastAsia="zh-CN" w:bidi="ar-SA"/>
    </w:rPr>
  </w:style>
  <w:style w:type="paragraph" w:customStyle="1" w:styleId="112">
    <w:name w:val="UserStyle_226"/>
    <w:basedOn w:val="1"/>
    <w:qFormat/>
    <w:uiPriority w:val="0"/>
    <w:pPr>
      <w:spacing w:line="410" w:lineRule="auto"/>
      <w:ind w:firstLine="400"/>
      <w:jc w:val="both"/>
      <w:textAlignment w:val="baseline"/>
    </w:pPr>
    <w:rPr>
      <w:rFonts w:ascii="宋体" w:hAnsi="宋体" w:eastAsia="宋体"/>
      <w:kern w:val="2"/>
      <w:sz w:val="20"/>
      <w:szCs w:val="20"/>
      <w:lang w:val="zh-TW" w:eastAsia="zh-TW" w:bidi="zh-TW"/>
    </w:rPr>
  </w:style>
  <w:style w:type="paragraph" w:customStyle="1" w:styleId="113">
    <w:name w:val="NormalIndent"/>
    <w:basedOn w:val="1"/>
    <w:next w:val="1"/>
    <w:qFormat/>
    <w:uiPriority w:val="0"/>
    <w:pPr>
      <w:ind w:firstLine="420"/>
      <w:jc w:val="both"/>
      <w:textAlignment w:val="baseline"/>
    </w:pPr>
    <w:rPr>
      <w:rFonts w:ascii="Times New Roman" w:hAnsi="Times New Roman"/>
      <w:kern w:val="2"/>
      <w:sz w:val="21"/>
      <w:szCs w:val="20"/>
      <w:lang w:val="en-US" w:eastAsia="zh-CN" w:bidi="ar-SA"/>
    </w:rPr>
  </w:style>
  <w:style w:type="paragraph" w:customStyle="1" w:styleId="114">
    <w:name w:val="UserStyle_126"/>
    <w:basedOn w:val="1"/>
    <w:qFormat/>
    <w:uiPriority w:val="0"/>
    <w:pPr>
      <w:jc w:val="both"/>
      <w:textAlignment w:val="baseline"/>
    </w:pPr>
    <w:rPr>
      <w:rFonts w:ascii="Tahoma" w:hAnsi="Tahoma"/>
      <w:kern w:val="2"/>
      <w:sz w:val="24"/>
      <w:szCs w:val="20"/>
      <w:lang w:val="en-US" w:eastAsia="zh-CN" w:bidi="ar-SA"/>
    </w:rPr>
  </w:style>
  <w:style w:type="paragraph" w:customStyle="1" w:styleId="115">
    <w:name w:val="msolistparagraph"/>
    <w:basedOn w:val="1"/>
    <w:qFormat/>
    <w:uiPriority w:val="0"/>
    <w:pPr>
      <w:keepNext w:val="0"/>
      <w:keepLines w:val="0"/>
      <w:widowControl w:val="0"/>
      <w:suppressLineNumbers w:val="0"/>
      <w:spacing w:before="0" w:beforeAutospacing="0" w:after="0" w:afterAutospacing="0"/>
      <w:ind w:left="253" w:right="0" w:firstLine="420"/>
      <w:jc w:val="both"/>
    </w:pPr>
    <w:rPr>
      <w:rFonts w:hint="eastAsia" w:ascii="宋体" w:hAnsi="宋体" w:eastAsia="宋体" w:cs="宋体"/>
      <w:kern w:val="2"/>
      <w:sz w:val="21"/>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23454</Words>
  <Characters>24835</Characters>
  <Lines>209</Lines>
  <Paragraphs>59</Paragraphs>
  <TotalTime>1</TotalTime>
  <ScaleCrop>false</ScaleCrop>
  <LinksUpToDate>false</LinksUpToDate>
  <CharactersWithSpaces>25957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2022-01-26T12:54:00Z</dcterms:created>
  <dc:creator>开成</dc:creator>
  <cp:lastModifiedBy>Administrator</cp:lastModifiedBy>
  <cp:lastPrinted>2024-11-04T02:41:00Z</cp:lastPrinted>
  <dcterms:modified xsi:type="dcterms:W3CDTF">2025-07-04T09:48:50Z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F6364A91543E452FA41BD609C4B4474C</vt:lpwstr>
  </property>
  <property fmtid="{D5CDD505-2E9C-101B-9397-08002B2CF9AE}" pid="4" name="KSOTemplateDocerSaveRecord">
    <vt:lpwstr>eyJoZGlkIjoiOTY2OGY4OGVlMTlhYjFlNGE1OTBiNzFlM2QzNGJjNmYiLCJ1c2VySWQiOiIxOTk1MTczMjMifQ==</vt:lpwstr>
  </property>
</Properties>
</file>