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9ABB71">
      <w:pPr>
        <w:spacing w:line="360" w:lineRule="auto"/>
        <w:rPr>
          <w:rFonts w:hint="eastAsia" w:ascii="宋体" w:hAnsi="宋体" w:eastAsia="宋体"/>
          <w:b/>
          <w:bCs/>
          <w:sz w:val="32"/>
          <w:szCs w:val="32"/>
          <w:highlight w:val="none"/>
          <w:lang w:val="en-US" w:eastAsia="zh-CN"/>
        </w:rPr>
      </w:pPr>
      <w:r>
        <w:rPr>
          <w:rFonts w:hint="eastAsia" w:ascii="宋体" w:hAnsi="宋体"/>
          <w:b/>
          <w:bCs/>
          <w:sz w:val="32"/>
          <w:szCs w:val="32"/>
          <w:highlight w:val="none"/>
          <w:lang w:val="en-US" w:eastAsia="zh-CN"/>
        </w:rPr>
        <w:t xml:space="preserve"> </w:t>
      </w:r>
    </w:p>
    <w:p w14:paraId="7D7E1A98">
      <w:pPr>
        <w:spacing w:line="360" w:lineRule="auto"/>
        <w:rPr>
          <w:rFonts w:hint="eastAsia" w:ascii="宋体" w:hAnsi="宋体"/>
          <w:b/>
          <w:bCs/>
          <w:sz w:val="32"/>
          <w:szCs w:val="32"/>
          <w:highlight w:val="none"/>
        </w:rPr>
      </w:pPr>
    </w:p>
    <w:p w14:paraId="65CF0661">
      <w:pPr>
        <w:pStyle w:val="24"/>
        <w:ind w:left="840" w:hanging="420"/>
        <w:rPr>
          <w:sz w:val="44"/>
          <w:szCs w:val="44"/>
          <w:highlight w:val="none"/>
        </w:rPr>
      </w:pPr>
      <w:r>
        <w:rPr>
          <w:rFonts w:hint="eastAsia" w:ascii="宋体" w:hAnsi="宋体" w:cs="楷体_GB2312"/>
          <w:b/>
          <w:bCs/>
          <w:sz w:val="44"/>
          <w:szCs w:val="44"/>
          <w:highlight w:val="none"/>
          <w:lang w:eastAsia="zh-CN"/>
        </w:rPr>
        <w:t>展依山隧道建设工程超前地质预报与监控量测项目</w:t>
      </w:r>
    </w:p>
    <w:p w14:paraId="64D06A62">
      <w:pPr>
        <w:pStyle w:val="24"/>
        <w:ind w:left="840" w:hanging="420"/>
        <w:rPr>
          <w:highlight w:val="none"/>
        </w:rPr>
      </w:pPr>
    </w:p>
    <w:p w14:paraId="0A5F8CA6">
      <w:pPr>
        <w:jc w:val="center"/>
        <w:rPr>
          <w:rFonts w:hint="eastAsia" w:ascii="宋体" w:hAnsi="宋体" w:cs="楷体_GB2312"/>
          <w:b/>
          <w:bCs/>
          <w:sz w:val="44"/>
          <w:szCs w:val="44"/>
          <w:highlight w:val="none"/>
        </w:rPr>
      </w:pPr>
    </w:p>
    <w:p w14:paraId="5A9CBB7D">
      <w:pPr>
        <w:jc w:val="center"/>
        <w:rPr>
          <w:rFonts w:hint="eastAsia" w:ascii="宋体" w:hAnsi="宋体" w:cs="楷体_GB2312"/>
          <w:b/>
          <w:bCs/>
          <w:sz w:val="44"/>
          <w:szCs w:val="44"/>
          <w:highlight w:val="none"/>
        </w:rPr>
      </w:pPr>
      <w:r>
        <w:rPr>
          <w:rFonts w:hint="eastAsia" w:ascii="宋体" w:hAnsi="宋体" w:cs="楷体_GB2312"/>
          <w:b/>
          <w:bCs/>
          <w:sz w:val="44"/>
          <w:szCs w:val="44"/>
          <w:highlight w:val="none"/>
        </w:rPr>
        <w:t>公开招标采购文件</w:t>
      </w:r>
    </w:p>
    <w:p w14:paraId="095BFE97">
      <w:pPr>
        <w:rPr>
          <w:rFonts w:hint="eastAsia" w:ascii="宋体" w:hAnsi="宋体"/>
          <w:highlight w:val="none"/>
        </w:rPr>
      </w:pPr>
    </w:p>
    <w:p w14:paraId="4F2BB0FB">
      <w:pPr>
        <w:tabs>
          <w:tab w:val="left" w:pos="0"/>
        </w:tabs>
        <w:adjustRightInd w:val="0"/>
        <w:snapToGrid w:val="0"/>
        <w:spacing w:line="360" w:lineRule="auto"/>
        <w:ind w:firstLine="64" w:firstLineChars="20"/>
        <w:jc w:val="center"/>
        <w:rPr>
          <w:rFonts w:hint="eastAsia" w:ascii="宋体" w:hAnsi="宋体" w:cs="宋体"/>
          <w:b/>
          <w:sz w:val="100"/>
          <w:szCs w:val="100"/>
          <w:highlight w:val="none"/>
        </w:rPr>
      </w:pPr>
      <w:r>
        <w:rPr>
          <w:rFonts w:hint="eastAsia" w:ascii="宋体" w:hAnsi="宋体" w:cs="宋体"/>
          <w:b/>
          <w:kern w:val="0"/>
          <w:sz w:val="32"/>
          <w:highlight w:val="none"/>
        </w:rPr>
        <w:t>（线上电子招投标）</w:t>
      </w:r>
    </w:p>
    <w:p w14:paraId="13CB0209">
      <w:pPr>
        <w:rPr>
          <w:rFonts w:hint="eastAsia" w:ascii="宋体" w:hAnsi="宋体" w:eastAsia="宋体"/>
          <w:sz w:val="28"/>
          <w:szCs w:val="28"/>
          <w:highlight w:val="none"/>
          <w:lang w:val="en-US" w:eastAsia="zh-CN"/>
        </w:rPr>
      </w:pPr>
    </w:p>
    <w:p w14:paraId="554277F3">
      <w:pPr>
        <w:rPr>
          <w:rFonts w:hint="eastAsia" w:ascii="宋体" w:hAnsi="宋体"/>
          <w:sz w:val="28"/>
          <w:szCs w:val="28"/>
          <w:highlight w:val="none"/>
        </w:rPr>
      </w:pPr>
    </w:p>
    <w:p w14:paraId="4DD36C59">
      <w:pPr>
        <w:ind w:firstLine="2642" w:firstLineChars="940"/>
        <w:rPr>
          <w:rFonts w:hint="eastAsia" w:ascii="宋体" w:hAnsi="宋体"/>
          <w:b/>
          <w:sz w:val="28"/>
          <w:szCs w:val="28"/>
          <w:highlight w:val="none"/>
        </w:rPr>
      </w:pPr>
    </w:p>
    <w:p w14:paraId="386BE2F3">
      <w:pPr>
        <w:rPr>
          <w:rFonts w:hint="eastAsia" w:ascii="宋体" w:hAnsi="宋体"/>
          <w:b/>
          <w:sz w:val="28"/>
          <w:szCs w:val="28"/>
          <w:highlight w:val="none"/>
        </w:rPr>
      </w:pPr>
    </w:p>
    <w:p w14:paraId="608220A6">
      <w:pPr>
        <w:rPr>
          <w:rFonts w:hint="eastAsia" w:ascii="宋体" w:hAnsi="宋体" w:eastAsia="宋体"/>
          <w:sz w:val="28"/>
          <w:szCs w:val="28"/>
          <w:highlight w:val="none"/>
          <w:lang w:eastAsia="zh-CN"/>
        </w:rPr>
      </w:pPr>
      <w:r>
        <w:rPr>
          <w:rFonts w:hint="eastAsia" w:ascii="宋体" w:hAnsi="宋体"/>
          <w:sz w:val="28"/>
          <w:szCs w:val="28"/>
          <w:highlight w:val="none"/>
        </w:rPr>
        <w:t xml:space="preserve">               采购编号：</w:t>
      </w:r>
      <w:r>
        <w:rPr>
          <w:rFonts w:hint="eastAsia" w:ascii="宋体" w:hAnsi="宋体"/>
          <w:sz w:val="28"/>
          <w:szCs w:val="28"/>
          <w:highlight w:val="none"/>
          <w:lang w:eastAsia="zh-CN"/>
        </w:rPr>
        <w:t>CSKC-GK202522</w:t>
      </w:r>
    </w:p>
    <w:p w14:paraId="709C3C0D">
      <w:pPr>
        <w:rPr>
          <w:rFonts w:hint="eastAsia" w:ascii="宋体" w:hAnsi="宋体"/>
          <w:sz w:val="28"/>
          <w:szCs w:val="28"/>
          <w:highlight w:val="none"/>
        </w:rPr>
      </w:pPr>
      <w:r>
        <w:rPr>
          <w:rFonts w:hint="eastAsia" w:ascii="宋体" w:hAnsi="宋体"/>
          <w:sz w:val="28"/>
          <w:szCs w:val="28"/>
          <w:highlight w:val="none"/>
        </w:rPr>
        <w:t xml:space="preserve"> </w:t>
      </w:r>
    </w:p>
    <w:p w14:paraId="65FC47A3">
      <w:pPr>
        <w:spacing w:line="480" w:lineRule="auto"/>
        <w:rPr>
          <w:rFonts w:hint="eastAsia" w:ascii="宋体" w:hAnsi="宋体" w:eastAsia="宋体"/>
          <w:sz w:val="28"/>
          <w:szCs w:val="28"/>
          <w:highlight w:val="none"/>
          <w:lang w:eastAsia="zh-CN"/>
        </w:rPr>
      </w:pPr>
      <w:r>
        <w:rPr>
          <w:rFonts w:hint="eastAsia" w:ascii="宋体" w:hAnsi="宋体"/>
          <w:sz w:val="28"/>
          <w:szCs w:val="28"/>
          <w:highlight w:val="none"/>
        </w:rPr>
        <w:t xml:space="preserve">               采 购 单 位：</w:t>
      </w:r>
      <w:r>
        <w:rPr>
          <w:rFonts w:hint="eastAsia" w:ascii="宋体" w:hAnsi="宋体"/>
          <w:sz w:val="28"/>
          <w:szCs w:val="28"/>
          <w:highlight w:val="none"/>
          <w:lang w:eastAsia="zh-CN"/>
        </w:rPr>
        <w:t>常山县城市项目建设中心</w:t>
      </w:r>
    </w:p>
    <w:p w14:paraId="5044BCE4">
      <w:pPr>
        <w:pStyle w:val="24"/>
        <w:ind w:left="840" w:hanging="420"/>
        <w:rPr>
          <w:highlight w:val="none"/>
        </w:rPr>
      </w:pPr>
    </w:p>
    <w:p w14:paraId="794D0B70">
      <w:pPr>
        <w:spacing w:line="480" w:lineRule="auto"/>
        <w:rPr>
          <w:rFonts w:hint="eastAsia" w:ascii="宋体" w:hAnsi="宋体"/>
          <w:sz w:val="28"/>
          <w:szCs w:val="28"/>
          <w:highlight w:val="none"/>
        </w:rPr>
      </w:pPr>
      <w:r>
        <w:rPr>
          <w:rFonts w:hint="eastAsia" w:ascii="宋体" w:hAnsi="宋体"/>
          <w:sz w:val="28"/>
          <w:szCs w:val="28"/>
          <w:highlight w:val="none"/>
        </w:rPr>
        <w:t xml:space="preserve">               采购代理机构：衢州市开成工程造价咨询事务所有限公司</w:t>
      </w:r>
    </w:p>
    <w:p w14:paraId="1D923281">
      <w:pPr>
        <w:spacing w:line="480" w:lineRule="auto"/>
        <w:jc w:val="center"/>
        <w:rPr>
          <w:rFonts w:hint="eastAsia" w:ascii="宋体" w:hAnsi="宋体"/>
          <w:sz w:val="28"/>
          <w:szCs w:val="28"/>
          <w:highlight w:val="none"/>
        </w:rPr>
      </w:pPr>
    </w:p>
    <w:p w14:paraId="1A0F6124">
      <w:pPr>
        <w:spacing w:line="480" w:lineRule="auto"/>
        <w:jc w:val="center"/>
        <w:rPr>
          <w:rFonts w:hint="eastAsia" w:ascii="宋体" w:hAnsi="宋体"/>
          <w:b/>
          <w:bCs/>
          <w:sz w:val="32"/>
          <w:szCs w:val="32"/>
          <w:highlight w:val="none"/>
        </w:rPr>
        <w:sectPr>
          <w:pgSz w:w="11906" w:h="16838"/>
          <w:pgMar w:top="1440" w:right="850" w:bottom="1440" w:left="850" w:header="851" w:footer="992" w:gutter="0"/>
          <w:pgNumType w:start="1"/>
          <w:cols w:space="720" w:num="1"/>
          <w:docGrid w:type="lines" w:linePitch="317" w:charSpace="0"/>
        </w:sectPr>
      </w:pPr>
      <w:r>
        <w:rPr>
          <w:rFonts w:hint="eastAsia" w:ascii="宋体" w:hAnsi="宋体"/>
          <w:sz w:val="28"/>
          <w:szCs w:val="28"/>
          <w:highlight w:val="none"/>
        </w:rPr>
        <w:t>二〇二五年</w:t>
      </w:r>
      <w:r>
        <w:rPr>
          <w:rFonts w:hint="eastAsia" w:ascii="宋体" w:hAnsi="宋体"/>
          <w:sz w:val="28"/>
          <w:szCs w:val="28"/>
          <w:highlight w:val="none"/>
          <w:lang w:eastAsia="zh-CN"/>
        </w:rPr>
        <w:t>六</w:t>
      </w:r>
      <w:r>
        <w:rPr>
          <w:rFonts w:hint="eastAsia" w:ascii="宋体" w:hAnsi="宋体"/>
          <w:sz w:val="28"/>
          <w:szCs w:val="28"/>
          <w:highlight w:val="none"/>
        </w:rPr>
        <w:t>月</w:t>
      </w:r>
    </w:p>
    <w:p w14:paraId="453F8427">
      <w:pPr>
        <w:spacing w:line="600" w:lineRule="exact"/>
        <w:jc w:val="center"/>
        <w:rPr>
          <w:rFonts w:hint="eastAsia" w:ascii="宋体" w:hAnsi="宋体"/>
          <w:b/>
          <w:bCs/>
          <w:sz w:val="44"/>
          <w:szCs w:val="44"/>
          <w:highlight w:val="none"/>
        </w:rPr>
      </w:pPr>
      <w:r>
        <w:rPr>
          <w:rFonts w:hint="eastAsia" w:ascii="宋体" w:hAnsi="宋体"/>
          <w:b/>
          <w:bCs/>
          <w:sz w:val="44"/>
          <w:szCs w:val="44"/>
          <w:highlight w:val="none"/>
        </w:rPr>
        <w:t>目    录</w:t>
      </w:r>
    </w:p>
    <w:p w14:paraId="56AEA123">
      <w:pPr>
        <w:spacing w:line="600" w:lineRule="exact"/>
        <w:jc w:val="center"/>
        <w:rPr>
          <w:rFonts w:hint="eastAsia" w:ascii="宋体" w:hAnsi="宋体"/>
          <w:b/>
          <w:bCs/>
          <w:sz w:val="32"/>
          <w:szCs w:val="32"/>
          <w:highlight w:val="none"/>
        </w:rPr>
      </w:pPr>
    </w:p>
    <w:p w14:paraId="66161EF3">
      <w:pPr>
        <w:pStyle w:val="66"/>
        <w:tabs>
          <w:tab w:val="right" w:leader="dot" w:pos="10206"/>
        </w:tabs>
        <w:rPr>
          <w:rFonts w:hint="eastAsia" w:ascii="宋体" w:hAnsi="宋体"/>
          <w:b/>
          <w:bCs/>
          <w:sz w:val="24"/>
          <w:highlight w:val="none"/>
        </w:rPr>
      </w:pPr>
      <w:r>
        <w:rPr>
          <w:rFonts w:hint="eastAsia" w:ascii="宋体" w:hAnsi="宋体"/>
          <w:b/>
          <w:bCs/>
          <w:sz w:val="24"/>
          <w:highlight w:val="none"/>
        </w:rPr>
        <w:fldChar w:fldCharType="begin"/>
      </w:r>
      <w:r>
        <w:rPr>
          <w:rFonts w:hint="eastAsia" w:ascii="宋体" w:hAnsi="宋体"/>
          <w:b/>
          <w:bCs/>
          <w:sz w:val="24"/>
          <w:highlight w:val="none"/>
        </w:rPr>
        <w:instrText xml:space="preserve">TOC \o "1-1" \h \u </w:instrText>
      </w:r>
      <w:r>
        <w:rPr>
          <w:rFonts w:hint="eastAsia" w:ascii="宋体" w:hAnsi="宋体"/>
          <w:b/>
          <w:bCs/>
          <w:sz w:val="24"/>
          <w:highlight w:val="none"/>
        </w:rPr>
        <w:fldChar w:fldCharType="separate"/>
      </w:r>
    </w:p>
    <w:p w14:paraId="49EC4EA5">
      <w:pPr>
        <w:pStyle w:val="66"/>
        <w:tabs>
          <w:tab w:val="right" w:leader="dot" w:pos="10206"/>
        </w:tabs>
        <w:rPr>
          <w:rFonts w:hint="eastAsia" w:ascii="宋体" w:hAnsi="宋体" w:cs="宋体"/>
          <w:sz w:val="28"/>
          <w:szCs w:val="28"/>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TOC \o "1-1" \h \u </w:instrText>
      </w:r>
      <w:r>
        <w:rPr>
          <w:rFonts w:hint="eastAsia" w:ascii="宋体" w:hAnsi="宋体" w:cs="宋体"/>
          <w:b/>
          <w:bCs/>
          <w:sz w:val="28"/>
          <w:szCs w:val="28"/>
          <w:highlight w:val="none"/>
        </w:rPr>
        <w:fldChar w:fldCharType="separate"/>
      </w:r>
      <w:r>
        <w:rPr>
          <w:highlight w:val="none"/>
        </w:rPr>
        <w:fldChar w:fldCharType="begin"/>
      </w:r>
      <w:r>
        <w:rPr>
          <w:highlight w:val="none"/>
        </w:rPr>
        <w:instrText xml:space="preserve"> HYPERLINK \l "_Toc24233" </w:instrText>
      </w:r>
      <w:r>
        <w:rPr>
          <w:highlight w:val="none"/>
        </w:rPr>
        <w:fldChar w:fldCharType="separate"/>
      </w:r>
      <w:r>
        <w:rPr>
          <w:rFonts w:hint="eastAsia" w:ascii="宋体" w:hAnsi="宋体" w:cs="宋体"/>
          <w:sz w:val="28"/>
          <w:szCs w:val="28"/>
          <w:highlight w:val="none"/>
        </w:rPr>
        <w:t>第一章 招标公告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_Toc24233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3F64338">
      <w:pPr>
        <w:pStyle w:val="66"/>
        <w:tabs>
          <w:tab w:val="right" w:leader="dot" w:pos="10206"/>
        </w:tabs>
        <w:rPr>
          <w:rFonts w:hint="eastAsia" w:ascii="宋体" w:hAnsi="宋体" w:cs="宋体"/>
          <w:sz w:val="28"/>
          <w:szCs w:val="28"/>
          <w:highlight w:val="none"/>
        </w:rPr>
      </w:pPr>
      <w:r>
        <w:rPr>
          <w:highlight w:val="none"/>
        </w:rPr>
        <w:fldChar w:fldCharType="begin"/>
      </w:r>
      <w:r>
        <w:rPr>
          <w:highlight w:val="none"/>
        </w:rPr>
        <w:instrText xml:space="preserve"> HYPERLINK \l "_Toc15212" </w:instrText>
      </w:r>
      <w:r>
        <w:rPr>
          <w:highlight w:val="none"/>
        </w:rPr>
        <w:fldChar w:fldCharType="separate"/>
      </w:r>
      <w:r>
        <w:rPr>
          <w:rFonts w:hint="eastAsia" w:ascii="宋体" w:hAnsi="宋体" w:cs="宋体"/>
          <w:bCs/>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_Toc15212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4916579E">
      <w:pPr>
        <w:pStyle w:val="66"/>
        <w:tabs>
          <w:tab w:val="right" w:leader="dot" w:pos="10206"/>
        </w:tabs>
        <w:rPr>
          <w:rFonts w:hint="eastAsia" w:ascii="宋体" w:hAnsi="宋体" w:cs="宋体"/>
          <w:sz w:val="28"/>
          <w:szCs w:val="28"/>
          <w:highlight w:val="none"/>
        </w:rPr>
      </w:pPr>
      <w:r>
        <w:rPr>
          <w:highlight w:val="none"/>
        </w:rPr>
        <w:fldChar w:fldCharType="begin"/>
      </w:r>
      <w:r>
        <w:rPr>
          <w:highlight w:val="none"/>
        </w:rPr>
        <w:instrText xml:space="preserve"> HYPERLINK \l "_Toc16454" </w:instrText>
      </w:r>
      <w:r>
        <w:rPr>
          <w:highlight w:val="none"/>
        </w:rPr>
        <w:fldChar w:fldCharType="separate"/>
      </w:r>
      <w:r>
        <w:rPr>
          <w:rFonts w:hint="eastAsia" w:ascii="宋体" w:hAnsi="宋体" w:cs="宋体"/>
          <w:bCs/>
          <w:sz w:val="28"/>
          <w:szCs w:val="28"/>
          <w:highlight w:val="none"/>
        </w:rPr>
        <w:t xml:space="preserve">第三章 </w:t>
      </w:r>
      <w:bookmarkStart w:id="0" w:name="_Hlt60239035"/>
      <w:bookmarkStart w:id="1" w:name="_Hlt60239034"/>
      <w:r>
        <w:rPr>
          <w:rFonts w:hint="eastAsia" w:ascii="宋体" w:hAnsi="宋体" w:cs="宋体"/>
          <w:bCs/>
          <w:sz w:val="28"/>
          <w:szCs w:val="28"/>
          <w:highlight w:val="none"/>
        </w:rPr>
        <w:t>招</w:t>
      </w:r>
      <w:bookmarkEnd w:id="0"/>
      <w:bookmarkEnd w:id="1"/>
      <w:r>
        <w:rPr>
          <w:rFonts w:hint="eastAsia" w:ascii="宋体" w:hAnsi="宋体" w:cs="宋体"/>
          <w:bCs/>
          <w:sz w:val="28"/>
          <w:szCs w:val="28"/>
          <w:highlight w:val="none"/>
        </w:rPr>
        <w:t>标内容及要求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_Toc16454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C5FA000">
      <w:pPr>
        <w:pStyle w:val="66"/>
        <w:tabs>
          <w:tab w:val="right" w:leader="dot" w:pos="10206"/>
        </w:tabs>
        <w:rPr>
          <w:rFonts w:hint="eastAsia" w:ascii="宋体" w:hAnsi="宋体" w:cs="宋体"/>
          <w:sz w:val="28"/>
          <w:szCs w:val="28"/>
          <w:highlight w:val="none"/>
        </w:rPr>
      </w:pPr>
      <w:r>
        <w:rPr>
          <w:highlight w:val="none"/>
        </w:rPr>
        <w:fldChar w:fldCharType="begin"/>
      </w:r>
      <w:r>
        <w:rPr>
          <w:highlight w:val="none"/>
        </w:rPr>
        <w:instrText xml:space="preserve"> HYPERLINK \l "_Toc29579" </w:instrText>
      </w:r>
      <w:r>
        <w:rPr>
          <w:highlight w:val="none"/>
        </w:rPr>
        <w:fldChar w:fldCharType="separate"/>
      </w:r>
      <w:r>
        <w:rPr>
          <w:rFonts w:hint="eastAsia" w:ascii="宋体" w:hAnsi="宋体" w:cs="宋体"/>
          <w:bCs/>
          <w:sz w:val="28"/>
          <w:szCs w:val="28"/>
          <w:highlight w:val="none"/>
          <w:lang w:val="zh-CN"/>
        </w:rPr>
        <w:t>第四章 合同主要条款</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_Toc29579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1337D0C">
      <w:pPr>
        <w:pStyle w:val="66"/>
        <w:tabs>
          <w:tab w:val="right" w:leader="dot" w:pos="10206"/>
        </w:tabs>
        <w:rPr>
          <w:rFonts w:hint="eastAsia" w:ascii="宋体" w:hAnsi="宋体" w:cs="宋体"/>
          <w:sz w:val="28"/>
          <w:szCs w:val="28"/>
          <w:highlight w:val="none"/>
        </w:rPr>
      </w:pPr>
      <w:r>
        <w:rPr>
          <w:highlight w:val="none"/>
        </w:rPr>
        <w:fldChar w:fldCharType="begin"/>
      </w:r>
      <w:r>
        <w:rPr>
          <w:highlight w:val="none"/>
        </w:rPr>
        <w:instrText xml:space="preserve"> HYPERLINK \l "_Toc14589" </w:instrText>
      </w:r>
      <w:r>
        <w:rPr>
          <w:highlight w:val="none"/>
        </w:rPr>
        <w:fldChar w:fldCharType="separate"/>
      </w:r>
      <w:r>
        <w:rPr>
          <w:rFonts w:hint="eastAsia" w:ascii="宋体" w:hAnsi="宋体" w:cs="宋体"/>
          <w:bCs/>
          <w:sz w:val="28"/>
          <w:szCs w:val="28"/>
          <w:highlight w:val="none"/>
        </w:rPr>
        <w:t>第五章 评标原则及方法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_Toc14589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CD1174E">
      <w:pPr>
        <w:pStyle w:val="66"/>
        <w:tabs>
          <w:tab w:val="right" w:leader="dot" w:pos="10206"/>
        </w:tabs>
        <w:rPr>
          <w:rFonts w:hint="eastAsia" w:ascii="宋体" w:hAnsi="宋体" w:cs="宋体"/>
          <w:sz w:val="28"/>
          <w:szCs w:val="28"/>
          <w:highlight w:val="none"/>
        </w:rPr>
      </w:pPr>
      <w:r>
        <w:rPr>
          <w:highlight w:val="none"/>
        </w:rPr>
        <w:fldChar w:fldCharType="begin"/>
      </w:r>
      <w:r>
        <w:rPr>
          <w:highlight w:val="none"/>
        </w:rPr>
        <w:instrText xml:space="preserve"> HYPERLINK \l "_Toc11857"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_Toc11857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E1532F3">
      <w:pPr>
        <w:pStyle w:val="66"/>
        <w:tabs>
          <w:tab w:val="right" w:leader="dot" w:pos="10206"/>
        </w:tabs>
        <w:rPr>
          <w:rFonts w:hint="eastAsia" w:ascii="宋体" w:hAnsi="宋体" w:cs="宋体"/>
          <w:sz w:val="28"/>
          <w:szCs w:val="28"/>
          <w:highlight w:val="none"/>
        </w:rPr>
      </w:pPr>
    </w:p>
    <w:p w14:paraId="26A06A05">
      <w:pPr>
        <w:pStyle w:val="66"/>
        <w:tabs>
          <w:tab w:val="right" w:leader="dot" w:pos="10206"/>
        </w:tabs>
        <w:rPr>
          <w:rFonts w:hint="eastAsia" w:ascii="宋体" w:hAnsi="宋体"/>
          <w:b/>
          <w:bCs/>
          <w:sz w:val="24"/>
          <w:highlight w:val="none"/>
          <w:u w:val="single"/>
        </w:rPr>
      </w:pPr>
      <w:r>
        <w:rPr>
          <w:rFonts w:hint="eastAsia" w:ascii="宋体" w:hAnsi="宋体" w:cs="宋体"/>
          <w:bCs/>
          <w:sz w:val="28"/>
          <w:szCs w:val="28"/>
          <w:highlight w:val="none"/>
        </w:rPr>
        <w:fldChar w:fldCharType="end"/>
      </w:r>
    </w:p>
    <w:p w14:paraId="551F2ED2">
      <w:pPr>
        <w:pStyle w:val="66"/>
        <w:tabs>
          <w:tab w:val="right" w:leader="dot" w:pos="10206"/>
        </w:tabs>
        <w:rPr>
          <w:rFonts w:hint="eastAsia" w:ascii="宋体" w:hAnsi="宋体"/>
          <w:highlight w:val="none"/>
        </w:rPr>
      </w:pPr>
    </w:p>
    <w:p w14:paraId="6CFF17FE">
      <w:pPr>
        <w:spacing w:line="480" w:lineRule="auto"/>
        <w:rPr>
          <w:rFonts w:hint="eastAsia" w:ascii="宋体" w:hAnsi="宋体"/>
          <w:b/>
          <w:bCs/>
          <w:sz w:val="24"/>
          <w:highlight w:val="none"/>
        </w:rPr>
      </w:pPr>
      <w:r>
        <w:rPr>
          <w:rFonts w:hint="eastAsia" w:ascii="宋体" w:hAnsi="宋体"/>
          <w:bCs/>
          <w:highlight w:val="none"/>
        </w:rPr>
        <w:fldChar w:fldCharType="end"/>
      </w:r>
    </w:p>
    <w:p w14:paraId="6AEEFE8C">
      <w:pPr>
        <w:pStyle w:val="66"/>
        <w:tabs>
          <w:tab w:val="right" w:leader="dot" w:pos="10206"/>
        </w:tabs>
        <w:rPr>
          <w:rFonts w:hint="eastAsia" w:ascii="宋体" w:hAnsi="宋体"/>
          <w:highlight w:val="none"/>
        </w:rPr>
      </w:pPr>
    </w:p>
    <w:p w14:paraId="57663063">
      <w:pPr>
        <w:pStyle w:val="24"/>
        <w:ind w:left="840" w:hanging="420"/>
        <w:rPr>
          <w:rFonts w:hint="eastAsia" w:ascii="宋体" w:hAnsi="宋体"/>
          <w:highlight w:val="none"/>
        </w:rPr>
      </w:pPr>
    </w:p>
    <w:p w14:paraId="2357EA68">
      <w:pPr>
        <w:pStyle w:val="2"/>
        <w:jc w:val="both"/>
        <w:rPr>
          <w:rFonts w:hint="eastAsia" w:ascii="宋体" w:hAnsi="宋体" w:eastAsia="宋体"/>
          <w:sz w:val="22"/>
          <w:szCs w:val="22"/>
          <w:highlight w:val="none"/>
        </w:rPr>
      </w:pPr>
    </w:p>
    <w:p w14:paraId="4C593344">
      <w:pPr>
        <w:rPr>
          <w:rFonts w:hint="eastAsia" w:ascii="宋体" w:hAnsi="宋体"/>
          <w:sz w:val="22"/>
          <w:szCs w:val="22"/>
          <w:highlight w:val="none"/>
        </w:rPr>
      </w:pPr>
    </w:p>
    <w:p w14:paraId="13108A60">
      <w:pPr>
        <w:rPr>
          <w:rFonts w:hint="eastAsia" w:ascii="宋体" w:hAnsi="宋体"/>
          <w:sz w:val="22"/>
          <w:szCs w:val="22"/>
          <w:highlight w:val="none"/>
        </w:rPr>
      </w:pPr>
    </w:p>
    <w:p w14:paraId="3ACD23BF">
      <w:pPr>
        <w:rPr>
          <w:rFonts w:hint="eastAsia" w:ascii="宋体" w:hAnsi="宋体"/>
          <w:sz w:val="22"/>
          <w:szCs w:val="22"/>
          <w:highlight w:val="none"/>
        </w:rPr>
      </w:pPr>
    </w:p>
    <w:p w14:paraId="2ED45BE1">
      <w:pPr>
        <w:rPr>
          <w:rFonts w:hint="eastAsia" w:ascii="宋体" w:hAnsi="宋体"/>
          <w:sz w:val="22"/>
          <w:szCs w:val="22"/>
          <w:highlight w:val="none"/>
        </w:rPr>
      </w:pPr>
      <w:r>
        <w:rPr>
          <w:rFonts w:ascii="宋体" w:hAnsi="宋体"/>
          <w:sz w:val="22"/>
          <w:szCs w:val="22"/>
          <w:highlight w:val="none"/>
        </w:rPr>
        <w:br w:type="page"/>
      </w:r>
    </w:p>
    <w:p w14:paraId="3B657963">
      <w:pPr>
        <w:pStyle w:val="3"/>
        <w:numPr>
          <w:ilvl w:val="0"/>
          <w:numId w:val="1"/>
        </w:numPr>
        <w:jc w:val="left"/>
        <w:rPr>
          <w:highlight w:val="none"/>
        </w:rPr>
      </w:pPr>
      <w:bookmarkStart w:id="2" w:name="_Toc24233"/>
      <w:bookmarkStart w:id="3" w:name="_Toc30291"/>
      <w:bookmarkStart w:id="4" w:name="_Toc15588"/>
      <w:bookmarkStart w:id="5" w:name="_Toc12339"/>
      <w:bookmarkStart w:id="6" w:name="OLE_LINK3"/>
      <w:r>
        <w:rPr>
          <w:rFonts w:hint="eastAsia"/>
          <w:highlight w:val="none"/>
        </w:rPr>
        <w:t>公开招标公告</w:t>
      </w:r>
      <w:bookmarkEnd w:id="2"/>
      <w:bookmarkEnd w:id="3"/>
      <w:bookmarkEnd w:id="4"/>
      <w:bookmarkEnd w:id="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6"/>
      </w:tblGrid>
      <w:tr w14:paraId="5C58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0422" w:type="dxa"/>
          </w:tcPr>
          <w:p w14:paraId="582C67E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项目概况</w:t>
            </w:r>
          </w:p>
          <w:p w14:paraId="73E0A93F">
            <w:pPr>
              <w:pStyle w:val="24"/>
              <w:spacing w:line="360" w:lineRule="auto"/>
              <w:ind w:left="0" w:leftChars="0" w:firstLineChars="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cs="宋体"/>
                <w:highlight w:val="none"/>
                <w:u w:val="single"/>
                <w:lang w:eastAsia="zh-CN"/>
              </w:rPr>
              <w:t>展依山隧道建设工程超前地质预报与监控量测项目</w:t>
            </w:r>
            <w:r>
              <w:rPr>
                <w:rFonts w:hint="eastAsia" w:ascii="宋体" w:hAnsi="宋体" w:eastAsia="宋体" w:cs="宋体"/>
                <w:highlight w:val="none"/>
              </w:rPr>
              <w:t>招标项目的潜在投标人应在</w:t>
            </w:r>
            <w:r>
              <w:rPr>
                <w:rFonts w:hint="eastAsia" w:ascii="宋体" w:hAnsi="宋体" w:eastAsia="宋体" w:cs="宋体"/>
                <w:highlight w:val="none"/>
                <w:u w:val="single"/>
              </w:rPr>
              <w:t>浙江政府采购网（http://zfcg.czt.zj.gov.cn/）</w:t>
            </w:r>
            <w:r>
              <w:rPr>
                <w:rFonts w:hint="eastAsia" w:ascii="宋体" w:hAnsi="宋体" w:eastAsia="宋体" w:cs="宋体"/>
                <w:highlight w:val="none"/>
              </w:rPr>
              <w:t xml:space="preserve"> 获取（下载）采购文件，并于2025年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17</w:t>
            </w:r>
            <w:r>
              <w:rPr>
                <w:rFonts w:hint="eastAsia" w:ascii="宋体" w:hAnsi="宋体" w:eastAsia="宋体" w:cs="宋体"/>
                <w:highlight w:val="none"/>
              </w:rPr>
              <w:t>日09时30分（北京时间）前递交投标文件。</w:t>
            </w:r>
          </w:p>
        </w:tc>
      </w:tr>
    </w:tbl>
    <w:p w14:paraId="1FAFF683">
      <w:pPr>
        <w:spacing w:line="360" w:lineRule="auto"/>
        <w:rPr>
          <w:rFonts w:hint="eastAsia" w:ascii="宋体" w:hAnsi="宋体" w:eastAsia="宋体" w:cs="宋体"/>
          <w:b/>
          <w:bCs/>
          <w:sz w:val="21"/>
          <w:szCs w:val="21"/>
          <w:highlight w:val="none"/>
        </w:rPr>
      </w:pPr>
      <w:r>
        <w:rPr>
          <w:rFonts w:hint="eastAsia" w:ascii="宋体" w:hAnsi="宋体" w:eastAsia="宋体" w:cs="宋体"/>
          <w:b/>
          <w:bCs/>
          <w:szCs w:val="21"/>
          <w:highlight w:val="none"/>
        </w:rPr>
        <w:t>一、</w:t>
      </w:r>
      <w:r>
        <w:rPr>
          <w:rFonts w:hint="eastAsia" w:ascii="宋体" w:hAnsi="宋体" w:eastAsia="宋体" w:cs="宋体"/>
          <w:b/>
          <w:bCs/>
          <w:sz w:val="21"/>
          <w:szCs w:val="21"/>
          <w:highlight w:val="none"/>
        </w:rPr>
        <w:t>项目基本情况：</w:t>
      </w:r>
    </w:p>
    <w:p w14:paraId="216D354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采购编号：</w:t>
      </w:r>
      <w:r>
        <w:rPr>
          <w:rFonts w:hint="eastAsia" w:ascii="宋体" w:hAnsi="宋体" w:cs="宋体"/>
          <w:sz w:val="21"/>
          <w:szCs w:val="21"/>
          <w:highlight w:val="none"/>
          <w:lang w:eastAsia="zh-CN"/>
        </w:rPr>
        <w:t>CSKC-GK202522</w:t>
      </w:r>
      <w:r>
        <w:rPr>
          <w:rFonts w:hint="eastAsia" w:ascii="宋体" w:hAnsi="宋体" w:eastAsia="宋体" w:cs="宋体"/>
          <w:sz w:val="21"/>
          <w:szCs w:val="21"/>
          <w:highlight w:val="none"/>
        </w:rPr>
        <w:t xml:space="preserve"> </w:t>
      </w:r>
    </w:p>
    <w:p w14:paraId="704C1B01">
      <w:pPr>
        <w:spacing w:line="360" w:lineRule="auto"/>
        <w:ind w:firstLine="420" w:firstLineChars="200"/>
        <w:rPr>
          <w:rFonts w:hint="eastAsia" w:ascii="宋体" w:hAnsi="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展依山隧道建设工程超前地质预报与监控量测项目</w:t>
      </w:r>
    </w:p>
    <w:p w14:paraId="2E01AD7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采购金额：</w:t>
      </w:r>
      <w:r>
        <w:rPr>
          <w:rFonts w:hint="eastAsia" w:ascii="宋体" w:hAnsi="宋体" w:cs="宋体"/>
          <w:sz w:val="21"/>
          <w:szCs w:val="21"/>
          <w:highlight w:val="none"/>
          <w:lang w:val="en-US" w:eastAsia="zh-CN"/>
        </w:rPr>
        <w:t>477.43</w:t>
      </w:r>
      <w:r>
        <w:rPr>
          <w:rFonts w:hint="eastAsia" w:ascii="宋体" w:hAnsi="宋体" w:eastAsia="宋体" w:cs="宋体"/>
          <w:sz w:val="21"/>
          <w:szCs w:val="21"/>
          <w:highlight w:val="none"/>
        </w:rPr>
        <w:t>万元</w:t>
      </w:r>
      <w:r>
        <w:rPr>
          <w:rFonts w:hint="eastAsia" w:ascii="宋体" w:hAnsi="宋体" w:cs="宋体"/>
          <w:sz w:val="21"/>
          <w:szCs w:val="21"/>
          <w:highlight w:val="none"/>
          <w:lang w:val="en-US" w:eastAsia="zh-CN"/>
        </w:rPr>
        <w:t xml:space="preserve"> </w:t>
      </w:r>
    </w:p>
    <w:p w14:paraId="56FFF205">
      <w:pPr>
        <w:pStyle w:val="24"/>
        <w:ind w:left="840" w:hanging="420"/>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cs="宋体"/>
          <w:sz w:val="21"/>
          <w:szCs w:val="21"/>
          <w:highlight w:val="none"/>
          <w:lang w:val="en-US" w:eastAsia="zh-CN"/>
        </w:rPr>
        <w:t>381.944</w:t>
      </w:r>
      <w:r>
        <w:rPr>
          <w:rFonts w:hint="eastAsia" w:ascii="宋体" w:hAnsi="宋体" w:eastAsia="宋体" w:cs="宋体"/>
          <w:sz w:val="21"/>
          <w:szCs w:val="21"/>
          <w:highlight w:val="none"/>
        </w:rPr>
        <w:t>万元</w:t>
      </w:r>
    </w:p>
    <w:p w14:paraId="0452A18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bl>
      <w:tblPr>
        <w:tblStyle w:val="25"/>
        <w:tblW w:w="100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9"/>
        <w:gridCol w:w="1211"/>
        <w:gridCol w:w="1984"/>
        <w:gridCol w:w="2279"/>
        <w:gridCol w:w="915"/>
      </w:tblGrid>
      <w:tr w14:paraId="6885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669" w:type="dxa"/>
            <w:vAlign w:val="center"/>
          </w:tcPr>
          <w:p w14:paraId="73BFEC1F">
            <w:pPr>
              <w:snapToGri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采购内容</w:t>
            </w:r>
          </w:p>
        </w:tc>
        <w:tc>
          <w:tcPr>
            <w:tcW w:w="1211" w:type="dxa"/>
            <w:vAlign w:val="center"/>
          </w:tcPr>
          <w:p w14:paraId="41E1E97E">
            <w:pPr>
              <w:snapToGri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984" w:type="dxa"/>
            <w:vAlign w:val="center"/>
          </w:tcPr>
          <w:p w14:paraId="6844992D">
            <w:pPr>
              <w:snapToGri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p>
        </w:tc>
        <w:tc>
          <w:tcPr>
            <w:tcW w:w="2279" w:type="dxa"/>
            <w:vAlign w:val="center"/>
          </w:tcPr>
          <w:p w14:paraId="4DC8C70F">
            <w:pPr>
              <w:snapToGri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tc>
        <w:tc>
          <w:tcPr>
            <w:tcW w:w="915" w:type="dxa"/>
            <w:vAlign w:val="center"/>
          </w:tcPr>
          <w:p w14:paraId="46F71DF2">
            <w:pPr>
              <w:snapToGri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5D2E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669" w:type="dxa"/>
            <w:vAlign w:val="center"/>
          </w:tcPr>
          <w:p w14:paraId="768A57F7">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展依山隧道建设工程超前地质预报与监控量测项目、周边建筑物变形监测</w:t>
            </w:r>
          </w:p>
        </w:tc>
        <w:tc>
          <w:tcPr>
            <w:tcW w:w="1211" w:type="dxa"/>
            <w:vAlign w:val="center"/>
          </w:tcPr>
          <w:p w14:paraId="408B901F">
            <w:pPr>
              <w:snapToGri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1项</w:t>
            </w:r>
          </w:p>
        </w:tc>
        <w:tc>
          <w:tcPr>
            <w:tcW w:w="1984" w:type="dxa"/>
            <w:vAlign w:val="center"/>
          </w:tcPr>
          <w:p w14:paraId="2E7CFEEE">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381.944</w:t>
            </w:r>
            <w:r>
              <w:rPr>
                <w:rFonts w:hint="eastAsia" w:ascii="宋体" w:hAnsi="宋体" w:eastAsia="宋体" w:cs="宋体"/>
                <w:sz w:val="21"/>
                <w:szCs w:val="21"/>
                <w:highlight w:val="none"/>
              </w:rPr>
              <w:t>万元</w:t>
            </w:r>
          </w:p>
        </w:tc>
        <w:tc>
          <w:tcPr>
            <w:tcW w:w="2279" w:type="dxa"/>
            <w:vAlign w:val="center"/>
          </w:tcPr>
          <w:p w14:paraId="78F02373">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详见采购文件第三章招标内容及要求。</w:t>
            </w:r>
          </w:p>
        </w:tc>
        <w:tc>
          <w:tcPr>
            <w:tcW w:w="915" w:type="dxa"/>
            <w:vAlign w:val="center"/>
          </w:tcPr>
          <w:p w14:paraId="6D7CA084">
            <w:pPr>
              <w:snapToGrid w:val="0"/>
              <w:spacing w:line="276" w:lineRule="auto"/>
              <w:jc w:val="center"/>
              <w:rPr>
                <w:rFonts w:hint="eastAsia" w:ascii="宋体" w:hAnsi="宋体" w:eastAsia="宋体" w:cs="宋体"/>
                <w:sz w:val="21"/>
                <w:szCs w:val="21"/>
                <w:highlight w:val="none"/>
              </w:rPr>
            </w:pPr>
          </w:p>
        </w:tc>
      </w:tr>
    </w:tbl>
    <w:p w14:paraId="2A5F65BE">
      <w:pPr>
        <w:pStyle w:val="24"/>
        <w:spacing w:line="276" w:lineRule="auto"/>
        <w:ind w:left="840" w:hanging="420"/>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合同履行期限：详见采购文件第三章。</w:t>
      </w:r>
    </w:p>
    <w:p w14:paraId="0B9962DD">
      <w:pPr>
        <w:spacing w:line="276" w:lineRule="auto"/>
        <w:ind w:left="398"/>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w:t>
      </w:r>
      <w:r>
        <w:rPr>
          <w:rFonts w:hint="eastAsia" w:ascii="宋体" w:hAnsi="宋体" w:cs="宋体"/>
          <w:bCs/>
          <w:sz w:val="21"/>
          <w:szCs w:val="21"/>
          <w:highlight w:val="none"/>
          <w:lang w:eastAsia="zh-CN"/>
        </w:rPr>
        <w:t>是</w:t>
      </w:r>
      <w:r>
        <w:rPr>
          <w:rFonts w:hint="eastAsia" w:ascii="宋体" w:hAnsi="宋体" w:eastAsia="宋体" w:cs="宋体"/>
          <w:bCs/>
          <w:sz w:val="21"/>
          <w:szCs w:val="21"/>
          <w:highlight w:val="none"/>
        </w:rPr>
        <w:t>）接受联合体投标</w:t>
      </w:r>
    </w:p>
    <w:p w14:paraId="50046B33">
      <w:pPr>
        <w:spacing w:line="360" w:lineRule="auto"/>
        <w:ind w:firstLine="398" w:firstLineChars="18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二、申请人的资格要求：</w:t>
      </w:r>
    </w:p>
    <w:p w14:paraId="1D6C150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8BA5A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2、落实政府采购政策需满足的资格要求：</w:t>
      </w:r>
      <w:r>
        <w:rPr>
          <w:rFonts w:hint="eastAsia" w:ascii="宋体" w:hAnsi="宋体" w:cs="宋体"/>
          <w:sz w:val="21"/>
          <w:szCs w:val="21"/>
          <w:highlight w:val="none"/>
          <w:lang w:eastAsia="zh-CN"/>
        </w:rPr>
        <w:t>无</w:t>
      </w:r>
      <w:r>
        <w:rPr>
          <w:rFonts w:hint="eastAsia" w:ascii="宋体" w:hAnsi="宋体" w:eastAsia="宋体" w:cs="宋体"/>
          <w:b/>
          <w:bCs/>
          <w:color w:val="auto"/>
          <w:sz w:val="21"/>
          <w:szCs w:val="21"/>
          <w:highlight w:val="none"/>
        </w:rPr>
        <w:t>。</w:t>
      </w:r>
    </w:p>
    <w:p w14:paraId="2E985AB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3、本项目的特定资格要求</w:t>
      </w:r>
      <w:r>
        <w:rPr>
          <w:rFonts w:hint="eastAsia" w:ascii="宋体" w:hAnsi="宋体" w:cs="宋体"/>
          <w:color w:val="auto"/>
          <w:sz w:val="21"/>
          <w:szCs w:val="21"/>
          <w:highlight w:val="none"/>
          <w:lang w:eastAsia="zh-CN"/>
        </w:rPr>
        <w:t>，同时具备以下条件：</w:t>
      </w:r>
    </w:p>
    <w:p w14:paraId="778112E6">
      <w:pPr>
        <w:spacing w:line="360" w:lineRule="auto"/>
        <w:ind w:firstLine="422" w:firstLineChars="200"/>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3.1</w:t>
      </w:r>
      <w:r>
        <w:rPr>
          <w:rFonts w:hint="eastAsia" w:ascii="宋体" w:hAnsi="宋体" w:cs="宋体"/>
          <w:b/>
          <w:bCs/>
          <w:color w:val="auto"/>
          <w:sz w:val="21"/>
          <w:szCs w:val="21"/>
          <w:highlight w:val="none"/>
          <w:lang w:eastAsia="zh-CN"/>
        </w:rPr>
        <w:t>具有省级及以上建设行政主管部门颁发的工程质量检测机构资质证书（资质类别包含主体结构及装饰装修、地基基础）。</w:t>
      </w:r>
    </w:p>
    <w:p w14:paraId="06FFBCF9">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rPr>
        <w:t>具有国家住建部颁发的工程勘察综合类甲级资质</w:t>
      </w:r>
      <w:r>
        <w:rPr>
          <w:rFonts w:hint="eastAsia" w:ascii="宋体" w:hAnsi="宋体" w:cs="宋体"/>
          <w:b/>
          <w:bCs/>
          <w:color w:val="auto"/>
          <w:sz w:val="21"/>
          <w:szCs w:val="21"/>
          <w:highlight w:val="none"/>
          <w:lang w:eastAsia="zh-CN"/>
        </w:rPr>
        <w:t>或</w:t>
      </w:r>
      <w:r>
        <w:rPr>
          <w:rFonts w:hint="eastAsia" w:ascii="宋体" w:hAnsi="宋体" w:eastAsia="宋体" w:cs="宋体"/>
          <w:b/>
          <w:bCs/>
          <w:color w:val="auto"/>
          <w:sz w:val="21"/>
          <w:szCs w:val="21"/>
          <w:highlight w:val="none"/>
        </w:rPr>
        <w:t>具有住建部颁发的工程勘察岩土工程专业甲级资质和工程勘察工程测量专业甲级资质</w:t>
      </w:r>
      <w:r>
        <w:rPr>
          <w:rFonts w:hint="eastAsia" w:ascii="宋体" w:hAnsi="宋体" w:cs="宋体"/>
          <w:b/>
          <w:bCs/>
          <w:color w:val="auto"/>
          <w:sz w:val="21"/>
          <w:szCs w:val="21"/>
          <w:highlight w:val="none"/>
          <w:lang w:eastAsia="zh-CN"/>
        </w:rPr>
        <w:t>或</w:t>
      </w:r>
      <w:r>
        <w:rPr>
          <w:rFonts w:hint="eastAsia" w:ascii="宋体" w:hAnsi="宋体" w:eastAsia="宋体" w:cs="宋体"/>
          <w:b/>
          <w:bCs/>
          <w:color w:val="auto"/>
          <w:sz w:val="21"/>
          <w:szCs w:val="21"/>
          <w:highlight w:val="none"/>
        </w:rPr>
        <w:t>具有住建部颁发的工程勘察岩土工程专业甲级资质和自然资源部门颁发的测绘（工程测量专业）甲级资质</w:t>
      </w:r>
      <w:r>
        <w:rPr>
          <w:rFonts w:hint="eastAsia" w:ascii="宋体" w:hAnsi="宋体" w:eastAsia="宋体" w:cs="宋体"/>
          <w:b/>
          <w:bCs/>
          <w:color w:val="auto"/>
          <w:sz w:val="21"/>
          <w:szCs w:val="21"/>
          <w:highlight w:val="none"/>
          <w:lang w:eastAsia="zh-CN"/>
        </w:rPr>
        <w:t>。</w:t>
      </w:r>
    </w:p>
    <w:p w14:paraId="186F63B1">
      <w:pPr>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3.3</w:t>
      </w:r>
      <w:r>
        <w:rPr>
          <w:rFonts w:hint="eastAsia" w:ascii="宋体" w:hAnsi="宋体" w:cs="宋体"/>
          <w:b/>
          <w:bCs/>
          <w:color w:val="auto"/>
          <w:sz w:val="21"/>
          <w:szCs w:val="21"/>
          <w:highlight w:val="none"/>
          <w:lang w:eastAsia="zh-CN"/>
        </w:rPr>
        <w:t>投标人具有省级及以上计量认证证书(CMA认证)，且计量认证证书附表内容和条目应包含本项目涉及的</w:t>
      </w:r>
      <w:r>
        <w:rPr>
          <w:rFonts w:hint="eastAsia" w:ascii="宋体" w:hAnsi="宋体" w:eastAsia="宋体" w:cs="宋体"/>
          <w:b/>
          <w:bCs/>
          <w:color w:val="auto"/>
          <w:kern w:val="2"/>
          <w:sz w:val="21"/>
          <w:szCs w:val="21"/>
          <w:highlight w:val="none"/>
          <w:lang w:val="en-US" w:eastAsia="zh-CN" w:bidi="ar-SA"/>
        </w:rPr>
        <w:t>监测及检测相关内容。</w:t>
      </w:r>
    </w:p>
    <w:p w14:paraId="6099A9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3.4项目负责人具有有效的国家注册土木工程师（岩土）执业资格。</w:t>
      </w:r>
    </w:p>
    <w:p w14:paraId="203E2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本次采购</w:t>
      </w:r>
      <w:r>
        <w:rPr>
          <w:rFonts w:hint="eastAsia"/>
          <w:highlight w:val="none"/>
          <w:u w:val="single"/>
          <w:lang w:val="en-US" w:eastAsia="zh-CN"/>
        </w:rPr>
        <w:t xml:space="preserve">  接受 </w:t>
      </w:r>
      <w:r>
        <w:rPr>
          <w:rFonts w:hint="eastAsia"/>
          <w:highlight w:val="none"/>
          <w:lang w:val="en-US" w:eastAsia="zh-CN"/>
        </w:rPr>
        <w:t>联合体投标。联合体投标的，应满足下列要求：</w:t>
      </w:r>
    </w:p>
    <w:p w14:paraId="18772D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1）联合体参加投标的，以具有国家住建部颁发的工程勘察综合类甲级资质或具有住建部颁发的工程勘察岩土工程专业甲级资质和工程勘察工程测量专业甲级资质或具有住建部颁发的工程勘察岩土工程专业甲级资质和自然资源部门颁发的测绘（工程测量专业）甲级资质的企业为联合体牵头人，并以牵头人的名义投标。</w:t>
      </w:r>
    </w:p>
    <w:p w14:paraId="5665ED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2）联合体成员最多2家，联合体各方须在联合体协议中明确各方承担的工作责任，且须满足投标人资质要求的相应资格条件。联合体各方签订共同投标协议后，不得再以自己名义单独投标，也不得组成新的联合体或参加其他联合体在本项目中投标。</w:t>
      </w:r>
    </w:p>
    <w:p w14:paraId="2EE49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（3）项目负责人由联合体牵头人拟派。</w:t>
      </w:r>
    </w:p>
    <w:p w14:paraId="6B1953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highlight w:val="none"/>
          <w:lang w:val="en-US" w:eastAsia="zh-CN"/>
        </w:rPr>
        <w:t>3.5其它要求：省外企业提供浙江省住建厅出具的《省外企业进浙承接业务备案证明》或提供“浙江省建筑市场监管公共服务系统发布的备案信息截图”并加盖投标人公章。</w:t>
      </w:r>
    </w:p>
    <w:p w14:paraId="674AF257">
      <w:pPr>
        <w:spacing w:line="360" w:lineRule="auto"/>
        <w:ind w:firstLine="401" w:firstLineChars="19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三、获取招标文件：</w:t>
      </w:r>
    </w:p>
    <w:p w14:paraId="5DCA5BC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1、获取时间：公告发布之日起至投标文件递交截止时间前。</w:t>
      </w:r>
    </w:p>
    <w:p w14:paraId="5018B96D">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2、地点：政府采购云平台（www.zcygov.cn）。</w:t>
      </w:r>
    </w:p>
    <w:p w14:paraId="6673BC1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方式：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65CA8A0">
      <w:pPr>
        <w:pStyle w:val="24"/>
        <w:ind w:left="840" w:hanging="420"/>
        <w:rPr>
          <w:rFonts w:hint="eastAsia" w:ascii="宋体" w:hAnsi="宋体" w:eastAsia="宋体" w:cs="宋体"/>
          <w:sz w:val="21"/>
          <w:szCs w:val="21"/>
          <w:highlight w:val="none"/>
        </w:rPr>
      </w:pPr>
      <w:r>
        <w:rPr>
          <w:rFonts w:hint="eastAsia" w:ascii="宋体" w:hAnsi="宋体" w:eastAsia="宋体" w:cs="宋体"/>
          <w:sz w:val="21"/>
          <w:szCs w:val="21"/>
          <w:highlight w:val="none"/>
        </w:rPr>
        <w:t>4、售价：0元</w:t>
      </w:r>
    </w:p>
    <w:p w14:paraId="326996A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923CF43">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注：请供应商按上述要求获取采购文件，如未在“政采云”系统内完成相关流程，引起的投标无效责任自负。</w:t>
      </w:r>
    </w:p>
    <w:p w14:paraId="16BA476A">
      <w:pPr>
        <w:spacing w:line="360" w:lineRule="auto"/>
        <w:ind w:firstLine="401" w:firstLineChars="19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四、提交投标文件的截止时间、开标时间和地点：</w:t>
      </w:r>
    </w:p>
    <w:p w14:paraId="52615BEB">
      <w:pPr>
        <w:spacing w:line="36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w:t>
      </w:r>
      <w:r>
        <w:rPr>
          <w:rFonts w:hint="eastAsia" w:ascii="宋体" w:hAnsi="宋体" w:eastAsia="宋体" w:cs="宋体"/>
          <w:b/>
          <w:bCs/>
          <w:sz w:val="21"/>
          <w:szCs w:val="21"/>
          <w:highlight w:val="none"/>
          <w:u w:val="single"/>
        </w:rPr>
        <w:t>2025年</w:t>
      </w:r>
      <w:r>
        <w:rPr>
          <w:rFonts w:hint="eastAsia" w:ascii="宋体" w:hAnsi="宋体" w:cs="宋体"/>
          <w:b/>
          <w:bCs/>
          <w:sz w:val="21"/>
          <w:szCs w:val="21"/>
          <w:highlight w:val="none"/>
          <w:u w:val="single"/>
          <w:lang w:val="en-US" w:eastAsia="zh-CN"/>
        </w:rPr>
        <w:t>7</w:t>
      </w:r>
      <w:r>
        <w:rPr>
          <w:rFonts w:hint="eastAsia" w:ascii="宋体" w:hAnsi="宋体" w:eastAsia="宋体" w:cs="宋体"/>
          <w:b/>
          <w:bCs/>
          <w:sz w:val="21"/>
          <w:szCs w:val="21"/>
          <w:highlight w:val="none"/>
          <w:u w:val="single"/>
        </w:rPr>
        <w:t>月</w:t>
      </w:r>
      <w:r>
        <w:rPr>
          <w:rFonts w:hint="eastAsia" w:ascii="宋体" w:hAnsi="宋体" w:cs="宋体"/>
          <w:b/>
          <w:bCs/>
          <w:sz w:val="21"/>
          <w:szCs w:val="21"/>
          <w:highlight w:val="none"/>
          <w:u w:val="single"/>
          <w:lang w:val="en-US" w:eastAsia="zh-CN"/>
        </w:rPr>
        <w:t>17</w:t>
      </w:r>
      <w:r>
        <w:rPr>
          <w:rFonts w:hint="eastAsia" w:ascii="宋体" w:hAnsi="宋体" w:eastAsia="宋体" w:cs="宋体"/>
          <w:b/>
          <w:bCs/>
          <w:sz w:val="21"/>
          <w:szCs w:val="21"/>
          <w:highlight w:val="none"/>
          <w:u w:val="single"/>
        </w:rPr>
        <w:t>日09时30分</w:t>
      </w:r>
      <w:r>
        <w:rPr>
          <w:rFonts w:hint="eastAsia" w:ascii="宋体" w:hAnsi="宋体" w:eastAsia="宋体" w:cs="宋体"/>
          <w:sz w:val="21"/>
          <w:szCs w:val="21"/>
          <w:highlight w:val="none"/>
        </w:rPr>
        <w:t xml:space="preserve">。  </w:t>
      </w:r>
    </w:p>
    <w:p w14:paraId="04F13E74">
      <w:pPr>
        <w:spacing w:line="36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2、投标地点：“政府采购云平台（www.zcygov.cn）”在线递交</w:t>
      </w:r>
    </w:p>
    <w:p w14:paraId="541457F8">
      <w:pPr>
        <w:spacing w:line="36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3、开标时间：</w:t>
      </w:r>
      <w:r>
        <w:rPr>
          <w:rFonts w:hint="eastAsia" w:ascii="宋体" w:hAnsi="宋体" w:eastAsia="宋体" w:cs="宋体"/>
          <w:b/>
          <w:bCs/>
          <w:sz w:val="21"/>
          <w:szCs w:val="21"/>
          <w:highlight w:val="none"/>
          <w:u w:val="single"/>
        </w:rPr>
        <w:t>2025年</w:t>
      </w:r>
      <w:r>
        <w:rPr>
          <w:rFonts w:hint="eastAsia" w:ascii="宋体" w:hAnsi="宋体" w:cs="宋体"/>
          <w:b/>
          <w:bCs/>
          <w:sz w:val="21"/>
          <w:szCs w:val="21"/>
          <w:highlight w:val="none"/>
          <w:u w:val="single"/>
          <w:lang w:val="en-US" w:eastAsia="zh-CN"/>
        </w:rPr>
        <w:t>7</w:t>
      </w:r>
      <w:r>
        <w:rPr>
          <w:rFonts w:hint="eastAsia" w:ascii="宋体" w:hAnsi="宋体" w:eastAsia="宋体" w:cs="宋体"/>
          <w:b/>
          <w:bCs/>
          <w:sz w:val="21"/>
          <w:szCs w:val="21"/>
          <w:highlight w:val="none"/>
          <w:u w:val="single"/>
        </w:rPr>
        <w:t>月</w:t>
      </w:r>
      <w:r>
        <w:rPr>
          <w:rFonts w:hint="eastAsia" w:ascii="宋体" w:hAnsi="宋体" w:cs="宋体"/>
          <w:b/>
          <w:bCs/>
          <w:sz w:val="21"/>
          <w:szCs w:val="21"/>
          <w:highlight w:val="none"/>
          <w:u w:val="single"/>
          <w:lang w:val="en-US" w:eastAsia="zh-CN"/>
        </w:rPr>
        <w:t>17</w:t>
      </w:r>
      <w:r>
        <w:rPr>
          <w:rFonts w:hint="eastAsia" w:ascii="宋体" w:hAnsi="宋体" w:eastAsia="宋体" w:cs="宋体"/>
          <w:b/>
          <w:bCs/>
          <w:sz w:val="21"/>
          <w:szCs w:val="21"/>
          <w:highlight w:val="none"/>
          <w:u w:val="single"/>
        </w:rPr>
        <w:t>日09时30分（北京时间）。</w:t>
      </w:r>
    </w:p>
    <w:p w14:paraId="08A6B074">
      <w:pPr>
        <w:spacing w:line="360" w:lineRule="auto"/>
        <w:ind w:firstLine="399" w:firstLineChars="190"/>
        <w:rPr>
          <w:rFonts w:hint="eastAsia" w:ascii="宋体" w:hAnsi="宋体" w:eastAsia="宋体" w:cs="宋体"/>
          <w:bCs/>
          <w:kern w:val="0"/>
          <w:sz w:val="21"/>
          <w:szCs w:val="21"/>
          <w:highlight w:val="none"/>
        </w:rPr>
      </w:pPr>
      <w:r>
        <w:rPr>
          <w:rFonts w:hint="eastAsia" w:ascii="宋体" w:hAnsi="宋体" w:eastAsia="宋体" w:cs="宋体"/>
          <w:sz w:val="21"/>
          <w:szCs w:val="21"/>
          <w:highlight w:val="none"/>
        </w:rPr>
        <w:t>4、开标地点：衢州市公共资源交易常山分中心</w:t>
      </w:r>
      <w:r>
        <w:rPr>
          <w:rFonts w:hint="eastAsia" w:ascii="宋体" w:hAnsi="宋体" w:eastAsia="宋体" w:cs="宋体"/>
          <w:bCs/>
          <w:kern w:val="0"/>
          <w:sz w:val="21"/>
          <w:szCs w:val="21"/>
          <w:highlight w:val="none"/>
        </w:rPr>
        <w:t>(常山县紫港路2号常山县行政服务中心东边附属楼2楼）。同步在“政采云远程开标大厅”在线开标。</w:t>
      </w:r>
    </w:p>
    <w:p w14:paraId="6680CD34">
      <w:pPr>
        <w:widowControl/>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五、公告期限：</w:t>
      </w:r>
    </w:p>
    <w:p w14:paraId="2F09FE20">
      <w:pPr>
        <w:pStyle w:val="24"/>
        <w:ind w:left="840" w:hanging="42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自本公告发布之日起5个工作日</w:t>
      </w:r>
    </w:p>
    <w:p w14:paraId="2B87B0FA">
      <w:pPr>
        <w:widowControl/>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六、其他补充事宜：</w:t>
      </w:r>
    </w:p>
    <w:p w14:paraId="284C1D30">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投标人认为采购文件、采购过程、中标或者成交结果使自己的权益受到损害的，可以在知道或者应知其权益受到损害之日起七个工作日内，以书面形式向采购人和采购代理机构提出质疑（投标人在法定质疑期内一次性提出针对同一采购程序环节的质疑）。投标人应知其权益受到损害之日，是指：对可以质疑的采购文件提出质疑的，为依法获取采购文件之日或者采购文件公告期限届满之日（招标公告为公告发布后至第6个工作日）起7个工作日内，以书面形式向采购人、采购代理机构提出；对采购过程提出质疑的，为各采购程序环节结束之日；对中标或者成交结果提出质疑的，为中标或者成交结果公告期限届满之日。</w:t>
      </w:r>
    </w:p>
    <w:p w14:paraId="7805D821">
      <w:pPr>
        <w:pStyle w:val="22"/>
        <w:widowControl w:val="0"/>
        <w:overflowPunct w:val="0"/>
        <w:autoSpaceDE w:val="0"/>
        <w:autoSpaceDN w:val="0"/>
        <w:adjustRightInd w:val="0"/>
        <w:spacing w:before="0" w:beforeAutospacing="0" w:after="0" w:afterAutospacing="0" w:line="360" w:lineRule="auto"/>
        <w:ind w:firstLine="440"/>
        <w:jc w:val="both"/>
        <w:rPr>
          <w:rFonts w:hint="eastAsia" w:ascii="宋体" w:hAnsi="宋体" w:eastAsia="宋体" w:cs="宋体"/>
          <w:b/>
          <w:bCs/>
          <w:kern w:val="28"/>
          <w:sz w:val="21"/>
          <w:szCs w:val="21"/>
          <w:highlight w:val="none"/>
          <w:lang w:bidi="ar"/>
        </w:rPr>
      </w:pPr>
      <w:r>
        <w:rPr>
          <w:rFonts w:hint="eastAsia" w:ascii="宋体" w:hAnsi="宋体" w:eastAsia="宋体" w:cs="宋体"/>
          <w:kern w:val="2"/>
          <w:sz w:val="21"/>
          <w:szCs w:val="21"/>
          <w:highlight w:val="none"/>
          <w:lang w:bidi="ar"/>
        </w:rPr>
        <w:t>2、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r>
        <w:rPr>
          <w:rFonts w:hint="eastAsia" w:ascii="宋体" w:hAnsi="宋体" w:eastAsia="宋体" w:cs="宋体"/>
          <w:b/>
          <w:bCs/>
          <w:kern w:val="28"/>
          <w:sz w:val="21"/>
          <w:szCs w:val="21"/>
          <w:highlight w:val="none"/>
          <w:lang w:bidi="ar"/>
        </w:rPr>
        <w:t>质疑函范本、投诉书范本请到浙江政府采购网下载专区下载。</w:t>
      </w:r>
    </w:p>
    <w:p w14:paraId="0C3D2CAC">
      <w:pPr>
        <w:pStyle w:val="22"/>
        <w:widowControl w:val="0"/>
        <w:overflowPunct w:val="0"/>
        <w:autoSpaceDE w:val="0"/>
        <w:autoSpaceDN w:val="0"/>
        <w:adjustRightInd w:val="0"/>
        <w:spacing w:before="0" w:beforeAutospacing="0" w:after="0" w:afterAutospacing="0" w:line="360" w:lineRule="auto"/>
        <w:ind w:firstLine="440"/>
        <w:jc w:val="both"/>
        <w:rPr>
          <w:rFonts w:hint="eastAsia" w:ascii="宋体" w:hAnsi="宋体" w:eastAsia="宋体" w:cs="宋体"/>
          <w:kern w:val="2"/>
          <w:sz w:val="21"/>
          <w:szCs w:val="21"/>
          <w:highlight w:val="none"/>
          <w:lang w:bidi="ar"/>
        </w:rPr>
      </w:pPr>
      <w:r>
        <w:rPr>
          <w:rFonts w:hint="eastAsia" w:ascii="宋体" w:hAnsi="宋体" w:eastAsia="宋体" w:cs="宋体"/>
          <w:kern w:val="2"/>
          <w:sz w:val="21"/>
          <w:szCs w:val="21"/>
          <w:highlight w:val="none"/>
          <w:lang w:bidi="ar"/>
        </w:rPr>
        <w:t>3、采购信息发布媒介：浙江政府采购网、常山县人民政府网。</w:t>
      </w:r>
    </w:p>
    <w:p w14:paraId="7FE7DEE8">
      <w:pPr>
        <w:widowControl/>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bidi="ar"/>
        </w:rPr>
        <w:t>4、在线投标响应（电子投标）说明：</w:t>
      </w:r>
    </w:p>
    <w:p w14:paraId="51EFED6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4.1投标人应在投标前完成CA数字证书办理。（办理流程详见</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"http://zfcg.czt.zj.gov.cn/bidClientTemplate/2019-05-27/12945.html" </w:instrText>
      </w:r>
      <w:r>
        <w:rPr>
          <w:rFonts w:hint="eastAsia" w:ascii="宋体" w:hAnsi="宋体" w:eastAsia="宋体" w:cs="宋体"/>
          <w:sz w:val="21"/>
          <w:szCs w:val="21"/>
          <w:highlight w:val="none"/>
        </w:rPr>
        <w:fldChar w:fldCharType="separate"/>
      </w:r>
      <w:r>
        <w:rPr>
          <w:rStyle w:val="31"/>
          <w:rFonts w:hint="eastAsia" w:ascii="宋体" w:hAnsi="宋体" w:eastAsia="宋体" w:cs="宋体"/>
          <w:sz w:val="21"/>
          <w:szCs w:val="21"/>
          <w:highlight w:val="none"/>
        </w:rPr>
        <w:t>http://zfcg.czt.zj.gov.cn/bidClientTemplate/2019-05-27/12945.html</w:t>
      </w:r>
      <w:r>
        <w:rPr>
          <w:rStyle w:val="31"/>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bidi="ar"/>
        </w:rPr>
        <w:t>，或登录“浙江政府采购网-下载专区-电子投标客户端-CA驱动和申领流程”）。完成CA数字证书办理预计一周左右，建议各投标人抓紧时间办理。</w:t>
      </w:r>
    </w:p>
    <w:p w14:paraId="0FA3FF1A">
      <w:pPr>
        <w:pStyle w:val="22"/>
        <w:wordWrap w:val="0"/>
        <w:overflowPunct w:val="0"/>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bidi="ar"/>
        </w:rPr>
        <w:t>4.2投标人通过“政采云电子交易客户端”制作投标文件。（“政采云电子交易客户端”下载详见</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"http://zfcg.czt.zj.gov.cn/bidClientTemplate/2019-09-24/12975.html" </w:instrText>
      </w:r>
      <w:r>
        <w:rPr>
          <w:rFonts w:hint="eastAsia" w:ascii="宋体" w:hAnsi="宋体" w:eastAsia="宋体" w:cs="宋体"/>
          <w:sz w:val="21"/>
          <w:szCs w:val="21"/>
          <w:highlight w:val="none"/>
        </w:rPr>
        <w:fldChar w:fldCharType="separate"/>
      </w:r>
      <w:r>
        <w:rPr>
          <w:rStyle w:val="31"/>
          <w:rFonts w:hint="eastAsia" w:ascii="宋体" w:hAnsi="宋体" w:eastAsia="宋体" w:cs="宋体"/>
          <w:bCs/>
          <w:color w:val="auto"/>
          <w:sz w:val="21"/>
          <w:szCs w:val="21"/>
          <w:highlight w:val="none"/>
          <w:u w:val="single"/>
        </w:rPr>
        <w:t>http://zfcg.czt.zj.gov.cn/bidClientTemplate/2019-09-24/12975.html</w:t>
      </w:r>
      <w:r>
        <w:rPr>
          <w:rStyle w:val="31"/>
          <w:rFonts w:hint="eastAsia" w:ascii="宋体" w:hAnsi="宋体" w:eastAsia="宋体" w:cs="宋体"/>
          <w:bCs/>
          <w:color w:val="auto"/>
          <w:sz w:val="21"/>
          <w:szCs w:val="21"/>
          <w:highlight w:val="none"/>
          <w:u w:val="single"/>
        </w:rPr>
        <w:fldChar w:fldCharType="end"/>
      </w:r>
      <w:r>
        <w:rPr>
          <w:rFonts w:hint="eastAsia" w:ascii="宋体" w:hAnsi="宋体" w:eastAsia="宋体" w:cs="宋体"/>
          <w:bCs/>
          <w:sz w:val="21"/>
          <w:szCs w:val="21"/>
          <w:highlight w:val="none"/>
          <w:lang w:bidi="ar"/>
        </w:rPr>
        <w:t>或登录“ 浙江政府采购网-下载专区- 电子投标客户端- 政采云电子交易客户端”）。</w:t>
      </w:r>
    </w:p>
    <w:p w14:paraId="19DC7A5C">
      <w:pPr>
        <w:pStyle w:val="22"/>
        <w:wordWrap w:val="0"/>
        <w:overflowPunct w:val="0"/>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bCs/>
          <w:sz w:val="21"/>
          <w:szCs w:val="21"/>
          <w:highlight w:val="none"/>
          <w:lang w:bidi="ar"/>
        </w:rPr>
      </w:pPr>
      <w:r>
        <w:rPr>
          <w:rFonts w:hint="eastAsia" w:ascii="宋体" w:hAnsi="宋体" w:eastAsia="宋体" w:cs="宋体"/>
          <w:bCs/>
          <w:sz w:val="21"/>
          <w:szCs w:val="21"/>
          <w:highlight w:val="none"/>
          <w:lang w:bidi="ar"/>
        </w:rPr>
        <w:t>4.3电子投标制作具体流程详见政府采购项目电子交易管理操作指南：【请投标人点击链接</w:t>
      </w:r>
      <w:r>
        <w:rPr>
          <w:rFonts w:hint="eastAsia" w:ascii="宋体" w:hAnsi="宋体" w:eastAsia="宋体" w:cs="宋体"/>
          <w:bCs/>
          <w:sz w:val="21"/>
          <w:szCs w:val="21"/>
          <w:highlight w:val="none"/>
          <w:u w:val="single"/>
          <w:lang w:bidi="ar"/>
        </w:rPr>
        <w:t>https://service.zcygov.cn/#/knowledges/CW1EtGwBFdiHxlNd6I3m/6IMVAG0BFdiHxlNdQ8Na</w:t>
      </w:r>
      <w:r>
        <w:rPr>
          <w:rFonts w:hint="eastAsia" w:ascii="宋体" w:hAnsi="宋体" w:eastAsia="宋体" w:cs="宋体"/>
          <w:bCs/>
          <w:sz w:val="21"/>
          <w:szCs w:val="21"/>
          <w:highlight w:val="none"/>
          <w:lang w:bidi="ar"/>
        </w:rPr>
        <w:t>或登录“政府采购云平台（www.zcygov.cn）”，从首页-服务中心-帮助文档-项目采购-操作流程-电子招投标，查看文档和视频】。投标人在使用系统进行投标的过程中遇到涉及平台使用的任何问题，可致电政府采购云平台技术支持热线咨询，联系方式：95763。</w:t>
      </w:r>
    </w:p>
    <w:p w14:paraId="2112F1F4">
      <w:pPr>
        <w:pStyle w:val="22"/>
        <w:widowControl w:val="0"/>
        <w:spacing w:before="0" w:beforeAutospacing="0" w:after="120" w:afterAutospacing="0" w:line="360" w:lineRule="auto"/>
        <w:ind w:firstLine="420"/>
        <w:jc w:val="both"/>
        <w:rPr>
          <w:rFonts w:hint="eastAsia" w:ascii="宋体" w:hAnsi="宋体" w:eastAsia="宋体" w:cs="宋体"/>
          <w:kern w:val="2"/>
          <w:sz w:val="21"/>
          <w:szCs w:val="21"/>
          <w:highlight w:val="none"/>
          <w:lang w:bidi="ar"/>
        </w:rPr>
      </w:pPr>
      <w:r>
        <w:rPr>
          <w:rFonts w:hint="eastAsia" w:ascii="宋体" w:hAnsi="宋体" w:eastAsia="宋体" w:cs="宋体"/>
          <w:b/>
          <w:sz w:val="21"/>
          <w:szCs w:val="21"/>
          <w:highlight w:val="none"/>
          <w:lang w:bidi="ar"/>
        </w:rPr>
        <w:t>4.4本项目投标文件的解密、报价文件确认等所使用的CA必须和制作</w:t>
      </w:r>
      <w:r>
        <w:rPr>
          <w:rFonts w:hint="eastAsia" w:ascii="宋体" w:hAnsi="宋体" w:eastAsia="宋体" w:cs="宋体"/>
          <w:b/>
          <w:sz w:val="21"/>
          <w:szCs w:val="21"/>
          <w:highlight w:val="none"/>
          <w:lang w:val="zh-CN" w:bidi="ar"/>
        </w:rPr>
        <w:t>电子加密投标文件时使用的</w:t>
      </w:r>
      <w:r>
        <w:rPr>
          <w:rFonts w:hint="eastAsia" w:ascii="宋体" w:hAnsi="宋体" w:eastAsia="宋体" w:cs="宋体"/>
          <w:b/>
          <w:sz w:val="21"/>
          <w:szCs w:val="21"/>
          <w:highlight w:val="none"/>
          <w:lang w:bidi="ar"/>
        </w:rPr>
        <w:t>CA为</w:t>
      </w:r>
      <w:r>
        <w:rPr>
          <w:rFonts w:hint="eastAsia" w:ascii="宋体" w:hAnsi="宋体" w:eastAsia="宋体" w:cs="宋体"/>
          <w:b/>
          <w:sz w:val="21"/>
          <w:szCs w:val="21"/>
          <w:highlight w:val="none"/>
          <w:lang w:val="zh-CN" w:bidi="ar"/>
        </w:rPr>
        <w:t>同一个。</w:t>
      </w:r>
      <w:r>
        <w:rPr>
          <w:rFonts w:hint="eastAsia" w:ascii="宋体" w:hAnsi="宋体" w:eastAsia="宋体" w:cs="宋体"/>
          <w:kern w:val="2"/>
          <w:sz w:val="21"/>
          <w:szCs w:val="21"/>
          <w:highlight w:val="none"/>
          <w:lang w:bidi="ar"/>
        </w:rPr>
        <w:t>为确保网上操作合法、有效和安全，投标人应当在投标截止时间前完成在“政府采购云平台”的身份认证，确保在电子投标过程中能够对相关数据电文进行加密和使用电子签章。</w:t>
      </w:r>
    </w:p>
    <w:p w14:paraId="00565E25">
      <w:pPr>
        <w:pStyle w:val="22"/>
        <w:widowControl w:val="0"/>
        <w:spacing w:before="0" w:beforeAutospacing="0" w:after="120" w:afterAutospacing="0" w:line="360" w:lineRule="auto"/>
        <w:ind w:firstLine="420"/>
        <w:jc w:val="both"/>
        <w:rPr>
          <w:rFonts w:hint="eastAsia" w:ascii="宋体" w:hAnsi="宋体" w:eastAsia="宋体" w:cs="宋体"/>
          <w:kern w:val="2"/>
          <w:sz w:val="21"/>
          <w:szCs w:val="21"/>
          <w:highlight w:val="none"/>
          <w:lang w:bidi="ar"/>
        </w:rPr>
      </w:pPr>
      <w:r>
        <w:rPr>
          <w:rFonts w:hint="eastAsia" w:ascii="宋体" w:hAnsi="宋体" w:eastAsia="宋体" w:cs="宋体"/>
          <w:kern w:val="2"/>
          <w:sz w:val="21"/>
          <w:szCs w:val="21"/>
          <w:highlight w:val="none"/>
          <w:lang w:bidi="ar"/>
        </w:rPr>
        <w:t>4.5本项目采用电子投标，投标人代表无需出席开标现场会议。开标时间前投标人登录“政府采购云平台”进入开标大厅等候开标。</w:t>
      </w:r>
    </w:p>
    <w:p w14:paraId="32555D69">
      <w:pPr>
        <w:pStyle w:val="22"/>
        <w:widowControl w:val="0"/>
        <w:spacing w:before="0" w:beforeAutospacing="0" w:after="120" w:afterAutospacing="0" w:line="360" w:lineRule="auto"/>
        <w:ind w:firstLine="42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bidi="ar"/>
        </w:rPr>
        <w:t>4.6.本采购项目，中标单位与采购单位签订的政府采购合同适用于常山县政府采购贷款政策简称“政采贷”，具体内容可参阅《常山“政采贷”办理指引》（https://mp.weixin.qq.com/s/S-lQ9FA7fuP62RywRqfelQ）</w:t>
      </w:r>
    </w:p>
    <w:p w14:paraId="06C3272B">
      <w:pPr>
        <w:spacing w:line="360" w:lineRule="auto"/>
        <w:ind w:firstLine="401" w:firstLineChars="19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七、对本次招标提出询问、质疑、投诉，请按以下方式联系：</w:t>
      </w:r>
    </w:p>
    <w:p w14:paraId="24AC356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1、采购单位：</w:t>
      </w:r>
      <w:r>
        <w:rPr>
          <w:rFonts w:hint="eastAsia" w:ascii="宋体" w:hAnsi="宋体" w:cs="宋体"/>
          <w:sz w:val="21"/>
          <w:szCs w:val="21"/>
          <w:highlight w:val="none"/>
          <w:lang w:eastAsia="zh-CN"/>
        </w:rPr>
        <w:t>常山县城市项目建设中心</w:t>
      </w:r>
      <w:r>
        <w:rPr>
          <w:rFonts w:hint="eastAsia" w:ascii="宋体" w:hAnsi="宋体" w:eastAsia="宋体" w:cs="宋体"/>
          <w:sz w:val="21"/>
          <w:szCs w:val="21"/>
          <w:highlight w:val="none"/>
        </w:rPr>
        <w:t xml:space="preserve"> </w:t>
      </w:r>
    </w:p>
    <w:p w14:paraId="3D1A09C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联系人：樊頔鸿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电话： 0570-5896960</w:t>
      </w:r>
    </w:p>
    <w:p w14:paraId="2088AA3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质疑</w:t>
      </w:r>
      <w:r>
        <w:rPr>
          <w:rFonts w:hint="eastAsia" w:ascii="宋体" w:hAnsi="宋体" w:eastAsia="宋体" w:cs="宋体"/>
          <w:sz w:val="21"/>
          <w:szCs w:val="21"/>
          <w:highlight w:val="none"/>
        </w:rPr>
        <w:t>联系人：樊</w:t>
      </w:r>
      <w:r>
        <w:rPr>
          <w:rFonts w:hint="eastAsia" w:ascii="宋体" w:hAnsi="宋体" w:eastAsia="宋体" w:cs="宋体"/>
          <w:sz w:val="21"/>
          <w:szCs w:val="21"/>
          <w:highlight w:val="none"/>
          <w:lang w:eastAsia="zh-CN"/>
        </w:rPr>
        <w:t>先生</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联系</w:t>
      </w:r>
      <w:r>
        <w:rPr>
          <w:rFonts w:hint="eastAsia" w:ascii="宋体" w:hAnsi="宋体" w:eastAsia="宋体" w:cs="宋体"/>
          <w:sz w:val="21"/>
          <w:szCs w:val="21"/>
          <w:highlight w:val="none"/>
        </w:rPr>
        <w:t>电话： 0570-5896960</w:t>
      </w:r>
    </w:p>
    <w:p w14:paraId="61EE15A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地址：常山县天马街道梅园小区城建大楼</w:t>
      </w:r>
    </w:p>
    <w:p w14:paraId="103409B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2、采购代理机构：衢州市开成工程造价咨询事务所有限公司</w:t>
      </w:r>
    </w:p>
    <w:p w14:paraId="7D5D62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联系人：孔爱丽        联系电话：13567035102 </w:t>
      </w:r>
    </w:p>
    <w:p w14:paraId="55F8D59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质疑人：王俊          联系电话：0570-5021909</w:t>
      </w:r>
    </w:p>
    <w:p w14:paraId="7ACC57B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址：浙江省常山县浙西世贸城15号楼3338号</w:t>
      </w:r>
    </w:p>
    <w:p w14:paraId="0D7B490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3、同级政府采购监督管理部门：常山县财政局政府采购监管科</w:t>
      </w:r>
    </w:p>
    <w:p w14:paraId="3894085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联系人：李先生    监督投诉电话：0570-5015373</w:t>
      </w:r>
    </w:p>
    <w:p w14:paraId="5511E20D">
      <w:pPr>
        <w:spacing w:line="360" w:lineRule="auto"/>
        <w:ind w:firstLine="420" w:firstLineChars="200"/>
        <w:rPr>
          <w:rFonts w:hint="eastAsia" w:ascii="宋体" w:hAnsi="宋体" w:cs="宋体"/>
          <w:szCs w:val="21"/>
          <w:highlight w:val="none"/>
        </w:rPr>
      </w:pPr>
      <w:r>
        <w:rPr>
          <w:rFonts w:hint="eastAsia" w:ascii="宋体" w:hAnsi="宋体" w:eastAsia="宋体" w:cs="宋体"/>
          <w:sz w:val="21"/>
          <w:szCs w:val="21"/>
          <w:highlight w:val="none"/>
        </w:rPr>
        <w:t>地 址：常山县天马街道定阳北路415号</w:t>
      </w:r>
      <w:r>
        <w:rPr>
          <w:rFonts w:hint="eastAsia" w:ascii="宋体" w:hAnsi="宋体" w:cs="宋体"/>
          <w:szCs w:val="21"/>
          <w:highlight w:val="none"/>
        </w:rPr>
        <w:t xml:space="preserve">  </w:t>
      </w:r>
    </w:p>
    <w:bookmarkEnd w:id="6"/>
    <w:p w14:paraId="72301DBD">
      <w:pPr>
        <w:pStyle w:val="2"/>
        <w:spacing w:line="360" w:lineRule="auto"/>
        <w:rPr>
          <w:rFonts w:hint="eastAsia" w:ascii="宋体" w:hAnsi="宋体" w:eastAsia="宋体" w:cs="黑体"/>
          <w:b w:val="0"/>
          <w:bCs w:val="0"/>
          <w:sz w:val="32"/>
          <w:szCs w:val="32"/>
          <w:highlight w:val="none"/>
        </w:rPr>
      </w:pPr>
      <w:bookmarkStart w:id="7" w:name="_Toc262049414"/>
      <w:bookmarkStart w:id="8" w:name="_Toc249758708"/>
      <w:bookmarkStart w:id="9" w:name="_Toc249758860"/>
      <w:bookmarkStart w:id="10" w:name="_Toc223715994"/>
      <w:bookmarkStart w:id="11" w:name="_Toc241404198"/>
      <w:bookmarkStart w:id="12" w:name="_Toc239145350"/>
      <w:bookmarkStart w:id="13" w:name="_Toc246261261"/>
      <w:bookmarkStart w:id="14" w:name="_Toc262105499"/>
      <w:bookmarkStart w:id="15" w:name="_Toc221356947"/>
      <w:bookmarkStart w:id="16" w:name="_Toc221374622"/>
      <w:bookmarkStart w:id="17" w:name="_Toc222114875"/>
      <w:bookmarkStart w:id="18" w:name="_Toc410031812"/>
      <w:bookmarkStart w:id="19" w:name="_Toc245722277"/>
      <w:bookmarkStart w:id="20" w:name="_Toc245191310"/>
      <w:bookmarkStart w:id="21" w:name="_Toc221356882"/>
      <w:bookmarkStart w:id="22" w:name="_Toc221423615"/>
      <w:r>
        <w:rPr>
          <w:rFonts w:hint="eastAsia" w:ascii="宋体" w:hAnsi="宋体" w:eastAsia="宋体" w:cs="黑体"/>
          <w:b w:val="0"/>
          <w:bCs w:val="0"/>
          <w:sz w:val="32"/>
          <w:szCs w:val="32"/>
          <w:highlight w:val="none"/>
        </w:rPr>
        <w:br w:type="page"/>
      </w:r>
      <w:bookmarkStart w:id="23" w:name="_Toc2510"/>
      <w:bookmarkStart w:id="24" w:name="_Toc106"/>
      <w:bookmarkStart w:id="25" w:name="_Toc15212"/>
      <w:bookmarkStart w:id="26" w:name="_Toc19851"/>
      <w:r>
        <w:rPr>
          <w:rStyle w:val="37"/>
          <w:rFonts w:hint="eastAsia"/>
          <w:b/>
          <w:bCs/>
          <w:highlight w:val="none"/>
        </w:rPr>
        <w:t>第二章   投标人须知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AA26A98">
      <w:pPr>
        <w:spacing w:line="360" w:lineRule="auto"/>
        <w:jc w:val="center"/>
        <w:rPr>
          <w:rFonts w:hint="eastAsia" w:ascii="宋体" w:hAnsi="宋体" w:cs="黑体"/>
          <w:sz w:val="32"/>
          <w:szCs w:val="32"/>
          <w:highlight w:val="none"/>
        </w:rPr>
      </w:pPr>
      <w:bookmarkStart w:id="27" w:name="_Toc5389"/>
      <w:r>
        <w:rPr>
          <w:rFonts w:hint="eastAsia" w:ascii="宋体" w:hAnsi="宋体" w:cs="黑体"/>
          <w:sz w:val="32"/>
          <w:szCs w:val="32"/>
          <w:highlight w:val="none"/>
        </w:rPr>
        <w:t>投标人须知前附表</w:t>
      </w:r>
      <w:bookmarkEnd w:id="27"/>
    </w:p>
    <w:tbl>
      <w:tblPr>
        <w:tblStyle w:val="25"/>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9"/>
        <w:gridCol w:w="7095"/>
      </w:tblGrid>
      <w:tr w14:paraId="3AD0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DA73339">
            <w:pPr>
              <w:autoSpaceDE w:val="0"/>
              <w:autoSpaceDN w:val="0"/>
              <w:adjustRightInd w:val="0"/>
              <w:jc w:val="center"/>
              <w:rPr>
                <w:rFonts w:hint="eastAsia" w:ascii="宋体" w:hAnsi="宋体"/>
                <w:kern w:val="0"/>
                <w:sz w:val="36"/>
                <w:szCs w:val="36"/>
                <w:highlight w:val="none"/>
              </w:rPr>
            </w:pPr>
            <w:r>
              <w:rPr>
                <w:rFonts w:hint="eastAsia" w:ascii="宋体" w:hAnsi="宋体"/>
                <w:b/>
                <w:kern w:val="0"/>
                <w:sz w:val="20"/>
                <w:szCs w:val="20"/>
                <w:highlight w:val="none"/>
                <w:lang w:val="zh-CN"/>
              </w:rPr>
              <w:t>序号</w:t>
            </w:r>
          </w:p>
        </w:tc>
        <w:tc>
          <w:tcPr>
            <w:tcW w:w="1919" w:type="dxa"/>
            <w:vAlign w:val="center"/>
          </w:tcPr>
          <w:p w14:paraId="78C3228F">
            <w:pPr>
              <w:autoSpaceDE w:val="0"/>
              <w:autoSpaceDN w:val="0"/>
              <w:adjustRightInd w:val="0"/>
              <w:jc w:val="center"/>
              <w:rPr>
                <w:rFonts w:hint="eastAsia" w:ascii="宋体" w:hAnsi="宋体"/>
                <w:kern w:val="0"/>
                <w:sz w:val="36"/>
                <w:szCs w:val="36"/>
                <w:highlight w:val="none"/>
              </w:rPr>
            </w:pPr>
            <w:r>
              <w:rPr>
                <w:rFonts w:hint="eastAsia" w:ascii="宋体" w:hAnsi="宋体"/>
                <w:b/>
                <w:kern w:val="0"/>
                <w:sz w:val="20"/>
                <w:szCs w:val="20"/>
                <w:highlight w:val="none"/>
                <w:lang w:val="zh-CN"/>
              </w:rPr>
              <w:t>项  目</w:t>
            </w:r>
          </w:p>
        </w:tc>
        <w:tc>
          <w:tcPr>
            <w:tcW w:w="7095" w:type="dxa"/>
            <w:vAlign w:val="center"/>
          </w:tcPr>
          <w:p w14:paraId="7FCB0426">
            <w:pPr>
              <w:autoSpaceDE w:val="0"/>
              <w:autoSpaceDN w:val="0"/>
              <w:adjustRightInd w:val="0"/>
              <w:jc w:val="center"/>
              <w:rPr>
                <w:rFonts w:hint="eastAsia" w:ascii="宋体" w:hAnsi="宋体"/>
                <w:kern w:val="0"/>
                <w:sz w:val="36"/>
                <w:szCs w:val="36"/>
                <w:highlight w:val="none"/>
              </w:rPr>
            </w:pPr>
            <w:r>
              <w:rPr>
                <w:rFonts w:hint="eastAsia" w:ascii="宋体" w:hAnsi="宋体"/>
                <w:b/>
                <w:kern w:val="0"/>
                <w:sz w:val="20"/>
                <w:szCs w:val="20"/>
                <w:highlight w:val="none"/>
                <w:lang w:val="zh-CN"/>
              </w:rPr>
              <w:t>内   容</w:t>
            </w:r>
          </w:p>
        </w:tc>
      </w:tr>
      <w:tr w14:paraId="35F7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A0A3DC7">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4FE7D2F0">
            <w:pPr>
              <w:autoSpaceDE w:val="0"/>
              <w:autoSpaceDN w:val="0"/>
              <w:adjustRightInd w:val="0"/>
              <w:spacing w:line="400" w:lineRule="exact"/>
              <w:jc w:val="left"/>
              <w:rPr>
                <w:rFonts w:hint="eastAsia" w:ascii="宋体" w:hAnsi="宋体" w:cs="宋体"/>
                <w:kern w:val="0"/>
                <w:szCs w:val="21"/>
                <w:highlight w:val="none"/>
              </w:rPr>
            </w:pPr>
            <w:r>
              <w:rPr>
                <w:rFonts w:hint="eastAsia" w:ascii="宋体" w:hAnsi="宋体" w:cs="宋体"/>
                <w:kern w:val="0"/>
                <w:szCs w:val="21"/>
                <w:highlight w:val="none"/>
                <w:lang w:val="zh-CN"/>
              </w:rPr>
              <w:t>项目名称</w:t>
            </w:r>
          </w:p>
        </w:tc>
        <w:tc>
          <w:tcPr>
            <w:tcW w:w="7095" w:type="dxa"/>
            <w:vAlign w:val="center"/>
          </w:tcPr>
          <w:p w14:paraId="24AC03D6">
            <w:pPr>
              <w:autoSpaceDE w:val="0"/>
              <w:autoSpaceDN w:val="0"/>
              <w:adjustRightInd w:val="0"/>
              <w:spacing w:line="40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展依山隧道建设工程超前地质预报与监控量测项目</w:t>
            </w:r>
          </w:p>
        </w:tc>
      </w:tr>
      <w:tr w14:paraId="1824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4DC4947">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6224D803">
            <w:pPr>
              <w:autoSpaceDE w:val="0"/>
              <w:autoSpaceDN w:val="0"/>
              <w:adjustRightInd w:val="0"/>
              <w:spacing w:line="400" w:lineRule="exact"/>
              <w:jc w:val="left"/>
              <w:rPr>
                <w:rFonts w:hint="eastAsia" w:ascii="宋体" w:hAnsi="宋体" w:cs="宋体"/>
                <w:kern w:val="0"/>
                <w:szCs w:val="21"/>
                <w:highlight w:val="none"/>
              </w:rPr>
            </w:pPr>
            <w:r>
              <w:rPr>
                <w:rFonts w:hint="eastAsia" w:ascii="宋体" w:hAnsi="宋体" w:cs="宋体"/>
                <w:kern w:val="0"/>
                <w:szCs w:val="21"/>
                <w:highlight w:val="none"/>
                <w:lang w:val="zh-CN"/>
              </w:rPr>
              <w:t>招标内容及需求</w:t>
            </w:r>
          </w:p>
        </w:tc>
        <w:tc>
          <w:tcPr>
            <w:tcW w:w="7095" w:type="dxa"/>
            <w:vAlign w:val="center"/>
          </w:tcPr>
          <w:p w14:paraId="709C5498">
            <w:pPr>
              <w:autoSpaceDE w:val="0"/>
              <w:autoSpaceDN w:val="0"/>
              <w:adjustRightInd w:val="0"/>
              <w:spacing w:line="400" w:lineRule="exact"/>
              <w:rPr>
                <w:rFonts w:hint="eastAsia" w:ascii="宋体" w:hAnsi="宋体" w:cs="宋体"/>
                <w:kern w:val="0"/>
                <w:szCs w:val="21"/>
                <w:highlight w:val="none"/>
              </w:rPr>
            </w:pPr>
            <w:r>
              <w:rPr>
                <w:rFonts w:hint="eastAsia" w:ascii="宋体" w:hAnsi="宋体" w:cs="宋体"/>
                <w:kern w:val="0"/>
                <w:szCs w:val="21"/>
                <w:highlight w:val="none"/>
                <w:lang w:val="zh-CN"/>
              </w:rPr>
              <w:t>详见采购文件第</w:t>
            </w:r>
            <w:r>
              <w:rPr>
                <w:rFonts w:hint="eastAsia" w:ascii="宋体" w:hAnsi="宋体" w:cs="宋体"/>
                <w:kern w:val="0"/>
                <w:szCs w:val="21"/>
                <w:highlight w:val="none"/>
              </w:rPr>
              <w:t>三章“招标内容及要求”</w:t>
            </w:r>
          </w:p>
        </w:tc>
      </w:tr>
      <w:tr w14:paraId="22DB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9D46355">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2AF97BE1">
            <w:pPr>
              <w:autoSpaceDE w:val="0"/>
              <w:autoSpaceDN w:val="0"/>
              <w:adjustRightInd w:val="0"/>
              <w:spacing w:line="400" w:lineRule="exact"/>
              <w:jc w:val="left"/>
              <w:rPr>
                <w:rFonts w:hint="eastAsia" w:ascii="宋体" w:hAnsi="宋体" w:cs="宋体"/>
                <w:kern w:val="0"/>
                <w:szCs w:val="21"/>
                <w:highlight w:val="none"/>
              </w:rPr>
            </w:pPr>
            <w:r>
              <w:rPr>
                <w:rFonts w:hint="eastAsia" w:ascii="宋体" w:hAnsi="宋体" w:cs="宋体"/>
                <w:kern w:val="0"/>
                <w:szCs w:val="21"/>
                <w:highlight w:val="none"/>
                <w:lang w:val="zh-CN"/>
              </w:rPr>
              <w:t>投标资格要求</w:t>
            </w:r>
          </w:p>
        </w:tc>
        <w:tc>
          <w:tcPr>
            <w:tcW w:w="7095" w:type="dxa"/>
            <w:vAlign w:val="center"/>
          </w:tcPr>
          <w:p w14:paraId="0DD2716C">
            <w:pPr>
              <w:autoSpaceDE w:val="0"/>
              <w:autoSpaceDN w:val="0"/>
              <w:adjustRightInd w:val="0"/>
              <w:spacing w:line="400" w:lineRule="exact"/>
              <w:rPr>
                <w:rFonts w:hint="eastAsia" w:ascii="宋体" w:hAnsi="宋体" w:cs="宋体"/>
                <w:kern w:val="0"/>
                <w:szCs w:val="21"/>
                <w:highlight w:val="none"/>
              </w:rPr>
            </w:pPr>
            <w:r>
              <w:rPr>
                <w:rFonts w:hint="eastAsia" w:ascii="宋体" w:hAnsi="宋体" w:cs="宋体"/>
                <w:kern w:val="0"/>
                <w:szCs w:val="21"/>
                <w:highlight w:val="none"/>
                <w:lang w:val="zh-CN"/>
              </w:rPr>
              <w:t>详见第一章“公开招标公告”</w:t>
            </w:r>
          </w:p>
        </w:tc>
      </w:tr>
      <w:tr w14:paraId="56CC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2DBF2EB">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38AE6FFF">
            <w:pPr>
              <w:autoSpaceDE w:val="0"/>
              <w:autoSpaceDN w:val="0"/>
              <w:adjustRightInd w:val="0"/>
              <w:spacing w:line="400" w:lineRule="exact"/>
              <w:jc w:val="left"/>
              <w:rPr>
                <w:rFonts w:hint="eastAsia" w:ascii="宋体" w:hAnsi="宋体" w:cs="宋体"/>
                <w:kern w:val="0"/>
                <w:szCs w:val="21"/>
                <w:highlight w:val="none"/>
              </w:rPr>
            </w:pPr>
            <w:r>
              <w:rPr>
                <w:rFonts w:hint="eastAsia" w:ascii="宋体" w:hAnsi="宋体" w:cs="宋体"/>
                <w:kern w:val="0"/>
                <w:szCs w:val="21"/>
                <w:highlight w:val="none"/>
                <w:lang w:val="zh-CN"/>
              </w:rPr>
              <w:t>投标有效期</w:t>
            </w:r>
          </w:p>
        </w:tc>
        <w:tc>
          <w:tcPr>
            <w:tcW w:w="7095" w:type="dxa"/>
            <w:vAlign w:val="center"/>
          </w:tcPr>
          <w:p w14:paraId="457B3558">
            <w:pPr>
              <w:autoSpaceDE w:val="0"/>
              <w:autoSpaceDN w:val="0"/>
              <w:adjustRightInd w:val="0"/>
              <w:spacing w:line="400" w:lineRule="exact"/>
              <w:rPr>
                <w:rFonts w:hint="eastAsia" w:ascii="宋体" w:hAnsi="宋体" w:cs="宋体"/>
                <w:kern w:val="0"/>
                <w:szCs w:val="21"/>
                <w:highlight w:val="none"/>
              </w:rPr>
            </w:pPr>
            <w:r>
              <w:rPr>
                <w:rFonts w:hint="eastAsia" w:ascii="宋体" w:hAnsi="宋体" w:cs="宋体"/>
                <w:kern w:val="0"/>
                <w:szCs w:val="21"/>
                <w:highlight w:val="none"/>
                <w:lang w:val="zh-CN"/>
              </w:rPr>
              <w:t>投标书递交</w:t>
            </w:r>
            <w:r>
              <w:rPr>
                <w:rFonts w:hint="eastAsia" w:ascii="宋体" w:hAnsi="宋体" w:cs="宋体"/>
                <w:kern w:val="0"/>
                <w:szCs w:val="21"/>
                <w:highlight w:val="none"/>
              </w:rPr>
              <w:t>90</w:t>
            </w:r>
            <w:r>
              <w:rPr>
                <w:rFonts w:hint="eastAsia" w:ascii="宋体" w:hAnsi="宋体" w:cs="宋体"/>
                <w:kern w:val="0"/>
                <w:szCs w:val="21"/>
                <w:highlight w:val="none"/>
                <w:lang w:val="zh-CN"/>
              </w:rPr>
              <w:t>天内有效</w:t>
            </w:r>
          </w:p>
        </w:tc>
      </w:tr>
      <w:tr w14:paraId="36C5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0EC985A">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56697FC9">
            <w:pPr>
              <w:autoSpaceDE w:val="0"/>
              <w:autoSpaceDN w:val="0"/>
              <w:adjustRightInd w:val="0"/>
              <w:spacing w:line="400" w:lineRule="exact"/>
              <w:jc w:val="left"/>
              <w:rPr>
                <w:rFonts w:hint="eastAsia" w:ascii="宋体" w:hAnsi="宋体" w:cs="宋体"/>
                <w:kern w:val="0"/>
                <w:szCs w:val="21"/>
                <w:highlight w:val="none"/>
              </w:rPr>
            </w:pPr>
            <w:r>
              <w:rPr>
                <w:rFonts w:hint="eastAsia" w:ascii="宋体" w:hAnsi="宋体" w:cs="宋体"/>
                <w:kern w:val="0"/>
                <w:szCs w:val="21"/>
                <w:highlight w:val="none"/>
                <w:lang w:val="zh-CN"/>
              </w:rPr>
              <w:t>踏勘现场、标前会</w:t>
            </w:r>
          </w:p>
        </w:tc>
        <w:tc>
          <w:tcPr>
            <w:tcW w:w="7095" w:type="dxa"/>
            <w:vAlign w:val="center"/>
          </w:tcPr>
          <w:p w14:paraId="6E831F3B">
            <w:pPr>
              <w:autoSpaceDE w:val="0"/>
              <w:autoSpaceDN w:val="0"/>
              <w:adjustRightInd w:val="0"/>
              <w:spacing w:line="400" w:lineRule="exact"/>
              <w:rPr>
                <w:rFonts w:hint="eastAsia" w:ascii="宋体" w:hAnsi="宋体" w:cs="宋体"/>
                <w:kern w:val="0"/>
                <w:szCs w:val="21"/>
                <w:highlight w:val="none"/>
              </w:rPr>
            </w:pPr>
            <w:r>
              <w:rPr>
                <w:rFonts w:hint="eastAsia" w:ascii="宋体" w:hAnsi="宋体" w:cs="宋体"/>
                <w:kern w:val="0"/>
                <w:szCs w:val="21"/>
                <w:highlight w:val="none"/>
              </w:rPr>
              <w:t>本项目不组织踏勘现场和不集中答疑，踏勘现场联系人及电话详见招标公告。</w:t>
            </w:r>
          </w:p>
        </w:tc>
      </w:tr>
      <w:tr w14:paraId="71DD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5900D1C">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7B273E96">
            <w:pPr>
              <w:snapToGrid w:val="0"/>
              <w:jc w:val="center"/>
              <w:textAlignment w:val="baseline"/>
              <w:rPr>
                <w:rFonts w:hint="eastAsia" w:ascii="宋体" w:hAnsi="宋体" w:cs="宋体"/>
                <w:kern w:val="0"/>
                <w:szCs w:val="21"/>
                <w:highlight w:val="none"/>
                <w:lang w:val="zh-CN"/>
              </w:rPr>
            </w:pPr>
            <w:r>
              <w:rPr>
                <w:rFonts w:hint="eastAsia" w:ascii="宋体" w:hAnsi="宋体" w:cs="宋体"/>
                <w:kern w:val="0"/>
                <w:szCs w:val="21"/>
                <w:highlight w:val="none"/>
                <w:lang w:val="zh-CN" w:bidi="ar"/>
              </w:rPr>
              <w:t>采购文件答疑</w:t>
            </w:r>
          </w:p>
        </w:tc>
        <w:tc>
          <w:tcPr>
            <w:tcW w:w="7095" w:type="dxa"/>
            <w:vAlign w:val="center"/>
          </w:tcPr>
          <w:p w14:paraId="64763118">
            <w:pPr>
              <w:pStyle w:val="22"/>
              <w:tabs>
                <w:tab w:val="left" w:pos="6930"/>
              </w:tabs>
              <w:rPr>
                <w:rFonts w:hint="eastAsia" w:cs="宋体"/>
                <w:szCs w:val="21"/>
                <w:highlight w:val="none"/>
              </w:rPr>
            </w:pPr>
            <w:r>
              <w:rPr>
                <w:rFonts w:cs="宋体"/>
                <w:kern w:val="2"/>
                <w:sz w:val="21"/>
                <w:szCs w:val="21"/>
                <w:highlight w:val="none"/>
                <w:lang w:val="zh-CN"/>
              </w:rPr>
              <w:t>潜在投标人认为采购文件存在含糊不清、相互矛盾、多种含义以及歧视性不公正条款或违法违规等内容时，请在招标公告期限届满之日起7个工作日内将质疑函以扫描件形式发送至283199225@qq.com，同时将要求答疑内容的纸质文件（一式三份）邮寄至浙江省常山县浙西世贸城15号楼3338号孔爱丽（13567035102）收。电子邮件与纸质文件内容不一致的，以纸质文件为准。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14:paraId="6E6B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B62BF76">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15289C57">
            <w:pPr>
              <w:snapToGrid w:val="0"/>
              <w:jc w:val="center"/>
              <w:textAlignment w:val="baseline"/>
              <w:rPr>
                <w:rFonts w:hint="eastAsia" w:ascii="宋体" w:hAnsi="宋体" w:cs="宋体"/>
                <w:kern w:val="0"/>
                <w:szCs w:val="21"/>
                <w:highlight w:val="none"/>
                <w:lang w:val="zh-CN"/>
              </w:rPr>
            </w:pPr>
            <w:r>
              <w:rPr>
                <w:rFonts w:hint="eastAsia" w:ascii="宋体" w:hAnsi="宋体" w:cs="宋体"/>
                <w:kern w:val="0"/>
                <w:szCs w:val="21"/>
                <w:highlight w:val="none"/>
                <w:lang w:val="zh-CN" w:bidi="ar"/>
              </w:rPr>
              <w:t>采购文件的澄清与修改</w:t>
            </w:r>
          </w:p>
        </w:tc>
        <w:tc>
          <w:tcPr>
            <w:tcW w:w="7095" w:type="dxa"/>
            <w:vAlign w:val="center"/>
          </w:tcPr>
          <w:p w14:paraId="4A8F70AA">
            <w:pPr>
              <w:snapToGrid w:val="0"/>
              <w:rPr>
                <w:rFonts w:hint="eastAsia" w:ascii="宋体" w:hAnsi="宋体" w:cs="宋体"/>
                <w:kern w:val="0"/>
                <w:szCs w:val="21"/>
                <w:highlight w:val="none"/>
              </w:rPr>
            </w:pPr>
            <w:r>
              <w:rPr>
                <w:rFonts w:hint="eastAsia" w:ascii="宋体" w:hAnsi="宋体" w:cs="宋体"/>
                <w:kern w:val="0"/>
                <w:szCs w:val="21"/>
                <w:highlight w:val="none"/>
                <w:lang w:val="zh-CN" w:bidi="ar"/>
              </w:rPr>
              <w:t>采购单位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21EA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FAD0942">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18EF873A">
            <w:pPr>
              <w:autoSpaceDE w:val="0"/>
              <w:autoSpaceDN w:val="0"/>
              <w:adjustRightInd w:val="0"/>
              <w:spacing w:line="400" w:lineRule="exact"/>
              <w:jc w:val="left"/>
              <w:rPr>
                <w:rFonts w:hint="eastAsia" w:ascii="宋体" w:hAnsi="宋体" w:cs="宋体"/>
                <w:kern w:val="0"/>
                <w:szCs w:val="21"/>
                <w:highlight w:val="none"/>
              </w:rPr>
            </w:pPr>
            <w:r>
              <w:rPr>
                <w:rFonts w:hint="eastAsia" w:ascii="宋体" w:hAnsi="宋体" w:cs="宋体"/>
                <w:kern w:val="0"/>
                <w:szCs w:val="21"/>
                <w:highlight w:val="none"/>
                <w:lang w:val="zh-CN"/>
              </w:rPr>
              <w:t>投标文件</w:t>
            </w:r>
            <w:r>
              <w:rPr>
                <w:rFonts w:hint="eastAsia" w:ascii="宋体" w:hAnsi="宋体" w:cs="宋体"/>
                <w:kern w:val="0"/>
                <w:szCs w:val="21"/>
                <w:highlight w:val="none"/>
              </w:rPr>
              <w:t>递交</w:t>
            </w:r>
            <w:r>
              <w:rPr>
                <w:rFonts w:hint="eastAsia" w:ascii="宋体" w:hAnsi="宋体" w:cs="宋体"/>
                <w:kern w:val="0"/>
                <w:szCs w:val="21"/>
                <w:highlight w:val="none"/>
                <w:lang w:val="zh-CN"/>
              </w:rPr>
              <w:t>截止时间</w:t>
            </w:r>
          </w:p>
        </w:tc>
        <w:tc>
          <w:tcPr>
            <w:tcW w:w="7095" w:type="dxa"/>
            <w:vAlign w:val="center"/>
          </w:tcPr>
          <w:p w14:paraId="5F83ED43">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详见招标公告</w:t>
            </w:r>
          </w:p>
        </w:tc>
      </w:tr>
      <w:tr w14:paraId="4D3D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F836064">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5CE60532">
            <w:pPr>
              <w:autoSpaceDE w:val="0"/>
              <w:autoSpaceDN w:val="0"/>
              <w:adjustRightInd w:val="0"/>
              <w:spacing w:line="400" w:lineRule="exact"/>
              <w:jc w:val="left"/>
              <w:rPr>
                <w:rFonts w:hint="eastAsia" w:ascii="宋体" w:hAnsi="宋体" w:cs="宋体"/>
                <w:kern w:val="0"/>
                <w:szCs w:val="21"/>
                <w:highlight w:val="none"/>
              </w:rPr>
            </w:pPr>
            <w:r>
              <w:rPr>
                <w:rFonts w:hint="eastAsia" w:ascii="宋体" w:hAnsi="宋体" w:cs="宋体"/>
                <w:kern w:val="0"/>
                <w:szCs w:val="21"/>
                <w:highlight w:val="none"/>
                <w:lang w:val="zh-CN"/>
              </w:rPr>
              <w:t>开标时间及地址</w:t>
            </w:r>
          </w:p>
        </w:tc>
        <w:tc>
          <w:tcPr>
            <w:tcW w:w="7095" w:type="dxa"/>
            <w:vAlign w:val="center"/>
          </w:tcPr>
          <w:p w14:paraId="03B6BC02">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详见招标公告</w:t>
            </w:r>
          </w:p>
        </w:tc>
      </w:tr>
      <w:tr w14:paraId="4EA9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vAlign w:val="center"/>
          </w:tcPr>
          <w:p w14:paraId="2789B5D6">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7FC42E65">
            <w:pPr>
              <w:autoSpaceDE w:val="0"/>
              <w:autoSpaceDN w:val="0"/>
              <w:adjustRightInd w:val="0"/>
              <w:jc w:val="left"/>
              <w:rPr>
                <w:rFonts w:hint="eastAsia" w:ascii="宋体" w:hAnsi="宋体" w:cs="宋体"/>
                <w:kern w:val="0"/>
                <w:szCs w:val="21"/>
                <w:highlight w:val="none"/>
              </w:rPr>
            </w:pPr>
            <w:r>
              <w:rPr>
                <w:rFonts w:hint="eastAsia" w:ascii="宋体" w:hAnsi="宋体" w:cs="宋体"/>
                <w:kern w:val="0"/>
                <w:szCs w:val="21"/>
                <w:highlight w:val="none"/>
                <w:lang w:val="zh-CN"/>
              </w:rPr>
              <w:t>投标保证金</w:t>
            </w:r>
          </w:p>
        </w:tc>
        <w:tc>
          <w:tcPr>
            <w:tcW w:w="7095" w:type="dxa"/>
            <w:vAlign w:val="center"/>
          </w:tcPr>
          <w:p w14:paraId="1728FA59">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1.根据《浙江省财政厅关于明确政府采购保证金管理工作的通知》（浙财采监〔2019〕5号）规定，本项目无需缴纳投标保证金。</w:t>
            </w:r>
          </w:p>
          <w:p w14:paraId="027AFDBC">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6D7D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E26BD90">
            <w:pPr>
              <w:numPr>
                <w:ilvl w:val="0"/>
                <w:numId w:val="2"/>
              </w:numPr>
              <w:autoSpaceDE w:val="0"/>
              <w:autoSpaceDN w:val="0"/>
              <w:adjustRightInd w:val="0"/>
              <w:spacing w:line="400" w:lineRule="exact"/>
              <w:jc w:val="center"/>
              <w:rPr>
                <w:rFonts w:hint="eastAsia" w:ascii="宋体" w:hAnsi="宋体" w:cs="宋体"/>
                <w:bCs/>
                <w:kern w:val="0"/>
                <w:szCs w:val="21"/>
                <w:highlight w:val="none"/>
              </w:rPr>
            </w:pPr>
          </w:p>
        </w:tc>
        <w:tc>
          <w:tcPr>
            <w:tcW w:w="1919" w:type="dxa"/>
            <w:vAlign w:val="center"/>
          </w:tcPr>
          <w:p w14:paraId="2D60E8D4">
            <w:pPr>
              <w:autoSpaceDE w:val="0"/>
              <w:autoSpaceDN w:val="0"/>
              <w:adjustRightInd w:val="0"/>
              <w:rPr>
                <w:rFonts w:hint="eastAsia" w:ascii="宋体" w:hAnsi="宋体" w:cs="宋体"/>
                <w:bCs/>
                <w:kern w:val="0"/>
                <w:szCs w:val="21"/>
                <w:highlight w:val="none"/>
              </w:rPr>
            </w:pPr>
            <w:r>
              <w:rPr>
                <w:rFonts w:hint="eastAsia" w:ascii="宋体" w:hAnsi="宋体" w:cs="宋体"/>
                <w:bCs/>
                <w:kern w:val="0"/>
                <w:szCs w:val="21"/>
                <w:highlight w:val="none"/>
                <w:lang w:val="zh-CN"/>
              </w:rPr>
              <w:t>评标委员会的组建</w:t>
            </w:r>
          </w:p>
        </w:tc>
        <w:tc>
          <w:tcPr>
            <w:tcW w:w="7095" w:type="dxa"/>
            <w:vAlign w:val="center"/>
          </w:tcPr>
          <w:p w14:paraId="57A961F9">
            <w:pPr>
              <w:snapToGrid w:val="0"/>
              <w:spacing w:line="320" w:lineRule="exact"/>
              <w:rPr>
                <w:rFonts w:hint="eastAsia" w:ascii="宋体" w:hAnsi="宋体" w:cs="宋体"/>
                <w:bCs/>
                <w:kern w:val="0"/>
                <w:szCs w:val="21"/>
                <w:highlight w:val="none"/>
              </w:rPr>
            </w:pPr>
            <w:r>
              <w:rPr>
                <w:rFonts w:hint="eastAsia" w:ascii="宋体" w:hAnsi="宋体"/>
                <w:szCs w:val="21"/>
                <w:highlight w:val="none"/>
                <w:lang w:val="zh-CN" w:bidi="ar"/>
              </w:rPr>
              <w:t>评标专家确定方式：共5人组成，从“政采云专家库系统”中随机抽取的技术、经济等方面的</w:t>
            </w:r>
            <w:r>
              <w:rPr>
                <w:rFonts w:hint="eastAsia" w:ascii="宋体" w:hAnsi="宋体"/>
                <w:szCs w:val="21"/>
                <w:highlight w:val="none"/>
                <w:lang w:val="en-US" w:eastAsia="zh-CN" w:bidi="ar"/>
              </w:rPr>
              <w:t>5</w:t>
            </w:r>
            <w:r>
              <w:rPr>
                <w:rFonts w:hint="eastAsia" w:ascii="宋体" w:hAnsi="宋体"/>
                <w:szCs w:val="21"/>
                <w:highlight w:val="none"/>
                <w:lang w:bidi="ar"/>
              </w:rPr>
              <w:t>人</w:t>
            </w:r>
            <w:r>
              <w:rPr>
                <w:rFonts w:hint="eastAsia" w:ascii="宋体" w:hAnsi="宋体"/>
                <w:szCs w:val="21"/>
                <w:highlight w:val="none"/>
                <w:lang w:val="zh-CN" w:bidi="ar"/>
              </w:rPr>
              <w:t>专家。</w:t>
            </w:r>
          </w:p>
        </w:tc>
      </w:tr>
      <w:tr w14:paraId="7623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0243C43">
            <w:pPr>
              <w:numPr>
                <w:ilvl w:val="0"/>
                <w:numId w:val="2"/>
              </w:numPr>
              <w:autoSpaceDE w:val="0"/>
              <w:autoSpaceDN w:val="0"/>
              <w:adjustRightInd w:val="0"/>
              <w:jc w:val="center"/>
              <w:rPr>
                <w:rFonts w:hint="eastAsia" w:ascii="宋体" w:hAnsi="宋体" w:cs="宋体"/>
                <w:kern w:val="0"/>
                <w:szCs w:val="21"/>
                <w:highlight w:val="none"/>
              </w:rPr>
            </w:pPr>
          </w:p>
        </w:tc>
        <w:tc>
          <w:tcPr>
            <w:tcW w:w="1919" w:type="dxa"/>
            <w:vAlign w:val="center"/>
          </w:tcPr>
          <w:p w14:paraId="420F0D18">
            <w:pPr>
              <w:rPr>
                <w:rFonts w:hint="eastAsia" w:ascii="宋体" w:hAnsi="宋体" w:cs="宋体"/>
                <w:kern w:val="0"/>
                <w:szCs w:val="21"/>
                <w:highlight w:val="none"/>
              </w:rPr>
            </w:pPr>
            <w:r>
              <w:rPr>
                <w:rFonts w:hint="eastAsia" w:ascii="宋体" w:hAnsi="宋体" w:cs="宋体"/>
                <w:b/>
                <w:kern w:val="0"/>
                <w:szCs w:val="21"/>
                <w:highlight w:val="none"/>
              </w:rPr>
              <w:t>投标文件的组成、编制及在线投标响应（电子投标）说明</w:t>
            </w:r>
          </w:p>
        </w:tc>
        <w:tc>
          <w:tcPr>
            <w:tcW w:w="7095" w:type="dxa"/>
            <w:vAlign w:val="center"/>
          </w:tcPr>
          <w:p w14:paraId="2745FFC1">
            <w:pPr>
              <w:pStyle w:val="24"/>
              <w:ind w:left="0" w:leftChars="0" w:firstLine="0" w:firstLineChars="0"/>
              <w:rPr>
                <w:rFonts w:hint="eastAsia" w:ascii="宋体" w:hAnsi="宋体"/>
                <w:highlight w:val="none"/>
              </w:rPr>
            </w:pPr>
            <w:r>
              <w:rPr>
                <w:rFonts w:hint="eastAsia" w:ascii="宋体" w:hAnsi="宋体"/>
                <w:highlight w:val="none"/>
              </w:rPr>
              <w:t>1、投标文件由资格审查资料、商务技术文件、报价文件组成。</w:t>
            </w:r>
          </w:p>
          <w:p w14:paraId="293E10C1">
            <w:pPr>
              <w:pStyle w:val="24"/>
              <w:ind w:left="0" w:leftChars="0" w:firstLine="0" w:firstLineChars="0"/>
              <w:rPr>
                <w:rFonts w:hint="eastAsia" w:ascii="宋体" w:hAnsi="宋体"/>
                <w:highlight w:val="none"/>
                <w:lang w:val="zh-CN"/>
              </w:rPr>
            </w:pPr>
            <w:r>
              <w:rPr>
                <w:rFonts w:hint="eastAsia" w:ascii="宋体" w:hAnsi="宋体"/>
                <w:highlight w:val="none"/>
                <w:lang w:val="zh-CN"/>
              </w:rPr>
              <w:t>2、投标文件编制：供应商应先安装“政采云电子交易客户端”，并按照本采购文件和“政府采购云平台”的要求，通过“政采云电子交易客户端”编制并加密投标文件。</w:t>
            </w:r>
          </w:p>
          <w:p w14:paraId="4E63F5F1">
            <w:pPr>
              <w:autoSpaceDE w:val="0"/>
              <w:autoSpaceDN w:val="0"/>
              <w:adjustRightInd w:val="0"/>
              <w:rPr>
                <w:rFonts w:hint="eastAsia" w:ascii="宋体" w:hAnsi="宋体"/>
                <w:highlight w:val="none"/>
                <w:lang w:val="zh-CN"/>
              </w:rPr>
            </w:pPr>
            <w:r>
              <w:rPr>
                <w:rFonts w:hint="eastAsia" w:ascii="宋体" w:hAnsi="宋体"/>
                <w:highlight w:val="none"/>
                <w:lang w:val="zh-CN"/>
              </w:rPr>
              <w:t>3、投标文件的形式：</w:t>
            </w:r>
            <w:r>
              <w:rPr>
                <w:rFonts w:hint="eastAsia" w:ascii="宋体" w:hAnsi="MS Gothic" w:eastAsia="MS Gothic" w:cs="MS Gothic"/>
                <w:highlight w:val="none"/>
                <w:lang w:val="zh-CN"/>
              </w:rPr>
              <w:t>☑</w:t>
            </w:r>
            <w:r>
              <w:rPr>
                <w:rFonts w:hint="eastAsia" w:ascii="宋体" w:hAnsi="宋体" w:cs="宋体"/>
                <w:highlight w:val="none"/>
                <w:lang w:val="zh-CN"/>
              </w:rPr>
              <w:t>电子投标文件（包括“电子加密投标文件”和“备份投标文件”，在投标文件编制完成后同时生</w:t>
            </w:r>
            <w:r>
              <w:rPr>
                <w:rFonts w:hint="eastAsia" w:ascii="宋体" w:hAnsi="宋体"/>
                <w:highlight w:val="none"/>
                <w:lang w:val="zh-CN"/>
              </w:rPr>
              <w:t>成）；</w:t>
            </w:r>
          </w:p>
          <w:p w14:paraId="350511D5">
            <w:pPr>
              <w:autoSpaceDE w:val="0"/>
              <w:autoSpaceDN w:val="0"/>
              <w:adjustRightInd w:val="0"/>
              <w:rPr>
                <w:rFonts w:hint="eastAsia" w:ascii="宋体" w:hAnsi="宋体"/>
                <w:highlight w:val="none"/>
                <w:lang w:val="zh-CN"/>
              </w:rPr>
            </w:pPr>
            <w:r>
              <w:rPr>
                <w:rFonts w:hint="eastAsia" w:ascii="宋体" w:hAnsi="宋体"/>
                <w:highlight w:val="none"/>
                <w:lang w:val="zh-CN"/>
              </w:rPr>
              <w:t>（1）“电子加密投标文件”是指通过“政采云电子交易客户端”完成投标文件编制后生成并加密的数据电文形式的投标文件。</w:t>
            </w:r>
          </w:p>
          <w:p w14:paraId="4E140ED5">
            <w:pPr>
              <w:autoSpaceDE w:val="0"/>
              <w:autoSpaceDN w:val="0"/>
              <w:adjustRightInd w:val="0"/>
              <w:rPr>
                <w:rFonts w:hint="eastAsia" w:ascii="宋体" w:hAnsi="宋体"/>
                <w:highlight w:val="none"/>
                <w:lang w:val="zh-CN"/>
              </w:rPr>
            </w:pPr>
            <w:r>
              <w:rPr>
                <w:rFonts w:hint="eastAsia" w:ascii="宋体" w:hAnsi="宋体"/>
                <w:highlight w:val="none"/>
                <w:lang w:val="zh-CN"/>
              </w:rPr>
              <w:t>（2）“备份投标文件”是指与“电子加密投标文件”同时生成的数据电文形式的电子文件（备份标书），其他方式编制的备份投标文件视为无效备份投标文件。</w:t>
            </w:r>
          </w:p>
          <w:p w14:paraId="32117416">
            <w:pPr>
              <w:autoSpaceDE w:val="0"/>
              <w:autoSpaceDN w:val="0"/>
              <w:adjustRightInd w:val="0"/>
              <w:rPr>
                <w:rFonts w:hint="eastAsia" w:ascii="宋体" w:hAnsi="宋体"/>
                <w:highlight w:val="none"/>
                <w:lang w:val="zh-CN"/>
              </w:rPr>
            </w:pPr>
            <w:r>
              <w:rPr>
                <w:rFonts w:hint="eastAsia" w:ascii="宋体" w:hAnsi="宋体"/>
                <w:highlight w:val="none"/>
                <w:lang w:val="zh-CN"/>
              </w:rPr>
              <w:t>4、投标文件份数：（1）“电子加密投标文件”：在线上传一份。（2）“备份投标文件”：发送至邮箱：</w:t>
            </w:r>
            <w:r>
              <w:rPr>
                <w:rFonts w:hint="eastAsia" w:ascii="宋体" w:hAnsi="宋体" w:cs="宋体"/>
                <w:b/>
                <w:bCs/>
                <w:kern w:val="0"/>
                <w:szCs w:val="21"/>
                <w:highlight w:val="none"/>
                <w:u w:val="single"/>
              </w:rPr>
              <w:t>283199225@qq.com，</w:t>
            </w:r>
            <w:r>
              <w:rPr>
                <w:rFonts w:hint="eastAsia" w:ascii="宋体" w:hAnsi="宋体" w:cs="宋体"/>
                <w:kern w:val="0"/>
                <w:szCs w:val="21"/>
                <w:highlight w:val="none"/>
              </w:rPr>
              <w:t>按接收方邮箱收件箱所显示时间为准</w:t>
            </w:r>
            <w:r>
              <w:rPr>
                <w:rFonts w:hint="eastAsia" w:ascii="宋体" w:hAnsi="宋体"/>
                <w:highlight w:val="none"/>
                <w:lang w:val="zh-CN"/>
              </w:rPr>
              <w:t>。</w:t>
            </w:r>
          </w:p>
          <w:p w14:paraId="31EAED21">
            <w:pPr>
              <w:autoSpaceDE w:val="0"/>
              <w:autoSpaceDN w:val="0"/>
              <w:adjustRightInd w:val="0"/>
              <w:rPr>
                <w:rFonts w:hint="eastAsia" w:ascii="宋体" w:hAnsi="宋体"/>
                <w:highlight w:val="none"/>
                <w:lang w:val="zh-CN"/>
              </w:rPr>
            </w:pPr>
            <w:r>
              <w:rPr>
                <w:rFonts w:hint="eastAsia" w:ascii="宋体" w:hAnsi="宋体"/>
                <w:highlight w:val="none"/>
                <w:lang w:val="zh-CN"/>
              </w:rPr>
              <w:t>5、投标文件的上传和递交：</w:t>
            </w:r>
          </w:p>
          <w:p w14:paraId="6DA95E68">
            <w:pPr>
              <w:autoSpaceDE w:val="0"/>
              <w:autoSpaceDN w:val="0"/>
              <w:adjustRightInd w:val="0"/>
              <w:rPr>
                <w:rFonts w:hint="eastAsia" w:ascii="宋体" w:hAnsi="宋体"/>
                <w:highlight w:val="none"/>
                <w:lang w:val="zh-CN"/>
              </w:rPr>
            </w:pPr>
            <w:r>
              <w:rPr>
                <w:rFonts w:hint="eastAsia" w:ascii="宋体" w:hAnsi="宋体"/>
                <w:highlight w:val="none"/>
                <w:lang w:val="zh-CN"/>
              </w:rPr>
              <w:t>（1）“电子加密投标文件”的上传、递交：</w:t>
            </w:r>
          </w:p>
          <w:p w14:paraId="795981DB">
            <w:pPr>
              <w:autoSpaceDE w:val="0"/>
              <w:autoSpaceDN w:val="0"/>
              <w:adjustRightInd w:val="0"/>
              <w:rPr>
                <w:rFonts w:hint="eastAsia" w:ascii="宋体" w:hAnsi="宋体"/>
                <w:b/>
                <w:bCs/>
                <w:highlight w:val="none"/>
                <w:lang w:val="zh-CN"/>
              </w:rPr>
            </w:pPr>
            <w:r>
              <w:rPr>
                <w:rFonts w:hint="eastAsia" w:ascii="宋体" w:hAnsi="宋体"/>
                <w:b/>
                <w:bCs/>
                <w:highlight w:val="none"/>
                <w:lang w:val="zh-CN"/>
              </w:rPr>
              <w:t>供应商应在投标截止时间前将“电子加密投标文件”成功上传递交至“政府采购云平台”，否则投标无效。</w:t>
            </w:r>
          </w:p>
          <w:p w14:paraId="40EA050A">
            <w:pPr>
              <w:autoSpaceDE w:val="0"/>
              <w:autoSpaceDN w:val="0"/>
              <w:adjustRightInd w:val="0"/>
              <w:rPr>
                <w:rFonts w:hint="eastAsia" w:ascii="宋体" w:hAnsi="宋体"/>
                <w:highlight w:val="none"/>
                <w:lang w:val="zh-CN"/>
              </w:rPr>
            </w:pPr>
            <w:r>
              <w:rPr>
                <w:rFonts w:hint="eastAsia" w:ascii="宋体" w:hAnsi="宋体"/>
                <w:highlight w:val="none"/>
                <w:lang w:val="zh-CN"/>
              </w:rPr>
              <w:t>（2）“备份投标文件”的递交：</w:t>
            </w:r>
          </w:p>
          <w:p w14:paraId="669A9E80">
            <w:pPr>
              <w:autoSpaceDE w:val="0"/>
              <w:autoSpaceDN w:val="0"/>
              <w:adjustRightInd w:val="0"/>
              <w:rPr>
                <w:rFonts w:hint="eastAsia" w:ascii="宋体" w:hAnsi="宋体"/>
                <w:highlight w:val="none"/>
                <w:lang w:val="zh-CN"/>
              </w:rPr>
            </w:pPr>
            <w:r>
              <w:rPr>
                <w:rFonts w:hint="eastAsia" w:ascii="宋体" w:hAnsi="宋体"/>
                <w:highlight w:val="none"/>
                <w:lang w:val="zh-CN"/>
              </w:rPr>
              <w:t>a.供应商在“政府采购云平台”完成“电子加密投标文件”的上传递交后，还可以（以</w:t>
            </w:r>
            <w:r>
              <w:rPr>
                <w:rFonts w:hint="eastAsia" w:ascii="宋体" w:hAnsi="宋体"/>
                <w:highlight w:val="none"/>
              </w:rPr>
              <w:t>电子邮件的</w:t>
            </w:r>
            <w:r>
              <w:rPr>
                <w:rFonts w:hint="eastAsia" w:ascii="宋体" w:hAnsi="宋体"/>
                <w:highlight w:val="none"/>
                <w:lang w:val="zh-CN"/>
              </w:rPr>
              <w:t>形式）在投标截止时间前发送一份 “备份投标文件”至邮箱：</w:t>
            </w:r>
            <w:r>
              <w:rPr>
                <w:rFonts w:hint="eastAsia" w:ascii="宋体" w:hAnsi="宋体" w:cs="宋体"/>
                <w:b/>
                <w:bCs/>
                <w:kern w:val="0"/>
                <w:szCs w:val="21"/>
                <w:highlight w:val="none"/>
                <w:u w:val="single"/>
              </w:rPr>
              <w:t>283199225@qq.com</w:t>
            </w:r>
            <w:r>
              <w:rPr>
                <w:rFonts w:hint="eastAsia" w:ascii="宋体" w:hAnsi="宋体"/>
                <w:highlight w:val="none"/>
                <w:lang w:val="zh-CN"/>
              </w:rPr>
              <w:t>；</w:t>
            </w:r>
          </w:p>
          <w:p w14:paraId="381158E6">
            <w:pPr>
              <w:autoSpaceDE w:val="0"/>
              <w:autoSpaceDN w:val="0"/>
              <w:adjustRightInd w:val="0"/>
              <w:rPr>
                <w:rFonts w:hint="eastAsia" w:ascii="宋体" w:hAnsi="宋体"/>
                <w:b/>
                <w:bCs/>
                <w:highlight w:val="none"/>
                <w:lang w:val="zh-CN"/>
              </w:rPr>
            </w:pPr>
            <w:r>
              <w:rPr>
                <w:rFonts w:hint="eastAsia" w:ascii="宋体" w:hAnsi="宋体"/>
                <w:b/>
                <w:bCs/>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2601D3CE">
            <w:pPr>
              <w:autoSpaceDE w:val="0"/>
              <w:autoSpaceDN w:val="0"/>
              <w:adjustRightInd w:val="0"/>
              <w:rPr>
                <w:rFonts w:hint="eastAsia" w:ascii="宋体" w:hAnsi="宋体"/>
                <w:highlight w:val="none"/>
                <w:lang w:val="zh-CN"/>
              </w:rPr>
            </w:pPr>
            <w:r>
              <w:rPr>
                <w:rFonts w:hint="eastAsia" w:ascii="宋体" w:hAnsi="宋体"/>
                <w:highlight w:val="none"/>
                <w:lang w:val="zh-CN"/>
              </w:rPr>
              <w:t>6、电子加密投标文件的解密和异常情况处理：</w:t>
            </w:r>
          </w:p>
          <w:p w14:paraId="6845E93D">
            <w:pPr>
              <w:autoSpaceDE w:val="0"/>
              <w:autoSpaceDN w:val="0"/>
              <w:adjustRightInd w:val="0"/>
              <w:rPr>
                <w:rFonts w:hint="eastAsia" w:ascii="宋体" w:hAnsi="宋体"/>
                <w:highlight w:val="none"/>
                <w:lang w:val="zh-CN"/>
              </w:rPr>
            </w:pPr>
            <w:r>
              <w:rPr>
                <w:rFonts w:hint="eastAsia" w:ascii="宋体" w:hAnsi="宋体"/>
                <w:highlight w:val="none"/>
                <w:lang w:val="zh-CN"/>
              </w:rPr>
              <w:t>（1）开标后，采购组织机构将向各供应商发出“电子加密投标文件”的解密通知，各供应商代表应当在接到解密通知后</w:t>
            </w:r>
            <w:r>
              <w:rPr>
                <w:rFonts w:hint="eastAsia" w:ascii="宋体" w:hAnsi="宋体"/>
                <w:b/>
                <w:bCs/>
                <w:highlight w:val="none"/>
              </w:rPr>
              <w:t>30</w:t>
            </w:r>
            <w:r>
              <w:rPr>
                <w:rFonts w:hint="eastAsia" w:ascii="宋体" w:hAnsi="宋体"/>
                <w:b/>
                <w:bCs/>
                <w:highlight w:val="none"/>
                <w:lang w:val="zh-CN"/>
              </w:rPr>
              <w:t>分钟内</w:t>
            </w:r>
            <w:r>
              <w:rPr>
                <w:rFonts w:hint="eastAsia" w:ascii="宋体" w:hAnsi="宋体"/>
                <w:highlight w:val="none"/>
                <w:lang w:val="zh-CN"/>
              </w:rPr>
              <w:t>自行完成“电子加密投标文件”的在线解密，</w:t>
            </w:r>
            <w:r>
              <w:rPr>
                <w:rFonts w:hint="eastAsia" w:ascii="宋体" w:hAnsi="宋体"/>
                <w:b/>
                <w:bCs/>
                <w:highlight w:val="none"/>
                <w:lang w:val="zh-CN"/>
              </w:rPr>
              <w:t>超过解密时限，默认供应商自动放弃。</w:t>
            </w:r>
          </w:p>
          <w:p w14:paraId="3D5033F4">
            <w:pPr>
              <w:autoSpaceDE w:val="0"/>
              <w:autoSpaceDN w:val="0"/>
              <w:adjustRightInd w:val="0"/>
              <w:rPr>
                <w:rFonts w:hint="eastAsia" w:ascii="宋体" w:hAnsi="宋体"/>
                <w:highlight w:val="none"/>
                <w:lang w:val="zh-CN"/>
              </w:rPr>
            </w:pPr>
            <w:r>
              <w:rPr>
                <w:rFonts w:hint="eastAsia" w:ascii="宋体" w:hAnsi="宋体"/>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D6F771B">
            <w:pPr>
              <w:autoSpaceDE w:val="0"/>
              <w:autoSpaceDN w:val="0"/>
              <w:adjustRightInd w:val="0"/>
              <w:rPr>
                <w:rFonts w:hint="eastAsia" w:ascii="宋体" w:hAnsi="宋体"/>
                <w:b/>
                <w:bCs/>
                <w:highlight w:val="none"/>
                <w:lang w:val="zh-CN"/>
              </w:rPr>
            </w:pPr>
            <w:r>
              <w:rPr>
                <w:rFonts w:hint="eastAsia" w:ascii="宋体" w:hAnsi="宋体"/>
                <w:b/>
                <w:bCs/>
                <w:highlight w:val="none"/>
                <w:lang w:val="zh-CN"/>
              </w:rPr>
              <w:t>（3）投标截止时间前，供应商仅递交了“备份投标文件”而未将电子加密投标文件上传至“政府采购云平台”的，投标无效。</w:t>
            </w:r>
          </w:p>
          <w:p w14:paraId="13DF2091">
            <w:pPr>
              <w:autoSpaceDE w:val="0"/>
              <w:autoSpaceDN w:val="0"/>
              <w:adjustRightInd w:val="0"/>
              <w:rPr>
                <w:rFonts w:hint="eastAsia" w:ascii="宋体" w:hAnsi="宋体" w:cs="宋体"/>
                <w:b/>
                <w:bCs/>
                <w:szCs w:val="21"/>
                <w:highlight w:val="none"/>
              </w:rPr>
            </w:pPr>
            <w:r>
              <w:rPr>
                <w:rFonts w:hint="eastAsia" w:ascii="宋体" w:hAnsi="宋体"/>
                <w:highlight w:val="none"/>
                <w:lang w:val="zh-CN"/>
              </w:rPr>
              <w:t>7、投标截止后，在投标有效期内，供应商不能撤销投标文件。供应商强行撤销投标文件的，应按预算金额的2%赔偿对招标代理机构造成的损失。</w:t>
            </w:r>
          </w:p>
        </w:tc>
      </w:tr>
      <w:tr w14:paraId="7E32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A0E899A">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79D04B08">
            <w:pPr>
              <w:autoSpaceDE w:val="0"/>
              <w:autoSpaceDN w:val="0"/>
              <w:adjustRightInd w:val="0"/>
              <w:rPr>
                <w:rFonts w:hint="eastAsia" w:ascii="宋体" w:hAnsi="宋体" w:cs="宋体"/>
                <w:kern w:val="0"/>
                <w:szCs w:val="21"/>
                <w:highlight w:val="none"/>
              </w:rPr>
            </w:pPr>
            <w:r>
              <w:rPr>
                <w:rFonts w:hint="eastAsia" w:ascii="宋体" w:hAnsi="宋体" w:cs="宋体"/>
                <w:kern w:val="0"/>
                <w:szCs w:val="21"/>
                <w:highlight w:val="none"/>
              </w:rPr>
              <w:t>中标结果公告期限</w:t>
            </w:r>
          </w:p>
        </w:tc>
        <w:tc>
          <w:tcPr>
            <w:tcW w:w="7095" w:type="dxa"/>
            <w:vAlign w:val="center"/>
          </w:tcPr>
          <w:p w14:paraId="0EBE8AFB">
            <w:pPr>
              <w:snapToGrid w:val="0"/>
              <w:spacing w:line="320" w:lineRule="exact"/>
              <w:rPr>
                <w:rFonts w:hint="eastAsia" w:ascii="宋体" w:hAnsi="宋体"/>
                <w:highlight w:val="none"/>
                <w:lang w:val="zh-CN"/>
              </w:rPr>
            </w:pPr>
            <w:r>
              <w:rPr>
                <w:rFonts w:hint="eastAsia" w:ascii="宋体" w:hAnsi="宋体"/>
                <w:highlight w:val="none"/>
                <w:lang w:val="zh-CN"/>
              </w:rPr>
              <w:t>1个工作日（中标结果公告发布之日起至第2个工作日止）。</w:t>
            </w:r>
          </w:p>
        </w:tc>
      </w:tr>
      <w:tr w14:paraId="2B8D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80C2013">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4A7429BB">
            <w:pPr>
              <w:snapToGrid w:val="0"/>
              <w:spacing w:line="320" w:lineRule="exact"/>
              <w:rPr>
                <w:rFonts w:hint="eastAsia" w:ascii="宋体" w:hAnsi="宋体" w:eastAsia="宋体" w:cs="Times New Roman"/>
                <w:kern w:val="2"/>
                <w:sz w:val="21"/>
                <w:szCs w:val="24"/>
                <w:highlight w:val="none"/>
                <w:lang w:val="zh-CN" w:eastAsia="zh-CN" w:bidi="ar-SA"/>
              </w:rPr>
            </w:pPr>
            <w:r>
              <w:rPr>
                <w:rFonts w:hint="eastAsia" w:ascii="宋体" w:hAnsi="宋体" w:eastAsia="宋体" w:cs="Times New Roman"/>
                <w:kern w:val="2"/>
                <w:sz w:val="21"/>
                <w:szCs w:val="24"/>
                <w:highlight w:val="none"/>
                <w:lang w:val="zh-CN" w:eastAsia="zh-CN" w:bidi="ar-SA"/>
              </w:rPr>
              <w:t>履约保证金交纳</w:t>
            </w:r>
          </w:p>
        </w:tc>
        <w:tc>
          <w:tcPr>
            <w:tcW w:w="7095" w:type="dxa"/>
            <w:vAlign w:val="center"/>
          </w:tcPr>
          <w:p w14:paraId="5E30539A">
            <w:pPr>
              <w:snapToGrid w:val="0"/>
              <w:spacing w:line="320" w:lineRule="exact"/>
              <w:rPr>
                <w:rFonts w:hint="eastAsia" w:ascii="宋体" w:hAnsi="宋体" w:eastAsia="宋体" w:cs="Times New Roman"/>
                <w:kern w:val="2"/>
                <w:sz w:val="21"/>
                <w:szCs w:val="24"/>
                <w:highlight w:val="none"/>
                <w:lang w:val="zh-CN" w:eastAsia="zh-CN" w:bidi="ar-SA"/>
              </w:rPr>
            </w:pPr>
            <w:r>
              <w:rPr>
                <w:rFonts w:hint="eastAsia" w:ascii="宋体" w:hAnsi="宋体" w:eastAsia="宋体" w:cs="Times New Roman"/>
                <w:kern w:val="2"/>
                <w:sz w:val="21"/>
                <w:szCs w:val="24"/>
                <w:highlight w:val="none"/>
                <w:lang w:val="zh-CN" w:eastAsia="zh-CN" w:bidi="ar-SA"/>
              </w:rPr>
              <w:t>中标人在合同签订</w:t>
            </w:r>
            <w:r>
              <w:rPr>
                <w:rFonts w:hint="eastAsia" w:ascii="宋体" w:hAnsi="宋体" w:cs="Times New Roman"/>
                <w:kern w:val="2"/>
                <w:sz w:val="21"/>
                <w:szCs w:val="24"/>
                <w:highlight w:val="none"/>
                <w:lang w:val="zh-CN" w:eastAsia="zh-CN" w:bidi="ar-SA"/>
              </w:rPr>
              <w:t>后</w:t>
            </w:r>
            <w:r>
              <w:rPr>
                <w:rFonts w:hint="eastAsia" w:ascii="宋体" w:hAnsi="宋体" w:eastAsia="宋体" w:cs="Times New Roman"/>
                <w:kern w:val="2"/>
                <w:sz w:val="21"/>
                <w:szCs w:val="24"/>
                <w:highlight w:val="none"/>
                <w:lang w:val="zh-CN" w:eastAsia="zh-CN" w:bidi="ar-SA"/>
              </w:rPr>
              <w:t>向采购单位交纳中标金额1%的履约保证金。投标人可以银行、保险公司出具的保函形式提交，项目终验合格后一个月内退还履约保证金（不计息）。</w:t>
            </w:r>
          </w:p>
        </w:tc>
      </w:tr>
      <w:tr w14:paraId="6C2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0" w:type="dxa"/>
            <w:vAlign w:val="center"/>
          </w:tcPr>
          <w:p w14:paraId="0A60E880">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12005BA5">
            <w:pPr>
              <w:pStyle w:val="11"/>
              <w:spacing w:line="240" w:lineRule="exact"/>
              <w:rPr>
                <w:rFonts w:hint="eastAsia" w:ascii="宋体" w:hAnsi="宋体" w:eastAsia="宋体" w:cs="Times New Roman"/>
                <w:kern w:val="2"/>
                <w:sz w:val="21"/>
                <w:szCs w:val="24"/>
                <w:highlight w:val="none"/>
                <w:lang w:val="zh-CN" w:eastAsia="zh-CN" w:bidi="ar-SA"/>
              </w:rPr>
            </w:pPr>
            <w:r>
              <w:rPr>
                <w:rFonts w:hint="eastAsia" w:ascii="宋体" w:hAnsi="宋体" w:eastAsia="宋体" w:cs="Times New Roman"/>
                <w:kern w:val="2"/>
                <w:sz w:val="21"/>
                <w:szCs w:val="24"/>
                <w:highlight w:val="none"/>
                <w:lang w:val="zh-CN" w:eastAsia="zh-CN" w:bidi="ar-SA"/>
              </w:rPr>
              <w:t>公告及澄清文件</w:t>
            </w:r>
          </w:p>
          <w:p w14:paraId="37CB8253">
            <w:pPr>
              <w:autoSpaceDE w:val="0"/>
              <w:autoSpaceDN w:val="0"/>
              <w:adjustRightInd w:val="0"/>
              <w:rPr>
                <w:rFonts w:hint="eastAsia" w:ascii="宋体" w:hAnsi="宋体" w:eastAsia="宋体" w:cs="Times New Roman"/>
                <w:kern w:val="2"/>
                <w:sz w:val="21"/>
                <w:szCs w:val="24"/>
                <w:highlight w:val="none"/>
                <w:lang w:val="zh-CN" w:eastAsia="zh-CN" w:bidi="ar-SA"/>
              </w:rPr>
            </w:pPr>
            <w:r>
              <w:rPr>
                <w:rFonts w:hint="eastAsia" w:ascii="宋体" w:hAnsi="宋体" w:eastAsia="宋体" w:cs="Times New Roman"/>
                <w:kern w:val="2"/>
                <w:sz w:val="21"/>
                <w:szCs w:val="24"/>
                <w:highlight w:val="none"/>
                <w:lang w:val="zh-CN" w:eastAsia="zh-CN" w:bidi="ar-SA"/>
              </w:rPr>
              <w:t>发布网站</w:t>
            </w:r>
          </w:p>
        </w:tc>
        <w:tc>
          <w:tcPr>
            <w:tcW w:w="7095" w:type="dxa"/>
            <w:vAlign w:val="center"/>
          </w:tcPr>
          <w:p w14:paraId="6299EA81">
            <w:pPr>
              <w:snapToGrid w:val="0"/>
              <w:spacing w:line="320" w:lineRule="exact"/>
              <w:rPr>
                <w:rFonts w:hint="eastAsia" w:ascii="宋体" w:hAnsi="宋体" w:eastAsia="宋体" w:cs="Times New Roman"/>
                <w:kern w:val="2"/>
                <w:sz w:val="21"/>
                <w:szCs w:val="24"/>
                <w:highlight w:val="none"/>
                <w:lang w:val="zh-CN" w:eastAsia="zh-CN" w:bidi="ar-SA"/>
              </w:rPr>
            </w:pPr>
            <w:r>
              <w:rPr>
                <w:rFonts w:hint="eastAsia" w:ascii="宋体" w:hAnsi="宋体" w:eastAsia="宋体" w:cs="Times New Roman"/>
                <w:kern w:val="2"/>
                <w:sz w:val="21"/>
                <w:szCs w:val="24"/>
                <w:highlight w:val="none"/>
                <w:lang w:val="zh-CN" w:eastAsia="zh-CN" w:bidi="ar-SA"/>
              </w:rPr>
              <w:t>浙江政府采购网、常山县人民政府网</w:t>
            </w:r>
            <w:bookmarkStart w:id="198" w:name="_GoBack"/>
            <w:bookmarkEnd w:id="198"/>
          </w:p>
        </w:tc>
      </w:tr>
      <w:tr w14:paraId="14D9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E1A3EEE">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1B135D0F">
            <w:pPr>
              <w:autoSpaceDE w:val="0"/>
              <w:autoSpaceDN w:val="0"/>
              <w:adjustRightInd w:val="0"/>
              <w:rPr>
                <w:rFonts w:hint="eastAsia" w:ascii="宋体" w:hAnsi="宋体" w:cs="宋体"/>
                <w:b/>
                <w:bCs/>
                <w:kern w:val="0"/>
                <w:szCs w:val="21"/>
                <w:highlight w:val="none"/>
              </w:rPr>
            </w:pPr>
            <w:r>
              <w:rPr>
                <w:rFonts w:hint="eastAsia" w:ascii="宋体" w:hAnsi="宋体" w:cs="宋体"/>
                <w:kern w:val="0"/>
                <w:szCs w:val="21"/>
                <w:highlight w:val="none"/>
              </w:rPr>
              <w:t>签订合同</w:t>
            </w:r>
          </w:p>
        </w:tc>
        <w:tc>
          <w:tcPr>
            <w:tcW w:w="7095" w:type="dxa"/>
            <w:vAlign w:val="center"/>
          </w:tcPr>
          <w:p w14:paraId="64DF27DE">
            <w:pPr>
              <w:snapToGrid w:val="0"/>
              <w:spacing w:line="320" w:lineRule="exact"/>
              <w:rPr>
                <w:rFonts w:hint="eastAsia" w:ascii="宋体" w:hAnsi="宋体" w:cs="宋体"/>
                <w:b/>
                <w:bCs/>
                <w:kern w:val="0"/>
                <w:szCs w:val="21"/>
                <w:highlight w:val="none"/>
              </w:rPr>
            </w:pPr>
            <w:r>
              <w:rPr>
                <w:rFonts w:hint="eastAsia" w:ascii="宋体" w:hAnsi="宋体" w:cs="宋体"/>
                <w:kern w:val="0"/>
                <w:szCs w:val="21"/>
                <w:highlight w:val="none"/>
              </w:rPr>
              <w:t>采购人应当自中标通知书发出之日起30日内，按照采购文件和中标人投标文件的规定，与中标人签订书面合同。</w:t>
            </w:r>
          </w:p>
        </w:tc>
      </w:tr>
      <w:tr w14:paraId="5BF3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A17F36B">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157C0137">
            <w:pPr>
              <w:autoSpaceDE w:val="0"/>
              <w:autoSpaceDN w:val="0"/>
              <w:adjustRightInd w:val="0"/>
              <w:rPr>
                <w:rFonts w:hint="eastAsia" w:ascii="宋体" w:hAnsi="宋体" w:cs="宋体"/>
                <w:b/>
                <w:bCs/>
                <w:kern w:val="0"/>
                <w:szCs w:val="21"/>
                <w:highlight w:val="none"/>
              </w:rPr>
            </w:pPr>
            <w:r>
              <w:rPr>
                <w:rFonts w:hint="eastAsia" w:ascii="宋体" w:hAnsi="宋体"/>
                <w:b/>
                <w:bCs/>
                <w:sz w:val="22"/>
                <w:highlight w:val="none"/>
              </w:rPr>
              <w:t>合同备案</w:t>
            </w:r>
          </w:p>
        </w:tc>
        <w:tc>
          <w:tcPr>
            <w:tcW w:w="7095" w:type="dxa"/>
            <w:vAlign w:val="center"/>
          </w:tcPr>
          <w:p w14:paraId="1F21EBC0">
            <w:pPr>
              <w:snapToGrid w:val="0"/>
              <w:spacing w:line="320" w:lineRule="exact"/>
              <w:rPr>
                <w:rFonts w:hint="eastAsia" w:ascii="宋体" w:hAnsi="宋体" w:cs="宋体"/>
                <w:b/>
                <w:bCs/>
                <w:kern w:val="0"/>
                <w:szCs w:val="21"/>
                <w:highlight w:val="none"/>
              </w:rPr>
            </w:pPr>
            <w:r>
              <w:rPr>
                <w:rFonts w:hint="eastAsia" w:ascii="宋体" w:hAnsi="宋体" w:cs="宋体"/>
                <w:kern w:val="0"/>
                <w:szCs w:val="21"/>
                <w:highlight w:val="none"/>
              </w:rPr>
              <w:t>中标人与采购人签订合同后，2日历天内将合同扫描件电子版发送至邮箱：</w:t>
            </w:r>
            <w:r>
              <w:rPr>
                <w:rFonts w:hint="eastAsia" w:ascii="宋体" w:hAnsi="宋体" w:cs="宋体"/>
                <w:b/>
                <w:bCs/>
                <w:kern w:val="0"/>
                <w:szCs w:val="21"/>
                <w:highlight w:val="none"/>
                <w:u w:val="single"/>
              </w:rPr>
              <w:t>283199225@qq.com</w:t>
            </w:r>
            <w:r>
              <w:rPr>
                <w:rFonts w:hint="eastAsia" w:ascii="宋体" w:hAnsi="宋体" w:cs="宋体"/>
                <w:kern w:val="0"/>
                <w:szCs w:val="21"/>
                <w:highlight w:val="none"/>
              </w:rPr>
              <w:t>；本项目政府采购合同按规定在浙江政府采购网（http://zfcg.czt.zj.gov.cn/）予以公告。</w:t>
            </w:r>
          </w:p>
        </w:tc>
      </w:tr>
      <w:tr w14:paraId="5627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1AFAAD80">
            <w:pPr>
              <w:numPr>
                <w:ilvl w:val="0"/>
                <w:numId w:val="2"/>
              </w:numPr>
              <w:autoSpaceDE w:val="0"/>
              <w:autoSpaceDN w:val="0"/>
              <w:adjustRightInd w:val="0"/>
              <w:spacing w:line="400" w:lineRule="exact"/>
              <w:jc w:val="center"/>
              <w:rPr>
                <w:rFonts w:hint="eastAsia" w:ascii="宋体" w:hAnsi="宋体" w:cs="宋体"/>
                <w:kern w:val="0"/>
                <w:szCs w:val="21"/>
                <w:highlight w:val="none"/>
              </w:rPr>
            </w:pPr>
          </w:p>
        </w:tc>
        <w:tc>
          <w:tcPr>
            <w:tcW w:w="1919" w:type="dxa"/>
            <w:vAlign w:val="center"/>
          </w:tcPr>
          <w:p w14:paraId="0BAEB12C">
            <w:pPr>
              <w:autoSpaceDE w:val="0"/>
              <w:autoSpaceDN w:val="0"/>
              <w:adjustRightInd w:val="0"/>
              <w:rPr>
                <w:rFonts w:hint="eastAsia" w:ascii="宋体" w:hAnsi="宋体" w:cs="宋体"/>
                <w:kern w:val="0"/>
                <w:szCs w:val="21"/>
                <w:highlight w:val="none"/>
              </w:rPr>
            </w:pPr>
            <w:r>
              <w:rPr>
                <w:rFonts w:hint="eastAsia" w:ascii="宋体" w:hAnsi="宋体" w:cs="宋体"/>
                <w:b/>
                <w:bCs/>
                <w:kern w:val="0"/>
                <w:szCs w:val="21"/>
                <w:highlight w:val="none"/>
              </w:rPr>
              <w:t>中标人数</w:t>
            </w:r>
          </w:p>
        </w:tc>
        <w:tc>
          <w:tcPr>
            <w:tcW w:w="7095" w:type="dxa"/>
            <w:vAlign w:val="center"/>
          </w:tcPr>
          <w:p w14:paraId="221B9D72">
            <w:pPr>
              <w:snapToGrid w:val="0"/>
              <w:spacing w:line="320" w:lineRule="exact"/>
              <w:rPr>
                <w:rFonts w:hint="eastAsia" w:ascii="宋体" w:hAnsi="宋体" w:cs="宋体"/>
                <w:kern w:val="0"/>
                <w:szCs w:val="21"/>
                <w:highlight w:val="none"/>
              </w:rPr>
            </w:pPr>
            <w:r>
              <w:rPr>
                <w:rFonts w:hint="eastAsia" w:ascii="宋体" w:hAnsi="宋体" w:cs="宋体"/>
                <w:b/>
                <w:bCs/>
                <w:kern w:val="0"/>
                <w:szCs w:val="21"/>
                <w:highlight w:val="none"/>
              </w:rPr>
              <w:t>本项目由评标委员会推荐评审因素的量化指标评审得分最高的投标人为排名第一的中标候选人。采购人收到评审报告后的5个工作日内确认中标人。</w:t>
            </w:r>
          </w:p>
        </w:tc>
      </w:tr>
      <w:tr w14:paraId="6A22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6B475C7">
            <w:pPr>
              <w:numPr>
                <w:ilvl w:val="0"/>
                <w:numId w:val="2"/>
              </w:numPr>
              <w:autoSpaceDE w:val="0"/>
              <w:autoSpaceDN w:val="0"/>
              <w:adjustRightInd w:val="0"/>
              <w:spacing w:line="400" w:lineRule="exact"/>
              <w:jc w:val="center"/>
              <w:rPr>
                <w:rFonts w:hint="eastAsia" w:ascii="宋体" w:hAnsi="宋体" w:cs="宋体"/>
                <w:kern w:val="0"/>
                <w:szCs w:val="21"/>
                <w:highlight w:val="none"/>
              </w:rPr>
            </w:pPr>
            <w:bookmarkStart w:id="28" w:name="_Toc239145351"/>
            <w:bookmarkStart w:id="29" w:name="_Toc241404199"/>
            <w:bookmarkStart w:id="30" w:name="_Toc221356883"/>
            <w:bookmarkStart w:id="31" w:name="_Toc245722278"/>
            <w:bookmarkStart w:id="32" w:name="_Toc249758709"/>
            <w:bookmarkStart w:id="33" w:name="_Toc262105500"/>
            <w:bookmarkStart w:id="34" w:name="_Toc249758861"/>
            <w:bookmarkStart w:id="35" w:name="_Toc262049415"/>
            <w:bookmarkStart w:id="36" w:name="_Toc221374623"/>
            <w:bookmarkStart w:id="37" w:name="_Toc221356948"/>
            <w:bookmarkStart w:id="38" w:name="_Toc410031813"/>
            <w:bookmarkStart w:id="39" w:name="_Toc11875"/>
            <w:bookmarkStart w:id="40" w:name="_Toc245191311"/>
            <w:bookmarkStart w:id="41" w:name="_Toc221423616"/>
            <w:bookmarkStart w:id="42" w:name="_Toc246261262"/>
            <w:bookmarkStart w:id="43" w:name="_Toc223715995"/>
            <w:bookmarkStart w:id="44" w:name="_Toc222114876"/>
          </w:p>
        </w:tc>
        <w:tc>
          <w:tcPr>
            <w:tcW w:w="1919" w:type="dxa"/>
            <w:vAlign w:val="center"/>
          </w:tcPr>
          <w:p w14:paraId="72B40957">
            <w:pPr>
              <w:spacing w:line="360" w:lineRule="auto"/>
              <w:jc w:val="center"/>
              <w:rPr>
                <w:rFonts w:hint="eastAsia" w:ascii="宋体" w:hAnsi="宋体" w:cs="宋体"/>
                <w:kern w:val="0"/>
                <w:szCs w:val="21"/>
                <w:highlight w:val="none"/>
              </w:rPr>
            </w:pPr>
            <w:r>
              <w:rPr>
                <w:rFonts w:hint="eastAsia" w:ascii="宋体" w:hAnsi="宋体" w:cs="宋体"/>
                <w:b/>
                <w:bCs/>
                <w:kern w:val="0"/>
                <w:szCs w:val="21"/>
                <w:highlight w:val="none"/>
              </w:rPr>
              <w:t>招标代理费</w:t>
            </w:r>
          </w:p>
        </w:tc>
        <w:tc>
          <w:tcPr>
            <w:tcW w:w="7095" w:type="dxa"/>
            <w:vAlign w:val="center"/>
          </w:tcPr>
          <w:p w14:paraId="537C08BB">
            <w:pPr>
              <w:spacing w:line="360" w:lineRule="auto"/>
              <w:ind w:firstLine="422" w:firstLineChars="200"/>
              <w:rPr>
                <w:rFonts w:hint="eastAsia" w:ascii="宋体" w:hAnsi="宋体"/>
                <w:highlight w:val="none"/>
              </w:rPr>
            </w:pPr>
            <w:r>
              <w:rPr>
                <w:rFonts w:hint="eastAsia" w:ascii="宋体" w:hAnsi="宋体" w:cs="宋体"/>
                <w:b/>
                <w:bCs/>
                <w:highlight w:val="none"/>
              </w:rPr>
              <w:t>本项目招标代理费</w:t>
            </w:r>
            <w:r>
              <w:rPr>
                <w:rFonts w:ascii="宋体" w:hAnsi="宋体"/>
                <w:b/>
                <w:bCs/>
                <w:highlight w:val="none"/>
              </w:rPr>
              <w:t>(</w:t>
            </w:r>
            <w:r>
              <w:rPr>
                <w:rFonts w:hint="eastAsia" w:ascii="宋体" w:hAnsi="宋体" w:cs="宋体"/>
                <w:b/>
                <w:bCs/>
                <w:highlight w:val="none"/>
              </w:rPr>
              <w:t>招标代理费收费标准按照国家计委关于印发《招标代理服务费管理暂行办法》的通知（计价格【</w:t>
            </w:r>
            <w:r>
              <w:rPr>
                <w:rFonts w:ascii="宋体" w:hAnsi="宋体"/>
                <w:b/>
                <w:bCs/>
                <w:highlight w:val="none"/>
              </w:rPr>
              <w:t>2002</w:t>
            </w:r>
            <w:r>
              <w:rPr>
                <w:rFonts w:hint="eastAsia" w:ascii="宋体" w:hAnsi="宋体" w:cs="宋体"/>
                <w:b/>
                <w:bCs/>
                <w:highlight w:val="none"/>
              </w:rPr>
              <w:t>】</w:t>
            </w:r>
            <w:r>
              <w:rPr>
                <w:rFonts w:ascii="宋体" w:hAnsi="宋体"/>
                <w:b/>
                <w:bCs/>
                <w:highlight w:val="none"/>
              </w:rPr>
              <w:t>1980</w:t>
            </w:r>
            <w:r>
              <w:rPr>
                <w:rFonts w:hint="eastAsia" w:ascii="宋体" w:hAnsi="宋体" w:cs="宋体"/>
                <w:b/>
                <w:bCs/>
                <w:highlight w:val="none"/>
              </w:rPr>
              <w:t>号）规定的收费标准执行，按服务招标计算。）由中标人支付给代理机构。各投标人在投标报价时自行考虑在投标报价中，由中标人在领取中标通知书前一次性支付给代理机构。</w:t>
            </w:r>
            <w:r>
              <w:rPr>
                <w:rFonts w:hint="eastAsia" w:ascii="宋体" w:hAnsi="宋体"/>
                <w:b/>
                <w:bCs/>
                <w:highlight w:val="none"/>
              </w:rPr>
              <w:t>《招标代理服务费管理暂行办法》的通知规定的收费标准</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694B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BD19944">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中标金额（万元）</w:t>
                  </w:r>
                </w:p>
              </w:tc>
              <w:tc>
                <w:tcPr>
                  <w:tcW w:w="2293" w:type="dxa"/>
                </w:tcPr>
                <w:p w14:paraId="064E2521">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货物费率</w:t>
                  </w:r>
                </w:p>
              </w:tc>
              <w:tc>
                <w:tcPr>
                  <w:tcW w:w="2280" w:type="dxa"/>
                </w:tcPr>
                <w:p w14:paraId="3B2857D1">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服务费率</w:t>
                  </w:r>
                </w:p>
              </w:tc>
            </w:tr>
            <w:tr w14:paraId="4712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5AB83BB6">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100以下</w:t>
                  </w:r>
                </w:p>
              </w:tc>
              <w:tc>
                <w:tcPr>
                  <w:tcW w:w="2293" w:type="dxa"/>
                </w:tcPr>
                <w:p w14:paraId="1C0DEA4D">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1.5%</w:t>
                  </w:r>
                </w:p>
              </w:tc>
              <w:tc>
                <w:tcPr>
                  <w:tcW w:w="2280" w:type="dxa"/>
                </w:tcPr>
                <w:p w14:paraId="20263079">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1.5%</w:t>
                  </w:r>
                </w:p>
              </w:tc>
            </w:tr>
            <w:tr w14:paraId="654D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3C92C367">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100-500</w:t>
                  </w:r>
                </w:p>
              </w:tc>
              <w:tc>
                <w:tcPr>
                  <w:tcW w:w="2293" w:type="dxa"/>
                </w:tcPr>
                <w:p w14:paraId="7A281663">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1.1%</w:t>
                  </w:r>
                </w:p>
              </w:tc>
              <w:tc>
                <w:tcPr>
                  <w:tcW w:w="2280" w:type="dxa"/>
                </w:tcPr>
                <w:p w14:paraId="34D8D0B9">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0.8%</w:t>
                  </w:r>
                </w:p>
              </w:tc>
            </w:tr>
            <w:tr w14:paraId="69C6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BA86EEA">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500-1000</w:t>
                  </w:r>
                </w:p>
              </w:tc>
              <w:tc>
                <w:tcPr>
                  <w:tcW w:w="2293" w:type="dxa"/>
                </w:tcPr>
                <w:p w14:paraId="3414243C">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0.8%</w:t>
                  </w:r>
                </w:p>
              </w:tc>
              <w:tc>
                <w:tcPr>
                  <w:tcW w:w="2280" w:type="dxa"/>
                </w:tcPr>
                <w:p w14:paraId="525CCA04">
                  <w:pPr>
                    <w:snapToGrid w:val="0"/>
                    <w:spacing w:before="100" w:beforeAutospacing="1" w:after="100" w:afterAutospacing="1" w:line="276" w:lineRule="auto"/>
                    <w:jc w:val="center"/>
                    <w:rPr>
                      <w:rFonts w:hint="eastAsia" w:ascii="宋体" w:hAnsi="宋体"/>
                      <w:b/>
                      <w:bCs/>
                      <w:szCs w:val="21"/>
                      <w:highlight w:val="none"/>
                    </w:rPr>
                  </w:pPr>
                  <w:r>
                    <w:rPr>
                      <w:rFonts w:hint="eastAsia" w:ascii="宋体" w:hAnsi="宋体"/>
                      <w:b/>
                      <w:bCs/>
                      <w:szCs w:val="21"/>
                      <w:highlight w:val="none"/>
                    </w:rPr>
                    <w:t>0.45%</w:t>
                  </w:r>
                </w:p>
              </w:tc>
            </w:tr>
          </w:tbl>
          <w:p w14:paraId="2879D77C">
            <w:pPr>
              <w:pStyle w:val="24"/>
              <w:ind w:left="840" w:hanging="420"/>
              <w:rPr>
                <w:rFonts w:hint="eastAsia" w:ascii="宋体" w:hAnsi="宋体"/>
                <w:highlight w:val="none"/>
              </w:rPr>
            </w:pPr>
          </w:p>
        </w:tc>
      </w:tr>
      <w:tr w14:paraId="32C7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vAlign w:val="center"/>
          </w:tcPr>
          <w:p w14:paraId="7D465358">
            <w:pPr>
              <w:numPr>
                <w:ilvl w:val="0"/>
                <w:numId w:val="2"/>
              </w:numPr>
              <w:autoSpaceDE w:val="0"/>
              <w:autoSpaceDN w:val="0"/>
              <w:adjustRightInd w:val="0"/>
              <w:spacing w:line="400" w:lineRule="exact"/>
              <w:jc w:val="center"/>
              <w:rPr>
                <w:rFonts w:hint="eastAsia" w:ascii="宋体" w:hAnsi="宋体" w:cs="宋体"/>
                <w:b/>
                <w:bCs/>
                <w:kern w:val="0"/>
                <w:szCs w:val="21"/>
                <w:highlight w:val="none"/>
              </w:rPr>
            </w:pPr>
          </w:p>
        </w:tc>
        <w:tc>
          <w:tcPr>
            <w:tcW w:w="1919" w:type="dxa"/>
            <w:vAlign w:val="center"/>
          </w:tcPr>
          <w:p w14:paraId="74453CD0">
            <w:pPr>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特别说明1</w:t>
            </w:r>
          </w:p>
        </w:tc>
        <w:tc>
          <w:tcPr>
            <w:tcW w:w="7095" w:type="dxa"/>
            <w:vAlign w:val="center"/>
          </w:tcPr>
          <w:p w14:paraId="3FEA691D">
            <w:pPr>
              <w:autoSpaceDE w:val="0"/>
              <w:autoSpaceDN w:val="0"/>
              <w:adjustRightInd w:val="0"/>
              <w:spacing w:line="360" w:lineRule="auto"/>
              <w:rPr>
                <w:rFonts w:hint="eastAsia" w:ascii="宋体" w:hAnsi="宋体" w:cs="宋体"/>
                <w:b/>
                <w:bCs/>
                <w:kern w:val="0"/>
                <w:szCs w:val="21"/>
                <w:highlight w:val="none"/>
              </w:rPr>
            </w:pPr>
            <w:r>
              <w:rPr>
                <w:rFonts w:hint="eastAsia" w:ascii="宋体" w:hAnsi="宋体" w:cs="宋体"/>
                <w:b/>
                <w:szCs w:val="21"/>
                <w:highlight w:val="none"/>
                <w:shd w:val="clear" w:color="auto" w:fill="FFFFFF"/>
              </w:rPr>
              <w:t>未注册加入浙江省政府采购投标人库的投标人一旦被确定为中标人的，应当在《中标通知书》发出前的三个工作日内按《关于印发浙江省政府投标人注册及诚信管理暂行办法通知》</w:t>
            </w:r>
            <w:r>
              <w:rPr>
                <w:rFonts w:ascii="宋体" w:hAnsi="宋体"/>
                <w:b/>
                <w:szCs w:val="21"/>
                <w:highlight w:val="none"/>
                <w:shd w:val="clear" w:color="auto" w:fill="FFFFFF"/>
              </w:rPr>
              <w:t>[</w:t>
            </w:r>
            <w:r>
              <w:rPr>
                <w:rFonts w:hint="eastAsia" w:ascii="宋体" w:hAnsi="宋体" w:cs="宋体"/>
                <w:b/>
                <w:szCs w:val="21"/>
                <w:highlight w:val="none"/>
                <w:shd w:val="clear" w:color="auto" w:fill="FFFFFF"/>
              </w:rPr>
              <w:t>浙财采监字〔</w:t>
            </w:r>
            <w:r>
              <w:rPr>
                <w:rFonts w:ascii="宋体" w:hAnsi="宋体"/>
                <w:b/>
                <w:szCs w:val="21"/>
                <w:highlight w:val="none"/>
                <w:shd w:val="clear" w:color="auto" w:fill="FFFFFF"/>
              </w:rPr>
              <w:t>2009</w:t>
            </w:r>
            <w:r>
              <w:rPr>
                <w:rFonts w:hint="eastAsia" w:ascii="宋体" w:hAnsi="宋体" w:cs="宋体"/>
                <w:b/>
                <w:szCs w:val="21"/>
                <w:highlight w:val="none"/>
                <w:shd w:val="clear" w:color="auto" w:fill="FFFFFF"/>
              </w:rPr>
              <w:t>〕</w:t>
            </w:r>
            <w:r>
              <w:rPr>
                <w:rFonts w:ascii="宋体" w:hAnsi="宋体"/>
                <w:b/>
                <w:szCs w:val="21"/>
                <w:highlight w:val="none"/>
                <w:shd w:val="clear" w:color="auto" w:fill="FFFFFF"/>
              </w:rPr>
              <w:t>28</w:t>
            </w:r>
            <w:r>
              <w:rPr>
                <w:rFonts w:hint="eastAsia" w:ascii="宋体" w:hAnsi="宋体" w:cs="宋体"/>
                <w:b/>
                <w:szCs w:val="21"/>
                <w:highlight w:val="none"/>
                <w:shd w:val="clear" w:color="auto" w:fill="FFFFFF"/>
              </w:rPr>
              <w:t>号</w:t>
            </w:r>
            <w:r>
              <w:rPr>
                <w:rFonts w:ascii="宋体" w:hAnsi="宋体"/>
                <w:b/>
                <w:szCs w:val="21"/>
                <w:highlight w:val="none"/>
                <w:shd w:val="clear" w:color="auto" w:fill="FFFFFF"/>
              </w:rPr>
              <w:t>]</w:t>
            </w:r>
            <w:r>
              <w:rPr>
                <w:rFonts w:hint="eastAsia" w:ascii="宋体" w:hAnsi="宋体" w:cs="宋体"/>
                <w:b/>
                <w:szCs w:val="21"/>
                <w:highlight w:val="none"/>
                <w:shd w:val="clear" w:color="auto" w:fill="FFFFFF"/>
              </w:rPr>
              <w:t>文件的规定进行注册申请，否则，采购单位将拒绝向其发出《中标通知书》，视为未中标。</w:t>
            </w:r>
          </w:p>
        </w:tc>
      </w:tr>
      <w:tr w14:paraId="7A0D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1CF6E74B">
            <w:pPr>
              <w:numPr>
                <w:ilvl w:val="0"/>
                <w:numId w:val="2"/>
              </w:numPr>
              <w:autoSpaceDE w:val="0"/>
              <w:autoSpaceDN w:val="0"/>
              <w:adjustRightInd w:val="0"/>
              <w:spacing w:line="400" w:lineRule="exact"/>
              <w:jc w:val="center"/>
              <w:rPr>
                <w:rFonts w:hint="eastAsia" w:ascii="宋体" w:hAnsi="宋体" w:cs="宋体"/>
                <w:b/>
                <w:bCs/>
                <w:kern w:val="0"/>
                <w:szCs w:val="21"/>
                <w:highlight w:val="none"/>
              </w:rPr>
            </w:pPr>
          </w:p>
        </w:tc>
        <w:tc>
          <w:tcPr>
            <w:tcW w:w="1919" w:type="dxa"/>
            <w:vAlign w:val="center"/>
          </w:tcPr>
          <w:p w14:paraId="7524F124">
            <w:pPr>
              <w:snapToGrid w:val="0"/>
              <w:spacing w:line="360" w:lineRule="auto"/>
              <w:jc w:val="center"/>
              <w:rPr>
                <w:rFonts w:hint="eastAsia" w:ascii="宋体" w:hAnsi="宋体" w:cs="宋体"/>
                <w:highlight w:val="none"/>
              </w:rPr>
            </w:pPr>
            <w:r>
              <w:rPr>
                <w:rFonts w:hint="eastAsia" w:ascii="宋体" w:hAnsi="宋体" w:cs="宋体"/>
                <w:b/>
                <w:bCs/>
                <w:szCs w:val="21"/>
                <w:highlight w:val="none"/>
                <w:lang w:bidi="ar"/>
              </w:rPr>
              <w:t>中小企业预留份额情况</w:t>
            </w:r>
          </w:p>
        </w:tc>
        <w:tc>
          <w:tcPr>
            <w:tcW w:w="7095" w:type="dxa"/>
            <w:vAlign w:val="center"/>
          </w:tcPr>
          <w:p w14:paraId="6DBBFA76">
            <w:pPr>
              <w:snapToGrid w:val="0"/>
              <w:spacing w:line="360" w:lineRule="auto"/>
              <w:rPr>
                <w:rFonts w:hint="eastAsia" w:ascii="宋体" w:hAnsi="宋体"/>
                <w:b/>
                <w:bCs/>
                <w:szCs w:val="21"/>
                <w:highlight w:val="none"/>
                <w:shd w:val="clear" w:color="auto" w:fill="FFFFFF"/>
              </w:rPr>
            </w:pPr>
            <w:r>
              <w:rPr>
                <w:rFonts w:hint="eastAsia" w:ascii="宋体" w:hAnsi="宋体" w:cs="宋体"/>
                <w:b/>
                <w:bCs/>
                <w:szCs w:val="21"/>
                <w:highlight w:val="none"/>
                <w:lang w:bidi="ar"/>
              </w:rPr>
              <w:t>根据《政府采购促进中小企业发展管理办法》财库〔2020〕46号文件的规定，本项目（</w:t>
            </w:r>
            <w:r>
              <w:rPr>
                <w:rFonts w:ascii="宋体" w:hAnsi="宋体" w:eastAsia="Wingdings 2" w:cs="宋体"/>
                <w:b/>
                <w:bCs/>
                <w:szCs w:val="21"/>
                <w:highlight w:val="none"/>
                <w:lang w:bidi="ar"/>
              </w:rPr>
              <w:sym w:font="Wingdings 2" w:char="00A3"/>
            </w:r>
            <w:r>
              <w:rPr>
                <w:rFonts w:hint="eastAsia" w:ascii="宋体" w:hAnsi="宋体" w:cs="宋体"/>
                <w:b/>
                <w:bCs/>
                <w:szCs w:val="21"/>
                <w:highlight w:val="none"/>
                <w:lang w:bidi="ar"/>
              </w:rPr>
              <w:t>是</w:t>
            </w:r>
            <w:r>
              <w:rPr>
                <w:rFonts w:ascii="宋体" w:hAnsi="宋体" w:eastAsia="Wingdings 2" w:cs="宋体"/>
                <w:b/>
                <w:bCs/>
                <w:szCs w:val="21"/>
                <w:highlight w:val="none"/>
                <w:lang w:bidi="ar"/>
              </w:rPr>
              <w:sym w:font="Wingdings 2" w:char="0052"/>
            </w:r>
            <w:r>
              <w:rPr>
                <w:rFonts w:hint="eastAsia" w:ascii="宋体" w:hAnsi="宋体" w:cs="宋体"/>
                <w:b/>
                <w:bCs/>
                <w:szCs w:val="21"/>
                <w:highlight w:val="none"/>
                <w:lang w:bidi="ar"/>
              </w:rPr>
              <w:t>否）属于预留份额专门面向中小企业采购的项目。</w:t>
            </w:r>
          </w:p>
        </w:tc>
      </w:tr>
      <w:tr w14:paraId="07DE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7F5C8DBC">
            <w:pPr>
              <w:numPr>
                <w:ilvl w:val="0"/>
                <w:numId w:val="2"/>
              </w:numPr>
              <w:autoSpaceDE w:val="0"/>
              <w:autoSpaceDN w:val="0"/>
              <w:adjustRightInd w:val="0"/>
              <w:spacing w:line="400" w:lineRule="exact"/>
              <w:jc w:val="center"/>
              <w:rPr>
                <w:rFonts w:hint="eastAsia" w:ascii="宋体" w:hAnsi="宋体" w:cs="宋体"/>
                <w:b/>
                <w:bCs/>
                <w:kern w:val="0"/>
                <w:szCs w:val="21"/>
                <w:highlight w:val="none"/>
              </w:rPr>
            </w:pPr>
          </w:p>
        </w:tc>
        <w:tc>
          <w:tcPr>
            <w:tcW w:w="1919" w:type="dxa"/>
            <w:vAlign w:val="center"/>
          </w:tcPr>
          <w:p w14:paraId="434A5745">
            <w:pPr>
              <w:autoSpaceDE w:val="0"/>
              <w:autoSpaceDN w:val="0"/>
              <w:adjustRightInd w:val="0"/>
              <w:spacing w:line="360" w:lineRule="auto"/>
              <w:jc w:val="center"/>
              <w:rPr>
                <w:rFonts w:hint="eastAsia" w:ascii="宋体" w:hAnsi="宋体" w:cs="宋体"/>
                <w:b/>
                <w:szCs w:val="21"/>
                <w:highlight w:val="none"/>
                <w:shd w:val="clear" w:color="auto" w:fill="FFFFFF"/>
              </w:rPr>
            </w:pPr>
            <w:r>
              <w:rPr>
                <w:rFonts w:hint="eastAsia" w:ascii="宋体" w:hAnsi="宋体" w:cs="宋体"/>
                <w:b/>
                <w:szCs w:val="21"/>
                <w:highlight w:val="none"/>
                <w:shd w:val="clear" w:color="auto" w:fill="FFFFFF"/>
                <w:lang w:bidi="ar"/>
              </w:rPr>
              <w:t>政府采购</w:t>
            </w:r>
          </w:p>
          <w:p w14:paraId="12DDE7FF">
            <w:pPr>
              <w:autoSpaceDE w:val="0"/>
              <w:autoSpaceDN w:val="0"/>
              <w:adjustRightInd w:val="0"/>
              <w:spacing w:line="360" w:lineRule="auto"/>
              <w:jc w:val="center"/>
              <w:rPr>
                <w:rFonts w:hint="eastAsia" w:ascii="宋体" w:hAnsi="宋体" w:cs="宋体"/>
                <w:b/>
                <w:bCs/>
                <w:szCs w:val="21"/>
                <w:highlight w:val="none"/>
                <w:lang w:bidi="ar"/>
              </w:rPr>
            </w:pPr>
            <w:r>
              <w:rPr>
                <w:rFonts w:hint="eastAsia" w:ascii="宋体" w:hAnsi="宋体" w:cs="宋体"/>
                <w:b/>
                <w:szCs w:val="21"/>
                <w:highlight w:val="none"/>
                <w:shd w:val="clear" w:color="auto" w:fill="FFFFFF"/>
                <w:lang w:bidi="ar"/>
              </w:rPr>
              <w:t>扶持政策</w:t>
            </w:r>
          </w:p>
        </w:tc>
        <w:tc>
          <w:tcPr>
            <w:tcW w:w="7095" w:type="dxa"/>
            <w:vAlign w:val="center"/>
          </w:tcPr>
          <w:p w14:paraId="0B4364C8">
            <w:pPr>
              <w:pStyle w:val="72"/>
              <w:widowControl/>
              <w:snapToGrid w:val="0"/>
              <w:spacing w:line="360" w:lineRule="auto"/>
              <w:ind w:left="0" w:firstLine="0"/>
              <w:rPr>
                <w:b/>
                <w:szCs w:val="21"/>
                <w:highlight w:val="none"/>
                <w:u w:val="single"/>
              </w:rPr>
            </w:pPr>
            <w:r>
              <w:rPr>
                <w:b/>
                <w:szCs w:val="21"/>
                <w:highlight w:val="none"/>
              </w:rPr>
              <w:t>1）项目属性:</w:t>
            </w:r>
            <w:r>
              <w:rPr>
                <w:rFonts w:hint="default" w:eastAsia="Wingdings 2" w:cs="Wingdings 2"/>
                <w:b/>
                <w:szCs w:val="21"/>
                <w:highlight w:val="none"/>
              </w:rPr>
              <w:sym w:font="Wingdings 2" w:char="00A3"/>
            </w:r>
            <w:r>
              <w:rPr>
                <w:b/>
                <w:szCs w:val="21"/>
                <w:highlight w:val="none"/>
              </w:rPr>
              <w:t>货物类</w:t>
            </w:r>
            <w:r>
              <w:rPr>
                <w:rFonts w:hint="default" w:eastAsia="Wingdings 2" w:cs="Wingdings 2"/>
                <w:b/>
                <w:szCs w:val="21"/>
                <w:highlight w:val="none"/>
              </w:rPr>
              <w:sym w:font="Wingdings 2" w:char="0052"/>
            </w:r>
            <w:r>
              <w:rPr>
                <w:b/>
                <w:szCs w:val="21"/>
                <w:highlight w:val="none"/>
              </w:rPr>
              <w:t>服务类</w:t>
            </w:r>
            <w:r>
              <w:rPr>
                <w:rFonts w:hint="default" w:eastAsia="Wingdings 2" w:cs="Wingdings 2"/>
                <w:b/>
                <w:szCs w:val="21"/>
                <w:highlight w:val="none"/>
              </w:rPr>
              <w:sym w:font="Wingdings 2" w:char="00A3"/>
            </w:r>
            <w:r>
              <w:rPr>
                <w:b/>
                <w:szCs w:val="21"/>
                <w:highlight w:val="none"/>
              </w:rPr>
              <w:t>工程类</w:t>
            </w:r>
          </w:p>
          <w:p w14:paraId="2DE29F9B">
            <w:pPr>
              <w:pStyle w:val="72"/>
              <w:widowControl/>
              <w:snapToGrid w:val="0"/>
              <w:spacing w:line="360" w:lineRule="auto"/>
              <w:ind w:left="0" w:firstLine="0"/>
              <w:rPr>
                <w:b/>
                <w:szCs w:val="21"/>
                <w:highlight w:val="none"/>
              </w:rPr>
            </w:pPr>
            <w:r>
              <w:rPr>
                <w:b/>
                <w:szCs w:val="21"/>
                <w:highlight w:val="none"/>
              </w:rPr>
              <w:t>2</w:t>
            </w:r>
            <w:r>
              <w:rPr>
                <w:rFonts w:cs="宋体"/>
                <w:b/>
                <w:szCs w:val="21"/>
                <w:highlight w:val="none"/>
                <w:lang w:bidi="ar"/>
              </w:rPr>
              <w:t>）中小企业划分标准所属行业根据《中小企业划型标准规定》执行。</w:t>
            </w:r>
          </w:p>
          <w:p w14:paraId="382F64CC">
            <w:pPr>
              <w:snapToGrid w:val="0"/>
              <w:spacing w:line="360" w:lineRule="auto"/>
              <w:rPr>
                <w:rFonts w:hint="eastAsia" w:ascii="宋体" w:hAnsi="宋体" w:cs="宋体"/>
                <w:b/>
                <w:szCs w:val="21"/>
                <w:highlight w:val="none"/>
                <w:lang w:bidi="ar"/>
              </w:rPr>
            </w:pPr>
            <w:r>
              <w:rPr>
                <w:rFonts w:hint="eastAsia" w:ascii="宋体" w:hAnsi="宋体" w:cs="宋体"/>
                <w:b/>
                <w:szCs w:val="21"/>
                <w:highlight w:val="none"/>
                <w:lang w:bidi="ar"/>
              </w:rPr>
              <w:t>采购标的名称：</w:t>
            </w:r>
            <w:r>
              <w:rPr>
                <w:rFonts w:hint="eastAsia" w:ascii="宋体" w:hAnsi="宋体" w:cs="宋体"/>
                <w:b/>
                <w:szCs w:val="21"/>
                <w:highlight w:val="none"/>
                <w:u w:val="single"/>
                <w:lang w:eastAsia="zh-CN" w:bidi="ar"/>
              </w:rPr>
              <w:t>展依山隧道建设工程超前地质预报与监控量测项目</w:t>
            </w:r>
            <w:r>
              <w:rPr>
                <w:rFonts w:hint="eastAsia" w:ascii="宋体" w:hAnsi="宋体" w:cs="宋体"/>
                <w:b/>
                <w:szCs w:val="21"/>
                <w:highlight w:val="none"/>
                <w:lang w:bidi="ar"/>
              </w:rPr>
              <w:t>，</w:t>
            </w:r>
          </w:p>
          <w:p w14:paraId="1F80D783">
            <w:pPr>
              <w:snapToGrid w:val="0"/>
              <w:spacing w:line="360" w:lineRule="auto"/>
              <w:rPr>
                <w:rFonts w:hint="eastAsia" w:ascii="宋体" w:hAnsi="宋体" w:cs="宋体"/>
                <w:b/>
                <w:szCs w:val="21"/>
                <w:highlight w:val="none"/>
                <w:lang w:bidi="ar"/>
              </w:rPr>
            </w:pPr>
            <w:r>
              <w:rPr>
                <w:rFonts w:hint="eastAsia" w:ascii="宋体" w:hAnsi="宋体" w:cs="宋体"/>
                <w:b/>
                <w:szCs w:val="21"/>
                <w:highlight w:val="none"/>
                <w:lang w:bidi="ar"/>
              </w:rPr>
              <w:t>所属行业：</w:t>
            </w:r>
            <w:r>
              <w:rPr>
                <w:rFonts w:hint="eastAsia" w:ascii="宋体" w:hAnsi="宋体" w:cs="宋体"/>
                <w:b/>
                <w:szCs w:val="21"/>
                <w:highlight w:val="none"/>
                <w:u w:val="single"/>
                <w:lang w:bidi="ar"/>
              </w:rPr>
              <w:t>其他未列明行业。</w:t>
            </w:r>
          </w:p>
          <w:p w14:paraId="0FC0AC1F">
            <w:pPr>
              <w:autoSpaceDE w:val="0"/>
              <w:autoSpaceDN w:val="0"/>
              <w:adjustRightInd w:val="0"/>
              <w:spacing w:line="360" w:lineRule="auto"/>
              <w:rPr>
                <w:rFonts w:hint="eastAsia" w:ascii="宋体" w:hAnsi="宋体" w:cs="宋体"/>
                <w:b/>
                <w:szCs w:val="21"/>
                <w:highlight w:val="none"/>
                <w:shd w:val="clear" w:color="auto" w:fill="FFFFFF"/>
              </w:rPr>
            </w:pPr>
            <w:r>
              <w:rPr>
                <w:rFonts w:hint="eastAsia" w:ascii="宋体" w:hAnsi="宋体" w:cs="宋体"/>
                <w:b/>
                <w:szCs w:val="21"/>
                <w:highlight w:val="none"/>
                <w:shd w:val="clear" w:color="auto" w:fill="FFFFFF"/>
                <w:lang w:bidi="ar"/>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95681BE">
            <w:pPr>
              <w:autoSpaceDE w:val="0"/>
              <w:autoSpaceDN w:val="0"/>
              <w:adjustRightInd w:val="0"/>
              <w:spacing w:line="360" w:lineRule="auto"/>
              <w:rPr>
                <w:rFonts w:hint="eastAsia" w:ascii="宋体" w:hAnsi="宋体" w:cs="宋体"/>
                <w:b/>
                <w:szCs w:val="21"/>
                <w:highlight w:val="none"/>
                <w:shd w:val="clear" w:color="auto" w:fill="FFFFFF"/>
              </w:rPr>
            </w:pPr>
            <w:r>
              <w:rPr>
                <w:rFonts w:hint="eastAsia" w:ascii="宋体" w:hAnsi="宋体" w:cs="宋体"/>
                <w:b/>
                <w:szCs w:val="21"/>
                <w:highlight w:val="none"/>
                <w:shd w:val="clear" w:color="auto" w:fill="FFFFFF"/>
                <w:lang w:bidi="ar"/>
              </w:rPr>
              <w:t>4）以联合体形式参加政府采购活动，联合体各方均为小微企业的，联合体视同小微企业。</w:t>
            </w:r>
          </w:p>
          <w:p w14:paraId="68A1E915">
            <w:pPr>
              <w:autoSpaceDE w:val="0"/>
              <w:autoSpaceDN w:val="0"/>
              <w:adjustRightInd w:val="0"/>
              <w:spacing w:line="360" w:lineRule="auto"/>
              <w:rPr>
                <w:rFonts w:hint="eastAsia" w:ascii="宋体" w:hAnsi="宋体" w:cs="宋体"/>
                <w:b/>
                <w:szCs w:val="21"/>
                <w:highlight w:val="none"/>
                <w:shd w:val="clear" w:color="auto" w:fill="FFFFFF"/>
              </w:rPr>
            </w:pPr>
            <w:r>
              <w:rPr>
                <w:rFonts w:hint="eastAsia" w:ascii="宋体" w:hAnsi="宋体" w:cs="宋体"/>
                <w:b/>
                <w:szCs w:val="21"/>
                <w:highlight w:val="none"/>
                <w:shd w:val="clear" w:color="auto" w:fill="FFFFFF"/>
                <w:lang w:bidi="ar"/>
              </w:rPr>
              <w:t>5） 本项目对小型和微型企业（监狱企业、残疾人福利性单位）制造的货物或承接的服务报价给予10%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专门面向中小企业采购的项目或者采购包，不再执行价格评审优惠的扶持政策。）</w:t>
            </w:r>
          </w:p>
          <w:p w14:paraId="51DC4CF4">
            <w:pPr>
              <w:autoSpaceDE w:val="0"/>
              <w:autoSpaceDN w:val="0"/>
              <w:adjustRightInd w:val="0"/>
              <w:spacing w:line="360" w:lineRule="auto"/>
              <w:rPr>
                <w:rFonts w:hint="eastAsia" w:ascii="宋体" w:hAnsi="宋体" w:cs="宋体"/>
                <w:b/>
                <w:szCs w:val="21"/>
                <w:highlight w:val="none"/>
                <w:shd w:val="clear" w:color="auto" w:fill="FFFFFF"/>
              </w:rPr>
            </w:pPr>
            <w:r>
              <w:rPr>
                <w:rFonts w:hint="eastAsia" w:ascii="宋体" w:hAnsi="宋体" w:cs="宋体"/>
                <w:b/>
                <w:szCs w:val="21"/>
                <w:highlight w:val="none"/>
                <w:shd w:val="clear" w:color="auto" w:fill="FFFFFF"/>
                <w:lang w:bidi="ar"/>
              </w:rPr>
              <w:t>6）符合小微企业划分标准的个体工商户，视同小微企业。</w:t>
            </w:r>
          </w:p>
          <w:p w14:paraId="1A6AC507">
            <w:pPr>
              <w:autoSpaceDE w:val="0"/>
              <w:autoSpaceDN w:val="0"/>
              <w:adjustRightInd w:val="0"/>
              <w:spacing w:line="360" w:lineRule="auto"/>
              <w:rPr>
                <w:rFonts w:hint="eastAsia" w:ascii="宋体" w:hAnsi="宋体" w:cs="宋体"/>
                <w:b/>
                <w:szCs w:val="21"/>
                <w:highlight w:val="none"/>
                <w:shd w:val="clear" w:color="auto" w:fill="FFFFFF"/>
              </w:rPr>
            </w:pPr>
            <w:r>
              <w:rPr>
                <w:rFonts w:hint="eastAsia" w:ascii="宋体" w:hAnsi="宋体" w:cs="宋体"/>
                <w:b/>
                <w:szCs w:val="21"/>
                <w:highlight w:val="none"/>
                <w:shd w:val="clear" w:color="auto" w:fill="FFFFFF"/>
                <w:lang w:bidi="ar"/>
              </w:rPr>
              <w:t>7）本项目不允许大中型企业向一家或者多家小微企业分包。</w:t>
            </w:r>
          </w:p>
          <w:p w14:paraId="2BEFB307">
            <w:pPr>
              <w:autoSpaceDE w:val="0"/>
              <w:autoSpaceDN w:val="0"/>
              <w:adjustRightInd w:val="0"/>
              <w:spacing w:line="360" w:lineRule="auto"/>
              <w:rPr>
                <w:rFonts w:hint="eastAsia" w:ascii="宋体" w:hAnsi="宋体" w:cs="宋体"/>
                <w:b/>
                <w:szCs w:val="21"/>
                <w:highlight w:val="none"/>
                <w:shd w:val="clear" w:color="auto" w:fill="FFFFFF"/>
              </w:rPr>
            </w:pPr>
            <w:r>
              <w:rPr>
                <w:rFonts w:hint="eastAsia" w:ascii="宋体" w:hAnsi="宋体" w:cs="宋体"/>
                <w:b/>
                <w:szCs w:val="21"/>
                <w:highlight w:val="none"/>
                <w:shd w:val="clear" w:color="auto" w:fill="FFFFFF"/>
                <w:lang w:bidi="ar"/>
              </w:rPr>
              <w:t>9）小微企业（包括联合体内的小微企业和接受分包的小微企业）参加政府采购活动，应当出具《中小企业声明函》，否则其报价不予扣除。</w:t>
            </w:r>
          </w:p>
          <w:p w14:paraId="0F0453C7">
            <w:pPr>
              <w:autoSpaceDE w:val="0"/>
              <w:autoSpaceDN w:val="0"/>
              <w:adjustRightInd w:val="0"/>
              <w:spacing w:line="360" w:lineRule="auto"/>
              <w:rPr>
                <w:rFonts w:hint="eastAsia" w:ascii="宋体" w:hAnsi="宋体" w:cs="宋体"/>
                <w:b/>
                <w:bCs/>
                <w:szCs w:val="21"/>
                <w:highlight w:val="none"/>
                <w:lang w:bidi="ar"/>
              </w:rPr>
            </w:pPr>
            <w:r>
              <w:rPr>
                <w:rFonts w:hint="eastAsia" w:ascii="宋体" w:hAnsi="宋体" w:cs="宋体"/>
                <w:b/>
                <w:szCs w:val="21"/>
                <w:highlight w:val="none"/>
                <w:shd w:val="clear" w:color="auto" w:fill="FFFFFF"/>
                <w:lang w:bidi="ar"/>
              </w:rPr>
              <w:t>10）监狱企业和残疾人福利性单位视同小型、微型企业，按《财政部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tc>
      </w:tr>
      <w:tr w14:paraId="5C6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5AAFBDFC">
            <w:pPr>
              <w:numPr>
                <w:ilvl w:val="0"/>
                <w:numId w:val="2"/>
              </w:numPr>
              <w:autoSpaceDE w:val="0"/>
              <w:autoSpaceDN w:val="0"/>
              <w:adjustRightInd w:val="0"/>
              <w:spacing w:line="400" w:lineRule="exact"/>
              <w:jc w:val="center"/>
              <w:rPr>
                <w:rFonts w:hint="eastAsia" w:ascii="宋体" w:hAnsi="宋体" w:cs="宋体"/>
                <w:b/>
                <w:bCs/>
                <w:kern w:val="0"/>
                <w:szCs w:val="21"/>
                <w:highlight w:val="none"/>
              </w:rPr>
            </w:pPr>
          </w:p>
        </w:tc>
        <w:tc>
          <w:tcPr>
            <w:tcW w:w="1919" w:type="dxa"/>
            <w:vAlign w:val="center"/>
          </w:tcPr>
          <w:p w14:paraId="43051443">
            <w:pPr>
              <w:pStyle w:val="7"/>
              <w:snapToGrid w:val="0"/>
              <w:spacing w:before="0" w:line="360" w:lineRule="auto"/>
              <w:jc w:val="center"/>
              <w:rPr>
                <w:rFonts w:hint="eastAsia" w:ascii="宋体" w:hAnsi="宋体" w:eastAsia="宋体" w:cs="Times New Roman"/>
                <w:color w:val="auto"/>
                <w:kern w:val="2"/>
                <w:sz w:val="21"/>
                <w:highlight w:val="none"/>
              </w:rPr>
            </w:pPr>
            <w:r>
              <w:rPr>
                <w:rFonts w:hint="eastAsia" w:ascii="宋体" w:hAnsi="宋体" w:eastAsia="宋体" w:cs="宋体"/>
                <w:kern w:val="2"/>
                <w:sz w:val="21"/>
                <w:highlight w:val="none"/>
              </w:rPr>
              <w:t>投标人信用查询</w:t>
            </w:r>
          </w:p>
        </w:tc>
        <w:tc>
          <w:tcPr>
            <w:tcW w:w="7095" w:type="dxa"/>
            <w:vAlign w:val="center"/>
          </w:tcPr>
          <w:p w14:paraId="2F20352B">
            <w:pPr>
              <w:pStyle w:val="7"/>
              <w:adjustRightInd w:val="0"/>
              <w:snapToGrid w:val="0"/>
              <w:spacing w:before="0" w:line="350" w:lineRule="atLeas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根据《关于在政府采购活动中查询及使用信用记录有关问题的通知》财库[2016]125号的规定:</w:t>
            </w:r>
          </w:p>
          <w:p w14:paraId="5A4773D9">
            <w:pPr>
              <w:pStyle w:val="7"/>
              <w:adjustRightInd w:val="0"/>
              <w:snapToGrid w:val="0"/>
              <w:spacing w:before="0" w:line="350" w:lineRule="atLeast"/>
              <w:rPr>
                <w:rFonts w:hint="eastAsia" w:ascii="宋体" w:hAnsi="宋体" w:eastAsia="宋体" w:cs="宋体"/>
                <w:kern w:val="2"/>
                <w:sz w:val="21"/>
                <w:highlight w:val="none"/>
              </w:rPr>
            </w:pPr>
            <w:r>
              <w:rPr>
                <w:rFonts w:hint="eastAsia" w:ascii="宋体" w:hAnsi="宋体" w:eastAsia="宋体" w:cs="宋体"/>
                <w:kern w:val="2"/>
                <w:sz w:val="21"/>
                <w:highlight w:val="none"/>
              </w:rPr>
              <w:t>1）采购代理机构将对本项目投标人的信用信息进行查询和甄别，查询渠道为信用中国网站（www.creditchina.gov.cn）、中国政府采购网（www.ccgp.gov.cn）。</w:t>
            </w:r>
          </w:p>
          <w:p w14:paraId="65197FBA">
            <w:pPr>
              <w:pStyle w:val="7"/>
              <w:adjustRightInd w:val="0"/>
              <w:snapToGrid w:val="0"/>
              <w:spacing w:before="0" w:line="350" w:lineRule="atLeast"/>
              <w:rPr>
                <w:rFonts w:hint="eastAsia" w:ascii="宋体" w:hAnsi="宋体" w:eastAsia="宋体" w:cs="宋体"/>
                <w:kern w:val="2"/>
                <w:sz w:val="21"/>
                <w:highlight w:val="none"/>
              </w:rPr>
            </w:pPr>
            <w:r>
              <w:rPr>
                <w:rFonts w:hint="eastAsia" w:ascii="宋体" w:hAnsi="宋体" w:eastAsia="宋体" w:cs="宋体"/>
                <w:kern w:val="2"/>
                <w:sz w:val="21"/>
                <w:highlight w:val="none"/>
              </w:rPr>
              <w:t>2）截止时点：提交投标文件（投标文件）截止时间前3年内。</w:t>
            </w:r>
          </w:p>
          <w:p w14:paraId="4C5CE382">
            <w:pPr>
              <w:pStyle w:val="7"/>
              <w:adjustRightInd w:val="0"/>
              <w:snapToGrid w:val="0"/>
              <w:spacing w:before="0" w:line="350" w:lineRule="atLeast"/>
              <w:rPr>
                <w:rFonts w:hint="eastAsia" w:ascii="宋体" w:hAnsi="宋体" w:eastAsia="宋体" w:cs="宋体"/>
                <w:kern w:val="2"/>
                <w:sz w:val="21"/>
                <w:highlight w:val="none"/>
              </w:rPr>
            </w:pPr>
            <w:r>
              <w:rPr>
                <w:rFonts w:hint="eastAsia" w:ascii="宋体" w:hAnsi="宋体" w:eastAsia="宋体" w:cs="宋体"/>
                <w:kern w:val="2"/>
                <w:sz w:val="21"/>
                <w:highlight w:val="none"/>
              </w:rPr>
              <w:t>3）信用信息查询记录和证据以网页截图方式留存。</w:t>
            </w:r>
          </w:p>
          <w:p w14:paraId="21F78D27">
            <w:pPr>
              <w:pStyle w:val="7"/>
              <w:adjustRightInd w:val="0"/>
              <w:snapToGrid w:val="0"/>
              <w:spacing w:before="0" w:line="350" w:lineRule="atLeast"/>
              <w:rPr>
                <w:rFonts w:hint="eastAsia" w:ascii="宋体" w:hAnsi="宋体" w:eastAsia="宋体" w:cs="宋体"/>
                <w:kern w:val="2"/>
                <w:sz w:val="21"/>
                <w:highlight w:val="none"/>
              </w:rPr>
            </w:pPr>
            <w:r>
              <w:rPr>
                <w:rFonts w:hint="eastAsia" w:ascii="宋体" w:hAnsi="宋体" w:eastAsia="宋体" w:cs="宋体"/>
                <w:kern w:val="2"/>
                <w:sz w:val="21"/>
                <w:highlight w:val="none"/>
              </w:rPr>
              <w:t>4）不良信用记录指：1.被列入信用中国网站“失信被执行人”“ 重大税收违法案件当事人名单” ； 2.被列入中国政府采购网政府采购严重违法失信行为记录名单；</w:t>
            </w:r>
          </w:p>
          <w:p w14:paraId="1A05FF04">
            <w:pPr>
              <w:pStyle w:val="7"/>
              <w:adjustRightInd w:val="0"/>
              <w:snapToGrid w:val="0"/>
              <w:spacing w:before="0" w:line="350" w:lineRule="atLeast"/>
              <w:rPr>
                <w:rFonts w:hint="eastAsia" w:ascii="宋体" w:hAnsi="宋体" w:eastAsia="宋体" w:cs="宋体"/>
                <w:kern w:val="2"/>
                <w:sz w:val="21"/>
                <w:highlight w:val="none"/>
              </w:rPr>
            </w:pPr>
            <w:r>
              <w:rPr>
                <w:rFonts w:hint="eastAsia" w:ascii="宋体" w:hAnsi="宋体" w:eastAsia="宋体" w:cs="宋体"/>
                <w:kern w:val="2"/>
                <w:sz w:val="21"/>
                <w:highlight w:val="none"/>
              </w:rPr>
              <w:t>5）信用信息的使用规则：投标人存在不良信用记录的，其投标文件将被拒绝。</w:t>
            </w:r>
          </w:p>
          <w:p w14:paraId="291C5AE4">
            <w:pPr>
              <w:autoSpaceDE w:val="0"/>
              <w:autoSpaceDN w:val="0"/>
              <w:adjustRightInd w:val="0"/>
              <w:spacing w:line="360" w:lineRule="auto"/>
              <w:jc w:val="left"/>
              <w:rPr>
                <w:rFonts w:hint="eastAsia" w:ascii="宋体" w:hAnsi="宋体"/>
                <w:b/>
                <w:bCs/>
                <w:highlight w:val="none"/>
              </w:rPr>
            </w:pPr>
            <w:r>
              <w:rPr>
                <w:rFonts w:hint="eastAsia" w:ascii="宋体" w:hAnsi="宋体" w:cs="宋体"/>
                <w:b/>
                <w:bCs/>
                <w:color w:val="000000"/>
                <w:highlight w:val="none"/>
              </w:rPr>
              <w:t>6）如允许联合体投标的，联合体成员存在不良信用记录视同联合体存在不良信用记录。</w:t>
            </w:r>
          </w:p>
        </w:tc>
      </w:tr>
      <w:tr w14:paraId="1AA3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76AA4DDB">
            <w:pPr>
              <w:numPr>
                <w:ilvl w:val="0"/>
                <w:numId w:val="2"/>
              </w:numPr>
              <w:autoSpaceDE w:val="0"/>
              <w:autoSpaceDN w:val="0"/>
              <w:adjustRightInd w:val="0"/>
              <w:spacing w:line="400" w:lineRule="exact"/>
              <w:jc w:val="center"/>
              <w:rPr>
                <w:rFonts w:hint="eastAsia" w:ascii="宋体" w:hAnsi="宋体" w:cs="宋体"/>
                <w:b/>
                <w:bCs/>
                <w:kern w:val="0"/>
                <w:szCs w:val="21"/>
                <w:highlight w:val="none"/>
              </w:rPr>
            </w:pPr>
          </w:p>
        </w:tc>
        <w:tc>
          <w:tcPr>
            <w:tcW w:w="1919" w:type="dxa"/>
            <w:vAlign w:val="center"/>
          </w:tcPr>
          <w:p w14:paraId="08AA580A">
            <w:pPr>
              <w:pStyle w:val="7"/>
              <w:snapToGrid w:val="0"/>
              <w:spacing w:before="0" w:line="360" w:lineRule="auto"/>
              <w:jc w:val="center"/>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rPr>
              <w:t>投标人失信被执行人查询</w:t>
            </w:r>
          </w:p>
        </w:tc>
        <w:tc>
          <w:tcPr>
            <w:tcW w:w="7095" w:type="dxa"/>
            <w:vAlign w:val="center"/>
          </w:tcPr>
          <w:p w14:paraId="097783E5">
            <w:pPr>
              <w:pStyle w:val="7"/>
              <w:adjustRightInd w:val="0"/>
              <w:snapToGrid w:val="0"/>
              <w:spacing w:before="0" w:line="360" w:lineRule="auto"/>
              <w:rPr>
                <w:rFonts w:hint="eastAsia" w:ascii="宋体" w:hAnsi="宋体" w:eastAsia="宋体" w:cs="Times New Roman"/>
                <w:color w:val="auto"/>
                <w:kern w:val="2"/>
                <w:sz w:val="21"/>
                <w:highlight w:val="none"/>
              </w:rPr>
            </w:pPr>
            <w:r>
              <w:rPr>
                <w:rFonts w:ascii="宋体" w:hAnsi="宋体" w:eastAsia="宋体" w:cs="Times New Roman"/>
                <w:color w:val="auto"/>
                <w:kern w:val="2"/>
                <w:sz w:val="21"/>
                <w:highlight w:val="none"/>
              </w:rPr>
              <w:t>1）采购</w:t>
            </w:r>
            <w:r>
              <w:rPr>
                <w:rFonts w:hint="eastAsia" w:ascii="宋体" w:hAnsi="宋体" w:eastAsia="宋体" w:cs="Times New Roman"/>
                <w:color w:val="auto"/>
                <w:kern w:val="2"/>
                <w:sz w:val="21"/>
                <w:highlight w:val="none"/>
              </w:rPr>
              <w:t>组织</w:t>
            </w:r>
            <w:r>
              <w:rPr>
                <w:rFonts w:ascii="宋体" w:hAnsi="宋体" w:eastAsia="宋体" w:cs="Times New Roman"/>
                <w:color w:val="auto"/>
                <w:kern w:val="2"/>
                <w:sz w:val="21"/>
                <w:highlight w:val="none"/>
              </w:rPr>
              <w:t>机构将对本项目投标供应商的</w:t>
            </w:r>
            <w:r>
              <w:rPr>
                <w:rFonts w:hint="eastAsia" w:ascii="宋体" w:hAnsi="宋体" w:eastAsia="宋体" w:cs="Times New Roman"/>
                <w:color w:val="auto"/>
                <w:kern w:val="2"/>
                <w:sz w:val="21"/>
                <w:highlight w:val="none"/>
              </w:rPr>
              <w:t>法定代表人（或单位负责人）及拟派项目负责人的失信被执行</w:t>
            </w:r>
            <w:r>
              <w:rPr>
                <w:rFonts w:ascii="宋体" w:hAnsi="宋体" w:eastAsia="宋体" w:cs="Times New Roman"/>
                <w:color w:val="auto"/>
                <w:kern w:val="2"/>
                <w:sz w:val="21"/>
                <w:highlight w:val="none"/>
              </w:rPr>
              <w:t>信息进行查询和甄别</w:t>
            </w:r>
            <w:r>
              <w:rPr>
                <w:rFonts w:hint="eastAsia" w:ascii="宋体" w:hAnsi="宋体" w:eastAsia="宋体" w:cs="Times New Roman"/>
                <w:color w:val="auto"/>
                <w:kern w:val="2"/>
                <w:sz w:val="21"/>
                <w:highlight w:val="none"/>
              </w:rPr>
              <w:t>，通过中国执行信息公开网（http://zxgk.court.gov.cn/）查询</w:t>
            </w:r>
            <w:r>
              <w:rPr>
                <w:rFonts w:ascii="宋体" w:hAnsi="宋体" w:eastAsia="宋体" w:cs="Times New Roman"/>
                <w:color w:val="auto"/>
                <w:kern w:val="2"/>
                <w:sz w:val="21"/>
                <w:highlight w:val="none"/>
              </w:rPr>
              <w:t>。</w:t>
            </w:r>
          </w:p>
          <w:p w14:paraId="7E8D1EF0">
            <w:pPr>
              <w:pStyle w:val="7"/>
              <w:adjustRightInd w:val="0"/>
              <w:snapToGrid w:val="0"/>
              <w:spacing w:before="0" w:line="360" w:lineRule="auto"/>
              <w:rPr>
                <w:rFonts w:hint="eastAsia" w:ascii="宋体" w:hAnsi="宋体" w:eastAsia="宋体" w:cs="Times New Roman"/>
                <w:color w:val="auto"/>
                <w:kern w:val="2"/>
                <w:sz w:val="21"/>
                <w:highlight w:val="none"/>
              </w:rPr>
            </w:pPr>
            <w:r>
              <w:rPr>
                <w:rFonts w:ascii="宋体" w:hAnsi="宋体" w:eastAsia="宋体" w:cs="Times New Roman"/>
                <w:color w:val="auto"/>
                <w:kern w:val="2"/>
                <w:sz w:val="21"/>
                <w:highlight w:val="none"/>
              </w:rPr>
              <w:t>2）</w:t>
            </w:r>
            <w:r>
              <w:rPr>
                <w:rFonts w:hint="eastAsia" w:ascii="宋体" w:hAnsi="宋体" w:eastAsia="宋体" w:cs="Times New Roman"/>
                <w:color w:val="auto"/>
                <w:kern w:val="2"/>
                <w:sz w:val="21"/>
                <w:highlight w:val="none"/>
              </w:rPr>
              <w:t>失信被执行</w:t>
            </w:r>
            <w:r>
              <w:rPr>
                <w:rFonts w:ascii="宋体" w:hAnsi="宋体" w:eastAsia="宋体" w:cs="Times New Roman"/>
                <w:color w:val="auto"/>
                <w:kern w:val="2"/>
                <w:sz w:val="21"/>
                <w:highlight w:val="none"/>
              </w:rPr>
              <w:t>信息的使用规则：供应商存在</w:t>
            </w:r>
            <w:r>
              <w:rPr>
                <w:rFonts w:hint="eastAsia" w:ascii="宋体" w:hAnsi="宋体" w:eastAsia="宋体" w:cs="Times New Roman"/>
                <w:color w:val="auto"/>
                <w:kern w:val="2"/>
                <w:sz w:val="21"/>
                <w:highlight w:val="none"/>
              </w:rPr>
              <w:t>失信被执行信息</w:t>
            </w:r>
            <w:r>
              <w:rPr>
                <w:rFonts w:ascii="宋体" w:hAnsi="宋体" w:eastAsia="宋体" w:cs="Times New Roman"/>
                <w:color w:val="auto"/>
                <w:kern w:val="2"/>
                <w:sz w:val="21"/>
                <w:highlight w:val="none"/>
              </w:rPr>
              <w:t>的，</w:t>
            </w:r>
            <w:r>
              <w:rPr>
                <w:rFonts w:hint="eastAsia" w:ascii="宋体" w:hAnsi="宋体" w:eastAsia="宋体" w:cs="Times New Roman"/>
                <w:color w:val="auto"/>
                <w:kern w:val="2"/>
                <w:sz w:val="21"/>
                <w:highlight w:val="none"/>
              </w:rPr>
              <w:t>限制参与本项目</w:t>
            </w:r>
            <w:r>
              <w:rPr>
                <w:rFonts w:ascii="宋体" w:hAnsi="宋体" w:eastAsia="宋体" w:cs="Times New Roman"/>
                <w:color w:val="auto"/>
                <w:kern w:val="2"/>
                <w:sz w:val="21"/>
                <w:highlight w:val="none"/>
              </w:rPr>
              <w:t>。</w:t>
            </w:r>
          </w:p>
          <w:p w14:paraId="4C5D0E20">
            <w:pPr>
              <w:autoSpaceDE w:val="0"/>
              <w:autoSpaceDN w:val="0"/>
              <w:adjustRightInd w:val="0"/>
              <w:spacing w:line="360" w:lineRule="auto"/>
              <w:jc w:val="left"/>
              <w:rPr>
                <w:rFonts w:hint="eastAsia" w:ascii="宋体" w:hAnsi="宋体"/>
                <w:b/>
                <w:bCs/>
                <w:highlight w:val="none"/>
              </w:rPr>
            </w:pPr>
            <w:r>
              <w:rPr>
                <w:rFonts w:hint="eastAsia" w:ascii="宋体" w:hAnsi="宋体"/>
                <w:b/>
                <w:bCs/>
                <w:highlight w:val="none"/>
              </w:rPr>
              <w:t>3</w:t>
            </w:r>
            <w:r>
              <w:rPr>
                <w:rFonts w:hint="eastAsia" w:ascii="宋体" w:hAnsi="宋体" w:cs="宋体"/>
                <w:b/>
                <w:bCs/>
                <w:highlight w:val="none"/>
              </w:rPr>
              <w:t>）如允许联合体参加投标的，联合体成员存在</w:t>
            </w:r>
            <w:r>
              <w:rPr>
                <w:rFonts w:hint="eastAsia" w:ascii="宋体" w:hAnsi="宋体"/>
                <w:b/>
                <w:bCs/>
                <w:highlight w:val="none"/>
              </w:rPr>
              <w:t>失信被执行</w:t>
            </w:r>
            <w:r>
              <w:rPr>
                <w:rFonts w:ascii="宋体" w:hAnsi="宋体"/>
                <w:b/>
                <w:bCs/>
                <w:highlight w:val="none"/>
              </w:rPr>
              <w:t>信息</w:t>
            </w:r>
            <w:r>
              <w:rPr>
                <w:rFonts w:hint="eastAsia" w:ascii="宋体" w:hAnsi="宋体" w:cs="宋体"/>
                <w:b/>
                <w:bCs/>
                <w:highlight w:val="none"/>
              </w:rPr>
              <w:t>的，视同联合体存在</w:t>
            </w:r>
            <w:r>
              <w:rPr>
                <w:rFonts w:hint="eastAsia" w:ascii="宋体" w:hAnsi="宋体"/>
                <w:b/>
                <w:bCs/>
                <w:highlight w:val="none"/>
              </w:rPr>
              <w:t>失信被执行</w:t>
            </w:r>
            <w:r>
              <w:rPr>
                <w:rFonts w:ascii="宋体" w:hAnsi="宋体"/>
                <w:b/>
                <w:bCs/>
                <w:highlight w:val="none"/>
              </w:rPr>
              <w:t>信息</w:t>
            </w:r>
            <w:r>
              <w:rPr>
                <w:rFonts w:hint="eastAsia" w:ascii="宋体" w:hAnsi="宋体" w:cs="宋体"/>
                <w:b/>
                <w:bCs/>
                <w:highlight w:val="none"/>
              </w:rPr>
              <w:t>的。</w:t>
            </w:r>
          </w:p>
        </w:tc>
      </w:tr>
      <w:tr w14:paraId="36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70" w:type="dxa"/>
            <w:vAlign w:val="center"/>
          </w:tcPr>
          <w:p w14:paraId="7149B259">
            <w:pPr>
              <w:numPr>
                <w:ilvl w:val="0"/>
                <w:numId w:val="2"/>
              </w:numPr>
              <w:autoSpaceDE w:val="0"/>
              <w:autoSpaceDN w:val="0"/>
              <w:adjustRightInd w:val="0"/>
              <w:spacing w:line="400" w:lineRule="exact"/>
              <w:jc w:val="center"/>
              <w:rPr>
                <w:rFonts w:hint="eastAsia" w:ascii="宋体" w:hAnsi="宋体" w:cs="宋体"/>
                <w:b/>
                <w:bCs/>
                <w:kern w:val="0"/>
                <w:szCs w:val="21"/>
                <w:highlight w:val="none"/>
              </w:rPr>
            </w:pPr>
          </w:p>
        </w:tc>
        <w:tc>
          <w:tcPr>
            <w:tcW w:w="1919" w:type="dxa"/>
            <w:vAlign w:val="center"/>
          </w:tcPr>
          <w:p w14:paraId="4C492CB9">
            <w:pPr>
              <w:pStyle w:val="7"/>
              <w:snapToGrid w:val="0"/>
              <w:spacing w:before="0" w:line="360" w:lineRule="auto"/>
              <w:jc w:val="center"/>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特别说明</w:t>
            </w:r>
          </w:p>
        </w:tc>
        <w:tc>
          <w:tcPr>
            <w:tcW w:w="7095" w:type="dxa"/>
            <w:vAlign w:val="center"/>
          </w:tcPr>
          <w:p w14:paraId="2C288696">
            <w:pPr>
              <w:pStyle w:val="49"/>
              <w:adjustRightInd w:val="0"/>
              <w:snapToGrid w:val="0"/>
              <w:spacing w:line="360" w:lineRule="auto"/>
              <w:ind w:firstLine="0" w:firstLineChars="0"/>
              <w:rPr>
                <w:b/>
                <w:bCs/>
                <w:highlight w:val="none"/>
              </w:rPr>
            </w:pPr>
            <w:r>
              <w:rPr>
                <w:rFonts w:cs="Arial"/>
                <w:b/>
                <w:highlight w:val="none"/>
              </w:rPr>
              <w:t>中标人应提供与电子投标文件内容一致的纸质投标文件</w:t>
            </w:r>
            <w:r>
              <w:rPr>
                <w:rFonts w:hint="eastAsia" w:cs="Arial"/>
                <w:b/>
                <w:highlight w:val="none"/>
              </w:rPr>
              <w:t>（资格审查资料、商务技术文件、报价文件）</w:t>
            </w:r>
            <w:r>
              <w:rPr>
                <w:rFonts w:cs="Arial"/>
                <w:b/>
                <w:highlight w:val="none"/>
              </w:rPr>
              <w:t>一正</w:t>
            </w:r>
            <w:r>
              <w:rPr>
                <w:rFonts w:hint="eastAsia" w:cs="Arial"/>
                <w:b/>
                <w:highlight w:val="none"/>
              </w:rPr>
              <w:t>三</w:t>
            </w:r>
            <w:r>
              <w:rPr>
                <w:rFonts w:cs="Arial"/>
                <w:b/>
                <w:highlight w:val="none"/>
              </w:rPr>
              <w:t>副</w:t>
            </w:r>
            <w:r>
              <w:rPr>
                <w:rFonts w:hint="eastAsia" w:cs="Arial"/>
                <w:b/>
                <w:highlight w:val="none"/>
              </w:rPr>
              <w:t>。</w:t>
            </w:r>
            <w:r>
              <w:rPr>
                <w:rFonts w:cs="Arial"/>
                <w:b/>
                <w:highlight w:val="none"/>
              </w:rPr>
              <w:t>中标人在领取中标通知书时提供纸质投标文件</w:t>
            </w:r>
            <w:r>
              <w:rPr>
                <w:rFonts w:hint="eastAsia" w:cs="Arial"/>
                <w:b/>
                <w:highlight w:val="none"/>
              </w:rPr>
              <w:t>。</w:t>
            </w:r>
          </w:p>
        </w:tc>
      </w:tr>
    </w:tbl>
    <w:p w14:paraId="258778CC">
      <w:pPr>
        <w:pStyle w:val="24"/>
        <w:ind w:left="0" w:leftChars="0" w:firstLine="0" w:firstLineChars="0"/>
        <w:rPr>
          <w:rFonts w:hint="eastAsia" w:ascii="宋体" w:hAnsi="宋体"/>
          <w:b/>
          <w:bCs/>
          <w:highlight w:val="none"/>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66C3CAE3">
      <w:pPr>
        <w:pStyle w:val="4"/>
        <w:spacing w:before="0" w:after="0" w:line="400" w:lineRule="exact"/>
        <w:jc w:val="center"/>
        <w:rPr>
          <w:rFonts w:hint="eastAsia" w:ascii="宋体" w:hAnsi="宋体"/>
          <w:highlight w:val="none"/>
        </w:rPr>
      </w:pPr>
      <w:bookmarkStart w:id="45" w:name="_Toc16502"/>
      <w:bookmarkStart w:id="46" w:name="_Toc262049416"/>
      <w:bookmarkStart w:id="47" w:name="_Toc221356949"/>
      <w:bookmarkStart w:id="48" w:name="_Toc221423617"/>
      <w:bookmarkStart w:id="49" w:name="_Toc239145352"/>
      <w:bookmarkStart w:id="50" w:name="_Toc249758862"/>
      <w:bookmarkStart w:id="51" w:name="_Toc246261263"/>
      <w:bookmarkStart w:id="52" w:name="_Toc245191312"/>
      <w:bookmarkStart w:id="53" w:name="_Toc241404200"/>
      <w:bookmarkStart w:id="54" w:name="_Toc262105501"/>
      <w:bookmarkStart w:id="55" w:name="_Toc245722279"/>
      <w:bookmarkStart w:id="56" w:name="_Toc221356884"/>
      <w:bookmarkStart w:id="57" w:name="_Toc223715996"/>
      <w:bookmarkStart w:id="58" w:name="_Toc410031814"/>
      <w:bookmarkStart w:id="59" w:name="_Toc221374624"/>
      <w:bookmarkStart w:id="60" w:name="_Toc249758710"/>
      <w:bookmarkStart w:id="61" w:name="_Toc222114877"/>
      <w:r>
        <w:rPr>
          <w:rFonts w:hint="eastAsia" w:ascii="宋体" w:hAnsi="宋体"/>
          <w:highlight w:val="none"/>
        </w:rPr>
        <w:br w:type="page"/>
      </w:r>
      <w:r>
        <w:rPr>
          <w:rFonts w:hint="eastAsia" w:ascii="宋体" w:hAnsi="宋体"/>
          <w:highlight w:val="none"/>
        </w:rPr>
        <w:t>一、总则</w:t>
      </w:r>
      <w:bookmarkEnd w:id="45"/>
    </w:p>
    <w:p w14:paraId="719DF2DD">
      <w:pPr>
        <w:pStyle w:val="6"/>
        <w:spacing w:line="360" w:lineRule="auto"/>
        <w:ind w:left="422" w:hanging="422"/>
        <w:rPr>
          <w:rFonts w:hint="eastAsia" w:ascii="宋体" w:hAnsi="宋体" w:cs="宋体"/>
          <w:sz w:val="21"/>
          <w:szCs w:val="21"/>
          <w:highlight w:val="none"/>
        </w:rPr>
      </w:pPr>
      <w:r>
        <w:rPr>
          <w:rFonts w:hint="eastAsia" w:ascii="宋体" w:hAnsi="宋体" w:cs="宋体"/>
          <w:b/>
          <w:sz w:val="21"/>
          <w:szCs w:val="21"/>
          <w:highlight w:val="none"/>
        </w:rPr>
        <w:t>1、适用范围</w:t>
      </w:r>
    </w:p>
    <w:p w14:paraId="57C2A1BC">
      <w:pPr>
        <w:pStyle w:val="6"/>
        <w:spacing w:line="360" w:lineRule="auto"/>
        <w:ind w:left="0" w:firstLine="420" w:firstLineChars="200"/>
        <w:rPr>
          <w:rFonts w:hint="eastAsia" w:ascii="宋体" w:hAnsi="宋体" w:cs="宋体"/>
          <w:kern w:val="0"/>
          <w:sz w:val="21"/>
          <w:szCs w:val="21"/>
          <w:highlight w:val="none"/>
        </w:rPr>
      </w:pPr>
      <w:r>
        <w:rPr>
          <w:rFonts w:hint="eastAsia" w:ascii="宋体" w:hAnsi="宋体" w:cs="宋体"/>
          <w:sz w:val="21"/>
          <w:szCs w:val="21"/>
          <w:highlight w:val="none"/>
        </w:rPr>
        <w:t>仅适用于本次采购文件中采购项目的招标、投标、评标、定标、验收、合同履约、付款等行为（法律、法规另有规定的，从其规定）。</w:t>
      </w:r>
    </w:p>
    <w:p w14:paraId="4AC97A43">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2、定义解释</w:t>
      </w:r>
    </w:p>
    <w:p w14:paraId="19E5F2B3">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2.1“采购代理机构”是指衢州市开成工程造价咨询事务所有限公司。</w:t>
      </w:r>
    </w:p>
    <w:p w14:paraId="1C0C1BF5">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2.2“采购人（单位）”是指</w:t>
      </w:r>
      <w:r>
        <w:rPr>
          <w:rFonts w:hint="eastAsia" w:ascii="宋体" w:hAnsi="宋体" w:cs="宋体"/>
          <w:sz w:val="21"/>
          <w:szCs w:val="21"/>
          <w:highlight w:val="none"/>
          <w:lang w:eastAsia="zh-CN"/>
        </w:rPr>
        <w:t>常山县城市项目建设中心</w:t>
      </w:r>
      <w:r>
        <w:rPr>
          <w:rFonts w:hint="eastAsia" w:ascii="宋体" w:hAnsi="宋体" w:cs="宋体"/>
          <w:sz w:val="21"/>
          <w:szCs w:val="21"/>
          <w:highlight w:val="none"/>
        </w:rPr>
        <w:t>。</w:t>
      </w:r>
    </w:p>
    <w:p w14:paraId="3B9DB55D">
      <w:pPr>
        <w:pStyle w:val="6"/>
        <w:spacing w:line="360" w:lineRule="auto"/>
        <w:ind w:left="420" w:hanging="420"/>
        <w:rPr>
          <w:rFonts w:hint="eastAsia" w:ascii="宋体" w:hAnsi="宋体" w:cs="宋体"/>
          <w:kern w:val="0"/>
          <w:sz w:val="21"/>
          <w:szCs w:val="21"/>
          <w:highlight w:val="none"/>
        </w:rPr>
      </w:pPr>
      <w:r>
        <w:rPr>
          <w:rFonts w:hint="eastAsia" w:ascii="宋体" w:hAnsi="宋体" w:cs="宋体"/>
          <w:sz w:val="21"/>
          <w:szCs w:val="21"/>
          <w:highlight w:val="none"/>
        </w:rPr>
        <w:t xml:space="preserve">    2.3“采购项目”是指本采购文件所要求的</w:t>
      </w:r>
      <w:r>
        <w:rPr>
          <w:rFonts w:hint="eastAsia" w:ascii="宋体" w:hAnsi="宋体" w:cs="宋体"/>
          <w:sz w:val="21"/>
          <w:szCs w:val="21"/>
          <w:highlight w:val="none"/>
          <w:lang w:eastAsia="zh-CN"/>
        </w:rPr>
        <w:t>展依山隧道建设工程超前地质预报与监控量测项目</w:t>
      </w:r>
      <w:r>
        <w:rPr>
          <w:rFonts w:hint="eastAsia" w:ascii="宋体" w:hAnsi="宋体" w:cs="宋体"/>
          <w:sz w:val="21"/>
          <w:szCs w:val="21"/>
          <w:highlight w:val="none"/>
        </w:rPr>
        <w:t>。</w:t>
      </w:r>
    </w:p>
    <w:p w14:paraId="7376A34C">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2.4“投标人（供应商）”是指获得采购文件并向采购代理机构提交投标文件的投标人。</w:t>
      </w:r>
    </w:p>
    <w:p w14:paraId="516BB2DF">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2.5“潜在投标人（供应商）”是指符合采购文件规定的投标人。</w:t>
      </w:r>
    </w:p>
    <w:p w14:paraId="68ED8751">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2.6 “中标人（成交供应商）”是指经评标委员会审查通过，并经公示无异议的投标人。</w:t>
      </w:r>
    </w:p>
    <w:p w14:paraId="4FE6D776">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2.7“投标人（供应商）代表”是指投标人法定代表人或投标人法定代表人授权委托的人。</w:t>
      </w:r>
    </w:p>
    <w:p w14:paraId="2E0EA062">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2.8“产品（货物）”是指按采购文件要求配置的一切设备、机械、仪器仪表、备品备件、工具、手册及其它有关技术资料和文字材料；</w:t>
      </w:r>
    </w:p>
    <w:p w14:paraId="79167664">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2.9“服务”在货物类采购项目中是指采购文件规定供方须承担的货物运输、操作使用、技术支持、培训、维修保养服务；在服务类采购项目是指采购内容本身及相关的售后技术支持、培训服务；</w:t>
      </w:r>
    </w:p>
    <w:p w14:paraId="4F4109A4">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2.10“书面形式”包括纸质文件、电子邮件、信函、传真等。</w:t>
      </w:r>
    </w:p>
    <w:p w14:paraId="594A0843">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2.11实质性响应：是指投标文件相关内容符合招标（采购）文件规定的实质性内容、条款和规定。</w:t>
      </w:r>
    </w:p>
    <w:p w14:paraId="06345D48">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2.12采购文件中所有标示“▲”的均为采购人提出的实质性条款，如未实质性响应的，将按无效投标处理。</w:t>
      </w:r>
    </w:p>
    <w:p w14:paraId="22E81CB6">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3、项目说明</w:t>
      </w:r>
    </w:p>
    <w:p w14:paraId="56FD0C41">
      <w:pPr>
        <w:pStyle w:val="6"/>
        <w:spacing w:line="360" w:lineRule="auto"/>
        <w:ind w:left="420" w:leftChars="200" w:firstLine="0" w:firstLineChars="0"/>
        <w:rPr>
          <w:rFonts w:hint="eastAsia" w:ascii="宋体" w:hAnsi="宋体" w:cs="宋体"/>
          <w:sz w:val="21"/>
          <w:szCs w:val="21"/>
          <w:highlight w:val="none"/>
        </w:rPr>
      </w:pPr>
      <w:r>
        <w:rPr>
          <w:rFonts w:hint="eastAsia" w:ascii="宋体" w:hAnsi="宋体" w:cs="宋体"/>
          <w:sz w:val="21"/>
          <w:szCs w:val="21"/>
          <w:highlight w:val="none"/>
        </w:rPr>
        <w:t>3.1本采购项目按照《中华人民共和国政府采购法》等有关法律、行政法规和部门规章，通过公开招标方式选定中标人。</w:t>
      </w:r>
    </w:p>
    <w:p w14:paraId="1F4E088A">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4、合格投标人的条件</w:t>
      </w:r>
    </w:p>
    <w:p w14:paraId="2494FBAB">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4.1凡符合本采购文件第一章招标公告投标人资格要求的均为合格的投标人。</w:t>
      </w:r>
    </w:p>
    <w:p w14:paraId="5154359B">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5、投标费用</w:t>
      </w:r>
    </w:p>
    <w:p w14:paraId="3C5898E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5.1投标人应承担参加本次投标有关的全部费用，无论结果如何，采购单位和采购代理机构在任何情况下均无义务和责任承担这些费用。</w:t>
      </w:r>
    </w:p>
    <w:p w14:paraId="5546331B">
      <w:pPr>
        <w:spacing w:line="440" w:lineRule="exact"/>
        <w:jc w:val="left"/>
        <w:rPr>
          <w:rFonts w:hint="eastAsia" w:ascii="宋体" w:hAnsi="宋体" w:cs="宋体"/>
          <w:b/>
          <w:bCs/>
          <w:szCs w:val="21"/>
          <w:highlight w:val="none"/>
        </w:rPr>
      </w:pPr>
      <w:r>
        <w:rPr>
          <w:rFonts w:hint="eastAsia" w:ascii="宋体" w:hAnsi="宋体" w:cs="宋体"/>
          <w:b/>
          <w:bCs/>
          <w:szCs w:val="21"/>
          <w:highlight w:val="none"/>
        </w:rPr>
        <w:t>7、特别说明</w:t>
      </w:r>
    </w:p>
    <w:p w14:paraId="29F7651A">
      <w:pPr>
        <w:pStyle w:val="55"/>
        <w:spacing w:line="360" w:lineRule="auto"/>
        <w:ind w:firstLine="420" w:firstLineChars="200"/>
        <w:rPr>
          <w:rFonts w:hint="eastAsia" w:ascii="宋体" w:hAnsi="宋体"/>
          <w:highlight w:val="none"/>
        </w:rPr>
      </w:pPr>
      <w:r>
        <w:rPr>
          <w:rFonts w:hint="eastAsia" w:ascii="宋体" w:hAnsi="宋体"/>
          <w:highlight w:val="none"/>
        </w:rPr>
        <w:t>7.1投标人投标所使用的资格、信誉、荣誉、业绩与企业认证必须为本企业所拥有。投标人投标所使用的采购项目实施人员可以为其控股公司的工作人员。</w:t>
      </w:r>
    </w:p>
    <w:p w14:paraId="65068BC9">
      <w:pPr>
        <w:pStyle w:val="55"/>
        <w:spacing w:line="360" w:lineRule="auto"/>
        <w:ind w:firstLine="420" w:firstLineChars="200"/>
        <w:rPr>
          <w:rFonts w:hint="eastAsia" w:ascii="宋体" w:hAnsi="宋体"/>
          <w:highlight w:val="none"/>
        </w:rPr>
      </w:pPr>
      <w:r>
        <w:rPr>
          <w:rFonts w:hint="eastAsia" w:ascii="宋体" w:hAnsi="宋体"/>
          <w:highlight w:val="none"/>
        </w:rPr>
        <w:t>7.2投标人在投标活动中提供任何虚假材料或从事其他违法活动的,其投标无效，并报监管部门查处；成交后发现的,中标人须依照《中华人民共和国消费者权益保护法》第49条之规定双倍赔偿采购单位。且民事赔偿并不免除违法投标人的行政与刑事责任。</w:t>
      </w:r>
    </w:p>
    <w:p w14:paraId="7856A2FC">
      <w:pPr>
        <w:pStyle w:val="55"/>
        <w:spacing w:line="360" w:lineRule="auto"/>
        <w:ind w:firstLine="420" w:firstLineChars="200"/>
        <w:rPr>
          <w:rFonts w:hint="eastAsia" w:ascii="宋体" w:hAnsi="宋体"/>
          <w:highlight w:val="none"/>
        </w:rPr>
      </w:pPr>
      <w:r>
        <w:rPr>
          <w:rFonts w:hint="eastAsia" w:ascii="宋体" w:hAnsi="宋体"/>
          <w:highlight w:val="none"/>
        </w:rPr>
        <w:t>7.3投标人应仔细阅读采购文件的所有内容，按照采购文件的要求提交投标文件。投标文件应对采购文件的要求作出实质性响应，并对所提供的全部资料的真实性承担法律责任。</w:t>
      </w:r>
    </w:p>
    <w:p w14:paraId="57453E92">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71EDB0B7">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0DC75ED5">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非单一产品采购项目，采购人应当根据采购项目技术构成、产品价格比重等合理确定核心产品，并在采购文件中载明。多家投标人提供的核心产品品牌相同的，按前两款规定处理。</w:t>
      </w:r>
    </w:p>
    <w:p w14:paraId="57BAC232">
      <w:pPr>
        <w:autoSpaceDE w:val="0"/>
        <w:autoSpaceDN w:val="0"/>
        <w:adjustRightInd w:val="0"/>
        <w:spacing w:line="300" w:lineRule="auto"/>
        <w:ind w:firstLine="211" w:firstLineChars="100"/>
        <w:jc w:val="left"/>
        <w:rPr>
          <w:rFonts w:ascii="宋体" w:cs="宋体"/>
          <w:b/>
          <w:color w:val="000000"/>
          <w:szCs w:val="21"/>
          <w:highlight w:val="none"/>
          <w:lang w:val="zh-CN"/>
        </w:rPr>
      </w:pPr>
      <w:r>
        <w:rPr>
          <w:rFonts w:hint="eastAsia" w:ascii="宋体" w:hAnsi="宋体" w:cs="宋体"/>
          <w:b/>
          <w:color w:val="000000"/>
          <w:szCs w:val="21"/>
          <w:highlight w:val="none"/>
          <w:lang w:val="en-US" w:eastAsia="zh-CN"/>
        </w:rPr>
        <w:t>8</w:t>
      </w:r>
      <w:r>
        <w:rPr>
          <w:rFonts w:hint="eastAsia" w:ascii="宋体" w:hAnsi="宋体" w:cs="宋体"/>
          <w:b/>
          <w:color w:val="000000"/>
          <w:szCs w:val="21"/>
          <w:highlight w:val="none"/>
        </w:rPr>
        <w:t>.</w:t>
      </w:r>
      <w:r>
        <w:rPr>
          <w:rFonts w:hint="eastAsia" w:ascii="宋体" w:hAnsi="宋体" w:cs="宋体"/>
          <w:b/>
          <w:color w:val="000000"/>
          <w:szCs w:val="21"/>
          <w:highlight w:val="none"/>
          <w:lang w:val="zh-CN"/>
        </w:rPr>
        <w:t>联合体响应：</w:t>
      </w:r>
    </w:p>
    <w:p w14:paraId="71316613">
      <w:pPr>
        <w:autoSpaceDE w:val="0"/>
        <w:autoSpaceDN w:val="0"/>
        <w:adjustRightInd w:val="0"/>
        <w:spacing w:line="300" w:lineRule="auto"/>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rPr>
        <w:t>本项目接受联合体投标，以联合体投标的供应商，需遵守以下规定：</w:t>
      </w:r>
    </w:p>
    <w:p w14:paraId="2E7E65C2">
      <w:pPr>
        <w:spacing w:line="440" w:lineRule="exact"/>
        <w:ind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.1联合体投标的，联合体成员家数上限为二家。</w:t>
      </w:r>
    </w:p>
    <w:p w14:paraId="4084897A">
      <w:pPr>
        <w:spacing w:line="440" w:lineRule="exact"/>
        <w:ind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.2联合体投标的，响应文件由牵头人盖章、签署，对联合体各方均具有约束力；</w:t>
      </w:r>
    </w:p>
    <w:p w14:paraId="73ECE67A">
      <w:pPr>
        <w:spacing w:line="440" w:lineRule="exact"/>
        <w:ind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.3联合体投标的，联合体各方分别拥有的荣誉（奖项）、业绩、企业认证等，以及由各方根据联合体投标协议书【格式见附件】约定的拟承担工作内容分别派出的相关技术力量均视为联合体拥有。</w:t>
      </w:r>
    </w:p>
    <w:p w14:paraId="008D4283">
      <w:pPr>
        <w:spacing w:line="440" w:lineRule="exact"/>
        <w:ind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4联合体各方之间须签订联合体投标协议书【格式见附件】，指定本项目牵头人，明确约定联合体各方承担的工作和相应的责任以及各方的协议合同金额比例，并将联合体投标协议书作为响应文件“资格文件”的组成部分；项目的主体、关键性工作须由牵头人完成，并在投标联合协议中进行说明；</w:t>
      </w:r>
    </w:p>
    <w:p w14:paraId="3D1818FC">
      <w:pPr>
        <w:spacing w:line="440" w:lineRule="exact"/>
        <w:ind w:firstLine="420" w:firstLineChars="200"/>
        <w:textAlignment w:val="baseline"/>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.5联合体各方签订联合体投标协议书后，不得再以自己名义单独在本项目中参加投标，也不得组成新的联合体参加本项目投标；</w:t>
      </w:r>
    </w:p>
    <w:p w14:paraId="3BAFF69F">
      <w:pPr>
        <w:spacing w:line="440" w:lineRule="exact"/>
        <w:ind w:firstLine="420" w:firstLineChars="200"/>
        <w:textAlignment w:val="baseline"/>
        <w:rPr>
          <w:rFonts w:hint="eastAsia"/>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.6联合体各方应当共同与采购人签订采购合同，就采购合同约定的事项对采购人承担连带责任。</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22463869">
      <w:pPr>
        <w:pStyle w:val="4"/>
        <w:spacing w:before="0" w:after="0" w:line="360" w:lineRule="auto"/>
        <w:jc w:val="center"/>
        <w:rPr>
          <w:rFonts w:hint="eastAsia" w:ascii="宋体" w:hAnsi="宋体"/>
          <w:highlight w:val="none"/>
        </w:rPr>
      </w:pPr>
      <w:bookmarkStart w:id="62" w:name="_Toc15395"/>
      <w:bookmarkStart w:id="63" w:name="_Toc245722280"/>
      <w:bookmarkStart w:id="64" w:name="_Toc241404201"/>
      <w:bookmarkStart w:id="65" w:name="_Toc262049417"/>
      <w:bookmarkStart w:id="66" w:name="_Toc239145353"/>
      <w:bookmarkStart w:id="67" w:name="_Toc246261264"/>
      <w:bookmarkStart w:id="68" w:name="_Toc221374625"/>
      <w:bookmarkStart w:id="69" w:name="_Toc223715997"/>
      <w:bookmarkStart w:id="70" w:name="_Toc249758863"/>
      <w:bookmarkStart w:id="71" w:name="_Toc249758711"/>
      <w:bookmarkStart w:id="72" w:name="_Toc221423618"/>
      <w:bookmarkStart w:id="73" w:name="_Toc410031815"/>
      <w:bookmarkStart w:id="74" w:name="_Toc222114878"/>
      <w:bookmarkStart w:id="75" w:name="_Toc245191313"/>
      <w:bookmarkStart w:id="76" w:name="_Toc221356885"/>
      <w:bookmarkStart w:id="77" w:name="_Toc262105502"/>
      <w:bookmarkStart w:id="78" w:name="_Toc221356950"/>
      <w:r>
        <w:rPr>
          <w:rFonts w:ascii="宋体" w:hAnsi="宋体"/>
          <w:highlight w:val="none"/>
        </w:rPr>
        <w:t>二</w:t>
      </w:r>
      <w:r>
        <w:rPr>
          <w:rFonts w:hint="eastAsia" w:ascii="宋体" w:hAnsi="宋体"/>
          <w:highlight w:val="none"/>
        </w:rPr>
        <w:t>、采购文件</w:t>
      </w:r>
      <w:bookmarkEnd w:id="62"/>
    </w:p>
    <w:p w14:paraId="76D752C2">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1、采购文件的组成</w:t>
      </w:r>
    </w:p>
    <w:p w14:paraId="633AE015">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1.1采购文件由以下部分组成：</w:t>
      </w:r>
    </w:p>
    <w:p w14:paraId="7CCCD62F">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第一章 招标公告</w:t>
      </w:r>
    </w:p>
    <w:p w14:paraId="547475D7">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第二章 投标人须知</w:t>
      </w:r>
    </w:p>
    <w:p w14:paraId="22654584">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第三章 招标内容及要求</w:t>
      </w:r>
    </w:p>
    <w:p w14:paraId="57F7DEED">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第四章 合同主要条款</w:t>
      </w:r>
    </w:p>
    <w:p w14:paraId="1DF34FB8">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第五章 评标原则及办法</w:t>
      </w:r>
    </w:p>
    <w:p w14:paraId="0C76DE76">
      <w:pPr>
        <w:pStyle w:val="6"/>
        <w:spacing w:line="360" w:lineRule="auto"/>
        <w:ind w:left="420" w:leftChars="200" w:firstLine="0" w:firstLineChars="0"/>
        <w:rPr>
          <w:rFonts w:hint="eastAsia" w:ascii="宋体" w:hAnsi="宋体" w:cs="宋体"/>
          <w:sz w:val="21"/>
          <w:szCs w:val="21"/>
          <w:highlight w:val="none"/>
        </w:rPr>
      </w:pPr>
      <w:r>
        <w:rPr>
          <w:rFonts w:hint="eastAsia" w:ascii="宋体" w:hAnsi="宋体" w:cs="宋体"/>
          <w:sz w:val="21"/>
          <w:szCs w:val="21"/>
          <w:highlight w:val="none"/>
        </w:rPr>
        <w:t>第六章 投标文件格式</w:t>
      </w:r>
    </w:p>
    <w:p w14:paraId="104A614C">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1.2除上条1.1内容外，采购人、采购代理机构在规定时间前，以书面形式发出的对采购文件的澄清或修改内容，均为采购文件的组成部分。</w:t>
      </w:r>
    </w:p>
    <w:p w14:paraId="0D20E9BB">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1.3投标人获取采购文件后，应仔细检查采购文件的所有内容，如有残缺等问题，应在获得采购文件3日内向采购单位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01991C43">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2、采购文件的澄清与修改</w:t>
      </w:r>
    </w:p>
    <w:p w14:paraId="177D8743">
      <w:pPr>
        <w:pStyle w:val="11"/>
        <w:snapToGrid w:val="0"/>
        <w:spacing w:line="360" w:lineRule="auto"/>
        <w:ind w:firstLine="420" w:firstLineChars="200"/>
        <w:rPr>
          <w:rFonts w:hint="eastAsia" w:hAnsi="宋体"/>
          <w:highlight w:val="none"/>
        </w:rPr>
      </w:pPr>
      <w:r>
        <w:rPr>
          <w:rFonts w:hint="eastAsia" w:hAnsi="宋体"/>
          <w:highlight w:val="none"/>
        </w:rPr>
        <w:t>2.1</w:t>
      </w:r>
      <w:r>
        <w:rPr>
          <w:rFonts w:hAnsi="宋体"/>
          <w:bCs/>
          <w:highlight w:val="none"/>
        </w:rPr>
        <w:t>投标人应认真阅读本采购文件，发现其中有误或有不合理要求的，投标人</w:t>
      </w:r>
      <w:r>
        <w:rPr>
          <w:rFonts w:hint="eastAsia" w:hAnsi="宋体"/>
          <w:bCs/>
          <w:highlight w:val="none"/>
        </w:rPr>
        <w:t>应当自知道或者应当知道其合法权益受到损害之日起七个工作日内</w:t>
      </w:r>
      <w:r>
        <w:rPr>
          <w:rFonts w:hAnsi="宋体"/>
          <w:bCs/>
          <w:highlight w:val="none"/>
        </w:rPr>
        <w:t>以书面形式</w:t>
      </w:r>
      <w:r>
        <w:rPr>
          <w:rFonts w:hint="eastAsia" w:hAnsi="宋体"/>
          <w:bCs/>
          <w:highlight w:val="none"/>
        </w:rPr>
        <w:t>向采购人、采购代理机构提出质疑</w:t>
      </w:r>
      <w:r>
        <w:rPr>
          <w:rFonts w:hAnsi="宋体"/>
          <w:highlight w:val="none"/>
        </w:rPr>
        <w:t>。</w:t>
      </w:r>
      <w:r>
        <w:rPr>
          <w:rFonts w:hint="eastAsia" w:hAnsi="宋体"/>
          <w:highlight w:val="none"/>
        </w:rPr>
        <w:t>采购人或采购代理机构</w:t>
      </w:r>
      <w:r>
        <w:rPr>
          <w:rFonts w:hAnsi="宋体"/>
          <w:highlight w:val="none"/>
        </w:rPr>
        <w:t>对已发出的采购文件进行必要澄清、答复、修改或补充的，</w:t>
      </w:r>
      <w:r>
        <w:rPr>
          <w:rFonts w:hint="eastAsia" w:hAnsi="宋体"/>
          <w:highlight w:val="none"/>
        </w:rPr>
        <w:t>在</w:t>
      </w:r>
      <w:r>
        <w:rPr>
          <w:rFonts w:hAnsi="宋体"/>
          <w:spacing w:val="-4"/>
          <w:highlight w:val="none"/>
        </w:rPr>
        <w:t>原公告发布媒体上</w:t>
      </w:r>
      <w:r>
        <w:rPr>
          <w:rFonts w:hAnsi="宋体"/>
          <w:highlight w:val="none"/>
        </w:rPr>
        <w:t>发布</w:t>
      </w:r>
      <w:r>
        <w:rPr>
          <w:rFonts w:hint="eastAsia" w:hAnsi="宋体"/>
          <w:highlight w:val="none"/>
        </w:rPr>
        <w:t>澄清（</w:t>
      </w:r>
      <w:r>
        <w:rPr>
          <w:rFonts w:hAnsi="宋体"/>
          <w:highlight w:val="none"/>
        </w:rPr>
        <w:t>更正</w:t>
      </w:r>
      <w:r>
        <w:rPr>
          <w:rFonts w:hint="eastAsia" w:hAnsi="宋体"/>
          <w:highlight w:val="none"/>
        </w:rPr>
        <w:t>）</w:t>
      </w:r>
      <w:r>
        <w:rPr>
          <w:rFonts w:hAnsi="宋体"/>
          <w:highlight w:val="none"/>
        </w:rPr>
        <w:t>公告</w:t>
      </w:r>
      <w:r>
        <w:rPr>
          <w:rFonts w:hint="eastAsia" w:hAnsi="宋体"/>
          <w:highlight w:val="none"/>
        </w:rPr>
        <w:t>。澄清或者修改的内容可能影响投标文件编制的，应当在投标截止时间至少15日前，以书面形式通知所有获取采购文件的潜在投标人；不足15日的，将顺延提交投标文件的截止时间。</w:t>
      </w:r>
    </w:p>
    <w:p w14:paraId="45D1BE6C">
      <w:pPr>
        <w:pStyle w:val="11"/>
        <w:snapToGrid w:val="0"/>
        <w:spacing w:line="360" w:lineRule="auto"/>
        <w:ind w:firstLine="420" w:firstLineChars="200"/>
        <w:rPr>
          <w:rFonts w:hint="eastAsia" w:hAnsi="宋体"/>
          <w:highlight w:val="none"/>
        </w:rPr>
      </w:pPr>
      <w:r>
        <w:rPr>
          <w:rFonts w:hAnsi="宋体"/>
          <w:highlight w:val="none"/>
        </w:rPr>
        <w:t>2</w:t>
      </w:r>
      <w:r>
        <w:rPr>
          <w:rFonts w:hint="eastAsia" w:hAnsi="宋体"/>
          <w:highlight w:val="none"/>
        </w:rPr>
        <w:t>.2采购人、采购代理机构</w:t>
      </w:r>
      <w:r>
        <w:rPr>
          <w:rFonts w:hAnsi="宋体"/>
          <w:highlight w:val="none"/>
        </w:rPr>
        <w:t>必须以书面形式答复投标人要求澄清的问题，并将不包含问题来源的答复书面通知所有购买采购文件的投标人；除书面答复以外的其他澄清方式及澄清内容均无效。</w:t>
      </w:r>
    </w:p>
    <w:p w14:paraId="6E40D886">
      <w:pPr>
        <w:pStyle w:val="11"/>
        <w:snapToGrid w:val="0"/>
        <w:spacing w:line="360" w:lineRule="auto"/>
        <w:ind w:firstLine="420" w:firstLineChars="200"/>
        <w:rPr>
          <w:rFonts w:hint="eastAsia" w:hAnsi="宋体"/>
          <w:highlight w:val="none"/>
        </w:rPr>
      </w:pPr>
      <w:r>
        <w:rPr>
          <w:rFonts w:hint="eastAsia" w:hAnsi="宋体"/>
          <w:highlight w:val="none"/>
        </w:rPr>
        <w:t>2.3</w:t>
      </w:r>
      <w:r>
        <w:rPr>
          <w:rFonts w:hAnsi="宋体"/>
          <w:highlight w:val="none"/>
        </w:rPr>
        <w:t>采购文件澄清、答复、修改、补充的内容为采购文件的组成部分。当采购文件与采购文件的答复、澄清、修改、补充通知就同一内容的表述不一致时，以最后发出的书面文件为准。</w:t>
      </w:r>
    </w:p>
    <w:p w14:paraId="5F8B173E">
      <w:pPr>
        <w:pStyle w:val="4"/>
        <w:spacing w:before="0" w:after="0" w:line="360" w:lineRule="auto"/>
        <w:jc w:val="center"/>
        <w:rPr>
          <w:rFonts w:hint="eastAsia" w:ascii="宋体" w:hAnsi="宋体"/>
          <w:highlight w:val="none"/>
        </w:rPr>
      </w:pPr>
      <w:bookmarkStart w:id="79" w:name="_Toc1105"/>
      <w:r>
        <w:rPr>
          <w:rFonts w:ascii="宋体" w:hAnsi="宋体"/>
          <w:highlight w:val="none"/>
        </w:rPr>
        <w:t>三</w:t>
      </w:r>
      <w:r>
        <w:rPr>
          <w:rFonts w:hint="eastAsia" w:ascii="宋体" w:hAnsi="宋体"/>
          <w:highlight w:val="none"/>
        </w:rPr>
        <w:t>、</w:t>
      </w:r>
      <w:r>
        <w:rPr>
          <w:rFonts w:ascii="宋体" w:hAnsi="宋体"/>
          <w:highlight w:val="none"/>
        </w:rPr>
        <w:t>投标文件</w:t>
      </w:r>
      <w:bookmarkEnd w:id="79"/>
    </w:p>
    <w:p w14:paraId="741F3865">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1、投标文件的语言及度量衡单位</w:t>
      </w:r>
    </w:p>
    <w:p w14:paraId="4D598AFB">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1.1除采购货物有关专用名称外，投标文件和与投标有关的所有文件说明均应使用中文。</w:t>
      </w:r>
    </w:p>
    <w:p w14:paraId="4AF96639">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1.2除采购项目规范另有规定外，投标文件使用的度量衡单位，均采用中华人民共和国法定计量单位。</w:t>
      </w:r>
    </w:p>
    <w:p w14:paraId="429123ED">
      <w:pPr>
        <w:snapToGrid w:val="0"/>
        <w:spacing w:line="360" w:lineRule="auto"/>
        <w:rPr>
          <w:rFonts w:hint="eastAsia" w:ascii="宋体" w:hAnsi="宋体" w:cs="宋体"/>
          <w:szCs w:val="21"/>
          <w:highlight w:val="none"/>
        </w:rPr>
      </w:pPr>
      <w:r>
        <w:rPr>
          <w:rFonts w:hint="eastAsia" w:ascii="宋体" w:hAnsi="宋体" w:cs="宋体"/>
          <w:b/>
          <w:szCs w:val="21"/>
          <w:highlight w:val="none"/>
        </w:rPr>
        <w:t>2、投标文件的形式和效力</w:t>
      </w:r>
    </w:p>
    <w:p w14:paraId="372671A4">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2.1投标文件</w:t>
      </w:r>
      <w:r>
        <w:rPr>
          <w:rFonts w:hint="eastAsia" w:ascii="宋体" w:hAnsi="宋体" w:cs="宋体"/>
          <w:b/>
          <w:bCs/>
          <w:szCs w:val="21"/>
          <w:highlight w:val="none"/>
        </w:rPr>
        <w:t>按政府采购云平台</w:t>
      </w:r>
      <w:r>
        <w:rPr>
          <w:rFonts w:hint="eastAsia" w:ascii="宋体" w:hAnsi="宋体" w:cs="Arial"/>
          <w:b/>
          <w:bCs/>
          <w:kern w:val="0"/>
          <w:szCs w:val="21"/>
          <w:highlight w:val="none"/>
        </w:rPr>
        <w:t>“供应商-政府采购项目电子交易操作指南”</w:t>
      </w:r>
      <w:r>
        <w:rPr>
          <w:rFonts w:hint="eastAsia" w:ascii="宋体" w:hAnsi="宋体" w:cs="宋体"/>
          <w:b/>
          <w:szCs w:val="21"/>
          <w:highlight w:val="none"/>
        </w:rPr>
        <w:t>及本采购文件要求制作、加密并递交。</w:t>
      </w:r>
    </w:p>
    <w:p w14:paraId="1A761A9B">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3、投标文件的组成</w:t>
      </w:r>
    </w:p>
    <w:p w14:paraId="7653434C">
      <w:pPr>
        <w:tabs>
          <w:tab w:val="left" w:pos="0"/>
          <w:tab w:val="left" w:pos="900"/>
          <w:tab w:val="left" w:pos="7020"/>
          <w:tab w:val="left" w:pos="8460"/>
        </w:tabs>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2.1投标文件由资格审查资料、商务技术文件、报价文件三部分组成。</w:t>
      </w:r>
      <w:r>
        <w:rPr>
          <w:rFonts w:hint="eastAsia" w:ascii="宋体" w:hAnsi="宋体" w:cs="宋体"/>
          <w:b/>
          <w:szCs w:val="21"/>
          <w:highlight w:val="none"/>
        </w:rPr>
        <w:t>投标文件中所须加盖公章部分均采用CA签章。</w:t>
      </w:r>
    </w:p>
    <w:p w14:paraId="0780902A">
      <w:pPr>
        <w:pStyle w:val="6"/>
        <w:numPr>
          <w:ilvl w:val="0"/>
          <w:numId w:val="3"/>
        </w:numPr>
        <w:spacing w:line="440" w:lineRule="exact"/>
        <w:ind w:firstLineChars="0"/>
        <w:rPr>
          <w:rFonts w:hint="eastAsia" w:ascii="宋体" w:hAnsi="宋体" w:cs="宋体"/>
          <w:b/>
          <w:bCs/>
          <w:sz w:val="21"/>
          <w:szCs w:val="21"/>
          <w:highlight w:val="none"/>
        </w:rPr>
      </w:pPr>
      <w:r>
        <w:rPr>
          <w:rFonts w:hint="eastAsia" w:ascii="宋体" w:hAnsi="宋体" w:cs="宋体"/>
          <w:b/>
          <w:bCs/>
          <w:sz w:val="21"/>
          <w:szCs w:val="21"/>
          <w:highlight w:val="none"/>
        </w:rPr>
        <w:t>资格审查资料的组成：</w:t>
      </w:r>
    </w:p>
    <w:p w14:paraId="7CAD2C72">
      <w:pPr>
        <w:spacing w:line="360" w:lineRule="auto"/>
        <w:ind w:firstLine="420" w:firstLineChars="200"/>
        <w:rPr>
          <w:highlight w:val="none"/>
        </w:rPr>
      </w:pPr>
      <w:r>
        <w:rPr>
          <w:rFonts w:hint="eastAsia"/>
          <w:highlight w:val="none"/>
        </w:rPr>
        <w:t>1）有效期内的营业执照原件扫描件；</w:t>
      </w:r>
    </w:p>
    <w:p w14:paraId="0C8B5107">
      <w:pPr>
        <w:spacing w:line="360" w:lineRule="auto"/>
        <w:ind w:firstLine="420" w:firstLineChars="200"/>
        <w:rPr>
          <w:rFonts w:hint="eastAsia"/>
          <w:highlight w:val="none"/>
        </w:rPr>
      </w:pPr>
      <w:r>
        <w:rPr>
          <w:rFonts w:hint="eastAsia"/>
          <w:highlight w:val="none"/>
        </w:rPr>
        <w:t>2）</w:t>
      </w:r>
      <w:r>
        <w:rPr>
          <w:highlight w:val="none"/>
        </w:rPr>
        <w:t>法定代表人身份证明</w:t>
      </w:r>
      <w:r>
        <w:rPr>
          <w:rFonts w:hint="eastAsia"/>
          <w:highlight w:val="none"/>
        </w:rPr>
        <w:t>【格式见附件】</w:t>
      </w:r>
      <w:r>
        <w:rPr>
          <w:highlight w:val="none"/>
        </w:rPr>
        <w:t>（</w:t>
      </w:r>
      <w:r>
        <w:rPr>
          <w:rFonts w:hint="eastAsia"/>
          <w:highlight w:val="none"/>
        </w:rPr>
        <w:t>供应商代表为</w:t>
      </w:r>
      <w:r>
        <w:rPr>
          <w:highlight w:val="none"/>
        </w:rPr>
        <w:t>法定代表人</w:t>
      </w:r>
      <w:r>
        <w:rPr>
          <w:rFonts w:hint="eastAsia"/>
          <w:highlight w:val="none"/>
        </w:rPr>
        <w:t>时</w:t>
      </w:r>
      <w:r>
        <w:rPr>
          <w:highlight w:val="none"/>
        </w:rPr>
        <w:t>提供）或法定代表人授权委托书</w:t>
      </w:r>
      <w:r>
        <w:rPr>
          <w:rFonts w:hint="eastAsia"/>
          <w:highlight w:val="none"/>
        </w:rPr>
        <w:t>【格式见附件】</w:t>
      </w:r>
      <w:r>
        <w:rPr>
          <w:highlight w:val="none"/>
        </w:rPr>
        <w:t>（</w:t>
      </w:r>
      <w:r>
        <w:rPr>
          <w:rFonts w:hint="eastAsia"/>
          <w:highlight w:val="none"/>
        </w:rPr>
        <w:t>供应商代表为授权委托人时</w:t>
      </w:r>
      <w:r>
        <w:rPr>
          <w:highlight w:val="none"/>
        </w:rPr>
        <w:t>提供）</w:t>
      </w:r>
      <w:r>
        <w:rPr>
          <w:rFonts w:hint="eastAsia"/>
          <w:highlight w:val="none"/>
        </w:rPr>
        <w:t>；（电子标书内法定代表人授权委托书需签字的可线下签字后再将其放入线上投标文件内）。</w:t>
      </w:r>
    </w:p>
    <w:p w14:paraId="4C98B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3）符合参与政府采购活动资格条件的承诺函【详见附件】；</w:t>
      </w:r>
    </w:p>
    <w:p w14:paraId="03F6E7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zh-CN"/>
        </w:rPr>
      </w:pPr>
      <w:r>
        <w:rPr>
          <w:rFonts w:hint="eastAsia"/>
          <w:highlight w:val="none"/>
        </w:rPr>
        <w:t>4</w:t>
      </w:r>
      <w:r>
        <w:rPr>
          <w:rFonts w:hint="eastAsia"/>
          <w:highlight w:val="none"/>
          <w:lang w:val="zh-CN"/>
        </w:rPr>
        <w:t>）特定资格条件的有效证明材料扫描件；如省外企业还需提供浙江省住建厅出具的《省外企业进浙承接业务备案证明》或提供“浙江省建筑市场监管公共服务系统发布的备案信息截图”并加盖投标人公章。</w:t>
      </w:r>
    </w:p>
    <w:p w14:paraId="64D6F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5）</w:t>
      </w:r>
      <w:r>
        <w:rPr>
          <w:rFonts w:hint="eastAsia" w:ascii="宋体" w:hAnsi="宋体" w:cs="宋体"/>
          <w:color w:val="000000"/>
          <w:szCs w:val="21"/>
          <w:highlight w:val="none"/>
          <w:lang w:val="zh-CN"/>
        </w:rPr>
        <w:t>联合体投标协议书</w:t>
      </w:r>
      <w:r>
        <w:rPr>
          <w:rFonts w:hint="eastAsia" w:ascii="宋体" w:hAnsi="宋体" w:cs="宋体"/>
          <w:b/>
          <w:bCs/>
          <w:color w:val="000000"/>
          <w:szCs w:val="21"/>
          <w:highlight w:val="none"/>
          <w:lang w:val="zh-CN"/>
        </w:rPr>
        <w:t>扫描件</w:t>
      </w:r>
      <w:r>
        <w:rPr>
          <w:rFonts w:hint="eastAsia" w:ascii="宋体" w:hAnsi="宋体" w:cs="宋体"/>
          <w:color w:val="000000"/>
          <w:szCs w:val="21"/>
          <w:highlight w:val="none"/>
          <w:lang w:val="zh-CN"/>
        </w:rPr>
        <w:t>（格式见附件）【非联合体投标，无需提供】</w:t>
      </w:r>
      <w:r>
        <w:rPr>
          <w:rFonts w:hint="eastAsia"/>
          <w:highlight w:val="none"/>
          <w:lang w:val="en-US" w:eastAsia="zh-CN"/>
        </w:rPr>
        <w:t>；</w:t>
      </w:r>
    </w:p>
    <w:p w14:paraId="1042D20F">
      <w:pPr>
        <w:tabs>
          <w:tab w:val="left" w:pos="720"/>
          <w:tab w:val="left" w:pos="5355"/>
        </w:tabs>
        <w:spacing w:line="50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注：1、资格审查资料应包含以上所有内容，投标人的提供资格审查资料不完整的或不符合招标文件要求的，则资格审查不予通过。</w:t>
      </w:r>
      <w:r>
        <w:rPr>
          <w:rFonts w:hint="eastAsia" w:ascii="宋体" w:hAnsi="宋体"/>
          <w:b/>
          <w:bCs/>
          <w:highlight w:val="none"/>
        </w:rPr>
        <w:t>1）-</w:t>
      </w:r>
      <w:r>
        <w:rPr>
          <w:rFonts w:hint="eastAsia" w:ascii="宋体" w:hAnsi="宋体"/>
          <w:b/>
          <w:bCs/>
          <w:highlight w:val="none"/>
          <w:lang w:val="en-US" w:eastAsia="zh-CN"/>
        </w:rPr>
        <w:t>5</w:t>
      </w:r>
      <w:r>
        <w:rPr>
          <w:rFonts w:hint="eastAsia" w:ascii="宋体" w:hAnsi="宋体"/>
          <w:b/>
          <w:bCs/>
          <w:highlight w:val="none"/>
        </w:rPr>
        <w:t>）项以联合体参加投标的，联合体各方均需提供。联合体投标的，由联合体牵头人代表联合体所有成员上传投标文件、签字、盖章。</w:t>
      </w:r>
    </w:p>
    <w:p w14:paraId="368EB526">
      <w:pPr>
        <w:pStyle w:val="6"/>
        <w:spacing w:line="360" w:lineRule="auto"/>
        <w:ind w:left="422" w:hanging="422"/>
        <w:rPr>
          <w:rFonts w:hint="eastAsia" w:ascii="宋体" w:hAnsi="宋体" w:cs="宋体"/>
          <w:b/>
          <w:bCs/>
          <w:sz w:val="21"/>
          <w:szCs w:val="21"/>
          <w:highlight w:val="none"/>
        </w:rPr>
      </w:pPr>
      <w:r>
        <w:rPr>
          <w:rFonts w:hint="eastAsia" w:ascii="宋体" w:hAnsi="宋体" w:cs="宋体"/>
          <w:b/>
          <w:bCs/>
          <w:sz w:val="21"/>
          <w:szCs w:val="21"/>
          <w:highlight w:val="none"/>
        </w:rPr>
        <w:t xml:space="preserve">    2、商务技术文件（请附“供应商自评表”【格式见附件】，以便评审）：</w:t>
      </w:r>
    </w:p>
    <w:p w14:paraId="21BC8753">
      <w:pPr>
        <w:pStyle w:val="22"/>
        <w:widowControl w:val="0"/>
        <w:spacing w:before="0" w:beforeAutospacing="0" w:after="0" w:afterAutospacing="0" w:line="360" w:lineRule="auto"/>
        <w:ind w:left="422" w:hanging="422" w:hangingChars="200"/>
        <w:jc w:val="both"/>
        <w:rPr>
          <w:rFonts w:hint="eastAsia" w:cs="宋体"/>
          <w:b/>
          <w:sz w:val="21"/>
          <w:szCs w:val="21"/>
          <w:highlight w:val="none"/>
        </w:rPr>
      </w:pPr>
      <w:r>
        <w:rPr>
          <w:rFonts w:hint="eastAsia" w:cs="宋体"/>
          <w:b/>
          <w:kern w:val="2"/>
          <w:sz w:val="21"/>
          <w:szCs w:val="21"/>
          <w:highlight w:val="none"/>
          <w:lang w:bidi="ar"/>
        </w:rPr>
        <w:t xml:space="preserve">  （1）商务部分</w:t>
      </w:r>
    </w:p>
    <w:p w14:paraId="3B4BFF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1）投标声明书【格式见附件】；</w:t>
      </w:r>
    </w:p>
    <w:p w14:paraId="4126D0C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2）投标人基本情况表【格式见附件】；</w:t>
      </w:r>
    </w:p>
    <w:p w14:paraId="0259D9E3">
      <w:pPr>
        <w:spacing w:line="360" w:lineRule="auto"/>
        <w:ind w:firstLine="420" w:firstLineChars="200"/>
        <w:rPr>
          <w:highlight w:val="none"/>
        </w:rPr>
      </w:pPr>
      <w:r>
        <w:rPr>
          <w:rFonts w:hint="eastAsia" w:ascii="宋体" w:hAnsi="宋体" w:cs="宋体"/>
          <w:szCs w:val="21"/>
          <w:highlight w:val="none"/>
          <w:lang w:bidi="ar"/>
        </w:rPr>
        <w:t>3）偏离表【格式见附件】；</w:t>
      </w:r>
    </w:p>
    <w:p w14:paraId="08A9F6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4）可参考评分内容编制；</w:t>
      </w:r>
    </w:p>
    <w:p w14:paraId="3DE6DDB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5）投标人认为有必要提供的其他文件和说明（格式自拟）。</w:t>
      </w:r>
    </w:p>
    <w:p w14:paraId="1B746F65">
      <w:pPr>
        <w:pStyle w:val="22"/>
        <w:widowControl w:val="0"/>
        <w:spacing w:before="0" w:beforeAutospacing="0" w:after="0" w:afterAutospacing="0" w:line="360" w:lineRule="auto"/>
        <w:ind w:left="422" w:hanging="422" w:hangingChars="200"/>
        <w:jc w:val="both"/>
        <w:rPr>
          <w:rFonts w:hint="eastAsia" w:cs="宋体"/>
          <w:b/>
          <w:sz w:val="21"/>
          <w:szCs w:val="21"/>
          <w:highlight w:val="none"/>
        </w:rPr>
      </w:pPr>
      <w:r>
        <w:rPr>
          <w:rFonts w:hint="eastAsia" w:cs="宋体"/>
          <w:b/>
          <w:kern w:val="2"/>
          <w:sz w:val="21"/>
          <w:szCs w:val="21"/>
          <w:highlight w:val="none"/>
          <w:lang w:bidi="ar"/>
        </w:rPr>
        <w:t xml:space="preserve">    以上具体内容可参考评分内容编制。</w:t>
      </w:r>
    </w:p>
    <w:p w14:paraId="23F9DA0F">
      <w:pPr>
        <w:pStyle w:val="22"/>
        <w:widowControl w:val="0"/>
        <w:spacing w:before="0" w:beforeAutospacing="0" w:after="0" w:afterAutospacing="0" w:line="360" w:lineRule="auto"/>
        <w:ind w:left="422" w:hanging="422" w:hangingChars="200"/>
        <w:jc w:val="both"/>
        <w:rPr>
          <w:rFonts w:hint="eastAsia" w:cs="宋体"/>
          <w:b/>
          <w:sz w:val="21"/>
          <w:szCs w:val="21"/>
          <w:highlight w:val="none"/>
        </w:rPr>
      </w:pPr>
      <w:r>
        <w:rPr>
          <w:rFonts w:hint="eastAsia" w:cs="宋体"/>
          <w:b/>
          <w:kern w:val="2"/>
          <w:sz w:val="21"/>
          <w:szCs w:val="21"/>
          <w:highlight w:val="none"/>
          <w:lang w:bidi="ar"/>
        </w:rPr>
        <w:t xml:space="preserve">    （2）技术部分</w:t>
      </w:r>
    </w:p>
    <w:p w14:paraId="594261AD">
      <w:pPr>
        <w:widowControl/>
        <w:jc w:val="left"/>
        <w:rPr>
          <w:rFonts w:hint="eastAsia" w:ascii="宋体" w:hAnsi="宋体"/>
          <w:highlight w:val="none"/>
        </w:rPr>
      </w:pPr>
      <w:r>
        <w:rPr>
          <w:rFonts w:hint="eastAsia" w:ascii="宋体" w:hAnsi="宋体" w:cs="宋体"/>
          <w:b/>
          <w:szCs w:val="21"/>
          <w:highlight w:val="none"/>
          <w:lang w:bidi="ar"/>
        </w:rPr>
        <w:t xml:space="preserve">    以上内容可参考评分内容编制,格式自拟</w:t>
      </w:r>
      <w:r>
        <w:rPr>
          <w:rFonts w:hint="eastAsia" w:ascii="宋体" w:hAnsi="宋体"/>
          <w:b/>
          <w:bCs/>
          <w:highlight w:val="none"/>
        </w:rPr>
        <w:t>。</w:t>
      </w:r>
    </w:p>
    <w:p w14:paraId="7B34A1C3">
      <w:pPr>
        <w:tabs>
          <w:tab w:val="left" w:pos="720"/>
          <w:tab w:val="left" w:pos="5355"/>
        </w:tabs>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3、报价文件：</w:t>
      </w:r>
    </w:p>
    <w:p w14:paraId="2E0C586A">
      <w:pPr>
        <w:tabs>
          <w:tab w:val="left" w:pos="720"/>
          <w:tab w:val="left" w:pos="535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1）开标一览表</w:t>
      </w:r>
      <w:r>
        <w:rPr>
          <w:rFonts w:hint="eastAsia" w:ascii="仿宋" w:hAnsi="仿宋" w:cs="仿宋"/>
          <w:b/>
          <w:bCs/>
          <w:highlight w:val="none"/>
        </w:rPr>
        <w:t>（根据系统要求在线填写以及格式填写。）</w:t>
      </w:r>
      <w:r>
        <w:rPr>
          <w:rFonts w:hint="eastAsia" w:ascii="宋体" w:hAnsi="宋体" w:cs="宋体"/>
          <w:szCs w:val="21"/>
          <w:highlight w:val="none"/>
        </w:rPr>
        <w:t>；</w:t>
      </w:r>
    </w:p>
    <w:p w14:paraId="1AD4F9B8">
      <w:pPr>
        <w:spacing w:line="360" w:lineRule="auto"/>
        <w:ind w:firstLine="420" w:firstLineChars="200"/>
        <w:rPr>
          <w:rFonts w:hint="eastAsia"/>
          <w:highlight w:val="none"/>
        </w:rPr>
      </w:pPr>
      <w:r>
        <w:rPr>
          <w:rFonts w:hint="eastAsia"/>
          <w:highlight w:val="none"/>
        </w:rPr>
        <w:t>2）报价明细表；</w:t>
      </w:r>
    </w:p>
    <w:p w14:paraId="7DD3D844">
      <w:pPr>
        <w:spacing w:line="360" w:lineRule="auto"/>
        <w:ind w:firstLine="420" w:firstLineChars="200"/>
        <w:rPr>
          <w:rFonts w:hint="eastAsia" w:eastAsia="宋体"/>
          <w:highlight w:val="none"/>
          <w:lang w:eastAsia="zh-CN"/>
        </w:rPr>
      </w:pPr>
      <w:r>
        <w:rPr>
          <w:rFonts w:hint="eastAsia" w:ascii="宋体" w:hAnsi="宋体" w:cs="宋体"/>
          <w:color w:val="000000"/>
          <w:highlight w:val="none"/>
          <w:lang w:val="en-US" w:eastAsia="zh-CN"/>
        </w:rPr>
        <w:t>3）</w:t>
      </w:r>
      <w:r>
        <w:rPr>
          <w:rFonts w:hint="eastAsia" w:ascii="宋体" w:hAnsi="宋体" w:cs="宋体"/>
          <w:szCs w:val="21"/>
          <w:highlight w:val="none"/>
        </w:rPr>
        <w:t>享受小微企业（含监狱企业、残疾人福利性企业）价格扶持政策的证明材料（</w:t>
      </w:r>
      <w:r>
        <w:rPr>
          <w:rFonts w:hint="eastAsia" w:ascii="宋体" w:hAnsi="宋体" w:cs="宋体"/>
          <w:b/>
          <w:bCs/>
          <w:szCs w:val="21"/>
          <w:highlight w:val="none"/>
        </w:rPr>
        <w:t>详见“</w:t>
      </w:r>
      <w:r>
        <w:rPr>
          <w:rFonts w:hint="eastAsia" w:ascii="宋体" w:hAnsi="宋体"/>
          <w:b/>
          <w:bCs/>
          <w:highlight w:val="none"/>
        </w:rPr>
        <w:t>政府采购扶持政策说明”</w:t>
      </w:r>
      <w:r>
        <w:rPr>
          <w:rFonts w:hint="eastAsia" w:ascii="宋体" w:hAnsi="宋体" w:cs="宋体"/>
          <w:b/>
          <w:bCs/>
          <w:szCs w:val="21"/>
          <w:highlight w:val="none"/>
        </w:rPr>
        <w:t>，非小微企业、监狱企业、残疾人福利性企业的，无需提供</w:t>
      </w:r>
      <w:r>
        <w:rPr>
          <w:rFonts w:hint="eastAsia" w:ascii="宋体" w:hAnsi="宋体" w:cs="宋体"/>
          <w:szCs w:val="21"/>
          <w:highlight w:val="none"/>
        </w:rPr>
        <w:t>）</w:t>
      </w:r>
      <w:r>
        <w:rPr>
          <w:rFonts w:hint="eastAsia" w:ascii="宋体" w:hAnsi="宋体" w:cs="宋体"/>
          <w:szCs w:val="21"/>
          <w:highlight w:val="none"/>
          <w:lang w:eastAsia="zh-CN"/>
        </w:rPr>
        <w:t>。</w:t>
      </w:r>
    </w:p>
    <w:p w14:paraId="33FB48FC">
      <w:pPr>
        <w:spacing w:line="360" w:lineRule="auto"/>
        <w:ind w:firstLine="420" w:firstLineChars="200"/>
        <w:rPr>
          <w:highlight w:val="none"/>
        </w:rPr>
      </w:pPr>
      <w:r>
        <w:rPr>
          <w:rFonts w:hint="eastAsia"/>
          <w:highlight w:val="none"/>
          <w:lang w:val="en-US" w:eastAsia="zh-CN"/>
        </w:rPr>
        <w:t>4</w:t>
      </w:r>
      <w:r>
        <w:rPr>
          <w:rFonts w:hint="eastAsia"/>
          <w:highlight w:val="none"/>
        </w:rPr>
        <w:t>）投标人针对报价需要说明的其他文件和资料（格式自拟）。</w:t>
      </w:r>
    </w:p>
    <w:p w14:paraId="28B508D9">
      <w:pPr>
        <w:pStyle w:val="6"/>
        <w:spacing w:line="360" w:lineRule="auto"/>
        <w:ind w:left="0" w:firstLine="0" w:firstLineChars="0"/>
        <w:rPr>
          <w:rFonts w:hint="eastAsia" w:ascii="宋体" w:hAnsi="宋体" w:cs="宋体"/>
          <w:b/>
          <w:sz w:val="21"/>
          <w:szCs w:val="21"/>
          <w:highlight w:val="none"/>
        </w:rPr>
      </w:pPr>
      <w:r>
        <w:rPr>
          <w:rFonts w:hint="eastAsia" w:ascii="宋体" w:hAnsi="宋体" w:cs="宋体"/>
          <w:b/>
          <w:sz w:val="21"/>
          <w:szCs w:val="21"/>
          <w:highlight w:val="none"/>
        </w:rPr>
        <w:t>3、投标文件的编制格式及说明</w:t>
      </w:r>
    </w:p>
    <w:p w14:paraId="0783A5D8">
      <w:pPr>
        <w:pStyle w:val="6"/>
        <w:spacing w:line="360" w:lineRule="auto"/>
        <w:ind w:left="0" w:firstLine="420" w:firstLineChars="200"/>
        <w:rPr>
          <w:rFonts w:hint="eastAsia" w:ascii="宋体" w:hAnsi="宋体" w:cs="宋体"/>
          <w:b/>
          <w:bCs/>
          <w:sz w:val="21"/>
          <w:szCs w:val="21"/>
          <w:highlight w:val="none"/>
        </w:rPr>
      </w:pPr>
      <w:r>
        <w:rPr>
          <w:rFonts w:hint="eastAsia" w:ascii="宋体" w:hAnsi="宋体" w:cs="宋体"/>
          <w:sz w:val="21"/>
          <w:szCs w:val="21"/>
          <w:highlight w:val="none"/>
        </w:rPr>
        <w:t>3.1投标文件应包括规定的内容，投标人提交的投标文件应当使用采购文件所提供的投标文件全部格式（格式可以按同样格式扩展）；未提供投标文件标准格式的，由投标人自行编写：</w:t>
      </w:r>
      <w:r>
        <w:rPr>
          <w:rFonts w:hint="eastAsia" w:ascii="宋体" w:hAnsi="宋体" w:cs="宋体"/>
          <w:b/>
          <w:bCs/>
          <w:sz w:val="21"/>
          <w:szCs w:val="21"/>
          <w:highlight w:val="none"/>
        </w:rPr>
        <w:t>投标文件按政府采购云平台</w:t>
      </w:r>
      <w:r>
        <w:rPr>
          <w:rFonts w:hint="eastAsia" w:ascii="宋体" w:hAnsi="宋体" w:cs="Arial"/>
          <w:b/>
          <w:bCs/>
          <w:kern w:val="0"/>
          <w:sz w:val="21"/>
          <w:szCs w:val="21"/>
          <w:highlight w:val="none"/>
        </w:rPr>
        <w:t>“供应商-政府采购项目电子交易操作指南”</w:t>
      </w:r>
      <w:r>
        <w:rPr>
          <w:rFonts w:hint="eastAsia" w:ascii="宋体" w:hAnsi="宋体" w:cs="宋体"/>
          <w:b/>
          <w:bCs/>
          <w:sz w:val="21"/>
          <w:szCs w:val="21"/>
          <w:highlight w:val="none"/>
        </w:rPr>
        <w:t>及本采购文件要求制作、加密。</w:t>
      </w:r>
    </w:p>
    <w:p w14:paraId="28A2D881">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3.2投标文件的格式参照采购文件提供的表格格式；</w:t>
      </w:r>
    </w:p>
    <w:p w14:paraId="33A18EF4">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3.3投标人应在认真阅读采购文件所有内容的基础上，按照采购文件的要求编制完整的投标文件，投标文件应按照采购文件中规定的统一格式填写，未按采购文件所提供的统一格式编写与漏写而导致投标文件被误读或查找不到有效文件是投标人的风险。</w:t>
      </w:r>
    </w:p>
    <w:p w14:paraId="067E3575">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3.4投标人必须保证投标文件所提供的全部资料真实可靠，并接受对其中任何资料进一步审查的要求。</w:t>
      </w:r>
    </w:p>
    <w:p w14:paraId="50C6E807">
      <w:pPr>
        <w:pStyle w:val="6"/>
        <w:numPr>
          <w:ilvl w:val="0"/>
          <w:numId w:val="4"/>
        </w:numPr>
        <w:spacing w:line="360" w:lineRule="auto"/>
        <w:ind w:left="422" w:hanging="422"/>
        <w:rPr>
          <w:rFonts w:hint="eastAsia" w:ascii="宋体" w:hAnsi="宋体" w:cs="宋体"/>
          <w:sz w:val="21"/>
          <w:szCs w:val="21"/>
          <w:highlight w:val="none"/>
        </w:rPr>
      </w:pPr>
      <w:r>
        <w:rPr>
          <w:rFonts w:hint="eastAsia" w:ascii="宋体" w:hAnsi="宋体" w:cs="宋体"/>
          <w:b/>
          <w:sz w:val="21"/>
          <w:szCs w:val="21"/>
          <w:highlight w:val="none"/>
        </w:rPr>
        <w:t>投标报价</w:t>
      </w:r>
    </w:p>
    <w:p w14:paraId="2C4F1BEA">
      <w:pPr>
        <w:tabs>
          <w:tab w:val="left" w:pos="540"/>
        </w:tabs>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w:t>
      </w:r>
      <w:r>
        <w:rPr>
          <w:rFonts w:hint="eastAsia" w:ascii="宋体" w:hAnsi="宋体" w:cs="宋体"/>
          <w:szCs w:val="21"/>
          <w:highlight w:val="none"/>
        </w:rPr>
        <w:t>4.1投标报价是履行合同的最终价格。应包括第三章所有内容产生的一切费用。投标人在投标报价中予以考虑与本项目相关的调研考察费、检测费、监测费、人员费用、材料费、设备费用（含运输、吊装等相关费用）、交通费、技术方案编制费、方案评审（如有）、管理费用、综合验收、利润、风险费用（检测过程中可能出现的人工、材料和检测机械台班价格上涨、人员伤亡、质量缺陷、工期拖延以及政策性文件规定对合同价的影响不调整等不利事件所需的费用）、税金、政策性文件规定及合同包含的所有风险、责任等合同实施过程中的应预见和不可预见费用，中标后不予另行支付费用。</w:t>
      </w:r>
      <w:r>
        <w:rPr>
          <w:rFonts w:hint="eastAsia" w:ascii="宋体" w:hAnsi="宋体" w:cs="宋体"/>
          <w:szCs w:val="21"/>
          <w:highlight w:val="none"/>
          <w:lang w:eastAsia="zh-CN"/>
        </w:rPr>
        <w:t>监测、</w:t>
      </w:r>
      <w:r>
        <w:rPr>
          <w:rFonts w:hint="eastAsia" w:ascii="宋体" w:hAnsi="宋体" w:cs="宋体"/>
          <w:szCs w:val="21"/>
          <w:highlight w:val="none"/>
        </w:rPr>
        <w:t>检测用水用电、人员宿舍等要求中标人自行解决</w:t>
      </w:r>
      <w:r>
        <w:rPr>
          <w:rFonts w:hint="eastAsia" w:ascii="宋体" w:hAnsi="宋体" w:cs="宋体"/>
          <w:szCs w:val="21"/>
          <w:highlight w:val="none"/>
          <w:lang w:eastAsia="zh-CN"/>
        </w:rPr>
        <w:t>，</w:t>
      </w:r>
      <w:r>
        <w:rPr>
          <w:rFonts w:hint="eastAsia" w:ascii="宋体" w:hAnsi="宋体" w:cs="宋体"/>
          <w:szCs w:val="21"/>
          <w:highlight w:val="none"/>
        </w:rPr>
        <w:t>如有漏项，视同已包含在其项目中不做调整。</w:t>
      </w:r>
    </w:p>
    <w:p w14:paraId="44E210C0">
      <w:pPr>
        <w:tabs>
          <w:tab w:val="left" w:pos="54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4.2投标人必须按第六章投标文件格式中的开标一览表（统一格式）的内容填写价格、及其他事项，并由法定代表人或授权代表签署。</w:t>
      </w:r>
    </w:p>
    <w:p w14:paraId="276E690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4.3所有投标均以人民币报价。</w:t>
      </w:r>
    </w:p>
    <w:p w14:paraId="3BCBD530">
      <w:pPr>
        <w:pStyle w:val="24"/>
        <w:spacing w:line="360" w:lineRule="auto"/>
        <w:ind w:left="0" w:leftChars="0" w:firstLine="422" w:firstLineChars="200"/>
        <w:rPr>
          <w:rFonts w:hint="eastAsia" w:ascii="宋体" w:hAnsi="宋体"/>
          <w:b/>
          <w:highlight w:val="none"/>
        </w:rPr>
      </w:pPr>
      <w:r>
        <w:rPr>
          <w:rFonts w:hint="eastAsia" w:ascii="宋体" w:hAnsi="宋体"/>
          <w:b/>
          <w:highlight w:val="none"/>
        </w:rPr>
        <w:t>4.4采购单位不接受任何选择报价，投标单位只允许有一个有效报价。</w:t>
      </w:r>
    </w:p>
    <w:p w14:paraId="043F12D4">
      <w:pPr>
        <w:pStyle w:val="6"/>
        <w:numPr>
          <w:ilvl w:val="0"/>
          <w:numId w:val="4"/>
        </w:numPr>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投标文件的格式和顺序</w:t>
      </w:r>
    </w:p>
    <w:p w14:paraId="0BE70570">
      <w:pPr>
        <w:snapToGrid w:val="0"/>
        <w:spacing w:line="360" w:lineRule="auto"/>
        <w:ind w:firstLine="422" w:firstLineChars="200"/>
        <w:outlineLvl w:val="1"/>
        <w:rPr>
          <w:rFonts w:hint="eastAsia" w:ascii="宋体" w:hAnsi="宋体" w:cs="宋体"/>
          <w:b/>
          <w:bCs/>
          <w:szCs w:val="21"/>
          <w:highlight w:val="none"/>
        </w:rPr>
      </w:pPr>
      <w:r>
        <w:rPr>
          <w:rFonts w:hint="eastAsia" w:ascii="宋体" w:hAnsi="宋体" w:cs="宋体"/>
          <w:b/>
          <w:szCs w:val="21"/>
          <w:highlight w:val="none"/>
        </w:rPr>
        <w:t>投标文件</w:t>
      </w:r>
      <w:r>
        <w:rPr>
          <w:rFonts w:hint="eastAsia" w:ascii="宋体" w:hAnsi="宋体" w:cs="宋体"/>
          <w:b/>
          <w:bCs/>
          <w:szCs w:val="21"/>
          <w:highlight w:val="none"/>
        </w:rPr>
        <w:t>按政府采购云平台</w:t>
      </w:r>
      <w:r>
        <w:rPr>
          <w:rFonts w:hint="eastAsia" w:ascii="宋体" w:hAnsi="宋体" w:cs="Arial"/>
          <w:b/>
          <w:bCs/>
          <w:kern w:val="0"/>
          <w:szCs w:val="21"/>
          <w:highlight w:val="none"/>
        </w:rPr>
        <w:t>“供应商-政府采购项目电子交易操作指南”</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Style w:val="31"/>
          <w:rFonts w:hint="eastAsia" w:ascii="宋体" w:hAnsi="宋体" w:cs="宋体"/>
          <w:b/>
          <w:bCs/>
          <w:color w:val="auto"/>
          <w:sz w:val="21"/>
          <w:szCs w:val="21"/>
          <w:highlight w:val="none"/>
        </w:rPr>
        <w:t>及本采购文件规定的格式和顺序编制投标文件并进行关联定位。</w:t>
      </w:r>
      <w:r>
        <w:rPr>
          <w:rStyle w:val="31"/>
          <w:rFonts w:hint="eastAsia" w:ascii="宋体" w:hAnsi="宋体" w:cs="宋体"/>
          <w:b/>
          <w:bCs/>
          <w:color w:val="auto"/>
          <w:sz w:val="21"/>
          <w:szCs w:val="21"/>
          <w:highlight w:val="none"/>
        </w:rPr>
        <w:fldChar w:fldCharType="end"/>
      </w:r>
    </w:p>
    <w:p w14:paraId="0C8D3CDD">
      <w:pPr>
        <w:pStyle w:val="6"/>
        <w:spacing w:line="440" w:lineRule="exact"/>
        <w:ind w:left="0" w:firstLine="0" w:firstLineChars="0"/>
        <w:rPr>
          <w:rFonts w:hint="eastAsia" w:ascii="宋体" w:hAnsi="宋体" w:cs="宋体"/>
          <w:b/>
          <w:bCs/>
          <w:sz w:val="21"/>
          <w:szCs w:val="21"/>
          <w:highlight w:val="none"/>
        </w:rPr>
      </w:pPr>
      <w:r>
        <w:rPr>
          <w:rFonts w:hint="eastAsia" w:ascii="宋体" w:hAnsi="宋体" w:cs="宋体"/>
          <w:b/>
          <w:bCs/>
          <w:sz w:val="21"/>
          <w:szCs w:val="21"/>
          <w:highlight w:val="none"/>
        </w:rPr>
        <w:t>6、投标有效期</w:t>
      </w:r>
    </w:p>
    <w:p w14:paraId="1A76D6FC">
      <w:pPr>
        <w:pStyle w:val="6"/>
        <w:spacing w:line="440" w:lineRule="exact"/>
        <w:ind w:left="0"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6.1投标有效期见本采购文件中前附表所规定的期限，在此期限内，凡符合采购文件要求的投标文件均保持有效。</w:t>
      </w:r>
    </w:p>
    <w:p w14:paraId="072E41E8">
      <w:pPr>
        <w:pStyle w:val="6"/>
        <w:spacing w:line="440" w:lineRule="exact"/>
        <w:ind w:left="0"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6.2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73441A37">
      <w:pPr>
        <w:pStyle w:val="6"/>
        <w:spacing w:line="440" w:lineRule="exact"/>
        <w:ind w:left="0" w:firstLine="0" w:firstLineChars="0"/>
        <w:rPr>
          <w:rFonts w:hint="eastAsia" w:ascii="宋体" w:hAnsi="宋体" w:cs="宋体"/>
          <w:b/>
          <w:bCs/>
          <w:sz w:val="21"/>
          <w:szCs w:val="21"/>
          <w:highlight w:val="none"/>
        </w:rPr>
      </w:pPr>
      <w:bookmarkStart w:id="80" w:name="_Toc6995"/>
      <w:bookmarkStart w:id="81" w:name="_Toc246261265"/>
      <w:bookmarkStart w:id="82" w:name="_Toc239145354"/>
      <w:bookmarkStart w:id="83" w:name="_Toc262049418"/>
      <w:bookmarkStart w:id="84" w:name="_Toc221356887"/>
      <w:bookmarkStart w:id="85" w:name="_Toc262105503"/>
      <w:bookmarkStart w:id="86" w:name="_Toc249758864"/>
      <w:bookmarkStart w:id="87" w:name="_Toc223715998"/>
      <w:bookmarkStart w:id="88" w:name="_Toc410031816"/>
      <w:bookmarkStart w:id="89" w:name="_Toc249758712"/>
      <w:bookmarkStart w:id="90" w:name="_Toc221423619"/>
      <w:bookmarkStart w:id="91" w:name="_Toc221374626"/>
      <w:bookmarkStart w:id="92" w:name="_Toc221356951"/>
      <w:bookmarkStart w:id="93" w:name="_Toc245722281"/>
      <w:bookmarkStart w:id="94" w:name="_Toc245191314"/>
      <w:bookmarkStart w:id="95" w:name="_Toc241404202"/>
      <w:bookmarkStart w:id="96" w:name="_Toc222114879"/>
      <w:r>
        <w:rPr>
          <w:rFonts w:hint="eastAsia" w:ascii="宋体" w:hAnsi="宋体" w:cs="宋体"/>
          <w:b/>
          <w:bCs/>
          <w:sz w:val="21"/>
          <w:szCs w:val="21"/>
          <w:highlight w:val="none"/>
        </w:rPr>
        <w:t>7、投标保证金</w:t>
      </w:r>
    </w:p>
    <w:p w14:paraId="4721CCDF">
      <w:pPr>
        <w:pStyle w:val="6"/>
        <w:spacing w:line="440" w:lineRule="exact"/>
        <w:ind w:left="0" w:firstLine="422" w:firstLineChars="200"/>
        <w:rPr>
          <w:rFonts w:hint="eastAsia" w:ascii="宋体" w:hAnsi="宋体" w:cs="宋体"/>
          <w:sz w:val="21"/>
          <w:szCs w:val="21"/>
          <w:highlight w:val="none"/>
        </w:rPr>
      </w:pPr>
      <w:r>
        <w:rPr>
          <w:rFonts w:hint="eastAsia" w:ascii="宋体" w:hAnsi="宋体" w:cs="宋体"/>
          <w:b/>
          <w:bCs/>
          <w:sz w:val="21"/>
          <w:szCs w:val="21"/>
          <w:highlight w:val="none"/>
        </w:rPr>
        <w:t>7.1投标保证金的规定：</w:t>
      </w:r>
      <w:r>
        <w:rPr>
          <w:rFonts w:hint="eastAsia" w:ascii="宋体" w:hAnsi="宋体" w:cs="宋体"/>
          <w:sz w:val="21"/>
          <w:szCs w:val="21"/>
          <w:highlight w:val="none"/>
        </w:rPr>
        <w:t>详见招标公告。</w:t>
      </w:r>
    </w:p>
    <w:p w14:paraId="483C40B9">
      <w:pPr>
        <w:pStyle w:val="4"/>
        <w:spacing w:before="0" w:after="0" w:line="360" w:lineRule="auto"/>
        <w:jc w:val="center"/>
        <w:rPr>
          <w:rFonts w:hint="eastAsia" w:ascii="宋体" w:hAnsi="宋体"/>
          <w:highlight w:val="none"/>
        </w:rPr>
      </w:pPr>
      <w:r>
        <w:rPr>
          <w:rFonts w:ascii="宋体" w:hAnsi="宋体"/>
          <w:highlight w:val="none"/>
        </w:rPr>
        <w:t>四</w:t>
      </w:r>
      <w:r>
        <w:rPr>
          <w:rFonts w:hint="eastAsia" w:ascii="宋体" w:hAnsi="宋体"/>
          <w:highlight w:val="none"/>
        </w:rPr>
        <w:t>、</w:t>
      </w:r>
      <w:r>
        <w:rPr>
          <w:rFonts w:ascii="宋体" w:hAnsi="宋体"/>
          <w:highlight w:val="none"/>
        </w:rPr>
        <w:t>投标</w:t>
      </w:r>
      <w:bookmarkEnd w:id="80"/>
    </w:p>
    <w:p w14:paraId="73AD3AB8">
      <w:pPr>
        <w:pStyle w:val="6"/>
        <w:spacing w:line="360" w:lineRule="auto"/>
        <w:ind w:left="422" w:hanging="422"/>
        <w:rPr>
          <w:rFonts w:hint="eastAsia" w:ascii="宋体" w:hAnsi="宋体" w:cs="宋体"/>
          <w:b/>
          <w:sz w:val="21"/>
          <w:szCs w:val="21"/>
          <w:highlight w:val="none"/>
        </w:rPr>
      </w:pPr>
      <w:bookmarkStart w:id="97" w:name="_Toc25626"/>
      <w:r>
        <w:rPr>
          <w:rFonts w:hint="eastAsia" w:ascii="宋体" w:hAnsi="宋体" w:cs="宋体"/>
          <w:b/>
          <w:sz w:val="21"/>
          <w:szCs w:val="21"/>
          <w:highlight w:val="none"/>
        </w:rPr>
        <w:t>1、投标文件的递交</w:t>
      </w:r>
    </w:p>
    <w:p w14:paraId="1793D611">
      <w:pPr>
        <w:pStyle w:val="6"/>
        <w:spacing w:line="360" w:lineRule="auto"/>
        <w:ind w:left="0" w:firstLine="422" w:firstLineChars="200"/>
        <w:rPr>
          <w:rFonts w:hint="eastAsia" w:ascii="宋体" w:hAnsi="宋体" w:cs="宋体"/>
          <w:sz w:val="21"/>
          <w:szCs w:val="21"/>
          <w:highlight w:val="none"/>
        </w:rPr>
      </w:pPr>
      <w:r>
        <w:rPr>
          <w:rFonts w:hint="eastAsia" w:ascii="宋体" w:hAnsi="宋体" w:cs="宋体"/>
          <w:b/>
          <w:bCs/>
          <w:sz w:val="21"/>
          <w:szCs w:val="21"/>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撤回投标文件。</w:t>
      </w:r>
    </w:p>
    <w:p w14:paraId="331085EC">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2、投标文件递交的截止时间</w:t>
      </w:r>
    </w:p>
    <w:p w14:paraId="7E5CF497">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2.1投标文件的截止时间见采购文件投标须知前附表的规定。</w:t>
      </w:r>
    </w:p>
    <w:p w14:paraId="6C97C828">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2.2采购人、采购代理机构可按本采购文件规定以修改补充通知的方式，酌情延长提交投标文件的截止时间。在此情况下，投标人的所有权利和义务以及投标人受制约的截止时间，均以延长后新的投标截止时间为准。</w:t>
      </w:r>
    </w:p>
    <w:p w14:paraId="1BD1A99B">
      <w:pPr>
        <w:pStyle w:val="6"/>
        <w:spacing w:line="360" w:lineRule="auto"/>
        <w:ind w:left="420" w:hanging="420"/>
        <w:rPr>
          <w:rFonts w:hint="eastAsia" w:ascii="宋体" w:hAnsi="宋体" w:cs="宋体"/>
          <w:sz w:val="21"/>
          <w:szCs w:val="21"/>
          <w:highlight w:val="none"/>
        </w:rPr>
      </w:pPr>
      <w:r>
        <w:rPr>
          <w:rFonts w:hint="eastAsia" w:ascii="宋体" w:hAnsi="宋体" w:cs="宋体"/>
          <w:sz w:val="21"/>
          <w:szCs w:val="21"/>
          <w:highlight w:val="none"/>
        </w:rPr>
        <w:t xml:space="preserve">    2.3投标人在投标截止时间以后递交的投标文件将被拒绝接受。</w:t>
      </w:r>
    </w:p>
    <w:p w14:paraId="1C5D4E29">
      <w:pPr>
        <w:pStyle w:val="6"/>
        <w:spacing w:line="360" w:lineRule="auto"/>
        <w:ind w:left="422" w:hanging="422"/>
        <w:rPr>
          <w:rFonts w:hint="eastAsia" w:ascii="宋体" w:hAnsi="宋体" w:cs="宋体"/>
          <w:b/>
          <w:sz w:val="21"/>
          <w:szCs w:val="21"/>
          <w:highlight w:val="none"/>
        </w:rPr>
      </w:pPr>
      <w:r>
        <w:rPr>
          <w:rFonts w:hint="eastAsia" w:ascii="宋体" w:hAnsi="宋体" w:cs="宋体"/>
          <w:b/>
          <w:sz w:val="21"/>
          <w:szCs w:val="21"/>
          <w:highlight w:val="none"/>
        </w:rPr>
        <w:t>3、投标文件的补充、修改与撤回</w:t>
      </w:r>
    </w:p>
    <w:p w14:paraId="074BD334">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3.1投标人在提交投标文件以后，在规定的投标截止时间之前，可以补充修改或撤回已提交的投标文件：</w:t>
      </w:r>
    </w:p>
    <w:p w14:paraId="5E6662C8">
      <w:pPr>
        <w:pStyle w:val="6"/>
        <w:spacing w:line="360" w:lineRule="auto"/>
        <w:ind w:left="0"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递交投标文件截止时间之前补充或者修改投标文件的，应当先行撤回原文件，补充、修改后重新传输递交；</w:t>
      </w:r>
    </w:p>
    <w:p w14:paraId="40B8B3BA">
      <w:pPr>
        <w:pStyle w:val="6"/>
        <w:spacing w:line="360" w:lineRule="auto"/>
        <w:ind w:left="0" w:firstLine="525" w:firstLineChars="250"/>
        <w:rPr>
          <w:rFonts w:hint="eastAsia" w:ascii="宋体" w:hAnsi="宋体" w:cs="宋体"/>
          <w:sz w:val="21"/>
          <w:szCs w:val="21"/>
          <w:highlight w:val="none"/>
        </w:rPr>
      </w:pPr>
      <w:r>
        <w:rPr>
          <w:rFonts w:hint="eastAsia" w:ascii="宋体" w:hAnsi="宋体" w:cs="宋体"/>
          <w:sz w:val="21"/>
          <w:szCs w:val="21"/>
          <w:highlight w:val="none"/>
        </w:rPr>
        <w:t>3.2在投标截止时间之后，投标人不得补充、修改投标文件。</w:t>
      </w:r>
    </w:p>
    <w:p w14:paraId="6D7E6583">
      <w:pPr>
        <w:pStyle w:val="6"/>
        <w:spacing w:line="360" w:lineRule="auto"/>
        <w:ind w:left="0" w:firstLine="525" w:firstLineChars="250"/>
        <w:rPr>
          <w:rFonts w:hint="eastAsia" w:ascii="宋体" w:hAnsi="宋体" w:cs="宋体"/>
          <w:sz w:val="21"/>
          <w:szCs w:val="21"/>
          <w:highlight w:val="none"/>
        </w:rPr>
      </w:pPr>
      <w:r>
        <w:rPr>
          <w:rFonts w:hint="eastAsia" w:ascii="宋体" w:hAnsi="宋体" w:cs="宋体"/>
          <w:sz w:val="21"/>
          <w:szCs w:val="21"/>
          <w:highlight w:val="none"/>
        </w:rPr>
        <w:t>3.3根据采购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14:paraId="1D002EF8">
      <w:pPr>
        <w:pStyle w:val="4"/>
        <w:spacing w:before="0" w:after="0" w:line="360" w:lineRule="auto"/>
        <w:jc w:val="center"/>
        <w:rPr>
          <w:rFonts w:hint="eastAsia" w:ascii="宋体" w:hAnsi="宋体"/>
          <w:highlight w:val="none"/>
        </w:rPr>
      </w:pPr>
      <w:r>
        <w:rPr>
          <w:rFonts w:hint="eastAsia" w:ascii="宋体" w:hAnsi="宋体"/>
          <w:highlight w:val="none"/>
        </w:rPr>
        <w:t>五、</w:t>
      </w:r>
      <w:r>
        <w:rPr>
          <w:rFonts w:ascii="宋体" w:hAnsi="宋体"/>
          <w:highlight w:val="none"/>
        </w:rPr>
        <w:t>开标</w:t>
      </w:r>
      <w:bookmarkEnd w:id="97"/>
    </w:p>
    <w:p w14:paraId="111D8032">
      <w:pPr>
        <w:pStyle w:val="6"/>
        <w:spacing w:line="360" w:lineRule="auto"/>
        <w:ind w:left="422" w:hanging="422"/>
        <w:rPr>
          <w:rFonts w:hint="eastAsia" w:ascii="宋体" w:hAnsi="宋体" w:cs="宋体"/>
          <w:b/>
          <w:sz w:val="21"/>
          <w:szCs w:val="21"/>
          <w:highlight w:val="none"/>
        </w:rPr>
      </w:pPr>
      <w:bookmarkStart w:id="98" w:name="_Toc2836"/>
      <w:r>
        <w:rPr>
          <w:rFonts w:hint="eastAsia" w:ascii="宋体" w:hAnsi="宋体" w:cs="宋体"/>
          <w:b/>
          <w:sz w:val="21"/>
          <w:szCs w:val="21"/>
          <w:highlight w:val="none"/>
        </w:rPr>
        <w:t>1、开标</w:t>
      </w:r>
    </w:p>
    <w:p w14:paraId="7460B500">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1.1采购代理机构按本采购文件投标人须知前附表规定的时间和地点公开开标。</w:t>
      </w:r>
    </w:p>
    <w:p w14:paraId="2129B3A1">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1.2采购代理机构核验出席开标活动现场的相关单位人员身份，并组织其分别登记、签到，无关人员不得进入现场。</w:t>
      </w:r>
    </w:p>
    <w:p w14:paraId="79AA5BE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D78B056">
      <w:pPr>
        <w:pStyle w:val="6"/>
        <w:spacing w:line="360" w:lineRule="auto"/>
        <w:ind w:left="0" w:firstLine="420" w:firstLineChars="200"/>
        <w:rPr>
          <w:rFonts w:hint="eastAsia" w:ascii="宋体" w:hAnsi="宋体" w:cs="宋体"/>
          <w:sz w:val="21"/>
          <w:szCs w:val="21"/>
          <w:highlight w:val="none"/>
        </w:rPr>
      </w:pPr>
      <w:r>
        <w:rPr>
          <w:rFonts w:hint="eastAsia" w:ascii="宋体" w:hAnsi="宋体" w:cs="宋体"/>
          <w:sz w:val="21"/>
          <w:szCs w:val="21"/>
          <w:highlight w:val="none"/>
        </w:rPr>
        <w:t>1.4如投标截止时间止评审期间，出现有效代理商或供应商不足3家的情况，根据“《中华人民共和国政府采购法》第三十六条第一款规定：在招标采购中，符合专业条件的供应商或者对采购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14:paraId="74EB1060">
      <w:pPr>
        <w:pStyle w:val="49"/>
        <w:spacing w:line="360" w:lineRule="auto"/>
        <w:ind w:firstLine="0" w:firstLineChars="0"/>
        <w:rPr>
          <w:rFonts w:hint="eastAsia" w:ascii="宋体" w:hAnsi="宋体" w:cs="Arial"/>
          <w:highlight w:val="none"/>
          <w:u w:val="thick"/>
        </w:rPr>
      </w:pPr>
      <w:r>
        <w:rPr>
          <w:rFonts w:hint="eastAsia" w:ascii="宋体" w:hAnsi="宋体" w:cs="宋体"/>
          <w:b/>
          <w:szCs w:val="21"/>
          <w:highlight w:val="none"/>
        </w:rPr>
        <w:t>2、</w:t>
      </w:r>
      <w:r>
        <w:rPr>
          <w:rFonts w:ascii="宋体" w:hAnsi="宋体" w:cs="Arial"/>
          <w:b/>
          <w:highlight w:val="none"/>
        </w:rPr>
        <w:t xml:space="preserve">开标准备 </w:t>
      </w:r>
    </w:p>
    <w:p w14:paraId="08255A6F">
      <w:pPr>
        <w:pStyle w:val="49"/>
        <w:spacing w:line="360" w:lineRule="auto"/>
        <w:ind w:firstLine="422"/>
        <w:rPr>
          <w:rFonts w:hint="eastAsia" w:ascii="宋体" w:hAnsi="宋体" w:cs="Arial"/>
          <w:b/>
          <w:highlight w:val="none"/>
        </w:rPr>
      </w:pPr>
      <w:r>
        <w:rPr>
          <w:rFonts w:hint="eastAsia" w:ascii="宋体" w:hAnsi="宋体" w:cs="Arial"/>
          <w:b/>
          <w:highlight w:val="none"/>
        </w:rPr>
        <w:t>开标的准备工作由采购组织机构负责落实；采购组织机构将按照采购文件规定的时间通过“政府采购云平台”组织开标、开启投标文件，所有投标人均应当准时在线参加（因投标人需要及时进行标书在线解密）。投标人</w:t>
      </w:r>
      <w:r>
        <w:rPr>
          <w:rFonts w:ascii="宋体" w:hAnsi="宋体" w:cs="Arial"/>
          <w:b/>
          <w:highlight w:val="none"/>
        </w:rPr>
        <w:t>如不在线</w:t>
      </w:r>
      <w:r>
        <w:rPr>
          <w:rFonts w:hint="eastAsia" w:ascii="宋体" w:hAnsi="宋体" w:cs="Arial"/>
          <w:b/>
          <w:highlight w:val="none"/>
        </w:rPr>
        <w:t>参加</w:t>
      </w:r>
      <w:r>
        <w:rPr>
          <w:rFonts w:ascii="宋体" w:hAnsi="宋体" w:cs="Arial"/>
          <w:b/>
          <w:highlight w:val="none"/>
        </w:rPr>
        <w:t>的，</w:t>
      </w:r>
      <w:r>
        <w:rPr>
          <w:rFonts w:hint="eastAsia" w:ascii="宋体" w:hAnsi="宋体" w:cs="Arial"/>
          <w:b/>
          <w:highlight w:val="none"/>
        </w:rPr>
        <w:t>视同认可开标结果，</w:t>
      </w:r>
      <w:r>
        <w:rPr>
          <w:rFonts w:ascii="宋体" w:hAnsi="宋体" w:cs="Arial"/>
          <w:b/>
          <w:highlight w:val="none"/>
        </w:rPr>
        <w:t>事后不得对开标结果提出异议</w:t>
      </w:r>
      <w:r>
        <w:rPr>
          <w:rFonts w:hint="eastAsia" w:ascii="宋体" w:hAnsi="宋体" w:cs="Arial"/>
          <w:b/>
          <w:highlight w:val="none"/>
        </w:rPr>
        <w:t>。投标人因未在线参加开标而导致投标文件无法按时解密等一切后果由投标人自己承担。</w:t>
      </w:r>
    </w:p>
    <w:p w14:paraId="2C55DD02">
      <w:pPr>
        <w:pStyle w:val="49"/>
        <w:spacing w:line="360" w:lineRule="auto"/>
        <w:ind w:firstLine="0" w:firstLineChars="0"/>
        <w:rPr>
          <w:rFonts w:hint="eastAsia" w:ascii="宋体" w:hAnsi="宋体" w:cs="Arial"/>
          <w:highlight w:val="none"/>
        </w:rPr>
      </w:pPr>
      <w:r>
        <w:rPr>
          <w:rFonts w:hint="eastAsia" w:ascii="宋体" w:hAnsi="宋体" w:cs="Arial"/>
          <w:b/>
          <w:highlight w:val="none"/>
        </w:rPr>
        <w:t>3、</w:t>
      </w:r>
      <w:r>
        <w:rPr>
          <w:rFonts w:ascii="宋体" w:hAnsi="宋体" w:cs="Arial"/>
          <w:b/>
          <w:highlight w:val="none"/>
        </w:rPr>
        <w:t>开标流程</w:t>
      </w:r>
    </w:p>
    <w:p w14:paraId="10FE32B8">
      <w:pPr>
        <w:spacing w:line="360" w:lineRule="auto"/>
        <w:ind w:firstLine="371" w:firstLineChars="177"/>
        <w:jc w:val="left"/>
        <w:rPr>
          <w:rFonts w:hint="eastAsia" w:ascii="宋体" w:hAnsi="宋体" w:cs="Arial"/>
          <w:kern w:val="0"/>
          <w:szCs w:val="21"/>
          <w:highlight w:val="none"/>
        </w:rPr>
      </w:pPr>
      <w:r>
        <w:rPr>
          <w:rFonts w:hint="eastAsia" w:ascii="宋体" w:hAnsi="宋体" w:cs="Arial"/>
          <w:kern w:val="0"/>
          <w:szCs w:val="21"/>
          <w:highlight w:val="none"/>
        </w:rPr>
        <w:t>（</w:t>
      </w:r>
      <w:r>
        <w:rPr>
          <w:rFonts w:ascii="宋体" w:hAnsi="宋体" w:cs="Arial"/>
          <w:kern w:val="0"/>
          <w:szCs w:val="21"/>
          <w:highlight w:val="none"/>
        </w:rPr>
        <w:t>1</w:t>
      </w:r>
      <w:r>
        <w:rPr>
          <w:rFonts w:hint="eastAsia" w:ascii="宋体" w:hAnsi="宋体" w:cs="Arial"/>
          <w:kern w:val="0"/>
          <w:szCs w:val="21"/>
          <w:highlight w:val="none"/>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B94D2D7">
      <w:pPr>
        <w:spacing w:line="360" w:lineRule="auto"/>
        <w:ind w:firstLine="371" w:firstLineChars="177"/>
        <w:jc w:val="left"/>
        <w:rPr>
          <w:rFonts w:hint="eastAsia" w:ascii="宋体" w:hAnsi="宋体" w:cs="Arial"/>
          <w:highlight w:val="none"/>
        </w:rPr>
      </w:pPr>
      <w:r>
        <w:rPr>
          <w:rFonts w:hint="eastAsia" w:ascii="宋体" w:hAnsi="宋体" w:cs="Arial"/>
          <w:kern w:val="0"/>
          <w:szCs w:val="21"/>
          <w:highlight w:val="none"/>
        </w:rPr>
        <w:t>（</w:t>
      </w:r>
      <w:r>
        <w:rPr>
          <w:rFonts w:ascii="宋体" w:hAnsi="宋体" w:cs="Arial"/>
          <w:kern w:val="0"/>
          <w:szCs w:val="21"/>
          <w:highlight w:val="none"/>
        </w:rPr>
        <w:t>2</w:t>
      </w:r>
      <w:r>
        <w:rPr>
          <w:rFonts w:hint="eastAsia" w:ascii="宋体" w:hAnsi="宋体" w:cs="Arial"/>
          <w:kern w:val="0"/>
          <w:szCs w:val="21"/>
          <w:highlight w:val="none"/>
        </w:rPr>
        <w:t>）投标文件解密结束，各供应商签署《政府采购活动现场确认声明书》后通过邮件形式发送给代理机构的邮箱：283199225@qq.com；</w:t>
      </w:r>
    </w:p>
    <w:p w14:paraId="06E186F5">
      <w:pPr>
        <w:spacing w:line="360" w:lineRule="auto"/>
        <w:ind w:firstLine="371" w:firstLineChars="177"/>
        <w:jc w:val="left"/>
        <w:rPr>
          <w:rFonts w:hint="eastAsia" w:ascii="宋体" w:hAnsi="宋体" w:cs="Arial"/>
          <w:kern w:val="0"/>
          <w:szCs w:val="21"/>
          <w:highlight w:val="none"/>
        </w:rPr>
      </w:pPr>
      <w:r>
        <w:rPr>
          <w:rFonts w:hint="eastAsia" w:ascii="宋体" w:hAnsi="宋体" w:cs="Arial"/>
          <w:kern w:val="0"/>
          <w:szCs w:val="21"/>
          <w:highlight w:val="none"/>
        </w:rPr>
        <w:t>（</w:t>
      </w:r>
      <w:r>
        <w:rPr>
          <w:rFonts w:ascii="宋体" w:hAnsi="宋体" w:cs="Arial"/>
          <w:kern w:val="0"/>
          <w:szCs w:val="21"/>
          <w:highlight w:val="none"/>
        </w:rPr>
        <w:t>3</w:t>
      </w:r>
      <w:r>
        <w:rPr>
          <w:rFonts w:hint="eastAsia" w:ascii="宋体" w:hAnsi="宋体" w:cs="Arial"/>
          <w:kern w:val="0"/>
          <w:szCs w:val="21"/>
          <w:highlight w:val="none"/>
        </w:rPr>
        <w:t xml:space="preserve">）开启投标文件，进入资格审查； </w:t>
      </w:r>
    </w:p>
    <w:p w14:paraId="7C4FB571">
      <w:pPr>
        <w:spacing w:line="360" w:lineRule="auto"/>
        <w:ind w:firstLine="371" w:firstLineChars="177"/>
        <w:jc w:val="left"/>
        <w:rPr>
          <w:rFonts w:hint="eastAsia" w:ascii="宋体" w:hAnsi="宋体" w:cs="Arial"/>
          <w:kern w:val="0"/>
          <w:szCs w:val="21"/>
          <w:highlight w:val="none"/>
        </w:rPr>
      </w:pPr>
      <w:r>
        <w:rPr>
          <w:rFonts w:hint="eastAsia" w:ascii="宋体" w:hAnsi="宋体" w:cs="Arial"/>
          <w:kern w:val="0"/>
          <w:szCs w:val="21"/>
          <w:highlight w:val="none"/>
        </w:rPr>
        <w:t>（</w:t>
      </w:r>
      <w:r>
        <w:rPr>
          <w:rFonts w:ascii="宋体" w:hAnsi="宋体" w:cs="Arial"/>
          <w:kern w:val="0"/>
          <w:szCs w:val="21"/>
          <w:highlight w:val="none"/>
        </w:rPr>
        <w:t>4</w:t>
      </w:r>
      <w:r>
        <w:rPr>
          <w:rFonts w:hint="eastAsia" w:ascii="宋体" w:hAnsi="宋体" w:cs="Arial"/>
          <w:kern w:val="0"/>
          <w:szCs w:val="21"/>
          <w:highlight w:val="none"/>
        </w:rPr>
        <w:t>）开启资格审查通过的投标人的商务技术文件进入符合性审查、商务技术评审；</w:t>
      </w:r>
    </w:p>
    <w:p w14:paraId="6353002F">
      <w:pPr>
        <w:spacing w:line="360" w:lineRule="auto"/>
        <w:ind w:firstLine="371" w:firstLineChars="177"/>
        <w:jc w:val="left"/>
        <w:rPr>
          <w:rFonts w:hint="eastAsia" w:ascii="宋体" w:hAnsi="宋体" w:cs="Arial"/>
          <w:kern w:val="0"/>
          <w:szCs w:val="21"/>
          <w:highlight w:val="none"/>
        </w:rPr>
      </w:pPr>
      <w:r>
        <w:rPr>
          <w:rFonts w:hint="eastAsia" w:ascii="宋体" w:hAnsi="宋体" w:cs="Arial"/>
          <w:kern w:val="0"/>
          <w:szCs w:val="21"/>
          <w:highlight w:val="none"/>
        </w:rPr>
        <w:t>（5）符合性审查、商务技术评审结束后，在线公布商务技术评审结果。</w:t>
      </w:r>
    </w:p>
    <w:p w14:paraId="4EA6F4AD">
      <w:pPr>
        <w:spacing w:line="360" w:lineRule="auto"/>
        <w:ind w:firstLine="371" w:firstLineChars="177"/>
        <w:jc w:val="left"/>
        <w:rPr>
          <w:rFonts w:hint="eastAsia" w:ascii="宋体" w:hAnsi="宋体" w:cs="Arial"/>
          <w:kern w:val="0"/>
          <w:szCs w:val="21"/>
          <w:highlight w:val="none"/>
        </w:rPr>
      </w:pPr>
      <w:r>
        <w:rPr>
          <w:rFonts w:hint="eastAsia" w:ascii="宋体" w:hAnsi="宋体" w:cs="Arial"/>
          <w:kern w:val="0"/>
          <w:szCs w:val="21"/>
          <w:highlight w:val="none"/>
        </w:rPr>
        <w:t>（6）开启符合性审查、商务技术评审有效投标人的《报价文件》，各供应商通过CA签字进行报价确认。</w:t>
      </w:r>
      <w:r>
        <w:rPr>
          <w:rFonts w:ascii="宋体" w:hAnsi="宋体" w:cs="Arial"/>
          <w:kern w:val="0"/>
          <w:szCs w:val="21"/>
          <w:highlight w:val="none"/>
        </w:rPr>
        <w:t>结束后，由评标委员会对报价的合理性、准确性等进行审查核实</w:t>
      </w:r>
      <w:r>
        <w:rPr>
          <w:rFonts w:hint="eastAsia" w:ascii="宋体" w:hAnsi="宋体" w:cs="Arial"/>
          <w:kern w:val="0"/>
          <w:szCs w:val="21"/>
          <w:highlight w:val="none"/>
        </w:rPr>
        <w:t>，</w:t>
      </w:r>
      <w:r>
        <w:rPr>
          <w:rFonts w:ascii="宋体" w:hAnsi="宋体" w:cs="Arial"/>
          <w:kern w:val="0"/>
          <w:szCs w:val="21"/>
          <w:highlight w:val="none"/>
        </w:rPr>
        <w:t>并进行报价评审</w:t>
      </w:r>
      <w:r>
        <w:rPr>
          <w:rFonts w:hint="eastAsia" w:ascii="宋体" w:hAnsi="宋体" w:cs="Arial"/>
          <w:kern w:val="0"/>
          <w:szCs w:val="21"/>
          <w:highlight w:val="none"/>
        </w:rPr>
        <w:t>。</w:t>
      </w:r>
    </w:p>
    <w:p w14:paraId="2EE13A06">
      <w:pPr>
        <w:spacing w:line="360" w:lineRule="auto"/>
        <w:ind w:firstLine="371" w:firstLineChars="177"/>
        <w:jc w:val="left"/>
        <w:rPr>
          <w:rFonts w:hint="eastAsia" w:ascii="宋体" w:hAnsi="宋体" w:cs="宋体"/>
          <w:b/>
          <w:bCs/>
          <w:szCs w:val="21"/>
          <w:highlight w:val="none"/>
        </w:rPr>
      </w:pPr>
      <w:r>
        <w:rPr>
          <w:rFonts w:hint="eastAsia" w:ascii="宋体" w:hAnsi="宋体" w:cs="Arial"/>
          <w:kern w:val="0"/>
          <w:szCs w:val="21"/>
          <w:highlight w:val="none"/>
        </w:rPr>
        <w:t>（7）评审结束后，通过发送邮件形式公布中标候选人名单，及采购人最终确定中标人名单的时间和公告方式等。</w:t>
      </w:r>
    </w:p>
    <w:p w14:paraId="22B4EC1B">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特别说明：政采云公司如对电子化开标及评审程序有调整的，按调整后的程序操作。</w:t>
      </w:r>
    </w:p>
    <w:p w14:paraId="2ECF03B0">
      <w:pPr>
        <w:pStyle w:val="4"/>
        <w:spacing w:before="0" w:after="0" w:line="360" w:lineRule="auto"/>
        <w:jc w:val="center"/>
        <w:rPr>
          <w:rFonts w:hint="eastAsia" w:ascii="宋体" w:hAnsi="宋体"/>
          <w:highlight w:val="none"/>
        </w:rPr>
      </w:pPr>
      <w:r>
        <w:rPr>
          <w:rFonts w:hint="eastAsia" w:ascii="宋体" w:hAnsi="宋体"/>
          <w:highlight w:val="none"/>
        </w:rPr>
        <w:t>六、</w:t>
      </w:r>
      <w:r>
        <w:rPr>
          <w:rFonts w:ascii="宋体" w:hAnsi="宋体"/>
          <w:highlight w:val="none"/>
        </w:rPr>
        <w:t>评标</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8"/>
    </w:p>
    <w:p w14:paraId="1D3E46D4">
      <w:pPr>
        <w:pStyle w:val="11"/>
        <w:snapToGrid w:val="0"/>
        <w:spacing w:line="360" w:lineRule="auto"/>
        <w:rPr>
          <w:rFonts w:hint="eastAsia" w:hAnsi="宋体"/>
          <w:b/>
          <w:highlight w:val="none"/>
        </w:rPr>
      </w:pPr>
      <w:r>
        <w:rPr>
          <w:rFonts w:hint="eastAsia" w:hAnsi="宋体"/>
          <w:b/>
          <w:highlight w:val="none"/>
        </w:rPr>
        <w:t>1、</w:t>
      </w:r>
      <w:r>
        <w:rPr>
          <w:rFonts w:hAnsi="宋体"/>
          <w:b/>
          <w:highlight w:val="none"/>
        </w:rPr>
        <w:t>组建评标委员会</w:t>
      </w:r>
    </w:p>
    <w:p w14:paraId="5367A47F">
      <w:pPr>
        <w:pStyle w:val="11"/>
        <w:snapToGrid w:val="0"/>
        <w:spacing w:line="360" w:lineRule="auto"/>
        <w:ind w:firstLine="420" w:firstLineChars="200"/>
        <w:rPr>
          <w:rFonts w:hint="eastAsia" w:hAnsi="宋体"/>
          <w:highlight w:val="none"/>
        </w:rPr>
      </w:pPr>
      <w:r>
        <w:rPr>
          <w:rFonts w:hAnsi="宋体"/>
          <w:highlight w:val="none"/>
        </w:rPr>
        <w:t>本项目</w:t>
      </w:r>
      <w:r>
        <w:rPr>
          <w:rFonts w:hAnsi="宋体" w:cs="宋体"/>
          <w:bCs/>
          <w:kern w:val="0"/>
          <w:highlight w:val="none"/>
        </w:rPr>
        <w:t>评标委员会由</w:t>
      </w:r>
      <w:r>
        <w:rPr>
          <w:rFonts w:hint="eastAsia" w:hAnsi="宋体" w:cs="宋体"/>
          <w:bCs/>
          <w:kern w:val="0"/>
          <w:highlight w:val="none"/>
        </w:rPr>
        <w:t>共5人组成，</w:t>
      </w:r>
      <w:r>
        <w:rPr>
          <w:rFonts w:hint="eastAsia" w:ascii="宋体" w:hAnsi="宋体"/>
          <w:szCs w:val="21"/>
          <w:highlight w:val="none"/>
          <w:lang w:val="zh-CN" w:bidi="ar"/>
        </w:rPr>
        <w:t>从“政采云专家库系统”中随机抽取的技术、经济等方面的</w:t>
      </w:r>
      <w:r>
        <w:rPr>
          <w:rFonts w:hint="eastAsia" w:ascii="宋体" w:hAnsi="宋体"/>
          <w:szCs w:val="21"/>
          <w:highlight w:val="none"/>
          <w:lang w:val="en-US" w:eastAsia="zh-CN" w:bidi="ar"/>
        </w:rPr>
        <w:t>5</w:t>
      </w:r>
      <w:r>
        <w:rPr>
          <w:rFonts w:hint="eastAsia" w:ascii="宋体" w:hAnsi="宋体"/>
          <w:szCs w:val="21"/>
          <w:highlight w:val="none"/>
          <w:lang w:bidi="ar"/>
        </w:rPr>
        <w:t>人</w:t>
      </w:r>
      <w:r>
        <w:rPr>
          <w:rFonts w:hint="eastAsia" w:ascii="宋体" w:hAnsi="宋体"/>
          <w:szCs w:val="21"/>
          <w:highlight w:val="none"/>
          <w:lang w:val="zh-CN" w:bidi="ar"/>
        </w:rPr>
        <w:t>专家</w:t>
      </w:r>
      <w:r>
        <w:rPr>
          <w:rFonts w:hint="eastAsia" w:hAnsi="宋体" w:cs="宋体"/>
          <w:bCs/>
          <w:kern w:val="0"/>
          <w:highlight w:val="none"/>
        </w:rPr>
        <w:t>。</w:t>
      </w:r>
    </w:p>
    <w:p w14:paraId="11763A9A">
      <w:pPr>
        <w:pStyle w:val="11"/>
        <w:snapToGrid w:val="0"/>
        <w:spacing w:line="440" w:lineRule="exact"/>
        <w:rPr>
          <w:rFonts w:hint="eastAsia" w:hAnsi="宋体"/>
          <w:b/>
          <w:highlight w:val="none"/>
        </w:rPr>
      </w:pPr>
      <w:r>
        <w:rPr>
          <w:rFonts w:hint="eastAsia" w:hAnsi="宋体"/>
          <w:b/>
          <w:highlight w:val="none"/>
        </w:rPr>
        <w:t>2、</w:t>
      </w:r>
      <w:r>
        <w:rPr>
          <w:rFonts w:hAnsi="宋体"/>
          <w:b/>
          <w:highlight w:val="none"/>
        </w:rPr>
        <w:t>评标的方式</w:t>
      </w:r>
    </w:p>
    <w:p w14:paraId="6EF7EFD2">
      <w:pPr>
        <w:pStyle w:val="11"/>
        <w:snapToGrid w:val="0"/>
        <w:spacing w:line="440" w:lineRule="exact"/>
        <w:ind w:left="689" w:leftChars="228" w:hanging="210" w:hangingChars="100"/>
        <w:rPr>
          <w:rFonts w:hint="eastAsia" w:hAnsi="宋体"/>
          <w:highlight w:val="none"/>
        </w:rPr>
      </w:pPr>
      <w:r>
        <w:rPr>
          <w:rFonts w:hAnsi="宋体"/>
          <w:highlight w:val="none"/>
        </w:rPr>
        <w:t>本项目采用不公开方式评标，评标的依据为采购文件和投标文件。</w:t>
      </w:r>
    </w:p>
    <w:p w14:paraId="420CD813">
      <w:pPr>
        <w:pStyle w:val="11"/>
        <w:snapToGrid w:val="0"/>
        <w:spacing w:line="440" w:lineRule="exact"/>
        <w:rPr>
          <w:rFonts w:hint="eastAsia" w:hAnsi="宋体"/>
          <w:b/>
          <w:highlight w:val="none"/>
        </w:rPr>
      </w:pPr>
      <w:r>
        <w:rPr>
          <w:rFonts w:hint="eastAsia" w:hAnsi="宋体"/>
          <w:b/>
          <w:bCs/>
          <w:highlight w:val="none"/>
        </w:rPr>
        <w:t>3、</w:t>
      </w:r>
      <w:r>
        <w:rPr>
          <w:rFonts w:hAnsi="宋体"/>
          <w:b/>
          <w:bCs/>
          <w:highlight w:val="none"/>
        </w:rPr>
        <w:t>评标程序</w:t>
      </w:r>
    </w:p>
    <w:p w14:paraId="18B727BF">
      <w:pPr>
        <w:snapToGrid w:val="0"/>
        <w:spacing w:line="440" w:lineRule="exact"/>
        <w:ind w:firstLine="413" w:firstLineChars="196"/>
        <w:rPr>
          <w:rFonts w:hint="eastAsia" w:ascii="宋体" w:hAnsi="宋体"/>
          <w:b/>
          <w:bCs/>
          <w:szCs w:val="21"/>
          <w:highlight w:val="none"/>
        </w:rPr>
      </w:pPr>
      <w:r>
        <w:rPr>
          <w:rFonts w:hint="eastAsia" w:ascii="宋体" w:hAnsi="宋体"/>
          <w:b/>
          <w:bCs/>
          <w:szCs w:val="21"/>
          <w:highlight w:val="none"/>
        </w:rPr>
        <w:t>3.1</w:t>
      </w:r>
      <w:r>
        <w:rPr>
          <w:rFonts w:ascii="宋体" w:hAnsi="宋体"/>
          <w:b/>
          <w:bCs/>
          <w:szCs w:val="21"/>
          <w:highlight w:val="none"/>
        </w:rPr>
        <w:t>形式审查</w:t>
      </w:r>
    </w:p>
    <w:p w14:paraId="21CEE1CD">
      <w:pPr>
        <w:snapToGrid w:val="0"/>
        <w:spacing w:line="440" w:lineRule="exact"/>
        <w:ind w:firstLine="420" w:firstLineChars="200"/>
        <w:rPr>
          <w:rFonts w:hint="eastAsia" w:ascii="宋体" w:hAnsi="宋体"/>
          <w:b/>
          <w:szCs w:val="21"/>
          <w:highlight w:val="none"/>
        </w:rPr>
      </w:pPr>
      <w:r>
        <w:rPr>
          <w:rFonts w:hint="eastAsia" w:ascii="宋体" w:hAnsi="宋体"/>
          <w:szCs w:val="21"/>
          <w:highlight w:val="none"/>
        </w:rPr>
        <w:t>采购单位代表和代理机构工作人员协助评标委员会对投标人的</w:t>
      </w:r>
      <w:r>
        <w:rPr>
          <w:rFonts w:ascii="宋体" w:hAnsi="宋体"/>
          <w:szCs w:val="21"/>
          <w:highlight w:val="none"/>
        </w:rPr>
        <w:t>投标文件的完整性、合法性等进行审查。</w:t>
      </w:r>
    </w:p>
    <w:p w14:paraId="5E093325">
      <w:pPr>
        <w:snapToGrid w:val="0"/>
        <w:spacing w:line="440" w:lineRule="exact"/>
        <w:ind w:firstLine="413" w:firstLineChars="196"/>
        <w:rPr>
          <w:rFonts w:hint="eastAsia" w:ascii="宋体" w:hAnsi="宋体"/>
          <w:b/>
          <w:bCs/>
          <w:szCs w:val="21"/>
          <w:highlight w:val="none"/>
        </w:rPr>
      </w:pPr>
      <w:r>
        <w:rPr>
          <w:rFonts w:hint="eastAsia" w:ascii="宋体" w:hAnsi="宋体"/>
          <w:b/>
          <w:bCs/>
          <w:szCs w:val="21"/>
          <w:highlight w:val="none"/>
        </w:rPr>
        <w:t>3.2</w:t>
      </w:r>
      <w:r>
        <w:rPr>
          <w:rFonts w:ascii="宋体" w:hAnsi="宋体"/>
          <w:b/>
          <w:bCs/>
          <w:szCs w:val="21"/>
          <w:highlight w:val="none"/>
        </w:rPr>
        <w:t>实质审查与比较</w:t>
      </w:r>
    </w:p>
    <w:p w14:paraId="4D14750B">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1）评标委员会审查投标文件的实质性内容是否符合采购文件的实质性要求。</w:t>
      </w:r>
    </w:p>
    <w:p w14:paraId="0C62AC09">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2）评标委员会将根据投标人的投标文件进行审查、核对,如有疑问,将对投标人进行</w:t>
      </w:r>
      <w:r>
        <w:rPr>
          <w:rFonts w:hint="eastAsia" w:ascii="宋体" w:hAnsi="宋体"/>
          <w:szCs w:val="21"/>
          <w:highlight w:val="none"/>
        </w:rPr>
        <w:t>在线</w:t>
      </w:r>
      <w:r>
        <w:rPr>
          <w:rFonts w:ascii="宋体" w:hAnsi="宋体"/>
          <w:szCs w:val="21"/>
          <w:highlight w:val="none"/>
        </w:rPr>
        <w:t>询标,投标人要向评标委员会澄清有关问题,并最终以书面形式进行答复。</w:t>
      </w:r>
    </w:p>
    <w:p w14:paraId="5CCF85D3">
      <w:pPr>
        <w:snapToGrid w:val="0"/>
        <w:spacing w:line="440" w:lineRule="exact"/>
        <w:ind w:firstLine="420"/>
        <w:rPr>
          <w:rFonts w:hint="eastAsia" w:ascii="宋体" w:hAnsi="宋体"/>
          <w:szCs w:val="21"/>
          <w:highlight w:val="none"/>
        </w:rPr>
      </w:pPr>
      <w:r>
        <w:rPr>
          <w:rFonts w:hint="eastAsia" w:ascii="宋体" w:hAnsi="宋体"/>
          <w:szCs w:val="21"/>
          <w:highlight w:val="none"/>
        </w:rPr>
        <w:t>投标人代表拒绝澄清或者未按规定时间提交澄清文件或者澄清的内容改变了投标文件的实质性内容的，评标委员会有权对该投标文件作出不利于投标人的评判。</w:t>
      </w:r>
    </w:p>
    <w:p w14:paraId="129BE2F2">
      <w:pPr>
        <w:numPr>
          <w:ilvl w:val="0"/>
          <w:numId w:val="5"/>
        </w:numPr>
        <w:snapToGrid w:val="0"/>
        <w:spacing w:line="440" w:lineRule="exact"/>
        <w:ind w:firstLine="420"/>
        <w:rPr>
          <w:rFonts w:ascii="宋体" w:hAnsi="宋体"/>
          <w:szCs w:val="21"/>
          <w:highlight w:val="none"/>
        </w:rPr>
      </w:pPr>
      <w:r>
        <w:rPr>
          <w:rFonts w:ascii="宋体" w:hAnsi="宋体"/>
          <w:szCs w:val="21"/>
          <w:highlight w:val="none"/>
        </w:rPr>
        <w:t>各投标人的</w:t>
      </w:r>
      <w:r>
        <w:rPr>
          <w:rFonts w:hint="eastAsia" w:ascii="宋体" w:hAnsi="宋体"/>
          <w:szCs w:val="21"/>
          <w:highlight w:val="none"/>
        </w:rPr>
        <w:t>技术</w:t>
      </w:r>
      <w:r>
        <w:rPr>
          <w:rFonts w:ascii="宋体" w:hAnsi="宋体"/>
          <w:szCs w:val="21"/>
          <w:highlight w:val="none"/>
        </w:rPr>
        <w:t>分为所有评委的有效评分的算术平均数</w:t>
      </w:r>
      <w:r>
        <w:rPr>
          <w:rFonts w:hint="eastAsia" w:ascii="宋体" w:hAnsi="宋体"/>
          <w:szCs w:val="21"/>
          <w:highlight w:val="none"/>
        </w:rPr>
        <w:t>，资信分由评委依据评审依据和评审标准打分</w:t>
      </w:r>
      <w:r>
        <w:rPr>
          <w:rFonts w:ascii="宋体" w:hAnsi="宋体"/>
          <w:szCs w:val="21"/>
          <w:highlight w:val="none"/>
        </w:rPr>
        <w:t>。</w:t>
      </w:r>
    </w:p>
    <w:p w14:paraId="57AE22B7">
      <w:pPr>
        <w:numPr>
          <w:ilvl w:val="0"/>
          <w:numId w:val="5"/>
        </w:numPr>
        <w:snapToGrid w:val="0"/>
        <w:spacing w:line="440" w:lineRule="exact"/>
        <w:ind w:firstLine="420"/>
        <w:rPr>
          <w:rFonts w:hint="eastAsia" w:ascii="宋体" w:hAnsi="宋体"/>
          <w:szCs w:val="21"/>
          <w:highlight w:val="none"/>
        </w:rPr>
      </w:pPr>
      <w:r>
        <w:rPr>
          <w:rFonts w:hint="eastAsia" w:ascii="宋体" w:hAnsi="宋体"/>
          <w:szCs w:val="21"/>
          <w:highlight w:val="none"/>
        </w:rPr>
        <w:t>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14:paraId="6E1C4F26">
      <w:pPr>
        <w:numPr>
          <w:ilvl w:val="0"/>
          <w:numId w:val="5"/>
        </w:numPr>
        <w:snapToGrid w:val="0"/>
        <w:spacing w:line="440" w:lineRule="exact"/>
        <w:ind w:firstLine="420"/>
        <w:rPr>
          <w:rFonts w:hint="eastAsia" w:ascii="宋体" w:hAnsi="宋体"/>
          <w:szCs w:val="21"/>
          <w:highlight w:val="none"/>
        </w:rPr>
      </w:pPr>
      <w:r>
        <w:rPr>
          <w:rFonts w:ascii="宋体" w:hAnsi="宋体"/>
          <w:szCs w:val="21"/>
          <w:highlight w:val="none"/>
        </w:rPr>
        <w:t>评标委员会完成评标后,评委对各部分得分汇总,</w:t>
      </w:r>
      <w:r>
        <w:rPr>
          <w:rFonts w:hint="eastAsia" w:ascii="宋体" w:hAnsi="宋体"/>
          <w:szCs w:val="21"/>
          <w:highlight w:val="none"/>
        </w:rPr>
        <w:t>计算</w:t>
      </w:r>
      <w:r>
        <w:rPr>
          <w:rFonts w:ascii="宋体" w:hAnsi="宋体"/>
          <w:szCs w:val="21"/>
          <w:highlight w:val="none"/>
        </w:rPr>
        <w:t>出本项目</w:t>
      </w:r>
      <w:r>
        <w:rPr>
          <w:rFonts w:hint="eastAsia" w:ascii="宋体" w:hAnsi="宋体"/>
          <w:szCs w:val="21"/>
          <w:highlight w:val="none"/>
        </w:rPr>
        <w:t>最终得分、性价比、评标价等</w:t>
      </w:r>
      <w:r>
        <w:rPr>
          <w:rFonts w:ascii="宋体" w:hAnsi="宋体"/>
          <w:szCs w:val="21"/>
          <w:highlight w:val="none"/>
        </w:rPr>
        <w:t>。评标委员会按评标原则推荐中标候选人同时起草评标报告。</w:t>
      </w:r>
    </w:p>
    <w:p w14:paraId="71D3A051">
      <w:pPr>
        <w:snapToGrid w:val="0"/>
        <w:spacing w:line="360" w:lineRule="auto"/>
        <w:rPr>
          <w:rFonts w:hint="eastAsia" w:ascii="宋体" w:hAnsi="宋体"/>
          <w:b/>
          <w:szCs w:val="21"/>
          <w:highlight w:val="none"/>
        </w:rPr>
      </w:pPr>
      <w:r>
        <w:rPr>
          <w:rFonts w:hint="eastAsia" w:ascii="宋体" w:hAnsi="宋体"/>
          <w:b/>
          <w:szCs w:val="21"/>
          <w:highlight w:val="none"/>
        </w:rPr>
        <w:t>4、澄清问题的形式</w:t>
      </w:r>
    </w:p>
    <w:p w14:paraId="48328048">
      <w:pPr>
        <w:snapToGrid w:val="0"/>
        <w:spacing w:line="360" w:lineRule="auto"/>
        <w:ind w:firstLine="420" w:firstLineChars="200"/>
        <w:rPr>
          <w:rFonts w:hint="eastAsia" w:ascii="宋体" w:hAnsi="宋体" w:eastAsia="宋体"/>
          <w:highlight w:val="none"/>
        </w:rPr>
      </w:pPr>
      <w:r>
        <w:rPr>
          <w:rFonts w:hint="eastAsia" w:ascii="宋体" w:hAnsi="宋体"/>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Start w:id="99" w:name="_Toc249"/>
      <w:bookmarkStart w:id="100" w:name="_Toc7246"/>
      <w:r>
        <w:rPr>
          <w:rFonts w:hint="eastAsia" w:ascii="宋体" w:hAnsi="宋体" w:eastAsia="宋体"/>
          <w:b w:val="0"/>
          <w:bCs w:val="0"/>
          <w:kern w:val="2"/>
          <w:sz w:val="21"/>
          <w:szCs w:val="21"/>
          <w:highlight w:val="none"/>
        </w:rPr>
        <w:t>经澄清后，若偏差仍存在，且不可接受，投标人则被认为是“没有实质性响应采购文件要求”，其投标不进入下一步评审。</w:t>
      </w:r>
      <w:bookmarkEnd w:id="99"/>
      <w:bookmarkEnd w:id="100"/>
    </w:p>
    <w:p w14:paraId="4841CC66">
      <w:pPr>
        <w:pStyle w:val="11"/>
        <w:snapToGrid w:val="0"/>
        <w:spacing w:line="360" w:lineRule="auto"/>
        <w:rPr>
          <w:rFonts w:hint="eastAsia" w:hAnsi="宋体"/>
          <w:b/>
          <w:highlight w:val="none"/>
        </w:rPr>
      </w:pPr>
      <w:r>
        <w:rPr>
          <w:rFonts w:hint="eastAsia" w:hAnsi="宋体"/>
          <w:b/>
          <w:highlight w:val="none"/>
        </w:rPr>
        <w:t>5、</w:t>
      </w:r>
      <w:r>
        <w:rPr>
          <w:rFonts w:hAnsi="宋体"/>
          <w:b/>
          <w:highlight w:val="none"/>
        </w:rPr>
        <w:t>错误修正</w:t>
      </w:r>
    </w:p>
    <w:p w14:paraId="0C8C4547">
      <w:pPr>
        <w:pStyle w:val="11"/>
        <w:snapToGrid w:val="0"/>
        <w:spacing w:line="360" w:lineRule="auto"/>
        <w:ind w:left="689" w:leftChars="228" w:hanging="210" w:hangingChars="100"/>
        <w:rPr>
          <w:rFonts w:hint="eastAsia" w:hAnsi="宋体"/>
          <w:highlight w:val="none"/>
        </w:rPr>
      </w:pPr>
      <w:r>
        <w:rPr>
          <w:rFonts w:hAnsi="宋体"/>
          <w:highlight w:val="none"/>
        </w:rPr>
        <w:t>投标文件如果出现计算或表达上的错误，修正错误的原则如下：</w:t>
      </w:r>
    </w:p>
    <w:p w14:paraId="4ED8951F">
      <w:pPr>
        <w:pStyle w:val="11"/>
        <w:snapToGrid w:val="0"/>
        <w:spacing w:line="360" w:lineRule="auto"/>
        <w:ind w:firstLine="420" w:firstLineChars="200"/>
        <w:rPr>
          <w:rFonts w:hint="eastAsia" w:hAnsi="宋体"/>
          <w:highlight w:val="none"/>
        </w:rPr>
      </w:pPr>
      <w:r>
        <w:rPr>
          <w:rFonts w:hint="eastAsia" w:hAnsi="宋体"/>
          <w:highlight w:val="none"/>
        </w:rPr>
        <w:t>（1）投标文件中开标一览表（报价表）内容与投标文件中相应内容不一致的，以开标一览表（报价表）为准；</w:t>
      </w:r>
    </w:p>
    <w:p w14:paraId="1672B0BC">
      <w:pPr>
        <w:pStyle w:val="11"/>
        <w:snapToGrid w:val="0"/>
        <w:spacing w:line="440" w:lineRule="exact"/>
        <w:ind w:firstLine="420" w:firstLineChars="200"/>
        <w:rPr>
          <w:rFonts w:hint="eastAsia" w:hAnsi="宋体"/>
          <w:highlight w:val="none"/>
        </w:rPr>
      </w:pPr>
      <w:r>
        <w:rPr>
          <w:rFonts w:hint="eastAsia" w:hAnsi="宋体"/>
          <w:highlight w:val="none"/>
        </w:rPr>
        <w:t>（2）大写金额和小写金额不一致的，以大写金额为准；</w:t>
      </w:r>
    </w:p>
    <w:p w14:paraId="3151FC54">
      <w:pPr>
        <w:pStyle w:val="11"/>
        <w:snapToGrid w:val="0"/>
        <w:spacing w:line="440" w:lineRule="exact"/>
        <w:ind w:firstLine="420" w:firstLineChars="200"/>
        <w:rPr>
          <w:rFonts w:hint="eastAsia" w:hAnsi="宋体"/>
          <w:highlight w:val="none"/>
        </w:rPr>
      </w:pPr>
      <w:r>
        <w:rPr>
          <w:rFonts w:hint="eastAsia" w:hAnsi="宋体"/>
          <w:highlight w:val="none"/>
        </w:rPr>
        <w:t>（3）单价金额小数点或者百分比有明显错位的，以开标一览表的总价为准，并修改单价；</w:t>
      </w:r>
    </w:p>
    <w:p w14:paraId="48C4B8BE">
      <w:pPr>
        <w:pStyle w:val="11"/>
        <w:snapToGrid w:val="0"/>
        <w:spacing w:line="440" w:lineRule="exact"/>
        <w:ind w:firstLine="420" w:firstLineChars="200"/>
        <w:rPr>
          <w:rFonts w:hint="eastAsia" w:hAnsi="宋体"/>
          <w:highlight w:val="none"/>
        </w:rPr>
      </w:pPr>
      <w:r>
        <w:rPr>
          <w:rFonts w:hint="eastAsia" w:hAnsi="宋体"/>
          <w:highlight w:val="none"/>
        </w:rPr>
        <w:t>（4）总价金额与按单价汇总金额不一致的，以单价金额计算结果为准。</w:t>
      </w:r>
    </w:p>
    <w:p w14:paraId="30D36A7E">
      <w:pPr>
        <w:pStyle w:val="11"/>
        <w:snapToGrid w:val="0"/>
        <w:spacing w:line="440" w:lineRule="exact"/>
        <w:ind w:firstLine="422" w:firstLineChars="200"/>
        <w:rPr>
          <w:rFonts w:hint="eastAsia" w:hAnsi="宋体"/>
          <w:b/>
          <w:bCs/>
          <w:highlight w:val="none"/>
        </w:rPr>
      </w:pPr>
      <w:r>
        <w:rPr>
          <w:rFonts w:hint="eastAsia" w:hAnsi="宋体"/>
          <w:b/>
          <w:bCs/>
          <w:highlight w:val="none"/>
        </w:rPr>
        <w:t>同时出现两种以上不一致的，按照前款规定的顺序修正。</w:t>
      </w:r>
      <w:r>
        <w:rPr>
          <w:rFonts w:hAnsi="宋体"/>
          <w:b/>
          <w:bCs/>
          <w:highlight w:val="none"/>
        </w:rPr>
        <w:t>按上述修正错误的原则及方法调整或修正投标文件的投标报价</w:t>
      </w:r>
      <w:r>
        <w:rPr>
          <w:rFonts w:hint="eastAsia" w:hAnsi="宋体"/>
          <w:b/>
          <w:bCs/>
          <w:highlight w:val="none"/>
        </w:rPr>
        <w:t>应当采用书面形式，并加盖公章。</w:t>
      </w:r>
      <w:r>
        <w:rPr>
          <w:rFonts w:hAnsi="宋体"/>
          <w:b/>
          <w:bCs/>
          <w:highlight w:val="none"/>
        </w:rPr>
        <w:t>投标人</w:t>
      </w:r>
      <w:r>
        <w:rPr>
          <w:rFonts w:hint="eastAsia" w:hAnsi="宋体"/>
          <w:b/>
          <w:bCs/>
          <w:highlight w:val="none"/>
        </w:rPr>
        <w:t>确认</w:t>
      </w:r>
      <w:r>
        <w:rPr>
          <w:rFonts w:hAnsi="宋体"/>
          <w:b/>
          <w:bCs/>
          <w:highlight w:val="none"/>
        </w:rPr>
        <w:t>后</w:t>
      </w:r>
      <w:r>
        <w:rPr>
          <w:rFonts w:hint="eastAsia" w:hAnsi="宋体"/>
          <w:b/>
          <w:bCs/>
          <w:highlight w:val="none"/>
        </w:rPr>
        <w:t>产生约束力，投标人不确认的，其投标无效</w:t>
      </w:r>
      <w:r>
        <w:rPr>
          <w:rFonts w:hAnsi="宋体"/>
          <w:b/>
          <w:bCs/>
          <w:highlight w:val="none"/>
        </w:rPr>
        <w:t>。</w:t>
      </w:r>
    </w:p>
    <w:p w14:paraId="2D460EB2">
      <w:pPr>
        <w:pStyle w:val="11"/>
        <w:tabs>
          <w:tab w:val="left" w:pos="630"/>
        </w:tabs>
        <w:snapToGrid w:val="0"/>
        <w:spacing w:line="440" w:lineRule="exact"/>
        <w:rPr>
          <w:rFonts w:hint="eastAsia" w:hAnsi="宋体"/>
          <w:b/>
          <w:highlight w:val="none"/>
        </w:rPr>
      </w:pPr>
      <w:r>
        <w:rPr>
          <w:rFonts w:hint="eastAsia" w:hAnsi="宋体"/>
          <w:b/>
          <w:highlight w:val="none"/>
        </w:rPr>
        <w:t>6、</w:t>
      </w:r>
      <w:r>
        <w:rPr>
          <w:rFonts w:hAnsi="宋体"/>
          <w:b/>
          <w:highlight w:val="none"/>
        </w:rPr>
        <w:t>评标原则和评标办法</w:t>
      </w:r>
    </w:p>
    <w:p w14:paraId="3554F720">
      <w:pPr>
        <w:pStyle w:val="11"/>
        <w:snapToGrid w:val="0"/>
        <w:spacing w:line="440" w:lineRule="exact"/>
        <w:ind w:firstLine="420" w:firstLineChars="200"/>
        <w:rPr>
          <w:rFonts w:hint="eastAsia" w:hAnsi="宋体"/>
          <w:highlight w:val="none"/>
        </w:rPr>
      </w:pPr>
      <w:r>
        <w:rPr>
          <w:rFonts w:hint="eastAsia" w:hAnsi="宋体"/>
          <w:highlight w:val="none"/>
        </w:rPr>
        <w:t>6.1</w:t>
      </w:r>
      <w:r>
        <w:rPr>
          <w:rFonts w:hAnsi="宋体"/>
          <w:highlight w:val="none"/>
        </w:rPr>
        <w:t>评标原则。评标委员会必须公平、公正、客观，不带任何倾向性和启发性；不得向外界透露任何</w:t>
      </w:r>
      <w:r>
        <w:rPr>
          <w:rFonts w:hint="eastAsia" w:hAnsi="宋体"/>
          <w:highlight w:val="none"/>
        </w:rPr>
        <w:t>与评标有关的内容；任何单位和个人不得干扰、影响评标的正常进行；评标委员会及有关工作人员不得私下与投标人接触。</w:t>
      </w:r>
    </w:p>
    <w:p w14:paraId="2C91E8C7">
      <w:pPr>
        <w:pStyle w:val="11"/>
        <w:snapToGrid w:val="0"/>
        <w:spacing w:line="440" w:lineRule="exact"/>
        <w:ind w:firstLine="420" w:firstLineChars="200"/>
        <w:rPr>
          <w:rFonts w:hint="eastAsia" w:hAnsi="宋体"/>
          <w:highlight w:val="none"/>
        </w:rPr>
      </w:pPr>
      <w:r>
        <w:rPr>
          <w:rFonts w:hint="eastAsia" w:hAnsi="宋体"/>
          <w:highlight w:val="none"/>
        </w:rPr>
        <w:t>6.2</w:t>
      </w:r>
      <w:r>
        <w:rPr>
          <w:rFonts w:hAnsi="宋体"/>
          <w:highlight w:val="none"/>
        </w:rPr>
        <w:t>评标办法。本项目评标办法是</w:t>
      </w:r>
      <w:r>
        <w:rPr>
          <w:rFonts w:hint="eastAsia" w:hAnsi="宋体"/>
          <w:highlight w:val="none"/>
        </w:rPr>
        <w:t>综合评分法</w:t>
      </w:r>
      <w:r>
        <w:rPr>
          <w:rFonts w:hAnsi="宋体"/>
          <w:highlight w:val="none"/>
        </w:rPr>
        <w:t>，具体评标内容及评分标准等详见《第</w:t>
      </w:r>
      <w:r>
        <w:rPr>
          <w:rFonts w:hint="eastAsia" w:hAnsi="宋体"/>
          <w:highlight w:val="none"/>
        </w:rPr>
        <w:t>五</w:t>
      </w:r>
      <w:r>
        <w:rPr>
          <w:rFonts w:hAnsi="宋体"/>
          <w:highlight w:val="none"/>
        </w:rPr>
        <w:t>章：评标</w:t>
      </w:r>
      <w:r>
        <w:rPr>
          <w:rFonts w:hint="eastAsia" w:hAnsi="宋体"/>
          <w:highlight w:val="none"/>
        </w:rPr>
        <w:t>原则及方法</w:t>
      </w:r>
      <w:r>
        <w:rPr>
          <w:rFonts w:hAnsi="宋体"/>
          <w:highlight w:val="none"/>
        </w:rPr>
        <w:t>》。</w:t>
      </w:r>
    </w:p>
    <w:p w14:paraId="7FCE70E7">
      <w:pPr>
        <w:pStyle w:val="11"/>
        <w:snapToGrid w:val="0"/>
        <w:spacing w:line="440" w:lineRule="exact"/>
        <w:rPr>
          <w:rFonts w:hint="eastAsia" w:hAnsi="宋体"/>
          <w:b/>
          <w:bCs/>
          <w:highlight w:val="none"/>
        </w:rPr>
      </w:pPr>
      <w:r>
        <w:rPr>
          <w:rFonts w:hint="eastAsia" w:hAnsi="宋体"/>
          <w:b/>
          <w:bCs/>
          <w:highlight w:val="none"/>
        </w:rPr>
        <w:t>7、无效标条款</w:t>
      </w:r>
    </w:p>
    <w:p w14:paraId="3B29DF17">
      <w:pPr>
        <w:snapToGrid w:val="0"/>
        <w:spacing w:line="440" w:lineRule="exact"/>
        <w:ind w:firstLine="422" w:firstLineChars="200"/>
        <w:rPr>
          <w:rFonts w:hint="eastAsia" w:ascii="宋体" w:hAnsi="宋体"/>
          <w:b/>
          <w:szCs w:val="21"/>
          <w:highlight w:val="none"/>
        </w:rPr>
      </w:pPr>
      <w:r>
        <w:rPr>
          <w:rFonts w:hint="eastAsia" w:ascii="宋体" w:hAnsi="宋体"/>
          <w:b/>
          <w:bCs/>
          <w:highlight w:val="none"/>
        </w:rPr>
        <w:t>7.1</w:t>
      </w:r>
      <w:r>
        <w:rPr>
          <w:rFonts w:hint="eastAsia" w:ascii="宋体" w:hAnsi="宋体"/>
          <w:b/>
          <w:szCs w:val="21"/>
          <w:highlight w:val="none"/>
        </w:rPr>
        <w:t>开标时，如出现以下情况之一的，则投标文件无效：</w:t>
      </w:r>
    </w:p>
    <w:p w14:paraId="39F55DB8">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（1）投标文件未按采购文件要求签署、签章的；</w:t>
      </w:r>
    </w:p>
    <w:p w14:paraId="5CC339BD">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（2）不具备采购文件中规定的资格要求的；</w:t>
      </w:r>
    </w:p>
    <w:p w14:paraId="236DF27E">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（3）报价超过采购文件中规定的预算金额或者最高限价的；</w:t>
      </w:r>
    </w:p>
    <w:p w14:paraId="25867182">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（4）投标文件含有采购单位不能接受的附加条件的；</w:t>
      </w:r>
    </w:p>
    <w:p w14:paraId="22DC4094">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（5）</w:t>
      </w:r>
      <w:r>
        <w:rPr>
          <w:rFonts w:hint="eastAsia" w:ascii="宋体" w:hAnsi="宋体" w:cs="宋体"/>
          <w:b/>
          <w:szCs w:val="21"/>
          <w:highlight w:val="none"/>
        </w:rPr>
        <w:t>投标文件明显不符合采购文件要求的或者与采购文件标注“▲”的条款发生实质性负偏离的</w:t>
      </w:r>
      <w:r>
        <w:rPr>
          <w:rFonts w:hint="eastAsia" w:ascii="宋体" w:hAnsi="宋体"/>
          <w:b/>
          <w:szCs w:val="21"/>
          <w:highlight w:val="none"/>
        </w:rPr>
        <w:t>。</w:t>
      </w:r>
    </w:p>
    <w:p w14:paraId="482D7DFB">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w:t>
      </w:r>
      <w:r>
        <w:rPr>
          <w:rFonts w:hint="eastAsia" w:ascii="宋体" w:hAnsi="宋体" w:cs="宋体"/>
          <w:b/>
          <w:szCs w:val="21"/>
          <w:highlight w:val="none"/>
          <w:lang w:val="en-US" w:eastAsia="zh-CN"/>
        </w:rPr>
        <w:t>6</w:t>
      </w:r>
      <w:r>
        <w:rPr>
          <w:rFonts w:hint="eastAsia" w:ascii="宋体" w:hAnsi="宋体" w:cs="宋体"/>
          <w:b/>
          <w:szCs w:val="21"/>
          <w:highlight w:val="none"/>
        </w:rPr>
        <w:t>）投标文件解密失败的。</w:t>
      </w:r>
    </w:p>
    <w:p w14:paraId="6CD67EE3">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（7）供应商存在下列情形之一旦无法合理解释的，其投标(响应)文件无效:</w:t>
      </w:r>
    </w:p>
    <w:p w14:paraId="7DA439A7">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a.不同供应商的电子投标(响应)文件上传计算机的网卡MAC地址或硬盘序列号等硬件信息相同的；</w:t>
      </w:r>
    </w:p>
    <w:p w14:paraId="6E9BA45D">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b.上传的电子投标(响应)文件若出现使用本项目其他投标(响应)供应商的数字证书加密的，或者加盖本项目其他投标(响应)供应商的电子印章的；</w:t>
      </w:r>
    </w:p>
    <w:p w14:paraId="4CD3E532">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c.不同供应商的投标(响应)文件的内容存在3处(含)以上错误一致的；</w:t>
      </w:r>
    </w:p>
    <w:p w14:paraId="019308A1">
      <w:pPr>
        <w:snapToGrid w:val="0"/>
        <w:spacing w:line="360" w:lineRule="auto"/>
        <w:ind w:firstLine="422" w:firstLineChars="200"/>
        <w:rPr>
          <w:rFonts w:hint="eastAsia" w:ascii="宋体" w:hAnsi="宋体" w:cs="宋体"/>
          <w:b/>
          <w:szCs w:val="21"/>
          <w:highlight w:val="none"/>
          <w:lang w:eastAsia="zh-CN"/>
        </w:rPr>
      </w:pPr>
      <w:r>
        <w:rPr>
          <w:rFonts w:hint="eastAsia" w:ascii="宋体" w:hAnsi="宋体" w:cs="宋体"/>
          <w:b/>
          <w:szCs w:val="21"/>
          <w:highlight w:val="none"/>
        </w:rPr>
        <w:t>d.不同供应商联系人为同一人或不同联系人的联系电话一致的</w:t>
      </w:r>
      <w:r>
        <w:rPr>
          <w:rFonts w:hint="eastAsia" w:ascii="宋体" w:hAnsi="宋体" w:cs="宋体"/>
          <w:b/>
          <w:szCs w:val="21"/>
          <w:highlight w:val="none"/>
          <w:lang w:eastAsia="zh-CN"/>
        </w:rPr>
        <w:t>。</w:t>
      </w:r>
    </w:p>
    <w:p w14:paraId="2C33B7F8">
      <w:pPr>
        <w:snapToGrid w:val="0"/>
        <w:spacing w:line="360" w:lineRule="auto"/>
        <w:ind w:firstLine="422" w:firstLineChars="200"/>
        <w:rPr>
          <w:rFonts w:hint="eastAsia" w:ascii="宋体" w:hAnsi="宋体" w:cs="宋体"/>
          <w:b/>
          <w:szCs w:val="21"/>
          <w:highlight w:val="none"/>
          <w:lang w:eastAsia="zh-CN"/>
        </w:rPr>
      </w:pPr>
      <w:r>
        <w:rPr>
          <w:rFonts w:hint="eastAsia" w:ascii="宋体" w:hAnsi="宋体" w:eastAsia="宋体" w:cs="宋体"/>
          <w:b/>
          <w:bCs/>
          <w:color w:val="auto"/>
          <w:highlight w:val="none"/>
          <w:shd w:val="clear" w:color="auto" w:fill="auto"/>
        </w:rPr>
        <w:t>（8）法律、法规和招标文件规定的其他无效情形；</w:t>
      </w:r>
    </w:p>
    <w:p w14:paraId="5F59ACD7">
      <w:pPr>
        <w:snapToGrid w:val="0"/>
        <w:spacing w:line="440" w:lineRule="exact"/>
        <w:ind w:firstLine="422" w:firstLineChars="200"/>
        <w:rPr>
          <w:rFonts w:hint="eastAsia" w:ascii="宋体" w:hAnsi="宋体"/>
          <w:b/>
          <w:szCs w:val="21"/>
          <w:highlight w:val="none"/>
        </w:rPr>
      </w:pPr>
      <w:r>
        <w:rPr>
          <w:rFonts w:hint="eastAsia" w:ascii="宋体" w:hAnsi="宋体"/>
          <w:b/>
          <w:szCs w:val="21"/>
          <w:highlight w:val="none"/>
        </w:rPr>
        <w:t>7.2有下列情形之一的，视为投标人串通投标，其投标无效：</w:t>
      </w:r>
    </w:p>
    <w:p w14:paraId="369EED5E">
      <w:pPr>
        <w:snapToGrid w:val="0"/>
        <w:spacing w:line="440" w:lineRule="exact"/>
        <w:ind w:firstLine="422" w:firstLineChars="200"/>
        <w:rPr>
          <w:rFonts w:hint="eastAsia" w:ascii="宋体" w:hAnsi="宋体"/>
          <w:b/>
          <w:szCs w:val="21"/>
          <w:highlight w:val="none"/>
        </w:rPr>
      </w:pPr>
      <w:r>
        <w:rPr>
          <w:rFonts w:hint="eastAsia" w:ascii="宋体" w:hAnsi="宋体"/>
          <w:b/>
          <w:szCs w:val="21"/>
          <w:highlight w:val="none"/>
        </w:rPr>
        <w:t>（1）不同投标人的投标文件由同一单位或者个人编制；</w:t>
      </w:r>
    </w:p>
    <w:p w14:paraId="15856027">
      <w:pPr>
        <w:snapToGrid w:val="0"/>
        <w:spacing w:line="440" w:lineRule="exact"/>
        <w:ind w:firstLine="422" w:firstLineChars="200"/>
        <w:rPr>
          <w:rFonts w:hint="eastAsia" w:ascii="宋体" w:hAnsi="宋体"/>
          <w:b/>
          <w:szCs w:val="21"/>
          <w:highlight w:val="none"/>
        </w:rPr>
      </w:pPr>
      <w:r>
        <w:rPr>
          <w:rFonts w:hint="eastAsia" w:ascii="宋体" w:hAnsi="宋体"/>
          <w:b/>
          <w:szCs w:val="21"/>
          <w:highlight w:val="none"/>
        </w:rPr>
        <w:t>（2）不同投标人委托同一单位或者个人办理投标事宜；</w:t>
      </w:r>
    </w:p>
    <w:p w14:paraId="08071FD7">
      <w:pPr>
        <w:snapToGrid w:val="0"/>
        <w:spacing w:line="440" w:lineRule="exact"/>
        <w:ind w:firstLine="422" w:firstLineChars="200"/>
        <w:rPr>
          <w:rFonts w:hint="eastAsia" w:ascii="宋体" w:hAnsi="宋体"/>
          <w:b/>
          <w:szCs w:val="21"/>
          <w:highlight w:val="none"/>
        </w:rPr>
      </w:pPr>
      <w:r>
        <w:rPr>
          <w:rFonts w:hint="eastAsia" w:ascii="宋体" w:hAnsi="宋体"/>
          <w:b/>
          <w:szCs w:val="21"/>
          <w:highlight w:val="none"/>
        </w:rPr>
        <w:t>（3）不同投标人的投标文件载明的项目管理成员或者联系人员为同一人；</w:t>
      </w:r>
    </w:p>
    <w:p w14:paraId="285F0D89">
      <w:pPr>
        <w:snapToGrid w:val="0"/>
        <w:spacing w:line="440" w:lineRule="exact"/>
        <w:ind w:firstLine="422" w:firstLineChars="200"/>
        <w:rPr>
          <w:rFonts w:hint="eastAsia" w:ascii="宋体" w:hAnsi="宋体"/>
          <w:b/>
          <w:szCs w:val="21"/>
          <w:highlight w:val="none"/>
        </w:rPr>
      </w:pPr>
      <w:r>
        <w:rPr>
          <w:rFonts w:hint="eastAsia" w:ascii="宋体" w:hAnsi="宋体"/>
          <w:b/>
          <w:szCs w:val="21"/>
          <w:highlight w:val="none"/>
        </w:rPr>
        <w:t>（4）不同投标人的投标文件异常一致或者投标报价呈规律性差异；</w:t>
      </w:r>
    </w:p>
    <w:p w14:paraId="35C694B0">
      <w:pPr>
        <w:snapToGrid w:val="0"/>
        <w:spacing w:line="440" w:lineRule="exact"/>
        <w:ind w:firstLine="422" w:firstLineChars="200"/>
        <w:rPr>
          <w:rFonts w:hint="eastAsia" w:ascii="宋体" w:hAnsi="宋体"/>
          <w:b/>
          <w:szCs w:val="21"/>
          <w:highlight w:val="none"/>
        </w:rPr>
      </w:pPr>
      <w:r>
        <w:rPr>
          <w:rFonts w:hint="eastAsia" w:ascii="宋体" w:hAnsi="宋体"/>
          <w:b/>
          <w:szCs w:val="21"/>
          <w:highlight w:val="none"/>
        </w:rPr>
        <w:t>（5）不同投标人的投标文件相互混装；</w:t>
      </w:r>
    </w:p>
    <w:p w14:paraId="406E6080">
      <w:pPr>
        <w:snapToGrid w:val="0"/>
        <w:spacing w:line="440" w:lineRule="exact"/>
        <w:ind w:firstLine="422" w:firstLineChars="200"/>
        <w:rPr>
          <w:rFonts w:hint="eastAsia" w:ascii="宋体" w:hAnsi="宋体"/>
          <w:b/>
          <w:szCs w:val="21"/>
          <w:highlight w:val="none"/>
        </w:rPr>
      </w:pPr>
      <w:r>
        <w:rPr>
          <w:rFonts w:hint="eastAsia" w:ascii="宋体" w:hAnsi="宋体"/>
          <w:b/>
          <w:szCs w:val="21"/>
          <w:highlight w:val="none"/>
        </w:rPr>
        <w:t>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6CA178">
      <w:pPr>
        <w:pStyle w:val="55"/>
        <w:spacing w:line="440" w:lineRule="exact"/>
        <w:rPr>
          <w:rFonts w:hint="eastAsia" w:ascii="宋体" w:hAnsi="宋体"/>
          <w:b/>
          <w:szCs w:val="21"/>
          <w:highlight w:val="none"/>
        </w:rPr>
      </w:pPr>
      <w:r>
        <w:rPr>
          <w:rFonts w:hint="eastAsia" w:ascii="宋体" w:hAnsi="宋体"/>
          <w:b/>
          <w:szCs w:val="21"/>
          <w:highlight w:val="none"/>
        </w:rPr>
        <w:t>8、废标的情形</w:t>
      </w:r>
    </w:p>
    <w:p w14:paraId="79A73228">
      <w:pPr>
        <w:pStyle w:val="55"/>
        <w:spacing w:line="440" w:lineRule="exact"/>
        <w:ind w:firstLine="421"/>
        <w:rPr>
          <w:rFonts w:hint="eastAsia" w:ascii="宋体" w:hAnsi="宋体"/>
          <w:b/>
          <w:szCs w:val="21"/>
          <w:highlight w:val="none"/>
        </w:rPr>
      </w:pPr>
      <w:r>
        <w:rPr>
          <w:rFonts w:hint="eastAsia" w:ascii="宋体" w:hAnsi="宋体"/>
          <w:b/>
          <w:szCs w:val="21"/>
          <w:highlight w:val="none"/>
        </w:rPr>
        <w:t>8.1 如出现以下情况之一的，则废标：</w:t>
      </w:r>
    </w:p>
    <w:p w14:paraId="2CE7BD13">
      <w:pPr>
        <w:pStyle w:val="55"/>
        <w:spacing w:line="440" w:lineRule="exact"/>
        <w:ind w:firstLine="421"/>
        <w:rPr>
          <w:rFonts w:hint="eastAsia" w:ascii="宋体" w:hAnsi="宋体"/>
          <w:bCs/>
          <w:szCs w:val="21"/>
          <w:highlight w:val="none"/>
        </w:rPr>
      </w:pPr>
      <w:r>
        <w:rPr>
          <w:rFonts w:hint="eastAsia" w:ascii="宋体" w:hAnsi="宋体"/>
          <w:bCs/>
          <w:szCs w:val="21"/>
          <w:highlight w:val="none"/>
        </w:rPr>
        <w:t>（1）投标截止时间后或评审期间，符合专业条件的供应商或者对采购文件作实质响应的投标人不足三家的；</w:t>
      </w:r>
    </w:p>
    <w:p w14:paraId="77E3CB90">
      <w:pPr>
        <w:pStyle w:val="55"/>
        <w:spacing w:line="440" w:lineRule="exact"/>
        <w:ind w:firstLine="421"/>
        <w:rPr>
          <w:rFonts w:hint="eastAsia" w:ascii="宋体" w:hAnsi="宋体"/>
          <w:bCs/>
          <w:szCs w:val="21"/>
          <w:highlight w:val="none"/>
        </w:rPr>
      </w:pPr>
      <w:r>
        <w:rPr>
          <w:rFonts w:hint="eastAsia" w:ascii="宋体" w:hAnsi="宋体"/>
          <w:bCs/>
          <w:szCs w:val="21"/>
          <w:highlight w:val="none"/>
        </w:rPr>
        <w:t>（2）出现影响采购公正的违法、违规行为的；</w:t>
      </w:r>
    </w:p>
    <w:p w14:paraId="6D777968">
      <w:pPr>
        <w:pStyle w:val="55"/>
        <w:spacing w:line="440" w:lineRule="exact"/>
        <w:ind w:firstLine="421"/>
        <w:rPr>
          <w:rFonts w:hint="eastAsia" w:ascii="宋体" w:hAnsi="宋体"/>
          <w:bCs/>
          <w:szCs w:val="21"/>
          <w:highlight w:val="none"/>
        </w:rPr>
      </w:pPr>
      <w:r>
        <w:rPr>
          <w:rFonts w:hint="eastAsia" w:ascii="宋体" w:hAnsi="宋体"/>
          <w:bCs/>
          <w:szCs w:val="21"/>
          <w:highlight w:val="none"/>
        </w:rPr>
        <w:t>（3）投标人的报价均超过了采购预算，采购人不能支付的；</w:t>
      </w:r>
    </w:p>
    <w:p w14:paraId="297D0628">
      <w:pPr>
        <w:pStyle w:val="55"/>
        <w:spacing w:line="440" w:lineRule="exact"/>
        <w:ind w:firstLine="421"/>
        <w:rPr>
          <w:rFonts w:hint="eastAsia" w:ascii="宋体" w:hAnsi="宋体"/>
          <w:bCs/>
          <w:szCs w:val="21"/>
          <w:highlight w:val="none"/>
        </w:rPr>
      </w:pPr>
      <w:r>
        <w:rPr>
          <w:rFonts w:hint="eastAsia" w:ascii="宋体" w:hAnsi="宋体"/>
          <w:bCs/>
          <w:szCs w:val="21"/>
          <w:highlight w:val="none"/>
        </w:rPr>
        <w:t>（4）因重大变故，采购任务取消的。</w:t>
      </w:r>
    </w:p>
    <w:p w14:paraId="12B440FE">
      <w:pPr>
        <w:pStyle w:val="55"/>
        <w:spacing w:line="440" w:lineRule="exact"/>
        <w:ind w:firstLine="421"/>
        <w:rPr>
          <w:rFonts w:hint="eastAsia" w:ascii="宋体" w:hAnsi="宋体"/>
          <w:b/>
          <w:szCs w:val="21"/>
          <w:highlight w:val="none"/>
        </w:rPr>
      </w:pPr>
      <w:r>
        <w:rPr>
          <w:rFonts w:hint="eastAsia" w:ascii="宋体" w:hAnsi="宋体"/>
          <w:b/>
          <w:szCs w:val="21"/>
          <w:highlight w:val="none"/>
        </w:rPr>
        <w:t>8.2 废标后，废标理由将在原招标公告发布媒体上公告通知所有投标人。</w:t>
      </w:r>
    </w:p>
    <w:p w14:paraId="24E78A5D">
      <w:pPr>
        <w:pStyle w:val="11"/>
        <w:snapToGrid w:val="0"/>
        <w:spacing w:line="440" w:lineRule="exact"/>
        <w:rPr>
          <w:rFonts w:hint="eastAsia" w:hAnsi="宋体"/>
          <w:b/>
          <w:highlight w:val="none"/>
        </w:rPr>
      </w:pPr>
      <w:r>
        <w:rPr>
          <w:rFonts w:hint="eastAsia" w:hAnsi="宋体"/>
          <w:b/>
          <w:highlight w:val="none"/>
        </w:rPr>
        <w:t>9、</w:t>
      </w:r>
      <w:r>
        <w:rPr>
          <w:rFonts w:hAnsi="宋体"/>
          <w:b/>
          <w:highlight w:val="none"/>
        </w:rPr>
        <w:t>评标过程的监控</w:t>
      </w:r>
    </w:p>
    <w:p w14:paraId="6C3D3387">
      <w:pPr>
        <w:pStyle w:val="11"/>
        <w:snapToGrid w:val="0"/>
        <w:spacing w:line="440" w:lineRule="exact"/>
        <w:ind w:firstLine="420" w:firstLineChars="200"/>
        <w:rPr>
          <w:rFonts w:hint="eastAsia" w:hAnsi="宋体"/>
          <w:highlight w:val="none"/>
        </w:rPr>
      </w:pPr>
      <w:r>
        <w:rPr>
          <w:rFonts w:hAnsi="宋体"/>
          <w:highlight w:val="none"/>
        </w:rPr>
        <w:t>本项目评标过程实行全程录音、录像监控，投标人在评标过程中所进行的</w:t>
      </w:r>
      <w:r>
        <w:rPr>
          <w:rFonts w:hint="eastAsia" w:hAnsi="宋体"/>
          <w:highlight w:val="none"/>
        </w:rPr>
        <w:t>试</w:t>
      </w:r>
      <w:r>
        <w:rPr>
          <w:rFonts w:hAnsi="宋体"/>
          <w:highlight w:val="none"/>
        </w:rPr>
        <w:t>图影响评标结果的不公正活动，可能导致其投标被拒绝。</w:t>
      </w:r>
    </w:p>
    <w:p w14:paraId="4F1D9523">
      <w:pPr>
        <w:pStyle w:val="4"/>
        <w:spacing w:before="0" w:after="0" w:line="360" w:lineRule="auto"/>
        <w:jc w:val="center"/>
        <w:rPr>
          <w:rFonts w:hint="eastAsia" w:ascii="宋体" w:hAnsi="宋体"/>
          <w:highlight w:val="none"/>
        </w:rPr>
      </w:pPr>
      <w:bookmarkStart w:id="101" w:name="_Toc21033"/>
      <w:r>
        <w:rPr>
          <w:rFonts w:hint="eastAsia" w:ascii="宋体" w:hAnsi="宋体"/>
          <w:highlight w:val="none"/>
        </w:rPr>
        <w:t>七、定标</w:t>
      </w:r>
      <w:bookmarkEnd w:id="101"/>
    </w:p>
    <w:p w14:paraId="2B43E396">
      <w:pPr>
        <w:pStyle w:val="11"/>
        <w:snapToGrid w:val="0"/>
        <w:spacing w:line="440" w:lineRule="exact"/>
        <w:rPr>
          <w:rFonts w:hint="eastAsia" w:hAnsi="宋体"/>
          <w:b/>
          <w:bCs/>
          <w:highlight w:val="none"/>
        </w:rPr>
      </w:pPr>
      <w:bookmarkStart w:id="102" w:name="_Toc249758871"/>
      <w:bookmarkStart w:id="103" w:name="_Toc410031821"/>
      <w:bookmarkStart w:id="104" w:name="_Toc262049425"/>
      <w:bookmarkStart w:id="105" w:name="_Toc262105510"/>
      <w:bookmarkStart w:id="106" w:name="_Toc249758721"/>
      <w:bookmarkStart w:id="107" w:name="_Toc239145357"/>
      <w:bookmarkStart w:id="108" w:name="_Toc241404205"/>
      <w:bookmarkStart w:id="109" w:name="_Toc246261268"/>
      <w:bookmarkStart w:id="110" w:name="_Toc223716001"/>
      <w:bookmarkStart w:id="111" w:name="_Toc221356954"/>
      <w:bookmarkStart w:id="112" w:name="_Toc221423622"/>
      <w:bookmarkStart w:id="113" w:name="_Toc249758715"/>
      <w:bookmarkStart w:id="114" w:name="_Toc262049421"/>
      <w:bookmarkStart w:id="115" w:name="_Toc221374629"/>
      <w:bookmarkStart w:id="116" w:name="_Toc222114882"/>
      <w:bookmarkStart w:id="117" w:name="_Toc262105506"/>
      <w:bookmarkStart w:id="118" w:name="_Toc245722284"/>
      <w:bookmarkStart w:id="119" w:name="_Toc410031819"/>
      <w:bookmarkStart w:id="120" w:name="_Toc245191317"/>
      <w:bookmarkStart w:id="121" w:name="_Toc249758867"/>
      <w:bookmarkStart w:id="122" w:name="_Toc221356890"/>
      <w:r>
        <w:rPr>
          <w:rFonts w:hint="eastAsia" w:hAnsi="宋体"/>
          <w:b/>
          <w:bCs/>
          <w:highlight w:val="none"/>
        </w:rPr>
        <w:t>1、确定中标人</w:t>
      </w:r>
    </w:p>
    <w:p w14:paraId="0E5BA7F6">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1.1</w:t>
      </w:r>
      <w:r>
        <w:rPr>
          <w:rFonts w:ascii="宋体" w:hAnsi="宋体"/>
          <w:szCs w:val="21"/>
          <w:highlight w:val="none"/>
        </w:rPr>
        <w:t>采购代理机构在评标结束后2个工作日内将评标报告</w:t>
      </w:r>
      <w:r>
        <w:rPr>
          <w:rFonts w:hint="eastAsia" w:ascii="宋体" w:hAnsi="宋体"/>
          <w:szCs w:val="21"/>
          <w:highlight w:val="none"/>
        </w:rPr>
        <w:t>送采购人</w:t>
      </w:r>
      <w:r>
        <w:rPr>
          <w:rFonts w:ascii="宋体" w:hAnsi="宋体"/>
          <w:szCs w:val="21"/>
          <w:highlight w:val="none"/>
        </w:rPr>
        <w:t>确认。</w:t>
      </w:r>
    </w:p>
    <w:p w14:paraId="2749C096">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1.2投标人</w:t>
      </w:r>
      <w:r>
        <w:rPr>
          <w:rFonts w:ascii="宋体" w:hAnsi="宋体"/>
          <w:szCs w:val="21"/>
          <w:highlight w:val="none"/>
        </w:rPr>
        <w:t>对评标结果无异议的，</w:t>
      </w:r>
      <w:r>
        <w:rPr>
          <w:rFonts w:hint="eastAsia" w:ascii="宋体" w:hAnsi="宋体"/>
          <w:szCs w:val="21"/>
          <w:highlight w:val="none"/>
        </w:rPr>
        <w:t>采购人</w:t>
      </w:r>
      <w:r>
        <w:rPr>
          <w:rFonts w:ascii="宋体" w:hAnsi="宋体"/>
          <w:szCs w:val="21"/>
          <w:highlight w:val="none"/>
        </w:rPr>
        <w:t>应在收到评标报告后5个工作日内对评标结果进行确认。如有</w:t>
      </w:r>
      <w:r>
        <w:rPr>
          <w:rFonts w:hint="eastAsia" w:ascii="宋体" w:hAnsi="宋体"/>
          <w:szCs w:val="21"/>
          <w:highlight w:val="none"/>
        </w:rPr>
        <w:t>投标人</w:t>
      </w:r>
      <w:r>
        <w:rPr>
          <w:rFonts w:ascii="宋体" w:hAnsi="宋体"/>
          <w:szCs w:val="21"/>
          <w:highlight w:val="none"/>
        </w:rPr>
        <w:t>对评标结果提出质疑的，</w:t>
      </w:r>
      <w:r>
        <w:rPr>
          <w:rFonts w:hint="eastAsia" w:ascii="宋体" w:hAnsi="宋体"/>
          <w:szCs w:val="21"/>
          <w:highlight w:val="none"/>
        </w:rPr>
        <w:t>采购单位</w:t>
      </w:r>
      <w:r>
        <w:rPr>
          <w:rFonts w:ascii="宋体" w:hAnsi="宋体"/>
          <w:szCs w:val="21"/>
          <w:highlight w:val="none"/>
        </w:rPr>
        <w:t>可在质疑处理完毕后确定</w:t>
      </w:r>
      <w:r>
        <w:rPr>
          <w:rFonts w:hint="eastAsia" w:ascii="宋体" w:hAnsi="宋体"/>
          <w:szCs w:val="21"/>
          <w:highlight w:val="none"/>
        </w:rPr>
        <w:t>中标人</w:t>
      </w:r>
      <w:r>
        <w:rPr>
          <w:rFonts w:ascii="宋体" w:hAnsi="宋体"/>
          <w:szCs w:val="21"/>
          <w:highlight w:val="none"/>
        </w:rPr>
        <w:t>。</w:t>
      </w:r>
    </w:p>
    <w:p w14:paraId="06BA1A38">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1.3采购人或采购代理机构应当自中标人确定之日起</w:t>
      </w:r>
      <w:r>
        <w:rPr>
          <w:rFonts w:ascii="宋体" w:hAnsi="宋体"/>
          <w:szCs w:val="21"/>
          <w:highlight w:val="none"/>
        </w:rPr>
        <w:t>2个工作日内，在</w:t>
      </w:r>
      <w:r>
        <w:rPr>
          <w:rFonts w:hint="eastAsia" w:ascii="宋体" w:hAnsi="宋体"/>
          <w:spacing w:val="-4"/>
          <w:highlight w:val="none"/>
        </w:rPr>
        <w:t>常山县人民政府网、浙江政府采购网</w:t>
      </w:r>
      <w:r>
        <w:rPr>
          <w:rFonts w:ascii="宋体" w:hAnsi="宋体"/>
          <w:spacing w:val="-4"/>
          <w:highlight w:val="none"/>
        </w:rPr>
        <w:t>上</w:t>
      </w:r>
      <w:r>
        <w:rPr>
          <w:rFonts w:hint="eastAsia" w:ascii="宋体" w:hAnsi="宋体"/>
          <w:szCs w:val="21"/>
          <w:highlight w:val="none"/>
        </w:rPr>
        <w:t>公告中标结果，同时采购人或</w:t>
      </w:r>
      <w:r>
        <w:rPr>
          <w:rFonts w:ascii="宋体" w:hAnsi="宋体"/>
          <w:szCs w:val="21"/>
          <w:highlight w:val="none"/>
        </w:rPr>
        <w:t>采购代理机构</w:t>
      </w:r>
      <w:r>
        <w:rPr>
          <w:rFonts w:hint="eastAsia" w:ascii="宋体" w:hAnsi="宋体"/>
          <w:szCs w:val="21"/>
          <w:highlight w:val="none"/>
        </w:rPr>
        <w:t>应当向中标人以书面形式发出《中标通知书》。</w:t>
      </w:r>
    </w:p>
    <w:p w14:paraId="7DBB1664">
      <w:pPr>
        <w:pStyle w:val="4"/>
        <w:spacing w:before="100" w:after="100" w:line="440" w:lineRule="exact"/>
        <w:ind w:firstLine="321" w:firstLineChars="100"/>
        <w:jc w:val="center"/>
        <w:rPr>
          <w:rFonts w:hint="eastAsia" w:ascii="宋体" w:hAnsi="宋体"/>
          <w:highlight w:val="none"/>
        </w:rPr>
      </w:pPr>
      <w:bookmarkStart w:id="123" w:name="_Toc18706"/>
      <w:r>
        <w:rPr>
          <w:rFonts w:hint="eastAsia" w:ascii="宋体" w:hAnsi="宋体"/>
          <w:highlight w:val="none"/>
        </w:rPr>
        <w:t>八、合同授予</w:t>
      </w:r>
      <w:bookmarkEnd w:id="123"/>
      <w:r>
        <w:rPr>
          <w:rFonts w:hint="eastAsia" w:ascii="宋体" w:hAnsi="宋体"/>
          <w:highlight w:val="none"/>
        </w:rPr>
        <w:t>及其他</w:t>
      </w:r>
    </w:p>
    <w:p w14:paraId="2FBE3892">
      <w:pPr>
        <w:snapToGrid w:val="0"/>
        <w:spacing w:line="440" w:lineRule="exact"/>
        <w:rPr>
          <w:rFonts w:hint="eastAsia" w:ascii="宋体" w:hAnsi="宋体"/>
          <w:b/>
          <w:bCs/>
          <w:szCs w:val="21"/>
          <w:highlight w:val="none"/>
        </w:rPr>
      </w:pPr>
      <w:r>
        <w:rPr>
          <w:rFonts w:hint="eastAsia" w:ascii="宋体" w:hAnsi="宋体"/>
          <w:b/>
          <w:bCs/>
          <w:szCs w:val="21"/>
          <w:highlight w:val="none"/>
        </w:rPr>
        <w:t>1、签订合同</w:t>
      </w:r>
    </w:p>
    <w:p w14:paraId="1021D1D2">
      <w:pPr>
        <w:snapToGrid w:val="0"/>
        <w:spacing w:line="440" w:lineRule="exact"/>
        <w:ind w:firstLine="420" w:firstLineChars="200"/>
        <w:rPr>
          <w:rFonts w:hint="eastAsia" w:ascii="宋体" w:hAnsi="宋体"/>
          <w:szCs w:val="21"/>
          <w:highlight w:val="none"/>
        </w:rPr>
      </w:pPr>
      <w:bookmarkStart w:id="124" w:name="OLE_LINK1"/>
      <w:r>
        <w:rPr>
          <w:rFonts w:hint="eastAsia" w:ascii="宋体" w:hAnsi="宋体"/>
          <w:szCs w:val="21"/>
          <w:highlight w:val="none"/>
        </w:rPr>
        <w:t>1.1中标通知书于中标公告发布之日签发，中标人应于中标结果公告发布之日起两个工作日内，凭法定代表人（负责人）授权委托书及被授权人身份证原件至衢州市开成工程造价咨询事务所有限公司领取中标通知书，逾期领取的后果自负。中标人与采购单位须在中标结果公告发出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bookmarkEnd w:id="124"/>
    <w:p w14:paraId="0F7DFEFC">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1.2 中标人</w:t>
      </w:r>
      <w:r>
        <w:rPr>
          <w:rFonts w:ascii="宋体" w:hAnsi="宋体"/>
          <w:szCs w:val="21"/>
          <w:highlight w:val="none"/>
        </w:rPr>
        <w:t>拖延、拒签合同的,</w:t>
      </w:r>
      <w:r>
        <w:rPr>
          <w:rFonts w:hint="eastAsia" w:ascii="宋体" w:hAnsi="宋体" w:cs="宋体"/>
          <w:szCs w:val="21"/>
          <w:highlight w:val="none"/>
        </w:rPr>
        <w:t>应当按照本项目采购预算价2%的标准承担因此给采购单位造成的损失的赔偿责任及相应的法律责任</w:t>
      </w:r>
      <w:r>
        <w:rPr>
          <w:rFonts w:ascii="宋体" w:hAnsi="宋体"/>
          <w:szCs w:val="21"/>
          <w:highlight w:val="none"/>
        </w:rPr>
        <w:t>。</w:t>
      </w:r>
    </w:p>
    <w:p w14:paraId="3EEE9B7B">
      <w:pPr>
        <w:pStyle w:val="11"/>
        <w:snapToGrid w:val="0"/>
        <w:spacing w:line="440" w:lineRule="exact"/>
        <w:rPr>
          <w:rFonts w:hint="eastAsia" w:hAnsi="宋体"/>
          <w:b/>
          <w:highlight w:val="none"/>
        </w:rPr>
      </w:pPr>
      <w:r>
        <w:rPr>
          <w:rFonts w:hint="eastAsia" w:hAnsi="宋体"/>
          <w:b/>
          <w:highlight w:val="none"/>
        </w:rPr>
        <w:t>2、</w:t>
      </w:r>
      <w:r>
        <w:rPr>
          <w:rFonts w:hAnsi="宋体"/>
          <w:b/>
          <w:highlight w:val="none"/>
        </w:rPr>
        <w:t>履约保证金</w:t>
      </w:r>
    </w:p>
    <w:p w14:paraId="589C4024">
      <w:pPr>
        <w:pStyle w:val="11"/>
        <w:snapToGrid w:val="0"/>
        <w:spacing w:line="440" w:lineRule="exact"/>
        <w:ind w:firstLine="420" w:firstLineChars="200"/>
        <w:rPr>
          <w:rFonts w:hint="eastAsia" w:hAnsi="宋体"/>
          <w:highlight w:val="none"/>
        </w:rPr>
      </w:pPr>
      <w:r>
        <w:rPr>
          <w:rFonts w:hint="eastAsia" w:hAnsi="宋体"/>
          <w:highlight w:val="none"/>
        </w:rPr>
        <w:t>2.1</w:t>
      </w:r>
      <w:r>
        <w:rPr>
          <w:rFonts w:hAnsi="宋体"/>
          <w:highlight w:val="none"/>
        </w:rPr>
        <w:t>签订合同前，</w:t>
      </w:r>
      <w:r>
        <w:rPr>
          <w:rFonts w:hint="eastAsia" w:hAnsi="宋体"/>
          <w:highlight w:val="none"/>
        </w:rPr>
        <w:t>中标人</w:t>
      </w:r>
      <w:r>
        <w:rPr>
          <w:rFonts w:hAnsi="宋体"/>
          <w:highlight w:val="none"/>
        </w:rPr>
        <w:t>应按采购代理机构根据采购文件</w:t>
      </w:r>
      <w:r>
        <w:rPr>
          <w:rFonts w:hint="eastAsia" w:hAnsi="宋体"/>
          <w:highlight w:val="none"/>
        </w:rPr>
        <w:t>规定</w:t>
      </w:r>
      <w:r>
        <w:rPr>
          <w:rFonts w:hAnsi="宋体"/>
          <w:highlight w:val="none"/>
        </w:rPr>
        <w:t>的履约保证金的金额，向</w:t>
      </w:r>
      <w:r>
        <w:rPr>
          <w:rFonts w:hint="eastAsia" w:hAnsi="宋体"/>
          <w:highlight w:val="none"/>
        </w:rPr>
        <w:t>采购单位</w:t>
      </w:r>
      <w:r>
        <w:rPr>
          <w:rFonts w:hAnsi="宋体"/>
          <w:highlight w:val="none"/>
        </w:rPr>
        <w:t>交纳履约保证金。</w:t>
      </w:r>
    </w:p>
    <w:p w14:paraId="1C6B0A6E">
      <w:pPr>
        <w:pStyle w:val="11"/>
        <w:snapToGrid w:val="0"/>
        <w:spacing w:line="440" w:lineRule="exact"/>
        <w:ind w:firstLine="420" w:firstLineChars="200"/>
        <w:rPr>
          <w:rFonts w:hint="eastAsia" w:hAnsi="宋体"/>
          <w:highlight w:val="none"/>
        </w:rPr>
      </w:pPr>
      <w:r>
        <w:rPr>
          <w:rFonts w:hint="eastAsia" w:hAnsi="宋体"/>
          <w:highlight w:val="none"/>
        </w:rPr>
        <w:t>2.2</w:t>
      </w:r>
      <w:r>
        <w:rPr>
          <w:rFonts w:hAnsi="宋体"/>
          <w:highlight w:val="none"/>
        </w:rPr>
        <w:t>签订合同后，如</w:t>
      </w:r>
      <w:r>
        <w:rPr>
          <w:rFonts w:hint="eastAsia" w:hAnsi="宋体"/>
          <w:highlight w:val="none"/>
        </w:rPr>
        <w:t>中标人</w:t>
      </w:r>
      <w:r>
        <w:rPr>
          <w:rFonts w:hAnsi="宋体"/>
          <w:highlight w:val="none"/>
        </w:rPr>
        <w:t>不按双方合同约定履约，则没收其全部履约保证金，履约保证金不足以赔偿损失的，按实际损失赔偿。</w:t>
      </w:r>
    </w:p>
    <w:p w14:paraId="13DB4737">
      <w:pPr>
        <w:pStyle w:val="11"/>
        <w:snapToGrid w:val="0"/>
        <w:spacing w:line="440" w:lineRule="exact"/>
        <w:rPr>
          <w:rFonts w:hint="eastAsia" w:hAnsi="宋体"/>
          <w:b/>
          <w:highlight w:val="none"/>
        </w:rPr>
      </w:pPr>
      <w:r>
        <w:rPr>
          <w:rFonts w:hint="eastAsia" w:hAnsi="宋体"/>
          <w:b/>
          <w:highlight w:val="none"/>
        </w:rPr>
        <w:t>3、解释权</w:t>
      </w:r>
    </w:p>
    <w:p w14:paraId="0A2E7BBE">
      <w:pPr>
        <w:autoSpaceDE w:val="0"/>
        <w:autoSpaceDN w:val="0"/>
        <w:adjustRightInd w:val="0"/>
        <w:spacing w:line="360" w:lineRule="auto"/>
        <w:ind w:firstLine="480"/>
        <w:rPr>
          <w:rFonts w:hint="eastAsia" w:ascii="宋体" w:hAnsi="宋体"/>
          <w:highlight w:val="none"/>
        </w:rPr>
      </w:pPr>
      <w:r>
        <w:rPr>
          <w:rFonts w:hint="eastAsia" w:ascii="宋体" w:hAnsi="宋体" w:cs="宋体"/>
          <w:highlight w:val="none"/>
        </w:rPr>
        <w:t>凡涉及本次采购文件的解释权均属于采购人和采购代理机构。</w:t>
      </w:r>
    </w:p>
    <w:p w14:paraId="3C168C08">
      <w:pPr>
        <w:pStyle w:val="4"/>
        <w:spacing w:before="0" w:after="0" w:line="440" w:lineRule="exact"/>
        <w:ind w:firstLine="321" w:firstLineChars="100"/>
        <w:jc w:val="center"/>
        <w:rPr>
          <w:rFonts w:hint="eastAsia" w:ascii="宋体" w:hAnsi="宋体"/>
          <w:highlight w:val="none"/>
        </w:rPr>
      </w:pPr>
      <w:bookmarkStart w:id="125" w:name="_Toc16204"/>
      <w:r>
        <w:rPr>
          <w:rFonts w:hint="eastAsia" w:ascii="宋体" w:hAnsi="宋体"/>
          <w:highlight w:val="none"/>
        </w:rPr>
        <w:t>九、政府采购扶持政策说明</w:t>
      </w:r>
      <w:bookmarkEnd w:id="125"/>
    </w:p>
    <w:p w14:paraId="3FFD5562">
      <w:pPr>
        <w:numPr>
          <w:ilvl w:val="0"/>
          <w:numId w:val="6"/>
        </w:numPr>
        <w:spacing w:line="440" w:lineRule="atLeast"/>
        <w:jc w:val="left"/>
        <w:rPr>
          <w:rFonts w:hint="eastAsia" w:ascii="宋体" w:hAnsi="宋体" w:cs="宋体"/>
          <w:b/>
          <w:highlight w:val="none"/>
        </w:rPr>
      </w:pPr>
      <w:r>
        <w:rPr>
          <w:rFonts w:hint="eastAsia" w:ascii="宋体" w:hAnsi="宋体" w:cs="宋体"/>
          <w:b/>
          <w:highlight w:val="none"/>
        </w:rPr>
        <w:t>享受小微企业依据</w:t>
      </w:r>
    </w:p>
    <w:p w14:paraId="1376BB5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（1）符合中小企业划分标准；</w:t>
      </w:r>
    </w:p>
    <w:p w14:paraId="6E6964C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（2）在政府采购活动中，供应商提供的货物、工程或者服务符合下列情形的，享受财库【2020】46号文件规定的中小企业扶持政策：</w:t>
      </w:r>
    </w:p>
    <w:p w14:paraId="7FA82FE1">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A.在货物采购项目中，货物由中小企业制造，即货物由中小企业生产且使用该中小企业商号或者注册商标；</w:t>
      </w:r>
    </w:p>
    <w:p w14:paraId="0622BE9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B.在工程采购项目中，工程由中小企业承建，即工程施工单位为中小企业；</w:t>
      </w:r>
    </w:p>
    <w:p w14:paraId="26362EF5">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C.在服务采购项目中，服务由中小企业承接，即提供服务的人员为中小企业依照《中华人民共和国劳动合同法》订立劳动合同的从业人员。</w:t>
      </w:r>
    </w:p>
    <w:p w14:paraId="1801B503">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在货物采购项目中，供应商提供的货物既有中小企业制造货物，也有大型企业制造货物的，不享受本办法规定的中小企业扶持政策。</w:t>
      </w:r>
    </w:p>
    <w:p w14:paraId="5215C985">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以联合体形式参加政府采购活动，联合体各方均为中小企业的，联合体视同中小企业。其中，联合体各方均为小微企业的，联合体视同小微企业</w:t>
      </w:r>
    </w:p>
    <w:p w14:paraId="0F319F92">
      <w:pPr>
        <w:spacing w:line="360" w:lineRule="auto"/>
        <w:jc w:val="left"/>
        <w:rPr>
          <w:rFonts w:hint="eastAsia" w:ascii="宋体" w:hAnsi="宋体" w:cs="宋体"/>
          <w:b/>
          <w:szCs w:val="21"/>
          <w:highlight w:val="none"/>
        </w:rPr>
      </w:pPr>
      <w:r>
        <w:rPr>
          <w:rFonts w:hint="eastAsia" w:ascii="宋体" w:hAnsi="宋体" w:cs="宋体"/>
          <w:b/>
          <w:szCs w:val="21"/>
          <w:highlight w:val="none"/>
        </w:rPr>
        <w:t>2、享受小微企业价格折扣应提供以下证明材料：</w:t>
      </w:r>
    </w:p>
    <w:p w14:paraId="409DCAFA">
      <w:pPr>
        <w:spacing w:line="360" w:lineRule="auto"/>
        <w:ind w:firstLine="420" w:firstLineChars="200"/>
        <w:jc w:val="left"/>
        <w:rPr>
          <w:rFonts w:hint="eastAsia" w:ascii="宋体" w:hAnsi="宋体"/>
          <w:bCs/>
          <w:highlight w:val="none"/>
        </w:rPr>
      </w:pPr>
      <w:r>
        <w:rPr>
          <w:rFonts w:hint="eastAsia" w:ascii="宋体" w:hAnsi="宋体" w:cs="宋体"/>
          <w:bCs/>
          <w:szCs w:val="21"/>
          <w:highlight w:val="none"/>
        </w:rPr>
        <w:t>（1）《中小企业声明函》【格式见附件一】；</w:t>
      </w:r>
    </w:p>
    <w:p w14:paraId="258308F4">
      <w:pPr>
        <w:spacing w:line="360" w:lineRule="auto"/>
        <w:jc w:val="left"/>
        <w:rPr>
          <w:rFonts w:hint="eastAsia" w:ascii="宋体" w:hAnsi="宋体" w:cs="宋体"/>
          <w:b/>
          <w:szCs w:val="21"/>
          <w:highlight w:val="none"/>
        </w:rPr>
      </w:pPr>
      <w:r>
        <w:rPr>
          <w:rFonts w:hint="eastAsia" w:ascii="宋体" w:hAnsi="宋体" w:cs="宋体"/>
          <w:b/>
          <w:szCs w:val="21"/>
          <w:highlight w:val="none"/>
        </w:rPr>
        <w:t>3、享受监狱企业价格折扣应提供以下证明材料：</w:t>
      </w:r>
    </w:p>
    <w:p w14:paraId="239B1DB1">
      <w:pPr>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6A6F8B89">
      <w:pPr>
        <w:spacing w:line="360" w:lineRule="auto"/>
        <w:jc w:val="left"/>
        <w:rPr>
          <w:rFonts w:hint="eastAsia" w:ascii="宋体" w:hAnsi="宋体" w:cs="宋体"/>
          <w:b/>
          <w:szCs w:val="21"/>
          <w:highlight w:val="none"/>
        </w:rPr>
      </w:pPr>
      <w:r>
        <w:rPr>
          <w:rFonts w:hint="eastAsia" w:ascii="宋体" w:hAnsi="宋体" w:cs="宋体"/>
          <w:b/>
          <w:szCs w:val="21"/>
          <w:highlight w:val="none"/>
        </w:rPr>
        <w:t>4、享受残疾人福利性单位价格折扣应提供以下证明材料：</w:t>
      </w:r>
    </w:p>
    <w:p w14:paraId="1C75226E">
      <w:pPr>
        <w:spacing w:line="360" w:lineRule="auto"/>
        <w:ind w:firstLine="420" w:firstLineChars="200"/>
        <w:jc w:val="left"/>
        <w:rPr>
          <w:rFonts w:hint="eastAsia" w:ascii="宋体" w:hAnsi="宋体" w:cs="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）残疾人福利性单位声明函</w:t>
      </w:r>
      <w:r>
        <w:rPr>
          <w:rFonts w:hint="eastAsia" w:ascii="宋体" w:hAnsi="宋体" w:cs="宋体"/>
          <w:bCs/>
          <w:szCs w:val="21"/>
          <w:highlight w:val="none"/>
        </w:rPr>
        <w:t>【格式见附件二】；</w:t>
      </w:r>
      <w:bookmarkStart w:id="126" w:name="_Toc19824"/>
    </w:p>
    <w:p w14:paraId="41823958">
      <w:pPr>
        <w:rPr>
          <w:rFonts w:hint="eastAsia" w:ascii="宋体" w:hAnsi="宋体" w:cs="宋体"/>
          <w:szCs w:val="21"/>
          <w:highlight w:val="none"/>
        </w:rPr>
      </w:pPr>
      <w:r>
        <w:rPr>
          <w:rFonts w:hint="eastAsia" w:ascii="宋体" w:hAnsi="宋体" w:cs="宋体"/>
          <w:szCs w:val="21"/>
          <w:highlight w:val="none"/>
        </w:rPr>
        <w:br w:type="page"/>
      </w:r>
    </w:p>
    <w:p w14:paraId="1A057A9B">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附件一：</w:t>
      </w:r>
      <w:bookmarkEnd w:id="126"/>
    </w:p>
    <w:p w14:paraId="25D37A59">
      <w:pPr>
        <w:widowControl/>
        <w:spacing w:before="100" w:beforeAutospacing="1" w:after="100" w:afterAutospacing="1" w:line="440" w:lineRule="atLeast"/>
        <w:jc w:val="center"/>
        <w:rPr>
          <w:rFonts w:hint="eastAsia" w:ascii="宋体" w:hAnsi="宋体" w:cs="宋体"/>
          <w:b/>
          <w:sz w:val="24"/>
          <w:highlight w:val="none"/>
        </w:rPr>
      </w:pPr>
      <w:r>
        <w:rPr>
          <w:rFonts w:hint="eastAsia" w:ascii="宋体" w:hAnsi="宋体" w:cs="宋体"/>
          <w:b/>
          <w:bCs/>
          <w:sz w:val="24"/>
          <w:highlight w:val="none"/>
        </w:rPr>
        <w:t>中小企业声明函（服务）</w:t>
      </w:r>
    </w:p>
    <w:p w14:paraId="6579EAF9">
      <w:pPr>
        <w:widowControl/>
        <w:tabs>
          <w:tab w:val="left" w:pos="312"/>
        </w:tabs>
        <w:spacing w:line="500" w:lineRule="atLeast"/>
        <w:ind w:firstLine="440" w:firstLineChars="200"/>
        <w:jc w:val="left"/>
        <w:rPr>
          <w:rFonts w:hint="eastAsia" w:ascii="宋体" w:hAnsi="宋体" w:cs="宋体"/>
          <w:bCs/>
          <w:sz w:val="22"/>
          <w:szCs w:val="22"/>
          <w:highlight w:val="none"/>
        </w:rPr>
      </w:pPr>
      <w:r>
        <w:rPr>
          <w:rFonts w:hint="eastAsia" w:ascii="宋体" w:hAnsi="宋体" w:cs="宋体"/>
          <w:bCs/>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sz w:val="22"/>
          <w:szCs w:val="22"/>
          <w:highlight w:val="none"/>
          <w:u w:val="single"/>
        </w:rPr>
        <w:t>（单位名称）</w:t>
      </w:r>
      <w:r>
        <w:rPr>
          <w:rFonts w:hint="eastAsia" w:ascii="宋体" w:hAnsi="宋体" w:cs="宋体"/>
          <w:bCs/>
          <w:sz w:val="22"/>
          <w:szCs w:val="22"/>
          <w:highlight w:val="none"/>
        </w:rPr>
        <w:t xml:space="preserve"> 的</w:t>
      </w:r>
      <w:r>
        <w:rPr>
          <w:rFonts w:hint="eastAsia" w:ascii="宋体" w:hAnsi="宋体" w:cs="宋体"/>
          <w:bCs/>
          <w:sz w:val="22"/>
          <w:szCs w:val="22"/>
          <w:highlight w:val="none"/>
          <w:u w:val="single"/>
        </w:rPr>
        <w:t xml:space="preserve"> （项目名称） </w:t>
      </w:r>
      <w:r>
        <w:rPr>
          <w:rFonts w:hint="eastAsia" w:ascii="宋体" w:hAnsi="宋体" w:cs="宋体"/>
          <w:bCs/>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32E58A">
      <w:pPr>
        <w:widowControl/>
        <w:tabs>
          <w:tab w:val="left" w:pos="312"/>
        </w:tabs>
        <w:spacing w:line="500" w:lineRule="atLeast"/>
        <w:ind w:firstLine="440" w:firstLineChars="200"/>
        <w:jc w:val="left"/>
        <w:rPr>
          <w:rFonts w:hint="eastAsia" w:ascii="宋体" w:hAnsi="宋体" w:cs="宋体"/>
          <w:bCs/>
          <w:sz w:val="22"/>
          <w:szCs w:val="22"/>
          <w:highlight w:val="none"/>
        </w:rPr>
      </w:pPr>
      <w:r>
        <w:rPr>
          <w:rFonts w:hint="eastAsia" w:ascii="宋体" w:hAnsi="宋体" w:cs="宋体"/>
          <w:bCs/>
          <w:sz w:val="22"/>
          <w:szCs w:val="22"/>
          <w:highlight w:val="none"/>
        </w:rPr>
        <w:t xml:space="preserve">1. </w:t>
      </w:r>
      <w:r>
        <w:rPr>
          <w:rFonts w:hint="eastAsia" w:ascii="宋体" w:hAnsi="宋体" w:cs="宋体"/>
          <w:bCs/>
          <w:sz w:val="22"/>
          <w:szCs w:val="22"/>
          <w:highlight w:val="none"/>
          <w:u w:val="single"/>
        </w:rPr>
        <w:t>（标的名称）</w:t>
      </w:r>
      <w:r>
        <w:rPr>
          <w:rFonts w:hint="eastAsia" w:ascii="宋体" w:hAnsi="宋体" w:cs="宋体"/>
          <w:bCs/>
          <w:sz w:val="22"/>
          <w:szCs w:val="22"/>
          <w:highlight w:val="none"/>
        </w:rPr>
        <w:t xml:space="preserve"> ，属于</w:t>
      </w:r>
      <w:r>
        <w:rPr>
          <w:rFonts w:hint="eastAsia" w:ascii="宋体" w:hAnsi="宋体" w:cs="宋体"/>
          <w:bCs/>
          <w:sz w:val="22"/>
          <w:szCs w:val="22"/>
          <w:highlight w:val="none"/>
          <w:u w:val="single"/>
        </w:rPr>
        <w:t xml:space="preserve"> </w:t>
      </w:r>
      <w:r>
        <w:rPr>
          <w:rFonts w:hint="eastAsia" w:ascii="宋体" w:hAnsi="宋体" w:cs="宋体"/>
          <w:b/>
          <w:sz w:val="22"/>
          <w:szCs w:val="22"/>
          <w:highlight w:val="none"/>
          <w:u w:val="single"/>
        </w:rPr>
        <w:t>其他未列明行业</w:t>
      </w:r>
      <w:r>
        <w:rPr>
          <w:rFonts w:hint="eastAsia" w:ascii="宋体" w:hAnsi="宋体" w:cs="宋体"/>
          <w:bCs/>
          <w:sz w:val="22"/>
          <w:szCs w:val="22"/>
          <w:highlight w:val="none"/>
          <w:u w:val="single"/>
        </w:rPr>
        <w:t>（采购文件中明确的所属行业）</w:t>
      </w:r>
      <w:r>
        <w:rPr>
          <w:rFonts w:hint="eastAsia" w:ascii="宋体" w:hAnsi="宋体" w:cs="宋体"/>
          <w:bCs/>
          <w:sz w:val="22"/>
          <w:szCs w:val="22"/>
          <w:highlight w:val="none"/>
        </w:rPr>
        <w:t>行业 ；承建（承接）企业为</w:t>
      </w:r>
      <w:r>
        <w:rPr>
          <w:rFonts w:hint="eastAsia" w:ascii="宋体" w:hAnsi="宋体" w:cs="宋体"/>
          <w:bCs/>
          <w:sz w:val="22"/>
          <w:szCs w:val="22"/>
          <w:highlight w:val="none"/>
          <w:u w:val="single"/>
        </w:rPr>
        <w:t xml:space="preserve"> （企业名称） </w:t>
      </w:r>
      <w:r>
        <w:rPr>
          <w:rFonts w:hint="eastAsia" w:ascii="宋体" w:hAnsi="宋体" w:cs="宋体"/>
          <w:bCs/>
          <w:sz w:val="22"/>
          <w:szCs w:val="22"/>
          <w:highlight w:val="none"/>
        </w:rPr>
        <w:t>，从业人员</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人，营业收入为</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万元，资产总额为</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万元</w:t>
      </w:r>
      <w:r>
        <w:rPr>
          <w:rFonts w:hint="eastAsia" w:ascii="宋体" w:hAnsi="宋体" w:cs="宋体"/>
          <w:bCs/>
          <w:sz w:val="22"/>
          <w:szCs w:val="22"/>
          <w:highlight w:val="none"/>
          <w:vertAlign w:val="superscript"/>
        </w:rPr>
        <w:t>1</w:t>
      </w:r>
      <w:r>
        <w:rPr>
          <w:rFonts w:hint="eastAsia" w:ascii="宋体" w:hAnsi="宋体" w:cs="宋体"/>
          <w:bCs/>
          <w:sz w:val="22"/>
          <w:szCs w:val="22"/>
          <w:highlight w:val="none"/>
        </w:rPr>
        <w:t>，属于</w:t>
      </w:r>
      <w:r>
        <w:rPr>
          <w:rFonts w:hint="eastAsia" w:ascii="宋体" w:hAnsi="宋体" w:cs="宋体"/>
          <w:bCs/>
          <w:sz w:val="22"/>
          <w:szCs w:val="22"/>
          <w:highlight w:val="none"/>
          <w:u w:val="single"/>
        </w:rPr>
        <w:t>（中型企业、小型企业、微型企业）</w:t>
      </w:r>
      <w:r>
        <w:rPr>
          <w:rFonts w:hint="eastAsia" w:ascii="宋体" w:hAnsi="宋体" w:cs="宋体"/>
          <w:bCs/>
          <w:sz w:val="22"/>
          <w:szCs w:val="22"/>
          <w:highlight w:val="none"/>
        </w:rPr>
        <w:t>；</w:t>
      </w:r>
    </w:p>
    <w:p w14:paraId="0C14517A">
      <w:pPr>
        <w:widowControl/>
        <w:tabs>
          <w:tab w:val="left" w:pos="312"/>
        </w:tabs>
        <w:spacing w:line="500" w:lineRule="atLeast"/>
        <w:ind w:firstLine="440" w:firstLineChars="200"/>
        <w:jc w:val="left"/>
        <w:rPr>
          <w:rFonts w:hint="eastAsia" w:ascii="宋体" w:hAnsi="宋体" w:cs="宋体"/>
          <w:bCs/>
          <w:sz w:val="22"/>
          <w:szCs w:val="22"/>
          <w:highlight w:val="none"/>
        </w:rPr>
      </w:pPr>
      <w:r>
        <w:rPr>
          <w:rFonts w:hint="eastAsia" w:ascii="宋体" w:hAnsi="宋体" w:cs="宋体"/>
          <w:bCs/>
          <w:sz w:val="22"/>
          <w:szCs w:val="22"/>
          <w:highlight w:val="none"/>
        </w:rPr>
        <w:t xml:space="preserve">2. </w:t>
      </w:r>
      <w:r>
        <w:rPr>
          <w:rFonts w:hint="eastAsia" w:ascii="宋体" w:hAnsi="宋体" w:cs="宋体"/>
          <w:bCs/>
          <w:sz w:val="22"/>
          <w:szCs w:val="22"/>
          <w:highlight w:val="none"/>
          <w:u w:val="single"/>
        </w:rPr>
        <w:t xml:space="preserve">（标的名称） </w:t>
      </w:r>
      <w:r>
        <w:rPr>
          <w:rFonts w:hint="eastAsia" w:ascii="宋体" w:hAnsi="宋体" w:cs="宋体"/>
          <w:bCs/>
          <w:sz w:val="22"/>
          <w:szCs w:val="22"/>
          <w:highlight w:val="none"/>
        </w:rPr>
        <w:t>，属于</w:t>
      </w:r>
      <w:r>
        <w:rPr>
          <w:rFonts w:hint="eastAsia" w:ascii="宋体" w:hAnsi="宋体" w:cs="宋体"/>
          <w:bCs/>
          <w:sz w:val="22"/>
          <w:szCs w:val="22"/>
          <w:highlight w:val="none"/>
          <w:u w:val="single"/>
        </w:rPr>
        <w:t xml:space="preserve"> （采购文件中明确的所属行业）</w:t>
      </w:r>
      <w:r>
        <w:rPr>
          <w:rFonts w:hint="eastAsia" w:ascii="宋体" w:hAnsi="宋体" w:cs="宋体"/>
          <w:bCs/>
          <w:sz w:val="22"/>
          <w:szCs w:val="22"/>
          <w:highlight w:val="none"/>
        </w:rPr>
        <w:t>行业 ；承建（承接）企业为</w:t>
      </w:r>
      <w:r>
        <w:rPr>
          <w:rFonts w:hint="eastAsia" w:ascii="宋体" w:hAnsi="宋体" w:cs="宋体"/>
          <w:bCs/>
          <w:sz w:val="22"/>
          <w:szCs w:val="22"/>
          <w:highlight w:val="none"/>
          <w:u w:val="single"/>
        </w:rPr>
        <w:t xml:space="preserve">（企业名称） </w:t>
      </w:r>
      <w:r>
        <w:rPr>
          <w:rFonts w:hint="eastAsia" w:ascii="宋体" w:hAnsi="宋体" w:cs="宋体"/>
          <w:bCs/>
          <w:sz w:val="22"/>
          <w:szCs w:val="22"/>
          <w:highlight w:val="none"/>
        </w:rPr>
        <w:t>，从业人员</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人，营业收入为</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万元，资产总额为</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万元，属于 （中型企业、小型企业、微型企业） ；</w:t>
      </w:r>
    </w:p>
    <w:p w14:paraId="192987D5">
      <w:pPr>
        <w:widowControl/>
        <w:tabs>
          <w:tab w:val="left" w:pos="312"/>
        </w:tabs>
        <w:spacing w:line="500" w:lineRule="atLeast"/>
        <w:ind w:firstLine="440" w:firstLineChars="200"/>
        <w:jc w:val="left"/>
        <w:rPr>
          <w:rFonts w:hint="eastAsia" w:ascii="宋体" w:hAnsi="宋体" w:cs="宋体"/>
          <w:bCs/>
          <w:sz w:val="22"/>
          <w:szCs w:val="22"/>
          <w:highlight w:val="none"/>
        </w:rPr>
      </w:pPr>
      <w:r>
        <w:rPr>
          <w:rFonts w:hint="eastAsia" w:ascii="宋体" w:hAnsi="宋体" w:cs="宋体"/>
          <w:bCs/>
          <w:sz w:val="22"/>
          <w:szCs w:val="22"/>
          <w:highlight w:val="none"/>
        </w:rPr>
        <w:t>……</w:t>
      </w:r>
    </w:p>
    <w:p w14:paraId="6B913D9A">
      <w:pPr>
        <w:widowControl/>
        <w:tabs>
          <w:tab w:val="left" w:pos="312"/>
        </w:tabs>
        <w:spacing w:line="500" w:lineRule="atLeast"/>
        <w:ind w:firstLine="440" w:firstLineChars="200"/>
        <w:jc w:val="left"/>
        <w:rPr>
          <w:rFonts w:hint="eastAsia" w:ascii="宋体" w:hAnsi="宋体" w:cs="宋体"/>
          <w:bCs/>
          <w:sz w:val="22"/>
          <w:szCs w:val="22"/>
          <w:highlight w:val="none"/>
        </w:rPr>
      </w:pPr>
      <w:r>
        <w:rPr>
          <w:rFonts w:hint="eastAsia" w:ascii="宋体" w:hAnsi="宋体" w:cs="宋体"/>
          <w:bCs/>
          <w:sz w:val="22"/>
          <w:szCs w:val="22"/>
          <w:highlight w:val="none"/>
        </w:rPr>
        <w:t>以上企业，不属于大企业的分支机构，不存在控股股东为大企业的情形，也不存在与大企业的负责人为同一人的情形。</w:t>
      </w:r>
    </w:p>
    <w:p w14:paraId="02462DE9">
      <w:pPr>
        <w:widowControl/>
        <w:tabs>
          <w:tab w:val="left" w:pos="312"/>
        </w:tabs>
        <w:spacing w:line="500" w:lineRule="atLeast"/>
        <w:ind w:firstLine="440" w:firstLineChars="200"/>
        <w:jc w:val="left"/>
        <w:rPr>
          <w:rFonts w:hint="eastAsia" w:ascii="宋体" w:hAnsi="宋体" w:cs="宋体"/>
          <w:bCs/>
          <w:sz w:val="22"/>
          <w:szCs w:val="22"/>
          <w:highlight w:val="none"/>
        </w:rPr>
      </w:pPr>
      <w:r>
        <w:rPr>
          <w:rFonts w:hint="eastAsia" w:ascii="宋体" w:hAnsi="宋体" w:cs="宋体"/>
          <w:bCs/>
          <w:sz w:val="22"/>
          <w:szCs w:val="22"/>
          <w:highlight w:val="none"/>
        </w:rPr>
        <w:t>本企业对上述声明内容的真实性负责。如有虚假，将依法承担相应责任。</w:t>
      </w:r>
    </w:p>
    <w:p w14:paraId="14CAE554">
      <w:pPr>
        <w:widowControl/>
        <w:spacing w:line="500" w:lineRule="atLeast"/>
        <w:ind w:firstLine="5669" w:firstLineChars="2577"/>
        <w:jc w:val="left"/>
        <w:rPr>
          <w:rFonts w:hint="eastAsia" w:ascii="宋体" w:hAnsi="宋体" w:cs="宋体"/>
          <w:bCs/>
          <w:sz w:val="22"/>
          <w:szCs w:val="22"/>
          <w:highlight w:val="none"/>
        </w:rPr>
      </w:pPr>
      <w:r>
        <w:rPr>
          <w:rFonts w:hint="eastAsia" w:ascii="宋体" w:hAnsi="宋体" w:cs="宋体"/>
          <w:bCs/>
          <w:sz w:val="22"/>
          <w:szCs w:val="22"/>
          <w:highlight w:val="none"/>
        </w:rPr>
        <w:t>企业名称（盖章）：</w:t>
      </w:r>
    </w:p>
    <w:p w14:paraId="39899EF0">
      <w:pPr>
        <w:widowControl/>
        <w:spacing w:line="500" w:lineRule="atLeast"/>
        <w:ind w:firstLine="5669" w:firstLineChars="2577"/>
        <w:jc w:val="left"/>
        <w:rPr>
          <w:rFonts w:hint="eastAsia" w:ascii="宋体" w:hAnsi="宋体" w:cs="宋体"/>
          <w:bCs/>
          <w:sz w:val="22"/>
          <w:szCs w:val="22"/>
          <w:highlight w:val="none"/>
        </w:rPr>
      </w:pPr>
      <w:r>
        <w:rPr>
          <w:rFonts w:hint="eastAsia" w:ascii="宋体" w:hAnsi="宋体" w:cs="宋体"/>
          <w:bCs/>
          <w:sz w:val="22"/>
          <w:szCs w:val="22"/>
          <w:highlight w:val="none"/>
        </w:rPr>
        <w:t>日 期：</w:t>
      </w:r>
    </w:p>
    <w:p w14:paraId="62A95249">
      <w:pPr>
        <w:widowControl/>
        <w:tabs>
          <w:tab w:val="left" w:pos="312"/>
        </w:tabs>
        <w:spacing w:before="100" w:beforeAutospacing="1" w:after="100" w:afterAutospacing="1" w:line="440" w:lineRule="atLeast"/>
        <w:jc w:val="left"/>
        <w:rPr>
          <w:rFonts w:hint="eastAsia" w:ascii="宋体" w:hAnsi="宋体" w:cs="宋体"/>
          <w:bCs/>
          <w:sz w:val="18"/>
          <w:szCs w:val="18"/>
          <w:highlight w:val="none"/>
        </w:rPr>
      </w:pPr>
    </w:p>
    <w:p w14:paraId="1086B368">
      <w:pPr>
        <w:widowControl/>
        <w:tabs>
          <w:tab w:val="left" w:pos="312"/>
        </w:tabs>
        <w:spacing w:before="100" w:beforeAutospacing="1" w:after="100" w:afterAutospacing="1" w:line="440" w:lineRule="atLeast"/>
        <w:jc w:val="left"/>
        <w:rPr>
          <w:rFonts w:hint="eastAsia" w:ascii="宋体" w:hAnsi="宋体" w:cs="宋体"/>
          <w:bCs/>
          <w:sz w:val="18"/>
          <w:szCs w:val="18"/>
          <w:highlight w:val="none"/>
        </w:rPr>
      </w:pPr>
    </w:p>
    <w:p w14:paraId="068B0952">
      <w:pPr>
        <w:spacing w:line="440" w:lineRule="atLeast"/>
        <w:rPr>
          <w:rFonts w:hint="eastAsia" w:ascii="宋体" w:hAnsi="宋体" w:cs="宋体"/>
          <w:szCs w:val="21"/>
          <w:highlight w:val="none"/>
        </w:rPr>
      </w:pPr>
      <w:r>
        <w:rPr>
          <w:rFonts w:hint="eastAsia" w:ascii="宋体" w:hAnsi="宋体" w:cs="宋体"/>
          <w:bCs/>
          <w:sz w:val="22"/>
          <w:szCs w:val="22"/>
          <w:highlight w:val="none"/>
        </w:rPr>
        <w:t>注1.从业人员、营业收入、资产总额填报上一年度数据，无上一年度数据的新成立企业可不填报。</w:t>
      </w:r>
    </w:p>
    <w:p w14:paraId="38EDDADE">
      <w:pPr>
        <w:spacing w:line="440" w:lineRule="atLeast"/>
        <w:rPr>
          <w:rFonts w:hint="eastAsia" w:ascii="宋体" w:hAnsi="宋体"/>
          <w:sz w:val="22"/>
          <w:highlight w:val="none"/>
        </w:rPr>
      </w:pPr>
      <w:r>
        <w:rPr>
          <w:rFonts w:hint="eastAsia" w:ascii="宋体" w:hAnsi="宋体"/>
          <w:sz w:val="22"/>
          <w:highlight w:val="none"/>
        </w:rPr>
        <w:br w:type="page"/>
      </w:r>
      <w:bookmarkStart w:id="127" w:name="_Toc10011"/>
      <w:r>
        <w:rPr>
          <w:rFonts w:hint="eastAsia" w:ascii="宋体" w:hAnsi="宋体"/>
          <w:sz w:val="22"/>
          <w:highlight w:val="none"/>
        </w:rPr>
        <w:t>附件二：</w:t>
      </w:r>
      <w:bookmarkEnd w:id="127"/>
    </w:p>
    <w:p w14:paraId="5C9A00C3">
      <w:pPr>
        <w:pStyle w:val="51"/>
        <w:jc w:val="center"/>
        <w:outlineLvl w:val="0"/>
        <w:rPr>
          <w:rFonts w:hint="eastAsia" w:ascii="宋体" w:hAnsi="宋体" w:cs="宋体"/>
          <w:b/>
          <w:szCs w:val="21"/>
          <w:highlight w:val="none"/>
          <w:lang w:val="en-GB"/>
        </w:rPr>
      </w:pPr>
      <w:bookmarkStart w:id="128" w:name="_Toc23875"/>
      <w:bookmarkStart w:id="129" w:name="_Toc1785"/>
      <w:bookmarkStart w:id="130" w:name="OLE_LINK14"/>
      <w:r>
        <w:rPr>
          <w:rFonts w:hint="eastAsia" w:ascii="宋体" w:hAnsi="宋体" w:cs="宋体"/>
          <w:b/>
          <w:szCs w:val="21"/>
          <w:highlight w:val="none"/>
          <w:lang w:val="en-GB"/>
        </w:rPr>
        <w:t>残疾人福利性单位声明函</w:t>
      </w:r>
      <w:bookmarkEnd w:id="128"/>
      <w:bookmarkEnd w:id="129"/>
      <w:bookmarkEnd w:id="130"/>
    </w:p>
    <w:p w14:paraId="58D5FF74">
      <w:pPr>
        <w:pStyle w:val="51"/>
        <w:jc w:val="center"/>
        <w:rPr>
          <w:rFonts w:hint="eastAsia" w:ascii="宋体" w:hAnsi="宋体" w:cs="宋体"/>
          <w:b/>
          <w:szCs w:val="21"/>
          <w:highlight w:val="none"/>
          <w:lang w:val="en-GB"/>
        </w:rPr>
      </w:pPr>
    </w:p>
    <w:p w14:paraId="02F64C77">
      <w:pPr>
        <w:spacing w:line="588" w:lineRule="exact"/>
        <w:ind w:firstLine="440" w:firstLineChars="200"/>
        <w:rPr>
          <w:rFonts w:hint="eastAsia" w:ascii="宋体" w:hAnsi="宋体"/>
          <w:sz w:val="22"/>
          <w:highlight w:val="none"/>
        </w:rPr>
      </w:pPr>
      <w:r>
        <w:rPr>
          <w:rFonts w:hint="eastAsia" w:ascii="宋体" w:hAnsi="宋体"/>
          <w:sz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2"/>
          <w:highlight w:val="none"/>
          <w:u w:val="single"/>
        </w:rPr>
        <w:t xml:space="preserve">     </w:t>
      </w:r>
      <w:r>
        <w:rPr>
          <w:rFonts w:hint="eastAsia" w:ascii="宋体" w:hAnsi="宋体"/>
          <w:sz w:val="22"/>
          <w:highlight w:val="none"/>
        </w:rPr>
        <w:t>单位的</w:t>
      </w:r>
      <w:r>
        <w:rPr>
          <w:rFonts w:hint="eastAsia" w:ascii="宋体" w:hAnsi="宋体"/>
          <w:sz w:val="22"/>
          <w:highlight w:val="none"/>
          <w:u w:val="single"/>
        </w:rPr>
        <w:t xml:space="preserve">       </w:t>
      </w:r>
      <w:r>
        <w:rPr>
          <w:rFonts w:hint="eastAsia" w:ascii="宋体" w:hAnsi="宋体"/>
          <w:sz w:val="22"/>
          <w:highlight w:val="none"/>
        </w:rPr>
        <w:t>项目采购活动提供本单位制造的货物（由本单位承担工程/提供服务），或者提供其他残疾人福利性单位制造的货物（不包括使用非残疾人福利性单位注册商标的货物）。</w:t>
      </w:r>
    </w:p>
    <w:p w14:paraId="0D53E5FE">
      <w:pPr>
        <w:spacing w:line="588" w:lineRule="exact"/>
        <w:ind w:firstLine="440" w:firstLineChars="200"/>
        <w:rPr>
          <w:rFonts w:hint="eastAsia" w:ascii="宋体" w:hAnsi="宋体"/>
          <w:sz w:val="22"/>
          <w:highlight w:val="none"/>
        </w:rPr>
      </w:pPr>
      <w:r>
        <w:rPr>
          <w:rFonts w:hint="eastAsia" w:ascii="宋体" w:hAnsi="宋体"/>
          <w:sz w:val="22"/>
          <w:highlight w:val="none"/>
        </w:rPr>
        <w:t>本单位对上述声明的真实性负责。如有虚假，将依法承担相应责任。</w:t>
      </w:r>
    </w:p>
    <w:p w14:paraId="2ED6237F">
      <w:pPr>
        <w:spacing w:line="588" w:lineRule="exact"/>
        <w:ind w:firstLine="624" w:firstLineChars="200"/>
        <w:rPr>
          <w:rFonts w:hint="eastAsia" w:ascii="宋体" w:hAnsi="宋体"/>
          <w:spacing w:val="6"/>
          <w:sz w:val="30"/>
          <w:szCs w:val="30"/>
          <w:highlight w:val="none"/>
        </w:rPr>
      </w:pPr>
    </w:p>
    <w:p w14:paraId="2CF269C6">
      <w:pPr>
        <w:spacing w:line="588" w:lineRule="exact"/>
        <w:ind w:firstLine="624" w:firstLineChars="200"/>
        <w:rPr>
          <w:rFonts w:hint="eastAsia" w:ascii="宋体" w:hAnsi="宋体"/>
          <w:spacing w:val="6"/>
          <w:sz w:val="30"/>
          <w:szCs w:val="30"/>
          <w:highlight w:val="none"/>
        </w:rPr>
      </w:pPr>
    </w:p>
    <w:p w14:paraId="56671D35">
      <w:pPr>
        <w:spacing w:line="440" w:lineRule="atLeast"/>
        <w:rPr>
          <w:rFonts w:hint="eastAsia" w:ascii="宋体" w:hAnsi="宋体" w:cs="宋体"/>
          <w:b/>
          <w:bCs/>
          <w:szCs w:val="21"/>
          <w:highlight w:val="none"/>
        </w:rPr>
      </w:pPr>
      <w:r>
        <w:rPr>
          <w:rFonts w:hint="eastAsia" w:ascii="宋体" w:hAnsi="宋体" w:cs="宋体"/>
          <w:b/>
          <w:bCs/>
          <w:szCs w:val="21"/>
          <w:highlight w:val="none"/>
        </w:rPr>
        <w:t>投标人（盖章）：  </w:t>
      </w:r>
    </w:p>
    <w:p w14:paraId="2C903411">
      <w:pPr>
        <w:spacing w:line="440" w:lineRule="atLeast"/>
        <w:ind w:left="16" w:leftChars="-403" w:hanging="862" w:hangingChars="409"/>
        <w:rPr>
          <w:rFonts w:hint="eastAsia" w:ascii="宋体" w:hAnsi="宋体" w:cs="宋体"/>
          <w:b/>
          <w:bCs/>
          <w:szCs w:val="21"/>
          <w:highlight w:val="none"/>
        </w:rPr>
      </w:pPr>
      <w:r>
        <w:rPr>
          <w:rFonts w:hint="eastAsia" w:ascii="宋体" w:hAnsi="宋体" w:cs="宋体"/>
          <w:b/>
          <w:bCs/>
          <w:szCs w:val="21"/>
          <w:highlight w:val="none"/>
        </w:rPr>
        <w:t>              </w:t>
      </w:r>
    </w:p>
    <w:p w14:paraId="5D070BFE">
      <w:pPr>
        <w:pStyle w:val="55"/>
        <w:adjustRightInd/>
        <w:rPr>
          <w:rFonts w:hint="eastAsia" w:ascii="宋体" w:hAnsi="宋体"/>
          <w:b/>
          <w:bCs/>
          <w:highlight w:val="none"/>
        </w:rPr>
      </w:pPr>
    </w:p>
    <w:p w14:paraId="4F256C46">
      <w:pPr>
        <w:tabs>
          <w:tab w:val="left" w:pos="4860"/>
        </w:tabs>
        <w:spacing w:line="588" w:lineRule="exact"/>
        <w:ind w:right="1560"/>
        <w:rPr>
          <w:rFonts w:hint="eastAsia" w:ascii="宋体" w:hAnsi="宋体" w:cs="宋体"/>
          <w:b/>
          <w:bCs/>
          <w:szCs w:val="21"/>
          <w:highlight w:val="none"/>
        </w:rPr>
      </w:pPr>
      <w:r>
        <w:rPr>
          <w:rFonts w:hint="eastAsia" w:ascii="宋体" w:hAnsi="宋体" w:cs="宋体"/>
          <w:b/>
          <w:bCs/>
          <w:szCs w:val="21"/>
          <w:highlight w:val="none"/>
        </w:rPr>
        <w:t>日  期： </w:t>
      </w:r>
    </w:p>
    <w:p w14:paraId="7F4E1280">
      <w:pPr>
        <w:tabs>
          <w:tab w:val="left" w:pos="4860"/>
        </w:tabs>
        <w:spacing w:line="588" w:lineRule="exact"/>
        <w:ind w:right="1560"/>
        <w:rPr>
          <w:rFonts w:hint="eastAsia" w:ascii="宋体" w:hAnsi="宋体"/>
          <w:spacing w:val="6"/>
          <w:sz w:val="30"/>
          <w:szCs w:val="30"/>
          <w:highlight w:val="none"/>
        </w:rPr>
      </w:pPr>
      <w:r>
        <w:rPr>
          <w:rFonts w:hint="eastAsia" w:ascii="宋体" w:hAnsi="宋体" w:cs="宋体"/>
          <w:szCs w:val="21"/>
          <w:highlight w:val="none"/>
        </w:rPr>
        <w:t> </w:t>
      </w:r>
    </w:p>
    <w:p w14:paraId="312127CC">
      <w:pPr>
        <w:tabs>
          <w:tab w:val="left" w:pos="4860"/>
        </w:tabs>
        <w:spacing w:line="588" w:lineRule="exact"/>
        <w:ind w:right="1560"/>
        <w:jc w:val="left"/>
        <w:rPr>
          <w:rFonts w:hint="eastAsia" w:ascii="宋体" w:hAnsi="宋体"/>
          <w:b/>
          <w:sz w:val="22"/>
          <w:highlight w:val="none"/>
        </w:rPr>
      </w:pPr>
      <w:r>
        <w:rPr>
          <w:rFonts w:hint="eastAsia" w:ascii="宋体" w:hAnsi="宋体"/>
          <w:b/>
          <w:sz w:val="22"/>
          <w:highlight w:val="none"/>
        </w:rPr>
        <w:t>备注说明：</w:t>
      </w:r>
    </w:p>
    <w:p w14:paraId="2FE83F36">
      <w:pPr>
        <w:tabs>
          <w:tab w:val="left" w:pos="4860"/>
        </w:tabs>
        <w:spacing w:line="588" w:lineRule="exact"/>
        <w:ind w:right="1560"/>
        <w:jc w:val="left"/>
        <w:rPr>
          <w:rFonts w:hint="eastAsia" w:ascii="宋体" w:hAnsi="宋体"/>
          <w:b/>
          <w:sz w:val="22"/>
          <w:highlight w:val="none"/>
        </w:rPr>
      </w:pPr>
      <w:r>
        <w:rPr>
          <w:rFonts w:hint="eastAsia" w:ascii="宋体" w:hAnsi="宋体"/>
          <w:b/>
          <w:sz w:val="22"/>
          <w:highlight w:val="none"/>
        </w:rPr>
        <w:t>1、如中标，将在中标公示中将此残疾人福利性单位声明函予以公示，接受社会监督；</w:t>
      </w:r>
    </w:p>
    <w:p w14:paraId="2D2BBA7C">
      <w:pPr>
        <w:tabs>
          <w:tab w:val="left" w:pos="4860"/>
        </w:tabs>
        <w:spacing w:line="588" w:lineRule="exact"/>
        <w:ind w:right="-94"/>
        <w:jc w:val="left"/>
        <w:rPr>
          <w:rFonts w:hint="eastAsia" w:ascii="宋体" w:hAnsi="宋体"/>
          <w:b/>
          <w:sz w:val="22"/>
          <w:highlight w:val="none"/>
        </w:rPr>
        <w:sectPr>
          <w:headerReference r:id="rId3" w:type="default"/>
          <w:footerReference r:id="rId4" w:type="default"/>
          <w:pgSz w:w="11906" w:h="16838"/>
          <w:pgMar w:top="1440" w:right="1396" w:bottom="1440" w:left="1070" w:header="851" w:footer="992" w:gutter="0"/>
          <w:cols w:space="720" w:num="1"/>
          <w:docGrid w:type="lines" w:linePitch="318" w:charSpace="0"/>
        </w:sectPr>
      </w:pPr>
      <w:r>
        <w:rPr>
          <w:rFonts w:ascii="宋体" w:hAnsi="宋体"/>
          <w:b/>
          <w:sz w:val="22"/>
          <w:highlight w:val="none"/>
        </w:rPr>
        <w:t>2</w:t>
      </w:r>
      <w:r>
        <w:rPr>
          <w:rFonts w:hint="eastAsia" w:ascii="宋体" w:hAnsi="宋体"/>
          <w:b/>
          <w:sz w:val="22"/>
          <w:highlight w:val="none"/>
        </w:rPr>
        <w:t>、供应商提供的《残疾人福利性单位声明函》与事实不符的，依照《中华人民共和国政府采购法》第七十七条第一款的规定追究法律责任。</w:t>
      </w:r>
    </w:p>
    <w:p w14:paraId="18EF23A0">
      <w:pPr>
        <w:pStyle w:val="3"/>
        <w:jc w:val="center"/>
        <w:rPr>
          <w:highlight w:val="none"/>
        </w:rPr>
      </w:pPr>
      <w:bookmarkStart w:id="131" w:name="_Toc16454"/>
      <w:bookmarkStart w:id="132" w:name="_Toc8227"/>
      <w:bookmarkStart w:id="133" w:name="_Toc5518"/>
      <w:r>
        <w:rPr>
          <w:rFonts w:hint="eastAsia"/>
          <w:highlight w:val="none"/>
        </w:rPr>
        <w:t xml:space="preserve">第三章   </w:t>
      </w:r>
      <w:bookmarkStart w:id="134" w:name="_Toc22314"/>
      <w:r>
        <w:rPr>
          <w:rFonts w:hint="eastAsia"/>
          <w:highlight w:val="none"/>
        </w:rPr>
        <w:t>招标内容及要求</w:t>
      </w:r>
      <w:bookmarkEnd w:id="131"/>
      <w:bookmarkEnd w:id="132"/>
      <w:bookmarkEnd w:id="133"/>
      <w:bookmarkEnd w:id="134"/>
    </w:p>
    <w:p w14:paraId="4943AF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lang w:eastAsia="zh-CN"/>
        </w:rPr>
      </w:pPr>
      <w:bookmarkStart w:id="135" w:name="_Toc494558345"/>
      <w:bookmarkStart w:id="136" w:name="_Toc486423876"/>
      <w:bookmarkStart w:id="137" w:name="_Toc493955950"/>
      <w:r>
        <w:rPr>
          <w:rFonts w:hint="eastAsia"/>
          <w:sz w:val="21"/>
          <w:szCs w:val="21"/>
          <w:highlight w:val="none"/>
        </w:rPr>
        <w:t>一</w:t>
      </w:r>
      <w:r>
        <w:rPr>
          <w:rFonts w:hint="eastAsia"/>
          <w:b/>
          <w:bCs/>
          <w:sz w:val="21"/>
          <w:szCs w:val="21"/>
          <w:highlight w:val="none"/>
        </w:rPr>
        <w:t>、</w:t>
      </w:r>
      <w:r>
        <w:rPr>
          <w:rFonts w:hint="eastAsia"/>
          <w:b/>
          <w:bCs/>
          <w:sz w:val="21"/>
          <w:szCs w:val="21"/>
          <w:highlight w:val="none"/>
          <w:lang w:eastAsia="zh-CN"/>
        </w:rPr>
        <w:t>项目概况：</w:t>
      </w:r>
    </w:p>
    <w:p w14:paraId="49F26416">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highlight w:val="none"/>
          <w:lang w:eastAsia="zh-CN"/>
        </w:rPr>
      </w:pPr>
      <w:r>
        <w:rPr>
          <w:rFonts w:hint="eastAsia"/>
          <w:sz w:val="21"/>
          <w:szCs w:val="21"/>
          <w:highlight w:val="none"/>
          <w:lang w:eastAsia="zh-CN"/>
        </w:rPr>
        <w:t>本工程北起天马路，南至文峰西路，规划等级为城市次干路，设计速度为 40km/h，道路全长约 1.05 千米，标准断面宽28.3米，为两块板形式道路。其中隧道段长约820米。项目主要包含道路、工程隧道土建、机电工程、防排水、通风和消防工程、管线工程、电力工程、通信工程、交通安全设施工程、绿化景观工程、附属用房等。</w:t>
      </w:r>
    </w:p>
    <w:p w14:paraId="2F28DBFF">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highlight w:val="none"/>
          <w:lang w:eastAsia="zh-CN"/>
        </w:rPr>
      </w:pPr>
      <w:r>
        <w:rPr>
          <w:rFonts w:hint="eastAsia"/>
          <w:sz w:val="21"/>
          <w:szCs w:val="21"/>
          <w:highlight w:val="none"/>
          <w:lang w:eastAsia="zh-CN"/>
        </w:rPr>
        <w:t>左线隧道内设置两处折点，折点均设置平曲线，圆曲线半径分别为700m和900m。右线隧道内设置一处折点，并设置平曲线，圆曲线半径为700mm。隧道左、右洞之同间隔约 220m设置一处人行横洞，一共设置3处。</w:t>
      </w:r>
    </w:p>
    <w:p w14:paraId="6F5967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eastAsia="宋体"/>
          <w:b/>
          <w:bCs/>
          <w:color w:val="000000"/>
          <w:sz w:val="21"/>
          <w:szCs w:val="21"/>
          <w:highlight w:val="none"/>
          <w:lang w:eastAsia="zh-CN" w:bidi="ar"/>
        </w:rPr>
      </w:pPr>
      <w:r>
        <w:rPr>
          <w:rFonts w:hint="eastAsia"/>
          <w:b/>
          <w:bCs/>
          <w:color w:val="000000"/>
          <w:sz w:val="21"/>
          <w:szCs w:val="21"/>
          <w:highlight w:val="none"/>
          <w:lang w:eastAsia="zh-CN" w:bidi="ar"/>
        </w:rPr>
        <w:t>二、设计依据与设计规范</w:t>
      </w:r>
    </w:p>
    <w:p w14:paraId="7DCAC9C5">
      <w:pPr>
        <w:widowControl/>
        <w:spacing w:line="360" w:lineRule="auto"/>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设计依据</w:t>
      </w:r>
    </w:p>
    <w:p w14:paraId="4D73BE70">
      <w:pPr>
        <w:widowControl/>
        <w:spacing w:line="36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1)《设计任务书》</w:t>
      </w:r>
    </w:p>
    <w:p w14:paraId="35EB0359">
      <w:pPr>
        <w:widowControl/>
        <w:spacing w:line="36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2)《展依山隧道建设工程初步设计》</w:t>
      </w:r>
    </w:p>
    <w:p w14:paraId="41A82BAD">
      <w:pPr>
        <w:widowControl/>
        <w:spacing w:line="36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3)《展依山隧道建设工程项目勘察岩土工程勘察报告(详细勘察阶段)》</w:t>
      </w:r>
    </w:p>
    <w:p w14:paraId="701650FA">
      <w:pPr>
        <w:widowControl/>
        <w:spacing w:line="36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4)沿线地形图</w:t>
      </w:r>
    </w:p>
    <w:p w14:paraId="68A4A863">
      <w:pPr>
        <w:widowControl/>
        <w:spacing w:line="36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5)现场踏勘资料</w:t>
      </w:r>
    </w:p>
    <w:p w14:paraId="6CF10690">
      <w:pPr>
        <w:widowControl/>
        <w:spacing w:line="36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6)建设单位提供的其他相关资料</w:t>
      </w:r>
    </w:p>
    <w:p w14:paraId="500F52D4">
      <w:pPr>
        <w:pStyle w:val="10"/>
        <w:spacing w:line="360" w:lineRule="auto"/>
        <w:ind w:firstLine="420" w:firstLineChars="200"/>
        <w:rPr>
          <w:rFonts w:hint="eastAsia" w:eastAsia="宋体"/>
          <w:highlight w:val="none"/>
          <w:lang w:val="en-US" w:eastAsia="zh-CN"/>
        </w:rPr>
      </w:pPr>
      <w:r>
        <w:rPr>
          <w:rFonts w:hint="eastAsia" w:ascii="宋体" w:hAnsi="宋体" w:cs="宋体"/>
          <w:color w:val="000000"/>
          <w:kern w:val="0"/>
          <w:sz w:val="21"/>
          <w:szCs w:val="21"/>
          <w:highlight w:val="none"/>
          <w:lang w:val="en-US" w:eastAsia="zh-CN"/>
        </w:rPr>
        <w:t>7）展依山隧道建设工程施工图</w:t>
      </w:r>
    </w:p>
    <w:p w14:paraId="052CC704">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设计规范</w:t>
      </w:r>
    </w:p>
    <w:p w14:paraId="149D4096">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1)《公路隧道设计规范第一册土建工程》(JTG3370.1-2018)</w:t>
      </w:r>
    </w:p>
    <w:p w14:paraId="1C588FA1">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2)《公路隧道设计细则》(JTG/TD70-2010)</w:t>
      </w:r>
    </w:p>
    <w:p w14:paraId="4A408582">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3)《工程结构通用规范》(GB 55001-2021)</w:t>
      </w:r>
    </w:p>
    <w:p w14:paraId="576B82D7">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4)《建筑与市政工程抗震通用规范》(GB55002-2021)</w:t>
      </w:r>
    </w:p>
    <w:p w14:paraId="554A0B0C">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5)《建筑与市政地基基础通用规范》(GB55003-2021)</w:t>
      </w:r>
    </w:p>
    <w:p w14:paraId="650EDF14">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6)《钢结构通用规范》(GB55006-2021)</w:t>
      </w:r>
    </w:p>
    <w:p w14:paraId="3862DAC2">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7)《混凝土结构通用规范》(GB55008-2021)</w:t>
      </w:r>
    </w:p>
    <w:p w14:paraId="0CCA23BB">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8)《城市道路交通工程项目规范》(GB55011-2021)</w:t>
      </w:r>
    </w:p>
    <w:p w14:paraId="0AA88E51">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9)《建筑与市政工程无障碍通用规范》(GB55019-2021)</w:t>
      </w:r>
    </w:p>
    <w:p w14:paraId="5652914C">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10)《建筑与市政工程防水通用规范》(GB55030-2022)</w:t>
      </w:r>
    </w:p>
    <w:p w14:paraId="4343058E">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11)《建筑与市致工程施工质量控制通用规范》(GB55032-2022)</w:t>
      </w:r>
    </w:p>
    <w:p w14:paraId="5BB12A5F">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12)《建筑防火通用规范》(GB55037-2022)</w:t>
      </w:r>
    </w:p>
    <w:p w14:paraId="3D24281D">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13)《城市道路工程设计规范》(CJJ37-2012-2016版)</w:t>
      </w:r>
    </w:p>
    <w:p w14:paraId="62057373">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14)《城市道路隧道设计标准》(DB33/T1256-2021)</w:t>
      </w:r>
    </w:p>
    <w:p w14:paraId="6CCFD2A3">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15)《地下工程防水设计规范》(GB50108-2008)</w:t>
      </w:r>
    </w:p>
    <w:p w14:paraId="3373CCD7">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16)《建筑设计防火规范》(GB50016-2014-2018版)</w:t>
      </w:r>
    </w:p>
    <w:p w14:paraId="7AC8D253">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17)《建筑内部装修设计防火规范》(GB50222-2017)</w:t>
      </w:r>
    </w:p>
    <w:p w14:paraId="650E06E9">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18)《建筑幕墙工程技术标准》(DB33/T1240-2021)</w:t>
      </w:r>
    </w:p>
    <w:p w14:paraId="3E314726">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19)《建设工程配建5G移动通信基础设施技术标准》(DB33/1239-2021)20)《单建掘开式地下空间开发利用工程兼顾人防需要设计导则(试行)》(浙江 2011-11)</w:t>
      </w:r>
    </w:p>
    <w:p w14:paraId="21016F4A">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21)《城市道路交通设施设计规范》(GB50688-20112019版)</w:t>
      </w:r>
    </w:p>
    <w:p w14:paraId="2E7D596C">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22)《公路交通安全设施设计规范》(JTGD81-2017)</w:t>
      </w:r>
    </w:p>
    <w:p w14:paraId="77C31C41">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23)《公路交通安全设施设计细则》(JTG/TD81-2017)24)《无障碍设计规范》(GB50763-2012)25)《混凝土结构设计标准》(GB/T50010-2010)2024版26)《城市地下道路工程设计规范》(CJ221-2015)27)《地下工程防水技术规范》(GB50108-2008)28)《岩土锚杆与喷射混凝土支护工程技术规范》(GB50086-2015)29)《建筑地基基础设计规范》(GB50007-2011)</w:t>
      </w:r>
    </w:p>
    <w:p w14:paraId="7D4544EA">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30)《建筑基坑支护技术规程》(JGJ120-2012)</w:t>
      </w:r>
    </w:p>
    <w:p w14:paraId="1679C673">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31)《公路隧道施工技术规范》(JTGT3660-2020)</w:t>
      </w:r>
    </w:p>
    <w:p w14:paraId="4A1B6FD5">
      <w:pPr>
        <w:pStyle w:val="24"/>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32)《公路隧道抗震设计规范》(JTG/T2232-2019)</w:t>
      </w:r>
    </w:p>
    <w:p w14:paraId="0793087D">
      <w:pPr>
        <w:numPr>
          <w:ilvl w:val="0"/>
          <w:numId w:val="0"/>
        </w:numPr>
        <w:spacing w:line="360" w:lineRule="auto"/>
        <w:ind w:firstLine="420" w:firstLineChars="200"/>
        <w:outlineLvl w:val="2"/>
        <w:rPr>
          <w:rFonts w:hint="eastAsia" w:ascii="宋体" w:hAnsi="宋体" w:cs="宋体"/>
          <w:color w:val="000000"/>
          <w:kern w:val="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eastAsia="zh-CN"/>
        </w:rPr>
        <w:t>采购人</w:t>
      </w:r>
      <w:r>
        <w:rPr>
          <w:rFonts w:hint="eastAsia" w:ascii="宋体" w:hAnsi="宋体"/>
          <w:color w:val="000000"/>
          <w:sz w:val="21"/>
          <w:szCs w:val="21"/>
          <w:highlight w:val="none"/>
        </w:rPr>
        <w:t>根据工程需要另行补充的试验检测技术要求</w:t>
      </w:r>
      <w:r>
        <w:rPr>
          <w:rFonts w:hint="eastAsia" w:ascii="宋体" w:hAnsi="宋体" w:cs="宋体"/>
          <w:b/>
          <w:color w:val="000000"/>
          <w:kern w:val="0"/>
          <w:sz w:val="21"/>
          <w:szCs w:val="21"/>
          <w:highlight w:val="none"/>
        </w:rPr>
        <w:t xml:space="preserve">   </w:t>
      </w:r>
    </w:p>
    <w:p w14:paraId="03159F1A">
      <w:pPr>
        <w:spacing w:line="360" w:lineRule="auto"/>
        <w:ind w:firstLine="420" w:firstLineChars="200"/>
        <w:outlineLvl w:val="3"/>
        <w:rPr>
          <w:rFonts w:hint="eastAsia" w:ascii="宋体" w:hAnsi="宋体" w:cs="宋体"/>
          <w:color w:val="000000"/>
          <w:sz w:val="21"/>
          <w:szCs w:val="21"/>
          <w:highlight w:val="none"/>
        </w:rPr>
      </w:pPr>
      <w:r>
        <w:rPr>
          <w:rFonts w:hint="eastAsia" w:ascii="宋体" w:hAnsi="宋体" w:cs="宋体"/>
          <w:color w:val="000000"/>
          <w:sz w:val="21"/>
          <w:szCs w:val="21"/>
          <w:highlight w:val="none"/>
        </w:rPr>
        <w:t>（1）本项目施工合同招标文件中的技术规范；</w:t>
      </w:r>
    </w:p>
    <w:p w14:paraId="30D45019">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w:t>
      </w:r>
      <w:r>
        <w:rPr>
          <w:rFonts w:hint="eastAsia" w:ascii="宋体" w:hAnsi="宋体" w:cs="宋体"/>
          <w:color w:val="000000"/>
          <w:sz w:val="21"/>
          <w:szCs w:val="21"/>
          <w:highlight w:val="none"/>
          <w:lang w:eastAsia="zh-CN"/>
        </w:rPr>
        <w:t>采购人</w:t>
      </w:r>
      <w:r>
        <w:rPr>
          <w:rFonts w:hint="eastAsia" w:ascii="宋体" w:hAnsi="宋体" w:cs="宋体"/>
          <w:color w:val="000000"/>
          <w:sz w:val="21"/>
          <w:szCs w:val="21"/>
          <w:highlight w:val="none"/>
        </w:rPr>
        <w:t>有关第三方试验检测工作的内容（见本项目工作内容清单）。</w:t>
      </w:r>
    </w:p>
    <w:p w14:paraId="0C03D87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注：1. 当上述标准、规范、规程等文件如有不一致之处，按照标准和要求高者执行，并且应满合同条款的要求。</w:t>
      </w:r>
    </w:p>
    <w:p w14:paraId="4F2CEB3F">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2. </w:t>
      </w:r>
      <w:r>
        <w:rPr>
          <w:rFonts w:hint="eastAsia" w:ascii="宋体" w:hAnsi="宋体" w:cs="宋体"/>
          <w:color w:val="000000"/>
          <w:sz w:val="21"/>
          <w:szCs w:val="21"/>
          <w:highlight w:val="none"/>
          <w:lang w:eastAsia="zh-CN"/>
        </w:rPr>
        <w:t>监测、</w:t>
      </w:r>
      <w:r>
        <w:rPr>
          <w:rFonts w:hint="eastAsia" w:ascii="宋体" w:hAnsi="宋体" w:cs="宋体"/>
          <w:color w:val="000000"/>
          <w:sz w:val="21"/>
          <w:szCs w:val="21"/>
          <w:highlight w:val="none"/>
        </w:rPr>
        <w:t>检测</w:t>
      </w:r>
      <w:r>
        <w:rPr>
          <w:rFonts w:hint="eastAsia" w:ascii="宋体" w:hAnsi="宋体" w:cs="宋体"/>
          <w:color w:val="000000"/>
          <w:sz w:val="21"/>
          <w:szCs w:val="21"/>
          <w:highlight w:val="none"/>
          <w:lang w:eastAsia="zh-CN"/>
        </w:rPr>
        <w:t>单位</w:t>
      </w:r>
      <w:r>
        <w:rPr>
          <w:rFonts w:hint="eastAsia" w:ascii="宋体" w:hAnsi="宋体" w:cs="宋体"/>
          <w:color w:val="000000"/>
          <w:sz w:val="21"/>
          <w:szCs w:val="21"/>
          <w:highlight w:val="none"/>
        </w:rPr>
        <w:t>使用或参考上述标准、规范以外的技术标准、规范时，应征得</w:t>
      </w:r>
      <w:r>
        <w:rPr>
          <w:rFonts w:hint="eastAsia" w:ascii="宋体" w:hAnsi="宋体" w:cs="宋体"/>
          <w:color w:val="000000"/>
          <w:sz w:val="21"/>
          <w:szCs w:val="21"/>
          <w:highlight w:val="none"/>
          <w:lang w:eastAsia="zh-CN"/>
        </w:rPr>
        <w:t>采购人</w:t>
      </w:r>
      <w:r>
        <w:rPr>
          <w:rFonts w:hint="eastAsia" w:ascii="宋体" w:hAnsi="宋体" w:cs="宋体"/>
          <w:color w:val="000000"/>
          <w:sz w:val="21"/>
          <w:szCs w:val="21"/>
          <w:highlight w:val="none"/>
        </w:rPr>
        <w:t>的同意。</w:t>
      </w:r>
    </w:p>
    <w:p w14:paraId="6AB29FA7">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3. 在</w:t>
      </w:r>
      <w:r>
        <w:rPr>
          <w:rFonts w:hint="eastAsia" w:ascii="宋体" w:hAnsi="宋体" w:cs="宋体"/>
          <w:color w:val="000000"/>
          <w:sz w:val="21"/>
          <w:szCs w:val="21"/>
          <w:highlight w:val="none"/>
          <w:lang w:eastAsia="zh-CN"/>
        </w:rPr>
        <w:t>监测、</w:t>
      </w:r>
      <w:r>
        <w:rPr>
          <w:rFonts w:hint="eastAsia" w:ascii="宋体" w:hAnsi="宋体" w:cs="宋体"/>
          <w:color w:val="000000"/>
          <w:sz w:val="21"/>
          <w:szCs w:val="21"/>
          <w:highlight w:val="none"/>
        </w:rPr>
        <w:t>检测过程中，如果国家或有关部门颁布了新的技术标准或规范，则应采用新的标准或规范进行作业</w:t>
      </w:r>
      <w:r>
        <w:rPr>
          <w:rFonts w:hint="eastAsia" w:ascii="宋体" w:hAnsi="宋体" w:cs="宋体"/>
          <w:color w:val="000000"/>
          <w:sz w:val="21"/>
          <w:szCs w:val="21"/>
          <w:highlight w:val="none"/>
          <w:lang w:eastAsia="zh-CN"/>
        </w:rPr>
        <w:t>。</w:t>
      </w:r>
    </w:p>
    <w:p w14:paraId="5023F894">
      <w:pPr>
        <w:snapToGrid w:val="0"/>
        <w:spacing w:line="360" w:lineRule="auto"/>
        <w:ind w:firstLine="422" w:firstLineChars="200"/>
        <w:outlineLvl w:val="1"/>
        <w:rPr>
          <w:b/>
          <w:bCs/>
          <w:sz w:val="21"/>
          <w:szCs w:val="21"/>
          <w:highlight w:val="none"/>
        </w:rPr>
      </w:pPr>
      <w:r>
        <w:rPr>
          <w:rFonts w:hint="eastAsia"/>
          <w:b/>
          <w:bCs/>
          <w:sz w:val="21"/>
          <w:szCs w:val="21"/>
          <w:highlight w:val="none"/>
          <w:lang w:val="en-US" w:eastAsia="zh-CN"/>
        </w:rPr>
        <w:t>三</w:t>
      </w:r>
      <w:r>
        <w:rPr>
          <w:b/>
          <w:bCs/>
          <w:sz w:val="21"/>
          <w:szCs w:val="21"/>
          <w:highlight w:val="none"/>
        </w:rPr>
        <w:t>、商务条款</w:t>
      </w:r>
    </w:p>
    <w:tbl>
      <w:tblPr>
        <w:tblStyle w:val="25"/>
        <w:tblpPr w:leftFromText="180" w:rightFromText="180" w:vertAnchor="text" w:horzAnchor="page" w:tblpX="1174" w:tblpY="93"/>
        <w:tblOverlap w:val="never"/>
        <w:tblW w:w="9920" w:type="dxa"/>
        <w:tblInd w:w="0" w:type="dxa"/>
        <w:tblLayout w:type="fixed"/>
        <w:tblCellMar>
          <w:top w:w="0" w:type="dxa"/>
          <w:left w:w="108" w:type="dxa"/>
          <w:bottom w:w="0" w:type="dxa"/>
          <w:right w:w="108" w:type="dxa"/>
        </w:tblCellMar>
      </w:tblPr>
      <w:tblGrid>
        <w:gridCol w:w="1844"/>
        <w:gridCol w:w="8076"/>
      </w:tblGrid>
      <w:tr w14:paraId="005674BD">
        <w:tblPrEx>
          <w:tblCellMar>
            <w:top w:w="0" w:type="dxa"/>
            <w:left w:w="108" w:type="dxa"/>
            <w:bottom w:w="0" w:type="dxa"/>
            <w:right w:w="108" w:type="dxa"/>
          </w:tblCellMar>
        </w:tblPrEx>
        <w:trPr>
          <w:trHeight w:val="605" w:hRule="atLeast"/>
        </w:trPr>
        <w:tc>
          <w:tcPr>
            <w:tcW w:w="1844" w:type="dxa"/>
            <w:tcBorders>
              <w:top w:val="single" w:color="auto" w:sz="4" w:space="0"/>
              <w:left w:val="single" w:color="auto" w:sz="4" w:space="0"/>
              <w:bottom w:val="single" w:color="000000" w:sz="6" w:space="0"/>
              <w:right w:val="single" w:color="000000" w:sz="6" w:space="0"/>
            </w:tcBorders>
            <w:noWrap w:val="0"/>
            <w:vAlign w:val="center"/>
          </w:tcPr>
          <w:p w14:paraId="222787C5">
            <w:pPr>
              <w:autoSpaceDE w:val="0"/>
              <w:autoSpaceDN w:val="0"/>
              <w:adjustRightInd w:val="0"/>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8076" w:type="dxa"/>
            <w:tcBorders>
              <w:top w:val="single" w:color="auto" w:sz="4" w:space="0"/>
              <w:left w:val="single" w:color="000000" w:sz="6" w:space="0"/>
              <w:bottom w:val="single" w:color="000000" w:sz="6" w:space="0"/>
              <w:right w:val="single" w:color="auto" w:sz="4" w:space="0"/>
            </w:tcBorders>
            <w:noWrap w:val="0"/>
            <w:vAlign w:val="center"/>
          </w:tcPr>
          <w:p w14:paraId="26DB4AC5">
            <w:pPr>
              <w:autoSpaceDE w:val="0"/>
              <w:autoSpaceDN w:val="0"/>
              <w:adjustRightInd w:val="0"/>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内</w:t>
            </w:r>
            <w:r>
              <w:rPr>
                <w:rFonts w:ascii="宋体" w:hAnsi="宋体" w:cs="宋体"/>
                <w:b/>
                <w:bCs/>
                <w:sz w:val="21"/>
                <w:szCs w:val="21"/>
                <w:highlight w:val="none"/>
              </w:rPr>
              <w:t xml:space="preserve">      </w:t>
            </w:r>
            <w:r>
              <w:rPr>
                <w:rFonts w:hint="eastAsia" w:ascii="宋体" w:hAnsi="宋体" w:cs="宋体"/>
                <w:b/>
                <w:bCs/>
                <w:sz w:val="21"/>
                <w:szCs w:val="21"/>
                <w:highlight w:val="none"/>
              </w:rPr>
              <w:t>容</w:t>
            </w:r>
          </w:p>
        </w:tc>
      </w:tr>
      <w:tr w14:paraId="29E9E360">
        <w:tblPrEx>
          <w:tblCellMar>
            <w:top w:w="0" w:type="dxa"/>
            <w:left w:w="108" w:type="dxa"/>
            <w:bottom w:w="0" w:type="dxa"/>
            <w:right w:w="108" w:type="dxa"/>
          </w:tblCellMar>
        </w:tblPrEx>
        <w:trPr>
          <w:trHeight w:val="90" w:hRule="atLeast"/>
        </w:trPr>
        <w:tc>
          <w:tcPr>
            <w:tcW w:w="1844" w:type="dxa"/>
            <w:tcBorders>
              <w:top w:val="single" w:color="000000" w:sz="6" w:space="0"/>
              <w:left w:val="single" w:color="auto" w:sz="4" w:space="0"/>
              <w:bottom w:val="single" w:color="000000" w:sz="6" w:space="0"/>
              <w:right w:val="single" w:color="000000" w:sz="6" w:space="0"/>
            </w:tcBorders>
            <w:noWrap w:val="0"/>
            <w:vAlign w:val="center"/>
          </w:tcPr>
          <w:p w14:paraId="234437C6">
            <w:pPr>
              <w:autoSpaceDE w:val="0"/>
              <w:autoSpaceDN w:val="0"/>
              <w:spacing w:line="360" w:lineRule="auto"/>
              <w:jc w:val="center"/>
              <w:rPr>
                <w:rFonts w:ascii="宋体" w:hAnsi="宋体" w:cs="宋体"/>
                <w:sz w:val="21"/>
                <w:szCs w:val="21"/>
                <w:highlight w:val="none"/>
              </w:rPr>
            </w:pPr>
            <w:r>
              <w:rPr>
                <w:color w:val="000000"/>
                <w:sz w:val="21"/>
                <w:szCs w:val="21"/>
                <w:highlight w:val="none"/>
              </w:rPr>
              <w:t>服务期限及地点</w:t>
            </w:r>
          </w:p>
        </w:tc>
        <w:tc>
          <w:tcPr>
            <w:tcW w:w="8076" w:type="dxa"/>
            <w:tcBorders>
              <w:top w:val="single" w:color="000000" w:sz="6" w:space="0"/>
              <w:left w:val="single" w:color="000000" w:sz="6" w:space="0"/>
              <w:bottom w:val="single" w:color="000000" w:sz="6" w:space="0"/>
              <w:right w:val="single" w:color="auto" w:sz="4" w:space="0"/>
            </w:tcBorders>
            <w:noWrap w:val="0"/>
            <w:vAlign w:val="center"/>
          </w:tcPr>
          <w:p w14:paraId="52268ADD">
            <w:pPr>
              <w:autoSpaceDE w:val="0"/>
              <w:autoSpaceDN w:val="0"/>
              <w:spacing w:line="360" w:lineRule="auto"/>
              <w:rPr>
                <w:rFonts w:hint="default" w:eastAsia="宋体"/>
                <w:color w:val="000000"/>
                <w:sz w:val="21"/>
                <w:szCs w:val="21"/>
                <w:highlight w:val="none"/>
                <w:lang w:val="en-US" w:eastAsia="zh-CN"/>
              </w:rPr>
            </w:pPr>
            <w:r>
              <w:rPr>
                <w:color w:val="000000"/>
                <w:sz w:val="21"/>
                <w:szCs w:val="21"/>
                <w:highlight w:val="none"/>
              </w:rPr>
              <w:t>服务期限：</w:t>
            </w:r>
            <w:r>
              <w:rPr>
                <w:rFonts w:hint="eastAsia"/>
                <w:color w:val="000000"/>
                <w:sz w:val="21"/>
                <w:szCs w:val="21"/>
                <w:highlight w:val="none"/>
              </w:rPr>
              <w:t>超前地质预报服务期至爆破工期结束；监控量测服务期至整个施工工期结束；</w:t>
            </w:r>
            <w:r>
              <w:rPr>
                <w:rFonts w:hint="eastAsia"/>
                <w:color w:val="000000"/>
                <w:sz w:val="21"/>
                <w:szCs w:val="21"/>
                <w:highlight w:val="none"/>
                <w:lang w:eastAsia="zh-CN"/>
              </w:rPr>
              <w:t>其他监测、检测以实际</w:t>
            </w:r>
            <w:r>
              <w:rPr>
                <w:rFonts w:hint="eastAsia"/>
                <w:color w:val="000000"/>
                <w:sz w:val="21"/>
                <w:szCs w:val="21"/>
                <w:highlight w:val="none"/>
              </w:rPr>
              <w:t>工期进行调整。</w:t>
            </w:r>
          </w:p>
          <w:p w14:paraId="706A3EE2">
            <w:pPr>
              <w:autoSpaceDE w:val="0"/>
              <w:autoSpaceDN w:val="0"/>
              <w:spacing w:line="360" w:lineRule="auto"/>
              <w:rPr>
                <w:rFonts w:hint="eastAsia" w:eastAsia="宋体"/>
                <w:sz w:val="21"/>
                <w:szCs w:val="21"/>
                <w:highlight w:val="none"/>
                <w:lang w:val="en-US" w:eastAsia="zh-CN"/>
              </w:rPr>
            </w:pPr>
            <w:r>
              <w:rPr>
                <w:color w:val="000000"/>
                <w:sz w:val="21"/>
                <w:szCs w:val="21"/>
                <w:highlight w:val="none"/>
              </w:rPr>
              <w:t>服务地点：</w:t>
            </w:r>
            <w:r>
              <w:rPr>
                <w:rFonts w:hint="eastAsia"/>
                <w:bCs/>
                <w:color w:val="000000"/>
                <w:sz w:val="21"/>
                <w:szCs w:val="21"/>
                <w:highlight w:val="none"/>
                <w:lang w:eastAsia="zh-CN"/>
              </w:rPr>
              <w:t>采购人</w:t>
            </w:r>
            <w:r>
              <w:rPr>
                <w:bCs/>
                <w:color w:val="000000"/>
                <w:sz w:val="21"/>
                <w:szCs w:val="21"/>
                <w:highlight w:val="none"/>
              </w:rPr>
              <w:t>指定地点</w:t>
            </w:r>
            <w:r>
              <w:rPr>
                <w:rFonts w:hint="eastAsia"/>
                <w:bCs/>
                <w:color w:val="000000"/>
                <w:sz w:val="21"/>
                <w:szCs w:val="21"/>
                <w:highlight w:val="none"/>
                <w:lang w:eastAsia="zh-CN"/>
              </w:rPr>
              <w:t>。</w:t>
            </w:r>
          </w:p>
        </w:tc>
      </w:tr>
      <w:tr w14:paraId="6AA5BFFC">
        <w:tblPrEx>
          <w:tblCellMar>
            <w:top w:w="0" w:type="dxa"/>
            <w:left w:w="108" w:type="dxa"/>
            <w:bottom w:w="0" w:type="dxa"/>
            <w:right w:w="108" w:type="dxa"/>
          </w:tblCellMar>
        </w:tblPrEx>
        <w:trPr>
          <w:trHeight w:val="1711" w:hRule="atLeast"/>
        </w:trPr>
        <w:tc>
          <w:tcPr>
            <w:tcW w:w="1844" w:type="dxa"/>
            <w:tcBorders>
              <w:top w:val="single" w:color="000000" w:sz="6" w:space="0"/>
              <w:left w:val="single" w:color="auto" w:sz="4" w:space="0"/>
              <w:bottom w:val="single" w:color="000000" w:sz="6" w:space="0"/>
              <w:right w:val="single" w:color="000000" w:sz="6" w:space="0"/>
            </w:tcBorders>
            <w:noWrap w:val="0"/>
            <w:vAlign w:val="center"/>
          </w:tcPr>
          <w:p w14:paraId="788442B7">
            <w:pPr>
              <w:snapToGrid w:val="0"/>
              <w:spacing w:line="400" w:lineRule="exact"/>
              <w:jc w:val="center"/>
              <w:rPr>
                <w:color w:val="000000"/>
                <w:sz w:val="21"/>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项目</w:t>
            </w:r>
            <w:r>
              <w:rPr>
                <w:rFonts w:hint="eastAsia" w:ascii="宋体" w:hAnsi="宋体" w:cs="宋体"/>
                <w:b w:val="0"/>
                <w:bCs w:val="0"/>
                <w:color w:val="auto"/>
                <w:kern w:val="0"/>
                <w:sz w:val="21"/>
                <w:szCs w:val="21"/>
                <w:highlight w:val="none"/>
                <w:lang w:eastAsia="zh-CN"/>
              </w:rPr>
              <w:t>驻点</w:t>
            </w:r>
            <w:r>
              <w:rPr>
                <w:rFonts w:hint="eastAsia" w:ascii="宋体" w:hAnsi="宋体" w:cs="宋体"/>
                <w:b w:val="0"/>
                <w:bCs w:val="0"/>
                <w:color w:val="auto"/>
                <w:kern w:val="0"/>
                <w:sz w:val="21"/>
                <w:szCs w:val="21"/>
                <w:highlight w:val="none"/>
              </w:rPr>
              <w:t>人员要求</w:t>
            </w:r>
          </w:p>
        </w:tc>
        <w:tc>
          <w:tcPr>
            <w:tcW w:w="8076" w:type="dxa"/>
            <w:tcBorders>
              <w:top w:val="single" w:color="000000" w:sz="6" w:space="0"/>
              <w:left w:val="single" w:color="000000" w:sz="6" w:space="0"/>
              <w:bottom w:val="single" w:color="000000" w:sz="6" w:space="0"/>
              <w:right w:val="single" w:color="auto" w:sz="4" w:space="0"/>
            </w:tcBorders>
            <w:noWrap w:val="0"/>
            <w:vAlign w:val="center"/>
          </w:tcPr>
          <w:p w14:paraId="74273257">
            <w:pPr>
              <w:numPr>
                <w:ilvl w:val="0"/>
                <w:numId w:val="0"/>
              </w:numPr>
              <w:adjustRightInd w:val="0"/>
              <w:snapToGrid w:val="0"/>
              <w:spacing w:line="400" w:lineRule="exact"/>
              <w:rPr>
                <w:rFonts w:hint="eastAsia" w:ascii="宋体" w:hAnsi="宋体" w:eastAsia="宋体" w:cs="宋体"/>
                <w:b w:val="0"/>
                <w:bCs w:val="0"/>
                <w:color w:val="auto"/>
                <w:sz w:val="21"/>
                <w:szCs w:val="21"/>
                <w:highlight w:val="none"/>
                <w:lang w:val="en-US" w:eastAsia="zh-CN"/>
              </w:rPr>
            </w:pPr>
            <w:r>
              <w:rPr>
                <w:rFonts w:ascii="宋体" w:hAnsi="宋体" w:cs="宋体"/>
                <w:b w:val="0"/>
                <w:bCs w:val="0"/>
                <w:color w:val="auto"/>
                <w:sz w:val="21"/>
                <w:szCs w:val="21"/>
                <w:highlight w:val="none"/>
              </w:rPr>
              <w:t>投标人</w:t>
            </w:r>
            <w:r>
              <w:rPr>
                <w:rFonts w:hint="eastAsia" w:ascii="宋体" w:hAnsi="宋体" w:cs="宋体"/>
                <w:b w:val="0"/>
                <w:bCs w:val="0"/>
                <w:color w:val="auto"/>
                <w:sz w:val="21"/>
                <w:szCs w:val="21"/>
                <w:highlight w:val="none"/>
                <w:lang w:eastAsia="zh-CN"/>
              </w:rPr>
              <w:t>拟派项目驻点人员（共</w:t>
            </w:r>
            <w:r>
              <w:rPr>
                <w:rFonts w:hint="eastAsia" w:ascii="宋体" w:hAnsi="宋体" w:cs="宋体"/>
                <w:b w:val="0"/>
                <w:bCs w:val="0"/>
                <w:color w:val="auto"/>
                <w:sz w:val="21"/>
                <w:szCs w:val="21"/>
                <w:highlight w:val="none"/>
                <w:lang w:val="en-US" w:eastAsia="zh-CN"/>
              </w:rPr>
              <w:t>3人</w:t>
            </w:r>
            <w:r>
              <w:rPr>
                <w:rFonts w:hint="eastAsia" w:ascii="宋体" w:hAnsi="宋体" w:cs="宋体"/>
                <w:b w:val="0"/>
                <w:bCs w:val="0"/>
                <w:color w:val="auto"/>
                <w:sz w:val="21"/>
                <w:szCs w:val="21"/>
                <w:highlight w:val="none"/>
                <w:lang w:eastAsia="zh-CN"/>
              </w:rPr>
              <w:t>）要求：</w:t>
            </w:r>
            <w:r>
              <w:rPr>
                <w:rFonts w:hint="eastAsia" w:ascii="宋体" w:hAnsi="宋体" w:cs="宋体"/>
                <w:color w:val="auto"/>
                <w:sz w:val="21"/>
                <w:szCs w:val="21"/>
                <w:highlight w:val="none"/>
                <w:lang w:val="en-US" w:eastAsia="zh-CN"/>
              </w:rPr>
              <w:t>项目负责人或技术负责人1名；勘察类或测绘类</w:t>
            </w:r>
            <w:r>
              <w:rPr>
                <w:rFonts w:hint="eastAsia" w:ascii="宋体" w:hAnsi="宋体" w:eastAsia="宋体" w:cs="宋体"/>
                <w:color w:val="auto"/>
                <w:sz w:val="21"/>
                <w:szCs w:val="21"/>
                <w:highlight w:val="none"/>
                <w:lang w:val="en-US" w:eastAsia="zh-CN"/>
              </w:rPr>
              <w:t>中级技术职称及以上</w:t>
            </w:r>
            <w:r>
              <w:rPr>
                <w:rFonts w:hint="eastAsia" w:ascii="宋体" w:hAnsi="宋体" w:cs="宋体"/>
                <w:color w:val="auto"/>
                <w:sz w:val="21"/>
                <w:szCs w:val="21"/>
                <w:highlight w:val="none"/>
                <w:lang w:val="en-US" w:eastAsia="zh-CN"/>
              </w:rPr>
              <w:t>人员1</w:t>
            </w:r>
            <w:r>
              <w:rPr>
                <w:rFonts w:hint="eastAsia" w:ascii="宋体" w:hAnsi="宋体" w:eastAsia="宋体" w:cs="宋体"/>
                <w:color w:val="auto"/>
                <w:sz w:val="21"/>
                <w:szCs w:val="21"/>
                <w:highlight w:val="none"/>
                <w:lang w:val="en-US" w:eastAsia="zh-CN"/>
              </w:rPr>
              <w:t>名，建设工程检测人员培训合格证书（含地基基础或主体结构及装饰装修）1名，</w:t>
            </w:r>
            <w:r>
              <w:rPr>
                <w:rFonts w:hint="eastAsia" w:ascii="宋体" w:hAnsi="宋体" w:cs="宋体"/>
                <w:color w:val="auto"/>
                <w:sz w:val="21"/>
                <w:szCs w:val="21"/>
                <w:highlight w:val="none"/>
                <w:lang w:val="en-US" w:eastAsia="zh-CN"/>
              </w:rPr>
              <w:t>驻点人员应为拟派项目团队中的人员，驻点时间按采购人要求执行。</w:t>
            </w:r>
          </w:p>
          <w:p w14:paraId="634503DC">
            <w:pPr>
              <w:autoSpaceDE w:val="0"/>
              <w:autoSpaceDN w:val="0"/>
              <w:spacing w:line="360" w:lineRule="auto"/>
              <w:rPr>
                <w:rFonts w:hint="default"/>
                <w:color w:val="000000"/>
                <w:sz w:val="21"/>
                <w:szCs w:val="21"/>
                <w:highlight w:val="none"/>
                <w:lang w:val="en-US"/>
              </w:rPr>
            </w:pPr>
            <w:r>
              <w:rPr>
                <w:rFonts w:hint="eastAsia" w:ascii="宋体" w:hAnsi="宋体" w:cs="宋体"/>
                <w:b/>
                <w:bCs/>
                <w:color w:val="auto"/>
                <w:szCs w:val="21"/>
                <w:highlight w:val="none"/>
                <w:lang w:eastAsia="zh-CN"/>
              </w:rPr>
              <w:t>注：需提供以上</w:t>
            </w:r>
            <w:r>
              <w:rPr>
                <w:rFonts w:hint="eastAsia" w:ascii="宋体" w:hAnsi="宋体" w:cs="宋体"/>
                <w:b/>
                <w:bCs/>
                <w:color w:val="auto"/>
                <w:szCs w:val="21"/>
                <w:highlight w:val="none"/>
              </w:rPr>
              <w:t>项目组人员的相关证书</w:t>
            </w:r>
            <w:r>
              <w:rPr>
                <w:rFonts w:hint="eastAsia" w:ascii="宋体" w:hAnsi="宋体" w:cs="宋体"/>
                <w:b/>
                <w:bCs/>
                <w:color w:val="auto"/>
                <w:szCs w:val="21"/>
                <w:highlight w:val="none"/>
                <w:lang w:eastAsia="zh-CN"/>
              </w:rPr>
              <w:t>扫描件</w:t>
            </w:r>
            <w:r>
              <w:rPr>
                <w:rFonts w:hint="eastAsia" w:ascii="宋体" w:hAnsi="宋体" w:cs="宋体"/>
                <w:b/>
                <w:bCs/>
                <w:color w:val="auto"/>
                <w:szCs w:val="21"/>
                <w:highlight w:val="none"/>
              </w:rPr>
              <w:t>及</w:t>
            </w:r>
            <w:r>
              <w:rPr>
                <w:rFonts w:hint="eastAsia" w:ascii="宋体" w:hAnsi="宋体" w:cs="宋体"/>
                <w:b/>
                <w:bCs/>
                <w:color w:val="auto"/>
                <w:szCs w:val="21"/>
                <w:highlight w:val="none"/>
                <w:lang w:eastAsia="zh-CN"/>
              </w:rPr>
              <w:t>开标前</w:t>
            </w:r>
            <w:r>
              <w:rPr>
                <w:rFonts w:hint="eastAsia" w:ascii="宋体" w:hAnsi="宋体" w:cs="宋体"/>
                <w:b/>
                <w:bCs/>
                <w:color w:val="auto"/>
                <w:szCs w:val="21"/>
                <w:highlight w:val="none"/>
                <w:lang w:val="en-US" w:eastAsia="zh-CN"/>
              </w:rPr>
              <w:t>3个月任意</w:t>
            </w: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个月社保缴纳证明</w:t>
            </w:r>
            <w:r>
              <w:rPr>
                <w:rFonts w:hint="eastAsia" w:ascii="宋体" w:hAnsi="宋体" w:cs="宋体"/>
                <w:b/>
                <w:bCs/>
                <w:color w:val="auto"/>
                <w:szCs w:val="21"/>
                <w:highlight w:val="none"/>
                <w:lang w:eastAsia="zh-CN"/>
              </w:rPr>
              <w:t>，提供不全或不提供作符合性审查不通过。</w:t>
            </w:r>
          </w:p>
        </w:tc>
      </w:tr>
      <w:tr w14:paraId="23FEACDA">
        <w:tblPrEx>
          <w:tblCellMar>
            <w:top w:w="0" w:type="dxa"/>
            <w:left w:w="108" w:type="dxa"/>
            <w:bottom w:w="0" w:type="dxa"/>
            <w:right w:w="108" w:type="dxa"/>
          </w:tblCellMar>
        </w:tblPrEx>
        <w:trPr>
          <w:trHeight w:val="1711" w:hRule="atLeast"/>
        </w:trPr>
        <w:tc>
          <w:tcPr>
            <w:tcW w:w="1844" w:type="dxa"/>
            <w:tcBorders>
              <w:top w:val="single" w:color="000000" w:sz="6" w:space="0"/>
              <w:left w:val="single" w:color="auto" w:sz="4" w:space="0"/>
              <w:bottom w:val="single" w:color="000000" w:sz="6" w:space="0"/>
              <w:right w:val="single" w:color="000000" w:sz="6" w:space="0"/>
            </w:tcBorders>
            <w:noWrap w:val="0"/>
            <w:vAlign w:val="center"/>
          </w:tcPr>
          <w:p w14:paraId="74DBB67F">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承诺函</w:t>
            </w:r>
          </w:p>
        </w:tc>
        <w:tc>
          <w:tcPr>
            <w:tcW w:w="8076" w:type="dxa"/>
            <w:tcBorders>
              <w:top w:val="single" w:color="000000" w:sz="6" w:space="0"/>
              <w:left w:val="single" w:color="000000" w:sz="6" w:space="0"/>
              <w:bottom w:val="single" w:color="000000" w:sz="6" w:space="0"/>
              <w:right w:val="single" w:color="auto" w:sz="4" w:space="0"/>
            </w:tcBorders>
            <w:noWrap w:val="0"/>
            <w:vAlign w:val="center"/>
          </w:tcPr>
          <w:p w14:paraId="066B8577">
            <w:pPr>
              <w:autoSpaceDE w:val="0"/>
              <w:autoSpaceDN w:val="0"/>
              <w:spacing w:line="360" w:lineRule="auto"/>
              <w:rPr>
                <w:rFonts w:hint="eastAsia" w:ascii="宋体" w:hAnsi="宋体" w:cs="宋体"/>
                <w:b/>
                <w:bCs/>
                <w:color w:val="auto"/>
                <w:szCs w:val="21"/>
                <w:highlight w:val="none"/>
                <w:lang w:eastAsia="zh-CN"/>
              </w:rPr>
            </w:pPr>
            <w:r>
              <w:rPr>
                <w:rFonts w:hint="eastAsia" w:ascii="宋体" w:hAnsi="宋体" w:cs="宋体"/>
                <w:b/>
                <w:bCs/>
                <w:i w:val="0"/>
                <w:iCs w:val="0"/>
                <w:color w:val="auto"/>
                <w:kern w:val="0"/>
                <w:sz w:val="22"/>
                <w:szCs w:val="22"/>
                <w:highlight w:val="none"/>
                <w:u w:val="none"/>
                <w:lang w:val="en-US" w:eastAsia="zh-CN" w:bidi="ar"/>
              </w:rPr>
              <w:t>本项目为“交钥匙”服务，投标时承诺招标清单中已列明的或未列明但实际为项目实施中有可能发生的服务内容及相关配套服务已包含在投标报价中，中标后不得以任何理由增加费用。（投标人在商务技术文件中提供该承诺函，承诺函格式详见附件）。</w:t>
            </w:r>
          </w:p>
        </w:tc>
      </w:tr>
      <w:tr w14:paraId="6100C874">
        <w:tblPrEx>
          <w:tblCellMar>
            <w:top w:w="0" w:type="dxa"/>
            <w:left w:w="108" w:type="dxa"/>
            <w:bottom w:w="0" w:type="dxa"/>
            <w:right w:w="108" w:type="dxa"/>
          </w:tblCellMar>
        </w:tblPrEx>
        <w:trPr>
          <w:trHeight w:val="1499" w:hRule="atLeast"/>
        </w:trPr>
        <w:tc>
          <w:tcPr>
            <w:tcW w:w="1844" w:type="dxa"/>
            <w:tcBorders>
              <w:top w:val="single" w:color="000000" w:sz="6" w:space="0"/>
              <w:left w:val="single" w:color="auto" w:sz="4" w:space="0"/>
              <w:bottom w:val="single" w:color="000000" w:sz="6" w:space="0"/>
              <w:right w:val="single" w:color="000000" w:sz="6" w:space="0"/>
            </w:tcBorders>
            <w:noWrap w:val="0"/>
            <w:vAlign w:val="center"/>
          </w:tcPr>
          <w:p w14:paraId="4A113E7B">
            <w:pPr>
              <w:autoSpaceDE w:val="0"/>
              <w:autoSpaceDN w:val="0"/>
              <w:spacing w:line="360" w:lineRule="auto"/>
              <w:jc w:val="center"/>
              <w:rPr>
                <w:color w:val="000000"/>
                <w:sz w:val="21"/>
                <w:szCs w:val="21"/>
                <w:highlight w:val="none"/>
              </w:rPr>
            </w:pPr>
            <w:r>
              <w:rPr>
                <w:color w:val="000000"/>
                <w:sz w:val="21"/>
                <w:szCs w:val="21"/>
                <w:highlight w:val="none"/>
              </w:rPr>
              <w:t>付款方式</w:t>
            </w:r>
          </w:p>
          <w:p w14:paraId="26F8CFBD">
            <w:pPr>
              <w:autoSpaceDE w:val="0"/>
              <w:autoSpaceDN w:val="0"/>
              <w:spacing w:before="277" w:line="360" w:lineRule="auto"/>
              <w:ind w:left="534"/>
              <w:jc w:val="center"/>
              <w:rPr>
                <w:rFonts w:hint="eastAsia" w:ascii="宋体" w:hAnsi="宋体" w:cs="宋体"/>
                <w:sz w:val="21"/>
                <w:szCs w:val="21"/>
                <w:highlight w:val="none"/>
              </w:rPr>
            </w:pPr>
          </w:p>
        </w:tc>
        <w:tc>
          <w:tcPr>
            <w:tcW w:w="8076" w:type="dxa"/>
            <w:tcBorders>
              <w:top w:val="single" w:color="000000" w:sz="6" w:space="0"/>
              <w:left w:val="single" w:color="000000" w:sz="6" w:space="0"/>
              <w:bottom w:val="single" w:color="000000" w:sz="6" w:space="0"/>
              <w:right w:val="single" w:color="auto" w:sz="4" w:space="0"/>
            </w:tcBorders>
            <w:noWrap w:val="0"/>
            <w:vAlign w:val="center"/>
          </w:tcPr>
          <w:p w14:paraId="065ECC8B">
            <w:pPr>
              <w:autoSpaceDE w:val="0"/>
              <w:autoSpaceDN w:val="0"/>
              <w:snapToGrid w:val="0"/>
              <w:spacing w:line="360" w:lineRule="auto"/>
              <w:textAlignment w:val="bottom"/>
              <w:rPr>
                <w:rFonts w:hint="eastAsia"/>
                <w:bCs/>
                <w:color w:val="000000"/>
                <w:sz w:val="21"/>
                <w:szCs w:val="21"/>
                <w:highlight w:val="none"/>
              </w:rPr>
            </w:pPr>
            <w:r>
              <w:rPr>
                <w:rFonts w:hint="eastAsia"/>
                <w:bCs/>
                <w:color w:val="000000"/>
                <w:sz w:val="21"/>
                <w:szCs w:val="21"/>
                <w:highlight w:val="none"/>
              </w:rPr>
              <w:t>（1）合同签订后</w:t>
            </w:r>
            <w:r>
              <w:rPr>
                <w:rFonts w:hint="eastAsia"/>
                <w:bCs/>
                <w:color w:val="000000"/>
                <w:sz w:val="21"/>
                <w:szCs w:val="21"/>
                <w:highlight w:val="none"/>
                <w:lang w:val="en-US" w:eastAsia="zh-CN"/>
              </w:rPr>
              <w:t>30</w:t>
            </w:r>
            <w:r>
              <w:rPr>
                <w:rFonts w:hint="eastAsia"/>
                <w:bCs/>
                <w:color w:val="000000"/>
                <w:sz w:val="21"/>
                <w:szCs w:val="21"/>
                <w:highlight w:val="none"/>
              </w:rPr>
              <w:t>个工作日内，支付合同价的30%作为预付款，支付前，中标人需提交等额预付款保函且经采购人认可。</w:t>
            </w:r>
          </w:p>
          <w:p w14:paraId="66BF5327">
            <w:pPr>
              <w:autoSpaceDE w:val="0"/>
              <w:autoSpaceDN w:val="0"/>
              <w:snapToGrid w:val="0"/>
              <w:spacing w:line="360" w:lineRule="auto"/>
              <w:textAlignment w:val="bottom"/>
              <w:rPr>
                <w:rFonts w:hint="eastAsia" w:ascii="Times New Roman" w:hAnsi="Times New Roman" w:eastAsia="宋体" w:cs="Times New Roman"/>
                <w:bCs/>
                <w:color w:val="000000"/>
                <w:sz w:val="21"/>
                <w:szCs w:val="21"/>
                <w:highlight w:val="none"/>
              </w:rPr>
            </w:pPr>
            <w:r>
              <w:rPr>
                <w:rFonts w:hint="eastAsia"/>
                <w:bCs/>
                <w:color w:val="000000"/>
                <w:sz w:val="21"/>
                <w:szCs w:val="21"/>
                <w:highlight w:val="none"/>
              </w:rPr>
              <w:t>（2）</w:t>
            </w:r>
            <w:r>
              <w:rPr>
                <w:rFonts w:hint="eastAsia" w:ascii="Times New Roman" w:hAnsi="Times New Roman" w:eastAsia="宋体" w:cs="Times New Roman"/>
                <w:bCs/>
                <w:color w:val="000000"/>
                <w:sz w:val="21"/>
                <w:szCs w:val="21"/>
                <w:highlight w:val="none"/>
                <w:lang w:eastAsia="zh-CN"/>
              </w:rPr>
              <w:t>工程价款每季度支付一次，采购人向中标人支付当期实际完成工程量价款的</w:t>
            </w:r>
            <w:r>
              <w:rPr>
                <w:rFonts w:hint="eastAsia" w:cs="Times New Roman"/>
                <w:bCs/>
                <w:color w:val="000000"/>
                <w:sz w:val="21"/>
                <w:szCs w:val="21"/>
                <w:highlight w:val="none"/>
                <w:lang w:val="en-US" w:eastAsia="zh-CN"/>
              </w:rPr>
              <w:t>80</w:t>
            </w:r>
            <w:r>
              <w:rPr>
                <w:rFonts w:hint="eastAsia" w:ascii="Times New Roman" w:hAnsi="Times New Roman" w:eastAsia="宋体" w:cs="Times New Roman"/>
                <w:bCs/>
                <w:color w:val="000000"/>
                <w:sz w:val="21"/>
                <w:szCs w:val="21"/>
                <w:highlight w:val="none"/>
                <w:lang w:val="en-US" w:eastAsia="zh-CN"/>
              </w:rPr>
              <w:t>%工程价款，余款在完成全部检测内容并出具正式检测报告且通过工程</w:t>
            </w:r>
            <w:r>
              <w:rPr>
                <w:rFonts w:hint="eastAsia" w:cs="Times New Roman"/>
                <w:bCs/>
                <w:color w:val="000000"/>
                <w:sz w:val="21"/>
                <w:szCs w:val="21"/>
                <w:highlight w:val="none"/>
                <w:lang w:val="en-US" w:eastAsia="zh-CN"/>
              </w:rPr>
              <w:t>竣工验收</w:t>
            </w:r>
            <w:r>
              <w:rPr>
                <w:rFonts w:hint="eastAsia" w:ascii="Times New Roman" w:hAnsi="Times New Roman" w:eastAsia="宋体" w:cs="Times New Roman"/>
                <w:bCs/>
                <w:color w:val="000000"/>
                <w:sz w:val="21"/>
                <w:szCs w:val="21"/>
                <w:highlight w:val="none"/>
                <w:lang w:val="en-US" w:eastAsia="zh-CN"/>
              </w:rPr>
              <w:t>后付清尾款</w:t>
            </w:r>
            <w:r>
              <w:rPr>
                <w:rFonts w:hint="eastAsia" w:ascii="Times New Roman" w:hAnsi="Times New Roman" w:eastAsia="宋体" w:cs="Times New Roman"/>
                <w:bCs/>
                <w:color w:val="000000"/>
                <w:sz w:val="21"/>
                <w:szCs w:val="21"/>
                <w:highlight w:val="none"/>
              </w:rPr>
              <w:t>。</w:t>
            </w:r>
          </w:p>
          <w:p w14:paraId="1AB4C004">
            <w:pPr>
              <w:autoSpaceDE w:val="0"/>
              <w:autoSpaceDN w:val="0"/>
              <w:snapToGrid w:val="0"/>
              <w:spacing w:line="360" w:lineRule="auto"/>
              <w:textAlignment w:val="bottom"/>
              <w:rPr>
                <w:rFonts w:hint="default" w:ascii="Times New Roman" w:hAnsi="Times New Roman" w:eastAsia="宋体" w:cs="Times New Roman"/>
                <w:bCs/>
                <w:color w:val="000000"/>
                <w:sz w:val="21"/>
                <w:szCs w:val="21"/>
                <w:highlight w:val="none"/>
                <w:lang w:val="en-US" w:eastAsia="zh-CN"/>
              </w:rPr>
            </w:pPr>
            <w:r>
              <w:rPr>
                <w:rFonts w:hint="eastAsia"/>
                <w:color w:val="000000"/>
                <w:szCs w:val="21"/>
                <w:highlight w:val="none"/>
                <w:lang w:eastAsia="zh-CN"/>
              </w:rPr>
              <w:t>（</w:t>
            </w:r>
            <w:r>
              <w:rPr>
                <w:rFonts w:hint="eastAsia"/>
                <w:color w:val="000000"/>
                <w:szCs w:val="21"/>
                <w:highlight w:val="none"/>
                <w:lang w:val="en-US" w:eastAsia="zh-CN"/>
              </w:rPr>
              <w:t>3</w:t>
            </w:r>
            <w:r>
              <w:rPr>
                <w:rFonts w:hint="eastAsia"/>
                <w:color w:val="000000"/>
                <w:szCs w:val="21"/>
                <w:highlight w:val="none"/>
                <w:lang w:eastAsia="zh-CN"/>
              </w:rPr>
              <w:t>）工作量暂定，结算按实际工作量×相应的中标综合单价结算，本项目最终检测服务费按实结算，超过合同总价按合同总价结算。</w:t>
            </w:r>
          </w:p>
        </w:tc>
      </w:tr>
      <w:tr w14:paraId="0269400C">
        <w:tblPrEx>
          <w:tblCellMar>
            <w:top w:w="0" w:type="dxa"/>
            <w:left w:w="108" w:type="dxa"/>
            <w:bottom w:w="0" w:type="dxa"/>
            <w:right w:w="108" w:type="dxa"/>
          </w:tblCellMar>
        </w:tblPrEx>
        <w:trPr>
          <w:trHeight w:val="419" w:hRule="atLeast"/>
        </w:trPr>
        <w:tc>
          <w:tcPr>
            <w:tcW w:w="1844" w:type="dxa"/>
            <w:tcBorders>
              <w:top w:val="single" w:color="000000" w:sz="6" w:space="0"/>
              <w:left w:val="single" w:color="auto" w:sz="4" w:space="0"/>
              <w:bottom w:val="single" w:color="000000" w:sz="6" w:space="0"/>
              <w:right w:val="single" w:color="000000" w:sz="6" w:space="0"/>
            </w:tcBorders>
            <w:noWrap w:val="0"/>
            <w:vAlign w:val="center"/>
          </w:tcPr>
          <w:p w14:paraId="5B298E53">
            <w:pPr>
              <w:autoSpaceDE w:val="0"/>
              <w:autoSpaceDN w:val="0"/>
              <w:spacing w:line="360" w:lineRule="auto"/>
              <w:jc w:val="center"/>
              <w:rPr>
                <w:rFonts w:hint="eastAsia" w:ascii="宋体" w:hAnsi="宋体"/>
                <w:sz w:val="21"/>
                <w:szCs w:val="21"/>
                <w:highlight w:val="none"/>
                <w:lang w:val="zh-CN"/>
              </w:rPr>
            </w:pPr>
            <w:r>
              <w:rPr>
                <w:color w:val="000000"/>
                <w:sz w:val="21"/>
                <w:szCs w:val="21"/>
                <w:highlight w:val="none"/>
              </w:rPr>
              <w:t>验收标准</w:t>
            </w:r>
          </w:p>
        </w:tc>
        <w:tc>
          <w:tcPr>
            <w:tcW w:w="8076" w:type="dxa"/>
            <w:tcBorders>
              <w:top w:val="single" w:color="000000" w:sz="6" w:space="0"/>
              <w:left w:val="single" w:color="000000" w:sz="6" w:space="0"/>
              <w:bottom w:val="single" w:color="000000" w:sz="6" w:space="0"/>
              <w:right w:val="single" w:color="auto" w:sz="4" w:space="0"/>
            </w:tcBorders>
            <w:noWrap w:val="0"/>
            <w:vAlign w:val="center"/>
          </w:tcPr>
          <w:p w14:paraId="58A981AE">
            <w:pPr>
              <w:autoSpaceDE w:val="0"/>
              <w:autoSpaceDN w:val="0"/>
              <w:spacing w:line="360" w:lineRule="auto"/>
              <w:rPr>
                <w:rFonts w:hint="eastAsia" w:ascii="宋体" w:hAnsi="宋体"/>
                <w:sz w:val="21"/>
                <w:szCs w:val="21"/>
                <w:highlight w:val="none"/>
                <w:lang w:val="zh-CN"/>
              </w:rPr>
            </w:pPr>
            <w:r>
              <w:rPr>
                <w:color w:val="000000"/>
                <w:sz w:val="21"/>
                <w:szCs w:val="21"/>
                <w:highlight w:val="none"/>
              </w:rPr>
              <w:t>应符合国家或行业有关的质量标准或验收规范并</w:t>
            </w:r>
            <w:r>
              <w:rPr>
                <w:bCs/>
                <w:color w:val="000000"/>
                <w:sz w:val="21"/>
                <w:szCs w:val="21"/>
                <w:highlight w:val="none"/>
              </w:rPr>
              <w:t>按照中标人提供的投标文件及中标人和采购人签订的政府采购合同为标准进行验收。具体要求</w:t>
            </w:r>
            <w:r>
              <w:rPr>
                <w:color w:val="000000"/>
                <w:sz w:val="21"/>
                <w:szCs w:val="21"/>
                <w:highlight w:val="none"/>
              </w:rPr>
              <w:t>详见采购文件技术</w:t>
            </w:r>
            <w:r>
              <w:rPr>
                <w:rFonts w:hint="eastAsia"/>
                <w:color w:val="000000"/>
                <w:sz w:val="21"/>
                <w:szCs w:val="21"/>
                <w:highlight w:val="none"/>
                <w:lang w:val="en-US" w:eastAsia="zh-CN"/>
              </w:rPr>
              <w:t>要求</w:t>
            </w:r>
            <w:r>
              <w:rPr>
                <w:color w:val="000000"/>
                <w:sz w:val="21"/>
                <w:szCs w:val="21"/>
                <w:highlight w:val="none"/>
              </w:rPr>
              <w:t>。</w:t>
            </w:r>
          </w:p>
        </w:tc>
      </w:tr>
    </w:tbl>
    <w:p w14:paraId="259C11F3">
      <w:pPr>
        <w:rPr>
          <w:rFonts w:hint="eastAsia"/>
          <w:sz w:val="21"/>
          <w:szCs w:val="21"/>
          <w:highlight w:val="none"/>
          <w:lang w:eastAsia="zh-CN"/>
        </w:rPr>
      </w:pPr>
      <w:r>
        <w:rPr>
          <w:rFonts w:hint="eastAsia"/>
          <w:sz w:val="21"/>
          <w:szCs w:val="21"/>
          <w:highlight w:val="none"/>
          <w:lang w:eastAsia="zh-CN"/>
        </w:rPr>
        <w:t xml:space="preserve"> </w:t>
      </w:r>
    </w:p>
    <w:p w14:paraId="7663DFA7">
      <w:pPr>
        <w:ind w:firstLine="422" w:firstLineChars="200"/>
        <w:rPr>
          <w:rFonts w:hint="eastAsia"/>
          <w:b/>
          <w:bCs/>
          <w:highlight w:val="none"/>
          <w:lang w:val="zh-CN"/>
        </w:rPr>
      </w:pPr>
      <w:r>
        <w:rPr>
          <w:rFonts w:hint="eastAsia"/>
          <w:b/>
          <w:bCs/>
          <w:highlight w:val="none"/>
          <w:lang w:val="en-US" w:eastAsia="zh-CN"/>
        </w:rPr>
        <w:t>四</w:t>
      </w:r>
      <w:r>
        <w:rPr>
          <w:rFonts w:hint="eastAsia"/>
          <w:b/>
          <w:bCs/>
          <w:highlight w:val="none"/>
          <w:lang w:val="zh-CN"/>
        </w:rPr>
        <w:t>、服务内容及</w:t>
      </w:r>
      <w:r>
        <w:rPr>
          <w:rFonts w:hint="eastAsia"/>
          <w:b/>
          <w:bCs/>
          <w:highlight w:val="none"/>
          <w:lang w:val="en-US" w:eastAsia="zh-CN"/>
        </w:rPr>
        <w:t>技术</w:t>
      </w:r>
      <w:r>
        <w:rPr>
          <w:rFonts w:hint="eastAsia"/>
          <w:b/>
          <w:bCs/>
          <w:highlight w:val="none"/>
          <w:lang w:val="zh-CN"/>
        </w:rPr>
        <w:t>要求</w:t>
      </w:r>
    </w:p>
    <w:p w14:paraId="7BBE0050">
      <w:pPr>
        <w:spacing w:line="360" w:lineRule="auto"/>
        <w:ind w:firstLine="422" w:firstLineChars="200"/>
        <w:jc w:val="both"/>
        <w:rPr>
          <w:b/>
          <w:bCs/>
          <w:highlight w:val="none"/>
        </w:rPr>
      </w:pPr>
      <w:r>
        <w:rPr>
          <w:rFonts w:hint="eastAsia"/>
          <w:b/>
          <w:bCs/>
          <w:highlight w:val="none"/>
          <w:lang w:val="en-US" w:eastAsia="zh-CN"/>
        </w:rPr>
        <w:t>1</w:t>
      </w:r>
      <w:r>
        <w:rPr>
          <w:rFonts w:hint="eastAsia"/>
          <w:b/>
          <w:bCs/>
          <w:highlight w:val="none"/>
        </w:rPr>
        <w:t>、超前地质预报</w:t>
      </w:r>
    </w:p>
    <w:p w14:paraId="59E379F2">
      <w:pPr>
        <w:spacing w:line="360" w:lineRule="auto"/>
        <w:ind w:firstLine="420" w:firstLineChars="200"/>
        <w:rPr>
          <w:highlight w:val="none"/>
        </w:rPr>
      </w:pPr>
      <w:r>
        <w:rPr>
          <w:rFonts w:hint="eastAsia"/>
          <w:highlight w:val="none"/>
          <w:lang w:val="en-US" w:eastAsia="zh-CN"/>
        </w:rPr>
        <w:t>1）</w:t>
      </w:r>
      <w:r>
        <w:rPr>
          <w:rFonts w:hint="eastAsia"/>
          <w:highlight w:val="none"/>
        </w:rPr>
        <w:t>原则</w:t>
      </w:r>
    </w:p>
    <w:p w14:paraId="309E7AD3">
      <w:pPr>
        <w:spacing w:line="360" w:lineRule="auto"/>
        <w:ind w:firstLine="420" w:firstLineChars="200"/>
        <w:rPr>
          <w:rFonts w:hint="eastAsia"/>
          <w:highlight w:val="none"/>
        </w:rPr>
      </w:pPr>
      <w:r>
        <w:rPr>
          <w:rFonts w:hint="eastAsia"/>
          <w:highlight w:val="none"/>
        </w:rPr>
        <w:t>超前地质预报应以工程地质综合分析为核心，坚持粗查与精查；长距离与短距离探测、物探与钻探相结合的原则，结合前期地质成果及实际揭示情况，综合分析预报。</w:t>
      </w:r>
    </w:p>
    <w:p w14:paraId="4ADAAE8B">
      <w:pPr>
        <w:spacing w:line="360" w:lineRule="auto"/>
        <w:ind w:firstLine="420" w:firstLineChars="200"/>
        <w:rPr>
          <w:rFonts w:hint="eastAsia"/>
          <w:highlight w:val="none"/>
        </w:rPr>
      </w:pPr>
      <w:r>
        <w:rPr>
          <w:rFonts w:hint="eastAsia"/>
          <w:highlight w:val="none"/>
          <w:lang w:val="en-US" w:eastAsia="zh-CN"/>
        </w:rPr>
        <w:t>2</w:t>
      </w:r>
      <w:r>
        <w:rPr>
          <w:rFonts w:hint="eastAsia"/>
          <w:highlight w:val="none"/>
          <w:lang w:eastAsia="zh-CN"/>
        </w:rPr>
        <w:t>）</w:t>
      </w:r>
      <w:r>
        <w:rPr>
          <w:rFonts w:hint="eastAsia"/>
          <w:highlight w:val="none"/>
        </w:rPr>
        <w:t>工作内容：</w:t>
      </w:r>
    </w:p>
    <w:p w14:paraId="4266E5AF">
      <w:pPr>
        <w:spacing w:line="360" w:lineRule="auto"/>
        <w:ind w:firstLine="420" w:firstLineChars="200"/>
        <w:rPr>
          <w:rFonts w:hint="eastAsia"/>
          <w:highlight w:val="none"/>
        </w:rPr>
      </w:pPr>
      <w:r>
        <w:rPr>
          <w:rFonts w:hint="eastAsia"/>
          <w:highlight w:val="none"/>
        </w:rPr>
        <w:t>（1）围岩分级及围岩的物理力学参数。</w:t>
      </w:r>
    </w:p>
    <w:p w14:paraId="00864697">
      <w:pPr>
        <w:spacing w:line="360" w:lineRule="auto"/>
        <w:ind w:firstLine="420" w:firstLineChars="200"/>
        <w:rPr>
          <w:rFonts w:hint="eastAsia"/>
          <w:highlight w:val="none"/>
        </w:rPr>
      </w:pPr>
      <w:r>
        <w:rPr>
          <w:rFonts w:hint="eastAsia"/>
          <w:highlight w:val="none"/>
        </w:rPr>
        <w:t>（2）节理密集带、软弱夹层及断层破碎带的位置与产状。</w:t>
      </w:r>
    </w:p>
    <w:p w14:paraId="3A4EC46E">
      <w:pPr>
        <w:spacing w:line="360" w:lineRule="auto"/>
        <w:ind w:firstLine="420" w:firstLineChars="200"/>
        <w:rPr>
          <w:rFonts w:hint="eastAsia"/>
          <w:highlight w:val="none"/>
        </w:rPr>
      </w:pPr>
      <w:r>
        <w:rPr>
          <w:rFonts w:hint="eastAsia"/>
          <w:highlight w:val="none"/>
        </w:rPr>
        <w:t>（3）特殊岩土的分布情况。</w:t>
      </w:r>
    </w:p>
    <w:p w14:paraId="7AD284ED">
      <w:pPr>
        <w:spacing w:line="360" w:lineRule="auto"/>
        <w:ind w:firstLine="420" w:firstLineChars="200"/>
        <w:rPr>
          <w:rFonts w:hint="eastAsia"/>
          <w:highlight w:val="none"/>
        </w:rPr>
      </w:pPr>
      <w:r>
        <w:rPr>
          <w:rFonts w:hint="eastAsia"/>
          <w:highlight w:val="none"/>
        </w:rPr>
        <w:t>（4）岩溶的发育情况。</w:t>
      </w:r>
    </w:p>
    <w:p w14:paraId="79428303">
      <w:pPr>
        <w:spacing w:line="360" w:lineRule="auto"/>
        <w:ind w:firstLine="420" w:firstLineChars="200"/>
        <w:rPr>
          <w:rFonts w:hint="eastAsia"/>
          <w:highlight w:val="none"/>
        </w:rPr>
      </w:pPr>
      <w:r>
        <w:rPr>
          <w:rFonts w:hint="eastAsia"/>
          <w:highlight w:val="none"/>
        </w:rPr>
        <w:t>（5）富水断层、富水地层的发育情况。</w:t>
      </w:r>
    </w:p>
    <w:p w14:paraId="07A9014E">
      <w:pPr>
        <w:spacing w:line="360" w:lineRule="auto"/>
        <w:ind w:firstLine="420" w:firstLineChars="200"/>
        <w:rPr>
          <w:rFonts w:hint="eastAsia"/>
          <w:highlight w:val="none"/>
        </w:rPr>
      </w:pPr>
      <w:r>
        <w:rPr>
          <w:rFonts w:hint="eastAsia"/>
          <w:highlight w:val="none"/>
          <w:lang w:val="en-US" w:eastAsia="zh-CN"/>
        </w:rPr>
        <w:t>3）</w:t>
      </w:r>
      <w:r>
        <w:rPr>
          <w:rFonts w:hint="eastAsia"/>
          <w:highlight w:val="none"/>
        </w:rPr>
        <w:t>超前地质预报技术要求：</w:t>
      </w:r>
    </w:p>
    <w:p w14:paraId="1A1D3DC1">
      <w:pPr>
        <w:spacing w:line="360" w:lineRule="auto"/>
        <w:ind w:firstLine="420" w:firstLineChars="200"/>
        <w:rPr>
          <w:rFonts w:hint="eastAsia"/>
          <w:highlight w:val="none"/>
        </w:rPr>
      </w:pPr>
      <w:r>
        <w:rPr>
          <w:rFonts w:hint="eastAsia"/>
          <w:highlight w:val="none"/>
        </w:rPr>
        <w:t>（1）整体采用TSP隧道地质探测仪进行远距离（200m）较宏观长期预报。</w:t>
      </w:r>
    </w:p>
    <w:p w14:paraId="6ED6D8C5">
      <w:pPr>
        <w:spacing w:line="360" w:lineRule="auto"/>
        <w:ind w:firstLine="420" w:firstLineChars="200"/>
        <w:rPr>
          <w:rFonts w:hint="eastAsia"/>
          <w:highlight w:val="none"/>
        </w:rPr>
      </w:pPr>
      <w:r>
        <w:rPr>
          <w:rFonts w:hint="eastAsia"/>
          <w:highlight w:val="none"/>
        </w:rPr>
        <w:t>（2）采用地质雷达进行近距离（40m）较微观近期预报。</w:t>
      </w:r>
    </w:p>
    <w:p w14:paraId="4346FE98">
      <w:pPr>
        <w:spacing w:line="360" w:lineRule="auto"/>
        <w:ind w:firstLine="420" w:firstLineChars="200"/>
        <w:rPr>
          <w:rFonts w:hint="eastAsia"/>
          <w:highlight w:val="none"/>
        </w:rPr>
      </w:pPr>
      <w:r>
        <w:rPr>
          <w:rFonts w:hint="eastAsia"/>
          <w:highlight w:val="none"/>
        </w:rPr>
        <w:t>（3）二者可以相互补充和印证，</w:t>
      </w:r>
    </w:p>
    <w:p w14:paraId="7DF38A16">
      <w:pPr>
        <w:spacing w:line="360" w:lineRule="auto"/>
        <w:ind w:firstLine="420" w:firstLineChars="200"/>
        <w:rPr>
          <w:rFonts w:hint="eastAsia"/>
          <w:highlight w:val="none"/>
        </w:rPr>
      </w:pPr>
      <w:r>
        <w:rPr>
          <w:rFonts w:hint="eastAsia"/>
          <w:highlight w:val="none"/>
        </w:rPr>
        <w:t>（4）根据以上综合结果确定是否需要打探孔以及探孔位置和数量（1~5个为宜）。</w:t>
      </w:r>
    </w:p>
    <w:p w14:paraId="2F0EC885">
      <w:pPr>
        <w:spacing w:line="360" w:lineRule="auto"/>
        <w:ind w:firstLine="420" w:firstLineChars="200"/>
        <w:rPr>
          <w:highlight w:val="none"/>
        </w:rPr>
      </w:pPr>
      <w:r>
        <w:rPr>
          <w:rFonts w:hint="eastAsia"/>
          <w:highlight w:val="none"/>
        </w:rPr>
        <w:t>（5）通过探测预报，起到补充勘探、提高勘探程度的作用。</w:t>
      </w:r>
    </w:p>
    <w:p w14:paraId="65A9DA53">
      <w:pPr>
        <w:spacing w:line="360" w:lineRule="auto"/>
        <w:ind w:firstLine="422" w:firstLineChars="200"/>
        <w:jc w:val="both"/>
        <w:rPr>
          <w:b/>
          <w:bCs/>
          <w:highlight w:val="none"/>
        </w:rPr>
      </w:pPr>
      <w:r>
        <w:rPr>
          <w:rFonts w:hint="eastAsia"/>
          <w:b/>
          <w:bCs/>
          <w:highlight w:val="none"/>
          <w:lang w:val="en-US" w:eastAsia="zh-CN"/>
        </w:rPr>
        <w:t>2</w:t>
      </w:r>
      <w:r>
        <w:rPr>
          <w:rFonts w:hint="eastAsia"/>
          <w:b/>
          <w:bCs/>
          <w:highlight w:val="none"/>
        </w:rPr>
        <w:t>、监控量测</w:t>
      </w:r>
    </w:p>
    <w:p w14:paraId="19F74313">
      <w:pPr>
        <w:spacing w:line="360" w:lineRule="auto"/>
        <w:ind w:firstLine="420" w:firstLineChars="200"/>
        <w:rPr>
          <w:highlight w:val="none"/>
        </w:rPr>
      </w:pPr>
      <w:r>
        <w:rPr>
          <w:rFonts w:hint="eastAsia"/>
          <w:highlight w:val="none"/>
          <w:lang w:val="en-US" w:eastAsia="zh-CN"/>
        </w:rPr>
        <w:t>1）</w:t>
      </w:r>
      <w:r>
        <w:rPr>
          <w:rFonts w:hint="eastAsia"/>
          <w:highlight w:val="none"/>
        </w:rPr>
        <w:t>原则</w:t>
      </w:r>
    </w:p>
    <w:p w14:paraId="28B96B5C">
      <w:pPr>
        <w:spacing w:line="360" w:lineRule="auto"/>
        <w:ind w:firstLine="420" w:firstLineChars="200"/>
        <w:rPr>
          <w:rFonts w:hint="eastAsia"/>
          <w:highlight w:val="none"/>
        </w:rPr>
      </w:pPr>
      <w:r>
        <w:rPr>
          <w:rFonts w:hAnsi="宋体"/>
          <w:highlight w:val="none"/>
        </w:rPr>
        <w:t>通过监控量测，可以及时掌握隧道实际揭露的地质情况，掌握隧道围岩、支护衬砌结构的受力特征和变形情况，据此可以尽早发现塌方、大变形等灾害征兆，及时采取措施，保障施工安全</w:t>
      </w:r>
      <w:r>
        <w:rPr>
          <w:rFonts w:hint="eastAsia" w:hAnsi="宋体"/>
          <w:highlight w:val="none"/>
        </w:rPr>
        <w:t>。</w:t>
      </w:r>
    </w:p>
    <w:p w14:paraId="086A634D">
      <w:pPr>
        <w:spacing w:line="360" w:lineRule="auto"/>
        <w:ind w:firstLine="420" w:firstLineChars="200"/>
        <w:rPr>
          <w:rFonts w:hint="eastAsia"/>
          <w:highlight w:val="none"/>
        </w:rPr>
      </w:pPr>
      <w:r>
        <w:rPr>
          <w:rFonts w:hint="eastAsia"/>
          <w:highlight w:val="none"/>
          <w:lang w:val="en-US" w:eastAsia="zh-CN"/>
        </w:rPr>
        <w:t>2）</w:t>
      </w:r>
      <w:r>
        <w:rPr>
          <w:rFonts w:hint="eastAsia"/>
          <w:highlight w:val="none"/>
        </w:rPr>
        <w:t>工作内容</w:t>
      </w:r>
    </w:p>
    <w:p w14:paraId="74703CD6">
      <w:pPr>
        <w:spacing w:line="360" w:lineRule="auto"/>
        <w:ind w:firstLine="420" w:firstLineChars="200"/>
        <w:rPr>
          <w:rFonts w:hint="eastAsia"/>
          <w:highlight w:val="none"/>
        </w:rPr>
      </w:pPr>
      <w:r>
        <w:rPr>
          <w:rFonts w:hint="eastAsia"/>
          <w:highlight w:val="none"/>
        </w:rPr>
        <w:t>后开挖隧道爆破震速测试、地质及支护状态观察、周边位移（水平净空收敛）、拱顶下沉、地表下沉等项目。</w:t>
      </w:r>
    </w:p>
    <w:p w14:paraId="7F7A5782">
      <w:pPr>
        <w:spacing w:line="360" w:lineRule="auto"/>
        <w:ind w:firstLine="420" w:firstLineChars="200"/>
        <w:rPr>
          <w:rFonts w:hint="eastAsia"/>
          <w:highlight w:val="none"/>
        </w:rPr>
      </w:pPr>
      <w:r>
        <w:rPr>
          <w:rFonts w:hint="eastAsia"/>
          <w:highlight w:val="none"/>
          <w:lang w:val="en-US" w:eastAsia="zh-CN"/>
        </w:rPr>
        <w:t>3）</w:t>
      </w:r>
      <w:r>
        <w:rPr>
          <w:rFonts w:hint="eastAsia"/>
          <w:highlight w:val="none"/>
        </w:rPr>
        <w:t>技术要求</w:t>
      </w:r>
    </w:p>
    <w:p w14:paraId="137C250B">
      <w:pPr>
        <w:spacing w:line="360" w:lineRule="auto"/>
        <w:ind w:firstLine="420" w:firstLineChars="200"/>
        <w:rPr>
          <w:highlight w:val="none"/>
        </w:rPr>
      </w:pPr>
      <w:r>
        <w:rPr>
          <w:rFonts w:hint="eastAsia"/>
          <w:highlight w:val="none"/>
        </w:rPr>
        <w:t>（1）在后进洞爆破的瞬间，进行后开挖隧道爆破震速测试，测出测点前后、左右、上下三个方向的振动波速和衰减规律，每20m一个断面。</w:t>
      </w:r>
    </w:p>
    <w:p w14:paraId="424C0603">
      <w:pPr>
        <w:spacing w:line="360" w:lineRule="auto"/>
        <w:ind w:firstLine="420" w:firstLineChars="200"/>
        <w:rPr>
          <w:rFonts w:hint="eastAsia"/>
          <w:highlight w:val="none"/>
        </w:rPr>
      </w:pPr>
      <w:r>
        <w:rPr>
          <w:rFonts w:hint="eastAsia"/>
          <w:highlight w:val="none"/>
        </w:rPr>
        <w:t>（2）每次爆破后及初期支护后进行地质及支护状态观察。开挖面观察：每次开挖后进行一次；初期支护完成区段观察：每天至少进行一次，观察内容包括喷砼、锚杆、钢架的状态；</w:t>
      </w:r>
    </w:p>
    <w:p w14:paraId="208BC7AA">
      <w:pPr>
        <w:spacing w:line="360" w:lineRule="auto"/>
        <w:ind w:firstLine="420" w:firstLineChars="200"/>
        <w:rPr>
          <w:highlight w:val="none"/>
        </w:rPr>
      </w:pPr>
      <w:r>
        <w:rPr>
          <w:rFonts w:hint="eastAsia"/>
          <w:highlight w:val="none"/>
        </w:rPr>
        <w:t>（3）周边位移（水平净空收敛）每5-50m一个断面，每个断面2-3对测点；拱顶下沉每10-50m一个断面，每个断面2-10对测点。</w:t>
      </w:r>
    </w:p>
    <w:p w14:paraId="0A984F22">
      <w:pPr>
        <w:spacing w:line="360" w:lineRule="auto"/>
        <w:ind w:firstLine="420" w:firstLineChars="200"/>
        <w:rPr>
          <w:rFonts w:hint="eastAsia"/>
          <w:highlight w:val="none"/>
        </w:rPr>
      </w:pPr>
      <w:r>
        <w:rPr>
          <w:rFonts w:hint="eastAsia"/>
          <w:highlight w:val="none"/>
        </w:rPr>
        <w:t>拱顶下沉和水平收敛量测断面的间距为：II级围岩不大于50m；III级围岩不大于30m；IV级围岩不大于20m；V级围岩应小于10m。围岩变化处应适当加密；在各类围岩的起始地段增设拱顶下沉测点1~2个，水平收敛1~2对。各测点在避免爆破作业破坏测点的前提下，尽可能靠近工作面埋设，一般为0.5~2m,并在下一次爆破循环前获得初始读数。初读数应在开挖后12小内读取，最迟不得超过24h，而且在下一循环开挖前，必须完成初期变形值的读数。拱顶下沉量测与净空水平收敛量测在同一量测断面内进行。</w:t>
      </w:r>
    </w:p>
    <w:p w14:paraId="5D858DDC">
      <w:pPr>
        <w:spacing w:line="360" w:lineRule="auto"/>
        <w:ind w:firstLine="420" w:firstLineChars="200"/>
        <w:rPr>
          <w:rFonts w:hint="eastAsia"/>
          <w:highlight w:val="none"/>
        </w:rPr>
      </w:pPr>
      <w:r>
        <w:rPr>
          <w:rFonts w:hint="eastAsia"/>
          <w:highlight w:val="none"/>
        </w:rPr>
        <w:t>（4）地表下沉位于洞室中心线上，并与洞轴线正交面平面的一定范围内布设必要数量测点，布置在连拱段洞口浅埋地段，隧道埋深≤B时，测点纵向间距5~10m；B＜h≤2B时，测点纵向间距10~20m（B为开挖宽度，h为隧道埋深）。</w:t>
      </w:r>
    </w:p>
    <w:p w14:paraId="67A02655">
      <w:pPr>
        <w:spacing w:line="360" w:lineRule="auto"/>
        <w:ind w:firstLine="420" w:firstLineChars="200"/>
        <w:rPr>
          <w:highlight w:val="none"/>
        </w:rPr>
      </w:pPr>
      <w:r>
        <w:rPr>
          <w:rFonts w:hint="eastAsia"/>
          <w:highlight w:val="none"/>
        </w:rPr>
        <w:t>（5）提供监控量测现场有关的影像资料。</w:t>
      </w:r>
    </w:p>
    <w:p w14:paraId="03DF69CD">
      <w:pPr>
        <w:spacing w:line="360" w:lineRule="auto"/>
        <w:ind w:firstLine="420" w:firstLineChars="200"/>
        <w:rPr>
          <w:rFonts w:hint="eastAsia"/>
          <w:highlight w:val="none"/>
        </w:rPr>
      </w:pPr>
      <w:r>
        <w:rPr>
          <w:rFonts w:hint="eastAsia"/>
          <w:highlight w:val="none"/>
        </w:rPr>
        <w:t>根据监控量测相关规范及设计要求对典型断面的测点埋设、量测，对开挖后的围岩状态做出评价，对量测的数据及时分析整理并及时向业主、监理单位通报。</w:t>
      </w:r>
    </w:p>
    <w:p w14:paraId="5C09ED3F">
      <w:pPr>
        <w:spacing w:line="400" w:lineRule="exact"/>
        <w:ind w:firstLine="442" w:firstLineChars="200"/>
        <w:jc w:val="both"/>
        <w:rPr>
          <w:rFonts w:hint="eastAsia" w:ascii="宋体" w:hAnsi="宋体" w:cs="宋体"/>
          <w:b/>
          <w:bCs/>
          <w:sz w:val="24"/>
          <w:highlight w:val="none"/>
        </w:rPr>
      </w:pPr>
      <w:r>
        <w:rPr>
          <w:rFonts w:hint="eastAsia" w:ascii="宋体" w:hAnsi="宋体" w:cs="宋体"/>
          <w:b/>
          <w:bCs/>
          <w:color w:val="000000"/>
          <w:kern w:val="0"/>
          <w:sz w:val="22"/>
          <w:szCs w:val="22"/>
          <w:highlight w:val="none"/>
          <w:lang w:val="en-US" w:eastAsia="zh-CN" w:bidi="ar"/>
        </w:rPr>
        <w:t>3、</w:t>
      </w:r>
      <w:r>
        <w:rPr>
          <w:rFonts w:hint="eastAsia" w:ascii="宋体" w:hAnsi="宋体" w:cs="宋体"/>
          <w:b/>
          <w:bCs/>
          <w:color w:val="000000"/>
          <w:kern w:val="0"/>
          <w:sz w:val="22"/>
          <w:szCs w:val="22"/>
          <w:highlight w:val="none"/>
          <w:lang w:bidi="ar"/>
        </w:rPr>
        <w:t>隧道明洞段（基坑）</w:t>
      </w:r>
    </w:p>
    <w:p w14:paraId="167A636D">
      <w:pPr>
        <w:spacing w:line="360" w:lineRule="auto"/>
        <w:ind w:firstLine="420" w:firstLineChars="200"/>
        <w:rPr>
          <w:highlight w:val="none"/>
        </w:rPr>
      </w:pPr>
      <w:r>
        <w:rPr>
          <w:rFonts w:hint="eastAsia"/>
          <w:highlight w:val="none"/>
          <w:lang w:val="en-US" w:eastAsia="zh-CN"/>
        </w:rPr>
        <w:t>1</w:t>
      </w:r>
      <w:r>
        <w:rPr>
          <w:rFonts w:hint="eastAsia"/>
          <w:highlight w:val="none"/>
          <w:lang w:eastAsia="zh-CN"/>
        </w:rPr>
        <w:t>）</w:t>
      </w:r>
      <w:r>
        <w:rPr>
          <w:rFonts w:hint="eastAsia"/>
          <w:highlight w:val="none"/>
        </w:rPr>
        <w:t>原则</w:t>
      </w:r>
    </w:p>
    <w:p w14:paraId="7E4EF4CA">
      <w:pPr>
        <w:spacing w:line="360" w:lineRule="auto"/>
        <w:ind w:firstLine="420" w:firstLineChars="200"/>
        <w:rPr>
          <w:rFonts w:hint="eastAsia"/>
          <w:highlight w:val="none"/>
        </w:rPr>
      </w:pPr>
      <w:r>
        <w:rPr>
          <w:rFonts w:hint="eastAsia"/>
          <w:highlight w:val="none"/>
        </w:rPr>
        <w:t>确保施工的安全和开挖的顺利进行，在整个施工过程应进行全过程监测，实行动态管理和信息化施工。从面有效的指导施工，及时调整施工挖土方式，确保边坡及周边环境安全。</w:t>
      </w:r>
    </w:p>
    <w:p w14:paraId="23235EF0">
      <w:pPr>
        <w:spacing w:line="360" w:lineRule="auto"/>
        <w:ind w:firstLine="420" w:firstLineChars="200"/>
        <w:rPr>
          <w:highlight w:val="none"/>
        </w:rPr>
      </w:pPr>
      <w:r>
        <w:rPr>
          <w:rFonts w:hint="eastAsia"/>
          <w:highlight w:val="none"/>
          <w:lang w:val="en-US" w:eastAsia="zh-CN"/>
        </w:rPr>
        <w:t>2）</w:t>
      </w:r>
      <w:r>
        <w:rPr>
          <w:rFonts w:hint="eastAsia"/>
          <w:highlight w:val="none"/>
        </w:rPr>
        <w:t>工作内容</w:t>
      </w:r>
    </w:p>
    <w:p w14:paraId="019AB122">
      <w:pPr>
        <w:spacing w:line="360" w:lineRule="auto"/>
        <w:ind w:firstLine="420" w:firstLineChars="200"/>
        <w:rPr>
          <w:highlight w:val="none"/>
        </w:rPr>
      </w:pPr>
      <w:r>
        <w:rPr>
          <w:rFonts w:hint="eastAsia"/>
          <w:highlight w:val="none"/>
        </w:rPr>
        <w:t>地表沉降、土体水平位移、深层土体水平位移、地下水位监测。</w:t>
      </w:r>
    </w:p>
    <w:p w14:paraId="0E25D989">
      <w:pPr>
        <w:spacing w:line="360" w:lineRule="auto"/>
        <w:ind w:firstLine="420" w:firstLineChars="200"/>
        <w:rPr>
          <w:highlight w:val="none"/>
        </w:rPr>
      </w:pPr>
      <w:r>
        <w:rPr>
          <w:rFonts w:hint="eastAsia"/>
          <w:highlight w:val="none"/>
          <w:lang w:val="en-US" w:eastAsia="zh-CN"/>
        </w:rPr>
        <w:t>3</w:t>
      </w:r>
      <w:r>
        <w:rPr>
          <w:rFonts w:hint="eastAsia"/>
          <w:highlight w:val="none"/>
        </w:rPr>
        <w:t>）技术要求</w:t>
      </w:r>
    </w:p>
    <w:p w14:paraId="13464A86">
      <w:pPr>
        <w:spacing w:line="360" w:lineRule="auto"/>
        <w:ind w:firstLine="420" w:firstLineChars="200"/>
        <w:rPr>
          <w:rFonts w:hint="eastAsia"/>
          <w:highlight w:val="none"/>
        </w:rPr>
      </w:pPr>
      <w:r>
        <w:rPr>
          <w:rFonts w:hint="eastAsia"/>
          <w:highlight w:val="none"/>
        </w:rPr>
        <w:t>每项工作内容均为16处，预估每处监测90次，根据施工方案调整。</w:t>
      </w:r>
    </w:p>
    <w:p w14:paraId="74651BA4">
      <w:pPr>
        <w:spacing w:line="360" w:lineRule="auto"/>
        <w:ind w:firstLine="420" w:firstLineChars="200"/>
        <w:rPr>
          <w:rFonts w:hint="eastAsia"/>
          <w:highlight w:val="none"/>
        </w:rPr>
      </w:pPr>
      <w:r>
        <w:rPr>
          <w:rFonts w:hint="eastAsia"/>
          <w:highlight w:val="none"/>
        </w:rPr>
        <w:t>（1）各监测孔（点）埋设前查明基坑周边地下管线情况，特别是电信、电力、煤气、光缆等管线，确保施工人员的安全。</w:t>
      </w:r>
    </w:p>
    <w:p w14:paraId="38A6C7D2">
      <w:pPr>
        <w:spacing w:line="360" w:lineRule="auto"/>
        <w:ind w:firstLine="420" w:firstLineChars="200"/>
        <w:rPr>
          <w:rFonts w:hint="eastAsia"/>
          <w:highlight w:val="none"/>
        </w:rPr>
      </w:pPr>
      <w:r>
        <w:rPr>
          <w:rFonts w:hint="eastAsia"/>
          <w:highlight w:val="none"/>
        </w:rPr>
        <w:t>（2）所有监测点安装埋误完残后，及时绘制监测点位置图，并加强对现场观测点保护，以防监测点被破坏。</w:t>
      </w:r>
    </w:p>
    <w:p w14:paraId="2290F409">
      <w:pPr>
        <w:spacing w:line="360" w:lineRule="auto"/>
        <w:ind w:firstLine="420" w:firstLineChars="200"/>
        <w:rPr>
          <w:rFonts w:hint="eastAsia"/>
          <w:highlight w:val="none"/>
        </w:rPr>
      </w:pPr>
      <w:r>
        <w:rPr>
          <w:rFonts w:hint="eastAsia"/>
          <w:highlight w:val="none"/>
        </w:rPr>
        <w:t>（3）每天数据应整理成有关表格并绘制成相关曲线，如位移沿深度的变化曲线，位移及沉降随时间的变化曲线等。</w:t>
      </w:r>
    </w:p>
    <w:p w14:paraId="39A6198F">
      <w:pPr>
        <w:spacing w:line="360" w:lineRule="auto"/>
        <w:ind w:firstLine="420" w:firstLineChars="200"/>
        <w:rPr>
          <w:rFonts w:hint="eastAsia"/>
          <w:highlight w:val="none"/>
        </w:rPr>
      </w:pPr>
      <w:r>
        <w:rPr>
          <w:rFonts w:hint="eastAsia"/>
          <w:highlight w:val="none"/>
        </w:rPr>
        <w:t>（4）在边坡开挖期间，对上述监测内容应每天测试，并及时将观测资料反馈给建设、设计、监理、施工等单位，以便及时分析处理。</w:t>
      </w:r>
    </w:p>
    <w:p w14:paraId="16A31318">
      <w:pPr>
        <w:spacing w:line="360" w:lineRule="auto"/>
        <w:ind w:firstLine="420" w:firstLineChars="200"/>
        <w:rPr>
          <w:rFonts w:hint="eastAsia"/>
          <w:highlight w:val="none"/>
        </w:rPr>
      </w:pPr>
      <w:r>
        <w:rPr>
          <w:rFonts w:hint="eastAsia"/>
          <w:highlight w:val="none"/>
        </w:rPr>
        <w:t>（5）监测数据如达到或超过报警值及时通报有关各方，以尽快采取有效措施保证工程顺利进行。</w:t>
      </w:r>
    </w:p>
    <w:p w14:paraId="6D7F78F8">
      <w:pPr>
        <w:spacing w:line="360" w:lineRule="auto"/>
        <w:ind w:firstLine="420" w:firstLineChars="200"/>
        <w:rPr>
          <w:highlight w:val="none"/>
        </w:rPr>
      </w:pPr>
      <w:r>
        <w:rPr>
          <w:rFonts w:hint="eastAsia"/>
          <w:highlight w:val="none"/>
        </w:rPr>
        <w:t>（6）工程结束时有完整的监测报告；报告应包括全部监测项目；监测值全过程的发展和变化情况，相应的工况、监测最终结果及评述。</w:t>
      </w:r>
    </w:p>
    <w:p w14:paraId="102781E2">
      <w:pPr>
        <w:spacing w:line="400" w:lineRule="exact"/>
        <w:jc w:val="both"/>
        <w:rPr>
          <w:rFonts w:ascii="宋体" w:hAnsi="宋体" w:cs="宋体"/>
          <w:b/>
          <w:bCs/>
          <w:sz w:val="24"/>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、隧道周围环境敏感点监测</w:t>
      </w:r>
    </w:p>
    <w:p w14:paraId="1509AC2F">
      <w:pPr>
        <w:spacing w:line="360" w:lineRule="auto"/>
        <w:ind w:firstLine="420" w:firstLineChars="200"/>
        <w:rPr>
          <w:highlight w:val="none"/>
        </w:rPr>
      </w:pPr>
      <w:r>
        <w:rPr>
          <w:rFonts w:hint="eastAsia"/>
          <w:highlight w:val="none"/>
          <w:lang w:val="en-US" w:eastAsia="zh-CN"/>
        </w:rPr>
        <w:t>1</w:t>
      </w:r>
      <w:r>
        <w:rPr>
          <w:rFonts w:hint="eastAsia"/>
          <w:highlight w:val="none"/>
          <w:lang w:eastAsia="zh-CN"/>
        </w:rPr>
        <w:t>）</w:t>
      </w:r>
      <w:r>
        <w:rPr>
          <w:rFonts w:hint="eastAsia"/>
          <w:highlight w:val="none"/>
        </w:rPr>
        <w:t>原则</w:t>
      </w:r>
    </w:p>
    <w:p w14:paraId="16498F7D">
      <w:pPr>
        <w:spacing w:line="360" w:lineRule="auto"/>
        <w:ind w:firstLine="420" w:firstLineChars="200"/>
        <w:rPr>
          <w:rFonts w:hint="eastAsia" w:eastAsia="宋体"/>
          <w:highlight w:val="none"/>
          <w:lang w:val="en-US" w:eastAsia="zh-CN"/>
        </w:rPr>
      </w:pPr>
      <w:r>
        <w:rPr>
          <w:rFonts w:hint="eastAsia"/>
          <w:highlight w:val="none"/>
        </w:rPr>
        <w:t>监测隧道开挖过程对周边环境如重要的建（构）筑物、既有结构的影响程度，保证周边环境的安全。</w:t>
      </w:r>
    </w:p>
    <w:p w14:paraId="75E12692">
      <w:pPr>
        <w:spacing w:line="360" w:lineRule="auto"/>
        <w:ind w:firstLine="420" w:firstLineChars="200"/>
        <w:rPr>
          <w:highlight w:val="none"/>
        </w:rPr>
      </w:pPr>
      <w:r>
        <w:rPr>
          <w:rFonts w:hint="eastAsia"/>
          <w:highlight w:val="none"/>
          <w:lang w:val="en-US" w:eastAsia="zh-CN"/>
        </w:rPr>
        <w:t>2）</w:t>
      </w:r>
      <w:r>
        <w:rPr>
          <w:rFonts w:hint="eastAsia"/>
          <w:highlight w:val="none"/>
        </w:rPr>
        <w:t>工作内容</w:t>
      </w:r>
    </w:p>
    <w:p w14:paraId="5C5200B0">
      <w:pPr>
        <w:spacing w:line="360" w:lineRule="auto"/>
        <w:ind w:firstLine="420" w:firstLineChars="200"/>
        <w:rPr>
          <w:rFonts w:hint="eastAsia"/>
          <w:highlight w:val="none"/>
        </w:rPr>
      </w:pPr>
      <w:r>
        <w:rPr>
          <w:rFonts w:hint="eastAsia"/>
          <w:highlight w:val="none"/>
        </w:rPr>
        <w:t>建（构）筑物外观现状检测、倾斜检测、沉降检测、爆破振动速度。</w:t>
      </w:r>
    </w:p>
    <w:p w14:paraId="1E308184">
      <w:pPr>
        <w:spacing w:line="360" w:lineRule="auto"/>
        <w:ind w:firstLine="420" w:firstLineChars="200"/>
        <w:rPr>
          <w:highlight w:val="none"/>
        </w:rPr>
      </w:pPr>
      <w:r>
        <w:rPr>
          <w:rFonts w:hint="eastAsia"/>
          <w:highlight w:val="none"/>
          <w:lang w:val="en-US" w:eastAsia="zh-CN"/>
        </w:rPr>
        <w:t>3</w:t>
      </w:r>
      <w:r>
        <w:rPr>
          <w:rFonts w:hint="eastAsia"/>
          <w:highlight w:val="none"/>
        </w:rPr>
        <w:t>）技术要求</w:t>
      </w:r>
    </w:p>
    <w:p w14:paraId="3845720D">
      <w:pPr>
        <w:spacing w:line="360" w:lineRule="auto"/>
        <w:ind w:firstLine="420" w:firstLineChars="200"/>
        <w:rPr>
          <w:highlight w:val="none"/>
        </w:rPr>
      </w:pPr>
      <w:r>
        <w:rPr>
          <w:rFonts w:hint="eastAsia"/>
          <w:highlight w:val="none"/>
        </w:rPr>
        <w:t>监测建筑物：康养中心4幢，现状农居点25幢，村集体用地1幢，卧龙公馆1幢，信号塔2座，市政园林管理中心2幢、传媒集团机房2幢、常山县人民医院4幢考虑（面积较大）、新月湾小区8-9幢考虑。</w:t>
      </w:r>
    </w:p>
    <w:p w14:paraId="344F3E0E">
      <w:pPr>
        <w:spacing w:line="360" w:lineRule="auto"/>
        <w:ind w:firstLine="420" w:firstLineChars="200"/>
        <w:rPr>
          <w:highlight w:val="none"/>
        </w:rPr>
      </w:pPr>
      <w:r>
        <w:rPr>
          <w:rFonts w:hint="eastAsia"/>
          <w:highlight w:val="none"/>
        </w:rPr>
        <w:t>（1）建（构）筑物外观现状检测：在隧道施工前、施工后，分别对建（构）筑物的外观现状进行拍照记录，并对存在的明显裂缝进行标记，测量裂缝宽度。</w:t>
      </w:r>
    </w:p>
    <w:p w14:paraId="7C822E06">
      <w:pPr>
        <w:spacing w:line="360" w:lineRule="auto"/>
        <w:ind w:firstLine="420" w:firstLineChars="200"/>
        <w:rPr>
          <w:highlight w:val="none"/>
        </w:rPr>
      </w:pPr>
      <w:r>
        <w:rPr>
          <w:rFonts w:hint="eastAsia"/>
          <w:highlight w:val="none"/>
        </w:rPr>
        <w:t>（2）倾斜检测：常规房子四角上下各布置一个沉降测点，房屋对角布设2个倾斜测点，长度超过50米的房屋，每25-50米多增加一个测点。</w:t>
      </w:r>
    </w:p>
    <w:p w14:paraId="30A31FE6">
      <w:pPr>
        <w:spacing w:line="360" w:lineRule="auto"/>
        <w:ind w:firstLine="420" w:firstLineChars="200"/>
        <w:rPr>
          <w:highlight w:val="none"/>
        </w:rPr>
      </w:pPr>
      <w:r>
        <w:rPr>
          <w:rFonts w:hint="eastAsia"/>
          <w:highlight w:val="none"/>
        </w:rPr>
        <w:t>（3）沉降检测：常规房子四角上下各布置一个测点，长度超过50米的房屋，每25-50米多增加一个测点</w:t>
      </w:r>
    </w:p>
    <w:p w14:paraId="56F1ED9B">
      <w:pPr>
        <w:spacing w:line="360" w:lineRule="auto"/>
        <w:ind w:firstLine="420" w:firstLineChars="200"/>
        <w:rPr>
          <w:rFonts w:hint="eastAsia"/>
          <w:highlight w:val="none"/>
        </w:rPr>
      </w:pPr>
      <w:r>
        <w:rPr>
          <w:rFonts w:hint="eastAsia"/>
          <w:highlight w:val="none"/>
        </w:rPr>
        <w:t>（4）爆破振动速度监测为根据相应安全判据和允许标准,对爆破施工工艺提出改进建议。爆破振速监测点根据现场实际情况在需保护的建(构)筑物上离爆破点最近点或结构薄弱部位上，爆破振动速度测试每个测点一般布置3个测试方向（或三分量传感器）。</w:t>
      </w:r>
    </w:p>
    <w:p w14:paraId="275B3BD2">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施工开始前出具</w:t>
      </w:r>
      <w:r>
        <w:rPr>
          <w:rFonts w:hint="eastAsia"/>
          <w:highlight w:val="none"/>
        </w:rPr>
        <w:t>监测报告</w:t>
      </w:r>
      <w:r>
        <w:rPr>
          <w:rFonts w:hint="eastAsia"/>
          <w:highlight w:val="none"/>
          <w:lang w:eastAsia="zh-CN"/>
        </w:rPr>
        <w:t>（</w:t>
      </w:r>
      <w:r>
        <w:rPr>
          <w:rFonts w:hint="eastAsia"/>
          <w:highlight w:val="none"/>
          <w:lang w:val="en-US" w:eastAsia="zh-CN"/>
        </w:rPr>
        <w:t>包含外观现状、倾斜、沉降</w:t>
      </w:r>
      <w:r>
        <w:rPr>
          <w:rFonts w:hint="eastAsia"/>
          <w:highlight w:val="none"/>
          <w:lang w:eastAsia="zh-CN"/>
        </w:rPr>
        <w:t>）</w:t>
      </w:r>
      <w:r>
        <w:rPr>
          <w:rFonts w:hint="eastAsia"/>
          <w:highlight w:val="none"/>
        </w:rPr>
        <w:t>；</w:t>
      </w:r>
      <w:r>
        <w:rPr>
          <w:rFonts w:hint="eastAsia"/>
          <w:highlight w:val="none"/>
          <w:lang w:val="en-US" w:eastAsia="zh-CN"/>
        </w:rPr>
        <w:t>施工过程中定期对建筑物的倾斜与沉降，</w:t>
      </w:r>
      <w:r>
        <w:rPr>
          <w:rFonts w:hint="eastAsia"/>
          <w:highlight w:val="none"/>
        </w:rPr>
        <w:t>爆破振动速度</w:t>
      </w:r>
      <w:r>
        <w:rPr>
          <w:rFonts w:hint="eastAsia"/>
          <w:highlight w:val="none"/>
          <w:lang w:val="en-US" w:eastAsia="zh-CN"/>
        </w:rPr>
        <w:t>进行观测并出去报告；施工完成后出具最终</w:t>
      </w:r>
      <w:r>
        <w:rPr>
          <w:rFonts w:hint="eastAsia"/>
          <w:highlight w:val="none"/>
        </w:rPr>
        <w:t>监测报告</w:t>
      </w:r>
      <w:r>
        <w:rPr>
          <w:rFonts w:hint="eastAsia"/>
          <w:highlight w:val="none"/>
          <w:lang w:eastAsia="zh-CN"/>
        </w:rPr>
        <w:t>（</w:t>
      </w:r>
      <w:r>
        <w:rPr>
          <w:rFonts w:hint="eastAsia"/>
          <w:highlight w:val="none"/>
          <w:lang w:val="en-US" w:eastAsia="zh-CN"/>
        </w:rPr>
        <w:t>包含外观现状、倾斜、沉降</w:t>
      </w:r>
      <w:r>
        <w:rPr>
          <w:rFonts w:hint="eastAsia"/>
          <w:highlight w:val="none"/>
          <w:lang w:eastAsia="zh-CN"/>
        </w:rPr>
        <w:t>），</w:t>
      </w:r>
      <w:r>
        <w:rPr>
          <w:rFonts w:hint="eastAsia"/>
          <w:highlight w:val="none"/>
          <w:lang w:val="en-US" w:eastAsia="zh-CN"/>
        </w:rPr>
        <w:t>并对数据进行整理、分析，对</w:t>
      </w:r>
      <w:r>
        <w:rPr>
          <w:rFonts w:hint="eastAsia"/>
          <w:highlight w:val="none"/>
        </w:rPr>
        <w:t>全过程的发展和变化情况，相应的工况、监测最终结果及评述</w:t>
      </w:r>
      <w:r>
        <w:rPr>
          <w:rFonts w:hint="eastAsia"/>
          <w:highlight w:val="none"/>
          <w:lang w:eastAsia="zh-CN"/>
        </w:rPr>
        <w:t>，</w:t>
      </w:r>
      <w:r>
        <w:rPr>
          <w:rFonts w:hint="eastAsia"/>
          <w:highlight w:val="none"/>
          <w:lang w:val="en-US" w:eastAsia="zh-CN"/>
        </w:rPr>
        <w:t>判断隧道施工是否对建筑物造成影响。</w:t>
      </w:r>
    </w:p>
    <w:p w14:paraId="6916A140">
      <w:pPr>
        <w:numPr>
          <w:ilvl w:val="0"/>
          <w:numId w:val="0"/>
        </w:numPr>
        <w:ind w:firstLine="422" w:firstLineChars="200"/>
        <w:rPr>
          <w:rFonts w:hint="eastAsia"/>
          <w:b/>
          <w:bCs/>
          <w:sz w:val="21"/>
          <w:szCs w:val="21"/>
          <w:highlight w:val="none"/>
          <w:lang w:eastAsia="zh-CN"/>
        </w:rPr>
      </w:pPr>
      <w:r>
        <w:rPr>
          <w:rFonts w:hint="eastAsia"/>
          <w:b/>
          <w:bCs/>
          <w:sz w:val="21"/>
          <w:szCs w:val="21"/>
          <w:highlight w:val="none"/>
          <w:lang w:val="en-US" w:eastAsia="zh-CN"/>
        </w:rPr>
        <w:t>五</w:t>
      </w:r>
      <w:r>
        <w:rPr>
          <w:rFonts w:hint="eastAsia"/>
          <w:b/>
          <w:bCs/>
          <w:sz w:val="21"/>
          <w:szCs w:val="21"/>
          <w:highlight w:val="none"/>
          <w:lang w:eastAsia="zh-CN"/>
        </w:rPr>
        <w:t>、采购清单及数量</w:t>
      </w:r>
    </w:p>
    <w:bookmarkEnd w:id="102"/>
    <w:bookmarkEnd w:id="103"/>
    <w:bookmarkEnd w:id="104"/>
    <w:bookmarkEnd w:id="105"/>
    <w:bookmarkEnd w:id="106"/>
    <w:bookmarkEnd w:id="135"/>
    <w:bookmarkEnd w:id="136"/>
    <w:bookmarkEnd w:id="137"/>
    <w:tbl>
      <w:tblPr>
        <w:tblStyle w:val="25"/>
        <w:tblW w:w="10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085"/>
        <w:gridCol w:w="652"/>
        <w:gridCol w:w="1558"/>
        <w:gridCol w:w="1442"/>
        <w:gridCol w:w="1372"/>
        <w:gridCol w:w="3128"/>
      </w:tblGrid>
      <w:tr w14:paraId="1899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DC9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bookmarkStart w:id="138" w:name="_Toc487209067"/>
            <w:r>
              <w:rPr>
                <w:rFonts w:hint="eastAsia" w:ascii="宋体" w:hAnsi="宋体" w:eastAsia="宋体" w:cs="宋体"/>
                <w:b/>
                <w:bCs/>
                <w:i w:val="0"/>
                <w:iCs w:val="0"/>
                <w:color w:val="auto"/>
                <w:kern w:val="0"/>
                <w:sz w:val="22"/>
                <w:szCs w:val="22"/>
                <w:highlight w:val="none"/>
                <w:u w:val="none"/>
                <w:lang w:val="en-US" w:eastAsia="zh-CN" w:bidi="ar"/>
              </w:rPr>
              <w:t>位置名称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8A9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检测项目/部位</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AB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检测参数</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B9E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检测数量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C9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002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其他要求</w:t>
            </w:r>
          </w:p>
        </w:tc>
      </w:tr>
      <w:tr w14:paraId="50DD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EF9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左洞824.73</w:t>
            </w:r>
          </w:p>
          <w:p w14:paraId="783831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右洞816.16</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97D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应测项目</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16F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后开挖隧道爆破震速测试（小净距、连拱隧道必测）</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8E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A9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断面</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C4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每20m一个断面</w:t>
            </w:r>
          </w:p>
        </w:tc>
      </w:tr>
      <w:tr w14:paraId="3237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9711">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BE29">
            <w:pPr>
              <w:jc w:val="center"/>
              <w:rPr>
                <w:rFonts w:hint="eastAsia" w:ascii="宋体" w:hAnsi="宋体" w:eastAsia="宋体" w:cs="宋体"/>
                <w:i w:val="0"/>
                <w:iCs w:val="0"/>
                <w:color w:val="auto"/>
                <w:sz w:val="22"/>
                <w:szCs w:val="22"/>
                <w:highlight w:val="none"/>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5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地质及支护状态观察</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B1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断面</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9D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每次爆破后及初期支护后</w:t>
            </w:r>
          </w:p>
        </w:tc>
      </w:tr>
      <w:tr w14:paraId="53B9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1193">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014FE">
            <w:pPr>
              <w:jc w:val="center"/>
              <w:rPr>
                <w:rFonts w:hint="eastAsia" w:ascii="宋体" w:hAnsi="宋体" w:eastAsia="宋体" w:cs="宋体"/>
                <w:i w:val="0"/>
                <w:iCs w:val="0"/>
                <w:color w:val="auto"/>
                <w:sz w:val="22"/>
                <w:szCs w:val="22"/>
                <w:highlight w:val="none"/>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04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周边位移（水平净空收敛）</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D6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0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断面</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CC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每5-50m一个断面，每个断面2-3对测点</w:t>
            </w:r>
          </w:p>
        </w:tc>
      </w:tr>
      <w:tr w14:paraId="7B5F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672B">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01EE">
            <w:pPr>
              <w:jc w:val="center"/>
              <w:rPr>
                <w:rFonts w:hint="eastAsia" w:ascii="宋体" w:hAnsi="宋体" w:eastAsia="宋体" w:cs="宋体"/>
                <w:i w:val="0"/>
                <w:iCs w:val="0"/>
                <w:color w:val="auto"/>
                <w:sz w:val="22"/>
                <w:szCs w:val="22"/>
                <w:highlight w:val="none"/>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D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拱顶下沉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3D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8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断面</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C8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每10-50m一个断面，每个断面2-10对测点</w:t>
            </w:r>
          </w:p>
        </w:tc>
      </w:tr>
      <w:tr w14:paraId="56B4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B802A">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DA4CD">
            <w:pPr>
              <w:jc w:val="center"/>
              <w:rPr>
                <w:rFonts w:hint="eastAsia" w:ascii="宋体" w:hAnsi="宋体" w:eastAsia="宋体" w:cs="宋体"/>
                <w:i w:val="0"/>
                <w:iCs w:val="0"/>
                <w:color w:val="auto"/>
                <w:sz w:val="22"/>
                <w:szCs w:val="22"/>
                <w:highlight w:val="none"/>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F2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地表下沉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BE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11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断面</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58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洞室中心线上，并与洞轴线正交面平面的一定范围内布设必要数量测点</w:t>
            </w:r>
          </w:p>
        </w:tc>
      </w:tr>
      <w:tr w14:paraId="2C26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E972">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8B8BA">
            <w:pPr>
              <w:jc w:val="center"/>
              <w:rPr>
                <w:rFonts w:hint="eastAsia" w:ascii="宋体" w:hAnsi="宋体" w:eastAsia="宋体" w:cs="宋体"/>
                <w:i w:val="0"/>
                <w:iCs w:val="0"/>
                <w:color w:val="auto"/>
                <w:sz w:val="22"/>
                <w:szCs w:val="22"/>
                <w:highlight w:val="none"/>
                <w:u w:val="none"/>
              </w:rPr>
            </w:pP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459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超前地质预报</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78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长距离（TSP等）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16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DE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77F">
            <w:pPr>
              <w:jc w:val="center"/>
              <w:rPr>
                <w:rFonts w:hint="eastAsia" w:ascii="宋体" w:hAnsi="宋体" w:eastAsia="宋体" w:cs="宋体"/>
                <w:i w:val="0"/>
                <w:iCs w:val="0"/>
                <w:color w:val="auto"/>
                <w:sz w:val="22"/>
                <w:szCs w:val="22"/>
                <w:highlight w:val="none"/>
                <w:u w:val="none"/>
              </w:rPr>
            </w:pPr>
          </w:p>
        </w:tc>
      </w:tr>
      <w:tr w14:paraId="67E6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0AE5">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78ED">
            <w:pPr>
              <w:jc w:val="center"/>
              <w:rPr>
                <w:rFonts w:hint="eastAsia" w:ascii="宋体" w:hAnsi="宋体" w:eastAsia="宋体" w:cs="宋体"/>
                <w:i w:val="0"/>
                <w:iCs w:val="0"/>
                <w:color w:val="auto"/>
                <w:sz w:val="22"/>
                <w:szCs w:val="22"/>
                <w:highlight w:val="none"/>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99469">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11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短距离（地质雷达）</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E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14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68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每次监测30m，相互重叠5m</w:t>
            </w:r>
          </w:p>
        </w:tc>
      </w:tr>
      <w:tr w14:paraId="0864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54318">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ED7AB">
            <w:pPr>
              <w:jc w:val="center"/>
              <w:rPr>
                <w:rFonts w:hint="eastAsia" w:ascii="宋体" w:hAnsi="宋体" w:eastAsia="宋体" w:cs="宋体"/>
                <w:i w:val="0"/>
                <w:iCs w:val="0"/>
                <w:color w:val="auto"/>
                <w:sz w:val="22"/>
                <w:szCs w:val="22"/>
                <w:highlight w:val="none"/>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C4B7">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AF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中距离（瞬变电磁等）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EA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D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5E09">
            <w:pPr>
              <w:jc w:val="center"/>
              <w:rPr>
                <w:rFonts w:hint="eastAsia" w:ascii="宋体" w:hAnsi="宋体" w:eastAsia="宋体" w:cs="宋体"/>
                <w:i w:val="0"/>
                <w:iCs w:val="0"/>
                <w:color w:val="auto"/>
                <w:sz w:val="22"/>
                <w:szCs w:val="22"/>
                <w:highlight w:val="none"/>
                <w:u w:val="none"/>
              </w:rPr>
            </w:pPr>
          </w:p>
        </w:tc>
      </w:tr>
      <w:tr w14:paraId="6C6E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DC1B">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0CF59">
            <w:pPr>
              <w:jc w:val="center"/>
              <w:rPr>
                <w:rFonts w:hint="eastAsia" w:ascii="宋体" w:hAnsi="宋体" w:eastAsia="宋体" w:cs="宋体"/>
                <w:i w:val="0"/>
                <w:iCs w:val="0"/>
                <w:color w:val="auto"/>
                <w:sz w:val="22"/>
                <w:szCs w:val="22"/>
                <w:highlight w:val="none"/>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0EDC7">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D1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超前钻探</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9B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D77">
            <w:pPr>
              <w:jc w:val="center"/>
              <w:rPr>
                <w:rFonts w:hint="eastAsia" w:ascii="宋体" w:hAnsi="宋体" w:eastAsia="宋体" w:cs="宋体"/>
                <w:i w:val="0"/>
                <w:iCs w:val="0"/>
                <w:color w:val="auto"/>
                <w:sz w:val="22"/>
                <w:szCs w:val="22"/>
                <w:highlight w:val="none"/>
                <w:u w:val="none"/>
              </w:rPr>
            </w:pPr>
          </w:p>
        </w:tc>
      </w:tr>
      <w:tr w14:paraId="5135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0CD9">
            <w:pPr>
              <w:jc w:val="center"/>
              <w:rPr>
                <w:rFonts w:hint="eastAsia" w:ascii="宋体" w:hAnsi="宋体" w:eastAsia="宋体" w:cs="宋体"/>
                <w:i w:val="0"/>
                <w:iCs w:val="0"/>
                <w:color w:val="auto"/>
                <w:sz w:val="22"/>
                <w:szCs w:val="22"/>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3199A">
            <w:pPr>
              <w:jc w:val="center"/>
              <w:rPr>
                <w:rFonts w:hint="eastAsia" w:ascii="宋体" w:hAnsi="宋体" w:eastAsia="宋体" w:cs="宋体"/>
                <w:i w:val="0"/>
                <w:iCs w:val="0"/>
                <w:color w:val="auto"/>
                <w:sz w:val="22"/>
                <w:szCs w:val="22"/>
                <w:highlight w:val="none"/>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8B087">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B6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综合地质分析</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BB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F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8F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每次监测30m，相互重叠5m</w:t>
            </w:r>
          </w:p>
        </w:tc>
      </w:tr>
      <w:tr w14:paraId="77B6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DE47">
            <w:pPr>
              <w:jc w:val="center"/>
              <w:rPr>
                <w:rFonts w:hint="eastAsia" w:ascii="宋体" w:hAnsi="宋体" w:eastAsia="宋体" w:cs="宋体"/>
                <w:i w:val="0"/>
                <w:iCs w:val="0"/>
                <w:color w:val="auto"/>
                <w:sz w:val="22"/>
                <w:szCs w:val="22"/>
                <w:highlight w:val="none"/>
                <w:u w:val="none"/>
              </w:rPr>
            </w:pPr>
          </w:p>
        </w:tc>
        <w:tc>
          <w:tcPr>
            <w:tcW w:w="1737" w:type="dxa"/>
            <w:gridSpan w:val="2"/>
            <w:vMerge w:val="restart"/>
            <w:tcBorders>
              <w:top w:val="single" w:color="000000" w:sz="4" w:space="0"/>
              <w:left w:val="single" w:color="000000" w:sz="4" w:space="0"/>
              <w:right w:val="single" w:color="000000" w:sz="4" w:space="0"/>
            </w:tcBorders>
            <w:shd w:val="clear" w:color="auto" w:fill="auto"/>
            <w:vAlign w:val="center"/>
          </w:tcPr>
          <w:p w14:paraId="54F31D74">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隧道明洞段（基坑）</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1E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地表沉降</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A5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点•次</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DF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共计16处，预估每处监测90次，根据施工方案调整</w:t>
            </w:r>
          </w:p>
        </w:tc>
      </w:tr>
      <w:tr w14:paraId="6E63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7280D">
            <w:pPr>
              <w:jc w:val="center"/>
              <w:rPr>
                <w:rFonts w:hint="eastAsia" w:ascii="宋体" w:hAnsi="宋体" w:eastAsia="宋体" w:cs="宋体"/>
                <w:i w:val="0"/>
                <w:iCs w:val="0"/>
                <w:color w:val="auto"/>
                <w:sz w:val="22"/>
                <w:szCs w:val="22"/>
                <w:highlight w:val="none"/>
                <w:u w:val="none"/>
              </w:rPr>
            </w:pPr>
          </w:p>
        </w:tc>
        <w:tc>
          <w:tcPr>
            <w:tcW w:w="1737" w:type="dxa"/>
            <w:gridSpan w:val="2"/>
            <w:vMerge w:val="continue"/>
            <w:tcBorders>
              <w:left w:val="single" w:color="000000" w:sz="4" w:space="0"/>
              <w:right w:val="single" w:color="000000" w:sz="4" w:space="0"/>
            </w:tcBorders>
            <w:shd w:val="clear" w:color="auto" w:fill="auto"/>
            <w:vAlign w:val="center"/>
          </w:tcPr>
          <w:p w14:paraId="7FA2C5C8">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AD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地表</w:t>
            </w:r>
            <w:r>
              <w:rPr>
                <w:rFonts w:hint="eastAsia" w:ascii="宋体" w:hAnsi="宋体" w:eastAsia="宋体" w:cs="宋体"/>
                <w:i w:val="0"/>
                <w:iCs w:val="0"/>
                <w:color w:val="auto"/>
                <w:kern w:val="0"/>
                <w:sz w:val="22"/>
                <w:szCs w:val="22"/>
                <w:highlight w:val="none"/>
                <w:u w:val="none"/>
                <w:lang w:val="en-US" w:eastAsia="zh-CN" w:bidi="ar"/>
              </w:rPr>
              <w:t>土体水平位移</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E8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D2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点•次</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FE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共计16处，预估每处监测90次，根据施工方案调整</w:t>
            </w:r>
          </w:p>
        </w:tc>
      </w:tr>
      <w:tr w14:paraId="1444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AC74">
            <w:pPr>
              <w:jc w:val="center"/>
              <w:rPr>
                <w:rFonts w:hint="eastAsia" w:ascii="宋体" w:hAnsi="宋体" w:eastAsia="宋体" w:cs="宋体"/>
                <w:i w:val="0"/>
                <w:iCs w:val="0"/>
                <w:color w:val="auto"/>
                <w:sz w:val="22"/>
                <w:szCs w:val="22"/>
                <w:highlight w:val="none"/>
                <w:u w:val="none"/>
              </w:rPr>
            </w:pPr>
          </w:p>
        </w:tc>
        <w:tc>
          <w:tcPr>
            <w:tcW w:w="1737" w:type="dxa"/>
            <w:gridSpan w:val="2"/>
            <w:vMerge w:val="continue"/>
            <w:tcBorders>
              <w:left w:val="single" w:color="000000" w:sz="4" w:space="0"/>
              <w:right w:val="single" w:color="000000" w:sz="4" w:space="0"/>
            </w:tcBorders>
            <w:shd w:val="clear" w:color="auto" w:fill="auto"/>
            <w:vAlign w:val="center"/>
          </w:tcPr>
          <w:p w14:paraId="7DA1E560">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6C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深层土体水平位移</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5A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A0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米•次</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63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共计16处，预估每处25米，监测90次，根据施工方案调整</w:t>
            </w:r>
          </w:p>
        </w:tc>
      </w:tr>
      <w:tr w14:paraId="23BF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7BBAA">
            <w:pPr>
              <w:jc w:val="center"/>
              <w:rPr>
                <w:rFonts w:hint="eastAsia" w:ascii="宋体" w:hAnsi="宋体" w:eastAsia="宋体" w:cs="宋体"/>
                <w:i w:val="0"/>
                <w:iCs w:val="0"/>
                <w:color w:val="auto"/>
                <w:sz w:val="22"/>
                <w:szCs w:val="22"/>
                <w:highlight w:val="none"/>
                <w:u w:val="none"/>
              </w:rPr>
            </w:pPr>
          </w:p>
        </w:tc>
        <w:tc>
          <w:tcPr>
            <w:tcW w:w="1737" w:type="dxa"/>
            <w:gridSpan w:val="2"/>
            <w:vMerge w:val="continue"/>
            <w:tcBorders>
              <w:left w:val="single" w:color="000000" w:sz="4" w:space="0"/>
              <w:bottom w:val="single" w:color="000000" w:sz="4" w:space="0"/>
              <w:right w:val="single" w:color="000000" w:sz="4" w:space="0"/>
            </w:tcBorders>
            <w:shd w:val="clear" w:color="auto" w:fill="auto"/>
            <w:vAlign w:val="center"/>
          </w:tcPr>
          <w:p w14:paraId="2DCBC702">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A9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地下水位监测</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D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9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点•次</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5C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共计16处，预估每处</w:t>
            </w:r>
            <w:r>
              <w:rPr>
                <w:rFonts w:hint="eastAsia" w:ascii="宋体" w:hAnsi="宋体" w:cs="宋体"/>
                <w:i w:val="0"/>
                <w:iCs w:val="0"/>
                <w:color w:val="auto"/>
                <w:kern w:val="0"/>
                <w:sz w:val="22"/>
                <w:szCs w:val="22"/>
                <w:highlight w:val="none"/>
                <w:u w:val="none"/>
                <w:lang w:val="en-US" w:eastAsia="zh-CN" w:bidi="ar"/>
              </w:rPr>
              <w:t>监测</w:t>
            </w:r>
            <w:r>
              <w:rPr>
                <w:rFonts w:hint="eastAsia" w:ascii="宋体" w:hAnsi="宋体" w:eastAsia="宋体" w:cs="宋体"/>
                <w:i w:val="0"/>
                <w:iCs w:val="0"/>
                <w:color w:val="auto"/>
                <w:kern w:val="0"/>
                <w:sz w:val="22"/>
                <w:szCs w:val="22"/>
                <w:highlight w:val="none"/>
                <w:u w:val="none"/>
                <w:lang w:val="en-US" w:eastAsia="zh-CN" w:bidi="ar"/>
              </w:rPr>
              <w:t>90次，根据施工方案调整</w:t>
            </w:r>
          </w:p>
        </w:tc>
      </w:tr>
      <w:tr w14:paraId="00D8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A091">
            <w:pPr>
              <w:jc w:val="center"/>
              <w:rPr>
                <w:rFonts w:hint="eastAsia" w:ascii="宋体" w:hAnsi="宋体" w:eastAsia="宋体" w:cs="宋体"/>
                <w:i w:val="0"/>
                <w:iCs w:val="0"/>
                <w:color w:val="auto"/>
                <w:sz w:val="22"/>
                <w:szCs w:val="22"/>
                <w:highlight w:val="none"/>
                <w:u w:val="none"/>
              </w:rPr>
            </w:pPr>
          </w:p>
        </w:tc>
        <w:tc>
          <w:tcPr>
            <w:tcW w:w="1737" w:type="dxa"/>
            <w:gridSpan w:val="2"/>
            <w:vMerge w:val="restart"/>
            <w:tcBorders>
              <w:left w:val="single" w:color="000000" w:sz="4" w:space="0"/>
              <w:right w:val="single" w:color="000000" w:sz="4" w:space="0"/>
            </w:tcBorders>
            <w:shd w:val="clear" w:color="auto" w:fill="auto"/>
            <w:vAlign w:val="center"/>
          </w:tcPr>
          <w:p w14:paraId="343F8BBE">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隧道周围环境敏感点监测</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DC7B">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kern w:val="0"/>
                <w:sz w:val="22"/>
                <w:szCs w:val="22"/>
                <w:highlight w:val="none"/>
                <w:lang w:bidi="ar"/>
              </w:rPr>
              <w:t>建（构）筑物外</w:t>
            </w:r>
            <w:r>
              <w:rPr>
                <w:rFonts w:hint="eastAsia" w:ascii="宋体" w:hAnsi="宋体" w:cs="宋体"/>
                <w:color w:val="000000"/>
                <w:kern w:val="0"/>
                <w:sz w:val="22"/>
                <w:szCs w:val="22"/>
                <w:highlight w:val="none"/>
                <w:lang w:bidi="ar"/>
              </w:rPr>
              <w:t>观现状检测</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A36C">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bidi="ar"/>
              </w:rPr>
              <w:t>100（施工前、施工后各50幢/座）</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9509">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bidi="ar"/>
              </w:rPr>
              <w:t>幢/座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150E">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bidi="ar"/>
              </w:rPr>
              <w:t>康养中心4幢，现状农居点25幢，村集体用地1幢，卧龙公馆1幢，信号塔2座，市政园林管理中心2幢、传媒集团机房2幢、常山县人民医院4幢考虑（面积较大）、新月湾小区8-9幢考虑。在隧道施工前、施工后，分别对建（构）筑物的外观现状进行拍照记录，并对存在的明显裂缝进行标记，测量裂缝宽度。</w:t>
            </w:r>
          </w:p>
        </w:tc>
      </w:tr>
      <w:tr w14:paraId="30F5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5A56">
            <w:pPr>
              <w:jc w:val="center"/>
              <w:rPr>
                <w:rFonts w:hint="eastAsia" w:ascii="宋体" w:hAnsi="宋体" w:eastAsia="宋体" w:cs="宋体"/>
                <w:i w:val="0"/>
                <w:iCs w:val="0"/>
                <w:color w:val="auto"/>
                <w:sz w:val="22"/>
                <w:szCs w:val="22"/>
                <w:highlight w:val="none"/>
                <w:u w:val="none"/>
              </w:rPr>
            </w:pPr>
          </w:p>
        </w:tc>
        <w:tc>
          <w:tcPr>
            <w:tcW w:w="1737" w:type="dxa"/>
            <w:gridSpan w:val="2"/>
            <w:vMerge w:val="continue"/>
            <w:tcBorders>
              <w:left w:val="single" w:color="000000" w:sz="4" w:space="0"/>
              <w:right w:val="single" w:color="000000" w:sz="4" w:space="0"/>
            </w:tcBorders>
            <w:shd w:val="clear" w:color="auto" w:fill="auto"/>
            <w:vAlign w:val="center"/>
          </w:tcPr>
          <w:p w14:paraId="09648DB5">
            <w:pPr>
              <w:jc w:val="center"/>
              <w:rPr>
                <w:rFonts w:hint="eastAsia" w:ascii="宋体" w:hAnsi="宋体" w:eastAsia="宋体" w:cs="宋体"/>
                <w:i w:val="0"/>
                <w:iCs w:val="0"/>
                <w:color w:val="auto"/>
                <w:sz w:val="22"/>
                <w:szCs w:val="22"/>
                <w:highlight w:val="none"/>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BB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倾斜</w:t>
            </w:r>
            <w:r>
              <w:rPr>
                <w:rFonts w:hint="eastAsia" w:ascii="宋体" w:hAnsi="宋体" w:cs="宋体"/>
                <w:i w:val="0"/>
                <w:iCs w:val="0"/>
                <w:color w:val="auto"/>
                <w:kern w:val="0"/>
                <w:sz w:val="22"/>
                <w:szCs w:val="22"/>
                <w:highlight w:val="none"/>
                <w:u w:val="none"/>
                <w:lang w:val="en-US" w:eastAsia="zh-CN" w:bidi="ar"/>
              </w:rPr>
              <w:t>监测</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4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D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70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康养中心4幢，现状农居点25幢，村集体用地1幢，卧龙公馆1幢，信号塔2座，市政园林管理中心2幢、传媒集团机房2幢、常山县人民医院4幢考虑（面积较大）、新月湾小区8-9幢考虑。</w:t>
            </w:r>
            <w:r>
              <w:rPr>
                <w:rStyle w:val="85"/>
                <w:color w:val="auto"/>
                <w:highlight w:val="none"/>
                <w:lang w:val="en-US" w:eastAsia="zh-CN" w:bidi="ar"/>
              </w:rPr>
              <w:t>包含安装及耗材</w:t>
            </w:r>
            <w:r>
              <w:rPr>
                <w:rFonts w:hint="eastAsia" w:ascii="宋体" w:hAnsi="宋体" w:eastAsia="宋体" w:cs="宋体"/>
                <w:i w:val="0"/>
                <w:iCs w:val="0"/>
                <w:color w:val="auto"/>
                <w:kern w:val="0"/>
                <w:sz w:val="22"/>
                <w:szCs w:val="22"/>
                <w:highlight w:val="none"/>
                <w:u w:val="none"/>
                <w:lang w:val="en-US" w:eastAsia="zh-CN" w:bidi="ar"/>
              </w:rPr>
              <w:t>。常规房子四角上下各布置一个沉降测点，房屋对角布设2个倾斜测点，长度超过50米的房屋，每25-50米多增加一个测点</w:t>
            </w:r>
          </w:p>
        </w:tc>
      </w:tr>
      <w:tr w14:paraId="2B92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44AB">
            <w:pPr>
              <w:jc w:val="center"/>
              <w:rPr>
                <w:rFonts w:hint="eastAsia" w:ascii="宋体" w:hAnsi="宋体" w:eastAsia="宋体" w:cs="宋体"/>
                <w:i w:val="0"/>
                <w:iCs w:val="0"/>
                <w:color w:val="auto"/>
                <w:sz w:val="22"/>
                <w:szCs w:val="22"/>
                <w:highlight w:val="none"/>
                <w:u w:val="none"/>
              </w:rPr>
            </w:pPr>
          </w:p>
        </w:tc>
        <w:tc>
          <w:tcPr>
            <w:tcW w:w="1085" w:type="dxa"/>
            <w:vMerge w:val="restart"/>
            <w:tcBorders>
              <w:left w:val="single" w:color="000000" w:sz="4" w:space="0"/>
              <w:right w:val="single" w:color="000000" w:sz="4" w:space="0"/>
            </w:tcBorders>
            <w:shd w:val="clear" w:color="auto" w:fill="auto"/>
            <w:vAlign w:val="center"/>
          </w:tcPr>
          <w:p w14:paraId="27083672">
            <w:pPr>
              <w:jc w:val="center"/>
              <w:rPr>
                <w:rFonts w:hint="eastAsia" w:ascii="宋体" w:hAnsi="宋体" w:eastAsia="宋体" w:cs="宋体"/>
                <w:i w:val="0"/>
                <w:iCs w:val="0"/>
                <w:color w:val="auto"/>
                <w:sz w:val="22"/>
                <w:szCs w:val="22"/>
                <w:highlight w:val="none"/>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0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沉降监测</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E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25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000000"/>
                <w:kern w:val="0"/>
                <w:sz w:val="22"/>
                <w:szCs w:val="22"/>
                <w:highlight w:val="none"/>
                <w:lang w:bidi="ar"/>
              </w:rPr>
              <w:t>点</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84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康养中心4幢，现状农居点25幢，村集体用地1幢，卧龙公馆1幢，信号塔1座，市政园林管理中心2幢、传媒集团机房2幢、常山县人民医院4幢考虑（面积较大）、新月湾小区8-9幢考虑。</w:t>
            </w:r>
            <w:r>
              <w:rPr>
                <w:rStyle w:val="85"/>
                <w:color w:val="auto"/>
                <w:highlight w:val="none"/>
                <w:lang w:val="en-US" w:eastAsia="zh-CN" w:bidi="ar"/>
              </w:rPr>
              <w:t>包含安装及耗材</w:t>
            </w:r>
            <w:r>
              <w:rPr>
                <w:rFonts w:hint="eastAsia" w:ascii="宋体" w:hAnsi="宋体" w:eastAsia="宋体" w:cs="宋体"/>
                <w:i w:val="0"/>
                <w:iCs w:val="0"/>
                <w:color w:val="auto"/>
                <w:kern w:val="0"/>
                <w:sz w:val="22"/>
                <w:szCs w:val="22"/>
                <w:highlight w:val="none"/>
                <w:u w:val="none"/>
                <w:lang w:val="en-US" w:eastAsia="zh-CN" w:bidi="ar"/>
              </w:rPr>
              <w:t>。常规房子四角上下各布置一个测点，长度超过50米的房屋，每25-50米多增加一个测点</w:t>
            </w:r>
          </w:p>
        </w:tc>
      </w:tr>
      <w:tr w14:paraId="79BC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8F382BA">
            <w:pPr>
              <w:jc w:val="center"/>
              <w:rPr>
                <w:rFonts w:hint="eastAsia" w:ascii="宋体" w:hAnsi="宋体" w:eastAsia="宋体" w:cs="宋体"/>
                <w:i w:val="0"/>
                <w:iCs w:val="0"/>
                <w:color w:val="auto"/>
                <w:sz w:val="22"/>
                <w:szCs w:val="22"/>
                <w:highlight w:val="none"/>
                <w:u w:val="none"/>
              </w:rPr>
            </w:pPr>
          </w:p>
        </w:tc>
        <w:tc>
          <w:tcPr>
            <w:tcW w:w="1085" w:type="dxa"/>
            <w:vMerge w:val="continue"/>
            <w:tcBorders>
              <w:left w:val="single" w:color="000000" w:sz="4" w:space="0"/>
              <w:bottom w:val="single" w:color="auto" w:sz="4" w:space="0"/>
              <w:right w:val="single" w:color="000000" w:sz="4" w:space="0"/>
            </w:tcBorders>
            <w:shd w:val="clear" w:color="auto" w:fill="auto"/>
            <w:vAlign w:val="center"/>
          </w:tcPr>
          <w:p w14:paraId="42F4EDCF">
            <w:pPr>
              <w:jc w:val="center"/>
              <w:rPr>
                <w:rFonts w:hint="eastAsia" w:ascii="宋体" w:hAnsi="宋体" w:eastAsia="宋体" w:cs="宋体"/>
                <w:i w:val="0"/>
                <w:iCs w:val="0"/>
                <w:color w:val="auto"/>
                <w:sz w:val="22"/>
                <w:szCs w:val="22"/>
                <w:highlight w:val="none"/>
                <w:u w:val="none"/>
              </w:rPr>
            </w:pPr>
          </w:p>
        </w:tc>
        <w:tc>
          <w:tcPr>
            <w:tcW w:w="221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BE345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爆破振动速度</w:t>
            </w:r>
          </w:p>
        </w:tc>
        <w:tc>
          <w:tcPr>
            <w:tcW w:w="1442" w:type="dxa"/>
            <w:tcBorders>
              <w:top w:val="single" w:color="000000" w:sz="4" w:space="0"/>
              <w:left w:val="single" w:color="000000" w:sz="4" w:space="0"/>
              <w:bottom w:val="single" w:color="auto" w:sz="4" w:space="0"/>
              <w:right w:val="single" w:color="000000" w:sz="4" w:space="0"/>
            </w:tcBorders>
            <w:shd w:val="clear" w:color="auto" w:fill="auto"/>
            <w:vAlign w:val="center"/>
          </w:tcPr>
          <w:p w14:paraId="26F178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372" w:type="dxa"/>
            <w:tcBorders>
              <w:top w:val="single" w:color="000000" w:sz="4" w:space="0"/>
              <w:left w:val="single" w:color="000000" w:sz="4" w:space="0"/>
              <w:bottom w:val="single" w:color="auto" w:sz="4" w:space="0"/>
              <w:right w:val="single" w:color="000000" w:sz="4" w:space="0"/>
            </w:tcBorders>
            <w:shd w:val="clear" w:color="auto" w:fill="auto"/>
            <w:vAlign w:val="center"/>
          </w:tcPr>
          <w:p w14:paraId="42B15E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D672">
            <w:pPr>
              <w:jc w:val="center"/>
              <w:rPr>
                <w:rFonts w:hint="eastAsia" w:ascii="宋体" w:hAnsi="宋体" w:eastAsia="宋体" w:cs="宋体"/>
                <w:i w:val="0"/>
                <w:iCs w:val="0"/>
                <w:color w:val="auto"/>
                <w:sz w:val="22"/>
                <w:szCs w:val="22"/>
                <w:highlight w:val="none"/>
                <w:u w:val="none"/>
              </w:rPr>
            </w:pPr>
          </w:p>
        </w:tc>
      </w:tr>
    </w:tbl>
    <w:p w14:paraId="07DCC019">
      <w:pPr>
        <w:autoSpaceDE w:val="0"/>
        <w:autoSpaceDN w:val="0"/>
        <w:adjustRightInd w:val="0"/>
        <w:spacing w:line="400" w:lineRule="exact"/>
        <w:ind w:firstLine="420" w:firstLineChars="200"/>
        <w:jc w:val="both"/>
        <w:rPr>
          <w:rFonts w:hint="eastAsia"/>
          <w:highlight w:val="none"/>
          <w:lang w:val="zh-CN"/>
        </w:rPr>
      </w:pPr>
    </w:p>
    <w:p w14:paraId="2A11B4CA">
      <w:pPr>
        <w:ind w:firstLine="420" w:firstLineChars="200"/>
        <w:rPr>
          <w:rFonts w:hint="eastAsia"/>
          <w:highlight w:val="none"/>
          <w:lang w:val="zh-CN"/>
        </w:rPr>
      </w:pPr>
    </w:p>
    <w:p w14:paraId="0F41361B">
      <w:pPr>
        <w:ind w:firstLine="420" w:firstLineChars="200"/>
        <w:jc w:val="center"/>
        <w:rPr>
          <w:rFonts w:hint="eastAsia" w:ascii="宋体" w:hAnsi="宋体" w:cs="宋体"/>
          <w:b/>
          <w:bCs/>
          <w:sz w:val="30"/>
          <w:szCs w:val="32"/>
          <w:highlight w:val="none"/>
          <w:lang w:val="zh-CN"/>
        </w:rPr>
      </w:pPr>
      <w:r>
        <w:rPr>
          <w:highlight w:val="none"/>
          <w:lang w:val="zh-CN"/>
        </w:rPr>
        <w:br w:type="page"/>
      </w:r>
      <w:bookmarkStart w:id="139" w:name="_Toc8321_WPSOffice_Level1"/>
      <w:bookmarkStart w:id="140" w:name="_Toc29579"/>
      <w:r>
        <w:rPr>
          <w:rFonts w:hint="eastAsia" w:ascii="宋体" w:hAnsi="宋体" w:cs="宋体"/>
          <w:b/>
          <w:bCs/>
          <w:sz w:val="30"/>
          <w:szCs w:val="32"/>
          <w:highlight w:val="none"/>
          <w:lang w:val="zh-CN"/>
        </w:rPr>
        <w:t>第四章  合同主要条款</w:t>
      </w:r>
      <w:bookmarkEnd w:id="138"/>
      <w:bookmarkEnd w:id="139"/>
      <w:bookmarkEnd w:id="140"/>
    </w:p>
    <w:p w14:paraId="03A9A737">
      <w:pPr>
        <w:ind w:firstLine="422" w:firstLineChars="200"/>
        <w:rPr>
          <w:highlight w:val="none"/>
        </w:rPr>
      </w:pPr>
      <w:r>
        <w:rPr>
          <w:rFonts w:hint="eastAsia" w:ascii="宋体" w:hAnsi="宋体"/>
          <w:b/>
          <w:color w:val="000000"/>
          <w:szCs w:val="21"/>
          <w:highlight w:val="none"/>
        </w:rPr>
        <w:t xml:space="preserve">   </w:t>
      </w:r>
    </w:p>
    <w:p w14:paraId="07C81FD0">
      <w:pPr>
        <w:pStyle w:val="84"/>
        <w:widowControl/>
        <w:spacing w:line="360" w:lineRule="auto"/>
        <w:contextualSpacing/>
        <w:jc w:val="center"/>
        <w:outlineLvl w:val="1"/>
        <w:rPr>
          <w:rFonts w:hint="eastAsia" w:hAnsi="宋体" w:cs="宋体"/>
          <w:b/>
          <w:szCs w:val="21"/>
          <w:highlight w:val="none"/>
        </w:rPr>
      </w:pPr>
      <w:r>
        <w:rPr>
          <w:rFonts w:hint="eastAsia" w:hAnsi="宋体" w:cs="宋体"/>
          <w:b/>
          <w:szCs w:val="21"/>
          <w:highlight w:val="none"/>
        </w:rPr>
        <w:t>（本合同条款为参考格式，具体由甲乙双方协商签订为准）</w:t>
      </w:r>
    </w:p>
    <w:p w14:paraId="03A65BD5">
      <w:pPr>
        <w:pStyle w:val="11"/>
        <w:keepNext w:val="0"/>
        <w:keepLines w:val="0"/>
        <w:pageBreakBefore w:val="0"/>
        <w:kinsoku/>
        <w:wordWrap/>
        <w:topLinePunct w:val="0"/>
        <w:bidi w:val="0"/>
        <w:spacing w:line="360" w:lineRule="auto"/>
        <w:ind w:firstLine="420" w:firstLineChars="200"/>
        <w:textAlignment w:val="auto"/>
        <w:rPr>
          <w:rFonts w:ascii="Times New Roman"/>
          <w:sz w:val="21"/>
          <w:szCs w:val="21"/>
          <w:highlight w:val="none"/>
        </w:rPr>
      </w:pPr>
      <w:r>
        <w:rPr>
          <w:rFonts w:ascii="Times New Roman"/>
          <w:sz w:val="21"/>
          <w:szCs w:val="21"/>
          <w:highlight w:val="none"/>
        </w:rPr>
        <w:t>甲方：</w:t>
      </w:r>
    </w:p>
    <w:p w14:paraId="16F48EA7">
      <w:pPr>
        <w:pStyle w:val="11"/>
        <w:keepNext w:val="0"/>
        <w:keepLines w:val="0"/>
        <w:pageBreakBefore w:val="0"/>
        <w:kinsoku/>
        <w:wordWrap/>
        <w:topLinePunct w:val="0"/>
        <w:bidi w:val="0"/>
        <w:spacing w:line="360" w:lineRule="auto"/>
        <w:ind w:firstLine="420" w:firstLineChars="200"/>
        <w:textAlignment w:val="auto"/>
        <w:rPr>
          <w:rFonts w:ascii="Times New Roman"/>
          <w:sz w:val="21"/>
          <w:szCs w:val="21"/>
          <w:highlight w:val="none"/>
        </w:rPr>
      </w:pPr>
      <w:r>
        <w:rPr>
          <w:rFonts w:ascii="Times New Roman"/>
          <w:sz w:val="21"/>
          <w:szCs w:val="21"/>
          <w:highlight w:val="none"/>
        </w:rPr>
        <w:t>乙方：</w:t>
      </w:r>
    </w:p>
    <w:p w14:paraId="493C1420">
      <w:pPr>
        <w:pStyle w:val="11"/>
        <w:keepNext w:val="0"/>
        <w:keepLines w:val="0"/>
        <w:pageBreakBefore w:val="0"/>
        <w:kinsoku/>
        <w:wordWrap/>
        <w:topLinePunct w:val="0"/>
        <w:bidi w:val="0"/>
        <w:spacing w:line="360" w:lineRule="auto"/>
        <w:ind w:firstLine="422" w:firstLineChars="200"/>
        <w:textAlignment w:val="auto"/>
        <w:rPr>
          <w:rFonts w:ascii="Times New Roman"/>
          <w:b/>
          <w:sz w:val="21"/>
          <w:szCs w:val="21"/>
          <w:highlight w:val="none"/>
        </w:rPr>
      </w:pPr>
      <w:r>
        <w:rPr>
          <w:rFonts w:ascii="Times New Roman"/>
          <w:b/>
          <w:sz w:val="21"/>
          <w:szCs w:val="21"/>
          <w:highlight w:val="none"/>
        </w:rPr>
        <w:t xml:space="preserve"> </w:t>
      </w:r>
      <w:r>
        <w:rPr>
          <w:rFonts w:ascii="Times New Roman"/>
          <w:sz w:val="21"/>
          <w:szCs w:val="21"/>
          <w:highlight w:val="none"/>
        </w:rPr>
        <w:t>甲、乙双方根据</w:t>
      </w:r>
      <w:r>
        <w:rPr>
          <w:rFonts w:ascii="Times New Roman"/>
          <w:sz w:val="21"/>
          <w:szCs w:val="21"/>
          <w:highlight w:val="none"/>
          <w:u w:val="single"/>
        </w:rPr>
        <w:t xml:space="preserve">                 </w:t>
      </w:r>
      <w:r>
        <w:rPr>
          <w:rFonts w:ascii="Times New Roman"/>
          <w:sz w:val="21"/>
          <w:szCs w:val="21"/>
          <w:highlight w:val="none"/>
        </w:rPr>
        <w:t>项目</w:t>
      </w:r>
      <w:r>
        <w:rPr>
          <w:rFonts w:ascii="Times New Roman"/>
          <w:sz w:val="21"/>
          <w:szCs w:val="21"/>
          <w:highlight w:val="none"/>
          <w:u w:val="single"/>
        </w:rPr>
        <w:t>（</w:t>
      </w:r>
      <w:r>
        <w:rPr>
          <w:rFonts w:hint="eastAsia" w:ascii="Times New Roman"/>
          <w:sz w:val="21"/>
          <w:szCs w:val="21"/>
          <w:highlight w:val="none"/>
          <w:u w:val="single"/>
          <w:lang w:eastAsia="zh-CN"/>
        </w:rPr>
        <w:t>项目</w:t>
      </w:r>
      <w:r>
        <w:rPr>
          <w:rFonts w:ascii="Times New Roman"/>
          <w:sz w:val="21"/>
          <w:szCs w:val="21"/>
          <w:highlight w:val="none"/>
          <w:u w:val="single"/>
        </w:rPr>
        <w:t>编号：             ）的</w:t>
      </w:r>
      <w:r>
        <w:rPr>
          <w:rFonts w:hint="eastAsia" w:ascii="Times New Roman"/>
          <w:sz w:val="21"/>
          <w:szCs w:val="21"/>
          <w:highlight w:val="none"/>
          <w:lang w:eastAsia="zh-CN"/>
        </w:rPr>
        <w:t>采购</w:t>
      </w:r>
      <w:r>
        <w:rPr>
          <w:rFonts w:ascii="Times New Roman"/>
          <w:sz w:val="21"/>
          <w:szCs w:val="21"/>
          <w:highlight w:val="none"/>
        </w:rPr>
        <w:t>结果，签署本合同。</w:t>
      </w:r>
    </w:p>
    <w:p w14:paraId="7E8DEB71">
      <w:pPr>
        <w:pStyle w:val="11"/>
        <w:keepNext w:val="0"/>
        <w:keepLines w:val="0"/>
        <w:pageBreakBefore w:val="0"/>
        <w:kinsoku/>
        <w:wordWrap/>
        <w:topLinePunct w:val="0"/>
        <w:bidi w:val="0"/>
        <w:snapToGrid w:val="0"/>
        <w:spacing w:line="360" w:lineRule="auto"/>
        <w:ind w:firstLine="422" w:firstLineChars="200"/>
        <w:textAlignment w:val="auto"/>
        <w:rPr>
          <w:rFonts w:hint="default" w:ascii="Times New Roman" w:eastAsia="宋体"/>
          <w:b/>
          <w:sz w:val="21"/>
          <w:szCs w:val="21"/>
          <w:highlight w:val="none"/>
          <w:u w:val="single"/>
          <w:lang w:val="en-US" w:eastAsia="zh-CN"/>
        </w:rPr>
      </w:pPr>
      <w:r>
        <w:rPr>
          <w:rFonts w:ascii="Times New Roman"/>
          <w:b/>
          <w:sz w:val="21"/>
          <w:szCs w:val="21"/>
          <w:highlight w:val="none"/>
        </w:rPr>
        <w:t>一、服务内容</w:t>
      </w:r>
      <w:r>
        <w:rPr>
          <w:rFonts w:hint="eastAsia" w:ascii="Times New Roman"/>
          <w:b w:val="0"/>
          <w:bCs/>
          <w:sz w:val="21"/>
          <w:szCs w:val="21"/>
          <w:highlight w:val="none"/>
          <w:lang w:eastAsia="zh-CN"/>
        </w:rPr>
        <w:t>：</w:t>
      </w:r>
      <w:r>
        <w:rPr>
          <w:rFonts w:hint="eastAsia" w:ascii="Times New Roman"/>
          <w:b w:val="0"/>
          <w:bCs/>
          <w:sz w:val="21"/>
          <w:szCs w:val="21"/>
          <w:highlight w:val="none"/>
          <w:u w:val="single"/>
          <w:lang w:val="en-US" w:eastAsia="zh-CN"/>
        </w:rPr>
        <w:t xml:space="preserve">                           </w:t>
      </w:r>
    </w:p>
    <w:p w14:paraId="5C5776ED">
      <w:pPr>
        <w:pStyle w:val="11"/>
        <w:keepNext w:val="0"/>
        <w:keepLines w:val="0"/>
        <w:pageBreakBefore w:val="0"/>
        <w:kinsoku/>
        <w:wordWrap/>
        <w:topLinePunct w:val="0"/>
        <w:bidi w:val="0"/>
        <w:snapToGrid w:val="0"/>
        <w:spacing w:line="360" w:lineRule="auto"/>
        <w:ind w:firstLine="422" w:firstLineChars="200"/>
        <w:textAlignment w:val="auto"/>
        <w:rPr>
          <w:rFonts w:ascii="Times New Roman"/>
          <w:b/>
          <w:sz w:val="21"/>
          <w:szCs w:val="21"/>
          <w:highlight w:val="none"/>
        </w:rPr>
      </w:pPr>
      <w:r>
        <w:rPr>
          <w:rFonts w:ascii="Times New Roman"/>
          <w:b/>
          <w:sz w:val="21"/>
          <w:szCs w:val="21"/>
          <w:highlight w:val="none"/>
        </w:rPr>
        <w:t>二、合同金额</w:t>
      </w:r>
    </w:p>
    <w:p w14:paraId="32647C37">
      <w:pPr>
        <w:pStyle w:val="11"/>
        <w:keepNext w:val="0"/>
        <w:keepLines w:val="0"/>
        <w:pageBreakBefore w:val="0"/>
        <w:kinsoku/>
        <w:wordWrap/>
        <w:topLinePunct w:val="0"/>
        <w:bidi w:val="0"/>
        <w:snapToGrid w:val="0"/>
        <w:spacing w:line="360" w:lineRule="auto"/>
        <w:ind w:left="359" w:firstLine="420" w:firstLineChars="200"/>
        <w:textAlignment w:val="auto"/>
        <w:rPr>
          <w:rFonts w:ascii="Times New Roman"/>
          <w:sz w:val="21"/>
          <w:szCs w:val="21"/>
          <w:highlight w:val="none"/>
        </w:rPr>
      </w:pPr>
      <w:r>
        <w:rPr>
          <w:rFonts w:ascii="Times New Roman"/>
          <w:sz w:val="21"/>
          <w:szCs w:val="21"/>
          <w:highlight w:val="none"/>
        </w:rPr>
        <w:t>本合同金额为（大写）：_______________________________元（￥_______________元/年）人民币。</w:t>
      </w:r>
    </w:p>
    <w:p w14:paraId="415F2B1C">
      <w:pPr>
        <w:pStyle w:val="11"/>
        <w:keepNext w:val="0"/>
        <w:keepLines w:val="0"/>
        <w:pageBreakBefore w:val="0"/>
        <w:kinsoku/>
        <w:wordWrap/>
        <w:topLinePunct w:val="0"/>
        <w:bidi w:val="0"/>
        <w:snapToGrid w:val="0"/>
        <w:spacing w:line="360" w:lineRule="auto"/>
        <w:ind w:firstLine="422" w:firstLineChars="200"/>
        <w:textAlignment w:val="auto"/>
        <w:outlineLvl w:val="1"/>
        <w:rPr>
          <w:rFonts w:ascii="Times New Roman"/>
          <w:b/>
          <w:sz w:val="21"/>
          <w:szCs w:val="21"/>
          <w:highlight w:val="none"/>
        </w:rPr>
      </w:pPr>
      <w:r>
        <w:rPr>
          <w:rFonts w:ascii="Times New Roman"/>
          <w:b/>
          <w:sz w:val="21"/>
          <w:szCs w:val="21"/>
          <w:highlight w:val="none"/>
        </w:rPr>
        <w:t>三、履约保证金</w:t>
      </w:r>
    </w:p>
    <w:p w14:paraId="64D503BC">
      <w:pPr>
        <w:pStyle w:val="11"/>
        <w:keepNext w:val="0"/>
        <w:keepLines w:val="0"/>
        <w:pageBreakBefore w:val="0"/>
        <w:kinsoku/>
        <w:wordWrap/>
        <w:topLinePunct w:val="0"/>
        <w:bidi w:val="0"/>
        <w:snapToGrid w:val="0"/>
        <w:spacing w:line="360" w:lineRule="auto"/>
        <w:ind w:firstLine="420" w:firstLineChars="200"/>
        <w:textAlignment w:val="auto"/>
        <w:rPr>
          <w:rFonts w:ascii="Times New Roman"/>
          <w:sz w:val="21"/>
          <w:szCs w:val="21"/>
          <w:highlight w:val="none"/>
        </w:rPr>
      </w:pPr>
      <w:r>
        <w:rPr>
          <w:rFonts w:hint="eastAsia" w:ascii="Times New Roman"/>
          <w:sz w:val="21"/>
          <w:szCs w:val="21"/>
          <w:highlight w:val="none"/>
        </w:rPr>
        <w:t>中标人在合同签订后向采购单位交纳中标金额1%的履约保证金。投标人可以银行、保险公司出具的保函形式提交，项目终验合格后一个月内退还履约保证金（不计息）。</w:t>
      </w:r>
    </w:p>
    <w:p w14:paraId="78C913FF">
      <w:pPr>
        <w:keepNext w:val="0"/>
        <w:keepLines w:val="0"/>
        <w:pageBreakBefore w:val="0"/>
        <w:kinsoku/>
        <w:wordWrap/>
        <w:topLinePunct w:val="0"/>
        <w:bidi w:val="0"/>
        <w:snapToGrid w:val="0"/>
        <w:spacing w:line="360" w:lineRule="auto"/>
        <w:ind w:firstLine="422" w:firstLineChars="200"/>
        <w:textAlignment w:val="auto"/>
        <w:outlineLvl w:val="1"/>
        <w:rPr>
          <w:b/>
          <w:szCs w:val="21"/>
          <w:highlight w:val="none"/>
        </w:rPr>
      </w:pPr>
      <w:r>
        <w:rPr>
          <w:b/>
          <w:szCs w:val="21"/>
          <w:highlight w:val="none"/>
        </w:rPr>
        <w:t>四、转包或分包</w:t>
      </w:r>
    </w:p>
    <w:p w14:paraId="737AD817">
      <w:pPr>
        <w:keepNext w:val="0"/>
        <w:keepLines w:val="0"/>
        <w:pageBreakBefore w:val="0"/>
        <w:kinsoku/>
        <w:wordWrap/>
        <w:topLinePunct w:val="0"/>
        <w:bidi w:val="0"/>
        <w:snapToGrid w:val="0"/>
        <w:spacing w:line="360" w:lineRule="auto"/>
        <w:ind w:firstLine="420" w:firstLineChars="200"/>
        <w:textAlignment w:val="auto"/>
        <w:outlineLvl w:val="2"/>
        <w:rPr>
          <w:szCs w:val="21"/>
          <w:highlight w:val="none"/>
        </w:rPr>
      </w:pPr>
      <w:r>
        <w:rPr>
          <w:szCs w:val="21"/>
          <w:highlight w:val="none"/>
        </w:rPr>
        <w:t>1.本合同范围的服务，应由乙方直接供应，不得转让他人供应；</w:t>
      </w:r>
    </w:p>
    <w:p w14:paraId="106EFA5D">
      <w:pPr>
        <w:keepNext w:val="0"/>
        <w:keepLines w:val="0"/>
        <w:pageBreakBefore w:val="0"/>
        <w:kinsoku/>
        <w:wordWrap/>
        <w:topLinePunct w:val="0"/>
        <w:bidi w:val="0"/>
        <w:snapToGrid w:val="0"/>
        <w:spacing w:line="360" w:lineRule="auto"/>
        <w:ind w:firstLine="420" w:firstLineChars="200"/>
        <w:textAlignment w:val="auto"/>
        <w:rPr>
          <w:szCs w:val="21"/>
          <w:highlight w:val="none"/>
        </w:rPr>
      </w:pPr>
      <w:r>
        <w:rPr>
          <w:szCs w:val="21"/>
          <w:highlight w:val="none"/>
        </w:rPr>
        <w:t>2.除非得到甲方的书面同意，乙方不得将本合同范围的服务全部或部分分包给他人供应；</w:t>
      </w:r>
    </w:p>
    <w:p w14:paraId="54D55D04">
      <w:pPr>
        <w:keepNext w:val="0"/>
        <w:keepLines w:val="0"/>
        <w:pageBreakBefore w:val="0"/>
        <w:kinsoku/>
        <w:wordWrap/>
        <w:topLinePunct w:val="0"/>
        <w:bidi w:val="0"/>
        <w:snapToGrid w:val="0"/>
        <w:spacing w:line="360" w:lineRule="auto"/>
        <w:ind w:firstLine="420" w:firstLineChars="200"/>
        <w:textAlignment w:val="auto"/>
        <w:rPr>
          <w:szCs w:val="21"/>
          <w:highlight w:val="none"/>
        </w:rPr>
      </w:pPr>
      <w:r>
        <w:rPr>
          <w:szCs w:val="21"/>
          <w:highlight w:val="none"/>
        </w:rPr>
        <w:t>3.如有转让和未经甲方同意的分包行为，甲方有权解除合同，没收履约保证金并追究乙方的违约责任。</w:t>
      </w:r>
    </w:p>
    <w:p w14:paraId="36C4A12B">
      <w:pPr>
        <w:pStyle w:val="11"/>
        <w:keepNext w:val="0"/>
        <w:keepLines w:val="0"/>
        <w:pageBreakBefore w:val="0"/>
        <w:kinsoku/>
        <w:wordWrap/>
        <w:topLinePunct w:val="0"/>
        <w:bidi w:val="0"/>
        <w:snapToGrid w:val="0"/>
        <w:spacing w:line="360" w:lineRule="auto"/>
        <w:ind w:firstLine="422" w:firstLineChars="200"/>
        <w:textAlignment w:val="auto"/>
        <w:outlineLvl w:val="1"/>
        <w:rPr>
          <w:rFonts w:ascii="Times New Roman"/>
          <w:sz w:val="21"/>
          <w:szCs w:val="21"/>
          <w:highlight w:val="none"/>
        </w:rPr>
      </w:pPr>
      <w:r>
        <w:rPr>
          <w:rFonts w:ascii="Times New Roman"/>
          <w:b/>
          <w:sz w:val="21"/>
          <w:szCs w:val="21"/>
          <w:highlight w:val="none"/>
        </w:rPr>
        <w:t>五、服务期限</w:t>
      </w:r>
      <w:r>
        <w:rPr>
          <w:rFonts w:ascii="Times New Roman"/>
          <w:sz w:val="21"/>
          <w:szCs w:val="21"/>
          <w:highlight w:val="none"/>
        </w:rPr>
        <w:t>：</w:t>
      </w:r>
      <w:r>
        <w:rPr>
          <w:rFonts w:hint="eastAsia" w:ascii="Times New Roman"/>
          <w:sz w:val="21"/>
          <w:szCs w:val="21"/>
          <w:highlight w:val="none"/>
          <w:u w:val="single"/>
        </w:rPr>
        <w:t xml:space="preserve">         </w:t>
      </w:r>
      <w:r>
        <w:rPr>
          <w:rFonts w:hint="eastAsia" w:ascii="Times New Roman"/>
          <w:sz w:val="21"/>
          <w:szCs w:val="21"/>
          <w:highlight w:val="none"/>
          <w:u w:val="single"/>
          <w:lang w:val="en-US" w:eastAsia="zh-CN"/>
        </w:rPr>
        <w:t xml:space="preserve">  </w:t>
      </w:r>
      <w:r>
        <w:rPr>
          <w:rFonts w:hint="eastAsia" w:ascii="Times New Roman"/>
          <w:sz w:val="21"/>
          <w:szCs w:val="21"/>
          <w:highlight w:val="none"/>
          <w:u w:val="single"/>
        </w:rPr>
        <w:t xml:space="preserve">   </w:t>
      </w:r>
      <w:r>
        <w:rPr>
          <w:rFonts w:ascii="Times New Roman"/>
          <w:sz w:val="21"/>
          <w:szCs w:val="21"/>
          <w:highlight w:val="none"/>
          <w:u w:val="single"/>
        </w:rPr>
        <w:t>。</w:t>
      </w:r>
    </w:p>
    <w:p w14:paraId="56BBABF6">
      <w:pPr>
        <w:pStyle w:val="11"/>
        <w:keepNext w:val="0"/>
        <w:keepLines w:val="0"/>
        <w:pageBreakBefore w:val="0"/>
        <w:kinsoku/>
        <w:wordWrap/>
        <w:topLinePunct w:val="0"/>
        <w:bidi w:val="0"/>
        <w:snapToGrid w:val="0"/>
        <w:spacing w:line="360" w:lineRule="auto"/>
        <w:ind w:firstLine="422" w:firstLineChars="200"/>
        <w:textAlignment w:val="auto"/>
        <w:outlineLvl w:val="1"/>
        <w:rPr>
          <w:rFonts w:ascii="Times New Roman"/>
          <w:b/>
          <w:sz w:val="21"/>
          <w:szCs w:val="21"/>
          <w:highlight w:val="none"/>
        </w:rPr>
      </w:pPr>
      <w:r>
        <w:rPr>
          <w:rFonts w:ascii="Times New Roman"/>
          <w:b/>
          <w:sz w:val="21"/>
          <w:szCs w:val="21"/>
          <w:highlight w:val="none"/>
        </w:rPr>
        <w:t>六、合同履行时间、履行方式及履行地点</w:t>
      </w:r>
    </w:p>
    <w:p w14:paraId="6248F371">
      <w:pPr>
        <w:pStyle w:val="11"/>
        <w:keepNext w:val="0"/>
        <w:keepLines w:val="0"/>
        <w:pageBreakBefore w:val="0"/>
        <w:kinsoku/>
        <w:wordWrap/>
        <w:topLinePunct w:val="0"/>
        <w:bidi w:val="0"/>
        <w:snapToGrid w:val="0"/>
        <w:spacing w:line="360" w:lineRule="auto"/>
        <w:ind w:firstLine="420" w:firstLineChars="200"/>
        <w:textAlignment w:val="auto"/>
        <w:rPr>
          <w:rFonts w:ascii="Times New Roman"/>
          <w:bCs/>
          <w:sz w:val="21"/>
          <w:szCs w:val="21"/>
          <w:highlight w:val="none"/>
        </w:rPr>
      </w:pPr>
      <w:r>
        <w:rPr>
          <w:rFonts w:ascii="Times New Roman"/>
          <w:bCs/>
          <w:sz w:val="21"/>
          <w:szCs w:val="21"/>
          <w:highlight w:val="none"/>
        </w:rPr>
        <w:t xml:space="preserve">1. </w:t>
      </w:r>
      <w:r>
        <w:rPr>
          <w:rFonts w:ascii="Times New Roman"/>
          <w:sz w:val="21"/>
          <w:szCs w:val="21"/>
          <w:highlight w:val="none"/>
        </w:rPr>
        <w:t>履行时间</w:t>
      </w:r>
      <w:r>
        <w:rPr>
          <w:rFonts w:ascii="Times New Roman"/>
          <w:bCs/>
          <w:sz w:val="21"/>
          <w:szCs w:val="21"/>
          <w:highlight w:val="none"/>
        </w:rPr>
        <w:t>：</w:t>
      </w:r>
    </w:p>
    <w:p w14:paraId="62C75881">
      <w:pPr>
        <w:pStyle w:val="11"/>
        <w:keepNext w:val="0"/>
        <w:keepLines w:val="0"/>
        <w:pageBreakBefore w:val="0"/>
        <w:kinsoku/>
        <w:wordWrap/>
        <w:topLinePunct w:val="0"/>
        <w:bidi w:val="0"/>
        <w:snapToGrid w:val="0"/>
        <w:spacing w:line="360" w:lineRule="auto"/>
        <w:ind w:firstLine="420" w:firstLineChars="200"/>
        <w:textAlignment w:val="auto"/>
        <w:rPr>
          <w:rFonts w:ascii="Times New Roman"/>
          <w:bCs/>
          <w:sz w:val="21"/>
          <w:szCs w:val="21"/>
          <w:highlight w:val="none"/>
        </w:rPr>
      </w:pPr>
      <w:r>
        <w:rPr>
          <w:rFonts w:ascii="Times New Roman"/>
          <w:bCs/>
          <w:sz w:val="21"/>
          <w:szCs w:val="21"/>
          <w:highlight w:val="none"/>
        </w:rPr>
        <w:t xml:space="preserve">2. </w:t>
      </w:r>
      <w:r>
        <w:rPr>
          <w:rFonts w:ascii="Times New Roman"/>
          <w:sz w:val="21"/>
          <w:szCs w:val="21"/>
          <w:highlight w:val="none"/>
        </w:rPr>
        <w:t>履行方式</w:t>
      </w:r>
      <w:r>
        <w:rPr>
          <w:rFonts w:ascii="Times New Roman"/>
          <w:bCs/>
          <w:sz w:val="21"/>
          <w:szCs w:val="21"/>
          <w:highlight w:val="none"/>
        </w:rPr>
        <w:t>：</w:t>
      </w:r>
    </w:p>
    <w:p w14:paraId="637654C5">
      <w:pPr>
        <w:pStyle w:val="11"/>
        <w:keepNext w:val="0"/>
        <w:keepLines w:val="0"/>
        <w:pageBreakBefore w:val="0"/>
        <w:kinsoku/>
        <w:wordWrap/>
        <w:topLinePunct w:val="0"/>
        <w:bidi w:val="0"/>
        <w:snapToGrid w:val="0"/>
        <w:spacing w:line="360" w:lineRule="auto"/>
        <w:ind w:firstLine="420" w:firstLineChars="200"/>
        <w:textAlignment w:val="auto"/>
        <w:rPr>
          <w:rFonts w:ascii="Times New Roman"/>
          <w:sz w:val="21"/>
          <w:szCs w:val="21"/>
          <w:highlight w:val="none"/>
        </w:rPr>
      </w:pPr>
      <w:r>
        <w:rPr>
          <w:rFonts w:ascii="Times New Roman"/>
          <w:bCs/>
          <w:sz w:val="21"/>
          <w:szCs w:val="21"/>
          <w:highlight w:val="none"/>
        </w:rPr>
        <w:t xml:space="preserve">3. </w:t>
      </w:r>
      <w:r>
        <w:rPr>
          <w:rFonts w:ascii="Times New Roman"/>
          <w:sz w:val="21"/>
          <w:szCs w:val="21"/>
          <w:highlight w:val="none"/>
        </w:rPr>
        <w:t>履行地点</w:t>
      </w:r>
      <w:r>
        <w:rPr>
          <w:rFonts w:ascii="Times New Roman"/>
          <w:bCs/>
          <w:sz w:val="21"/>
          <w:szCs w:val="21"/>
          <w:highlight w:val="none"/>
        </w:rPr>
        <w:t>：</w:t>
      </w:r>
    </w:p>
    <w:p w14:paraId="73D810D9">
      <w:pPr>
        <w:pStyle w:val="11"/>
        <w:keepNext w:val="0"/>
        <w:keepLines w:val="0"/>
        <w:pageBreakBefore w:val="0"/>
        <w:kinsoku/>
        <w:wordWrap/>
        <w:topLinePunct w:val="0"/>
        <w:bidi w:val="0"/>
        <w:snapToGrid w:val="0"/>
        <w:spacing w:line="360" w:lineRule="auto"/>
        <w:ind w:firstLine="422" w:firstLineChars="200"/>
        <w:textAlignment w:val="auto"/>
        <w:outlineLvl w:val="1"/>
        <w:rPr>
          <w:rFonts w:ascii="Times New Roman"/>
          <w:b/>
          <w:bCs/>
          <w:sz w:val="21"/>
          <w:szCs w:val="21"/>
          <w:highlight w:val="none"/>
        </w:rPr>
      </w:pPr>
      <w:r>
        <w:rPr>
          <w:rFonts w:ascii="Times New Roman"/>
          <w:b/>
          <w:bCs/>
          <w:sz w:val="21"/>
          <w:szCs w:val="21"/>
          <w:highlight w:val="none"/>
        </w:rPr>
        <w:t>七、款项支付</w:t>
      </w:r>
    </w:p>
    <w:p w14:paraId="6AED88FC">
      <w:pPr>
        <w:keepNext w:val="0"/>
        <w:keepLines w:val="0"/>
        <w:pageBreakBefore w:val="0"/>
        <w:kinsoku/>
        <w:wordWrap/>
        <w:topLinePunct w:val="0"/>
        <w:bidi w:val="0"/>
        <w:snapToGrid w:val="0"/>
        <w:spacing w:line="360" w:lineRule="auto"/>
        <w:ind w:firstLine="420" w:firstLineChars="200"/>
        <w:textAlignment w:val="auto"/>
        <w:rPr>
          <w:rFonts w:hint="eastAsia"/>
          <w:bCs/>
          <w:szCs w:val="21"/>
          <w:highlight w:val="none"/>
        </w:rPr>
      </w:pPr>
      <w:r>
        <w:rPr>
          <w:bCs/>
          <w:szCs w:val="21"/>
          <w:highlight w:val="none"/>
        </w:rPr>
        <w:t xml:space="preserve"> </w:t>
      </w:r>
      <w:r>
        <w:rPr>
          <w:rFonts w:hint="eastAsia"/>
          <w:bCs/>
          <w:szCs w:val="21"/>
          <w:highlight w:val="none"/>
          <w:lang w:val="en-US" w:eastAsia="zh-CN"/>
        </w:rPr>
        <w:t>1.</w:t>
      </w:r>
      <w:r>
        <w:rPr>
          <w:rFonts w:hint="eastAsia"/>
          <w:bCs/>
          <w:szCs w:val="21"/>
          <w:highlight w:val="none"/>
        </w:rPr>
        <w:t>合同签订后30个工作日内，支付合同价的30%作为预付款，支付前，中标人需提交等额预付款保函且经采购人认可。</w:t>
      </w:r>
    </w:p>
    <w:p w14:paraId="00808F88">
      <w:pPr>
        <w:keepNext w:val="0"/>
        <w:keepLines w:val="0"/>
        <w:pageBreakBefore w:val="0"/>
        <w:kinsoku/>
        <w:wordWrap/>
        <w:topLinePunct w:val="0"/>
        <w:bidi w:val="0"/>
        <w:snapToGrid w:val="0"/>
        <w:spacing w:line="360" w:lineRule="auto"/>
        <w:ind w:firstLine="420" w:firstLineChars="200"/>
        <w:textAlignment w:val="auto"/>
        <w:rPr>
          <w:rFonts w:hint="eastAsia"/>
          <w:bCs/>
          <w:szCs w:val="21"/>
          <w:highlight w:val="none"/>
        </w:rPr>
      </w:pPr>
      <w:r>
        <w:rPr>
          <w:rFonts w:hint="eastAsia"/>
          <w:bCs/>
          <w:szCs w:val="21"/>
          <w:highlight w:val="none"/>
          <w:lang w:val="en-US" w:eastAsia="zh-CN"/>
        </w:rPr>
        <w:t>2.</w:t>
      </w:r>
      <w:r>
        <w:rPr>
          <w:rFonts w:hint="eastAsia"/>
          <w:bCs/>
          <w:szCs w:val="21"/>
          <w:highlight w:val="none"/>
        </w:rPr>
        <w:t>工程价款每季度支付一次，采购人向中标人支付当期实际完成工程量价款的80%工程价款，余款在完成全部检测内容并出具正式检测报告且通过工程竣工验收后付清尾款。</w:t>
      </w:r>
    </w:p>
    <w:p w14:paraId="6846D27F">
      <w:pPr>
        <w:keepNext w:val="0"/>
        <w:keepLines w:val="0"/>
        <w:pageBreakBefore w:val="0"/>
        <w:kinsoku/>
        <w:wordWrap/>
        <w:topLinePunct w:val="0"/>
        <w:bidi w:val="0"/>
        <w:snapToGrid w:val="0"/>
        <w:spacing w:line="360" w:lineRule="auto"/>
        <w:ind w:firstLine="420" w:firstLineChars="200"/>
        <w:textAlignment w:val="auto"/>
        <w:rPr>
          <w:rFonts w:hint="eastAsia"/>
          <w:bCs/>
          <w:color w:val="auto"/>
          <w:szCs w:val="21"/>
          <w:highlight w:val="none"/>
        </w:rPr>
      </w:pPr>
      <w:r>
        <w:rPr>
          <w:rFonts w:hint="eastAsia"/>
          <w:bCs/>
          <w:szCs w:val="21"/>
          <w:highlight w:val="none"/>
          <w:lang w:val="en-US" w:eastAsia="zh-CN"/>
        </w:rPr>
        <w:t>3.</w:t>
      </w:r>
      <w:r>
        <w:rPr>
          <w:rFonts w:hint="eastAsia"/>
          <w:bCs/>
          <w:szCs w:val="21"/>
          <w:highlight w:val="none"/>
        </w:rPr>
        <w:t>工作量暂定，结算按实际工作量×相应的中标综合单价结算，本项目最终检测服务费按实结算，超过合同总价按合同总价结算。</w:t>
      </w:r>
    </w:p>
    <w:p w14:paraId="4A475243">
      <w:pPr>
        <w:widowControl/>
        <w:adjustRightInd w:val="0"/>
        <w:snapToGrid w:val="0"/>
        <w:spacing w:line="360" w:lineRule="auto"/>
        <w:ind w:firstLine="422" w:firstLineChars="200"/>
        <w:jc w:val="left"/>
        <w:rPr>
          <w:rFonts w:hint="eastAsia" w:ascii="宋体" w:hAnsi="宋体" w:cs="宋体"/>
          <w:color w:val="auto"/>
          <w:kern w:val="0"/>
          <w:sz w:val="21"/>
          <w:szCs w:val="21"/>
          <w:highlight w:val="none"/>
        </w:rPr>
      </w:pPr>
      <w:r>
        <w:rPr>
          <w:b/>
          <w:sz w:val="21"/>
          <w:szCs w:val="21"/>
          <w:highlight w:val="none"/>
        </w:rPr>
        <w:t>八、</w:t>
      </w:r>
      <w:r>
        <w:rPr>
          <w:rFonts w:hint="eastAsia"/>
          <w:b/>
          <w:sz w:val="21"/>
          <w:szCs w:val="21"/>
          <w:highlight w:val="none"/>
          <w:lang w:eastAsia="zh-CN"/>
        </w:rPr>
        <w:t>甲乙双</w:t>
      </w:r>
      <w:r>
        <w:rPr>
          <w:rFonts w:hint="eastAsia" w:ascii="宋体" w:hAnsi="宋体" w:cs="宋体"/>
          <w:b/>
          <w:bCs/>
          <w:color w:val="auto"/>
          <w:kern w:val="0"/>
          <w:sz w:val="21"/>
          <w:szCs w:val="21"/>
          <w:highlight w:val="none"/>
          <w:lang w:eastAsia="zh-CN"/>
        </w:rPr>
        <w:t>方</w:t>
      </w:r>
      <w:r>
        <w:rPr>
          <w:rFonts w:hint="eastAsia" w:ascii="宋体" w:hAnsi="宋体" w:cs="宋体"/>
          <w:b/>
          <w:bCs/>
          <w:color w:val="auto"/>
          <w:kern w:val="0"/>
          <w:sz w:val="21"/>
          <w:szCs w:val="21"/>
          <w:highlight w:val="none"/>
        </w:rPr>
        <w:t>责任</w:t>
      </w:r>
      <w:r>
        <w:rPr>
          <w:rFonts w:ascii="宋体" w:hAnsi="宋体" w:cs="宋体"/>
          <w:b/>
          <w:bCs/>
          <w:color w:val="auto"/>
          <w:kern w:val="0"/>
          <w:sz w:val="21"/>
          <w:szCs w:val="21"/>
          <w:highlight w:val="none"/>
        </w:rPr>
        <w:br w:type="textWrapping"/>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1.</w:t>
      </w:r>
      <w:r>
        <w:rPr>
          <w:rFonts w:ascii="宋体" w:hAnsi="宋体" w:cs="宋体"/>
          <w:color w:val="auto"/>
          <w:kern w:val="0"/>
          <w:sz w:val="21"/>
          <w:szCs w:val="21"/>
          <w:highlight w:val="none"/>
        </w:rPr>
        <w:t xml:space="preserve">发包人责任 </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协调解决在检测</w:t>
      </w:r>
      <w:r>
        <w:rPr>
          <w:rFonts w:hint="eastAsia" w:ascii="宋体" w:hAnsi="宋体" w:cs="宋体"/>
          <w:color w:val="auto"/>
          <w:kern w:val="0"/>
          <w:sz w:val="21"/>
          <w:szCs w:val="21"/>
          <w:highlight w:val="none"/>
          <w:lang w:eastAsia="zh-CN"/>
        </w:rPr>
        <w:t>及监测</w:t>
      </w:r>
      <w:r>
        <w:rPr>
          <w:rFonts w:hint="eastAsia" w:ascii="宋体" w:hAnsi="宋体" w:cs="宋体"/>
          <w:color w:val="auto"/>
          <w:kern w:val="0"/>
          <w:sz w:val="21"/>
          <w:szCs w:val="21"/>
          <w:highlight w:val="none"/>
        </w:rPr>
        <w:t>过中发生的有关问题。</w:t>
      </w:r>
    </w:p>
    <w:p w14:paraId="59D160C5">
      <w:pPr>
        <w:snapToGrid w:val="0"/>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w:t>
      </w:r>
      <w:r>
        <w:rPr>
          <w:rFonts w:hint="eastAsia" w:ascii="宋体" w:hAnsi="宋体"/>
          <w:snapToGrid w:val="0"/>
          <w:color w:val="auto"/>
          <w:kern w:val="0"/>
          <w:sz w:val="21"/>
          <w:szCs w:val="21"/>
          <w:highlight w:val="none"/>
        </w:rPr>
        <w:t>按本合同约定向</w:t>
      </w:r>
      <w:r>
        <w:rPr>
          <w:rFonts w:hint="eastAsia" w:ascii="宋体" w:hAnsi="宋体"/>
          <w:snapToGrid w:val="0"/>
          <w:color w:val="auto"/>
          <w:kern w:val="0"/>
          <w:sz w:val="21"/>
          <w:szCs w:val="21"/>
          <w:highlight w:val="none"/>
          <w:lang w:eastAsia="zh-CN"/>
        </w:rPr>
        <w:t>乙方</w:t>
      </w:r>
      <w:r>
        <w:rPr>
          <w:rFonts w:hint="eastAsia" w:ascii="宋体" w:hAnsi="宋体"/>
          <w:snapToGrid w:val="0"/>
          <w:color w:val="auto"/>
          <w:kern w:val="0"/>
          <w:sz w:val="21"/>
          <w:szCs w:val="21"/>
          <w:highlight w:val="none"/>
        </w:rPr>
        <w:t>支付款项。</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乙方</w:t>
      </w:r>
      <w:r>
        <w:rPr>
          <w:rFonts w:ascii="宋体" w:hAnsi="宋体" w:cs="宋体"/>
          <w:color w:val="auto"/>
          <w:kern w:val="0"/>
          <w:sz w:val="21"/>
          <w:szCs w:val="21"/>
          <w:highlight w:val="none"/>
        </w:rPr>
        <w:t xml:space="preserve">责任 </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w:t>
      </w:r>
      <w:r>
        <w:rPr>
          <w:rFonts w:hint="eastAsia" w:ascii="宋体" w:hAnsi="宋体" w:cs="宋体"/>
          <w:b w:val="0"/>
          <w:bCs w:val="0"/>
          <w:color w:val="auto"/>
          <w:kern w:val="0"/>
          <w:sz w:val="21"/>
          <w:szCs w:val="21"/>
          <w:highlight w:val="none"/>
        </w:rPr>
        <w:t xml:space="preserve">  </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eastAsia="zh-CN"/>
        </w:rPr>
        <w:t>）</w:t>
      </w:r>
      <w:r>
        <w:rPr>
          <w:rFonts w:hint="eastAsia" w:ascii="宋体" w:hAnsi="宋体"/>
          <w:b w:val="0"/>
          <w:bCs w:val="0"/>
          <w:color w:val="auto"/>
          <w:sz w:val="21"/>
          <w:szCs w:val="21"/>
          <w:highlight w:val="none"/>
        </w:rPr>
        <w:t>乙方向甲方提交的</w:t>
      </w:r>
      <w:r>
        <w:rPr>
          <w:rFonts w:hint="eastAsia" w:ascii="宋体" w:hAnsi="宋体"/>
          <w:b w:val="0"/>
          <w:bCs w:val="0"/>
          <w:color w:val="auto"/>
          <w:sz w:val="21"/>
          <w:szCs w:val="21"/>
          <w:highlight w:val="none"/>
          <w:lang w:val="en-US" w:eastAsia="zh-CN"/>
        </w:rPr>
        <w:t>检测监测</w:t>
      </w:r>
      <w:r>
        <w:rPr>
          <w:rFonts w:hint="eastAsia" w:ascii="宋体" w:hAnsi="宋体"/>
          <w:b w:val="0"/>
          <w:bCs w:val="0"/>
          <w:color w:val="auto"/>
          <w:sz w:val="21"/>
          <w:szCs w:val="21"/>
          <w:highlight w:val="none"/>
        </w:rPr>
        <w:t>方案，应符合本项目工程特点，应符合或优于本项目工程</w:t>
      </w:r>
      <w:r>
        <w:rPr>
          <w:rFonts w:hint="eastAsia" w:ascii="宋体" w:hAnsi="宋体"/>
          <w:b w:val="0"/>
          <w:bCs w:val="0"/>
          <w:color w:val="auto"/>
          <w:sz w:val="21"/>
          <w:szCs w:val="21"/>
          <w:highlight w:val="none"/>
          <w:lang w:val="en-US" w:eastAsia="zh-CN"/>
        </w:rPr>
        <w:t>检测监测</w:t>
      </w:r>
      <w:r>
        <w:rPr>
          <w:rFonts w:hint="eastAsia" w:ascii="宋体" w:hAnsi="宋体"/>
          <w:b w:val="0"/>
          <w:bCs w:val="0"/>
          <w:color w:val="auto"/>
          <w:sz w:val="21"/>
          <w:szCs w:val="21"/>
          <w:highlight w:val="none"/>
        </w:rPr>
        <w:t>要求，并满足现行国家标准、行业标准及相关建筑、</w:t>
      </w:r>
      <w:r>
        <w:rPr>
          <w:rFonts w:hint="eastAsia" w:ascii="宋体" w:hAnsi="宋体"/>
          <w:b w:val="0"/>
          <w:bCs w:val="0"/>
          <w:color w:val="auto"/>
          <w:sz w:val="21"/>
          <w:szCs w:val="21"/>
          <w:highlight w:val="none"/>
          <w:lang w:eastAsia="zh-CN"/>
        </w:rPr>
        <w:t>公路、</w:t>
      </w:r>
      <w:r>
        <w:rPr>
          <w:rFonts w:hint="eastAsia" w:ascii="宋体" w:hAnsi="宋体"/>
          <w:b w:val="0"/>
          <w:bCs w:val="0"/>
          <w:color w:val="auto"/>
          <w:sz w:val="21"/>
          <w:szCs w:val="21"/>
          <w:highlight w:val="none"/>
        </w:rPr>
        <w:t>检测</w:t>
      </w:r>
      <w:r>
        <w:rPr>
          <w:rFonts w:hint="eastAsia" w:ascii="宋体" w:hAnsi="宋体"/>
          <w:b w:val="0"/>
          <w:bCs w:val="0"/>
          <w:color w:val="auto"/>
          <w:sz w:val="21"/>
          <w:szCs w:val="21"/>
          <w:highlight w:val="none"/>
          <w:lang w:val="en-US" w:eastAsia="zh-CN"/>
        </w:rPr>
        <w:t>监测</w:t>
      </w:r>
      <w:r>
        <w:rPr>
          <w:rFonts w:hint="eastAsia" w:ascii="宋体" w:hAnsi="宋体"/>
          <w:b w:val="0"/>
          <w:bCs w:val="0"/>
          <w:color w:val="auto"/>
          <w:sz w:val="21"/>
          <w:szCs w:val="21"/>
          <w:highlight w:val="none"/>
        </w:rPr>
        <w:t>规范要求，甲方或监理人或有关专家对</w:t>
      </w:r>
      <w:r>
        <w:rPr>
          <w:rFonts w:hint="eastAsia" w:ascii="宋体" w:hAnsi="宋体"/>
          <w:b w:val="0"/>
          <w:bCs w:val="0"/>
          <w:color w:val="auto"/>
          <w:sz w:val="21"/>
          <w:szCs w:val="21"/>
          <w:highlight w:val="none"/>
          <w:lang w:val="en-US" w:eastAsia="zh-CN"/>
        </w:rPr>
        <w:t>检测监测</w:t>
      </w:r>
      <w:r>
        <w:rPr>
          <w:rFonts w:hint="eastAsia" w:ascii="宋体" w:hAnsi="宋体"/>
          <w:b w:val="0"/>
          <w:bCs w:val="0"/>
          <w:color w:val="auto"/>
          <w:sz w:val="21"/>
          <w:szCs w:val="21"/>
          <w:highlight w:val="none"/>
        </w:rPr>
        <w:t>方案提出合理性建议的，乙方应负责调整。</w:t>
      </w:r>
    </w:p>
    <w:p w14:paraId="1001B181">
      <w:pPr>
        <w:snapToGrid w:val="0"/>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2</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乙方应</w:t>
      </w:r>
      <w:r>
        <w:rPr>
          <w:rFonts w:hint="eastAsia" w:ascii="宋体" w:hAnsi="宋体" w:eastAsia="宋体"/>
          <w:b w:val="0"/>
          <w:bCs w:val="0"/>
          <w:color w:val="auto"/>
          <w:sz w:val="21"/>
          <w:szCs w:val="21"/>
          <w:highlight w:val="none"/>
        </w:rPr>
        <w:t>符合设计图纸、按</w:t>
      </w:r>
      <w:r>
        <w:rPr>
          <w:rFonts w:hint="eastAsia" w:ascii="宋体" w:hAnsi="宋体" w:eastAsia="宋体"/>
          <w:b w:val="0"/>
          <w:bCs w:val="0"/>
          <w:color w:val="auto"/>
          <w:sz w:val="21"/>
          <w:szCs w:val="21"/>
          <w:highlight w:val="none"/>
          <w:lang w:eastAsia="zh-CN"/>
        </w:rPr>
        <w:t>国家标准、行业标准</w:t>
      </w:r>
      <w:r>
        <w:rPr>
          <w:rFonts w:hint="eastAsia" w:ascii="宋体" w:hAnsi="宋体" w:eastAsia="宋体"/>
          <w:b w:val="0"/>
          <w:bCs w:val="0"/>
          <w:color w:val="auto"/>
          <w:sz w:val="21"/>
          <w:szCs w:val="21"/>
          <w:highlight w:val="none"/>
        </w:rPr>
        <w:t>合格标准及相关建筑、检测</w:t>
      </w:r>
      <w:r>
        <w:rPr>
          <w:rFonts w:hint="eastAsia" w:ascii="宋体" w:hAnsi="宋体"/>
          <w:b w:val="0"/>
          <w:bCs w:val="0"/>
          <w:color w:val="auto"/>
          <w:sz w:val="21"/>
          <w:szCs w:val="21"/>
          <w:highlight w:val="none"/>
          <w:lang w:val="en-US" w:eastAsia="zh-CN"/>
        </w:rPr>
        <w:t>监测</w:t>
      </w:r>
      <w:r>
        <w:rPr>
          <w:rFonts w:hint="eastAsia" w:ascii="宋体" w:hAnsi="宋体" w:eastAsia="宋体"/>
          <w:b w:val="0"/>
          <w:bCs w:val="0"/>
          <w:color w:val="auto"/>
          <w:sz w:val="21"/>
          <w:szCs w:val="21"/>
          <w:highlight w:val="none"/>
        </w:rPr>
        <w:t>规范要求</w:t>
      </w:r>
      <w:r>
        <w:rPr>
          <w:rFonts w:hint="eastAsia" w:ascii="宋体" w:hAnsi="宋体"/>
          <w:b w:val="0"/>
          <w:bCs w:val="0"/>
          <w:color w:val="auto"/>
          <w:sz w:val="21"/>
          <w:szCs w:val="21"/>
          <w:highlight w:val="none"/>
        </w:rPr>
        <w:t>进行</w:t>
      </w:r>
      <w:r>
        <w:rPr>
          <w:rFonts w:hint="eastAsia" w:ascii="宋体" w:hAnsi="宋体"/>
          <w:b w:val="0"/>
          <w:bCs w:val="0"/>
          <w:color w:val="auto"/>
          <w:sz w:val="21"/>
          <w:szCs w:val="21"/>
          <w:highlight w:val="none"/>
          <w:lang w:eastAsia="zh-CN"/>
        </w:rPr>
        <w:t>检测</w:t>
      </w:r>
      <w:r>
        <w:rPr>
          <w:rFonts w:hint="eastAsia" w:ascii="宋体" w:hAnsi="宋体"/>
          <w:b w:val="0"/>
          <w:bCs w:val="0"/>
          <w:color w:val="auto"/>
          <w:sz w:val="21"/>
          <w:szCs w:val="21"/>
          <w:highlight w:val="none"/>
          <w:lang w:val="en-US" w:eastAsia="zh-CN"/>
        </w:rPr>
        <w:t>监测</w:t>
      </w:r>
      <w:r>
        <w:rPr>
          <w:rFonts w:hint="eastAsia" w:ascii="宋体" w:hAnsi="宋体"/>
          <w:b w:val="0"/>
          <w:bCs w:val="0"/>
          <w:color w:val="auto"/>
          <w:sz w:val="21"/>
          <w:szCs w:val="21"/>
          <w:highlight w:val="none"/>
          <w:lang w:eastAsia="zh-CN"/>
        </w:rPr>
        <w:t>，检测</w:t>
      </w:r>
      <w:r>
        <w:rPr>
          <w:rFonts w:hint="eastAsia" w:ascii="宋体" w:hAnsi="宋体"/>
          <w:b w:val="0"/>
          <w:bCs w:val="0"/>
          <w:color w:val="auto"/>
          <w:sz w:val="21"/>
          <w:szCs w:val="21"/>
          <w:highlight w:val="none"/>
          <w:lang w:val="en-US" w:eastAsia="zh-CN"/>
        </w:rPr>
        <w:t>监测</w:t>
      </w:r>
      <w:r>
        <w:rPr>
          <w:rFonts w:hint="eastAsia" w:ascii="宋体" w:hAnsi="宋体"/>
          <w:b w:val="0"/>
          <w:bCs w:val="0"/>
          <w:color w:val="auto"/>
          <w:sz w:val="21"/>
          <w:szCs w:val="21"/>
          <w:highlight w:val="none"/>
        </w:rPr>
        <w:t>方案按本合同约定的时间提交合格的成果资料，并对其负责。</w:t>
      </w:r>
    </w:p>
    <w:p w14:paraId="0870752C">
      <w:pPr>
        <w:snapToGrid w:val="0"/>
        <w:spacing w:line="360" w:lineRule="auto"/>
        <w:ind w:firstLine="420" w:firstLineChars="200"/>
        <w:jc w:val="left"/>
        <w:rPr>
          <w:rFonts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3</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检测完成后应向甲方、监理单位提供详细的检测</w:t>
      </w:r>
      <w:r>
        <w:rPr>
          <w:rFonts w:hint="eastAsia" w:ascii="宋体" w:hAnsi="宋体"/>
          <w:b w:val="0"/>
          <w:bCs w:val="0"/>
          <w:color w:val="auto"/>
          <w:sz w:val="21"/>
          <w:szCs w:val="21"/>
          <w:highlight w:val="none"/>
          <w:lang w:eastAsia="zh-CN"/>
        </w:rPr>
        <w:t>报告；监测单位应每周编制周报报送甲方</w:t>
      </w:r>
      <w:r>
        <w:rPr>
          <w:rFonts w:hint="eastAsia" w:ascii="宋体" w:hAnsi="宋体"/>
          <w:b w:val="0"/>
          <w:bCs w:val="0"/>
          <w:color w:val="auto"/>
          <w:sz w:val="21"/>
          <w:szCs w:val="21"/>
          <w:highlight w:val="none"/>
        </w:rPr>
        <w:t>、监理单位，每月底向甲方、监理单位提交阶段性小结报告，检测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人员在每次检测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完后必须在现场及时向甲方、监理单位、施工单位通报检测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结果情况，尤其当检测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数据出现异常情况时更要及时通报，否则因通报不及时造成的损害由乙方负责；全部检测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工作完成后，提供</w:t>
      </w:r>
      <w:r>
        <w:rPr>
          <w:rFonts w:hint="eastAsia" w:ascii="宋体" w:hAnsi="宋体"/>
          <w:b w:val="0"/>
          <w:bCs w:val="0"/>
          <w:color w:val="auto"/>
          <w:sz w:val="21"/>
          <w:szCs w:val="21"/>
          <w:highlight w:val="none"/>
          <w:lang w:eastAsia="zh-CN"/>
        </w:rPr>
        <w:t>全部</w:t>
      </w:r>
      <w:r>
        <w:rPr>
          <w:rFonts w:hint="eastAsia" w:ascii="宋体" w:hAnsi="宋体"/>
          <w:b w:val="0"/>
          <w:bCs w:val="0"/>
          <w:color w:val="auto"/>
          <w:sz w:val="21"/>
          <w:szCs w:val="21"/>
          <w:highlight w:val="none"/>
        </w:rPr>
        <w:t>成果书面资料一式八份。</w:t>
      </w:r>
    </w:p>
    <w:p w14:paraId="77B224F4">
      <w:pPr>
        <w:snapToGrid w:val="0"/>
        <w:spacing w:line="360" w:lineRule="auto"/>
        <w:ind w:firstLine="420" w:firstLineChars="200"/>
        <w:jc w:val="left"/>
        <w:rPr>
          <w:rFonts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4</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负责各检测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点的维护和保护工作。</w:t>
      </w:r>
    </w:p>
    <w:p w14:paraId="7BED3A54">
      <w:pPr>
        <w:snapToGrid w:val="0"/>
        <w:spacing w:line="360" w:lineRule="auto"/>
        <w:ind w:firstLine="420" w:firstLineChars="200"/>
        <w:jc w:val="left"/>
        <w:rPr>
          <w:rFonts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5</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乙方在检测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过程中发现结果有重大异常或与检测</w:t>
      </w:r>
      <w:r>
        <w:rPr>
          <w:rFonts w:hint="eastAsia" w:ascii="宋体" w:hAnsi="宋体"/>
          <w:b w:val="0"/>
          <w:bCs w:val="0"/>
          <w:color w:val="auto"/>
          <w:sz w:val="21"/>
          <w:szCs w:val="21"/>
          <w:highlight w:val="none"/>
          <w:lang w:eastAsia="zh-CN"/>
        </w:rPr>
        <w:t>监测</w:t>
      </w:r>
      <w:r>
        <w:rPr>
          <w:rFonts w:hint="eastAsia" w:ascii="宋体" w:hAnsi="宋体"/>
          <w:b w:val="0"/>
          <w:bCs w:val="0"/>
          <w:color w:val="auto"/>
          <w:sz w:val="21"/>
          <w:szCs w:val="21"/>
          <w:highlight w:val="none"/>
        </w:rPr>
        <w:t>结果分析工程可能存在重大质量缺陷或质量问题时，应当及时报告主管质监机构和甲方及监理单位。</w:t>
      </w:r>
    </w:p>
    <w:p w14:paraId="4ACA9F4B">
      <w:pPr>
        <w:snapToGrid w:val="0"/>
        <w:spacing w:line="360" w:lineRule="auto"/>
        <w:ind w:firstLine="420" w:firstLineChars="200"/>
        <w:jc w:val="left"/>
        <w:rPr>
          <w:rFonts w:ascii="宋体" w:hAnsi="宋体"/>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6</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乙方应由合同所承诺的项目管理组完成本合同</w:t>
      </w:r>
      <w:r>
        <w:rPr>
          <w:rFonts w:hint="eastAsia" w:ascii="宋体" w:hAnsi="宋体"/>
          <w:b w:val="0"/>
          <w:bCs w:val="0"/>
          <w:color w:val="auto"/>
          <w:sz w:val="21"/>
          <w:szCs w:val="21"/>
          <w:highlight w:val="none"/>
          <w:lang w:eastAsia="zh-CN"/>
        </w:rPr>
        <w:t>全部的</w:t>
      </w:r>
      <w:r>
        <w:rPr>
          <w:rFonts w:hint="eastAsia" w:ascii="宋体" w:hAnsi="宋体"/>
          <w:b w:val="0"/>
          <w:bCs w:val="0"/>
          <w:color w:val="auto"/>
          <w:sz w:val="21"/>
          <w:szCs w:val="21"/>
          <w:highlight w:val="none"/>
        </w:rPr>
        <w:t>检测</w:t>
      </w:r>
      <w:r>
        <w:rPr>
          <w:rFonts w:hint="eastAsia" w:ascii="宋体" w:hAnsi="宋体"/>
          <w:b w:val="0"/>
          <w:bCs w:val="0"/>
          <w:color w:val="auto"/>
          <w:sz w:val="21"/>
          <w:szCs w:val="21"/>
          <w:highlight w:val="none"/>
          <w:lang w:eastAsia="zh-CN"/>
        </w:rPr>
        <w:t>及监测</w:t>
      </w:r>
      <w:r>
        <w:rPr>
          <w:rFonts w:hint="eastAsia" w:ascii="宋体" w:hAnsi="宋体"/>
          <w:b w:val="0"/>
          <w:bCs w:val="0"/>
          <w:color w:val="auto"/>
          <w:sz w:val="21"/>
          <w:szCs w:val="21"/>
          <w:highlight w:val="none"/>
        </w:rPr>
        <w:t>服务工作，项目负责</w:t>
      </w:r>
      <w:r>
        <w:rPr>
          <w:rFonts w:hint="eastAsia" w:ascii="宋体" w:hAnsi="宋体"/>
          <w:b w:val="0"/>
          <w:bCs w:val="0"/>
          <w:color w:val="auto"/>
          <w:sz w:val="21"/>
          <w:szCs w:val="21"/>
          <w:highlight w:val="none"/>
          <w:lang w:eastAsia="zh-CN"/>
        </w:rPr>
        <w:t>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lang w:eastAsia="zh-CN"/>
        </w:rPr>
        <w:t>，</w:t>
      </w:r>
      <w:r>
        <w:rPr>
          <w:rFonts w:hint="eastAsia" w:ascii="宋体" w:hAnsi="宋体"/>
          <w:color w:val="auto"/>
          <w:sz w:val="21"/>
          <w:szCs w:val="21"/>
          <w:highlight w:val="none"/>
          <w:u w:val="none"/>
          <w:lang w:eastAsia="zh-CN"/>
        </w:rPr>
        <w:t>驻点人员</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lang w:val="en-US" w:eastAsia="zh-CN"/>
        </w:rPr>
        <w:t>电话</w:t>
      </w:r>
      <w:r>
        <w:rPr>
          <w:rFonts w:hint="eastAsia" w:ascii="宋体" w:hAnsi="宋体"/>
          <w:color w:val="auto"/>
          <w:sz w:val="21"/>
          <w:szCs w:val="21"/>
          <w:highlight w:val="none"/>
          <w:u w:val="single"/>
          <w:lang w:val="en-US" w:eastAsia="zh-CN"/>
        </w:rPr>
        <w:t>：     ，</w:t>
      </w:r>
      <w:r>
        <w:rPr>
          <w:rFonts w:hint="eastAsia" w:ascii="宋体" w:hAnsi="宋体"/>
          <w:color w:val="auto"/>
          <w:sz w:val="21"/>
          <w:szCs w:val="21"/>
          <w:highlight w:val="none"/>
        </w:rPr>
        <w:t>并确保其委派的关键（主要）岗位负责人在本合同期间持续稳定地在该项目管理组工作。</w:t>
      </w:r>
    </w:p>
    <w:p w14:paraId="0966D209">
      <w:pPr>
        <w:keepNext w:val="0"/>
        <w:keepLines w:val="0"/>
        <w:pageBreakBefore w:val="0"/>
        <w:kinsoku/>
        <w:wordWrap/>
        <w:topLinePunct w:val="0"/>
        <w:bidi w:val="0"/>
        <w:snapToGrid w:val="0"/>
        <w:spacing w:line="360" w:lineRule="auto"/>
        <w:ind w:firstLine="420" w:firstLineChars="200"/>
        <w:textAlignment w:val="auto"/>
        <w:rPr>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须坚持“安全第一、预防为主”和“管生产必须管安全”的原则，建立健全安全生产责任制。在任何时候都应采取各种合理的预防措施，必须按照本工程项目特点，组织制定本工程实施中的生产安全事故应急救援预案。如乙方在工作过程中发生自身人员或对第三方造成意外伤害或财产损失的，所有责任和费用由乙方自行承担</w:t>
      </w:r>
      <w:r>
        <w:rPr>
          <w:szCs w:val="21"/>
          <w:highlight w:val="none"/>
        </w:rPr>
        <w:t>。</w:t>
      </w:r>
    </w:p>
    <w:p w14:paraId="69DE646B">
      <w:pPr>
        <w:pStyle w:val="11"/>
        <w:keepNext w:val="0"/>
        <w:keepLines w:val="0"/>
        <w:pageBreakBefore w:val="0"/>
        <w:kinsoku/>
        <w:wordWrap/>
        <w:topLinePunct w:val="0"/>
        <w:bidi w:val="0"/>
        <w:snapToGrid w:val="0"/>
        <w:spacing w:line="360" w:lineRule="auto"/>
        <w:ind w:firstLine="422" w:firstLineChars="200"/>
        <w:textAlignment w:val="auto"/>
        <w:outlineLvl w:val="1"/>
        <w:rPr>
          <w:rFonts w:ascii="Times New Roman"/>
          <w:sz w:val="21"/>
          <w:szCs w:val="21"/>
          <w:highlight w:val="none"/>
        </w:rPr>
      </w:pPr>
      <w:r>
        <w:rPr>
          <w:rFonts w:ascii="Times New Roman"/>
          <w:b/>
          <w:sz w:val="21"/>
          <w:szCs w:val="21"/>
          <w:highlight w:val="none"/>
        </w:rPr>
        <w:t>九、质量保证及后续服务</w:t>
      </w:r>
    </w:p>
    <w:p w14:paraId="240BDA6D">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1.</w:t>
      </w:r>
      <w:r>
        <w:rPr>
          <w:rFonts w:hint="eastAsia" w:ascii="Times New Roman"/>
          <w:sz w:val="21"/>
          <w:szCs w:val="21"/>
          <w:highlight w:val="none"/>
        </w:rPr>
        <w:t>乙方应按招标文件规定向甲方提供服务，并对其质量负责。乙方应以高度的责任心和严谨的工作作风，按照甲方的要求，按时保质保量完成合同约定的工作任务，自行承担工作过程中的所产生的交通、食宿等差旅费用、设备费用以及工作报酬相应的税金等。</w:t>
      </w:r>
    </w:p>
    <w:p w14:paraId="29BAB33B">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2.</w:t>
      </w:r>
      <w:r>
        <w:rPr>
          <w:rFonts w:hint="eastAsia" w:ascii="Times New Roman"/>
          <w:sz w:val="21"/>
          <w:szCs w:val="21"/>
          <w:highlight w:val="none"/>
        </w:rPr>
        <w:t>乙方对提供的服务成果报告出现的遗漏或错误负责修改补充，由于乙方的遗漏或错误造成工程质量事故，乙方除负法律责任和负责采取补救措施外，应免收相应服务费且免费提供后续服务。对达不到要求者，根据实际情况，双方协商处理。</w:t>
      </w:r>
    </w:p>
    <w:p w14:paraId="22A5A10F">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3.</w:t>
      </w:r>
      <w:r>
        <w:rPr>
          <w:rFonts w:hint="eastAsia" w:ascii="Times New Roman"/>
          <w:sz w:val="21"/>
          <w:szCs w:val="21"/>
          <w:highlight w:val="none"/>
        </w:rPr>
        <w:t>如在使用过程中发生问题，乙方在接到甲方通知后在24小时内到达现场处理。</w:t>
      </w:r>
    </w:p>
    <w:p w14:paraId="3837A165">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4.</w:t>
      </w:r>
      <w:r>
        <w:rPr>
          <w:rFonts w:hint="eastAsia" w:ascii="Times New Roman"/>
          <w:sz w:val="21"/>
          <w:szCs w:val="21"/>
          <w:highlight w:val="none"/>
        </w:rPr>
        <w:t>在服务质量保证期内，乙方应对出现的质量及安全问题负责处理解决并承担一切费用。</w:t>
      </w:r>
    </w:p>
    <w:p w14:paraId="6D303E5A">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5.</w:t>
      </w:r>
      <w:r>
        <w:rPr>
          <w:rFonts w:hint="eastAsia" w:ascii="Times New Roman"/>
          <w:sz w:val="21"/>
          <w:szCs w:val="21"/>
          <w:highlight w:val="none"/>
        </w:rPr>
        <w:t>乙方应无偿为甲方负责验算现场已做方案的安全性及帮助甲方设计加固措施及方案。</w:t>
      </w:r>
    </w:p>
    <w:p w14:paraId="2B748A86">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6.</w:t>
      </w:r>
      <w:r>
        <w:rPr>
          <w:rFonts w:hint="eastAsia" w:ascii="Times New Roman"/>
          <w:sz w:val="21"/>
          <w:szCs w:val="21"/>
          <w:highlight w:val="none"/>
        </w:rPr>
        <w:t>乙方在接到甲方测试通知后，24小时内将设备运至现场，以确保按甲方要求圆满完成测试任务。</w:t>
      </w:r>
    </w:p>
    <w:p w14:paraId="79F8C12E">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7.</w:t>
      </w:r>
      <w:r>
        <w:rPr>
          <w:rFonts w:hint="eastAsia" w:ascii="Times New Roman"/>
          <w:sz w:val="21"/>
          <w:szCs w:val="21"/>
          <w:highlight w:val="none"/>
        </w:rPr>
        <w:t>配合甲方做好试验位置的选定工作，提出技术要求，并在该项工作进行过程中实施监督或技术指导。</w:t>
      </w:r>
    </w:p>
    <w:p w14:paraId="52CB1EB7">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8.</w:t>
      </w:r>
      <w:r>
        <w:rPr>
          <w:rFonts w:hint="eastAsia" w:ascii="Times New Roman"/>
          <w:sz w:val="21"/>
          <w:szCs w:val="21"/>
          <w:highlight w:val="none"/>
        </w:rPr>
        <w:t>试验过程中，若有必要随时提供中间测试结果，供甲方参考。</w:t>
      </w:r>
    </w:p>
    <w:p w14:paraId="2E959DB9">
      <w:pPr>
        <w:pStyle w:val="11"/>
        <w:snapToGrid w:val="0"/>
        <w:spacing w:line="360" w:lineRule="auto"/>
        <w:ind w:firstLine="420" w:firstLineChars="200"/>
        <w:rPr>
          <w:rFonts w:hint="eastAsia" w:ascii="Times New Roman"/>
          <w:sz w:val="21"/>
          <w:szCs w:val="21"/>
          <w:highlight w:val="none"/>
        </w:rPr>
      </w:pPr>
      <w:r>
        <w:rPr>
          <w:rFonts w:hint="eastAsia" w:ascii="Times New Roman"/>
          <w:sz w:val="21"/>
          <w:szCs w:val="21"/>
          <w:highlight w:val="none"/>
          <w:lang w:val="en-US" w:eastAsia="zh-CN"/>
        </w:rPr>
        <w:t>9.</w:t>
      </w:r>
      <w:r>
        <w:rPr>
          <w:rFonts w:hint="eastAsia" w:ascii="Times New Roman"/>
          <w:sz w:val="21"/>
          <w:szCs w:val="21"/>
          <w:highlight w:val="none"/>
        </w:rPr>
        <w:t>检测及监测过程中应注意安全，对于该过程中所发生的一切安全事故由乙方自行负责，并承担相关设备费用。</w:t>
      </w:r>
    </w:p>
    <w:p w14:paraId="250CA095">
      <w:pPr>
        <w:pStyle w:val="11"/>
        <w:snapToGrid w:val="0"/>
        <w:spacing w:line="360" w:lineRule="auto"/>
        <w:ind w:firstLine="420" w:firstLineChars="200"/>
        <w:rPr>
          <w:rFonts w:hint="eastAsia" w:ascii="Times New Roman" w:eastAsia="宋体"/>
          <w:sz w:val="21"/>
          <w:szCs w:val="21"/>
          <w:highlight w:val="none"/>
        </w:rPr>
      </w:pPr>
      <w:r>
        <w:rPr>
          <w:rFonts w:hint="eastAsia" w:ascii="Times New Roman"/>
          <w:sz w:val="21"/>
          <w:szCs w:val="21"/>
          <w:highlight w:val="none"/>
          <w:lang w:val="en-US" w:eastAsia="zh-CN"/>
        </w:rPr>
        <w:t>10.</w:t>
      </w:r>
      <w:r>
        <w:rPr>
          <w:rFonts w:hint="eastAsia" w:ascii="Times New Roman"/>
          <w:sz w:val="21"/>
          <w:szCs w:val="21"/>
          <w:highlight w:val="none"/>
        </w:rPr>
        <w:t>如实际工作过程中，检测监测数量因工期、特殊情况多于招标文件中的最少数量，乙方应无条件按实际</w:t>
      </w:r>
      <w:r>
        <w:rPr>
          <w:rFonts w:hint="eastAsia" w:ascii="Times New Roman" w:eastAsia="宋体"/>
          <w:sz w:val="21"/>
          <w:szCs w:val="21"/>
          <w:highlight w:val="none"/>
        </w:rPr>
        <w:t>情况增加检测监测数量，费用按照合同价款，不予增加。</w:t>
      </w:r>
    </w:p>
    <w:p w14:paraId="45DCAB41">
      <w:pPr>
        <w:pStyle w:val="11"/>
        <w:snapToGrid w:val="0"/>
        <w:spacing w:line="360" w:lineRule="auto"/>
        <w:ind w:firstLine="420" w:firstLineChars="200"/>
        <w:rPr>
          <w:rFonts w:hint="eastAsia" w:ascii="Times New Roman" w:eastAsia="宋体"/>
          <w:sz w:val="21"/>
          <w:szCs w:val="21"/>
          <w:highlight w:val="none"/>
        </w:rPr>
      </w:pPr>
      <w:r>
        <w:rPr>
          <w:rFonts w:hint="eastAsia" w:ascii="Times New Roman" w:eastAsia="宋体"/>
          <w:sz w:val="21"/>
          <w:szCs w:val="21"/>
          <w:highlight w:val="none"/>
          <w:lang w:val="en-US" w:eastAsia="zh-CN"/>
        </w:rPr>
        <w:t>11.</w:t>
      </w:r>
      <w:r>
        <w:rPr>
          <w:rFonts w:hint="eastAsia" w:ascii="Times New Roman" w:eastAsia="宋体"/>
          <w:sz w:val="21"/>
          <w:szCs w:val="21"/>
          <w:highlight w:val="none"/>
        </w:rPr>
        <w:t>在服务质量保证期内，乙方应对出现的质量及安全问题负责处理解决并承担一切费用。</w:t>
      </w:r>
    </w:p>
    <w:p w14:paraId="3F52FABD">
      <w:pPr>
        <w:pStyle w:val="11"/>
        <w:keepNext w:val="0"/>
        <w:keepLines w:val="0"/>
        <w:pageBreakBefore w:val="0"/>
        <w:kinsoku/>
        <w:wordWrap/>
        <w:topLinePunct w:val="0"/>
        <w:bidi w:val="0"/>
        <w:snapToGrid w:val="0"/>
        <w:spacing w:line="360" w:lineRule="auto"/>
        <w:ind w:firstLine="422" w:firstLineChars="200"/>
        <w:textAlignment w:val="auto"/>
        <w:outlineLvl w:val="1"/>
        <w:rPr>
          <w:rFonts w:ascii="Times New Roman"/>
          <w:b/>
          <w:sz w:val="21"/>
          <w:szCs w:val="21"/>
          <w:highlight w:val="none"/>
        </w:rPr>
      </w:pPr>
      <w:r>
        <w:rPr>
          <w:rFonts w:ascii="Times New Roman"/>
          <w:b/>
          <w:sz w:val="21"/>
          <w:szCs w:val="21"/>
          <w:highlight w:val="none"/>
        </w:rPr>
        <w:t>十、违约责任</w:t>
      </w:r>
    </w:p>
    <w:p w14:paraId="5DA1B9F9">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ascii="Times New Roman"/>
          <w:sz w:val="21"/>
          <w:szCs w:val="21"/>
          <w:highlight w:val="none"/>
        </w:rPr>
      </w:pPr>
      <w:r>
        <w:rPr>
          <w:rFonts w:ascii="Times New Roman"/>
          <w:sz w:val="21"/>
          <w:szCs w:val="21"/>
          <w:highlight w:val="none"/>
        </w:rPr>
        <w:t xml:space="preserve">1．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74971DC">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lang w:val="en-US" w:eastAsia="zh-CN"/>
        </w:rPr>
        <w:t>2.</w:t>
      </w:r>
      <w:r>
        <w:rPr>
          <w:rFonts w:hint="eastAsia" w:ascii="Times New Roman"/>
          <w:sz w:val="21"/>
          <w:szCs w:val="21"/>
          <w:highlight w:val="none"/>
          <w:lang w:eastAsia="zh-CN"/>
        </w:rPr>
        <w:t>乙方</w:t>
      </w:r>
      <w:r>
        <w:rPr>
          <w:rFonts w:hint="eastAsia" w:ascii="Times New Roman"/>
          <w:sz w:val="21"/>
          <w:szCs w:val="21"/>
          <w:highlight w:val="none"/>
        </w:rPr>
        <w:t>提交的检测及监测成果资料未达到国家现行检测规范标准要求的，</w:t>
      </w:r>
      <w:r>
        <w:rPr>
          <w:rFonts w:hint="eastAsia" w:ascii="Times New Roman"/>
          <w:sz w:val="21"/>
          <w:szCs w:val="21"/>
          <w:highlight w:val="none"/>
          <w:lang w:eastAsia="zh-CN"/>
        </w:rPr>
        <w:t>乙方</w:t>
      </w:r>
      <w:r>
        <w:rPr>
          <w:rFonts w:hint="eastAsia" w:ascii="Times New Roman"/>
          <w:sz w:val="21"/>
          <w:szCs w:val="21"/>
          <w:highlight w:val="none"/>
        </w:rPr>
        <w:t>应无条件返工，并承担一切返工费用，同时应赔偿由此造成的经济损失。如返工仍不合格，</w:t>
      </w:r>
      <w:r>
        <w:rPr>
          <w:rFonts w:hint="eastAsia" w:ascii="Times New Roman"/>
          <w:sz w:val="21"/>
          <w:szCs w:val="21"/>
          <w:highlight w:val="none"/>
          <w:lang w:eastAsia="zh-CN"/>
        </w:rPr>
        <w:t>甲方</w:t>
      </w:r>
      <w:r>
        <w:rPr>
          <w:rFonts w:hint="eastAsia" w:ascii="Times New Roman"/>
          <w:sz w:val="21"/>
          <w:szCs w:val="21"/>
          <w:highlight w:val="none"/>
        </w:rPr>
        <w:t>将对</w:t>
      </w:r>
      <w:r>
        <w:rPr>
          <w:rFonts w:hint="eastAsia" w:ascii="Times New Roman"/>
          <w:sz w:val="21"/>
          <w:szCs w:val="21"/>
          <w:highlight w:val="none"/>
          <w:lang w:eastAsia="zh-CN"/>
        </w:rPr>
        <w:t>乙方</w:t>
      </w:r>
      <w:r>
        <w:rPr>
          <w:rFonts w:hint="eastAsia" w:ascii="Times New Roman"/>
          <w:sz w:val="21"/>
          <w:szCs w:val="21"/>
          <w:highlight w:val="none"/>
        </w:rPr>
        <w:t>处以具体项目合同价10%的违约金，并赔偿由此造成的经济损失。</w:t>
      </w:r>
    </w:p>
    <w:p w14:paraId="141A6F73">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lang w:val="en-US" w:eastAsia="zh-CN"/>
        </w:rPr>
        <w:t>3.</w:t>
      </w:r>
      <w:r>
        <w:rPr>
          <w:rFonts w:hint="eastAsia" w:ascii="Times New Roman"/>
          <w:sz w:val="21"/>
          <w:szCs w:val="21"/>
          <w:highlight w:val="none"/>
        </w:rPr>
        <w:t>由于</w:t>
      </w:r>
      <w:r>
        <w:rPr>
          <w:rFonts w:hint="eastAsia" w:ascii="Times New Roman"/>
          <w:sz w:val="21"/>
          <w:szCs w:val="21"/>
          <w:highlight w:val="none"/>
          <w:lang w:eastAsia="zh-CN"/>
        </w:rPr>
        <w:t>乙方</w:t>
      </w:r>
      <w:r>
        <w:rPr>
          <w:rFonts w:hint="eastAsia" w:ascii="Times New Roman"/>
          <w:sz w:val="21"/>
          <w:szCs w:val="21"/>
          <w:highlight w:val="none"/>
        </w:rPr>
        <w:t>原因未按合同规定时间（日期）提交检测成果资料，每逾期一日，每天处以100元的违约金。</w:t>
      </w:r>
    </w:p>
    <w:p w14:paraId="5E7215B5">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lang w:val="en-US" w:eastAsia="zh-CN"/>
        </w:rPr>
        <w:t>4.</w:t>
      </w:r>
      <w:r>
        <w:rPr>
          <w:rFonts w:hint="eastAsia" w:ascii="Times New Roman"/>
          <w:sz w:val="21"/>
          <w:szCs w:val="21"/>
          <w:highlight w:val="none"/>
        </w:rPr>
        <w:t>合同执行期间，乙方检测及监测人员不能胜任本职工作，而乙方又不能按甲方要求及时更换，或乙方在接到甲方的通知后未按规定增派或雇用检测及监测人员（尽管乙方已按技术建议书中的人员进场计划派遣了检测及监测人员，但若甲方认为现场人员仍不足以满足施工服务的需要而影响了对工程的检测或监测时，甲方有权要求乙方另外增派或雇用技术人员），甲方有权要求乙方另外增派或雇用技术人员。乙方在接到通知后应立即执行甲方的指示，不得无故拖延。</w:t>
      </w:r>
    </w:p>
    <w:p w14:paraId="6DCF1B93">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lang w:val="en-US" w:eastAsia="zh-CN"/>
        </w:rPr>
        <w:t>5.</w:t>
      </w:r>
      <w:r>
        <w:rPr>
          <w:rFonts w:hint="eastAsia" w:ascii="Times New Roman"/>
          <w:sz w:val="21"/>
          <w:szCs w:val="21"/>
          <w:highlight w:val="none"/>
        </w:rPr>
        <w:t>人员到位率：在爆破施工期间乙方在接到甲方通知2小时内到场，未按时到场计取违约金2000元/次。其他施工期间乙方在接到甲方通知12小时内到场，未按时到场计取违约金2000元/次。</w:t>
      </w:r>
    </w:p>
    <w:p w14:paraId="04F1ADC9">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lang w:val="en-US" w:eastAsia="zh-CN"/>
        </w:rPr>
        <w:t>6.</w:t>
      </w:r>
      <w:r>
        <w:rPr>
          <w:rFonts w:hint="eastAsia" w:ascii="Times New Roman"/>
          <w:sz w:val="21"/>
          <w:szCs w:val="21"/>
          <w:highlight w:val="none"/>
        </w:rPr>
        <w:t>人员的更换：</w:t>
      </w:r>
    </w:p>
    <w:p w14:paraId="2186F27E">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rPr>
        <w:t>（1）一般情况下，乙方派出的项目班子人员应与投标书中报送的人员名单相一致。若乙方需要更换人员时，更换人员的资质不得低于原人员的资质，并应事先得到甲方的批准。</w:t>
      </w:r>
    </w:p>
    <w:p w14:paraId="29229B15">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rPr>
        <w:t>乙方擅自更换项目负责人、技术负责人的，应向甲方交纳10000元违约金，更换其余人员应交纳5000元/人违约金，如乙方未缴纳，甲方有权在服务费直接扣取。</w:t>
      </w:r>
    </w:p>
    <w:p w14:paraId="386A7FB5">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hint="eastAsia" w:ascii="Times New Roman"/>
          <w:sz w:val="21"/>
          <w:szCs w:val="21"/>
          <w:highlight w:val="none"/>
        </w:rPr>
      </w:pPr>
      <w:r>
        <w:rPr>
          <w:rFonts w:hint="eastAsia" w:ascii="Times New Roman"/>
          <w:sz w:val="21"/>
          <w:szCs w:val="21"/>
          <w:highlight w:val="none"/>
        </w:rPr>
        <w:t>（2）甲方有权要求乙方撤换不称职的项目管理组成员，乙方应在48小时内作出更换，不得拒绝，与此相关的费用及任何损害赔偿和责任均由乙方自行负责；乙方拒绝更换的，应按5000元/次/人向甲方支付违约金，如乙方不支付的，甲方有权在当期服务费或履约担保金中直接扣取。</w:t>
      </w:r>
    </w:p>
    <w:p w14:paraId="5ABEEE8B">
      <w:pPr>
        <w:pStyle w:val="11"/>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textAlignment w:val="auto"/>
        <w:rPr>
          <w:rFonts w:ascii="Times New Roman"/>
          <w:sz w:val="21"/>
          <w:szCs w:val="21"/>
          <w:highlight w:val="none"/>
        </w:rPr>
      </w:pPr>
      <w:r>
        <w:rPr>
          <w:rFonts w:hint="eastAsia" w:ascii="Times New Roman"/>
          <w:sz w:val="21"/>
          <w:szCs w:val="21"/>
          <w:highlight w:val="none"/>
        </w:rPr>
        <w:t>（3）如果乙方需要对其在技术建议书中提出的人员进场计划进行调整，必须事先经过甲方的批准。</w:t>
      </w:r>
    </w:p>
    <w:p w14:paraId="55034DD6">
      <w:pPr>
        <w:pStyle w:val="11"/>
        <w:keepNext w:val="0"/>
        <w:keepLines w:val="0"/>
        <w:pageBreakBefore w:val="0"/>
        <w:kinsoku/>
        <w:wordWrap/>
        <w:topLinePunct w:val="0"/>
        <w:bidi w:val="0"/>
        <w:snapToGrid w:val="0"/>
        <w:spacing w:line="360" w:lineRule="auto"/>
        <w:ind w:firstLine="422" w:firstLineChars="200"/>
        <w:textAlignment w:val="auto"/>
        <w:outlineLvl w:val="1"/>
        <w:rPr>
          <w:rFonts w:ascii="Times New Roman"/>
          <w:b/>
          <w:sz w:val="21"/>
          <w:szCs w:val="21"/>
          <w:highlight w:val="none"/>
        </w:rPr>
      </w:pPr>
      <w:r>
        <w:rPr>
          <w:rFonts w:ascii="Times New Roman"/>
          <w:b/>
          <w:sz w:val="21"/>
          <w:szCs w:val="21"/>
          <w:highlight w:val="none"/>
        </w:rPr>
        <w:t>十一、不可抗力事件处理</w:t>
      </w:r>
    </w:p>
    <w:p w14:paraId="530752DE">
      <w:pPr>
        <w:pStyle w:val="11"/>
        <w:keepNext w:val="0"/>
        <w:keepLines w:val="0"/>
        <w:pageBreakBefore w:val="0"/>
        <w:kinsoku/>
        <w:wordWrap/>
        <w:topLinePunct w:val="0"/>
        <w:bidi w:val="0"/>
        <w:snapToGrid w:val="0"/>
        <w:spacing w:line="360" w:lineRule="auto"/>
        <w:ind w:firstLine="420" w:firstLineChars="200"/>
        <w:textAlignment w:val="auto"/>
        <w:rPr>
          <w:rFonts w:ascii="Times New Roman"/>
          <w:sz w:val="21"/>
          <w:szCs w:val="21"/>
          <w:highlight w:val="none"/>
        </w:rPr>
      </w:pPr>
      <w:r>
        <w:rPr>
          <w:rFonts w:ascii="Times New Roman"/>
          <w:sz w:val="21"/>
          <w:szCs w:val="21"/>
          <w:highlight w:val="none"/>
        </w:rPr>
        <w:t>1．在合同有效期内，任何一方因不可抗力事件导致不能履行合同，则合同履行期可延长，其延长期与不可抗力影响期相同。</w:t>
      </w:r>
    </w:p>
    <w:p w14:paraId="2EDAD2B9">
      <w:pPr>
        <w:pStyle w:val="11"/>
        <w:keepNext w:val="0"/>
        <w:keepLines w:val="0"/>
        <w:pageBreakBefore w:val="0"/>
        <w:kinsoku/>
        <w:wordWrap/>
        <w:topLinePunct w:val="0"/>
        <w:bidi w:val="0"/>
        <w:snapToGrid w:val="0"/>
        <w:spacing w:line="360" w:lineRule="auto"/>
        <w:ind w:firstLine="420" w:firstLineChars="200"/>
        <w:textAlignment w:val="auto"/>
        <w:rPr>
          <w:rFonts w:ascii="Times New Roman"/>
          <w:sz w:val="21"/>
          <w:szCs w:val="21"/>
          <w:highlight w:val="none"/>
        </w:rPr>
      </w:pPr>
      <w:r>
        <w:rPr>
          <w:rFonts w:ascii="Times New Roman"/>
          <w:sz w:val="21"/>
          <w:szCs w:val="21"/>
          <w:highlight w:val="none"/>
        </w:rPr>
        <w:t>2．不可抗力事件发生后，应立即通知对方，并寄送有关权威机构出具的证明。</w:t>
      </w:r>
    </w:p>
    <w:p w14:paraId="5AB2D2BE">
      <w:pPr>
        <w:pStyle w:val="11"/>
        <w:keepNext w:val="0"/>
        <w:keepLines w:val="0"/>
        <w:pageBreakBefore w:val="0"/>
        <w:kinsoku/>
        <w:wordWrap/>
        <w:topLinePunct w:val="0"/>
        <w:bidi w:val="0"/>
        <w:snapToGrid w:val="0"/>
        <w:spacing w:line="360" w:lineRule="auto"/>
        <w:ind w:firstLine="420" w:firstLineChars="200"/>
        <w:textAlignment w:val="auto"/>
        <w:rPr>
          <w:rFonts w:ascii="Times New Roman"/>
          <w:sz w:val="21"/>
          <w:szCs w:val="21"/>
          <w:highlight w:val="none"/>
        </w:rPr>
      </w:pPr>
      <w:r>
        <w:rPr>
          <w:rFonts w:ascii="Times New Roman"/>
          <w:sz w:val="21"/>
          <w:szCs w:val="21"/>
          <w:highlight w:val="none"/>
        </w:rPr>
        <w:t>3．不可抗力事件延续120天以上，双方应通过友好协商，确定是否继续履行合同。</w:t>
      </w:r>
    </w:p>
    <w:p w14:paraId="116BA186">
      <w:pPr>
        <w:keepNext w:val="0"/>
        <w:keepLines w:val="0"/>
        <w:pageBreakBefore w:val="0"/>
        <w:kinsoku/>
        <w:wordWrap/>
        <w:topLinePunct w:val="0"/>
        <w:bidi w:val="0"/>
        <w:spacing w:line="360" w:lineRule="auto"/>
        <w:ind w:firstLine="422" w:firstLineChars="200"/>
        <w:textAlignment w:val="auto"/>
        <w:outlineLvl w:val="1"/>
        <w:rPr>
          <w:b/>
          <w:szCs w:val="21"/>
          <w:highlight w:val="none"/>
        </w:rPr>
      </w:pPr>
      <w:r>
        <w:rPr>
          <w:b/>
          <w:szCs w:val="21"/>
          <w:highlight w:val="none"/>
        </w:rPr>
        <w:t>十二、争议的解决</w:t>
      </w:r>
    </w:p>
    <w:p w14:paraId="27F3573A">
      <w:pPr>
        <w:keepNext w:val="0"/>
        <w:keepLines w:val="0"/>
        <w:pageBreakBefore w:val="0"/>
        <w:kinsoku/>
        <w:wordWrap/>
        <w:topLinePunct w:val="0"/>
        <w:bidi w:val="0"/>
        <w:spacing w:line="360" w:lineRule="auto"/>
        <w:ind w:firstLine="420" w:firstLineChars="200"/>
        <w:textAlignment w:val="auto"/>
        <w:rPr>
          <w:szCs w:val="21"/>
          <w:highlight w:val="none"/>
        </w:rPr>
      </w:pPr>
      <w:r>
        <w:rPr>
          <w:szCs w:val="21"/>
          <w:highlight w:val="none"/>
        </w:rPr>
        <w:t>本合同为采购之合同，在发生所供商品的质量、售后服务等问题时，甲方有权直接向乙方索赔，签订必要的书面处理协议。如协商不成，在甲方所在地选择诉讼的途径解决。</w:t>
      </w:r>
    </w:p>
    <w:p w14:paraId="790AD856">
      <w:pPr>
        <w:keepNext w:val="0"/>
        <w:keepLines w:val="0"/>
        <w:pageBreakBefore w:val="0"/>
        <w:widowControl/>
        <w:kinsoku/>
        <w:wordWrap/>
        <w:topLinePunct w:val="0"/>
        <w:bidi w:val="0"/>
        <w:spacing w:line="360" w:lineRule="auto"/>
        <w:ind w:firstLine="422" w:firstLineChars="200"/>
        <w:textAlignment w:val="auto"/>
        <w:outlineLvl w:val="1"/>
        <w:rPr>
          <w:b/>
          <w:szCs w:val="21"/>
          <w:highlight w:val="none"/>
        </w:rPr>
      </w:pPr>
      <w:r>
        <w:rPr>
          <w:b/>
          <w:szCs w:val="21"/>
          <w:highlight w:val="none"/>
        </w:rPr>
        <w:t>十三、其他约定事项</w:t>
      </w:r>
    </w:p>
    <w:p w14:paraId="3413E714">
      <w:pPr>
        <w:keepNext w:val="0"/>
        <w:keepLines w:val="0"/>
        <w:pageBreakBefore w:val="0"/>
        <w:kinsoku/>
        <w:wordWrap/>
        <w:topLinePunct w:val="0"/>
        <w:bidi w:val="0"/>
        <w:spacing w:line="360" w:lineRule="auto"/>
        <w:ind w:firstLine="420" w:firstLineChars="200"/>
        <w:textAlignment w:val="auto"/>
        <w:outlineLvl w:val="2"/>
        <w:rPr>
          <w:b/>
          <w:szCs w:val="21"/>
          <w:highlight w:val="none"/>
        </w:rPr>
      </w:pPr>
      <w:r>
        <w:rPr>
          <w:szCs w:val="21"/>
          <w:highlight w:val="none"/>
        </w:rPr>
        <w:t>1、</w:t>
      </w:r>
      <w:r>
        <w:rPr>
          <w:b/>
          <w:szCs w:val="21"/>
          <w:highlight w:val="none"/>
        </w:rPr>
        <w:t>组成本合同的有关文件</w:t>
      </w:r>
    </w:p>
    <w:p w14:paraId="155F868C">
      <w:pPr>
        <w:keepNext w:val="0"/>
        <w:keepLines w:val="0"/>
        <w:pageBreakBefore w:val="0"/>
        <w:widowControl/>
        <w:kinsoku/>
        <w:wordWrap/>
        <w:topLinePunct w:val="0"/>
        <w:bidi w:val="0"/>
        <w:spacing w:line="360" w:lineRule="auto"/>
        <w:ind w:firstLine="420" w:firstLineChars="200"/>
        <w:textAlignment w:val="auto"/>
        <w:rPr>
          <w:szCs w:val="21"/>
          <w:highlight w:val="none"/>
        </w:rPr>
      </w:pPr>
      <w:r>
        <w:rPr>
          <w:szCs w:val="21"/>
          <w:highlight w:val="none"/>
        </w:rPr>
        <w:t>下列关于</w:t>
      </w:r>
      <w:r>
        <w:rPr>
          <w:szCs w:val="21"/>
          <w:highlight w:val="none"/>
          <w:u w:val="single"/>
        </w:rPr>
        <w:t xml:space="preserve">                    </w:t>
      </w:r>
      <w:r>
        <w:rPr>
          <w:szCs w:val="21"/>
          <w:highlight w:val="none"/>
        </w:rPr>
        <w:t>号的采购文件及有关附件是本合同不可分割的组成部分，与本合同具有同等法律效力，这些文件包括但不限于：</w:t>
      </w:r>
    </w:p>
    <w:p w14:paraId="0871F351">
      <w:pPr>
        <w:keepNext w:val="0"/>
        <w:keepLines w:val="0"/>
        <w:pageBreakBefore w:val="0"/>
        <w:widowControl/>
        <w:kinsoku/>
        <w:wordWrap/>
        <w:topLinePunct w:val="0"/>
        <w:bidi w:val="0"/>
        <w:spacing w:line="360" w:lineRule="auto"/>
        <w:ind w:firstLine="420" w:firstLineChars="200"/>
        <w:textAlignment w:val="auto"/>
        <w:rPr>
          <w:szCs w:val="21"/>
          <w:highlight w:val="none"/>
        </w:rPr>
      </w:pPr>
      <w:r>
        <w:rPr>
          <w:szCs w:val="21"/>
          <w:highlight w:val="none"/>
        </w:rPr>
        <w:t>（1）乙方提供的投标文件；</w:t>
      </w:r>
    </w:p>
    <w:p w14:paraId="2857009C">
      <w:pPr>
        <w:keepNext w:val="0"/>
        <w:keepLines w:val="0"/>
        <w:pageBreakBefore w:val="0"/>
        <w:widowControl/>
        <w:kinsoku/>
        <w:wordWrap/>
        <w:topLinePunct w:val="0"/>
        <w:bidi w:val="0"/>
        <w:spacing w:line="360" w:lineRule="auto"/>
        <w:ind w:firstLine="420" w:firstLineChars="200"/>
        <w:textAlignment w:val="auto"/>
        <w:rPr>
          <w:szCs w:val="21"/>
          <w:highlight w:val="none"/>
        </w:rPr>
      </w:pPr>
      <w:r>
        <w:rPr>
          <w:szCs w:val="21"/>
          <w:highlight w:val="none"/>
        </w:rPr>
        <w:t>（2）服务承诺；</w:t>
      </w:r>
    </w:p>
    <w:p w14:paraId="1E95DF2D">
      <w:pPr>
        <w:keepNext w:val="0"/>
        <w:keepLines w:val="0"/>
        <w:pageBreakBefore w:val="0"/>
        <w:widowControl/>
        <w:kinsoku/>
        <w:wordWrap/>
        <w:topLinePunct w:val="0"/>
        <w:bidi w:val="0"/>
        <w:spacing w:line="360" w:lineRule="auto"/>
        <w:ind w:firstLine="420" w:firstLineChars="200"/>
        <w:textAlignment w:val="auto"/>
        <w:rPr>
          <w:szCs w:val="21"/>
          <w:highlight w:val="none"/>
        </w:rPr>
      </w:pPr>
      <w:r>
        <w:rPr>
          <w:szCs w:val="21"/>
          <w:highlight w:val="none"/>
        </w:rPr>
        <w:t>（3）甲乙双方商定的其他文件。</w:t>
      </w:r>
    </w:p>
    <w:p w14:paraId="36BEEE25">
      <w:pPr>
        <w:keepNext w:val="0"/>
        <w:keepLines w:val="0"/>
        <w:pageBreakBefore w:val="0"/>
        <w:widowControl/>
        <w:kinsoku/>
        <w:wordWrap/>
        <w:topLinePunct w:val="0"/>
        <w:bidi w:val="0"/>
        <w:spacing w:line="360" w:lineRule="auto"/>
        <w:ind w:firstLine="420" w:firstLineChars="200"/>
        <w:textAlignment w:val="auto"/>
        <w:outlineLvl w:val="2"/>
        <w:rPr>
          <w:szCs w:val="21"/>
          <w:highlight w:val="none"/>
        </w:rPr>
      </w:pPr>
      <w:r>
        <w:rPr>
          <w:szCs w:val="21"/>
          <w:highlight w:val="none"/>
        </w:rPr>
        <w:t>2、本合同未尽事宜，按中华人民共和国现行有关法律法规执行。</w:t>
      </w:r>
    </w:p>
    <w:p w14:paraId="7C13524B">
      <w:pPr>
        <w:keepNext w:val="0"/>
        <w:keepLines w:val="0"/>
        <w:pageBreakBefore w:val="0"/>
        <w:widowControl/>
        <w:kinsoku/>
        <w:wordWrap/>
        <w:topLinePunct w:val="0"/>
        <w:bidi w:val="0"/>
        <w:spacing w:line="360" w:lineRule="auto"/>
        <w:ind w:firstLine="420" w:firstLineChars="200"/>
        <w:textAlignment w:val="auto"/>
        <w:rPr>
          <w:szCs w:val="21"/>
          <w:highlight w:val="none"/>
        </w:rPr>
      </w:pPr>
      <w:r>
        <w:rPr>
          <w:szCs w:val="21"/>
          <w:highlight w:val="none"/>
        </w:rPr>
        <w:t>3、本合同一式</w:t>
      </w:r>
      <w:r>
        <w:rPr>
          <w:szCs w:val="21"/>
          <w:highlight w:val="none"/>
          <w:u w:val="single"/>
        </w:rPr>
        <w:t xml:space="preserve">   </w:t>
      </w:r>
      <w:r>
        <w:rPr>
          <w:szCs w:val="21"/>
          <w:highlight w:val="none"/>
        </w:rPr>
        <w:t>份，甲方、乙方各执</w:t>
      </w:r>
      <w:r>
        <w:rPr>
          <w:szCs w:val="21"/>
          <w:highlight w:val="none"/>
          <w:u w:val="single"/>
        </w:rPr>
        <w:t xml:space="preserve">  </w:t>
      </w:r>
      <w:r>
        <w:rPr>
          <w:szCs w:val="21"/>
          <w:highlight w:val="none"/>
        </w:rPr>
        <w:t>份，一份报招标代理公司，并具有同等法律效力。</w:t>
      </w:r>
    </w:p>
    <w:p w14:paraId="7357FE57">
      <w:pPr>
        <w:pStyle w:val="11"/>
        <w:spacing w:line="360" w:lineRule="auto"/>
        <w:ind w:left="420" w:hanging="420" w:hangingChars="200"/>
        <w:rPr>
          <w:rFonts w:ascii="Times New Roman"/>
          <w:sz w:val="21"/>
          <w:szCs w:val="21"/>
          <w:highlight w:val="none"/>
        </w:rPr>
      </w:pPr>
      <w:r>
        <w:rPr>
          <w:rFonts w:ascii="Times New Roman"/>
          <w:sz w:val="21"/>
          <w:szCs w:val="21"/>
          <w:highlight w:val="none"/>
        </w:rPr>
        <w:t xml:space="preserve">  甲方：                               </w:t>
      </w:r>
      <w:r>
        <w:rPr>
          <w:rFonts w:hint="eastAsia" w:ascii="Times New Roman"/>
          <w:sz w:val="21"/>
          <w:szCs w:val="21"/>
          <w:highlight w:val="none"/>
          <w:lang w:val="en-US" w:eastAsia="zh-CN"/>
        </w:rPr>
        <w:t xml:space="preserve"> </w:t>
      </w:r>
      <w:r>
        <w:rPr>
          <w:rFonts w:ascii="Times New Roman"/>
          <w:sz w:val="21"/>
          <w:szCs w:val="21"/>
          <w:highlight w:val="none"/>
        </w:rPr>
        <w:t xml:space="preserve">  乙方： </w:t>
      </w:r>
    </w:p>
    <w:p w14:paraId="12B777B0">
      <w:pPr>
        <w:pStyle w:val="11"/>
        <w:spacing w:line="360" w:lineRule="auto"/>
        <w:rPr>
          <w:rFonts w:ascii="Times New Roman"/>
          <w:sz w:val="21"/>
          <w:szCs w:val="21"/>
          <w:highlight w:val="none"/>
        </w:rPr>
      </w:pPr>
      <w:r>
        <w:rPr>
          <w:rFonts w:ascii="Times New Roman"/>
          <w:sz w:val="21"/>
          <w:szCs w:val="21"/>
          <w:highlight w:val="none"/>
        </w:rPr>
        <w:t xml:space="preserve">  法定代表人</w:t>
      </w:r>
      <w:r>
        <w:rPr>
          <w:rFonts w:hint="eastAsia" w:ascii="Times New Roman"/>
          <w:sz w:val="21"/>
          <w:szCs w:val="21"/>
          <w:highlight w:val="none"/>
          <w:lang w:eastAsia="zh-CN"/>
        </w:rPr>
        <w:t>（或授权代表）签字</w:t>
      </w:r>
      <w:r>
        <w:rPr>
          <w:rFonts w:ascii="Times New Roman"/>
          <w:sz w:val="21"/>
          <w:szCs w:val="21"/>
          <w:highlight w:val="none"/>
        </w:rPr>
        <w:t>：          法定代表人</w:t>
      </w:r>
      <w:r>
        <w:rPr>
          <w:rFonts w:hint="eastAsia" w:ascii="Times New Roman"/>
          <w:sz w:val="21"/>
          <w:szCs w:val="21"/>
          <w:highlight w:val="none"/>
          <w:lang w:eastAsia="zh-CN"/>
        </w:rPr>
        <w:t>（或授权代表）签字</w:t>
      </w:r>
      <w:r>
        <w:rPr>
          <w:rFonts w:ascii="Times New Roman"/>
          <w:sz w:val="21"/>
          <w:szCs w:val="21"/>
          <w:highlight w:val="none"/>
        </w:rPr>
        <w:t>：</w:t>
      </w:r>
    </w:p>
    <w:p w14:paraId="09ABB09A">
      <w:pPr>
        <w:adjustRightInd w:val="0"/>
        <w:snapToGrid w:val="0"/>
        <w:spacing w:line="520" w:lineRule="exact"/>
        <w:ind w:firstLine="210" w:firstLineChars="100"/>
        <w:jc w:val="both"/>
        <w:rPr>
          <w:rFonts w:hint="eastAsia"/>
          <w:highlight w:val="none"/>
        </w:rPr>
      </w:pPr>
      <w:r>
        <w:rPr>
          <w:szCs w:val="21"/>
          <w:highlight w:val="none"/>
        </w:rPr>
        <w:t>签订地点：                              签订日期：      年  月  日</w:t>
      </w:r>
    </w:p>
    <w:p w14:paraId="0E4EFB95">
      <w:pPr>
        <w:pStyle w:val="3"/>
        <w:jc w:val="center"/>
        <w:rPr>
          <w:rFonts w:hint="eastAsia" w:ascii="宋体" w:hAnsi="宋体" w:eastAsia="宋体" w:cs="黑体"/>
          <w:b w:val="0"/>
          <w:bCs w:val="0"/>
          <w:highlight w:val="none"/>
        </w:rPr>
      </w:pPr>
      <w:r>
        <w:rPr>
          <w:rFonts w:hint="eastAsia" w:ascii="宋体" w:hAnsi="宋体" w:eastAsia="宋体" w:cs="黑体"/>
          <w:b w:val="0"/>
          <w:bCs w:val="0"/>
          <w:highlight w:val="none"/>
        </w:rPr>
        <w:br w:type="page"/>
      </w:r>
      <w:bookmarkStart w:id="141" w:name="_Toc14589"/>
      <w:bookmarkStart w:id="142" w:name="_Toc5399"/>
      <w:bookmarkStart w:id="143" w:name="_Toc11240"/>
      <w:bookmarkStart w:id="144" w:name="_Toc29160"/>
      <w:r>
        <w:rPr>
          <w:rFonts w:hint="eastAsia" w:ascii="宋体" w:hAnsi="宋体" w:eastAsia="宋体" w:cs="黑体"/>
          <w:b w:val="0"/>
          <w:bCs w:val="0"/>
          <w:highlight w:val="none"/>
        </w:rPr>
        <w:t>第五章 评标原则及方法</w:t>
      </w:r>
      <w:bookmarkEnd w:id="141"/>
      <w:bookmarkEnd w:id="142"/>
      <w:bookmarkEnd w:id="143"/>
      <w:bookmarkEnd w:id="144"/>
    </w:p>
    <w:p w14:paraId="73E2C70B">
      <w:pPr>
        <w:spacing w:line="360" w:lineRule="auto"/>
        <w:ind w:left="439" w:leftChars="209"/>
        <w:rPr>
          <w:rFonts w:hint="eastAsia" w:ascii="宋体" w:hAnsi="宋体"/>
          <w:highlight w:val="none"/>
        </w:rPr>
      </w:pPr>
      <w:r>
        <w:rPr>
          <w:rFonts w:hint="eastAsia" w:ascii="宋体" w:hAnsi="宋体" w:cs="宋体"/>
          <w:b/>
          <w:szCs w:val="21"/>
          <w:highlight w:val="none"/>
        </w:rPr>
        <w:t>根据《中华人民共和国政府采购法》等相关法规特制定以下评标办法。</w:t>
      </w:r>
    </w:p>
    <w:p w14:paraId="0C58BE5F">
      <w:pPr>
        <w:spacing w:line="360" w:lineRule="auto"/>
        <w:rPr>
          <w:rFonts w:hint="eastAsia" w:ascii="宋体" w:hAnsi="宋体" w:cs="宋体"/>
          <w:b/>
          <w:szCs w:val="21"/>
          <w:highlight w:val="none"/>
        </w:rPr>
      </w:pPr>
      <w:r>
        <w:rPr>
          <w:rFonts w:hint="eastAsia" w:ascii="宋体" w:hAnsi="宋体" w:cs="宋体"/>
          <w:b/>
          <w:szCs w:val="21"/>
          <w:highlight w:val="none"/>
        </w:rPr>
        <w:t>一、评标原则</w:t>
      </w:r>
    </w:p>
    <w:p w14:paraId="4A96F6F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评标工作遵循公平、公正、科学、择优原则和诚实、信誉、效率的服务原则。本着科学、严谨的态度，认真进行评标。择优选用，推进技术进步，确保工程质量、交货按期，节约投资，最大限度的保护当事人权益。严格按照采购文件的商务、技术要求，对投标文件进行综合评定，提出优选方案，编写评标报告。对落标单位，评标委员会不做任何落标解释。供应商不得以任何方式干扰招投标工作的进行，一经发现其投标文件将被拒绝。</w:t>
      </w:r>
    </w:p>
    <w:p w14:paraId="360296BB">
      <w:pPr>
        <w:autoSpaceDE w:val="0"/>
        <w:autoSpaceDN w:val="0"/>
        <w:adjustRightInd w:val="0"/>
        <w:snapToGrid w:val="0"/>
        <w:spacing w:line="500" w:lineRule="exact"/>
        <w:jc w:val="left"/>
        <w:outlineLvl w:val="1"/>
        <w:rPr>
          <w:rFonts w:hint="eastAsia" w:ascii="宋体" w:hAnsi="宋体" w:cs="宋体"/>
          <w:b/>
          <w:bCs/>
          <w:szCs w:val="21"/>
          <w:highlight w:val="none"/>
          <w:lang w:val="zh-CN"/>
        </w:rPr>
      </w:pPr>
      <w:bookmarkStart w:id="145" w:name="_Toc476644266"/>
      <w:bookmarkStart w:id="146" w:name="_Toc476644721"/>
      <w:r>
        <w:rPr>
          <w:rFonts w:hint="eastAsia" w:ascii="宋体" w:hAnsi="宋体" w:cs="宋体"/>
          <w:b/>
          <w:bCs/>
          <w:szCs w:val="21"/>
          <w:highlight w:val="none"/>
          <w:lang w:val="zh-CN"/>
        </w:rPr>
        <w:t>二、评标委员会的组成</w:t>
      </w:r>
      <w:bookmarkEnd w:id="145"/>
      <w:bookmarkEnd w:id="146"/>
    </w:p>
    <w:p w14:paraId="75BFD02E">
      <w:pPr>
        <w:autoSpaceDE w:val="0"/>
        <w:autoSpaceDN w:val="0"/>
        <w:adjustRightInd w:val="0"/>
        <w:snapToGrid w:val="0"/>
        <w:spacing w:line="540" w:lineRule="exact"/>
        <w:ind w:firstLine="420" w:firstLineChars="200"/>
        <w:rPr>
          <w:rFonts w:hint="eastAsia" w:ascii="宋体" w:hAnsi="宋体" w:cs="宋体"/>
          <w:szCs w:val="21"/>
          <w:highlight w:val="none"/>
        </w:rPr>
      </w:pPr>
      <w:r>
        <w:rPr>
          <w:rFonts w:hint="eastAsia" w:ascii="宋体" w:hAnsi="宋体" w:cs="宋体"/>
          <w:szCs w:val="21"/>
          <w:highlight w:val="none"/>
        </w:rPr>
        <w:t>1、评标委员会共5人组成</w:t>
      </w:r>
      <w:r>
        <w:rPr>
          <w:rFonts w:hint="eastAsia" w:ascii="宋体" w:hAnsi="宋体"/>
          <w:szCs w:val="21"/>
          <w:highlight w:val="none"/>
          <w:lang w:val="zh-CN" w:bidi="ar"/>
        </w:rPr>
        <w:t>，从“政采云专家库系统”中随机抽取的技术、经济等方面的</w:t>
      </w:r>
      <w:r>
        <w:rPr>
          <w:rFonts w:hint="eastAsia" w:ascii="宋体" w:hAnsi="宋体"/>
          <w:szCs w:val="21"/>
          <w:highlight w:val="none"/>
          <w:lang w:val="en-US" w:eastAsia="zh-CN" w:bidi="ar"/>
        </w:rPr>
        <w:t>5</w:t>
      </w:r>
      <w:r>
        <w:rPr>
          <w:rFonts w:hint="eastAsia" w:ascii="宋体" w:hAnsi="宋体"/>
          <w:szCs w:val="21"/>
          <w:highlight w:val="none"/>
          <w:lang w:bidi="ar"/>
        </w:rPr>
        <w:t>人</w:t>
      </w:r>
      <w:r>
        <w:rPr>
          <w:rFonts w:hint="eastAsia" w:ascii="宋体" w:hAnsi="宋体"/>
          <w:szCs w:val="21"/>
          <w:highlight w:val="none"/>
          <w:lang w:val="zh-CN" w:bidi="ar"/>
        </w:rPr>
        <w:t>专家</w:t>
      </w:r>
      <w:r>
        <w:rPr>
          <w:rFonts w:hint="eastAsia" w:ascii="宋体" w:hAnsi="宋体" w:cs="宋体"/>
          <w:szCs w:val="21"/>
          <w:highlight w:val="none"/>
        </w:rPr>
        <w:t>。</w:t>
      </w:r>
    </w:p>
    <w:p w14:paraId="0C203CD3">
      <w:pPr>
        <w:autoSpaceDE w:val="0"/>
        <w:autoSpaceDN w:val="0"/>
        <w:adjustRightInd w:val="0"/>
        <w:snapToGrid w:val="0"/>
        <w:spacing w:line="540" w:lineRule="exact"/>
        <w:ind w:firstLine="420" w:firstLineChars="200"/>
        <w:rPr>
          <w:rFonts w:hint="eastAsia" w:ascii="宋体" w:hAnsi="宋体"/>
          <w:highlight w:val="none"/>
        </w:rPr>
      </w:pPr>
      <w:r>
        <w:rPr>
          <w:rFonts w:hint="eastAsia" w:ascii="宋体" w:hAnsi="宋体" w:cs="宋体"/>
          <w:szCs w:val="21"/>
          <w:highlight w:val="none"/>
        </w:rPr>
        <w:t>2、询标期间，投标人法定代表人或</w:t>
      </w:r>
      <w:r>
        <w:rPr>
          <w:rFonts w:hint="eastAsia" w:ascii="宋体" w:hAnsi="宋体" w:cs="宋体"/>
          <w:highlight w:val="none"/>
        </w:rPr>
        <w:t>法定代表人授权委托人</w:t>
      </w:r>
      <w:r>
        <w:rPr>
          <w:rFonts w:hint="eastAsia" w:ascii="宋体" w:hAnsi="宋体" w:cs="宋体"/>
          <w:szCs w:val="21"/>
          <w:highlight w:val="none"/>
        </w:rPr>
        <w:t>必须在线，负责解答有关事宜。如不在线或未在规定时间内回复，则事后不得对采购过程及结果提出异议。</w:t>
      </w:r>
    </w:p>
    <w:p w14:paraId="32966DEB">
      <w:pPr>
        <w:spacing w:line="480" w:lineRule="exact"/>
        <w:rPr>
          <w:rFonts w:hint="eastAsia" w:ascii="宋体" w:hAnsi="宋体" w:cs="宋体"/>
          <w:b/>
          <w:szCs w:val="21"/>
          <w:highlight w:val="none"/>
        </w:rPr>
      </w:pPr>
      <w:r>
        <w:rPr>
          <w:rFonts w:hint="eastAsia" w:ascii="宋体" w:hAnsi="宋体" w:cs="宋体"/>
          <w:b/>
          <w:szCs w:val="21"/>
          <w:highlight w:val="none"/>
        </w:rPr>
        <w:t>三、评标方法</w:t>
      </w:r>
    </w:p>
    <w:p w14:paraId="4B8C55B3">
      <w:pPr>
        <w:spacing w:line="360" w:lineRule="auto"/>
        <w:ind w:firstLine="420" w:firstLineChars="200"/>
        <w:rPr>
          <w:rFonts w:hint="eastAsia" w:ascii="宋体" w:hAnsi="宋体"/>
          <w:szCs w:val="21"/>
          <w:highlight w:val="none"/>
        </w:rPr>
      </w:pPr>
      <w:bookmarkStart w:id="147" w:name="_Toc221356903"/>
      <w:bookmarkStart w:id="148" w:name="_Toc221356966"/>
      <w:r>
        <w:rPr>
          <w:rFonts w:hint="eastAsia" w:ascii="宋体" w:hAnsi="宋体"/>
          <w:szCs w:val="21"/>
          <w:highlight w:val="none"/>
        </w:rPr>
        <w:t>1、投标报价是指报价合计。</w:t>
      </w:r>
    </w:p>
    <w:p w14:paraId="6A50E232">
      <w:pPr>
        <w:spacing w:line="360" w:lineRule="auto"/>
        <w:ind w:firstLine="420" w:firstLineChars="200"/>
        <w:rPr>
          <w:rFonts w:hint="eastAsia" w:ascii="宋体" w:hAnsi="宋体"/>
          <w:szCs w:val="21"/>
          <w:highlight w:val="none"/>
        </w:rPr>
      </w:pPr>
      <w:r>
        <w:rPr>
          <w:rFonts w:hint="eastAsia" w:ascii="宋体" w:hAnsi="宋体"/>
          <w:szCs w:val="21"/>
          <w:highlight w:val="none"/>
        </w:rPr>
        <w:t>2、本项目采用综合评分法，即以投标人完全响应采购文件设定的全部责任条款为前提。由评标委员会按采购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377B81F7">
      <w:pPr>
        <w:spacing w:line="360" w:lineRule="auto"/>
        <w:ind w:firstLine="420" w:firstLineChars="200"/>
        <w:rPr>
          <w:rFonts w:hint="eastAsia" w:ascii="宋体" w:hAnsi="宋体"/>
          <w:highlight w:val="none"/>
        </w:rPr>
      </w:pPr>
      <w:r>
        <w:rPr>
          <w:rFonts w:hint="eastAsia" w:ascii="宋体" w:hAnsi="宋体"/>
          <w:highlight w:val="none"/>
        </w:rPr>
        <w:t>3、</w:t>
      </w:r>
      <w:r>
        <w:rPr>
          <w:rFonts w:ascii="宋体" w:hAnsi="宋体"/>
          <w:highlight w:val="none"/>
        </w:rPr>
        <w:t>评标标准</w:t>
      </w:r>
    </w:p>
    <w:p w14:paraId="49EE0658">
      <w:pPr>
        <w:spacing w:line="360" w:lineRule="auto"/>
        <w:ind w:firstLine="420" w:firstLineChars="200"/>
        <w:rPr>
          <w:rFonts w:hint="eastAsia" w:ascii="宋体" w:hAnsi="宋体"/>
          <w:highlight w:val="none"/>
        </w:rPr>
      </w:pPr>
      <w:r>
        <w:rPr>
          <w:rFonts w:ascii="宋体" w:hAnsi="宋体"/>
          <w:highlight w:val="none"/>
        </w:rPr>
        <w:t>各投标人的综合得分为报价得分和</w:t>
      </w:r>
      <w:r>
        <w:rPr>
          <w:rFonts w:hint="eastAsia" w:ascii="宋体" w:hAnsi="宋体"/>
          <w:highlight w:val="none"/>
        </w:rPr>
        <w:t>商务技术</w:t>
      </w:r>
      <w:r>
        <w:rPr>
          <w:rFonts w:ascii="宋体" w:hAnsi="宋体"/>
          <w:highlight w:val="none"/>
        </w:rPr>
        <w:t>得分之和，总分为100分，其中：报价分</w:t>
      </w:r>
      <w:r>
        <w:rPr>
          <w:rFonts w:hint="eastAsia" w:ascii="宋体" w:hAnsi="宋体"/>
          <w:highlight w:val="none"/>
          <w:lang w:val="en-US" w:eastAsia="zh-CN"/>
        </w:rPr>
        <w:t>2</w:t>
      </w:r>
      <w:r>
        <w:rPr>
          <w:rFonts w:hint="eastAsia" w:ascii="宋体" w:hAnsi="宋体"/>
          <w:highlight w:val="none"/>
        </w:rPr>
        <w:t>0</w:t>
      </w:r>
      <w:r>
        <w:rPr>
          <w:rFonts w:ascii="宋体" w:hAnsi="宋体"/>
          <w:highlight w:val="none"/>
        </w:rPr>
        <w:t>分，</w:t>
      </w:r>
      <w:r>
        <w:rPr>
          <w:rFonts w:hint="eastAsia" w:ascii="宋体" w:hAnsi="宋体"/>
          <w:highlight w:val="none"/>
        </w:rPr>
        <w:t>商务技术</w:t>
      </w:r>
      <w:r>
        <w:rPr>
          <w:rFonts w:ascii="宋体" w:hAnsi="宋体"/>
          <w:highlight w:val="none"/>
        </w:rPr>
        <w:t>分</w:t>
      </w:r>
      <w:r>
        <w:rPr>
          <w:rFonts w:hint="eastAsia" w:ascii="宋体" w:hAnsi="宋体"/>
          <w:highlight w:val="none"/>
          <w:lang w:val="en-US" w:eastAsia="zh-CN"/>
        </w:rPr>
        <w:t>8</w:t>
      </w:r>
      <w:r>
        <w:rPr>
          <w:rFonts w:hint="eastAsia" w:ascii="宋体" w:hAnsi="宋体"/>
          <w:highlight w:val="none"/>
        </w:rPr>
        <w:t>0</w:t>
      </w:r>
      <w:r>
        <w:rPr>
          <w:rFonts w:ascii="宋体" w:hAnsi="宋体"/>
          <w:highlight w:val="none"/>
        </w:rPr>
        <w:t>分。各投标人的资信</w:t>
      </w:r>
      <w:r>
        <w:rPr>
          <w:rFonts w:hint="eastAsia" w:ascii="宋体" w:hAnsi="宋体"/>
          <w:highlight w:val="none"/>
        </w:rPr>
        <w:t>评分由评标委员会统一打分，</w:t>
      </w:r>
      <w:r>
        <w:rPr>
          <w:rFonts w:ascii="宋体" w:hAnsi="宋体"/>
          <w:highlight w:val="none"/>
        </w:rPr>
        <w:t>技术评分按照评标委员会成员的独立评分结果汇总后的算术平均分计算；各投标人的报价分得分按低价优先法计算。</w:t>
      </w:r>
    </w:p>
    <w:p w14:paraId="7A55A719">
      <w:pPr>
        <w:spacing w:line="500" w:lineRule="exact"/>
        <w:ind w:firstLine="420" w:firstLineChars="200"/>
        <w:rPr>
          <w:rFonts w:hint="eastAsia" w:ascii="宋体" w:hAnsi="宋体"/>
          <w:highlight w:val="none"/>
        </w:rPr>
      </w:pPr>
      <w:r>
        <w:rPr>
          <w:rFonts w:ascii="宋体" w:hAnsi="宋体"/>
          <w:highlight w:val="none"/>
        </w:rPr>
        <w:t>3.1报价分（</w:t>
      </w:r>
      <w:r>
        <w:rPr>
          <w:rFonts w:hint="eastAsia" w:ascii="宋体" w:hAnsi="宋体"/>
          <w:highlight w:val="none"/>
          <w:lang w:val="en-US" w:eastAsia="zh-CN"/>
        </w:rPr>
        <w:t>2</w:t>
      </w:r>
      <w:r>
        <w:rPr>
          <w:rFonts w:hint="eastAsia" w:ascii="宋体" w:hAnsi="宋体"/>
          <w:highlight w:val="none"/>
        </w:rPr>
        <w:t>0</w:t>
      </w:r>
      <w:r>
        <w:rPr>
          <w:rFonts w:ascii="宋体" w:hAnsi="宋体"/>
          <w:highlight w:val="none"/>
        </w:rPr>
        <w:t>分）：</w:t>
      </w:r>
    </w:p>
    <w:p w14:paraId="6F67B324">
      <w:pPr>
        <w:spacing w:line="500" w:lineRule="exact"/>
        <w:ind w:firstLine="420" w:firstLineChars="200"/>
        <w:rPr>
          <w:rFonts w:hint="eastAsia" w:ascii="宋体" w:hAnsi="宋体"/>
          <w:highlight w:val="none"/>
        </w:rPr>
      </w:pPr>
      <w:r>
        <w:rPr>
          <w:rFonts w:ascii="宋体" w:hAnsi="宋体"/>
          <w:highlight w:val="none"/>
        </w:rPr>
        <w:t>3.1.1报价得分采用低价优先法准则，即满足采购文件要求且投标价格最低的投标报价为评标基准价。</w:t>
      </w:r>
    </w:p>
    <w:p w14:paraId="0C15303B">
      <w:pPr>
        <w:spacing w:line="500" w:lineRule="exact"/>
        <w:ind w:firstLine="420" w:firstLineChars="200"/>
        <w:rPr>
          <w:rFonts w:hint="eastAsia" w:ascii="宋体" w:hAnsi="宋体"/>
          <w:highlight w:val="none"/>
        </w:rPr>
      </w:pPr>
      <w:r>
        <w:rPr>
          <w:rFonts w:ascii="宋体" w:hAnsi="宋体"/>
          <w:highlight w:val="none"/>
        </w:rPr>
        <w:t>3.1.2报价得分按下列公式计算：</w:t>
      </w:r>
    </w:p>
    <w:p w14:paraId="32331F78">
      <w:pPr>
        <w:spacing w:line="500" w:lineRule="exact"/>
        <w:ind w:firstLine="420" w:firstLineChars="200"/>
        <w:rPr>
          <w:rFonts w:hint="eastAsia" w:ascii="宋体" w:hAnsi="宋体" w:cs="宋体"/>
          <w:bCs/>
          <w:szCs w:val="21"/>
          <w:highlight w:val="none"/>
        </w:rPr>
      </w:pPr>
      <w:r>
        <w:rPr>
          <w:rFonts w:ascii="宋体" w:hAnsi="宋体"/>
          <w:highlight w:val="none"/>
        </w:rPr>
        <w:t>报价得分=（评标基准价 / 投标报价）×</w:t>
      </w:r>
      <w:r>
        <w:rPr>
          <w:rFonts w:hint="eastAsia" w:ascii="宋体" w:hAnsi="宋体"/>
          <w:highlight w:val="none"/>
          <w:lang w:val="en-US" w:eastAsia="zh-CN"/>
        </w:rPr>
        <w:t>2</w:t>
      </w:r>
      <w:r>
        <w:rPr>
          <w:rFonts w:hint="eastAsia" w:ascii="宋体" w:hAnsi="宋体"/>
          <w:highlight w:val="none"/>
        </w:rPr>
        <w:t>0</w:t>
      </w:r>
      <w:r>
        <w:rPr>
          <w:rFonts w:ascii="宋体" w:hAnsi="宋体"/>
          <w:highlight w:val="none"/>
        </w:rPr>
        <w:t>%×100</w:t>
      </w:r>
      <w:r>
        <w:rPr>
          <w:rFonts w:hint="eastAsia" w:ascii="宋体" w:hAnsi="宋体"/>
          <w:highlight w:val="none"/>
        </w:rPr>
        <w:t>，</w:t>
      </w:r>
      <w:r>
        <w:rPr>
          <w:rFonts w:hint="eastAsia" w:ascii="宋体" w:hAnsi="宋体" w:cs="宋体"/>
          <w:bCs/>
          <w:szCs w:val="21"/>
          <w:highlight w:val="none"/>
        </w:rPr>
        <w:t>结果四舍五入，保留两位小数。</w:t>
      </w:r>
    </w:p>
    <w:p w14:paraId="29B3DA54">
      <w:pPr>
        <w:spacing w:line="500" w:lineRule="exact"/>
        <w:ind w:firstLine="420" w:firstLineChars="200"/>
        <w:rPr>
          <w:rFonts w:hint="eastAsia" w:ascii="宋体" w:hAnsi="宋体"/>
          <w:highlight w:val="none"/>
        </w:rPr>
      </w:pPr>
      <w:r>
        <w:rPr>
          <w:rFonts w:ascii="宋体" w:hAnsi="宋体"/>
          <w:highlight w:val="none"/>
        </w:rPr>
        <w:t xml:space="preserve">3.2 </w:t>
      </w:r>
      <w:r>
        <w:rPr>
          <w:rFonts w:hint="eastAsia" w:ascii="宋体" w:hAnsi="宋体"/>
          <w:highlight w:val="none"/>
        </w:rPr>
        <w:t>商务技术</w:t>
      </w:r>
      <w:r>
        <w:rPr>
          <w:rFonts w:ascii="宋体" w:hAnsi="宋体"/>
          <w:highlight w:val="none"/>
        </w:rPr>
        <w:t>分（</w:t>
      </w:r>
      <w:r>
        <w:rPr>
          <w:rFonts w:hint="eastAsia" w:ascii="宋体" w:hAnsi="宋体"/>
          <w:highlight w:val="none"/>
          <w:lang w:val="en-US" w:eastAsia="zh-CN"/>
        </w:rPr>
        <w:t>8</w:t>
      </w:r>
      <w:r>
        <w:rPr>
          <w:rFonts w:hint="eastAsia" w:ascii="宋体" w:hAnsi="宋体"/>
          <w:highlight w:val="none"/>
        </w:rPr>
        <w:t>0</w:t>
      </w:r>
      <w:r>
        <w:rPr>
          <w:rFonts w:ascii="宋体" w:hAnsi="宋体"/>
          <w:highlight w:val="none"/>
        </w:rPr>
        <w:t>分）：</w:t>
      </w:r>
    </w:p>
    <w:p w14:paraId="734A2D5B">
      <w:pPr>
        <w:spacing w:line="500" w:lineRule="exact"/>
        <w:rPr>
          <w:rFonts w:hint="eastAsia" w:ascii="宋体" w:hAnsi="宋体"/>
          <w:highlight w:val="none"/>
        </w:rPr>
      </w:pPr>
      <w:r>
        <w:rPr>
          <w:rFonts w:ascii="宋体" w:hAnsi="宋体"/>
          <w:highlight w:val="none"/>
        </w:rPr>
        <w:t>资信</w:t>
      </w:r>
      <w:r>
        <w:rPr>
          <w:rFonts w:hint="eastAsia" w:ascii="宋体" w:hAnsi="宋体"/>
          <w:highlight w:val="none"/>
        </w:rPr>
        <w:t>评分由评标委员会统一打分，</w:t>
      </w:r>
      <w:r>
        <w:rPr>
          <w:rFonts w:ascii="宋体" w:hAnsi="宋体"/>
          <w:highlight w:val="none"/>
        </w:rPr>
        <w:t>技术评分按照评标委员会成员的独立评分结果汇总后的算术平均分计算。</w:t>
      </w:r>
    </w:p>
    <w:tbl>
      <w:tblPr>
        <w:tblStyle w:val="25"/>
        <w:tblW w:w="1018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5"/>
        <w:gridCol w:w="1312"/>
        <w:gridCol w:w="7258"/>
        <w:gridCol w:w="840"/>
      </w:tblGrid>
      <w:tr w14:paraId="4276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775" w:type="dxa"/>
            <w:vAlign w:val="center"/>
          </w:tcPr>
          <w:p w14:paraId="481976C6">
            <w:pPr>
              <w:spacing w:line="360" w:lineRule="auto"/>
              <w:jc w:val="center"/>
              <w:rPr>
                <w:rFonts w:hint="eastAsia" w:ascii="宋体" w:hAnsi="宋体"/>
                <w:highlight w:val="none"/>
              </w:rPr>
            </w:pPr>
            <w:r>
              <w:rPr>
                <w:rFonts w:hint="eastAsia" w:ascii="宋体" w:hAnsi="宋体"/>
                <w:highlight w:val="none"/>
              </w:rPr>
              <w:t>序号</w:t>
            </w:r>
          </w:p>
        </w:tc>
        <w:tc>
          <w:tcPr>
            <w:tcW w:w="1312" w:type="dxa"/>
            <w:vAlign w:val="center"/>
          </w:tcPr>
          <w:p w14:paraId="3832128C">
            <w:pPr>
              <w:spacing w:line="360" w:lineRule="auto"/>
              <w:jc w:val="center"/>
              <w:rPr>
                <w:rFonts w:hint="eastAsia" w:ascii="宋体" w:hAnsi="宋体"/>
                <w:highlight w:val="none"/>
              </w:rPr>
            </w:pPr>
            <w:r>
              <w:rPr>
                <w:rFonts w:hint="eastAsia" w:ascii="宋体" w:hAnsi="宋体"/>
                <w:highlight w:val="none"/>
              </w:rPr>
              <w:t>评审项目</w:t>
            </w:r>
          </w:p>
        </w:tc>
        <w:tc>
          <w:tcPr>
            <w:tcW w:w="7258" w:type="dxa"/>
            <w:vAlign w:val="center"/>
          </w:tcPr>
          <w:p w14:paraId="7E50F930">
            <w:pPr>
              <w:spacing w:line="360" w:lineRule="auto"/>
              <w:rPr>
                <w:rFonts w:hint="eastAsia" w:ascii="宋体" w:hAnsi="宋体"/>
                <w:highlight w:val="none"/>
              </w:rPr>
            </w:pPr>
            <w:r>
              <w:rPr>
                <w:rFonts w:hint="eastAsia" w:ascii="宋体" w:hAnsi="宋体"/>
                <w:highlight w:val="none"/>
              </w:rPr>
              <w:t>评分标准</w:t>
            </w:r>
          </w:p>
        </w:tc>
        <w:tc>
          <w:tcPr>
            <w:tcW w:w="840" w:type="dxa"/>
            <w:vAlign w:val="center"/>
          </w:tcPr>
          <w:p w14:paraId="7360FF60">
            <w:pPr>
              <w:spacing w:line="360" w:lineRule="auto"/>
              <w:jc w:val="center"/>
              <w:rPr>
                <w:rFonts w:hint="eastAsia" w:ascii="宋体" w:hAnsi="宋体"/>
                <w:highlight w:val="none"/>
              </w:rPr>
            </w:pPr>
            <w:r>
              <w:rPr>
                <w:rFonts w:hint="eastAsia" w:ascii="宋体" w:hAnsi="宋体"/>
                <w:highlight w:val="none"/>
              </w:rPr>
              <w:t>分值</w:t>
            </w:r>
          </w:p>
        </w:tc>
      </w:tr>
      <w:tr w14:paraId="459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75" w:type="dxa"/>
            <w:vAlign w:val="center"/>
          </w:tcPr>
          <w:p w14:paraId="5FE77949">
            <w:pPr>
              <w:spacing w:line="360" w:lineRule="auto"/>
              <w:jc w:val="center"/>
              <w:rPr>
                <w:rFonts w:hint="eastAsia" w:ascii="宋体" w:hAnsi="宋体"/>
                <w:highlight w:val="none"/>
              </w:rPr>
            </w:pPr>
            <w:r>
              <w:rPr>
                <w:rFonts w:hint="eastAsia" w:ascii="宋体" w:hAnsi="宋体"/>
                <w:highlight w:val="none"/>
              </w:rPr>
              <w:t>1</w:t>
            </w:r>
          </w:p>
        </w:tc>
        <w:tc>
          <w:tcPr>
            <w:tcW w:w="1312" w:type="dxa"/>
            <w:vAlign w:val="center"/>
          </w:tcPr>
          <w:p w14:paraId="69F4D216">
            <w:pPr>
              <w:spacing w:line="360" w:lineRule="auto"/>
              <w:jc w:val="center"/>
              <w:rPr>
                <w:rFonts w:hint="eastAsia" w:ascii="宋体" w:hAnsi="宋体"/>
                <w:highlight w:val="none"/>
              </w:rPr>
            </w:pPr>
            <w:r>
              <w:rPr>
                <w:rFonts w:hint="eastAsia" w:ascii="宋体" w:hAnsi="宋体"/>
                <w:highlight w:val="none"/>
              </w:rPr>
              <w:t>业绩</w:t>
            </w:r>
          </w:p>
        </w:tc>
        <w:tc>
          <w:tcPr>
            <w:tcW w:w="7258" w:type="dxa"/>
            <w:vAlign w:val="center"/>
          </w:tcPr>
          <w:p w14:paraId="52A2FA5E">
            <w:pPr>
              <w:spacing w:line="360" w:lineRule="auto"/>
              <w:rPr>
                <w:rFonts w:hint="eastAsia" w:ascii="宋体" w:hAnsi="宋体"/>
                <w:highlight w:val="none"/>
              </w:rPr>
            </w:pPr>
            <w:r>
              <w:rPr>
                <w:rFonts w:hint="eastAsia" w:ascii="宋体" w:hAnsi="宋体"/>
                <w:highlight w:val="none"/>
              </w:rPr>
              <w:t>2022年1月1日（以合同签订日期为准）以来承接过类似项目，一个得</w:t>
            </w:r>
            <w:r>
              <w:rPr>
                <w:rFonts w:hint="eastAsia" w:ascii="宋体" w:hAnsi="宋体"/>
                <w:highlight w:val="none"/>
                <w:lang w:val="en-US" w:eastAsia="zh-CN"/>
              </w:rPr>
              <w:t>1</w:t>
            </w:r>
            <w:r>
              <w:rPr>
                <w:rFonts w:hint="eastAsia" w:ascii="宋体" w:hAnsi="宋体"/>
                <w:highlight w:val="none"/>
              </w:rPr>
              <w:t>分，最高得</w:t>
            </w:r>
            <w:r>
              <w:rPr>
                <w:rFonts w:hint="eastAsia" w:ascii="宋体" w:hAnsi="宋体"/>
                <w:highlight w:val="none"/>
                <w:lang w:val="en-US" w:eastAsia="zh-CN"/>
              </w:rPr>
              <w:t>2</w:t>
            </w:r>
            <w:r>
              <w:rPr>
                <w:rFonts w:hint="eastAsia" w:ascii="宋体" w:hAnsi="宋体"/>
                <w:highlight w:val="none"/>
              </w:rPr>
              <w:t>分（提供合同扫描件并</w:t>
            </w:r>
            <w:r>
              <w:rPr>
                <w:rFonts w:hint="eastAsia" w:ascii="宋体" w:hAnsi="宋体"/>
                <w:highlight w:val="none"/>
                <w:lang w:val="zh-CN"/>
              </w:rPr>
              <w:t>加盖公章</w:t>
            </w:r>
            <w:r>
              <w:rPr>
                <w:rFonts w:hint="eastAsia" w:ascii="宋体" w:hAnsi="宋体"/>
                <w:highlight w:val="none"/>
              </w:rPr>
              <w:t>）。</w:t>
            </w:r>
          </w:p>
        </w:tc>
        <w:tc>
          <w:tcPr>
            <w:tcW w:w="840" w:type="dxa"/>
            <w:vAlign w:val="center"/>
          </w:tcPr>
          <w:p w14:paraId="2EA41A52">
            <w:pPr>
              <w:spacing w:line="360" w:lineRule="auto"/>
              <w:jc w:val="center"/>
              <w:rPr>
                <w:rFonts w:hint="eastAsia" w:ascii="宋体" w:hAnsi="宋体"/>
                <w:highlight w:val="none"/>
              </w:rPr>
            </w:pPr>
            <w:r>
              <w:rPr>
                <w:rFonts w:hint="eastAsia" w:ascii="宋体" w:hAnsi="宋体"/>
                <w:highlight w:val="none"/>
              </w:rPr>
              <w:t>0-</w:t>
            </w:r>
            <w:r>
              <w:rPr>
                <w:rFonts w:hint="eastAsia" w:ascii="宋体" w:hAnsi="宋体"/>
                <w:highlight w:val="none"/>
                <w:lang w:val="en-US" w:eastAsia="zh-CN"/>
              </w:rPr>
              <w:t>2</w:t>
            </w:r>
            <w:r>
              <w:rPr>
                <w:rFonts w:hint="eastAsia" w:ascii="宋体" w:hAnsi="宋体"/>
                <w:highlight w:val="none"/>
              </w:rPr>
              <w:t>分</w:t>
            </w:r>
          </w:p>
        </w:tc>
      </w:tr>
      <w:tr w14:paraId="7FA1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trPr>
        <w:tc>
          <w:tcPr>
            <w:tcW w:w="775" w:type="dxa"/>
            <w:vAlign w:val="center"/>
          </w:tcPr>
          <w:p w14:paraId="4053F600">
            <w:pPr>
              <w:spacing w:line="360" w:lineRule="auto"/>
              <w:jc w:val="center"/>
              <w:rPr>
                <w:rFonts w:hint="eastAsia" w:ascii="宋体" w:hAnsi="宋体"/>
                <w:highlight w:val="none"/>
              </w:rPr>
            </w:pPr>
            <w:r>
              <w:rPr>
                <w:rFonts w:hint="eastAsia" w:ascii="宋体" w:hAnsi="宋体"/>
                <w:highlight w:val="none"/>
              </w:rPr>
              <w:t>2</w:t>
            </w:r>
          </w:p>
        </w:tc>
        <w:tc>
          <w:tcPr>
            <w:tcW w:w="1312" w:type="dxa"/>
            <w:shd w:val="clear" w:color="auto" w:fill="auto"/>
            <w:vAlign w:val="center"/>
          </w:tcPr>
          <w:p w14:paraId="3FC1770E">
            <w:pPr>
              <w:spacing w:line="360" w:lineRule="auto"/>
              <w:jc w:val="center"/>
              <w:rPr>
                <w:rFonts w:hint="eastAsia" w:ascii="宋体" w:hAnsi="宋体"/>
                <w:highlight w:val="none"/>
                <w:lang w:val="en-US" w:eastAsia="zh-CN"/>
              </w:rPr>
            </w:pPr>
            <w:r>
              <w:rPr>
                <w:rFonts w:hint="eastAsia" w:ascii="宋体" w:hAnsi="宋体" w:eastAsia="宋体" w:cs="Times New Roman"/>
                <w:highlight w:val="none"/>
                <w:lang w:eastAsia="zh-CN"/>
              </w:rPr>
              <w:t>拟派</w:t>
            </w:r>
            <w:r>
              <w:rPr>
                <w:rFonts w:hint="eastAsia" w:ascii="宋体" w:hAnsi="宋体" w:cs="Times New Roman"/>
                <w:highlight w:val="none"/>
                <w:lang w:eastAsia="zh-CN"/>
              </w:rPr>
              <w:t>技术负责</w:t>
            </w:r>
            <w:r>
              <w:rPr>
                <w:rFonts w:hint="eastAsia" w:ascii="宋体" w:hAnsi="宋体" w:eastAsia="宋体" w:cs="Times New Roman"/>
                <w:highlight w:val="none"/>
              </w:rPr>
              <w:t>人</w:t>
            </w:r>
          </w:p>
        </w:tc>
        <w:tc>
          <w:tcPr>
            <w:tcW w:w="7258" w:type="dxa"/>
            <w:shd w:val="clear" w:color="auto" w:fill="auto"/>
            <w:vAlign w:val="center"/>
          </w:tcPr>
          <w:p w14:paraId="79D231C4">
            <w:pPr>
              <w:spacing w:line="360" w:lineRule="auto"/>
              <w:rPr>
                <w:rFonts w:hint="default" w:ascii="宋体" w:hAnsi="宋体" w:eastAsia="宋体" w:cs="Times New Roman"/>
                <w:highlight w:val="none"/>
                <w:lang w:val="en-US" w:eastAsia="zh-CN"/>
              </w:rPr>
            </w:pPr>
            <w:r>
              <w:rPr>
                <w:rFonts w:hint="eastAsia" w:ascii="宋体" w:hAnsi="宋体" w:cs="Times New Roman"/>
                <w:highlight w:val="none"/>
                <w:lang w:eastAsia="zh-CN"/>
              </w:rPr>
              <w:t>拟派技术负责人</w:t>
            </w:r>
            <w:r>
              <w:rPr>
                <w:rFonts w:hint="eastAsia" w:ascii="宋体" w:hAnsi="宋体" w:eastAsia="宋体" w:cs="Times New Roman"/>
                <w:highlight w:val="none"/>
              </w:rPr>
              <w:t>具有</w:t>
            </w:r>
            <w:r>
              <w:rPr>
                <w:rFonts w:hint="eastAsia" w:ascii="宋体" w:hAnsi="宋体" w:cs="Times New Roman"/>
                <w:highlight w:val="none"/>
                <w:lang w:eastAsia="zh-CN"/>
              </w:rPr>
              <w:t>岩土类</w:t>
            </w:r>
            <w:r>
              <w:rPr>
                <w:rFonts w:hint="eastAsia" w:ascii="宋体" w:hAnsi="宋体" w:eastAsia="宋体" w:cs="Times New Roman"/>
                <w:highlight w:val="none"/>
              </w:rPr>
              <w:t>高级工程师职称的得</w:t>
            </w:r>
            <w:r>
              <w:rPr>
                <w:rFonts w:hint="eastAsia" w:ascii="宋体" w:hAnsi="宋体" w:cs="Times New Roman"/>
                <w:highlight w:val="none"/>
                <w:lang w:val="en-US" w:eastAsia="zh-CN"/>
              </w:rPr>
              <w:t>0.5</w:t>
            </w:r>
            <w:r>
              <w:rPr>
                <w:rFonts w:hint="eastAsia" w:ascii="宋体" w:hAnsi="宋体" w:eastAsia="宋体" w:cs="Times New Roman"/>
                <w:highlight w:val="none"/>
              </w:rPr>
              <w:t>分</w:t>
            </w:r>
            <w:r>
              <w:rPr>
                <w:rFonts w:hint="eastAsia" w:ascii="宋体" w:hAnsi="宋体" w:cs="Times New Roman"/>
                <w:highlight w:val="none"/>
                <w:lang w:eastAsia="zh-CN"/>
              </w:rPr>
              <w:t>，正</w:t>
            </w:r>
            <w:r>
              <w:rPr>
                <w:rFonts w:hint="eastAsia" w:ascii="宋体" w:hAnsi="宋体" w:eastAsia="宋体" w:cs="Times New Roman"/>
                <w:highlight w:val="none"/>
              </w:rPr>
              <w:t>高级工程师职称的得1分</w:t>
            </w:r>
            <w:r>
              <w:rPr>
                <w:rFonts w:hint="eastAsia" w:ascii="宋体" w:hAnsi="宋体" w:cs="Times New Roman"/>
                <w:highlight w:val="none"/>
                <w:lang w:eastAsia="zh-CN"/>
              </w:rPr>
              <w:t>；具有中华人民共和国住房和城乡建设部颁发的注册土木工程师（岩土）职称的得1分</w:t>
            </w:r>
            <w:r>
              <w:rPr>
                <w:rFonts w:hint="eastAsia" w:ascii="宋体" w:hAnsi="宋体" w:eastAsia="宋体" w:cs="Times New Roman"/>
                <w:highlight w:val="none"/>
              </w:rPr>
              <w:t>；</w:t>
            </w:r>
            <w:r>
              <w:rPr>
                <w:rFonts w:hint="eastAsia" w:ascii="宋体" w:hAnsi="宋体" w:cs="Times New Roman"/>
                <w:highlight w:val="none"/>
                <w:lang w:eastAsia="zh-CN"/>
              </w:rPr>
              <w:t>本项最高得</w:t>
            </w:r>
            <w:r>
              <w:rPr>
                <w:rFonts w:hint="eastAsia" w:ascii="宋体" w:hAnsi="宋体" w:cs="Times New Roman"/>
                <w:highlight w:val="none"/>
                <w:lang w:val="en-US" w:eastAsia="zh-CN"/>
              </w:rPr>
              <w:t>2分。</w:t>
            </w:r>
          </w:p>
          <w:p w14:paraId="04B59FEB">
            <w:pPr>
              <w:spacing w:line="360" w:lineRule="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（须提供相关有效证书及投标人开标前3个月任意一个月为其缴纳的社保证明材料扫描件并加盖公章。）</w:t>
            </w:r>
          </w:p>
        </w:tc>
        <w:tc>
          <w:tcPr>
            <w:tcW w:w="840" w:type="dxa"/>
            <w:vAlign w:val="center"/>
          </w:tcPr>
          <w:p w14:paraId="390D8194">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0-2分</w:t>
            </w:r>
          </w:p>
        </w:tc>
      </w:tr>
      <w:tr w14:paraId="6E8B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8" w:hRule="atLeast"/>
        </w:trPr>
        <w:tc>
          <w:tcPr>
            <w:tcW w:w="775" w:type="dxa"/>
            <w:shd w:val="clear" w:color="auto" w:fill="auto"/>
            <w:vAlign w:val="center"/>
          </w:tcPr>
          <w:p w14:paraId="06FE4ECA">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val="en-US" w:eastAsia="zh-CN"/>
              </w:rPr>
              <w:t>3</w:t>
            </w:r>
          </w:p>
        </w:tc>
        <w:tc>
          <w:tcPr>
            <w:tcW w:w="1312" w:type="dxa"/>
            <w:shd w:val="clear" w:color="auto" w:fill="auto"/>
            <w:vAlign w:val="center"/>
          </w:tcPr>
          <w:p w14:paraId="4152186B">
            <w:pPr>
              <w:spacing w:line="360" w:lineRule="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rPr>
              <w:t>项目组人员配备</w:t>
            </w:r>
          </w:p>
        </w:tc>
        <w:tc>
          <w:tcPr>
            <w:tcW w:w="7258" w:type="dxa"/>
            <w:shd w:val="clear" w:color="auto" w:fill="auto"/>
            <w:vAlign w:val="top"/>
          </w:tcPr>
          <w:p w14:paraId="73F81DE9">
            <w:pPr>
              <w:spacing w:line="360" w:lineRule="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拟派的项目组人员（不含项目负责人、技术负责人）</w:t>
            </w:r>
          </w:p>
          <w:p w14:paraId="6875C0A4">
            <w:pPr>
              <w:spacing w:line="360" w:lineRule="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1.具有岩土类高级工程师及以上技术职称的得1分；中级职称得0.5分，最高得2分</w:t>
            </w:r>
            <w:r>
              <w:rPr>
                <w:rFonts w:hint="eastAsia" w:ascii="宋体" w:hAnsi="宋体" w:cs="Times New Roman"/>
                <w:highlight w:val="none"/>
                <w:lang w:val="en-US" w:eastAsia="zh-CN"/>
              </w:rPr>
              <w:t>。</w:t>
            </w:r>
          </w:p>
          <w:p w14:paraId="7462B31E">
            <w:pPr>
              <w:spacing w:line="360" w:lineRule="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2.具有测绘类高级工程师及以上技术职称的得1分；中级职称得0.5分，最高得</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w:t>
            </w:r>
          </w:p>
          <w:p w14:paraId="61E2505B">
            <w:pPr>
              <w:spacing w:line="360" w:lineRule="auto"/>
              <w:rPr>
                <w:rFonts w:hint="default" w:ascii="宋体" w:hAnsi="宋体" w:eastAsia="宋体" w:cs="Times New Roman"/>
                <w:highlight w:val="none"/>
                <w:lang w:val="en-US" w:eastAsia="zh-CN"/>
              </w:rPr>
            </w:pPr>
            <w:r>
              <w:rPr>
                <w:rFonts w:hint="eastAsia" w:ascii="宋体" w:hAnsi="宋体"/>
                <w:highlight w:val="none"/>
                <w:lang w:val="en-US" w:eastAsia="zh-CN"/>
              </w:rPr>
              <w:t>3.建设工程检测人员培训合格证书（含地基基础或主体结构及装饰装修）</w:t>
            </w:r>
            <w:r>
              <w:rPr>
                <w:rFonts w:hint="eastAsia" w:ascii="宋体" w:hAnsi="宋体"/>
                <w:highlight w:val="none"/>
                <w:lang w:eastAsia="zh-CN"/>
              </w:rPr>
              <w:t>每人得</w:t>
            </w:r>
            <w:r>
              <w:rPr>
                <w:rFonts w:hint="eastAsia" w:ascii="宋体" w:hAnsi="宋体"/>
                <w:highlight w:val="none"/>
                <w:lang w:val="en-US" w:eastAsia="zh-CN"/>
              </w:rPr>
              <w:t>0.5分，最高得1分。</w:t>
            </w:r>
          </w:p>
          <w:p w14:paraId="575B521A">
            <w:pPr>
              <w:spacing w:line="360" w:lineRule="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val="en-US" w:eastAsia="zh-CN"/>
              </w:rPr>
              <w:t>（以上人员须提供相关有效证书及投标人开标前3个月任意一个月为其缴纳的社保证明材料扫描件并加盖公章。以上人员不重复得分。）</w:t>
            </w:r>
          </w:p>
        </w:tc>
        <w:tc>
          <w:tcPr>
            <w:tcW w:w="840" w:type="dxa"/>
            <w:shd w:val="clear" w:color="auto" w:fill="auto"/>
            <w:vAlign w:val="center"/>
          </w:tcPr>
          <w:p w14:paraId="1CBE6D70">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4</w:t>
            </w:r>
            <w:r>
              <w:rPr>
                <w:rFonts w:hint="eastAsia" w:ascii="宋体" w:hAnsi="宋体" w:eastAsia="宋体" w:cs="Times New Roman"/>
                <w:highlight w:val="none"/>
                <w:lang w:val="en-US" w:eastAsia="zh-CN"/>
              </w:rPr>
              <w:t>分</w:t>
            </w:r>
          </w:p>
        </w:tc>
      </w:tr>
      <w:tr w14:paraId="3151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75" w:type="dxa"/>
            <w:vMerge w:val="restart"/>
            <w:shd w:val="clear" w:color="auto" w:fill="auto"/>
            <w:vAlign w:val="center"/>
          </w:tcPr>
          <w:p w14:paraId="3A8629DB">
            <w:pPr>
              <w:spacing w:line="360" w:lineRule="auto"/>
              <w:jc w:val="center"/>
              <w:rPr>
                <w:rFonts w:hint="eastAsia" w:ascii="宋体" w:hAnsi="宋体" w:eastAsia="宋体" w:cs="Times New Roman"/>
                <w:highlight w:val="none"/>
                <w:lang w:eastAsia="zh-CN"/>
              </w:rPr>
            </w:pPr>
            <w:r>
              <w:rPr>
                <w:rFonts w:hint="eastAsia" w:ascii="宋体" w:hAnsi="宋体"/>
                <w:highlight w:val="none"/>
                <w:lang w:val="en-US" w:eastAsia="zh-CN"/>
              </w:rPr>
              <w:t>4</w:t>
            </w:r>
          </w:p>
        </w:tc>
        <w:tc>
          <w:tcPr>
            <w:tcW w:w="1312" w:type="dxa"/>
            <w:vMerge w:val="restart"/>
            <w:vAlign w:val="center"/>
          </w:tcPr>
          <w:p w14:paraId="32DAAAC9">
            <w:pPr>
              <w:spacing w:line="360" w:lineRule="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超前地质预报实施方案</w:t>
            </w:r>
          </w:p>
        </w:tc>
        <w:tc>
          <w:tcPr>
            <w:tcW w:w="7258" w:type="dxa"/>
            <w:vAlign w:val="center"/>
          </w:tcPr>
          <w:p w14:paraId="16862DD8">
            <w:pPr>
              <w:spacing w:line="360" w:lineRule="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根据投标人编制的超前地质预报项目的质量控制措施方案全面性评审0-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分，进度控制措施方案全面性评审0-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分，成本控制措施方案全面性评审</w:t>
            </w:r>
            <w:r>
              <w:rPr>
                <w:rFonts w:hint="eastAsia" w:ascii="宋体" w:hAnsi="宋体" w:cs="Times New Roman"/>
                <w:highlight w:val="none"/>
                <w:lang w:val="en-US" w:eastAsia="zh-CN"/>
              </w:rPr>
              <w:t>0-3分，</w:t>
            </w:r>
            <w:r>
              <w:rPr>
                <w:rFonts w:hint="eastAsia" w:ascii="宋体" w:hAnsi="宋体" w:eastAsia="宋体" w:cs="Times New Roman"/>
                <w:highlight w:val="none"/>
                <w:lang w:val="en-US" w:eastAsia="zh-CN"/>
              </w:rPr>
              <w:t>安全控制措施方案全面性评审0-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w:t>
            </w:r>
          </w:p>
        </w:tc>
        <w:tc>
          <w:tcPr>
            <w:tcW w:w="840" w:type="dxa"/>
            <w:vAlign w:val="center"/>
          </w:tcPr>
          <w:p w14:paraId="15610A6F">
            <w:pPr>
              <w:spacing w:line="360" w:lineRule="auto"/>
              <w:jc w:val="center"/>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10</w:t>
            </w:r>
            <w:r>
              <w:rPr>
                <w:rFonts w:hint="eastAsia" w:ascii="宋体" w:hAnsi="宋体" w:eastAsia="宋体" w:cs="Times New Roman"/>
                <w:highlight w:val="none"/>
                <w:lang w:val="en-US" w:eastAsia="zh-CN"/>
              </w:rPr>
              <w:t>分</w:t>
            </w:r>
          </w:p>
        </w:tc>
      </w:tr>
      <w:tr w14:paraId="5215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rPr>
        <w:tc>
          <w:tcPr>
            <w:tcW w:w="775" w:type="dxa"/>
            <w:vMerge w:val="continue"/>
            <w:vAlign w:val="center"/>
          </w:tcPr>
          <w:p w14:paraId="1DDA9F1A">
            <w:pPr>
              <w:spacing w:line="360" w:lineRule="auto"/>
              <w:rPr>
                <w:rFonts w:hint="eastAsia" w:ascii="宋体" w:hAnsi="宋体" w:eastAsia="宋体" w:cs="Times New Roman"/>
                <w:highlight w:val="none"/>
              </w:rPr>
            </w:pPr>
          </w:p>
        </w:tc>
        <w:tc>
          <w:tcPr>
            <w:tcW w:w="1312" w:type="dxa"/>
            <w:vMerge w:val="continue"/>
            <w:vAlign w:val="center"/>
          </w:tcPr>
          <w:p w14:paraId="0A939386">
            <w:pPr>
              <w:spacing w:line="360" w:lineRule="auto"/>
              <w:rPr>
                <w:rFonts w:hint="eastAsia" w:ascii="宋体" w:hAnsi="宋体" w:eastAsia="宋体" w:cs="Times New Roman"/>
                <w:highlight w:val="none"/>
              </w:rPr>
            </w:pPr>
          </w:p>
        </w:tc>
        <w:tc>
          <w:tcPr>
            <w:tcW w:w="7258" w:type="dxa"/>
            <w:vAlign w:val="center"/>
          </w:tcPr>
          <w:p w14:paraId="1C1FBCF6">
            <w:pPr>
              <w:spacing w:line="360" w:lineRule="auto"/>
              <w:rPr>
                <w:rFonts w:hint="default" w:ascii="宋体" w:hAnsi="宋体" w:eastAsia="宋体" w:cs="Times New Roman"/>
                <w:highlight w:val="none"/>
                <w:lang w:val="en-US"/>
              </w:rPr>
            </w:pPr>
            <w:r>
              <w:rPr>
                <w:rFonts w:hint="eastAsia" w:ascii="宋体" w:hAnsi="宋体" w:eastAsia="宋体" w:cs="Times New Roman"/>
                <w:highlight w:val="none"/>
                <w:lang w:val="en-US" w:eastAsia="zh-CN"/>
              </w:rPr>
              <w:t>根据投标人编制的</w:t>
            </w:r>
            <w:r>
              <w:rPr>
                <w:rFonts w:hint="eastAsia" w:ascii="宋体" w:hAnsi="宋体" w:eastAsia="宋体" w:cs="Times New Roman"/>
                <w:highlight w:val="none"/>
                <w:lang w:eastAsia="zh-CN"/>
              </w:rPr>
              <w:t>超前地质预报</w:t>
            </w:r>
            <w:r>
              <w:rPr>
                <w:rFonts w:hint="eastAsia" w:ascii="宋体" w:hAnsi="宋体" w:eastAsia="宋体" w:cs="Times New Roman"/>
                <w:highlight w:val="none"/>
                <w:lang w:val="en-US" w:eastAsia="zh-CN"/>
              </w:rPr>
              <w:t>项目的技术要点、难点分析0-3分，重点分析0-3分。</w:t>
            </w:r>
          </w:p>
        </w:tc>
        <w:tc>
          <w:tcPr>
            <w:tcW w:w="840" w:type="dxa"/>
            <w:vAlign w:val="center"/>
          </w:tcPr>
          <w:p w14:paraId="4E363AA6">
            <w:pPr>
              <w:spacing w:line="360" w:lineRule="auto"/>
              <w:jc w:val="center"/>
              <w:rPr>
                <w:rFonts w:hint="eastAsia" w:ascii="宋体" w:hAnsi="宋体" w:eastAsia="宋体" w:cs="Times New Roman"/>
                <w:highlight w:val="none"/>
              </w:rPr>
            </w:pPr>
            <w:r>
              <w:rPr>
                <w:rFonts w:hint="eastAsia" w:ascii="宋体" w:hAnsi="宋体" w:eastAsia="宋体" w:cs="Times New Roman"/>
                <w:highlight w:val="none"/>
              </w:rPr>
              <w:t>0-</w:t>
            </w:r>
            <w:r>
              <w:rPr>
                <w:rFonts w:hint="eastAsia" w:ascii="宋体" w:hAnsi="宋体" w:eastAsia="宋体" w:cs="Times New Roman"/>
                <w:highlight w:val="none"/>
                <w:lang w:val="en-US" w:eastAsia="zh-CN"/>
              </w:rPr>
              <w:t>6</w:t>
            </w:r>
            <w:r>
              <w:rPr>
                <w:rFonts w:hint="eastAsia" w:ascii="宋体" w:hAnsi="宋体" w:eastAsia="宋体" w:cs="Times New Roman"/>
                <w:highlight w:val="none"/>
              </w:rPr>
              <w:t>分</w:t>
            </w:r>
          </w:p>
        </w:tc>
      </w:tr>
      <w:tr w14:paraId="0835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8" w:hRule="atLeast"/>
        </w:trPr>
        <w:tc>
          <w:tcPr>
            <w:tcW w:w="775" w:type="dxa"/>
            <w:vMerge w:val="continue"/>
            <w:vAlign w:val="center"/>
          </w:tcPr>
          <w:p w14:paraId="3B14F62D">
            <w:pPr>
              <w:spacing w:line="360" w:lineRule="auto"/>
              <w:rPr>
                <w:rFonts w:hint="eastAsia" w:ascii="宋体" w:hAnsi="宋体" w:eastAsia="宋体" w:cs="Times New Roman"/>
                <w:highlight w:val="none"/>
              </w:rPr>
            </w:pPr>
          </w:p>
        </w:tc>
        <w:tc>
          <w:tcPr>
            <w:tcW w:w="1312" w:type="dxa"/>
            <w:vMerge w:val="continue"/>
            <w:vAlign w:val="center"/>
          </w:tcPr>
          <w:p w14:paraId="2356E96F">
            <w:pPr>
              <w:spacing w:line="360" w:lineRule="auto"/>
              <w:rPr>
                <w:rFonts w:hint="eastAsia" w:ascii="宋体" w:hAnsi="宋体" w:eastAsia="宋体" w:cs="Times New Roman"/>
                <w:highlight w:val="none"/>
              </w:rPr>
            </w:pPr>
          </w:p>
        </w:tc>
        <w:tc>
          <w:tcPr>
            <w:tcW w:w="7258" w:type="dxa"/>
            <w:vAlign w:val="center"/>
          </w:tcPr>
          <w:p w14:paraId="72D8B8AB">
            <w:pPr>
              <w:spacing w:line="360" w:lineRule="auto"/>
              <w:rPr>
                <w:rFonts w:hint="eastAsia" w:ascii="宋体" w:hAnsi="宋体" w:eastAsia="宋体" w:cs="Times New Roman"/>
                <w:highlight w:val="none"/>
              </w:rPr>
            </w:pPr>
            <w:r>
              <w:rPr>
                <w:rFonts w:hint="eastAsia" w:ascii="宋体" w:hAnsi="宋体" w:eastAsia="宋体" w:cs="Times New Roman"/>
                <w:highlight w:val="none"/>
                <w:lang w:val="en-US" w:eastAsia="zh-CN"/>
              </w:rPr>
              <w:t>根据投标人编制的</w:t>
            </w:r>
            <w:r>
              <w:rPr>
                <w:rFonts w:hint="eastAsia" w:ascii="宋体" w:hAnsi="宋体" w:eastAsia="宋体" w:cs="Times New Roman"/>
                <w:highlight w:val="none"/>
                <w:lang w:eastAsia="zh-CN"/>
              </w:rPr>
              <w:t>超前地质预报</w:t>
            </w:r>
            <w:r>
              <w:rPr>
                <w:rFonts w:hint="eastAsia" w:ascii="宋体" w:hAnsi="宋体" w:eastAsia="宋体" w:cs="Times New Roman"/>
                <w:highlight w:val="none"/>
                <w:lang w:val="en-US" w:eastAsia="zh-CN"/>
              </w:rPr>
              <w:t>项目组织方案0-3分，配合及协调措施方案进行评审0-3分。</w:t>
            </w:r>
          </w:p>
        </w:tc>
        <w:tc>
          <w:tcPr>
            <w:tcW w:w="840" w:type="dxa"/>
            <w:vAlign w:val="center"/>
          </w:tcPr>
          <w:p w14:paraId="6DB0471C">
            <w:pPr>
              <w:spacing w:line="360" w:lineRule="auto"/>
              <w:jc w:val="center"/>
              <w:rPr>
                <w:rFonts w:hint="eastAsia" w:ascii="宋体" w:hAnsi="宋体" w:eastAsia="宋体" w:cs="Times New Roman"/>
                <w:highlight w:val="none"/>
              </w:rPr>
            </w:pPr>
            <w:r>
              <w:rPr>
                <w:rFonts w:hint="eastAsia" w:ascii="宋体" w:hAnsi="宋体" w:eastAsia="宋体" w:cs="Times New Roman"/>
                <w:highlight w:val="none"/>
              </w:rPr>
              <w:t>0-</w:t>
            </w:r>
            <w:r>
              <w:rPr>
                <w:rFonts w:hint="eastAsia" w:ascii="宋体" w:hAnsi="宋体" w:eastAsia="宋体" w:cs="Times New Roman"/>
                <w:highlight w:val="none"/>
                <w:lang w:val="en-US" w:eastAsia="zh-CN"/>
              </w:rPr>
              <w:t>6</w:t>
            </w:r>
            <w:r>
              <w:rPr>
                <w:rFonts w:hint="eastAsia" w:ascii="宋体" w:hAnsi="宋体" w:eastAsia="宋体" w:cs="Times New Roman"/>
                <w:highlight w:val="none"/>
              </w:rPr>
              <w:t>分</w:t>
            </w:r>
          </w:p>
        </w:tc>
      </w:tr>
      <w:tr w14:paraId="54A6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8" w:hRule="atLeast"/>
        </w:trPr>
        <w:tc>
          <w:tcPr>
            <w:tcW w:w="775" w:type="dxa"/>
            <w:vMerge w:val="restart"/>
            <w:shd w:val="clear" w:color="auto" w:fill="auto"/>
            <w:vAlign w:val="center"/>
          </w:tcPr>
          <w:p w14:paraId="0F44F568">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5</w:t>
            </w:r>
          </w:p>
        </w:tc>
        <w:tc>
          <w:tcPr>
            <w:tcW w:w="1312" w:type="dxa"/>
            <w:vMerge w:val="restart"/>
            <w:vAlign w:val="center"/>
          </w:tcPr>
          <w:p w14:paraId="1E400F7A">
            <w:pPr>
              <w:spacing w:line="360" w:lineRule="auto"/>
              <w:rPr>
                <w:rFonts w:hint="eastAsia" w:ascii="宋体" w:hAnsi="宋体" w:eastAsia="宋体" w:cs="Times New Roman"/>
                <w:highlight w:val="none"/>
                <w:lang w:val="en-US" w:eastAsia="zh-CN"/>
              </w:rPr>
            </w:pPr>
            <w:r>
              <w:rPr>
                <w:rFonts w:hint="eastAsia" w:ascii="宋体" w:hAnsi="宋体" w:eastAsia="宋体" w:cs="Times New Roman"/>
                <w:highlight w:val="none"/>
                <w:lang w:eastAsia="zh-CN"/>
              </w:rPr>
              <w:t>监控量测实施方案</w:t>
            </w:r>
          </w:p>
          <w:p w14:paraId="5FF362CC">
            <w:pPr>
              <w:spacing w:line="360" w:lineRule="auto"/>
              <w:jc w:val="center"/>
              <w:rPr>
                <w:rFonts w:hint="eastAsia" w:ascii="宋体" w:hAnsi="宋体"/>
                <w:highlight w:val="none"/>
              </w:rPr>
            </w:pPr>
          </w:p>
        </w:tc>
        <w:tc>
          <w:tcPr>
            <w:tcW w:w="7258" w:type="dxa"/>
            <w:vAlign w:val="center"/>
          </w:tcPr>
          <w:p w14:paraId="1AD28239">
            <w:pPr>
              <w:spacing w:line="360" w:lineRule="auto"/>
              <w:rPr>
                <w:rFonts w:hint="eastAsia" w:ascii="宋体" w:hAnsi="宋体"/>
                <w:highlight w:val="none"/>
              </w:rPr>
            </w:pPr>
            <w:r>
              <w:rPr>
                <w:rFonts w:hint="eastAsia" w:ascii="宋体" w:hAnsi="宋体" w:eastAsia="宋体" w:cs="Times New Roman"/>
                <w:highlight w:val="none"/>
                <w:lang w:val="en-US" w:eastAsia="zh-CN"/>
              </w:rPr>
              <w:t>根据投标人编制</w:t>
            </w:r>
            <w:r>
              <w:rPr>
                <w:rFonts w:hint="eastAsia" w:ascii="宋体" w:hAnsi="宋体" w:eastAsia="宋体" w:cs="Times New Roman"/>
                <w:highlight w:val="none"/>
                <w:lang w:eastAsia="zh-CN"/>
              </w:rPr>
              <w:t>监控量测</w:t>
            </w:r>
            <w:r>
              <w:rPr>
                <w:rFonts w:hint="eastAsia" w:ascii="宋体" w:hAnsi="宋体" w:eastAsia="宋体" w:cs="Times New Roman"/>
                <w:highlight w:val="none"/>
                <w:lang w:val="en-US" w:eastAsia="zh-CN"/>
              </w:rPr>
              <w:t>项目的质量控制措施方案全面性评审0-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分，进度控制措施方案全面性评审0-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分，成本控制措施方案全面性评审</w:t>
            </w:r>
            <w:r>
              <w:rPr>
                <w:rFonts w:hint="eastAsia" w:ascii="宋体" w:hAnsi="宋体" w:cs="Times New Roman"/>
                <w:highlight w:val="none"/>
                <w:lang w:val="en-US" w:eastAsia="zh-CN"/>
              </w:rPr>
              <w:t>0-3分，</w:t>
            </w:r>
            <w:r>
              <w:rPr>
                <w:rFonts w:hint="eastAsia" w:ascii="宋体" w:hAnsi="宋体" w:eastAsia="宋体" w:cs="Times New Roman"/>
                <w:highlight w:val="none"/>
                <w:lang w:val="en-US" w:eastAsia="zh-CN"/>
              </w:rPr>
              <w:t>安全控制措施方案全面性评审0-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w:t>
            </w:r>
          </w:p>
        </w:tc>
        <w:tc>
          <w:tcPr>
            <w:tcW w:w="840" w:type="dxa"/>
            <w:vAlign w:val="center"/>
          </w:tcPr>
          <w:p w14:paraId="6C6150A1">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0-10分</w:t>
            </w:r>
          </w:p>
        </w:tc>
      </w:tr>
      <w:tr w14:paraId="3CF7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775" w:type="dxa"/>
            <w:vMerge w:val="continue"/>
            <w:shd w:val="clear" w:color="auto" w:fill="auto"/>
            <w:vAlign w:val="center"/>
          </w:tcPr>
          <w:p w14:paraId="0A25F214">
            <w:pPr>
              <w:spacing w:line="360" w:lineRule="auto"/>
              <w:jc w:val="center"/>
              <w:rPr>
                <w:rFonts w:hint="eastAsia" w:ascii="宋体" w:hAnsi="宋体"/>
                <w:highlight w:val="none"/>
              </w:rPr>
            </w:pPr>
          </w:p>
        </w:tc>
        <w:tc>
          <w:tcPr>
            <w:tcW w:w="1312" w:type="dxa"/>
            <w:vMerge w:val="continue"/>
            <w:vAlign w:val="center"/>
          </w:tcPr>
          <w:p w14:paraId="0429FA7D">
            <w:pPr>
              <w:spacing w:line="360" w:lineRule="auto"/>
              <w:jc w:val="center"/>
              <w:rPr>
                <w:rFonts w:hint="eastAsia" w:ascii="宋体" w:hAnsi="宋体"/>
                <w:highlight w:val="none"/>
              </w:rPr>
            </w:pPr>
          </w:p>
        </w:tc>
        <w:tc>
          <w:tcPr>
            <w:tcW w:w="7258" w:type="dxa"/>
            <w:vAlign w:val="center"/>
          </w:tcPr>
          <w:p w14:paraId="607A6D0B">
            <w:pPr>
              <w:spacing w:line="360" w:lineRule="auto"/>
              <w:rPr>
                <w:rFonts w:hint="eastAsia" w:ascii="宋体" w:hAnsi="宋体"/>
                <w:highlight w:val="none"/>
              </w:rPr>
            </w:pPr>
            <w:r>
              <w:rPr>
                <w:rFonts w:hint="eastAsia" w:ascii="宋体" w:hAnsi="宋体" w:eastAsia="宋体" w:cs="Times New Roman"/>
                <w:highlight w:val="none"/>
                <w:lang w:val="en-US" w:eastAsia="zh-CN"/>
              </w:rPr>
              <w:t>根据投标人编制</w:t>
            </w:r>
            <w:r>
              <w:rPr>
                <w:rFonts w:hint="eastAsia" w:ascii="宋体" w:hAnsi="宋体" w:eastAsia="宋体" w:cs="Times New Roman"/>
                <w:highlight w:val="none"/>
                <w:lang w:eastAsia="zh-CN"/>
              </w:rPr>
              <w:t>监控量测</w:t>
            </w:r>
            <w:r>
              <w:rPr>
                <w:rFonts w:hint="eastAsia" w:ascii="宋体" w:hAnsi="宋体" w:eastAsia="宋体" w:cs="Times New Roman"/>
                <w:highlight w:val="none"/>
                <w:lang w:val="en-US" w:eastAsia="zh-CN"/>
              </w:rPr>
              <w:t>项目的技术要点分析、难点分析0-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分，重点分析0-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w:t>
            </w:r>
          </w:p>
        </w:tc>
        <w:tc>
          <w:tcPr>
            <w:tcW w:w="840" w:type="dxa"/>
            <w:vAlign w:val="center"/>
          </w:tcPr>
          <w:p w14:paraId="202A4E55">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0-6分</w:t>
            </w:r>
          </w:p>
        </w:tc>
      </w:tr>
      <w:tr w14:paraId="07AE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775" w:type="dxa"/>
            <w:vMerge w:val="continue"/>
            <w:shd w:val="clear" w:color="auto" w:fill="auto"/>
            <w:vAlign w:val="center"/>
          </w:tcPr>
          <w:p w14:paraId="6B4E2740">
            <w:pPr>
              <w:spacing w:line="360" w:lineRule="auto"/>
              <w:jc w:val="center"/>
              <w:rPr>
                <w:rFonts w:hint="eastAsia" w:ascii="宋体" w:hAnsi="宋体" w:eastAsia="宋体" w:cs="Times New Roman"/>
                <w:kern w:val="2"/>
                <w:sz w:val="21"/>
                <w:szCs w:val="24"/>
                <w:highlight w:val="none"/>
                <w:lang w:val="en-US" w:eastAsia="zh-CN" w:bidi="ar-SA"/>
              </w:rPr>
            </w:pPr>
          </w:p>
        </w:tc>
        <w:tc>
          <w:tcPr>
            <w:tcW w:w="1312" w:type="dxa"/>
            <w:vMerge w:val="continue"/>
            <w:vAlign w:val="center"/>
          </w:tcPr>
          <w:p w14:paraId="648216B2">
            <w:pPr>
              <w:spacing w:line="360" w:lineRule="auto"/>
              <w:jc w:val="center"/>
              <w:rPr>
                <w:rFonts w:hint="eastAsia" w:ascii="宋体" w:hAnsi="宋体"/>
                <w:highlight w:val="none"/>
              </w:rPr>
            </w:pPr>
          </w:p>
        </w:tc>
        <w:tc>
          <w:tcPr>
            <w:tcW w:w="7258" w:type="dxa"/>
            <w:vAlign w:val="center"/>
          </w:tcPr>
          <w:p w14:paraId="552784CE">
            <w:pPr>
              <w:spacing w:line="360" w:lineRule="auto"/>
              <w:rPr>
                <w:rFonts w:hint="eastAsia" w:ascii="宋体" w:hAnsi="宋体"/>
                <w:highlight w:val="none"/>
              </w:rPr>
            </w:pPr>
            <w:r>
              <w:rPr>
                <w:rFonts w:hint="eastAsia" w:ascii="宋体" w:hAnsi="宋体" w:eastAsia="宋体" w:cs="Times New Roman"/>
                <w:highlight w:val="none"/>
                <w:lang w:val="en-US" w:eastAsia="zh-CN"/>
              </w:rPr>
              <w:t>根据投标人编制</w:t>
            </w:r>
            <w:r>
              <w:rPr>
                <w:rFonts w:hint="eastAsia" w:ascii="宋体" w:hAnsi="宋体" w:eastAsia="宋体" w:cs="Times New Roman"/>
                <w:highlight w:val="none"/>
                <w:lang w:eastAsia="zh-CN"/>
              </w:rPr>
              <w:t>监控量测</w:t>
            </w:r>
            <w:r>
              <w:rPr>
                <w:rFonts w:hint="eastAsia" w:ascii="宋体" w:hAnsi="宋体" w:eastAsia="宋体" w:cs="Times New Roman"/>
                <w:highlight w:val="none"/>
                <w:lang w:val="en-US" w:eastAsia="zh-CN"/>
              </w:rPr>
              <w:t>项目组织0-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分，配合及协调措施方案进行评审0-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w:t>
            </w:r>
          </w:p>
        </w:tc>
        <w:tc>
          <w:tcPr>
            <w:tcW w:w="840" w:type="dxa"/>
            <w:vAlign w:val="center"/>
          </w:tcPr>
          <w:p w14:paraId="7197B7A0">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0-4分</w:t>
            </w:r>
          </w:p>
        </w:tc>
      </w:tr>
      <w:tr w14:paraId="091D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775" w:type="dxa"/>
            <w:shd w:val="clear" w:color="auto" w:fill="auto"/>
            <w:vAlign w:val="center"/>
          </w:tcPr>
          <w:p w14:paraId="216F747E">
            <w:pPr>
              <w:pStyle w:val="24"/>
              <w:widowControl/>
              <w:tabs>
                <w:tab w:val="left" w:pos="900"/>
              </w:tabs>
              <w:spacing w:line="360" w:lineRule="auto"/>
              <w:ind w:left="420" w:leftChars="0" w:hanging="420" w:hangingChars="200"/>
              <w:jc w:val="center"/>
              <w:rPr>
                <w:rFonts w:hint="default" w:ascii="宋体" w:hAnsi="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6</w:t>
            </w:r>
          </w:p>
        </w:tc>
        <w:tc>
          <w:tcPr>
            <w:tcW w:w="1312" w:type="dxa"/>
            <w:shd w:val="clear" w:color="auto" w:fill="auto"/>
            <w:vAlign w:val="center"/>
          </w:tcPr>
          <w:p w14:paraId="2B0F7E15">
            <w:pPr>
              <w:widowControl/>
              <w:adjustRightInd w:val="0"/>
              <w:snapToGrid w:val="0"/>
              <w:jc w:val="center"/>
              <w:rPr>
                <w:rFonts w:hint="eastAsia" w:ascii="Times New Roman" w:hAnsi="Times New Roman" w:eastAsia="宋体" w:cs="Times New Roman"/>
                <w:kern w:val="0"/>
                <w:sz w:val="21"/>
                <w:szCs w:val="21"/>
                <w:highlight w:val="none"/>
                <w:lang w:val="en-US" w:eastAsia="zh-CN" w:bidi="ar-SA"/>
              </w:rPr>
            </w:pPr>
            <w:r>
              <w:rPr>
                <w:szCs w:val="21"/>
                <w:highlight w:val="none"/>
              </w:rPr>
              <w:t>拟投入的设施设备</w:t>
            </w:r>
          </w:p>
        </w:tc>
        <w:tc>
          <w:tcPr>
            <w:tcW w:w="7258" w:type="dxa"/>
            <w:shd w:val="clear" w:color="auto" w:fill="auto"/>
            <w:vAlign w:val="center"/>
          </w:tcPr>
          <w:p w14:paraId="194B5173">
            <w:pPr>
              <w:widowControl/>
              <w:adjustRightInd w:val="0"/>
              <w:snapToGrid w:val="0"/>
              <w:spacing w:line="360" w:lineRule="auto"/>
              <w:jc w:val="left"/>
              <w:rPr>
                <w:rFonts w:hint="eastAsia" w:ascii="Times New Roman" w:hAnsi="Times New Roman" w:eastAsia="宋体" w:cs="Times New Roman"/>
                <w:kern w:val="0"/>
                <w:sz w:val="21"/>
                <w:szCs w:val="21"/>
                <w:highlight w:val="none"/>
                <w:lang w:val="en-US" w:eastAsia="zh-CN" w:bidi="ar-SA"/>
              </w:rPr>
            </w:pPr>
            <w:r>
              <w:rPr>
                <w:rFonts w:hint="eastAsia"/>
                <w:szCs w:val="21"/>
                <w:highlight w:val="none"/>
                <w:lang w:eastAsia="zh-CN"/>
              </w:rPr>
              <w:t>根据投标人拟投入的机械设备（地质雷达、地质超前预报系统、全站仪、测斜仪、爆破测振仪）、设施、工具等是否详细、全面等进行综合评审0-</w:t>
            </w:r>
            <w:r>
              <w:rPr>
                <w:rFonts w:hint="eastAsia"/>
                <w:szCs w:val="21"/>
                <w:highlight w:val="none"/>
                <w:lang w:val="en-US" w:eastAsia="zh-CN"/>
              </w:rPr>
              <w:t>3</w:t>
            </w:r>
            <w:r>
              <w:rPr>
                <w:rFonts w:hint="eastAsia"/>
                <w:szCs w:val="21"/>
                <w:highlight w:val="none"/>
                <w:lang w:eastAsia="zh-CN"/>
              </w:rPr>
              <w:t>分。</w:t>
            </w:r>
          </w:p>
        </w:tc>
        <w:tc>
          <w:tcPr>
            <w:tcW w:w="840" w:type="dxa"/>
            <w:shd w:val="clear" w:color="auto" w:fill="auto"/>
            <w:vAlign w:val="center"/>
          </w:tcPr>
          <w:p w14:paraId="77594E22">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cs="Times New Roman"/>
                <w:highlight w:val="none"/>
                <w:lang w:val="en-US" w:eastAsia="zh-CN"/>
              </w:rPr>
              <w:t>0-3分</w:t>
            </w:r>
          </w:p>
        </w:tc>
      </w:tr>
      <w:tr w14:paraId="4A71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atLeast"/>
        </w:trPr>
        <w:tc>
          <w:tcPr>
            <w:tcW w:w="775" w:type="dxa"/>
            <w:shd w:val="clear" w:color="auto" w:fill="auto"/>
            <w:vAlign w:val="center"/>
          </w:tcPr>
          <w:p w14:paraId="3D8C8EDE">
            <w:pPr>
              <w:pStyle w:val="24"/>
              <w:widowControl/>
              <w:tabs>
                <w:tab w:val="left" w:pos="900"/>
              </w:tabs>
              <w:spacing w:line="360" w:lineRule="auto"/>
              <w:ind w:left="420" w:leftChars="0" w:hanging="420" w:hangingChars="200"/>
              <w:jc w:val="center"/>
              <w:rPr>
                <w:rFonts w:hint="eastAsia" w:ascii="宋体" w:hAnsi="宋体" w:eastAsia="宋体" w:cs="Times New Roman"/>
                <w:kern w:val="2"/>
                <w:sz w:val="21"/>
                <w:szCs w:val="24"/>
                <w:highlight w:val="none"/>
                <w:lang w:val="en-US" w:eastAsia="zh-CN" w:bidi="ar-SA"/>
              </w:rPr>
            </w:pPr>
            <w:r>
              <w:rPr>
                <w:rFonts w:hint="eastAsia" w:ascii="宋体" w:hAnsi="宋体" w:cs="Times New Roman"/>
                <w:szCs w:val="24"/>
                <w:highlight w:val="none"/>
                <w:lang w:val="en-US" w:eastAsia="zh-CN"/>
              </w:rPr>
              <w:t>7</w:t>
            </w:r>
          </w:p>
        </w:tc>
        <w:tc>
          <w:tcPr>
            <w:tcW w:w="1312" w:type="dxa"/>
            <w:shd w:val="clear" w:color="auto" w:fill="auto"/>
            <w:vAlign w:val="center"/>
          </w:tcPr>
          <w:p w14:paraId="2DE4BF57">
            <w:pPr>
              <w:widowControl/>
              <w:adjustRightInd w:val="0"/>
              <w:snapToGrid w:val="0"/>
              <w:jc w:val="center"/>
              <w:rPr>
                <w:rFonts w:hint="eastAsia" w:ascii="Times New Roman" w:hAnsi="Times New Roman" w:eastAsia="宋体" w:cs="Times New Roman"/>
                <w:kern w:val="0"/>
                <w:sz w:val="21"/>
                <w:szCs w:val="21"/>
                <w:highlight w:val="none"/>
                <w:lang w:val="en-US" w:eastAsia="zh-CN" w:bidi="ar-SA"/>
              </w:rPr>
            </w:pPr>
            <w:r>
              <w:rPr>
                <w:szCs w:val="21"/>
                <w:highlight w:val="none"/>
              </w:rPr>
              <w:t>监测机构设置、岗位职责、监测人员进退场计划</w:t>
            </w:r>
          </w:p>
        </w:tc>
        <w:tc>
          <w:tcPr>
            <w:tcW w:w="7258" w:type="dxa"/>
            <w:shd w:val="clear" w:color="auto" w:fill="auto"/>
            <w:vAlign w:val="center"/>
          </w:tcPr>
          <w:p w14:paraId="6FDD7354">
            <w:pPr>
              <w:widowControl/>
              <w:adjustRightInd w:val="0"/>
              <w:snapToGrid w:val="0"/>
              <w:spacing w:line="360" w:lineRule="auto"/>
              <w:jc w:val="left"/>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eastAsia="zh-CN"/>
              </w:rPr>
              <w:t>根据投标人编制的监测</w:t>
            </w:r>
            <w:r>
              <w:rPr>
                <w:szCs w:val="21"/>
                <w:highlight w:val="none"/>
              </w:rPr>
              <w:t>机构</w:t>
            </w:r>
            <w:r>
              <w:rPr>
                <w:rFonts w:hint="eastAsia"/>
                <w:szCs w:val="21"/>
                <w:highlight w:val="none"/>
                <w:lang w:eastAsia="zh-CN"/>
              </w:rPr>
              <w:t>设置分案</w:t>
            </w:r>
            <w:r>
              <w:rPr>
                <w:rFonts w:hint="eastAsia"/>
                <w:szCs w:val="21"/>
                <w:highlight w:val="none"/>
                <w:lang w:val="en-US" w:eastAsia="zh-CN"/>
              </w:rPr>
              <w:t>0-1分</w:t>
            </w:r>
            <w:r>
              <w:rPr>
                <w:szCs w:val="21"/>
                <w:highlight w:val="none"/>
              </w:rPr>
              <w:t>，监测工作需要</w:t>
            </w:r>
            <w:r>
              <w:rPr>
                <w:rFonts w:hint="eastAsia"/>
                <w:szCs w:val="21"/>
                <w:highlight w:val="none"/>
                <w:lang w:val="en-US" w:eastAsia="zh-CN"/>
              </w:rPr>
              <w:t>0-1分</w:t>
            </w:r>
            <w:r>
              <w:rPr>
                <w:szCs w:val="21"/>
                <w:highlight w:val="none"/>
              </w:rPr>
              <w:t>，监测站</w:t>
            </w:r>
            <w:r>
              <w:rPr>
                <w:rFonts w:hint="eastAsia"/>
                <w:szCs w:val="21"/>
                <w:highlight w:val="none"/>
                <w:lang w:val="en-US" w:eastAsia="zh-CN"/>
              </w:rPr>
              <w:t>0-1分</w:t>
            </w:r>
            <w:r>
              <w:rPr>
                <w:szCs w:val="21"/>
                <w:highlight w:val="none"/>
              </w:rPr>
              <w:t>、监测分站（监测组）</w:t>
            </w:r>
            <w:r>
              <w:rPr>
                <w:rFonts w:hint="eastAsia"/>
                <w:szCs w:val="21"/>
                <w:highlight w:val="none"/>
                <w:lang w:val="en-US" w:eastAsia="zh-CN"/>
              </w:rPr>
              <w:t>0-1分</w:t>
            </w:r>
            <w:r>
              <w:rPr>
                <w:szCs w:val="21"/>
                <w:highlight w:val="none"/>
              </w:rPr>
              <w:t>等</w:t>
            </w:r>
            <w:r>
              <w:rPr>
                <w:rFonts w:hint="eastAsia"/>
                <w:szCs w:val="21"/>
                <w:highlight w:val="none"/>
                <w:lang w:val="en-US" w:eastAsia="zh-CN"/>
              </w:rPr>
              <w:t>进行评审。</w:t>
            </w:r>
          </w:p>
        </w:tc>
        <w:tc>
          <w:tcPr>
            <w:tcW w:w="840" w:type="dxa"/>
            <w:shd w:val="clear" w:color="auto" w:fill="auto"/>
            <w:vAlign w:val="center"/>
          </w:tcPr>
          <w:p w14:paraId="59132EDB">
            <w:pPr>
              <w:spacing w:line="360" w:lineRule="auto"/>
              <w:jc w:val="center"/>
              <w:rPr>
                <w:rFonts w:hint="default" w:ascii="宋体" w:hAnsi="宋体" w:eastAsia="宋体" w:cs="Times New Roman"/>
                <w:highlight w:val="none"/>
                <w:lang w:val="en-US" w:eastAsia="zh-CN"/>
              </w:rPr>
            </w:pPr>
            <w:r>
              <w:rPr>
                <w:rFonts w:hint="eastAsia" w:ascii="宋体" w:hAnsi="宋体" w:cs="Times New Roman"/>
                <w:highlight w:val="none"/>
                <w:lang w:val="en-US" w:eastAsia="zh-CN"/>
              </w:rPr>
              <w:t>0-4分</w:t>
            </w:r>
          </w:p>
        </w:tc>
      </w:tr>
      <w:tr w14:paraId="48F3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775" w:type="dxa"/>
            <w:shd w:val="clear" w:color="auto" w:fill="auto"/>
            <w:vAlign w:val="center"/>
          </w:tcPr>
          <w:p w14:paraId="7238CF21">
            <w:pPr>
              <w:pStyle w:val="24"/>
              <w:widowControl/>
              <w:tabs>
                <w:tab w:val="left" w:pos="900"/>
              </w:tabs>
              <w:spacing w:line="360" w:lineRule="auto"/>
              <w:ind w:left="420" w:leftChars="0" w:hanging="420" w:hangingChars="200"/>
              <w:jc w:val="center"/>
              <w:rPr>
                <w:rFonts w:hint="eastAsia" w:ascii="宋体" w:hAnsi="宋体" w:eastAsia="宋体" w:cs="Times New Roman"/>
                <w:kern w:val="2"/>
                <w:sz w:val="21"/>
                <w:szCs w:val="24"/>
                <w:highlight w:val="none"/>
                <w:lang w:val="en-US" w:eastAsia="zh-CN" w:bidi="ar-SA"/>
              </w:rPr>
            </w:pPr>
            <w:r>
              <w:rPr>
                <w:rFonts w:hint="eastAsia" w:ascii="宋体" w:hAnsi="宋体" w:cs="Times New Roman"/>
                <w:szCs w:val="24"/>
                <w:highlight w:val="none"/>
                <w:lang w:val="en-US" w:eastAsia="zh-CN"/>
              </w:rPr>
              <w:t>8</w:t>
            </w:r>
          </w:p>
        </w:tc>
        <w:tc>
          <w:tcPr>
            <w:tcW w:w="1312" w:type="dxa"/>
            <w:shd w:val="clear" w:color="auto" w:fill="auto"/>
            <w:vAlign w:val="center"/>
          </w:tcPr>
          <w:p w14:paraId="60F1DDDA">
            <w:pPr>
              <w:spacing w:line="360" w:lineRule="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eastAsia="zh-CN"/>
              </w:rPr>
              <w:t>安全防护方案和措施</w:t>
            </w:r>
          </w:p>
        </w:tc>
        <w:tc>
          <w:tcPr>
            <w:tcW w:w="7258" w:type="dxa"/>
            <w:shd w:val="clear" w:color="auto" w:fill="auto"/>
            <w:vAlign w:val="top"/>
          </w:tcPr>
          <w:p w14:paraId="17CAB6FB">
            <w:pPr>
              <w:spacing w:line="360" w:lineRule="auto"/>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eastAsia="zh-CN"/>
              </w:rPr>
              <w:t>根据投标人提供的安全防护方案（内容包括但不限于工程事故预警机制</w:t>
            </w: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w:t>
            </w:r>
            <w:r>
              <w:rPr>
                <w:rFonts w:hint="eastAsia" w:ascii="宋体" w:hAnsi="宋体" w:eastAsia="宋体" w:cs="Times New Roman"/>
                <w:highlight w:val="none"/>
                <w:lang w:eastAsia="zh-CN"/>
              </w:rPr>
              <w:t>、试验</w:t>
            </w:r>
            <w:r>
              <w:rPr>
                <w:rFonts w:hint="eastAsia" w:ascii="宋体" w:hAnsi="宋体" w:cs="Times New Roman"/>
                <w:highlight w:val="none"/>
                <w:lang w:eastAsia="zh-CN"/>
              </w:rPr>
              <w:t>监测</w:t>
            </w:r>
            <w:r>
              <w:rPr>
                <w:rFonts w:hint="eastAsia" w:ascii="宋体" w:hAnsi="宋体" w:eastAsia="宋体" w:cs="Times New Roman"/>
                <w:highlight w:val="none"/>
                <w:lang w:eastAsia="zh-CN"/>
              </w:rPr>
              <w:t>过程安全保证措施</w:t>
            </w:r>
            <w:r>
              <w:rPr>
                <w:rFonts w:hint="eastAsia" w:ascii="宋体" w:hAnsi="宋体" w:eastAsia="宋体" w:cs="Times New Roman"/>
                <w:highlight w:val="none"/>
                <w:lang w:val="en-US" w:eastAsia="zh-CN"/>
              </w:rPr>
              <w:t>等0-</w:t>
            </w:r>
            <w:r>
              <w:rPr>
                <w:rFonts w:hint="eastAsia" w:ascii="宋体" w:hAnsi="宋体" w:cs="Times New Roman"/>
                <w:highlight w:val="none"/>
                <w:lang w:val="en-US" w:eastAsia="zh-CN"/>
              </w:rPr>
              <w:t>3</w:t>
            </w:r>
            <w:r>
              <w:rPr>
                <w:rFonts w:hint="eastAsia" w:ascii="宋体" w:hAnsi="宋体" w:eastAsia="宋体" w:cs="Times New Roman"/>
                <w:highlight w:val="none"/>
                <w:lang w:val="en-US" w:eastAsia="zh-CN"/>
              </w:rPr>
              <w:t>分</w:t>
            </w:r>
            <w:r>
              <w:rPr>
                <w:rFonts w:hint="eastAsia" w:ascii="宋体" w:hAnsi="宋体" w:eastAsia="宋体" w:cs="Times New Roman"/>
                <w:highlight w:val="none"/>
                <w:lang w:eastAsia="zh-CN"/>
              </w:rPr>
              <w:t>）进行评审。</w:t>
            </w:r>
          </w:p>
        </w:tc>
        <w:tc>
          <w:tcPr>
            <w:tcW w:w="840" w:type="dxa"/>
            <w:shd w:val="clear" w:color="auto" w:fill="auto"/>
            <w:vAlign w:val="center"/>
          </w:tcPr>
          <w:p w14:paraId="25A7F512">
            <w:pPr>
              <w:spacing w:line="360" w:lineRule="auto"/>
              <w:jc w:val="center"/>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eastAsia="zh-CN"/>
              </w:rPr>
              <w:t>0-</w:t>
            </w:r>
            <w:r>
              <w:rPr>
                <w:rFonts w:hint="eastAsia" w:ascii="宋体" w:hAnsi="宋体" w:cs="Times New Roman"/>
                <w:highlight w:val="none"/>
                <w:lang w:val="en-US" w:eastAsia="zh-CN"/>
              </w:rPr>
              <w:t>6</w:t>
            </w:r>
            <w:r>
              <w:rPr>
                <w:rFonts w:hint="eastAsia" w:ascii="宋体" w:hAnsi="宋体" w:eastAsia="宋体" w:cs="Times New Roman"/>
                <w:highlight w:val="none"/>
                <w:lang w:eastAsia="zh-CN"/>
              </w:rPr>
              <w:t>分</w:t>
            </w:r>
          </w:p>
        </w:tc>
      </w:tr>
      <w:tr w14:paraId="6723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atLeast"/>
        </w:trPr>
        <w:tc>
          <w:tcPr>
            <w:tcW w:w="775" w:type="dxa"/>
            <w:shd w:val="clear" w:color="auto" w:fill="auto"/>
            <w:vAlign w:val="center"/>
          </w:tcPr>
          <w:p w14:paraId="00EADEFF">
            <w:pPr>
              <w:pStyle w:val="24"/>
              <w:widowControl/>
              <w:tabs>
                <w:tab w:val="left" w:pos="900"/>
              </w:tabs>
              <w:spacing w:line="360" w:lineRule="auto"/>
              <w:ind w:left="420" w:leftChars="0" w:hanging="420" w:hangingChars="200"/>
              <w:jc w:val="center"/>
              <w:rPr>
                <w:rFonts w:hint="eastAsia" w:ascii="宋体" w:hAnsi="宋体" w:eastAsia="宋体" w:cs="Times New Roman"/>
                <w:kern w:val="2"/>
                <w:sz w:val="21"/>
                <w:szCs w:val="24"/>
                <w:highlight w:val="none"/>
                <w:lang w:val="en-US" w:eastAsia="zh-CN" w:bidi="ar-SA"/>
              </w:rPr>
            </w:pPr>
            <w:r>
              <w:rPr>
                <w:rFonts w:hint="eastAsia" w:ascii="宋体" w:hAnsi="宋体" w:cs="Times New Roman"/>
                <w:szCs w:val="24"/>
                <w:highlight w:val="none"/>
                <w:lang w:val="en-US" w:eastAsia="zh-CN"/>
              </w:rPr>
              <w:t>9</w:t>
            </w:r>
          </w:p>
        </w:tc>
        <w:tc>
          <w:tcPr>
            <w:tcW w:w="1312" w:type="dxa"/>
            <w:shd w:val="clear" w:color="auto" w:fill="auto"/>
            <w:vAlign w:val="center"/>
          </w:tcPr>
          <w:p w14:paraId="4D36880A">
            <w:pPr>
              <w:spacing w:line="360" w:lineRule="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val="en-US" w:eastAsia="zh-CN"/>
              </w:rPr>
              <w:t>服务响应措施</w:t>
            </w:r>
          </w:p>
        </w:tc>
        <w:tc>
          <w:tcPr>
            <w:tcW w:w="7258" w:type="dxa"/>
            <w:shd w:val="clear" w:color="auto" w:fill="auto"/>
            <w:vAlign w:val="top"/>
          </w:tcPr>
          <w:p w14:paraId="584BC50F">
            <w:pPr>
              <w:spacing w:line="360" w:lineRule="auto"/>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highlight w:val="none"/>
              </w:rPr>
              <w:t>根据投标人提供的</w:t>
            </w:r>
            <w:r>
              <w:rPr>
                <w:rFonts w:hint="eastAsia" w:ascii="宋体" w:hAnsi="宋体" w:eastAsia="宋体" w:cs="Times New Roman"/>
                <w:highlight w:val="none"/>
                <w:lang w:val="en-US" w:eastAsia="zh-CN"/>
              </w:rPr>
              <w:t>投标文件对其服务响应情况</w:t>
            </w:r>
            <w:r>
              <w:rPr>
                <w:rFonts w:hint="eastAsia" w:ascii="宋体" w:hAnsi="宋体" w:eastAsia="宋体" w:cs="Times New Roman"/>
                <w:highlight w:val="none"/>
              </w:rPr>
              <w:t>（内容包括但不限于服务响应时间</w:t>
            </w:r>
            <w:r>
              <w:rPr>
                <w:rFonts w:hint="eastAsia" w:ascii="宋体" w:hAnsi="宋体" w:eastAsia="宋体" w:cs="Times New Roman"/>
                <w:highlight w:val="none"/>
                <w:lang w:val="en-US" w:eastAsia="zh-CN"/>
              </w:rPr>
              <w:t>0-1分</w:t>
            </w:r>
            <w:r>
              <w:rPr>
                <w:rFonts w:hint="eastAsia" w:ascii="宋体" w:hAnsi="宋体" w:eastAsia="宋体" w:cs="Times New Roman"/>
                <w:highlight w:val="none"/>
              </w:rPr>
              <w:t>、技术维护能力</w:t>
            </w:r>
            <w:r>
              <w:rPr>
                <w:rFonts w:hint="eastAsia" w:ascii="宋体" w:hAnsi="宋体" w:eastAsia="宋体" w:cs="Times New Roman"/>
                <w:highlight w:val="none"/>
                <w:lang w:val="en-US" w:eastAsia="zh-CN"/>
              </w:rPr>
              <w:t>0-1分</w:t>
            </w:r>
            <w:r>
              <w:rPr>
                <w:rFonts w:hint="eastAsia" w:ascii="宋体" w:hAnsi="宋体" w:eastAsia="宋体" w:cs="Times New Roman"/>
                <w:highlight w:val="none"/>
              </w:rPr>
              <w:t>、应急方案力</w:t>
            </w: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1</w:t>
            </w:r>
            <w:r>
              <w:rPr>
                <w:rFonts w:hint="eastAsia" w:ascii="宋体" w:hAnsi="宋体" w:eastAsia="宋体" w:cs="Times New Roman"/>
                <w:highlight w:val="none"/>
                <w:lang w:val="en-US" w:eastAsia="zh-CN"/>
              </w:rPr>
              <w:t>分</w:t>
            </w:r>
            <w:r>
              <w:rPr>
                <w:rFonts w:hint="eastAsia" w:ascii="宋体" w:hAnsi="宋体" w:eastAsia="宋体" w:cs="Times New Roman"/>
                <w:highlight w:val="none"/>
              </w:rPr>
              <w:t>、各种</w:t>
            </w:r>
            <w:r>
              <w:rPr>
                <w:rFonts w:hint="eastAsia" w:ascii="宋体" w:hAnsi="宋体" w:cs="Times New Roman"/>
                <w:highlight w:val="none"/>
                <w:lang w:val="en-US" w:eastAsia="zh-CN"/>
              </w:rPr>
              <w:t>监测</w:t>
            </w:r>
            <w:r>
              <w:rPr>
                <w:rFonts w:hint="eastAsia" w:ascii="宋体" w:hAnsi="宋体" w:eastAsia="宋体" w:cs="Times New Roman"/>
                <w:highlight w:val="none"/>
              </w:rPr>
              <w:t>途中突发的状况力</w:t>
            </w:r>
            <w:r>
              <w:rPr>
                <w:rFonts w:hint="eastAsia" w:ascii="宋体" w:hAnsi="宋体" w:eastAsia="宋体" w:cs="Times New Roman"/>
                <w:highlight w:val="none"/>
                <w:lang w:val="en-US" w:eastAsia="zh-CN"/>
              </w:rPr>
              <w:t>0-</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分</w:t>
            </w:r>
            <w:r>
              <w:rPr>
                <w:rFonts w:hint="eastAsia" w:ascii="宋体" w:hAnsi="宋体" w:eastAsia="宋体" w:cs="Times New Roman"/>
                <w:highlight w:val="none"/>
              </w:rPr>
              <w:t>、后续处理方法力</w:t>
            </w:r>
            <w:r>
              <w:rPr>
                <w:rFonts w:hint="eastAsia" w:ascii="宋体" w:hAnsi="宋体" w:eastAsia="宋体" w:cs="Times New Roman"/>
                <w:highlight w:val="none"/>
                <w:lang w:val="en-US" w:eastAsia="zh-CN"/>
              </w:rPr>
              <w:t>0-1分</w:t>
            </w:r>
            <w:r>
              <w:rPr>
                <w:rFonts w:hint="eastAsia" w:ascii="宋体" w:hAnsi="宋体" w:eastAsia="宋体" w:cs="Times New Roman"/>
                <w:highlight w:val="none"/>
              </w:rPr>
              <w:t>、恶劣天气</w:t>
            </w:r>
            <w:r>
              <w:rPr>
                <w:rFonts w:hint="eastAsia" w:ascii="宋体" w:hAnsi="宋体" w:eastAsia="宋体" w:cs="Times New Roman"/>
                <w:highlight w:val="none"/>
                <w:lang w:val="en-US" w:eastAsia="zh-CN"/>
              </w:rPr>
              <w:t>等</w:t>
            </w:r>
            <w:r>
              <w:rPr>
                <w:rFonts w:hint="eastAsia" w:ascii="宋体" w:hAnsi="宋体" w:eastAsia="宋体" w:cs="Times New Roman"/>
                <w:highlight w:val="none"/>
              </w:rPr>
              <w:t>力</w:t>
            </w:r>
            <w:r>
              <w:rPr>
                <w:rFonts w:hint="eastAsia" w:ascii="宋体" w:hAnsi="宋体" w:eastAsia="宋体" w:cs="Times New Roman"/>
                <w:highlight w:val="none"/>
                <w:lang w:val="en-US" w:eastAsia="zh-CN"/>
              </w:rPr>
              <w:t>0-1分</w:t>
            </w:r>
            <w:r>
              <w:rPr>
                <w:rFonts w:hint="eastAsia" w:ascii="宋体" w:hAnsi="宋体" w:eastAsia="宋体" w:cs="Times New Roman"/>
                <w:highlight w:val="none"/>
              </w:rPr>
              <w:t>)进行</w:t>
            </w:r>
            <w:r>
              <w:rPr>
                <w:rFonts w:hint="eastAsia" w:ascii="宋体" w:hAnsi="宋体" w:eastAsia="宋体" w:cs="Times New Roman"/>
                <w:highlight w:val="none"/>
                <w:lang w:eastAsia="zh-CN"/>
              </w:rPr>
              <w:t>评审。</w:t>
            </w:r>
          </w:p>
        </w:tc>
        <w:tc>
          <w:tcPr>
            <w:tcW w:w="840" w:type="dxa"/>
            <w:shd w:val="clear" w:color="auto" w:fill="auto"/>
            <w:vAlign w:val="center"/>
          </w:tcPr>
          <w:p w14:paraId="785F47B3">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rPr>
              <w:t>0-</w:t>
            </w:r>
            <w:r>
              <w:rPr>
                <w:rFonts w:hint="eastAsia" w:ascii="宋体" w:hAnsi="宋体" w:cs="Times New Roman"/>
                <w:highlight w:val="none"/>
                <w:lang w:val="en-US" w:eastAsia="zh-CN"/>
              </w:rPr>
              <w:t>7</w:t>
            </w:r>
            <w:r>
              <w:rPr>
                <w:rFonts w:hint="eastAsia" w:ascii="宋体" w:hAnsi="宋体" w:eastAsia="宋体" w:cs="Times New Roman"/>
                <w:highlight w:val="none"/>
              </w:rPr>
              <w:t>分</w:t>
            </w:r>
          </w:p>
        </w:tc>
      </w:tr>
      <w:tr w14:paraId="47F9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5" w:hRule="atLeast"/>
        </w:trPr>
        <w:tc>
          <w:tcPr>
            <w:tcW w:w="775" w:type="dxa"/>
            <w:shd w:val="clear" w:color="auto" w:fill="auto"/>
            <w:vAlign w:val="center"/>
          </w:tcPr>
          <w:p w14:paraId="115A3DE5">
            <w:pPr>
              <w:pStyle w:val="24"/>
              <w:widowControl/>
              <w:tabs>
                <w:tab w:val="left" w:pos="900"/>
              </w:tabs>
              <w:spacing w:line="360" w:lineRule="auto"/>
              <w:ind w:left="420" w:leftChars="0" w:hanging="420" w:hangingChars="200"/>
              <w:jc w:val="center"/>
              <w:rPr>
                <w:rFonts w:hint="default" w:ascii="宋体" w:hAnsi="宋体" w:eastAsia="宋体" w:cs="Times New Roman"/>
                <w:kern w:val="2"/>
                <w:sz w:val="21"/>
                <w:szCs w:val="24"/>
                <w:highlight w:val="none"/>
                <w:lang w:val="en-US" w:eastAsia="zh-CN" w:bidi="ar-SA"/>
              </w:rPr>
            </w:pPr>
            <w:r>
              <w:rPr>
                <w:rFonts w:hint="eastAsia" w:ascii="宋体" w:hAnsi="宋体" w:cs="Times New Roman"/>
                <w:szCs w:val="24"/>
                <w:highlight w:val="none"/>
                <w:lang w:val="en-US" w:eastAsia="zh-CN"/>
              </w:rPr>
              <w:t>10</w:t>
            </w:r>
          </w:p>
        </w:tc>
        <w:tc>
          <w:tcPr>
            <w:tcW w:w="1312" w:type="dxa"/>
            <w:shd w:val="clear" w:color="auto" w:fill="auto"/>
            <w:vAlign w:val="center"/>
          </w:tcPr>
          <w:p w14:paraId="0DDCE2CE">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rPr>
              <w:t>工作进度安排</w:t>
            </w:r>
          </w:p>
        </w:tc>
        <w:tc>
          <w:tcPr>
            <w:tcW w:w="7258" w:type="dxa"/>
            <w:shd w:val="clear" w:color="auto" w:fill="auto"/>
            <w:vAlign w:val="center"/>
          </w:tcPr>
          <w:p w14:paraId="7E5D904B">
            <w:pPr>
              <w:spacing w:line="360" w:lineRule="auto"/>
              <w:rPr>
                <w:rFonts w:hint="eastAsia" w:ascii="宋体" w:hAnsi="宋体" w:eastAsia="宋体" w:cs="Times New Roman"/>
                <w:kern w:val="2"/>
                <w:sz w:val="21"/>
                <w:szCs w:val="24"/>
                <w:highlight w:val="none"/>
                <w:lang w:val="en-US" w:eastAsia="zh-CN" w:bidi="ar-SA"/>
              </w:rPr>
            </w:pPr>
            <w:r>
              <w:rPr>
                <w:rFonts w:hint="eastAsia" w:ascii="宋体" w:hAnsi="宋体"/>
                <w:highlight w:val="none"/>
                <w:lang w:eastAsia="zh-CN"/>
              </w:rPr>
              <w:t>投标人根据采购人</w:t>
            </w:r>
            <w:r>
              <w:rPr>
                <w:rFonts w:hint="eastAsia" w:ascii="宋体" w:hAnsi="宋体"/>
                <w:highlight w:val="none"/>
              </w:rPr>
              <w:t>的要求，提供详实的工期进度计划</w:t>
            </w:r>
            <w:r>
              <w:rPr>
                <w:rFonts w:hint="eastAsia" w:ascii="宋体" w:hAnsi="宋体"/>
                <w:highlight w:val="none"/>
                <w:lang w:eastAsia="zh-CN"/>
              </w:rPr>
              <w:t>实施方案</w:t>
            </w:r>
            <w:r>
              <w:rPr>
                <w:rFonts w:hint="eastAsia" w:ascii="宋体" w:hAnsi="宋体"/>
                <w:highlight w:val="none"/>
                <w:lang w:val="en-US" w:eastAsia="zh-CN"/>
              </w:rPr>
              <w:t>0-2分，工期控制目标等方案0-3分。</w:t>
            </w:r>
          </w:p>
        </w:tc>
        <w:tc>
          <w:tcPr>
            <w:tcW w:w="840" w:type="dxa"/>
            <w:shd w:val="clear" w:color="auto" w:fill="auto"/>
            <w:vAlign w:val="center"/>
          </w:tcPr>
          <w:p w14:paraId="7552433A">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rPr>
              <w:t>0-</w:t>
            </w:r>
            <w:r>
              <w:rPr>
                <w:rFonts w:hint="eastAsia" w:ascii="宋体" w:hAnsi="宋体"/>
                <w:highlight w:val="none"/>
                <w:lang w:val="en-US" w:eastAsia="zh-CN"/>
              </w:rPr>
              <w:t>5</w:t>
            </w:r>
            <w:r>
              <w:rPr>
                <w:rFonts w:hint="eastAsia" w:ascii="宋体" w:hAnsi="宋体"/>
                <w:highlight w:val="none"/>
              </w:rPr>
              <w:t>分</w:t>
            </w:r>
          </w:p>
        </w:tc>
      </w:tr>
      <w:tr w14:paraId="7CA1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775" w:type="dxa"/>
            <w:shd w:val="clear" w:color="auto" w:fill="auto"/>
            <w:vAlign w:val="center"/>
          </w:tcPr>
          <w:p w14:paraId="37CA3CD7">
            <w:pPr>
              <w:pStyle w:val="24"/>
              <w:widowControl/>
              <w:tabs>
                <w:tab w:val="left" w:pos="900"/>
              </w:tabs>
              <w:spacing w:line="360" w:lineRule="auto"/>
              <w:ind w:left="420" w:leftChars="0" w:hanging="420" w:hangingChars="200"/>
              <w:jc w:val="center"/>
              <w:rPr>
                <w:rFonts w:hint="default" w:ascii="宋体" w:hAnsi="宋体" w:eastAsia="宋体" w:cs="Times New Roman"/>
                <w:kern w:val="2"/>
                <w:sz w:val="21"/>
                <w:szCs w:val="24"/>
                <w:highlight w:val="none"/>
                <w:lang w:val="en-US" w:eastAsia="zh-CN" w:bidi="ar-SA"/>
              </w:rPr>
            </w:pPr>
            <w:r>
              <w:rPr>
                <w:rFonts w:hint="eastAsia" w:ascii="宋体" w:hAnsi="宋体" w:cs="Times New Roman"/>
                <w:szCs w:val="24"/>
                <w:highlight w:val="none"/>
                <w:lang w:val="en-US" w:eastAsia="zh-CN"/>
              </w:rPr>
              <w:t>11</w:t>
            </w:r>
          </w:p>
        </w:tc>
        <w:tc>
          <w:tcPr>
            <w:tcW w:w="1312" w:type="dxa"/>
            <w:shd w:val="clear" w:color="auto" w:fill="auto"/>
            <w:vAlign w:val="center"/>
          </w:tcPr>
          <w:p w14:paraId="1272D907">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eastAsia="zh-CN"/>
              </w:rPr>
              <w:t>档案管理</w:t>
            </w:r>
          </w:p>
        </w:tc>
        <w:tc>
          <w:tcPr>
            <w:tcW w:w="7258" w:type="dxa"/>
            <w:shd w:val="clear" w:color="auto" w:fill="auto"/>
            <w:vAlign w:val="center"/>
          </w:tcPr>
          <w:p w14:paraId="7695A08C">
            <w:pPr>
              <w:spacing w:line="360" w:lineRule="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val="en-US" w:eastAsia="zh-CN"/>
              </w:rPr>
              <w:t>根据投标人</w:t>
            </w:r>
            <w:r>
              <w:rPr>
                <w:rFonts w:hint="eastAsia" w:ascii="宋体" w:hAnsi="宋体"/>
                <w:highlight w:val="none"/>
              </w:rPr>
              <w:t>对本项目的项目数据保密措施（0-</w:t>
            </w:r>
            <w:r>
              <w:rPr>
                <w:rFonts w:hint="eastAsia" w:ascii="宋体" w:hAnsi="宋体"/>
                <w:highlight w:val="none"/>
                <w:lang w:val="en-US" w:eastAsia="zh-CN"/>
              </w:rPr>
              <w:t>1</w:t>
            </w:r>
            <w:r>
              <w:rPr>
                <w:rFonts w:hint="eastAsia" w:ascii="宋体" w:hAnsi="宋体"/>
                <w:highlight w:val="none"/>
              </w:rPr>
              <w:t>分）、档案整理（0-</w:t>
            </w:r>
            <w:r>
              <w:rPr>
                <w:rFonts w:hint="eastAsia" w:ascii="宋体" w:hAnsi="宋体"/>
                <w:highlight w:val="none"/>
                <w:lang w:val="en-US" w:eastAsia="zh-CN"/>
              </w:rPr>
              <w:t>1</w:t>
            </w:r>
            <w:r>
              <w:rPr>
                <w:rFonts w:hint="eastAsia" w:ascii="宋体" w:hAnsi="宋体"/>
                <w:highlight w:val="none"/>
              </w:rPr>
              <w:t>分）、保管（0-1分）措施进行综合评审。</w:t>
            </w:r>
          </w:p>
        </w:tc>
        <w:tc>
          <w:tcPr>
            <w:tcW w:w="840" w:type="dxa"/>
            <w:shd w:val="clear" w:color="auto" w:fill="auto"/>
            <w:vAlign w:val="center"/>
          </w:tcPr>
          <w:p w14:paraId="2226DE80">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rPr>
              <w:t>0-</w:t>
            </w:r>
            <w:r>
              <w:rPr>
                <w:rFonts w:hint="eastAsia" w:ascii="宋体" w:hAnsi="宋体"/>
                <w:highlight w:val="none"/>
                <w:lang w:val="en-US" w:eastAsia="zh-CN"/>
              </w:rPr>
              <w:t>3</w:t>
            </w:r>
            <w:r>
              <w:rPr>
                <w:rFonts w:hint="eastAsia" w:ascii="宋体" w:hAnsi="宋体"/>
                <w:highlight w:val="none"/>
              </w:rPr>
              <w:t>分</w:t>
            </w:r>
          </w:p>
        </w:tc>
      </w:tr>
      <w:tr w14:paraId="2E54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775" w:type="dxa"/>
            <w:vAlign w:val="center"/>
          </w:tcPr>
          <w:p w14:paraId="5B28BF5F">
            <w:pPr>
              <w:pStyle w:val="24"/>
              <w:widowControl/>
              <w:tabs>
                <w:tab w:val="left" w:pos="900"/>
              </w:tabs>
              <w:spacing w:line="360" w:lineRule="auto"/>
              <w:ind w:leftChars="0" w:hanging="420"/>
              <w:jc w:val="center"/>
              <w:rPr>
                <w:rFonts w:hint="default" w:ascii="宋体" w:hAnsi="宋体" w:eastAsia="宋体" w:cs="Times New Roman"/>
                <w:szCs w:val="24"/>
                <w:highlight w:val="none"/>
                <w:lang w:val="en-US" w:eastAsia="zh-CN"/>
              </w:rPr>
            </w:pPr>
            <w:r>
              <w:rPr>
                <w:rFonts w:hint="eastAsia" w:ascii="宋体" w:hAnsi="宋体" w:cs="Times New Roman"/>
                <w:szCs w:val="24"/>
                <w:highlight w:val="none"/>
                <w:lang w:val="en-US" w:eastAsia="zh-CN"/>
              </w:rPr>
              <w:t>10</w:t>
            </w:r>
          </w:p>
        </w:tc>
        <w:tc>
          <w:tcPr>
            <w:tcW w:w="1312" w:type="dxa"/>
            <w:vAlign w:val="center"/>
          </w:tcPr>
          <w:p w14:paraId="33513DF2">
            <w:pPr>
              <w:pStyle w:val="24"/>
              <w:widowControl/>
              <w:tabs>
                <w:tab w:val="left" w:pos="900"/>
              </w:tabs>
              <w:spacing w:line="360" w:lineRule="auto"/>
              <w:ind w:leftChars="0" w:hanging="420"/>
              <w:jc w:val="center"/>
              <w:rPr>
                <w:rFonts w:hint="eastAsia" w:ascii="宋体" w:hAnsi="宋体" w:eastAsia="宋体" w:cs="Times New Roman"/>
                <w:szCs w:val="24"/>
                <w:highlight w:val="none"/>
                <w:lang w:eastAsia="zh-CN"/>
              </w:rPr>
            </w:pPr>
            <w:r>
              <w:rPr>
                <w:rFonts w:hint="eastAsia" w:ascii="宋体" w:hAnsi="宋体" w:cs="Times New Roman"/>
                <w:szCs w:val="24"/>
                <w:highlight w:val="none"/>
                <w:lang w:eastAsia="zh-CN"/>
              </w:rPr>
              <w:t>合理化建议</w:t>
            </w:r>
          </w:p>
        </w:tc>
        <w:tc>
          <w:tcPr>
            <w:tcW w:w="7258" w:type="dxa"/>
            <w:shd w:val="clear" w:color="auto" w:fill="auto"/>
            <w:vAlign w:val="center"/>
          </w:tcPr>
          <w:p w14:paraId="2D6D0FEE">
            <w:pPr>
              <w:spacing w:line="360" w:lineRule="auto"/>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highlight w:val="none"/>
                <w:lang w:val="en-US" w:eastAsia="zh-CN"/>
              </w:rPr>
              <w:t>根据投标人</w:t>
            </w:r>
            <w:r>
              <w:rPr>
                <w:rFonts w:hint="eastAsia" w:ascii="宋体" w:hAnsi="宋体"/>
                <w:highlight w:val="none"/>
              </w:rPr>
              <w:t>提出的合理化建议进行打分。对项目本身经济适用，针对性强，措施切实可行</w:t>
            </w:r>
            <w:r>
              <w:rPr>
                <w:rFonts w:hint="eastAsia" w:ascii="宋体" w:hAnsi="宋体"/>
                <w:highlight w:val="none"/>
                <w:lang w:eastAsia="zh-CN"/>
              </w:rPr>
              <w:t>评审</w:t>
            </w:r>
            <w:r>
              <w:rPr>
                <w:rFonts w:hint="eastAsia" w:ascii="宋体" w:hAnsi="宋体"/>
                <w:highlight w:val="none"/>
                <w:lang w:val="en-US" w:eastAsia="zh-CN"/>
              </w:rPr>
              <w:t>0-2分。</w:t>
            </w:r>
          </w:p>
        </w:tc>
        <w:tc>
          <w:tcPr>
            <w:tcW w:w="840" w:type="dxa"/>
            <w:shd w:val="clear" w:color="auto" w:fill="auto"/>
            <w:vAlign w:val="center"/>
          </w:tcPr>
          <w:p w14:paraId="0E02D1B0">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rPr>
              <w:t>0-</w:t>
            </w:r>
            <w:r>
              <w:rPr>
                <w:rFonts w:hint="eastAsia" w:ascii="宋体" w:hAnsi="宋体"/>
                <w:highlight w:val="none"/>
                <w:lang w:val="en-US" w:eastAsia="zh-CN"/>
              </w:rPr>
              <w:t>2</w:t>
            </w:r>
            <w:r>
              <w:rPr>
                <w:rFonts w:hint="eastAsia" w:ascii="宋体" w:hAnsi="宋体"/>
                <w:highlight w:val="none"/>
              </w:rPr>
              <w:t>分</w:t>
            </w:r>
          </w:p>
        </w:tc>
      </w:tr>
    </w:tbl>
    <w:p w14:paraId="1D7BF0A1">
      <w:pPr>
        <w:spacing w:line="336" w:lineRule="auto"/>
        <w:rPr>
          <w:rFonts w:hint="eastAsia" w:ascii="宋体" w:hAnsi="宋体" w:cs="宋体"/>
          <w:b/>
          <w:szCs w:val="21"/>
          <w:highlight w:val="none"/>
        </w:rPr>
      </w:pPr>
      <w:r>
        <w:rPr>
          <w:rFonts w:hint="eastAsia" w:ascii="宋体" w:hAnsi="宋体"/>
          <w:b/>
          <w:bCs/>
          <w:highlight w:val="none"/>
        </w:rPr>
        <w:t>四、</w:t>
      </w:r>
      <w:r>
        <w:rPr>
          <w:rFonts w:hint="eastAsia" w:ascii="宋体" w:hAnsi="宋体" w:cs="宋体"/>
          <w:b/>
          <w:szCs w:val="21"/>
          <w:highlight w:val="none"/>
        </w:rPr>
        <w:t>定标办法</w:t>
      </w:r>
    </w:p>
    <w:p w14:paraId="7A524A3A">
      <w:pPr>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1、本次招标由评标委员会推荐中标候选人，采购单位根据评标委员会的推荐结果进行最终确认。</w:t>
      </w:r>
    </w:p>
    <w:p w14:paraId="78028F9B">
      <w:pPr>
        <w:numPr>
          <w:ilvl w:val="0"/>
          <w:numId w:val="7"/>
        </w:numPr>
        <w:tabs>
          <w:tab w:val="left" w:pos="540"/>
        </w:tabs>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评标委员会依据法律、法规及采购文件有关规定在有效标中按投标人的最终得分【即商务技术分与报价分之和】）由高到低进行排序，综合得分最高的投标人作为本项目的第一中标候选人（得分相同的，按投标报价由低到高顺序排列；得分且投标报价相同的，由招标人现场抽签产生第一中标候选人）。</w:t>
      </w:r>
    </w:p>
    <w:p w14:paraId="266951F1">
      <w:pPr>
        <w:numPr>
          <w:ilvl w:val="0"/>
          <w:numId w:val="7"/>
        </w:numPr>
        <w:tabs>
          <w:tab w:val="left" w:pos="540"/>
        </w:tabs>
        <w:spacing w:line="336" w:lineRule="auto"/>
        <w:ind w:firstLine="420" w:firstLineChars="200"/>
        <w:rPr>
          <w:rFonts w:hint="eastAsia" w:ascii="宋体" w:hAnsi="宋体"/>
          <w:highlight w:val="none"/>
        </w:rPr>
      </w:pPr>
      <w:r>
        <w:rPr>
          <w:rFonts w:hint="eastAsia" w:ascii="宋体" w:hAnsi="宋体" w:cs="宋体"/>
          <w:szCs w:val="21"/>
          <w:highlight w:val="none"/>
        </w:rPr>
        <w:t>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061BF119">
      <w:pPr>
        <w:snapToGrid w:val="0"/>
        <w:spacing w:line="540" w:lineRule="exact"/>
        <w:rPr>
          <w:rFonts w:hint="eastAsia" w:ascii="宋体" w:hAnsi="宋体" w:cs="宋体"/>
          <w:b/>
          <w:bCs/>
          <w:szCs w:val="21"/>
          <w:highlight w:val="none"/>
          <w:lang w:val="zh-CN"/>
        </w:rPr>
      </w:pPr>
      <w:r>
        <w:rPr>
          <w:rFonts w:hint="eastAsia" w:ascii="宋体" w:hAnsi="宋体" w:cs="宋体"/>
          <w:b/>
          <w:bCs/>
          <w:szCs w:val="21"/>
          <w:highlight w:val="none"/>
        </w:rPr>
        <w:t>五</w:t>
      </w:r>
      <w:r>
        <w:rPr>
          <w:rFonts w:hint="eastAsia" w:ascii="宋体" w:hAnsi="宋体" w:cs="宋体"/>
          <w:b/>
          <w:bCs/>
          <w:szCs w:val="21"/>
          <w:highlight w:val="none"/>
          <w:lang w:val="zh-CN"/>
        </w:rPr>
        <w:t>、</w:t>
      </w:r>
      <w:bookmarkStart w:id="149" w:name="注意事项"/>
      <w:r>
        <w:rPr>
          <w:rFonts w:hint="eastAsia" w:ascii="宋体" w:hAnsi="宋体" w:cs="宋体"/>
          <w:b/>
          <w:bCs/>
          <w:szCs w:val="21"/>
          <w:highlight w:val="none"/>
          <w:lang w:val="zh-CN"/>
        </w:rPr>
        <w:t>注意事项</w:t>
      </w:r>
      <w:bookmarkEnd w:id="149"/>
    </w:p>
    <w:p w14:paraId="0A3F0B24">
      <w:pPr>
        <w:snapToGrid w:val="0"/>
        <w:spacing w:line="540" w:lineRule="exact"/>
        <w:ind w:firstLine="420" w:firstLineChars="200"/>
        <w:rPr>
          <w:rFonts w:hint="eastAsia" w:ascii="宋体" w:hAnsi="宋体" w:cs="宋体"/>
          <w:szCs w:val="21"/>
          <w:highlight w:val="none"/>
        </w:rPr>
      </w:pPr>
      <w:r>
        <w:rPr>
          <w:rFonts w:hint="eastAsia" w:ascii="宋体" w:hAnsi="宋体" w:cs="宋体"/>
          <w:szCs w:val="21"/>
          <w:highlight w:val="non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47"/>
      <w:bookmarkEnd w:id="148"/>
    </w:p>
    <w:p w14:paraId="73549DCF">
      <w:pPr>
        <w:snapToGrid w:val="0"/>
        <w:spacing w:line="540" w:lineRule="exact"/>
        <w:rPr>
          <w:rFonts w:hint="eastAsia" w:ascii="宋体" w:hAnsi="宋体" w:cs="宋体"/>
          <w:b/>
          <w:szCs w:val="21"/>
          <w:highlight w:val="none"/>
        </w:rPr>
      </w:pPr>
      <w:r>
        <w:rPr>
          <w:rFonts w:hint="eastAsia" w:ascii="宋体" w:hAnsi="宋体" w:cs="宋体"/>
          <w:b/>
          <w:szCs w:val="21"/>
          <w:highlight w:val="none"/>
        </w:rPr>
        <w:t>六、</w:t>
      </w:r>
      <w:bookmarkStart w:id="150" w:name="_Toc221356905"/>
      <w:bookmarkStart w:id="151" w:name="_Toc221356968"/>
      <w:r>
        <w:rPr>
          <w:rFonts w:hint="eastAsia" w:ascii="宋体" w:hAnsi="宋体" w:cs="宋体"/>
          <w:b/>
          <w:szCs w:val="21"/>
          <w:highlight w:val="none"/>
        </w:rPr>
        <w:t>投标人义务</w:t>
      </w:r>
      <w:bookmarkEnd w:id="150"/>
      <w:bookmarkEnd w:id="151"/>
    </w:p>
    <w:p w14:paraId="03BABE7E">
      <w:pPr>
        <w:spacing w:line="336" w:lineRule="auto"/>
        <w:ind w:firstLine="420" w:firstLineChars="200"/>
        <w:rPr>
          <w:rFonts w:hint="eastAsia" w:ascii="宋体" w:hAnsi="宋体" w:cs="宋体"/>
          <w:szCs w:val="21"/>
          <w:highlight w:val="none"/>
        </w:rPr>
      </w:pPr>
      <w:r>
        <w:rPr>
          <w:rFonts w:hint="eastAsia" w:ascii="宋体" w:hAnsi="宋体" w:cs="宋体"/>
          <w:szCs w:val="21"/>
          <w:highlight w:val="none"/>
        </w:rPr>
        <w:t>投标人应随时接受评标委员会的询标，解答包括有关的商务、技术问题等。评标结束，所有评标资料存招标人备查。</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52" w:name="_Toc222114884"/>
      <w:bookmarkStart w:id="153" w:name="_Toc221423624"/>
      <w:bookmarkStart w:id="154" w:name="_Toc410031820"/>
      <w:bookmarkStart w:id="155" w:name="_Toc221356892"/>
      <w:bookmarkStart w:id="156" w:name="_Toc249758719"/>
      <w:bookmarkStart w:id="157" w:name="_Toc221356956"/>
      <w:bookmarkStart w:id="158" w:name="_Toc223716003"/>
      <w:bookmarkStart w:id="159" w:name="_Toc239145359"/>
      <w:bookmarkStart w:id="160" w:name="_Toc241404207"/>
      <w:bookmarkStart w:id="161" w:name="_Toc245722286"/>
      <w:bookmarkStart w:id="162" w:name="_Toc245191319"/>
      <w:bookmarkStart w:id="163" w:name="_Toc221374631"/>
      <w:bookmarkStart w:id="164" w:name="_Toc249758870"/>
      <w:bookmarkStart w:id="165" w:name="_Toc262049424"/>
      <w:bookmarkStart w:id="166" w:name="_Toc249758718"/>
      <w:bookmarkStart w:id="167" w:name="_Toc246261270"/>
      <w:bookmarkStart w:id="168" w:name="_Toc262105509"/>
    </w:p>
    <w:p w14:paraId="5DAA6879">
      <w:pPr>
        <w:spacing w:line="360" w:lineRule="auto"/>
        <w:jc w:val="center"/>
        <w:outlineLvl w:val="0"/>
        <w:rPr>
          <w:rFonts w:hint="eastAsia" w:ascii="宋体" w:hAnsi="宋体"/>
          <w:sz w:val="36"/>
          <w:szCs w:val="36"/>
          <w:highlight w:val="none"/>
        </w:rPr>
      </w:pPr>
      <w:bookmarkStart w:id="169" w:name="_Toc4861"/>
      <w:bookmarkStart w:id="170" w:name="_Toc11857"/>
      <w:bookmarkStart w:id="171" w:name="_Toc4631"/>
      <w:bookmarkStart w:id="172" w:name="_Toc28916"/>
      <w:r>
        <w:rPr>
          <w:rFonts w:hint="eastAsia" w:ascii="宋体" w:hAnsi="宋体" w:cs="黑体"/>
          <w:sz w:val="32"/>
          <w:szCs w:val="32"/>
          <w:highlight w:val="none"/>
        </w:rPr>
        <w:br w:type="page"/>
      </w:r>
      <w:r>
        <w:rPr>
          <w:rFonts w:hint="eastAsia" w:ascii="宋体" w:hAnsi="宋体" w:cs="黑体"/>
          <w:sz w:val="32"/>
          <w:szCs w:val="32"/>
          <w:highlight w:val="none"/>
        </w:rPr>
        <w:t xml:space="preserve">第六章   </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ascii="宋体" w:hAnsi="宋体" w:cs="黑体"/>
          <w:sz w:val="32"/>
          <w:szCs w:val="32"/>
          <w:highlight w:val="none"/>
        </w:rPr>
        <w:t>投标文件格式</w:t>
      </w:r>
      <w:bookmarkEnd w:id="169"/>
      <w:bookmarkEnd w:id="170"/>
      <w:bookmarkEnd w:id="171"/>
      <w:bookmarkEnd w:id="172"/>
    </w:p>
    <w:p w14:paraId="59E7656D">
      <w:pPr>
        <w:spacing w:line="460" w:lineRule="exact"/>
        <w:outlineLvl w:val="0"/>
        <w:rPr>
          <w:rFonts w:hint="eastAsia" w:ascii="宋体" w:hAnsi="宋体"/>
          <w:b/>
          <w:sz w:val="24"/>
          <w:highlight w:val="none"/>
        </w:rPr>
      </w:pPr>
      <w:bookmarkStart w:id="173" w:name="_Toc8305"/>
      <w:bookmarkStart w:id="174" w:name="_Toc4874"/>
      <w:bookmarkStart w:id="175" w:name="_Toc20872"/>
      <w:bookmarkStart w:id="176" w:name="_Toc1460"/>
      <w:r>
        <w:rPr>
          <w:rFonts w:hint="eastAsia" w:ascii="宋体" w:hAnsi="宋体"/>
          <w:b/>
          <w:sz w:val="24"/>
          <w:highlight w:val="none"/>
        </w:rPr>
        <w:t>投标文件封面格式：</w:t>
      </w:r>
      <w:bookmarkEnd w:id="173"/>
      <w:bookmarkEnd w:id="174"/>
      <w:bookmarkEnd w:id="175"/>
      <w:bookmarkEnd w:id="176"/>
    </w:p>
    <w:p w14:paraId="795BF9A4">
      <w:pPr>
        <w:spacing w:before="185"/>
        <w:ind w:right="210"/>
        <w:jc w:val="center"/>
        <w:rPr>
          <w:rFonts w:hint="eastAsia" w:ascii="宋体" w:hAnsi="宋体"/>
          <w:b/>
          <w:bCs/>
          <w:sz w:val="22"/>
          <w:szCs w:val="22"/>
          <w:highlight w:val="none"/>
        </w:rPr>
      </w:pPr>
    </w:p>
    <w:p w14:paraId="5969DD6F">
      <w:pPr>
        <w:pStyle w:val="24"/>
        <w:ind w:left="840" w:hanging="420"/>
        <w:rPr>
          <w:rFonts w:hint="eastAsia" w:ascii="宋体" w:hAnsi="宋体"/>
          <w:highlight w:val="none"/>
        </w:rPr>
      </w:pPr>
    </w:p>
    <w:p w14:paraId="20050DC4">
      <w:pPr>
        <w:spacing w:before="185"/>
        <w:ind w:right="210"/>
        <w:jc w:val="center"/>
        <w:outlineLvl w:val="0"/>
        <w:rPr>
          <w:rFonts w:hint="eastAsia" w:ascii="宋体" w:hAnsi="宋体"/>
          <w:b/>
          <w:sz w:val="52"/>
          <w:highlight w:val="none"/>
        </w:rPr>
      </w:pPr>
      <w:bookmarkStart w:id="177" w:name="_Toc24369"/>
      <w:bookmarkStart w:id="178" w:name="_Toc5557"/>
      <w:r>
        <w:rPr>
          <w:rFonts w:ascii="宋体" w:hAnsi="宋体"/>
          <w:b/>
          <w:sz w:val="52"/>
          <w:highlight w:val="none"/>
        </w:rPr>
        <w:t>投 标 文 件</w:t>
      </w:r>
      <w:bookmarkEnd w:id="177"/>
      <w:bookmarkEnd w:id="178"/>
    </w:p>
    <w:p w14:paraId="102F41DD">
      <w:pPr>
        <w:pStyle w:val="9"/>
        <w:spacing w:before="11"/>
        <w:rPr>
          <w:rFonts w:hint="eastAsia" w:ascii="宋体" w:hAnsi="宋体"/>
          <w:b/>
          <w:sz w:val="69"/>
          <w:highlight w:val="none"/>
        </w:rPr>
      </w:pPr>
    </w:p>
    <w:p w14:paraId="6DA6965E">
      <w:pPr>
        <w:ind w:right="208"/>
        <w:jc w:val="center"/>
        <w:outlineLvl w:val="0"/>
        <w:rPr>
          <w:rFonts w:hint="eastAsia" w:ascii="宋体" w:hAnsi="宋体"/>
          <w:b/>
          <w:sz w:val="32"/>
          <w:highlight w:val="none"/>
        </w:rPr>
      </w:pPr>
      <w:bookmarkStart w:id="179" w:name="_Toc14331"/>
      <w:bookmarkStart w:id="180" w:name="_Toc15967"/>
      <w:r>
        <w:rPr>
          <w:rFonts w:ascii="宋体" w:hAnsi="宋体"/>
          <w:b/>
          <w:sz w:val="32"/>
          <w:highlight w:val="none"/>
        </w:rPr>
        <w:t>资格审查</w:t>
      </w:r>
      <w:r>
        <w:rPr>
          <w:rFonts w:hint="eastAsia" w:ascii="宋体" w:hAnsi="宋体"/>
          <w:b/>
          <w:sz w:val="32"/>
          <w:highlight w:val="none"/>
        </w:rPr>
        <w:t>资料</w:t>
      </w:r>
      <w:r>
        <w:rPr>
          <w:rFonts w:ascii="宋体" w:hAnsi="宋体"/>
          <w:b/>
          <w:sz w:val="32"/>
          <w:highlight w:val="none"/>
        </w:rPr>
        <w:t>/</w:t>
      </w:r>
      <w:r>
        <w:rPr>
          <w:rFonts w:hint="eastAsia" w:ascii="宋体" w:hAnsi="宋体"/>
          <w:b/>
          <w:sz w:val="32"/>
          <w:highlight w:val="none"/>
        </w:rPr>
        <w:t>商务技术文件</w:t>
      </w:r>
      <w:r>
        <w:rPr>
          <w:rFonts w:ascii="宋体" w:hAnsi="宋体"/>
          <w:b/>
          <w:sz w:val="32"/>
          <w:highlight w:val="none"/>
        </w:rPr>
        <w:t>/报价文件</w:t>
      </w:r>
      <w:bookmarkEnd w:id="179"/>
      <w:bookmarkEnd w:id="180"/>
    </w:p>
    <w:p w14:paraId="467739AE">
      <w:pPr>
        <w:pStyle w:val="55"/>
        <w:rPr>
          <w:rFonts w:hint="eastAsia" w:ascii="宋体" w:hAnsi="宋体"/>
          <w:b/>
          <w:sz w:val="32"/>
          <w:highlight w:val="none"/>
        </w:rPr>
      </w:pPr>
    </w:p>
    <w:p w14:paraId="560212B7">
      <w:pPr>
        <w:pStyle w:val="55"/>
        <w:rPr>
          <w:rFonts w:hint="eastAsia" w:ascii="宋体" w:hAnsi="宋体"/>
          <w:b/>
          <w:sz w:val="32"/>
          <w:highlight w:val="none"/>
        </w:rPr>
      </w:pPr>
    </w:p>
    <w:p w14:paraId="415BD6B9">
      <w:pPr>
        <w:adjustRightInd w:val="0"/>
        <w:snapToGrid w:val="0"/>
        <w:spacing w:line="720" w:lineRule="auto"/>
        <w:ind w:firstLine="1120" w:firstLineChars="400"/>
        <w:rPr>
          <w:rFonts w:hint="eastAsia" w:ascii="宋体" w:hAnsi="宋体"/>
          <w:sz w:val="28"/>
          <w:szCs w:val="28"/>
          <w:highlight w:val="none"/>
          <w:u w:val="single"/>
        </w:rPr>
      </w:pPr>
      <w:r>
        <w:rPr>
          <w:rFonts w:hint="eastAsia" w:ascii="宋体" w:hAnsi="宋体"/>
          <w:sz w:val="28"/>
          <w:szCs w:val="28"/>
          <w:highlight w:val="none"/>
        </w:rPr>
        <w:t>项目名称：</w:t>
      </w:r>
      <w:r>
        <w:rPr>
          <w:rFonts w:hint="eastAsia" w:ascii="宋体" w:hAnsi="宋体"/>
          <w:sz w:val="28"/>
          <w:szCs w:val="28"/>
          <w:highlight w:val="none"/>
          <w:u w:val="single"/>
        </w:rPr>
        <w:t xml:space="preserve">                       </w:t>
      </w:r>
    </w:p>
    <w:p w14:paraId="3B601480">
      <w:pPr>
        <w:adjustRightInd w:val="0"/>
        <w:snapToGrid w:val="0"/>
        <w:spacing w:line="720" w:lineRule="auto"/>
        <w:ind w:firstLine="1120" w:firstLineChars="400"/>
        <w:rPr>
          <w:rFonts w:hint="eastAsia" w:ascii="宋体" w:hAnsi="宋体"/>
          <w:sz w:val="28"/>
          <w:szCs w:val="28"/>
          <w:highlight w:val="none"/>
        </w:rPr>
      </w:pPr>
      <w:r>
        <w:rPr>
          <w:rFonts w:hint="eastAsia" w:ascii="宋体" w:hAnsi="宋体"/>
          <w:sz w:val="28"/>
          <w:szCs w:val="28"/>
          <w:highlight w:val="none"/>
        </w:rPr>
        <w:t>项目编号：</w:t>
      </w:r>
      <w:r>
        <w:rPr>
          <w:rFonts w:hint="eastAsia" w:ascii="宋体" w:hAnsi="宋体"/>
          <w:sz w:val="28"/>
          <w:szCs w:val="28"/>
          <w:highlight w:val="none"/>
          <w:u w:val="single"/>
        </w:rPr>
        <w:t>                       </w:t>
      </w:r>
    </w:p>
    <w:p w14:paraId="3736C117">
      <w:pPr>
        <w:adjustRightInd w:val="0"/>
        <w:snapToGrid w:val="0"/>
        <w:spacing w:line="720" w:lineRule="auto"/>
        <w:ind w:firstLine="1120" w:firstLineChars="400"/>
        <w:rPr>
          <w:rFonts w:hint="eastAsia" w:ascii="宋体" w:hAnsi="宋体"/>
          <w:sz w:val="28"/>
          <w:szCs w:val="28"/>
          <w:highlight w:val="none"/>
        </w:rPr>
      </w:pPr>
      <w:r>
        <w:rPr>
          <w:rFonts w:ascii="宋体" w:hAnsi="宋体"/>
          <w:sz w:val="28"/>
          <w:szCs w:val="28"/>
          <w:highlight w:val="none"/>
        </w:rPr>
        <w:t>投标人</w:t>
      </w:r>
      <w:r>
        <w:rPr>
          <w:rFonts w:hint="eastAsia" w:ascii="宋体" w:hAnsi="宋体"/>
          <w:sz w:val="28"/>
          <w:szCs w:val="28"/>
          <w:highlight w:val="none"/>
        </w:rPr>
        <w:t>（全称）</w:t>
      </w:r>
      <w:r>
        <w:rPr>
          <w:rFonts w:ascii="宋体" w:hAnsi="宋体"/>
          <w:sz w:val="28"/>
          <w:szCs w:val="28"/>
          <w:highlight w:val="none"/>
        </w:rPr>
        <w:t>：</w:t>
      </w:r>
      <w:r>
        <w:rPr>
          <w:rFonts w:hint="eastAsia" w:ascii="宋体" w:hAnsi="宋体"/>
          <w:sz w:val="28"/>
          <w:szCs w:val="28"/>
          <w:highlight w:val="none"/>
          <w:u w:val="single"/>
        </w:rPr>
        <w:t xml:space="preserve">            </w:t>
      </w:r>
      <w:r>
        <w:rPr>
          <w:rFonts w:ascii="宋体" w:hAnsi="宋体"/>
          <w:sz w:val="28"/>
          <w:szCs w:val="28"/>
          <w:highlight w:val="none"/>
          <w:u w:val="single"/>
        </w:rPr>
        <w:t>（盖章）</w:t>
      </w:r>
    </w:p>
    <w:p w14:paraId="45B8E699">
      <w:pPr>
        <w:adjustRightInd w:val="0"/>
        <w:snapToGrid w:val="0"/>
        <w:spacing w:line="720" w:lineRule="auto"/>
        <w:ind w:firstLine="1120" w:firstLineChars="400"/>
        <w:rPr>
          <w:rFonts w:hint="eastAsia" w:ascii="宋体" w:hAnsi="宋体"/>
          <w:sz w:val="28"/>
          <w:szCs w:val="28"/>
          <w:highlight w:val="none"/>
          <w:u w:val="single"/>
        </w:rPr>
      </w:pPr>
      <w:r>
        <w:rPr>
          <w:rFonts w:ascii="宋体" w:hAnsi="宋体"/>
          <w:sz w:val="28"/>
          <w:szCs w:val="28"/>
          <w:highlight w:val="none"/>
        </w:rPr>
        <w:t>投标人地址：</w:t>
      </w:r>
      <w:r>
        <w:rPr>
          <w:rFonts w:hint="eastAsia" w:ascii="宋体" w:hAnsi="宋体"/>
          <w:sz w:val="28"/>
          <w:szCs w:val="28"/>
          <w:highlight w:val="none"/>
          <w:u w:val="single"/>
        </w:rPr>
        <w:t>                     </w:t>
      </w:r>
    </w:p>
    <w:p w14:paraId="773970D5">
      <w:pPr>
        <w:pStyle w:val="55"/>
        <w:rPr>
          <w:rFonts w:hint="eastAsia" w:ascii="宋体" w:hAnsi="宋体"/>
          <w:sz w:val="28"/>
          <w:szCs w:val="28"/>
          <w:highlight w:val="none"/>
          <w:u w:val="single"/>
        </w:rPr>
      </w:pPr>
    </w:p>
    <w:p w14:paraId="5D5EFB1E">
      <w:pPr>
        <w:spacing w:line="460" w:lineRule="exact"/>
        <w:outlineLvl w:val="0"/>
        <w:rPr>
          <w:rFonts w:hint="eastAsia" w:ascii="宋体" w:hAnsi="宋体"/>
          <w:b/>
          <w:bCs/>
          <w:sz w:val="22"/>
          <w:szCs w:val="22"/>
          <w:highlight w:val="none"/>
        </w:rPr>
      </w:pPr>
      <w:r>
        <w:rPr>
          <w:rFonts w:hint="eastAsia" w:ascii="宋体" w:hAnsi="宋体"/>
          <w:b/>
          <w:bCs/>
          <w:sz w:val="22"/>
          <w:szCs w:val="22"/>
          <w:highlight w:val="none"/>
        </w:rPr>
        <w:br w:type="page"/>
      </w:r>
      <w:bookmarkStart w:id="181" w:name="_Toc10449"/>
      <w:bookmarkStart w:id="182" w:name="_Toc14447"/>
      <w:r>
        <w:rPr>
          <w:rFonts w:hint="eastAsia" w:ascii="宋体" w:hAnsi="宋体" w:cs="宋体"/>
          <w:b/>
          <w:bCs/>
          <w:sz w:val="22"/>
          <w:szCs w:val="22"/>
          <w:highlight w:val="none"/>
        </w:rPr>
        <w:t>附件1</w:t>
      </w:r>
      <w:bookmarkEnd w:id="181"/>
      <w:bookmarkEnd w:id="182"/>
    </w:p>
    <w:p w14:paraId="0C72586B">
      <w:pPr>
        <w:spacing w:line="460" w:lineRule="exact"/>
        <w:rPr>
          <w:rFonts w:hint="eastAsia" w:ascii="宋体" w:hAnsi="宋体"/>
          <w:sz w:val="22"/>
          <w:szCs w:val="22"/>
          <w:highlight w:val="none"/>
        </w:rPr>
      </w:pPr>
    </w:p>
    <w:p w14:paraId="0A102279">
      <w:pPr>
        <w:widowControl/>
        <w:spacing w:line="420" w:lineRule="atLeast"/>
        <w:rPr>
          <w:rFonts w:hint="eastAsia" w:ascii="宋体" w:hAnsi="宋体"/>
          <w:b/>
          <w:bCs/>
          <w:kern w:val="0"/>
          <w:sz w:val="24"/>
          <w:highlight w:val="none"/>
        </w:rPr>
      </w:pPr>
    </w:p>
    <w:p w14:paraId="1D904179">
      <w:pPr>
        <w:widowControl/>
        <w:spacing w:line="420" w:lineRule="atLeast"/>
        <w:jc w:val="center"/>
        <w:rPr>
          <w:rFonts w:hint="eastAsia" w:ascii="宋体" w:hAnsi="宋体"/>
          <w:b/>
          <w:bCs/>
          <w:kern w:val="0"/>
          <w:sz w:val="30"/>
          <w:szCs w:val="30"/>
          <w:highlight w:val="none"/>
        </w:rPr>
      </w:pPr>
      <w:r>
        <w:rPr>
          <w:rFonts w:hint="eastAsia" w:ascii="宋体" w:hAnsi="宋体"/>
          <w:b/>
          <w:bCs/>
          <w:kern w:val="0"/>
          <w:sz w:val="30"/>
          <w:szCs w:val="30"/>
          <w:highlight w:val="none"/>
        </w:rPr>
        <w:t xml:space="preserve">   法定代表人身份证明</w:t>
      </w:r>
    </w:p>
    <w:p w14:paraId="30A4B26A">
      <w:pPr>
        <w:widowControl/>
        <w:spacing w:line="420" w:lineRule="atLeast"/>
        <w:jc w:val="center"/>
        <w:rPr>
          <w:rFonts w:hint="eastAsia" w:ascii="宋体" w:hAnsi="宋体"/>
          <w:b/>
          <w:bCs/>
          <w:kern w:val="0"/>
          <w:sz w:val="24"/>
          <w:highlight w:val="none"/>
        </w:rPr>
      </w:pPr>
    </w:p>
    <w:p w14:paraId="575D4D4F">
      <w:pPr>
        <w:widowControl/>
        <w:spacing w:line="420" w:lineRule="atLeast"/>
        <w:ind w:firstLine="480"/>
        <w:jc w:val="left"/>
        <w:rPr>
          <w:rFonts w:hint="eastAsia" w:ascii="宋体" w:hAnsi="宋体"/>
          <w:kern w:val="0"/>
          <w:sz w:val="24"/>
          <w:highlight w:val="none"/>
        </w:rPr>
      </w:pPr>
    </w:p>
    <w:p w14:paraId="70800098">
      <w:pPr>
        <w:widowControl/>
        <w:spacing w:line="420" w:lineRule="atLeast"/>
        <w:ind w:firstLine="1080"/>
        <w:rPr>
          <w:rFonts w:hint="eastAsia" w:ascii="宋体" w:hAnsi="宋体"/>
          <w:kern w:val="0"/>
          <w:szCs w:val="21"/>
          <w:highlight w:val="none"/>
        </w:rPr>
      </w:pPr>
      <w:r>
        <w:rPr>
          <w:rFonts w:hint="eastAsia" w:ascii="宋体" w:hAnsi="宋体"/>
          <w:kern w:val="0"/>
          <w:szCs w:val="21"/>
          <w:highlight w:val="none"/>
        </w:rPr>
        <w:t>单位名称：</w:t>
      </w:r>
    </w:p>
    <w:p w14:paraId="554DDD14">
      <w:pPr>
        <w:widowControl/>
        <w:spacing w:line="420" w:lineRule="atLeast"/>
        <w:ind w:firstLine="1080"/>
        <w:rPr>
          <w:rFonts w:hint="eastAsia" w:ascii="宋体" w:hAnsi="宋体"/>
          <w:kern w:val="0"/>
          <w:szCs w:val="21"/>
          <w:highlight w:val="none"/>
          <w:u w:val="single"/>
        </w:rPr>
      </w:pPr>
      <w:r>
        <w:rPr>
          <w:rFonts w:hint="eastAsia" w:ascii="宋体" w:hAnsi="宋体"/>
          <w:kern w:val="0"/>
          <w:szCs w:val="21"/>
          <w:highlight w:val="none"/>
        </w:rPr>
        <w:t>单位性质：</w:t>
      </w:r>
    </w:p>
    <w:p w14:paraId="39A01763">
      <w:pPr>
        <w:widowControl/>
        <w:spacing w:line="420" w:lineRule="atLeast"/>
        <w:ind w:firstLine="1080"/>
        <w:rPr>
          <w:rFonts w:hint="eastAsia" w:ascii="宋体" w:hAnsi="宋体"/>
          <w:kern w:val="0"/>
          <w:szCs w:val="21"/>
          <w:highlight w:val="none"/>
          <w:u w:val="single"/>
        </w:rPr>
      </w:pPr>
      <w:r>
        <w:rPr>
          <w:rFonts w:hint="eastAsia" w:ascii="宋体" w:hAnsi="宋体"/>
          <w:kern w:val="0"/>
          <w:szCs w:val="21"/>
          <w:highlight w:val="none"/>
        </w:rPr>
        <w:t>地    址：</w:t>
      </w:r>
    </w:p>
    <w:p w14:paraId="0A40B0B9">
      <w:pPr>
        <w:widowControl/>
        <w:spacing w:line="420" w:lineRule="atLeast"/>
        <w:ind w:firstLine="1080"/>
        <w:rPr>
          <w:rFonts w:hint="eastAsia" w:ascii="宋体" w:hAnsi="宋体"/>
          <w:kern w:val="0"/>
          <w:szCs w:val="21"/>
          <w:highlight w:val="none"/>
        </w:rPr>
      </w:pPr>
      <w:r>
        <w:rPr>
          <w:rFonts w:hint="eastAsia" w:ascii="宋体" w:hAnsi="宋体"/>
          <w:kern w:val="0"/>
          <w:szCs w:val="21"/>
          <w:highlight w:val="none"/>
        </w:rPr>
        <w:t>成立时间：年</w:t>
      </w:r>
      <w:r>
        <w:rPr>
          <w:rFonts w:hint="eastAsia" w:ascii="宋体" w:hAnsi="宋体"/>
          <w:kern w:val="0"/>
          <w:szCs w:val="21"/>
          <w:highlight w:val="none"/>
          <w:lang w:val="en-US" w:eastAsia="zh-CN"/>
        </w:rPr>
        <w:t xml:space="preserve">  </w:t>
      </w:r>
      <w:r>
        <w:rPr>
          <w:rFonts w:hint="eastAsia" w:ascii="宋体" w:hAnsi="宋体"/>
          <w:kern w:val="0"/>
          <w:szCs w:val="21"/>
          <w:highlight w:val="none"/>
        </w:rPr>
        <w:t>月</w:t>
      </w:r>
      <w:r>
        <w:rPr>
          <w:rFonts w:hint="eastAsia" w:ascii="宋体" w:hAnsi="宋体"/>
          <w:kern w:val="0"/>
          <w:szCs w:val="21"/>
          <w:highlight w:val="none"/>
          <w:lang w:val="en-US" w:eastAsia="zh-CN"/>
        </w:rPr>
        <w:t xml:space="preserve">   </w:t>
      </w:r>
      <w:r>
        <w:rPr>
          <w:rFonts w:hint="eastAsia" w:ascii="宋体" w:hAnsi="宋体"/>
          <w:kern w:val="0"/>
          <w:szCs w:val="21"/>
          <w:highlight w:val="none"/>
        </w:rPr>
        <w:t>日</w:t>
      </w:r>
    </w:p>
    <w:p w14:paraId="49A4B5EF">
      <w:pPr>
        <w:widowControl/>
        <w:spacing w:line="420" w:lineRule="atLeast"/>
        <w:ind w:firstLine="1080"/>
        <w:rPr>
          <w:rFonts w:hint="eastAsia" w:ascii="宋体" w:hAnsi="宋体"/>
          <w:kern w:val="0"/>
          <w:szCs w:val="21"/>
          <w:highlight w:val="none"/>
          <w:u w:val="single"/>
        </w:rPr>
      </w:pPr>
      <w:r>
        <w:rPr>
          <w:rFonts w:hint="eastAsia" w:ascii="宋体" w:hAnsi="宋体"/>
          <w:kern w:val="0"/>
          <w:szCs w:val="21"/>
          <w:highlight w:val="none"/>
        </w:rPr>
        <w:t>经营期限：</w:t>
      </w:r>
    </w:p>
    <w:p w14:paraId="7CA8E163">
      <w:pPr>
        <w:widowControl/>
        <w:spacing w:line="420" w:lineRule="atLeast"/>
        <w:ind w:firstLine="1080"/>
        <w:rPr>
          <w:rFonts w:hint="eastAsia" w:ascii="宋体" w:hAnsi="宋体"/>
          <w:kern w:val="0"/>
          <w:szCs w:val="21"/>
          <w:highlight w:val="none"/>
          <w:u w:val="single"/>
        </w:rPr>
      </w:pPr>
      <w:r>
        <w:rPr>
          <w:rFonts w:hint="eastAsia" w:ascii="宋体" w:hAnsi="宋体"/>
          <w:kern w:val="0"/>
          <w:szCs w:val="21"/>
          <w:highlight w:val="none"/>
        </w:rPr>
        <w:t>姓    名：性    别：</w:t>
      </w:r>
    </w:p>
    <w:p w14:paraId="757BDE03">
      <w:pPr>
        <w:widowControl/>
        <w:spacing w:line="420" w:lineRule="atLeast"/>
        <w:ind w:firstLine="1080"/>
        <w:rPr>
          <w:rFonts w:hint="eastAsia" w:ascii="宋体" w:hAnsi="宋体"/>
          <w:kern w:val="0"/>
          <w:szCs w:val="21"/>
          <w:highlight w:val="none"/>
          <w:u w:val="single"/>
        </w:rPr>
      </w:pPr>
      <w:r>
        <w:rPr>
          <w:rFonts w:hint="eastAsia" w:ascii="宋体" w:hAnsi="宋体"/>
          <w:kern w:val="0"/>
          <w:szCs w:val="21"/>
          <w:highlight w:val="none"/>
        </w:rPr>
        <w:t>年    龄：职    务：</w:t>
      </w:r>
    </w:p>
    <w:p w14:paraId="427A09E1">
      <w:pPr>
        <w:widowControl/>
        <w:spacing w:line="420" w:lineRule="atLeast"/>
        <w:ind w:firstLine="1080"/>
        <w:rPr>
          <w:rFonts w:hint="eastAsia" w:ascii="宋体" w:hAnsi="宋体"/>
          <w:kern w:val="0"/>
          <w:szCs w:val="21"/>
          <w:highlight w:val="none"/>
        </w:rPr>
      </w:pPr>
      <w:r>
        <w:rPr>
          <w:rFonts w:hint="eastAsia" w:ascii="宋体" w:hAnsi="宋体"/>
          <w:kern w:val="0"/>
          <w:szCs w:val="21"/>
          <w:highlight w:val="none"/>
        </w:rPr>
        <w:t>系（投标人名称）的法定代表人。</w:t>
      </w:r>
    </w:p>
    <w:p w14:paraId="063A0485">
      <w:pPr>
        <w:widowControl/>
        <w:spacing w:line="420" w:lineRule="atLeast"/>
        <w:ind w:firstLine="1080"/>
        <w:rPr>
          <w:rFonts w:hint="eastAsia" w:ascii="宋体" w:hAnsi="宋体"/>
          <w:kern w:val="0"/>
          <w:szCs w:val="21"/>
          <w:highlight w:val="none"/>
        </w:rPr>
      </w:pPr>
      <w:r>
        <w:rPr>
          <w:rFonts w:hint="eastAsia" w:ascii="宋体" w:hAnsi="宋体"/>
          <w:kern w:val="0"/>
          <w:szCs w:val="21"/>
          <w:highlight w:val="none"/>
        </w:rPr>
        <w:t>特此证明。</w:t>
      </w:r>
    </w:p>
    <w:p w14:paraId="5925C096">
      <w:pPr>
        <w:widowControl/>
        <w:spacing w:line="420" w:lineRule="atLeast"/>
        <w:rPr>
          <w:rFonts w:hint="eastAsia" w:ascii="宋体" w:hAnsi="宋体"/>
          <w:kern w:val="0"/>
          <w:szCs w:val="21"/>
          <w:highlight w:val="none"/>
        </w:rPr>
      </w:pPr>
    </w:p>
    <w:p w14:paraId="12F2EB55">
      <w:pPr>
        <w:widowControl/>
        <w:spacing w:line="420" w:lineRule="atLeast"/>
        <w:rPr>
          <w:rFonts w:hint="eastAsia" w:ascii="宋体" w:hAnsi="宋体"/>
          <w:kern w:val="0"/>
          <w:szCs w:val="21"/>
          <w:highlight w:val="none"/>
        </w:rPr>
      </w:pPr>
    </w:p>
    <w:p w14:paraId="7D263EB3">
      <w:pPr>
        <w:widowControl/>
        <w:spacing w:line="420" w:lineRule="atLeast"/>
        <w:ind w:right="-64" w:firstLine="3600"/>
        <w:rPr>
          <w:rFonts w:hint="eastAsia" w:ascii="宋体" w:hAnsi="宋体"/>
          <w:b/>
          <w:bCs/>
          <w:kern w:val="0"/>
          <w:szCs w:val="21"/>
          <w:highlight w:val="none"/>
        </w:rPr>
      </w:pPr>
      <w:r>
        <w:rPr>
          <w:rFonts w:hint="eastAsia" w:ascii="宋体" w:hAnsi="宋体"/>
          <w:b/>
          <w:bCs/>
          <w:kern w:val="0"/>
          <w:szCs w:val="21"/>
          <w:highlight w:val="none"/>
        </w:rPr>
        <w:t>投标人：（盖单位章）</w:t>
      </w:r>
    </w:p>
    <w:p w14:paraId="44C37368">
      <w:pPr>
        <w:widowControl/>
        <w:spacing w:line="420" w:lineRule="atLeast"/>
        <w:ind w:right="420"/>
        <w:rPr>
          <w:rFonts w:hint="eastAsia" w:ascii="宋体" w:hAnsi="宋体"/>
          <w:b/>
          <w:bCs/>
          <w:kern w:val="0"/>
          <w:szCs w:val="21"/>
          <w:highlight w:val="none"/>
          <w:u w:val="single"/>
        </w:rPr>
      </w:pPr>
    </w:p>
    <w:p w14:paraId="6B31BF53">
      <w:pPr>
        <w:widowControl/>
        <w:spacing w:line="420" w:lineRule="atLeast"/>
        <w:ind w:right="-64" w:firstLine="4320"/>
        <w:rPr>
          <w:rFonts w:hint="eastAsia" w:ascii="宋体" w:hAnsi="宋体"/>
          <w:b/>
          <w:bCs/>
          <w:kern w:val="0"/>
          <w:szCs w:val="21"/>
          <w:highlight w:val="none"/>
        </w:rPr>
      </w:pPr>
      <w:r>
        <w:rPr>
          <w:rFonts w:hint="eastAsia" w:ascii="宋体" w:hAnsi="宋体"/>
          <w:b/>
          <w:bCs/>
          <w:kern w:val="0"/>
          <w:szCs w:val="21"/>
          <w:highlight w:val="none"/>
        </w:rPr>
        <w:t xml:space="preserve">年月日 </w:t>
      </w:r>
    </w:p>
    <w:p w14:paraId="30F984DA">
      <w:pPr>
        <w:pStyle w:val="55"/>
        <w:rPr>
          <w:rFonts w:hint="eastAsia" w:ascii="宋体" w:hAnsi="宋体"/>
          <w:b/>
          <w:bCs/>
          <w:highlight w:val="none"/>
        </w:rPr>
      </w:pPr>
    </w:p>
    <w:p w14:paraId="1803048C">
      <w:pPr>
        <w:pStyle w:val="9"/>
        <w:ind w:left="1020"/>
        <w:rPr>
          <w:rFonts w:hint="eastAsia" w:ascii="宋体" w:hAnsi="宋体"/>
          <w:highlight w:val="none"/>
        </w:rPr>
      </w:pPr>
      <w:r>
        <w:rPr>
          <w:rFonts w:hint="eastAsia" w:ascii="宋体" w:hAnsi="宋体" w:cs="宋体"/>
          <w:highlight w:val="none"/>
        </w:rPr>
        <w:t>--------------------------------------------------------------------</w:t>
      </w:r>
    </w:p>
    <w:p w14:paraId="7EC3FCEC">
      <w:pPr>
        <w:pStyle w:val="9"/>
        <w:rPr>
          <w:rFonts w:hint="eastAsia" w:ascii="宋体" w:hAnsi="宋体"/>
          <w:kern w:val="0"/>
          <w:sz w:val="24"/>
          <w:highlight w:val="none"/>
        </w:rPr>
      </w:pPr>
      <w:r>
        <w:rPr>
          <w:rFonts w:ascii="宋体" w:hAnsi="宋体"/>
          <w:highlight w:val="none"/>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1"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3AB1F2F5">
                            <w:pPr>
                              <w:pStyle w:val="9"/>
                              <w:rPr>
                                <w:sz w:val="20"/>
                              </w:rPr>
                            </w:pPr>
                          </w:p>
                          <w:p w14:paraId="32ABF47A">
                            <w:pPr>
                              <w:pStyle w:val="9"/>
                              <w:rPr>
                                <w:sz w:val="20"/>
                              </w:rPr>
                            </w:pPr>
                          </w:p>
                          <w:p w14:paraId="3CF8311B">
                            <w:pPr>
                              <w:pStyle w:val="9"/>
                              <w:rPr>
                                <w:sz w:val="20"/>
                              </w:rPr>
                            </w:pPr>
                          </w:p>
                          <w:p w14:paraId="6501C891">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1ZLZH&#10;1gAAAAoBAAAPAAAAAAAAAAEAIAAAACIAAABkcnMvZG93bnJldi54bWxQSwECFAAUAAAACACHTuJA&#10;v+I9xCMCAABOBAAADgAAAAAAAAABACAAAAAlAQAAZHJzL2Uyb0RvYy54bWxQSwUGAAAAAAYABgBZ&#10;AQAAugUAAAAA&#10;">
                <v:fill on="f" focussize="0,0"/>
                <v:stroke weight="0.48pt" color="#000000" joinstyle="miter"/>
                <v:imagedata o:title=""/>
                <o:lock v:ext="edit" aspectratio="f"/>
                <v:textbox inset="0mm,0mm,0mm,0mm">
                  <w:txbxContent>
                    <w:p w14:paraId="3AB1F2F5">
                      <w:pPr>
                        <w:pStyle w:val="9"/>
                        <w:rPr>
                          <w:sz w:val="20"/>
                        </w:rPr>
                      </w:pPr>
                    </w:p>
                    <w:p w14:paraId="32ABF47A">
                      <w:pPr>
                        <w:pStyle w:val="9"/>
                        <w:rPr>
                          <w:sz w:val="20"/>
                        </w:rPr>
                      </w:pPr>
                    </w:p>
                    <w:p w14:paraId="3CF8311B">
                      <w:pPr>
                        <w:pStyle w:val="9"/>
                        <w:rPr>
                          <w:sz w:val="20"/>
                        </w:rPr>
                      </w:pPr>
                    </w:p>
                    <w:p w14:paraId="6501C891">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27D56F1C">
      <w:pPr>
        <w:widowControl/>
        <w:spacing w:line="420" w:lineRule="atLeast"/>
        <w:jc w:val="left"/>
        <w:outlineLvl w:val="0"/>
        <w:rPr>
          <w:rFonts w:hint="eastAsia" w:ascii="宋体" w:hAnsi="宋体"/>
          <w:b/>
          <w:bCs/>
          <w:kern w:val="0"/>
          <w:sz w:val="30"/>
          <w:szCs w:val="30"/>
          <w:highlight w:val="none"/>
        </w:rPr>
      </w:pPr>
      <w:r>
        <w:rPr>
          <w:rFonts w:ascii="宋体" w:hAnsi="宋体"/>
          <w:b/>
          <w:bCs/>
          <w:kern w:val="0"/>
          <w:sz w:val="30"/>
          <w:szCs w:val="30"/>
          <w:highlight w:val="none"/>
        </w:rPr>
        <w:br w:type="page"/>
      </w:r>
      <w:bookmarkStart w:id="183" w:name="_Toc30922"/>
      <w:bookmarkStart w:id="184" w:name="_Toc6363"/>
      <w:r>
        <w:rPr>
          <w:rFonts w:hint="eastAsia" w:ascii="宋体" w:hAnsi="宋体" w:cs="宋体"/>
          <w:b/>
          <w:bCs/>
          <w:sz w:val="22"/>
          <w:szCs w:val="22"/>
          <w:highlight w:val="none"/>
        </w:rPr>
        <w:t>附件1-1</w:t>
      </w:r>
      <w:bookmarkEnd w:id="183"/>
      <w:bookmarkEnd w:id="184"/>
    </w:p>
    <w:p w14:paraId="079C7801">
      <w:pPr>
        <w:widowControl/>
        <w:spacing w:line="420" w:lineRule="atLeast"/>
        <w:jc w:val="center"/>
        <w:rPr>
          <w:rFonts w:hint="eastAsia" w:ascii="宋体" w:hAnsi="宋体"/>
          <w:b/>
          <w:bCs/>
          <w:kern w:val="0"/>
          <w:sz w:val="30"/>
          <w:szCs w:val="30"/>
          <w:highlight w:val="none"/>
        </w:rPr>
      </w:pPr>
      <w:r>
        <w:rPr>
          <w:rFonts w:ascii="宋体" w:hAnsi="宋体"/>
          <w:b/>
          <w:bCs/>
          <w:kern w:val="0"/>
          <w:sz w:val="30"/>
          <w:szCs w:val="30"/>
          <w:highlight w:val="none"/>
        </w:rPr>
        <w:t>法定代表人</w:t>
      </w:r>
      <w:r>
        <w:rPr>
          <w:rFonts w:hint="eastAsia" w:ascii="宋体" w:hAnsi="宋体"/>
          <w:b/>
          <w:bCs/>
          <w:kern w:val="0"/>
          <w:sz w:val="30"/>
          <w:szCs w:val="30"/>
          <w:highlight w:val="none"/>
        </w:rPr>
        <w:t>授权委托</w:t>
      </w:r>
      <w:r>
        <w:rPr>
          <w:rFonts w:ascii="宋体" w:hAnsi="宋体"/>
          <w:b/>
          <w:bCs/>
          <w:kern w:val="0"/>
          <w:sz w:val="30"/>
          <w:szCs w:val="30"/>
          <w:highlight w:val="none"/>
        </w:rPr>
        <w:t>书</w:t>
      </w:r>
    </w:p>
    <w:p w14:paraId="59D0F8FF">
      <w:pPr>
        <w:widowControl/>
        <w:spacing w:line="420" w:lineRule="atLeast"/>
        <w:ind w:left="120"/>
        <w:jc w:val="left"/>
        <w:rPr>
          <w:rFonts w:hint="eastAsia" w:ascii="宋体" w:hAnsi="宋体"/>
          <w:kern w:val="0"/>
          <w:sz w:val="24"/>
          <w:highlight w:val="none"/>
        </w:rPr>
      </w:pPr>
    </w:p>
    <w:p w14:paraId="5D23A875">
      <w:pPr>
        <w:widowControl/>
        <w:spacing w:line="360" w:lineRule="auto"/>
        <w:ind w:left="120" w:firstLine="480"/>
        <w:jc w:val="left"/>
        <w:rPr>
          <w:rFonts w:hint="eastAsia" w:ascii="宋体" w:hAnsi="宋体"/>
          <w:kern w:val="0"/>
          <w:szCs w:val="21"/>
          <w:highlight w:val="none"/>
        </w:rPr>
      </w:pPr>
      <w:r>
        <w:rPr>
          <w:rFonts w:hint="eastAsia" w:ascii="宋体" w:hAnsi="宋体"/>
          <w:kern w:val="0"/>
          <w:szCs w:val="21"/>
          <w:highlight w:val="none"/>
        </w:rPr>
        <w:t>本授权书声明：我（法人代表姓名、职务）是（单位名称）的法人代表，现代表本单位授权（被授权人的姓名、职务）为本单位的合法代理人，就参加（项目名称）（采购编号）公开招标的投标、签订合同以及合同的执行、完成和服务，及以本单位名义处理一切与之有关的事务。</w:t>
      </w:r>
    </w:p>
    <w:p w14:paraId="04C25D4B">
      <w:pPr>
        <w:widowControl/>
        <w:spacing w:line="360" w:lineRule="auto"/>
        <w:ind w:firstLine="480"/>
        <w:jc w:val="left"/>
        <w:rPr>
          <w:rFonts w:hint="eastAsia" w:ascii="宋体" w:hAnsi="宋体"/>
          <w:kern w:val="0"/>
          <w:szCs w:val="21"/>
          <w:highlight w:val="none"/>
        </w:rPr>
      </w:pPr>
      <w:r>
        <w:rPr>
          <w:rFonts w:hint="eastAsia" w:ascii="宋体" w:hAnsi="宋体"/>
          <w:kern w:val="0"/>
          <w:szCs w:val="21"/>
          <w:highlight w:val="none"/>
        </w:rPr>
        <w:t xml:space="preserve"> 本授权书于年月日签字生效，特此声明。</w:t>
      </w:r>
    </w:p>
    <w:p w14:paraId="08D22CC0">
      <w:pPr>
        <w:pStyle w:val="55"/>
        <w:rPr>
          <w:rFonts w:hint="eastAsia" w:ascii="宋体" w:hAnsi="宋体"/>
          <w:highlight w:val="none"/>
        </w:rPr>
      </w:pPr>
    </w:p>
    <w:p w14:paraId="4C56642A">
      <w:pPr>
        <w:widowControl/>
        <w:spacing w:line="360" w:lineRule="auto"/>
        <w:ind w:firstLine="600"/>
        <w:jc w:val="left"/>
        <w:rPr>
          <w:rFonts w:hint="eastAsia" w:ascii="宋体" w:hAnsi="宋体"/>
          <w:kern w:val="0"/>
          <w:szCs w:val="21"/>
          <w:highlight w:val="none"/>
        </w:rPr>
      </w:pPr>
    </w:p>
    <w:p w14:paraId="110EB84B">
      <w:pPr>
        <w:widowControl/>
        <w:spacing w:line="360" w:lineRule="auto"/>
        <w:ind w:firstLine="600"/>
        <w:jc w:val="left"/>
        <w:rPr>
          <w:rFonts w:hint="eastAsia" w:ascii="宋体" w:hAnsi="宋体"/>
          <w:b/>
          <w:bCs/>
          <w:kern w:val="0"/>
          <w:szCs w:val="21"/>
          <w:highlight w:val="none"/>
        </w:rPr>
      </w:pPr>
      <w:r>
        <w:rPr>
          <w:rFonts w:hint="eastAsia" w:ascii="宋体" w:hAnsi="宋体"/>
          <w:b/>
          <w:bCs/>
          <w:kern w:val="0"/>
          <w:szCs w:val="21"/>
          <w:highlight w:val="none"/>
        </w:rPr>
        <w:t>法人代表（签字）</w:t>
      </w:r>
    </w:p>
    <w:p w14:paraId="73576F75">
      <w:pPr>
        <w:widowControl/>
        <w:spacing w:line="360" w:lineRule="auto"/>
        <w:ind w:firstLine="600"/>
        <w:jc w:val="left"/>
        <w:rPr>
          <w:rFonts w:hint="eastAsia" w:ascii="宋体" w:hAnsi="宋体"/>
          <w:b/>
          <w:bCs/>
          <w:kern w:val="0"/>
          <w:szCs w:val="21"/>
          <w:highlight w:val="none"/>
        </w:rPr>
      </w:pPr>
      <w:r>
        <w:rPr>
          <w:rFonts w:hint="eastAsia" w:ascii="宋体" w:hAnsi="宋体"/>
          <w:b/>
          <w:bCs/>
          <w:kern w:val="0"/>
          <w:szCs w:val="21"/>
          <w:highlight w:val="none"/>
        </w:rPr>
        <w:t>授权委托人（签字）</w:t>
      </w:r>
    </w:p>
    <w:p w14:paraId="7D01651E">
      <w:pPr>
        <w:widowControl/>
        <w:spacing w:line="360" w:lineRule="auto"/>
        <w:ind w:firstLine="600"/>
        <w:jc w:val="left"/>
        <w:rPr>
          <w:rFonts w:hint="eastAsia" w:ascii="宋体" w:hAnsi="宋体"/>
          <w:b/>
          <w:bCs/>
          <w:kern w:val="0"/>
          <w:szCs w:val="21"/>
          <w:highlight w:val="none"/>
        </w:rPr>
      </w:pPr>
      <w:r>
        <w:rPr>
          <w:rFonts w:hint="eastAsia" w:ascii="宋体" w:hAnsi="宋体"/>
          <w:b/>
          <w:bCs/>
          <w:kern w:val="0"/>
          <w:szCs w:val="21"/>
          <w:highlight w:val="none"/>
        </w:rPr>
        <w:t>单位名称（公章）</w:t>
      </w:r>
    </w:p>
    <w:p w14:paraId="62F55028">
      <w:pPr>
        <w:widowControl/>
        <w:spacing w:line="360" w:lineRule="auto"/>
        <w:ind w:firstLine="480"/>
        <w:jc w:val="left"/>
        <w:rPr>
          <w:rFonts w:hint="eastAsia" w:ascii="宋体" w:hAnsi="宋体"/>
          <w:b/>
          <w:bCs/>
          <w:kern w:val="0"/>
          <w:szCs w:val="21"/>
          <w:highlight w:val="none"/>
        </w:rPr>
      </w:pPr>
      <w:r>
        <w:rPr>
          <w:rFonts w:hint="eastAsia" w:ascii="宋体" w:hAnsi="宋体"/>
          <w:b/>
          <w:bCs/>
          <w:kern w:val="0"/>
          <w:szCs w:val="21"/>
          <w:highlight w:val="none"/>
        </w:rPr>
        <w:t xml:space="preserve"> 日    期：</w:t>
      </w:r>
    </w:p>
    <w:p w14:paraId="64501A82">
      <w:pPr>
        <w:widowControl/>
        <w:spacing w:line="360" w:lineRule="auto"/>
        <w:rPr>
          <w:rFonts w:hint="eastAsia" w:ascii="宋体" w:hAnsi="宋体"/>
          <w:kern w:val="0"/>
          <w:szCs w:val="21"/>
          <w:highlight w:val="none"/>
        </w:rPr>
      </w:pPr>
    </w:p>
    <w:p w14:paraId="7E376193">
      <w:pPr>
        <w:widowControl/>
        <w:spacing w:line="360" w:lineRule="auto"/>
        <w:rPr>
          <w:rFonts w:hint="eastAsia" w:ascii="宋体" w:hAnsi="宋体"/>
          <w:kern w:val="0"/>
          <w:szCs w:val="21"/>
          <w:highlight w:val="none"/>
        </w:rPr>
      </w:pPr>
    </w:p>
    <w:p w14:paraId="43EF06F8">
      <w:pPr>
        <w:pStyle w:val="9"/>
        <w:ind w:left="1020"/>
        <w:rPr>
          <w:rFonts w:hint="eastAsia" w:ascii="宋体" w:hAnsi="宋体"/>
          <w:highlight w:val="none"/>
        </w:rPr>
      </w:pPr>
      <w:r>
        <w:rPr>
          <w:rFonts w:hint="eastAsia" w:ascii="宋体" w:hAnsi="宋体" w:cs="宋体"/>
          <w:highlight w:val="none"/>
        </w:rPr>
        <w:t>--------------------------------------------------------------------</w:t>
      </w:r>
    </w:p>
    <w:p w14:paraId="598B8915">
      <w:pPr>
        <w:pStyle w:val="9"/>
        <w:rPr>
          <w:rFonts w:hint="eastAsia" w:ascii="宋体" w:hAnsi="宋体"/>
          <w:kern w:val="0"/>
          <w:sz w:val="24"/>
          <w:highlight w:val="none"/>
        </w:rPr>
      </w:pPr>
      <w:r>
        <w:rPr>
          <w:rFonts w:ascii="宋体" w:hAnsi="宋体"/>
          <w:highlight w:val="none"/>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2"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1B3BCFD9">
                            <w:pPr>
                              <w:pStyle w:val="9"/>
                              <w:rPr>
                                <w:sz w:val="20"/>
                              </w:rPr>
                            </w:pPr>
                          </w:p>
                          <w:p w14:paraId="18240035">
                            <w:pPr>
                              <w:pStyle w:val="9"/>
                              <w:rPr>
                                <w:sz w:val="20"/>
                              </w:rPr>
                            </w:pPr>
                          </w:p>
                          <w:p w14:paraId="42936001">
                            <w:pPr>
                              <w:pStyle w:val="9"/>
                              <w:rPr>
                                <w:sz w:val="20"/>
                              </w:rPr>
                            </w:pPr>
                          </w:p>
                          <w:p w14:paraId="560333A3">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WS2&#10;R9YAAAAKAQAADwAAAAAAAAABACAAAAAiAAAAZHJzL2Rvd25yZXYueG1sUEsBAhQAFAAAAAgAh07i&#10;QAUbKgckAgAATgQAAA4AAAAAAAAAAQAgAAAAJQEAAGRycy9lMm9Eb2MueG1sUEsFBgAAAAAGAAYA&#10;WQEAALsFAAAAAA==&#10;">
                <v:fill on="f" focussize="0,0"/>
                <v:stroke weight="0.48pt" color="#000000" joinstyle="miter"/>
                <v:imagedata o:title=""/>
                <o:lock v:ext="edit" aspectratio="f"/>
                <v:textbox inset="0mm,0mm,0mm,0mm">
                  <w:txbxContent>
                    <w:p w14:paraId="1B3BCFD9">
                      <w:pPr>
                        <w:pStyle w:val="9"/>
                        <w:rPr>
                          <w:sz w:val="20"/>
                        </w:rPr>
                      </w:pPr>
                    </w:p>
                    <w:p w14:paraId="18240035">
                      <w:pPr>
                        <w:pStyle w:val="9"/>
                        <w:rPr>
                          <w:sz w:val="20"/>
                        </w:rPr>
                      </w:pPr>
                    </w:p>
                    <w:p w14:paraId="42936001">
                      <w:pPr>
                        <w:pStyle w:val="9"/>
                        <w:rPr>
                          <w:sz w:val="20"/>
                        </w:rPr>
                      </w:pPr>
                    </w:p>
                    <w:p w14:paraId="560333A3">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19D04D62">
      <w:pPr>
        <w:spacing w:line="460" w:lineRule="exact"/>
        <w:jc w:val="left"/>
        <w:rPr>
          <w:rFonts w:hint="eastAsia" w:ascii="宋体" w:hAnsi="宋体"/>
          <w:b/>
          <w:bCs/>
          <w:sz w:val="22"/>
          <w:szCs w:val="22"/>
          <w:highlight w:val="none"/>
        </w:rPr>
      </w:pPr>
    </w:p>
    <w:p w14:paraId="168CFF9E">
      <w:pPr>
        <w:spacing w:line="460" w:lineRule="exact"/>
        <w:jc w:val="left"/>
        <w:outlineLvl w:val="0"/>
        <w:rPr>
          <w:rFonts w:hint="eastAsia" w:ascii="宋体" w:hAnsi="宋体"/>
          <w:b/>
          <w:sz w:val="30"/>
          <w:highlight w:val="none"/>
        </w:rPr>
      </w:pPr>
      <w:r>
        <w:rPr>
          <w:rFonts w:ascii="宋体" w:hAnsi="宋体"/>
          <w:b/>
          <w:sz w:val="30"/>
          <w:highlight w:val="none"/>
        </w:rPr>
        <w:br w:type="page"/>
      </w:r>
      <w:bookmarkStart w:id="185" w:name="_Toc25736"/>
      <w:bookmarkStart w:id="186" w:name="_Toc3076"/>
      <w:r>
        <w:rPr>
          <w:rFonts w:hint="eastAsia" w:ascii="宋体" w:hAnsi="宋体" w:cs="宋体"/>
          <w:b/>
          <w:bCs/>
          <w:sz w:val="22"/>
          <w:szCs w:val="22"/>
          <w:highlight w:val="none"/>
        </w:rPr>
        <w:t>附件2</w:t>
      </w:r>
      <w:bookmarkEnd w:id="185"/>
      <w:bookmarkEnd w:id="186"/>
    </w:p>
    <w:p w14:paraId="1174C1ED">
      <w:pPr>
        <w:pStyle w:val="22"/>
        <w:widowControl w:val="0"/>
        <w:autoSpaceDE w:val="0"/>
        <w:autoSpaceDN w:val="0"/>
        <w:adjustRightInd w:val="0"/>
        <w:spacing w:before="0" w:beforeAutospacing="0" w:after="120" w:afterAutospacing="0"/>
        <w:ind w:firstLine="301" w:firstLineChars="100"/>
        <w:jc w:val="center"/>
        <w:rPr>
          <w:rFonts w:hint="eastAsia" w:cs="宋体"/>
          <w:b/>
          <w:bCs/>
          <w:sz w:val="30"/>
          <w:szCs w:val="30"/>
          <w:highlight w:val="none"/>
        </w:rPr>
      </w:pPr>
      <w:r>
        <w:rPr>
          <w:rFonts w:hint="eastAsia" w:cs="宋体"/>
          <w:b/>
          <w:bCs/>
          <w:sz w:val="30"/>
          <w:szCs w:val="30"/>
          <w:highlight w:val="none"/>
          <w:lang w:bidi="ar"/>
        </w:rPr>
        <w:t xml:space="preserve">符合参与政府采购活动资格条件的承诺函 </w:t>
      </w:r>
    </w:p>
    <w:p w14:paraId="35834568">
      <w:pPr>
        <w:spacing w:line="480" w:lineRule="auto"/>
        <w:rPr>
          <w:rFonts w:hint="eastAsia" w:ascii="宋体" w:hAnsi="宋体" w:eastAsia="宋体" w:cs="宋体"/>
          <w:szCs w:val="21"/>
          <w:highlight w:val="none"/>
          <w:u w:val="single"/>
          <w:lang w:eastAsia="zh-CN"/>
        </w:rPr>
      </w:pPr>
      <w:r>
        <w:rPr>
          <w:rFonts w:hint="eastAsia" w:ascii="宋体" w:hAnsi="宋体" w:cs="宋体"/>
          <w:szCs w:val="21"/>
          <w:highlight w:val="none"/>
          <w:u w:val="single"/>
          <w:lang w:eastAsia="zh-CN" w:bidi="ar"/>
        </w:rPr>
        <w:t>常山县城市项目建设中心</w:t>
      </w:r>
    </w:p>
    <w:p w14:paraId="5766C163">
      <w:pPr>
        <w:spacing w:line="480" w:lineRule="auto"/>
        <w:rPr>
          <w:rFonts w:hint="eastAsia" w:ascii="宋体" w:hAnsi="宋体" w:cs="宋体"/>
          <w:b/>
          <w:sz w:val="30"/>
          <w:highlight w:val="none"/>
        </w:rPr>
      </w:pPr>
      <w:r>
        <w:rPr>
          <w:rFonts w:hint="eastAsia" w:ascii="宋体" w:hAnsi="宋体" w:cs="宋体"/>
          <w:szCs w:val="21"/>
          <w:highlight w:val="none"/>
          <w:u w:val="single"/>
          <w:lang w:bidi="ar"/>
        </w:rPr>
        <w:t>衢州市开成工程造价咨询事务所有限公司</w:t>
      </w:r>
    </w:p>
    <w:p w14:paraId="19BD761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根据贵方</w:t>
      </w:r>
      <w:r>
        <w:rPr>
          <w:rFonts w:hint="eastAsia" w:ascii="宋体" w:hAnsi="宋体" w:cs="宋体"/>
          <w:szCs w:val="21"/>
          <w:highlight w:val="none"/>
          <w:u w:val="single"/>
          <w:lang w:bidi="ar"/>
        </w:rPr>
        <w:t>（项目名称：）（项目编号：）</w:t>
      </w:r>
      <w:r>
        <w:rPr>
          <w:rFonts w:hint="eastAsia" w:ascii="宋体" w:hAnsi="宋体" w:cs="宋体"/>
          <w:szCs w:val="21"/>
          <w:highlight w:val="none"/>
          <w:lang w:bidi="ar"/>
        </w:rPr>
        <w:t>采购文件要求，我公司在完全理解采购文件技术要求、商务条款及其他内容的基础上，决定响应该项目的采购活动。并承诺，我公司符合参与政府采购活动资格条件：</w:t>
      </w:r>
    </w:p>
    <w:p w14:paraId="5108B3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（一）具有独立承担民事责任的能力；   </w:t>
      </w:r>
    </w:p>
    <w:p w14:paraId="0567034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（二）具有良好的商业信誉和健全的财务会计制度；   </w:t>
      </w:r>
    </w:p>
    <w:p w14:paraId="28D4D3E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（三）具有履行合同所必需的设备和专业技术能力；   </w:t>
      </w:r>
    </w:p>
    <w:p w14:paraId="1795CA1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（四）有依法缴纳税收和社会保障资金的良好记录；   </w:t>
      </w:r>
    </w:p>
    <w:p w14:paraId="16189AF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（五）参加采购活动前三年内，在经营活动中没有重大违法记录。   </w:t>
      </w:r>
    </w:p>
    <w:p w14:paraId="10ED979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（六）未被列入“信用中国”（www.creditchina.gov.cn）失信被执行人、重大税收违法案件当事人名单；未被列入中国政府采购网（www.ccgp.gov.cn）政府采购严重违法失信行为信息记录名单。</w:t>
      </w:r>
    </w:p>
    <w:p w14:paraId="3C1ECF2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bidi="ar"/>
        </w:rPr>
        <w:t>我公司对上述承诺的真实性负责，如有虚假，我公司同意按我方提供虚假材料谋取中标（成交）处理，并依法承担相应法律责任。</w:t>
      </w:r>
    </w:p>
    <w:p w14:paraId="7FD30478">
      <w:pPr>
        <w:spacing w:line="360" w:lineRule="auto"/>
        <w:ind w:firstLine="448" w:firstLineChars="200"/>
        <w:jc w:val="left"/>
        <w:rPr>
          <w:rFonts w:hint="eastAsia" w:ascii="宋体" w:hAnsi="宋体" w:cs="宋体"/>
          <w:spacing w:val="-8"/>
          <w:sz w:val="24"/>
          <w:highlight w:val="none"/>
        </w:rPr>
      </w:pPr>
    </w:p>
    <w:p w14:paraId="4FFA2E45">
      <w:pPr>
        <w:pStyle w:val="55"/>
        <w:rPr>
          <w:rFonts w:hint="eastAsia" w:ascii="宋体" w:hAnsi="宋体" w:cs="宋体"/>
          <w:sz w:val="24"/>
          <w:szCs w:val="24"/>
          <w:highlight w:val="none"/>
        </w:rPr>
      </w:pPr>
    </w:p>
    <w:p w14:paraId="45A28B24">
      <w:pPr>
        <w:pStyle w:val="55"/>
        <w:rPr>
          <w:rFonts w:hint="eastAsia" w:ascii="宋体" w:hAnsi="宋体" w:cs="宋体"/>
          <w:sz w:val="24"/>
          <w:szCs w:val="24"/>
          <w:highlight w:val="none"/>
        </w:rPr>
      </w:pPr>
    </w:p>
    <w:p w14:paraId="2FE50B89">
      <w:pPr>
        <w:spacing w:line="440" w:lineRule="exact"/>
        <w:ind w:firstLine="4860"/>
        <w:jc w:val="left"/>
        <w:rPr>
          <w:rFonts w:hint="eastAsia" w:ascii="宋体" w:hAnsi="宋体" w:cs="宋体"/>
          <w:b/>
          <w:bCs/>
          <w:szCs w:val="21"/>
          <w:highlight w:val="none"/>
          <w:u w:val="single"/>
        </w:rPr>
      </w:pPr>
      <w:r>
        <w:rPr>
          <w:rFonts w:hint="eastAsia" w:ascii="宋体" w:hAnsi="宋体" w:cs="宋体"/>
          <w:b/>
          <w:bCs/>
          <w:szCs w:val="21"/>
          <w:highlight w:val="none"/>
        </w:rPr>
        <w:t>投标人（盖章）：</w:t>
      </w:r>
    </w:p>
    <w:p w14:paraId="0406B053">
      <w:pPr>
        <w:spacing w:line="440" w:lineRule="exact"/>
        <w:jc w:val="left"/>
        <w:rPr>
          <w:rFonts w:hint="eastAsia" w:ascii="宋体" w:hAnsi="宋体" w:cs="宋体"/>
          <w:b/>
          <w:bCs/>
          <w:szCs w:val="21"/>
          <w:highlight w:val="none"/>
        </w:rPr>
      </w:pPr>
    </w:p>
    <w:p w14:paraId="2F59700F">
      <w:pPr>
        <w:spacing w:line="440" w:lineRule="exact"/>
        <w:ind w:firstLine="4860"/>
        <w:jc w:val="left"/>
        <w:rPr>
          <w:rFonts w:hint="eastAsia" w:ascii="宋体" w:hAnsi="宋体" w:cs="宋体"/>
          <w:b/>
          <w:bCs/>
          <w:szCs w:val="21"/>
          <w:highlight w:val="none"/>
          <w:u w:val="single"/>
        </w:rPr>
      </w:pPr>
      <w:r>
        <w:rPr>
          <w:rFonts w:hint="eastAsia" w:ascii="宋体" w:hAnsi="宋体" w:cs="宋体"/>
          <w:b/>
          <w:bCs/>
          <w:szCs w:val="21"/>
          <w:highlight w:val="none"/>
        </w:rPr>
        <w:t>日   期：    年     月     日</w:t>
      </w:r>
    </w:p>
    <w:p w14:paraId="49E4DFC2">
      <w:pPr>
        <w:jc w:val="left"/>
        <w:rPr>
          <w:rFonts w:hint="eastAsia" w:ascii="宋体" w:hAnsi="宋体" w:cs="宋体"/>
          <w:b/>
          <w:bCs/>
          <w:sz w:val="24"/>
          <w:highlight w:val="none"/>
        </w:rPr>
      </w:pPr>
      <w:r>
        <w:rPr>
          <w:rFonts w:hint="eastAsia" w:ascii="宋体" w:hAnsi="宋体" w:cs="宋体"/>
          <w:b/>
          <w:bCs/>
          <w:sz w:val="24"/>
          <w:highlight w:val="none"/>
        </w:rPr>
        <w:br w:type="page"/>
      </w:r>
      <w:bookmarkStart w:id="187" w:name="_Toc31223"/>
      <w:bookmarkStart w:id="188" w:name="_Toc4651"/>
    </w:p>
    <w:p w14:paraId="6DB245C8">
      <w:pPr>
        <w:autoSpaceDE w:val="0"/>
        <w:autoSpaceDN w:val="0"/>
        <w:adjustRightInd w:val="0"/>
        <w:jc w:val="both"/>
        <w:rPr>
          <w:rFonts w:hint="eastAsia" w:eastAsia="宋体"/>
          <w:b/>
          <w:bCs/>
          <w:color w:val="auto"/>
          <w:kern w:val="0"/>
          <w:sz w:val="32"/>
          <w:szCs w:val="36"/>
          <w:highlight w:val="none"/>
          <w:lang w:eastAsia="zh-CN"/>
        </w:rPr>
      </w:pPr>
      <w:r>
        <w:rPr>
          <w:rFonts w:hint="eastAsia" w:ascii="宋体" w:hAnsi="宋体" w:cs="宋体"/>
          <w:b/>
          <w:bCs/>
          <w:sz w:val="22"/>
          <w:szCs w:val="22"/>
          <w:highlight w:val="none"/>
        </w:rPr>
        <w:t>附件</w:t>
      </w:r>
      <w:r>
        <w:rPr>
          <w:rFonts w:hint="eastAsia" w:ascii="宋体" w:hAnsi="宋体" w:cs="宋体"/>
          <w:b/>
          <w:bCs/>
          <w:sz w:val="22"/>
          <w:szCs w:val="22"/>
          <w:highlight w:val="none"/>
          <w:lang w:val="en-US" w:eastAsia="zh-CN"/>
        </w:rPr>
        <w:t>3</w:t>
      </w:r>
    </w:p>
    <w:p w14:paraId="383EB826">
      <w:pPr>
        <w:autoSpaceDE w:val="0"/>
        <w:autoSpaceDN w:val="0"/>
        <w:adjustRightInd w:val="0"/>
        <w:jc w:val="center"/>
        <w:rPr>
          <w:rFonts w:hint="eastAsia"/>
          <w:b/>
          <w:bCs/>
          <w:color w:val="auto"/>
          <w:kern w:val="0"/>
          <w:sz w:val="32"/>
          <w:szCs w:val="36"/>
          <w:highlight w:val="none"/>
        </w:rPr>
      </w:pPr>
      <w:r>
        <w:rPr>
          <w:rFonts w:hint="eastAsia"/>
          <w:b/>
          <w:bCs/>
          <w:color w:val="auto"/>
          <w:kern w:val="0"/>
          <w:sz w:val="32"/>
          <w:szCs w:val="36"/>
          <w:highlight w:val="none"/>
        </w:rPr>
        <w:t>联合体协议书</w:t>
      </w:r>
    </w:p>
    <w:p w14:paraId="6E418813">
      <w:pPr>
        <w:pStyle w:val="11"/>
        <w:spacing w:line="500" w:lineRule="exact"/>
        <w:jc w:val="center"/>
        <w:rPr>
          <w:rFonts w:hAnsi="宋体" w:cs="宋体"/>
          <w:b/>
          <w:highlight w:val="none"/>
        </w:rPr>
      </w:pPr>
      <w:r>
        <w:rPr>
          <w:rFonts w:hint="eastAsia" w:ascii="新宋体" w:hAnsi="新宋体" w:eastAsia="新宋体"/>
          <w:b/>
          <w:highlight w:val="none"/>
        </w:rPr>
        <w:t>（</w:t>
      </w:r>
      <w:r>
        <w:rPr>
          <w:rFonts w:hint="eastAsia" w:hAnsi="宋体" w:cs="宋体"/>
          <w:b/>
          <w:highlight w:val="none"/>
        </w:rPr>
        <w:t>若为联合体投标则联合体协议书应当由所有联合体成员法定代表人共同签署及盖单位公章）</w:t>
      </w:r>
    </w:p>
    <w:p w14:paraId="5F6FB2EB">
      <w:pPr>
        <w:pStyle w:val="11"/>
        <w:spacing w:line="500" w:lineRule="exact"/>
        <w:rPr>
          <w:rFonts w:hAnsi="宋体" w:cs="宋体"/>
          <w:highlight w:val="none"/>
        </w:rPr>
      </w:pPr>
      <w:r>
        <w:rPr>
          <w:rFonts w:hint="eastAsia" w:hAnsi="宋体" w:cs="宋体"/>
          <w:highlight w:val="none"/>
        </w:rPr>
        <w:t xml:space="preserve">（联合体适用。联合体各方仅应就本协议书的空白处按照联合体各方之间的约定进行填写，联合体协议书格式部分自拟，但至少包含以下内容。） </w:t>
      </w:r>
    </w:p>
    <w:p w14:paraId="03E00B28">
      <w:pPr>
        <w:pStyle w:val="11"/>
        <w:spacing w:line="500" w:lineRule="exact"/>
        <w:rPr>
          <w:rFonts w:hAnsi="宋体" w:cs="宋体"/>
          <w:highlight w:val="none"/>
        </w:rPr>
      </w:pPr>
      <w:r>
        <w:rPr>
          <w:rFonts w:hint="eastAsia" w:hAnsi="宋体" w:cs="宋体"/>
          <w:highlight w:val="none"/>
        </w:rPr>
        <w:t>致</w:t>
      </w:r>
      <w:r>
        <w:rPr>
          <w:rFonts w:hint="eastAsia" w:hAnsi="宋体" w:cs="宋体"/>
          <w:highlight w:val="none"/>
          <w:u w:val="single"/>
        </w:rPr>
        <w:t xml:space="preserve">：  （采购人）   </w:t>
      </w:r>
      <w:r>
        <w:rPr>
          <w:rFonts w:hint="eastAsia" w:hAnsi="宋体" w:cs="宋体"/>
          <w:highlight w:val="none"/>
        </w:rPr>
        <w:t xml:space="preserve">： </w:t>
      </w:r>
    </w:p>
    <w:p w14:paraId="0CEBFCBE">
      <w:pPr>
        <w:pStyle w:val="11"/>
        <w:spacing w:line="500" w:lineRule="exact"/>
        <w:ind w:firstLine="420" w:firstLineChars="200"/>
        <w:rPr>
          <w:rFonts w:hAnsi="宋体" w:cs="宋体"/>
          <w:highlight w:val="none"/>
        </w:rPr>
      </w:pPr>
      <w:r>
        <w:rPr>
          <w:rFonts w:hint="eastAsia" w:hAnsi="宋体" w:cs="宋体"/>
          <w:highlight w:val="none"/>
          <w:u w:val="single"/>
        </w:rPr>
        <w:t xml:space="preserve">    (所有成员单位名称)</w:t>
      </w:r>
      <w:r>
        <w:rPr>
          <w:rFonts w:hint="eastAsia" w:hAnsi="宋体" w:cs="宋体"/>
          <w:highlight w:val="none"/>
        </w:rPr>
        <w:t>自愿组成联合体，共同参加</w:t>
      </w:r>
      <w:r>
        <w:rPr>
          <w:rFonts w:hint="eastAsia" w:hAnsi="宋体" w:cs="宋体"/>
          <w:highlight w:val="none"/>
          <w:u w:val="single"/>
        </w:rPr>
        <w:t xml:space="preserve">        （项目名称）</w:t>
      </w:r>
      <w:r>
        <w:rPr>
          <w:rFonts w:hint="eastAsia" w:hAnsi="宋体" w:cs="宋体"/>
          <w:highlight w:val="none"/>
        </w:rPr>
        <w:t xml:space="preserve">公开投标。现就联合体竞标事宜订立如下协议。 </w:t>
      </w:r>
    </w:p>
    <w:p w14:paraId="7793021F">
      <w:pPr>
        <w:pStyle w:val="11"/>
        <w:spacing w:line="500" w:lineRule="exact"/>
        <w:ind w:firstLine="420" w:firstLineChars="200"/>
        <w:rPr>
          <w:rFonts w:hAnsi="宋体" w:cs="宋体"/>
          <w:highlight w:val="none"/>
        </w:rPr>
      </w:pPr>
      <w:r>
        <w:rPr>
          <w:rFonts w:hint="eastAsia" w:hAnsi="宋体" w:cs="宋体"/>
          <w:highlight w:val="none"/>
        </w:rPr>
        <w:t>1、</w:t>
      </w:r>
      <w:r>
        <w:rPr>
          <w:rFonts w:hint="eastAsia" w:hAnsi="宋体" w:cs="宋体"/>
          <w:highlight w:val="none"/>
          <w:u w:val="single"/>
        </w:rPr>
        <w:t xml:space="preserve">                       (某成员单位名称)</w:t>
      </w:r>
      <w:r>
        <w:rPr>
          <w:rFonts w:hint="eastAsia" w:hAnsi="宋体" w:cs="宋体"/>
          <w:highlight w:val="none"/>
        </w:rPr>
        <w:t xml:space="preserve">为牵头人。 </w:t>
      </w:r>
    </w:p>
    <w:p w14:paraId="4F180837">
      <w:pPr>
        <w:pStyle w:val="11"/>
        <w:spacing w:line="500" w:lineRule="exact"/>
        <w:ind w:firstLine="420" w:firstLineChars="200"/>
        <w:rPr>
          <w:rFonts w:hAnsi="宋体" w:cs="宋体"/>
          <w:highlight w:val="none"/>
        </w:rPr>
      </w:pPr>
      <w:r>
        <w:rPr>
          <w:rFonts w:hint="eastAsia" w:hAnsi="宋体" w:cs="宋体"/>
          <w:highlight w:val="none"/>
        </w:rPr>
        <w:t>2、联合体牵头人合法代表联合体各成员负责</w:t>
      </w:r>
      <w:r>
        <w:rPr>
          <w:rFonts w:hint="eastAsia" w:hAnsi="宋体" w:cs="宋体"/>
          <w:highlight w:val="none"/>
          <w:u w:val="single"/>
        </w:rPr>
        <w:t xml:space="preserve">                  项目</w:t>
      </w:r>
      <w:r>
        <w:rPr>
          <w:rFonts w:hint="eastAsia" w:hAnsi="宋体" w:cs="宋体"/>
          <w:highlight w:val="none"/>
        </w:rPr>
        <w:t xml:space="preserve"> 报名、投标文件编制、递交、报价等活动，代表联合体提交和接收相关的资料、信息及指示，处理与之有关的一切事务，并负责合同采购及实施阶段的主办、组织和协调工作。 </w:t>
      </w:r>
    </w:p>
    <w:p w14:paraId="4850CD08">
      <w:pPr>
        <w:pStyle w:val="11"/>
        <w:spacing w:line="500" w:lineRule="exact"/>
        <w:ind w:firstLine="420" w:firstLineChars="200"/>
        <w:rPr>
          <w:rFonts w:hAnsi="宋体" w:cs="宋体"/>
          <w:highlight w:val="none"/>
        </w:rPr>
      </w:pPr>
      <w:r>
        <w:rPr>
          <w:rFonts w:hint="eastAsia" w:hAnsi="宋体" w:cs="宋体"/>
          <w:highlight w:val="none"/>
        </w:rPr>
        <w:t xml:space="preserve">3、联合体将严格按照招标文件的各项要求，递交投标文件，履行合同，并对此承担连带责任。即如果联合体违约，采购人可以要求联合体的任何一方履行全部合同义务，且各方均不得以其内部协议的约定对抗采购人。 </w:t>
      </w:r>
    </w:p>
    <w:p w14:paraId="4A363D27">
      <w:pPr>
        <w:pStyle w:val="11"/>
        <w:spacing w:line="500" w:lineRule="exact"/>
        <w:ind w:firstLine="420" w:firstLineChars="200"/>
        <w:rPr>
          <w:rFonts w:hAnsi="宋体" w:cs="宋体"/>
          <w:highlight w:val="none"/>
        </w:rPr>
      </w:pPr>
      <w:r>
        <w:rPr>
          <w:rFonts w:hint="eastAsia" w:hAnsi="宋体" w:cs="宋体"/>
          <w:highlight w:val="none"/>
        </w:rPr>
        <w:t xml:space="preserve">4、如中标，应当共同与采购人签订《采购合同》，并向政府方承担连带责任。各自按协议规定承担本项目的任务，必须包括但不限于以下规定： </w:t>
      </w:r>
    </w:p>
    <w:p w14:paraId="272CD86F">
      <w:pPr>
        <w:pStyle w:val="11"/>
        <w:spacing w:line="500" w:lineRule="exact"/>
        <w:ind w:firstLine="420" w:firstLineChars="200"/>
        <w:rPr>
          <w:rFonts w:hAnsi="宋体" w:cs="宋体"/>
          <w:highlight w:val="none"/>
        </w:rPr>
      </w:pPr>
      <w:r>
        <w:rPr>
          <w:rFonts w:hint="eastAsia" w:hAnsi="宋体" w:cs="宋体"/>
          <w:highlight w:val="none"/>
        </w:rPr>
        <w:t xml:space="preserve">（1）联合体各方共同完成合格的采购项目。 </w:t>
      </w:r>
    </w:p>
    <w:p w14:paraId="71780213">
      <w:pPr>
        <w:pStyle w:val="11"/>
        <w:spacing w:line="500" w:lineRule="exact"/>
        <w:ind w:firstLine="420" w:firstLineChars="200"/>
        <w:rPr>
          <w:rFonts w:hAnsi="宋体" w:cs="宋体"/>
          <w:highlight w:val="none"/>
        </w:rPr>
      </w:pPr>
      <w:r>
        <w:rPr>
          <w:rFonts w:hint="eastAsia" w:hAnsi="宋体" w:cs="宋体"/>
          <w:highlight w:val="none"/>
        </w:rPr>
        <w:t>（2）由</w:t>
      </w:r>
      <w:r>
        <w:rPr>
          <w:rFonts w:hint="eastAsia" w:hAnsi="宋体" w:cs="宋体"/>
          <w:highlight w:val="none"/>
          <w:u w:val="single"/>
        </w:rPr>
        <w:t xml:space="preserve">  （某成员单位名称或共同）  </w:t>
      </w:r>
      <w:r>
        <w:rPr>
          <w:rFonts w:hint="eastAsia" w:hAnsi="宋体" w:cs="宋体"/>
          <w:highlight w:val="none"/>
        </w:rPr>
        <w:t xml:space="preserve">承担 </w:t>
      </w:r>
      <w:r>
        <w:rPr>
          <w:rFonts w:hint="eastAsia" w:hAnsi="宋体" w:cs="宋体"/>
          <w:highlight w:val="none"/>
          <w:u w:val="single"/>
        </w:rPr>
        <w:t xml:space="preserve">        （某成员单位名称或共同）  </w:t>
      </w:r>
      <w:r>
        <w:rPr>
          <w:rFonts w:hint="eastAsia" w:hAnsi="宋体" w:cs="宋体"/>
          <w:highlight w:val="none"/>
        </w:rPr>
        <w:t xml:space="preserve">承担；该等责任分担一旦明确，未经采购人事先书面同意不得变更，但此项约定不妨碍采购人要求联合体承担连带责任； </w:t>
      </w:r>
    </w:p>
    <w:p w14:paraId="03F795D9">
      <w:pPr>
        <w:pStyle w:val="11"/>
        <w:spacing w:line="500" w:lineRule="exact"/>
        <w:ind w:firstLine="420" w:firstLineChars="200"/>
        <w:rPr>
          <w:rFonts w:hAnsi="宋体" w:cs="宋体"/>
          <w:highlight w:val="none"/>
        </w:rPr>
      </w:pPr>
      <w:r>
        <w:rPr>
          <w:rFonts w:hint="eastAsia" w:hAnsi="宋体" w:cs="宋体"/>
          <w:highlight w:val="none"/>
        </w:rPr>
        <w:t>（3）按以下要求明确联合体牵头人和各方的工作分工：</w:t>
      </w:r>
      <w:r>
        <w:rPr>
          <w:rFonts w:hint="eastAsia" w:hAnsi="宋体" w:cs="宋体"/>
          <w:highlight w:val="none"/>
          <w:u w:val="single"/>
        </w:rPr>
        <w:t xml:space="preserve">    (牵头人名称)</w:t>
      </w:r>
      <w:r>
        <w:rPr>
          <w:rFonts w:hint="eastAsia" w:hAnsi="宋体" w:cs="宋体"/>
          <w:highlight w:val="none"/>
        </w:rPr>
        <w:t>主要工作分工是</w:t>
      </w:r>
      <w:r>
        <w:rPr>
          <w:rFonts w:hint="eastAsia" w:hAnsi="宋体" w:cs="宋体"/>
          <w:highlight w:val="none"/>
          <w:u w:val="single"/>
        </w:rPr>
        <w:t xml:space="preserve">  </w:t>
      </w:r>
      <w:r>
        <w:rPr>
          <w:rFonts w:hint="eastAsia" w:hAnsi="宋体" w:cs="宋体"/>
          <w:highlight w:val="none"/>
          <w:u w:val="single"/>
          <w:lang w:val="en-US" w:eastAsia="zh-CN"/>
        </w:rPr>
        <w:t xml:space="preserve">    </w:t>
      </w:r>
      <w:r>
        <w:rPr>
          <w:rFonts w:hint="eastAsia" w:hAnsi="宋体" w:cs="宋体"/>
          <w:highlight w:val="none"/>
          <w:u w:val="single"/>
        </w:rPr>
        <w:t xml:space="preserve"> </w:t>
      </w:r>
      <w:r>
        <w:rPr>
          <w:rFonts w:hint="eastAsia" w:hAnsi="宋体" w:cs="宋体"/>
          <w:highlight w:val="none"/>
        </w:rPr>
        <w:t>；</w:t>
      </w:r>
      <w:r>
        <w:rPr>
          <w:rFonts w:hint="eastAsia" w:hAnsi="宋体" w:cs="宋体"/>
          <w:highlight w:val="none"/>
          <w:u w:val="single"/>
        </w:rPr>
        <w:t>(成员名称)</w:t>
      </w:r>
      <w:r>
        <w:rPr>
          <w:rFonts w:hint="eastAsia" w:hAnsi="宋体" w:cs="宋体"/>
          <w:highlight w:val="none"/>
        </w:rPr>
        <w:t xml:space="preserve">主要工作分工是 </w:t>
      </w:r>
      <w:r>
        <w:rPr>
          <w:rFonts w:hint="eastAsia" w:hAnsi="宋体" w:cs="宋体"/>
          <w:highlight w:val="none"/>
          <w:u w:val="single"/>
        </w:rPr>
        <w:t xml:space="preserve">  </w:t>
      </w:r>
      <w:r>
        <w:rPr>
          <w:rFonts w:hint="eastAsia" w:hAnsi="宋体" w:cs="宋体"/>
          <w:highlight w:val="none"/>
          <w:u w:val="single"/>
          <w:lang w:val="en-US" w:eastAsia="zh-CN"/>
        </w:rPr>
        <w:t xml:space="preserve">     </w:t>
      </w:r>
      <w:r>
        <w:rPr>
          <w:rFonts w:hint="eastAsia" w:hAnsi="宋体" w:cs="宋体"/>
          <w:highlight w:val="none"/>
          <w:u w:val="single"/>
        </w:rPr>
        <w:t xml:space="preserve">  </w:t>
      </w:r>
      <w:r>
        <w:rPr>
          <w:rFonts w:hint="eastAsia" w:hAnsi="宋体" w:cs="宋体"/>
          <w:highlight w:val="none"/>
        </w:rPr>
        <w:t xml:space="preserve"> 。 </w:t>
      </w:r>
    </w:p>
    <w:p w14:paraId="5AC1BB15">
      <w:pPr>
        <w:pStyle w:val="11"/>
        <w:spacing w:line="500" w:lineRule="exact"/>
        <w:ind w:firstLine="420" w:firstLineChars="200"/>
        <w:rPr>
          <w:rFonts w:hAnsi="宋体" w:cs="宋体"/>
          <w:highlight w:val="none"/>
        </w:rPr>
      </w:pPr>
      <w:r>
        <w:rPr>
          <w:rFonts w:hint="eastAsia" w:hAnsi="宋体" w:cs="宋体"/>
          <w:highlight w:val="none"/>
        </w:rPr>
        <w:t xml:space="preserve">5、联合体各方根据联合体协议的约定履行各自的权利和义务，对招标人依法承担连带责任。即如果联合体违约，招标人可以要求联合体的任何一方履行全部合同义务，且各方均不得以其内部协议的约定对抗招标人。 </w:t>
      </w:r>
    </w:p>
    <w:p w14:paraId="166DBBC9">
      <w:pPr>
        <w:pStyle w:val="11"/>
        <w:spacing w:line="500" w:lineRule="exact"/>
        <w:ind w:firstLine="420" w:firstLineChars="200"/>
        <w:rPr>
          <w:rFonts w:hAnsi="宋体" w:cs="宋体"/>
          <w:highlight w:val="none"/>
        </w:rPr>
      </w:pPr>
      <w:r>
        <w:rPr>
          <w:rFonts w:hint="eastAsia" w:hAnsi="宋体" w:cs="宋体"/>
          <w:highlight w:val="none"/>
        </w:rPr>
        <w:t xml:space="preserve">6、若联合体各方因自身原因在项目进行过程中产生的纠纷，由联合体各方协商解决，采购人对此不承担任何责任。由此造成采购人损失的，联合体各方应承担相应的连带责任。 </w:t>
      </w:r>
    </w:p>
    <w:p w14:paraId="244B9A44">
      <w:pPr>
        <w:pStyle w:val="11"/>
        <w:spacing w:line="500" w:lineRule="exact"/>
        <w:ind w:firstLine="420" w:firstLineChars="200"/>
        <w:rPr>
          <w:rFonts w:hAnsi="宋体" w:cs="宋体"/>
          <w:highlight w:val="none"/>
        </w:rPr>
      </w:pPr>
      <w:r>
        <w:rPr>
          <w:rFonts w:hint="eastAsia" w:hAnsi="宋体" w:cs="宋体"/>
          <w:highlight w:val="none"/>
        </w:rPr>
        <w:t xml:space="preserve">7、本协议书自签署之日起生效。 </w:t>
      </w:r>
    </w:p>
    <w:p w14:paraId="4D1A1FCA">
      <w:pPr>
        <w:pStyle w:val="11"/>
        <w:spacing w:line="500" w:lineRule="exact"/>
        <w:ind w:firstLine="420" w:firstLineChars="200"/>
        <w:rPr>
          <w:rFonts w:hAnsi="宋体" w:cs="宋体"/>
          <w:highlight w:val="none"/>
        </w:rPr>
      </w:pPr>
      <w:r>
        <w:rPr>
          <w:rFonts w:hint="eastAsia" w:hAnsi="宋体" w:cs="宋体"/>
          <w:highlight w:val="none"/>
        </w:rPr>
        <w:t>8、本协议书一式</w:t>
      </w:r>
      <w:r>
        <w:rPr>
          <w:rFonts w:hint="eastAsia" w:hAnsi="宋体" w:cs="宋体"/>
          <w:highlight w:val="none"/>
          <w:lang w:eastAsia="zh-CN"/>
        </w:rPr>
        <w:t>三</w:t>
      </w:r>
      <w:r>
        <w:rPr>
          <w:rFonts w:hint="eastAsia" w:hAnsi="宋体" w:cs="宋体"/>
          <w:highlight w:val="none"/>
        </w:rPr>
        <w:t xml:space="preserve">份，联合体成员各执一份，递交投标文件时提交一份。 </w:t>
      </w:r>
    </w:p>
    <w:p w14:paraId="152E9A28">
      <w:pPr>
        <w:pStyle w:val="11"/>
        <w:spacing w:line="500" w:lineRule="exact"/>
        <w:ind w:firstLine="422" w:firstLineChars="200"/>
        <w:rPr>
          <w:rFonts w:hAnsi="宋体" w:cs="宋体"/>
          <w:b/>
          <w:bCs/>
          <w:highlight w:val="none"/>
        </w:rPr>
      </w:pPr>
      <w:r>
        <w:rPr>
          <w:rFonts w:hint="eastAsia" w:hAnsi="宋体" w:cs="宋体"/>
          <w:b/>
          <w:bCs/>
          <w:highlight w:val="none"/>
        </w:rPr>
        <w:t>牵头人名称(公章)：</w:t>
      </w:r>
    </w:p>
    <w:p w14:paraId="4CB3D82F">
      <w:pPr>
        <w:pStyle w:val="11"/>
        <w:spacing w:line="500" w:lineRule="exact"/>
        <w:ind w:firstLine="422" w:firstLineChars="200"/>
        <w:rPr>
          <w:rFonts w:hAnsi="宋体" w:cs="宋体"/>
          <w:b/>
          <w:bCs/>
          <w:highlight w:val="none"/>
        </w:rPr>
      </w:pPr>
      <w:r>
        <w:rPr>
          <w:rFonts w:hint="eastAsia" w:hAnsi="宋体" w:cs="宋体"/>
          <w:b/>
          <w:bCs/>
          <w:highlight w:val="none"/>
        </w:rPr>
        <w:t>法定代表人(签字或印章)：</w:t>
      </w:r>
    </w:p>
    <w:p w14:paraId="1A6ACF8A">
      <w:pPr>
        <w:pStyle w:val="11"/>
        <w:spacing w:line="500" w:lineRule="exact"/>
        <w:ind w:firstLine="422" w:firstLineChars="200"/>
        <w:rPr>
          <w:rFonts w:hAnsi="宋体" w:cs="宋体"/>
          <w:b/>
          <w:bCs/>
          <w:highlight w:val="none"/>
        </w:rPr>
      </w:pPr>
    </w:p>
    <w:p w14:paraId="4F127EC1">
      <w:pPr>
        <w:pStyle w:val="11"/>
        <w:spacing w:line="500" w:lineRule="exact"/>
        <w:ind w:firstLine="422" w:firstLineChars="200"/>
        <w:rPr>
          <w:rFonts w:hAnsi="宋体" w:cs="宋体"/>
          <w:b/>
          <w:bCs/>
          <w:highlight w:val="none"/>
        </w:rPr>
      </w:pPr>
      <w:r>
        <w:rPr>
          <w:rFonts w:hint="eastAsia" w:hAnsi="宋体" w:cs="宋体"/>
          <w:b/>
          <w:bCs/>
          <w:highlight w:val="none"/>
        </w:rPr>
        <w:t>成员名称(公章)：</w:t>
      </w:r>
    </w:p>
    <w:p w14:paraId="2B31FF05">
      <w:pPr>
        <w:pStyle w:val="11"/>
        <w:spacing w:line="500" w:lineRule="exact"/>
        <w:ind w:firstLine="422" w:firstLineChars="200"/>
        <w:rPr>
          <w:rFonts w:hint="eastAsia" w:hAnsi="宋体" w:cs="宋体"/>
          <w:b/>
          <w:bCs/>
          <w:highlight w:val="none"/>
        </w:rPr>
      </w:pPr>
      <w:r>
        <w:rPr>
          <w:rFonts w:hint="eastAsia" w:hAnsi="宋体" w:cs="宋体"/>
          <w:b/>
          <w:bCs/>
          <w:highlight w:val="none"/>
        </w:rPr>
        <w:t>法定代表人(签字或印章)：</w:t>
      </w:r>
    </w:p>
    <w:p w14:paraId="3201320A">
      <w:pPr>
        <w:rPr>
          <w:highlight w:val="none"/>
        </w:rPr>
      </w:pPr>
    </w:p>
    <w:p w14:paraId="3ECFB6EA">
      <w:pPr>
        <w:adjustRightInd w:val="0"/>
        <w:snapToGrid w:val="0"/>
        <w:spacing w:line="360" w:lineRule="auto"/>
        <w:ind w:firstLine="422" w:firstLineChars="200"/>
        <w:rPr>
          <w:rFonts w:ascii="宋体" w:hAnsi="宋体"/>
          <w:color w:val="auto"/>
          <w:sz w:val="24"/>
          <w:highlight w:val="none"/>
        </w:rPr>
      </w:pPr>
      <w:r>
        <w:rPr>
          <w:rFonts w:hint="eastAsia" w:ascii="宋体" w:hAnsi="宋体" w:cs="宋体"/>
          <w:b/>
          <w:bCs/>
          <w:szCs w:val="21"/>
          <w:highlight w:val="none"/>
        </w:rPr>
        <w:t>日 期：  年  月  日</w:t>
      </w:r>
    </w:p>
    <w:p w14:paraId="1F1AF6EE">
      <w:pPr>
        <w:jc w:val="left"/>
        <w:rPr>
          <w:rFonts w:hint="eastAsia" w:ascii="宋体" w:hAnsi="宋体" w:cs="宋体"/>
          <w:b/>
          <w:bCs/>
          <w:sz w:val="24"/>
          <w:highlight w:val="none"/>
        </w:rPr>
      </w:pPr>
    </w:p>
    <w:p w14:paraId="3BA76D2F">
      <w:pPr>
        <w:rPr>
          <w:rFonts w:hint="eastAsia" w:ascii="宋体" w:hAnsi="宋体" w:cs="宋体"/>
          <w:b/>
          <w:bCs/>
          <w:sz w:val="22"/>
          <w:szCs w:val="22"/>
          <w:highlight w:val="none"/>
        </w:rPr>
      </w:pPr>
      <w:r>
        <w:rPr>
          <w:rFonts w:hint="eastAsia" w:ascii="宋体" w:hAnsi="宋体" w:cs="宋体"/>
          <w:b/>
          <w:bCs/>
          <w:sz w:val="22"/>
          <w:szCs w:val="22"/>
          <w:highlight w:val="none"/>
        </w:rPr>
        <w:br w:type="page"/>
      </w:r>
    </w:p>
    <w:p w14:paraId="249FFA87">
      <w:pPr>
        <w:spacing w:line="460" w:lineRule="exact"/>
        <w:jc w:val="left"/>
        <w:outlineLvl w:val="0"/>
        <w:rPr>
          <w:rFonts w:hint="eastAsia" w:ascii="宋体" w:hAnsi="宋体" w:eastAsia="宋体" w:cs="宋体"/>
          <w:b/>
          <w:bCs/>
          <w:sz w:val="22"/>
          <w:szCs w:val="22"/>
          <w:highlight w:val="none"/>
          <w:lang w:eastAsia="zh-CN"/>
        </w:rPr>
      </w:pPr>
      <w:r>
        <w:rPr>
          <w:rFonts w:hint="eastAsia" w:ascii="宋体" w:hAnsi="宋体" w:cs="宋体"/>
          <w:b/>
          <w:bCs/>
          <w:sz w:val="22"/>
          <w:szCs w:val="22"/>
          <w:highlight w:val="none"/>
        </w:rPr>
        <w:t>附件</w:t>
      </w:r>
      <w:bookmarkEnd w:id="187"/>
      <w:bookmarkEnd w:id="188"/>
      <w:r>
        <w:rPr>
          <w:rFonts w:hint="eastAsia" w:ascii="宋体" w:hAnsi="宋体" w:cs="宋体"/>
          <w:b/>
          <w:bCs/>
          <w:sz w:val="22"/>
          <w:szCs w:val="22"/>
          <w:highlight w:val="none"/>
          <w:lang w:val="en-US" w:eastAsia="zh-CN"/>
        </w:rPr>
        <w:t>4</w:t>
      </w:r>
    </w:p>
    <w:p w14:paraId="10842947">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供应商自评表</w:t>
      </w:r>
    </w:p>
    <w:tbl>
      <w:tblPr>
        <w:tblStyle w:val="25"/>
        <w:tblW w:w="0" w:type="auto"/>
        <w:tblInd w:w="0" w:type="dxa"/>
        <w:tblLayout w:type="fixed"/>
        <w:tblCellMar>
          <w:top w:w="15" w:type="dxa"/>
          <w:left w:w="15" w:type="dxa"/>
          <w:bottom w:w="15" w:type="dxa"/>
          <w:right w:w="15" w:type="dxa"/>
        </w:tblCellMar>
      </w:tblPr>
      <w:tblGrid>
        <w:gridCol w:w="1276"/>
        <w:gridCol w:w="4057"/>
        <w:gridCol w:w="933"/>
        <w:gridCol w:w="1117"/>
        <w:gridCol w:w="1448"/>
        <w:gridCol w:w="1434"/>
      </w:tblGrid>
      <w:tr w14:paraId="65385EED">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14:paraId="67CE7C64">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5D62E4E1">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52C52EBC">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20D2001F">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自评</w:t>
            </w:r>
          </w:p>
          <w:p w14:paraId="2D586822">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38ADAB4A">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评分</w:t>
            </w:r>
          </w:p>
          <w:p w14:paraId="5B96AF41">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0D7B51D8">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评分对</w:t>
            </w:r>
          </w:p>
          <w:p w14:paraId="77C00CE5">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szCs w:val="21"/>
                <w:highlight w:val="none"/>
              </w:rPr>
              <w:t>应页码</w:t>
            </w:r>
          </w:p>
        </w:tc>
      </w:tr>
      <w:tr w14:paraId="1DF21A86">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14:paraId="572906A1">
            <w:pPr>
              <w:widowControl/>
              <w:spacing w:line="360" w:lineRule="auto"/>
              <w:jc w:val="center"/>
              <w:textAlignment w:val="center"/>
              <w:rPr>
                <w:rFonts w:hint="eastAsia" w:ascii="宋体" w:hAnsi="宋体" w:cs="宋体"/>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6498F30">
            <w:pPr>
              <w:widowControl/>
              <w:spacing w:line="360" w:lineRule="auto"/>
              <w:jc w:val="left"/>
              <w:textAlignment w:val="center"/>
              <w:rPr>
                <w:rFonts w:hint="eastAsia" w:ascii="宋体" w:hAnsi="宋体"/>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120AFA4">
            <w:pPr>
              <w:widowControl/>
              <w:spacing w:line="360" w:lineRule="auto"/>
              <w:jc w:val="center"/>
              <w:rPr>
                <w:rFonts w:hint="eastAsia" w:ascii="宋体" w:hAnsi="宋体" w:cs="宋体"/>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559E6254">
            <w:pPr>
              <w:widowControl/>
              <w:spacing w:line="360" w:lineRule="auto"/>
              <w:jc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62E9666">
            <w:pPr>
              <w:widowControl/>
              <w:spacing w:line="360" w:lineRule="auto"/>
              <w:jc w:val="center"/>
              <w:rPr>
                <w:rFonts w:hint="eastAsia" w:ascii="宋体" w:hAnsi="宋体" w:cs="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E7871D8">
            <w:pPr>
              <w:widowControl/>
              <w:spacing w:line="360" w:lineRule="auto"/>
              <w:jc w:val="center"/>
              <w:rPr>
                <w:rFonts w:hint="eastAsia" w:ascii="宋体" w:hAnsi="宋体" w:cs="宋体"/>
                <w:szCs w:val="21"/>
                <w:highlight w:val="none"/>
              </w:rPr>
            </w:pPr>
          </w:p>
        </w:tc>
      </w:tr>
      <w:tr w14:paraId="09AAFBBE">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14:paraId="15DB4F14">
            <w:pPr>
              <w:widowControl/>
              <w:spacing w:line="360" w:lineRule="auto"/>
              <w:jc w:val="center"/>
              <w:textAlignment w:val="center"/>
              <w:rPr>
                <w:rFonts w:hint="eastAsia" w:ascii="宋体" w:hAnsi="宋体" w:cs="宋体"/>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0BFB46F9">
            <w:pPr>
              <w:widowControl/>
              <w:spacing w:line="360" w:lineRule="auto"/>
              <w:jc w:val="left"/>
              <w:textAlignment w:val="center"/>
              <w:rPr>
                <w:rFonts w:hint="eastAsia"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1D3141CF">
            <w:pPr>
              <w:widowControl/>
              <w:spacing w:line="360" w:lineRule="auto"/>
              <w:jc w:val="center"/>
              <w:textAlignment w:val="center"/>
              <w:rPr>
                <w:rFonts w:hint="eastAsia" w:ascii="宋体" w:hAnsi="宋体" w:cs="宋体"/>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15698DE1">
            <w:pPr>
              <w:widowControl/>
              <w:spacing w:line="360" w:lineRule="auto"/>
              <w:jc w:val="center"/>
              <w:textAlignment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D9DCE59">
            <w:pPr>
              <w:widowControl/>
              <w:spacing w:line="360" w:lineRule="auto"/>
              <w:jc w:val="center"/>
              <w:textAlignment w:val="center"/>
              <w:rPr>
                <w:rFonts w:hint="eastAsia" w:ascii="宋体" w:hAnsi="宋体" w:cs="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B1443F8">
            <w:pPr>
              <w:widowControl/>
              <w:spacing w:line="360" w:lineRule="auto"/>
              <w:jc w:val="center"/>
              <w:textAlignment w:val="center"/>
              <w:rPr>
                <w:rFonts w:hint="eastAsia" w:ascii="宋体" w:hAnsi="宋体" w:cs="宋体"/>
                <w:szCs w:val="21"/>
                <w:highlight w:val="none"/>
              </w:rPr>
            </w:pPr>
          </w:p>
        </w:tc>
      </w:tr>
      <w:tr w14:paraId="6E4DC09C">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14:paraId="6D55B2FE">
            <w:pPr>
              <w:widowControl/>
              <w:spacing w:line="360" w:lineRule="auto"/>
              <w:jc w:val="center"/>
              <w:rPr>
                <w:rFonts w:hint="eastAsia" w:ascii="宋体" w:hAnsi="宋体"/>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736CB117">
            <w:pPr>
              <w:widowControl/>
              <w:spacing w:line="360" w:lineRule="auto"/>
              <w:rPr>
                <w:rFonts w:hint="eastAsia" w:ascii="宋体" w:hAnsi="宋体"/>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0E903DC3">
            <w:pPr>
              <w:widowControl/>
              <w:spacing w:line="360" w:lineRule="auto"/>
              <w:jc w:val="center"/>
              <w:textAlignment w:val="center"/>
              <w:rPr>
                <w:rFonts w:hint="eastAsia" w:ascii="宋体" w:hAnsi="宋体" w:cs="宋体"/>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0A6B27D8">
            <w:pPr>
              <w:widowControl/>
              <w:spacing w:line="360" w:lineRule="auto"/>
              <w:jc w:val="center"/>
              <w:textAlignment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3237DD61">
            <w:pPr>
              <w:widowControl/>
              <w:spacing w:line="360" w:lineRule="auto"/>
              <w:jc w:val="center"/>
              <w:textAlignment w:val="center"/>
              <w:rPr>
                <w:rFonts w:hint="eastAsia" w:ascii="宋体" w:hAnsi="宋体" w:cs="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052B455">
            <w:pPr>
              <w:widowControl/>
              <w:spacing w:line="360" w:lineRule="auto"/>
              <w:jc w:val="center"/>
              <w:textAlignment w:val="center"/>
              <w:rPr>
                <w:rFonts w:hint="eastAsia" w:ascii="宋体" w:hAnsi="宋体" w:cs="宋体"/>
                <w:szCs w:val="21"/>
                <w:highlight w:val="none"/>
              </w:rPr>
            </w:pPr>
          </w:p>
        </w:tc>
      </w:tr>
      <w:tr w14:paraId="0448E750">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14:paraId="7CAB646A">
            <w:pPr>
              <w:widowControl/>
              <w:spacing w:line="360" w:lineRule="auto"/>
              <w:jc w:val="center"/>
              <w:rPr>
                <w:rFonts w:hint="eastAsia" w:ascii="宋体" w:hAnsi="宋体"/>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4B52142C">
            <w:pPr>
              <w:widowControl/>
              <w:spacing w:line="380" w:lineRule="exact"/>
              <w:jc w:val="left"/>
              <w:rPr>
                <w:rFonts w:hint="eastAsia" w:ascii="宋体" w:hAnsi="宋体"/>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17C21060">
            <w:pPr>
              <w:widowControl/>
              <w:spacing w:line="360" w:lineRule="auto"/>
              <w:jc w:val="center"/>
              <w:textAlignment w:val="center"/>
              <w:rPr>
                <w:rFonts w:hint="eastAsia" w:ascii="宋体" w:hAnsi="宋体" w:cs="宋体"/>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55D7F6BE">
            <w:pPr>
              <w:widowControl/>
              <w:spacing w:line="360" w:lineRule="auto"/>
              <w:jc w:val="center"/>
              <w:textAlignment w:val="center"/>
              <w:rPr>
                <w:rFonts w:hint="eastAsia"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04665D0">
            <w:pPr>
              <w:widowControl/>
              <w:spacing w:line="360" w:lineRule="auto"/>
              <w:jc w:val="center"/>
              <w:textAlignment w:val="center"/>
              <w:rPr>
                <w:rFonts w:hint="eastAsia" w:ascii="宋体" w:hAnsi="宋体" w:cs="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A1E45C1">
            <w:pPr>
              <w:widowControl/>
              <w:spacing w:line="360" w:lineRule="auto"/>
              <w:jc w:val="center"/>
              <w:textAlignment w:val="center"/>
              <w:rPr>
                <w:rFonts w:hint="eastAsia" w:ascii="宋体" w:hAnsi="宋体" w:cs="宋体"/>
                <w:szCs w:val="21"/>
                <w:highlight w:val="none"/>
              </w:rPr>
            </w:pPr>
          </w:p>
        </w:tc>
      </w:tr>
    </w:tbl>
    <w:p w14:paraId="745B0236">
      <w:pPr>
        <w:spacing w:line="440" w:lineRule="exact"/>
        <w:rPr>
          <w:rFonts w:hint="eastAsia" w:ascii="宋体" w:hAnsi="宋体" w:cs="宋体"/>
          <w:b/>
          <w:bCs/>
          <w:szCs w:val="21"/>
          <w:highlight w:val="none"/>
        </w:rPr>
      </w:pPr>
      <w:r>
        <w:rPr>
          <w:rFonts w:hint="eastAsia" w:ascii="宋体" w:hAnsi="宋体" w:cs="宋体"/>
          <w:b/>
          <w:bCs/>
          <w:szCs w:val="21"/>
          <w:highlight w:val="none"/>
        </w:rPr>
        <w:t>注：评审项目、评分标准、分值对应“第五章  评标原则及方法”商务技术分评审内容。</w:t>
      </w:r>
    </w:p>
    <w:p w14:paraId="12CCE99B">
      <w:pPr>
        <w:spacing w:line="440" w:lineRule="exact"/>
        <w:ind w:firstLine="4860"/>
        <w:rPr>
          <w:rFonts w:hint="eastAsia" w:ascii="宋体" w:hAnsi="宋体" w:cs="宋体"/>
          <w:b/>
          <w:bCs/>
          <w:szCs w:val="21"/>
          <w:highlight w:val="none"/>
        </w:rPr>
      </w:pPr>
    </w:p>
    <w:p w14:paraId="403DC13B">
      <w:pPr>
        <w:spacing w:line="440" w:lineRule="exact"/>
        <w:ind w:firstLine="4860"/>
        <w:rPr>
          <w:rFonts w:hint="eastAsia" w:ascii="宋体" w:hAnsi="宋体" w:cs="宋体"/>
          <w:b/>
          <w:bCs/>
          <w:szCs w:val="21"/>
          <w:highlight w:val="none"/>
        </w:rPr>
      </w:pPr>
    </w:p>
    <w:p w14:paraId="1E3FDBC7">
      <w:pPr>
        <w:spacing w:line="440" w:lineRule="exact"/>
        <w:ind w:firstLine="4860"/>
        <w:rPr>
          <w:rFonts w:hint="eastAsia" w:ascii="宋体" w:hAnsi="宋体" w:cs="宋体"/>
          <w:b/>
          <w:bCs/>
          <w:szCs w:val="21"/>
          <w:highlight w:val="none"/>
          <w:u w:val="single"/>
        </w:rPr>
      </w:pPr>
      <w:r>
        <w:rPr>
          <w:rFonts w:hint="eastAsia" w:ascii="宋体" w:hAnsi="宋体" w:cs="宋体"/>
          <w:b/>
          <w:bCs/>
          <w:szCs w:val="21"/>
          <w:highlight w:val="none"/>
        </w:rPr>
        <w:t>投标人（盖章）：</w:t>
      </w:r>
    </w:p>
    <w:p w14:paraId="729F1712">
      <w:pPr>
        <w:spacing w:line="440" w:lineRule="exact"/>
        <w:ind w:firstLine="4860"/>
        <w:rPr>
          <w:rFonts w:hint="eastAsia" w:ascii="宋体" w:hAnsi="宋体" w:cs="宋体"/>
          <w:b/>
          <w:bCs/>
          <w:szCs w:val="21"/>
          <w:highlight w:val="none"/>
        </w:rPr>
      </w:pPr>
    </w:p>
    <w:p w14:paraId="5BB4449E">
      <w:pPr>
        <w:spacing w:line="440" w:lineRule="exact"/>
        <w:ind w:firstLine="4860"/>
        <w:rPr>
          <w:rFonts w:hint="eastAsia" w:ascii="宋体" w:hAnsi="宋体" w:cs="宋体"/>
          <w:b/>
          <w:bCs/>
          <w:szCs w:val="21"/>
          <w:highlight w:val="none"/>
          <w:u w:val="single"/>
        </w:rPr>
      </w:pPr>
      <w:r>
        <w:rPr>
          <w:rFonts w:hint="eastAsia" w:ascii="宋体" w:hAnsi="宋体" w:cs="宋体"/>
          <w:b/>
          <w:bCs/>
          <w:szCs w:val="21"/>
          <w:highlight w:val="none"/>
        </w:rPr>
        <w:t>日 期：  年  月  日</w:t>
      </w:r>
    </w:p>
    <w:p w14:paraId="2E747E94">
      <w:pPr>
        <w:spacing w:line="360" w:lineRule="auto"/>
        <w:ind w:firstLine="482" w:firstLineChars="200"/>
        <w:jc w:val="left"/>
        <w:outlineLvl w:val="0"/>
        <w:rPr>
          <w:rFonts w:hint="eastAsia" w:ascii="宋体" w:hAnsi="宋体" w:eastAsia="宋体"/>
          <w:b/>
          <w:bCs/>
          <w:sz w:val="22"/>
          <w:szCs w:val="22"/>
          <w:highlight w:val="none"/>
          <w:lang w:eastAsia="zh-CN"/>
        </w:rPr>
      </w:pPr>
      <w:r>
        <w:rPr>
          <w:rFonts w:hint="eastAsia" w:ascii="宋体" w:hAnsi="宋体" w:cs="宋体"/>
          <w:b/>
          <w:bCs/>
          <w:sz w:val="24"/>
          <w:highlight w:val="none"/>
        </w:rPr>
        <w:br w:type="page"/>
      </w:r>
      <w:bookmarkStart w:id="189" w:name="_Toc18174"/>
      <w:bookmarkStart w:id="190" w:name="_Toc10674"/>
      <w:r>
        <w:rPr>
          <w:rFonts w:hint="eastAsia" w:ascii="宋体" w:hAnsi="宋体"/>
          <w:b/>
          <w:bCs/>
          <w:sz w:val="22"/>
          <w:szCs w:val="22"/>
          <w:highlight w:val="none"/>
        </w:rPr>
        <w:t>附件</w:t>
      </w:r>
      <w:bookmarkEnd w:id="189"/>
      <w:bookmarkEnd w:id="190"/>
      <w:r>
        <w:rPr>
          <w:rFonts w:hint="eastAsia" w:ascii="宋体" w:hAnsi="宋体"/>
          <w:b/>
          <w:bCs/>
          <w:sz w:val="22"/>
          <w:szCs w:val="22"/>
          <w:highlight w:val="none"/>
          <w:lang w:val="en-US" w:eastAsia="zh-CN"/>
        </w:rPr>
        <w:t>5</w:t>
      </w:r>
    </w:p>
    <w:p w14:paraId="7136C4AE">
      <w:pPr>
        <w:widowControl/>
        <w:spacing w:line="420" w:lineRule="atLeast"/>
        <w:jc w:val="center"/>
        <w:rPr>
          <w:rFonts w:hint="eastAsia" w:ascii="宋体" w:hAnsi="宋体"/>
          <w:b/>
          <w:bCs/>
          <w:kern w:val="0"/>
          <w:sz w:val="30"/>
          <w:szCs w:val="30"/>
          <w:highlight w:val="none"/>
        </w:rPr>
      </w:pPr>
      <w:r>
        <w:rPr>
          <w:rFonts w:hint="eastAsia" w:ascii="宋体" w:hAnsi="宋体"/>
          <w:b/>
          <w:bCs/>
          <w:kern w:val="0"/>
          <w:sz w:val="30"/>
          <w:szCs w:val="30"/>
          <w:highlight w:val="none"/>
        </w:rPr>
        <w:t>投标声明书</w:t>
      </w:r>
    </w:p>
    <w:p w14:paraId="599A4B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常山县城市项目建设中心</w:t>
      </w:r>
      <w:r>
        <w:rPr>
          <w:rFonts w:hint="eastAsia" w:ascii="宋体" w:hAnsi="宋体" w:cs="宋体"/>
          <w:szCs w:val="21"/>
          <w:highlight w:val="none"/>
        </w:rPr>
        <w:t>：</w:t>
      </w:r>
    </w:p>
    <w:p w14:paraId="5DA7C0BE">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根据贵方为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（项目编号：）</w:t>
      </w:r>
      <w:r>
        <w:rPr>
          <w:rFonts w:hint="eastAsia" w:ascii="宋体" w:hAnsi="宋体" w:cs="宋体"/>
          <w:szCs w:val="21"/>
          <w:highlight w:val="none"/>
        </w:rPr>
        <w:t>的采购文件，我方</w:t>
      </w:r>
      <w:r>
        <w:rPr>
          <w:rFonts w:hint="eastAsia" w:ascii="宋体" w:hAnsi="宋体" w:cs="宋体"/>
          <w:szCs w:val="21"/>
          <w:highlight w:val="none"/>
          <w:u w:val="single"/>
        </w:rPr>
        <w:t xml:space="preserve">           　　</w:t>
      </w:r>
      <w:r>
        <w:rPr>
          <w:rFonts w:hint="eastAsia" w:ascii="宋体" w:hAnsi="宋体" w:cs="宋体"/>
          <w:szCs w:val="21"/>
          <w:highlight w:val="none"/>
        </w:rPr>
        <w:t>（投标人名称）作为投标人正式授权</w:t>
      </w:r>
      <w:r>
        <w:rPr>
          <w:rFonts w:hint="eastAsia" w:ascii="宋体" w:hAnsi="宋体" w:cs="宋体"/>
          <w:szCs w:val="21"/>
          <w:highlight w:val="none"/>
          <w:u w:val="single"/>
        </w:rPr>
        <w:t>　           （</w:t>
      </w:r>
      <w:r>
        <w:rPr>
          <w:rFonts w:hint="eastAsia" w:ascii="宋体" w:hAnsi="宋体" w:cs="宋体"/>
          <w:szCs w:val="21"/>
          <w:highlight w:val="none"/>
        </w:rPr>
        <w:t>授权代表全名，职务）代表我方处理有关本投标的一切事宜。</w:t>
      </w:r>
    </w:p>
    <w:p w14:paraId="74401D85">
      <w:pPr>
        <w:pStyle w:val="5"/>
        <w:spacing w:line="440" w:lineRule="exact"/>
        <w:ind w:firstLine="440"/>
        <w:rPr>
          <w:rFonts w:hint="eastAsia" w:ascii="宋体" w:hAnsi="宋体" w:cs="宋体"/>
          <w:szCs w:val="21"/>
          <w:highlight w:val="none"/>
        </w:rPr>
      </w:pPr>
      <w:r>
        <w:rPr>
          <w:rFonts w:hint="eastAsia" w:ascii="宋体" w:hAnsi="宋体" w:cs="宋体"/>
          <w:szCs w:val="21"/>
          <w:highlight w:val="none"/>
        </w:rPr>
        <w:t>在此</w:t>
      </w:r>
      <w:r>
        <w:rPr>
          <w:rFonts w:ascii="宋体" w:hAnsi="宋体"/>
          <w:spacing w:val="-3"/>
          <w:highlight w:val="none"/>
        </w:rPr>
        <w:t>提</w:t>
      </w:r>
      <w:r>
        <w:rPr>
          <w:rFonts w:ascii="宋体" w:hAnsi="宋体"/>
          <w:highlight w:val="none"/>
        </w:rPr>
        <w:t>供</w:t>
      </w:r>
      <w:r>
        <w:rPr>
          <w:rFonts w:ascii="宋体" w:hAnsi="宋体"/>
          <w:spacing w:val="-3"/>
          <w:highlight w:val="none"/>
        </w:rPr>
        <w:t>投</w:t>
      </w:r>
      <w:r>
        <w:rPr>
          <w:rFonts w:ascii="宋体" w:hAnsi="宋体"/>
          <w:highlight w:val="none"/>
        </w:rPr>
        <w:t>标</w:t>
      </w:r>
      <w:r>
        <w:rPr>
          <w:rFonts w:ascii="宋体" w:hAnsi="宋体"/>
          <w:spacing w:val="-3"/>
          <w:highlight w:val="none"/>
        </w:rPr>
        <w:t>人</w:t>
      </w:r>
      <w:r>
        <w:rPr>
          <w:rFonts w:ascii="宋体" w:hAnsi="宋体"/>
          <w:highlight w:val="none"/>
        </w:rPr>
        <w:t>须知规</w:t>
      </w:r>
      <w:r>
        <w:rPr>
          <w:rFonts w:ascii="宋体" w:hAnsi="宋体"/>
          <w:spacing w:val="-3"/>
          <w:highlight w:val="none"/>
        </w:rPr>
        <w:t>定的</w:t>
      </w:r>
      <w:r>
        <w:rPr>
          <w:rFonts w:ascii="宋体" w:hAnsi="宋体"/>
          <w:highlight w:val="none"/>
        </w:rPr>
        <w:t>全部</w:t>
      </w:r>
      <w:r>
        <w:rPr>
          <w:rFonts w:ascii="宋体" w:hAnsi="宋体"/>
          <w:spacing w:val="-3"/>
          <w:highlight w:val="none"/>
        </w:rPr>
        <w:t>投</w:t>
      </w:r>
      <w:r>
        <w:rPr>
          <w:rFonts w:ascii="宋体" w:hAnsi="宋体"/>
          <w:highlight w:val="none"/>
        </w:rPr>
        <w:t>标</w:t>
      </w:r>
      <w:r>
        <w:rPr>
          <w:rFonts w:ascii="宋体" w:hAnsi="宋体"/>
          <w:spacing w:val="-3"/>
          <w:highlight w:val="none"/>
        </w:rPr>
        <w:t>文</w:t>
      </w:r>
      <w:r>
        <w:rPr>
          <w:rFonts w:ascii="宋体" w:hAnsi="宋体"/>
          <w:highlight w:val="none"/>
        </w:rPr>
        <w:t>件。</w:t>
      </w:r>
    </w:p>
    <w:p w14:paraId="3E91AE1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我方己完全明白采购文件的所有条款要求，并重申以下几点：</w:t>
      </w:r>
    </w:p>
    <w:p w14:paraId="1366669E">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一）投标人已详细审查全部“采购文件”，包括修改、澄清文件（如有的话）以及全部参考资料和有关附件，已经了解我方对于采购文件、采购过程、采购结果有依法进行询问、质疑、投诉的权利及相关渠道和要求。</w:t>
      </w:r>
    </w:p>
    <w:p w14:paraId="7EECEC48">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（二）投标人在投标之前已经与贵方进行了充分的沟通，完全理解并接受采购文件的各项规定和要求，对采购文件的合理性、合法性不再有异议。</w:t>
      </w:r>
    </w:p>
    <w:p w14:paraId="0C6E4884">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（三）本投标有效期自开标日起90日。</w:t>
      </w:r>
    </w:p>
    <w:p w14:paraId="20B8EBF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（四）如中标，本投标文件至本项目合同履行完毕止均保持有效，本投标人将按“采购文件”及政府采购法律、法规的规定履行合同责任和义务。</w:t>
      </w:r>
    </w:p>
    <w:p w14:paraId="3E07871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（五）投标人同意按照贵方要求提供与投标有关的一切数据或资料。</w:t>
      </w:r>
    </w:p>
    <w:p w14:paraId="5BDC41A9">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（六）我方向贵方提交的所有投标文件、资料都是准确的和真实的。</w:t>
      </w:r>
    </w:p>
    <w:p w14:paraId="16896034">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（七）我方不是采购人的附属机构；在获知本项目采购信息后，与采购人聘请的为此项目提供咨询服务的公司及其附属机构没有任何联系。</w:t>
      </w:r>
    </w:p>
    <w:p w14:paraId="60804F40">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（八）以上事项如有虚假或隐瞒，我方愿意承担一切后果，并不再寻求任何旨在减轻或免除法律责任的辩解。</w:t>
      </w:r>
    </w:p>
    <w:p w14:paraId="7F171AD1">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（九）本投标有关的一切正式往来信函请寄：</w:t>
      </w:r>
    </w:p>
    <w:p w14:paraId="352A563B">
      <w:pPr>
        <w:spacing w:line="440" w:lineRule="exact"/>
        <w:ind w:firstLine="435"/>
        <w:rPr>
          <w:rFonts w:hint="eastAsia" w:ascii="宋体" w:hAnsi="宋体" w:cs="宋体"/>
          <w:szCs w:val="21"/>
          <w:highlight w:val="none"/>
        </w:rPr>
      </w:pPr>
      <w:r>
        <w:rPr>
          <w:rFonts w:hint="eastAsia" w:ascii="宋体" w:hAnsi="宋体" w:cs="宋体"/>
          <w:szCs w:val="21"/>
          <w:highlight w:val="none"/>
        </w:rPr>
        <w:t xml:space="preserve">   地址</w:t>
      </w:r>
    </w:p>
    <w:p w14:paraId="3B706AEC">
      <w:pPr>
        <w:spacing w:line="440" w:lineRule="exact"/>
        <w:ind w:firstLine="435"/>
        <w:rPr>
          <w:rFonts w:hint="eastAsia" w:ascii="宋体" w:hAnsi="宋体" w:cs="宋体"/>
          <w:szCs w:val="21"/>
          <w:highlight w:val="none"/>
        </w:rPr>
      </w:pPr>
      <w:r>
        <w:rPr>
          <w:rFonts w:hint="eastAsia" w:ascii="宋体" w:hAnsi="宋体" w:cs="宋体"/>
          <w:szCs w:val="21"/>
          <w:highlight w:val="none"/>
        </w:rPr>
        <w:t xml:space="preserve">   电话</w:t>
      </w:r>
    </w:p>
    <w:p w14:paraId="3EE05BA8">
      <w:pPr>
        <w:spacing w:line="440" w:lineRule="exact"/>
        <w:ind w:firstLine="435"/>
        <w:rPr>
          <w:rFonts w:hint="eastAsia" w:ascii="宋体" w:hAnsi="宋体" w:cs="宋体"/>
          <w:szCs w:val="21"/>
          <w:highlight w:val="none"/>
        </w:rPr>
      </w:pPr>
      <w:r>
        <w:rPr>
          <w:rFonts w:hint="eastAsia" w:ascii="宋体" w:hAnsi="宋体" w:cs="宋体"/>
          <w:szCs w:val="21"/>
          <w:highlight w:val="none"/>
        </w:rPr>
        <w:t xml:space="preserve">   传真</w:t>
      </w:r>
    </w:p>
    <w:p w14:paraId="403F9FF7">
      <w:pPr>
        <w:spacing w:line="440" w:lineRule="exact"/>
        <w:ind w:firstLine="735" w:firstLineChars="350"/>
        <w:rPr>
          <w:rFonts w:hint="eastAsia" w:ascii="宋体" w:hAnsi="宋体" w:cs="宋体"/>
          <w:szCs w:val="21"/>
          <w:highlight w:val="none"/>
        </w:rPr>
      </w:pPr>
      <w:r>
        <w:rPr>
          <w:rFonts w:hint="eastAsia" w:ascii="宋体" w:hAnsi="宋体" w:cs="宋体"/>
          <w:szCs w:val="21"/>
          <w:highlight w:val="none"/>
        </w:rPr>
        <w:t>电子邮件</w:t>
      </w:r>
    </w:p>
    <w:p w14:paraId="240D758F">
      <w:pPr>
        <w:spacing w:line="360" w:lineRule="auto"/>
        <w:ind w:firstLine="435"/>
        <w:rPr>
          <w:rFonts w:hint="eastAsia" w:ascii="宋体" w:hAnsi="宋体" w:cs="宋体"/>
          <w:szCs w:val="21"/>
          <w:highlight w:val="none"/>
        </w:rPr>
      </w:pPr>
    </w:p>
    <w:p w14:paraId="44AFDC52">
      <w:pPr>
        <w:spacing w:line="440" w:lineRule="exact"/>
        <w:ind w:firstLine="4860"/>
        <w:rPr>
          <w:rFonts w:hint="eastAsia" w:ascii="宋体" w:hAnsi="宋体" w:cs="宋体"/>
          <w:b/>
          <w:bCs/>
          <w:szCs w:val="21"/>
          <w:highlight w:val="none"/>
          <w:u w:val="single"/>
        </w:rPr>
      </w:pPr>
      <w:r>
        <w:rPr>
          <w:rFonts w:hint="eastAsia" w:ascii="宋体" w:hAnsi="宋体" w:cs="宋体"/>
          <w:b/>
          <w:bCs/>
          <w:szCs w:val="21"/>
          <w:highlight w:val="none"/>
        </w:rPr>
        <w:t>投标人（盖章）：</w:t>
      </w:r>
    </w:p>
    <w:p w14:paraId="4E0453CA">
      <w:pPr>
        <w:spacing w:line="440" w:lineRule="exact"/>
        <w:ind w:firstLine="4860"/>
        <w:rPr>
          <w:rFonts w:hint="eastAsia" w:ascii="宋体" w:hAnsi="宋体" w:cs="宋体"/>
          <w:b/>
          <w:bCs/>
          <w:szCs w:val="21"/>
          <w:highlight w:val="none"/>
          <w:u w:val="single"/>
        </w:rPr>
      </w:pPr>
      <w:r>
        <w:rPr>
          <w:rFonts w:hint="eastAsia" w:ascii="宋体" w:hAnsi="宋体" w:cs="宋体"/>
          <w:b/>
          <w:bCs/>
          <w:szCs w:val="21"/>
          <w:highlight w:val="none"/>
        </w:rPr>
        <w:t>日 期：  年  月  日</w:t>
      </w:r>
    </w:p>
    <w:p w14:paraId="06288A42">
      <w:pPr>
        <w:spacing w:line="460" w:lineRule="exact"/>
        <w:ind w:firstLine="435"/>
        <w:rPr>
          <w:rFonts w:hint="eastAsia" w:ascii="宋体" w:hAnsi="宋体"/>
          <w:b/>
          <w:bCs/>
          <w:sz w:val="22"/>
          <w:szCs w:val="22"/>
          <w:highlight w:val="none"/>
          <w:u w:val="single"/>
        </w:rPr>
      </w:pPr>
    </w:p>
    <w:p w14:paraId="33DAAD9A">
      <w:pPr>
        <w:spacing w:line="460" w:lineRule="exact"/>
        <w:outlineLvl w:val="0"/>
        <w:rPr>
          <w:rFonts w:hint="eastAsia" w:ascii="宋体" w:hAnsi="宋体" w:eastAsia="宋体"/>
          <w:b/>
          <w:bCs/>
          <w:sz w:val="22"/>
          <w:szCs w:val="22"/>
          <w:highlight w:val="none"/>
          <w:lang w:eastAsia="zh-CN"/>
        </w:rPr>
      </w:pPr>
      <w:r>
        <w:rPr>
          <w:rFonts w:hint="eastAsia" w:ascii="宋体" w:hAnsi="宋体"/>
          <w:b/>
          <w:bCs/>
          <w:sz w:val="22"/>
          <w:szCs w:val="22"/>
          <w:highlight w:val="none"/>
        </w:rPr>
        <w:br w:type="page"/>
      </w:r>
      <w:bookmarkStart w:id="191" w:name="_Toc31084"/>
      <w:bookmarkStart w:id="192" w:name="_Toc1390"/>
      <w:r>
        <w:rPr>
          <w:rFonts w:hint="eastAsia" w:ascii="宋体" w:hAnsi="宋体"/>
          <w:b/>
          <w:bCs/>
          <w:sz w:val="22"/>
          <w:szCs w:val="22"/>
          <w:highlight w:val="none"/>
        </w:rPr>
        <w:t>附件</w:t>
      </w:r>
      <w:bookmarkEnd w:id="191"/>
      <w:bookmarkEnd w:id="192"/>
      <w:r>
        <w:rPr>
          <w:rFonts w:hint="eastAsia" w:ascii="宋体" w:hAnsi="宋体"/>
          <w:b/>
          <w:bCs/>
          <w:sz w:val="22"/>
          <w:szCs w:val="22"/>
          <w:highlight w:val="none"/>
          <w:lang w:val="en-US" w:eastAsia="zh-CN"/>
        </w:rPr>
        <w:t>6</w:t>
      </w:r>
    </w:p>
    <w:p w14:paraId="6817F1EF">
      <w:pPr>
        <w:widowControl/>
        <w:spacing w:line="420" w:lineRule="atLeast"/>
        <w:jc w:val="center"/>
        <w:rPr>
          <w:rFonts w:hint="eastAsia" w:ascii="宋体" w:hAnsi="宋体"/>
          <w:b/>
          <w:bCs/>
          <w:kern w:val="0"/>
          <w:sz w:val="30"/>
          <w:szCs w:val="30"/>
          <w:highlight w:val="none"/>
        </w:rPr>
      </w:pPr>
      <w:r>
        <w:rPr>
          <w:rFonts w:hint="eastAsia" w:ascii="宋体" w:hAnsi="宋体"/>
          <w:b/>
          <w:bCs/>
          <w:kern w:val="0"/>
          <w:sz w:val="30"/>
          <w:szCs w:val="30"/>
          <w:highlight w:val="none"/>
        </w:rPr>
        <w:t>投标人基本情况表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39107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DBC4FEB">
            <w:pPr>
              <w:spacing w:line="320" w:lineRule="exact"/>
              <w:jc w:val="center"/>
              <w:rPr>
                <w:rFonts w:hint="eastAsia" w:ascii="宋体" w:hAnsi="宋体"/>
                <w:bCs/>
                <w:szCs w:val="21"/>
                <w:highlight w:val="none"/>
              </w:rPr>
            </w:pPr>
            <w:r>
              <w:rPr>
                <w:rFonts w:hint="eastAsia" w:ascii="宋体" w:hAnsi="宋体"/>
                <w:bCs/>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723EDE10">
            <w:pPr>
              <w:spacing w:line="240" w:lineRule="exact"/>
              <w:rPr>
                <w:rFonts w:hint="eastAsia" w:ascii="宋体" w:hAnsi="宋体"/>
                <w:szCs w:val="21"/>
                <w:highlight w:val="none"/>
              </w:rPr>
            </w:pPr>
          </w:p>
        </w:tc>
      </w:tr>
      <w:tr w14:paraId="31A4D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4ECACF8">
            <w:pPr>
              <w:spacing w:line="320" w:lineRule="exact"/>
              <w:ind w:left="-38" w:leftChars="-51" w:right="-107" w:rightChars="-51" w:hanging="69" w:hangingChars="33"/>
              <w:jc w:val="center"/>
              <w:rPr>
                <w:rFonts w:hint="eastAsia" w:ascii="宋体" w:hAnsi="宋体"/>
                <w:bCs/>
                <w:szCs w:val="21"/>
                <w:highlight w:val="none"/>
              </w:rPr>
            </w:pPr>
            <w:r>
              <w:rPr>
                <w:rFonts w:hint="eastAsia" w:ascii="宋体" w:hAnsi="宋体"/>
                <w:bCs/>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7A8BB156">
            <w:pPr>
              <w:spacing w:line="240" w:lineRule="exact"/>
              <w:jc w:val="center"/>
              <w:rPr>
                <w:rFonts w:hint="eastAsia" w:ascii="宋体" w:hAnsi="宋体"/>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037856B2">
            <w:pPr>
              <w:spacing w:line="320" w:lineRule="exact"/>
              <w:ind w:left="-38" w:leftChars="-51" w:right="-107" w:rightChars="-51" w:hanging="69" w:hangingChars="33"/>
              <w:jc w:val="center"/>
              <w:rPr>
                <w:rFonts w:hint="eastAsia" w:ascii="宋体" w:hAnsi="宋体"/>
                <w:bCs/>
                <w:szCs w:val="21"/>
                <w:highlight w:val="none"/>
              </w:rPr>
            </w:pPr>
            <w:r>
              <w:rPr>
                <w:rFonts w:hint="eastAsia" w:ascii="宋体" w:hAnsi="宋体"/>
                <w:bCs/>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74EA639D">
            <w:pPr>
              <w:spacing w:line="240" w:lineRule="exact"/>
              <w:jc w:val="center"/>
              <w:rPr>
                <w:rFonts w:hint="eastAsia" w:ascii="宋体" w:hAnsi="宋体"/>
                <w:bCs/>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504BA6C7">
            <w:pPr>
              <w:spacing w:line="320" w:lineRule="exact"/>
              <w:jc w:val="center"/>
              <w:rPr>
                <w:rFonts w:hint="eastAsia" w:ascii="宋体" w:hAnsi="宋体"/>
                <w:bCs/>
                <w:szCs w:val="21"/>
                <w:highlight w:val="none"/>
              </w:rPr>
            </w:pPr>
            <w:r>
              <w:rPr>
                <w:rFonts w:hint="eastAsia" w:ascii="宋体" w:hAnsi="宋体"/>
                <w:bCs/>
                <w:szCs w:val="21"/>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066A7AE">
            <w:pPr>
              <w:spacing w:line="240" w:lineRule="exact"/>
              <w:rPr>
                <w:rFonts w:hint="eastAsia" w:ascii="宋体" w:hAnsi="宋体"/>
                <w:bCs/>
                <w:szCs w:val="21"/>
                <w:highlight w:val="none"/>
              </w:rPr>
            </w:pPr>
          </w:p>
        </w:tc>
      </w:tr>
      <w:tr w14:paraId="1CFF7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9171A4F">
            <w:pPr>
              <w:spacing w:line="320" w:lineRule="exact"/>
              <w:jc w:val="center"/>
              <w:rPr>
                <w:rFonts w:hint="eastAsia" w:ascii="宋体" w:hAnsi="宋体"/>
                <w:bCs/>
                <w:szCs w:val="21"/>
                <w:highlight w:val="none"/>
              </w:rPr>
            </w:pPr>
            <w:r>
              <w:rPr>
                <w:rFonts w:hint="eastAsia" w:ascii="宋体" w:hAnsi="宋体"/>
                <w:bCs/>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21A6EAE2">
            <w:pPr>
              <w:spacing w:line="240" w:lineRule="exact"/>
              <w:jc w:val="center"/>
              <w:rPr>
                <w:rFonts w:hint="eastAsia" w:ascii="宋体" w:hAnsi="宋体"/>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5260FEEA">
            <w:pPr>
              <w:spacing w:line="320" w:lineRule="exact"/>
              <w:jc w:val="center"/>
              <w:rPr>
                <w:rFonts w:hint="eastAsia" w:ascii="宋体" w:hAnsi="宋体"/>
                <w:bCs/>
                <w:szCs w:val="21"/>
                <w:highlight w:val="none"/>
              </w:rPr>
            </w:pPr>
            <w:r>
              <w:rPr>
                <w:rFonts w:hint="eastAsia" w:ascii="宋体" w:hAnsi="宋体"/>
                <w:bCs/>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F708E65">
            <w:pPr>
              <w:spacing w:line="240" w:lineRule="exact"/>
              <w:ind w:right="-89"/>
              <w:jc w:val="center"/>
              <w:rPr>
                <w:rFonts w:hint="eastAsia" w:ascii="宋体" w:hAnsi="宋体"/>
                <w:bCs/>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D4CD438">
            <w:pPr>
              <w:spacing w:line="320" w:lineRule="exact"/>
              <w:ind w:left="-38" w:leftChars="-51" w:hanging="69" w:hangingChars="33"/>
              <w:jc w:val="center"/>
              <w:rPr>
                <w:rFonts w:hint="eastAsia" w:ascii="宋体" w:hAnsi="宋体"/>
                <w:bCs/>
                <w:szCs w:val="21"/>
                <w:highlight w:val="none"/>
              </w:rPr>
            </w:pPr>
            <w:r>
              <w:rPr>
                <w:rFonts w:hint="eastAsia" w:ascii="宋体" w:hAnsi="宋体"/>
                <w:bCs/>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C358186">
            <w:pPr>
              <w:spacing w:line="320" w:lineRule="exact"/>
              <w:rPr>
                <w:rFonts w:hint="eastAsia" w:ascii="宋体" w:hAnsi="宋体"/>
                <w:bCs/>
                <w:szCs w:val="21"/>
                <w:highlight w:val="none"/>
              </w:rPr>
            </w:pPr>
            <w:r>
              <w:rPr>
                <w:rFonts w:hint="eastAsia" w:ascii="宋体" w:hAnsi="宋体"/>
                <w:bCs/>
                <w:szCs w:val="21"/>
                <w:highlight w:val="none"/>
              </w:rPr>
              <w:t>万元</w:t>
            </w:r>
          </w:p>
        </w:tc>
      </w:tr>
      <w:tr w14:paraId="63306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3BB5E99">
            <w:pPr>
              <w:spacing w:line="320" w:lineRule="exact"/>
              <w:jc w:val="center"/>
              <w:rPr>
                <w:rFonts w:hint="eastAsia" w:ascii="宋体" w:hAnsi="宋体"/>
                <w:bCs/>
                <w:szCs w:val="21"/>
                <w:highlight w:val="none"/>
              </w:rPr>
            </w:pPr>
            <w:r>
              <w:rPr>
                <w:rFonts w:hint="eastAsia" w:ascii="宋体" w:hAnsi="宋体"/>
                <w:bCs/>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3366A196">
            <w:pPr>
              <w:spacing w:line="240" w:lineRule="exact"/>
              <w:jc w:val="center"/>
              <w:rPr>
                <w:rFonts w:hint="eastAsia" w:ascii="宋体" w:hAnsi="宋体"/>
                <w:bCs/>
                <w:szCs w:val="21"/>
                <w:highlight w:val="none"/>
              </w:rPr>
            </w:pPr>
          </w:p>
        </w:tc>
      </w:tr>
      <w:tr w14:paraId="1AD01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620A58CD">
            <w:pPr>
              <w:spacing w:line="320" w:lineRule="exact"/>
              <w:jc w:val="center"/>
              <w:rPr>
                <w:rFonts w:hint="eastAsia" w:ascii="宋体" w:hAnsi="宋体"/>
                <w:szCs w:val="21"/>
                <w:highlight w:val="none"/>
              </w:rPr>
            </w:pPr>
            <w:r>
              <w:rPr>
                <w:rFonts w:hint="eastAsia" w:ascii="宋体" w:hAnsi="宋体"/>
                <w:szCs w:val="21"/>
                <w:highlight w:val="none"/>
              </w:rPr>
              <w:t>所获资质</w:t>
            </w:r>
          </w:p>
          <w:p w14:paraId="7962715C">
            <w:pPr>
              <w:spacing w:line="320" w:lineRule="exact"/>
              <w:jc w:val="center"/>
              <w:rPr>
                <w:rFonts w:hint="eastAsia" w:ascii="宋体" w:hAnsi="宋体"/>
                <w:szCs w:val="21"/>
                <w:highlight w:val="none"/>
              </w:rPr>
            </w:pPr>
            <w:r>
              <w:rPr>
                <w:rFonts w:hint="eastAsia" w:ascii="宋体" w:hAnsi="宋体"/>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530ABAE3">
            <w:pPr>
              <w:spacing w:line="320" w:lineRule="exact"/>
              <w:jc w:val="center"/>
              <w:rPr>
                <w:rFonts w:hint="eastAsia" w:ascii="宋体" w:hAnsi="宋体"/>
                <w:bCs/>
                <w:szCs w:val="21"/>
                <w:highlight w:val="none"/>
              </w:rPr>
            </w:pPr>
            <w:r>
              <w:rPr>
                <w:rFonts w:hint="eastAsia" w:ascii="宋体" w:hAnsi="宋体"/>
                <w:bCs/>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A35D85">
            <w:pPr>
              <w:widowControl/>
              <w:spacing w:line="320" w:lineRule="exact"/>
              <w:jc w:val="center"/>
              <w:rPr>
                <w:rFonts w:hint="eastAsia" w:ascii="宋体" w:hAnsi="宋体"/>
                <w:bCs/>
                <w:szCs w:val="21"/>
                <w:highlight w:val="none"/>
              </w:rPr>
            </w:pPr>
            <w:r>
              <w:rPr>
                <w:rFonts w:hint="eastAsia" w:ascii="宋体" w:hAnsi="宋体"/>
                <w:bCs/>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20F953">
            <w:pPr>
              <w:widowControl/>
              <w:spacing w:line="320" w:lineRule="exact"/>
              <w:jc w:val="center"/>
              <w:rPr>
                <w:rFonts w:hint="eastAsia" w:ascii="宋体" w:hAnsi="宋体"/>
                <w:bCs/>
                <w:szCs w:val="21"/>
                <w:highlight w:val="none"/>
              </w:rPr>
            </w:pPr>
            <w:r>
              <w:rPr>
                <w:rFonts w:hint="eastAsia" w:ascii="宋体" w:hAnsi="宋体"/>
                <w:bCs/>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29688A90">
            <w:pPr>
              <w:widowControl/>
              <w:spacing w:line="320" w:lineRule="exact"/>
              <w:jc w:val="center"/>
              <w:rPr>
                <w:rFonts w:hint="eastAsia" w:ascii="宋体" w:hAnsi="宋体"/>
                <w:bCs/>
                <w:szCs w:val="21"/>
                <w:highlight w:val="none"/>
              </w:rPr>
            </w:pPr>
            <w:r>
              <w:rPr>
                <w:rFonts w:hint="eastAsia" w:ascii="宋体" w:hAnsi="宋体"/>
                <w:bCs/>
                <w:szCs w:val="21"/>
                <w:highlight w:val="none"/>
              </w:rPr>
              <w:t>有效期</w:t>
            </w:r>
          </w:p>
        </w:tc>
      </w:tr>
      <w:tr w14:paraId="2B768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381D9BF">
            <w:pPr>
              <w:spacing w:line="240" w:lineRule="exact"/>
              <w:jc w:val="center"/>
              <w:rPr>
                <w:rFonts w:hint="eastAsia"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BC4502E">
            <w:pPr>
              <w:spacing w:line="240" w:lineRule="exact"/>
              <w:rPr>
                <w:rFonts w:hint="eastAsia"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1235183">
            <w:pPr>
              <w:spacing w:line="240" w:lineRule="exact"/>
              <w:rPr>
                <w:rFonts w:hint="eastAsia"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10C9B0A">
            <w:pPr>
              <w:spacing w:line="240" w:lineRule="exact"/>
              <w:rPr>
                <w:rFonts w:hint="eastAsia"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0CD1EAB">
            <w:pPr>
              <w:spacing w:line="240" w:lineRule="exact"/>
              <w:rPr>
                <w:rFonts w:hint="eastAsia" w:ascii="宋体" w:hAnsi="宋体"/>
                <w:szCs w:val="21"/>
                <w:highlight w:val="none"/>
                <w:u w:val="single"/>
              </w:rPr>
            </w:pPr>
          </w:p>
        </w:tc>
      </w:tr>
      <w:tr w14:paraId="5727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2116304">
            <w:pPr>
              <w:spacing w:line="240" w:lineRule="exact"/>
              <w:jc w:val="center"/>
              <w:rPr>
                <w:rFonts w:hint="eastAsia"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8E1E136">
            <w:pPr>
              <w:spacing w:line="240" w:lineRule="exact"/>
              <w:rPr>
                <w:rFonts w:hint="eastAsia"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B45D39B">
            <w:pPr>
              <w:spacing w:line="240" w:lineRule="exact"/>
              <w:rPr>
                <w:rFonts w:hint="eastAsia"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C3D2AC0">
            <w:pPr>
              <w:spacing w:line="240" w:lineRule="exact"/>
              <w:rPr>
                <w:rFonts w:hint="eastAsia"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51519D7">
            <w:pPr>
              <w:spacing w:line="240" w:lineRule="exact"/>
              <w:rPr>
                <w:rFonts w:hint="eastAsia" w:ascii="宋体" w:hAnsi="宋体"/>
                <w:szCs w:val="21"/>
                <w:highlight w:val="none"/>
                <w:u w:val="single"/>
              </w:rPr>
            </w:pPr>
          </w:p>
        </w:tc>
      </w:tr>
      <w:tr w14:paraId="031F1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8FA633A">
            <w:pPr>
              <w:spacing w:line="240" w:lineRule="exact"/>
              <w:jc w:val="center"/>
              <w:rPr>
                <w:rFonts w:hint="eastAsia"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2E4C6FD">
            <w:pPr>
              <w:spacing w:line="240" w:lineRule="exact"/>
              <w:rPr>
                <w:rFonts w:hint="eastAsia"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E699BF9">
            <w:pPr>
              <w:spacing w:line="240" w:lineRule="exact"/>
              <w:rPr>
                <w:rFonts w:hint="eastAsia"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D2A47C">
            <w:pPr>
              <w:spacing w:line="240" w:lineRule="exact"/>
              <w:rPr>
                <w:rFonts w:hint="eastAsia"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060975E">
            <w:pPr>
              <w:spacing w:line="240" w:lineRule="exact"/>
              <w:rPr>
                <w:rFonts w:hint="eastAsia" w:ascii="宋体" w:hAnsi="宋体"/>
                <w:szCs w:val="21"/>
                <w:highlight w:val="none"/>
                <w:u w:val="single"/>
              </w:rPr>
            </w:pPr>
          </w:p>
        </w:tc>
      </w:tr>
      <w:tr w14:paraId="3F94B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919D820">
            <w:pPr>
              <w:spacing w:line="240" w:lineRule="exact"/>
              <w:jc w:val="center"/>
              <w:rPr>
                <w:rFonts w:hint="eastAsia"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71C23FB">
            <w:pPr>
              <w:spacing w:line="240" w:lineRule="exact"/>
              <w:rPr>
                <w:rFonts w:hint="eastAsia"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06F3147">
            <w:pPr>
              <w:spacing w:line="240" w:lineRule="exact"/>
              <w:rPr>
                <w:rFonts w:hint="eastAsia"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6DDF31B">
            <w:pPr>
              <w:spacing w:line="240" w:lineRule="exact"/>
              <w:rPr>
                <w:rFonts w:hint="eastAsia"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6040DDF">
            <w:pPr>
              <w:spacing w:line="240" w:lineRule="exact"/>
              <w:rPr>
                <w:rFonts w:hint="eastAsia" w:ascii="宋体" w:hAnsi="宋体"/>
                <w:szCs w:val="21"/>
                <w:highlight w:val="none"/>
                <w:u w:val="single"/>
              </w:rPr>
            </w:pPr>
          </w:p>
        </w:tc>
      </w:tr>
      <w:tr w14:paraId="1D704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41558052">
            <w:pPr>
              <w:spacing w:line="320" w:lineRule="exact"/>
              <w:jc w:val="center"/>
              <w:rPr>
                <w:rFonts w:hint="eastAsia" w:ascii="宋体" w:hAnsi="宋体"/>
                <w:szCs w:val="21"/>
                <w:highlight w:val="none"/>
              </w:rPr>
            </w:pPr>
            <w:r>
              <w:rPr>
                <w:rFonts w:hint="eastAsia" w:ascii="宋体" w:hAnsi="宋体"/>
                <w:bCs/>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D5085C1">
            <w:pPr>
              <w:spacing w:line="320" w:lineRule="exact"/>
              <w:jc w:val="center"/>
              <w:rPr>
                <w:rFonts w:hint="eastAsia" w:ascii="宋体" w:hAnsi="宋体"/>
                <w:bCs/>
                <w:szCs w:val="21"/>
                <w:highlight w:val="none"/>
              </w:rPr>
            </w:pPr>
            <w:r>
              <w:rPr>
                <w:rFonts w:hint="eastAsia" w:ascii="宋体" w:hAnsi="宋体"/>
                <w:bCs/>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E82227B">
            <w:pPr>
              <w:widowControl/>
              <w:spacing w:line="320" w:lineRule="exact"/>
              <w:jc w:val="center"/>
              <w:rPr>
                <w:rFonts w:hint="eastAsia" w:ascii="宋体" w:hAnsi="宋体"/>
                <w:bCs/>
                <w:szCs w:val="21"/>
                <w:highlight w:val="none"/>
              </w:rPr>
            </w:pPr>
            <w:r>
              <w:rPr>
                <w:rFonts w:hint="eastAsia" w:ascii="宋体" w:hAnsi="宋体"/>
                <w:bCs/>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37A21A6">
            <w:pPr>
              <w:widowControl/>
              <w:spacing w:line="320" w:lineRule="exact"/>
              <w:jc w:val="center"/>
              <w:rPr>
                <w:rFonts w:hint="eastAsia" w:ascii="宋体" w:hAnsi="宋体"/>
                <w:bCs/>
                <w:szCs w:val="21"/>
                <w:highlight w:val="none"/>
              </w:rPr>
            </w:pPr>
            <w:r>
              <w:rPr>
                <w:rFonts w:hint="eastAsia" w:ascii="宋体" w:hAnsi="宋体"/>
                <w:bCs/>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480BC55B">
            <w:pPr>
              <w:widowControl/>
              <w:spacing w:line="320" w:lineRule="exact"/>
              <w:jc w:val="center"/>
              <w:rPr>
                <w:rFonts w:hint="eastAsia" w:ascii="宋体" w:hAnsi="宋体"/>
                <w:bCs/>
                <w:szCs w:val="21"/>
                <w:highlight w:val="none"/>
              </w:rPr>
            </w:pPr>
            <w:r>
              <w:rPr>
                <w:rFonts w:hint="eastAsia" w:ascii="宋体" w:hAnsi="宋体"/>
                <w:bCs/>
                <w:szCs w:val="21"/>
                <w:highlight w:val="none"/>
              </w:rPr>
              <w:t>有效期</w:t>
            </w:r>
          </w:p>
        </w:tc>
      </w:tr>
      <w:tr w14:paraId="21C55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0AAD6CB">
            <w:pPr>
              <w:spacing w:line="240" w:lineRule="exact"/>
              <w:jc w:val="center"/>
              <w:rPr>
                <w:rFonts w:hint="eastAsia"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5F19603">
            <w:pPr>
              <w:spacing w:line="240" w:lineRule="exact"/>
              <w:rPr>
                <w:rFonts w:hint="eastAsia"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FA1F0A0">
            <w:pPr>
              <w:spacing w:line="240" w:lineRule="exact"/>
              <w:rPr>
                <w:rFonts w:hint="eastAsia"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9E3BF45">
            <w:pPr>
              <w:spacing w:line="240" w:lineRule="exact"/>
              <w:rPr>
                <w:rFonts w:hint="eastAsia"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E178D80">
            <w:pPr>
              <w:spacing w:line="240" w:lineRule="exact"/>
              <w:rPr>
                <w:rFonts w:hint="eastAsia" w:ascii="宋体" w:hAnsi="宋体"/>
                <w:szCs w:val="21"/>
                <w:highlight w:val="none"/>
                <w:u w:val="single"/>
              </w:rPr>
            </w:pPr>
          </w:p>
        </w:tc>
      </w:tr>
      <w:tr w14:paraId="56505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FCED0AE">
            <w:pPr>
              <w:spacing w:line="240" w:lineRule="exact"/>
              <w:jc w:val="center"/>
              <w:rPr>
                <w:rFonts w:hint="eastAsia"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4E82E24">
            <w:pPr>
              <w:spacing w:line="240" w:lineRule="exact"/>
              <w:rPr>
                <w:rFonts w:hint="eastAsia"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D3E1099">
            <w:pPr>
              <w:spacing w:line="240" w:lineRule="exact"/>
              <w:rPr>
                <w:rFonts w:hint="eastAsia"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7DCE746">
            <w:pPr>
              <w:spacing w:line="240" w:lineRule="exact"/>
              <w:rPr>
                <w:rFonts w:hint="eastAsia"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CA9E5F8">
            <w:pPr>
              <w:spacing w:line="240" w:lineRule="exact"/>
              <w:rPr>
                <w:rFonts w:hint="eastAsia" w:ascii="宋体" w:hAnsi="宋体"/>
                <w:szCs w:val="21"/>
                <w:highlight w:val="none"/>
                <w:u w:val="single"/>
              </w:rPr>
            </w:pPr>
          </w:p>
        </w:tc>
      </w:tr>
      <w:tr w14:paraId="10E5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019402DA">
            <w:pPr>
              <w:spacing w:line="240" w:lineRule="exact"/>
              <w:jc w:val="center"/>
              <w:rPr>
                <w:rFonts w:hint="eastAsia"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8B44581">
            <w:pPr>
              <w:spacing w:line="240" w:lineRule="exact"/>
              <w:rPr>
                <w:rFonts w:hint="eastAsia"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43AA6CD">
            <w:pPr>
              <w:spacing w:line="240" w:lineRule="exact"/>
              <w:rPr>
                <w:rFonts w:hint="eastAsia"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28C9A3D">
            <w:pPr>
              <w:spacing w:line="240" w:lineRule="exact"/>
              <w:rPr>
                <w:rFonts w:hint="eastAsia"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967C252">
            <w:pPr>
              <w:spacing w:line="240" w:lineRule="exact"/>
              <w:rPr>
                <w:rFonts w:hint="eastAsia" w:ascii="宋体" w:hAnsi="宋体"/>
                <w:szCs w:val="21"/>
                <w:highlight w:val="none"/>
                <w:u w:val="single"/>
              </w:rPr>
            </w:pPr>
          </w:p>
        </w:tc>
      </w:tr>
      <w:tr w14:paraId="31182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361821D">
            <w:pPr>
              <w:spacing w:line="320" w:lineRule="exact"/>
              <w:jc w:val="center"/>
              <w:rPr>
                <w:rFonts w:hint="eastAsia" w:ascii="宋体" w:hAnsi="宋体"/>
                <w:bCs/>
                <w:szCs w:val="21"/>
                <w:highlight w:val="none"/>
              </w:rPr>
            </w:pPr>
            <w:r>
              <w:rPr>
                <w:rFonts w:hint="eastAsia" w:ascii="宋体" w:hAnsi="宋体"/>
                <w:bCs/>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256CED26">
            <w:pPr>
              <w:pStyle w:val="6"/>
              <w:tabs>
                <w:tab w:val="left" w:pos="1800"/>
                <w:tab w:val="left" w:pos="1980"/>
              </w:tabs>
              <w:spacing w:line="240" w:lineRule="exact"/>
              <w:ind w:left="420" w:hanging="420"/>
              <w:rPr>
                <w:rFonts w:hint="eastAsia" w:ascii="宋体" w:hAnsi="宋体"/>
                <w:sz w:val="21"/>
                <w:szCs w:val="21"/>
                <w:highlight w:val="none"/>
              </w:rPr>
            </w:pPr>
          </w:p>
        </w:tc>
      </w:tr>
      <w:tr w14:paraId="2E37B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6F17A5C">
            <w:pPr>
              <w:spacing w:line="320" w:lineRule="exact"/>
              <w:jc w:val="center"/>
              <w:rPr>
                <w:rFonts w:hint="eastAsia" w:ascii="宋体" w:hAnsi="宋体"/>
                <w:bCs/>
                <w:szCs w:val="21"/>
                <w:highlight w:val="none"/>
              </w:rPr>
            </w:pPr>
            <w:r>
              <w:rPr>
                <w:rFonts w:hint="eastAsia" w:ascii="宋体" w:hAnsi="宋体"/>
                <w:bCs/>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D11B4D9">
            <w:pPr>
              <w:spacing w:line="240" w:lineRule="exact"/>
              <w:rPr>
                <w:rFonts w:hint="eastAsia" w:ascii="宋体" w:hAnsi="宋体"/>
                <w:bCs/>
                <w:szCs w:val="21"/>
                <w:highlight w:val="none"/>
              </w:rPr>
            </w:pPr>
          </w:p>
        </w:tc>
      </w:tr>
    </w:tbl>
    <w:p w14:paraId="11594245">
      <w:pPr>
        <w:spacing w:line="320" w:lineRule="exact"/>
        <w:ind w:firstLine="90"/>
        <w:rPr>
          <w:rFonts w:hint="eastAsia" w:ascii="宋体" w:hAnsi="宋体"/>
          <w:sz w:val="18"/>
          <w:szCs w:val="18"/>
          <w:highlight w:val="none"/>
        </w:rPr>
      </w:pPr>
      <w:r>
        <w:rPr>
          <w:rFonts w:hint="eastAsia" w:ascii="宋体" w:hAnsi="宋体"/>
          <w:sz w:val="18"/>
          <w:szCs w:val="18"/>
          <w:highlight w:val="none"/>
        </w:rPr>
        <w:t>注：1、表格内容不够,可另附页。</w:t>
      </w:r>
    </w:p>
    <w:p w14:paraId="710837BC">
      <w:pPr>
        <w:spacing w:line="320" w:lineRule="exact"/>
        <w:ind w:firstLine="435"/>
        <w:rPr>
          <w:rFonts w:hint="eastAsia" w:ascii="宋体" w:hAnsi="宋体"/>
          <w:sz w:val="18"/>
          <w:szCs w:val="18"/>
          <w:highlight w:val="none"/>
        </w:rPr>
      </w:pPr>
      <w:r>
        <w:rPr>
          <w:rFonts w:hint="eastAsia" w:ascii="宋体" w:hAnsi="宋体"/>
          <w:sz w:val="18"/>
          <w:szCs w:val="18"/>
          <w:highlight w:val="none"/>
        </w:rPr>
        <w:t>2、企业营业执照、所获认证证书、荣誉资料的复印件附后。</w:t>
      </w:r>
    </w:p>
    <w:p w14:paraId="23DF4119">
      <w:pPr>
        <w:spacing w:line="320" w:lineRule="exact"/>
        <w:rPr>
          <w:rFonts w:hint="eastAsia" w:ascii="宋体" w:hAnsi="宋体"/>
          <w:b/>
          <w:sz w:val="24"/>
          <w:highlight w:val="none"/>
        </w:rPr>
      </w:pPr>
    </w:p>
    <w:p w14:paraId="5EB19397">
      <w:pPr>
        <w:spacing w:line="320" w:lineRule="exact"/>
        <w:rPr>
          <w:rFonts w:hint="eastAsia" w:ascii="宋体" w:hAnsi="宋体"/>
          <w:b/>
          <w:sz w:val="24"/>
          <w:highlight w:val="none"/>
        </w:rPr>
      </w:pPr>
    </w:p>
    <w:p w14:paraId="6F3F8521">
      <w:pPr>
        <w:spacing w:line="320" w:lineRule="exact"/>
        <w:ind w:firstLine="480"/>
        <w:rPr>
          <w:rFonts w:hint="eastAsia" w:ascii="宋体" w:hAnsi="宋体"/>
          <w:b/>
          <w:szCs w:val="21"/>
          <w:highlight w:val="none"/>
        </w:rPr>
      </w:pPr>
      <w:r>
        <w:rPr>
          <w:rFonts w:hint="eastAsia" w:ascii="宋体" w:hAnsi="宋体"/>
          <w:b/>
          <w:szCs w:val="21"/>
          <w:highlight w:val="none"/>
        </w:rPr>
        <w:t>投标人（盖章）：</w:t>
      </w:r>
    </w:p>
    <w:p w14:paraId="6B63F2A4">
      <w:pPr>
        <w:spacing w:line="320" w:lineRule="exact"/>
        <w:ind w:firstLine="480"/>
        <w:rPr>
          <w:rFonts w:hint="eastAsia" w:ascii="宋体" w:hAnsi="宋体"/>
          <w:b/>
          <w:szCs w:val="21"/>
          <w:highlight w:val="none"/>
        </w:rPr>
      </w:pPr>
    </w:p>
    <w:p w14:paraId="66DC2D20">
      <w:pPr>
        <w:spacing w:line="320" w:lineRule="exact"/>
        <w:ind w:firstLine="480"/>
        <w:rPr>
          <w:rFonts w:hint="eastAsia" w:ascii="宋体" w:hAnsi="宋体"/>
          <w:b/>
          <w:sz w:val="24"/>
          <w:highlight w:val="none"/>
        </w:rPr>
      </w:pPr>
      <w:r>
        <w:rPr>
          <w:rFonts w:hint="eastAsia" w:ascii="宋体" w:hAnsi="宋体"/>
          <w:b/>
          <w:kern w:val="0"/>
          <w:szCs w:val="21"/>
          <w:highlight w:val="none"/>
        </w:rPr>
        <w:t>日    期：</w:t>
      </w:r>
    </w:p>
    <w:p w14:paraId="6402D02B">
      <w:pPr>
        <w:spacing w:line="460" w:lineRule="exact"/>
        <w:outlineLvl w:val="0"/>
        <w:rPr>
          <w:rFonts w:hint="eastAsia" w:ascii="宋体" w:hAnsi="宋体" w:eastAsia="宋体"/>
          <w:b/>
          <w:bCs/>
          <w:kern w:val="0"/>
          <w:sz w:val="30"/>
          <w:szCs w:val="30"/>
          <w:highlight w:val="none"/>
          <w:lang w:eastAsia="zh-CN"/>
        </w:rPr>
      </w:pPr>
      <w:r>
        <w:rPr>
          <w:rFonts w:hint="eastAsia" w:ascii="宋体" w:hAnsi="宋体"/>
          <w:b/>
          <w:bCs/>
          <w:sz w:val="22"/>
          <w:szCs w:val="22"/>
          <w:highlight w:val="none"/>
        </w:rPr>
        <w:br w:type="page"/>
      </w:r>
      <w:bookmarkStart w:id="193" w:name="_Toc24238"/>
      <w:bookmarkStart w:id="194" w:name="_Toc19993"/>
      <w:r>
        <w:rPr>
          <w:rFonts w:hint="eastAsia" w:ascii="宋体" w:hAnsi="宋体"/>
          <w:b/>
          <w:bCs/>
          <w:sz w:val="22"/>
          <w:szCs w:val="22"/>
          <w:highlight w:val="none"/>
        </w:rPr>
        <w:t>附件</w:t>
      </w:r>
      <w:bookmarkEnd w:id="193"/>
      <w:bookmarkEnd w:id="194"/>
      <w:r>
        <w:rPr>
          <w:rFonts w:hint="eastAsia" w:ascii="宋体" w:hAnsi="宋体"/>
          <w:b/>
          <w:bCs/>
          <w:sz w:val="22"/>
          <w:szCs w:val="22"/>
          <w:highlight w:val="none"/>
          <w:lang w:val="en-US" w:eastAsia="zh-CN"/>
        </w:rPr>
        <w:t>7</w:t>
      </w:r>
    </w:p>
    <w:p w14:paraId="66BC0EA4">
      <w:pPr>
        <w:widowControl/>
        <w:spacing w:line="420" w:lineRule="atLeast"/>
        <w:jc w:val="center"/>
        <w:rPr>
          <w:rFonts w:hint="eastAsia" w:ascii="宋体" w:hAnsi="宋体"/>
          <w:b/>
          <w:bCs/>
          <w:kern w:val="0"/>
          <w:sz w:val="30"/>
          <w:szCs w:val="30"/>
          <w:highlight w:val="none"/>
        </w:rPr>
      </w:pPr>
      <w:r>
        <w:rPr>
          <w:rFonts w:hint="eastAsia" w:ascii="宋体" w:hAnsi="宋体"/>
          <w:b/>
          <w:bCs/>
          <w:kern w:val="0"/>
          <w:sz w:val="30"/>
          <w:szCs w:val="30"/>
          <w:highlight w:val="none"/>
        </w:rPr>
        <w:t>偏离表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580F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vAlign w:val="center"/>
          </w:tcPr>
          <w:p w14:paraId="24E9838B">
            <w:pPr>
              <w:spacing w:before="156"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0F5533D3">
            <w:pPr>
              <w:spacing w:before="156" w:line="360" w:lineRule="auto"/>
              <w:jc w:val="center"/>
              <w:rPr>
                <w:rFonts w:hint="eastAsia" w:ascii="宋体" w:hAnsi="宋体" w:cs="宋体"/>
                <w:b/>
                <w:szCs w:val="21"/>
                <w:highlight w:val="none"/>
              </w:rPr>
            </w:pPr>
            <w:r>
              <w:rPr>
                <w:rFonts w:hint="eastAsia" w:ascii="宋体" w:hAnsi="宋体" w:cs="宋体"/>
                <w:b/>
                <w:szCs w:val="21"/>
                <w:highlight w:val="none"/>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10661906">
            <w:pPr>
              <w:spacing w:before="156" w:line="360" w:lineRule="auto"/>
              <w:jc w:val="center"/>
              <w:rPr>
                <w:rFonts w:hint="eastAsia" w:ascii="宋体" w:hAnsi="宋体" w:cs="宋体"/>
                <w:b/>
                <w:szCs w:val="21"/>
                <w:highlight w:val="none"/>
              </w:rPr>
            </w:pPr>
            <w:r>
              <w:rPr>
                <w:rFonts w:hint="eastAsia" w:ascii="宋体" w:hAnsi="宋体" w:cs="宋体"/>
                <w:b/>
                <w:szCs w:val="21"/>
                <w:highlight w:val="none"/>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70B2F84E">
            <w:pPr>
              <w:spacing w:before="156" w:line="360" w:lineRule="auto"/>
              <w:jc w:val="center"/>
              <w:rPr>
                <w:rFonts w:hint="eastAsia" w:ascii="宋体" w:hAnsi="宋体" w:cs="宋体"/>
                <w:b/>
                <w:szCs w:val="21"/>
                <w:highlight w:val="none"/>
              </w:rPr>
            </w:pPr>
            <w:r>
              <w:rPr>
                <w:rFonts w:hint="eastAsia" w:ascii="宋体" w:hAnsi="宋体" w:cs="宋体"/>
                <w:b/>
                <w:szCs w:val="21"/>
                <w:highlight w:val="none"/>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7441DAD6">
            <w:pPr>
              <w:spacing w:before="156" w:line="360" w:lineRule="auto"/>
              <w:jc w:val="center"/>
              <w:rPr>
                <w:rFonts w:hint="eastAsia" w:ascii="宋体" w:hAnsi="宋体" w:cs="宋体"/>
                <w:b/>
                <w:szCs w:val="21"/>
                <w:highlight w:val="none"/>
              </w:rPr>
            </w:pPr>
            <w:r>
              <w:rPr>
                <w:rFonts w:hint="eastAsia" w:ascii="宋体" w:hAnsi="宋体" w:cs="宋体"/>
                <w:b/>
                <w:szCs w:val="21"/>
                <w:highlight w:val="none"/>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563FE5AC">
            <w:pPr>
              <w:spacing w:before="156" w:line="360" w:lineRule="auto"/>
              <w:jc w:val="center"/>
              <w:rPr>
                <w:rFonts w:hint="eastAsia" w:ascii="宋体" w:hAnsi="宋体" w:cs="宋体"/>
                <w:b/>
                <w:szCs w:val="21"/>
                <w:highlight w:val="none"/>
              </w:rPr>
            </w:pPr>
            <w:r>
              <w:rPr>
                <w:rFonts w:hint="eastAsia" w:ascii="宋体" w:hAnsi="宋体" w:cs="宋体"/>
                <w:b/>
                <w:szCs w:val="21"/>
                <w:highlight w:val="none"/>
              </w:rPr>
              <w:t>说明</w:t>
            </w:r>
          </w:p>
        </w:tc>
      </w:tr>
      <w:tr w14:paraId="2AB7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13FB9E7E">
            <w:pPr>
              <w:spacing w:before="156" w:line="360" w:lineRule="auto"/>
              <w:jc w:val="center"/>
              <w:rPr>
                <w:rFonts w:hint="eastAsia" w:ascii="宋体" w:hAnsi="宋体" w:cs="宋体"/>
                <w:sz w:val="24"/>
                <w:highlight w:val="none"/>
              </w:rPr>
            </w:pPr>
          </w:p>
        </w:tc>
        <w:tc>
          <w:tcPr>
            <w:tcW w:w="1455" w:type="dxa"/>
            <w:vMerge w:val="restart"/>
            <w:tcBorders>
              <w:top w:val="single" w:color="auto" w:sz="4" w:space="0"/>
              <w:left w:val="single" w:color="auto" w:sz="4" w:space="0"/>
              <w:right w:val="single" w:color="auto" w:sz="4" w:space="0"/>
            </w:tcBorders>
            <w:vAlign w:val="center"/>
          </w:tcPr>
          <w:p w14:paraId="6FA248FD">
            <w:pPr>
              <w:spacing w:before="156" w:line="360" w:lineRule="auto"/>
              <w:ind w:firstLine="420" w:firstLineChars="200"/>
              <w:rPr>
                <w:rFonts w:hint="eastAsia" w:ascii="宋体" w:hAnsi="宋体" w:cs="宋体"/>
                <w:szCs w:val="21"/>
                <w:highlight w:val="none"/>
              </w:rPr>
            </w:pPr>
            <w:r>
              <w:rPr>
                <w:rFonts w:hint="eastAsia" w:ascii="宋体" w:hAnsi="宋体" w:cs="宋体"/>
                <w:szCs w:val="21"/>
                <w:highlight w:val="none"/>
              </w:rPr>
              <w:t>商务</w:t>
            </w:r>
          </w:p>
          <w:p w14:paraId="082AAD22">
            <w:pPr>
              <w:spacing w:before="156" w:line="360" w:lineRule="auto"/>
              <w:ind w:firstLine="420" w:firstLineChars="200"/>
              <w:rPr>
                <w:rFonts w:hint="eastAsia" w:ascii="宋体" w:hAnsi="宋体" w:cs="宋体"/>
                <w:szCs w:val="21"/>
                <w:highlight w:val="none"/>
              </w:rPr>
            </w:pPr>
            <w:r>
              <w:rPr>
                <w:rFonts w:hint="eastAsia" w:ascii="宋体" w:hAnsi="宋体" w:cs="宋体"/>
                <w:szCs w:val="21"/>
                <w:highlight w:val="none"/>
              </w:rPr>
              <w:t>偏离</w:t>
            </w:r>
          </w:p>
        </w:tc>
        <w:tc>
          <w:tcPr>
            <w:tcW w:w="2235" w:type="dxa"/>
            <w:tcBorders>
              <w:top w:val="single" w:color="auto" w:sz="4" w:space="0"/>
              <w:left w:val="single" w:color="auto" w:sz="4" w:space="0"/>
              <w:bottom w:val="single" w:color="auto" w:sz="4" w:space="0"/>
              <w:right w:val="single" w:color="auto" w:sz="4" w:space="0"/>
            </w:tcBorders>
          </w:tcPr>
          <w:p w14:paraId="2CD9CFA8">
            <w:pPr>
              <w:spacing w:before="156" w:line="360" w:lineRule="auto"/>
              <w:ind w:firstLine="420" w:firstLineChars="200"/>
              <w:rPr>
                <w:rFonts w:hint="eastAsia" w:ascii="宋体" w:hAnsi="宋体" w:cs="宋体"/>
                <w:szCs w:val="21"/>
                <w:highlight w:val="none"/>
              </w:rPr>
            </w:pPr>
          </w:p>
        </w:tc>
        <w:tc>
          <w:tcPr>
            <w:tcW w:w="2208" w:type="dxa"/>
            <w:tcBorders>
              <w:top w:val="single" w:color="auto" w:sz="4" w:space="0"/>
              <w:left w:val="single" w:color="auto" w:sz="4" w:space="0"/>
              <w:bottom w:val="single" w:color="auto" w:sz="4" w:space="0"/>
              <w:right w:val="single" w:color="auto" w:sz="4" w:space="0"/>
            </w:tcBorders>
          </w:tcPr>
          <w:p w14:paraId="4D3ACA80">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468B3012">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4F7D2482">
            <w:pPr>
              <w:spacing w:before="156" w:line="360" w:lineRule="auto"/>
              <w:ind w:firstLine="420" w:firstLineChars="200"/>
              <w:rPr>
                <w:rFonts w:hint="eastAsia" w:ascii="宋体" w:hAnsi="宋体" w:cs="宋体"/>
                <w:szCs w:val="21"/>
                <w:highlight w:val="none"/>
              </w:rPr>
            </w:pPr>
          </w:p>
        </w:tc>
      </w:tr>
      <w:tr w14:paraId="1FC2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63E90286">
            <w:pPr>
              <w:spacing w:before="156" w:line="360" w:lineRule="auto"/>
              <w:jc w:val="center"/>
              <w:rPr>
                <w:rFonts w:hint="eastAsia" w:ascii="宋体" w:hAnsi="宋体" w:cs="宋体"/>
                <w:sz w:val="24"/>
                <w:highlight w:val="none"/>
              </w:rPr>
            </w:pPr>
          </w:p>
        </w:tc>
        <w:tc>
          <w:tcPr>
            <w:tcW w:w="1455" w:type="dxa"/>
            <w:vMerge w:val="continue"/>
            <w:tcBorders>
              <w:left w:val="single" w:color="auto" w:sz="4" w:space="0"/>
              <w:right w:val="single" w:color="auto" w:sz="4" w:space="0"/>
            </w:tcBorders>
            <w:vAlign w:val="center"/>
          </w:tcPr>
          <w:p w14:paraId="32F18A38">
            <w:pPr>
              <w:spacing w:before="156" w:line="360" w:lineRule="auto"/>
              <w:ind w:firstLine="420" w:firstLineChars="200"/>
              <w:rPr>
                <w:rFonts w:hint="eastAsia" w:ascii="宋体" w:hAnsi="宋体" w:cs="宋体"/>
                <w:szCs w:val="21"/>
                <w:highlight w:val="none"/>
              </w:rPr>
            </w:pPr>
          </w:p>
        </w:tc>
        <w:tc>
          <w:tcPr>
            <w:tcW w:w="2235" w:type="dxa"/>
            <w:tcBorders>
              <w:top w:val="single" w:color="auto" w:sz="4" w:space="0"/>
              <w:left w:val="single" w:color="auto" w:sz="4" w:space="0"/>
              <w:bottom w:val="single" w:color="auto" w:sz="4" w:space="0"/>
              <w:right w:val="single" w:color="auto" w:sz="4" w:space="0"/>
            </w:tcBorders>
          </w:tcPr>
          <w:p w14:paraId="18F3BC2E">
            <w:pPr>
              <w:spacing w:before="156" w:line="360" w:lineRule="auto"/>
              <w:ind w:firstLine="420" w:firstLineChars="200"/>
              <w:rPr>
                <w:rFonts w:hint="eastAsia" w:ascii="宋体" w:hAnsi="宋体" w:cs="宋体"/>
                <w:szCs w:val="21"/>
                <w:highlight w:val="none"/>
              </w:rPr>
            </w:pPr>
          </w:p>
        </w:tc>
        <w:tc>
          <w:tcPr>
            <w:tcW w:w="2208" w:type="dxa"/>
            <w:tcBorders>
              <w:top w:val="single" w:color="auto" w:sz="4" w:space="0"/>
              <w:left w:val="single" w:color="auto" w:sz="4" w:space="0"/>
              <w:bottom w:val="single" w:color="auto" w:sz="4" w:space="0"/>
              <w:right w:val="single" w:color="auto" w:sz="4" w:space="0"/>
            </w:tcBorders>
          </w:tcPr>
          <w:p w14:paraId="6771FAEA">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58FA5318">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1B0600F5">
            <w:pPr>
              <w:spacing w:before="156" w:line="360" w:lineRule="auto"/>
              <w:ind w:firstLine="420" w:firstLineChars="200"/>
              <w:rPr>
                <w:rFonts w:hint="eastAsia" w:ascii="宋体" w:hAnsi="宋体" w:cs="宋体"/>
                <w:szCs w:val="21"/>
                <w:highlight w:val="none"/>
              </w:rPr>
            </w:pPr>
          </w:p>
        </w:tc>
      </w:tr>
      <w:tr w14:paraId="458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54B47A60">
            <w:pPr>
              <w:spacing w:before="156" w:line="360" w:lineRule="auto"/>
              <w:jc w:val="center"/>
              <w:rPr>
                <w:rFonts w:hint="eastAsia" w:ascii="宋体" w:hAnsi="宋体" w:cs="宋体"/>
                <w:sz w:val="24"/>
                <w:highlight w:val="none"/>
              </w:rPr>
            </w:pPr>
          </w:p>
        </w:tc>
        <w:tc>
          <w:tcPr>
            <w:tcW w:w="1455" w:type="dxa"/>
            <w:vMerge w:val="continue"/>
            <w:tcBorders>
              <w:left w:val="single" w:color="auto" w:sz="4" w:space="0"/>
              <w:bottom w:val="single" w:color="auto" w:sz="4" w:space="0"/>
              <w:right w:val="single" w:color="auto" w:sz="4" w:space="0"/>
            </w:tcBorders>
            <w:vAlign w:val="center"/>
          </w:tcPr>
          <w:p w14:paraId="6F243D83">
            <w:pPr>
              <w:spacing w:before="156" w:line="360" w:lineRule="auto"/>
              <w:ind w:firstLine="420" w:firstLineChars="200"/>
              <w:rPr>
                <w:rFonts w:hint="eastAsia" w:ascii="宋体" w:hAnsi="宋体" w:cs="宋体"/>
                <w:szCs w:val="21"/>
                <w:highlight w:val="none"/>
              </w:rPr>
            </w:pPr>
          </w:p>
        </w:tc>
        <w:tc>
          <w:tcPr>
            <w:tcW w:w="2235" w:type="dxa"/>
            <w:tcBorders>
              <w:top w:val="single" w:color="auto" w:sz="4" w:space="0"/>
              <w:left w:val="single" w:color="auto" w:sz="4" w:space="0"/>
              <w:bottom w:val="single" w:color="auto" w:sz="4" w:space="0"/>
              <w:right w:val="single" w:color="auto" w:sz="4" w:space="0"/>
            </w:tcBorders>
          </w:tcPr>
          <w:p w14:paraId="649A64AE">
            <w:pPr>
              <w:spacing w:before="156" w:line="360" w:lineRule="auto"/>
              <w:ind w:firstLine="420" w:firstLineChars="200"/>
              <w:rPr>
                <w:rFonts w:hint="eastAsia" w:ascii="宋体" w:hAnsi="宋体" w:cs="宋体"/>
                <w:szCs w:val="21"/>
                <w:highlight w:val="none"/>
              </w:rPr>
            </w:pPr>
          </w:p>
        </w:tc>
        <w:tc>
          <w:tcPr>
            <w:tcW w:w="2208" w:type="dxa"/>
            <w:tcBorders>
              <w:top w:val="single" w:color="auto" w:sz="4" w:space="0"/>
              <w:left w:val="single" w:color="auto" w:sz="4" w:space="0"/>
              <w:bottom w:val="single" w:color="auto" w:sz="4" w:space="0"/>
              <w:right w:val="single" w:color="auto" w:sz="4" w:space="0"/>
            </w:tcBorders>
          </w:tcPr>
          <w:p w14:paraId="2846B8F5">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43A94BFD">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43F3EB42">
            <w:pPr>
              <w:spacing w:before="156" w:line="360" w:lineRule="auto"/>
              <w:ind w:firstLine="420" w:firstLineChars="200"/>
              <w:rPr>
                <w:rFonts w:hint="eastAsia" w:ascii="宋体" w:hAnsi="宋体" w:cs="宋体"/>
                <w:szCs w:val="21"/>
                <w:highlight w:val="none"/>
              </w:rPr>
            </w:pPr>
          </w:p>
        </w:tc>
      </w:tr>
      <w:tr w14:paraId="0649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09E1CFC0">
            <w:pPr>
              <w:spacing w:before="156" w:line="360" w:lineRule="auto"/>
              <w:jc w:val="center"/>
              <w:rPr>
                <w:rFonts w:hint="eastAsia" w:ascii="宋体" w:hAnsi="宋体" w:cs="宋体"/>
                <w:sz w:val="24"/>
                <w:highlight w:val="none"/>
              </w:rPr>
            </w:pPr>
          </w:p>
        </w:tc>
        <w:tc>
          <w:tcPr>
            <w:tcW w:w="1455" w:type="dxa"/>
            <w:vMerge w:val="restart"/>
            <w:tcBorders>
              <w:top w:val="single" w:color="auto" w:sz="4" w:space="0"/>
              <w:left w:val="single" w:color="auto" w:sz="4" w:space="0"/>
              <w:right w:val="single" w:color="auto" w:sz="4" w:space="0"/>
            </w:tcBorders>
            <w:vAlign w:val="center"/>
          </w:tcPr>
          <w:p w14:paraId="79F41C9E">
            <w:pPr>
              <w:spacing w:before="156" w:line="360" w:lineRule="auto"/>
              <w:ind w:firstLine="420" w:firstLineChars="200"/>
              <w:rPr>
                <w:rFonts w:hint="eastAsia" w:ascii="宋体" w:hAnsi="宋体" w:cs="宋体"/>
                <w:szCs w:val="21"/>
                <w:highlight w:val="none"/>
              </w:rPr>
            </w:pPr>
            <w:r>
              <w:rPr>
                <w:rFonts w:hint="eastAsia" w:ascii="宋体" w:hAnsi="宋体" w:cs="宋体"/>
                <w:szCs w:val="21"/>
                <w:highlight w:val="none"/>
              </w:rPr>
              <w:t>技术</w:t>
            </w:r>
          </w:p>
          <w:p w14:paraId="174C1727">
            <w:pPr>
              <w:spacing w:before="156" w:line="360" w:lineRule="auto"/>
              <w:ind w:firstLine="420" w:firstLineChars="200"/>
              <w:rPr>
                <w:rFonts w:hint="eastAsia" w:ascii="宋体" w:hAnsi="宋体" w:cs="宋体"/>
                <w:szCs w:val="21"/>
                <w:highlight w:val="none"/>
              </w:rPr>
            </w:pPr>
            <w:r>
              <w:rPr>
                <w:rFonts w:hint="eastAsia" w:ascii="宋体" w:hAnsi="宋体" w:cs="宋体"/>
                <w:szCs w:val="21"/>
                <w:highlight w:val="none"/>
              </w:rPr>
              <w:t>偏离</w:t>
            </w:r>
          </w:p>
        </w:tc>
        <w:tc>
          <w:tcPr>
            <w:tcW w:w="2235" w:type="dxa"/>
            <w:tcBorders>
              <w:top w:val="single" w:color="auto" w:sz="4" w:space="0"/>
              <w:left w:val="single" w:color="auto" w:sz="4" w:space="0"/>
              <w:bottom w:val="single" w:color="auto" w:sz="4" w:space="0"/>
              <w:right w:val="single" w:color="auto" w:sz="4" w:space="0"/>
            </w:tcBorders>
          </w:tcPr>
          <w:p w14:paraId="2F336E44">
            <w:pPr>
              <w:spacing w:before="156" w:line="360" w:lineRule="auto"/>
              <w:ind w:firstLine="420" w:firstLineChars="200"/>
              <w:rPr>
                <w:rFonts w:hint="eastAsia" w:ascii="宋体" w:hAnsi="宋体" w:cs="宋体"/>
                <w:szCs w:val="21"/>
                <w:highlight w:val="none"/>
              </w:rPr>
            </w:pPr>
          </w:p>
        </w:tc>
        <w:tc>
          <w:tcPr>
            <w:tcW w:w="2208" w:type="dxa"/>
            <w:tcBorders>
              <w:top w:val="single" w:color="auto" w:sz="4" w:space="0"/>
              <w:left w:val="single" w:color="auto" w:sz="4" w:space="0"/>
              <w:bottom w:val="single" w:color="auto" w:sz="4" w:space="0"/>
              <w:right w:val="single" w:color="auto" w:sz="4" w:space="0"/>
            </w:tcBorders>
          </w:tcPr>
          <w:p w14:paraId="1FB1B096">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7B849F9F">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77475628">
            <w:pPr>
              <w:spacing w:before="156" w:line="360" w:lineRule="auto"/>
              <w:ind w:firstLine="420" w:firstLineChars="200"/>
              <w:rPr>
                <w:rFonts w:hint="eastAsia" w:ascii="宋体" w:hAnsi="宋体" w:cs="宋体"/>
                <w:szCs w:val="21"/>
                <w:highlight w:val="none"/>
              </w:rPr>
            </w:pPr>
          </w:p>
        </w:tc>
      </w:tr>
      <w:tr w14:paraId="6B78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009F4D1C">
            <w:pPr>
              <w:spacing w:before="156" w:line="360" w:lineRule="auto"/>
              <w:jc w:val="center"/>
              <w:rPr>
                <w:rFonts w:hint="eastAsia" w:ascii="宋体" w:hAnsi="宋体" w:cs="宋体"/>
                <w:sz w:val="24"/>
                <w:highlight w:val="none"/>
              </w:rPr>
            </w:pPr>
          </w:p>
        </w:tc>
        <w:tc>
          <w:tcPr>
            <w:tcW w:w="1455" w:type="dxa"/>
            <w:vMerge w:val="continue"/>
            <w:tcBorders>
              <w:left w:val="single" w:color="auto" w:sz="4" w:space="0"/>
              <w:right w:val="single" w:color="auto" w:sz="4" w:space="0"/>
            </w:tcBorders>
          </w:tcPr>
          <w:p w14:paraId="4EFFCD08">
            <w:pPr>
              <w:spacing w:before="156" w:line="360" w:lineRule="auto"/>
              <w:ind w:firstLine="420" w:firstLineChars="200"/>
              <w:rPr>
                <w:rFonts w:hint="eastAsia" w:ascii="宋体" w:hAnsi="宋体" w:cs="宋体"/>
                <w:szCs w:val="21"/>
                <w:highlight w:val="none"/>
              </w:rPr>
            </w:pPr>
          </w:p>
        </w:tc>
        <w:tc>
          <w:tcPr>
            <w:tcW w:w="2235" w:type="dxa"/>
            <w:tcBorders>
              <w:top w:val="single" w:color="auto" w:sz="4" w:space="0"/>
              <w:left w:val="single" w:color="auto" w:sz="4" w:space="0"/>
              <w:bottom w:val="single" w:color="auto" w:sz="4" w:space="0"/>
              <w:right w:val="single" w:color="auto" w:sz="4" w:space="0"/>
            </w:tcBorders>
          </w:tcPr>
          <w:p w14:paraId="1C230635">
            <w:pPr>
              <w:spacing w:before="156" w:line="360" w:lineRule="auto"/>
              <w:ind w:firstLine="420" w:firstLineChars="200"/>
              <w:rPr>
                <w:rFonts w:hint="eastAsia" w:ascii="宋体" w:hAnsi="宋体" w:cs="宋体"/>
                <w:szCs w:val="21"/>
                <w:highlight w:val="none"/>
              </w:rPr>
            </w:pPr>
          </w:p>
        </w:tc>
        <w:tc>
          <w:tcPr>
            <w:tcW w:w="2208" w:type="dxa"/>
            <w:tcBorders>
              <w:top w:val="single" w:color="auto" w:sz="4" w:space="0"/>
              <w:left w:val="single" w:color="auto" w:sz="4" w:space="0"/>
              <w:bottom w:val="single" w:color="auto" w:sz="4" w:space="0"/>
              <w:right w:val="single" w:color="auto" w:sz="4" w:space="0"/>
            </w:tcBorders>
          </w:tcPr>
          <w:p w14:paraId="079ACE07">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39C42A38">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31DB6668">
            <w:pPr>
              <w:spacing w:before="156" w:line="360" w:lineRule="auto"/>
              <w:ind w:firstLine="420" w:firstLineChars="200"/>
              <w:rPr>
                <w:rFonts w:hint="eastAsia" w:ascii="宋体" w:hAnsi="宋体" w:cs="宋体"/>
                <w:szCs w:val="21"/>
                <w:highlight w:val="none"/>
              </w:rPr>
            </w:pPr>
          </w:p>
        </w:tc>
      </w:tr>
      <w:tr w14:paraId="6D20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7A484460">
            <w:pPr>
              <w:spacing w:before="156" w:line="360" w:lineRule="auto"/>
              <w:jc w:val="center"/>
              <w:rPr>
                <w:rFonts w:hint="eastAsia" w:ascii="宋体" w:hAnsi="宋体" w:cs="宋体"/>
                <w:sz w:val="24"/>
                <w:highlight w:val="none"/>
              </w:rPr>
            </w:pPr>
          </w:p>
        </w:tc>
        <w:tc>
          <w:tcPr>
            <w:tcW w:w="1455" w:type="dxa"/>
            <w:vMerge w:val="continue"/>
            <w:tcBorders>
              <w:left w:val="single" w:color="auto" w:sz="4" w:space="0"/>
              <w:bottom w:val="single" w:color="auto" w:sz="4" w:space="0"/>
              <w:right w:val="single" w:color="auto" w:sz="4" w:space="0"/>
            </w:tcBorders>
          </w:tcPr>
          <w:p w14:paraId="2E643BBA">
            <w:pPr>
              <w:spacing w:before="156" w:line="360" w:lineRule="auto"/>
              <w:ind w:firstLine="420" w:firstLineChars="200"/>
              <w:rPr>
                <w:rFonts w:hint="eastAsia" w:ascii="宋体" w:hAnsi="宋体" w:cs="宋体"/>
                <w:szCs w:val="21"/>
                <w:highlight w:val="none"/>
              </w:rPr>
            </w:pPr>
          </w:p>
        </w:tc>
        <w:tc>
          <w:tcPr>
            <w:tcW w:w="2235" w:type="dxa"/>
            <w:tcBorders>
              <w:top w:val="single" w:color="auto" w:sz="4" w:space="0"/>
              <w:left w:val="single" w:color="auto" w:sz="4" w:space="0"/>
              <w:bottom w:val="single" w:color="auto" w:sz="4" w:space="0"/>
              <w:right w:val="single" w:color="auto" w:sz="4" w:space="0"/>
            </w:tcBorders>
          </w:tcPr>
          <w:p w14:paraId="7E82150C">
            <w:pPr>
              <w:spacing w:before="156" w:line="360" w:lineRule="auto"/>
              <w:ind w:firstLine="420" w:firstLineChars="200"/>
              <w:rPr>
                <w:rFonts w:hint="eastAsia" w:ascii="宋体" w:hAnsi="宋体" w:cs="宋体"/>
                <w:szCs w:val="21"/>
                <w:highlight w:val="none"/>
              </w:rPr>
            </w:pPr>
          </w:p>
        </w:tc>
        <w:tc>
          <w:tcPr>
            <w:tcW w:w="2208" w:type="dxa"/>
            <w:tcBorders>
              <w:top w:val="single" w:color="auto" w:sz="4" w:space="0"/>
              <w:left w:val="single" w:color="auto" w:sz="4" w:space="0"/>
              <w:bottom w:val="single" w:color="auto" w:sz="4" w:space="0"/>
              <w:right w:val="single" w:color="auto" w:sz="4" w:space="0"/>
            </w:tcBorders>
          </w:tcPr>
          <w:p w14:paraId="7D2F9757">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3A21BD21">
            <w:pPr>
              <w:spacing w:before="156" w:line="360" w:lineRule="auto"/>
              <w:ind w:firstLine="420" w:firstLineChars="200"/>
              <w:rPr>
                <w:rFonts w:hint="eastAsia" w:ascii="宋体" w:hAnsi="宋体" w:cs="宋体"/>
                <w:szCs w:val="21"/>
                <w:highlight w:val="none"/>
              </w:rPr>
            </w:pPr>
          </w:p>
        </w:tc>
        <w:tc>
          <w:tcPr>
            <w:tcW w:w="1527" w:type="dxa"/>
            <w:tcBorders>
              <w:top w:val="single" w:color="auto" w:sz="4" w:space="0"/>
              <w:left w:val="single" w:color="auto" w:sz="4" w:space="0"/>
              <w:bottom w:val="single" w:color="auto" w:sz="4" w:space="0"/>
              <w:right w:val="single" w:color="auto" w:sz="4" w:space="0"/>
            </w:tcBorders>
          </w:tcPr>
          <w:p w14:paraId="27253282">
            <w:pPr>
              <w:spacing w:before="156" w:line="360" w:lineRule="auto"/>
              <w:ind w:firstLine="420" w:firstLineChars="200"/>
              <w:rPr>
                <w:rFonts w:hint="eastAsia" w:ascii="宋体" w:hAnsi="宋体" w:cs="宋体"/>
                <w:szCs w:val="21"/>
                <w:highlight w:val="none"/>
              </w:rPr>
            </w:pPr>
          </w:p>
        </w:tc>
      </w:tr>
    </w:tbl>
    <w:p w14:paraId="694EC50C">
      <w:pPr>
        <w:spacing w:before="156" w:line="360" w:lineRule="auto"/>
        <w:rPr>
          <w:rFonts w:hint="eastAsia" w:ascii="宋体" w:hAnsi="宋体" w:cs="宋体"/>
          <w:b/>
          <w:bCs/>
          <w:szCs w:val="21"/>
          <w:highlight w:val="none"/>
        </w:rPr>
      </w:pPr>
      <w:r>
        <w:rPr>
          <w:rFonts w:hint="eastAsia" w:ascii="宋体" w:hAnsi="宋体" w:cs="宋体"/>
          <w:b/>
          <w:bCs/>
          <w:szCs w:val="21"/>
          <w:highlight w:val="none"/>
        </w:rPr>
        <w:t>填表说明：</w:t>
      </w:r>
    </w:p>
    <w:p w14:paraId="26CE31F3">
      <w:pPr>
        <w:numPr>
          <w:ilvl w:val="0"/>
          <w:numId w:val="8"/>
        </w:numPr>
        <w:spacing w:before="156" w:line="360" w:lineRule="auto"/>
        <w:rPr>
          <w:rFonts w:hint="eastAsia" w:ascii="宋体" w:hAnsi="宋体" w:cs="宋体"/>
          <w:szCs w:val="21"/>
          <w:highlight w:val="none"/>
        </w:rPr>
      </w:pPr>
      <w:r>
        <w:rPr>
          <w:rFonts w:hint="eastAsia" w:ascii="宋体" w:hAnsi="宋体" w:cs="宋体"/>
          <w:szCs w:val="21"/>
          <w:highlight w:val="none"/>
        </w:rPr>
        <w:t>对采购文件有偏离的（正偏离或负偏离）均应汇总并填写在此表中。</w:t>
      </w:r>
    </w:p>
    <w:p w14:paraId="4B731E31">
      <w:pPr>
        <w:numPr>
          <w:ilvl w:val="0"/>
          <w:numId w:val="8"/>
        </w:numPr>
        <w:spacing w:before="156" w:line="360" w:lineRule="auto"/>
        <w:rPr>
          <w:rFonts w:hint="eastAsia" w:ascii="宋体" w:hAnsi="宋体" w:cs="宋体"/>
          <w:szCs w:val="21"/>
          <w:highlight w:val="none"/>
        </w:rPr>
      </w:pPr>
      <w:r>
        <w:rPr>
          <w:rFonts w:hint="eastAsia" w:ascii="宋体" w:hAnsi="宋体" w:cs="宋体"/>
          <w:szCs w:val="21"/>
          <w:highlight w:val="none"/>
        </w:rPr>
        <w:t>此表可在不改变格式的情况下自行制作。</w:t>
      </w:r>
    </w:p>
    <w:p w14:paraId="5120E1A2">
      <w:pPr>
        <w:numPr>
          <w:ilvl w:val="0"/>
          <w:numId w:val="8"/>
        </w:numPr>
        <w:spacing w:before="156" w:line="360" w:lineRule="auto"/>
        <w:rPr>
          <w:rFonts w:hint="eastAsia" w:ascii="宋体" w:hAnsi="宋体" w:cs="宋体"/>
          <w:b/>
          <w:szCs w:val="21"/>
          <w:highlight w:val="none"/>
        </w:rPr>
      </w:pPr>
      <w:r>
        <w:rPr>
          <w:rFonts w:hint="eastAsia" w:ascii="宋体" w:hAnsi="宋体" w:cs="宋体"/>
          <w:b/>
          <w:bCs/>
          <w:szCs w:val="21"/>
          <w:highlight w:val="none"/>
        </w:rPr>
        <w:t xml:space="preserve">不填写此表视作完全响应本采购文件要求。   </w:t>
      </w:r>
    </w:p>
    <w:p w14:paraId="383D33E2">
      <w:pPr>
        <w:pStyle w:val="24"/>
        <w:ind w:left="840" w:hanging="420"/>
        <w:rPr>
          <w:rFonts w:hint="eastAsia" w:ascii="宋体" w:hAnsi="宋体"/>
          <w:highlight w:val="none"/>
        </w:rPr>
      </w:pPr>
    </w:p>
    <w:p w14:paraId="41518968">
      <w:pPr>
        <w:spacing w:line="360" w:lineRule="auto"/>
        <w:ind w:left="359" w:leftChars="171"/>
        <w:jc w:val="left"/>
        <w:rPr>
          <w:rFonts w:hint="eastAsia" w:ascii="宋体" w:hAnsi="宋体" w:cs="宋体"/>
          <w:b/>
          <w:bCs/>
          <w:szCs w:val="21"/>
          <w:highlight w:val="none"/>
        </w:rPr>
      </w:pPr>
      <w:r>
        <w:rPr>
          <w:rFonts w:hint="eastAsia" w:ascii="宋体" w:hAnsi="宋体" w:cs="宋体"/>
          <w:b/>
          <w:bCs/>
          <w:szCs w:val="21"/>
          <w:highlight w:val="none"/>
        </w:rPr>
        <w:t>投标人（盖章）：</w:t>
      </w:r>
    </w:p>
    <w:p w14:paraId="789FC691">
      <w:pPr>
        <w:spacing w:line="360" w:lineRule="auto"/>
        <w:ind w:left="359" w:leftChars="171"/>
        <w:jc w:val="left"/>
        <w:rPr>
          <w:rFonts w:hint="eastAsia" w:ascii="宋体" w:hAnsi="宋体" w:cs="宋体"/>
          <w:b/>
          <w:bCs/>
          <w:szCs w:val="21"/>
          <w:highlight w:val="none"/>
        </w:rPr>
      </w:pPr>
    </w:p>
    <w:p w14:paraId="5DCC78C8">
      <w:pPr>
        <w:spacing w:line="360" w:lineRule="auto"/>
        <w:ind w:left="359" w:leftChars="171"/>
        <w:jc w:val="left"/>
        <w:rPr>
          <w:rFonts w:hint="eastAsia" w:ascii="宋体" w:hAnsi="宋体" w:cs="宋体"/>
          <w:b/>
          <w:bCs/>
          <w:szCs w:val="21"/>
          <w:highlight w:val="none"/>
        </w:rPr>
      </w:pPr>
      <w:r>
        <w:rPr>
          <w:rFonts w:hint="eastAsia" w:ascii="宋体" w:hAnsi="宋体" w:cs="宋体"/>
          <w:b/>
          <w:bCs/>
          <w:szCs w:val="21"/>
          <w:highlight w:val="none"/>
        </w:rPr>
        <w:t xml:space="preserve"> 日 期：  年  月  日</w:t>
      </w:r>
    </w:p>
    <w:p w14:paraId="2A83BF4D">
      <w:pPr>
        <w:spacing w:line="460" w:lineRule="exact"/>
        <w:jc w:val="center"/>
        <w:rPr>
          <w:rFonts w:hint="eastAsia" w:ascii="宋体" w:hAnsi="宋体"/>
          <w:b/>
          <w:bCs/>
          <w:sz w:val="28"/>
          <w:szCs w:val="28"/>
          <w:highlight w:val="none"/>
        </w:rPr>
      </w:pPr>
    </w:p>
    <w:p w14:paraId="19F19250">
      <w:pPr>
        <w:spacing w:line="460" w:lineRule="exact"/>
        <w:jc w:val="center"/>
        <w:rPr>
          <w:rFonts w:hint="eastAsia" w:ascii="宋体" w:hAnsi="宋体"/>
          <w:b/>
          <w:bCs/>
          <w:sz w:val="28"/>
          <w:szCs w:val="28"/>
          <w:highlight w:val="none"/>
        </w:rPr>
      </w:pPr>
    </w:p>
    <w:p w14:paraId="6A65E07B">
      <w:pPr>
        <w:spacing w:line="460" w:lineRule="exact"/>
        <w:jc w:val="center"/>
        <w:rPr>
          <w:rFonts w:hint="eastAsia" w:ascii="宋体" w:hAnsi="宋体"/>
          <w:b/>
          <w:bCs/>
          <w:sz w:val="28"/>
          <w:szCs w:val="28"/>
          <w:highlight w:val="none"/>
        </w:rPr>
      </w:pPr>
    </w:p>
    <w:p w14:paraId="6EAE268E">
      <w:pPr>
        <w:spacing w:line="460" w:lineRule="exact"/>
        <w:jc w:val="center"/>
        <w:rPr>
          <w:rFonts w:hint="eastAsia" w:ascii="宋体" w:hAnsi="宋体"/>
          <w:b/>
          <w:bCs/>
          <w:sz w:val="28"/>
          <w:szCs w:val="28"/>
          <w:highlight w:val="none"/>
        </w:rPr>
      </w:pPr>
    </w:p>
    <w:p w14:paraId="5A4AEA14">
      <w:pPr>
        <w:spacing w:line="460" w:lineRule="exact"/>
        <w:jc w:val="center"/>
        <w:rPr>
          <w:rFonts w:hint="eastAsia" w:ascii="宋体" w:hAnsi="宋体"/>
          <w:b/>
          <w:bCs/>
          <w:sz w:val="28"/>
          <w:szCs w:val="28"/>
          <w:highlight w:val="none"/>
        </w:rPr>
      </w:pPr>
    </w:p>
    <w:p w14:paraId="29FE8A73">
      <w:pPr>
        <w:spacing w:line="460" w:lineRule="exact"/>
        <w:jc w:val="center"/>
        <w:rPr>
          <w:rFonts w:hint="eastAsia" w:ascii="宋体" w:hAnsi="宋体"/>
          <w:b/>
          <w:bCs/>
          <w:sz w:val="28"/>
          <w:szCs w:val="28"/>
          <w:highlight w:val="none"/>
        </w:rPr>
      </w:pPr>
    </w:p>
    <w:p w14:paraId="4A59A721">
      <w:pPr>
        <w:spacing w:line="460" w:lineRule="exact"/>
        <w:jc w:val="center"/>
        <w:rPr>
          <w:rFonts w:hint="eastAsia" w:ascii="宋体" w:hAnsi="宋体"/>
          <w:b/>
          <w:bCs/>
          <w:sz w:val="28"/>
          <w:szCs w:val="28"/>
          <w:highlight w:val="none"/>
        </w:rPr>
      </w:pPr>
    </w:p>
    <w:p w14:paraId="3F17AFA5">
      <w:pPr>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58046007">
      <w:pPr>
        <w:rPr>
          <w:rFonts w:hint="eastAsia"/>
          <w:highlight w:val="none"/>
          <w:lang w:val="en-US" w:eastAsia="zh-CN"/>
        </w:rPr>
      </w:pPr>
      <w:r>
        <w:rPr>
          <w:rFonts w:hint="eastAsia"/>
          <w:highlight w:val="none"/>
          <w:lang w:eastAsia="zh-CN"/>
        </w:rPr>
        <w:t>附件</w:t>
      </w:r>
      <w:r>
        <w:rPr>
          <w:rFonts w:hint="eastAsia"/>
          <w:highlight w:val="none"/>
          <w:lang w:val="en-US" w:eastAsia="zh-CN"/>
        </w:rPr>
        <w:t xml:space="preserve">8 </w:t>
      </w:r>
    </w:p>
    <w:p w14:paraId="33D59F04">
      <w:pPr>
        <w:jc w:val="center"/>
        <w:rPr>
          <w:rFonts w:hint="eastAsia"/>
          <w:sz w:val="30"/>
          <w:szCs w:val="30"/>
          <w:highlight w:val="none"/>
          <w:lang w:val="en-US" w:eastAsia="zh-CN"/>
        </w:rPr>
      </w:pPr>
    </w:p>
    <w:p w14:paraId="38DAF091">
      <w:pPr>
        <w:jc w:val="center"/>
        <w:rPr>
          <w:rFonts w:hint="eastAsia"/>
          <w:sz w:val="30"/>
          <w:szCs w:val="30"/>
          <w:highlight w:val="none"/>
          <w:lang w:val="en-US" w:eastAsia="zh-CN"/>
        </w:rPr>
      </w:pPr>
      <w:r>
        <w:rPr>
          <w:rFonts w:hint="eastAsia"/>
          <w:sz w:val="30"/>
          <w:szCs w:val="30"/>
          <w:highlight w:val="none"/>
          <w:lang w:val="en-US" w:eastAsia="zh-CN"/>
        </w:rPr>
        <w:t>承诺函</w:t>
      </w:r>
    </w:p>
    <w:p w14:paraId="1F01019E">
      <w:pPr>
        <w:pStyle w:val="10"/>
        <w:rPr>
          <w:rFonts w:hint="default"/>
          <w:highlight w:val="none"/>
          <w:lang w:val="en-US" w:eastAsia="zh-CN"/>
        </w:rPr>
      </w:pPr>
    </w:p>
    <w:p w14:paraId="1CFEF385">
      <w:pPr>
        <w:rPr>
          <w:rFonts w:hint="default"/>
          <w:highlight w:val="none"/>
          <w:u w:val="single"/>
          <w:lang w:val="en-US" w:eastAsia="zh-CN"/>
        </w:rPr>
      </w:pPr>
      <w:r>
        <w:rPr>
          <w:rFonts w:hint="eastAsia"/>
          <w:highlight w:val="none"/>
          <w:u w:val="none"/>
          <w:lang w:eastAsia="zh-CN"/>
        </w:rPr>
        <w:t>采购人：</w:t>
      </w:r>
      <w:r>
        <w:rPr>
          <w:rFonts w:hint="eastAsia"/>
          <w:highlight w:val="none"/>
          <w:u w:val="single"/>
          <w:lang w:val="en-US" w:eastAsia="zh-CN"/>
        </w:rPr>
        <w:t xml:space="preserve">  常山县城市项目建设中心  </w:t>
      </w:r>
    </w:p>
    <w:p w14:paraId="66CB83B2">
      <w:pPr>
        <w:pStyle w:val="10"/>
        <w:rPr>
          <w:rFonts w:hint="eastAsia"/>
          <w:highlight w:val="none"/>
          <w:lang w:eastAsia="zh-CN"/>
        </w:rPr>
      </w:pPr>
    </w:p>
    <w:p w14:paraId="640BDEF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我公司在参加本次政府采购活动，遵循公开、公平、公正和诚实信用的原则，承诺中标后能够完全满足招标文件要求，且投标费用已经包含在投标报价中。</w:t>
      </w:r>
    </w:p>
    <w:p w14:paraId="66F2AEAD">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本项目为“交钥匙”服务，</w:t>
      </w:r>
      <w:r>
        <w:rPr>
          <w:rFonts w:hint="eastAsia" w:ascii="宋体" w:hAnsi="宋体" w:cs="宋体"/>
          <w:szCs w:val="21"/>
          <w:highlight w:val="none"/>
          <w:lang w:eastAsia="zh-CN"/>
        </w:rPr>
        <w:t>我司</w:t>
      </w:r>
      <w:r>
        <w:rPr>
          <w:rFonts w:hint="eastAsia" w:ascii="宋体" w:hAnsi="宋体" w:eastAsia="宋体" w:cs="宋体"/>
          <w:szCs w:val="21"/>
          <w:highlight w:val="none"/>
        </w:rPr>
        <w:t>承诺招标清单中已列明的或未列明但实际为项目实施中有可能发生的服务内容及相关配套服务已包含在投标报价中，中标后</w:t>
      </w:r>
      <w:r>
        <w:rPr>
          <w:rFonts w:hint="eastAsia" w:ascii="宋体" w:hAnsi="宋体" w:eastAsia="宋体" w:cs="宋体"/>
          <w:szCs w:val="21"/>
          <w:highlight w:val="none"/>
          <w:lang w:eastAsia="zh-CN"/>
        </w:rPr>
        <w:t>不</w:t>
      </w:r>
      <w:r>
        <w:rPr>
          <w:rFonts w:hint="eastAsia" w:ascii="宋体" w:hAnsi="宋体" w:eastAsia="宋体" w:cs="宋体"/>
          <w:szCs w:val="21"/>
          <w:highlight w:val="none"/>
        </w:rPr>
        <w:t>以任何理由增加费用</w:t>
      </w:r>
      <w:r>
        <w:rPr>
          <w:rFonts w:hint="eastAsia" w:ascii="宋体" w:hAnsi="宋体" w:eastAsia="宋体" w:cs="宋体"/>
          <w:szCs w:val="21"/>
          <w:highlight w:val="none"/>
          <w:lang w:eastAsia="zh-CN"/>
        </w:rPr>
        <w:t>。</w:t>
      </w:r>
    </w:p>
    <w:p w14:paraId="271F0CF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12D4416D">
      <w:pPr>
        <w:rPr>
          <w:rFonts w:hint="eastAsia"/>
          <w:highlight w:val="none"/>
        </w:rPr>
      </w:pPr>
    </w:p>
    <w:p w14:paraId="38B2829B">
      <w:pPr>
        <w:spacing w:line="360" w:lineRule="auto"/>
        <w:ind w:left="359" w:leftChars="171"/>
        <w:jc w:val="left"/>
        <w:rPr>
          <w:rFonts w:hint="eastAsia"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投标人（盖章）：</w:t>
      </w:r>
    </w:p>
    <w:p w14:paraId="7B55D5EB">
      <w:pPr>
        <w:spacing w:line="360" w:lineRule="auto"/>
        <w:ind w:left="359" w:leftChars="171"/>
        <w:jc w:val="left"/>
        <w:rPr>
          <w:rFonts w:hint="eastAsia" w:ascii="宋体" w:hAnsi="宋体" w:cs="宋体"/>
          <w:b/>
          <w:bCs/>
          <w:szCs w:val="21"/>
          <w:highlight w:val="none"/>
        </w:rPr>
      </w:pPr>
    </w:p>
    <w:p w14:paraId="6229043F">
      <w:pPr>
        <w:spacing w:line="360" w:lineRule="auto"/>
        <w:ind w:left="359" w:leftChars="171"/>
        <w:jc w:val="left"/>
        <w:rPr>
          <w:rFonts w:hint="eastAsia" w:ascii="宋体" w:hAnsi="宋体" w:cs="宋体"/>
          <w:b/>
          <w:bCs/>
          <w:szCs w:val="21"/>
          <w:highlight w:val="none"/>
        </w:rPr>
      </w:pPr>
      <w:r>
        <w:rPr>
          <w:rFonts w:hint="eastAsia" w:ascii="宋体" w:hAnsi="宋体" w:cs="宋体"/>
          <w:b/>
          <w:bCs/>
          <w:szCs w:val="21"/>
          <w:highlight w:val="none"/>
        </w:rPr>
        <w:t xml:space="preserve"> 日 期：  年  月  日</w:t>
      </w:r>
    </w:p>
    <w:p w14:paraId="08DA5805">
      <w:pPr>
        <w:ind w:firstLine="663" w:firstLineChars="300"/>
        <w:rPr>
          <w:rFonts w:hint="eastAsia" w:ascii="宋体" w:hAnsi="宋体"/>
          <w:b/>
          <w:bCs/>
          <w:sz w:val="22"/>
          <w:szCs w:val="22"/>
          <w:highlight w:val="none"/>
        </w:rPr>
      </w:pPr>
      <w:r>
        <w:rPr>
          <w:rFonts w:hint="eastAsia" w:ascii="宋体" w:hAnsi="宋体"/>
          <w:b/>
          <w:bCs/>
          <w:sz w:val="22"/>
          <w:szCs w:val="22"/>
          <w:highlight w:val="none"/>
        </w:rPr>
        <w:br w:type="page"/>
      </w:r>
    </w:p>
    <w:p w14:paraId="1E1B76B1">
      <w:pPr>
        <w:spacing w:line="460" w:lineRule="exact"/>
        <w:outlineLvl w:val="0"/>
        <w:rPr>
          <w:rFonts w:hint="eastAsia" w:ascii="宋体" w:hAnsi="宋体" w:eastAsia="宋体"/>
          <w:b/>
          <w:bCs/>
          <w:sz w:val="22"/>
          <w:szCs w:val="22"/>
          <w:highlight w:val="none"/>
          <w:lang w:eastAsia="zh-CN"/>
        </w:rPr>
      </w:pPr>
      <w:r>
        <w:rPr>
          <w:rFonts w:hint="eastAsia" w:ascii="宋体" w:hAnsi="宋体"/>
          <w:b/>
          <w:bCs/>
          <w:sz w:val="22"/>
          <w:szCs w:val="22"/>
          <w:highlight w:val="none"/>
        </w:rPr>
        <w:t>附件</w:t>
      </w:r>
      <w:r>
        <w:rPr>
          <w:rFonts w:hint="eastAsia" w:ascii="宋体" w:hAnsi="宋体"/>
          <w:b/>
          <w:bCs/>
          <w:sz w:val="22"/>
          <w:szCs w:val="22"/>
          <w:highlight w:val="none"/>
          <w:lang w:val="en-US" w:eastAsia="zh-CN"/>
        </w:rPr>
        <w:t>9</w:t>
      </w:r>
    </w:p>
    <w:p w14:paraId="116ED625">
      <w:pPr>
        <w:spacing w:line="50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拟派项目负责人简历表</w:t>
      </w:r>
    </w:p>
    <w:p w14:paraId="73DE4BDE">
      <w:pPr>
        <w:spacing w:line="500" w:lineRule="exact"/>
        <w:jc w:val="center"/>
        <w:rPr>
          <w:rFonts w:hint="eastAsia" w:ascii="宋体" w:hAnsi="宋体" w:cs="宋体"/>
          <w:b/>
          <w:bCs/>
          <w:sz w:val="28"/>
          <w:szCs w:val="28"/>
          <w:highlight w:val="none"/>
        </w:rPr>
      </w:pPr>
    </w:p>
    <w:p w14:paraId="59196F67">
      <w:pPr>
        <w:snapToGrid w:val="0"/>
        <w:spacing w:line="300" w:lineRule="auto"/>
        <w:rPr>
          <w:rFonts w:hint="eastAsia" w:ascii="宋体" w:hAnsi="宋体" w:cs="宋体"/>
          <w:highlight w:val="none"/>
          <w:u w:val="single"/>
        </w:rPr>
      </w:pPr>
      <w:r>
        <w:rPr>
          <w:rFonts w:hint="eastAsia" w:ascii="宋体" w:hAnsi="宋体" w:cs="宋体"/>
          <w:highlight w:val="none"/>
        </w:rPr>
        <w:t>项目名称：</w:t>
      </w:r>
      <w:r>
        <w:rPr>
          <w:rFonts w:hint="eastAsia" w:ascii="宋体" w:hAnsi="宋体" w:cs="宋体"/>
          <w:highlight w:val="none"/>
          <w:u w:val="single"/>
        </w:rPr>
        <w:t xml:space="preserve">                            </w:t>
      </w:r>
      <w:r>
        <w:rPr>
          <w:rFonts w:hint="eastAsia" w:ascii="宋体" w:hAnsi="宋体" w:cs="宋体"/>
          <w:highlight w:val="none"/>
        </w:rPr>
        <w:t xml:space="preserve">                 项目编号：</w:t>
      </w:r>
      <w:r>
        <w:rPr>
          <w:rFonts w:hint="eastAsia" w:ascii="宋体" w:hAnsi="宋体" w:cs="宋体"/>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588"/>
        <w:gridCol w:w="2386"/>
      </w:tblGrid>
      <w:tr w14:paraId="0B06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014C3156">
            <w:pPr>
              <w:jc w:val="center"/>
              <w:rPr>
                <w:rFonts w:hint="eastAsia" w:ascii="宋体" w:hAnsi="宋体" w:cs="宋体"/>
                <w:szCs w:val="21"/>
                <w:highlight w:val="none"/>
              </w:rPr>
            </w:pPr>
            <w:r>
              <w:rPr>
                <w:rFonts w:hint="eastAsia" w:ascii="宋体" w:hAnsi="宋体" w:cs="宋体"/>
                <w:szCs w:val="21"/>
                <w:highlight w:val="none"/>
              </w:rPr>
              <w:t>姓名</w:t>
            </w:r>
          </w:p>
        </w:tc>
        <w:tc>
          <w:tcPr>
            <w:tcW w:w="1804" w:type="dxa"/>
            <w:gridSpan w:val="3"/>
            <w:vAlign w:val="center"/>
          </w:tcPr>
          <w:p w14:paraId="743B2A71">
            <w:pPr>
              <w:jc w:val="center"/>
              <w:rPr>
                <w:rFonts w:hint="eastAsia" w:ascii="宋体" w:hAnsi="宋体" w:cs="宋体"/>
                <w:szCs w:val="21"/>
                <w:highlight w:val="none"/>
              </w:rPr>
            </w:pPr>
          </w:p>
        </w:tc>
        <w:tc>
          <w:tcPr>
            <w:tcW w:w="1093" w:type="dxa"/>
            <w:vAlign w:val="center"/>
          </w:tcPr>
          <w:p w14:paraId="26555E09">
            <w:pPr>
              <w:jc w:val="center"/>
              <w:rPr>
                <w:rFonts w:hint="eastAsia" w:ascii="宋体" w:hAnsi="宋体" w:cs="宋体"/>
                <w:szCs w:val="21"/>
                <w:highlight w:val="none"/>
              </w:rPr>
            </w:pPr>
            <w:r>
              <w:rPr>
                <w:rFonts w:hint="eastAsia" w:ascii="宋体" w:hAnsi="宋体" w:cs="宋体"/>
                <w:szCs w:val="21"/>
                <w:highlight w:val="none"/>
              </w:rPr>
              <w:t>年龄</w:t>
            </w:r>
          </w:p>
        </w:tc>
        <w:tc>
          <w:tcPr>
            <w:tcW w:w="1241" w:type="dxa"/>
            <w:gridSpan w:val="3"/>
            <w:vAlign w:val="center"/>
          </w:tcPr>
          <w:p w14:paraId="5FBD78E4">
            <w:pPr>
              <w:jc w:val="center"/>
              <w:rPr>
                <w:rFonts w:hint="eastAsia" w:ascii="宋体" w:hAnsi="宋体" w:cs="宋体"/>
                <w:szCs w:val="21"/>
                <w:highlight w:val="none"/>
              </w:rPr>
            </w:pPr>
          </w:p>
        </w:tc>
        <w:tc>
          <w:tcPr>
            <w:tcW w:w="1524" w:type="dxa"/>
            <w:vAlign w:val="center"/>
          </w:tcPr>
          <w:p w14:paraId="5C4CBCD5">
            <w:pPr>
              <w:jc w:val="center"/>
              <w:rPr>
                <w:rFonts w:hint="eastAsia" w:ascii="宋体" w:hAnsi="宋体" w:cs="宋体"/>
                <w:szCs w:val="21"/>
                <w:highlight w:val="none"/>
              </w:rPr>
            </w:pPr>
            <w:r>
              <w:rPr>
                <w:rFonts w:hint="eastAsia" w:ascii="宋体" w:hAnsi="宋体" w:cs="宋体"/>
                <w:szCs w:val="21"/>
                <w:highlight w:val="none"/>
              </w:rPr>
              <w:t>身份证号</w:t>
            </w:r>
          </w:p>
        </w:tc>
        <w:tc>
          <w:tcPr>
            <w:tcW w:w="2974" w:type="dxa"/>
            <w:gridSpan w:val="2"/>
            <w:vAlign w:val="center"/>
          </w:tcPr>
          <w:p w14:paraId="34F2C4E5">
            <w:pPr>
              <w:jc w:val="center"/>
              <w:rPr>
                <w:rFonts w:hint="eastAsia" w:ascii="宋体" w:hAnsi="宋体" w:cs="宋体"/>
                <w:szCs w:val="21"/>
                <w:highlight w:val="none"/>
              </w:rPr>
            </w:pPr>
          </w:p>
        </w:tc>
      </w:tr>
      <w:tr w14:paraId="73F1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66DE90B4">
            <w:pPr>
              <w:jc w:val="center"/>
              <w:rPr>
                <w:rFonts w:hint="eastAsia" w:ascii="宋体" w:hAnsi="宋体" w:cs="宋体"/>
                <w:szCs w:val="21"/>
                <w:highlight w:val="none"/>
              </w:rPr>
            </w:pPr>
            <w:r>
              <w:rPr>
                <w:rFonts w:hint="eastAsia" w:ascii="宋体" w:hAnsi="宋体" w:cs="宋体"/>
                <w:szCs w:val="21"/>
                <w:highlight w:val="none"/>
              </w:rPr>
              <w:t>学历/专业</w:t>
            </w:r>
          </w:p>
        </w:tc>
        <w:tc>
          <w:tcPr>
            <w:tcW w:w="1804" w:type="dxa"/>
            <w:gridSpan w:val="3"/>
            <w:vAlign w:val="center"/>
          </w:tcPr>
          <w:p w14:paraId="0C8940B5">
            <w:pPr>
              <w:jc w:val="center"/>
              <w:rPr>
                <w:rFonts w:hint="eastAsia" w:ascii="宋体" w:hAnsi="宋体" w:cs="宋体"/>
                <w:szCs w:val="21"/>
                <w:highlight w:val="none"/>
              </w:rPr>
            </w:pPr>
          </w:p>
        </w:tc>
        <w:tc>
          <w:tcPr>
            <w:tcW w:w="1093" w:type="dxa"/>
            <w:vAlign w:val="center"/>
          </w:tcPr>
          <w:p w14:paraId="3CDA0D59">
            <w:pPr>
              <w:jc w:val="center"/>
              <w:rPr>
                <w:rFonts w:hint="eastAsia" w:ascii="宋体" w:hAnsi="宋体" w:cs="宋体"/>
                <w:szCs w:val="21"/>
                <w:highlight w:val="none"/>
              </w:rPr>
            </w:pPr>
            <w:r>
              <w:rPr>
                <w:rFonts w:hint="eastAsia" w:ascii="宋体" w:hAnsi="宋体" w:cs="宋体"/>
                <w:szCs w:val="21"/>
                <w:highlight w:val="none"/>
              </w:rPr>
              <w:t>职务</w:t>
            </w:r>
          </w:p>
        </w:tc>
        <w:tc>
          <w:tcPr>
            <w:tcW w:w="1241" w:type="dxa"/>
            <w:gridSpan w:val="3"/>
            <w:vAlign w:val="center"/>
          </w:tcPr>
          <w:p w14:paraId="38133E9A">
            <w:pPr>
              <w:jc w:val="center"/>
              <w:rPr>
                <w:rFonts w:hint="eastAsia" w:ascii="宋体" w:hAnsi="宋体" w:cs="宋体"/>
                <w:szCs w:val="21"/>
                <w:highlight w:val="none"/>
              </w:rPr>
            </w:pPr>
          </w:p>
        </w:tc>
        <w:tc>
          <w:tcPr>
            <w:tcW w:w="1524" w:type="dxa"/>
            <w:vAlign w:val="center"/>
          </w:tcPr>
          <w:p w14:paraId="06576B9C">
            <w:pPr>
              <w:jc w:val="center"/>
              <w:rPr>
                <w:rFonts w:hint="eastAsia" w:ascii="宋体" w:hAnsi="宋体" w:cs="宋体"/>
                <w:szCs w:val="21"/>
                <w:highlight w:val="none"/>
              </w:rPr>
            </w:pPr>
            <w:r>
              <w:rPr>
                <w:rFonts w:hint="eastAsia" w:ascii="宋体" w:hAnsi="宋体" w:cs="宋体"/>
                <w:szCs w:val="21"/>
                <w:highlight w:val="none"/>
              </w:rPr>
              <w:t>拟在本项目</w:t>
            </w:r>
          </w:p>
          <w:p w14:paraId="41B46A0E">
            <w:pPr>
              <w:jc w:val="center"/>
              <w:rPr>
                <w:rFonts w:hint="eastAsia" w:ascii="宋体" w:hAnsi="宋体" w:cs="宋体"/>
                <w:szCs w:val="21"/>
                <w:highlight w:val="none"/>
              </w:rPr>
            </w:pPr>
            <w:r>
              <w:rPr>
                <w:rFonts w:hint="eastAsia" w:ascii="宋体" w:hAnsi="宋体" w:cs="宋体"/>
                <w:szCs w:val="21"/>
                <w:highlight w:val="none"/>
              </w:rPr>
              <w:t>担任职务</w:t>
            </w:r>
          </w:p>
        </w:tc>
        <w:tc>
          <w:tcPr>
            <w:tcW w:w="2974" w:type="dxa"/>
            <w:gridSpan w:val="2"/>
            <w:vAlign w:val="center"/>
          </w:tcPr>
          <w:p w14:paraId="3D59AA8D">
            <w:pPr>
              <w:jc w:val="center"/>
              <w:rPr>
                <w:rFonts w:hint="eastAsia" w:ascii="宋体" w:hAnsi="宋体" w:cs="宋体"/>
                <w:szCs w:val="21"/>
                <w:highlight w:val="none"/>
              </w:rPr>
            </w:pPr>
          </w:p>
        </w:tc>
      </w:tr>
      <w:tr w14:paraId="5F95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0194D56E">
            <w:pPr>
              <w:jc w:val="center"/>
              <w:rPr>
                <w:rFonts w:hint="eastAsia" w:ascii="宋体" w:hAnsi="宋体" w:cs="宋体"/>
                <w:szCs w:val="21"/>
                <w:highlight w:val="none"/>
              </w:rPr>
            </w:pPr>
            <w:r>
              <w:rPr>
                <w:rFonts w:hint="eastAsia" w:ascii="宋体" w:hAnsi="宋体" w:cs="宋体"/>
                <w:szCs w:val="21"/>
                <w:highlight w:val="none"/>
              </w:rPr>
              <w:t>资格/职称</w:t>
            </w:r>
          </w:p>
        </w:tc>
        <w:tc>
          <w:tcPr>
            <w:tcW w:w="1794" w:type="dxa"/>
            <w:gridSpan w:val="2"/>
            <w:vAlign w:val="center"/>
          </w:tcPr>
          <w:p w14:paraId="085CF904">
            <w:pPr>
              <w:jc w:val="center"/>
              <w:rPr>
                <w:rFonts w:hint="eastAsia" w:ascii="宋体" w:hAnsi="宋体" w:cs="宋体"/>
                <w:szCs w:val="21"/>
                <w:highlight w:val="none"/>
              </w:rPr>
            </w:pPr>
          </w:p>
        </w:tc>
        <w:tc>
          <w:tcPr>
            <w:tcW w:w="2338" w:type="dxa"/>
            <w:gridSpan w:val="4"/>
            <w:vAlign w:val="center"/>
          </w:tcPr>
          <w:p w14:paraId="5663848A">
            <w:pPr>
              <w:jc w:val="center"/>
              <w:rPr>
                <w:rFonts w:hint="eastAsia" w:ascii="宋体" w:hAnsi="宋体" w:cs="宋体"/>
                <w:szCs w:val="21"/>
                <w:highlight w:val="none"/>
              </w:rPr>
            </w:pPr>
            <w:r>
              <w:rPr>
                <w:rFonts w:hint="eastAsia" w:ascii="宋体" w:hAnsi="宋体" w:cs="宋体"/>
                <w:szCs w:val="21"/>
                <w:highlight w:val="none"/>
              </w:rPr>
              <w:t>资格/职称证书编号</w:t>
            </w:r>
          </w:p>
        </w:tc>
        <w:tc>
          <w:tcPr>
            <w:tcW w:w="4504" w:type="dxa"/>
            <w:gridSpan w:val="4"/>
            <w:vAlign w:val="center"/>
          </w:tcPr>
          <w:p w14:paraId="1F74CB7E">
            <w:pPr>
              <w:jc w:val="center"/>
              <w:rPr>
                <w:rFonts w:hint="eastAsia" w:ascii="宋体" w:hAnsi="宋体" w:cs="宋体"/>
                <w:szCs w:val="21"/>
                <w:highlight w:val="none"/>
              </w:rPr>
            </w:pPr>
          </w:p>
        </w:tc>
      </w:tr>
      <w:tr w14:paraId="7C5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9825" w:type="dxa"/>
            <w:gridSpan w:val="11"/>
          </w:tcPr>
          <w:p w14:paraId="30A1B5D2">
            <w:pPr>
              <w:rPr>
                <w:rFonts w:hint="eastAsia" w:ascii="宋体" w:hAnsi="宋体" w:cs="宋体"/>
                <w:szCs w:val="21"/>
                <w:highlight w:val="none"/>
              </w:rPr>
            </w:pPr>
            <w:r>
              <w:rPr>
                <w:rFonts w:hint="eastAsia" w:ascii="宋体" w:hAnsi="宋体" w:cs="宋体"/>
                <w:szCs w:val="21"/>
                <w:highlight w:val="none"/>
              </w:rPr>
              <w:t>主要工作经历：</w:t>
            </w:r>
          </w:p>
        </w:tc>
      </w:tr>
      <w:tr w14:paraId="4814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48A389E6">
            <w:pPr>
              <w:jc w:val="center"/>
              <w:rPr>
                <w:rFonts w:hint="eastAsia" w:ascii="宋体" w:hAnsi="宋体" w:cs="宋体"/>
                <w:szCs w:val="21"/>
                <w:highlight w:val="none"/>
              </w:rPr>
            </w:pPr>
            <w:r>
              <w:rPr>
                <w:rFonts w:hint="eastAsia" w:ascii="宋体" w:hAnsi="宋体" w:cs="宋体"/>
                <w:szCs w:val="21"/>
                <w:highlight w:val="none"/>
              </w:rPr>
              <w:t>序号</w:t>
            </w:r>
          </w:p>
        </w:tc>
        <w:tc>
          <w:tcPr>
            <w:tcW w:w="1625" w:type="dxa"/>
            <w:gridSpan w:val="2"/>
            <w:vAlign w:val="center"/>
          </w:tcPr>
          <w:p w14:paraId="6B1D8914">
            <w:pPr>
              <w:jc w:val="center"/>
              <w:rPr>
                <w:rFonts w:hint="eastAsia" w:ascii="宋体" w:hAnsi="宋体" w:cs="宋体"/>
                <w:szCs w:val="21"/>
                <w:highlight w:val="none"/>
              </w:rPr>
            </w:pPr>
            <w:r>
              <w:rPr>
                <w:rFonts w:hint="eastAsia" w:ascii="宋体" w:hAnsi="宋体" w:cs="宋体"/>
                <w:szCs w:val="21"/>
                <w:highlight w:val="none"/>
              </w:rPr>
              <w:t>参加过的</w:t>
            </w:r>
          </w:p>
          <w:p w14:paraId="50FDBB15">
            <w:pPr>
              <w:jc w:val="center"/>
              <w:rPr>
                <w:rFonts w:hint="eastAsia" w:ascii="宋体" w:hAnsi="宋体" w:cs="宋体"/>
                <w:szCs w:val="21"/>
                <w:highlight w:val="none"/>
              </w:rPr>
            </w:pPr>
            <w:r>
              <w:rPr>
                <w:rFonts w:hint="eastAsia" w:ascii="宋体" w:hAnsi="宋体" w:cs="宋体"/>
                <w:szCs w:val="21"/>
                <w:highlight w:val="none"/>
              </w:rPr>
              <w:t>项目名称</w:t>
            </w:r>
          </w:p>
        </w:tc>
        <w:tc>
          <w:tcPr>
            <w:tcW w:w="1435" w:type="dxa"/>
            <w:gridSpan w:val="2"/>
            <w:vAlign w:val="center"/>
          </w:tcPr>
          <w:p w14:paraId="45C620F8">
            <w:pPr>
              <w:jc w:val="center"/>
              <w:rPr>
                <w:rFonts w:hint="eastAsia" w:ascii="宋体" w:hAnsi="宋体" w:cs="宋体"/>
                <w:szCs w:val="21"/>
                <w:highlight w:val="none"/>
              </w:rPr>
            </w:pPr>
            <w:r>
              <w:rPr>
                <w:rFonts w:hint="eastAsia" w:ascii="宋体" w:hAnsi="宋体" w:cs="宋体"/>
                <w:szCs w:val="21"/>
                <w:highlight w:val="none"/>
              </w:rPr>
              <w:t>担任何职</w:t>
            </w:r>
          </w:p>
        </w:tc>
        <w:tc>
          <w:tcPr>
            <w:tcW w:w="3011" w:type="dxa"/>
            <w:gridSpan w:val="4"/>
            <w:vAlign w:val="center"/>
          </w:tcPr>
          <w:p w14:paraId="4EFE13E7">
            <w:pPr>
              <w:jc w:val="center"/>
              <w:rPr>
                <w:rFonts w:hint="eastAsia" w:ascii="宋体" w:hAnsi="宋体" w:cs="宋体"/>
                <w:szCs w:val="21"/>
                <w:highlight w:val="none"/>
              </w:rPr>
            </w:pPr>
            <w:r>
              <w:rPr>
                <w:rFonts w:hint="eastAsia" w:ascii="宋体" w:hAnsi="宋体" w:cs="宋体"/>
                <w:szCs w:val="21"/>
                <w:highlight w:val="none"/>
              </w:rPr>
              <w:t>委托单位及联系人、联系电话</w:t>
            </w:r>
          </w:p>
        </w:tc>
        <w:tc>
          <w:tcPr>
            <w:tcW w:w="2386" w:type="dxa"/>
            <w:vAlign w:val="center"/>
          </w:tcPr>
          <w:p w14:paraId="1DB8A25E">
            <w:pPr>
              <w:jc w:val="center"/>
              <w:rPr>
                <w:rFonts w:hint="eastAsia" w:ascii="宋体" w:hAnsi="宋体" w:cs="宋体"/>
                <w:szCs w:val="21"/>
                <w:highlight w:val="none"/>
              </w:rPr>
            </w:pPr>
            <w:r>
              <w:rPr>
                <w:rFonts w:hint="eastAsia" w:ascii="宋体" w:hAnsi="宋体" w:cs="宋体"/>
                <w:szCs w:val="21"/>
                <w:highlight w:val="none"/>
              </w:rPr>
              <w:t>备注</w:t>
            </w:r>
          </w:p>
        </w:tc>
      </w:tr>
      <w:tr w14:paraId="747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B7EED27">
            <w:pPr>
              <w:jc w:val="center"/>
              <w:rPr>
                <w:rFonts w:hint="eastAsia" w:ascii="宋体" w:hAnsi="宋体" w:cs="宋体"/>
                <w:szCs w:val="21"/>
                <w:highlight w:val="none"/>
              </w:rPr>
            </w:pPr>
          </w:p>
        </w:tc>
        <w:tc>
          <w:tcPr>
            <w:tcW w:w="1625" w:type="dxa"/>
            <w:gridSpan w:val="2"/>
            <w:vAlign w:val="center"/>
          </w:tcPr>
          <w:p w14:paraId="66463FD4">
            <w:pPr>
              <w:jc w:val="center"/>
              <w:rPr>
                <w:rFonts w:hint="eastAsia" w:ascii="宋体" w:hAnsi="宋体" w:cs="宋体"/>
                <w:szCs w:val="21"/>
                <w:highlight w:val="none"/>
              </w:rPr>
            </w:pPr>
          </w:p>
        </w:tc>
        <w:tc>
          <w:tcPr>
            <w:tcW w:w="1435" w:type="dxa"/>
            <w:gridSpan w:val="2"/>
            <w:vAlign w:val="center"/>
          </w:tcPr>
          <w:p w14:paraId="12E2C3A5">
            <w:pPr>
              <w:jc w:val="center"/>
              <w:rPr>
                <w:rFonts w:hint="eastAsia" w:ascii="宋体" w:hAnsi="宋体" w:cs="宋体"/>
                <w:szCs w:val="21"/>
                <w:highlight w:val="none"/>
              </w:rPr>
            </w:pPr>
          </w:p>
        </w:tc>
        <w:tc>
          <w:tcPr>
            <w:tcW w:w="3011" w:type="dxa"/>
            <w:gridSpan w:val="4"/>
            <w:vAlign w:val="center"/>
          </w:tcPr>
          <w:p w14:paraId="109851CD">
            <w:pPr>
              <w:jc w:val="center"/>
              <w:rPr>
                <w:rFonts w:hint="eastAsia" w:ascii="宋体" w:hAnsi="宋体" w:cs="宋体"/>
                <w:szCs w:val="21"/>
                <w:highlight w:val="none"/>
              </w:rPr>
            </w:pPr>
          </w:p>
        </w:tc>
        <w:tc>
          <w:tcPr>
            <w:tcW w:w="2386" w:type="dxa"/>
            <w:vAlign w:val="center"/>
          </w:tcPr>
          <w:p w14:paraId="243C7E2C">
            <w:pPr>
              <w:jc w:val="center"/>
              <w:rPr>
                <w:rFonts w:hint="eastAsia" w:ascii="宋体" w:hAnsi="宋体" w:cs="宋体"/>
                <w:szCs w:val="21"/>
                <w:highlight w:val="none"/>
              </w:rPr>
            </w:pPr>
          </w:p>
        </w:tc>
      </w:tr>
      <w:tr w14:paraId="000A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FC08FB0">
            <w:pPr>
              <w:jc w:val="center"/>
              <w:rPr>
                <w:rFonts w:hint="eastAsia" w:ascii="宋体" w:hAnsi="宋体" w:cs="宋体"/>
                <w:szCs w:val="21"/>
                <w:highlight w:val="none"/>
              </w:rPr>
            </w:pPr>
          </w:p>
        </w:tc>
        <w:tc>
          <w:tcPr>
            <w:tcW w:w="1625" w:type="dxa"/>
            <w:gridSpan w:val="2"/>
            <w:vAlign w:val="center"/>
          </w:tcPr>
          <w:p w14:paraId="7903BE1F">
            <w:pPr>
              <w:jc w:val="center"/>
              <w:rPr>
                <w:rFonts w:hint="eastAsia" w:ascii="宋体" w:hAnsi="宋体" w:cs="宋体"/>
                <w:szCs w:val="21"/>
                <w:highlight w:val="none"/>
              </w:rPr>
            </w:pPr>
          </w:p>
        </w:tc>
        <w:tc>
          <w:tcPr>
            <w:tcW w:w="1435" w:type="dxa"/>
            <w:gridSpan w:val="2"/>
            <w:vAlign w:val="center"/>
          </w:tcPr>
          <w:p w14:paraId="683D392A">
            <w:pPr>
              <w:jc w:val="center"/>
              <w:rPr>
                <w:rFonts w:hint="eastAsia" w:ascii="宋体" w:hAnsi="宋体" w:cs="宋体"/>
                <w:szCs w:val="21"/>
                <w:highlight w:val="none"/>
              </w:rPr>
            </w:pPr>
          </w:p>
        </w:tc>
        <w:tc>
          <w:tcPr>
            <w:tcW w:w="3011" w:type="dxa"/>
            <w:gridSpan w:val="4"/>
            <w:vAlign w:val="center"/>
          </w:tcPr>
          <w:p w14:paraId="7ED86BCF">
            <w:pPr>
              <w:jc w:val="center"/>
              <w:rPr>
                <w:rFonts w:hint="eastAsia" w:ascii="宋体" w:hAnsi="宋体" w:cs="宋体"/>
                <w:szCs w:val="21"/>
                <w:highlight w:val="none"/>
              </w:rPr>
            </w:pPr>
          </w:p>
        </w:tc>
        <w:tc>
          <w:tcPr>
            <w:tcW w:w="2386" w:type="dxa"/>
            <w:vAlign w:val="center"/>
          </w:tcPr>
          <w:p w14:paraId="284D756D">
            <w:pPr>
              <w:jc w:val="center"/>
              <w:rPr>
                <w:rFonts w:hint="eastAsia" w:ascii="宋体" w:hAnsi="宋体" w:cs="宋体"/>
                <w:szCs w:val="21"/>
                <w:highlight w:val="none"/>
              </w:rPr>
            </w:pPr>
          </w:p>
        </w:tc>
      </w:tr>
      <w:tr w14:paraId="6054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2C2C549">
            <w:pPr>
              <w:jc w:val="center"/>
              <w:rPr>
                <w:rFonts w:hint="eastAsia" w:ascii="宋体" w:hAnsi="宋体" w:cs="宋体"/>
                <w:szCs w:val="21"/>
                <w:highlight w:val="none"/>
              </w:rPr>
            </w:pPr>
          </w:p>
        </w:tc>
        <w:tc>
          <w:tcPr>
            <w:tcW w:w="1625" w:type="dxa"/>
            <w:gridSpan w:val="2"/>
            <w:vAlign w:val="center"/>
          </w:tcPr>
          <w:p w14:paraId="3839CF6E">
            <w:pPr>
              <w:jc w:val="center"/>
              <w:rPr>
                <w:rFonts w:hint="eastAsia" w:ascii="宋体" w:hAnsi="宋体" w:cs="宋体"/>
                <w:szCs w:val="21"/>
                <w:highlight w:val="none"/>
              </w:rPr>
            </w:pPr>
          </w:p>
        </w:tc>
        <w:tc>
          <w:tcPr>
            <w:tcW w:w="1435" w:type="dxa"/>
            <w:gridSpan w:val="2"/>
            <w:vAlign w:val="center"/>
          </w:tcPr>
          <w:p w14:paraId="577F18B1">
            <w:pPr>
              <w:jc w:val="center"/>
              <w:rPr>
                <w:rFonts w:hint="eastAsia" w:ascii="宋体" w:hAnsi="宋体" w:cs="宋体"/>
                <w:szCs w:val="21"/>
                <w:highlight w:val="none"/>
              </w:rPr>
            </w:pPr>
          </w:p>
        </w:tc>
        <w:tc>
          <w:tcPr>
            <w:tcW w:w="3011" w:type="dxa"/>
            <w:gridSpan w:val="4"/>
            <w:vAlign w:val="center"/>
          </w:tcPr>
          <w:p w14:paraId="2E79D661">
            <w:pPr>
              <w:jc w:val="center"/>
              <w:rPr>
                <w:rFonts w:hint="eastAsia" w:ascii="宋体" w:hAnsi="宋体" w:cs="宋体"/>
                <w:szCs w:val="21"/>
                <w:highlight w:val="none"/>
              </w:rPr>
            </w:pPr>
          </w:p>
        </w:tc>
        <w:tc>
          <w:tcPr>
            <w:tcW w:w="2386" w:type="dxa"/>
            <w:vAlign w:val="center"/>
          </w:tcPr>
          <w:p w14:paraId="24BE5CB2">
            <w:pPr>
              <w:jc w:val="center"/>
              <w:rPr>
                <w:rFonts w:hint="eastAsia" w:ascii="宋体" w:hAnsi="宋体" w:cs="宋体"/>
                <w:szCs w:val="21"/>
                <w:highlight w:val="none"/>
              </w:rPr>
            </w:pPr>
          </w:p>
        </w:tc>
      </w:tr>
      <w:tr w14:paraId="5C66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3E8C8B6">
            <w:pPr>
              <w:jc w:val="center"/>
              <w:rPr>
                <w:rFonts w:hint="eastAsia" w:ascii="宋体" w:hAnsi="宋体" w:cs="宋体"/>
                <w:szCs w:val="21"/>
                <w:highlight w:val="none"/>
              </w:rPr>
            </w:pPr>
          </w:p>
        </w:tc>
        <w:tc>
          <w:tcPr>
            <w:tcW w:w="1625" w:type="dxa"/>
            <w:gridSpan w:val="2"/>
            <w:vAlign w:val="center"/>
          </w:tcPr>
          <w:p w14:paraId="7D55CD56">
            <w:pPr>
              <w:jc w:val="center"/>
              <w:rPr>
                <w:rFonts w:hint="eastAsia" w:ascii="宋体" w:hAnsi="宋体" w:cs="宋体"/>
                <w:szCs w:val="21"/>
                <w:highlight w:val="none"/>
              </w:rPr>
            </w:pPr>
          </w:p>
        </w:tc>
        <w:tc>
          <w:tcPr>
            <w:tcW w:w="1435" w:type="dxa"/>
            <w:gridSpan w:val="2"/>
            <w:vAlign w:val="center"/>
          </w:tcPr>
          <w:p w14:paraId="49A2F5EB">
            <w:pPr>
              <w:jc w:val="center"/>
              <w:rPr>
                <w:rFonts w:hint="eastAsia" w:ascii="宋体" w:hAnsi="宋体" w:cs="宋体"/>
                <w:szCs w:val="21"/>
                <w:highlight w:val="none"/>
              </w:rPr>
            </w:pPr>
          </w:p>
        </w:tc>
        <w:tc>
          <w:tcPr>
            <w:tcW w:w="3011" w:type="dxa"/>
            <w:gridSpan w:val="4"/>
            <w:vAlign w:val="center"/>
          </w:tcPr>
          <w:p w14:paraId="4C44ADAF">
            <w:pPr>
              <w:jc w:val="center"/>
              <w:rPr>
                <w:rFonts w:hint="eastAsia" w:ascii="宋体" w:hAnsi="宋体" w:cs="宋体"/>
                <w:szCs w:val="21"/>
                <w:highlight w:val="none"/>
              </w:rPr>
            </w:pPr>
          </w:p>
        </w:tc>
        <w:tc>
          <w:tcPr>
            <w:tcW w:w="2386" w:type="dxa"/>
            <w:vAlign w:val="center"/>
          </w:tcPr>
          <w:p w14:paraId="65C3AFB1">
            <w:pPr>
              <w:jc w:val="center"/>
              <w:rPr>
                <w:rFonts w:hint="eastAsia" w:ascii="宋体" w:hAnsi="宋体" w:cs="宋体"/>
                <w:szCs w:val="21"/>
                <w:highlight w:val="none"/>
              </w:rPr>
            </w:pPr>
          </w:p>
        </w:tc>
      </w:tr>
    </w:tbl>
    <w:p w14:paraId="4E6E2EA5">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注：1.本表需附人员资格（职称）证书、社保缴纳证明等原件扫描件上传。</w:t>
      </w:r>
    </w:p>
    <w:p w14:paraId="152A045E">
      <w:pPr>
        <w:pStyle w:val="11"/>
        <w:rPr>
          <w:rFonts w:hint="eastAsia" w:hAnsi="宋体" w:cs="宋体"/>
          <w:highlight w:val="none"/>
        </w:rPr>
      </w:pPr>
      <w:r>
        <w:rPr>
          <w:rFonts w:hint="eastAsia" w:hAnsi="宋体" w:cs="宋体"/>
          <w:highlight w:val="none"/>
        </w:rPr>
        <w:t xml:space="preserve">   投标人（盖章） ：</w:t>
      </w:r>
      <w:r>
        <w:rPr>
          <w:rFonts w:hint="eastAsia" w:hAnsi="宋体" w:cs="宋体"/>
          <w:highlight w:val="none"/>
          <w:u w:val="single"/>
        </w:rPr>
        <w:t xml:space="preserve">              </w:t>
      </w:r>
    </w:p>
    <w:p w14:paraId="4DAC1EE3">
      <w:pPr>
        <w:adjustRightInd w:val="0"/>
        <w:snapToGrid w:val="0"/>
        <w:spacing w:line="300" w:lineRule="auto"/>
        <w:rPr>
          <w:rFonts w:hint="eastAsia" w:ascii="宋体" w:hAnsi="宋体" w:cs="宋体"/>
          <w:szCs w:val="21"/>
          <w:highlight w:val="none"/>
        </w:rPr>
      </w:pPr>
      <w:r>
        <w:rPr>
          <w:rFonts w:hint="eastAsia" w:ascii="宋体" w:hAnsi="宋体" w:cs="宋体"/>
          <w:szCs w:val="21"/>
          <w:highlight w:val="none"/>
        </w:rPr>
        <w:t xml:space="preserve">    日期：   年   月   日</w:t>
      </w:r>
    </w:p>
    <w:p w14:paraId="6161A716">
      <w:pPr>
        <w:rPr>
          <w:rFonts w:hint="default" w:ascii="宋体" w:hAnsi="宋体" w:eastAsia="宋体"/>
          <w:highlight w:val="none"/>
          <w:lang w:val="en-US" w:eastAsia="zh-CN"/>
        </w:rPr>
      </w:pPr>
      <w:r>
        <w:rPr>
          <w:rFonts w:hint="eastAsia" w:ascii="宋体" w:hAnsi="宋体"/>
          <w:highlight w:val="none"/>
        </w:rPr>
        <w:br w:type="page"/>
      </w:r>
      <w:bookmarkStart w:id="195" w:name="附件7"/>
      <w:r>
        <w:rPr>
          <w:rFonts w:hint="eastAsia" w:ascii="宋体" w:hAnsi="宋体"/>
          <w:b/>
          <w:bCs/>
          <w:sz w:val="22"/>
          <w:szCs w:val="22"/>
          <w:highlight w:val="none"/>
        </w:rPr>
        <w:t>附件</w:t>
      </w:r>
      <w:bookmarkEnd w:id="195"/>
      <w:r>
        <w:rPr>
          <w:rFonts w:hint="eastAsia" w:ascii="宋体" w:hAnsi="宋体"/>
          <w:b/>
          <w:bCs/>
          <w:sz w:val="22"/>
          <w:szCs w:val="22"/>
          <w:highlight w:val="none"/>
          <w:lang w:val="en-US" w:eastAsia="zh-CN"/>
        </w:rPr>
        <w:t>10</w:t>
      </w:r>
    </w:p>
    <w:p w14:paraId="62ADED9B">
      <w:pPr>
        <w:spacing w:line="600" w:lineRule="exact"/>
        <w:jc w:val="center"/>
        <w:rPr>
          <w:rFonts w:hint="eastAsia" w:ascii="宋体" w:hAnsi="宋体" w:cs="宋体"/>
          <w:b/>
          <w:sz w:val="28"/>
          <w:szCs w:val="28"/>
          <w:highlight w:val="none"/>
        </w:rPr>
      </w:pPr>
      <w:r>
        <w:rPr>
          <w:rFonts w:hint="eastAsia" w:ascii="宋体" w:hAnsi="宋体" w:cs="宋体"/>
          <w:b/>
          <w:sz w:val="28"/>
          <w:szCs w:val="28"/>
          <w:highlight w:val="none"/>
        </w:rPr>
        <w:t>拟投入项目组成员一览表</w:t>
      </w:r>
    </w:p>
    <w:p w14:paraId="7249FCD4">
      <w:pPr>
        <w:spacing w:line="600" w:lineRule="exact"/>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14:paraId="6565A9DA">
      <w:pPr>
        <w:snapToGrid w:val="0"/>
        <w:spacing w:line="300" w:lineRule="auto"/>
        <w:rPr>
          <w:rFonts w:hint="eastAsia" w:ascii="宋体" w:hAnsi="宋体" w:cs="宋体"/>
          <w:highlight w:val="none"/>
          <w:u w:val="single"/>
        </w:rPr>
      </w:pPr>
      <w:r>
        <w:rPr>
          <w:rFonts w:hint="eastAsia" w:ascii="宋体" w:hAnsi="宋体" w:cs="宋体"/>
          <w:highlight w:val="none"/>
        </w:rPr>
        <w:t xml:space="preserve">       项目名称：</w:t>
      </w:r>
      <w:r>
        <w:rPr>
          <w:rFonts w:hint="eastAsia" w:ascii="宋体" w:hAnsi="宋体" w:cs="宋体"/>
          <w:highlight w:val="none"/>
          <w:u w:val="single"/>
        </w:rPr>
        <w:t xml:space="preserve">                            </w:t>
      </w:r>
      <w:r>
        <w:rPr>
          <w:rFonts w:hint="eastAsia" w:ascii="宋体" w:hAnsi="宋体" w:cs="宋体"/>
          <w:highlight w:val="none"/>
        </w:rPr>
        <w:t xml:space="preserve">                 项目编号：</w:t>
      </w:r>
      <w:r>
        <w:rPr>
          <w:rFonts w:hint="eastAsia" w:ascii="宋体" w:hAnsi="宋体" w:cs="宋体"/>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72"/>
        <w:gridCol w:w="1569"/>
        <w:gridCol w:w="1152"/>
        <w:gridCol w:w="2601"/>
        <w:gridCol w:w="1578"/>
      </w:tblGrid>
      <w:tr w14:paraId="6B27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85" w:type="dxa"/>
            <w:vAlign w:val="center"/>
          </w:tcPr>
          <w:p w14:paraId="3C39D855">
            <w:pPr>
              <w:pStyle w:val="11"/>
              <w:jc w:val="center"/>
              <w:rPr>
                <w:rFonts w:hint="eastAsia" w:hAnsi="宋体" w:cs="宋体"/>
                <w:highlight w:val="none"/>
              </w:rPr>
            </w:pPr>
            <w:r>
              <w:rPr>
                <w:rFonts w:hint="eastAsia" w:hAnsi="宋体" w:cs="宋体"/>
                <w:highlight w:val="none"/>
              </w:rPr>
              <w:t>序号</w:t>
            </w:r>
          </w:p>
        </w:tc>
        <w:tc>
          <w:tcPr>
            <w:tcW w:w="1372" w:type="dxa"/>
            <w:vAlign w:val="center"/>
          </w:tcPr>
          <w:p w14:paraId="44E9540E">
            <w:pPr>
              <w:pStyle w:val="11"/>
              <w:jc w:val="center"/>
              <w:rPr>
                <w:rFonts w:hint="eastAsia" w:hAnsi="宋体" w:cs="宋体"/>
                <w:highlight w:val="none"/>
              </w:rPr>
            </w:pPr>
            <w:r>
              <w:rPr>
                <w:rFonts w:hint="eastAsia" w:hAnsi="宋体" w:cs="宋体"/>
                <w:highlight w:val="none"/>
              </w:rPr>
              <w:t>姓名</w:t>
            </w:r>
          </w:p>
        </w:tc>
        <w:tc>
          <w:tcPr>
            <w:tcW w:w="1569" w:type="dxa"/>
            <w:vAlign w:val="center"/>
          </w:tcPr>
          <w:p w14:paraId="35158C82">
            <w:pPr>
              <w:pStyle w:val="11"/>
              <w:jc w:val="center"/>
              <w:rPr>
                <w:rFonts w:hint="eastAsia" w:hAnsi="宋体" w:cs="宋体"/>
                <w:highlight w:val="none"/>
              </w:rPr>
            </w:pPr>
            <w:r>
              <w:rPr>
                <w:rFonts w:hint="eastAsia" w:hAnsi="宋体" w:cs="宋体"/>
                <w:highlight w:val="none"/>
              </w:rPr>
              <w:t>学历/专业</w:t>
            </w:r>
          </w:p>
        </w:tc>
        <w:tc>
          <w:tcPr>
            <w:tcW w:w="1152" w:type="dxa"/>
            <w:vAlign w:val="center"/>
          </w:tcPr>
          <w:p w14:paraId="00123327">
            <w:pPr>
              <w:pStyle w:val="11"/>
              <w:jc w:val="center"/>
              <w:rPr>
                <w:rFonts w:hint="eastAsia" w:hAnsi="宋体" w:cs="宋体"/>
                <w:highlight w:val="none"/>
              </w:rPr>
            </w:pPr>
            <w:r>
              <w:rPr>
                <w:rFonts w:hint="eastAsia" w:hAnsi="宋体" w:cs="宋体"/>
                <w:highlight w:val="none"/>
              </w:rPr>
              <w:t>从事专业及年限</w:t>
            </w:r>
          </w:p>
        </w:tc>
        <w:tc>
          <w:tcPr>
            <w:tcW w:w="2601" w:type="dxa"/>
            <w:vAlign w:val="center"/>
          </w:tcPr>
          <w:p w14:paraId="2914A698">
            <w:pPr>
              <w:jc w:val="center"/>
              <w:rPr>
                <w:rFonts w:hint="eastAsia" w:ascii="宋体" w:hAnsi="宋体" w:cs="宋体"/>
                <w:highlight w:val="none"/>
              </w:rPr>
            </w:pPr>
            <w:r>
              <w:rPr>
                <w:rFonts w:hint="eastAsia" w:ascii="宋体" w:hAnsi="宋体" w:cs="宋体"/>
                <w:highlight w:val="none"/>
              </w:rPr>
              <w:t>执业资格/职称</w:t>
            </w:r>
          </w:p>
          <w:p w14:paraId="72C03DEC">
            <w:pPr>
              <w:pStyle w:val="9"/>
              <w:jc w:val="center"/>
              <w:rPr>
                <w:rFonts w:hint="eastAsia" w:ascii="宋体" w:hAnsi="宋体" w:cs="宋体"/>
                <w:highlight w:val="none"/>
              </w:rPr>
            </w:pPr>
            <w:r>
              <w:rPr>
                <w:rFonts w:hint="eastAsia" w:ascii="宋体" w:hAnsi="宋体" w:cs="宋体"/>
                <w:szCs w:val="21"/>
                <w:highlight w:val="none"/>
              </w:rPr>
              <w:t>（如有）</w:t>
            </w:r>
          </w:p>
        </w:tc>
        <w:tc>
          <w:tcPr>
            <w:tcW w:w="1578" w:type="dxa"/>
            <w:vAlign w:val="center"/>
          </w:tcPr>
          <w:p w14:paraId="1E35EFC2">
            <w:pPr>
              <w:jc w:val="center"/>
              <w:rPr>
                <w:rFonts w:hint="eastAsia" w:ascii="宋体" w:hAnsi="宋体" w:cs="宋体"/>
                <w:szCs w:val="21"/>
                <w:highlight w:val="none"/>
              </w:rPr>
            </w:pPr>
            <w:r>
              <w:rPr>
                <w:rFonts w:hint="eastAsia" w:ascii="宋体" w:hAnsi="宋体" w:cs="宋体"/>
                <w:szCs w:val="21"/>
                <w:highlight w:val="none"/>
              </w:rPr>
              <w:t>本项目拟任岗位</w:t>
            </w:r>
          </w:p>
        </w:tc>
      </w:tr>
      <w:tr w14:paraId="5652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3261A12B">
            <w:pPr>
              <w:jc w:val="center"/>
              <w:rPr>
                <w:rFonts w:hint="eastAsia" w:ascii="宋体" w:hAnsi="宋体" w:cs="宋体"/>
                <w:szCs w:val="21"/>
                <w:highlight w:val="none"/>
              </w:rPr>
            </w:pPr>
          </w:p>
        </w:tc>
        <w:tc>
          <w:tcPr>
            <w:tcW w:w="1372" w:type="dxa"/>
            <w:vAlign w:val="center"/>
          </w:tcPr>
          <w:p w14:paraId="2A0E3F23">
            <w:pPr>
              <w:jc w:val="center"/>
              <w:rPr>
                <w:rFonts w:hint="eastAsia" w:ascii="宋体" w:hAnsi="宋体" w:cs="宋体"/>
                <w:szCs w:val="21"/>
                <w:highlight w:val="none"/>
              </w:rPr>
            </w:pPr>
          </w:p>
        </w:tc>
        <w:tc>
          <w:tcPr>
            <w:tcW w:w="1569" w:type="dxa"/>
            <w:vAlign w:val="center"/>
          </w:tcPr>
          <w:p w14:paraId="551D0915">
            <w:pPr>
              <w:jc w:val="center"/>
              <w:rPr>
                <w:rFonts w:hint="eastAsia" w:ascii="宋体" w:hAnsi="宋体" w:cs="宋体"/>
                <w:szCs w:val="21"/>
                <w:highlight w:val="none"/>
              </w:rPr>
            </w:pPr>
          </w:p>
        </w:tc>
        <w:tc>
          <w:tcPr>
            <w:tcW w:w="1152" w:type="dxa"/>
            <w:vAlign w:val="center"/>
          </w:tcPr>
          <w:p w14:paraId="2F5D9966">
            <w:pPr>
              <w:jc w:val="center"/>
              <w:rPr>
                <w:rFonts w:hint="eastAsia" w:ascii="宋体" w:hAnsi="宋体" w:cs="宋体"/>
                <w:szCs w:val="21"/>
                <w:highlight w:val="none"/>
              </w:rPr>
            </w:pPr>
          </w:p>
        </w:tc>
        <w:tc>
          <w:tcPr>
            <w:tcW w:w="2601" w:type="dxa"/>
            <w:vAlign w:val="center"/>
          </w:tcPr>
          <w:p w14:paraId="2BCF4402">
            <w:pPr>
              <w:jc w:val="center"/>
              <w:rPr>
                <w:rFonts w:hint="eastAsia" w:ascii="宋体" w:hAnsi="宋体" w:cs="宋体"/>
                <w:szCs w:val="21"/>
                <w:highlight w:val="none"/>
              </w:rPr>
            </w:pPr>
          </w:p>
        </w:tc>
        <w:tc>
          <w:tcPr>
            <w:tcW w:w="1578" w:type="dxa"/>
          </w:tcPr>
          <w:p w14:paraId="11E82DC3">
            <w:pPr>
              <w:jc w:val="center"/>
              <w:rPr>
                <w:rFonts w:hint="eastAsia" w:ascii="宋体" w:hAnsi="宋体" w:cs="宋体"/>
                <w:szCs w:val="21"/>
                <w:highlight w:val="none"/>
              </w:rPr>
            </w:pPr>
          </w:p>
        </w:tc>
      </w:tr>
      <w:tr w14:paraId="6470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4ED09008">
            <w:pPr>
              <w:jc w:val="center"/>
              <w:rPr>
                <w:rFonts w:hint="eastAsia" w:ascii="宋体" w:hAnsi="宋体" w:cs="宋体"/>
                <w:szCs w:val="21"/>
                <w:highlight w:val="none"/>
              </w:rPr>
            </w:pPr>
          </w:p>
        </w:tc>
        <w:tc>
          <w:tcPr>
            <w:tcW w:w="1372" w:type="dxa"/>
            <w:vAlign w:val="center"/>
          </w:tcPr>
          <w:p w14:paraId="68051B32">
            <w:pPr>
              <w:jc w:val="center"/>
              <w:rPr>
                <w:rFonts w:hint="eastAsia" w:ascii="宋体" w:hAnsi="宋体" w:cs="宋体"/>
                <w:szCs w:val="21"/>
                <w:highlight w:val="none"/>
              </w:rPr>
            </w:pPr>
          </w:p>
        </w:tc>
        <w:tc>
          <w:tcPr>
            <w:tcW w:w="1569" w:type="dxa"/>
            <w:vAlign w:val="center"/>
          </w:tcPr>
          <w:p w14:paraId="54A8CE28">
            <w:pPr>
              <w:jc w:val="center"/>
              <w:rPr>
                <w:rFonts w:hint="eastAsia" w:ascii="宋体" w:hAnsi="宋体" w:cs="宋体"/>
                <w:szCs w:val="21"/>
                <w:highlight w:val="none"/>
              </w:rPr>
            </w:pPr>
          </w:p>
        </w:tc>
        <w:tc>
          <w:tcPr>
            <w:tcW w:w="1152" w:type="dxa"/>
            <w:vAlign w:val="center"/>
          </w:tcPr>
          <w:p w14:paraId="74F28F00">
            <w:pPr>
              <w:jc w:val="center"/>
              <w:rPr>
                <w:rFonts w:hint="eastAsia" w:ascii="宋体" w:hAnsi="宋体" w:cs="宋体"/>
                <w:szCs w:val="21"/>
                <w:highlight w:val="none"/>
              </w:rPr>
            </w:pPr>
          </w:p>
        </w:tc>
        <w:tc>
          <w:tcPr>
            <w:tcW w:w="2601" w:type="dxa"/>
            <w:vAlign w:val="center"/>
          </w:tcPr>
          <w:p w14:paraId="02768AF9">
            <w:pPr>
              <w:jc w:val="center"/>
              <w:rPr>
                <w:rFonts w:hint="eastAsia" w:ascii="宋体" w:hAnsi="宋体" w:cs="宋体"/>
                <w:szCs w:val="21"/>
                <w:highlight w:val="none"/>
              </w:rPr>
            </w:pPr>
          </w:p>
        </w:tc>
        <w:tc>
          <w:tcPr>
            <w:tcW w:w="1578" w:type="dxa"/>
          </w:tcPr>
          <w:p w14:paraId="6A5999A7">
            <w:pPr>
              <w:jc w:val="center"/>
              <w:rPr>
                <w:rFonts w:hint="eastAsia" w:ascii="宋体" w:hAnsi="宋体" w:cs="宋体"/>
                <w:szCs w:val="21"/>
                <w:highlight w:val="none"/>
              </w:rPr>
            </w:pPr>
          </w:p>
        </w:tc>
      </w:tr>
      <w:tr w14:paraId="6229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0F5D0271">
            <w:pPr>
              <w:jc w:val="center"/>
              <w:rPr>
                <w:rFonts w:hint="eastAsia" w:ascii="宋体" w:hAnsi="宋体" w:cs="宋体"/>
                <w:szCs w:val="21"/>
                <w:highlight w:val="none"/>
              </w:rPr>
            </w:pPr>
          </w:p>
        </w:tc>
        <w:tc>
          <w:tcPr>
            <w:tcW w:w="1372" w:type="dxa"/>
            <w:vAlign w:val="center"/>
          </w:tcPr>
          <w:p w14:paraId="00CF93AE">
            <w:pPr>
              <w:jc w:val="center"/>
              <w:rPr>
                <w:rFonts w:hint="eastAsia" w:ascii="宋体" w:hAnsi="宋体" w:cs="宋体"/>
                <w:szCs w:val="21"/>
                <w:highlight w:val="none"/>
              </w:rPr>
            </w:pPr>
          </w:p>
        </w:tc>
        <w:tc>
          <w:tcPr>
            <w:tcW w:w="1569" w:type="dxa"/>
            <w:vAlign w:val="center"/>
          </w:tcPr>
          <w:p w14:paraId="3E710BB4">
            <w:pPr>
              <w:jc w:val="center"/>
              <w:rPr>
                <w:rFonts w:hint="eastAsia" w:ascii="宋体" w:hAnsi="宋体" w:cs="宋体"/>
                <w:szCs w:val="21"/>
                <w:highlight w:val="none"/>
              </w:rPr>
            </w:pPr>
          </w:p>
        </w:tc>
        <w:tc>
          <w:tcPr>
            <w:tcW w:w="1152" w:type="dxa"/>
            <w:vAlign w:val="center"/>
          </w:tcPr>
          <w:p w14:paraId="30892A75">
            <w:pPr>
              <w:jc w:val="center"/>
              <w:rPr>
                <w:rFonts w:hint="eastAsia" w:ascii="宋体" w:hAnsi="宋体" w:cs="宋体"/>
                <w:szCs w:val="21"/>
                <w:highlight w:val="none"/>
              </w:rPr>
            </w:pPr>
          </w:p>
        </w:tc>
        <w:tc>
          <w:tcPr>
            <w:tcW w:w="2601" w:type="dxa"/>
            <w:vAlign w:val="center"/>
          </w:tcPr>
          <w:p w14:paraId="613019FC">
            <w:pPr>
              <w:jc w:val="center"/>
              <w:rPr>
                <w:rFonts w:hint="eastAsia" w:ascii="宋体" w:hAnsi="宋体" w:cs="宋体"/>
                <w:szCs w:val="21"/>
                <w:highlight w:val="none"/>
              </w:rPr>
            </w:pPr>
          </w:p>
        </w:tc>
        <w:tc>
          <w:tcPr>
            <w:tcW w:w="1578" w:type="dxa"/>
          </w:tcPr>
          <w:p w14:paraId="3D51D862">
            <w:pPr>
              <w:jc w:val="center"/>
              <w:rPr>
                <w:rFonts w:hint="eastAsia" w:ascii="宋体" w:hAnsi="宋体" w:cs="宋体"/>
                <w:szCs w:val="21"/>
                <w:highlight w:val="none"/>
              </w:rPr>
            </w:pPr>
          </w:p>
        </w:tc>
      </w:tr>
      <w:tr w14:paraId="4BEF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0F3C9B9A">
            <w:pPr>
              <w:jc w:val="center"/>
              <w:rPr>
                <w:rFonts w:hint="eastAsia" w:ascii="宋体" w:hAnsi="宋体" w:cs="宋体"/>
                <w:szCs w:val="21"/>
                <w:highlight w:val="none"/>
              </w:rPr>
            </w:pPr>
          </w:p>
        </w:tc>
        <w:tc>
          <w:tcPr>
            <w:tcW w:w="1372" w:type="dxa"/>
            <w:vAlign w:val="center"/>
          </w:tcPr>
          <w:p w14:paraId="37D7D7B8">
            <w:pPr>
              <w:jc w:val="center"/>
              <w:rPr>
                <w:rFonts w:hint="eastAsia" w:ascii="宋体" w:hAnsi="宋体" w:cs="宋体"/>
                <w:szCs w:val="21"/>
                <w:highlight w:val="none"/>
              </w:rPr>
            </w:pPr>
          </w:p>
        </w:tc>
        <w:tc>
          <w:tcPr>
            <w:tcW w:w="1569" w:type="dxa"/>
            <w:vAlign w:val="center"/>
          </w:tcPr>
          <w:p w14:paraId="3F1C2FD2">
            <w:pPr>
              <w:jc w:val="center"/>
              <w:rPr>
                <w:rFonts w:hint="eastAsia" w:ascii="宋体" w:hAnsi="宋体" w:cs="宋体"/>
                <w:szCs w:val="21"/>
                <w:highlight w:val="none"/>
              </w:rPr>
            </w:pPr>
          </w:p>
        </w:tc>
        <w:tc>
          <w:tcPr>
            <w:tcW w:w="1152" w:type="dxa"/>
            <w:vAlign w:val="center"/>
          </w:tcPr>
          <w:p w14:paraId="20EB63D9">
            <w:pPr>
              <w:jc w:val="center"/>
              <w:rPr>
                <w:rFonts w:hint="eastAsia" w:ascii="宋体" w:hAnsi="宋体" w:cs="宋体"/>
                <w:szCs w:val="21"/>
                <w:highlight w:val="none"/>
              </w:rPr>
            </w:pPr>
          </w:p>
        </w:tc>
        <w:tc>
          <w:tcPr>
            <w:tcW w:w="2601" w:type="dxa"/>
            <w:vAlign w:val="center"/>
          </w:tcPr>
          <w:p w14:paraId="04806A68">
            <w:pPr>
              <w:jc w:val="center"/>
              <w:rPr>
                <w:rFonts w:hint="eastAsia" w:ascii="宋体" w:hAnsi="宋体" w:cs="宋体"/>
                <w:szCs w:val="21"/>
                <w:highlight w:val="none"/>
              </w:rPr>
            </w:pPr>
          </w:p>
        </w:tc>
        <w:tc>
          <w:tcPr>
            <w:tcW w:w="1578" w:type="dxa"/>
          </w:tcPr>
          <w:p w14:paraId="36DE4760">
            <w:pPr>
              <w:jc w:val="center"/>
              <w:rPr>
                <w:rFonts w:hint="eastAsia" w:ascii="宋体" w:hAnsi="宋体" w:cs="宋体"/>
                <w:szCs w:val="21"/>
                <w:highlight w:val="none"/>
              </w:rPr>
            </w:pPr>
          </w:p>
        </w:tc>
      </w:tr>
      <w:tr w14:paraId="37CC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1DAD8019">
            <w:pPr>
              <w:jc w:val="center"/>
              <w:rPr>
                <w:rFonts w:hint="eastAsia" w:ascii="宋体" w:hAnsi="宋体" w:cs="宋体"/>
                <w:szCs w:val="21"/>
                <w:highlight w:val="none"/>
              </w:rPr>
            </w:pPr>
          </w:p>
        </w:tc>
        <w:tc>
          <w:tcPr>
            <w:tcW w:w="1372" w:type="dxa"/>
            <w:vAlign w:val="center"/>
          </w:tcPr>
          <w:p w14:paraId="6893C651">
            <w:pPr>
              <w:jc w:val="center"/>
              <w:rPr>
                <w:rFonts w:hint="eastAsia" w:ascii="宋体" w:hAnsi="宋体" w:cs="宋体"/>
                <w:szCs w:val="21"/>
                <w:highlight w:val="none"/>
              </w:rPr>
            </w:pPr>
          </w:p>
        </w:tc>
        <w:tc>
          <w:tcPr>
            <w:tcW w:w="1569" w:type="dxa"/>
            <w:vAlign w:val="center"/>
          </w:tcPr>
          <w:p w14:paraId="54E0A275">
            <w:pPr>
              <w:jc w:val="center"/>
              <w:rPr>
                <w:rFonts w:hint="eastAsia" w:ascii="宋体" w:hAnsi="宋体" w:cs="宋体"/>
                <w:szCs w:val="21"/>
                <w:highlight w:val="none"/>
              </w:rPr>
            </w:pPr>
          </w:p>
        </w:tc>
        <w:tc>
          <w:tcPr>
            <w:tcW w:w="1152" w:type="dxa"/>
            <w:vAlign w:val="center"/>
          </w:tcPr>
          <w:p w14:paraId="7245EFA9">
            <w:pPr>
              <w:jc w:val="center"/>
              <w:rPr>
                <w:rFonts w:hint="eastAsia" w:ascii="宋体" w:hAnsi="宋体" w:cs="宋体"/>
                <w:szCs w:val="21"/>
                <w:highlight w:val="none"/>
              </w:rPr>
            </w:pPr>
          </w:p>
        </w:tc>
        <w:tc>
          <w:tcPr>
            <w:tcW w:w="2601" w:type="dxa"/>
            <w:vAlign w:val="center"/>
          </w:tcPr>
          <w:p w14:paraId="24866989">
            <w:pPr>
              <w:jc w:val="center"/>
              <w:rPr>
                <w:rFonts w:hint="eastAsia" w:ascii="宋体" w:hAnsi="宋体" w:cs="宋体"/>
                <w:szCs w:val="21"/>
                <w:highlight w:val="none"/>
              </w:rPr>
            </w:pPr>
          </w:p>
        </w:tc>
        <w:tc>
          <w:tcPr>
            <w:tcW w:w="1578" w:type="dxa"/>
          </w:tcPr>
          <w:p w14:paraId="4A3E2AD4">
            <w:pPr>
              <w:jc w:val="center"/>
              <w:rPr>
                <w:rFonts w:hint="eastAsia" w:ascii="宋体" w:hAnsi="宋体" w:cs="宋体"/>
                <w:szCs w:val="21"/>
                <w:highlight w:val="none"/>
              </w:rPr>
            </w:pPr>
          </w:p>
        </w:tc>
      </w:tr>
      <w:tr w14:paraId="18EB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3314BA23">
            <w:pPr>
              <w:jc w:val="center"/>
              <w:rPr>
                <w:rFonts w:hint="eastAsia" w:ascii="宋体" w:hAnsi="宋体" w:cs="宋体"/>
                <w:szCs w:val="21"/>
                <w:highlight w:val="none"/>
              </w:rPr>
            </w:pPr>
          </w:p>
        </w:tc>
        <w:tc>
          <w:tcPr>
            <w:tcW w:w="1372" w:type="dxa"/>
            <w:vAlign w:val="center"/>
          </w:tcPr>
          <w:p w14:paraId="582DCB87">
            <w:pPr>
              <w:jc w:val="center"/>
              <w:rPr>
                <w:rFonts w:hint="eastAsia" w:ascii="宋体" w:hAnsi="宋体" w:cs="宋体"/>
                <w:szCs w:val="21"/>
                <w:highlight w:val="none"/>
              </w:rPr>
            </w:pPr>
          </w:p>
        </w:tc>
        <w:tc>
          <w:tcPr>
            <w:tcW w:w="1569" w:type="dxa"/>
            <w:vAlign w:val="center"/>
          </w:tcPr>
          <w:p w14:paraId="657EF8B6">
            <w:pPr>
              <w:jc w:val="center"/>
              <w:rPr>
                <w:rFonts w:hint="eastAsia" w:ascii="宋体" w:hAnsi="宋体" w:cs="宋体"/>
                <w:szCs w:val="21"/>
                <w:highlight w:val="none"/>
              </w:rPr>
            </w:pPr>
          </w:p>
        </w:tc>
        <w:tc>
          <w:tcPr>
            <w:tcW w:w="1152" w:type="dxa"/>
            <w:vAlign w:val="center"/>
          </w:tcPr>
          <w:p w14:paraId="3D8C2A95">
            <w:pPr>
              <w:jc w:val="center"/>
              <w:rPr>
                <w:rFonts w:hint="eastAsia" w:ascii="宋体" w:hAnsi="宋体" w:cs="宋体"/>
                <w:szCs w:val="21"/>
                <w:highlight w:val="none"/>
              </w:rPr>
            </w:pPr>
          </w:p>
        </w:tc>
        <w:tc>
          <w:tcPr>
            <w:tcW w:w="2601" w:type="dxa"/>
            <w:vAlign w:val="center"/>
          </w:tcPr>
          <w:p w14:paraId="166A93E9">
            <w:pPr>
              <w:jc w:val="center"/>
              <w:rPr>
                <w:rFonts w:hint="eastAsia" w:ascii="宋体" w:hAnsi="宋体" w:cs="宋体"/>
                <w:szCs w:val="21"/>
                <w:highlight w:val="none"/>
              </w:rPr>
            </w:pPr>
          </w:p>
        </w:tc>
        <w:tc>
          <w:tcPr>
            <w:tcW w:w="1578" w:type="dxa"/>
          </w:tcPr>
          <w:p w14:paraId="61348799">
            <w:pPr>
              <w:jc w:val="center"/>
              <w:rPr>
                <w:rFonts w:hint="eastAsia" w:ascii="宋体" w:hAnsi="宋体" w:cs="宋体"/>
                <w:szCs w:val="21"/>
                <w:highlight w:val="none"/>
              </w:rPr>
            </w:pPr>
          </w:p>
        </w:tc>
      </w:tr>
      <w:tr w14:paraId="5AFB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85" w:type="dxa"/>
            <w:vAlign w:val="center"/>
          </w:tcPr>
          <w:p w14:paraId="14D16F60">
            <w:pPr>
              <w:jc w:val="center"/>
              <w:rPr>
                <w:rFonts w:hint="eastAsia" w:ascii="宋体" w:hAnsi="宋体" w:cs="宋体"/>
                <w:szCs w:val="21"/>
                <w:highlight w:val="none"/>
              </w:rPr>
            </w:pPr>
          </w:p>
        </w:tc>
        <w:tc>
          <w:tcPr>
            <w:tcW w:w="1372" w:type="dxa"/>
            <w:vAlign w:val="center"/>
          </w:tcPr>
          <w:p w14:paraId="36E2E14D">
            <w:pPr>
              <w:jc w:val="center"/>
              <w:rPr>
                <w:rFonts w:hint="eastAsia" w:ascii="宋体" w:hAnsi="宋体" w:cs="宋体"/>
                <w:szCs w:val="21"/>
                <w:highlight w:val="none"/>
              </w:rPr>
            </w:pPr>
          </w:p>
        </w:tc>
        <w:tc>
          <w:tcPr>
            <w:tcW w:w="1569" w:type="dxa"/>
            <w:vAlign w:val="center"/>
          </w:tcPr>
          <w:p w14:paraId="1FEF54B4">
            <w:pPr>
              <w:jc w:val="center"/>
              <w:rPr>
                <w:rFonts w:hint="eastAsia" w:ascii="宋体" w:hAnsi="宋体" w:cs="宋体"/>
                <w:szCs w:val="21"/>
                <w:highlight w:val="none"/>
              </w:rPr>
            </w:pPr>
          </w:p>
        </w:tc>
        <w:tc>
          <w:tcPr>
            <w:tcW w:w="1152" w:type="dxa"/>
            <w:vAlign w:val="center"/>
          </w:tcPr>
          <w:p w14:paraId="708F0F6E">
            <w:pPr>
              <w:jc w:val="center"/>
              <w:rPr>
                <w:rFonts w:hint="eastAsia" w:ascii="宋体" w:hAnsi="宋体" w:cs="宋体"/>
                <w:szCs w:val="21"/>
                <w:highlight w:val="none"/>
              </w:rPr>
            </w:pPr>
          </w:p>
        </w:tc>
        <w:tc>
          <w:tcPr>
            <w:tcW w:w="2601" w:type="dxa"/>
            <w:vAlign w:val="center"/>
          </w:tcPr>
          <w:p w14:paraId="5EE9158F">
            <w:pPr>
              <w:jc w:val="center"/>
              <w:rPr>
                <w:rFonts w:hint="eastAsia" w:ascii="宋体" w:hAnsi="宋体" w:cs="宋体"/>
                <w:szCs w:val="21"/>
                <w:highlight w:val="none"/>
              </w:rPr>
            </w:pPr>
          </w:p>
        </w:tc>
        <w:tc>
          <w:tcPr>
            <w:tcW w:w="1578" w:type="dxa"/>
          </w:tcPr>
          <w:p w14:paraId="56CBA165">
            <w:pPr>
              <w:jc w:val="center"/>
              <w:rPr>
                <w:rFonts w:hint="eastAsia" w:ascii="宋体" w:hAnsi="宋体" w:cs="宋体"/>
                <w:szCs w:val="21"/>
                <w:highlight w:val="none"/>
              </w:rPr>
            </w:pPr>
          </w:p>
        </w:tc>
      </w:tr>
    </w:tbl>
    <w:p w14:paraId="48E4F3AA">
      <w:pPr>
        <w:rPr>
          <w:rFonts w:hint="eastAsia" w:ascii="宋体" w:hAnsi="宋体" w:cs="宋体"/>
          <w:b/>
          <w:szCs w:val="21"/>
          <w:highlight w:val="none"/>
        </w:rPr>
      </w:pPr>
      <w:r>
        <w:rPr>
          <w:rFonts w:hint="eastAsia" w:ascii="宋体" w:hAnsi="宋体" w:cs="宋体"/>
          <w:b/>
          <w:szCs w:val="21"/>
          <w:highlight w:val="none"/>
        </w:rPr>
        <w:t>注：</w:t>
      </w:r>
    </w:p>
    <w:p w14:paraId="6FCA4A68">
      <w:pPr>
        <w:ind w:firstLine="422" w:firstLineChars="200"/>
        <w:rPr>
          <w:rFonts w:hint="eastAsia" w:ascii="宋体" w:hAnsi="宋体" w:cs="宋体"/>
          <w:b/>
          <w:szCs w:val="21"/>
          <w:highlight w:val="none"/>
        </w:rPr>
      </w:pPr>
      <w:r>
        <w:rPr>
          <w:rFonts w:hint="eastAsia" w:ascii="宋体" w:hAnsi="宋体" w:cs="宋体"/>
          <w:b/>
          <w:szCs w:val="21"/>
          <w:highlight w:val="none"/>
        </w:rPr>
        <w:t>1.本表需附人员资格（职称）证书、社保缴纳证明等原件扫描件上传。</w:t>
      </w:r>
    </w:p>
    <w:p w14:paraId="1CBD7812">
      <w:pPr>
        <w:pStyle w:val="11"/>
        <w:ind w:firstLine="420" w:firstLineChars="200"/>
        <w:rPr>
          <w:rFonts w:hint="eastAsia" w:hAnsi="宋体" w:cs="宋体"/>
          <w:highlight w:val="none"/>
        </w:rPr>
      </w:pPr>
    </w:p>
    <w:p w14:paraId="0F52A790">
      <w:pPr>
        <w:rPr>
          <w:rFonts w:hint="eastAsia" w:ascii="宋体" w:hAnsi="宋体" w:cs="宋体"/>
          <w:highlight w:val="none"/>
        </w:rPr>
      </w:pPr>
    </w:p>
    <w:p w14:paraId="357C80EA">
      <w:pPr>
        <w:pStyle w:val="11"/>
        <w:ind w:firstLine="420" w:firstLineChars="200"/>
        <w:rPr>
          <w:rFonts w:hint="eastAsia" w:hAnsi="宋体" w:cs="宋体"/>
          <w:highlight w:val="none"/>
        </w:rPr>
      </w:pPr>
      <w:r>
        <w:rPr>
          <w:rFonts w:hint="eastAsia" w:hAnsi="宋体" w:cs="宋体"/>
          <w:highlight w:val="none"/>
        </w:rPr>
        <w:t>投标人（盖章） ：</w:t>
      </w:r>
    </w:p>
    <w:p w14:paraId="0F24CEF9">
      <w:pPr>
        <w:pStyle w:val="11"/>
        <w:ind w:firstLine="420" w:firstLineChars="200"/>
        <w:rPr>
          <w:rFonts w:hint="eastAsia" w:hAnsi="宋体" w:cs="宋体"/>
          <w:highlight w:val="none"/>
        </w:rPr>
      </w:pPr>
    </w:p>
    <w:p w14:paraId="066B4739">
      <w:pPr>
        <w:adjustRightInd w:val="0"/>
        <w:snapToGrid w:val="0"/>
        <w:ind w:firstLine="420" w:firstLineChars="200"/>
        <w:rPr>
          <w:rFonts w:hint="eastAsia" w:ascii="宋体" w:hAnsi="宋体" w:cs="宋体"/>
          <w:szCs w:val="21"/>
          <w:highlight w:val="none"/>
        </w:rPr>
      </w:pPr>
      <w:r>
        <w:rPr>
          <w:rFonts w:hint="eastAsia" w:ascii="宋体" w:hAnsi="宋体" w:cs="宋体"/>
          <w:szCs w:val="21"/>
          <w:highlight w:val="none"/>
        </w:rPr>
        <w:t>日期：   年   月   日</w:t>
      </w:r>
    </w:p>
    <w:p w14:paraId="044206D1">
      <w:pPr>
        <w:spacing w:line="460" w:lineRule="exact"/>
        <w:rPr>
          <w:rFonts w:hint="eastAsia" w:ascii="宋体" w:hAnsi="宋体"/>
          <w:b/>
          <w:bCs/>
          <w:sz w:val="28"/>
          <w:szCs w:val="28"/>
          <w:highlight w:val="none"/>
        </w:rPr>
      </w:pPr>
    </w:p>
    <w:p w14:paraId="6AD95E77">
      <w:pPr>
        <w:spacing w:line="460" w:lineRule="exact"/>
        <w:outlineLvl w:val="0"/>
        <w:rPr>
          <w:rFonts w:hint="default" w:ascii="宋体" w:hAnsi="宋体" w:eastAsia="宋体"/>
          <w:b/>
          <w:bCs/>
          <w:sz w:val="22"/>
          <w:szCs w:val="22"/>
          <w:highlight w:val="none"/>
          <w:lang w:val="en-US" w:eastAsia="zh-CN"/>
        </w:rPr>
      </w:pPr>
      <w:r>
        <w:rPr>
          <w:rFonts w:hint="eastAsia" w:ascii="宋体" w:hAnsi="宋体"/>
          <w:b/>
          <w:bCs/>
          <w:sz w:val="22"/>
          <w:szCs w:val="22"/>
          <w:highlight w:val="none"/>
        </w:rPr>
        <w:br w:type="page"/>
      </w:r>
      <w:bookmarkStart w:id="196" w:name="_Toc22549"/>
      <w:bookmarkStart w:id="197" w:name="_Toc7688"/>
      <w:r>
        <w:rPr>
          <w:rFonts w:hint="eastAsia" w:ascii="宋体" w:hAnsi="宋体"/>
          <w:b/>
          <w:bCs/>
          <w:sz w:val="22"/>
          <w:szCs w:val="22"/>
          <w:highlight w:val="none"/>
        </w:rPr>
        <w:t>附件</w:t>
      </w:r>
      <w:bookmarkEnd w:id="196"/>
      <w:bookmarkEnd w:id="197"/>
      <w:r>
        <w:rPr>
          <w:rFonts w:hint="eastAsia" w:ascii="宋体" w:hAnsi="宋体"/>
          <w:b/>
          <w:bCs/>
          <w:sz w:val="22"/>
          <w:szCs w:val="22"/>
          <w:highlight w:val="none"/>
          <w:lang w:val="en-US" w:eastAsia="zh-CN"/>
        </w:rPr>
        <w:t>11</w:t>
      </w:r>
    </w:p>
    <w:p w14:paraId="23404F5F">
      <w:pPr>
        <w:widowControl/>
        <w:spacing w:line="420" w:lineRule="atLeast"/>
        <w:jc w:val="center"/>
        <w:rPr>
          <w:rFonts w:hint="eastAsia" w:ascii="宋体" w:hAnsi="宋体"/>
          <w:b/>
          <w:bCs/>
          <w:kern w:val="0"/>
          <w:sz w:val="30"/>
          <w:szCs w:val="30"/>
          <w:highlight w:val="none"/>
        </w:rPr>
      </w:pPr>
      <w:r>
        <w:rPr>
          <w:rFonts w:hint="eastAsia" w:ascii="宋体" w:hAnsi="宋体"/>
          <w:b/>
          <w:bCs/>
          <w:kern w:val="0"/>
          <w:sz w:val="30"/>
          <w:szCs w:val="30"/>
          <w:highlight w:val="none"/>
        </w:rPr>
        <w:t>开标一览表</w:t>
      </w:r>
    </w:p>
    <w:p w14:paraId="154FC622">
      <w:pPr>
        <w:spacing w:line="380" w:lineRule="exact"/>
        <w:jc w:val="center"/>
        <w:rPr>
          <w:rFonts w:hint="eastAsia" w:ascii="宋体" w:hAnsi="宋体"/>
          <w:b/>
          <w:bCs/>
          <w:sz w:val="28"/>
          <w:highlight w:val="none"/>
        </w:rPr>
      </w:pPr>
    </w:p>
    <w:p w14:paraId="502BCE74">
      <w:pPr>
        <w:spacing w:line="360" w:lineRule="auto"/>
        <w:ind w:right="349" w:rightChars="166" w:firstLine="316" w:firstLineChars="150"/>
        <w:rPr>
          <w:rFonts w:hint="eastAsia" w:ascii="宋体" w:hAnsi="宋体" w:cs="宋体"/>
          <w:b/>
          <w:szCs w:val="21"/>
          <w:highlight w:val="none"/>
        </w:rPr>
      </w:pPr>
      <w:r>
        <w:rPr>
          <w:rFonts w:hint="eastAsia" w:ascii="宋体" w:hAnsi="宋体" w:cs="宋体"/>
          <w:b/>
          <w:szCs w:val="21"/>
          <w:highlight w:val="none"/>
        </w:rPr>
        <w:t>项目名称：                                          项目编号：</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2108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vAlign w:val="center"/>
          </w:tcPr>
          <w:p w14:paraId="47794379">
            <w:pPr>
              <w:pStyle w:val="11"/>
              <w:jc w:val="center"/>
              <w:rPr>
                <w:rFonts w:hint="eastAsia" w:hAnsi="宋体"/>
                <w:highlight w:val="none"/>
              </w:rPr>
            </w:pPr>
            <w:r>
              <w:rPr>
                <w:rFonts w:hint="eastAsia" w:hAnsi="宋体"/>
                <w:highlight w:val="none"/>
              </w:rPr>
              <w:t>序号</w:t>
            </w:r>
          </w:p>
        </w:tc>
        <w:tc>
          <w:tcPr>
            <w:tcW w:w="2520" w:type="dxa"/>
            <w:tcBorders>
              <w:left w:val="single" w:color="auto" w:sz="4" w:space="0"/>
              <w:bottom w:val="single" w:color="auto" w:sz="4" w:space="0"/>
              <w:right w:val="single" w:color="auto" w:sz="4" w:space="0"/>
            </w:tcBorders>
            <w:vAlign w:val="center"/>
          </w:tcPr>
          <w:p w14:paraId="1FECD1CB">
            <w:pPr>
              <w:pStyle w:val="11"/>
              <w:jc w:val="center"/>
              <w:rPr>
                <w:rFonts w:hint="eastAsia" w:hAnsi="宋体"/>
                <w:highlight w:val="none"/>
              </w:rPr>
            </w:pPr>
            <w:r>
              <w:rPr>
                <w:rFonts w:hint="eastAsia" w:hAnsi="宋体"/>
                <w:highlight w:val="none"/>
              </w:rPr>
              <w:t>名称</w:t>
            </w:r>
          </w:p>
        </w:tc>
        <w:tc>
          <w:tcPr>
            <w:tcW w:w="6437" w:type="dxa"/>
            <w:tcBorders>
              <w:left w:val="single" w:color="auto" w:sz="4" w:space="0"/>
              <w:bottom w:val="single" w:color="auto" w:sz="4" w:space="0"/>
            </w:tcBorders>
            <w:vAlign w:val="center"/>
          </w:tcPr>
          <w:p w14:paraId="6C8A74E6">
            <w:pPr>
              <w:pStyle w:val="11"/>
              <w:jc w:val="center"/>
              <w:rPr>
                <w:rFonts w:hint="eastAsia" w:hAnsi="宋体"/>
                <w:highlight w:val="none"/>
              </w:rPr>
            </w:pPr>
            <w:r>
              <w:rPr>
                <w:rFonts w:hint="eastAsia" w:hAnsi="宋体"/>
                <w:highlight w:val="none"/>
              </w:rPr>
              <w:t>内容</w:t>
            </w:r>
          </w:p>
        </w:tc>
      </w:tr>
      <w:tr w14:paraId="66DB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14:paraId="1F202346">
            <w:pPr>
              <w:pStyle w:val="11"/>
              <w:jc w:val="center"/>
              <w:rPr>
                <w:rFonts w:hint="eastAsia" w:hAnsi="宋体"/>
                <w:highlight w:val="none"/>
              </w:rPr>
            </w:pPr>
            <w:r>
              <w:rPr>
                <w:rFonts w:hint="eastAsia" w:hAnsi="宋体"/>
                <w:highlight w:val="none"/>
              </w:rPr>
              <w:t>一</w:t>
            </w:r>
          </w:p>
        </w:tc>
        <w:tc>
          <w:tcPr>
            <w:tcW w:w="2520" w:type="dxa"/>
            <w:tcBorders>
              <w:left w:val="single" w:color="auto" w:sz="4" w:space="0"/>
              <w:bottom w:val="single" w:color="auto" w:sz="4" w:space="0"/>
              <w:right w:val="single" w:color="auto" w:sz="4" w:space="0"/>
            </w:tcBorders>
            <w:vAlign w:val="center"/>
          </w:tcPr>
          <w:p w14:paraId="3D72E49A">
            <w:pPr>
              <w:pStyle w:val="11"/>
              <w:rPr>
                <w:rFonts w:hint="eastAsia" w:hAnsi="宋体"/>
                <w:highlight w:val="none"/>
              </w:rPr>
            </w:pPr>
            <w:r>
              <w:rPr>
                <w:rFonts w:hint="eastAsia" w:hAnsi="宋体"/>
                <w:highlight w:val="none"/>
              </w:rPr>
              <w:t>投标总价</w:t>
            </w:r>
          </w:p>
        </w:tc>
        <w:tc>
          <w:tcPr>
            <w:tcW w:w="6437" w:type="dxa"/>
            <w:tcBorders>
              <w:top w:val="single" w:color="auto" w:sz="4" w:space="0"/>
              <w:left w:val="single" w:color="auto" w:sz="4" w:space="0"/>
              <w:bottom w:val="single" w:color="auto" w:sz="4" w:space="0"/>
            </w:tcBorders>
            <w:vAlign w:val="center"/>
          </w:tcPr>
          <w:p w14:paraId="16F97070">
            <w:pPr>
              <w:pStyle w:val="11"/>
              <w:rPr>
                <w:rFonts w:hint="eastAsia" w:hAnsi="宋体"/>
                <w:highlight w:val="none"/>
              </w:rPr>
            </w:pPr>
            <w:r>
              <w:rPr>
                <w:rFonts w:hint="eastAsia" w:hAnsi="宋体"/>
                <w:highlight w:val="none"/>
              </w:rPr>
              <w:t xml:space="preserve">小写：             大写：        </w:t>
            </w:r>
          </w:p>
        </w:tc>
      </w:tr>
      <w:tr w14:paraId="0C32D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709" w:type="dxa"/>
            <w:tcBorders>
              <w:bottom w:val="single" w:color="auto" w:sz="4" w:space="0"/>
              <w:right w:val="single" w:color="auto" w:sz="4" w:space="0"/>
            </w:tcBorders>
            <w:vAlign w:val="center"/>
          </w:tcPr>
          <w:p w14:paraId="5D02AC75">
            <w:pPr>
              <w:pStyle w:val="11"/>
              <w:jc w:val="center"/>
              <w:rPr>
                <w:rFonts w:hint="eastAsia" w:hAnsi="宋体"/>
                <w:highlight w:val="none"/>
              </w:rPr>
            </w:pPr>
            <w:r>
              <w:rPr>
                <w:rFonts w:hint="eastAsia" w:hAnsi="宋体"/>
                <w:highlight w:val="none"/>
              </w:rPr>
              <w:t>二</w:t>
            </w:r>
          </w:p>
        </w:tc>
        <w:tc>
          <w:tcPr>
            <w:tcW w:w="2520" w:type="dxa"/>
            <w:tcBorders>
              <w:left w:val="single" w:color="auto" w:sz="4" w:space="0"/>
              <w:bottom w:val="single" w:color="auto" w:sz="4" w:space="0"/>
              <w:right w:val="single" w:color="auto" w:sz="4" w:space="0"/>
            </w:tcBorders>
            <w:vAlign w:val="center"/>
          </w:tcPr>
          <w:p w14:paraId="245A9534">
            <w:pPr>
              <w:pStyle w:val="11"/>
              <w:rPr>
                <w:rFonts w:hint="eastAsia" w:hAnsi="宋体"/>
                <w:highlight w:val="none"/>
              </w:rPr>
            </w:pPr>
            <w:r>
              <w:rPr>
                <w:rFonts w:hint="eastAsia" w:hAnsi="宋体"/>
                <w:highlight w:val="none"/>
              </w:rPr>
              <w:t>项目负责人</w:t>
            </w:r>
          </w:p>
        </w:tc>
        <w:tc>
          <w:tcPr>
            <w:tcW w:w="6437" w:type="dxa"/>
            <w:tcBorders>
              <w:top w:val="single" w:color="auto" w:sz="4" w:space="0"/>
              <w:left w:val="single" w:color="auto" w:sz="4" w:space="0"/>
              <w:bottom w:val="single" w:color="auto" w:sz="4" w:space="0"/>
            </w:tcBorders>
            <w:vAlign w:val="center"/>
          </w:tcPr>
          <w:p w14:paraId="48D8C7D3">
            <w:pPr>
              <w:pStyle w:val="11"/>
              <w:rPr>
                <w:rFonts w:hint="eastAsia" w:hAnsi="宋体"/>
                <w:highlight w:val="none"/>
              </w:rPr>
            </w:pPr>
          </w:p>
        </w:tc>
      </w:tr>
      <w:tr w14:paraId="58E66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vAlign w:val="center"/>
          </w:tcPr>
          <w:p w14:paraId="42334E81">
            <w:pPr>
              <w:pStyle w:val="11"/>
              <w:jc w:val="center"/>
              <w:rPr>
                <w:rFonts w:hint="eastAsia" w:hAnsi="宋体"/>
                <w:highlight w:val="none"/>
              </w:rPr>
            </w:pPr>
            <w:r>
              <w:rPr>
                <w:rFonts w:hint="eastAsia" w:hAnsi="宋体"/>
                <w:highlight w:val="none"/>
              </w:rPr>
              <w:t>备注</w:t>
            </w:r>
          </w:p>
        </w:tc>
        <w:tc>
          <w:tcPr>
            <w:tcW w:w="6437" w:type="dxa"/>
            <w:tcBorders>
              <w:top w:val="single" w:color="auto" w:sz="4" w:space="0"/>
              <w:left w:val="single" w:color="auto" w:sz="4" w:space="0"/>
            </w:tcBorders>
            <w:vAlign w:val="center"/>
          </w:tcPr>
          <w:p w14:paraId="6A5D10CE">
            <w:pPr>
              <w:pStyle w:val="11"/>
              <w:rPr>
                <w:rFonts w:hint="eastAsia" w:hAnsi="宋体"/>
                <w:highlight w:val="none"/>
              </w:rPr>
            </w:pPr>
            <w:r>
              <w:rPr>
                <w:rFonts w:hint="eastAsia" w:hAnsi="宋体" w:cs="宋体"/>
                <w:highlight w:val="none"/>
              </w:rPr>
              <w:t>上述报价是本项目采购文件确定的采购范围内全部工作内容的价格表现。包括项目所涉及的人工、材料及机械、其它措施费、保险费用、利润、管理费、税金及完成本项目工作任务所需的全部费用，所有采购文件提及或采购文件未提及的全部开支均已计入投标报价。</w:t>
            </w:r>
          </w:p>
        </w:tc>
      </w:tr>
    </w:tbl>
    <w:p w14:paraId="3A90016F">
      <w:pPr>
        <w:spacing w:line="360" w:lineRule="auto"/>
        <w:ind w:firstLine="219" w:firstLineChars="104"/>
        <w:jc w:val="left"/>
        <w:rPr>
          <w:rFonts w:hint="eastAsia" w:ascii="宋体" w:hAnsi="宋体" w:cs="宋体"/>
          <w:b/>
          <w:bCs/>
          <w:szCs w:val="21"/>
          <w:highlight w:val="none"/>
        </w:rPr>
      </w:pPr>
      <w:r>
        <w:rPr>
          <w:rFonts w:hint="eastAsia" w:ascii="宋体" w:hAnsi="宋体" w:cs="宋体"/>
          <w:b/>
          <w:bCs/>
          <w:szCs w:val="21"/>
          <w:highlight w:val="none"/>
        </w:rPr>
        <w:t>注：1、报价一经涂改，应在涂改处加盖单位公章或者由法定代表人或授权委托人签字或盖章，否则其投标作无效标处理。</w:t>
      </w:r>
    </w:p>
    <w:p w14:paraId="237DC9D7">
      <w:pPr>
        <w:pStyle w:val="24"/>
        <w:ind w:left="840" w:hanging="420"/>
        <w:rPr>
          <w:rFonts w:hint="eastAsia" w:ascii="宋体" w:hAnsi="宋体"/>
          <w:highlight w:val="none"/>
        </w:rPr>
      </w:pPr>
    </w:p>
    <w:p w14:paraId="208A03B9">
      <w:pPr>
        <w:pStyle w:val="24"/>
        <w:ind w:left="840" w:hanging="420"/>
        <w:rPr>
          <w:rFonts w:hint="eastAsia" w:ascii="宋体" w:hAnsi="宋体"/>
          <w:highlight w:val="none"/>
        </w:rPr>
      </w:pPr>
    </w:p>
    <w:p w14:paraId="709ED5FF">
      <w:pPr>
        <w:spacing w:line="360" w:lineRule="auto"/>
        <w:ind w:firstLine="219" w:firstLineChars="104"/>
        <w:jc w:val="left"/>
        <w:rPr>
          <w:rFonts w:hint="eastAsia" w:ascii="宋体" w:hAnsi="宋体" w:cs="宋体"/>
          <w:b/>
          <w:bCs/>
          <w:szCs w:val="21"/>
          <w:highlight w:val="none"/>
        </w:rPr>
      </w:pPr>
      <w:r>
        <w:rPr>
          <w:rFonts w:hint="eastAsia" w:ascii="宋体" w:hAnsi="宋体" w:cs="宋体"/>
          <w:b/>
          <w:bCs/>
          <w:szCs w:val="21"/>
          <w:highlight w:val="none"/>
        </w:rPr>
        <w:t>投标人（盖章）：</w:t>
      </w:r>
    </w:p>
    <w:p w14:paraId="08678A0D">
      <w:pPr>
        <w:spacing w:line="360" w:lineRule="auto"/>
        <w:ind w:left="357" w:leftChars="104" w:hanging="139" w:hangingChars="66"/>
        <w:jc w:val="left"/>
        <w:rPr>
          <w:rFonts w:hint="eastAsia" w:ascii="宋体" w:hAnsi="宋体" w:cs="宋体"/>
          <w:b/>
          <w:bCs/>
          <w:szCs w:val="21"/>
          <w:highlight w:val="none"/>
        </w:rPr>
      </w:pPr>
    </w:p>
    <w:p w14:paraId="53F590B0">
      <w:pPr>
        <w:spacing w:line="360" w:lineRule="auto"/>
        <w:ind w:left="357" w:leftChars="104" w:hanging="139" w:hangingChars="66"/>
        <w:jc w:val="left"/>
        <w:rPr>
          <w:rFonts w:hint="eastAsia" w:ascii="宋体" w:hAnsi="宋体" w:cs="宋体"/>
          <w:b/>
          <w:bCs/>
          <w:szCs w:val="21"/>
          <w:highlight w:val="none"/>
        </w:rPr>
      </w:pPr>
      <w:r>
        <w:rPr>
          <w:rFonts w:hint="eastAsia" w:ascii="宋体" w:hAnsi="宋体" w:cs="宋体"/>
          <w:b/>
          <w:bCs/>
          <w:szCs w:val="21"/>
          <w:highlight w:val="none"/>
        </w:rPr>
        <w:t>日 期：  年  月  日</w:t>
      </w:r>
    </w:p>
    <w:p w14:paraId="64E5235E">
      <w:pPr>
        <w:rPr>
          <w:rFonts w:hint="eastAsia" w:ascii="宋体" w:hAnsi="宋体" w:cs="宋体"/>
          <w:b/>
          <w:bCs/>
          <w:kern w:val="0"/>
          <w:sz w:val="30"/>
          <w:szCs w:val="30"/>
          <w:highlight w:val="none"/>
        </w:rPr>
      </w:pPr>
      <w:r>
        <w:rPr>
          <w:rFonts w:hint="eastAsia" w:ascii="宋体" w:hAnsi="宋体" w:cs="宋体"/>
          <w:b/>
          <w:bCs/>
          <w:kern w:val="0"/>
          <w:sz w:val="30"/>
          <w:szCs w:val="30"/>
          <w:highlight w:val="none"/>
        </w:rPr>
        <w:br w:type="page"/>
      </w:r>
    </w:p>
    <w:p w14:paraId="37976736">
      <w:pPr>
        <w:widowControl/>
        <w:wordWrap w:val="0"/>
        <w:spacing w:line="420" w:lineRule="atLeast"/>
        <w:jc w:val="left"/>
        <w:rPr>
          <w:rFonts w:hint="default" w:ascii="宋体" w:hAnsi="宋体" w:eastAsia="宋体" w:cs="宋体"/>
          <w:b/>
          <w:bCs/>
          <w:kern w:val="0"/>
          <w:sz w:val="30"/>
          <w:szCs w:val="30"/>
          <w:highlight w:val="none"/>
          <w:lang w:val="en-US" w:eastAsia="zh-CN"/>
        </w:rPr>
      </w:pPr>
      <w:r>
        <w:rPr>
          <w:rFonts w:hint="eastAsia" w:ascii="宋体" w:hAnsi="宋体"/>
          <w:b/>
          <w:bCs/>
          <w:sz w:val="22"/>
          <w:szCs w:val="22"/>
          <w:highlight w:val="none"/>
        </w:rPr>
        <w:t>附件</w:t>
      </w:r>
      <w:r>
        <w:rPr>
          <w:rFonts w:hint="eastAsia" w:ascii="宋体" w:hAnsi="宋体"/>
          <w:b/>
          <w:bCs/>
          <w:sz w:val="22"/>
          <w:szCs w:val="22"/>
          <w:highlight w:val="none"/>
          <w:lang w:val="en-US" w:eastAsia="zh-CN"/>
        </w:rPr>
        <w:t>12</w:t>
      </w:r>
    </w:p>
    <w:p w14:paraId="505BB98B">
      <w:pPr>
        <w:widowControl/>
        <w:wordWrap w:val="0"/>
        <w:spacing w:line="480" w:lineRule="auto"/>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报价明细表</w:t>
      </w:r>
    </w:p>
    <w:p w14:paraId="33CC5EA8">
      <w:pPr>
        <w:pStyle w:val="11"/>
        <w:wordWrap w:val="0"/>
        <w:spacing w:line="480" w:lineRule="auto"/>
        <w:rPr>
          <w:rFonts w:hint="eastAsia" w:hAnsi="宋体" w:cs="宋体"/>
          <w:b/>
          <w:bCs/>
          <w:highlight w:val="none"/>
        </w:rPr>
      </w:pPr>
      <w:r>
        <w:rPr>
          <w:rFonts w:hint="eastAsia" w:hAnsi="宋体" w:cs="宋体"/>
          <w:b/>
          <w:bCs/>
          <w:highlight w:val="none"/>
        </w:rPr>
        <w:t xml:space="preserve">项目名称： </w:t>
      </w:r>
    </w:p>
    <w:p w14:paraId="1F5BACD8">
      <w:pPr>
        <w:pStyle w:val="11"/>
        <w:wordWrap w:val="0"/>
        <w:spacing w:line="360" w:lineRule="auto"/>
        <w:rPr>
          <w:rFonts w:hint="eastAsia" w:hAnsi="宋体" w:cs="宋体"/>
          <w:b/>
          <w:bCs/>
          <w:highlight w:val="none"/>
        </w:rPr>
      </w:pPr>
      <w:r>
        <w:rPr>
          <w:rFonts w:hint="eastAsia" w:hAnsi="宋体" w:cs="宋体"/>
          <w:b/>
          <w:bCs/>
          <w:highlight w:val="none"/>
        </w:rPr>
        <w:t>项目编号：</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
        <w:gridCol w:w="2136"/>
        <w:gridCol w:w="2094"/>
        <w:gridCol w:w="2170"/>
        <w:gridCol w:w="1690"/>
        <w:gridCol w:w="1113"/>
      </w:tblGrid>
      <w:tr w14:paraId="4633A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915" w:type="dxa"/>
            <w:tcBorders>
              <w:top w:val="single" w:color="auto" w:sz="8" w:space="0"/>
              <w:left w:val="single" w:color="auto" w:sz="8" w:space="0"/>
              <w:bottom w:val="single" w:color="auto" w:sz="8" w:space="0"/>
              <w:right w:val="single" w:color="auto" w:sz="4" w:space="0"/>
            </w:tcBorders>
            <w:vAlign w:val="center"/>
          </w:tcPr>
          <w:p w14:paraId="2C1B25EB">
            <w:pPr>
              <w:jc w:val="center"/>
              <w:rPr>
                <w:highlight w:val="none"/>
              </w:rPr>
            </w:pPr>
            <w:r>
              <w:rPr>
                <w:rFonts w:hint="eastAsia"/>
                <w:highlight w:val="none"/>
              </w:rPr>
              <w:t>序号</w:t>
            </w:r>
          </w:p>
        </w:tc>
        <w:tc>
          <w:tcPr>
            <w:tcW w:w="2136" w:type="dxa"/>
            <w:tcBorders>
              <w:top w:val="single" w:color="auto" w:sz="8" w:space="0"/>
              <w:left w:val="single" w:color="auto" w:sz="4" w:space="0"/>
              <w:bottom w:val="single" w:color="auto" w:sz="8" w:space="0"/>
              <w:right w:val="single" w:color="auto" w:sz="4" w:space="0"/>
            </w:tcBorders>
            <w:vAlign w:val="center"/>
          </w:tcPr>
          <w:p w14:paraId="53D72AD9">
            <w:pPr>
              <w:jc w:val="center"/>
              <w:rPr>
                <w:highlight w:val="none"/>
              </w:rPr>
            </w:pPr>
            <w:r>
              <w:rPr>
                <w:rFonts w:hint="eastAsia"/>
                <w:highlight w:val="none"/>
              </w:rPr>
              <w:t>报价内容</w:t>
            </w:r>
          </w:p>
        </w:tc>
        <w:tc>
          <w:tcPr>
            <w:tcW w:w="2094" w:type="dxa"/>
            <w:tcBorders>
              <w:top w:val="single" w:color="auto" w:sz="8" w:space="0"/>
              <w:left w:val="single" w:color="auto" w:sz="4" w:space="0"/>
              <w:bottom w:val="single" w:color="auto" w:sz="8" w:space="0"/>
              <w:right w:val="single" w:color="auto" w:sz="4" w:space="0"/>
            </w:tcBorders>
            <w:vAlign w:val="center"/>
          </w:tcPr>
          <w:p w14:paraId="37AF883E">
            <w:pPr>
              <w:jc w:val="center"/>
              <w:rPr>
                <w:highlight w:val="none"/>
              </w:rPr>
            </w:pPr>
            <w:r>
              <w:rPr>
                <w:rFonts w:hint="eastAsia"/>
                <w:highlight w:val="none"/>
              </w:rPr>
              <w:t>主要工作内容</w:t>
            </w:r>
          </w:p>
        </w:tc>
        <w:tc>
          <w:tcPr>
            <w:tcW w:w="2170" w:type="dxa"/>
            <w:tcBorders>
              <w:top w:val="single" w:color="auto" w:sz="8" w:space="0"/>
              <w:left w:val="single" w:color="auto" w:sz="4" w:space="0"/>
              <w:bottom w:val="single" w:color="auto" w:sz="8" w:space="0"/>
              <w:right w:val="single" w:color="auto" w:sz="4" w:space="0"/>
            </w:tcBorders>
            <w:vAlign w:val="center"/>
          </w:tcPr>
          <w:p w14:paraId="103788F4">
            <w:pPr>
              <w:jc w:val="center"/>
              <w:rPr>
                <w:highlight w:val="none"/>
              </w:rPr>
            </w:pPr>
            <w:r>
              <w:rPr>
                <w:rFonts w:hint="eastAsia"/>
                <w:highlight w:val="none"/>
              </w:rPr>
              <w:t>单价（元）</w:t>
            </w:r>
          </w:p>
        </w:tc>
        <w:tc>
          <w:tcPr>
            <w:tcW w:w="1690" w:type="dxa"/>
            <w:tcBorders>
              <w:top w:val="single" w:color="auto" w:sz="8" w:space="0"/>
              <w:left w:val="single" w:color="auto" w:sz="4" w:space="0"/>
              <w:bottom w:val="single" w:color="auto" w:sz="8" w:space="0"/>
              <w:right w:val="single" w:color="auto" w:sz="4" w:space="0"/>
            </w:tcBorders>
            <w:vAlign w:val="center"/>
          </w:tcPr>
          <w:p w14:paraId="10351FEE">
            <w:pPr>
              <w:jc w:val="center"/>
              <w:rPr>
                <w:highlight w:val="none"/>
              </w:rPr>
            </w:pPr>
            <w:r>
              <w:rPr>
                <w:rFonts w:hint="eastAsia"/>
                <w:highlight w:val="none"/>
              </w:rPr>
              <w:t>投标报价（元）</w:t>
            </w:r>
          </w:p>
        </w:tc>
        <w:tc>
          <w:tcPr>
            <w:tcW w:w="1113" w:type="dxa"/>
            <w:tcBorders>
              <w:top w:val="single" w:color="auto" w:sz="8" w:space="0"/>
              <w:left w:val="single" w:color="auto" w:sz="4" w:space="0"/>
              <w:bottom w:val="single" w:color="auto" w:sz="8" w:space="0"/>
              <w:right w:val="single" w:color="auto" w:sz="8" w:space="0"/>
            </w:tcBorders>
            <w:vAlign w:val="center"/>
          </w:tcPr>
          <w:p w14:paraId="01E89CAC">
            <w:pPr>
              <w:jc w:val="center"/>
              <w:rPr>
                <w:highlight w:val="none"/>
              </w:rPr>
            </w:pPr>
            <w:r>
              <w:rPr>
                <w:rFonts w:hint="eastAsia"/>
                <w:highlight w:val="none"/>
              </w:rPr>
              <w:t>备注</w:t>
            </w:r>
          </w:p>
        </w:tc>
      </w:tr>
      <w:tr w14:paraId="58184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915" w:type="dxa"/>
            <w:tcBorders>
              <w:top w:val="single" w:color="auto" w:sz="4" w:space="0"/>
              <w:left w:val="single" w:color="auto" w:sz="8" w:space="0"/>
              <w:bottom w:val="single" w:color="auto" w:sz="4" w:space="0"/>
              <w:right w:val="single" w:color="auto" w:sz="4" w:space="0"/>
            </w:tcBorders>
            <w:vAlign w:val="center"/>
          </w:tcPr>
          <w:p w14:paraId="4A87B84F">
            <w:pPr>
              <w:jc w:val="center"/>
              <w:rPr>
                <w:highlight w:val="none"/>
              </w:rPr>
            </w:pPr>
            <w:r>
              <w:rPr>
                <w:rFonts w:hint="eastAsia"/>
                <w:highlight w:val="none"/>
              </w:rPr>
              <w:t>1</w:t>
            </w:r>
          </w:p>
        </w:tc>
        <w:tc>
          <w:tcPr>
            <w:tcW w:w="2136" w:type="dxa"/>
            <w:tcBorders>
              <w:top w:val="single" w:color="auto" w:sz="4" w:space="0"/>
              <w:left w:val="single" w:color="auto" w:sz="4" w:space="0"/>
              <w:bottom w:val="single" w:color="auto" w:sz="4" w:space="0"/>
              <w:right w:val="single" w:color="auto" w:sz="4" w:space="0"/>
            </w:tcBorders>
            <w:vAlign w:val="center"/>
          </w:tcPr>
          <w:p w14:paraId="7B9237B7">
            <w:pPr>
              <w:jc w:val="center"/>
              <w:rPr>
                <w:highlight w:val="none"/>
              </w:rPr>
            </w:pPr>
          </w:p>
        </w:tc>
        <w:tc>
          <w:tcPr>
            <w:tcW w:w="2094" w:type="dxa"/>
            <w:tcBorders>
              <w:top w:val="single" w:color="auto" w:sz="4" w:space="0"/>
              <w:left w:val="single" w:color="auto" w:sz="4" w:space="0"/>
              <w:bottom w:val="single" w:color="auto" w:sz="4" w:space="0"/>
              <w:right w:val="single" w:color="auto" w:sz="4" w:space="0"/>
            </w:tcBorders>
            <w:vAlign w:val="center"/>
          </w:tcPr>
          <w:p w14:paraId="3C164B53">
            <w:pPr>
              <w:jc w:val="center"/>
              <w:rPr>
                <w:highlight w:val="none"/>
              </w:rPr>
            </w:pPr>
          </w:p>
        </w:tc>
        <w:tc>
          <w:tcPr>
            <w:tcW w:w="2170" w:type="dxa"/>
            <w:tcBorders>
              <w:top w:val="single" w:color="auto" w:sz="4" w:space="0"/>
              <w:left w:val="single" w:color="auto" w:sz="4" w:space="0"/>
              <w:bottom w:val="single" w:color="auto" w:sz="4" w:space="0"/>
              <w:right w:val="single" w:color="auto" w:sz="4" w:space="0"/>
            </w:tcBorders>
            <w:vAlign w:val="center"/>
          </w:tcPr>
          <w:p w14:paraId="2EE16972">
            <w:pPr>
              <w:jc w:val="center"/>
              <w:rPr>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0847A0F1">
            <w:pPr>
              <w:jc w:val="center"/>
              <w:rPr>
                <w:highlight w:val="none"/>
              </w:rPr>
            </w:pPr>
          </w:p>
        </w:tc>
        <w:tc>
          <w:tcPr>
            <w:tcW w:w="1113" w:type="dxa"/>
            <w:tcBorders>
              <w:top w:val="single" w:color="auto" w:sz="4" w:space="0"/>
              <w:left w:val="single" w:color="auto" w:sz="4" w:space="0"/>
              <w:bottom w:val="single" w:color="auto" w:sz="4" w:space="0"/>
              <w:right w:val="single" w:color="auto" w:sz="8" w:space="0"/>
            </w:tcBorders>
            <w:vAlign w:val="center"/>
          </w:tcPr>
          <w:p w14:paraId="3A4767B4">
            <w:pPr>
              <w:jc w:val="center"/>
              <w:rPr>
                <w:highlight w:val="none"/>
              </w:rPr>
            </w:pPr>
          </w:p>
        </w:tc>
      </w:tr>
      <w:tr w14:paraId="2AB0A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915" w:type="dxa"/>
            <w:tcBorders>
              <w:top w:val="single" w:color="auto" w:sz="4" w:space="0"/>
              <w:left w:val="single" w:color="auto" w:sz="8" w:space="0"/>
              <w:bottom w:val="single" w:color="auto" w:sz="4" w:space="0"/>
              <w:right w:val="single" w:color="auto" w:sz="4" w:space="0"/>
            </w:tcBorders>
            <w:vAlign w:val="center"/>
          </w:tcPr>
          <w:p w14:paraId="09E10B3E">
            <w:pPr>
              <w:jc w:val="center"/>
              <w:rPr>
                <w:highlight w:val="none"/>
              </w:rPr>
            </w:pPr>
          </w:p>
        </w:tc>
        <w:tc>
          <w:tcPr>
            <w:tcW w:w="2136" w:type="dxa"/>
            <w:tcBorders>
              <w:top w:val="single" w:color="auto" w:sz="4" w:space="0"/>
              <w:left w:val="single" w:color="auto" w:sz="4" w:space="0"/>
              <w:bottom w:val="single" w:color="auto" w:sz="4" w:space="0"/>
              <w:right w:val="single" w:color="auto" w:sz="4" w:space="0"/>
            </w:tcBorders>
            <w:vAlign w:val="center"/>
          </w:tcPr>
          <w:p w14:paraId="75DFAD0F">
            <w:pPr>
              <w:jc w:val="center"/>
              <w:rPr>
                <w:highlight w:val="none"/>
              </w:rPr>
            </w:pPr>
          </w:p>
        </w:tc>
        <w:tc>
          <w:tcPr>
            <w:tcW w:w="2094" w:type="dxa"/>
            <w:tcBorders>
              <w:top w:val="single" w:color="auto" w:sz="4" w:space="0"/>
              <w:left w:val="single" w:color="auto" w:sz="4" w:space="0"/>
              <w:bottom w:val="single" w:color="auto" w:sz="4" w:space="0"/>
              <w:right w:val="single" w:color="auto" w:sz="4" w:space="0"/>
            </w:tcBorders>
            <w:vAlign w:val="center"/>
          </w:tcPr>
          <w:p w14:paraId="47E8E275">
            <w:pPr>
              <w:jc w:val="center"/>
              <w:rPr>
                <w:highlight w:val="none"/>
              </w:rPr>
            </w:pPr>
          </w:p>
        </w:tc>
        <w:tc>
          <w:tcPr>
            <w:tcW w:w="2170" w:type="dxa"/>
            <w:tcBorders>
              <w:top w:val="single" w:color="auto" w:sz="4" w:space="0"/>
              <w:left w:val="single" w:color="auto" w:sz="4" w:space="0"/>
              <w:bottom w:val="single" w:color="auto" w:sz="4" w:space="0"/>
              <w:right w:val="single" w:color="auto" w:sz="4" w:space="0"/>
            </w:tcBorders>
            <w:vAlign w:val="center"/>
          </w:tcPr>
          <w:p w14:paraId="2B52B2F4">
            <w:pPr>
              <w:jc w:val="center"/>
              <w:rPr>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39C9C8D6">
            <w:pPr>
              <w:jc w:val="center"/>
              <w:rPr>
                <w:highlight w:val="none"/>
              </w:rPr>
            </w:pPr>
          </w:p>
        </w:tc>
        <w:tc>
          <w:tcPr>
            <w:tcW w:w="1113" w:type="dxa"/>
            <w:tcBorders>
              <w:top w:val="single" w:color="auto" w:sz="4" w:space="0"/>
              <w:left w:val="single" w:color="auto" w:sz="4" w:space="0"/>
              <w:bottom w:val="single" w:color="auto" w:sz="4" w:space="0"/>
              <w:right w:val="single" w:color="auto" w:sz="8" w:space="0"/>
            </w:tcBorders>
            <w:vAlign w:val="center"/>
          </w:tcPr>
          <w:p w14:paraId="37E57F48">
            <w:pPr>
              <w:jc w:val="center"/>
              <w:rPr>
                <w:highlight w:val="none"/>
              </w:rPr>
            </w:pPr>
          </w:p>
        </w:tc>
      </w:tr>
      <w:tr w14:paraId="2A2A8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915" w:type="dxa"/>
            <w:tcBorders>
              <w:top w:val="single" w:color="auto" w:sz="4" w:space="0"/>
              <w:left w:val="single" w:color="auto" w:sz="8" w:space="0"/>
              <w:bottom w:val="single" w:color="auto" w:sz="4" w:space="0"/>
              <w:right w:val="single" w:color="auto" w:sz="4" w:space="0"/>
            </w:tcBorders>
            <w:vAlign w:val="center"/>
          </w:tcPr>
          <w:p w14:paraId="662B6F1F">
            <w:pPr>
              <w:jc w:val="center"/>
              <w:rPr>
                <w:highlight w:val="none"/>
              </w:rPr>
            </w:pPr>
          </w:p>
        </w:tc>
        <w:tc>
          <w:tcPr>
            <w:tcW w:w="2136" w:type="dxa"/>
            <w:tcBorders>
              <w:top w:val="single" w:color="auto" w:sz="4" w:space="0"/>
              <w:left w:val="single" w:color="auto" w:sz="4" w:space="0"/>
              <w:bottom w:val="single" w:color="auto" w:sz="4" w:space="0"/>
              <w:right w:val="single" w:color="auto" w:sz="4" w:space="0"/>
            </w:tcBorders>
            <w:vAlign w:val="center"/>
          </w:tcPr>
          <w:p w14:paraId="378D1AC3">
            <w:pPr>
              <w:jc w:val="center"/>
              <w:rPr>
                <w:highlight w:val="none"/>
              </w:rPr>
            </w:pPr>
          </w:p>
        </w:tc>
        <w:tc>
          <w:tcPr>
            <w:tcW w:w="2094" w:type="dxa"/>
            <w:tcBorders>
              <w:top w:val="single" w:color="auto" w:sz="4" w:space="0"/>
              <w:left w:val="single" w:color="auto" w:sz="4" w:space="0"/>
              <w:bottom w:val="single" w:color="auto" w:sz="4" w:space="0"/>
              <w:right w:val="single" w:color="auto" w:sz="4" w:space="0"/>
            </w:tcBorders>
            <w:vAlign w:val="center"/>
          </w:tcPr>
          <w:p w14:paraId="73252534">
            <w:pPr>
              <w:jc w:val="center"/>
              <w:rPr>
                <w:highlight w:val="none"/>
              </w:rPr>
            </w:pPr>
          </w:p>
        </w:tc>
        <w:tc>
          <w:tcPr>
            <w:tcW w:w="2170" w:type="dxa"/>
            <w:tcBorders>
              <w:top w:val="single" w:color="auto" w:sz="4" w:space="0"/>
              <w:left w:val="single" w:color="auto" w:sz="4" w:space="0"/>
              <w:bottom w:val="single" w:color="auto" w:sz="4" w:space="0"/>
              <w:right w:val="single" w:color="auto" w:sz="4" w:space="0"/>
            </w:tcBorders>
            <w:vAlign w:val="center"/>
          </w:tcPr>
          <w:p w14:paraId="39BC7A61">
            <w:pPr>
              <w:jc w:val="center"/>
              <w:rPr>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7CA50668">
            <w:pPr>
              <w:jc w:val="center"/>
              <w:rPr>
                <w:highlight w:val="none"/>
              </w:rPr>
            </w:pPr>
          </w:p>
        </w:tc>
        <w:tc>
          <w:tcPr>
            <w:tcW w:w="1113" w:type="dxa"/>
            <w:tcBorders>
              <w:top w:val="single" w:color="auto" w:sz="4" w:space="0"/>
              <w:left w:val="single" w:color="auto" w:sz="4" w:space="0"/>
              <w:bottom w:val="single" w:color="auto" w:sz="4" w:space="0"/>
              <w:right w:val="single" w:color="auto" w:sz="8" w:space="0"/>
            </w:tcBorders>
            <w:vAlign w:val="center"/>
          </w:tcPr>
          <w:p w14:paraId="6E757754">
            <w:pPr>
              <w:jc w:val="center"/>
              <w:rPr>
                <w:highlight w:val="none"/>
              </w:rPr>
            </w:pPr>
          </w:p>
        </w:tc>
      </w:tr>
      <w:tr w14:paraId="4620E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5145" w:type="dxa"/>
            <w:gridSpan w:val="3"/>
            <w:tcBorders>
              <w:top w:val="single" w:color="auto" w:sz="4" w:space="0"/>
              <w:left w:val="single" w:color="auto" w:sz="8" w:space="0"/>
              <w:bottom w:val="single" w:color="auto" w:sz="4" w:space="0"/>
              <w:right w:val="single" w:color="auto" w:sz="4" w:space="0"/>
            </w:tcBorders>
            <w:vAlign w:val="center"/>
          </w:tcPr>
          <w:p w14:paraId="5EEAD40F">
            <w:pPr>
              <w:jc w:val="center"/>
              <w:rPr>
                <w:highlight w:val="none"/>
              </w:rPr>
            </w:pPr>
            <w:r>
              <w:rPr>
                <w:rFonts w:hint="eastAsia"/>
                <w:highlight w:val="none"/>
              </w:rPr>
              <w:t>合计</w:t>
            </w:r>
          </w:p>
        </w:tc>
        <w:tc>
          <w:tcPr>
            <w:tcW w:w="4973" w:type="dxa"/>
            <w:gridSpan w:val="3"/>
            <w:tcBorders>
              <w:top w:val="single" w:color="auto" w:sz="4" w:space="0"/>
              <w:left w:val="single" w:color="auto" w:sz="4" w:space="0"/>
              <w:bottom w:val="single" w:color="auto" w:sz="4" w:space="0"/>
              <w:right w:val="single" w:color="auto" w:sz="8" w:space="0"/>
            </w:tcBorders>
            <w:vAlign w:val="center"/>
          </w:tcPr>
          <w:p w14:paraId="7441121A">
            <w:pPr>
              <w:jc w:val="center"/>
              <w:rPr>
                <w:highlight w:val="none"/>
              </w:rPr>
            </w:pPr>
            <w:r>
              <w:rPr>
                <w:rFonts w:hint="eastAsia"/>
                <w:highlight w:val="none"/>
              </w:rPr>
              <w:t>大写：</w:t>
            </w:r>
          </w:p>
          <w:p w14:paraId="5A62D0C1">
            <w:pPr>
              <w:jc w:val="center"/>
              <w:rPr>
                <w:highlight w:val="none"/>
              </w:rPr>
            </w:pPr>
            <w:r>
              <w:rPr>
                <w:rFonts w:hint="eastAsia"/>
                <w:highlight w:val="none"/>
              </w:rPr>
              <w:t>小写：</w:t>
            </w:r>
          </w:p>
        </w:tc>
      </w:tr>
    </w:tbl>
    <w:p w14:paraId="285EBDCC">
      <w:pPr>
        <w:pStyle w:val="24"/>
        <w:wordWrap w:val="0"/>
        <w:ind w:left="840" w:hanging="420"/>
        <w:rPr>
          <w:highlight w:val="none"/>
        </w:rPr>
      </w:pPr>
      <w:r>
        <w:rPr>
          <w:rFonts w:hint="eastAsia"/>
          <w:highlight w:val="none"/>
        </w:rPr>
        <w:t>注：合计应与开标一览表投标总价相同</w:t>
      </w:r>
      <w:r>
        <w:rPr>
          <w:rFonts w:hint="eastAsia"/>
          <w:highlight w:val="none"/>
          <w:lang w:eastAsia="zh-CN"/>
        </w:rPr>
        <w:t>，格式可扩展</w:t>
      </w:r>
      <w:r>
        <w:rPr>
          <w:rFonts w:hint="eastAsia"/>
          <w:highlight w:val="none"/>
        </w:rPr>
        <w:t>。</w:t>
      </w:r>
    </w:p>
    <w:p w14:paraId="7737AF92">
      <w:pPr>
        <w:pStyle w:val="11"/>
        <w:wordWrap w:val="0"/>
        <w:spacing w:line="360" w:lineRule="auto"/>
        <w:rPr>
          <w:rFonts w:hint="eastAsia" w:hAnsi="宋体" w:cs="宋体"/>
          <w:sz w:val="24"/>
          <w:highlight w:val="none"/>
        </w:rPr>
      </w:pPr>
    </w:p>
    <w:p w14:paraId="18122A88">
      <w:pPr>
        <w:wordWrap w:val="0"/>
        <w:spacing w:line="360" w:lineRule="auto"/>
        <w:jc w:val="left"/>
        <w:rPr>
          <w:rFonts w:hint="eastAsia" w:ascii="宋体" w:hAnsi="宋体" w:cs="宋体"/>
          <w:b/>
          <w:bCs/>
          <w:szCs w:val="21"/>
          <w:highlight w:val="none"/>
        </w:rPr>
      </w:pPr>
      <w:r>
        <w:rPr>
          <w:rFonts w:hint="eastAsia" w:ascii="宋体" w:hAnsi="宋体" w:cs="宋体"/>
          <w:b/>
          <w:bCs/>
          <w:szCs w:val="21"/>
          <w:highlight w:val="none"/>
        </w:rPr>
        <w:t>投标人（盖章）：</w:t>
      </w:r>
    </w:p>
    <w:p w14:paraId="2AA83A5E">
      <w:pPr>
        <w:wordWrap w:val="0"/>
        <w:spacing w:line="360" w:lineRule="auto"/>
        <w:jc w:val="left"/>
        <w:rPr>
          <w:rFonts w:hint="eastAsia" w:ascii="宋体" w:hAnsi="宋体" w:cs="宋体"/>
          <w:b/>
          <w:bCs/>
          <w:szCs w:val="21"/>
          <w:highlight w:val="none"/>
        </w:rPr>
      </w:pPr>
      <w:r>
        <w:rPr>
          <w:rFonts w:hint="eastAsia" w:ascii="宋体" w:hAnsi="宋体" w:cs="宋体"/>
          <w:b/>
          <w:bCs/>
          <w:szCs w:val="21"/>
          <w:highlight w:val="none"/>
        </w:rPr>
        <w:t>日 期：  年  月  日</w:t>
      </w:r>
    </w:p>
    <w:p w14:paraId="18E28C56">
      <w:pPr>
        <w:jc w:val="center"/>
        <w:rPr>
          <w:rFonts w:hint="eastAsia" w:hAnsi="宋体"/>
          <w:color w:val="000000"/>
          <w:sz w:val="32"/>
          <w:szCs w:val="32"/>
          <w:highlight w:val="none"/>
        </w:rPr>
      </w:pPr>
      <w:r>
        <w:rPr>
          <w:rFonts w:hint="eastAsia" w:ascii="宋体" w:hAnsi="宋体"/>
          <w:b/>
          <w:sz w:val="44"/>
          <w:szCs w:val="44"/>
          <w:highlight w:val="none"/>
        </w:rPr>
        <w:br w:type="page"/>
      </w:r>
      <w:r>
        <w:rPr>
          <w:rFonts w:hint="eastAsia" w:hAnsi="宋体" w:cs="方正小标宋简体"/>
          <w:color w:val="000000"/>
          <w:sz w:val="32"/>
          <w:szCs w:val="32"/>
          <w:highlight w:val="none"/>
        </w:rPr>
        <w:t>政府采购活动现场确认声明书</w:t>
      </w:r>
    </w:p>
    <w:p w14:paraId="3571CFA2">
      <w:pPr>
        <w:pStyle w:val="47"/>
        <w:widowControl w:val="0"/>
        <w:snapToGrid w:val="0"/>
        <w:spacing w:line="440" w:lineRule="exact"/>
        <w:jc w:val="both"/>
        <w:rPr>
          <w:rFonts w:hint="eastAsia" w:hAnsi="宋体" w:cs="Times New Roman"/>
          <w:bCs/>
          <w:color w:val="000000"/>
          <w:sz w:val="24"/>
          <w:szCs w:val="24"/>
          <w:highlight w:val="none"/>
        </w:rPr>
      </w:pPr>
      <w:r>
        <w:rPr>
          <w:rFonts w:hint="eastAsia" w:hAnsi="宋体"/>
          <w:color w:val="000000"/>
          <w:kern w:val="0"/>
          <w:sz w:val="24"/>
          <w:szCs w:val="24"/>
          <w:highlight w:val="none"/>
        </w:rPr>
        <w:t>衢州市开成工程造价咨询事务所有限公司（采购组织机构名称）：</w:t>
      </w:r>
    </w:p>
    <w:p w14:paraId="266954A9">
      <w:pPr>
        <w:pStyle w:val="47"/>
        <w:snapToGrid w:val="0"/>
        <w:spacing w:line="440" w:lineRule="exact"/>
        <w:ind w:firstLine="504" w:firstLineChars="200"/>
        <w:rPr>
          <w:rFonts w:hint="eastAsia" w:hAnsi="宋体"/>
          <w:color w:val="000000"/>
          <w:spacing w:val="6"/>
          <w:sz w:val="24"/>
          <w:szCs w:val="24"/>
          <w:highlight w:val="none"/>
        </w:rPr>
      </w:pPr>
      <w:r>
        <w:rPr>
          <w:rFonts w:hint="eastAsia" w:hAnsi="宋体"/>
          <w:color w:val="000000"/>
          <w:spacing w:val="6"/>
          <w:sz w:val="24"/>
          <w:szCs w:val="24"/>
          <w:highlight w:val="none"/>
        </w:rPr>
        <w:t>本人（</w:t>
      </w:r>
      <w:r>
        <w:rPr>
          <w:rFonts w:hint="eastAsia" w:hAnsi="宋体"/>
          <w:color w:val="000000"/>
          <w:spacing w:val="6"/>
          <w:sz w:val="24"/>
          <w:szCs w:val="24"/>
          <w:highlight w:val="none"/>
          <w:u w:val="single"/>
        </w:rPr>
        <w:t xml:space="preserve">授权代表姓名       </w:t>
      </w:r>
      <w:r>
        <w:rPr>
          <w:rFonts w:hint="eastAsia" w:hAnsi="宋体"/>
          <w:color w:val="000000"/>
          <w:spacing w:val="6"/>
          <w:sz w:val="24"/>
          <w:szCs w:val="24"/>
          <w:highlight w:val="none"/>
        </w:rPr>
        <w:t>），经由（</w:t>
      </w:r>
      <w:r>
        <w:rPr>
          <w:rFonts w:hint="eastAsia" w:hAnsi="宋体"/>
          <w:color w:val="000000"/>
          <w:spacing w:val="6"/>
          <w:sz w:val="24"/>
          <w:szCs w:val="24"/>
          <w:highlight w:val="none"/>
          <w:u w:val="single"/>
        </w:rPr>
        <w:t xml:space="preserve">单位       </w:t>
      </w:r>
      <w:r>
        <w:rPr>
          <w:rFonts w:hint="eastAsia" w:hAnsi="宋体"/>
          <w:color w:val="000000"/>
          <w:spacing w:val="6"/>
          <w:sz w:val="24"/>
          <w:szCs w:val="24"/>
          <w:highlight w:val="none"/>
        </w:rPr>
        <w:t>）（</w:t>
      </w:r>
      <w:r>
        <w:rPr>
          <w:rFonts w:hint="eastAsia" w:hAnsi="宋体"/>
          <w:color w:val="000000"/>
          <w:spacing w:val="6"/>
          <w:sz w:val="24"/>
          <w:szCs w:val="24"/>
          <w:highlight w:val="none"/>
          <w:u w:val="single"/>
        </w:rPr>
        <w:t xml:space="preserve">法定代表人姓名     </w:t>
      </w:r>
      <w:r>
        <w:rPr>
          <w:rFonts w:hint="eastAsia" w:hAnsi="宋体"/>
          <w:color w:val="000000"/>
          <w:spacing w:val="6"/>
          <w:sz w:val="24"/>
          <w:szCs w:val="24"/>
          <w:highlight w:val="none"/>
        </w:rPr>
        <w:t>）合法授权参加</w:t>
      </w:r>
      <w:r>
        <w:rPr>
          <w:rFonts w:hint="eastAsia" w:hAnsi="宋体"/>
          <w:sz w:val="24"/>
          <w:szCs w:val="24"/>
          <w:highlight w:val="none"/>
          <w:u w:val="single"/>
        </w:rPr>
        <w:t xml:space="preserve">                       项目名称                 </w:t>
      </w:r>
      <w:r>
        <w:rPr>
          <w:rFonts w:hint="eastAsia" w:hAnsi="宋体"/>
          <w:color w:val="000000"/>
          <w:spacing w:val="6"/>
          <w:sz w:val="24"/>
          <w:szCs w:val="24"/>
          <w:highlight w:val="none"/>
        </w:rPr>
        <w:t>（编号：</w:t>
      </w:r>
      <w:r>
        <w:rPr>
          <w:rFonts w:hint="eastAsia" w:hAnsi="宋体"/>
          <w:color w:val="000000"/>
          <w:spacing w:val="6"/>
          <w:sz w:val="24"/>
          <w:szCs w:val="24"/>
          <w:highlight w:val="none"/>
          <w:u w:val="single"/>
        </w:rPr>
        <w:t>）</w:t>
      </w:r>
      <w:r>
        <w:rPr>
          <w:rFonts w:hint="eastAsia" w:hAnsi="宋体"/>
          <w:color w:val="000000"/>
          <w:spacing w:val="6"/>
          <w:sz w:val="24"/>
          <w:szCs w:val="24"/>
          <w:highlight w:val="none"/>
        </w:rPr>
        <w:t>政府采购活动，经与本单位法人代表（负责人）联系确认，现就有关公平竞争事项郑重声明如下：</w:t>
      </w:r>
    </w:p>
    <w:p w14:paraId="2B6DADEC">
      <w:pPr>
        <w:pStyle w:val="48"/>
        <w:widowControl/>
        <w:numPr>
          <w:ilvl w:val="0"/>
          <w:numId w:val="9"/>
        </w:numPr>
        <w:snapToGrid w:val="0"/>
        <w:spacing w:line="440" w:lineRule="exact"/>
        <w:ind w:firstLine="453" w:firstLineChars="189"/>
        <w:rPr>
          <w:rFonts w:hint="eastAsia" w:ascii="宋体" w:hAnsi="宋体" w:cs="Times New Roman"/>
          <w:color w:val="000000"/>
          <w:kern w:val="0"/>
          <w:sz w:val="24"/>
          <w:szCs w:val="24"/>
          <w:highlight w:val="none"/>
        </w:rPr>
      </w:pPr>
      <w:r>
        <w:rPr>
          <w:rFonts w:hint="eastAsia" w:ascii="宋体" w:hAnsi="宋体" w:cs="宋体"/>
          <w:color w:val="000000"/>
          <w:kern w:val="0"/>
          <w:sz w:val="24"/>
          <w:szCs w:val="24"/>
          <w:highlight w:val="none"/>
        </w:rPr>
        <w:t>本单位与采购人之间</w:t>
      </w:r>
      <w:r>
        <w:rPr>
          <w:rFonts w:hint="eastAsia" w:ascii="宋体" w:hAnsi="宋体" w:cs="宋体"/>
          <w:color w:val="000000"/>
          <w:kern w:val="0"/>
          <w:sz w:val="24"/>
          <w:szCs w:val="24"/>
          <w:highlight w:val="none"/>
        </w:rPr>
        <w:sym w:font="Wingdings 2" w:char="0052"/>
      </w:r>
      <w:r>
        <w:rPr>
          <w:rFonts w:hint="eastAsia" w:ascii="宋体" w:hAnsi="宋体" w:cs="宋体"/>
          <w:color w:val="000000"/>
          <w:kern w:val="0"/>
          <w:sz w:val="24"/>
          <w:szCs w:val="24"/>
          <w:highlight w:val="none"/>
        </w:rPr>
        <w:t>不存在利害关系</w:t>
      </w:r>
      <w:r>
        <w:rPr>
          <w:rFonts w:hint="eastAsia" w:ascii="宋体" w:hAnsi="宋体" w:cs="宋体"/>
          <w:color w:val="000000"/>
          <w:kern w:val="0"/>
          <w:sz w:val="24"/>
          <w:szCs w:val="24"/>
          <w:highlight w:val="none"/>
        </w:rPr>
        <w:sym w:font="Wingdings 2" w:char="00A3"/>
      </w:r>
      <w:r>
        <w:rPr>
          <w:rFonts w:hint="eastAsia" w:ascii="宋体" w:hAnsi="宋体" w:cs="宋体"/>
          <w:color w:val="000000"/>
          <w:kern w:val="0"/>
          <w:sz w:val="24"/>
          <w:szCs w:val="24"/>
          <w:highlight w:val="none"/>
        </w:rPr>
        <w:t>存在下列利害关系：</w:t>
      </w:r>
    </w:p>
    <w:p w14:paraId="56F55A0F">
      <w:pPr>
        <w:pStyle w:val="48"/>
        <w:widowControl/>
        <w:snapToGrid w:val="0"/>
        <w:spacing w:line="440" w:lineRule="exact"/>
        <w:rPr>
          <w:rFonts w:hint="eastAsia" w:ascii="宋体" w:hAnsi="宋体" w:cs="Times New Roman"/>
          <w:color w:val="000000"/>
          <w:kern w:val="0"/>
          <w:sz w:val="24"/>
          <w:szCs w:val="24"/>
          <w:highlight w:val="none"/>
        </w:rPr>
      </w:pPr>
      <w:r>
        <w:rPr>
          <w:rFonts w:ascii="宋体" w:hAnsi="宋体" w:cs="宋体"/>
          <w:color w:val="000000"/>
          <w:kern w:val="0"/>
          <w:sz w:val="24"/>
          <w:szCs w:val="24"/>
          <w:highlight w:val="none"/>
        </w:rPr>
        <w:t xml:space="preserve"> A.</w:t>
      </w:r>
      <w:r>
        <w:rPr>
          <w:rFonts w:hint="eastAsia" w:ascii="宋体" w:hAnsi="宋体" w:cs="宋体"/>
          <w:color w:val="000000"/>
          <w:kern w:val="0"/>
          <w:sz w:val="24"/>
          <w:szCs w:val="24"/>
          <w:highlight w:val="none"/>
        </w:rPr>
        <w:t>投资关系</w:t>
      </w:r>
      <w:r>
        <w:rPr>
          <w:rFonts w:ascii="宋体" w:hAnsi="宋体" w:cs="宋体"/>
          <w:color w:val="000000"/>
          <w:kern w:val="0"/>
          <w:sz w:val="24"/>
          <w:szCs w:val="24"/>
          <w:highlight w:val="none"/>
        </w:rPr>
        <w:t xml:space="preserve">    B.</w:t>
      </w:r>
      <w:r>
        <w:rPr>
          <w:rFonts w:hint="eastAsia" w:ascii="宋体" w:hAnsi="宋体" w:cs="宋体"/>
          <w:color w:val="000000"/>
          <w:kern w:val="0"/>
          <w:sz w:val="24"/>
          <w:szCs w:val="24"/>
          <w:highlight w:val="none"/>
        </w:rPr>
        <w:t>行政隶属关系</w:t>
      </w:r>
      <w:r>
        <w:rPr>
          <w:rFonts w:ascii="宋体" w:hAnsi="宋体" w:cs="宋体"/>
          <w:color w:val="000000"/>
          <w:kern w:val="0"/>
          <w:sz w:val="24"/>
          <w:szCs w:val="24"/>
          <w:highlight w:val="none"/>
        </w:rPr>
        <w:t xml:space="preserve">    C.</w:t>
      </w:r>
      <w:r>
        <w:rPr>
          <w:rFonts w:hint="eastAsia" w:ascii="宋体" w:hAnsi="宋体" w:cs="宋体"/>
          <w:color w:val="000000"/>
          <w:kern w:val="0"/>
          <w:sz w:val="24"/>
          <w:szCs w:val="24"/>
          <w:highlight w:val="none"/>
        </w:rPr>
        <w:t>业务指导关系</w:t>
      </w:r>
    </w:p>
    <w:p w14:paraId="0C0AAB1B">
      <w:pPr>
        <w:pStyle w:val="48"/>
        <w:widowControl/>
        <w:snapToGrid w:val="0"/>
        <w:spacing w:line="440" w:lineRule="exact"/>
        <w:rPr>
          <w:rFonts w:hint="eastAsia" w:ascii="宋体" w:hAnsi="宋体" w:cs="Times New Roman"/>
          <w:color w:val="000000"/>
          <w:kern w:val="0"/>
          <w:sz w:val="24"/>
          <w:szCs w:val="24"/>
          <w:highlight w:val="none"/>
        </w:rPr>
      </w:pPr>
      <w:r>
        <w:rPr>
          <w:rFonts w:ascii="宋体" w:hAnsi="宋体" w:cs="宋体"/>
          <w:color w:val="000000"/>
          <w:kern w:val="0"/>
          <w:sz w:val="24"/>
          <w:szCs w:val="24"/>
          <w:highlight w:val="none"/>
        </w:rPr>
        <w:t>D.</w:t>
      </w:r>
      <w:r>
        <w:rPr>
          <w:rFonts w:hint="eastAsia" w:ascii="宋体" w:hAnsi="宋体" w:cs="宋体"/>
          <w:color w:val="000000"/>
          <w:kern w:val="0"/>
          <w:sz w:val="24"/>
          <w:szCs w:val="24"/>
          <w:highlight w:val="none"/>
        </w:rPr>
        <w:t>其他可能</w:t>
      </w:r>
      <w:r>
        <w:rPr>
          <w:rFonts w:hint="eastAsia" w:ascii="宋体" w:hAnsi="宋体" w:cs="宋体"/>
          <w:color w:val="000000"/>
          <w:sz w:val="24"/>
          <w:szCs w:val="24"/>
          <w:highlight w:val="none"/>
        </w:rPr>
        <w:t>影响采购公正的</w:t>
      </w:r>
      <w:r>
        <w:rPr>
          <w:rFonts w:hint="eastAsia" w:ascii="宋体" w:hAnsi="宋体" w:cs="宋体"/>
          <w:color w:val="000000"/>
          <w:kern w:val="0"/>
          <w:sz w:val="24"/>
          <w:szCs w:val="24"/>
          <w:highlight w:val="none"/>
        </w:rPr>
        <w:t>利害关系（如有，请如实说明）。</w:t>
      </w:r>
    </w:p>
    <w:p w14:paraId="7F9C1F59">
      <w:pPr>
        <w:pStyle w:val="48"/>
        <w:widowControl/>
        <w:numPr>
          <w:ilvl w:val="0"/>
          <w:numId w:val="9"/>
        </w:numPr>
        <w:snapToGrid w:val="0"/>
        <w:spacing w:line="440" w:lineRule="exact"/>
        <w:ind w:firstLine="453" w:firstLineChars="18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现已清楚知道参加本项目采购活动的其他所有供应商名称，本单位□与其他所有供应商之间均不存在利害关系□与（供应商名称）之间存在下列利害关系：</w:t>
      </w:r>
    </w:p>
    <w:p w14:paraId="2E5DC8C3">
      <w:pPr>
        <w:pStyle w:val="47"/>
        <w:widowControl w:val="0"/>
        <w:snapToGrid w:val="0"/>
        <w:spacing w:line="440" w:lineRule="exact"/>
        <w:jc w:val="both"/>
        <w:rPr>
          <w:rFonts w:hint="eastAsia" w:hAnsi="宋体" w:cs="Times New Roman"/>
          <w:color w:val="000000"/>
          <w:kern w:val="0"/>
          <w:sz w:val="24"/>
          <w:szCs w:val="24"/>
          <w:highlight w:val="none"/>
        </w:rPr>
      </w:pPr>
      <w:r>
        <w:rPr>
          <w:rFonts w:hAnsi="宋体"/>
          <w:color w:val="000000"/>
          <w:kern w:val="0"/>
          <w:sz w:val="24"/>
          <w:szCs w:val="24"/>
          <w:highlight w:val="none"/>
        </w:rPr>
        <w:t xml:space="preserve">  A.</w:t>
      </w:r>
      <w:r>
        <w:rPr>
          <w:rFonts w:hint="eastAsia" w:hAnsi="宋体"/>
          <w:color w:val="000000"/>
          <w:kern w:val="0"/>
          <w:sz w:val="24"/>
          <w:szCs w:val="24"/>
          <w:highlight w:val="none"/>
        </w:rPr>
        <w:t>法定代表人或负责人或实际控制人是同一人</w:t>
      </w:r>
    </w:p>
    <w:p w14:paraId="2D03483D">
      <w:pPr>
        <w:pStyle w:val="47"/>
        <w:widowControl w:val="0"/>
        <w:snapToGrid w:val="0"/>
        <w:spacing w:line="440" w:lineRule="exact"/>
        <w:jc w:val="both"/>
        <w:rPr>
          <w:rFonts w:hint="eastAsia" w:hAnsi="宋体" w:cs="Times New Roman"/>
          <w:color w:val="000000"/>
          <w:spacing w:val="6"/>
          <w:sz w:val="24"/>
          <w:szCs w:val="24"/>
          <w:highlight w:val="none"/>
        </w:rPr>
      </w:pPr>
      <w:r>
        <w:rPr>
          <w:rFonts w:hAnsi="宋体"/>
          <w:color w:val="000000"/>
          <w:kern w:val="0"/>
          <w:sz w:val="24"/>
          <w:szCs w:val="24"/>
          <w:highlight w:val="none"/>
        </w:rPr>
        <w:t xml:space="preserve">  B.</w:t>
      </w:r>
      <w:r>
        <w:rPr>
          <w:rFonts w:hint="eastAsia" w:hAnsi="宋体"/>
          <w:color w:val="000000"/>
          <w:kern w:val="0"/>
          <w:sz w:val="24"/>
          <w:szCs w:val="24"/>
          <w:highlight w:val="none"/>
        </w:rPr>
        <w:t>法定代表人或负责人或实际控制人是夫妻关系</w:t>
      </w:r>
    </w:p>
    <w:p w14:paraId="381561EF">
      <w:pPr>
        <w:pStyle w:val="47"/>
        <w:widowControl w:val="0"/>
        <w:snapToGrid w:val="0"/>
        <w:spacing w:line="440" w:lineRule="exact"/>
        <w:jc w:val="both"/>
        <w:rPr>
          <w:rFonts w:hint="eastAsia" w:hAnsi="宋体" w:cs="Times New Roman"/>
          <w:color w:val="000000"/>
          <w:spacing w:val="6"/>
          <w:sz w:val="24"/>
          <w:szCs w:val="24"/>
          <w:highlight w:val="none"/>
        </w:rPr>
      </w:pPr>
      <w:r>
        <w:rPr>
          <w:rFonts w:hAnsi="宋体"/>
          <w:color w:val="000000"/>
          <w:kern w:val="0"/>
          <w:sz w:val="24"/>
          <w:szCs w:val="24"/>
          <w:highlight w:val="none"/>
        </w:rPr>
        <w:t xml:space="preserve">  C.</w:t>
      </w:r>
      <w:r>
        <w:rPr>
          <w:rFonts w:hint="eastAsia" w:hAnsi="宋体"/>
          <w:color w:val="000000"/>
          <w:kern w:val="0"/>
          <w:sz w:val="24"/>
          <w:szCs w:val="24"/>
          <w:highlight w:val="none"/>
        </w:rPr>
        <w:t>法定代表人或负责人或实际控制人是直系血亲关系</w:t>
      </w:r>
    </w:p>
    <w:p w14:paraId="2D2F107E">
      <w:pPr>
        <w:pStyle w:val="47"/>
        <w:widowControl w:val="0"/>
        <w:snapToGrid w:val="0"/>
        <w:spacing w:line="440" w:lineRule="exact"/>
        <w:jc w:val="both"/>
        <w:rPr>
          <w:rFonts w:hint="eastAsia" w:hAnsi="宋体" w:cs="Times New Roman"/>
          <w:color w:val="000000"/>
          <w:spacing w:val="6"/>
          <w:sz w:val="24"/>
          <w:szCs w:val="24"/>
          <w:highlight w:val="none"/>
        </w:rPr>
      </w:pPr>
      <w:r>
        <w:rPr>
          <w:rFonts w:hAnsi="宋体"/>
          <w:color w:val="000000"/>
          <w:kern w:val="0"/>
          <w:sz w:val="24"/>
          <w:szCs w:val="24"/>
          <w:highlight w:val="none"/>
        </w:rPr>
        <w:t xml:space="preserve">  D.</w:t>
      </w:r>
      <w:r>
        <w:rPr>
          <w:rFonts w:hint="eastAsia" w:hAnsi="宋体"/>
          <w:color w:val="000000"/>
          <w:kern w:val="0"/>
          <w:sz w:val="24"/>
          <w:szCs w:val="24"/>
          <w:highlight w:val="none"/>
        </w:rPr>
        <w:t>法定代表人或负责人或实际控制人存在三代以内旁系血亲关系</w:t>
      </w:r>
    </w:p>
    <w:p w14:paraId="546B33B8">
      <w:pPr>
        <w:pStyle w:val="47"/>
        <w:widowControl w:val="0"/>
        <w:snapToGrid w:val="0"/>
        <w:spacing w:line="440" w:lineRule="exact"/>
        <w:jc w:val="both"/>
        <w:rPr>
          <w:rFonts w:hint="eastAsia" w:hAnsi="宋体" w:cs="Times New Roman"/>
          <w:color w:val="000000"/>
          <w:kern w:val="0"/>
          <w:sz w:val="24"/>
          <w:szCs w:val="24"/>
          <w:highlight w:val="none"/>
        </w:rPr>
      </w:pPr>
      <w:r>
        <w:rPr>
          <w:rFonts w:hAnsi="宋体"/>
          <w:color w:val="000000"/>
          <w:kern w:val="0"/>
          <w:sz w:val="24"/>
          <w:szCs w:val="24"/>
          <w:highlight w:val="none"/>
        </w:rPr>
        <w:t xml:space="preserve">  E.</w:t>
      </w:r>
      <w:r>
        <w:rPr>
          <w:rFonts w:hint="eastAsia" w:hAnsi="宋体"/>
          <w:color w:val="000000"/>
          <w:kern w:val="0"/>
          <w:sz w:val="24"/>
          <w:szCs w:val="24"/>
          <w:highlight w:val="none"/>
        </w:rPr>
        <w:t>法定代表人或负责人或实际控制人存在近姻亲关系</w:t>
      </w:r>
    </w:p>
    <w:p w14:paraId="4BAF55AC">
      <w:pPr>
        <w:pStyle w:val="47"/>
        <w:widowControl w:val="0"/>
        <w:snapToGrid w:val="0"/>
        <w:spacing w:line="440" w:lineRule="exact"/>
        <w:jc w:val="both"/>
        <w:rPr>
          <w:rFonts w:hint="eastAsia" w:hAnsi="宋体" w:cs="Times New Roman"/>
          <w:color w:val="000000"/>
          <w:kern w:val="0"/>
          <w:sz w:val="24"/>
          <w:szCs w:val="24"/>
          <w:highlight w:val="none"/>
        </w:rPr>
      </w:pPr>
      <w:r>
        <w:rPr>
          <w:rFonts w:hAnsi="宋体"/>
          <w:color w:val="000000"/>
          <w:kern w:val="0"/>
          <w:sz w:val="24"/>
          <w:szCs w:val="24"/>
          <w:highlight w:val="none"/>
        </w:rPr>
        <w:t xml:space="preserve">  F.</w:t>
      </w:r>
      <w:r>
        <w:rPr>
          <w:rFonts w:hint="eastAsia" w:hAnsi="宋体"/>
          <w:color w:val="000000"/>
          <w:kern w:val="0"/>
          <w:sz w:val="24"/>
          <w:szCs w:val="24"/>
          <w:highlight w:val="none"/>
        </w:rPr>
        <w:t>法定代表人或负责人或实际控制人存在股份控制或实际控制关系</w:t>
      </w:r>
    </w:p>
    <w:p w14:paraId="3153C8B6">
      <w:pPr>
        <w:pStyle w:val="47"/>
        <w:widowControl w:val="0"/>
        <w:snapToGrid w:val="0"/>
        <w:spacing w:line="440" w:lineRule="exact"/>
        <w:jc w:val="both"/>
        <w:rPr>
          <w:rFonts w:hint="eastAsia" w:hAnsi="宋体" w:cs="Times New Roman"/>
          <w:color w:val="000000"/>
          <w:kern w:val="0"/>
          <w:sz w:val="24"/>
          <w:szCs w:val="24"/>
          <w:highlight w:val="none"/>
        </w:rPr>
      </w:pPr>
      <w:r>
        <w:rPr>
          <w:rFonts w:hAnsi="宋体"/>
          <w:color w:val="000000"/>
          <w:kern w:val="0"/>
          <w:sz w:val="24"/>
          <w:szCs w:val="24"/>
          <w:highlight w:val="none"/>
        </w:rPr>
        <w:t xml:space="preserve">  G.</w:t>
      </w:r>
      <w:r>
        <w:rPr>
          <w:rFonts w:hint="eastAsia" w:hAnsi="宋体"/>
          <w:color w:val="000000"/>
          <w:kern w:val="0"/>
          <w:sz w:val="24"/>
          <w:szCs w:val="24"/>
          <w:highlight w:val="none"/>
        </w:rPr>
        <w:t>存在共同直接或间接投资设立子公司、联营企业和合营企业情况</w:t>
      </w:r>
    </w:p>
    <w:p w14:paraId="29B2BEBD">
      <w:pPr>
        <w:pStyle w:val="47"/>
        <w:widowControl w:val="0"/>
        <w:snapToGrid w:val="0"/>
        <w:spacing w:line="440" w:lineRule="exact"/>
        <w:jc w:val="both"/>
        <w:rPr>
          <w:rFonts w:hint="eastAsia" w:hAnsi="宋体" w:cs="Times New Roman"/>
          <w:color w:val="000000"/>
          <w:sz w:val="24"/>
          <w:szCs w:val="24"/>
          <w:highlight w:val="none"/>
        </w:rPr>
      </w:pPr>
      <w:r>
        <w:rPr>
          <w:rFonts w:hAnsi="宋体"/>
          <w:color w:val="000000"/>
          <w:kern w:val="0"/>
          <w:sz w:val="24"/>
          <w:szCs w:val="24"/>
          <w:highlight w:val="none"/>
        </w:rPr>
        <w:t xml:space="preserve">  H.</w:t>
      </w:r>
      <w:r>
        <w:rPr>
          <w:rFonts w:hint="eastAsia" w:hAnsi="宋体"/>
          <w:color w:val="000000"/>
          <w:kern w:val="0"/>
          <w:sz w:val="24"/>
          <w:szCs w:val="24"/>
          <w:highlight w:val="none"/>
        </w:rPr>
        <w:t>存在分级代理或代销关系、同一生产制造商关系、</w:t>
      </w:r>
      <w:r>
        <w:rPr>
          <w:rFonts w:hint="eastAsia" w:hAnsi="宋体"/>
          <w:color w:val="000000"/>
          <w:sz w:val="24"/>
          <w:szCs w:val="24"/>
          <w:highlight w:val="none"/>
        </w:rPr>
        <w:t>管理关系、重要业务（占主营业务收入</w:t>
      </w:r>
      <w:r>
        <w:rPr>
          <w:rFonts w:hAnsi="宋体"/>
          <w:color w:val="000000"/>
          <w:sz w:val="24"/>
          <w:szCs w:val="24"/>
          <w:highlight w:val="none"/>
        </w:rPr>
        <w:t>50%</w:t>
      </w:r>
      <w:r>
        <w:rPr>
          <w:rFonts w:hint="eastAsia" w:hAnsi="宋体"/>
          <w:color w:val="000000"/>
          <w:sz w:val="24"/>
          <w:szCs w:val="24"/>
          <w:highlight w:val="none"/>
        </w:rPr>
        <w:t>以上）或重要财务往来关系（如融资）等其他实质性控制关系</w:t>
      </w:r>
    </w:p>
    <w:p w14:paraId="0348B389">
      <w:pPr>
        <w:pStyle w:val="47"/>
        <w:widowControl w:val="0"/>
        <w:snapToGrid w:val="0"/>
        <w:spacing w:line="440" w:lineRule="exact"/>
        <w:jc w:val="both"/>
        <w:rPr>
          <w:rFonts w:hint="eastAsia" w:hAnsi="宋体" w:cs="Times New Roman"/>
          <w:color w:val="000000"/>
          <w:spacing w:val="6"/>
          <w:sz w:val="24"/>
          <w:szCs w:val="24"/>
          <w:highlight w:val="none"/>
        </w:rPr>
      </w:pPr>
      <w:r>
        <w:rPr>
          <w:rFonts w:hAnsi="宋体"/>
          <w:color w:val="000000"/>
          <w:sz w:val="24"/>
          <w:szCs w:val="24"/>
          <w:highlight w:val="none"/>
        </w:rPr>
        <w:t xml:space="preserve">  I</w:t>
      </w:r>
      <w:r>
        <w:rPr>
          <w:rFonts w:hAnsi="宋体"/>
          <w:color w:val="000000"/>
          <w:kern w:val="0"/>
          <w:sz w:val="24"/>
          <w:szCs w:val="24"/>
          <w:highlight w:val="none"/>
        </w:rPr>
        <w:t>.</w:t>
      </w:r>
      <w:r>
        <w:rPr>
          <w:rFonts w:hint="eastAsia" w:hAnsi="宋体"/>
          <w:color w:val="000000"/>
          <w:sz w:val="24"/>
          <w:szCs w:val="24"/>
          <w:highlight w:val="none"/>
        </w:rPr>
        <w:t>其他利害关系情况</w:t>
      </w:r>
      <w:r>
        <w:rPr>
          <w:rFonts w:hint="eastAsia" w:hAnsi="宋体"/>
          <w:color w:val="000000"/>
          <w:kern w:val="0"/>
          <w:sz w:val="24"/>
          <w:szCs w:val="24"/>
          <w:highlight w:val="none"/>
        </w:rPr>
        <w:t>。</w:t>
      </w:r>
    </w:p>
    <w:p w14:paraId="00728EE3">
      <w:pPr>
        <w:pStyle w:val="48"/>
        <w:widowControl/>
        <w:numPr>
          <w:ilvl w:val="0"/>
          <w:numId w:val="10"/>
        </w:numPr>
        <w:snapToGrid w:val="0"/>
        <w:spacing w:line="440" w:lineRule="exact"/>
        <w:ind w:firstLine="453" w:firstLineChars="189"/>
        <w:rPr>
          <w:rFonts w:hint="eastAsia" w:ascii="宋体" w:hAnsi="宋体" w:cs="Times New Roman"/>
          <w:color w:val="000000"/>
          <w:kern w:val="0"/>
          <w:sz w:val="24"/>
          <w:szCs w:val="24"/>
          <w:highlight w:val="none"/>
        </w:rPr>
      </w:pPr>
      <w:r>
        <w:rPr>
          <w:rFonts w:hint="eastAsia" w:ascii="宋体" w:hAnsi="宋体" w:cs="宋体"/>
          <w:color w:val="000000"/>
          <w:sz w:val="24"/>
          <w:szCs w:val="24"/>
          <w:highlight w:val="none"/>
        </w:rPr>
        <w:t>现已清楚知道并</w:t>
      </w:r>
      <w:r>
        <w:rPr>
          <w:rFonts w:hint="eastAsia" w:ascii="宋体" w:hAnsi="宋体" w:cs="宋体"/>
          <w:color w:val="000000"/>
          <w:kern w:val="0"/>
          <w:sz w:val="24"/>
          <w:szCs w:val="24"/>
          <w:highlight w:val="none"/>
        </w:rPr>
        <w:t>严格遵守政府采购法律法规和现场纪律。</w:t>
      </w:r>
    </w:p>
    <w:p w14:paraId="38C2AD4C">
      <w:pPr>
        <w:pStyle w:val="48"/>
        <w:widowControl/>
        <w:numPr>
          <w:ilvl w:val="0"/>
          <w:numId w:val="10"/>
        </w:numPr>
        <w:snapToGrid w:val="0"/>
        <w:spacing w:line="440" w:lineRule="exact"/>
        <w:ind w:firstLine="453" w:firstLineChars="189"/>
        <w:rPr>
          <w:rFonts w:hint="eastAsia" w:ascii="宋体" w:hAnsi="宋体" w:cs="Times New Roman"/>
          <w:color w:val="000000"/>
          <w:kern w:val="0"/>
          <w:sz w:val="24"/>
          <w:szCs w:val="24"/>
          <w:highlight w:val="none"/>
        </w:rPr>
      </w:pPr>
      <w:r>
        <w:rPr>
          <w:rFonts w:hint="eastAsia" w:ascii="宋体" w:hAnsi="宋体" w:cs="宋体"/>
          <w:color w:val="000000"/>
          <w:kern w:val="0"/>
          <w:sz w:val="24"/>
          <w:szCs w:val="24"/>
          <w:highlight w:val="none"/>
        </w:rPr>
        <w:t>我发现供应商之间存在或可能存在上述第二条第项利害关系。</w:t>
      </w:r>
    </w:p>
    <w:p w14:paraId="7834FF90">
      <w:pPr>
        <w:pStyle w:val="48"/>
        <w:widowControl/>
        <w:snapToGrid w:val="0"/>
        <w:spacing w:line="440" w:lineRule="exact"/>
        <w:rPr>
          <w:rFonts w:hint="eastAsia" w:ascii="宋体" w:hAnsi="宋体" w:cs="Times New Roman"/>
          <w:color w:val="000000"/>
          <w:sz w:val="24"/>
          <w:szCs w:val="24"/>
          <w:highlight w:val="none"/>
        </w:rPr>
      </w:pPr>
    </w:p>
    <w:p w14:paraId="06F2CA39">
      <w:pPr>
        <w:pStyle w:val="47"/>
        <w:widowControl w:val="0"/>
        <w:snapToGrid w:val="0"/>
        <w:spacing w:line="440" w:lineRule="exact"/>
        <w:ind w:firstLine="480" w:firstLineChars="200"/>
        <w:jc w:val="both"/>
        <w:rPr>
          <w:rFonts w:hint="eastAsia" w:hAnsi="宋体" w:cs="Times New Roman"/>
          <w:color w:val="000000"/>
          <w:sz w:val="24"/>
          <w:szCs w:val="24"/>
          <w:highlight w:val="none"/>
        </w:rPr>
      </w:pPr>
      <w:r>
        <w:rPr>
          <w:rFonts w:hint="eastAsia" w:hAnsi="宋体"/>
          <w:color w:val="000000"/>
          <w:sz w:val="24"/>
          <w:szCs w:val="24"/>
          <w:highlight w:val="none"/>
        </w:rPr>
        <w:t>（供应商代表签名）：</w:t>
      </w:r>
    </w:p>
    <w:p w14:paraId="2C82B460">
      <w:pPr>
        <w:pStyle w:val="47"/>
        <w:widowControl w:val="0"/>
        <w:snapToGrid w:val="0"/>
        <w:spacing w:line="440" w:lineRule="exact"/>
        <w:ind w:firstLine="480" w:firstLineChars="200"/>
        <w:jc w:val="both"/>
        <w:rPr>
          <w:rFonts w:hint="eastAsia" w:hAnsi="宋体"/>
          <w:color w:val="000000"/>
          <w:sz w:val="24"/>
          <w:szCs w:val="24"/>
          <w:highlight w:val="none"/>
        </w:rPr>
      </w:pPr>
      <w:r>
        <w:rPr>
          <w:rFonts w:hAnsi="宋体"/>
          <w:color w:val="000000"/>
          <w:sz w:val="24"/>
          <w:szCs w:val="24"/>
          <w:highlight w:val="none"/>
        </w:rPr>
        <w:t xml:space="preserve">        </w:t>
      </w:r>
      <w:r>
        <w:rPr>
          <w:rFonts w:hint="eastAsia" w:hAnsi="宋体"/>
          <w:color w:val="000000"/>
          <w:sz w:val="24"/>
          <w:szCs w:val="24"/>
          <w:highlight w:val="none"/>
        </w:rPr>
        <w:t>2025年  月   日</w:t>
      </w:r>
    </w:p>
    <w:p w14:paraId="2ED8672B">
      <w:pPr>
        <w:pStyle w:val="47"/>
        <w:widowControl w:val="0"/>
        <w:snapToGrid w:val="0"/>
        <w:spacing w:line="440" w:lineRule="exact"/>
        <w:jc w:val="both"/>
        <w:rPr>
          <w:rFonts w:hint="eastAsia" w:hAnsi="宋体"/>
          <w:color w:val="000000"/>
          <w:sz w:val="24"/>
          <w:szCs w:val="24"/>
          <w:highlight w:val="none"/>
        </w:rPr>
      </w:pPr>
    </w:p>
    <w:p w14:paraId="62E59ACF">
      <w:pPr>
        <w:pStyle w:val="47"/>
        <w:widowControl w:val="0"/>
        <w:snapToGrid w:val="0"/>
        <w:spacing w:line="440" w:lineRule="exact"/>
        <w:jc w:val="both"/>
        <w:rPr>
          <w:rFonts w:hint="eastAsia" w:hAnsi="宋体"/>
          <w:color w:val="000000"/>
          <w:sz w:val="24"/>
          <w:szCs w:val="24"/>
          <w:highlight w:val="none"/>
        </w:rPr>
      </w:pPr>
      <w:r>
        <w:rPr>
          <w:rFonts w:hint="eastAsia"/>
          <w:highlight w:val="none"/>
        </w:rPr>
        <w:t>注：解密完成后，填写本确认书后扫描件回传至代理机构283199225@qq.com。</w:t>
      </w:r>
    </w:p>
    <w:p w14:paraId="64DA1535">
      <w:pPr>
        <w:rPr>
          <w:rFonts w:hint="eastAsia" w:ascii="宋体" w:hAnsi="宋体"/>
          <w:highlight w:val="none"/>
        </w:rPr>
      </w:pPr>
    </w:p>
    <w:sectPr>
      <w:pgSz w:w="11906" w:h="16838"/>
      <w:pgMar w:top="1440" w:right="1176" w:bottom="1440" w:left="107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AF04">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D267156">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&#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YVc8dIBAACmAwAADgAAAAAAAAABACAAAAAi&#10;AQAAZHJzL2Uyb0RvYy54bWxQSwUGAAAAAAYABgBZAQAAZgUAAAAA&#10;">
              <v:fill on="f" focussize="0,0"/>
              <v:stroke on="f" weight="1.25pt"/>
              <v:imagedata o:title=""/>
              <o:lock v:ext="edit" aspectratio="f"/>
              <v:textbox inset="0mm,0mm,0mm,0mm" style="mso-fit-shape-to-text:t;">
                <w:txbxContent>
                  <w:p w14:paraId="3D267156">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32E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30FA7"/>
    <w:multiLevelType w:val="singleLevel"/>
    <w:tmpl w:val="C4030FA7"/>
    <w:lvl w:ilvl="0" w:tentative="0">
      <w:start w:val="1"/>
      <w:numFmt w:val="decimal"/>
      <w:lvlText w:val="%1"/>
      <w:lvlJc w:val="left"/>
      <w:pPr>
        <w:tabs>
          <w:tab w:val="left" w:pos="425"/>
        </w:tabs>
        <w:ind w:left="425" w:hanging="425"/>
      </w:pPr>
      <w:rPr>
        <w:rFonts w:hint="default"/>
      </w:rPr>
    </w:lvl>
  </w:abstractNum>
  <w:abstractNum w:abstractNumId="1">
    <w:nsid w:val="FDB8C644"/>
    <w:multiLevelType w:val="singleLevel"/>
    <w:tmpl w:val="FDB8C644"/>
    <w:lvl w:ilvl="0" w:tentative="0">
      <w:start w:val="3"/>
      <w:numFmt w:val="decimal"/>
      <w:suff w:val="nothing"/>
      <w:lvlText w:val="（%1）"/>
      <w:lvlJc w:val="left"/>
    </w:lvl>
  </w:abstractNum>
  <w:abstractNum w:abstractNumId="2">
    <w:nsid w:val="29391921"/>
    <w:multiLevelType w:val="singleLevel"/>
    <w:tmpl w:val="29391921"/>
    <w:lvl w:ilvl="0" w:tentative="0">
      <w:start w:val="1"/>
      <w:numFmt w:val="decimal"/>
      <w:suff w:val="nothing"/>
      <w:lvlText w:val="%1、"/>
      <w:lvlJc w:val="left"/>
    </w:lvl>
  </w:abstractNum>
  <w:abstractNum w:abstractNumId="3">
    <w:nsid w:val="2AD33730"/>
    <w:multiLevelType w:val="singleLevel"/>
    <w:tmpl w:val="2AD33730"/>
    <w:lvl w:ilvl="0" w:tentative="0">
      <w:start w:val="1"/>
      <w:numFmt w:val="decimal"/>
      <w:suff w:val="nothing"/>
      <w:lvlText w:val="%1、"/>
      <w:lvlJc w:val="left"/>
      <w:pPr>
        <w:ind w:left="421" w:firstLine="0"/>
      </w:pPr>
    </w:lvl>
  </w:abstractNum>
  <w:abstractNum w:abstractNumId="4">
    <w:nsid w:val="3FA9E490"/>
    <w:multiLevelType w:val="singleLevel"/>
    <w:tmpl w:val="3FA9E490"/>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45CB81"/>
    <w:multiLevelType w:val="singleLevel"/>
    <w:tmpl w:val="5545CB81"/>
    <w:lvl w:ilvl="0" w:tentative="0">
      <w:start w:val="1"/>
      <w:numFmt w:val="chineseCounting"/>
      <w:suff w:val="space"/>
      <w:lvlText w:val="第%1章"/>
      <w:lvlJc w:val="left"/>
      <w:pPr>
        <w:ind w:left="3382"/>
      </w:pPr>
    </w:lvl>
  </w:abstractNum>
  <w:abstractNum w:abstractNumId="7">
    <w:nsid w:val="55608325"/>
    <w:multiLevelType w:val="singleLevel"/>
    <w:tmpl w:val="55608325"/>
    <w:lvl w:ilvl="0" w:tentative="0">
      <w:start w:val="4"/>
      <w:numFmt w:val="decimal"/>
      <w:suff w:val="nothing"/>
      <w:lvlText w:val="%1、"/>
      <w:lvlJc w:val="left"/>
    </w:lvl>
  </w:abstractNum>
  <w:abstractNum w:abstractNumId="8">
    <w:nsid w:val="55608DE2"/>
    <w:multiLevelType w:val="singleLevel"/>
    <w:tmpl w:val="55608DE2"/>
    <w:lvl w:ilvl="0" w:tentative="0">
      <w:start w:val="2"/>
      <w:numFmt w:val="decimal"/>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6"/>
  </w:num>
  <w:num w:numId="2">
    <w:abstractNumId w:val="0"/>
  </w:num>
  <w:num w:numId="3">
    <w:abstractNumId w:val="3"/>
  </w:num>
  <w:num w:numId="4">
    <w:abstractNumId w:val="7"/>
  </w:num>
  <w:num w:numId="5">
    <w:abstractNumId w:val="1"/>
  </w:num>
  <w:num w:numId="6">
    <w:abstractNumId w:val="4"/>
  </w:num>
  <w:num w:numId="7">
    <w:abstractNumId w:val="8"/>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GY4OGVlMTlhYjFlNGE1OTBiNzFlM2QzNGJjNmYifQ=="/>
  </w:docVars>
  <w:rsids>
    <w:rsidRoot w:val="00172A27"/>
    <w:rsid w:val="000033FF"/>
    <w:rsid w:val="00003F25"/>
    <w:rsid w:val="000124A7"/>
    <w:rsid w:val="0001739E"/>
    <w:rsid w:val="00020A18"/>
    <w:rsid w:val="00023374"/>
    <w:rsid w:val="000267CA"/>
    <w:rsid w:val="00030B71"/>
    <w:rsid w:val="00037629"/>
    <w:rsid w:val="00037712"/>
    <w:rsid w:val="00044CB9"/>
    <w:rsid w:val="00050113"/>
    <w:rsid w:val="00064B71"/>
    <w:rsid w:val="00065B4E"/>
    <w:rsid w:val="00066026"/>
    <w:rsid w:val="00072650"/>
    <w:rsid w:val="0007391B"/>
    <w:rsid w:val="000745CC"/>
    <w:rsid w:val="00074AC0"/>
    <w:rsid w:val="000767BF"/>
    <w:rsid w:val="0008329C"/>
    <w:rsid w:val="00083D4D"/>
    <w:rsid w:val="00093A3C"/>
    <w:rsid w:val="000A1EBC"/>
    <w:rsid w:val="000A2901"/>
    <w:rsid w:val="000A7AD1"/>
    <w:rsid w:val="000C6376"/>
    <w:rsid w:val="000D19B2"/>
    <w:rsid w:val="000D2B3B"/>
    <w:rsid w:val="000D3AD9"/>
    <w:rsid w:val="000E035C"/>
    <w:rsid w:val="000E53BF"/>
    <w:rsid w:val="000E57AE"/>
    <w:rsid w:val="000F215E"/>
    <w:rsid w:val="000F5B2B"/>
    <w:rsid w:val="000F62B8"/>
    <w:rsid w:val="000F7092"/>
    <w:rsid w:val="000F71FD"/>
    <w:rsid w:val="001014A4"/>
    <w:rsid w:val="001033D8"/>
    <w:rsid w:val="00104F98"/>
    <w:rsid w:val="00105CFD"/>
    <w:rsid w:val="00124639"/>
    <w:rsid w:val="0013462F"/>
    <w:rsid w:val="00136253"/>
    <w:rsid w:val="0014012E"/>
    <w:rsid w:val="001415C0"/>
    <w:rsid w:val="00145A5F"/>
    <w:rsid w:val="00146C54"/>
    <w:rsid w:val="00153A2C"/>
    <w:rsid w:val="001550C2"/>
    <w:rsid w:val="00155B28"/>
    <w:rsid w:val="00157E83"/>
    <w:rsid w:val="00160D98"/>
    <w:rsid w:val="00162134"/>
    <w:rsid w:val="00162CCB"/>
    <w:rsid w:val="001632CA"/>
    <w:rsid w:val="0016355B"/>
    <w:rsid w:val="001677B0"/>
    <w:rsid w:val="00172A27"/>
    <w:rsid w:val="0017730E"/>
    <w:rsid w:val="00196B41"/>
    <w:rsid w:val="001B6FE0"/>
    <w:rsid w:val="001C39E7"/>
    <w:rsid w:val="001C5137"/>
    <w:rsid w:val="001C5C4A"/>
    <w:rsid w:val="001D182F"/>
    <w:rsid w:val="001D5684"/>
    <w:rsid w:val="001D58F6"/>
    <w:rsid w:val="001D63DB"/>
    <w:rsid w:val="001D72FA"/>
    <w:rsid w:val="001F0EE1"/>
    <w:rsid w:val="001F3059"/>
    <w:rsid w:val="001F7F91"/>
    <w:rsid w:val="00201139"/>
    <w:rsid w:val="00201739"/>
    <w:rsid w:val="00203484"/>
    <w:rsid w:val="0021250D"/>
    <w:rsid w:val="00215BF5"/>
    <w:rsid w:val="00224322"/>
    <w:rsid w:val="00225DB4"/>
    <w:rsid w:val="00230EBB"/>
    <w:rsid w:val="00236698"/>
    <w:rsid w:val="00242469"/>
    <w:rsid w:val="002438E1"/>
    <w:rsid w:val="002467FB"/>
    <w:rsid w:val="00250CC9"/>
    <w:rsid w:val="00254298"/>
    <w:rsid w:val="0025544A"/>
    <w:rsid w:val="00257CD8"/>
    <w:rsid w:val="0027200A"/>
    <w:rsid w:val="00275F2B"/>
    <w:rsid w:val="0027660B"/>
    <w:rsid w:val="0028346F"/>
    <w:rsid w:val="00290784"/>
    <w:rsid w:val="002920EB"/>
    <w:rsid w:val="0029293A"/>
    <w:rsid w:val="002940FF"/>
    <w:rsid w:val="002B11C2"/>
    <w:rsid w:val="002B36C8"/>
    <w:rsid w:val="002B7F50"/>
    <w:rsid w:val="002C1DBA"/>
    <w:rsid w:val="002C3745"/>
    <w:rsid w:val="002D1E41"/>
    <w:rsid w:val="002D2457"/>
    <w:rsid w:val="002D63C2"/>
    <w:rsid w:val="002E4AFC"/>
    <w:rsid w:val="002E706F"/>
    <w:rsid w:val="002F01E9"/>
    <w:rsid w:val="002F0971"/>
    <w:rsid w:val="002F29FB"/>
    <w:rsid w:val="002F4D78"/>
    <w:rsid w:val="002F6384"/>
    <w:rsid w:val="002F77A1"/>
    <w:rsid w:val="00300933"/>
    <w:rsid w:val="0031223C"/>
    <w:rsid w:val="00313189"/>
    <w:rsid w:val="003160BB"/>
    <w:rsid w:val="00322768"/>
    <w:rsid w:val="00325C9B"/>
    <w:rsid w:val="003272ED"/>
    <w:rsid w:val="00333638"/>
    <w:rsid w:val="00335154"/>
    <w:rsid w:val="00336E82"/>
    <w:rsid w:val="003377AF"/>
    <w:rsid w:val="00342A6B"/>
    <w:rsid w:val="00345B7E"/>
    <w:rsid w:val="003479E3"/>
    <w:rsid w:val="00352EAF"/>
    <w:rsid w:val="00356D00"/>
    <w:rsid w:val="00357053"/>
    <w:rsid w:val="0036687F"/>
    <w:rsid w:val="00372A12"/>
    <w:rsid w:val="003738DE"/>
    <w:rsid w:val="003768C9"/>
    <w:rsid w:val="00382DD5"/>
    <w:rsid w:val="003903F9"/>
    <w:rsid w:val="00395342"/>
    <w:rsid w:val="00395A60"/>
    <w:rsid w:val="003C3006"/>
    <w:rsid w:val="003C4DCA"/>
    <w:rsid w:val="003C7236"/>
    <w:rsid w:val="003C77E8"/>
    <w:rsid w:val="003D095C"/>
    <w:rsid w:val="003D5BFA"/>
    <w:rsid w:val="003E265B"/>
    <w:rsid w:val="003E3767"/>
    <w:rsid w:val="003F6141"/>
    <w:rsid w:val="00400C61"/>
    <w:rsid w:val="004252A1"/>
    <w:rsid w:val="00427297"/>
    <w:rsid w:val="00442783"/>
    <w:rsid w:val="00443C3A"/>
    <w:rsid w:val="00446537"/>
    <w:rsid w:val="00450715"/>
    <w:rsid w:val="00450F66"/>
    <w:rsid w:val="0045291E"/>
    <w:rsid w:val="00465BC4"/>
    <w:rsid w:val="0046794E"/>
    <w:rsid w:val="00471656"/>
    <w:rsid w:val="00486CD9"/>
    <w:rsid w:val="00492FF4"/>
    <w:rsid w:val="004A7076"/>
    <w:rsid w:val="004B11F1"/>
    <w:rsid w:val="004B3099"/>
    <w:rsid w:val="004B64C4"/>
    <w:rsid w:val="004C763B"/>
    <w:rsid w:val="004E12A9"/>
    <w:rsid w:val="004E3085"/>
    <w:rsid w:val="004E5941"/>
    <w:rsid w:val="004E6F06"/>
    <w:rsid w:val="004F1D6D"/>
    <w:rsid w:val="004F57BB"/>
    <w:rsid w:val="005059D7"/>
    <w:rsid w:val="00511865"/>
    <w:rsid w:val="00511884"/>
    <w:rsid w:val="00511F77"/>
    <w:rsid w:val="00514CA4"/>
    <w:rsid w:val="00532C5B"/>
    <w:rsid w:val="00540E9F"/>
    <w:rsid w:val="00544C9A"/>
    <w:rsid w:val="0054701F"/>
    <w:rsid w:val="00552201"/>
    <w:rsid w:val="0055668E"/>
    <w:rsid w:val="0056157D"/>
    <w:rsid w:val="00567AB8"/>
    <w:rsid w:val="0057336F"/>
    <w:rsid w:val="005813D2"/>
    <w:rsid w:val="005831AF"/>
    <w:rsid w:val="00583F88"/>
    <w:rsid w:val="00587EF4"/>
    <w:rsid w:val="00593991"/>
    <w:rsid w:val="00595A45"/>
    <w:rsid w:val="005A4E30"/>
    <w:rsid w:val="005A5CD8"/>
    <w:rsid w:val="005C0331"/>
    <w:rsid w:val="005C327E"/>
    <w:rsid w:val="005C72E6"/>
    <w:rsid w:val="005C7778"/>
    <w:rsid w:val="005D78E7"/>
    <w:rsid w:val="005E0DB3"/>
    <w:rsid w:val="005E2D55"/>
    <w:rsid w:val="005F3F1A"/>
    <w:rsid w:val="0060501E"/>
    <w:rsid w:val="006117AF"/>
    <w:rsid w:val="00617069"/>
    <w:rsid w:val="0062048C"/>
    <w:rsid w:val="006227CF"/>
    <w:rsid w:val="00626BF5"/>
    <w:rsid w:val="0062781C"/>
    <w:rsid w:val="0063701A"/>
    <w:rsid w:val="00641CC4"/>
    <w:rsid w:val="00646366"/>
    <w:rsid w:val="00646D2C"/>
    <w:rsid w:val="006507E3"/>
    <w:rsid w:val="00661B05"/>
    <w:rsid w:val="00666EC1"/>
    <w:rsid w:val="00681FB8"/>
    <w:rsid w:val="006835D4"/>
    <w:rsid w:val="00684B43"/>
    <w:rsid w:val="00685EB5"/>
    <w:rsid w:val="006970A9"/>
    <w:rsid w:val="006A0AA8"/>
    <w:rsid w:val="006B4B9C"/>
    <w:rsid w:val="006B6A5A"/>
    <w:rsid w:val="006C100C"/>
    <w:rsid w:val="006C1B90"/>
    <w:rsid w:val="006C6B50"/>
    <w:rsid w:val="006D3355"/>
    <w:rsid w:val="006D6B70"/>
    <w:rsid w:val="006E4BD9"/>
    <w:rsid w:val="006E4D3F"/>
    <w:rsid w:val="006F7B7B"/>
    <w:rsid w:val="00700B6A"/>
    <w:rsid w:val="007020C3"/>
    <w:rsid w:val="0071319A"/>
    <w:rsid w:val="00713D75"/>
    <w:rsid w:val="00727B18"/>
    <w:rsid w:val="007302F9"/>
    <w:rsid w:val="007350EF"/>
    <w:rsid w:val="0074620C"/>
    <w:rsid w:val="00750D94"/>
    <w:rsid w:val="00751765"/>
    <w:rsid w:val="007527D2"/>
    <w:rsid w:val="00754027"/>
    <w:rsid w:val="00754541"/>
    <w:rsid w:val="0075606C"/>
    <w:rsid w:val="0076182A"/>
    <w:rsid w:val="00762A25"/>
    <w:rsid w:val="00762F5E"/>
    <w:rsid w:val="007666C7"/>
    <w:rsid w:val="007676F1"/>
    <w:rsid w:val="007739A2"/>
    <w:rsid w:val="00775775"/>
    <w:rsid w:val="00775BF7"/>
    <w:rsid w:val="00776163"/>
    <w:rsid w:val="007809F2"/>
    <w:rsid w:val="0079276F"/>
    <w:rsid w:val="007936C8"/>
    <w:rsid w:val="007942E4"/>
    <w:rsid w:val="00795E2D"/>
    <w:rsid w:val="007979EF"/>
    <w:rsid w:val="007A0D20"/>
    <w:rsid w:val="007A3406"/>
    <w:rsid w:val="007B20A2"/>
    <w:rsid w:val="007B5294"/>
    <w:rsid w:val="007B6406"/>
    <w:rsid w:val="007B77CF"/>
    <w:rsid w:val="007C1582"/>
    <w:rsid w:val="007C7A8E"/>
    <w:rsid w:val="007D574F"/>
    <w:rsid w:val="007E2B55"/>
    <w:rsid w:val="007E54E1"/>
    <w:rsid w:val="007F6EBF"/>
    <w:rsid w:val="00806246"/>
    <w:rsid w:val="00813BB3"/>
    <w:rsid w:val="00815042"/>
    <w:rsid w:val="00815C7E"/>
    <w:rsid w:val="0082281E"/>
    <w:rsid w:val="00824613"/>
    <w:rsid w:val="00837092"/>
    <w:rsid w:val="0084193A"/>
    <w:rsid w:val="00846713"/>
    <w:rsid w:val="00846D32"/>
    <w:rsid w:val="008514F9"/>
    <w:rsid w:val="00852311"/>
    <w:rsid w:val="00857559"/>
    <w:rsid w:val="00857898"/>
    <w:rsid w:val="00860EC1"/>
    <w:rsid w:val="008825F1"/>
    <w:rsid w:val="008844F4"/>
    <w:rsid w:val="0089478D"/>
    <w:rsid w:val="00895380"/>
    <w:rsid w:val="00895AC0"/>
    <w:rsid w:val="00895CF3"/>
    <w:rsid w:val="008A030B"/>
    <w:rsid w:val="008B0F8F"/>
    <w:rsid w:val="008B2567"/>
    <w:rsid w:val="008D2F91"/>
    <w:rsid w:val="008D7E6C"/>
    <w:rsid w:val="008E7A8C"/>
    <w:rsid w:val="008E7E97"/>
    <w:rsid w:val="008F4A62"/>
    <w:rsid w:val="008F524E"/>
    <w:rsid w:val="00901C7D"/>
    <w:rsid w:val="009023CA"/>
    <w:rsid w:val="00910B01"/>
    <w:rsid w:val="00912877"/>
    <w:rsid w:val="0091297F"/>
    <w:rsid w:val="009237B2"/>
    <w:rsid w:val="0093090C"/>
    <w:rsid w:val="00930A9A"/>
    <w:rsid w:val="00934DFB"/>
    <w:rsid w:val="0094166B"/>
    <w:rsid w:val="0094750F"/>
    <w:rsid w:val="00947C58"/>
    <w:rsid w:val="0095138B"/>
    <w:rsid w:val="00955438"/>
    <w:rsid w:val="0095619F"/>
    <w:rsid w:val="00960FF7"/>
    <w:rsid w:val="009614C9"/>
    <w:rsid w:val="00970E03"/>
    <w:rsid w:val="009726B3"/>
    <w:rsid w:val="00973DA7"/>
    <w:rsid w:val="00980DD5"/>
    <w:rsid w:val="00990DC6"/>
    <w:rsid w:val="009940ED"/>
    <w:rsid w:val="009A2298"/>
    <w:rsid w:val="009B666F"/>
    <w:rsid w:val="009B7DB0"/>
    <w:rsid w:val="009C5D29"/>
    <w:rsid w:val="009C5FAD"/>
    <w:rsid w:val="009C7DE2"/>
    <w:rsid w:val="009D3EEF"/>
    <w:rsid w:val="009D6FB4"/>
    <w:rsid w:val="009D7993"/>
    <w:rsid w:val="009D7AF1"/>
    <w:rsid w:val="009E1541"/>
    <w:rsid w:val="009E6705"/>
    <w:rsid w:val="009E7445"/>
    <w:rsid w:val="009F0E45"/>
    <w:rsid w:val="009F3510"/>
    <w:rsid w:val="00A14A6F"/>
    <w:rsid w:val="00A14CCB"/>
    <w:rsid w:val="00A2387B"/>
    <w:rsid w:val="00A32958"/>
    <w:rsid w:val="00A3411A"/>
    <w:rsid w:val="00A3521E"/>
    <w:rsid w:val="00A35E57"/>
    <w:rsid w:val="00A5141D"/>
    <w:rsid w:val="00A617F7"/>
    <w:rsid w:val="00A65636"/>
    <w:rsid w:val="00A87E06"/>
    <w:rsid w:val="00A93618"/>
    <w:rsid w:val="00A976DA"/>
    <w:rsid w:val="00AA2BFB"/>
    <w:rsid w:val="00AB14E7"/>
    <w:rsid w:val="00AB6531"/>
    <w:rsid w:val="00AB7494"/>
    <w:rsid w:val="00AC147C"/>
    <w:rsid w:val="00AC44E9"/>
    <w:rsid w:val="00AD1F1F"/>
    <w:rsid w:val="00AE0CB3"/>
    <w:rsid w:val="00AE6C56"/>
    <w:rsid w:val="00B0263B"/>
    <w:rsid w:val="00B0527E"/>
    <w:rsid w:val="00B06CB2"/>
    <w:rsid w:val="00B17585"/>
    <w:rsid w:val="00B17FDE"/>
    <w:rsid w:val="00B2030B"/>
    <w:rsid w:val="00B20DF2"/>
    <w:rsid w:val="00B23E23"/>
    <w:rsid w:val="00B24DA9"/>
    <w:rsid w:val="00B31884"/>
    <w:rsid w:val="00B32314"/>
    <w:rsid w:val="00B44848"/>
    <w:rsid w:val="00B45394"/>
    <w:rsid w:val="00B47A30"/>
    <w:rsid w:val="00B53EDE"/>
    <w:rsid w:val="00B562CA"/>
    <w:rsid w:val="00B577FB"/>
    <w:rsid w:val="00B6036F"/>
    <w:rsid w:val="00B660EA"/>
    <w:rsid w:val="00B7109B"/>
    <w:rsid w:val="00B71679"/>
    <w:rsid w:val="00B71DE3"/>
    <w:rsid w:val="00B7237F"/>
    <w:rsid w:val="00B73383"/>
    <w:rsid w:val="00B73CCD"/>
    <w:rsid w:val="00B763BA"/>
    <w:rsid w:val="00B84E59"/>
    <w:rsid w:val="00B867A2"/>
    <w:rsid w:val="00B87236"/>
    <w:rsid w:val="00B95009"/>
    <w:rsid w:val="00B96D7B"/>
    <w:rsid w:val="00B973F5"/>
    <w:rsid w:val="00BA2B1B"/>
    <w:rsid w:val="00BA38DA"/>
    <w:rsid w:val="00BA4CCD"/>
    <w:rsid w:val="00BB1398"/>
    <w:rsid w:val="00BB7DA6"/>
    <w:rsid w:val="00BC1E00"/>
    <w:rsid w:val="00BC65E2"/>
    <w:rsid w:val="00BD174B"/>
    <w:rsid w:val="00BD3D56"/>
    <w:rsid w:val="00BD7804"/>
    <w:rsid w:val="00BE0AF0"/>
    <w:rsid w:val="00BF033F"/>
    <w:rsid w:val="00BF21F0"/>
    <w:rsid w:val="00BF6054"/>
    <w:rsid w:val="00BF759E"/>
    <w:rsid w:val="00C06539"/>
    <w:rsid w:val="00C077E7"/>
    <w:rsid w:val="00C13DBB"/>
    <w:rsid w:val="00C174C5"/>
    <w:rsid w:val="00C30983"/>
    <w:rsid w:val="00C30AC2"/>
    <w:rsid w:val="00C31F1B"/>
    <w:rsid w:val="00C4004F"/>
    <w:rsid w:val="00C40F9E"/>
    <w:rsid w:val="00C41623"/>
    <w:rsid w:val="00C41D79"/>
    <w:rsid w:val="00C42D10"/>
    <w:rsid w:val="00C4317C"/>
    <w:rsid w:val="00C71291"/>
    <w:rsid w:val="00C77690"/>
    <w:rsid w:val="00C82221"/>
    <w:rsid w:val="00CA0C6D"/>
    <w:rsid w:val="00CA2A1A"/>
    <w:rsid w:val="00CA613C"/>
    <w:rsid w:val="00CB5BF5"/>
    <w:rsid w:val="00CC1FB3"/>
    <w:rsid w:val="00CD2731"/>
    <w:rsid w:val="00CE251B"/>
    <w:rsid w:val="00CE7507"/>
    <w:rsid w:val="00CF4B2D"/>
    <w:rsid w:val="00CF4BD2"/>
    <w:rsid w:val="00CF4E46"/>
    <w:rsid w:val="00D02DF1"/>
    <w:rsid w:val="00D0556E"/>
    <w:rsid w:val="00D0572A"/>
    <w:rsid w:val="00D07486"/>
    <w:rsid w:val="00D10B20"/>
    <w:rsid w:val="00D22EEC"/>
    <w:rsid w:val="00D30C18"/>
    <w:rsid w:val="00D34FA3"/>
    <w:rsid w:val="00D35966"/>
    <w:rsid w:val="00D40FB8"/>
    <w:rsid w:val="00D4496C"/>
    <w:rsid w:val="00D4629A"/>
    <w:rsid w:val="00D47554"/>
    <w:rsid w:val="00D4794E"/>
    <w:rsid w:val="00D52A99"/>
    <w:rsid w:val="00D62E3D"/>
    <w:rsid w:val="00D7087F"/>
    <w:rsid w:val="00D811AF"/>
    <w:rsid w:val="00D840E1"/>
    <w:rsid w:val="00D9537E"/>
    <w:rsid w:val="00D95CB6"/>
    <w:rsid w:val="00DA10B8"/>
    <w:rsid w:val="00DB0E80"/>
    <w:rsid w:val="00DB40C4"/>
    <w:rsid w:val="00DB566B"/>
    <w:rsid w:val="00DC2A22"/>
    <w:rsid w:val="00DC54EE"/>
    <w:rsid w:val="00DC599B"/>
    <w:rsid w:val="00DE3BE3"/>
    <w:rsid w:val="00DF1599"/>
    <w:rsid w:val="00E134B9"/>
    <w:rsid w:val="00E14306"/>
    <w:rsid w:val="00E2434F"/>
    <w:rsid w:val="00E2575F"/>
    <w:rsid w:val="00E317B2"/>
    <w:rsid w:val="00E317ED"/>
    <w:rsid w:val="00E40B64"/>
    <w:rsid w:val="00E42C25"/>
    <w:rsid w:val="00E44B40"/>
    <w:rsid w:val="00E44C30"/>
    <w:rsid w:val="00E54F58"/>
    <w:rsid w:val="00E56135"/>
    <w:rsid w:val="00E61DEB"/>
    <w:rsid w:val="00E62EBE"/>
    <w:rsid w:val="00E7081A"/>
    <w:rsid w:val="00E80851"/>
    <w:rsid w:val="00E80F79"/>
    <w:rsid w:val="00E8348E"/>
    <w:rsid w:val="00EA35ED"/>
    <w:rsid w:val="00EA4C42"/>
    <w:rsid w:val="00EB71BD"/>
    <w:rsid w:val="00EC22B7"/>
    <w:rsid w:val="00ED0CCF"/>
    <w:rsid w:val="00ED1DBE"/>
    <w:rsid w:val="00EE7253"/>
    <w:rsid w:val="00EF31F4"/>
    <w:rsid w:val="00EF3422"/>
    <w:rsid w:val="00EF6E96"/>
    <w:rsid w:val="00EF79A8"/>
    <w:rsid w:val="00F04D94"/>
    <w:rsid w:val="00F1392E"/>
    <w:rsid w:val="00F21020"/>
    <w:rsid w:val="00F215B8"/>
    <w:rsid w:val="00F24502"/>
    <w:rsid w:val="00F24A2A"/>
    <w:rsid w:val="00F27794"/>
    <w:rsid w:val="00F354FC"/>
    <w:rsid w:val="00F420AF"/>
    <w:rsid w:val="00F439B0"/>
    <w:rsid w:val="00F467D9"/>
    <w:rsid w:val="00F50381"/>
    <w:rsid w:val="00F51CBD"/>
    <w:rsid w:val="00F57102"/>
    <w:rsid w:val="00F57F9C"/>
    <w:rsid w:val="00F66E2D"/>
    <w:rsid w:val="00F711A8"/>
    <w:rsid w:val="00F74BC1"/>
    <w:rsid w:val="00F83B1D"/>
    <w:rsid w:val="00F90CE6"/>
    <w:rsid w:val="00F94F2B"/>
    <w:rsid w:val="00FA0619"/>
    <w:rsid w:val="00FB6E4A"/>
    <w:rsid w:val="00FD00CB"/>
    <w:rsid w:val="00FD42FE"/>
    <w:rsid w:val="00FD5C4C"/>
    <w:rsid w:val="00FE1499"/>
    <w:rsid w:val="00FE4762"/>
    <w:rsid w:val="00FF1269"/>
    <w:rsid w:val="00FF1FB5"/>
    <w:rsid w:val="00FF4701"/>
    <w:rsid w:val="00FF5020"/>
    <w:rsid w:val="00FF58F3"/>
    <w:rsid w:val="00FF5B91"/>
    <w:rsid w:val="01012787"/>
    <w:rsid w:val="01017684"/>
    <w:rsid w:val="01085B27"/>
    <w:rsid w:val="0115527F"/>
    <w:rsid w:val="012C4306"/>
    <w:rsid w:val="0136732D"/>
    <w:rsid w:val="014178C7"/>
    <w:rsid w:val="01424178"/>
    <w:rsid w:val="01454909"/>
    <w:rsid w:val="016F0582"/>
    <w:rsid w:val="01706A1B"/>
    <w:rsid w:val="01925BDC"/>
    <w:rsid w:val="01983295"/>
    <w:rsid w:val="01F9035B"/>
    <w:rsid w:val="0211291E"/>
    <w:rsid w:val="021A30A1"/>
    <w:rsid w:val="02335EE8"/>
    <w:rsid w:val="023B3DE3"/>
    <w:rsid w:val="024912E2"/>
    <w:rsid w:val="0250441F"/>
    <w:rsid w:val="02557C87"/>
    <w:rsid w:val="02586C1F"/>
    <w:rsid w:val="02600B13"/>
    <w:rsid w:val="02651D9E"/>
    <w:rsid w:val="026B6206"/>
    <w:rsid w:val="02780024"/>
    <w:rsid w:val="02873805"/>
    <w:rsid w:val="02881550"/>
    <w:rsid w:val="028C22DA"/>
    <w:rsid w:val="02A66735"/>
    <w:rsid w:val="02B353FD"/>
    <w:rsid w:val="02C3667B"/>
    <w:rsid w:val="02C91CBB"/>
    <w:rsid w:val="02E0727B"/>
    <w:rsid w:val="02F76051"/>
    <w:rsid w:val="02FF5E45"/>
    <w:rsid w:val="03085B3D"/>
    <w:rsid w:val="0315427F"/>
    <w:rsid w:val="03164F99"/>
    <w:rsid w:val="032B0FDC"/>
    <w:rsid w:val="03483AC2"/>
    <w:rsid w:val="0361265C"/>
    <w:rsid w:val="0369379C"/>
    <w:rsid w:val="036B5288"/>
    <w:rsid w:val="037E5831"/>
    <w:rsid w:val="038A570F"/>
    <w:rsid w:val="039B582A"/>
    <w:rsid w:val="03A82039"/>
    <w:rsid w:val="03B75C87"/>
    <w:rsid w:val="03CB041B"/>
    <w:rsid w:val="03DD70D2"/>
    <w:rsid w:val="03DE4285"/>
    <w:rsid w:val="03DF4F77"/>
    <w:rsid w:val="03E72CB4"/>
    <w:rsid w:val="03F47021"/>
    <w:rsid w:val="03FB336C"/>
    <w:rsid w:val="040A56B0"/>
    <w:rsid w:val="04200F12"/>
    <w:rsid w:val="046917C8"/>
    <w:rsid w:val="04736C5E"/>
    <w:rsid w:val="04A11817"/>
    <w:rsid w:val="04B30C95"/>
    <w:rsid w:val="04B4200C"/>
    <w:rsid w:val="04B816CC"/>
    <w:rsid w:val="04DF792A"/>
    <w:rsid w:val="04E377CC"/>
    <w:rsid w:val="04E62E18"/>
    <w:rsid w:val="04F76DD4"/>
    <w:rsid w:val="05171224"/>
    <w:rsid w:val="05186801"/>
    <w:rsid w:val="055C6A2B"/>
    <w:rsid w:val="055D27D3"/>
    <w:rsid w:val="05754340"/>
    <w:rsid w:val="05860158"/>
    <w:rsid w:val="05B214AF"/>
    <w:rsid w:val="05BE581F"/>
    <w:rsid w:val="05E32B58"/>
    <w:rsid w:val="05E47BCD"/>
    <w:rsid w:val="05EE2833"/>
    <w:rsid w:val="05F62914"/>
    <w:rsid w:val="064C314F"/>
    <w:rsid w:val="064D7BB5"/>
    <w:rsid w:val="069072E5"/>
    <w:rsid w:val="06952273"/>
    <w:rsid w:val="06B8644E"/>
    <w:rsid w:val="06C27FB8"/>
    <w:rsid w:val="06C8694B"/>
    <w:rsid w:val="06FC3D48"/>
    <w:rsid w:val="070D6976"/>
    <w:rsid w:val="071719AF"/>
    <w:rsid w:val="071B7485"/>
    <w:rsid w:val="07247C28"/>
    <w:rsid w:val="075722A2"/>
    <w:rsid w:val="075A35B4"/>
    <w:rsid w:val="075E2523"/>
    <w:rsid w:val="07660241"/>
    <w:rsid w:val="0781142B"/>
    <w:rsid w:val="07830DF3"/>
    <w:rsid w:val="07B57556"/>
    <w:rsid w:val="07E63F17"/>
    <w:rsid w:val="082436B1"/>
    <w:rsid w:val="083A12D7"/>
    <w:rsid w:val="085A3788"/>
    <w:rsid w:val="086C1C09"/>
    <w:rsid w:val="087342D9"/>
    <w:rsid w:val="08905EB4"/>
    <w:rsid w:val="08A5380F"/>
    <w:rsid w:val="08B33959"/>
    <w:rsid w:val="08B40221"/>
    <w:rsid w:val="08D221DF"/>
    <w:rsid w:val="08FB78ED"/>
    <w:rsid w:val="09151759"/>
    <w:rsid w:val="091837BC"/>
    <w:rsid w:val="0926237D"/>
    <w:rsid w:val="09393F35"/>
    <w:rsid w:val="096B4234"/>
    <w:rsid w:val="096E162E"/>
    <w:rsid w:val="09894266"/>
    <w:rsid w:val="09C0778A"/>
    <w:rsid w:val="09CB6A81"/>
    <w:rsid w:val="09CF12E2"/>
    <w:rsid w:val="09D56313"/>
    <w:rsid w:val="09D72FE0"/>
    <w:rsid w:val="09E57B43"/>
    <w:rsid w:val="09EF451D"/>
    <w:rsid w:val="09EF4BB6"/>
    <w:rsid w:val="09F8096C"/>
    <w:rsid w:val="09FC57C8"/>
    <w:rsid w:val="0A2368BD"/>
    <w:rsid w:val="0A2646F3"/>
    <w:rsid w:val="0A342DB3"/>
    <w:rsid w:val="0A4038E0"/>
    <w:rsid w:val="0A4A3BB2"/>
    <w:rsid w:val="0A5237DA"/>
    <w:rsid w:val="0A523FEC"/>
    <w:rsid w:val="0A557A10"/>
    <w:rsid w:val="0A5A3A1F"/>
    <w:rsid w:val="0A850353"/>
    <w:rsid w:val="0A896F49"/>
    <w:rsid w:val="0A911A78"/>
    <w:rsid w:val="0AAF7892"/>
    <w:rsid w:val="0AB13EC9"/>
    <w:rsid w:val="0AC37E7A"/>
    <w:rsid w:val="0AD16319"/>
    <w:rsid w:val="0AD5052F"/>
    <w:rsid w:val="0B000C69"/>
    <w:rsid w:val="0B01145C"/>
    <w:rsid w:val="0B037A21"/>
    <w:rsid w:val="0B4974A5"/>
    <w:rsid w:val="0B65076A"/>
    <w:rsid w:val="0B6F3C76"/>
    <w:rsid w:val="0B9C2483"/>
    <w:rsid w:val="0BC33D9E"/>
    <w:rsid w:val="0BE37CA1"/>
    <w:rsid w:val="0BEC2CBA"/>
    <w:rsid w:val="0BFB189F"/>
    <w:rsid w:val="0C1072F2"/>
    <w:rsid w:val="0C1464BD"/>
    <w:rsid w:val="0C6E02C3"/>
    <w:rsid w:val="0C8B7AFE"/>
    <w:rsid w:val="0CA05FA3"/>
    <w:rsid w:val="0CA852BA"/>
    <w:rsid w:val="0CC117BB"/>
    <w:rsid w:val="0CC42BB0"/>
    <w:rsid w:val="0CE00893"/>
    <w:rsid w:val="0CE85592"/>
    <w:rsid w:val="0D1B387B"/>
    <w:rsid w:val="0D2C532F"/>
    <w:rsid w:val="0D366907"/>
    <w:rsid w:val="0D46126D"/>
    <w:rsid w:val="0D51729D"/>
    <w:rsid w:val="0D5D4D41"/>
    <w:rsid w:val="0D724825"/>
    <w:rsid w:val="0D820AF1"/>
    <w:rsid w:val="0D8933C0"/>
    <w:rsid w:val="0D8D3F8D"/>
    <w:rsid w:val="0D9553DC"/>
    <w:rsid w:val="0DB07806"/>
    <w:rsid w:val="0DB241E0"/>
    <w:rsid w:val="0DC3019B"/>
    <w:rsid w:val="0DCD5559"/>
    <w:rsid w:val="0E1A5A3B"/>
    <w:rsid w:val="0E364CA9"/>
    <w:rsid w:val="0E3C1CFB"/>
    <w:rsid w:val="0E4D1B27"/>
    <w:rsid w:val="0E5966EA"/>
    <w:rsid w:val="0E6E6507"/>
    <w:rsid w:val="0E722040"/>
    <w:rsid w:val="0E75572B"/>
    <w:rsid w:val="0E8C2C83"/>
    <w:rsid w:val="0EA224A6"/>
    <w:rsid w:val="0EA9647A"/>
    <w:rsid w:val="0EBC076E"/>
    <w:rsid w:val="0EE708B1"/>
    <w:rsid w:val="0EFD592E"/>
    <w:rsid w:val="0F0512D9"/>
    <w:rsid w:val="0F122B5A"/>
    <w:rsid w:val="0F175CCD"/>
    <w:rsid w:val="0F2057EC"/>
    <w:rsid w:val="0F225395"/>
    <w:rsid w:val="0F231D7E"/>
    <w:rsid w:val="0F2C0C63"/>
    <w:rsid w:val="0F324815"/>
    <w:rsid w:val="0F471D99"/>
    <w:rsid w:val="0F4B48EC"/>
    <w:rsid w:val="0F5F2145"/>
    <w:rsid w:val="0F601A19"/>
    <w:rsid w:val="0F9119CD"/>
    <w:rsid w:val="0F911E05"/>
    <w:rsid w:val="0F923225"/>
    <w:rsid w:val="0F9D2C6D"/>
    <w:rsid w:val="0FAD1DC8"/>
    <w:rsid w:val="0FD46A32"/>
    <w:rsid w:val="10153218"/>
    <w:rsid w:val="101822F4"/>
    <w:rsid w:val="10200AD5"/>
    <w:rsid w:val="1025513D"/>
    <w:rsid w:val="109B03CC"/>
    <w:rsid w:val="10B12DC4"/>
    <w:rsid w:val="10B91226"/>
    <w:rsid w:val="10DB3BC2"/>
    <w:rsid w:val="10FC5772"/>
    <w:rsid w:val="110B1884"/>
    <w:rsid w:val="11140D0D"/>
    <w:rsid w:val="111D5E14"/>
    <w:rsid w:val="111D78F3"/>
    <w:rsid w:val="113D72AD"/>
    <w:rsid w:val="114A4021"/>
    <w:rsid w:val="11551A52"/>
    <w:rsid w:val="115B28C5"/>
    <w:rsid w:val="115B70AB"/>
    <w:rsid w:val="118A7808"/>
    <w:rsid w:val="11991F2E"/>
    <w:rsid w:val="11CD1C03"/>
    <w:rsid w:val="11D31CFB"/>
    <w:rsid w:val="11D65975"/>
    <w:rsid w:val="11E50C23"/>
    <w:rsid w:val="11F052D6"/>
    <w:rsid w:val="11F47704"/>
    <w:rsid w:val="11FB4B4A"/>
    <w:rsid w:val="120945EA"/>
    <w:rsid w:val="12211934"/>
    <w:rsid w:val="12217B86"/>
    <w:rsid w:val="122461F8"/>
    <w:rsid w:val="12291D70"/>
    <w:rsid w:val="12372F05"/>
    <w:rsid w:val="123C2675"/>
    <w:rsid w:val="126B3D92"/>
    <w:rsid w:val="127524D0"/>
    <w:rsid w:val="12767ED2"/>
    <w:rsid w:val="12843C71"/>
    <w:rsid w:val="12A43DE9"/>
    <w:rsid w:val="12A460C1"/>
    <w:rsid w:val="12AE662D"/>
    <w:rsid w:val="12CF313E"/>
    <w:rsid w:val="12D07AF9"/>
    <w:rsid w:val="12E965CC"/>
    <w:rsid w:val="12F153BF"/>
    <w:rsid w:val="12F610C5"/>
    <w:rsid w:val="12FD5A6C"/>
    <w:rsid w:val="131159A7"/>
    <w:rsid w:val="13247774"/>
    <w:rsid w:val="132A73D8"/>
    <w:rsid w:val="13611C3D"/>
    <w:rsid w:val="13655850"/>
    <w:rsid w:val="13A248EB"/>
    <w:rsid w:val="13A91D3D"/>
    <w:rsid w:val="13BD568C"/>
    <w:rsid w:val="13E0137B"/>
    <w:rsid w:val="14047C59"/>
    <w:rsid w:val="141A74A2"/>
    <w:rsid w:val="141B3661"/>
    <w:rsid w:val="144B7786"/>
    <w:rsid w:val="14523475"/>
    <w:rsid w:val="146F7418"/>
    <w:rsid w:val="14700951"/>
    <w:rsid w:val="148B6A50"/>
    <w:rsid w:val="149E388B"/>
    <w:rsid w:val="15062FD8"/>
    <w:rsid w:val="1508527E"/>
    <w:rsid w:val="150A14DA"/>
    <w:rsid w:val="15277D3A"/>
    <w:rsid w:val="153C6A85"/>
    <w:rsid w:val="15415E49"/>
    <w:rsid w:val="154845A5"/>
    <w:rsid w:val="15590366"/>
    <w:rsid w:val="155B587D"/>
    <w:rsid w:val="1569643B"/>
    <w:rsid w:val="15B86559"/>
    <w:rsid w:val="15C01464"/>
    <w:rsid w:val="15D45246"/>
    <w:rsid w:val="15DE18EA"/>
    <w:rsid w:val="15E068E7"/>
    <w:rsid w:val="15E72E4C"/>
    <w:rsid w:val="15EA3C36"/>
    <w:rsid w:val="15FA4976"/>
    <w:rsid w:val="15FB5FDA"/>
    <w:rsid w:val="16007AB2"/>
    <w:rsid w:val="162C7F37"/>
    <w:rsid w:val="16327CA7"/>
    <w:rsid w:val="164067DD"/>
    <w:rsid w:val="165244D0"/>
    <w:rsid w:val="165A3C2E"/>
    <w:rsid w:val="166A0FA8"/>
    <w:rsid w:val="16723142"/>
    <w:rsid w:val="16866470"/>
    <w:rsid w:val="16A037D8"/>
    <w:rsid w:val="16A42B33"/>
    <w:rsid w:val="16CA7F8A"/>
    <w:rsid w:val="16D327B3"/>
    <w:rsid w:val="16E276A1"/>
    <w:rsid w:val="170432DD"/>
    <w:rsid w:val="171520AC"/>
    <w:rsid w:val="17593175"/>
    <w:rsid w:val="175F594F"/>
    <w:rsid w:val="177721CA"/>
    <w:rsid w:val="177F2E19"/>
    <w:rsid w:val="17B0699C"/>
    <w:rsid w:val="17DD49B3"/>
    <w:rsid w:val="17DE27A3"/>
    <w:rsid w:val="17E92EF4"/>
    <w:rsid w:val="17EF7DDE"/>
    <w:rsid w:val="17F141D6"/>
    <w:rsid w:val="18186DD0"/>
    <w:rsid w:val="181D051D"/>
    <w:rsid w:val="182E6B59"/>
    <w:rsid w:val="18502F73"/>
    <w:rsid w:val="185439FF"/>
    <w:rsid w:val="1855363B"/>
    <w:rsid w:val="18731F74"/>
    <w:rsid w:val="18784C5E"/>
    <w:rsid w:val="18BA03EC"/>
    <w:rsid w:val="18BE612E"/>
    <w:rsid w:val="18D845E1"/>
    <w:rsid w:val="18FB5D44"/>
    <w:rsid w:val="19024350"/>
    <w:rsid w:val="190776E2"/>
    <w:rsid w:val="192835A8"/>
    <w:rsid w:val="19314C24"/>
    <w:rsid w:val="193B7216"/>
    <w:rsid w:val="19510D51"/>
    <w:rsid w:val="19567039"/>
    <w:rsid w:val="196D36B1"/>
    <w:rsid w:val="19737983"/>
    <w:rsid w:val="197607B7"/>
    <w:rsid w:val="19783362"/>
    <w:rsid w:val="197D2FFB"/>
    <w:rsid w:val="19AE394E"/>
    <w:rsid w:val="19D81C57"/>
    <w:rsid w:val="19DE0B22"/>
    <w:rsid w:val="19F618F8"/>
    <w:rsid w:val="1A0E55F8"/>
    <w:rsid w:val="1A11228E"/>
    <w:rsid w:val="1A1C6548"/>
    <w:rsid w:val="1A3D6D6A"/>
    <w:rsid w:val="1A404D40"/>
    <w:rsid w:val="1A62782A"/>
    <w:rsid w:val="1A88601E"/>
    <w:rsid w:val="1A8E38DF"/>
    <w:rsid w:val="1A940E2C"/>
    <w:rsid w:val="1A9C13A6"/>
    <w:rsid w:val="1AA47997"/>
    <w:rsid w:val="1AA72BF2"/>
    <w:rsid w:val="1AA81168"/>
    <w:rsid w:val="1AB15AE0"/>
    <w:rsid w:val="1AC8570C"/>
    <w:rsid w:val="1AC92B69"/>
    <w:rsid w:val="1AFC5DDB"/>
    <w:rsid w:val="1B245FF1"/>
    <w:rsid w:val="1B2A7E55"/>
    <w:rsid w:val="1B2B662E"/>
    <w:rsid w:val="1B496E6A"/>
    <w:rsid w:val="1B696ACA"/>
    <w:rsid w:val="1B6D1BCE"/>
    <w:rsid w:val="1B7C59CB"/>
    <w:rsid w:val="1B811695"/>
    <w:rsid w:val="1B8B31A3"/>
    <w:rsid w:val="1B945EA9"/>
    <w:rsid w:val="1BAD4238"/>
    <w:rsid w:val="1BB47375"/>
    <w:rsid w:val="1BC3580A"/>
    <w:rsid w:val="1BC82196"/>
    <w:rsid w:val="1BC934F8"/>
    <w:rsid w:val="1BD13616"/>
    <w:rsid w:val="1BDF4550"/>
    <w:rsid w:val="1BFA43E7"/>
    <w:rsid w:val="1C074AA2"/>
    <w:rsid w:val="1C422D50"/>
    <w:rsid w:val="1C4E2F00"/>
    <w:rsid w:val="1C760ACE"/>
    <w:rsid w:val="1C7B4336"/>
    <w:rsid w:val="1C8323D1"/>
    <w:rsid w:val="1C864BDA"/>
    <w:rsid w:val="1C897EE0"/>
    <w:rsid w:val="1C8D1599"/>
    <w:rsid w:val="1CA92E1C"/>
    <w:rsid w:val="1CBD7537"/>
    <w:rsid w:val="1CD60277"/>
    <w:rsid w:val="1CDA1BA9"/>
    <w:rsid w:val="1CEB3B08"/>
    <w:rsid w:val="1D14179E"/>
    <w:rsid w:val="1D1D7985"/>
    <w:rsid w:val="1D383FD6"/>
    <w:rsid w:val="1D4806BC"/>
    <w:rsid w:val="1D7B502E"/>
    <w:rsid w:val="1DF64031"/>
    <w:rsid w:val="1DFB06E1"/>
    <w:rsid w:val="1E200CF1"/>
    <w:rsid w:val="1E3717D9"/>
    <w:rsid w:val="1E3A5C30"/>
    <w:rsid w:val="1E4A5D6E"/>
    <w:rsid w:val="1E4C75DC"/>
    <w:rsid w:val="1E70013B"/>
    <w:rsid w:val="1E7511B5"/>
    <w:rsid w:val="1E803AA5"/>
    <w:rsid w:val="1E877C09"/>
    <w:rsid w:val="1E9A18BA"/>
    <w:rsid w:val="1EA2204E"/>
    <w:rsid w:val="1EAB342B"/>
    <w:rsid w:val="1EB1719C"/>
    <w:rsid w:val="1ECC0F61"/>
    <w:rsid w:val="1EE62683"/>
    <w:rsid w:val="1EEC32CA"/>
    <w:rsid w:val="1EFF26CA"/>
    <w:rsid w:val="1F177855"/>
    <w:rsid w:val="1F1B478E"/>
    <w:rsid w:val="1F26169B"/>
    <w:rsid w:val="1F47475D"/>
    <w:rsid w:val="1F640000"/>
    <w:rsid w:val="1F7A6EF9"/>
    <w:rsid w:val="1FA47700"/>
    <w:rsid w:val="1FAE5D8D"/>
    <w:rsid w:val="1FB93B2E"/>
    <w:rsid w:val="1FC9157C"/>
    <w:rsid w:val="1FD63B62"/>
    <w:rsid w:val="1FEB532F"/>
    <w:rsid w:val="1FEB7427"/>
    <w:rsid w:val="1FEC0DF3"/>
    <w:rsid w:val="200A2E86"/>
    <w:rsid w:val="204147CB"/>
    <w:rsid w:val="2041604A"/>
    <w:rsid w:val="206838D5"/>
    <w:rsid w:val="209F6845"/>
    <w:rsid w:val="20C75D9C"/>
    <w:rsid w:val="20CB67E5"/>
    <w:rsid w:val="20CD1177"/>
    <w:rsid w:val="20D504B9"/>
    <w:rsid w:val="20DA0FFF"/>
    <w:rsid w:val="210F3D49"/>
    <w:rsid w:val="2122605F"/>
    <w:rsid w:val="212339B6"/>
    <w:rsid w:val="21464F13"/>
    <w:rsid w:val="21480DD2"/>
    <w:rsid w:val="214E460B"/>
    <w:rsid w:val="21626E08"/>
    <w:rsid w:val="21690C01"/>
    <w:rsid w:val="21700CBC"/>
    <w:rsid w:val="217671A6"/>
    <w:rsid w:val="218E660C"/>
    <w:rsid w:val="21C525B3"/>
    <w:rsid w:val="21C562C5"/>
    <w:rsid w:val="21DA4D44"/>
    <w:rsid w:val="21DC1A44"/>
    <w:rsid w:val="21E62252"/>
    <w:rsid w:val="21EC7417"/>
    <w:rsid w:val="21EF3D94"/>
    <w:rsid w:val="220426D8"/>
    <w:rsid w:val="22044B66"/>
    <w:rsid w:val="22161E2A"/>
    <w:rsid w:val="22196184"/>
    <w:rsid w:val="221B370C"/>
    <w:rsid w:val="22274D44"/>
    <w:rsid w:val="2230171F"/>
    <w:rsid w:val="223B434C"/>
    <w:rsid w:val="224B0307"/>
    <w:rsid w:val="227F6529"/>
    <w:rsid w:val="22831E3E"/>
    <w:rsid w:val="228622C1"/>
    <w:rsid w:val="22A31570"/>
    <w:rsid w:val="22B0165F"/>
    <w:rsid w:val="22D8603F"/>
    <w:rsid w:val="22E83BD1"/>
    <w:rsid w:val="22F212AD"/>
    <w:rsid w:val="22F63916"/>
    <w:rsid w:val="22F8166B"/>
    <w:rsid w:val="22FA5637"/>
    <w:rsid w:val="230F4F30"/>
    <w:rsid w:val="231352C9"/>
    <w:rsid w:val="231D52C2"/>
    <w:rsid w:val="233139A1"/>
    <w:rsid w:val="233A79CD"/>
    <w:rsid w:val="233F7E6C"/>
    <w:rsid w:val="23470B49"/>
    <w:rsid w:val="234A05BF"/>
    <w:rsid w:val="23543BB4"/>
    <w:rsid w:val="23810484"/>
    <w:rsid w:val="23810FFF"/>
    <w:rsid w:val="23856B18"/>
    <w:rsid w:val="239D1036"/>
    <w:rsid w:val="23A8113F"/>
    <w:rsid w:val="23A97CD4"/>
    <w:rsid w:val="23B24AE2"/>
    <w:rsid w:val="23B5012E"/>
    <w:rsid w:val="23CA17F1"/>
    <w:rsid w:val="23D0028D"/>
    <w:rsid w:val="23DC56BB"/>
    <w:rsid w:val="23FC3497"/>
    <w:rsid w:val="24075D60"/>
    <w:rsid w:val="24167BB0"/>
    <w:rsid w:val="241752C0"/>
    <w:rsid w:val="242E2AF5"/>
    <w:rsid w:val="242F3110"/>
    <w:rsid w:val="24406264"/>
    <w:rsid w:val="244E3AB0"/>
    <w:rsid w:val="244F4881"/>
    <w:rsid w:val="2452597D"/>
    <w:rsid w:val="245378CD"/>
    <w:rsid w:val="245D127D"/>
    <w:rsid w:val="24627B11"/>
    <w:rsid w:val="24635DDC"/>
    <w:rsid w:val="24756E66"/>
    <w:rsid w:val="248238A7"/>
    <w:rsid w:val="24945F95"/>
    <w:rsid w:val="249E0BC2"/>
    <w:rsid w:val="24B2129C"/>
    <w:rsid w:val="24B65F0C"/>
    <w:rsid w:val="24C03327"/>
    <w:rsid w:val="24CD1A7D"/>
    <w:rsid w:val="24D11CBA"/>
    <w:rsid w:val="24D64800"/>
    <w:rsid w:val="24D97E4C"/>
    <w:rsid w:val="24FD3846"/>
    <w:rsid w:val="250D0222"/>
    <w:rsid w:val="25144D16"/>
    <w:rsid w:val="251D7500"/>
    <w:rsid w:val="252C57A1"/>
    <w:rsid w:val="25492C20"/>
    <w:rsid w:val="255A7841"/>
    <w:rsid w:val="256065E1"/>
    <w:rsid w:val="25695BBE"/>
    <w:rsid w:val="258F3078"/>
    <w:rsid w:val="25915CC7"/>
    <w:rsid w:val="2593449F"/>
    <w:rsid w:val="259B3353"/>
    <w:rsid w:val="259C3D0D"/>
    <w:rsid w:val="25AE3087"/>
    <w:rsid w:val="25AE710D"/>
    <w:rsid w:val="25BB4275"/>
    <w:rsid w:val="25C859F2"/>
    <w:rsid w:val="25CC2FCE"/>
    <w:rsid w:val="25D23219"/>
    <w:rsid w:val="25EC667D"/>
    <w:rsid w:val="260907CC"/>
    <w:rsid w:val="26103D41"/>
    <w:rsid w:val="265B08A2"/>
    <w:rsid w:val="268564DD"/>
    <w:rsid w:val="268A3AF4"/>
    <w:rsid w:val="269875C4"/>
    <w:rsid w:val="26A768F9"/>
    <w:rsid w:val="26CA64B0"/>
    <w:rsid w:val="26D02A8A"/>
    <w:rsid w:val="26F36550"/>
    <w:rsid w:val="2700193B"/>
    <w:rsid w:val="271138CD"/>
    <w:rsid w:val="271635D9"/>
    <w:rsid w:val="271F1091"/>
    <w:rsid w:val="276E1265"/>
    <w:rsid w:val="278E13C2"/>
    <w:rsid w:val="27BE1230"/>
    <w:rsid w:val="27C052F3"/>
    <w:rsid w:val="27CE013F"/>
    <w:rsid w:val="28150D97"/>
    <w:rsid w:val="28171270"/>
    <w:rsid w:val="281B76A9"/>
    <w:rsid w:val="281F6636"/>
    <w:rsid w:val="28240E14"/>
    <w:rsid w:val="2827452D"/>
    <w:rsid w:val="282B29E1"/>
    <w:rsid w:val="282C1281"/>
    <w:rsid w:val="283716E3"/>
    <w:rsid w:val="284A5E22"/>
    <w:rsid w:val="286B5CC1"/>
    <w:rsid w:val="28701D35"/>
    <w:rsid w:val="288E20FA"/>
    <w:rsid w:val="289E3886"/>
    <w:rsid w:val="289E7267"/>
    <w:rsid w:val="28A368BB"/>
    <w:rsid w:val="28CF3A55"/>
    <w:rsid w:val="29035308"/>
    <w:rsid w:val="29057462"/>
    <w:rsid w:val="291F0F47"/>
    <w:rsid w:val="292B38BC"/>
    <w:rsid w:val="293C6AF6"/>
    <w:rsid w:val="29481695"/>
    <w:rsid w:val="294E4ED0"/>
    <w:rsid w:val="29785E86"/>
    <w:rsid w:val="29822370"/>
    <w:rsid w:val="29845D81"/>
    <w:rsid w:val="298F1941"/>
    <w:rsid w:val="298F5898"/>
    <w:rsid w:val="29B80EF1"/>
    <w:rsid w:val="29D17531"/>
    <w:rsid w:val="29D56AB0"/>
    <w:rsid w:val="29F00112"/>
    <w:rsid w:val="2A2411D9"/>
    <w:rsid w:val="2A297E40"/>
    <w:rsid w:val="2A394894"/>
    <w:rsid w:val="2A56023A"/>
    <w:rsid w:val="2A7179E8"/>
    <w:rsid w:val="2A794E4D"/>
    <w:rsid w:val="2A805738"/>
    <w:rsid w:val="2A864A25"/>
    <w:rsid w:val="2AB63109"/>
    <w:rsid w:val="2ABE71A9"/>
    <w:rsid w:val="2AC1560A"/>
    <w:rsid w:val="2AD96B2F"/>
    <w:rsid w:val="2ADA127B"/>
    <w:rsid w:val="2AE15648"/>
    <w:rsid w:val="2AE61233"/>
    <w:rsid w:val="2AE705C9"/>
    <w:rsid w:val="2AE80DE9"/>
    <w:rsid w:val="2AFE6B29"/>
    <w:rsid w:val="2B0100FD"/>
    <w:rsid w:val="2B013C59"/>
    <w:rsid w:val="2B1B6A2B"/>
    <w:rsid w:val="2B2A38E7"/>
    <w:rsid w:val="2B604E23"/>
    <w:rsid w:val="2B937D0B"/>
    <w:rsid w:val="2B9E594C"/>
    <w:rsid w:val="2BA80578"/>
    <w:rsid w:val="2BB46F1D"/>
    <w:rsid w:val="2BD43A5C"/>
    <w:rsid w:val="2BD66E93"/>
    <w:rsid w:val="2BF13CCD"/>
    <w:rsid w:val="2BF42571"/>
    <w:rsid w:val="2C0018F7"/>
    <w:rsid w:val="2C2220D9"/>
    <w:rsid w:val="2C2F6E99"/>
    <w:rsid w:val="2C4D184B"/>
    <w:rsid w:val="2C586B12"/>
    <w:rsid w:val="2C6721E1"/>
    <w:rsid w:val="2C9100BE"/>
    <w:rsid w:val="2CAA2166"/>
    <w:rsid w:val="2CAE4729"/>
    <w:rsid w:val="2CAE7E10"/>
    <w:rsid w:val="2CB74EC4"/>
    <w:rsid w:val="2CC23330"/>
    <w:rsid w:val="2CC47634"/>
    <w:rsid w:val="2CDA6E57"/>
    <w:rsid w:val="2CE421EA"/>
    <w:rsid w:val="2CF0776F"/>
    <w:rsid w:val="2CF57E88"/>
    <w:rsid w:val="2CFA3776"/>
    <w:rsid w:val="2D3A6D3F"/>
    <w:rsid w:val="2D45420C"/>
    <w:rsid w:val="2D5409B8"/>
    <w:rsid w:val="2D6167EC"/>
    <w:rsid w:val="2D6A01DB"/>
    <w:rsid w:val="2D7921CC"/>
    <w:rsid w:val="2D8077B6"/>
    <w:rsid w:val="2D8C4D74"/>
    <w:rsid w:val="2D917CF0"/>
    <w:rsid w:val="2DA538B1"/>
    <w:rsid w:val="2DD05575"/>
    <w:rsid w:val="2DE02914"/>
    <w:rsid w:val="2DE360D1"/>
    <w:rsid w:val="2DF17BDC"/>
    <w:rsid w:val="2DFD4420"/>
    <w:rsid w:val="2E006668"/>
    <w:rsid w:val="2E074233"/>
    <w:rsid w:val="2E2A34C6"/>
    <w:rsid w:val="2E34621B"/>
    <w:rsid w:val="2E4313F5"/>
    <w:rsid w:val="2E5D6254"/>
    <w:rsid w:val="2E876B6B"/>
    <w:rsid w:val="2E895C66"/>
    <w:rsid w:val="2EA11B8C"/>
    <w:rsid w:val="2F0B5C61"/>
    <w:rsid w:val="2F226D91"/>
    <w:rsid w:val="2F2F4352"/>
    <w:rsid w:val="2F3578F8"/>
    <w:rsid w:val="2F6241ED"/>
    <w:rsid w:val="2F784DB2"/>
    <w:rsid w:val="2F7B222C"/>
    <w:rsid w:val="2F953B34"/>
    <w:rsid w:val="2F9B0309"/>
    <w:rsid w:val="2F9B5627"/>
    <w:rsid w:val="2FA06136"/>
    <w:rsid w:val="2FA5485F"/>
    <w:rsid w:val="2FA76B4C"/>
    <w:rsid w:val="2FB120F1"/>
    <w:rsid w:val="2FB43CDD"/>
    <w:rsid w:val="2FD17CDB"/>
    <w:rsid w:val="2FD37C1B"/>
    <w:rsid w:val="2FEE50F3"/>
    <w:rsid w:val="303B19BB"/>
    <w:rsid w:val="304139A7"/>
    <w:rsid w:val="306851A4"/>
    <w:rsid w:val="307B3B60"/>
    <w:rsid w:val="3094583F"/>
    <w:rsid w:val="30A92536"/>
    <w:rsid w:val="30AF0589"/>
    <w:rsid w:val="30B73737"/>
    <w:rsid w:val="30BB7698"/>
    <w:rsid w:val="30E32671"/>
    <w:rsid w:val="30E81B43"/>
    <w:rsid w:val="31435F79"/>
    <w:rsid w:val="31497A0C"/>
    <w:rsid w:val="3172328C"/>
    <w:rsid w:val="317332C5"/>
    <w:rsid w:val="31836B7D"/>
    <w:rsid w:val="318E0026"/>
    <w:rsid w:val="31A11CF2"/>
    <w:rsid w:val="31C33D33"/>
    <w:rsid w:val="31C62DE9"/>
    <w:rsid w:val="31D0169F"/>
    <w:rsid w:val="31DE6E0A"/>
    <w:rsid w:val="31E22A36"/>
    <w:rsid w:val="31EB2517"/>
    <w:rsid w:val="31F46B28"/>
    <w:rsid w:val="31F84838"/>
    <w:rsid w:val="321604CA"/>
    <w:rsid w:val="321B2CE4"/>
    <w:rsid w:val="32362D7B"/>
    <w:rsid w:val="323B58DF"/>
    <w:rsid w:val="324E00CB"/>
    <w:rsid w:val="325D4BD8"/>
    <w:rsid w:val="32617F82"/>
    <w:rsid w:val="326824B3"/>
    <w:rsid w:val="32924D11"/>
    <w:rsid w:val="32935ADE"/>
    <w:rsid w:val="32A975F5"/>
    <w:rsid w:val="32BA306B"/>
    <w:rsid w:val="32BB2A81"/>
    <w:rsid w:val="32E02EAF"/>
    <w:rsid w:val="32E12CEE"/>
    <w:rsid w:val="32E60B60"/>
    <w:rsid w:val="338F179B"/>
    <w:rsid w:val="33952B77"/>
    <w:rsid w:val="339B5ABD"/>
    <w:rsid w:val="33A27074"/>
    <w:rsid w:val="33AD11DA"/>
    <w:rsid w:val="33B50B2C"/>
    <w:rsid w:val="33B977C6"/>
    <w:rsid w:val="33CC6C3A"/>
    <w:rsid w:val="33E00B80"/>
    <w:rsid w:val="34124648"/>
    <w:rsid w:val="3449641B"/>
    <w:rsid w:val="34561530"/>
    <w:rsid w:val="345C5C9D"/>
    <w:rsid w:val="345F2A91"/>
    <w:rsid w:val="3465102C"/>
    <w:rsid w:val="34713BFD"/>
    <w:rsid w:val="34AC7010"/>
    <w:rsid w:val="34AD5F1F"/>
    <w:rsid w:val="34C819DC"/>
    <w:rsid w:val="34E8621F"/>
    <w:rsid w:val="34FD16E8"/>
    <w:rsid w:val="35011425"/>
    <w:rsid w:val="35141D1E"/>
    <w:rsid w:val="351F7AFD"/>
    <w:rsid w:val="35236CE8"/>
    <w:rsid w:val="35395502"/>
    <w:rsid w:val="35492DCC"/>
    <w:rsid w:val="355552CD"/>
    <w:rsid w:val="358B0CEF"/>
    <w:rsid w:val="358B32FA"/>
    <w:rsid w:val="35A946F2"/>
    <w:rsid w:val="35BA2B74"/>
    <w:rsid w:val="35CB2596"/>
    <w:rsid w:val="35D72A77"/>
    <w:rsid w:val="35DE5918"/>
    <w:rsid w:val="36056C24"/>
    <w:rsid w:val="3627111B"/>
    <w:rsid w:val="363225A5"/>
    <w:rsid w:val="363C648D"/>
    <w:rsid w:val="36435A38"/>
    <w:rsid w:val="36484E32"/>
    <w:rsid w:val="364C40BF"/>
    <w:rsid w:val="36572AA4"/>
    <w:rsid w:val="36597F67"/>
    <w:rsid w:val="36B424C7"/>
    <w:rsid w:val="36DA5CED"/>
    <w:rsid w:val="36E56B24"/>
    <w:rsid w:val="36F20269"/>
    <w:rsid w:val="36F56D67"/>
    <w:rsid w:val="36FF744C"/>
    <w:rsid w:val="3701452C"/>
    <w:rsid w:val="3702779A"/>
    <w:rsid w:val="371209E4"/>
    <w:rsid w:val="371B0FD4"/>
    <w:rsid w:val="371B2869"/>
    <w:rsid w:val="3727713D"/>
    <w:rsid w:val="37316141"/>
    <w:rsid w:val="37332FDB"/>
    <w:rsid w:val="374970B3"/>
    <w:rsid w:val="374D2804"/>
    <w:rsid w:val="3764623B"/>
    <w:rsid w:val="376B527C"/>
    <w:rsid w:val="376F5C45"/>
    <w:rsid w:val="379C0E5D"/>
    <w:rsid w:val="379D2F5B"/>
    <w:rsid w:val="37B00EE0"/>
    <w:rsid w:val="37DA41AF"/>
    <w:rsid w:val="37F214F9"/>
    <w:rsid w:val="38080D1C"/>
    <w:rsid w:val="38120E84"/>
    <w:rsid w:val="38317D28"/>
    <w:rsid w:val="385D0A6F"/>
    <w:rsid w:val="385D55F1"/>
    <w:rsid w:val="38613397"/>
    <w:rsid w:val="387E4575"/>
    <w:rsid w:val="388750AD"/>
    <w:rsid w:val="388876D8"/>
    <w:rsid w:val="389A3776"/>
    <w:rsid w:val="389E074E"/>
    <w:rsid w:val="38C2712E"/>
    <w:rsid w:val="38CA4224"/>
    <w:rsid w:val="38CB4227"/>
    <w:rsid w:val="38CE05F9"/>
    <w:rsid w:val="38CF4734"/>
    <w:rsid w:val="39025810"/>
    <w:rsid w:val="39063779"/>
    <w:rsid w:val="39081AA5"/>
    <w:rsid w:val="392364C8"/>
    <w:rsid w:val="392A65E7"/>
    <w:rsid w:val="39333C01"/>
    <w:rsid w:val="3942200C"/>
    <w:rsid w:val="394713D0"/>
    <w:rsid w:val="395A22DE"/>
    <w:rsid w:val="39627FB8"/>
    <w:rsid w:val="398D74F1"/>
    <w:rsid w:val="398E6BC8"/>
    <w:rsid w:val="399A53CD"/>
    <w:rsid w:val="39B95EA3"/>
    <w:rsid w:val="39C75631"/>
    <w:rsid w:val="39F03816"/>
    <w:rsid w:val="39F249D0"/>
    <w:rsid w:val="39FB69E7"/>
    <w:rsid w:val="3A0329B6"/>
    <w:rsid w:val="3A13070A"/>
    <w:rsid w:val="3A150E8C"/>
    <w:rsid w:val="3A1E5D66"/>
    <w:rsid w:val="3A3A218C"/>
    <w:rsid w:val="3A3F6AEA"/>
    <w:rsid w:val="3A443B62"/>
    <w:rsid w:val="3A575643"/>
    <w:rsid w:val="3A5B7318"/>
    <w:rsid w:val="3A5E23D3"/>
    <w:rsid w:val="3A901E68"/>
    <w:rsid w:val="3A9F5F6D"/>
    <w:rsid w:val="3AB24F6F"/>
    <w:rsid w:val="3AB3567E"/>
    <w:rsid w:val="3ACB57DD"/>
    <w:rsid w:val="3AE07C06"/>
    <w:rsid w:val="3B244F3E"/>
    <w:rsid w:val="3B4C7172"/>
    <w:rsid w:val="3B691AD2"/>
    <w:rsid w:val="3B6C15C2"/>
    <w:rsid w:val="3B702E61"/>
    <w:rsid w:val="3B730FD9"/>
    <w:rsid w:val="3B8931AB"/>
    <w:rsid w:val="3B8C57C0"/>
    <w:rsid w:val="3BB13FDE"/>
    <w:rsid w:val="3BB8271E"/>
    <w:rsid w:val="3C2F2BD2"/>
    <w:rsid w:val="3C4340D1"/>
    <w:rsid w:val="3C4936B2"/>
    <w:rsid w:val="3C4F6F1A"/>
    <w:rsid w:val="3C552056"/>
    <w:rsid w:val="3C7A2CC2"/>
    <w:rsid w:val="3C8A1D00"/>
    <w:rsid w:val="3C9F59F0"/>
    <w:rsid w:val="3CA37266"/>
    <w:rsid w:val="3CA408E8"/>
    <w:rsid w:val="3CC50F8A"/>
    <w:rsid w:val="3CC84E70"/>
    <w:rsid w:val="3CC86CCC"/>
    <w:rsid w:val="3CF30014"/>
    <w:rsid w:val="3CF967CC"/>
    <w:rsid w:val="3CFA78D0"/>
    <w:rsid w:val="3CFD215E"/>
    <w:rsid w:val="3D23619D"/>
    <w:rsid w:val="3D3D6563"/>
    <w:rsid w:val="3D3D6D72"/>
    <w:rsid w:val="3D401889"/>
    <w:rsid w:val="3D6D1FD5"/>
    <w:rsid w:val="3D6E33D0"/>
    <w:rsid w:val="3D842A28"/>
    <w:rsid w:val="3D8A664E"/>
    <w:rsid w:val="3D8E3A72"/>
    <w:rsid w:val="3D9C5762"/>
    <w:rsid w:val="3DA46DF1"/>
    <w:rsid w:val="3DB91AAB"/>
    <w:rsid w:val="3DEE1866"/>
    <w:rsid w:val="3DF15DAF"/>
    <w:rsid w:val="3DF5589F"/>
    <w:rsid w:val="3E194C24"/>
    <w:rsid w:val="3E2148E6"/>
    <w:rsid w:val="3E3852D2"/>
    <w:rsid w:val="3E416D36"/>
    <w:rsid w:val="3E586144"/>
    <w:rsid w:val="3E612F34"/>
    <w:rsid w:val="3E6C262F"/>
    <w:rsid w:val="3E7D413D"/>
    <w:rsid w:val="3E7E3BB1"/>
    <w:rsid w:val="3E995D37"/>
    <w:rsid w:val="3EA370A9"/>
    <w:rsid w:val="3ECE25F7"/>
    <w:rsid w:val="3EDD0730"/>
    <w:rsid w:val="3EE047D6"/>
    <w:rsid w:val="3EF041EC"/>
    <w:rsid w:val="3EF52435"/>
    <w:rsid w:val="3F00249A"/>
    <w:rsid w:val="3F04194E"/>
    <w:rsid w:val="3F0A27EB"/>
    <w:rsid w:val="3F0B047D"/>
    <w:rsid w:val="3F0C1671"/>
    <w:rsid w:val="3F1B1335"/>
    <w:rsid w:val="3F380308"/>
    <w:rsid w:val="3F544847"/>
    <w:rsid w:val="3F6076C0"/>
    <w:rsid w:val="3F655964"/>
    <w:rsid w:val="3F681E0E"/>
    <w:rsid w:val="3F89024E"/>
    <w:rsid w:val="3F890995"/>
    <w:rsid w:val="3F8909C6"/>
    <w:rsid w:val="3F98381E"/>
    <w:rsid w:val="3FAB36A5"/>
    <w:rsid w:val="3FC007D3"/>
    <w:rsid w:val="3FCA1F0B"/>
    <w:rsid w:val="3FED2FEE"/>
    <w:rsid w:val="3FF12096"/>
    <w:rsid w:val="3FFC137B"/>
    <w:rsid w:val="401F149E"/>
    <w:rsid w:val="402E6492"/>
    <w:rsid w:val="40300733"/>
    <w:rsid w:val="40786313"/>
    <w:rsid w:val="40797A15"/>
    <w:rsid w:val="407A652F"/>
    <w:rsid w:val="40AB493B"/>
    <w:rsid w:val="40DF6392"/>
    <w:rsid w:val="40F606B2"/>
    <w:rsid w:val="41211A3B"/>
    <w:rsid w:val="41240D7A"/>
    <w:rsid w:val="41242970"/>
    <w:rsid w:val="41265D6F"/>
    <w:rsid w:val="412667D0"/>
    <w:rsid w:val="413D2771"/>
    <w:rsid w:val="41465DB6"/>
    <w:rsid w:val="416071C4"/>
    <w:rsid w:val="416C033F"/>
    <w:rsid w:val="416C40CA"/>
    <w:rsid w:val="4176159B"/>
    <w:rsid w:val="418136EC"/>
    <w:rsid w:val="41896292"/>
    <w:rsid w:val="41A24135"/>
    <w:rsid w:val="41A67FDD"/>
    <w:rsid w:val="41C55588"/>
    <w:rsid w:val="41C7076C"/>
    <w:rsid w:val="41E37814"/>
    <w:rsid w:val="41FD0F74"/>
    <w:rsid w:val="420E3685"/>
    <w:rsid w:val="420E5181"/>
    <w:rsid w:val="42101652"/>
    <w:rsid w:val="42164FED"/>
    <w:rsid w:val="421A1D78"/>
    <w:rsid w:val="42274495"/>
    <w:rsid w:val="42396349"/>
    <w:rsid w:val="42435509"/>
    <w:rsid w:val="42B6688B"/>
    <w:rsid w:val="42DE4B54"/>
    <w:rsid w:val="42EC5739"/>
    <w:rsid w:val="42F86C64"/>
    <w:rsid w:val="431241DB"/>
    <w:rsid w:val="431A4C93"/>
    <w:rsid w:val="4320516C"/>
    <w:rsid w:val="432768DC"/>
    <w:rsid w:val="434774ED"/>
    <w:rsid w:val="435B43F6"/>
    <w:rsid w:val="43601B8A"/>
    <w:rsid w:val="43614A2D"/>
    <w:rsid w:val="43642335"/>
    <w:rsid w:val="43AD2778"/>
    <w:rsid w:val="43B67B67"/>
    <w:rsid w:val="43F12FEC"/>
    <w:rsid w:val="43F959BD"/>
    <w:rsid w:val="43FC3D44"/>
    <w:rsid w:val="43FE2FD4"/>
    <w:rsid w:val="44017938"/>
    <w:rsid w:val="44056110"/>
    <w:rsid w:val="440773D8"/>
    <w:rsid w:val="440B61AF"/>
    <w:rsid w:val="443A04B0"/>
    <w:rsid w:val="44501CBA"/>
    <w:rsid w:val="445D7628"/>
    <w:rsid w:val="447F1B4C"/>
    <w:rsid w:val="4489238D"/>
    <w:rsid w:val="44A71888"/>
    <w:rsid w:val="44C62A50"/>
    <w:rsid w:val="44CC2A04"/>
    <w:rsid w:val="44CD6220"/>
    <w:rsid w:val="44D22496"/>
    <w:rsid w:val="44DB2CD5"/>
    <w:rsid w:val="44DF5CFB"/>
    <w:rsid w:val="44E100C0"/>
    <w:rsid w:val="44E346A3"/>
    <w:rsid w:val="44E4666D"/>
    <w:rsid w:val="44E95A32"/>
    <w:rsid w:val="45232CF2"/>
    <w:rsid w:val="452B429C"/>
    <w:rsid w:val="4535789C"/>
    <w:rsid w:val="45462E84"/>
    <w:rsid w:val="456D753D"/>
    <w:rsid w:val="456F1071"/>
    <w:rsid w:val="458B1F8E"/>
    <w:rsid w:val="45913BAE"/>
    <w:rsid w:val="45B918A8"/>
    <w:rsid w:val="45C85647"/>
    <w:rsid w:val="45DC10F2"/>
    <w:rsid w:val="45F951D2"/>
    <w:rsid w:val="461216CE"/>
    <w:rsid w:val="462D08CE"/>
    <w:rsid w:val="462F55E2"/>
    <w:rsid w:val="466C691A"/>
    <w:rsid w:val="46933EA7"/>
    <w:rsid w:val="46955E71"/>
    <w:rsid w:val="46960951"/>
    <w:rsid w:val="46967052"/>
    <w:rsid w:val="46A67C07"/>
    <w:rsid w:val="46B03AF2"/>
    <w:rsid w:val="46BF6A4A"/>
    <w:rsid w:val="46C24DF1"/>
    <w:rsid w:val="46DC5E74"/>
    <w:rsid w:val="46DE2657"/>
    <w:rsid w:val="46F30DEA"/>
    <w:rsid w:val="47176886"/>
    <w:rsid w:val="47470357"/>
    <w:rsid w:val="474D31B4"/>
    <w:rsid w:val="476447B7"/>
    <w:rsid w:val="476A6F48"/>
    <w:rsid w:val="476E5C60"/>
    <w:rsid w:val="477C493B"/>
    <w:rsid w:val="477C5F0B"/>
    <w:rsid w:val="477E3EC2"/>
    <w:rsid w:val="47887784"/>
    <w:rsid w:val="47907BA4"/>
    <w:rsid w:val="4798566F"/>
    <w:rsid w:val="479E3A26"/>
    <w:rsid w:val="47B03BA9"/>
    <w:rsid w:val="47B27EE7"/>
    <w:rsid w:val="47BE64ED"/>
    <w:rsid w:val="47BE6D02"/>
    <w:rsid w:val="47F565AD"/>
    <w:rsid w:val="4808052D"/>
    <w:rsid w:val="48123849"/>
    <w:rsid w:val="481B3B67"/>
    <w:rsid w:val="481D4885"/>
    <w:rsid w:val="48262B7E"/>
    <w:rsid w:val="484C6120"/>
    <w:rsid w:val="48775FDD"/>
    <w:rsid w:val="48B3589C"/>
    <w:rsid w:val="48C60D29"/>
    <w:rsid w:val="48C76DAE"/>
    <w:rsid w:val="48C87F0E"/>
    <w:rsid w:val="48C9090C"/>
    <w:rsid w:val="48CD4584"/>
    <w:rsid w:val="48D44131"/>
    <w:rsid w:val="48DD765B"/>
    <w:rsid w:val="48F03548"/>
    <w:rsid w:val="49226017"/>
    <w:rsid w:val="492405FC"/>
    <w:rsid w:val="492C413F"/>
    <w:rsid w:val="495C4F30"/>
    <w:rsid w:val="495D5333"/>
    <w:rsid w:val="49814C8E"/>
    <w:rsid w:val="499A7805"/>
    <w:rsid w:val="49E94BC3"/>
    <w:rsid w:val="49ED27EE"/>
    <w:rsid w:val="49F20EE5"/>
    <w:rsid w:val="49F904C5"/>
    <w:rsid w:val="49FC0ACA"/>
    <w:rsid w:val="4A0B3864"/>
    <w:rsid w:val="4A0C11FC"/>
    <w:rsid w:val="4A1511C7"/>
    <w:rsid w:val="4A17094B"/>
    <w:rsid w:val="4A240126"/>
    <w:rsid w:val="4A2F0E67"/>
    <w:rsid w:val="4A3A1243"/>
    <w:rsid w:val="4A5F4669"/>
    <w:rsid w:val="4A62250E"/>
    <w:rsid w:val="4A676325"/>
    <w:rsid w:val="4A6D4A0F"/>
    <w:rsid w:val="4A82495E"/>
    <w:rsid w:val="4AB61CA3"/>
    <w:rsid w:val="4ACF2AA9"/>
    <w:rsid w:val="4AD538CF"/>
    <w:rsid w:val="4AD854AB"/>
    <w:rsid w:val="4B092247"/>
    <w:rsid w:val="4B0C56B0"/>
    <w:rsid w:val="4B63542A"/>
    <w:rsid w:val="4B6B7E57"/>
    <w:rsid w:val="4BA40904"/>
    <w:rsid w:val="4BB16CD5"/>
    <w:rsid w:val="4BB171F6"/>
    <w:rsid w:val="4BC744BC"/>
    <w:rsid w:val="4BCB5E91"/>
    <w:rsid w:val="4BE60F1D"/>
    <w:rsid w:val="4C090991"/>
    <w:rsid w:val="4C0B6E28"/>
    <w:rsid w:val="4C281BFC"/>
    <w:rsid w:val="4C2B6930"/>
    <w:rsid w:val="4C416153"/>
    <w:rsid w:val="4C467C13"/>
    <w:rsid w:val="4C4C64EA"/>
    <w:rsid w:val="4C547605"/>
    <w:rsid w:val="4C572E44"/>
    <w:rsid w:val="4C6D519A"/>
    <w:rsid w:val="4C7B597E"/>
    <w:rsid w:val="4C833329"/>
    <w:rsid w:val="4C8976D4"/>
    <w:rsid w:val="4C8C73CE"/>
    <w:rsid w:val="4CBF133E"/>
    <w:rsid w:val="4CC13419"/>
    <w:rsid w:val="4CDD40CE"/>
    <w:rsid w:val="4CF26A76"/>
    <w:rsid w:val="4CF62876"/>
    <w:rsid w:val="4D07114B"/>
    <w:rsid w:val="4D2F41FE"/>
    <w:rsid w:val="4D406716"/>
    <w:rsid w:val="4D4978AC"/>
    <w:rsid w:val="4D725834"/>
    <w:rsid w:val="4D7F0CE1"/>
    <w:rsid w:val="4DAD3AA0"/>
    <w:rsid w:val="4DBC743D"/>
    <w:rsid w:val="4DCF7EBB"/>
    <w:rsid w:val="4DE1199C"/>
    <w:rsid w:val="4E2B70BB"/>
    <w:rsid w:val="4E2D698F"/>
    <w:rsid w:val="4E4D7031"/>
    <w:rsid w:val="4E584DB1"/>
    <w:rsid w:val="4E5D3E64"/>
    <w:rsid w:val="4E6247A5"/>
    <w:rsid w:val="4E6D1482"/>
    <w:rsid w:val="4EA355D2"/>
    <w:rsid w:val="4EAB0B37"/>
    <w:rsid w:val="4EB66985"/>
    <w:rsid w:val="4EBB70DD"/>
    <w:rsid w:val="4EBC759E"/>
    <w:rsid w:val="4ED60D1A"/>
    <w:rsid w:val="4ED70257"/>
    <w:rsid w:val="4EDA6C62"/>
    <w:rsid w:val="4F0E76AE"/>
    <w:rsid w:val="4F417DF5"/>
    <w:rsid w:val="4F622668"/>
    <w:rsid w:val="4F8E16AF"/>
    <w:rsid w:val="4F914E42"/>
    <w:rsid w:val="4F9D069D"/>
    <w:rsid w:val="4FA83498"/>
    <w:rsid w:val="4FC16A39"/>
    <w:rsid w:val="4FEC63D6"/>
    <w:rsid w:val="4FF927CB"/>
    <w:rsid w:val="500750B3"/>
    <w:rsid w:val="500C43B3"/>
    <w:rsid w:val="501A762D"/>
    <w:rsid w:val="502130D8"/>
    <w:rsid w:val="50250A2F"/>
    <w:rsid w:val="502F3AC0"/>
    <w:rsid w:val="503854BA"/>
    <w:rsid w:val="503E6C32"/>
    <w:rsid w:val="50553F1E"/>
    <w:rsid w:val="505E36C5"/>
    <w:rsid w:val="505F0470"/>
    <w:rsid w:val="5089456D"/>
    <w:rsid w:val="508A3BF7"/>
    <w:rsid w:val="50A20EC8"/>
    <w:rsid w:val="50AC0FE9"/>
    <w:rsid w:val="50B43398"/>
    <w:rsid w:val="50BE7D72"/>
    <w:rsid w:val="50C06161"/>
    <w:rsid w:val="50CA6717"/>
    <w:rsid w:val="50DB0924"/>
    <w:rsid w:val="50DE0415"/>
    <w:rsid w:val="50E255C1"/>
    <w:rsid w:val="50F70A6B"/>
    <w:rsid w:val="51121CFE"/>
    <w:rsid w:val="5119199D"/>
    <w:rsid w:val="51270A29"/>
    <w:rsid w:val="513F7105"/>
    <w:rsid w:val="51456140"/>
    <w:rsid w:val="514C3315"/>
    <w:rsid w:val="517843C5"/>
    <w:rsid w:val="519413C5"/>
    <w:rsid w:val="51B53BE6"/>
    <w:rsid w:val="51BB56A5"/>
    <w:rsid w:val="51BD627C"/>
    <w:rsid w:val="51BE1094"/>
    <w:rsid w:val="51D43763"/>
    <w:rsid w:val="5212481A"/>
    <w:rsid w:val="52143FB5"/>
    <w:rsid w:val="521A54E5"/>
    <w:rsid w:val="522400A9"/>
    <w:rsid w:val="5232169D"/>
    <w:rsid w:val="52576018"/>
    <w:rsid w:val="525D7654"/>
    <w:rsid w:val="525F7333"/>
    <w:rsid w:val="527728CF"/>
    <w:rsid w:val="52772C2B"/>
    <w:rsid w:val="52813F24"/>
    <w:rsid w:val="529D6791"/>
    <w:rsid w:val="52A24477"/>
    <w:rsid w:val="52A7330A"/>
    <w:rsid w:val="52C05FBF"/>
    <w:rsid w:val="52C73F91"/>
    <w:rsid w:val="52EF7913"/>
    <w:rsid w:val="53083087"/>
    <w:rsid w:val="535844AE"/>
    <w:rsid w:val="535C236C"/>
    <w:rsid w:val="53650979"/>
    <w:rsid w:val="537D209B"/>
    <w:rsid w:val="538057B3"/>
    <w:rsid w:val="5384045F"/>
    <w:rsid w:val="539F6C2B"/>
    <w:rsid w:val="53AC3C69"/>
    <w:rsid w:val="53C30726"/>
    <w:rsid w:val="53D847C0"/>
    <w:rsid w:val="53EE7F3A"/>
    <w:rsid w:val="53F1220D"/>
    <w:rsid w:val="541802FB"/>
    <w:rsid w:val="546B15C3"/>
    <w:rsid w:val="546D0D9C"/>
    <w:rsid w:val="54716287"/>
    <w:rsid w:val="548230BE"/>
    <w:rsid w:val="54AC438C"/>
    <w:rsid w:val="54DF119E"/>
    <w:rsid w:val="5507618C"/>
    <w:rsid w:val="552F56E3"/>
    <w:rsid w:val="554051FA"/>
    <w:rsid w:val="554845EA"/>
    <w:rsid w:val="554967A4"/>
    <w:rsid w:val="557264B8"/>
    <w:rsid w:val="55782BE6"/>
    <w:rsid w:val="55C53F19"/>
    <w:rsid w:val="55D97214"/>
    <w:rsid w:val="55E667BE"/>
    <w:rsid w:val="55F14746"/>
    <w:rsid w:val="55F33449"/>
    <w:rsid w:val="5605308A"/>
    <w:rsid w:val="560B4AC1"/>
    <w:rsid w:val="56113A87"/>
    <w:rsid w:val="56147D71"/>
    <w:rsid w:val="563F478D"/>
    <w:rsid w:val="5641016C"/>
    <w:rsid w:val="564A510D"/>
    <w:rsid w:val="56643EE6"/>
    <w:rsid w:val="566D0271"/>
    <w:rsid w:val="568850AA"/>
    <w:rsid w:val="56D402F0"/>
    <w:rsid w:val="56FE7EF4"/>
    <w:rsid w:val="572B3C88"/>
    <w:rsid w:val="57471D65"/>
    <w:rsid w:val="57475789"/>
    <w:rsid w:val="574D00A2"/>
    <w:rsid w:val="575E6A88"/>
    <w:rsid w:val="577949F3"/>
    <w:rsid w:val="578A4BF7"/>
    <w:rsid w:val="57A10134"/>
    <w:rsid w:val="57D80D43"/>
    <w:rsid w:val="57D909D8"/>
    <w:rsid w:val="580D26DE"/>
    <w:rsid w:val="580D3184"/>
    <w:rsid w:val="58311496"/>
    <w:rsid w:val="58381ECA"/>
    <w:rsid w:val="58523BC2"/>
    <w:rsid w:val="58595213"/>
    <w:rsid w:val="58624582"/>
    <w:rsid w:val="587A428A"/>
    <w:rsid w:val="588A05D2"/>
    <w:rsid w:val="58A13AA3"/>
    <w:rsid w:val="58B531C8"/>
    <w:rsid w:val="58CD149A"/>
    <w:rsid w:val="58DC0099"/>
    <w:rsid w:val="58E14F46"/>
    <w:rsid w:val="58EB3605"/>
    <w:rsid w:val="58F3045F"/>
    <w:rsid w:val="58F85EFA"/>
    <w:rsid w:val="590B4B61"/>
    <w:rsid w:val="590D1D3E"/>
    <w:rsid w:val="593A620B"/>
    <w:rsid w:val="5963617B"/>
    <w:rsid w:val="59861649"/>
    <w:rsid w:val="59883613"/>
    <w:rsid w:val="599515F5"/>
    <w:rsid w:val="59997817"/>
    <w:rsid w:val="599A5D5C"/>
    <w:rsid w:val="599D0EEF"/>
    <w:rsid w:val="59A03742"/>
    <w:rsid w:val="59AF0BA0"/>
    <w:rsid w:val="59CF55C5"/>
    <w:rsid w:val="59F91E1B"/>
    <w:rsid w:val="5A0A5DD6"/>
    <w:rsid w:val="5A4034DE"/>
    <w:rsid w:val="5A557999"/>
    <w:rsid w:val="5A625C12"/>
    <w:rsid w:val="5A96530F"/>
    <w:rsid w:val="5A96692C"/>
    <w:rsid w:val="5ABC3575"/>
    <w:rsid w:val="5AFA3ED5"/>
    <w:rsid w:val="5B016B01"/>
    <w:rsid w:val="5B036C30"/>
    <w:rsid w:val="5B062A42"/>
    <w:rsid w:val="5B0A3745"/>
    <w:rsid w:val="5B276188"/>
    <w:rsid w:val="5B394BC5"/>
    <w:rsid w:val="5B490B80"/>
    <w:rsid w:val="5B7A4088"/>
    <w:rsid w:val="5B7E42FC"/>
    <w:rsid w:val="5B863B83"/>
    <w:rsid w:val="5B9B6EC6"/>
    <w:rsid w:val="5BB029AE"/>
    <w:rsid w:val="5BB458F3"/>
    <w:rsid w:val="5BBD67C7"/>
    <w:rsid w:val="5BDD2B45"/>
    <w:rsid w:val="5BEC1C38"/>
    <w:rsid w:val="5C0D7E00"/>
    <w:rsid w:val="5C1908DF"/>
    <w:rsid w:val="5C2A3D47"/>
    <w:rsid w:val="5C2F7C30"/>
    <w:rsid w:val="5C353D98"/>
    <w:rsid w:val="5C4923AC"/>
    <w:rsid w:val="5C4B74E7"/>
    <w:rsid w:val="5C4F21C6"/>
    <w:rsid w:val="5C571F13"/>
    <w:rsid w:val="5C5925DD"/>
    <w:rsid w:val="5C776F19"/>
    <w:rsid w:val="5C82434A"/>
    <w:rsid w:val="5C863157"/>
    <w:rsid w:val="5C976331"/>
    <w:rsid w:val="5CA574D6"/>
    <w:rsid w:val="5CA744C2"/>
    <w:rsid w:val="5CB70498"/>
    <w:rsid w:val="5CC1205B"/>
    <w:rsid w:val="5CE37C3F"/>
    <w:rsid w:val="5CF52D6E"/>
    <w:rsid w:val="5CF8460C"/>
    <w:rsid w:val="5D003511"/>
    <w:rsid w:val="5D0244A1"/>
    <w:rsid w:val="5D0F294E"/>
    <w:rsid w:val="5D213B63"/>
    <w:rsid w:val="5D261179"/>
    <w:rsid w:val="5D467351"/>
    <w:rsid w:val="5D4761E3"/>
    <w:rsid w:val="5D55229A"/>
    <w:rsid w:val="5D7C348F"/>
    <w:rsid w:val="5D834E78"/>
    <w:rsid w:val="5D877F6E"/>
    <w:rsid w:val="5DA64068"/>
    <w:rsid w:val="5DA960F7"/>
    <w:rsid w:val="5DFC012C"/>
    <w:rsid w:val="5E174F66"/>
    <w:rsid w:val="5E2247F3"/>
    <w:rsid w:val="5E323B4E"/>
    <w:rsid w:val="5E3A175C"/>
    <w:rsid w:val="5E47553D"/>
    <w:rsid w:val="5E47584B"/>
    <w:rsid w:val="5E6E102A"/>
    <w:rsid w:val="5E7423B8"/>
    <w:rsid w:val="5EA410AC"/>
    <w:rsid w:val="5EAC7F4D"/>
    <w:rsid w:val="5EB735EC"/>
    <w:rsid w:val="5EB80AB4"/>
    <w:rsid w:val="5EBE53E1"/>
    <w:rsid w:val="5ED510A9"/>
    <w:rsid w:val="5EDD2E98"/>
    <w:rsid w:val="5EEA70AD"/>
    <w:rsid w:val="5EF01C4E"/>
    <w:rsid w:val="5F0B6AB7"/>
    <w:rsid w:val="5F0E6369"/>
    <w:rsid w:val="5F104B12"/>
    <w:rsid w:val="5F124D5E"/>
    <w:rsid w:val="5F277BE4"/>
    <w:rsid w:val="5F2E401C"/>
    <w:rsid w:val="5F420D99"/>
    <w:rsid w:val="5F4E49B7"/>
    <w:rsid w:val="5F531FCE"/>
    <w:rsid w:val="5F5A377D"/>
    <w:rsid w:val="5F731BB4"/>
    <w:rsid w:val="5F77485B"/>
    <w:rsid w:val="5F9469FC"/>
    <w:rsid w:val="5FAB1E0A"/>
    <w:rsid w:val="5FCB6008"/>
    <w:rsid w:val="5FD953C9"/>
    <w:rsid w:val="5FEA1E1D"/>
    <w:rsid w:val="60031C46"/>
    <w:rsid w:val="6008100A"/>
    <w:rsid w:val="600A26C5"/>
    <w:rsid w:val="60143E69"/>
    <w:rsid w:val="60285208"/>
    <w:rsid w:val="602A0916"/>
    <w:rsid w:val="602A5424"/>
    <w:rsid w:val="602F56C7"/>
    <w:rsid w:val="6032412B"/>
    <w:rsid w:val="6042451C"/>
    <w:rsid w:val="60597AB8"/>
    <w:rsid w:val="606C7D42"/>
    <w:rsid w:val="607074C0"/>
    <w:rsid w:val="6072602C"/>
    <w:rsid w:val="60765F74"/>
    <w:rsid w:val="6093187E"/>
    <w:rsid w:val="609A6E5E"/>
    <w:rsid w:val="60A41438"/>
    <w:rsid w:val="60B46A9C"/>
    <w:rsid w:val="60B51DE0"/>
    <w:rsid w:val="60B82A30"/>
    <w:rsid w:val="60EE3012"/>
    <w:rsid w:val="60F15F42"/>
    <w:rsid w:val="60F373C2"/>
    <w:rsid w:val="61042408"/>
    <w:rsid w:val="610C4B2A"/>
    <w:rsid w:val="611D1986"/>
    <w:rsid w:val="612B3202"/>
    <w:rsid w:val="61306A6A"/>
    <w:rsid w:val="61383ACA"/>
    <w:rsid w:val="615642AB"/>
    <w:rsid w:val="615649E9"/>
    <w:rsid w:val="616109D2"/>
    <w:rsid w:val="61761FA3"/>
    <w:rsid w:val="617836D6"/>
    <w:rsid w:val="618E75B4"/>
    <w:rsid w:val="61994610"/>
    <w:rsid w:val="61C6117D"/>
    <w:rsid w:val="61C96577"/>
    <w:rsid w:val="61DC274E"/>
    <w:rsid w:val="61E57855"/>
    <w:rsid w:val="61F3292C"/>
    <w:rsid w:val="61FB6A67"/>
    <w:rsid w:val="61FD64B9"/>
    <w:rsid w:val="6200643D"/>
    <w:rsid w:val="62142AB8"/>
    <w:rsid w:val="621544FA"/>
    <w:rsid w:val="62350AD4"/>
    <w:rsid w:val="6249103C"/>
    <w:rsid w:val="6275561B"/>
    <w:rsid w:val="62770871"/>
    <w:rsid w:val="62886C4F"/>
    <w:rsid w:val="62A57D4F"/>
    <w:rsid w:val="62B2525D"/>
    <w:rsid w:val="62BE7506"/>
    <w:rsid w:val="62C00CBC"/>
    <w:rsid w:val="62CD2171"/>
    <w:rsid w:val="62EE2771"/>
    <w:rsid w:val="62F6339C"/>
    <w:rsid w:val="62FC5875"/>
    <w:rsid w:val="62FD3964"/>
    <w:rsid w:val="63023968"/>
    <w:rsid w:val="630F7A36"/>
    <w:rsid w:val="6320267D"/>
    <w:rsid w:val="63227350"/>
    <w:rsid w:val="632655D5"/>
    <w:rsid w:val="634E0016"/>
    <w:rsid w:val="634F0EFE"/>
    <w:rsid w:val="636C18B0"/>
    <w:rsid w:val="639C00D4"/>
    <w:rsid w:val="63A50E63"/>
    <w:rsid w:val="63D07F56"/>
    <w:rsid w:val="63EE6769"/>
    <w:rsid w:val="63F658A0"/>
    <w:rsid w:val="640D448F"/>
    <w:rsid w:val="64260216"/>
    <w:rsid w:val="6445534E"/>
    <w:rsid w:val="64653CE9"/>
    <w:rsid w:val="646D1D84"/>
    <w:rsid w:val="647924D6"/>
    <w:rsid w:val="648F7DD4"/>
    <w:rsid w:val="64A31301"/>
    <w:rsid w:val="64A55606"/>
    <w:rsid w:val="64B90B25"/>
    <w:rsid w:val="64BC2268"/>
    <w:rsid w:val="64C172EE"/>
    <w:rsid w:val="64C34B51"/>
    <w:rsid w:val="64C43C68"/>
    <w:rsid w:val="64E350F3"/>
    <w:rsid w:val="64EA5970"/>
    <w:rsid w:val="64ED3015"/>
    <w:rsid w:val="64F84CD8"/>
    <w:rsid w:val="65077AE2"/>
    <w:rsid w:val="653F0904"/>
    <w:rsid w:val="655C6080"/>
    <w:rsid w:val="655F791E"/>
    <w:rsid w:val="65613696"/>
    <w:rsid w:val="65641774"/>
    <w:rsid w:val="659D59C6"/>
    <w:rsid w:val="659E5744"/>
    <w:rsid w:val="65A53714"/>
    <w:rsid w:val="65A56836"/>
    <w:rsid w:val="65A80CA8"/>
    <w:rsid w:val="65AE3962"/>
    <w:rsid w:val="65AE7B04"/>
    <w:rsid w:val="65AF14A0"/>
    <w:rsid w:val="65C12D12"/>
    <w:rsid w:val="65C3465D"/>
    <w:rsid w:val="65D047D8"/>
    <w:rsid w:val="65E524A9"/>
    <w:rsid w:val="6611663A"/>
    <w:rsid w:val="66154481"/>
    <w:rsid w:val="66170653"/>
    <w:rsid w:val="661A4962"/>
    <w:rsid w:val="662A7F2C"/>
    <w:rsid w:val="66352BF9"/>
    <w:rsid w:val="663B79E6"/>
    <w:rsid w:val="663E3EC9"/>
    <w:rsid w:val="66421D7B"/>
    <w:rsid w:val="664F1741"/>
    <w:rsid w:val="665925BF"/>
    <w:rsid w:val="66740BCE"/>
    <w:rsid w:val="667B0A94"/>
    <w:rsid w:val="66904FDD"/>
    <w:rsid w:val="669941AC"/>
    <w:rsid w:val="66A24473"/>
    <w:rsid w:val="66B45E9B"/>
    <w:rsid w:val="66BA1CB1"/>
    <w:rsid w:val="66BC428C"/>
    <w:rsid w:val="66C53FA5"/>
    <w:rsid w:val="66CA75A2"/>
    <w:rsid w:val="66D734E4"/>
    <w:rsid w:val="66E71979"/>
    <w:rsid w:val="66EE570E"/>
    <w:rsid w:val="66FC3FF8"/>
    <w:rsid w:val="6712276E"/>
    <w:rsid w:val="6713416E"/>
    <w:rsid w:val="671E3634"/>
    <w:rsid w:val="671E6E81"/>
    <w:rsid w:val="6726319F"/>
    <w:rsid w:val="672E75A8"/>
    <w:rsid w:val="674F0F42"/>
    <w:rsid w:val="675D46DB"/>
    <w:rsid w:val="675F5013"/>
    <w:rsid w:val="67887F27"/>
    <w:rsid w:val="67A40503"/>
    <w:rsid w:val="67AE5C12"/>
    <w:rsid w:val="67D0463A"/>
    <w:rsid w:val="6808436D"/>
    <w:rsid w:val="680B1697"/>
    <w:rsid w:val="680D710B"/>
    <w:rsid w:val="681C6479"/>
    <w:rsid w:val="682C2166"/>
    <w:rsid w:val="682D7860"/>
    <w:rsid w:val="683C13BA"/>
    <w:rsid w:val="68427ADF"/>
    <w:rsid w:val="685902A6"/>
    <w:rsid w:val="686208F5"/>
    <w:rsid w:val="687522D7"/>
    <w:rsid w:val="688D7AC5"/>
    <w:rsid w:val="68A8612E"/>
    <w:rsid w:val="68B95313"/>
    <w:rsid w:val="68BE43EC"/>
    <w:rsid w:val="68CA32C0"/>
    <w:rsid w:val="68D53732"/>
    <w:rsid w:val="68E36170"/>
    <w:rsid w:val="69004F74"/>
    <w:rsid w:val="69072AFF"/>
    <w:rsid w:val="69196B15"/>
    <w:rsid w:val="692D3067"/>
    <w:rsid w:val="693147B8"/>
    <w:rsid w:val="693B5FAC"/>
    <w:rsid w:val="69495819"/>
    <w:rsid w:val="69553B8D"/>
    <w:rsid w:val="69643755"/>
    <w:rsid w:val="696507BA"/>
    <w:rsid w:val="697119CE"/>
    <w:rsid w:val="69AA4C00"/>
    <w:rsid w:val="69B354C7"/>
    <w:rsid w:val="69BB533F"/>
    <w:rsid w:val="69C61397"/>
    <w:rsid w:val="69E93C5A"/>
    <w:rsid w:val="6A141DD1"/>
    <w:rsid w:val="6A222CC8"/>
    <w:rsid w:val="6A246A40"/>
    <w:rsid w:val="6A2A36EE"/>
    <w:rsid w:val="6A3264C7"/>
    <w:rsid w:val="6A786389"/>
    <w:rsid w:val="6A7A782A"/>
    <w:rsid w:val="6A7E0847"/>
    <w:rsid w:val="6A905B89"/>
    <w:rsid w:val="6A974C10"/>
    <w:rsid w:val="6AA036F7"/>
    <w:rsid w:val="6AA05738"/>
    <w:rsid w:val="6AAC22AA"/>
    <w:rsid w:val="6AAD17EE"/>
    <w:rsid w:val="6B3B2294"/>
    <w:rsid w:val="6B443430"/>
    <w:rsid w:val="6B4C255C"/>
    <w:rsid w:val="6B670466"/>
    <w:rsid w:val="6B721A2E"/>
    <w:rsid w:val="6B79322A"/>
    <w:rsid w:val="6B924F89"/>
    <w:rsid w:val="6B9A47AC"/>
    <w:rsid w:val="6BCE2D1C"/>
    <w:rsid w:val="6BD44496"/>
    <w:rsid w:val="6BE7789C"/>
    <w:rsid w:val="6BF32B6E"/>
    <w:rsid w:val="6BF9229B"/>
    <w:rsid w:val="6C085AAD"/>
    <w:rsid w:val="6C0F0767"/>
    <w:rsid w:val="6C2E642F"/>
    <w:rsid w:val="6C36684B"/>
    <w:rsid w:val="6C550A5C"/>
    <w:rsid w:val="6C5A4184"/>
    <w:rsid w:val="6C5C2C8E"/>
    <w:rsid w:val="6C5C587E"/>
    <w:rsid w:val="6C783410"/>
    <w:rsid w:val="6C8002DD"/>
    <w:rsid w:val="6C8E0AE9"/>
    <w:rsid w:val="6C8E1DB0"/>
    <w:rsid w:val="6C942E12"/>
    <w:rsid w:val="6CA16F18"/>
    <w:rsid w:val="6CA2453B"/>
    <w:rsid w:val="6CA41FF0"/>
    <w:rsid w:val="6CBA0044"/>
    <w:rsid w:val="6CC91B21"/>
    <w:rsid w:val="6CE432DD"/>
    <w:rsid w:val="6CFD1323"/>
    <w:rsid w:val="6D0668D1"/>
    <w:rsid w:val="6D314CD6"/>
    <w:rsid w:val="6D341690"/>
    <w:rsid w:val="6D342DE9"/>
    <w:rsid w:val="6D4D672D"/>
    <w:rsid w:val="6D6016CB"/>
    <w:rsid w:val="6D684244"/>
    <w:rsid w:val="6DA560EA"/>
    <w:rsid w:val="6DC831C6"/>
    <w:rsid w:val="6DD11AA2"/>
    <w:rsid w:val="6DD75847"/>
    <w:rsid w:val="6DD8090F"/>
    <w:rsid w:val="6DDB1B0C"/>
    <w:rsid w:val="6DF040AD"/>
    <w:rsid w:val="6DF97E44"/>
    <w:rsid w:val="6E076DA5"/>
    <w:rsid w:val="6E097D55"/>
    <w:rsid w:val="6E1868BC"/>
    <w:rsid w:val="6E2B153F"/>
    <w:rsid w:val="6E416608"/>
    <w:rsid w:val="6E641B01"/>
    <w:rsid w:val="6E6B004E"/>
    <w:rsid w:val="6E75648E"/>
    <w:rsid w:val="6E867CCA"/>
    <w:rsid w:val="6E9D0018"/>
    <w:rsid w:val="6EA46048"/>
    <w:rsid w:val="6EE449F0"/>
    <w:rsid w:val="6EEF71C9"/>
    <w:rsid w:val="6EF25AD3"/>
    <w:rsid w:val="6EF32E85"/>
    <w:rsid w:val="6F03756C"/>
    <w:rsid w:val="6F06019E"/>
    <w:rsid w:val="6F12155D"/>
    <w:rsid w:val="6F3F2818"/>
    <w:rsid w:val="6F54601A"/>
    <w:rsid w:val="6F616041"/>
    <w:rsid w:val="6F7211D0"/>
    <w:rsid w:val="6FAD1E39"/>
    <w:rsid w:val="6FBB39A3"/>
    <w:rsid w:val="6FD67088"/>
    <w:rsid w:val="6FE5453E"/>
    <w:rsid w:val="6FE84B5B"/>
    <w:rsid w:val="6FF0591F"/>
    <w:rsid w:val="70051287"/>
    <w:rsid w:val="702C63C5"/>
    <w:rsid w:val="703201EC"/>
    <w:rsid w:val="703466C7"/>
    <w:rsid w:val="703B49D4"/>
    <w:rsid w:val="70514307"/>
    <w:rsid w:val="705B3F13"/>
    <w:rsid w:val="705F18F5"/>
    <w:rsid w:val="70917112"/>
    <w:rsid w:val="70952446"/>
    <w:rsid w:val="70AF7B2D"/>
    <w:rsid w:val="71377A0E"/>
    <w:rsid w:val="71441FE3"/>
    <w:rsid w:val="715F2B94"/>
    <w:rsid w:val="71681B04"/>
    <w:rsid w:val="7169619C"/>
    <w:rsid w:val="717007BD"/>
    <w:rsid w:val="7178402B"/>
    <w:rsid w:val="71BB412E"/>
    <w:rsid w:val="71C278D9"/>
    <w:rsid w:val="71C8684B"/>
    <w:rsid w:val="71F92EA9"/>
    <w:rsid w:val="72166112"/>
    <w:rsid w:val="722F2426"/>
    <w:rsid w:val="72370699"/>
    <w:rsid w:val="726A010E"/>
    <w:rsid w:val="726E11A1"/>
    <w:rsid w:val="7287198D"/>
    <w:rsid w:val="72895FDA"/>
    <w:rsid w:val="729F5B73"/>
    <w:rsid w:val="72A33CBA"/>
    <w:rsid w:val="72A9667D"/>
    <w:rsid w:val="72B1787C"/>
    <w:rsid w:val="72BF4D67"/>
    <w:rsid w:val="72CB03A1"/>
    <w:rsid w:val="72CD5FC0"/>
    <w:rsid w:val="72DB668E"/>
    <w:rsid w:val="72DD2898"/>
    <w:rsid w:val="733757B2"/>
    <w:rsid w:val="73427FEF"/>
    <w:rsid w:val="73572C3B"/>
    <w:rsid w:val="7393571D"/>
    <w:rsid w:val="73B0582F"/>
    <w:rsid w:val="73B61051"/>
    <w:rsid w:val="73CD0149"/>
    <w:rsid w:val="73D56FFD"/>
    <w:rsid w:val="73E21E46"/>
    <w:rsid w:val="73E53785"/>
    <w:rsid w:val="74047C18"/>
    <w:rsid w:val="74123799"/>
    <w:rsid w:val="741B2C62"/>
    <w:rsid w:val="74335733"/>
    <w:rsid w:val="745A085C"/>
    <w:rsid w:val="74701C1A"/>
    <w:rsid w:val="74991809"/>
    <w:rsid w:val="74A76BEC"/>
    <w:rsid w:val="74AC1CE6"/>
    <w:rsid w:val="74C92F74"/>
    <w:rsid w:val="74D6471E"/>
    <w:rsid w:val="74D74BBC"/>
    <w:rsid w:val="74D8656F"/>
    <w:rsid w:val="74DA4663"/>
    <w:rsid w:val="75000B1A"/>
    <w:rsid w:val="750A364B"/>
    <w:rsid w:val="750B376D"/>
    <w:rsid w:val="751C1388"/>
    <w:rsid w:val="752509E3"/>
    <w:rsid w:val="7530098F"/>
    <w:rsid w:val="75343838"/>
    <w:rsid w:val="753A2F23"/>
    <w:rsid w:val="753C5586"/>
    <w:rsid w:val="75470E99"/>
    <w:rsid w:val="75610B49"/>
    <w:rsid w:val="75644ADD"/>
    <w:rsid w:val="75723BED"/>
    <w:rsid w:val="75AF3FAA"/>
    <w:rsid w:val="75B82C33"/>
    <w:rsid w:val="75C335B1"/>
    <w:rsid w:val="75CD4430"/>
    <w:rsid w:val="75EC207A"/>
    <w:rsid w:val="75FB4D1F"/>
    <w:rsid w:val="7604134D"/>
    <w:rsid w:val="760E7A34"/>
    <w:rsid w:val="7610713E"/>
    <w:rsid w:val="76151B6D"/>
    <w:rsid w:val="761821C5"/>
    <w:rsid w:val="7621098B"/>
    <w:rsid w:val="76244692"/>
    <w:rsid w:val="762F161D"/>
    <w:rsid w:val="762F2292"/>
    <w:rsid w:val="7638054D"/>
    <w:rsid w:val="763B0B06"/>
    <w:rsid w:val="76530DD9"/>
    <w:rsid w:val="76537286"/>
    <w:rsid w:val="765C7562"/>
    <w:rsid w:val="76612301"/>
    <w:rsid w:val="76647E2A"/>
    <w:rsid w:val="767F6E89"/>
    <w:rsid w:val="76A621DF"/>
    <w:rsid w:val="76AC04FE"/>
    <w:rsid w:val="76C67C59"/>
    <w:rsid w:val="76CE3448"/>
    <w:rsid w:val="76DE25AC"/>
    <w:rsid w:val="7706409E"/>
    <w:rsid w:val="771C68FB"/>
    <w:rsid w:val="773A72C3"/>
    <w:rsid w:val="77514BED"/>
    <w:rsid w:val="77853281"/>
    <w:rsid w:val="77854AEC"/>
    <w:rsid w:val="778D1C32"/>
    <w:rsid w:val="77981AF2"/>
    <w:rsid w:val="77DD36C8"/>
    <w:rsid w:val="77E048EF"/>
    <w:rsid w:val="77ED0DBA"/>
    <w:rsid w:val="782A3DBC"/>
    <w:rsid w:val="782F3180"/>
    <w:rsid w:val="7835510B"/>
    <w:rsid w:val="783E0BC0"/>
    <w:rsid w:val="784C0A80"/>
    <w:rsid w:val="78515A11"/>
    <w:rsid w:val="78650950"/>
    <w:rsid w:val="78724169"/>
    <w:rsid w:val="787B157A"/>
    <w:rsid w:val="787C3AB9"/>
    <w:rsid w:val="78801DFB"/>
    <w:rsid w:val="78890BE9"/>
    <w:rsid w:val="789613C3"/>
    <w:rsid w:val="789E2D9C"/>
    <w:rsid w:val="78C45F14"/>
    <w:rsid w:val="78CC4E37"/>
    <w:rsid w:val="78CD4747"/>
    <w:rsid w:val="78D4455D"/>
    <w:rsid w:val="78D471ED"/>
    <w:rsid w:val="78F509DE"/>
    <w:rsid w:val="78F55113"/>
    <w:rsid w:val="78FF1293"/>
    <w:rsid w:val="79074111"/>
    <w:rsid w:val="79085C9E"/>
    <w:rsid w:val="791A3B31"/>
    <w:rsid w:val="791F69FB"/>
    <w:rsid w:val="79392C09"/>
    <w:rsid w:val="795B3050"/>
    <w:rsid w:val="795B5FB6"/>
    <w:rsid w:val="796B2CD2"/>
    <w:rsid w:val="797A450C"/>
    <w:rsid w:val="797B0171"/>
    <w:rsid w:val="797B604F"/>
    <w:rsid w:val="79921C19"/>
    <w:rsid w:val="79C50F95"/>
    <w:rsid w:val="79D46775"/>
    <w:rsid w:val="79D72945"/>
    <w:rsid w:val="79E8143C"/>
    <w:rsid w:val="79FE3F6F"/>
    <w:rsid w:val="7A081EDB"/>
    <w:rsid w:val="7A10646B"/>
    <w:rsid w:val="7A161B9B"/>
    <w:rsid w:val="7A266805"/>
    <w:rsid w:val="7A270C3C"/>
    <w:rsid w:val="7A555224"/>
    <w:rsid w:val="7A66785F"/>
    <w:rsid w:val="7A79743E"/>
    <w:rsid w:val="7A875793"/>
    <w:rsid w:val="7A8F6158"/>
    <w:rsid w:val="7AC32C89"/>
    <w:rsid w:val="7AC5017B"/>
    <w:rsid w:val="7AD96CDC"/>
    <w:rsid w:val="7ADC6EC3"/>
    <w:rsid w:val="7AF97A75"/>
    <w:rsid w:val="7B05466C"/>
    <w:rsid w:val="7B1125BE"/>
    <w:rsid w:val="7B235E56"/>
    <w:rsid w:val="7B252618"/>
    <w:rsid w:val="7B2801CD"/>
    <w:rsid w:val="7B29770D"/>
    <w:rsid w:val="7B361F97"/>
    <w:rsid w:val="7B3810EB"/>
    <w:rsid w:val="7B3F6659"/>
    <w:rsid w:val="7B6554DF"/>
    <w:rsid w:val="7B665696"/>
    <w:rsid w:val="7B6A44CF"/>
    <w:rsid w:val="7B737828"/>
    <w:rsid w:val="7B80230E"/>
    <w:rsid w:val="7B806E6E"/>
    <w:rsid w:val="7B8C6B3B"/>
    <w:rsid w:val="7BAD566D"/>
    <w:rsid w:val="7BBB774F"/>
    <w:rsid w:val="7BC83BA6"/>
    <w:rsid w:val="7BD72FA4"/>
    <w:rsid w:val="7BDF0A19"/>
    <w:rsid w:val="7BE97AEA"/>
    <w:rsid w:val="7C055ADA"/>
    <w:rsid w:val="7C0A203B"/>
    <w:rsid w:val="7C12717A"/>
    <w:rsid w:val="7C18772F"/>
    <w:rsid w:val="7C240B22"/>
    <w:rsid w:val="7C5F6DB2"/>
    <w:rsid w:val="7C6267F7"/>
    <w:rsid w:val="7C686C61"/>
    <w:rsid w:val="7C864D75"/>
    <w:rsid w:val="7C8C7649"/>
    <w:rsid w:val="7CB77BE8"/>
    <w:rsid w:val="7CBC51FE"/>
    <w:rsid w:val="7CDA43F1"/>
    <w:rsid w:val="7CED016A"/>
    <w:rsid w:val="7D2A7A76"/>
    <w:rsid w:val="7D32145E"/>
    <w:rsid w:val="7D3A1EDD"/>
    <w:rsid w:val="7D5140B4"/>
    <w:rsid w:val="7D560BFE"/>
    <w:rsid w:val="7D567ED1"/>
    <w:rsid w:val="7D5D42EC"/>
    <w:rsid w:val="7D7E410B"/>
    <w:rsid w:val="7D851346"/>
    <w:rsid w:val="7D934B29"/>
    <w:rsid w:val="7D980F97"/>
    <w:rsid w:val="7DB72B1E"/>
    <w:rsid w:val="7DC36EAF"/>
    <w:rsid w:val="7DF51C2B"/>
    <w:rsid w:val="7E040C0B"/>
    <w:rsid w:val="7E1C3056"/>
    <w:rsid w:val="7E202036"/>
    <w:rsid w:val="7E27551C"/>
    <w:rsid w:val="7E2E7A36"/>
    <w:rsid w:val="7E413C0D"/>
    <w:rsid w:val="7E4234E1"/>
    <w:rsid w:val="7E461D30"/>
    <w:rsid w:val="7E4D48D1"/>
    <w:rsid w:val="7E8759AD"/>
    <w:rsid w:val="7E997234"/>
    <w:rsid w:val="7EC10CEF"/>
    <w:rsid w:val="7EC53A44"/>
    <w:rsid w:val="7ECB5261"/>
    <w:rsid w:val="7EE55250"/>
    <w:rsid w:val="7EED29F8"/>
    <w:rsid w:val="7EEF01B9"/>
    <w:rsid w:val="7F01514B"/>
    <w:rsid w:val="7F1E3F4E"/>
    <w:rsid w:val="7F3B0CFA"/>
    <w:rsid w:val="7F587460"/>
    <w:rsid w:val="7F623E3B"/>
    <w:rsid w:val="7F6A6118"/>
    <w:rsid w:val="7F78365F"/>
    <w:rsid w:val="7F7B54D8"/>
    <w:rsid w:val="7FB52327"/>
    <w:rsid w:val="7FCB42AF"/>
    <w:rsid w:val="7FCF72E5"/>
    <w:rsid w:val="7FD4460D"/>
    <w:rsid w:val="7FD62842"/>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jc w:val="center"/>
      <w:outlineLvl w:val="0"/>
    </w:pPr>
    <w:rPr>
      <w:rFonts w:ascii="楷体_GB2312" w:eastAsia="楷体_GB2312"/>
      <w:b/>
      <w:bCs/>
      <w:kern w:val="0"/>
      <w:sz w:val="20"/>
      <w:szCs w:val="20"/>
    </w:rPr>
  </w:style>
  <w:style w:type="paragraph" w:styleId="3">
    <w:name w:val="heading 2"/>
    <w:basedOn w:val="1"/>
    <w:next w:val="1"/>
    <w:link w:val="37"/>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adjustRightInd w:val="0"/>
      <w:spacing w:line="312" w:lineRule="atLeast"/>
      <w:ind w:firstLine="420"/>
    </w:pPr>
    <w:rPr>
      <w:rFonts w:ascii="Calibri" w:hAnsi="Calibri" w:cs="黑体"/>
      <w:szCs w:val="22"/>
    </w:rPr>
  </w:style>
  <w:style w:type="paragraph" w:styleId="6">
    <w:name w:val="Body Text Indent"/>
    <w:basedOn w:val="1"/>
    <w:link w:val="39"/>
    <w:unhideWhenUsed/>
    <w:qFormat/>
    <w:uiPriority w:val="99"/>
    <w:pPr>
      <w:ind w:left="480" w:hanging="480" w:hangingChars="200"/>
    </w:pPr>
    <w:rPr>
      <w:sz w:val="24"/>
    </w:rPr>
  </w:style>
  <w:style w:type="paragraph" w:styleId="7">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8">
    <w:name w:val="annotation text"/>
    <w:basedOn w:val="1"/>
    <w:unhideWhenUsed/>
    <w:qFormat/>
    <w:uiPriority w:val="99"/>
    <w:pPr>
      <w:jc w:val="left"/>
    </w:pPr>
  </w:style>
  <w:style w:type="paragraph" w:styleId="9">
    <w:name w:val="Body Text"/>
    <w:basedOn w:val="1"/>
    <w:next w:val="10"/>
    <w:link w:val="38"/>
    <w:unhideWhenUsed/>
    <w:qFormat/>
    <w:uiPriority w:val="99"/>
    <w:pPr>
      <w:spacing w:after="120"/>
    </w:pPr>
  </w:style>
  <w:style w:type="paragraph" w:styleId="10">
    <w:name w:val="Body Text First Indent"/>
    <w:basedOn w:val="1"/>
    <w:next w:val="1"/>
    <w:link w:val="44"/>
    <w:qFormat/>
    <w:uiPriority w:val="0"/>
    <w:pPr>
      <w:autoSpaceDE w:val="0"/>
      <w:autoSpaceDN w:val="0"/>
      <w:adjustRightInd w:val="0"/>
      <w:ind w:firstLine="420" w:firstLineChars="100"/>
      <w:textAlignment w:val="baseline"/>
    </w:pPr>
    <w:rPr>
      <w:sz w:val="24"/>
      <w:szCs w:val="20"/>
    </w:rPr>
  </w:style>
  <w:style w:type="paragraph" w:styleId="11">
    <w:name w:val="Plain Text"/>
    <w:basedOn w:val="1"/>
    <w:next w:val="1"/>
    <w:link w:val="40"/>
    <w:unhideWhenUsed/>
    <w:qFormat/>
    <w:uiPriority w:val="0"/>
    <w:pPr>
      <w:widowControl/>
      <w:overflowPunct w:val="0"/>
      <w:autoSpaceDE w:val="0"/>
      <w:autoSpaceDN w:val="0"/>
      <w:adjustRightInd w:val="0"/>
      <w:jc w:val="left"/>
    </w:pPr>
    <w:rPr>
      <w:rFonts w:ascii="宋体" w:hAnsi="Courier New"/>
      <w:szCs w:val="21"/>
    </w:rPr>
  </w:style>
  <w:style w:type="paragraph" w:styleId="12">
    <w:name w:val="Date"/>
    <w:basedOn w:val="1"/>
    <w:next w:val="1"/>
    <w:link w:val="41"/>
    <w:qFormat/>
    <w:uiPriority w:val="99"/>
    <w:pPr>
      <w:spacing w:line="440" w:lineRule="exact"/>
    </w:pPr>
    <w:rPr>
      <w:spacing w:val="12"/>
      <w:sz w:val="24"/>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Balloon Text"/>
    <w:basedOn w:val="1"/>
    <w:link w:val="42"/>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tabs>
        <w:tab w:val="right" w:leader="dot" w:pos="9628"/>
      </w:tabs>
      <w:spacing w:line="480" w:lineRule="auto"/>
    </w:pPr>
    <w:rPr>
      <w:rFonts w:ascii="Arial" w:hAnsi="Arial" w:eastAsia="新宋体" w:cs="Arial"/>
      <w:bCs/>
      <w:sz w:val="24"/>
    </w:rPr>
  </w:style>
  <w:style w:type="paragraph" w:styleId="18">
    <w:name w:val="toc 6"/>
    <w:basedOn w:val="1"/>
    <w:next w:val="1"/>
    <w:qFormat/>
    <w:uiPriority w:val="99"/>
    <w:pPr>
      <w:ind w:left="2100" w:leftChars="1000"/>
    </w:pPr>
  </w:style>
  <w:style w:type="paragraph" w:styleId="19">
    <w:name w:val="Body Text Indent 3"/>
    <w:basedOn w:val="1"/>
    <w:link w:val="43"/>
    <w:qFormat/>
    <w:uiPriority w:val="0"/>
    <w:pPr>
      <w:snapToGrid w:val="0"/>
      <w:ind w:firstLine="480" w:firstLineChars="200"/>
      <w:jc w:val="left"/>
    </w:pPr>
    <w:rPr>
      <w:rFonts w:ascii="仿宋_GB2312" w:hAnsi="宋体" w:eastAsia="仿宋_GB2312"/>
      <w:color w:val="000000"/>
      <w:sz w:val="24"/>
    </w:rPr>
  </w:style>
  <w:style w:type="paragraph" w:styleId="20">
    <w:name w:val="table of figures"/>
    <w:basedOn w:val="1"/>
    <w:next w:val="1"/>
    <w:unhideWhenUsed/>
    <w:qFormat/>
    <w:uiPriority w:val="99"/>
    <w:pPr>
      <w:ind w:left="200" w:leftChars="200" w:hanging="200" w:hangingChars="200"/>
    </w:pPr>
    <w:rPr>
      <w:szCs w:val="32"/>
    </w:rPr>
  </w:style>
  <w:style w:type="paragraph" w:styleId="21">
    <w:name w:val="toc 2"/>
    <w:basedOn w:val="1"/>
    <w:next w:val="1"/>
    <w:qFormat/>
    <w:uiPriority w:val="0"/>
    <w:pPr>
      <w:ind w:left="420" w:leftChars="200"/>
    </w:pPr>
  </w:style>
  <w:style w:type="paragraph" w:styleId="2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4">
    <w:name w:val="Body Text First Indent 2"/>
    <w:basedOn w:val="6"/>
    <w:link w:val="45"/>
    <w:unhideWhenUsed/>
    <w:qFormat/>
    <w:uiPriority w:val="99"/>
    <w:pPr>
      <w:spacing w:after="120"/>
      <w:ind w:left="420" w:leftChars="200" w:firstLine="420"/>
    </w:pPr>
    <w:rPr>
      <w:rFonts w:cs="宋体"/>
      <w:sz w:val="21"/>
      <w:szCs w:val="21"/>
    </w:r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unhideWhenUsed/>
    <w:qFormat/>
    <w:uiPriority w:val="99"/>
  </w:style>
  <w:style w:type="character" w:styleId="30">
    <w:name w:val="FollowedHyperlink"/>
    <w:unhideWhenUsed/>
    <w:qFormat/>
    <w:uiPriority w:val="99"/>
    <w:rPr>
      <w:color w:val="000000"/>
      <w:u w:val="none"/>
    </w:rPr>
  </w:style>
  <w:style w:type="character" w:styleId="31">
    <w:name w:val="Hyperlink"/>
    <w:unhideWhenUsed/>
    <w:qFormat/>
    <w:uiPriority w:val="99"/>
    <w:rPr>
      <w:color w:val="000000"/>
      <w:sz w:val="20"/>
      <w:szCs w:val="20"/>
      <w:u w:val="none"/>
    </w:rPr>
  </w:style>
  <w:style w:type="paragraph" w:customStyle="1" w:styleId="32">
    <w:name w:val="Heading1"/>
    <w:basedOn w:val="1"/>
    <w:next w:val="1"/>
    <w:autoRedefine/>
    <w:qFormat/>
    <w:uiPriority w:val="0"/>
    <w:pPr>
      <w:keepNext/>
      <w:keepLines/>
      <w:spacing w:before="340" w:after="330" w:line="576" w:lineRule="auto"/>
      <w:textAlignment w:val="baseline"/>
    </w:pPr>
    <w:rPr>
      <w:b/>
      <w:bCs/>
      <w:kern w:val="44"/>
      <w:sz w:val="44"/>
      <w:szCs w:val="44"/>
    </w:r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4">
    <w:name w:val="正文首行缩进2字符"/>
    <w:basedOn w:val="1"/>
    <w:qFormat/>
    <w:uiPriority w:val="0"/>
    <w:pPr>
      <w:widowControl/>
      <w:adjustRightInd w:val="0"/>
    </w:pPr>
  </w:style>
  <w:style w:type="paragraph" w:customStyle="1" w:styleId="35">
    <w:name w:val="样式 正文文本缩进 + 左  0 字符"/>
    <w:basedOn w:val="1"/>
    <w:qFormat/>
    <w:uiPriority w:val="0"/>
    <w:pPr>
      <w:spacing w:line="360" w:lineRule="auto"/>
      <w:ind w:firstLine="250" w:firstLineChars="250"/>
    </w:pPr>
    <w:rPr>
      <w:rFonts w:cs="宋体"/>
      <w:sz w:val="24"/>
    </w:rPr>
  </w:style>
  <w:style w:type="character" w:customStyle="1" w:styleId="36">
    <w:name w:val="标题 1 字符"/>
    <w:link w:val="2"/>
    <w:qFormat/>
    <w:locked/>
    <w:uiPriority w:val="99"/>
    <w:rPr>
      <w:rFonts w:ascii="楷体_GB2312" w:eastAsia="楷体_GB2312"/>
      <w:b/>
      <w:bCs/>
    </w:rPr>
  </w:style>
  <w:style w:type="character" w:customStyle="1" w:styleId="37">
    <w:name w:val="标题 2 字符"/>
    <w:link w:val="3"/>
    <w:qFormat/>
    <w:uiPriority w:val="9"/>
    <w:rPr>
      <w:rFonts w:ascii="Arial" w:hAnsi="Arial" w:eastAsia="黑体"/>
      <w:b/>
      <w:bCs/>
      <w:sz w:val="32"/>
      <w:szCs w:val="32"/>
    </w:rPr>
  </w:style>
  <w:style w:type="character" w:customStyle="1" w:styleId="38">
    <w:name w:val="正文文本 字符"/>
    <w:basedOn w:val="27"/>
    <w:link w:val="9"/>
    <w:qFormat/>
    <w:uiPriority w:val="0"/>
    <w:rPr>
      <w:kern w:val="2"/>
      <w:sz w:val="21"/>
      <w:szCs w:val="24"/>
    </w:rPr>
  </w:style>
  <w:style w:type="character" w:customStyle="1" w:styleId="39">
    <w:name w:val="正文文本缩进 字符"/>
    <w:basedOn w:val="27"/>
    <w:link w:val="6"/>
    <w:qFormat/>
    <w:uiPriority w:val="0"/>
    <w:rPr>
      <w:kern w:val="2"/>
      <w:sz w:val="21"/>
      <w:szCs w:val="24"/>
    </w:rPr>
  </w:style>
  <w:style w:type="character" w:customStyle="1" w:styleId="40">
    <w:name w:val="纯文本 字符"/>
    <w:link w:val="11"/>
    <w:qFormat/>
    <w:uiPriority w:val="0"/>
    <w:rPr>
      <w:rFonts w:ascii="宋体" w:hAnsi="Courier New" w:cs="黑体"/>
      <w:kern w:val="2"/>
      <w:sz w:val="21"/>
      <w:szCs w:val="21"/>
    </w:rPr>
  </w:style>
  <w:style w:type="character" w:customStyle="1" w:styleId="41">
    <w:name w:val="日期 字符"/>
    <w:link w:val="12"/>
    <w:semiHidden/>
    <w:qFormat/>
    <w:uiPriority w:val="99"/>
    <w:rPr>
      <w:kern w:val="2"/>
      <w:sz w:val="21"/>
      <w:szCs w:val="24"/>
    </w:rPr>
  </w:style>
  <w:style w:type="character" w:customStyle="1" w:styleId="42">
    <w:name w:val="批注框文本 字符"/>
    <w:link w:val="14"/>
    <w:semiHidden/>
    <w:qFormat/>
    <w:uiPriority w:val="99"/>
    <w:rPr>
      <w:kern w:val="2"/>
      <w:sz w:val="18"/>
      <w:szCs w:val="18"/>
    </w:rPr>
  </w:style>
  <w:style w:type="character" w:customStyle="1" w:styleId="43">
    <w:name w:val="正文文本缩进 3 字符"/>
    <w:link w:val="19"/>
    <w:qFormat/>
    <w:uiPriority w:val="0"/>
    <w:rPr>
      <w:rFonts w:ascii="仿宋_GB2312" w:hAnsi="宋体" w:eastAsia="仿宋_GB2312"/>
      <w:color w:val="000000"/>
      <w:kern w:val="2"/>
      <w:sz w:val="24"/>
      <w:szCs w:val="24"/>
    </w:rPr>
  </w:style>
  <w:style w:type="character" w:customStyle="1" w:styleId="44">
    <w:name w:val="正文文本首行缩进 字符"/>
    <w:basedOn w:val="38"/>
    <w:link w:val="10"/>
    <w:qFormat/>
    <w:uiPriority w:val="0"/>
    <w:rPr>
      <w:kern w:val="2"/>
      <w:sz w:val="24"/>
      <w:szCs w:val="24"/>
    </w:rPr>
  </w:style>
  <w:style w:type="character" w:customStyle="1" w:styleId="45">
    <w:name w:val="正文文本首行缩进 2 字符"/>
    <w:basedOn w:val="39"/>
    <w:link w:val="24"/>
    <w:qFormat/>
    <w:uiPriority w:val="0"/>
    <w:rPr>
      <w:rFonts w:hint="eastAsia" w:ascii="宋体" w:hAnsi="宋体" w:eastAsia="宋体" w:cs="宋体"/>
      <w:kern w:val="2"/>
      <w:sz w:val="21"/>
      <w:szCs w:val="21"/>
    </w:rPr>
  </w:style>
  <w:style w:type="paragraph" w:customStyle="1" w:styleId="46">
    <w:name w:val="页脚1"/>
    <w:basedOn w:val="1"/>
    <w:qFormat/>
    <w:uiPriority w:val="0"/>
    <w:pPr>
      <w:tabs>
        <w:tab w:val="center" w:pos="4153"/>
        <w:tab w:val="right" w:pos="8306"/>
      </w:tabs>
      <w:snapToGrid w:val="0"/>
      <w:jc w:val="left"/>
    </w:pPr>
    <w:rPr>
      <w:sz w:val="18"/>
      <w:szCs w:val="20"/>
    </w:rPr>
  </w:style>
  <w:style w:type="paragraph" w:customStyle="1" w:styleId="47">
    <w:name w:val="纯文本1"/>
    <w:basedOn w:val="48"/>
    <w:qFormat/>
    <w:uiPriority w:val="99"/>
    <w:pPr>
      <w:widowControl/>
      <w:jc w:val="left"/>
    </w:pPr>
    <w:rPr>
      <w:rFonts w:ascii="宋体" w:hAnsi="Courier New" w:cs="宋体"/>
    </w:rPr>
  </w:style>
  <w:style w:type="paragraph" w:customStyle="1" w:styleId="48">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9">
    <w:name w:val="样式1"/>
    <w:basedOn w:val="1"/>
    <w:qFormat/>
    <w:uiPriority w:val="0"/>
    <w:pPr>
      <w:spacing w:line="360" w:lineRule="exact"/>
      <w:ind w:firstLine="200" w:firstLineChars="200"/>
    </w:pPr>
    <w:rPr>
      <w:rFonts w:ascii="Arial" w:hAnsi="Arial"/>
    </w:rPr>
  </w:style>
  <w:style w:type="paragraph" w:customStyle="1" w:styleId="50">
    <w:name w:val="无间隔1"/>
    <w:qFormat/>
    <w:uiPriority w:val="0"/>
    <w:rPr>
      <w:rFonts w:ascii="Calibri" w:hAnsi="Calibri" w:eastAsia="宋体" w:cs="Times New Roman"/>
      <w:sz w:val="22"/>
      <w:szCs w:val="22"/>
      <w:lang w:val="en-US" w:eastAsia="en-US" w:bidi="ar-SA"/>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Char Char Char Char Char Char2 Char Char Char Char"/>
    <w:basedOn w:val="1"/>
    <w:qFormat/>
    <w:uiPriority w:val="0"/>
  </w:style>
  <w:style w:type="paragraph" w:customStyle="1" w:styleId="53">
    <w:name w:val="Char Char1 Char"/>
    <w:basedOn w:val="1"/>
    <w:qFormat/>
    <w:uiPriority w:val="0"/>
    <w:rPr>
      <w:rFonts w:ascii="仿宋_GB2312" w:eastAsia="仿宋_GB2312"/>
      <w:b/>
      <w:sz w:val="32"/>
      <w:szCs w:val="32"/>
    </w:rPr>
  </w:style>
  <w:style w:type="paragraph" w:customStyle="1" w:styleId="54">
    <w:name w:val="默认段落字体 Para Char Char Char Char Char Char Char Char Char1 Char Char Char Char"/>
    <w:basedOn w:val="1"/>
    <w:qFormat/>
    <w:uiPriority w:val="0"/>
    <w:rPr>
      <w:rFonts w:ascii="Tahoma" w:hAnsi="Tahoma"/>
      <w:sz w:val="24"/>
      <w:szCs w:val="20"/>
    </w:rPr>
  </w:style>
  <w:style w:type="paragraph" w:customStyle="1" w:styleId="55">
    <w:name w:val="Fließtext"/>
    <w:basedOn w:val="1"/>
    <w:qFormat/>
    <w:uiPriority w:val="0"/>
    <w:pPr>
      <w:overflowPunct w:val="0"/>
      <w:autoSpaceDE w:val="0"/>
      <w:autoSpaceDN w:val="0"/>
      <w:adjustRightInd w:val="0"/>
      <w:textAlignment w:val="baseline"/>
    </w:pPr>
    <w:rPr>
      <w:kern w:val="28"/>
      <w:szCs w:val="20"/>
    </w:rPr>
  </w:style>
  <w:style w:type="paragraph" w:customStyle="1" w:styleId="56">
    <w:name w:val="!表格正文"/>
    <w:basedOn w:val="1"/>
    <w:link w:val="57"/>
    <w:qFormat/>
    <w:uiPriority w:val="0"/>
    <w:rPr>
      <w:rFonts w:ascii="Calibri" w:hAnsi="Calibri" w:cs="Calibri"/>
      <w:kern w:val="0"/>
      <w:szCs w:val="21"/>
    </w:rPr>
  </w:style>
  <w:style w:type="character" w:customStyle="1" w:styleId="57">
    <w:name w:val="!表格正文 Char Char"/>
    <w:link w:val="56"/>
    <w:qFormat/>
    <w:uiPriority w:val="0"/>
    <w:rPr>
      <w:rFonts w:ascii="Calibri" w:hAnsi="Calibri" w:eastAsia="宋体" w:cs="Calibri"/>
      <w:sz w:val="21"/>
      <w:szCs w:val="21"/>
      <w:lang w:val="en-US" w:eastAsia="zh-CN" w:bidi="ar-SA"/>
    </w:rPr>
  </w:style>
  <w:style w:type="paragraph" w:customStyle="1" w:styleId="58">
    <w:name w:val="Table Paragraph"/>
    <w:basedOn w:val="1"/>
    <w:qFormat/>
    <w:uiPriority w:val="1"/>
    <w:rPr>
      <w:rFonts w:ascii="宋体" w:hAnsi="宋体" w:cs="宋体"/>
      <w:lang w:val="zh-CN" w:bidi="zh-CN"/>
    </w:rPr>
  </w:style>
  <w:style w:type="paragraph" w:customStyle="1" w:styleId="59">
    <w:name w:val="保留正文"/>
    <w:basedOn w:val="9"/>
    <w:qFormat/>
    <w:uiPriority w:val="0"/>
    <w:pPr>
      <w:keepNext/>
      <w:spacing w:after="160"/>
    </w:pPr>
  </w:style>
  <w:style w:type="paragraph" w:customStyle="1" w:styleId="60">
    <w:name w:val="Body Text First Indent 21"/>
    <w:basedOn w:val="61"/>
    <w:qFormat/>
    <w:uiPriority w:val="0"/>
    <w:pPr>
      <w:ind w:firstLine="420"/>
    </w:pPr>
    <w:rPr>
      <w:rFonts w:cs="宋体"/>
    </w:rPr>
  </w:style>
  <w:style w:type="paragraph" w:customStyle="1" w:styleId="61">
    <w:name w:val="Body Text Indent1"/>
    <w:basedOn w:val="1"/>
    <w:next w:val="1"/>
    <w:qFormat/>
    <w:uiPriority w:val="0"/>
    <w:pPr>
      <w:spacing w:after="120"/>
      <w:ind w:left="420" w:leftChars="200"/>
    </w:pPr>
    <w:rPr>
      <w:color w:val="000000"/>
      <w:szCs w:val="21"/>
    </w:rPr>
  </w:style>
  <w:style w:type="paragraph" w:customStyle="1" w:styleId="62">
    <w:name w:val="正文2"/>
    <w:basedOn w:val="1"/>
    <w:qFormat/>
    <w:uiPriority w:val="0"/>
    <w:pPr>
      <w:spacing w:before="156" w:line="360" w:lineRule="auto"/>
      <w:ind w:firstLine="510" w:firstLineChars="200"/>
    </w:pPr>
    <w:rPr>
      <w:sz w:val="24"/>
      <w:szCs w:val="20"/>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4">
    <w:name w:val="List Paragraph"/>
    <w:basedOn w:val="1"/>
    <w:qFormat/>
    <w:uiPriority w:val="1"/>
    <w:pPr>
      <w:ind w:left="253" w:firstLine="420"/>
    </w:pPr>
    <w:rPr>
      <w:rFonts w:ascii="宋体" w:hAnsi="宋体" w:cs="宋体"/>
      <w:lang w:val="zh-CN" w:bidi="zh-CN"/>
    </w:rPr>
  </w:style>
  <w:style w:type="paragraph" w:customStyle="1" w:styleId="65">
    <w:name w:val="正文段"/>
    <w:basedOn w:val="1"/>
    <w:qFormat/>
    <w:uiPriority w:val="0"/>
    <w:pPr>
      <w:widowControl/>
      <w:snapToGrid w:val="0"/>
      <w:ind w:firstLine="200" w:firstLineChars="200"/>
    </w:pPr>
    <w:rPr>
      <w:kern w:val="0"/>
      <w:sz w:val="24"/>
      <w:szCs w:val="20"/>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p18"/>
    <w:qFormat/>
    <w:uiPriority w:val="0"/>
    <w:pPr>
      <w:spacing w:line="748" w:lineRule="atLeast"/>
      <w:ind w:left="-527" w:firstLine="527"/>
    </w:pPr>
    <w:rPr>
      <w:rFonts w:ascii="宋体" w:hAnsi="宋体" w:eastAsia="宋体" w:cs="宋体"/>
      <w:sz w:val="24"/>
      <w:lang w:val="en-US" w:eastAsia="zh-CN" w:bidi="ar-SA"/>
    </w:rPr>
  </w:style>
  <w:style w:type="character" w:customStyle="1" w:styleId="68">
    <w:name w:val="正文文本缩进 3 Char"/>
    <w:semiHidden/>
    <w:qFormat/>
    <w:uiPriority w:val="99"/>
    <w:rPr>
      <w:kern w:val="2"/>
      <w:sz w:val="16"/>
      <w:szCs w:val="16"/>
    </w:rPr>
  </w:style>
  <w:style w:type="character" w:customStyle="1" w:styleId="69">
    <w:name w:val="large1"/>
    <w:qFormat/>
    <w:uiPriority w:val="0"/>
    <w:rPr>
      <w:rFonts w:hint="eastAsia" w:ascii="宋体" w:hAnsi="宋体" w:eastAsia="宋体"/>
      <w:sz w:val="21"/>
      <w:szCs w:val="21"/>
    </w:rPr>
  </w:style>
  <w:style w:type="character" w:customStyle="1" w:styleId="70">
    <w:name w:val="日期 Char3"/>
    <w:qFormat/>
    <w:uiPriority w:val="99"/>
    <w:rPr>
      <w:spacing w:val="12"/>
      <w:kern w:val="2"/>
      <w:sz w:val="24"/>
    </w:rPr>
  </w:style>
  <w:style w:type="character" w:customStyle="1" w:styleId="71">
    <w:name w:val="font41"/>
    <w:qFormat/>
    <w:uiPriority w:val="0"/>
    <w:rPr>
      <w:rFonts w:hint="eastAsia" w:ascii="仿宋" w:hAnsi="仿宋" w:eastAsia="仿宋" w:cs="仿宋"/>
      <w:color w:val="000000"/>
      <w:sz w:val="21"/>
      <w:szCs w:val="21"/>
      <w:u w:val="none"/>
    </w:rPr>
  </w:style>
  <w:style w:type="paragraph" w:customStyle="1" w:styleId="72">
    <w:name w:val="msolistparagraph"/>
    <w:basedOn w:val="1"/>
    <w:qFormat/>
    <w:uiPriority w:val="0"/>
    <w:pPr>
      <w:ind w:left="253" w:firstLine="420"/>
    </w:pPr>
    <w:rPr>
      <w:rFonts w:hint="eastAsia" w:ascii="宋体" w:hAnsi="宋体"/>
    </w:rPr>
  </w:style>
  <w:style w:type="character" w:customStyle="1" w:styleId="73">
    <w:name w:val="font01"/>
    <w:basedOn w:val="27"/>
    <w:qFormat/>
    <w:uiPriority w:val="0"/>
    <w:rPr>
      <w:rFonts w:hint="eastAsia" w:ascii="宋体" w:hAnsi="宋体" w:eastAsia="宋体" w:cs="宋体"/>
      <w:color w:val="000000"/>
      <w:sz w:val="22"/>
      <w:szCs w:val="22"/>
      <w:u w:val="none"/>
    </w:rPr>
  </w:style>
  <w:style w:type="character" w:customStyle="1" w:styleId="74">
    <w:name w:val="font21"/>
    <w:basedOn w:val="27"/>
    <w:qFormat/>
    <w:uiPriority w:val="0"/>
    <w:rPr>
      <w:rFonts w:hint="eastAsia" w:ascii="宋体" w:hAnsi="宋体" w:eastAsia="宋体" w:cs="宋体"/>
      <w:color w:val="000000"/>
      <w:sz w:val="22"/>
      <w:szCs w:val="22"/>
      <w:u w:val="none"/>
      <w:vertAlign w:val="superscript"/>
    </w:rPr>
  </w:style>
  <w:style w:type="paragraph" w:customStyle="1" w:styleId="75">
    <w:name w:val="reader-word-layer reader-word-s1-16"/>
    <w:basedOn w:val="1"/>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sz w:val="24"/>
    </w:rPr>
  </w:style>
  <w:style w:type="character" w:customStyle="1" w:styleId="76">
    <w:name w:val="font61"/>
    <w:basedOn w:val="27"/>
    <w:qFormat/>
    <w:uiPriority w:val="0"/>
    <w:rPr>
      <w:rFonts w:hint="eastAsia" w:ascii="宋体" w:hAnsi="宋体" w:eastAsia="宋体" w:cs="宋体"/>
      <w:color w:val="000000"/>
      <w:sz w:val="32"/>
      <w:szCs w:val="32"/>
      <w:u w:val="single"/>
    </w:rPr>
  </w:style>
  <w:style w:type="character" w:customStyle="1" w:styleId="77">
    <w:name w:val="font51"/>
    <w:basedOn w:val="27"/>
    <w:qFormat/>
    <w:uiPriority w:val="0"/>
    <w:rPr>
      <w:rFonts w:hint="eastAsia" w:ascii="宋体" w:hAnsi="宋体" w:eastAsia="宋体" w:cs="宋体"/>
      <w:color w:val="000000"/>
      <w:sz w:val="22"/>
      <w:szCs w:val="22"/>
      <w:u w:val="none"/>
      <w:vertAlign w:val="superscript"/>
    </w:rPr>
  </w:style>
  <w:style w:type="paragraph" w:customStyle="1" w:styleId="78">
    <w:name w:val="样式3"/>
    <w:basedOn w:val="11"/>
    <w:next w:val="1"/>
    <w:qFormat/>
    <w:uiPriority w:val="0"/>
    <w:pPr>
      <w:adjustRightInd/>
    </w:pPr>
    <w:rPr>
      <w:rFonts w:ascii="Times New Roman" w:hAnsi="Times New Roman"/>
      <w:szCs w:val="20"/>
    </w:rPr>
  </w:style>
  <w:style w:type="paragraph" w:customStyle="1" w:styleId="79">
    <w:name w:val="预查正文 + 宋体"/>
    <w:basedOn w:val="1"/>
    <w:qFormat/>
    <w:uiPriority w:val="0"/>
    <w:pPr>
      <w:spacing w:line="360" w:lineRule="auto"/>
      <w:ind w:firstLine="480" w:firstLineChars="200"/>
    </w:pPr>
    <w:rPr>
      <w:rFonts w:ascii="宋体" w:hAnsi="宋体" w:cs="宋体"/>
      <w:sz w:val="24"/>
      <w:szCs w:val="20"/>
    </w:rPr>
  </w:style>
  <w:style w:type="paragraph" w:customStyle="1" w:styleId="80">
    <w:name w:val="table of authorities1"/>
    <w:basedOn w:val="1"/>
    <w:next w:val="1"/>
    <w:qFormat/>
    <w:uiPriority w:val="0"/>
    <w:pPr>
      <w:ind w:left="420" w:leftChars="200"/>
    </w:pPr>
    <w:rPr>
      <w:sz w:val="24"/>
      <w:szCs w:val="22"/>
    </w:rPr>
  </w:style>
  <w:style w:type="paragraph" w:customStyle="1" w:styleId="8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样式 标题 2 + Times New Roman 四号 非加粗 段前: 5 磅 段后: 0 磅 行距: 固定值 20..."/>
    <w:basedOn w:val="3"/>
    <w:qFormat/>
    <w:uiPriority w:val="0"/>
    <w:pPr>
      <w:tabs>
        <w:tab w:val="left" w:pos="578"/>
      </w:tabs>
      <w:spacing w:before="100" w:beforeLines="0" w:after="0" w:afterLines="0" w:line="400" w:lineRule="exact"/>
    </w:pPr>
    <w:rPr>
      <w:rFonts w:ascii="Times New Roman" w:hAnsi="Times New Roman" w:cs="宋体"/>
      <w:sz w:val="28"/>
      <w:szCs w:val="20"/>
    </w:rPr>
  </w:style>
  <w:style w:type="paragraph" w:customStyle="1" w:styleId="83">
    <w:name w:val="样式 标题 3 + (中文) 黑体 小四 非加粗 段前: 7.8 磅 段后: 0 磅 行距: 固定值 20 磅"/>
    <w:basedOn w:val="4"/>
    <w:qFormat/>
    <w:uiPriority w:val="0"/>
    <w:pPr>
      <w:spacing w:beforeLines="0" w:afterLines="0" w:line="400" w:lineRule="exact"/>
      <w:ind w:left="0" w:firstLine="0"/>
    </w:pPr>
    <w:rPr>
      <w:rFonts w:ascii="Calibri" w:hAnsi="Calibri" w:eastAsia="黑体"/>
      <w:b w:val="0"/>
      <w:sz w:val="24"/>
      <w:szCs w:val="20"/>
    </w:rPr>
  </w:style>
  <w:style w:type="paragraph" w:customStyle="1" w:styleId="84">
    <w:name w:val="Plain Text1"/>
    <w:basedOn w:val="1"/>
    <w:qFormat/>
    <w:uiPriority w:val="0"/>
    <w:rPr>
      <w:rFonts w:ascii="宋体" w:hAnsi="Courier New"/>
      <w:szCs w:val="24"/>
    </w:rPr>
  </w:style>
  <w:style w:type="character" w:customStyle="1" w:styleId="85">
    <w:name w:val="font31"/>
    <w:basedOn w:val="2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18737</Words>
  <Characters>20237</Characters>
  <Lines>207</Lines>
  <Paragraphs>58</Paragraphs>
  <TotalTime>11</TotalTime>
  <ScaleCrop>false</ScaleCrop>
  <LinksUpToDate>false</LinksUpToDate>
  <CharactersWithSpaces>20596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2025-02-24T07:44:00Z</dcterms:created>
  <dc:creator>代理</dc:creator>
  <cp:lastModifiedBy>Administrator</cp:lastModifiedBy>
  <cp:lastPrinted>2025-06-23T07:28:00Z</cp:lastPrinted>
  <dcterms:modified xsi:type="dcterms:W3CDTF">2025-06-25T00:29:42Z</dcterms:modified>
  <dc:title>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DA8F2D1E62374328AFBF565C3790CE1B_13</vt:lpwstr>
  </property>
  <property fmtid="{D5CDD505-2E9C-101B-9397-08002B2CF9AE}" pid="4" name="KSOTemplateDocerSaveRecord">
    <vt:lpwstr>eyJoZGlkIjoiOTY2OGY4OGVlMTlhYjFlNGE1OTBiNzFlM2QzNGJjNmYiLCJ1c2VySWQiOiIxOTk1MTczMjMifQ==</vt:lpwstr>
  </property>
</Properties>
</file>